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仿宋" w:hAnsi="仿宋" w:eastAsia="仿宋" w:cs="仿宋"/>
          <w:color w:val="000000"/>
          <w:sz w:val="22"/>
        </w:rPr>
      </w:pPr>
      <w:r>
        <w:rPr>
          <w:rFonts w:hint="eastAsia" w:ascii="仿宋" w:hAnsi="仿宋" w:eastAsia="仿宋" w:cs="仿宋"/>
          <w:color w:val="000000"/>
          <w:sz w:val="22"/>
        </w:rPr>
        <w:drawing>
          <wp:inline distT="0" distB="0" distL="114300" distR="114300">
            <wp:extent cx="2320290" cy="934720"/>
            <wp:effectExtent l="0" t="0" r="3810" b="17780"/>
            <wp:docPr id="1" name="图片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logo"/>
                    <pic:cNvPicPr>
                      <a:picLocks noChangeAspect="1"/>
                    </pic:cNvPicPr>
                  </pic:nvPicPr>
                  <pic:blipFill>
                    <a:blip r:embed="rId11"/>
                    <a:stretch>
                      <a:fillRect/>
                    </a:stretch>
                  </pic:blipFill>
                  <pic:spPr>
                    <a:xfrm>
                      <a:off x="0" y="0"/>
                      <a:ext cx="2320290" cy="934720"/>
                    </a:xfrm>
                    <a:prstGeom prst="rect">
                      <a:avLst/>
                    </a:prstGeom>
                    <a:noFill/>
                    <a:ln>
                      <a:noFill/>
                    </a:ln>
                  </pic:spPr>
                </pic:pic>
              </a:graphicData>
            </a:graphic>
          </wp:inline>
        </w:drawing>
      </w:r>
    </w:p>
    <w:p>
      <w:pPr>
        <w:tabs>
          <w:tab w:val="left" w:pos="630"/>
        </w:tabs>
        <w:autoSpaceDE w:val="0"/>
        <w:autoSpaceDN w:val="0"/>
        <w:jc w:val="center"/>
        <w:rPr>
          <w:rFonts w:ascii="宋体" w:hAnsi="宋体" w:cs="宋体"/>
          <w:b/>
          <w:bCs/>
          <w:spacing w:val="119"/>
          <w:sz w:val="48"/>
          <w:szCs w:val="16"/>
          <w:lang w:val="zh-CN" w:bidi="zh-CN"/>
        </w:rPr>
      </w:pPr>
    </w:p>
    <w:p>
      <w:pPr>
        <w:pStyle w:val="9"/>
        <w:rPr>
          <w:lang w:val="zh-CN"/>
        </w:rPr>
      </w:pPr>
    </w:p>
    <w:p>
      <w:pPr>
        <w:tabs>
          <w:tab w:val="left" w:pos="630"/>
        </w:tabs>
        <w:autoSpaceDE w:val="0"/>
        <w:autoSpaceDN w:val="0"/>
        <w:jc w:val="center"/>
        <w:rPr>
          <w:rFonts w:ascii="宋体" w:hAnsi="宋体" w:cs="宋体"/>
          <w:b/>
          <w:bCs/>
          <w:sz w:val="48"/>
          <w:szCs w:val="36"/>
          <w:lang w:val="zh-CN" w:bidi="zh-CN"/>
        </w:rPr>
      </w:pPr>
      <w:r>
        <w:rPr>
          <w:rFonts w:ascii="宋体" w:hAnsi="宋体" w:cs="宋体"/>
          <w:b/>
          <w:bCs/>
          <w:sz w:val="48"/>
          <w:szCs w:val="36"/>
          <w:lang w:val="zh-CN" w:bidi="zh-CN"/>
        </w:rPr>
        <w:t>新疆维吾尔自治区应急管理厅应急指挥专网信息安全性加固服务项目</w:t>
      </w:r>
    </w:p>
    <w:p>
      <w:pPr>
        <w:tabs>
          <w:tab w:val="left" w:pos="630"/>
        </w:tabs>
        <w:autoSpaceDE w:val="0"/>
        <w:autoSpaceDN w:val="0"/>
        <w:jc w:val="left"/>
        <w:rPr>
          <w:rFonts w:ascii="宋体" w:hAnsi="宋体" w:cs="宋体"/>
          <w:sz w:val="36"/>
          <w:szCs w:val="24"/>
          <w:lang w:val="zh-CN" w:bidi="zh-CN"/>
        </w:rPr>
      </w:pPr>
    </w:p>
    <w:p>
      <w:pPr>
        <w:autoSpaceDE w:val="0"/>
        <w:autoSpaceDN w:val="0"/>
        <w:spacing w:before="262"/>
        <w:ind w:left="509" w:right="670"/>
        <w:jc w:val="center"/>
        <w:rPr>
          <w:rFonts w:ascii="宋体" w:hAnsi="宋体" w:cs="宋体"/>
          <w:b/>
          <w:bCs/>
          <w:spacing w:val="119"/>
          <w:kern w:val="0"/>
          <w:sz w:val="56"/>
          <w:lang w:val="zh-CN" w:bidi="zh-CN"/>
        </w:rPr>
      </w:pPr>
      <w:r>
        <w:rPr>
          <w:rFonts w:hint="eastAsia" w:ascii="宋体" w:hAnsi="宋体" w:cs="宋体"/>
          <w:b/>
          <w:bCs/>
          <w:spacing w:val="119"/>
          <w:kern w:val="0"/>
          <w:sz w:val="56"/>
          <w:lang w:val="zh-CN" w:bidi="zh-CN"/>
        </w:rPr>
        <w:t>竞争性磋商文件</w:t>
      </w:r>
    </w:p>
    <w:p>
      <w:pPr>
        <w:autoSpaceDE w:val="0"/>
        <w:autoSpaceDN w:val="0"/>
        <w:spacing w:before="262" w:line="360" w:lineRule="auto"/>
        <w:ind w:left="509" w:right="670"/>
        <w:jc w:val="center"/>
        <w:rPr>
          <w:rFonts w:ascii="宋体" w:hAnsi="宋体" w:cs="宋体"/>
          <w:spacing w:val="119"/>
          <w:kern w:val="0"/>
          <w:sz w:val="144"/>
          <w:szCs w:val="28"/>
          <w:lang w:val="zh-CN" w:bidi="zh-CN"/>
        </w:rPr>
      </w:pPr>
      <w:r>
        <w:rPr>
          <w:rFonts w:hint="eastAsia" w:ascii="宋体" w:hAnsi="宋体" w:cs="宋体"/>
          <w:b/>
          <w:bCs/>
          <w:w w:val="110"/>
          <w:kern w:val="0"/>
          <w:sz w:val="28"/>
          <w:szCs w:val="28"/>
          <w:lang w:val="zh-CN" w:bidi="zh-CN"/>
        </w:rPr>
        <w:t>（项目编号：XZJ226131）</w:t>
      </w:r>
    </w:p>
    <w:p>
      <w:pPr>
        <w:tabs>
          <w:tab w:val="left" w:pos="998"/>
        </w:tabs>
        <w:autoSpaceDE w:val="0"/>
        <w:autoSpaceDN w:val="0"/>
        <w:jc w:val="left"/>
        <w:rPr>
          <w:rFonts w:ascii="宋体" w:hAnsi="宋体" w:cs="宋体"/>
          <w:sz w:val="28"/>
          <w:szCs w:val="11"/>
          <w:lang w:val="zh-CN" w:bidi="zh-CN"/>
        </w:rPr>
      </w:pPr>
    </w:p>
    <w:p>
      <w:pPr>
        <w:tabs>
          <w:tab w:val="left" w:pos="998"/>
        </w:tabs>
        <w:autoSpaceDE w:val="0"/>
        <w:autoSpaceDN w:val="0"/>
        <w:jc w:val="left"/>
        <w:rPr>
          <w:rFonts w:ascii="宋体" w:hAnsi="宋体" w:cs="宋体"/>
          <w:sz w:val="28"/>
          <w:szCs w:val="11"/>
          <w:lang w:val="zh-CN" w:bidi="zh-CN"/>
        </w:rPr>
      </w:pPr>
    </w:p>
    <w:p>
      <w:pPr>
        <w:tabs>
          <w:tab w:val="left" w:pos="998"/>
        </w:tabs>
        <w:autoSpaceDE w:val="0"/>
        <w:autoSpaceDN w:val="0"/>
        <w:jc w:val="left"/>
        <w:rPr>
          <w:rFonts w:ascii="宋体" w:hAnsi="宋体" w:cs="宋体"/>
          <w:sz w:val="28"/>
          <w:szCs w:val="11"/>
          <w:lang w:val="zh-CN" w:bidi="zh-CN"/>
        </w:rPr>
      </w:pPr>
    </w:p>
    <w:p>
      <w:pPr>
        <w:tabs>
          <w:tab w:val="left" w:pos="998"/>
        </w:tabs>
        <w:autoSpaceDE w:val="0"/>
        <w:autoSpaceDN w:val="0"/>
        <w:jc w:val="left"/>
        <w:rPr>
          <w:rFonts w:ascii="宋体" w:hAnsi="宋体" w:cs="宋体"/>
          <w:sz w:val="28"/>
          <w:szCs w:val="11"/>
          <w:lang w:val="zh-CN" w:bidi="zh-CN"/>
        </w:rPr>
      </w:pPr>
    </w:p>
    <w:p>
      <w:pPr>
        <w:tabs>
          <w:tab w:val="left" w:pos="998"/>
        </w:tabs>
        <w:autoSpaceDE w:val="0"/>
        <w:autoSpaceDN w:val="0"/>
        <w:ind w:firstLine="1400" w:firstLineChars="500"/>
        <w:jc w:val="left"/>
        <w:rPr>
          <w:rFonts w:ascii="宋体" w:hAnsi="宋体" w:cs="宋体"/>
          <w:sz w:val="28"/>
          <w:szCs w:val="11"/>
          <w:lang w:val="zh-CN" w:bidi="zh-CN"/>
        </w:rPr>
      </w:pPr>
      <w:r>
        <w:rPr>
          <w:rFonts w:hint="eastAsia" w:ascii="宋体" w:hAnsi="宋体" w:cs="宋体"/>
          <w:sz w:val="28"/>
          <w:szCs w:val="11"/>
          <w:lang w:val="zh-CN" w:bidi="zh-CN"/>
        </w:rPr>
        <w:t>采购人：新疆维吾尔自治区应急管理厅</w:t>
      </w:r>
    </w:p>
    <w:p>
      <w:pPr>
        <w:tabs>
          <w:tab w:val="left" w:pos="998"/>
        </w:tabs>
        <w:autoSpaceDE w:val="0"/>
        <w:autoSpaceDN w:val="0"/>
        <w:ind w:firstLine="1400" w:firstLineChars="500"/>
        <w:jc w:val="left"/>
        <w:rPr>
          <w:rFonts w:ascii="宋体" w:hAnsi="宋体" w:cs="宋体"/>
          <w:sz w:val="28"/>
          <w:szCs w:val="11"/>
          <w:lang w:val="zh-CN" w:bidi="zh-CN"/>
        </w:rPr>
      </w:pPr>
      <w:r>
        <w:rPr>
          <w:rFonts w:hint="eastAsia" w:ascii="宋体" w:hAnsi="宋体" w:cs="宋体"/>
          <w:sz w:val="28"/>
          <w:szCs w:val="11"/>
          <w:lang w:val="zh-CN" w:bidi="zh-CN"/>
        </w:rPr>
        <w:t>采购代理机构：新疆新之建工程咨询有限公司</w:t>
      </w:r>
    </w:p>
    <w:p>
      <w:pPr>
        <w:tabs>
          <w:tab w:val="left" w:pos="998"/>
        </w:tabs>
        <w:autoSpaceDE w:val="0"/>
        <w:autoSpaceDN w:val="0"/>
        <w:jc w:val="left"/>
        <w:rPr>
          <w:rFonts w:ascii="宋体" w:hAnsi="宋体" w:cs="宋体"/>
          <w:sz w:val="28"/>
          <w:szCs w:val="11"/>
          <w:lang w:val="zh-CN" w:bidi="zh-CN"/>
        </w:rPr>
      </w:pPr>
    </w:p>
    <w:p>
      <w:pPr>
        <w:autoSpaceDE w:val="0"/>
        <w:autoSpaceDN w:val="0"/>
        <w:jc w:val="left"/>
        <w:rPr>
          <w:rFonts w:ascii="宋体" w:hAnsi="宋体" w:cs="宋体"/>
          <w:kern w:val="0"/>
          <w:sz w:val="24"/>
          <w:szCs w:val="24"/>
          <w:lang w:bidi="zh-CN"/>
        </w:rPr>
      </w:pPr>
    </w:p>
    <w:p>
      <w:pPr>
        <w:autoSpaceDE w:val="0"/>
        <w:autoSpaceDN w:val="0"/>
        <w:adjustRightInd w:val="0"/>
        <w:spacing w:line="700" w:lineRule="exact"/>
        <w:ind w:firstLine="472" w:firstLineChars="196"/>
        <w:jc w:val="center"/>
        <w:rPr>
          <w:rFonts w:ascii="宋体" w:hAnsi="宋体" w:cs="宋体"/>
          <w:b/>
          <w:sz w:val="24"/>
          <w:szCs w:val="24"/>
        </w:rPr>
      </w:pPr>
      <w:r>
        <w:rPr>
          <w:rFonts w:hint="eastAsia" w:ascii="宋体" w:hAnsi="宋体" w:cs="宋体"/>
          <w:b/>
          <w:sz w:val="24"/>
          <w:szCs w:val="24"/>
          <w:lang w:val="zh-CN" w:bidi="zh-CN"/>
        </w:rPr>
        <w:t>二〇二</w:t>
      </w:r>
      <w:r>
        <w:rPr>
          <w:rFonts w:hint="eastAsia" w:ascii="宋体" w:hAnsi="宋体" w:cs="宋体"/>
          <w:b/>
          <w:sz w:val="24"/>
          <w:szCs w:val="24"/>
          <w:lang w:bidi="zh-CN"/>
        </w:rPr>
        <w:t>二</w:t>
      </w:r>
      <w:r>
        <w:rPr>
          <w:rFonts w:hint="eastAsia" w:ascii="宋体" w:hAnsi="宋体" w:cs="宋体"/>
          <w:b/>
          <w:sz w:val="24"/>
          <w:szCs w:val="24"/>
          <w:lang w:val="zh-CN" w:bidi="zh-CN"/>
        </w:rPr>
        <w:t>年</w:t>
      </w:r>
      <w:r>
        <w:rPr>
          <w:rFonts w:hint="eastAsia" w:ascii="宋体" w:hAnsi="宋体" w:cs="宋体"/>
          <w:b/>
          <w:sz w:val="24"/>
          <w:szCs w:val="24"/>
          <w:lang w:bidi="zh-CN"/>
        </w:rPr>
        <w:t>十</w:t>
      </w:r>
      <w:r>
        <w:rPr>
          <w:rFonts w:hint="eastAsia" w:ascii="宋体" w:hAnsi="宋体" w:cs="宋体"/>
          <w:b/>
          <w:sz w:val="24"/>
          <w:szCs w:val="24"/>
          <w:lang w:val="zh-CN" w:bidi="zh-CN"/>
        </w:rPr>
        <w:t>月</w:t>
      </w:r>
    </w:p>
    <w:p>
      <w:pPr>
        <w:adjustRightInd w:val="0"/>
        <w:snapToGrid w:val="0"/>
        <w:spacing w:line="480" w:lineRule="exact"/>
        <w:rPr>
          <w:rFonts w:ascii="宋体"/>
          <w:bCs/>
          <w:sz w:val="32"/>
          <w:szCs w:val="32"/>
        </w:rPr>
      </w:pPr>
    </w:p>
    <w:p>
      <w:pPr>
        <w:widowControl/>
        <w:jc w:val="left"/>
        <w:rPr>
          <w:rFonts w:ascii="宋体" w:cs="宋体"/>
          <w:b/>
          <w:bCs/>
        </w:rPr>
      </w:pPr>
      <w:r>
        <w:rPr>
          <w:rFonts w:ascii="宋体" w:cs="宋体"/>
          <w:b/>
          <w:bCs/>
        </w:rPr>
        <w:br w:type="page"/>
      </w:r>
    </w:p>
    <w:p>
      <w:pPr>
        <w:jc w:val="center"/>
        <w:rPr>
          <w:rFonts w:ascii="宋体" w:hAnsi="Calibri" w:eastAsia="宋体" w:cs="宋体"/>
          <w:b/>
          <w:bCs/>
          <w:sz w:val="24"/>
          <w:szCs w:val="24"/>
        </w:rPr>
      </w:pPr>
      <w:r>
        <w:rPr>
          <w:rFonts w:hint="eastAsia" w:ascii="宋体" w:hAnsi="宋体" w:eastAsia="宋体" w:cs="宋体"/>
          <w:b/>
          <w:bCs/>
          <w:sz w:val="24"/>
          <w:szCs w:val="24"/>
        </w:rPr>
        <w:t>目录</w:t>
      </w:r>
    </w:p>
    <w:p>
      <w:pPr>
        <w:pStyle w:val="24"/>
        <w:tabs>
          <w:tab w:val="right" w:leader="dot" w:pos="9344"/>
        </w:tabs>
        <w:rPr>
          <w:rFonts w:asciiTheme="minorHAnsi" w:hAnsiTheme="minorHAnsi" w:eastAsiaTheme="minorEastAsia" w:cstheme="minorBidi"/>
          <w:szCs w:val="22"/>
        </w:rPr>
      </w:pPr>
      <w:r>
        <w:rPr>
          <w:rFonts w:ascii="宋体" w:hAnsi="宋体" w:cs="宋体"/>
          <w:b/>
          <w:bCs/>
          <w:sz w:val="24"/>
        </w:rPr>
        <w:fldChar w:fldCharType="begin"/>
      </w:r>
      <w:r>
        <w:rPr>
          <w:rFonts w:ascii="宋体" w:hAnsi="宋体" w:cs="宋体"/>
          <w:b/>
          <w:bCs/>
          <w:sz w:val="24"/>
        </w:rPr>
        <w:instrText xml:space="preserve">TOC \o "1-3" \h \u </w:instrText>
      </w:r>
      <w:r>
        <w:rPr>
          <w:rFonts w:ascii="宋体" w:hAnsi="宋体" w:cs="宋体"/>
          <w:b/>
          <w:bCs/>
          <w:sz w:val="24"/>
        </w:rPr>
        <w:fldChar w:fldCharType="separate"/>
      </w:r>
      <w:r>
        <w:fldChar w:fldCharType="begin"/>
      </w:r>
      <w:r>
        <w:instrText xml:space="preserve"> HYPERLINK \l "_Toc104243907" </w:instrText>
      </w:r>
      <w:r>
        <w:fldChar w:fldCharType="separate"/>
      </w:r>
      <w:r>
        <w:rPr>
          <w:rStyle w:val="48"/>
          <w:rFonts w:hint="eastAsia" w:ascii="宋体" w:hAnsi="宋体" w:cs="宋体"/>
          <w:b/>
          <w:color w:val="auto"/>
        </w:rPr>
        <w:t>供应商须知前附表</w:t>
      </w:r>
      <w:r>
        <w:tab/>
      </w:r>
      <w:r>
        <w:fldChar w:fldCharType="begin"/>
      </w:r>
      <w:r>
        <w:instrText xml:space="preserve"> PAGEREF _Toc104243907 \h </w:instrText>
      </w:r>
      <w:r>
        <w:fldChar w:fldCharType="separate"/>
      </w:r>
      <w:r>
        <w:t>1</w:t>
      </w:r>
      <w:r>
        <w:fldChar w:fldCharType="end"/>
      </w:r>
      <w:r>
        <w:fldChar w:fldCharType="end"/>
      </w:r>
    </w:p>
    <w:p>
      <w:pPr>
        <w:pStyle w:val="24"/>
        <w:tabs>
          <w:tab w:val="right" w:leader="dot" w:pos="9344"/>
        </w:tabs>
        <w:rPr>
          <w:rFonts w:asciiTheme="minorHAnsi" w:hAnsiTheme="minorHAnsi" w:eastAsiaTheme="minorEastAsia" w:cstheme="minorBidi"/>
          <w:szCs w:val="22"/>
        </w:rPr>
      </w:pPr>
      <w:r>
        <w:fldChar w:fldCharType="begin"/>
      </w:r>
      <w:r>
        <w:instrText xml:space="preserve"> HYPERLINK \l "_Toc104243908" </w:instrText>
      </w:r>
      <w:r>
        <w:fldChar w:fldCharType="separate"/>
      </w:r>
      <w:r>
        <w:rPr>
          <w:rStyle w:val="48"/>
          <w:rFonts w:hint="eastAsia" w:ascii="宋体" w:hAnsi="宋体" w:cs="宋体"/>
          <w:b/>
          <w:color w:val="auto"/>
        </w:rPr>
        <w:t>第一章</w:t>
      </w:r>
      <w:r>
        <w:rPr>
          <w:rStyle w:val="48"/>
          <w:rFonts w:ascii="宋体" w:hAnsi="宋体" w:cs="宋体"/>
          <w:b/>
          <w:color w:val="auto"/>
        </w:rPr>
        <w:t xml:space="preserve"> </w:t>
      </w:r>
      <w:r>
        <w:rPr>
          <w:rStyle w:val="48"/>
          <w:rFonts w:hint="eastAsia" w:ascii="宋体" w:hAnsi="宋体" w:cs="宋体"/>
          <w:b/>
          <w:color w:val="auto"/>
        </w:rPr>
        <w:t>供应商须知</w:t>
      </w:r>
      <w:r>
        <w:tab/>
      </w:r>
      <w:r>
        <w:fldChar w:fldCharType="begin"/>
      </w:r>
      <w:r>
        <w:instrText xml:space="preserve"> PAGEREF _Toc104243908 \h </w:instrText>
      </w:r>
      <w:r>
        <w:fldChar w:fldCharType="separate"/>
      </w:r>
      <w:r>
        <w:t>4</w:t>
      </w:r>
      <w:r>
        <w:fldChar w:fldCharType="end"/>
      </w:r>
      <w:r>
        <w:fldChar w:fldCharType="end"/>
      </w:r>
    </w:p>
    <w:p>
      <w:pPr>
        <w:pStyle w:val="30"/>
        <w:tabs>
          <w:tab w:val="right" w:leader="dot" w:pos="9344"/>
        </w:tabs>
        <w:rPr>
          <w:rFonts w:asciiTheme="minorHAnsi" w:hAnsiTheme="minorHAnsi" w:eastAsiaTheme="minorEastAsia" w:cstheme="minorBidi"/>
          <w:szCs w:val="22"/>
        </w:rPr>
      </w:pPr>
      <w:r>
        <w:fldChar w:fldCharType="begin"/>
      </w:r>
      <w:r>
        <w:instrText xml:space="preserve"> HYPERLINK \l "_Toc104243909" </w:instrText>
      </w:r>
      <w:r>
        <w:fldChar w:fldCharType="separate"/>
      </w:r>
      <w:r>
        <w:rPr>
          <w:rStyle w:val="48"/>
          <w:rFonts w:ascii="宋体" w:hAnsi="宋体" w:cs="宋体"/>
          <w:b/>
          <w:color w:val="auto"/>
        </w:rPr>
        <w:t>1</w:t>
      </w:r>
      <w:r>
        <w:rPr>
          <w:rStyle w:val="48"/>
          <w:rFonts w:hint="eastAsia" w:ascii="宋体" w:hAnsi="宋体" w:cs="宋体"/>
          <w:b/>
          <w:color w:val="auto"/>
        </w:rPr>
        <w:t>．总则</w:t>
      </w:r>
      <w:r>
        <w:tab/>
      </w:r>
      <w:r>
        <w:fldChar w:fldCharType="begin"/>
      </w:r>
      <w:r>
        <w:instrText xml:space="preserve"> PAGEREF _Toc104243909 \h </w:instrText>
      </w:r>
      <w:r>
        <w:fldChar w:fldCharType="separate"/>
      </w:r>
      <w:r>
        <w:t>4</w:t>
      </w:r>
      <w:r>
        <w:fldChar w:fldCharType="end"/>
      </w:r>
      <w:r>
        <w:fldChar w:fldCharType="end"/>
      </w:r>
    </w:p>
    <w:p>
      <w:pPr>
        <w:pStyle w:val="30"/>
        <w:tabs>
          <w:tab w:val="right" w:leader="dot" w:pos="9344"/>
        </w:tabs>
        <w:rPr>
          <w:rFonts w:asciiTheme="minorHAnsi" w:hAnsiTheme="minorHAnsi" w:eastAsiaTheme="minorEastAsia" w:cstheme="minorBidi"/>
          <w:szCs w:val="22"/>
        </w:rPr>
      </w:pPr>
      <w:r>
        <w:fldChar w:fldCharType="begin"/>
      </w:r>
      <w:r>
        <w:instrText xml:space="preserve"> HYPERLINK \l "_Toc104243910" </w:instrText>
      </w:r>
      <w:r>
        <w:fldChar w:fldCharType="separate"/>
      </w:r>
      <w:r>
        <w:rPr>
          <w:rStyle w:val="48"/>
          <w:rFonts w:ascii="宋体" w:hAnsi="宋体" w:cs="宋体"/>
          <w:b/>
          <w:color w:val="auto"/>
        </w:rPr>
        <w:t>2</w:t>
      </w:r>
      <w:r>
        <w:rPr>
          <w:rStyle w:val="48"/>
          <w:rFonts w:hint="eastAsia" w:ascii="宋体" w:hAnsi="宋体" w:cs="宋体"/>
          <w:b/>
          <w:color w:val="auto"/>
        </w:rPr>
        <w:t>．</w:t>
      </w:r>
      <w:r>
        <w:rPr>
          <w:rStyle w:val="48"/>
          <w:rFonts w:hint="eastAsia" w:ascii="宋体" w:hAnsi="宋体" w:cs="宋体"/>
          <w:b/>
          <w:color w:val="auto"/>
          <w:lang w:eastAsia="zh-CN"/>
        </w:rPr>
        <w:t>竞争性磋商文件</w:t>
      </w:r>
      <w:r>
        <w:tab/>
      </w:r>
      <w:r>
        <w:fldChar w:fldCharType="begin"/>
      </w:r>
      <w:r>
        <w:instrText xml:space="preserve"> PAGEREF _Toc104243910 \h </w:instrText>
      </w:r>
      <w:r>
        <w:fldChar w:fldCharType="separate"/>
      </w:r>
      <w:r>
        <w:t>6</w:t>
      </w:r>
      <w:r>
        <w:fldChar w:fldCharType="end"/>
      </w:r>
      <w:r>
        <w:fldChar w:fldCharType="end"/>
      </w:r>
    </w:p>
    <w:p>
      <w:pPr>
        <w:pStyle w:val="30"/>
        <w:tabs>
          <w:tab w:val="right" w:leader="dot" w:pos="9344"/>
        </w:tabs>
        <w:rPr>
          <w:rFonts w:asciiTheme="minorHAnsi" w:hAnsiTheme="minorHAnsi" w:eastAsiaTheme="minorEastAsia" w:cstheme="minorBidi"/>
          <w:szCs w:val="22"/>
        </w:rPr>
      </w:pPr>
      <w:r>
        <w:fldChar w:fldCharType="begin"/>
      </w:r>
      <w:r>
        <w:instrText xml:space="preserve"> HYPERLINK \l "_Toc104243911" </w:instrText>
      </w:r>
      <w:r>
        <w:fldChar w:fldCharType="separate"/>
      </w:r>
      <w:r>
        <w:rPr>
          <w:rStyle w:val="48"/>
          <w:rFonts w:ascii="宋体" w:hAnsi="宋体" w:cs="宋体"/>
          <w:b/>
          <w:color w:val="auto"/>
        </w:rPr>
        <w:t>3</w:t>
      </w:r>
      <w:r>
        <w:rPr>
          <w:rStyle w:val="48"/>
          <w:rFonts w:hint="eastAsia" w:ascii="宋体" w:hAnsi="宋体" w:cs="宋体"/>
          <w:b/>
          <w:color w:val="auto"/>
        </w:rPr>
        <w:t>．</w:t>
      </w:r>
      <w:r>
        <w:rPr>
          <w:rStyle w:val="48"/>
          <w:rFonts w:hint="eastAsia" w:ascii="宋体" w:hAnsi="宋体" w:cs="宋体"/>
          <w:b/>
          <w:color w:val="auto"/>
          <w:lang w:eastAsia="zh-CN"/>
        </w:rPr>
        <w:t>磋商响应文件</w:t>
      </w:r>
      <w:r>
        <w:tab/>
      </w:r>
      <w:r>
        <w:fldChar w:fldCharType="begin"/>
      </w:r>
      <w:r>
        <w:instrText xml:space="preserve"> PAGEREF _Toc104243911 \h </w:instrText>
      </w:r>
      <w:r>
        <w:fldChar w:fldCharType="separate"/>
      </w:r>
      <w:r>
        <w:t>7</w:t>
      </w:r>
      <w:r>
        <w:fldChar w:fldCharType="end"/>
      </w:r>
      <w:r>
        <w:fldChar w:fldCharType="end"/>
      </w:r>
    </w:p>
    <w:p>
      <w:pPr>
        <w:pStyle w:val="30"/>
        <w:tabs>
          <w:tab w:val="right" w:leader="dot" w:pos="9344"/>
        </w:tabs>
        <w:rPr>
          <w:rFonts w:asciiTheme="minorHAnsi" w:hAnsiTheme="minorHAnsi" w:eastAsiaTheme="minorEastAsia" w:cstheme="minorBidi"/>
          <w:szCs w:val="22"/>
        </w:rPr>
      </w:pPr>
      <w:r>
        <w:fldChar w:fldCharType="begin"/>
      </w:r>
      <w:r>
        <w:instrText xml:space="preserve"> HYPERLINK \l "_Toc104243912" </w:instrText>
      </w:r>
      <w:r>
        <w:fldChar w:fldCharType="separate"/>
      </w:r>
      <w:r>
        <w:rPr>
          <w:rStyle w:val="48"/>
          <w:rFonts w:ascii="宋体" w:hAnsi="宋体" w:cs="宋体"/>
          <w:b/>
          <w:color w:val="auto"/>
        </w:rPr>
        <w:t>4</w:t>
      </w:r>
      <w:r>
        <w:rPr>
          <w:rStyle w:val="48"/>
          <w:rFonts w:hint="eastAsia" w:ascii="宋体" w:hAnsi="宋体" w:cs="宋体"/>
          <w:b/>
          <w:color w:val="auto"/>
        </w:rPr>
        <w:t>．投标</w:t>
      </w:r>
      <w:r>
        <w:tab/>
      </w:r>
      <w:r>
        <w:fldChar w:fldCharType="begin"/>
      </w:r>
      <w:r>
        <w:instrText xml:space="preserve"> PAGEREF _Toc104243912 \h </w:instrText>
      </w:r>
      <w:r>
        <w:fldChar w:fldCharType="separate"/>
      </w:r>
      <w:r>
        <w:t>9</w:t>
      </w:r>
      <w:r>
        <w:fldChar w:fldCharType="end"/>
      </w:r>
      <w:r>
        <w:fldChar w:fldCharType="end"/>
      </w:r>
    </w:p>
    <w:p>
      <w:pPr>
        <w:pStyle w:val="30"/>
        <w:tabs>
          <w:tab w:val="right" w:leader="dot" w:pos="9344"/>
        </w:tabs>
        <w:rPr>
          <w:rFonts w:asciiTheme="minorHAnsi" w:hAnsiTheme="minorHAnsi" w:eastAsiaTheme="minorEastAsia" w:cstheme="minorBidi"/>
          <w:szCs w:val="22"/>
        </w:rPr>
      </w:pPr>
      <w:r>
        <w:fldChar w:fldCharType="begin"/>
      </w:r>
      <w:r>
        <w:instrText xml:space="preserve"> HYPERLINK \l "_Toc104243913" </w:instrText>
      </w:r>
      <w:r>
        <w:fldChar w:fldCharType="separate"/>
      </w:r>
      <w:r>
        <w:rPr>
          <w:rStyle w:val="48"/>
          <w:rFonts w:ascii="宋体" w:hAnsi="宋体" w:cs="宋体"/>
          <w:b/>
          <w:color w:val="auto"/>
        </w:rPr>
        <w:t>5</w:t>
      </w:r>
      <w:r>
        <w:rPr>
          <w:rStyle w:val="48"/>
          <w:rFonts w:hint="eastAsia" w:ascii="宋体" w:hAnsi="宋体" w:cs="宋体"/>
          <w:b/>
          <w:color w:val="auto"/>
        </w:rPr>
        <w:t>．开标</w:t>
      </w:r>
      <w:r>
        <w:tab/>
      </w:r>
      <w:r>
        <w:fldChar w:fldCharType="begin"/>
      </w:r>
      <w:r>
        <w:instrText xml:space="preserve"> PAGEREF _Toc104243913 \h </w:instrText>
      </w:r>
      <w:r>
        <w:fldChar w:fldCharType="separate"/>
      </w:r>
      <w:r>
        <w:t>10</w:t>
      </w:r>
      <w:r>
        <w:fldChar w:fldCharType="end"/>
      </w:r>
      <w:r>
        <w:fldChar w:fldCharType="end"/>
      </w:r>
    </w:p>
    <w:p>
      <w:pPr>
        <w:pStyle w:val="30"/>
        <w:tabs>
          <w:tab w:val="right" w:leader="dot" w:pos="9344"/>
        </w:tabs>
        <w:rPr>
          <w:rFonts w:asciiTheme="minorHAnsi" w:hAnsiTheme="minorHAnsi" w:eastAsiaTheme="minorEastAsia" w:cstheme="minorBidi"/>
          <w:szCs w:val="22"/>
        </w:rPr>
      </w:pPr>
      <w:r>
        <w:fldChar w:fldCharType="begin"/>
      </w:r>
      <w:r>
        <w:instrText xml:space="preserve"> HYPERLINK \l "_Toc104243914" </w:instrText>
      </w:r>
      <w:r>
        <w:fldChar w:fldCharType="separate"/>
      </w:r>
      <w:r>
        <w:rPr>
          <w:rStyle w:val="48"/>
          <w:rFonts w:ascii="宋体" w:hAnsi="宋体" w:cs="宋体"/>
          <w:b/>
          <w:color w:val="auto"/>
        </w:rPr>
        <w:t>6</w:t>
      </w:r>
      <w:r>
        <w:rPr>
          <w:rStyle w:val="48"/>
          <w:rFonts w:hint="eastAsia" w:ascii="宋体" w:hAnsi="宋体" w:cs="宋体"/>
          <w:b/>
          <w:color w:val="auto"/>
        </w:rPr>
        <w:t>．磋商</w:t>
      </w:r>
      <w:r>
        <w:tab/>
      </w:r>
      <w:r>
        <w:fldChar w:fldCharType="begin"/>
      </w:r>
      <w:r>
        <w:instrText xml:space="preserve"> PAGEREF _Toc104243914 \h </w:instrText>
      </w:r>
      <w:r>
        <w:fldChar w:fldCharType="separate"/>
      </w:r>
      <w:r>
        <w:t>10</w:t>
      </w:r>
      <w:r>
        <w:fldChar w:fldCharType="end"/>
      </w:r>
      <w:r>
        <w:fldChar w:fldCharType="end"/>
      </w:r>
    </w:p>
    <w:p>
      <w:pPr>
        <w:pStyle w:val="30"/>
        <w:tabs>
          <w:tab w:val="right" w:leader="dot" w:pos="9344"/>
        </w:tabs>
        <w:rPr>
          <w:rFonts w:asciiTheme="minorHAnsi" w:hAnsiTheme="minorHAnsi" w:eastAsiaTheme="minorEastAsia" w:cstheme="minorBidi"/>
          <w:szCs w:val="22"/>
        </w:rPr>
      </w:pPr>
      <w:r>
        <w:fldChar w:fldCharType="begin"/>
      </w:r>
      <w:r>
        <w:instrText xml:space="preserve"> HYPERLINK \l "_Toc104243915" </w:instrText>
      </w:r>
      <w:r>
        <w:fldChar w:fldCharType="separate"/>
      </w:r>
      <w:r>
        <w:rPr>
          <w:rStyle w:val="48"/>
          <w:rFonts w:ascii="宋体" w:hAnsi="宋体" w:cs="宋体"/>
          <w:b/>
          <w:color w:val="auto"/>
        </w:rPr>
        <w:t>7</w:t>
      </w:r>
      <w:r>
        <w:rPr>
          <w:rStyle w:val="48"/>
          <w:rFonts w:hint="eastAsia" w:ascii="宋体" w:hAnsi="宋体" w:cs="宋体"/>
          <w:b/>
          <w:color w:val="auto"/>
        </w:rPr>
        <w:t>．定标及合同授予</w:t>
      </w:r>
      <w:r>
        <w:tab/>
      </w:r>
      <w:r>
        <w:fldChar w:fldCharType="begin"/>
      </w:r>
      <w:r>
        <w:instrText xml:space="preserve"> PAGEREF _Toc104243915 \h </w:instrText>
      </w:r>
      <w:r>
        <w:fldChar w:fldCharType="separate"/>
      </w:r>
      <w:r>
        <w:t>11</w:t>
      </w:r>
      <w:r>
        <w:fldChar w:fldCharType="end"/>
      </w:r>
      <w:r>
        <w:fldChar w:fldCharType="end"/>
      </w:r>
    </w:p>
    <w:p>
      <w:pPr>
        <w:pStyle w:val="30"/>
        <w:tabs>
          <w:tab w:val="right" w:leader="dot" w:pos="9344"/>
        </w:tabs>
        <w:rPr>
          <w:rFonts w:asciiTheme="minorHAnsi" w:hAnsiTheme="minorHAnsi" w:eastAsiaTheme="minorEastAsia" w:cstheme="minorBidi"/>
          <w:szCs w:val="22"/>
        </w:rPr>
      </w:pPr>
      <w:r>
        <w:fldChar w:fldCharType="begin"/>
      </w:r>
      <w:r>
        <w:instrText xml:space="preserve"> HYPERLINK \l "_Toc104243916" </w:instrText>
      </w:r>
      <w:r>
        <w:fldChar w:fldCharType="separate"/>
      </w:r>
      <w:r>
        <w:rPr>
          <w:rStyle w:val="48"/>
          <w:rFonts w:ascii="宋体" w:hAnsi="宋体" w:cs="宋体"/>
          <w:b/>
          <w:color w:val="auto"/>
        </w:rPr>
        <w:t>8</w:t>
      </w:r>
      <w:r>
        <w:rPr>
          <w:rStyle w:val="48"/>
          <w:rFonts w:hint="eastAsia" w:ascii="宋体" w:hAnsi="宋体" w:cs="宋体"/>
          <w:b/>
          <w:color w:val="auto"/>
        </w:rPr>
        <w:t>．纪律和监督</w:t>
      </w:r>
      <w:r>
        <w:tab/>
      </w:r>
      <w:r>
        <w:fldChar w:fldCharType="begin"/>
      </w:r>
      <w:r>
        <w:instrText xml:space="preserve"> PAGEREF _Toc104243916 \h </w:instrText>
      </w:r>
      <w:r>
        <w:fldChar w:fldCharType="separate"/>
      </w:r>
      <w:r>
        <w:t>12</w:t>
      </w:r>
      <w:r>
        <w:fldChar w:fldCharType="end"/>
      </w:r>
      <w:r>
        <w:fldChar w:fldCharType="end"/>
      </w:r>
    </w:p>
    <w:p>
      <w:pPr>
        <w:pStyle w:val="24"/>
        <w:tabs>
          <w:tab w:val="right" w:leader="dot" w:pos="9344"/>
        </w:tabs>
        <w:rPr>
          <w:rFonts w:asciiTheme="minorHAnsi" w:hAnsiTheme="minorHAnsi" w:eastAsiaTheme="minorEastAsia" w:cstheme="minorBidi"/>
          <w:szCs w:val="22"/>
        </w:rPr>
      </w:pPr>
      <w:r>
        <w:fldChar w:fldCharType="begin"/>
      </w:r>
      <w:r>
        <w:instrText xml:space="preserve"> HYPERLINK \l "_Toc104243917" </w:instrText>
      </w:r>
      <w:r>
        <w:fldChar w:fldCharType="separate"/>
      </w:r>
      <w:r>
        <w:rPr>
          <w:rStyle w:val="48"/>
          <w:rFonts w:hint="eastAsia" w:ascii="宋体" w:hAnsi="宋体" w:cs="宋体"/>
          <w:b/>
          <w:color w:val="auto"/>
        </w:rPr>
        <w:t>第二章</w:t>
      </w:r>
      <w:r>
        <w:rPr>
          <w:rStyle w:val="48"/>
          <w:rFonts w:ascii="宋体" w:hAnsi="宋体" w:cs="宋体"/>
          <w:b/>
          <w:color w:val="auto"/>
        </w:rPr>
        <w:t xml:space="preserve"> </w:t>
      </w:r>
      <w:r>
        <w:rPr>
          <w:rStyle w:val="48"/>
          <w:rFonts w:hint="eastAsia" w:ascii="宋体" w:hAnsi="宋体" w:cs="宋体"/>
          <w:b/>
          <w:color w:val="auto"/>
        </w:rPr>
        <w:t>磋商办法</w:t>
      </w:r>
      <w:r>
        <w:tab/>
      </w:r>
      <w:r>
        <w:fldChar w:fldCharType="begin"/>
      </w:r>
      <w:r>
        <w:instrText xml:space="preserve"> PAGEREF _Toc104243917 \h </w:instrText>
      </w:r>
      <w:r>
        <w:fldChar w:fldCharType="separate"/>
      </w:r>
      <w:r>
        <w:t>13</w:t>
      </w:r>
      <w:r>
        <w:fldChar w:fldCharType="end"/>
      </w:r>
      <w:r>
        <w:fldChar w:fldCharType="end"/>
      </w:r>
    </w:p>
    <w:p>
      <w:pPr>
        <w:pStyle w:val="16"/>
        <w:tabs>
          <w:tab w:val="right" w:leader="dot" w:pos="9344"/>
        </w:tabs>
        <w:rPr>
          <w:rFonts w:asciiTheme="minorHAnsi" w:hAnsiTheme="minorHAnsi" w:eastAsiaTheme="minorEastAsia" w:cstheme="minorBidi"/>
          <w:szCs w:val="22"/>
        </w:rPr>
      </w:pPr>
      <w:r>
        <w:fldChar w:fldCharType="begin"/>
      </w:r>
      <w:r>
        <w:instrText xml:space="preserve"> HYPERLINK \l "_Toc104243918" </w:instrText>
      </w:r>
      <w:r>
        <w:fldChar w:fldCharType="separate"/>
      </w:r>
      <w:r>
        <w:rPr>
          <w:rStyle w:val="48"/>
          <w:rFonts w:hint="eastAsia" w:ascii="宋体" w:hAnsi="宋体" w:cs="宋体"/>
          <w:b/>
          <w:color w:val="auto"/>
        </w:rPr>
        <w:t>评审办法前附表</w:t>
      </w:r>
      <w:r>
        <w:tab/>
      </w:r>
      <w:r>
        <w:fldChar w:fldCharType="begin"/>
      </w:r>
      <w:r>
        <w:instrText xml:space="preserve"> PAGEREF _Toc104243918 \h </w:instrText>
      </w:r>
      <w:r>
        <w:fldChar w:fldCharType="separate"/>
      </w:r>
      <w:r>
        <w:t>13</w:t>
      </w:r>
      <w:r>
        <w:fldChar w:fldCharType="end"/>
      </w:r>
      <w:r>
        <w:fldChar w:fldCharType="end"/>
      </w:r>
    </w:p>
    <w:p>
      <w:pPr>
        <w:pStyle w:val="16"/>
        <w:tabs>
          <w:tab w:val="right" w:leader="dot" w:pos="9344"/>
        </w:tabs>
        <w:rPr>
          <w:rFonts w:asciiTheme="minorHAnsi" w:hAnsiTheme="minorHAnsi" w:eastAsiaTheme="minorEastAsia" w:cstheme="minorBidi"/>
          <w:szCs w:val="22"/>
        </w:rPr>
      </w:pPr>
      <w:r>
        <w:fldChar w:fldCharType="begin"/>
      </w:r>
      <w:r>
        <w:instrText xml:space="preserve"> HYPERLINK \l "_Toc104243919" </w:instrText>
      </w:r>
      <w:r>
        <w:fldChar w:fldCharType="separate"/>
      </w:r>
      <w:r>
        <w:rPr>
          <w:rStyle w:val="48"/>
          <w:rFonts w:ascii="宋体" w:hAnsi="宋体" w:cs="宋体"/>
          <w:b/>
          <w:color w:val="auto"/>
        </w:rPr>
        <w:t xml:space="preserve">1. </w:t>
      </w:r>
      <w:r>
        <w:rPr>
          <w:rStyle w:val="48"/>
          <w:rFonts w:hint="eastAsia" w:ascii="宋体" w:hAnsi="宋体" w:cs="宋体"/>
          <w:b/>
          <w:color w:val="auto"/>
        </w:rPr>
        <w:t>磋商方法</w:t>
      </w:r>
      <w:r>
        <w:tab/>
      </w:r>
      <w:r>
        <w:fldChar w:fldCharType="begin"/>
      </w:r>
      <w:r>
        <w:instrText xml:space="preserve"> PAGEREF _Toc104243919 \h </w:instrText>
      </w:r>
      <w:r>
        <w:fldChar w:fldCharType="separate"/>
      </w:r>
      <w:r>
        <w:t>16</w:t>
      </w:r>
      <w:r>
        <w:fldChar w:fldCharType="end"/>
      </w:r>
      <w:r>
        <w:fldChar w:fldCharType="end"/>
      </w:r>
    </w:p>
    <w:p>
      <w:pPr>
        <w:pStyle w:val="16"/>
        <w:tabs>
          <w:tab w:val="right" w:leader="dot" w:pos="9344"/>
        </w:tabs>
        <w:rPr>
          <w:rFonts w:asciiTheme="minorHAnsi" w:hAnsiTheme="minorHAnsi" w:eastAsiaTheme="minorEastAsia" w:cstheme="minorBidi"/>
          <w:szCs w:val="22"/>
        </w:rPr>
      </w:pPr>
      <w:r>
        <w:fldChar w:fldCharType="begin"/>
      </w:r>
      <w:r>
        <w:instrText xml:space="preserve"> HYPERLINK \l "_Toc104243920" </w:instrText>
      </w:r>
      <w:r>
        <w:fldChar w:fldCharType="separate"/>
      </w:r>
      <w:r>
        <w:rPr>
          <w:rStyle w:val="48"/>
          <w:rFonts w:ascii="宋体" w:hAnsi="宋体" w:cs="宋体"/>
          <w:b/>
          <w:color w:val="auto"/>
        </w:rPr>
        <w:t xml:space="preserve">2. </w:t>
      </w:r>
      <w:r>
        <w:rPr>
          <w:rStyle w:val="48"/>
          <w:rFonts w:hint="eastAsia" w:ascii="宋体" w:hAnsi="宋体" w:cs="宋体"/>
          <w:b/>
          <w:color w:val="auto"/>
        </w:rPr>
        <w:t>磋商标准</w:t>
      </w:r>
      <w:r>
        <w:tab/>
      </w:r>
      <w:r>
        <w:fldChar w:fldCharType="begin"/>
      </w:r>
      <w:r>
        <w:instrText xml:space="preserve"> PAGEREF _Toc104243920 \h </w:instrText>
      </w:r>
      <w:r>
        <w:fldChar w:fldCharType="separate"/>
      </w:r>
      <w:r>
        <w:t>16</w:t>
      </w:r>
      <w:r>
        <w:fldChar w:fldCharType="end"/>
      </w:r>
      <w:r>
        <w:fldChar w:fldCharType="end"/>
      </w:r>
    </w:p>
    <w:p>
      <w:pPr>
        <w:pStyle w:val="16"/>
        <w:tabs>
          <w:tab w:val="right" w:leader="dot" w:pos="9344"/>
        </w:tabs>
        <w:rPr>
          <w:rFonts w:asciiTheme="minorHAnsi" w:hAnsiTheme="minorHAnsi" w:eastAsiaTheme="minorEastAsia" w:cstheme="minorBidi"/>
          <w:szCs w:val="22"/>
        </w:rPr>
      </w:pPr>
      <w:r>
        <w:fldChar w:fldCharType="begin"/>
      </w:r>
      <w:r>
        <w:instrText xml:space="preserve"> HYPERLINK \l "_Toc104243921" </w:instrText>
      </w:r>
      <w:r>
        <w:fldChar w:fldCharType="separate"/>
      </w:r>
      <w:r>
        <w:rPr>
          <w:rStyle w:val="48"/>
          <w:rFonts w:ascii="宋体" w:hAnsi="宋体" w:cs="宋体"/>
          <w:b/>
          <w:color w:val="auto"/>
        </w:rPr>
        <w:t xml:space="preserve">3. </w:t>
      </w:r>
      <w:r>
        <w:rPr>
          <w:rStyle w:val="48"/>
          <w:rFonts w:hint="eastAsia" w:ascii="宋体" w:hAnsi="宋体" w:cs="宋体"/>
          <w:b/>
          <w:color w:val="auto"/>
        </w:rPr>
        <w:t>磋商程序</w:t>
      </w:r>
      <w:r>
        <w:tab/>
      </w:r>
      <w:r>
        <w:fldChar w:fldCharType="begin"/>
      </w:r>
      <w:r>
        <w:instrText xml:space="preserve"> PAGEREF _Toc104243921 \h </w:instrText>
      </w:r>
      <w:r>
        <w:fldChar w:fldCharType="separate"/>
      </w:r>
      <w:r>
        <w:t>17</w:t>
      </w:r>
      <w:r>
        <w:fldChar w:fldCharType="end"/>
      </w:r>
      <w:r>
        <w:fldChar w:fldCharType="end"/>
      </w:r>
    </w:p>
    <w:p>
      <w:pPr>
        <w:pStyle w:val="24"/>
        <w:tabs>
          <w:tab w:val="right" w:leader="dot" w:pos="9344"/>
        </w:tabs>
        <w:rPr>
          <w:rFonts w:asciiTheme="minorHAnsi" w:hAnsiTheme="minorHAnsi" w:eastAsiaTheme="minorEastAsia" w:cstheme="minorBidi"/>
          <w:szCs w:val="22"/>
        </w:rPr>
      </w:pPr>
      <w:r>
        <w:fldChar w:fldCharType="begin"/>
      </w:r>
      <w:r>
        <w:instrText xml:space="preserve"> HYPERLINK \l "_Toc104243922" </w:instrText>
      </w:r>
      <w:r>
        <w:fldChar w:fldCharType="separate"/>
      </w:r>
      <w:r>
        <w:rPr>
          <w:rStyle w:val="48"/>
          <w:rFonts w:hint="eastAsia" w:ascii="宋体" w:hAnsi="宋体" w:cs="宋体"/>
          <w:b/>
          <w:color w:val="auto"/>
        </w:rPr>
        <w:t>第三章</w:t>
      </w:r>
      <w:r>
        <w:rPr>
          <w:rStyle w:val="48"/>
          <w:rFonts w:ascii="宋体" w:hAnsi="宋体" w:cs="宋体"/>
          <w:b/>
          <w:color w:val="auto"/>
        </w:rPr>
        <w:t xml:space="preserve"> </w:t>
      </w:r>
      <w:r>
        <w:rPr>
          <w:rStyle w:val="48"/>
          <w:rFonts w:hint="eastAsia" w:ascii="宋体" w:hAnsi="宋体" w:cs="宋体"/>
          <w:b/>
          <w:color w:val="auto"/>
        </w:rPr>
        <w:t>合同条款</w:t>
      </w:r>
      <w:r>
        <w:tab/>
      </w:r>
      <w:r>
        <w:fldChar w:fldCharType="begin"/>
      </w:r>
      <w:r>
        <w:instrText xml:space="preserve"> PAGEREF _Toc104243922 \h </w:instrText>
      </w:r>
      <w:r>
        <w:fldChar w:fldCharType="separate"/>
      </w:r>
      <w:r>
        <w:t>23</w:t>
      </w:r>
      <w:r>
        <w:fldChar w:fldCharType="end"/>
      </w:r>
      <w:r>
        <w:fldChar w:fldCharType="end"/>
      </w:r>
    </w:p>
    <w:p>
      <w:pPr>
        <w:pStyle w:val="24"/>
        <w:tabs>
          <w:tab w:val="right" w:leader="dot" w:pos="9344"/>
        </w:tabs>
        <w:rPr>
          <w:rFonts w:asciiTheme="minorHAnsi" w:hAnsiTheme="minorHAnsi" w:eastAsiaTheme="minorEastAsia" w:cstheme="minorBidi"/>
          <w:szCs w:val="22"/>
        </w:rPr>
      </w:pPr>
      <w:r>
        <w:fldChar w:fldCharType="begin"/>
      </w:r>
      <w:r>
        <w:instrText xml:space="preserve"> HYPERLINK \l "_Toc104243923" </w:instrText>
      </w:r>
      <w:r>
        <w:fldChar w:fldCharType="separate"/>
      </w:r>
      <w:r>
        <w:rPr>
          <w:rStyle w:val="48"/>
          <w:rFonts w:hint="eastAsia" w:ascii="宋体" w:hAnsi="宋体" w:cs="宋体"/>
          <w:b/>
          <w:color w:val="auto"/>
        </w:rPr>
        <w:t>第四章</w:t>
      </w:r>
      <w:r>
        <w:rPr>
          <w:rStyle w:val="48"/>
          <w:rFonts w:ascii="宋体" w:hAnsi="宋体" w:cs="宋体"/>
          <w:b/>
          <w:color w:val="auto"/>
        </w:rPr>
        <w:t xml:space="preserve"> </w:t>
      </w:r>
      <w:r>
        <w:rPr>
          <w:rStyle w:val="48"/>
          <w:rFonts w:hint="eastAsia" w:ascii="宋体" w:hAnsi="宋体" w:cs="宋体"/>
          <w:b/>
          <w:color w:val="auto"/>
        </w:rPr>
        <w:t>服务标准和要求</w:t>
      </w:r>
      <w:r>
        <w:tab/>
      </w:r>
      <w:r>
        <w:fldChar w:fldCharType="begin"/>
      </w:r>
      <w:r>
        <w:instrText xml:space="preserve"> PAGEREF _Toc104243923 \h </w:instrText>
      </w:r>
      <w:r>
        <w:fldChar w:fldCharType="separate"/>
      </w:r>
      <w:r>
        <w:t>24</w:t>
      </w:r>
      <w:r>
        <w:fldChar w:fldCharType="end"/>
      </w:r>
      <w:r>
        <w:fldChar w:fldCharType="end"/>
      </w:r>
    </w:p>
    <w:p>
      <w:pPr>
        <w:pStyle w:val="24"/>
        <w:tabs>
          <w:tab w:val="right" w:leader="dot" w:pos="9344"/>
        </w:tabs>
        <w:rPr>
          <w:rFonts w:asciiTheme="minorHAnsi" w:hAnsiTheme="minorHAnsi" w:eastAsiaTheme="minorEastAsia" w:cstheme="minorBidi"/>
          <w:szCs w:val="22"/>
        </w:rPr>
      </w:pPr>
      <w:r>
        <w:fldChar w:fldCharType="begin"/>
      </w:r>
      <w:r>
        <w:instrText xml:space="preserve"> HYPERLINK \l "_Toc104243924" </w:instrText>
      </w:r>
      <w:r>
        <w:fldChar w:fldCharType="separate"/>
      </w:r>
      <w:r>
        <w:rPr>
          <w:rStyle w:val="48"/>
          <w:rFonts w:hint="eastAsia" w:ascii="宋体" w:hAnsi="宋体" w:cs="宋体"/>
          <w:b/>
          <w:color w:val="auto"/>
        </w:rPr>
        <w:t>第五章</w:t>
      </w:r>
      <w:r>
        <w:rPr>
          <w:rStyle w:val="48"/>
          <w:rFonts w:ascii="宋体" w:hAnsi="宋体" w:cs="宋体"/>
          <w:b/>
          <w:color w:val="auto"/>
        </w:rPr>
        <w:t xml:space="preserve"> </w:t>
      </w:r>
      <w:r>
        <w:rPr>
          <w:rStyle w:val="48"/>
          <w:rFonts w:hint="eastAsia" w:ascii="宋体" w:hAnsi="宋体" w:cs="宋体"/>
          <w:b/>
          <w:color w:val="auto"/>
          <w:lang w:eastAsia="zh-CN"/>
        </w:rPr>
        <w:t>磋商响应文件</w:t>
      </w:r>
      <w:r>
        <w:rPr>
          <w:rStyle w:val="48"/>
          <w:rFonts w:hint="eastAsia" w:ascii="宋体" w:hAnsi="宋体" w:cs="宋体"/>
          <w:b/>
          <w:color w:val="auto"/>
        </w:rPr>
        <w:t>格式</w:t>
      </w:r>
      <w:r>
        <w:tab/>
      </w:r>
      <w:r>
        <w:fldChar w:fldCharType="begin"/>
      </w:r>
      <w:r>
        <w:instrText xml:space="preserve"> PAGEREF _Toc104243924 \h </w:instrText>
      </w:r>
      <w:r>
        <w:fldChar w:fldCharType="separate"/>
      </w:r>
      <w:r>
        <w:t>41</w:t>
      </w:r>
      <w:r>
        <w:fldChar w:fldCharType="end"/>
      </w:r>
      <w:r>
        <w:fldChar w:fldCharType="end"/>
      </w:r>
    </w:p>
    <w:p>
      <w:pPr>
        <w:pStyle w:val="30"/>
        <w:tabs>
          <w:tab w:val="right" w:leader="dot" w:pos="9344"/>
        </w:tabs>
        <w:rPr>
          <w:rFonts w:asciiTheme="minorHAnsi" w:hAnsiTheme="minorHAnsi" w:eastAsiaTheme="minorEastAsia" w:cstheme="minorBidi"/>
          <w:szCs w:val="22"/>
        </w:rPr>
      </w:pPr>
      <w:r>
        <w:fldChar w:fldCharType="begin"/>
      </w:r>
      <w:r>
        <w:instrText xml:space="preserve"> HYPERLINK \l "_Toc104243925" </w:instrText>
      </w:r>
      <w:r>
        <w:fldChar w:fldCharType="separate"/>
      </w:r>
      <w:r>
        <w:rPr>
          <w:rStyle w:val="48"/>
          <w:rFonts w:hint="eastAsia" w:ascii="宋体" w:hAnsi="宋体" w:cs="宋体"/>
          <w:b/>
          <w:color w:val="auto"/>
        </w:rPr>
        <w:t>目录</w:t>
      </w:r>
      <w:r>
        <w:tab/>
      </w:r>
      <w:r>
        <w:fldChar w:fldCharType="begin"/>
      </w:r>
      <w:r>
        <w:instrText xml:space="preserve"> PAGEREF _Toc104243925 \h </w:instrText>
      </w:r>
      <w:r>
        <w:fldChar w:fldCharType="separate"/>
      </w:r>
      <w:r>
        <w:t>42</w:t>
      </w:r>
      <w:r>
        <w:fldChar w:fldCharType="end"/>
      </w:r>
      <w:r>
        <w:fldChar w:fldCharType="end"/>
      </w:r>
    </w:p>
    <w:p>
      <w:pPr>
        <w:pStyle w:val="30"/>
        <w:tabs>
          <w:tab w:val="right" w:leader="dot" w:pos="9344"/>
        </w:tabs>
        <w:rPr>
          <w:rFonts w:asciiTheme="minorHAnsi" w:hAnsiTheme="minorHAnsi" w:eastAsiaTheme="minorEastAsia" w:cstheme="minorBidi"/>
          <w:szCs w:val="22"/>
        </w:rPr>
      </w:pPr>
      <w:r>
        <w:fldChar w:fldCharType="begin"/>
      </w:r>
      <w:r>
        <w:instrText xml:space="preserve"> HYPERLINK \l "_Toc104243926" </w:instrText>
      </w:r>
      <w:r>
        <w:fldChar w:fldCharType="separate"/>
      </w:r>
      <w:r>
        <w:rPr>
          <w:rStyle w:val="48"/>
          <w:rFonts w:hint="eastAsia" w:ascii="宋体" w:hAnsi="宋体"/>
          <w:b/>
          <w:color w:val="auto"/>
        </w:rPr>
        <w:t>一、投标函</w:t>
      </w:r>
      <w:r>
        <w:tab/>
      </w:r>
      <w:r>
        <w:fldChar w:fldCharType="begin"/>
      </w:r>
      <w:r>
        <w:instrText xml:space="preserve"> PAGEREF _Toc104243926 \h </w:instrText>
      </w:r>
      <w:r>
        <w:fldChar w:fldCharType="separate"/>
      </w:r>
      <w:r>
        <w:t>43</w:t>
      </w:r>
      <w:r>
        <w:fldChar w:fldCharType="end"/>
      </w:r>
      <w:r>
        <w:fldChar w:fldCharType="end"/>
      </w:r>
    </w:p>
    <w:p>
      <w:pPr>
        <w:pStyle w:val="30"/>
        <w:tabs>
          <w:tab w:val="right" w:leader="dot" w:pos="9344"/>
        </w:tabs>
        <w:rPr>
          <w:rFonts w:asciiTheme="minorHAnsi" w:hAnsiTheme="minorHAnsi" w:eastAsiaTheme="minorEastAsia" w:cstheme="minorBidi"/>
          <w:szCs w:val="22"/>
        </w:rPr>
      </w:pPr>
      <w:r>
        <w:fldChar w:fldCharType="begin"/>
      </w:r>
      <w:r>
        <w:instrText xml:space="preserve"> HYPERLINK \l "_Toc104243927" </w:instrText>
      </w:r>
      <w:r>
        <w:fldChar w:fldCharType="separate"/>
      </w:r>
      <w:r>
        <w:rPr>
          <w:rStyle w:val="48"/>
          <w:rFonts w:hint="eastAsia" w:ascii="宋体" w:hAnsi="宋体"/>
          <w:b/>
          <w:color w:val="auto"/>
        </w:rPr>
        <w:t>二、投标价格明细表</w:t>
      </w:r>
      <w:r>
        <w:tab/>
      </w:r>
      <w:r>
        <w:fldChar w:fldCharType="begin"/>
      </w:r>
      <w:r>
        <w:instrText xml:space="preserve"> PAGEREF _Toc104243927 \h </w:instrText>
      </w:r>
      <w:r>
        <w:fldChar w:fldCharType="separate"/>
      </w:r>
      <w:r>
        <w:t>44</w:t>
      </w:r>
      <w:r>
        <w:fldChar w:fldCharType="end"/>
      </w:r>
      <w:r>
        <w:fldChar w:fldCharType="end"/>
      </w:r>
    </w:p>
    <w:p>
      <w:pPr>
        <w:pStyle w:val="30"/>
        <w:tabs>
          <w:tab w:val="right" w:leader="dot" w:pos="9344"/>
        </w:tabs>
        <w:rPr>
          <w:rFonts w:asciiTheme="minorHAnsi" w:hAnsiTheme="minorHAnsi" w:eastAsiaTheme="minorEastAsia" w:cstheme="minorBidi"/>
          <w:szCs w:val="22"/>
        </w:rPr>
      </w:pPr>
      <w:r>
        <w:fldChar w:fldCharType="begin"/>
      </w:r>
      <w:r>
        <w:instrText xml:space="preserve"> HYPERLINK \l "_Toc104243928" </w:instrText>
      </w:r>
      <w:r>
        <w:fldChar w:fldCharType="separate"/>
      </w:r>
      <w:r>
        <w:rPr>
          <w:rStyle w:val="48"/>
          <w:rFonts w:hint="eastAsia" w:ascii="宋体" w:hAnsi="宋体"/>
          <w:b/>
          <w:color w:val="auto"/>
        </w:rPr>
        <w:t>三、偏离表</w:t>
      </w:r>
      <w:r>
        <w:tab/>
      </w:r>
      <w:r>
        <w:fldChar w:fldCharType="begin"/>
      </w:r>
      <w:r>
        <w:instrText xml:space="preserve"> PAGEREF _Toc104243928 \h </w:instrText>
      </w:r>
      <w:r>
        <w:fldChar w:fldCharType="separate"/>
      </w:r>
      <w:r>
        <w:t>45</w:t>
      </w:r>
      <w:r>
        <w:fldChar w:fldCharType="end"/>
      </w:r>
      <w:r>
        <w:fldChar w:fldCharType="end"/>
      </w:r>
    </w:p>
    <w:p>
      <w:pPr>
        <w:pStyle w:val="30"/>
        <w:tabs>
          <w:tab w:val="right" w:leader="dot" w:pos="9344"/>
        </w:tabs>
        <w:rPr>
          <w:rFonts w:asciiTheme="minorHAnsi" w:hAnsiTheme="minorHAnsi" w:eastAsiaTheme="minorEastAsia" w:cstheme="minorBidi"/>
          <w:szCs w:val="22"/>
        </w:rPr>
      </w:pPr>
      <w:r>
        <w:fldChar w:fldCharType="begin"/>
      </w:r>
      <w:r>
        <w:instrText xml:space="preserve"> HYPERLINK \l "_Toc104243929" </w:instrText>
      </w:r>
      <w:r>
        <w:fldChar w:fldCharType="separate"/>
      </w:r>
      <w:r>
        <w:rPr>
          <w:rStyle w:val="48"/>
          <w:rFonts w:hint="eastAsia" w:ascii="宋体" w:hAnsi="宋体"/>
          <w:b/>
          <w:color w:val="auto"/>
        </w:rPr>
        <w:t>四、法定代表人身份证明书</w:t>
      </w:r>
      <w:r>
        <w:tab/>
      </w:r>
      <w:r>
        <w:fldChar w:fldCharType="begin"/>
      </w:r>
      <w:r>
        <w:instrText xml:space="preserve"> PAGEREF _Toc104243929 \h </w:instrText>
      </w:r>
      <w:r>
        <w:fldChar w:fldCharType="separate"/>
      </w:r>
      <w:r>
        <w:t>46</w:t>
      </w:r>
      <w:r>
        <w:fldChar w:fldCharType="end"/>
      </w:r>
      <w:r>
        <w:fldChar w:fldCharType="end"/>
      </w:r>
    </w:p>
    <w:p>
      <w:pPr>
        <w:pStyle w:val="30"/>
        <w:tabs>
          <w:tab w:val="right" w:leader="dot" w:pos="9344"/>
        </w:tabs>
        <w:rPr>
          <w:rFonts w:asciiTheme="minorHAnsi" w:hAnsiTheme="minorHAnsi" w:eastAsiaTheme="minorEastAsia" w:cstheme="minorBidi"/>
          <w:szCs w:val="22"/>
        </w:rPr>
      </w:pPr>
      <w:r>
        <w:fldChar w:fldCharType="begin"/>
      </w:r>
      <w:r>
        <w:instrText xml:space="preserve"> HYPERLINK \l "_Toc104243930" </w:instrText>
      </w:r>
      <w:r>
        <w:fldChar w:fldCharType="separate"/>
      </w:r>
      <w:r>
        <w:rPr>
          <w:rStyle w:val="48"/>
          <w:rFonts w:hint="eastAsia" w:ascii="宋体" w:hAnsi="宋体"/>
          <w:b/>
          <w:color w:val="auto"/>
        </w:rPr>
        <w:t>五、法定代表人授权委托书</w:t>
      </w:r>
      <w:r>
        <w:tab/>
      </w:r>
      <w:r>
        <w:fldChar w:fldCharType="begin"/>
      </w:r>
      <w:r>
        <w:instrText xml:space="preserve"> PAGEREF _Toc104243930 \h </w:instrText>
      </w:r>
      <w:r>
        <w:fldChar w:fldCharType="separate"/>
      </w:r>
      <w:r>
        <w:t>47</w:t>
      </w:r>
      <w:r>
        <w:fldChar w:fldCharType="end"/>
      </w:r>
      <w:r>
        <w:fldChar w:fldCharType="end"/>
      </w:r>
    </w:p>
    <w:p>
      <w:pPr>
        <w:pStyle w:val="30"/>
        <w:tabs>
          <w:tab w:val="right" w:leader="dot" w:pos="9344"/>
        </w:tabs>
        <w:rPr>
          <w:rFonts w:asciiTheme="minorHAnsi" w:hAnsiTheme="minorHAnsi" w:eastAsiaTheme="minorEastAsia" w:cstheme="minorBidi"/>
          <w:szCs w:val="22"/>
        </w:rPr>
      </w:pPr>
      <w:r>
        <w:fldChar w:fldCharType="begin"/>
      </w:r>
      <w:r>
        <w:instrText xml:space="preserve"> HYPERLINK \l "_Toc104243931" </w:instrText>
      </w:r>
      <w:r>
        <w:fldChar w:fldCharType="separate"/>
      </w:r>
      <w:r>
        <w:rPr>
          <w:rStyle w:val="48"/>
          <w:rFonts w:hint="eastAsia" w:ascii="宋体" w:hAnsi="宋体"/>
          <w:b/>
          <w:color w:val="auto"/>
        </w:rPr>
        <w:t>六、供应商基本情况表</w:t>
      </w:r>
      <w:r>
        <w:tab/>
      </w:r>
      <w:r>
        <w:fldChar w:fldCharType="begin"/>
      </w:r>
      <w:r>
        <w:instrText xml:space="preserve"> PAGEREF _Toc104243931 \h </w:instrText>
      </w:r>
      <w:r>
        <w:fldChar w:fldCharType="separate"/>
      </w:r>
      <w:r>
        <w:t>48</w:t>
      </w:r>
      <w:r>
        <w:fldChar w:fldCharType="end"/>
      </w:r>
      <w:r>
        <w:fldChar w:fldCharType="end"/>
      </w:r>
    </w:p>
    <w:p>
      <w:pPr>
        <w:pStyle w:val="30"/>
        <w:tabs>
          <w:tab w:val="right" w:leader="dot" w:pos="9344"/>
        </w:tabs>
        <w:rPr>
          <w:rFonts w:asciiTheme="minorHAnsi" w:hAnsiTheme="minorHAnsi" w:eastAsiaTheme="minorEastAsia" w:cstheme="minorBidi"/>
          <w:szCs w:val="22"/>
        </w:rPr>
      </w:pPr>
      <w:r>
        <w:fldChar w:fldCharType="begin"/>
      </w:r>
      <w:r>
        <w:instrText xml:space="preserve"> HYPERLINK \l "_Toc104243932" </w:instrText>
      </w:r>
      <w:r>
        <w:fldChar w:fldCharType="separate"/>
      </w:r>
      <w:r>
        <w:rPr>
          <w:rStyle w:val="48"/>
          <w:rFonts w:hint="eastAsia" w:ascii="宋体" w:hAnsi="宋体"/>
          <w:b/>
          <w:color w:val="auto"/>
        </w:rPr>
        <w:t>七、</w:t>
      </w:r>
      <w:r>
        <w:rPr>
          <w:rStyle w:val="48"/>
          <w:rFonts w:hint="eastAsia" w:ascii="宋体" w:hAnsi="宋体"/>
          <w:b/>
          <w:bCs/>
          <w:color w:val="auto"/>
        </w:rPr>
        <w:t>供应商近三年类似项目业绩表</w:t>
      </w:r>
      <w:r>
        <w:tab/>
      </w:r>
      <w:r>
        <w:fldChar w:fldCharType="begin"/>
      </w:r>
      <w:r>
        <w:instrText xml:space="preserve"> PAGEREF _Toc104243932 \h </w:instrText>
      </w:r>
      <w:r>
        <w:fldChar w:fldCharType="separate"/>
      </w:r>
      <w:r>
        <w:t>51</w:t>
      </w:r>
      <w:r>
        <w:fldChar w:fldCharType="end"/>
      </w:r>
      <w:r>
        <w:fldChar w:fldCharType="end"/>
      </w:r>
    </w:p>
    <w:p>
      <w:pPr>
        <w:pStyle w:val="30"/>
        <w:tabs>
          <w:tab w:val="right" w:leader="dot" w:pos="9344"/>
        </w:tabs>
        <w:rPr>
          <w:rFonts w:asciiTheme="minorHAnsi" w:hAnsiTheme="minorHAnsi" w:eastAsiaTheme="minorEastAsia" w:cstheme="minorBidi"/>
          <w:szCs w:val="22"/>
        </w:rPr>
      </w:pPr>
      <w:r>
        <w:fldChar w:fldCharType="begin"/>
      </w:r>
      <w:r>
        <w:instrText xml:space="preserve"> HYPERLINK \l "_Toc104243933" </w:instrText>
      </w:r>
      <w:r>
        <w:fldChar w:fldCharType="separate"/>
      </w:r>
      <w:r>
        <w:rPr>
          <w:rStyle w:val="48"/>
          <w:rFonts w:hint="eastAsia" w:ascii="宋体" w:hAnsi="宋体"/>
          <w:b/>
          <w:color w:val="auto"/>
        </w:rPr>
        <w:t>八、</w:t>
      </w:r>
      <w:r>
        <w:rPr>
          <w:rStyle w:val="48"/>
          <w:rFonts w:hint="eastAsia" w:ascii="宋体" w:hAnsi="宋体"/>
          <w:b/>
          <w:bCs/>
          <w:color w:val="auto"/>
        </w:rPr>
        <w:t>拟派项目负责人简历表</w:t>
      </w:r>
      <w:r>
        <w:tab/>
      </w:r>
      <w:r>
        <w:fldChar w:fldCharType="begin"/>
      </w:r>
      <w:r>
        <w:instrText xml:space="preserve"> PAGEREF _Toc104243933 \h </w:instrText>
      </w:r>
      <w:r>
        <w:fldChar w:fldCharType="separate"/>
      </w:r>
      <w:r>
        <w:t>52</w:t>
      </w:r>
      <w:r>
        <w:fldChar w:fldCharType="end"/>
      </w:r>
      <w:r>
        <w:fldChar w:fldCharType="end"/>
      </w:r>
    </w:p>
    <w:p>
      <w:pPr>
        <w:pStyle w:val="30"/>
        <w:tabs>
          <w:tab w:val="right" w:leader="dot" w:pos="9344"/>
        </w:tabs>
        <w:rPr>
          <w:rFonts w:asciiTheme="minorHAnsi" w:hAnsiTheme="minorHAnsi" w:eastAsiaTheme="minorEastAsia" w:cstheme="minorBidi"/>
          <w:szCs w:val="22"/>
        </w:rPr>
      </w:pPr>
      <w:r>
        <w:fldChar w:fldCharType="begin"/>
      </w:r>
      <w:r>
        <w:instrText xml:space="preserve"> HYPERLINK \l "_Toc104243934" </w:instrText>
      </w:r>
      <w:r>
        <w:fldChar w:fldCharType="separate"/>
      </w:r>
      <w:r>
        <w:rPr>
          <w:rStyle w:val="48"/>
          <w:rFonts w:hint="eastAsia" w:ascii="宋体" w:hAnsi="宋体"/>
          <w:b/>
          <w:bCs/>
          <w:color w:val="auto"/>
        </w:rPr>
        <w:t>九、拟派本项目服务人员情况表</w:t>
      </w:r>
      <w:r>
        <w:tab/>
      </w:r>
      <w:r>
        <w:fldChar w:fldCharType="begin"/>
      </w:r>
      <w:r>
        <w:instrText xml:space="preserve"> PAGEREF _Toc104243934 \h </w:instrText>
      </w:r>
      <w:r>
        <w:fldChar w:fldCharType="separate"/>
      </w:r>
      <w:r>
        <w:t>53</w:t>
      </w:r>
      <w:r>
        <w:fldChar w:fldCharType="end"/>
      </w:r>
      <w:r>
        <w:fldChar w:fldCharType="end"/>
      </w:r>
    </w:p>
    <w:p>
      <w:pPr>
        <w:pStyle w:val="30"/>
        <w:tabs>
          <w:tab w:val="right" w:leader="dot" w:pos="9344"/>
        </w:tabs>
        <w:rPr>
          <w:rFonts w:asciiTheme="minorHAnsi" w:hAnsiTheme="minorHAnsi" w:eastAsiaTheme="minorEastAsia" w:cstheme="minorBidi"/>
          <w:szCs w:val="22"/>
        </w:rPr>
      </w:pPr>
      <w:r>
        <w:fldChar w:fldCharType="begin"/>
      </w:r>
      <w:r>
        <w:instrText xml:space="preserve"> HYPERLINK \l "_Toc104243935" </w:instrText>
      </w:r>
      <w:r>
        <w:fldChar w:fldCharType="separate"/>
      </w:r>
      <w:r>
        <w:rPr>
          <w:rStyle w:val="48"/>
          <w:rFonts w:hint="eastAsia" w:ascii="宋体" w:hAnsi="宋体"/>
          <w:b/>
          <w:color w:val="auto"/>
        </w:rPr>
        <w:t>十、</w:t>
      </w:r>
      <w:r>
        <w:rPr>
          <w:rStyle w:val="48"/>
          <w:rFonts w:hint="eastAsia" w:ascii="宋体" w:hAnsi="宋体"/>
          <w:b/>
          <w:bCs/>
          <w:color w:val="auto"/>
        </w:rPr>
        <w:t>服务方案</w:t>
      </w:r>
      <w:r>
        <w:tab/>
      </w:r>
      <w:r>
        <w:fldChar w:fldCharType="begin"/>
      </w:r>
      <w:r>
        <w:instrText xml:space="preserve"> PAGEREF _Toc104243935 \h </w:instrText>
      </w:r>
      <w:r>
        <w:fldChar w:fldCharType="separate"/>
      </w:r>
      <w:r>
        <w:t>54</w:t>
      </w:r>
      <w:r>
        <w:fldChar w:fldCharType="end"/>
      </w:r>
      <w:r>
        <w:fldChar w:fldCharType="end"/>
      </w:r>
    </w:p>
    <w:p>
      <w:pPr>
        <w:pStyle w:val="30"/>
        <w:tabs>
          <w:tab w:val="right" w:leader="dot" w:pos="9344"/>
        </w:tabs>
        <w:rPr>
          <w:rFonts w:asciiTheme="minorHAnsi" w:hAnsiTheme="minorHAnsi" w:eastAsiaTheme="minorEastAsia" w:cstheme="minorBidi"/>
          <w:szCs w:val="22"/>
        </w:rPr>
      </w:pPr>
      <w:r>
        <w:fldChar w:fldCharType="begin"/>
      </w:r>
      <w:r>
        <w:instrText xml:space="preserve"> HYPERLINK \l "_Toc104243936" </w:instrText>
      </w:r>
      <w:r>
        <w:fldChar w:fldCharType="separate"/>
      </w:r>
      <w:r>
        <w:rPr>
          <w:rStyle w:val="48"/>
          <w:rFonts w:hint="eastAsia" w:ascii="宋体" w:hAnsi="宋体"/>
          <w:b/>
          <w:color w:val="auto"/>
        </w:rPr>
        <w:t>十一、其他需要提交的资料</w:t>
      </w:r>
      <w:r>
        <w:tab/>
      </w:r>
      <w:r>
        <w:fldChar w:fldCharType="begin"/>
      </w:r>
      <w:r>
        <w:instrText xml:space="preserve"> PAGEREF _Toc104243936 \h </w:instrText>
      </w:r>
      <w:r>
        <w:fldChar w:fldCharType="separate"/>
      </w:r>
      <w:r>
        <w:t>54</w:t>
      </w:r>
      <w:r>
        <w:fldChar w:fldCharType="end"/>
      </w:r>
      <w:r>
        <w:fldChar w:fldCharType="end"/>
      </w:r>
    </w:p>
    <w:p>
      <w:pPr>
        <w:pStyle w:val="24"/>
        <w:tabs>
          <w:tab w:val="right" w:leader="dot" w:pos="9344"/>
        </w:tabs>
        <w:rPr>
          <w:rFonts w:asciiTheme="minorHAnsi" w:hAnsiTheme="minorHAnsi" w:eastAsiaTheme="minorEastAsia" w:cstheme="minorBidi"/>
          <w:szCs w:val="22"/>
        </w:rPr>
      </w:pPr>
      <w:r>
        <w:fldChar w:fldCharType="begin"/>
      </w:r>
      <w:r>
        <w:instrText xml:space="preserve"> HYPERLINK \l "_Toc104243937" </w:instrText>
      </w:r>
      <w:r>
        <w:fldChar w:fldCharType="separate"/>
      </w:r>
      <w:r>
        <w:rPr>
          <w:rStyle w:val="48"/>
          <w:rFonts w:hint="eastAsia" w:ascii="宋体" w:hAnsi="宋体" w:cs="宋体"/>
          <w:b/>
          <w:color w:val="auto"/>
        </w:rPr>
        <w:t>第六章</w:t>
      </w:r>
      <w:r>
        <w:rPr>
          <w:rStyle w:val="48"/>
          <w:rFonts w:ascii="宋体" w:hAnsi="宋体" w:cs="宋体"/>
          <w:b/>
          <w:color w:val="auto"/>
        </w:rPr>
        <w:t xml:space="preserve"> </w:t>
      </w:r>
      <w:r>
        <w:rPr>
          <w:rStyle w:val="48"/>
          <w:rFonts w:hint="eastAsia" w:ascii="宋体" w:hAnsi="宋体" w:cs="宋体"/>
          <w:b/>
          <w:color w:val="auto"/>
        </w:rPr>
        <w:t>补充条款</w:t>
      </w:r>
      <w:r>
        <w:tab/>
      </w:r>
      <w:r>
        <w:fldChar w:fldCharType="begin"/>
      </w:r>
      <w:r>
        <w:instrText xml:space="preserve"> PAGEREF _Toc104243937 \h </w:instrText>
      </w:r>
      <w:r>
        <w:fldChar w:fldCharType="separate"/>
      </w:r>
      <w:r>
        <w:t>55</w:t>
      </w:r>
      <w:r>
        <w:fldChar w:fldCharType="end"/>
      </w:r>
      <w:r>
        <w:fldChar w:fldCharType="end"/>
      </w:r>
    </w:p>
    <w:p>
      <w:pPr>
        <w:rPr>
          <w:rFonts w:ascii="宋体" w:hAnsi="Calibri" w:eastAsia="宋体" w:cs="宋体"/>
          <w:b/>
          <w:bCs/>
        </w:rPr>
        <w:sectPr>
          <w:headerReference r:id="rId3" w:type="default"/>
          <w:footerReference r:id="rId4" w:type="default"/>
          <w:footerReference r:id="rId5" w:type="even"/>
          <w:pgSz w:w="11906" w:h="16838"/>
          <w:pgMar w:top="1361" w:right="1134" w:bottom="1361" w:left="1418" w:header="851" w:footer="992" w:gutter="0"/>
          <w:pgNumType w:start="1"/>
          <w:cols w:space="720" w:num="1"/>
          <w:docGrid w:type="lines" w:linePitch="312" w:charSpace="0"/>
        </w:sectPr>
      </w:pPr>
      <w:r>
        <w:rPr>
          <w:rFonts w:ascii="宋体" w:hAnsi="宋体" w:eastAsia="宋体" w:cs="宋体"/>
          <w:b/>
          <w:bCs/>
          <w:sz w:val="24"/>
        </w:rPr>
        <w:fldChar w:fldCharType="end"/>
      </w:r>
    </w:p>
    <w:p>
      <w:pPr>
        <w:spacing w:line="440" w:lineRule="exact"/>
        <w:jc w:val="center"/>
        <w:outlineLvl w:val="0"/>
        <w:rPr>
          <w:rFonts w:ascii="宋体" w:hAnsi="宋体" w:eastAsia="宋体" w:cs="宋体"/>
          <w:b/>
          <w:sz w:val="24"/>
          <w:szCs w:val="24"/>
        </w:rPr>
      </w:pPr>
      <w:bookmarkStart w:id="0" w:name="_Toc104243907"/>
      <w:r>
        <w:rPr>
          <w:rFonts w:hint="eastAsia" w:ascii="宋体" w:hAnsi="宋体" w:eastAsia="宋体" w:cs="宋体"/>
          <w:b/>
          <w:sz w:val="24"/>
          <w:szCs w:val="24"/>
        </w:rPr>
        <w:t>供应商须知前附表</w:t>
      </w:r>
      <w:bookmarkEnd w:id="0"/>
    </w:p>
    <w:tbl>
      <w:tblPr>
        <w:tblStyle w:val="39"/>
        <w:tblW w:w="909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57" w:type="dxa"/>
          <w:left w:w="57" w:type="dxa"/>
          <w:bottom w:w="57" w:type="dxa"/>
          <w:right w:w="57" w:type="dxa"/>
        </w:tblCellMar>
      </w:tblPr>
      <w:tblGrid>
        <w:gridCol w:w="597"/>
        <w:gridCol w:w="1676"/>
        <w:gridCol w:w="682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87" w:hRule="atLeast"/>
          <w:jc w:val="center"/>
        </w:trPr>
        <w:tc>
          <w:tcPr>
            <w:tcW w:w="597" w:type="dxa"/>
            <w:vAlign w:val="center"/>
          </w:tcPr>
          <w:p>
            <w:pPr>
              <w:jc w:val="center"/>
              <w:rPr>
                <w:rFonts w:asciiTheme="minorEastAsia" w:hAnsiTheme="minorEastAsia"/>
                <w:b/>
                <w:sz w:val="24"/>
                <w:szCs w:val="24"/>
              </w:rPr>
            </w:pPr>
            <w:r>
              <w:rPr>
                <w:rFonts w:hint="eastAsia" w:asciiTheme="minorEastAsia" w:hAnsiTheme="minorEastAsia"/>
                <w:b/>
                <w:sz w:val="24"/>
                <w:szCs w:val="24"/>
              </w:rPr>
              <w:t>项号</w:t>
            </w:r>
          </w:p>
        </w:tc>
        <w:tc>
          <w:tcPr>
            <w:tcW w:w="8499" w:type="dxa"/>
            <w:gridSpan w:val="2"/>
            <w:vAlign w:val="center"/>
          </w:tcPr>
          <w:p>
            <w:pPr>
              <w:jc w:val="center"/>
              <w:rPr>
                <w:rFonts w:asciiTheme="minorEastAsia" w:hAnsiTheme="minorEastAsia"/>
                <w:b/>
                <w:sz w:val="24"/>
                <w:szCs w:val="24"/>
              </w:rPr>
            </w:pPr>
            <w:r>
              <w:rPr>
                <w:rFonts w:hint="eastAsia" w:asciiTheme="minorEastAsia" w:hAnsiTheme="minorEastAsia"/>
                <w:b/>
                <w:sz w:val="24"/>
                <w:szCs w:val="24"/>
              </w:rPr>
              <w:t>编列内容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Merge w:val="restart"/>
            <w:vAlign w:val="center"/>
          </w:tcPr>
          <w:p>
            <w:pPr>
              <w:jc w:val="center"/>
              <w:rPr>
                <w:rFonts w:asciiTheme="minorEastAsia" w:hAnsiTheme="minorEastAsia"/>
                <w:sz w:val="24"/>
                <w:szCs w:val="24"/>
              </w:rPr>
            </w:pPr>
            <w:r>
              <w:rPr>
                <w:rFonts w:asciiTheme="minorEastAsia" w:hAnsiTheme="minorEastAsia"/>
                <w:sz w:val="24"/>
                <w:szCs w:val="24"/>
              </w:rPr>
              <w:t>1</w:t>
            </w:r>
          </w:p>
        </w:tc>
        <w:tc>
          <w:tcPr>
            <w:tcW w:w="1676" w:type="dxa"/>
            <w:vAlign w:val="center"/>
          </w:tcPr>
          <w:p>
            <w:pPr>
              <w:jc w:val="distribute"/>
              <w:rPr>
                <w:rFonts w:asciiTheme="minorEastAsia" w:hAnsiTheme="minorEastAsia"/>
                <w:sz w:val="24"/>
                <w:szCs w:val="24"/>
              </w:rPr>
            </w:pPr>
            <w:r>
              <w:rPr>
                <w:rFonts w:hint="eastAsia" w:asciiTheme="minorEastAsia" w:hAnsiTheme="minorEastAsia"/>
                <w:sz w:val="24"/>
                <w:szCs w:val="24"/>
              </w:rPr>
              <w:t>项目名称</w:t>
            </w:r>
          </w:p>
        </w:tc>
        <w:tc>
          <w:tcPr>
            <w:tcW w:w="6823" w:type="dxa"/>
            <w:vAlign w:val="center"/>
          </w:tcPr>
          <w:p>
            <w:pPr>
              <w:jc w:val="left"/>
              <w:rPr>
                <w:rFonts w:asciiTheme="minorEastAsia" w:hAnsiTheme="minorEastAsia"/>
                <w:sz w:val="24"/>
                <w:szCs w:val="24"/>
              </w:rPr>
            </w:pPr>
            <w:r>
              <w:rPr>
                <w:rFonts w:asciiTheme="minorEastAsia" w:hAnsiTheme="minorEastAsia"/>
                <w:sz w:val="24"/>
                <w:szCs w:val="24"/>
              </w:rPr>
              <w:t>新疆维吾尔自治区应急管理厅应急指挥专网信息安全性加固服务项目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Merge w:val="continue"/>
            <w:vAlign w:val="center"/>
          </w:tcPr>
          <w:p>
            <w:pPr>
              <w:jc w:val="center"/>
              <w:rPr>
                <w:rFonts w:asciiTheme="minorEastAsia" w:hAnsiTheme="minorEastAsia"/>
                <w:sz w:val="24"/>
                <w:szCs w:val="24"/>
              </w:rPr>
            </w:pPr>
          </w:p>
        </w:tc>
        <w:tc>
          <w:tcPr>
            <w:tcW w:w="1676" w:type="dxa"/>
            <w:vAlign w:val="center"/>
          </w:tcPr>
          <w:p>
            <w:pPr>
              <w:jc w:val="distribute"/>
              <w:rPr>
                <w:rFonts w:asciiTheme="minorEastAsia" w:hAnsiTheme="minorEastAsia"/>
                <w:sz w:val="24"/>
                <w:szCs w:val="24"/>
              </w:rPr>
            </w:pPr>
            <w:r>
              <w:rPr>
                <w:rFonts w:hint="eastAsia" w:asciiTheme="minorEastAsia" w:hAnsiTheme="minorEastAsia"/>
                <w:sz w:val="24"/>
                <w:szCs w:val="24"/>
              </w:rPr>
              <w:t>项目编号</w:t>
            </w:r>
          </w:p>
        </w:tc>
        <w:tc>
          <w:tcPr>
            <w:tcW w:w="6823" w:type="dxa"/>
            <w:vAlign w:val="center"/>
          </w:tcPr>
          <w:p>
            <w:pPr>
              <w:jc w:val="left"/>
              <w:rPr>
                <w:rFonts w:asciiTheme="minorEastAsia" w:hAnsiTheme="minorEastAsia"/>
                <w:sz w:val="24"/>
                <w:szCs w:val="24"/>
              </w:rPr>
            </w:pPr>
            <w:r>
              <w:rPr>
                <w:rFonts w:hint="eastAsia" w:asciiTheme="minorEastAsia" w:hAnsiTheme="minorEastAsia"/>
                <w:sz w:val="24"/>
                <w:szCs w:val="24"/>
              </w:rPr>
              <w:t>XZJ226131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Merge w:val="continue"/>
            <w:vAlign w:val="center"/>
          </w:tcPr>
          <w:p>
            <w:pPr>
              <w:jc w:val="center"/>
              <w:rPr>
                <w:rFonts w:asciiTheme="minorEastAsia" w:hAnsiTheme="minorEastAsia"/>
                <w:sz w:val="24"/>
                <w:szCs w:val="24"/>
              </w:rPr>
            </w:pPr>
          </w:p>
        </w:tc>
        <w:tc>
          <w:tcPr>
            <w:tcW w:w="1676" w:type="dxa"/>
            <w:vAlign w:val="center"/>
          </w:tcPr>
          <w:p>
            <w:pPr>
              <w:jc w:val="distribute"/>
              <w:rPr>
                <w:rFonts w:asciiTheme="minorEastAsia" w:hAnsiTheme="minorEastAsia"/>
                <w:sz w:val="24"/>
                <w:szCs w:val="24"/>
              </w:rPr>
            </w:pPr>
            <w:r>
              <w:rPr>
                <w:rFonts w:hint="eastAsia" w:asciiTheme="minorEastAsia" w:hAnsiTheme="minorEastAsia"/>
                <w:sz w:val="24"/>
                <w:szCs w:val="24"/>
              </w:rPr>
              <w:t>采购人</w:t>
            </w:r>
          </w:p>
        </w:tc>
        <w:tc>
          <w:tcPr>
            <w:tcW w:w="6823" w:type="dxa"/>
            <w:vAlign w:val="center"/>
          </w:tcPr>
          <w:p>
            <w:pPr>
              <w:jc w:val="left"/>
              <w:rPr>
                <w:rFonts w:asciiTheme="minorEastAsia" w:hAnsiTheme="minorEastAsia"/>
                <w:sz w:val="24"/>
                <w:szCs w:val="24"/>
              </w:rPr>
            </w:pPr>
            <w:r>
              <w:rPr>
                <w:rFonts w:hint="eastAsia" w:asciiTheme="minorEastAsia" w:hAnsiTheme="minorEastAsia"/>
                <w:sz w:val="24"/>
                <w:szCs w:val="24"/>
              </w:rPr>
              <w:t>新疆维吾尔自治区应急管理厅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Merge w:val="continue"/>
            <w:vAlign w:val="center"/>
          </w:tcPr>
          <w:p>
            <w:pPr>
              <w:jc w:val="center"/>
              <w:rPr>
                <w:rFonts w:asciiTheme="minorEastAsia" w:hAnsiTheme="minorEastAsia"/>
                <w:sz w:val="24"/>
                <w:szCs w:val="24"/>
              </w:rPr>
            </w:pPr>
          </w:p>
        </w:tc>
        <w:tc>
          <w:tcPr>
            <w:tcW w:w="1676" w:type="dxa"/>
            <w:vAlign w:val="center"/>
          </w:tcPr>
          <w:p>
            <w:pPr>
              <w:jc w:val="distribute"/>
              <w:rPr>
                <w:rFonts w:asciiTheme="minorEastAsia" w:hAnsiTheme="minorEastAsia"/>
                <w:sz w:val="24"/>
                <w:szCs w:val="24"/>
              </w:rPr>
            </w:pPr>
            <w:r>
              <w:rPr>
                <w:rFonts w:hint="eastAsia" w:asciiTheme="minorEastAsia" w:hAnsiTheme="minorEastAsia"/>
                <w:sz w:val="24"/>
                <w:szCs w:val="24"/>
              </w:rPr>
              <w:t>采购</w:t>
            </w:r>
          </w:p>
          <w:p>
            <w:pPr>
              <w:jc w:val="distribute"/>
              <w:rPr>
                <w:rFonts w:asciiTheme="minorEastAsia" w:hAnsiTheme="minorEastAsia"/>
                <w:sz w:val="24"/>
                <w:szCs w:val="24"/>
              </w:rPr>
            </w:pPr>
            <w:r>
              <w:rPr>
                <w:rFonts w:hint="eastAsia" w:asciiTheme="minorEastAsia" w:hAnsiTheme="minorEastAsia"/>
                <w:sz w:val="24"/>
                <w:szCs w:val="24"/>
              </w:rPr>
              <w:t>代理机构</w:t>
            </w:r>
          </w:p>
        </w:tc>
        <w:tc>
          <w:tcPr>
            <w:tcW w:w="6823" w:type="dxa"/>
            <w:vAlign w:val="center"/>
          </w:tcPr>
          <w:p>
            <w:pPr>
              <w:jc w:val="left"/>
              <w:rPr>
                <w:rFonts w:asciiTheme="minorEastAsia" w:hAnsiTheme="minorEastAsia"/>
                <w:sz w:val="24"/>
                <w:szCs w:val="24"/>
              </w:rPr>
            </w:pPr>
            <w:r>
              <w:rPr>
                <w:rFonts w:hint="eastAsia" w:asciiTheme="minorEastAsia" w:hAnsiTheme="minorEastAsia"/>
                <w:sz w:val="24"/>
                <w:szCs w:val="24"/>
                <w:lang w:val="zh-CN"/>
              </w:rPr>
              <w:t>新疆新之建工程咨询有限公司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Merge w:val="continue"/>
            <w:vAlign w:val="center"/>
          </w:tcPr>
          <w:p>
            <w:pPr>
              <w:jc w:val="center"/>
              <w:rPr>
                <w:rFonts w:asciiTheme="minorEastAsia" w:hAnsiTheme="minorEastAsia"/>
                <w:sz w:val="24"/>
                <w:szCs w:val="24"/>
              </w:rPr>
            </w:pPr>
          </w:p>
        </w:tc>
        <w:tc>
          <w:tcPr>
            <w:tcW w:w="1676" w:type="dxa"/>
            <w:vAlign w:val="center"/>
          </w:tcPr>
          <w:p>
            <w:pPr>
              <w:jc w:val="distribute"/>
              <w:rPr>
                <w:rFonts w:asciiTheme="minorEastAsia" w:hAnsiTheme="minorEastAsia"/>
                <w:sz w:val="24"/>
                <w:szCs w:val="24"/>
              </w:rPr>
            </w:pPr>
            <w:r>
              <w:rPr>
                <w:rFonts w:hint="eastAsia" w:asciiTheme="minorEastAsia" w:hAnsiTheme="minorEastAsia"/>
                <w:sz w:val="24"/>
                <w:szCs w:val="24"/>
              </w:rPr>
              <w:t>项目地点</w:t>
            </w:r>
          </w:p>
        </w:tc>
        <w:tc>
          <w:tcPr>
            <w:tcW w:w="6823" w:type="dxa"/>
            <w:vAlign w:val="center"/>
          </w:tcPr>
          <w:p>
            <w:pPr>
              <w:jc w:val="left"/>
              <w:rPr>
                <w:rFonts w:asciiTheme="minorEastAsia" w:hAnsiTheme="minorEastAsia"/>
                <w:sz w:val="24"/>
                <w:szCs w:val="24"/>
              </w:rPr>
            </w:pPr>
            <w:r>
              <w:rPr>
                <w:rFonts w:hint="eastAsia" w:asciiTheme="minorEastAsia" w:hAnsiTheme="minorEastAsia"/>
                <w:sz w:val="24"/>
                <w:szCs w:val="24"/>
              </w:rPr>
              <w:t>采购人指定地点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Merge w:val="continue"/>
            <w:vAlign w:val="center"/>
          </w:tcPr>
          <w:p>
            <w:pPr>
              <w:jc w:val="center"/>
              <w:rPr>
                <w:rFonts w:asciiTheme="minorEastAsia" w:hAnsiTheme="minorEastAsia"/>
                <w:sz w:val="24"/>
                <w:szCs w:val="24"/>
              </w:rPr>
            </w:pPr>
          </w:p>
        </w:tc>
        <w:tc>
          <w:tcPr>
            <w:tcW w:w="1676" w:type="dxa"/>
            <w:vAlign w:val="center"/>
          </w:tcPr>
          <w:p>
            <w:pPr>
              <w:jc w:val="distribute"/>
              <w:rPr>
                <w:rFonts w:asciiTheme="minorEastAsia" w:hAnsiTheme="minorEastAsia"/>
                <w:sz w:val="24"/>
                <w:szCs w:val="24"/>
              </w:rPr>
            </w:pPr>
            <w:r>
              <w:rPr>
                <w:rFonts w:hint="eastAsia" w:asciiTheme="minorEastAsia" w:hAnsiTheme="minorEastAsia"/>
                <w:sz w:val="24"/>
                <w:szCs w:val="24"/>
              </w:rPr>
              <w:t>资金来源</w:t>
            </w:r>
          </w:p>
        </w:tc>
        <w:tc>
          <w:tcPr>
            <w:tcW w:w="6823" w:type="dxa"/>
            <w:vAlign w:val="center"/>
          </w:tcPr>
          <w:p>
            <w:pPr>
              <w:jc w:val="left"/>
              <w:rPr>
                <w:rFonts w:asciiTheme="minorEastAsia" w:hAnsiTheme="minorEastAsia"/>
                <w:sz w:val="24"/>
                <w:szCs w:val="24"/>
              </w:rPr>
            </w:pPr>
            <w:r>
              <w:rPr>
                <w:rFonts w:hint="eastAsia" w:asciiTheme="minorEastAsia" w:hAnsiTheme="minorEastAsia"/>
                <w:sz w:val="24"/>
                <w:szCs w:val="24"/>
              </w:rPr>
              <w:t>财政资金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Merge w:val="continue"/>
            <w:vAlign w:val="center"/>
          </w:tcPr>
          <w:p>
            <w:pPr>
              <w:jc w:val="center"/>
              <w:rPr>
                <w:rFonts w:asciiTheme="minorEastAsia" w:hAnsiTheme="minorEastAsia"/>
                <w:sz w:val="24"/>
                <w:szCs w:val="24"/>
              </w:rPr>
            </w:pPr>
          </w:p>
        </w:tc>
        <w:tc>
          <w:tcPr>
            <w:tcW w:w="1676" w:type="dxa"/>
            <w:vAlign w:val="center"/>
          </w:tcPr>
          <w:p>
            <w:pPr>
              <w:jc w:val="distribute"/>
              <w:rPr>
                <w:rFonts w:asciiTheme="minorEastAsia" w:hAnsiTheme="minorEastAsia"/>
                <w:sz w:val="24"/>
                <w:szCs w:val="24"/>
              </w:rPr>
            </w:pPr>
            <w:r>
              <w:rPr>
                <w:rFonts w:hint="eastAsia" w:asciiTheme="minorEastAsia" w:hAnsiTheme="minorEastAsia"/>
                <w:sz w:val="24"/>
                <w:szCs w:val="24"/>
              </w:rPr>
              <w:t>采购预算金额</w:t>
            </w:r>
          </w:p>
        </w:tc>
        <w:tc>
          <w:tcPr>
            <w:tcW w:w="6823" w:type="dxa"/>
            <w:vAlign w:val="center"/>
          </w:tcPr>
          <w:p>
            <w:pPr>
              <w:jc w:val="left"/>
              <w:rPr>
                <w:rFonts w:asciiTheme="minorEastAsia" w:hAnsiTheme="minorEastAsia"/>
                <w:sz w:val="24"/>
                <w:szCs w:val="24"/>
              </w:rPr>
            </w:pPr>
            <w:r>
              <w:rPr>
                <w:rFonts w:hint="eastAsia" w:asciiTheme="minorEastAsia" w:hAnsiTheme="minorEastAsia"/>
                <w:sz w:val="24"/>
                <w:szCs w:val="24"/>
              </w:rPr>
              <w:t>195万元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Merge w:val="continue"/>
            <w:vAlign w:val="center"/>
          </w:tcPr>
          <w:p>
            <w:pPr>
              <w:jc w:val="center"/>
              <w:rPr>
                <w:rFonts w:asciiTheme="minorEastAsia" w:hAnsiTheme="minorEastAsia"/>
                <w:sz w:val="24"/>
                <w:szCs w:val="24"/>
              </w:rPr>
            </w:pPr>
          </w:p>
        </w:tc>
        <w:tc>
          <w:tcPr>
            <w:tcW w:w="1676" w:type="dxa"/>
            <w:vAlign w:val="center"/>
          </w:tcPr>
          <w:p>
            <w:pPr>
              <w:jc w:val="distribute"/>
              <w:rPr>
                <w:rFonts w:asciiTheme="minorEastAsia" w:hAnsiTheme="minorEastAsia"/>
                <w:sz w:val="24"/>
                <w:szCs w:val="24"/>
              </w:rPr>
            </w:pPr>
            <w:r>
              <w:rPr>
                <w:rFonts w:hint="eastAsia" w:asciiTheme="minorEastAsia" w:hAnsiTheme="minorEastAsia"/>
                <w:sz w:val="24"/>
                <w:szCs w:val="24"/>
              </w:rPr>
              <w:t>服务周期</w:t>
            </w:r>
          </w:p>
        </w:tc>
        <w:tc>
          <w:tcPr>
            <w:tcW w:w="6823" w:type="dxa"/>
            <w:vAlign w:val="center"/>
          </w:tcPr>
          <w:p>
            <w:pPr>
              <w:jc w:val="left"/>
              <w:rPr>
                <w:rFonts w:hint="eastAsia" w:asciiTheme="minorEastAsia" w:hAnsiTheme="minorEastAsia" w:eastAsiaTheme="minorEastAsia"/>
                <w:sz w:val="24"/>
                <w:szCs w:val="24"/>
                <w:lang w:eastAsia="zh-CN"/>
              </w:rPr>
            </w:pPr>
            <w:r>
              <w:rPr>
                <w:rFonts w:hint="eastAsia" w:cs="Arial" w:asciiTheme="minorEastAsia" w:hAnsiTheme="minorEastAsia"/>
                <w:kern w:val="0"/>
                <w:sz w:val="24"/>
                <w:szCs w:val="24"/>
                <w:lang w:eastAsia="zh-CN"/>
              </w:rPr>
              <w:t>具体以竞争性磋商文件中采购人服务标准和要求为准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Merge w:val="continue"/>
            <w:vAlign w:val="center"/>
          </w:tcPr>
          <w:p>
            <w:pPr>
              <w:jc w:val="center"/>
              <w:rPr>
                <w:rFonts w:asciiTheme="minorEastAsia" w:hAnsiTheme="minorEastAsia"/>
                <w:sz w:val="24"/>
                <w:szCs w:val="24"/>
              </w:rPr>
            </w:pPr>
          </w:p>
        </w:tc>
        <w:tc>
          <w:tcPr>
            <w:tcW w:w="1676" w:type="dxa"/>
            <w:vAlign w:val="center"/>
          </w:tcPr>
          <w:p>
            <w:pPr>
              <w:jc w:val="distribute"/>
              <w:rPr>
                <w:rFonts w:asciiTheme="minorEastAsia" w:hAnsiTheme="minorEastAsia"/>
                <w:sz w:val="24"/>
                <w:szCs w:val="24"/>
              </w:rPr>
            </w:pPr>
            <w:r>
              <w:rPr>
                <w:rFonts w:hint="eastAsia" w:asciiTheme="minorEastAsia" w:hAnsiTheme="minorEastAsia"/>
                <w:sz w:val="24"/>
                <w:szCs w:val="24"/>
              </w:rPr>
              <w:t>服务地点</w:t>
            </w:r>
          </w:p>
        </w:tc>
        <w:tc>
          <w:tcPr>
            <w:tcW w:w="6823" w:type="dxa"/>
            <w:vAlign w:val="center"/>
          </w:tcPr>
          <w:p>
            <w:pPr>
              <w:jc w:val="left"/>
              <w:rPr>
                <w:rFonts w:asciiTheme="minorEastAsia" w:hAnsiTheme="minorEastAsia"/>
                <w:sz w:val="24"/>
                <w:szCs w:val="24"/>
              </w:rPr>
            </w:pPr>
            <w:r>
              <w:rPr>
                <w:rFonts w:hint="eastAsia" w:asciiTheme="minorEastAsia" w:hAnsiTheme="minorEastAsia"/>
                <w:sz w:val="24"/>
                <w:szCs w:val="24"/>
              </w:rPr>
              <w:t>采购人指定地点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Align w:val="center"/>
          </w:tcPr>
          <w:p>
            <w:pPr>
              <w:jc w:val="center"/>
              <w:rPr>
                <w:rFonts w:asciiTheme="minorEastAsia" w:hAnsiTheme="minorEastAsia"/>
                <w:sz w:val="24"/>
                <w:szCs w:val="24"/>
              </w:rPr>
            </w:pPr>
            <w:r>
              <w:rPr>
                <w:rFonts w:hint="eastAsia" w:asciiTheme="minorEastAsia" w:hAnsiTheme="minorEastAsia"/>
                <w:sz w:val="24"/>
                <w:szCs w:val="24"/>
              </w:rPr>
              <w:t>2</w:t>
            </w:r>
          </w:p>
        </w:tc>
        <w:tc>
          <w:tcPr>
            <w:tcW w:w="1676" w:type="dxa"/>
            <w:vAlign w:val="center"/>
          </w:tcPr>
          <w:p>
            <w:pPr>
              <w:jc w:val="distribute"/>
              <w:rPr>
                <w:rFonts w:asciiTheme="minorEastAsia" w:hAnsiTheme="minorEastAsia"/>
                <w:sz w:val="24"/>
                <w:szCs w:val="24"/>
              </w:rPr>
            </w:pPr>
            <w:r>
              <w:rPr>
                <w:rFonts w:hint="eastAsia" w:asciiTheme="minorEastAsia" w:hAnsiTheme="minorEastAsia"/>
                <w:sz w:val="24"/>
                <w:szCs w:val="24"/>
              </w:rPr>
              <w:t>采购范围</w:t>
            </w:r>
          </w:p>
        </w:tc>
        <w:tc>
          <w:tcPr>
            <w:tcW w:w="6823" w:type="dxa"/>
            <w:vAlign w:val="center"/>
          </w:tcPr>
          <w:p>
            <w:pPr>
              <w:jc w:val="left"/>
              <w:rPr>
                <w:rFonts w:asciiTheme="minorEastAsia" w:hAnsiTheme="minorEastAsia"/>
                <w:sz w:val="24"/>
                <w:szCs w:val="24"/>
              </w:rPr>
            </w:pPr>
            <w:r>
              <w:rPr>
                <w:rFonts w:asciiTheme="minorEastAsia" w:hAnsiTheme="minorEastAsia"/>
                <w:sz w:val="24"/>
                <w:szCs w:val="24"/>
              </w:rPr>
              <w:t>新疆维吾尔自治区</w:t>
            </w:r>
            <w:r>
              <w:rPr>
                <w:rFonts w:hint="eastAsia" w:asciiTheme="minorEastAsia" w:hAnsiTheme="minorEastAsia"/>
                <w:sz w:val="24"/>
                <w:szCs w:val="24"/>
              </w:rPr>
              <w:t>自治区应急管理厅应急指挥专网网络安全加固服务项目范围内的所有工作内容，关于采购范围的详细说明见</w:t>
            </w:r>
            <w:r>
              <w:rPr>
                <w:rFonts w:hint="eastAsia" w:asciiTheme="minorEastAsia" w:hAnsiTheme="minorEastAsia"/>
                <w:sz w:val="24"/>
                <w:szCs w:val="24"/>
                <w:lang w:eastAsia="zh-CN"/>
              </w:rPr>
              <w:t>竞争性磋商文件</w:t>
            </w:r>
            <w:r>
              <w:rPr>
                <w:rFonts w:hint="eastAsia" w:asciiTheme="minorEastAsia" w:hAnsiTheme="minorEastAsia"/>
                <w:sz w:val="24"/>
                <w:szCs w:val="24"/>
              </w:rPr>
              <w:t>第四章“服务标准和要求”。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Merge w:val="restart"/>
            <w:vAlign w:val="center"/>
          </w:tcPr>
          <w:p>
            <w:pPr>
              <w:jc w:val="center"/>
              <w:rPr>
                <w:rFonts w:asciiTheme="minorEastAsia" w:hAnsiTheme="minorEastAsia"/>
                <w:sz w:val="24"/>
                <w:szCs w:val="24"/>
              </w:rPr>
            </w:pPr>
            <w:r>
              <w:rPr>
                <w:rFonts w:hint="eastAsia" w:asciiTheme="minorEastAsia" w:hAnsiTheme="minorEastAsia"/>
                <w:sz w:val="24"/>
                <w:szCs w:val="24"/>
              </w:rPr>
              <w:t>3</w:t>
            </w:r>
          </w:p>
        </w:tc>
        <w:tc>
          <w:tcPr>
            <w:tcW w:w="1676" w:type="dxa"/>
            <w:vAlign w:val="center"/>
          </w:tcPr>
          <w:p>
            <w:pPr>
              <w:jc w:val="distribute"/>
              <w:rPr>
                <w:rFonts w:asciiTheme="minorEastAsia" w:hAnsiTheme="minorEastAsia"/>
                <w:sz w:val="24"/>
                <w:szCs w:val="24"/>
              </w:rPr>
            </w:pPr>
            <w:r>
              <w:rPr>
                <w:rFonts w:hint="eastAsia" w:asciiTheme="minorEastAsia" w:hAnsiTheme="minorEastAsia"/>
                <w:sz w:val="24"/>
                <w:szCs w:val="24"/>
              </w:rPr>
              <w:t>采购方式</w:t>
            </w:r>
          </w:p>
        </w:tc>
        <w:tc>
          <w:tcPr>
            <w:tcW w:w="6823" w:type="dxa"/>
            <w:vAlign w:val="center"/>
          </w:tcPr>
          <w:p>
            <w:pPr>
              <w:jc w:val="left"/>
              <w:rPr>
                <w:rFonts w:asciiTheme="minorEastAsia" w:hAnsiTheme="minorEastAsia"/>
                <w:sz w:val="24"/>
                <w:szCs w:val="24"/>
              </w:rPr>
            </w:pPr>
            <w:r>
              <w:rPr>
                <w:rFonts w:hint="eastAsia" w:ascii="宋体" w:hAnsi="宋体" w:cs="宋体"/>
                <w:sz w:val="24"/>
                <w:szCs w:val="24"/>
              </w:rPr>
              <w:t>竞争性磋商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Merge w:val="continue"/>
            <w:vAlign w:val="center"/>
          </w:tcPr>
          <w:p>
            <w:pPr>
              <w:jc w:val="center"/>
              <w:rPr>
                <w:rFonts w:asciiTheme="minorEastAsia" w:hAnsiTheme="minorEastAsia"/>
                <w:sz w:val="24"/>
                <w:szCs w:val="24"/>
              </w:rPr>
            </w:pPr>
          </w:p>
        </w:tc>
        <w:tc>
          <w:tcPr>
            <w:tcW w:w="1676" w:type="dxa"/>
            <w:vAlign w:val="center"/>
          </w:tcPr>
          <w:p>
            <w:pPr>
              <w:jc w:val="distribute"/>
              <w:rPr>
                <w:rFonts w:asciiTheme="minorEastAsia" w:hAnsiTheme="minorEastAsia"/>
                <w:sz w:val="24"/>
                <w:szCs w:val="24"/>
              </w:rPr>
            </w:pPr>
            <w:r>
              <w:rPr>
                <w:rFonts w:hint="eastAsia" w:asciiTheme="minorEastAsia" w:hAnsiTheme="minorEastAsia"/>
                <w:sz w:val="24"/>
                <w:szCs w:val="24"/>
              </w:rPr>
              <w:t>资格审查</w:t>
            </w:r>
          </w:p>
          <w:p>
            <w:pPr>
              <w:jc w:val="distribute"/>
              <w:rPr>
                <w:rFonts w:asciiTheme="minorEastAsia" w:hAnsiTheme="minorEastAsia"/>
                <w:sz w:val="24"/>
                <w:szCs w:val="24"/>
              </w:rPr>
            </w:pPr>
            <w:r>
              <w:rPr>
                <w:rFonts w:hint="eastAsia" w:asciiTheme="minorEastAsia" w:hAnsiTheme="minorEastAsia"/>
                <w:sz w:val="24"/>
                <w:szCs w:val="24"/>
              </w:rPr>
              <w:t>方式</w:t>
            </w:r>
          </w:p>
        </w:tc>
        <w:tc>
          <w:tcPr>
            <w:tcW w:w="6823" w:type="dxa"/>
            <w:vAlign w:val="center"/>
          </w:tcPr>
          <w:p>
            <w:pPr>
              <w:jc w:val="left"/>
              <w:rPr>
                <w:rFonts w:asciiTheme="minorEastAsia" w:hAnsiTheme="minorEastAsia"/>
                <w:sz w:val="24"/>
                <w:szCs w:val="24"/>
              </w:rPr>
            </w:pPr>
            <w:r>
              <w:rPr>
                <w:rFonts w:hint="eastAsia" w:asciiTheme="minorEastAsia" w:hAnsiTheme="minorEastAsia"/>
                <w:sz w:val="24"/>
                <w:szCs w:val="24"/>
              </w:rPr>
              <w:t>资格后审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Merge w:val="restart"/>
            <w:vAlign w:val="center"/>
          </w:tcPr>
          <w:p>
            <w:pPr>
              <w:jc w:val="center"/>
              <w:rPr>
                <w:rFonts w:asciiTheme="minorEastAsia" w:hAnsiTheme="minorEastAsia"/>
                <w:sz w:val="24"/>
                <w:szCs w:val="24"/>
              </w:rPr>
            </w:pPr>
            <w:r>
              <w:rPr>
                <w:rFonts w:hint="eastAsia" w:asciiTheme="minorEastAsia" w:hAnsiTheme="minorEastAsia"/>
                <w:sz w:val="24"/>
                <w:szCs w:val="24"/>
              </w:rPr>
              <w:t>4</w:t>
            </w:r>
          </w:p>
        </w:tc>
        <w:tc>
          <w:tcPr>
            <w:tcW w:w="1676" w:type="dxa"/>
            <w:vAlign w:val="center"/>
          </w:tcPr>
          <w:p>
            <w:pPr>
              <w:jc w:val="distribute"/>
              <w:rPr>
                <w:rFonts w:asciiTheme="minorEastAsia" w:hAnsiTheme="minorEastAsia"/>
                <w:sz w:val="24"/>
                <w:szCs w:val="24"/>
              </w:rPr>
            </w:pPr>
            <w:r>
              <w:rPr>
                <w:rFonts w:hint="eastAsia" w:asciiTheme="minorEastAsia" w:hAnsiTheme="minorEastAsia"/>
                <w:sz w:val="24"/>
                <w:szCs w:val="24"/>
              </w:rPr>
              <w:t>磋商办法</w:t>
            </w:r>
          </w:p>
        </w:tc>
        <w:tc>
          <w:tcPr>
            <w:tcW w:w="6823" w:type="dxa"/>
            <w:vAlign w:val="center"/>
          </w:tcPr>
          <w:p>
            <w:pPr>
              <w:jc w:val="left"/>
              <w:rPr>
                <w:rFonts w:asciiTheme="minorEastAsia" w:hAnsiTheme="minorEastAsia"/>
                <w:sz w:val="24"/>
                <w:szCs w:val="24"/>
              </w:rPr>
            </w:pPr>
            <w:r>
              <w:rPr>
                <w:rFonts w:hint="eastAsia" w:asciiTheme="minorEastAsia" w:hAnsiTheme="minorEastAsia"/>
                <w:sz w:val="24"/>
                <w:szCs w:val="24"/>
              </w:rPr>
              <w:t>综合评分法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Merge w:val="continue"/>
            <w:vAlign w:val="center"/>
          </w:tcPr>
          <w:p>
            <w:pPr>
              <w:jc w:val="center"/>
              <w:rPr>
                <w:rFonts w:asciiTheme="minorEastAsia" w:hAnsiTheme="minorEastAsia"/>
                <w:sz w:val="24"/>
                <w:szCs w:val="24"/>
              </w:rPr>
            </w:pPr>
          </w:p>
        </w:tc>
        <w:tc>
          <w:tcPr>
            <w:tcW w:w="1676" w:type="dxa"/>
            <w:vAlign w:val="center"/>
          </w:tcPr>
          <w:p>
            <w:pPr>
              <w:jc w:val="distribute"/>
              <w:rPr>
                <w:rFonts w:asciiTheme="minorEastAsia" w:hAnsiTheme="minorEastAsia"/>
                <w:sz w:val="24"/>
                <w:szCs w:val="24"/>
              </w:rPr>
            </w:pPr>
            <w:r>
              <w:rPr>
                <w:rFonts w:hint="eastAsia" w:asciiTheme="minorEastAsia" w:hAnsiTheme="minorEastAsia"/>
                <w:sz w:val="24"/>
                <w:szCs w:val="24"/>
              </w:rPr>
              <w:t>定标方法</w:t>
            </w:r>
          </w:p>
        </w:tc>
        <w:tc>
          <w:tcPr>
            <w:tcW w:w="6823" w:type="dxa"/>
            <w:vAlign w:val="center"/>
          </w:tcPr>
          <w:p>
            <w:pPr>
              <w:jc w:val="left"/>
              <w:rPr>
                <w:rFonts w:asciiTheme="minorEastAsia" w:hAnsiTheme="minorEastAsia"/>
                <w:sz w:val="24"/>
                <w:szCs w:val="24"/>
              </w:rPr>
            </w:pPr>
            <w:r>
              <w:rPr>
                <w:rFonts w:hint="eastAsia" w:asciiTheme="minorEastAsia" w:hAnsiTheme="minorEastAsia"/>
                <w:sz w:val="24"/>
                <w:szCs w:val="24"/>
              </w:rPr>
              <w:t>磋商小组推荐三名中标候选人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Align w:val="center"/>
          </w:tcPr>
          <w:p>
            <w:pPr>
              <w:jc w:val="center"/>
              <w:rPr>
                <w:rFonts w:asciiTheme="minorEastAsia" w:hAnsiTheme="minorEastAsia"/>
                <w:sz w:val="24"/>
                <w:szCs w:val="24"/>
              </w:rPr>
            </w:pPr>
            <w:r>
              <w:rPr>
                <w:rFonts w:hint="eastAsia" w:asciiTheme="minorEastAsia" w:hAnsiTheme="minorEastAsia"/>
                <w:sz w:val="24"/>
                <w:szCs w:val="24"/>
              </w:rPr>
              <w:t>5</w:t>
            </w:r>
          </w:p>
        </w:tc>
        <w:tc>
          <w:tcPr>
            <w:tcW w:w="1676" w:type="dxa"/>
            <w:vAlign w:val="center"/>
          </w:tcPr>
          <w:p>
            <w:pPr>
              <w:jc w:val="distribute"/>
              <w:rPr>
                <w:rFonts w:asciiTheme="minorEastAsia" w:hAnsiTheme="minorEastAsia"/>
                <w:sz w:val="24"/>
                <w:szCs w:val="24"/>
              </w:rPr>
            </w:pPr>
            <w:r>
              <w:rPr>
                <w:rFonts w:hint="eastAsia" w:asciiTheme="minorEastAsia" w:hAnsiTheme="minorEastAsia"/>
                <w:sz w:val="24"/>
                <w:szCs w:val="24"/>
              </w:rPr>
              <w:t>供应商最低资格条件和能力</w:t>
            </w:r>
          </w:p>
        </w:tc>
        <w:tc>
          <w:tcPr>
            <w:tcW w:w="6823" w:type="dxa"/>
            <w:vAlign w:val="center"/>
          </w:tcPr>
          <w:p>
            <w:pPr>
              <w:jc w:val="left"/>
              <w:rPr>
                <w:rFonts w:asciiTheme="minorEastAsia" w:hAnsiTheme="minorEastAsia"/>
                <w:sz w:val="24"/>
                <w:szCs w:val="24"/>
              </w:rPr>
            </w:pPr>
            <w:r>
              <w:rPr>
                <w:rFonts w:hint="eastAsia" w:asciiTheme="minorEastAsia" w:hAnsiTheme="minorEastAsia"/>
                <w:sz w:val="24"/>
                <w:szCs w:val="24"/>
              </w:rPr>
              <w:t>1.满足《中华人民共和国政府采购法》第二十二条规定；</w:t>
            </w:r>
          </w:p>
          <w:p>
            <w:pPr>
              <w:jc w:val="left"/>
              <w:rPr>
                <w:rFonts w:asciiTheme="minorEastAsia" w:hAnsiTheme="minorEastAsia"/>
                <w:sz w:val="24"/>
                <w:szCs w:val="24"/>
              </w:rPr>
            </w:pPr>
            <w:r>
              <w:rPr>
                <w:rFonts w:hint="eastAsia" w:asciiTheme="minorEastAsia" w:hAnsiTheme="minorEastAsia"/>
                <w:sz w:val="24"/>
                <w:szCs w:val="24"/>
              </w:rPr>
              <w:t>2.落实政府采购政策需满足的资格要求：根据《政府采购促进中小企业发展管理办法》（财库〔2020〕46号）、《关于进一步加大政府采购支持中小企业力度的通知》（财库〔2022〕19号）、《关于落实好政府采购支持中小企业发展的通知》（新财购〔2022〕22号）文的规定，本项目将对小型和微型企业给予10%的价格扣除优惠。</w:t>
            </w:r>
          </w:p>
          <w:p>
            <w:pPr>
              <w:jc w:val="left"/>
              <w:rPr>
                <w:rFonts w:asciiTheme="minorEastAsia" w:hAnsiTheme="minorEastAsia"/>
                <w:sz w:val="24"/>
                <w:szCs w:val="24"/>
              </w:rPr>
            </w:pPr>
            <w:r>
              <w:rPr>
                <w:rFonts w:hint="eastAsia" w:asciiTheme="minorEastAsia" w:hAnsiTheme="minorEastAsia"/>
                <w:sz w:val="24"/>
                <w:szCs w:val="24"/>
              </w:rPr>
              <w:t>3.本项目的特定资格要求：</w:t>
            </w:r>
          </w:p>
          <w:p>
            <w:pPr>
              <w:jc w:val="left"/>
              <w:rPr>
                <w:rFonts w:asciiTheme="minorEastAsia" w:hAnsiTheme="minorEastAsia"/>
                <w:sz w:val="24"/>
                <w:szCs w:val="24"/>
              </w:rPr>
            </w:pPr>
            <w:r>
              <w:rPr>
                <w:rFonts w:hint="eastAsia" w:asciiTheme="minorEastAsia" w:hAnsiTheme="minorEastAsia"/>
                <w:sz w:val="24"/>
                <w:szCs w:val="24"/>
              </w:rPr>
              <w:t>（1）在中华人民共和国境内注册的，具有独立承担民事责任的能力且营业执照在有效期内的企业；</w:t>
            </w:r>
          </w:p>
          <w:p>
            <w:pPr>
              <w:jc w:val="left"/>
              <w:rPr>
                <w:rFonts w:asciiTheme="minorEastAsia" w:hAnsiTheme="minorEastAsia"/>
                <w:sz w:val="24"/>
                <w:szCs w:val="24"/>
              </w:rPr>
            </w:pPr>
            <w:r>
              <w:rPr>
                <w:rFonts w:hint="eastAsia" w:asciiTheme="minorEastAsia" w:hAnsiTheme="minorEastAsia"/>
                <w:sz w:val="24"/>
                <w:szCs w:val="24"/>
              </w:rPr>
              <w:t>（2）法定代表人投标需携带法定代表人证明书（原件）及法定代表人身份证（原件）；委托代理人投标需携带法定代表人授权委托书（原件）及委托代理人身份证（原件）;</w:t>
            </w:r>
          </w:p>
          <w:p>
            <w:pPr>
              <w:jc w:val="left"/>
              <w:rPr>
                <w:rFonts w:asciiTheme="minorEastAsia" w:hAnsiTheme="minorEastAsia"/>
                <w:sz w:val="24"/>
                <w:szCs w:val="24"/>
              </w:rPr>
            </w:pPr>
            <w:r>
              <w:rPr>
                <w:rFonts w:hint="eastAsia" w:asciiTheme="minorEastAsia" w:hAnsiTheme="minorEastAsia"/>
                <w:sz w:val="24"/>
                <w:szCs w:val="24"/>
              </w:rPr>
              <w:t>（3）凡拟参加本次招标项目的供应商，近三年内（本项目投标截止期前）存在下述条件中的任意一项将拒绝其参加本次采购活动：</w:t>
            </w:r>
          </w:p>
          <w:p>
            <w:pPr>
              <w:jc w:val="left"/>
              <w:rPr>
                <w:rFonts w:asciiTheme="minorEastAsia" w:hAnsiTheme="minorEastAsia"/>
                <w:sz w:val="24"/>
                <w:szCs w:val="24"/>
              </w:rPr>
            </w:pPr>
            <w:r>
              <w:rPr>
                <w:rFonts w:hint="eastAsia" w:asciiTheme="minorEastAsia" w:hAnsiTheme="minorEastAsia"/>
                <w:sz w:val="24"/>
                <w:szCs w:val="24"/>
              </w:rPr>
              <w:t>1）“信用中国网（www.creditchina.gov.cn）”被列入失信被执行人、重大税收违法失信主体、政府采购严重违法失信行为记录名单（尚在处罚期内的）；（查询信用报告）；</w:t>
            </w:r>
          </w:p>
          <w:p>
            <w:pPr>
              <w:jc w:val="left"/>
              <w:rPr>
                <w:rFonts w:asciiTheme="minorEastAsia" w:hAnsiTheme="minorEastAsia"/>
                <w:sz w:val="24"/>
                <w:szCs w:val="24"/>
              </w:rPr>
            </w:pPr>
            <w:r>
              <w:rPr>
                <w:rFonts w:hint="eastAsia" w:asciiTheme="minorEastAsia" w:hAnsiTheme="minorEastAsia"/>
                <w:sz w:val="24"/>
                <w:szCs w:val="24"/>
              </w:rPr>
              <w:t>2）“中国政府采购网（www.ccgp.gov.cn）”被列入政府采购严重违法失信行为记录名单的（尚在处罚期内的）；（网站主页点击“政府采购严重违法失信行为记录名单”，进行查询；）；</w:t>
            </w:r>
          </w:p>
          <w:p>
            <w:pPr>
              <w:jc w:val="left"/>
              <w:rPr>
                <w:rFonts w:asciiTheme="minorEastAsia" w:hAnsiTheme="minorEastAsia"/>
                <w:sz w:val="24"/>
                <w:szCs w:val="24"/>
              </w:rPr>
            </w:pPr>
            <w:r>
              <w:rPr>
                <w:rFonts w:hint="eastAsia" w:asciiTheme="minorEastAsia" w:hAnsiTheme="minorEastAsia"/>
                <w:sz w:val="24"/>
                <w:szCs w:val="24"/>
              </w:rPr>
              <w:t>3）“中国裁判文书网（http://wenshu.court.gov.cn/）”有行贿受贿犯罪记录(尚在处罚期内)；（网站主页点击“高级检索-案由-刑事案件-贪污贿赂-行贿，查询单位、法定代表人（查询时先输入单位点击搜索后输入法定代表人，进行查询）；</w:t>
            </w:r>
          </w:p>
          <w:p>
            <w:pPr>
              <w:jc w:val="left"/>
              <w:rPr>
                <w:rFonts w:asciiTheme="minorEastAsia" w:hAnsiTheme="minorEastAsia"/>
                <w:sz w:val="24"/>
                <w:szCs w:val="24"/>
              </w:rPr>
            </w:pPr>
            <w:r>
              <w:rPr>
                <w:rFonts w:hint="eastAsia" w:asciiTheme="minorEastAsia" w:hAnsiTheme="minorEastAsia"/>
                <w:sz w:val="24"/>
                <w:szCs w:val="24"/>
              </w:rPr>
              <w:t>（4）供应商应具备完成本项目服务的相关能力（包含人员、设备等）；</w:t>
            </w:r>
          </w:p>
          <w:p>
            <w:pPr>
              <w:jc w:val="left"/>
              <w:rPr>
                <w:rFonts w:asciiTheme="minorEastAsia" w:hAnsiTheme="minorEastAsia"/>
                <w:sz w:val="24"/>
                <w:szCs w:val="24"/>
              </w:rPr>
            </w:pPr>
            <w:r>
              <w:rPr>
                <w:rFonts w:hint="eastAsia" w:asciiTheme="minorEastAsia" w:hAnsiTheme="minorEastAsia"/>
                <w:sz w:val="24"/>
                <w:szCs w:val="24"/>
              </w:rPr>
              <w:t>（5）参加招投标活动前三年内，在经营活动中没重大违法记录（受行政主管部门处罚的不能参加投标）；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Align w:val="center"/>
          </w:tcPr>
          <w:p>
            <w:pPr>
              <w:jc w:val="center"/>
              <w:rPr>
                <w:rFonts w:asciiTheme="minorEastAsia" w:hAnsiTheme="minorEastAsia"/>
                <w:sz w:val="24"/>
                <w:szCs w:val="24"/>
              </w:rPr>
            </w:pPr>
            <w:r>
              <w:rPr>
                <w:rFonts w:hint="eastAsia" w:asciiTheme="minorEastAsia" w:hAnsiTheme="minorEastAsia"/>
                <w:sz w:val="24"/>
                <w:szCs w:val="24"/>
              </w:rPr>
              <w:t>6</w:t>
            </w:r>
          </w:p>
        </w:tc>
        <w:tc>
          <w:tcPr>
            <w:tcW w:w="1676" w:type="dxa"/>
            <w:vAlign w:val="center"/>
          </w:tcPr>
          <w:p>
            <w:pPr>
              <w:jc w:val="distribute"/>
              <w:rPr>
                <w:rFonts w:asciiTheme="minorEastAsia" w:hAnsiTheme="minorEastAsia"/>
                <w:sz w:val="24"/>
                <w:szCs w:val="24"/>
              </w:rPr>
            </w:pPr>
            <w:r>
              <w:rPr>
                <w:rFonts w:hint="eastAsia" w:asciiTheme="minorEastAsia" w:hAnsiTheme="minorEastAsia"/>
                <w:sz w:val="24"/>
                <w:szCs w:val="24"/>
                <w:lang w:eastAsia="zh-CN"/>
              </w:rPr>
              <w:t>竞争性磋商文件</w:t>
            </w:r>
            <w:r>
              <w:rPr>
                <w:rFonts w:hint="eastAsia" w:asciiTheme="minorEastAsia" w:hAnsiTheme="minorEastAsia"/>
                <w:sz w:val="24"/>
                <w:szCs w:val="24"/>
              </w:rPr>
              <w:t>费</w:t>
            </w:r>
          </w:p>
        </w:tc>
        <w:tc>
          <w:tcPr>
            <w:tcW w:w="6823" w:type="dxa"/>
            <w:vAlign w:val="center"/>
          </w:tcPr>
          <w:p>
            <w:pPr>
              <w:jc w:val="left"/>
              <w:rPr>
                <w:rFonts w:asciiTheme="minorEastAsia" w:hAnsiTheme="minorEastAsia"/>
                <w:sz w:val="24"/>
                <w:szCs w:val="24"/>
              </w:rPr>
            </w:pPr>
            <w:r>
              <w:rPr>
                <w:rFonts w:hint="eastAsia" w:asciiTheme="minorEastAsia" w:hAnsiTheme="minorEastAsia"/>
                <w:sz w:val="24"/>
                <w:szCs w:val="24"/>
              </w:rPr>
              <w:t>200元/份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Align w:val="center"/>
          </w:tcPr>
          <w:p>
            <w:pPr>
              <w:jc w:val="center"/>
              <w:rPr>
                <w:rFonts w:asciiTheme="minorEastAsia" w:hAnsiTheme="minorEastAsia"/>
                <w:sz w:val="24"/>
                <w:szCs w:val="24"/>
              </w:rPr>
            </w:pPr>
            <w:r>
              <w:rPr>
                <w:rFonts w:hint="eastAsia" w:asciiTheme="minorEastAsia" w:hAnsiTheme="minorEastAsia"/>
                <w:sz w:val="24"/>
                <w:szCs w:val="24"/>
              </w:rPr>
              <w:t>7</w:t>
            </w:r>
          </w:p>
        </w:tc>
        <w:tc>
          <w:tcPr>
            <w:tcW w:w="1676" w:type="dxa"/>
            <w:vAlign w:val="center"/>
          </w:tcPr>
          <w:p>
            <w:pPr>
              <w:jc w:val="distribute"/>
              <w:rPr>
                <w:rFonts w:asciiTheme="minorEastAsia" w:hAnsiTheme="minorEastAsia"/>
                <w:sz w:val="24"/>
                <w:szCs w:val="24"/>
              </w:rPr>
            </w:pPr>
            <w:r>
              <w:rPr>
                <w:rFonts w:hint="eastAsia" w:asciiTheme="minorEastAsia" w:hAnsiTheme="minorEastAsia"/>
                <w:sz w:val="24"/>
                <w:szCs w:val="24"/>
              </w:rPr>
              <w:t>投标保证金</w:t>
            </w:r>
          </w:p>
        </w:tc>
        <w:tc>
          <w:tcPr>
            <w:tcW w:w="6823" w:type="dxa"/>
            <w:vAlign w:val="center"/>
          </w:tcPr>
          <w:p>
            <w:pPr>
              <w:jc w:val="left"/>
              <w:rPr>
                <w:rFonts w:asciiTheme="minorEastAsia" w:hAnsiTheme="minorEastAsia"/>
                <w:sz w:val="24"/>
                <w:szCs w:val="24"/>
              </w:rPr>
            </w:pPr>
            <w:r>
              <w:rPr>
                <w:rFonts w:hint="eastAsia" w:asciiTheme="minorEastAsia" w:hAnsiTheme="minorEastAsia"/>
                <w:sz w:val="24"/>
                <w:szCs w:val="24"/>
              </w:rPr>
              <w:t>叁万元整（详见第一章3.4.2条）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Align w:val="center"/>
          </w:tcPr>
          <w:p>
            <w:pPr>
              <w:jc w:val="center"/>
              <w:rPr>
                <w:rFonts w:asciiTheme="minorEastAsia" w:hAnsiTheme="minorEastAsia"/>
                <w:sz w:val="24"/>
                <w:szCs w:val="24"/>
              </w:rPr>
            </w:pPr>
            <w:r>
              <w:rPr>
                <w:rFonts w:hint="eastAsia" w:asciiTheme="minorEastAsia" w:hAnsiTheme="minorEastAsia"/>
                <w:sz w:val="24"/>
                <w:szCs w:val="24"/>
              </w:rPr>
              <w:t>8</w:t>
            </w:r>
          </w:p>
        </w:tc>
        <w:tc>
          <w:tcPr>
            <w:tcW w:w="1676" w:type="dxa"/>
            <w:vAlign w:val="center"/>
          </w:tcPr>
          <w:p>
            <w:pPr>
              <w:jc w:val="distribute"/>
              <w:rPr>
                <w:rFonts w:asciiTheme="minorEastAsia" w:hAnsiTheme="minorEastAsia"/>
                <w:sz w:val="24"/>
                <w:szCs w:val="24"/>
              </w:rPr>
            </w:pPr>
            <w:r>
              <w:rPr>
                <w:rFonts w:hint="eastAsia" w:asciiTheme="minorEastAsia" w:hAnsiTheme="minorEastAsia"/>
                <w:sz w:val="24"/>
                <w:szCs w:val="24"/>
              </w:rPr>
              <w:t>现场踏勘</w:t>
            </w:r>
          </w:p>
        </w:tc>
        <w:tc>
          <w:tcPr>
            <w:tcW w:w="6823" w:type="dxa"/>
            <w:vAlign w:val="center"/>
          </w:tcPr>
          <w:p>
            <w:pPr>
              <w:jc w:val="left"/>
              <w:rPr>
                <w:rFonts w:asciiTheme="minorEastAsia" w:hAnsiTheme="minorEastAsia"/>
                <w:sz w:val="24"/>
                <w:szCs w:val="24"/>
              </w:rPr>
            </w:pPr>
            <w:r>
              <w:rPr>
                <w:rFonts w:hint="eastAsia" w:asciiTheme="minorEastAsia" w:hAnsiTheme="minorEastAsia"/>
                <w:sz w:val="24"/>
                <w:szCs w:val="24"/>
              </w:rPr>
              <w:t>不组织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Align w:val="center"/>
          </w:tcPr>
          <w:p>
            <w:pPr>
              <w:jc w:val="center"/>
              <w:rPr>
                <w:rFonts w:asciiTheme="minorEastAsia" w:hAnsiTheme="minorEastAsia"/>
                <w:sz w:val="24"/>
                <w:szCs w:val="24"/>
              </w:rPr>
            </w:pPr>
            <w:r>
              <w:rPr>
                <w:rFonts w:hint="eastAsia" w:asciiTheme="minorEastAsia" w:hAnsiTheme="minorEastAsia"/>
                <w:sz w:val="24"/>
                <w:szCs w:val="24"/>
              </w:rPr>
              <w:t>9</w:t>
            </w:r>
          </w:p>
        </w:tc>
        <w:tc>
          <w:tcPr>
            <w:tcW w:w="1676" w:type="dxa"/>
            <w:vAlign w:val="center"/>
          </w:tcPr>
          <w:p>
            <w:pPr>
              <w:jc w:val="distribute"/>
              <w:rPr>
                <w:rFonts w:asciiTheme="minorEastAsia" w:hAnsiTheme="minorEastAsia"/>
                <w:sz w:val="24"/>
                <w:szCs w:val="24"/>
              </w:rPr>
            </w:pPr>
            <w:r>
              <w:rPr>
                <w:rFonts w:hint="eastAsia" w:asciiTheme="minorEastAsia" w:hAnsiTheme="minorEastAsia"/>
                <w:sz w:val="24"/>
                <w:szCs w:val="24"/>
              </w:rPr>
              <w:t>招标答疑</w:t>
            </w:r>
          </w:p>
        </w:tc>
        <w:tc>
          <w:tcPr>
            <w:tcW w:w="6823" w:type="dxa"/>
            <w:vAlign w:val="center"/>
          </w:tcPr>
          <w:p>
            <w:pPr>
              <w:jc w:val="left"/>
              <w:rPr>
                <w:rFonts w:asciiTheme="minorEastAsia" w:hAnsiTheme="minorEastAsia"/>
                <w:sz w:val="24"/>
                <w:szCs w:val="24"/>
              </w:rPr>
            </w:pPr>
            <w:r>
              <w:rPr>
                <w:rFonts w:hint="eastAsia" w:asciiTheme="minorEastAsia" w:hAnsiTheme="minorEastAsia"/>
                <w:sz w:val="24"/>
                <w:szCs w:val="24"/>
              </w:rPr>
              <w:t>对</w:t>
            </w:r>
            <w:r>
              <w:rPr>
                <w:rFonts w:hint="eastAsia" w:asciiTheme="minorEastAsia" w:hAnsiTheme="minorEastAsia"/>
                <w:sz w:val="24"/>
                <w:szCs w:val="24"/>
                <w:lang w:eastAsia="zh-CN"/>
              </w:rPr>
              <w:t>竞争性磋商文件</w:t>
            </w:r>
            <w:r>
              <w:rPr>
                <w:rFonts w:hint="eastAsia" w:asciiTheme="minorEastAsia" w:hAnsiTheme="minorEastAsia"/>
                <w:sz w:val="24"/>
                <w:szCs w:val="24"/>
              </w:rPr>
              <w:t>提出质疑的，应当在获取</w:t>
            </w:r>
            <w:r>
              <w:rPr>
                <w:rFonts w:hint="eastAsia" w:asciiTheme="minorEastAsia" w:hAnsiTheme="minorEastAsia"/>
                <w:sz w:val="24"/>
                <w:szCs w:val="24"/>
                <w:lang w:eastAsia="zh-CN"/>
              </w:rPr>
              <w:t>竞争性磋商文件</w:t>
            </w:r>
            <w:r>
              <w:rPr>
                <w:rFonts w:hint="eastAsia" w:asciiTheme="minorEastAsia" w:hAnsiTheme="minorEastAsia"/>
                <w:sz w:val="24"/>
                <w:szCs w:val="24"/>
              </w:rPr>
              <w:t>或者</w:t>
            </w:r>
            <w:r>
              <w:rPr>
                <w:rFonts w:hint="eastAsia" w:asciiTheme="minorEastAsia" w:hAnsiTheme="minorEastAsia"/>
                <w:sz w:val="24"/>
                <w:szCs w:val="24"/>
                <w:lang w:eastAsia="zh-CN"/>
              </w:rPr>
              <w:t>竞争性磋商文件</w:t>
            </w:r>
            <w:r>
              <w:rPr>
                <w:rFonts w:hint="eastAsia" w:asciiTheme="minorEastAsia" w:hAnsiTheme="minorEastAsia"/>
                <w:sz w:val="24"/>
                <w:szCs w:val="24"/>
              </w:rPr>
              <w:t>公告期限届满之日起7个工作日内一次性提出。供应商投诉的事项不得超出已质疑事项的范围。</w:t>
            </w:r>
          </w:p>
          <w:p>
            <w:pPr>
              <w:jc w:val="left"/>
              <w:rPr>
                <w:rFonts w:asciiTheme="minorEastAsia" w:hAnsiTheme="minorEastAsia"/>
                <w:sz w:val="24"/>
                <w:szCs w:val="24"/>
              </w:rPr>
            </w:pPr>
            <w:r>
              <w:rPr>
                <w:rFonts w:hint="eastAsia" w:asciiTheme="minorEastAsia" w:hAnsiTheme="minorEastAsia"/>
                <w:sz w:val="24"/>
                <w:szCs w:val="24"/>
              </w:rPr>
              <w:t>澄清修改内容可能影响</w:t>
            </w:r>
            <w:r>
              <w:rPr>
                <w:rFonts w:hint="eastAsia" w:asciiTheme="minorEastAsia" w:hAnsiTheme="minorEastAsia"/>
                <w:sz w:val="24"/>
                <w:szCs w:val="24"/>
                <w:lang w:eastAsia="zh-CN"/>
              </w:rPr>
              <w:t>磋商响应文件</w:t>
            </w:r>
            <w:r>
              <w:rPr>
                <w:rFonts w:hint="eastAsia" w:asciiTheme="minorEastAsia" w:hAnsiTheme="minorEastAsia"/>
                <w:sz w:val="24"/>
                <w:szCs w:val="24"/>
              </w:rPr>
              <w:t>编制的，应当在投标截止时间至少15日前，以书面形式通知所有获取</w:t>
            </w:r>
            <w:r>
              <w:rPr>
                <w:rFonts w:hint="eastAsia" w:asciiTheme="minorEastAsia" w:hAnsiTheme="minorEastAsia"/>
                <w:sz w:val="24"/>
                <w:szCs w:val="24"/>
                <w:lang w:eastAsia="zh-CN"/>
              </w:rPr>
              <w:t>竞争性磋商文件</w:t>
            </w:r>
            <w:r>
              <w:rPr>
                <w:rFonts w:hint="eastAsia" w:asciiTheme="minorEastAsia" w:hAnsiTheme="minorEastAsia"/>
                <w:sz w:val="24"/>
                <w:szCs w:val="24"/>
              </w:rPr>
              <w:t>的潜在供应商。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Align w:val="center"/>
          </w:tcPr>
          <w:p>
            <w:pPr>
              <w:jc w:val="center"/>
              <w:rPr>
                <w:rFonts w:asciiTheme="minorEastAsia" w:hAnsiTheme="minorEastAsia"/>
                <w:sz w:val="24"/>
                <w:szCs w:val="24"/>
              </w:rPr>
            </w:pPr>
            <w:r>
              <w:rPr>
                <w:rFonts w:hint="eastAsia" w:asciiTheme="minorEastAsia" w:hAnsiTheme="minorEastAsia"/>
                <w:sz w:val="24"/>
                <w:szCs w:val="24"/>
              </w:rPr>
              <w:t>10</w:t>
            </w:r>
          </w:p>
        </w:tc>
        <w:tc>
          <w:tcPr>
            <w:tcW w:w="1676" w:type="dxa"/>
            <w:vAlign w:val="center"/>
          </w:tcPr>
          <w:p>
            <w:pPr>
              <w:jc w:val="distribute"/>
              <w:rPr>
                <w:rFonts w:asciiTheme="minorEastAsia" w:hAnsiTheme="minorEastAsia"/>
                <w:sz w:val="24"/>
                <w:szCs w:val="24"/>
              </w:rPr>
            </w:pPr>
            <w:r>
              <w:rPr>
                <w:rFonts w:hint="eastAsia" w:asciiTheme="minorEastAsia" w:hAnsiTheme="minorEastAsia"/>
                <w:sz w:val="24"/>
                <w:szCs w:val="24"/>
                <w:lang w:eastAsia="zh-CN"/>
              </w:rPr>
              <w:t>磋商响应文件</w:t>
            </w:r>
            <w:r>
              <w:rPr>
                <w:rFonts w:hint="eastAsia" w:asciiTheme="minorEastAsia" w:hAnsiTheme="minorEastAsia"/>
                <w:sz w:val="24"/>
                <w:szCs w:val="24"/>
              </w:rPr>
              <w:t>份数</w:t>
            </w:r>
          </w:p>
        </w:tc>
        <w:tc>
          <w:tcPr>
            <w:tcW w:w="6823" w:type="dxa"/>
            <w:vAlign w:val="center"/>
          </w:tcPr>
          <w:p>
            <w:pPr>
              <w:jc w:val="left"/>
              <w:rPr>
                <w:rFonts w:asciiTheme="minorEastAsia" w:hAnsiTheme="minorEastAsia"/>
                <w:sz w:val="24"/>
                <w:szCs w:val="24"/>
              </w:rPr>
            </w:pPr>
            <w:r>
              <w:rPr>
                <w:rFonts w:hint="eastAsia" w:asciiTheme="minorEastAsia" w:hAnsiTheme="minorEastAsia"/>
                <w:sz w:val="24"/>
                <w:szCs w:val="24"/>
              </w:rPr>
              <w:t>正本1份；副本3份</w:t>
            </w:r>
          </w:p>
          <w:p>
            <w:pPr>
              <w:jc w:val="left"/>
              <w:rPr>
                <w:rFonts w:asciiTheme="minorEastAsia" w:hAnsiTheme="minorEastAsia"/>
                <w:sz w:val="24"/>
                <w:szCs w:val="24"/>
              </w:rPr>
            </w:pPr>
            <w:r>
              <w:rPr>
                <w:rFonts w:hint="eastAsia" w:asciiTheme="minorEastAsia" w:hAnsiTheme="minorEastAsia"/>
                <w:sz w:val="24"/>
                <w:szCs w:val="24"/>
              </w:rPr>
              <w:t>备注：1.另以U盘形式提供全套电子版</w:t>
            </w:r>
            <w:r>
              <w:rPr>
                <w:rFonts w:hint="eastAsia" w:asciiTheme="minorEastAsia" w:hAnsiTheme="minorEastAsia"/>
                <w:sz w:val="24"/>
                <w:szCs w:val="24"/>
                <w:lang w:eastAsia="zh-CN"/>
              </w:rPr>
              <w:t>磋商响应文件</w:t>
            </w:r>
            <w:r>
              <w:rPr>
                <w:rFonts w:hint="eastAsia" w:asciiTheme="minorEastAsia" w:hAnsiTheme="minorEastAsia"/>
                <w:sz w:val="24"/>
                <w:szCs w:val="24"/>
              </w:rPr>
              <w:t>密封在</w:t>
            </w:r>
            <w:r>
              <w:rPr>
                <w:rFonts w:hint="eastAsia" w:asciiTheme="minorEastAsia" w:hAnsiTheme="minorEastAsia"/>
                <w:sz w:val="24"/>
                <w:szCs w:val="24"/>
                <w:lang w:eastAsia="zh-CN"/>
              </w:rPr>
              <w:t>磋商响应文件</w:t>
            </w:r>
            <w:r>
              <w:rPr>
                <w:rFonts w:hint="eastAsia" w:asciiTheme="minorEastAsia" w:hAnsiTheme="minorEastAsia"/>
                <w:sz w:val="24"/>
                <w:szCs w:val="24"/>
              </w:rPr>
              <w:t>封袋中；</w:t>
            </w:r>
          </w:p>
          <w:p>
            <w:pPr>
              <w:jc w:val="left"/>
              <w:rPr>
                <w:rFonts w:asciiTheme="minorEastAsia" w:hAnsiTheme="minorEastAsia"/>
                <w:sz w:val="24"/>
                <w:szCs w:val="24"/>
              </w:rPr>
            </w:pPr>
            <w:r>
              <w:rPr>
                <w:rFonts w:hint="eastAsia" w:asciiTheme="minorEastAsia" w:hAnsiTheme="minorEastAsia"/>
                <w:sz w:val="24"/>
                <w:szCs w:val="24"/>
              </w:rPr>
              <w:t>2.电子版格式：</w:t>
            </w:r>
            <w:r>
              <w:rPr>
                <w:rFonts w:hint="eastAsia" w:asciiTheme="minorEastAsia" w:hAnsiTheme="minorEastAsia"/>
                <w:sz w:val="24"/>
                <w:szCs w:val="24"/>
                <w:lang w:eastAsia="zh-CN"/>
              </w:rPr>
              <w:t>磋商响应文件</w:t>
            </w:r>
            <w:r>
              <w:rPr>
                <w:rFonts w:hint="eastAsia" w:asciiTheme="minorEastAsia" w:hAnsiTheme="minorEastAsia"/>
                <w:sz w:val="24"/>
                <w:szCs w:val="24"/>
              </w:rPr>
              <w:t>正本盖章扫描生成的PDF格式。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Align w:val="center"/>
          </w:tcPr>
          <w:p>
            <w:pPr>
              <w:jc w:val="center"/>
              <w:rPr>
                <w:rFonts w:asciiTheme="minorEastAsia" w:hAnsiTheme="minorEastAsia"/>
                <w:sz w:val="24"/>
                <w:szCs w:val="24"/>
              </w:rPr>
            </w:pPr>
            <w:r>
              <w:rPr>
                <w:rFonts w:hint="eastAsia" w:asciiTheme="minorEastAsia" w:hAnsiTheme="minorEastAsia"/>
                <w:sz w:val="24"/>
                <w:szCs w:val="24"/>
              </w:rPr>
              <w:t>11</w:t>
            </w:r>
          </w:p>
        </w:tc>
        <w:tc>
          <w:tcPr>
            <w:tcW w:w="1676" w:type="dxa"/>
            <w:vAlign w:val="center"/>
          </w:tcPr>
          <w:p>
            <w:pPr>
              <w:jc w:val="distribute"/>
              <w:rPr>
                <w:rFonts w:asciiTheme="minorEastAsia" w:hAnsiTheme="minorEastAsia"/>
                <w:sz w:val="24"/>
                <w:szCs w:val="24"/>
              </w:rPr>
            </w:pPr>
            <w:r>
              <w:rPr>
                <w:rFonts w:hint="eastAsia" w:asciiTheme="minorEastAsia" w:hAnsiTheme="minorEastAsia"/>
                <w:sz w:val="24"/>
                <w:szCs w:val="24"/>
                <w:lang w:eastAsia="zh-CN"/>
              </w:rPr>
              <w:t>磋商响应文件</w:t>
            </w:r>
            <w:r>
              <w:rPr>
                <w:rFonts w:hint="eastAsia" w:asciiTheme="minorEastAsia" w:hAnsiTheme="minorEastAsia"/>
                <w:sz w:val="24"/>
                <w:szCs w:val="24"/>
              </w:rPr>
              <w:t>递交</w:t>
            </w:r>
          </w:p>
        </w:tc>
        <w:tc>
          <w:tcPr>
            <w:tcW w:w="6823" w:type="dxa"/>
            <w:vAlign w:val="center"/>
          </w:tcPr>
          <w:p>
            <w:pPr>
              <w:rPr>
                <w:rFonts w:cs="宋体" w:asciiTheme="minorEastAsia" w:hAnsiTheme="minorEastAsia"/>
                <w:kern w:val="0"/>
                <w:sz w:val="24"/>
                <w:szCs w:val="24"/>
              </w:rPr>
            </w:pPr>
            <w:r>
              <w:rPr>
                <w:rFonts w:hint="eastAsia" w:cs="宋体" w:asciiTheme="minorEastAsia" w:hAnsiTheme="minorEastAsia"/>
                <w:kern w:val="0"/>
                <w:sz w:val="24"/>
                <w:szCs w:val="24"/>
              </w:rPr>
              <w:t>截止时间：</w:t>
            </w:r>
            <w:r>
              <w:rPr>
                <w:rFonts w:cs="宋体" w:asciiTheme="minorEastAsia" w:hAnsiTheme="minorEastAsia"/>
                <w:kern w:val="0"/>
                <w:sz w:val="24"/>
                <w:szCs w:val="24"/>
                <w:u w:val="single"/>
              </w:rPr>
              <w:t>20</w:t>
            </w:r>
            <w:r>
              <w:rPr>
                <w:rFonts w:hint="eastAsia" w:cs="宋体" w:asciiTheme="minorEastAsia" w:hAnsiTheme="minorEastAsia"/>
                <w:kern w:val="0"/>
                <w:sz w:val="24"/>
                <w:szCs w:val="24"/>
                <w:u w:val="single"/>
              </w:rPr>
              <w:t>22年10月</w:t>
            </w:r>
            <w:r>
              <w:rPr>
                <w:rFonts w:hint="eastAsia" w:cs="宋体" w:asciiTheme="minorEastAsia" w:hAnsiTheme="minorEastAsia"/>
                <w:kern w:val="0"/>
                <w:sz w:val="24"/>
                <w:szCs w:val="24"/>
                <w:u w:val="single"/>
                <w:lang w:val="en-US" w:eastAsia="zh-CN"/>
              </w:rPr>
              <w:t>21</w:t>
            </w:r>
            <w:r>
              <w:rPr>
                <w:rFonts w:hint="eastAsia" w:cs="宋体" w:asciiTheme="minorEastAsia" w:hAnsiTheme="minorEastAsia"/>
                <w:kern w:val="0"/>
                <w:sz w:val="24"/>
                <w:szCs w:val="24"/>
                <w:u w:val="single"/>
              </w:rPr>
              <w:t>日16时0</w:t>
            </w:r>
            <w:r>
              <w:rPr>
                <w:rFonts w:cs="宋体" w:asciiTheme="minorEastAsia" w:hAnsiTheme="minorEastAsia"/>
                <w:kern w:val="0"/>
                <w:sz w:val="24"/>
                <w:szCs w:val="24"/>
                <w:u w:val="single"/>
              </w:rPr>
              <w:t>0</w:t>
            </w:r>
            <w:r>
              <w:rPr>
                <w:rFonts w:hint="eastAsia" w:cs="宋体" w:asciiTheme="minorEastAsia" w:hAnsiTheme="minorEastAsia"/>
                <w:kern w:val="0"/>
                <w:sz w:val="24"/>
                <w:szCs w:val="24"/>
                <w:u w:val="single"/>
              </w:rPr>
              <w:t>分</w:t>
            </w:r>
            <w:r>
              <w:rPr>
                <w:rFonts w:hint="eastAsia" w:cs="宋体" w:asciiTheme="minorEastAsia" w:hAnsiTheme="minorEastAsia"/>
                <w:kern w:val="0"/>
                <w:sz w:val="24"/>
                <w:szCs w:val="24"/>
              </w:rPr>
              <w:t>（北京时间）</w:t>
            </w:r>
          </w:p>
          <w:p>
            <w:pPr>
              <w:jc w:val="left"/>
              <w:rPr>
                <w:rFonts w:cs="Arial" w:asciiTheme="minorEastAsia" w:hAnsiTheme="minorEastAsia"/>
                <w:kern w:val="0"/>
                <w:sz w:val="24"/>
                <w:szCs w:val="24"/>
              </w:rPr>
            </w:pPr>
            <w:r>
              <w:rPr>
                <w:rFonts w:hint="eastAsia" w:cs="宋体" w:asciiTheme="minorEastAsia" w:hAnsiTheme="minorEastAsia"/>
                <w:kern w:val="0"/>
                <w:sz w:val="24"/>
                <w:szCs w:val="24"/>
              </w:rPr>
              <w:t>递交地点：</w:t>
            </w:r>
            <w:r>
              <w:rPr>
                <w:rFonts w:hint="eastAsia" w:ascii="宋体" w:hAnsi="宋体" w:cs="宋体"/>
                <w:kern w:val="0"/>
                <w:sz w:val="24"/>
                <w:szCs w:val="24"/>
              </w:rPr>
              <w:t>乌鲁木齐市沙依巴克区公园北街162号文苑综合楼七楼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Align w:val="center"/>
          </w:tcPr>
          <w:p>
            <w:pPr>
              <w:jc w:val="center"/>
              <w:rPr>
                <w:rFonts w:asciiTheme="minorEastAsia" w:hAnsiTheme="minorEastAsia"/>
                <w:sz w:val="24"/>
                <w:szCs w:val="24"/>
              </w:rPr>
            </w:pPr>
            <w:r>
              <w:rPr>
                <w:rFonts w:hint="eastAsia" w:asciiTheme="minorEastAsia" w:hAnsiTheme="minorEastAsia"/>
                <w:sz w:val="24"/>
                <w:szCs w:val="24"/>
              </w:rPr>
              <w:t>12</w:t>
            </w:r>
          </w:p>
        </w:tc>
        <w:tc>
          <w:tcPr>
            <w:tcW w:w="1676" w:type="dxa"/>
            <w:vAlign w:val="center"/>
          </w:tcPr>
          <w:p>
            <w:pPr>
              <w:jc w:val="distribute"/>
              <w:rPr>
                <w:rFonts w:asciiTheme="minorEastAsia" w:hAnsiTheme="minorEastAsia"/>
                <w:sz w:val="24"/>
                <w:szCs w:val="24"/>
              </w:rPr>
            </w:pPr>
            <w:r>
              <w:rPr>
                <w:rFonts w:hint="eastAsia" w:asciiTheme="minorEastAsia" w:hAnsiTheme="minorEastAsia"/>
                <w:sz w:val="24"/>
                <w:szCs w:val="24"/>
              </w:rPr>
              <w:t>开标</w:t>
            </w:r>
          </w:p>
        </w:tc>
        <w:tc>
          <w:tcPr>
            <w:tcW w:w="6823" w:type="dxa"/>
            <w:vAlign w:val="center"/>
          </w:tcPr>
          <w:p>
            <w:pPr>
              <w:rPr>
                <w:rFonts w:cs="宋体" w:asciiTheme="minorEastAsia" w:hAnsiTheme="minorEastAsia"/>
                <w:kern w:val="0"/>
                <w:sz w:val="24"/>
                <w:szCs w:val="24"/>
              </w:rPr>
            </w:pPr>
            <w:r>
              <w:rPr>
                <w:rFonts w:hint="eastAsia" w:cs="宋体" w:asciiTheme="minorEastAsia" w:hAnsiTheme="minorEastAsia"/>
                <w:kern w:val="0"/>
                <w:sz w:val="24"/>
                <w:szCs w:val="24"/>
              </w:rPr>
              <w:t>时间：</w:t>
            </w:r>
            <w:r>
              <w:rPr>
                <w:rFonts w:cs="宋体" w:asciiTheme="minorEastAsia" w:hAnsiTheme="minorEastAsia"/>
                <w:kern w:val="0"/>
                <w:sz w:val="24"/>
                <w:szCs w:val="24"/>
                <w:u w:val="single"/>
              </w:rPr>
              <w:t>20</w:t>
            </w:r>
            <w:r>
              <w:rPr>
                <w:rFonts w:hint="eastAsia" w:cs="宋体" w:asciiTheme="minorEastAsia" w:hAnsiTheme="minorEastAsia"/>
                <w:kern w:val="0"/>
                <w:sz w:val="24"/>
                <w:szCs w:val="24"/>
                <w:u w:val="single"/>
              </w:rPr>
              <w:t>22年10月</w:t>
            </w:r>
            <w:r>
              <w:rPr>
                <w:rFonts w:hint="eastAsia" w:cs="宋体" w:asciiTheme="minorEastAsia" w:hAnsiTheme="minorEastAsia"/>
                <w:kern w:val="0"/>
                <w:sz w:val="24"/>
                <w:szCs w:val="24"/>
                <w:u w:val="single"/>
                <w:lang w:val="en-US" w:eastAsia="zh-CN"/>
              </w:rPr>
              <w:t>21</w:t>
            </w:r>
            <w:r>
              <w:rPr>
                <w:rFonts w:hint="eastAsia" w:cs="宋体" w:asciiTheme="minorEastAsia" w:hAnsiTheme="minorEastAsia"/>
                <w:kern w:val="0"/>
                <w:sz w:val="24"/>
                <w:szCs w:val="24"/>
                <w:u w:val="single"/>
              </w:rPr>
              <w:t>日16时0</w:t>
            </w:r>
            <w:r>
              <w:rPr>
                <w:rFonts w:cs="宋体" w:asciiTheme="minorEastAsia" w:hAnsiTheme="minorEastAsia"/>
                <w:kern w:val="0"/>
                <w:sz w:val="24"/>
                <w:szCs w:val="24"/>
                <w:u w:val="single"/>
              </w:rPr>
              <w:t>0</w:t>
            </w:r>
            <w:r>
              <w:rPr>
                <w:rFonts w:hint="eastAsia" w:cs="宋体" w:asciiTheme="minorEastAsia" w:hAnsiTheme="minorEastAsia"/>
                <w:kern w:val="0"/>
                <w:sz w:val="24"/>
                <w:szCs w:val="24"/>
                <w:u w:val="single"/>
              </w:rPr>
              <w:t>分</w:t>
            </w:r>
            <w:r>
              <w:rPr>
                <w:rFonts w:hint="eastAsia" w:cs="宋体" w:asciiTheme="minorEastAsia" w:hAnsiTheme="minorEastAsia"/>
                <w:kern w:val="0"/>
                <w:sz w:val="24"/>
                <w:szCs w:val="24"/>
              </w:rPr>
              <w:t>（北京时间）</w:t>
            </w:r>
          </w:p>
          <w:p>
            <w:pPr>
              <w:keepNext/>
              <w:widowControl/>
              <w:jc w:val="left"/>
              <w:rPr>
                <w:rFonts w:asciiTheme="minorEastAsia" w:hAnsiTheme="minorEastAsia"/>
                <w:kern w:val="0"/>
                <w:sz w:val="24"/>
                <w:szCs w:val="24"/>
              </w:rPr>
            </w:pPr>
            <w:r>
              <w:rPr>
                <w:rFonts w:hint="eastAsia" w:cs="宋体" w:asciiTheme="minorEastAsia" w:hAnsiTheme="minorEastAsia"/>
                <w:kern w:val="0"/>
                <w:sz w:val="24"/>
                <w:szCs w:val="24"/>
              </w:rPr>
              <w:t>地点：</w:t>
            </w:r>
            <w:r>
              <w:rPr>
                <w:rFonts w:hint="eastAsia" w:ascii="宋体" w:hAnsi="宋体" w:cs="宋体"/>
                <w:kern w:val="0"/>
                <w:sz w:val="24"/>
                <w:szCs w:val="24"/>
              </w:rPr>
              <w:t>乌鲁木齐市沙依巴克区公园北街162号文苑综合楼七楼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Align w:val="center"/>
          </w:tcPr>
          <w:p>
            <w:pPr>
              <w:jc w:val="center"/>
              <w:rPr>
                <w:rFonts w:asciiTheme="minorEastAsia" w:hAnsiTheme="minorEastAsia"/>
                <w:sz w:val="24"/>
                <w:szCs w:val="24"/>
              </w:rPr>
            </w:pPr>
            <w:r>
              <w:rPr>
                <w:rFonts w:hint="eastAsia" w:asciiTheme="minorEastAsia" w:hAnsiTheme="minorEastAsia"/>
                <w:sz w:val="24"/>
                <w:szCs w:val="24"/>
              </w:rPr>
              <w:t>13</w:t>
            </w:r>
          </w:p>
        </w:tc>
        <w:tc>
          <w:tcPr>
            <w:tcW w:w="1676" w:type="dxa"/>
            <w:vAlign w:val="center"/>
          </w:tcPr>
          <w:p>
            <w:pPr>
              <w:jc w:val="distribute"/>
              <w:rPr>
                <w:rFonts w:asciiTheme="minorEastAsia" w:hAnsiTheme="minorEastAsia"/>
                <w:sz w:val="24"/>
                <w:szCs w:val="24"/>
              </w:rPr>
            </w:pPr>
            <w:r>
              <w:rPr>
                <w:rFonts w:hint="eastAsia" w:asciiTheme="minorEastAsia" w:hAnsiTheme="minorEastAsia"/>
                <w:sz w:val="24"/>
                <w:szCs w:val="24"/>
              </w:rPr>
              <w:t>投标有效期</w:t>
            </w:r>
          </w:p>
        </w:tc>
        <w:tc>
          <w:tcPr>
            <w:tcW w:w="6823" w:type="dxa"/>
            <w:vAlign w:val="center"/>
          </w:tcPr>
          <w:p>
            <w:pPr>
              <w:jc w:val="left"/>
              <w:rPr>
                <w:rFonts w:asciiTheme="minorEastAsia" w:hAnsiTheme="minorEastAsia"/>
                <w:sz w:val="24"/>
                <w:szCs w:val="24"/>
              </w:rPr>
            </w:pPr>
            <w:r>
              <w:rPr>
                <w:rFonts w:hint="eastAsia" w:asciiTheme="minorEastAsia" w:hAnsiTheme="minorEastAsia"/>
                <w:sz w:val="24"/>
                <w:szCs w:val="24"/>
              </w:rPr>
              <w:t>自投标截止</w:t>
            </w:r>
            <w:bookmarkStart w:id="142" w:name="_GoBack"/>
            <w:bookmarkEnd w:id="142"/>
            <w:r>
              <w:rPr>
                <w:rFonts w:hint="eastAsia" w:asciiTheme="minorEastAsia" w:hAnsiTheme="minorEastAsia"/>
                <w:sz w:val="24"/>
                <w:szCs w:val="24"/>
              </w:rPr>
              <w:t>之日90日历日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Align w:val="center"/>
          </w:tcPr>
          <w:p>
            <w:pPr>
              <w:jc w:val="center"/>
              <w:rPr>
                <w:rFonts w:asciiTheme="minorEastAsia" w:hAnsiTheme="minorEastAsia"/>
                <w:sz w:val="24"/>
                <w:szCs w:val="24"/>
              </w:rPr>
            </w:pPr>
            <w:r>
              <w:rPr>
                <w:rFonts w:hint="eastAsia" w:asciiTheme="minorEastAsia" w:hAnsiTheme="minorEastAsia"/>
                <w:sz w:val="24"/>
                <w:szCs w:val="24"/>
              </w:rPr>
              <w:t>14</w:t>
            </w:r>
          </w:p>
        </w:tc>
        <w:tc>
          <w:tcPr>
            <w:tcW w:w="1676" w:type="dxa"/>
            <w:vAlign w:val="center"/>
          </w:tcPr>
          <w:p>
            <w:pPr>
              <w:jc w:val="distribute"/>
              <w:rPr>
                <w:rFonts w:asciiTheme="minorEastAsia" w:hAnsiTheme="minorEastAsia"/>
                <w:sz w:val="24"/>
                <w:szCs w:val="24"/>
              </w:rPr>
            </w:pPr>
            <w:r>
              <w:rPr>
                <w:rFonts w:hint="eastAsia" w:asciiTheme="minorEastAsia" w:hAnsiTheme="minorEastAsia"/>
                <w:sz w:val="24"/>
                <w:szCs w:val="24"/>
              </w:rPr>
              <w:t>公告发布媒体</w:t>
            </w:r>
          </w:p>
        </w:tc>
        <w:tc>
          <w:tcPr>
            <w:tcW w:w="6823" w:type="dxa"/>
            <w:vAlign w:val="center"/>
          </w:tcPr>
          <w:p>
            <w:pPr>
              <w:jc w:val="left"/>
              <w:rPr>
                <w:rFonts w:asciiTheme="minorEastAsia" w:hAnsiTheme="minorEastAsia"/>
                <w:sz w:val="24"/>
                <w:szCs w:val="24"/>
              </w:rPr>
            </w:pPr>
            <w:r>
              <w:rPr>
                <w:rFonts w:hint="eastAsia" w:asciiTheme="minorEastAsia" w:hAnsiTheme="minorEastAsia"/>
                <w:sz w:val="24"/>
                <w:szCs w:val="24"/>
              </w:rPr>
              <w:t>新疆政府采购网（http://www.ccgp-xinjiang.gov.cn）</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Align w:val="center"/>
          </w:tcPr>
          <w:p>
            <w:pPr>
              <w:jc w:val="center"/>
              <w:rPr>
                <w:rFonts w:asciiTheme="minorEastAsia" w:hAnsiTheme="minorEastAsia"/>
                <w:sz w:val="24"/>
                <w:szCs w:val="24"/>
              </w:rPr>
            </w:pPr>
            <w:r>
              <w:rPr>
                <w:rFonts w:hint="eastAsia" w:asciiTheme="minorEastAsia" w:hAnsiTheme="minorEastAsia"/>
                <w:sz w:val="24"/>
                <w:szCs w:val="24"/>
              </w:rPr>
              <w:t>15</w:t>
            </w:r>
          </w:p>
        </w:tc>
        <w:tc>
          <w:tcPr>
            <w:tcW w:w="1676" w:type="dxa"/>
            <w:vAlign w:val="center"/>
          </w:tcPr>
          <w:p>
            <w:pPr>
              <w:jc w:val="distribute"/>
              <w:rPr>
                <w:rFonts w:asciiTheme="minorEastAsia" w:hAnsiTheme="minorEastAsia"/>
                <w:sz w:val="24"/>
                <w:szCs w:val="24"/>
              </w:rPr>
            </w:pPr>
            <w:r>
              <w:rPr>
                <w:rFonts w:hint="eastAsia" w:asciiTheme="minorEastAsia" w:hAnsiTheme="minorEastAsia"/>
                <w:sz w:val="24"/>
                <w:szCs w:val="24"/>
              </w:rPr>
              <w:t>履约保证金</w:t>
            </w:r>
          </w:p>
        </w:tc>
        <w:tc>
          <w:tcPr>
            <w:tcW w:w="6823" w:type="dxa"/>
            <w:vAlign w:val="center"/>
          </w:tcPr>
          <w:p>
            <w:pPr>
              <w:jc w:val="left"/>
              <w:rPr>
                <w:rFonts w:asciiTheme="minorEastAsia" w:hAnsiTheme="minorEastAsia"/>
                <w:sz w:val="24"/>
                <w:szCs w:val="24"/>
              </w:rPr>
            </w:pPr>
            <w:r>
              <w:rPr>
                <w:rFonts w:hint="eastAsia" w:asciiTheme="minorEastAsia" w:hAnsiTheme="minorEastAsia"/>
                <w:sz w:val="24"/>
                <w:szCs w:val="2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Align w:val="center"/>
          </w:tcPr>
          <w:p>
            <w:pPr>
              <w:jc w:val="center"/>
              <w:rPr>
                <w:rFonts w:asciiTheme="minorEastAsia" w:hAnsiTheme="minorEastAsia"/>
                <w:sz w:val="24"/>
                <w:szCs w:val="24"/>
              </w:rPr>
            </w:pPr>
            <w:r>
              <w:rPr>
                <w:rFonts w:hint="eastAsia" w:asciiTheme="minorEastAsia" w:hAnsiTheme="minorEastAsia"/>
                <w:sz w:val="24"/>
                <w:szCs w:val="24"/>
              </w:rPr>
              <w:t>16</w:t>
            </w:r>
          </w:p>
        </w:tc>
        <w:tc>
          <w:tcPr>
            <w:tcW w:w="1676" w:type="dxa"/>
            <w:vAlign w:val="center"/>
          </w:tcPr>
          <w:p>
            <w:pPr>
              <w:jc w:val="distribute"/>
              <w:rPr>
                <w:rFonts w:asciiTheme="minorEastAsia" w:hAnsiTheme="minorEastAsia"/>
                <w:sz w:val="24"/>
                <w:szCs w:val="24"/>
              </w:rPr>
            </w:pPr>
            <w:r>
              <w:rPr>
                <w:rFonts w:hint="eastAsia" w:asciiTheme="minorEastAsia" w:hAnsiTheme="minorEastAsia"/>
                <w:sz w:val="24"/>
                <w:szCs w:val="24"/>
              </w:rPr>
              <w:t>中小企业政策说明</w:t>
            </w:r>
          </w:p>
        </w:tc>
        <w:tc>
          <w:tcPr>
            <w:tcW w:w="6823" w:type="dxa"/>
            <w:vAlign w:val="center"/>
          </w:tcPr>
          <w:p>
            <w:pPr>
              <w:keepNext/>
              <w:widowControl/>
              <w:jc w:val="left"/>
            </w:pPr>
            <w:r>
              <w:rPr>
                <w:rFonts w:hint="eastAsia"/>
              </w:rPr>
              <w:t>1、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w:t>
            </w:r>
          </w:p>
          <w:p>
            <w:pPr>
              <w:keepNext/>
              <w:widowControl/>
              <w:jc w:val="left"/>
            </w:pPr>
            <w:r>
              <w:rPr>
                <w:rFonts w:hint="eastAsia"/>
              </w:rPr>
              <w:t>2、在政府采购活动中，供应商提供的货物、工程或者服务符合下列情形的，享受中小企业扶持政策：（一）在货物采购项目中，货物由中小企业制造，即货物由中小企业生产且使用该中小企业商号或者注册商标；（二）在工程采购项目中，工程由中小企业承建，即工程施工单位为中小企业；（三）在服务采购项目中，服务由中小企业承接，即提供服务的人员为中小企业依照《中华人民共和国劳动合同法》订立劳动合同的从业人员。</w:t>
            </w:r>
          </w:p>
          <w:p>
            <w:pPr>
              <w:keepNext/>
              <w:widowControl/>
              <w:jc w:val="left"/>
            </w:pPr>
            <w:r>
              <w:rPr>
                <w:rFonts w:hint="eastAsia"/>
              </w:rPr>
              <w:t>3、在货物采购项目中，供应商提供的货物既有中小企业制造货物，也有大型企业制造货物的，不享受本办法规定的中小企业扶持政策。</w:t>
            </w:r>
          </w:p>
          <w:p>
            <w:pPr>
              <w:keepNext/>
              <w:widowControl/>
              <w:jc w:val="left"/>
            </w:pPr>
            <w:r>
              <w:rPr>
                <w:rFonts w:hint="eastAsia"/>
              </w:rPr>
              <w:t>4、以联合体形式参加政府采购活动，联合体各方均为中小企业的，联合体视同中小企业。其中，联合体各方均为小微企业的，联合体视同小微企业。</w:t>
            </w:r>
          </w:p>
          <w:p>
            <w:pPr>
              <w:keepNext/>
              <w:widowControl/>
              <w:jc w:val="left"/>
            </w:pPr>
            <w:r>
              <w:rPr>
                <w:rFonts w:hint="eastAsia"/>
              </w:rPr>
              <w:t>5、供应商经享受扶持政策获得政府采购合同的，小微企业不得将合同分包给大中型企业，中型企业不得将合同分包给大型企业；</w:t>
            </w:r>
          </w:p>
          <w:p>
            <w:pPr>
              <w:jc w:val="left"/>
            </w:pPr>
            <w:r>
              <w:rPr>
                <w:rFonts w:hint="eastAsia"/>
              </w:rPr>
              <w:t>6、本项目中小企业扶持政策：</w:t>
            </w:r>
            <w:r>
              <w:t>因落实政府采购政策</w:t>
            </w:r>
            <w:r>
              <w:rPr>
                <w:rFonts w:hint="eastAsia"/>
              </w:rPr>
              <w:t>对小微企业、残疾人福利性单位、监狱企业的价格给予10%</w:t>
            </w:r>
            <w:r>
              <w:t>价格</w:t>
            </w:r>
            <w:r>
              <w:rPr>
                <w:rFonts w:hint="eastAsia"/>
              </w:rPr>
              <w:t>扣除；</w:t>
            </w:r>
            <w:r>
              <w:t>以</w:t>
            </w:r>
            <w:r>
              <w:rPr>
                <w:rFonts w:hint="eastAsia"/>
              </w:rPr>
              <w:t>扣除</w:t>
            </w:r>
            <w:r>
              <w:t>后的价格</w:t>
            </w:r>
            <w:r>
              <w:rPr>
                <w:rFonts w:hint="eastAsia"/>
              </w:rPr>
              <w:t>参与评审，不重复享受价格扣除政策。</w:t>
            </w:r>
          </w:p>
          <w:p>
            <w:pPr>
              <w:jc w:val="left"/>
            </w:pPr>
            <w:r>
              <w:rPr>
                <w:rFonts w:hint="eastAsia"/>
              </w:rPr>
              <w:t>7、根据“关于印发中小企业划型标准规定的通知(工信部联企业〔2011〕300号)”等有关规定，本项目标的所属行业为软件和信息技术服务业。</w:t>
            </w:r>
          </w:p>
          <w:p>
            <w:pPr>
              <w:pStyle w:val="2"/>
              <w:ind w:firstLine="0" w:firstLineChars="0"/>
            </w:pPr>
            <w:r>
              <w:rPr>
                <w:rFonts w:hint="eastAsia" w:asciiTheme="minorHAnsi" w:hAnsiTheme="minorHAnsi" w:eastAsiaTheme="minorEastAsia" w:cstheme="minorBidi"/>
                <w:kern w:val="2"/>
                <w:sz w:val="21"/>
                <w:szCs w:val="22"/>
                <w:highlight w:val="none"/>
              </w:rPr>
              <w:t>8、根据《政府采购促进中小企业发展管理办法》（财库〔2020〕46号）、《关于进一步加大政府采购支持中小企业力度的通知》（财库〔2022〕19号）、《关于落实好政府采购支持中小企业发展的通知》（新财购〔2022〕22号）文的规定，本项目将对小型和微型企业给予10%的价格扣除优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Align w:val="center"/>
          </w:tcPr>
          <w:p>
            <w:pPr>
              <w:jc w:val="center"/>
              <w:rPr>
                <w:rFonts w:asciiTheme="minorEastAsia" w:hAnsiTheme="minorEastAsia"/>
                <w:b/>
                <w:bCs/>
                <w:sz w:val="24"/>
                <w:szCs w:val="24"/>
              </w:rPr>
            </w:pPr>
            <w:r>
              <w:rPr>
                <w:rFonts w:hint="eastAsia" w:asciiTheme="minorEastAsia" w:hAnsiTheme="minorEastAsia"/>
                <w:b/>
                <w:bCs/>
                <w:sz w:val="24"/>
                <w:szCs w:val="24"/>
              </w:rPr>
              <w:t>17</w:t>
            </w:r>
          </w:p>
        </w:tc>
        <w:tc>
          <w:tcPr>
            <w:tcW w:w="1676" w:type="dxa"/>
            <w:vAlign w:val="center"/>
          </w:tcPr>
          <w:p>
            <w:pPr>
              <w:jc w:val="distribute"/>
              <w:rPr>
                <w:rFonts w:asciiTheme="minorEastAsia" w:hAnsiTheme="minorEastAsia"/>
                <w:b/>
                <w:bCs/>
                <w:sz w:val="24"/>
                <w:szCs w:val="24"/>
              </w:rPr>
            </w:pPr>
            <w:r>
              <w:rPr>
                <w:rFonts w:hint="eastAsia" w:ascii="宋体" w:hAnsi="宋体" w:cs="宋体"/>
                <w:b/>
                <w:bCs/>
                <w:sz w:val="24"/>
                <w:szCs w:val="24"/>
              </w:rPr>
              <w:t>磋商现场资格查验内容</w:t>
            </w:r>
          </w:p>
        </w:tc>
        <w:tc>
          <w:tcPr>
            <w:tcW w:w="6823" w:type="dxa"/>
            <w:vAlign w:val="center"/>
          </w:tcPr>
          <w:p>
            <w:pPr>
              <w:numPr>
                <w:ilvl w:val="0"/>
                <w:numId w:val="1"/>
              </w:numPr>
              <w:spacing w:line="360" w:lineRule="exact"/>
              <w:rPr>
                <w:rFonts w:ascii="宋体" w:hAnsi="宋体" w:cs="宋体"/>
                <w:b/>
                <w:bCs/>
                <w:sz w:val="24"/>
                <w:szCs w:val="24"/>
              </w:rPr>
            </w:pPr>
            <w:r>
              <w:rPr>
                <w:rFonts w:hint="eastAsia" w:ascii="宋体" w:hAnsi="宋体" w:cs="宋体"/>
                <w:b/>
                <w:bCs/>
                <w:sz w:val="24"/>
                <w:szCs w:val="24"/>
              </w:rPr>
              <w:t>营业执照复印件加盖公章</w:t>
            </w:r>
          </w:p>
          <w:p>
            <w:pPr>
              <w:numPr>
                <w:ilvl w:val="0"/>
                <w:numId w:val="1"/>
              </w:numPr>
              <w:spacing w:line="360" w:lineRule="exact"/>
              <w:rPr>
                <w:rFonts w:ascii="宋体" w:hAnsi="宋体" w:cs="宋体"/>
                <w:b/>
                <w:bCs/>
                <w:sz w:val="24"/>
                <w:szCs w:val="24"/>
              </w:rPr>
            </w:pPr>
            <w:r>
              <w:rPr>
                <w:rFonts w:hint="eastAsia" w:ascii="宋体" w:hAnsi="宋体" w:cs="宋体"/>
                <w:b/>
                <w:bCs/>
                <w:sz w:val="24"/>
                <w:szCs w:val="24"/>
              </w:rPr>
              <w:t>法定代表人投标需携带法定代表人证明书（原件）及法定代表人身份证（原件）；委托代理人投标需携带法定代表人授权委托书（原件）及委托代理人身份证（原件）</w:t>
            </w:r>
          </w:p>
          <w:p>
            <w:pPr>
              <w:spacing w:line="360" w:lineRule="exact"/>
              <w:rPr>
                <w:rFonts w:ascii="宋体" w:hAnsi="宋体" w:cs="宋体"/>
                <w:b/>
                <w:bCs/>
                <w:sz w:val="24"/>
                <w:szCs w:val="24"/>
              </w:rPr>
            </w:pPr>
            <w:r>
              <w:rPr>
                <w:rFonts w:hint="eastAsia" w:ascii="宋体" w:hAnsi="宋体" w:cs="宋体"/>
                <w:b/>
                <w:bCs/>
                <w:sz w:val="24"/>
                <w:szCs w:val="24"/>
              </w:rPr>
              <w:t>3、保证金汇款凭证加盖公章</w:t>
            </w:r>
          </w:p>
          <w:p>
            <w:pPr>
              <w:pStyle w:val="2"/>
              <w:ind w:firstLine="0" w:firstLineChars="0"/>
              <w:rPr>
                <w:rFonts w:asciiTheme="minorHAnsi" w:hAnsiTheme="minorHAnsi" w:eastAsiaTheme="minorEastAsia" w:cstheme="minorBidi"/>
                <w:b/>
                <w:bCs/>
                <w:kern w:val="2"/>
                <w:sz w:val="21"/>
                <w:szCs w:val="22"/>
                <w:highlight w:val="green"/>
              </w:rPr>
            </w:pPr>
            <w:r>
              <w:rPr>
                <w:rFonts w:hint="eastAsia" w:ascii="宋体" w:hAnsi="宋体" w:cs="宋体"/>
                <w:b/>
                <w:bCs/>
                <w:szCs w:val="24"/>
              </w:rPr>
              <w:t>注：以上资料均为原件，未按上述要求提供证件的响应性文件予以拒绝评审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Align w:val="center"/>
          </w:tcPr>
          <w:p>
            <w:pPr>
              <w:jc w:val="center"/>
              <w:rPr>
                <w:rFonts w:asciiTheme="minorEastAsia" w:hAnsiTheme="minorEastAsia"/>
                <w:b/>
                <w:bCs/>
                <w:sz w:val="24"/>
                <w:szCs w:val="24"/>
              </w:rPr>
            </w:pPr>
            <w:r>
              <w:rPr>
                <w:rFonts w:hint="eastAsia" w:ascii="宋体" w:hAnsi="宋体" w:cs="宋体"/>
                <w:b/>
                <w:bCs/>
                <w:sz w:val="24"/>
                <w:szCs w:val="24"/>
              </w:rPr>
              <w:t>18</w:t>
            </w:r>
          </w:p>
        </w:tc>
        <w:tc>
          <w:tcPr>
            <w:tcW w:w="1676" w:type="dxa"/>
            <w:vAlign w:val="center"/>
          </w:tcPr>
          <w:p>
            <w:pPr>
              <w:jc w:val="distribute"/>
              <w:rPr>
                <w:rFonts w:asciiTheme="minorEastAsia" w:hAnsiTheme="minorEastAsia"/>
                <w:b/>
                <w:bCs/>
                <w:sz w:val="24"/>
                <w:szCs w:val="24"/>
              </w:rPr>
            </w:pPr>
            <w:r>
              <w:rPr>
                <w:rFonts w:hint="eastAsia" w:asciiTheme="minorEastAsia" w:hAnsiTheme="minorEastAsia"/>
                <w:b/>
                <w:bCs/>
                <w:sz w:val="24"/>
                <w:szCs w:val="24"/>
              </w:rPr>
              <w:t>采购代理服务费</w:t>
            </w:r>
          </w:p>
        </w:tc>
        <w:tc>
          <w:tcPr>
            <w:tcW w:w="6823" w:type="dxa"/>
            <w:vAlign w:val="center"/>
          </w:tcPr>
          <w:p>
            <w:pPr>
              <w:pStyle w:val="2"/>
              <w:ind w:firstLine="0" w:firstLineChars="0"/>
              <w:rPr>
                <w:rFonts w:asciiTheme="minorHAnsi" w:hAnsiTheme="minorHAnsi" w:eastAsiaTheme="minorEastAsia" w:cstheme="minorBidi"/>
                <w:b/>
                <w:bCs/>
                <w:kern w:val="2"/>
                <w:sz w:val="21"/>
                <w:szCs w:val="22"/>
                <w:highlight w:val="green"/>
              </w:rPr>
            </w:pPr>
            <w:r>
              <w:rPr>
                <w:rFonts w:hint="eastAsia" w:ascii="宋体" w:hAnsi="宋体" w:cs="宋体"/>
                <w:b/>
                <w:bCs/>
                <w:szCs w:val="24"/>
              </w:rPr>
              <w:t>代理报酬为人民币按照发改价格【2015】299号文件规定，代理费收费标准协商确定，本项目代理费收费标准参照以下计算方法收取。以货物招标为例：100万元以下，费率为1.5%；100-500万元，费率为1.1%；500-1000万元，费率为0.8%；1000-5000万元，费率为0.5%；5000-10000万元以上，按差额定率累进法计算，由成交单位支付代理报酬。</w:t>
            </w:r>
          </w:p>
        </w:tc>
      </w:tr>
    </w:tbl>
    <w:p>
      <w:pPr>
        <w:rPr>
          <w:rFonts w:ascii="宋体" w:hAnsi="Calibri" w:eastAsia="宋体" w:cs="Times New Roman"/>
          <w:kern w:val="0"/>
          <w:sz w:val="24"/>
          <w:szCs w:val="24"/>
        </w:rPr>
      </w:pPr>
    </w:p>
    <w:p>
      <w:pPr>
        <w:spacing w:line="360" w:lineRule="auto"/>
        <w:jc w:val="center"/>
        <w:outlineLvl w:val="0"/>
        <w:rPr>
          <w:rFonts w:ascii="宋体" w:hAnsi="宋体" w:eastAsia="宋体" w:cs="宋体"/>
          <w:b/>
          <w:sz w:val="24"/>
          <w:szCs w:val="24"/>
        </w:rPr>
      </w:pPr>
      <w:bookmarkStart w:id="1" w:name="_BookMark_3"/>
      <w:bookmarkEnd w:id="1"/>
      <w:r>
        <w:rPr>
          <w:rFonts w:ascii="宋体" w:hAnsi="Calibri" w:eastAsia="宋体" w:cs="Arial"/>
          <w:kern w:val="0"/>
          <w:sz w:val="24"/>
          <w:szCs w:val="24"/>
        </w:rPr>
        <w:br w:type="page"/>
      </w:r>
      <w:bookmarkStart w:id="2" w:name="_Toc104243908"/>
      <w:r>
        <w:rPr>
          <w:rFonts w:hint="eastAsia" w:ascii="宋体" w:hAnsi="宋体" w:eastAsia="宋体" w:cs="宋体"/>
          <w:b/>
          <w:sz w:val="24"/>
          <w:szCs w:val="24"/>
        </w:rPr>
        <w:t>第一章 供应商须知</w:t>
      </w:r>
      <w:bookmarkEnd w:id="2"/>
      <w:bookmarkStart w:id="3" w:name="_BookMark_2"/>
      <w:bookmarkEnd w:id="3"/>
    </w:p>
    <w:p>
      <w:pPr>
        <w:tabs>
          <w:tab w:val="center" w:pos="4832"/>
          <w:tab w:val="left" w:pos="7140"/>
        </w:tabs>
        <w:spacing w:line="360" w:lineRule="auto"/>
        <w:ind w:firstLine="472" w:firstLineChars="196"/>
        <w:jc w:val="left"/>
        <w:outlineLvl w:val="1"/>
        <w:rPr>
          <w:rFonts w:ascii="宋体" w:hAnsi="Calibri" w:eastAsia="宋体" w:cs="宋体"/>
          <w:b/>
          <w:sz w:val="24"/>
          <w:szCs w:val="24"/>
        </w:rPr>
      </w:pPr>
      <w:bookmarkStart w:id="4" w:name="_Toc104243909"/>
      <w:bookmarkStart w:id="5" w:name="_Toc535592195"/>
      <w:r>
        <w:rPr>
          <w:rFonts w:ascii="宋体" w:hAnsi="宋体" w:eastAsia="宋体" w:cs="宋体"/>
          <w:b/>
          <w:sz w:val="24"/>
          <w:szCs w:val="24"/>
        </w:rPr>
        <w:t>1</w:t>
      </w:r>
      <w:r>
        <w:rPr>
          <w:rFonts w:hint="eastAsia" w:ascii="宋体" w:hAnsi="宋体" w:eastAsia="宋体" w:cs="宋体"/>
          <w:b/>
          <w:sz w:val="24"/>
          <w:szCs w:val="24"/>
        </w:rPr>
        <w:t>．总则</w:t>
      </w:r>
      <w:bookmarkEnd w:id="4"/>
      <w:bookmarkEnd w:id="5"/>
    </w:p>
    <w:p>
      <w:pPr>
        <w:widowControl/>
        <w:shd w:val="clear" w:color="auto" w:fill="FFFFFF"/>
        <w:snapToGrid w:val="0"/>
        <w:spacing w:line="360" w:lineRule="auto"/>
        <w:ind w:firstLine="480" w:firstLineChars="200"/>
        <w:rPr>
          <w:rFonts w:ascii="宋体" w:hAnsi="Calibri" w:eastAsia="宋体" w:cs="Arial"/>
          <w:kern w:val="0"/>
          <w:sz w:val="24"/>
          <w:szCs w:val="24"/>
        </w:rPr>
      </w:pPr>
      <w:r>
        <w:rPr>
          <w:rFonts w:ascii="宋体" w:hAnsi="宋体" w:eastAsia="宋体" w:cs="Arial"/>
          <w:kern w:val="0"/>
          <w:sz w:val="24"/>
          <w:szCs w:val="24"/>
        </w:rPr>
        <w:t xml:space="preserve">1.1 </w:t>
      </w:r>
      <w:r>
        <w:rPr>
          <w:rFonts w:hint="eastAsia" w:ascii="宋体" w:hAnsi="宋体" w:eastAsia="宋体" w:cs="Arial"/>
          <w:kern w:val="0"/>
          <w:sz w:val="24"/>
          <w:szCs w:val="24"/>
        </w:rPr>
        <w:t>招标项目概况</w:t>
      </w:r>
    </w:p>
    <w:p>
      <w:pPr>
        <w:widowControl/>
        <w:shd w:val="clear" w:color="auto" w:fill="FFFFFF"/>
        <w:snapToGrid w:val="0"/>
        <w:spacing w:line="360" w:lineRule="auto"/>
        <w:ind w:firstLine="480" w:firstLineChars="200"/>
        <w:rPr>
          <w:rFonts w:ascii="宋体" w:hAnsi="宋体" w:eastAsia="宋体" w:cs="Arial"/>
          <w:kern w:val="0"/>
          <w:sz w:val="24"/>
          <w:szCs w:val="24"/>
        </w:rPr>
      </w:pPr>
      <w:r>
        <w:rPr>
          <w:rFonts w:ascii="宋体" w:hAnsi="宋体" w:eastAsia="宋体" w:cs="Arial"/>
          <w:kern w:val="0"/>
          <w:sz w:val="24"/>
          <w:szCs w:val="24"/>
        </w:rPr>
        <w:t xml:space="preserve">1.1.1 </w:t>
      </w:r>
      <w:r>
        <w:rPr>
          <w:rFonts w:hint="eastAsia" w:ascii="宋体" w:hAnsi="宋体" w:eastAsia="宋体" w:cs="Arial"/>
          <w:kern w:val="0"/>
          <w:sz w:val="24"/>
          <w:szCs w:val="24"/>
        </w:rPr>
        <w:t>项目名称：见供应商须知前附表。</w:t>
      </w:r>
    </w:p>
    <w:p>
      <w:pPr>
        <w:widowControl/>
        <w:shd w:val="clear" w:color="auto" w:fill="FFFFFF"/>
        <w:snapToGrid w:val="0"/>
        <w:spacing w:line="360" w:lineRule="auto"/>
        <w:ind w:firstLine="480" w:firstLineChars="200"/>
        <w:rPr>
          <w:rFonts w:ascii="宋体" w:hAnsi="宋体" w:eastAsia="宋体" w:cs="Arial"/>
          <w:kern w:val="0"/>
          <w:sz w:val="24"/>
          <w:szCs w:val="24"/>
        </w:rPr>
      </w:pPr>
      <w:r>
        <w:rPr>
          <w:rFonts w:ascii="宋体" w:hAnsi="宋体" w:eastAsia="宋体" w:cs="Arial"/>
          <w:kern w:val="0"/>
          <w:sz w:val="24"/>
          <w:szCs w:val="24"/>
        </w:rPr>
        <w:t>1.1.2</w:t>
      </w:r>
      <w:r>
        <w:rPr>
          <w:rFonts w:hint="eastAsia" w:ascii="宋体" w:hAnsi="宋体" w:eastAsia="宋体" w:cs="Arial"/>
          <w:kern w:val="0"/>
          <w:sz w:val="24"/>
          <w:szCs w:val="24"/>
        </w:rPr>
        <w:t>项目编号：见供应商须知前附表。</w:t>
      </w:r>
    </w:p>
    <w:p>
      <w:pPr>
        <w:widowControl/>
        <w:shd w:val="clear" w:color="auto" w:fill="FFFFFF"/>
        <w:snapToGrid w:val="0"/>
        <w:spacing w:line="360" w:lineRule="auto"/>
        <w:ind w:firstLine="480" w:firstLineChars="200"/>
        <w:rPr>
          <w:rFonts w:ascii="宋体" w:hAnsi="宋体" w:eastAsia="宋体" w:cs="Arial"/>
          <w:kern w:val="0"/>
          <w:sz w:val="24"/>
          <w:szCs w:val="24"/>
        </w:rPr>
      </w:pPr>
      <w:r>
        <w:rPr>
          <w:rFonts w:ascii="宋体" w:hAnsi="宋体" w:eastAsia="宋体" w:cs="Arial"/>
          <w:kern w:val="0"/>
          <w:sz w:val="24"/>
          <w:szCs w:val="24"/>
        </w:rPr>
        <w:t>1.1.3</w:t>
      </w:r>
      <w:r>
        <w:rPr>
          <w:rFonts w:hint="eastAsia" w:ascii="宋体" w:hAnsi="宋体" w:eastAsia="宋体" w:cs="Arial"/>
          <w:kern w:val="0"/>
          <w:sz w:val="24"/>
          <w:szCs w:val="24"/>
        </w:rPr>
        <w:t>采购人：见供应商须知前附表。</w:t>
      </w:r>
    </w:p>
    <w:p>
      <w:pPr>
        <w:widowControl/>
        <w:shd w:val="clear" w:color="auto" w:fill="FFFFFF"/>
        <w:snapToGrid w:val="0"/>
        <w:spacing w:line="360" w:lineRule="auto"/>
        <w:ind w:firstLine="480" w:firstLineChars="200"/>
        <w:rPr>
          <w:rFonts w:ascii="宋体" w:hAnsi="宋体" w:eastAsia="宋体" w:cs="Arial"/>
          <w:kern w:val="0"/>
          <w:sz w:val="24"/>
          <w:szCs w:val="24"/>
        </w:rPr>
      </w:pPr>
      <w:r>
        <w:rPr>
          <w:rFonts w:ascii="宋体" w:hAnsi="宋体" w:eastAsia="宋体" w:cs="Arial"/>
          <w:kern w:val="0"/>
          <w:sz w:val="24"/>
          <w:szCs w:val="24"/>
        </w:rPr>
        <w:t>1.1.4</w:t>
      </w:r>
      <w:r>
        <w:rPr>
          <w:rFonts w:hint="eastAsia" w:ascii="宋体" w:hAnsi="宋体" w:eastAsia="宋体" w:cs="Arial"/>
          <w:kern w:val="0"/>
          <w:sz w:val="24"/>
          <w:szCs w:val="24"/>
        </w:rPr>
        <w:t>采购代理机构：见供应商须知前附表。</w:t>
      </w:r>
    </w:p>
    <w:p>
      <w:pPr>
        <w:widowControl/>
        <w:shd w:val="clear" w:color="auto" w:fill="FFFFFF"/>
        <w:snapToGrid w:val="0"/>
        <w:spacing w:line="360" w:lineRule="auto"/>
        <w:ind w:firstLine="480" w:firstLineChars="200"/>
        <w:rPr>
          <w:rFonts w:ascii="宋体" w:hAnsi="宋体" w:eastAsia="宋体" w:cs="Arial"/>
          <w:kern w:val="0"/>
          <w:sz w:val="24"/>
          <w:szCs w:val="24"/>
        </w:rPr>
      </w:pPr>
      <w:r>
        <w:rPr>
          <w:rFonts w:ascii="宋体" w:hAnsi="宋体" w:eastAsia="宋体" w:cs="Arial"/>
          <w:kern w:val="0"/>
          <w:sz w:val="24"/>
          <w:szCs w:val="24"/>
        </w:rPr>
        <w:t>1.1.5</w:t>
      </w:r>
      <w:r>
        <w:rPr>
          <w:rFonts w:hint="eastAsia" w:ascii="宋体" w:hAnsi="宋体" w:eastAsia="宋体" w:cs="Arial"/>
          <w:kern w:val="0"/>
          <w:sz w:val="24"/>
          <w:szCs w:val="24"/>
        </w:rPr>
        <w:t>项目地点：见供应商须知前附表。</w:t>
      </w:r>
    </w:p>
    <w:p>
      <w:pPr>
        <w:pStyle w:val="7"/>
        <w:ind w:firstLine="480" w:firstLineChars="200"/>
        <w:rPr>
          <w:rFonts w:ascii="宋体" w:hAnsi="宋体" w:cs="Arial"/>
          <w:szCs w:val="24"/>
        </w:rPr>
      </w:pPr>
      <w:r>
        <w:rPr>
          <w:rFonts w:ascii="宋体" w:hAnsi="宋体" w:cs="Arial"/>
          <w:szCs w:val="24"/>
        </w:rPr>
        <w:t>1.1.6</w:t>
      </w:r>
      <w:r>
        <w:rPr>
          <w:rFonts w:hint="eastAsia" w:ascii="宋体" w:hAnsi="宋体" w:cs="Arial"/>
          <w:szCs w:val="24"/>
        </w:rPr>
        <w:t>资金来源：见供应商须知前附表。</w:t>
      </w:r>
    </w:p>
    <w:p>
      <w:pPr>
        <w:widowControl/>
        <w:shd w:val="clear" w:color="auto" w:fill="FFFFFF"/>
        <w:snapToGrid w:val="0"/>
        <w:spacing w:line="360" w:lineRule="auto"/>
        <w:ind w:firstLine="480" w:firstLineChars="200"/>
        <w:rPr>
          <w:rFonts w:ascii="宋体" w:hAnsi="宋体" w:eastAsia="宋体" w:cs="Arial"/>
          <w:kern w:val="0"/>
          <w:sz w:val="24"/>
          <w:szCs w:val="24"/>
        </w:rPr>
      </w:pPr>
      <w:r>
        <w:rPr>
          <w:rFonts w:ascii="宋体" w:hAnsi="宋体" w:eastAsia="宋体" w:cs="Arial"/>
          <w:kern w:val="0"/>
          <w:sz w:val="24"/>
          <w:szCs w:val="24"/>
        </w:rPr>
        <w:t>1.1.7</w:t>
      </w:r>
      <w:r>
        <w:rPr>
          <w:rFonts w:hint="eastAsia" w:ascii="宋体" w:hAnsi="宋体" w:eastAsia="宋体" w:cs="Arial"/>
          <w:kern w:val="0"/>
          <w:sz w:val="24"/>
          <w:szCs w:val="24"/>
        </w:rPr>
        <w:t>采购预算金额：见供应商须知前附表。</w:t>
      </w:r>
    </w:p>
    <w:p>
      <w:pPr>
        <w:widowControl/>
        <w:shd w:val="clear" w:color="auto" w:fill="FFFFFF"/>
        <w:snapToGrid w:val="0"/>
        <w:spacing w:line="360" w:lineRule="auto"/>
        <w:ind w:firstLine="480" w:firstLineChars="200"/>
        <w:rPr>
          <w:rFonts w:ascii="宋体" w:hAnsi="宋体" w:eastAsia="宋体" w:cs="Arial"/>
          <w:kern w:val="0"/>
          <w:sz w:val="24"/>
          <w:szCs w:val="24"/>
        </w:rPr>
      </w:pPr>
      <w:r>
        <w:rPr>
          <w:rFonts w:ascii="宋体" w:hAnsi="宋体" w:eastAsia="宋体" w:cs="Arial"/>
          <w:kern w:val="0"/>
          <w:sz w:val="24"/>
          <w:szCs w:val="24"/>
        </w:rPr>
        <w:t>1.1.</w:t>
      </w:r>
      <w:r>
        <w:rPr>
          <w:rFonts w:hint="eastAsia" w:ascii="宋体" w:hAnsi="宋体" w:eastAsia="宋体" w:cs="Arial"/>
          <w:kern w:val="0"/>
          <w:sz w:val="24"/>
          <w:szCs w:val="24"/>
        </w:rPr>
        <w:t>8服务周期：见供应商须知前附表。</w:t>
      </w:r>
    </w:p>
    <w:p>
      <w:pPr>
        <w:widowControl/>
        <w:shd w:val="clear" w:color="auto" w:fill="FFFFFF"/>
        <w:snapToGrid w:val="0"/>
        <w:spacing w:line="360" w:lineRule="auto"/>
        <w:ind w:firstLine="480" w:firstLineChars="200"/>
        <w:rPr>
          <w:rFonts w:ascii="宋体" w:hAnsi="宋体" w:eastAsia="宋体" w:cs="Arial"/>
          <w:kern w:val="0"/>
          <w:sz w:val="24"/>
          <w:szCs w:val="24"/>
        </w:rPr>
      </w:pPr>
      <w:r>
        <w:rPr>
          <w:rFonts w:ascii="宋体" w:hAnsi="宋体" w:eastAsia="宋体" w:cs="Arial"/>
          <w:kern w:val="0"/>
          <w:sz w:val="24"/>
          <w:szCs w:val="24"/>
        </w:rPr>
        <w:t>1.1.</w:t>
      </w:r>
      <w:r>
        <w:rPr>
          <w:rFonts w:hint="eastAsia" w:ascii="宋体" w:hAnsi="宋体" w:eastAsia="宋体" w:cs="Arial"/>
          <w:kern w:val="0"/>
          <w:sz w:val="24"/>
          <w:szCs w:val="24"/>
        </w:rPr>
        <w:t>9服务地点：见供应商须知前附表。</w:t>
      </w:r>
    </w:p>
    <w:p>
      <w:pPr>
        <w:widowControl/>
        <w:shd w:val="clear" w:color="auto" w:fill="FFFFFF"/>
        <w:snapToGrid w:val="0"/>
        <w:spacing w:line="360" w:lineRule="auto"/>
        <w:ind w:firstLine="480" w:firstLineChars="200"/>
        <w:rPr>
          <w:rFonts w:ascii="宋体" w:hAnsi="宋体" w:eastAsia="宋体" w:cs="Arial"/>
          <w:kern w:val="0"/>
          <w:sz w:val="24"/>
          <w:szCs w:val="24"/>
        </w:rPr>
      </w:pPr>
      <w:r>
        <w:rPr>
          <w:rFonts w:ascii="宋体" w:hAnsi="宋体" w:eastAsia="宋体" w:cs="Arial"/>
          <w:kern w:val="0"/>
          <w:sz w:val="24"/>
          <w:szCs w:val="24"/>
        </w:rPr>
        <w:t>1.2</w:t>
      </w:r>
      <w:r>
        <w:rPr>
          <w:rFonts w:hint="eastAsia" w:ascii="宋体" w:hAnsi="宋体" w:eastAsia="宋体" w:cs="Arial"/>
          <w:kern w:val="0"/>
          <w:sz w:val="24"/>
          <w:szCs w:val="24"/>
        </w:rPr>
        <w:t>采购范围：见供应商须知前附表。</w:t>
      </w:r>
    </w:p>
    <w:p>
      <w:pPr>
        <w:widowControl/>
        <w:shd w:val="clear" w:color="auto" w:fill="FFFFFF"/>
        <w:snapToGrid w:val="0"/>
        <w:spacing w:line="360" w:lineRule="auto"/>
        <w:ind w:firstLine="480" w:firstLineChars="200"/>
        <w:rPr>
          <w:rFonts w:ascii="宋体" w:hAnsi="宋体" w:eastAsia="宋体" w:cs="Arial"/>
          <w:kern w:val="0"/>
          <w:sz w:val="24"/>
          <w:szCs w:val="24"/>
        </w:rPr>
      </w:pPr>
      <w:r>
        <w:rPr>
          <w:rFonts w:ascii="宋体" w:hAnsi="宋体" w:eastAsia="宋体" w:cs="Arial"/>
          <w:kern w:val="0"/>
          <w:sz w:val="24"/>
          <w:szCs w:val="24"/>
        </w:rPr>
        <w:t xml:space="preserve">1.3 </w:t>
      </w:r>
      <w:r>
        <w:rPr>
          <w:rFonts w:hint="eastAsia" w:ascii="宋体" w:hAnsi="宋体" w:eastAsia="宋体" w:cs="Arial"/>
          <w:kern w:val="0"/>
          <w:sz w:val="24"/>
          <w:szCs w:val="24"/>
        </w:rPr>
        <w:t>采购方式和资格审查方式</w:t>
      </w:r>
    </w:p>
    <w:p>
      <w:pPr>
        <w:widowControl/>
        <w:shd w:val="clear" w:color="auto" w:fill="FFFFFF"/>
        <w:snapToGrid w:val="0"/>
        <w:spacing w:line="360" w:lineRule="auto"/>
        <w:ind w:firstLine="480" w:firstLineChars="200"/>
        <w:rPr>
          <w:rFonts w:ascii="宋体" w:hAnsi="Calibri" w:eastAsia="宋体" w:cs="Arial"/>
          <w:kern w:val="0"/>
          <w:sz w:val="24"/>
          <w:szCs w:val="24"/>
        </w:rPr>
      </w:pPr>
      <w:r>
        <w:rPr>
          <w:rFonts w:ascii="宋体" w:hAnsi="宋体" w:eastAsia="宋体" w:cs="Arial"/>
          <w:kern w:val="0"/>
          <w:sz w:val="24"/>
          <w:szCs w:val="24"/>
        </w:rPr>
        <w:t xml:space="preserve">1.3.1 </w:t>
      </w:r>
      <w:r>
        <w:rPr>
          <w:rFonts w:hint="eastAsia" w:ascii="宋体" w:hAnsi="宋体" w:eastAsia="宋体" w:cs="Arial"/>
          <w:kern w:val="0"/>
          <w:sz w:val="24"/>
          <w:szCs w:val="24"/>
        </w:rPr>
        <w:t>采购方式：见供应商须知前附表。</w:t>
      </w:r>
    </w:p>
    <w:p>
      <w:pPr>
        <w:widowControl/>
        <w:shd w:val="clear" w:color="auto" w:fill="FFFFFF"/>
        <w:snapToGrid w:val="0"/>
        <w:spacing w:line="360" w:lineRule="auto"/>
        <w:ind w:firstLine="480" w:firstLineChars="200"/>
        <w:rPr>
          <w:rFonts w:ascii="宋体" w:hAnsi="Calibri" w:eastAsia="宋体" w:cs="Arial"/>
          <w:kern w:val="0"/>
          <w:sz w:val="24"/>
          <w:szCs w:val="24"/>
        </w:rPr>
      </w:pPr>
      <w:r>
        <w:rPr>
          <w:rFonts w:ascii="宋体" w:hAnsi="宋体" w:eastAsia="宋体" w:cs="Arial"/>
          <w:kern w:val="0"/>
          <w:sz w:val="24"/>
          <w:szCs w:val="24"/>
        </w:rPr>
        <w:t xml:space="preserve">1.3.2 </w:t>
      </w:r>
      <w:r>
        <w:rPr>
          <w:rFonts w:hint="eastAsia" w:ascii="宋体" w:hAnsi="宋体" w:eastAsia="宋体" w:cs="Arial"/>
          <w:kern w:val="0"/>
          <w:sz w:val="24"/>
          <w:szCs w:val="24"/>
        </w:rPr>
        <w:t>资格审查方式：见供应商须知前附表。</w:t>
      </w:r>
    </w:p>
    <w:p>
      <w:pPr>
        <w:widowControl/>
        <w:shd w:val="clear" w:color="auto" w:fill="FFFFFF"/>
        <w:snapToGrid w:val="0"/>
        <w:spacing w:line="360" w:lineRule="auto"/>
        <w:ind w:firstLine="480" w:firstLineChars="200"/>
        <w:rPr>
          <w:rFonts w:ascii="宋体" w:hAnsi="Calibri" w:eastAsia="宋体" w:cs="Arial"/>
          <w:kern w:val="0"/>
          <w:sz w:val="24"/>
          <w:szCs w:val="24"/>
        </w:rPr>
      </w:pPr>
      <w:r>
        <w:rPr>
          <w:rFonts w:ascii="宋体" w:hAnsi="宋体" w:eastAsia="宋体" w:cs="Arial"/>
          <w:kern w:val="0"/>
          <w:sz w:val="24"/>
          <w:szCs w:val="24"/>
        </w:rPr>
        <w:t xml:space="preserve">1.4 </w:t>
      </w:r>
      <w:r>
        <w:rPr>
          <w:rFonts w:hint="eastAsia" w:ascii="宋体" w:hAnsi="宋体" w:eastAsia="宋体" w:cs="Arial"/>
          <w:kern w:val="0"/>
          <w:sz w:val="24"/>
          <w:szCs w:val="24"/>
        </w:rPr>
        <w:t>磋商办法及定标方法</w:t>
      </w:r>
    </w:p>
    <w:p>
      <w:pPr>
        <w:widowControl/>
        <w:shd w:val="clear" w:color="auto" w:fill="FFFFFF"/>
        <w:snapToGrid w:val="0"/>
        <w:spacing w:line="360" w:lineRule="auto"/>
        <w:ind w:firstLine="480" w:firstLineChars="200"/>
        <w:rPr>
          <w:rFonts w:ascii="宋体" w:hAnsi="Calibri" w:eastAsia="宋体" w:cs="Arial"/>
          <w:kern w:val="0"/>
          <w:sz w:val="24"/>
          <w:szCs w:val="24"/>
        </w:rPr>
      </w:pPr>
      <w:r>
        <w:rPr>
          <w:rFonts w:ascii="宋体" w:hAnsi="宋体" w:eastAsia="宋体" w:cs="Arial"/>
          <w:kern w:val="0"/>
          <w:sz w:val="24"/>
          <w:szCs w:val="24"/>
        </w:rPr>
        <w:t xml:space="preserve">1.4.1 </w:t>
      </w:r>
      <w:r>
        <w:rPr>
          <w:rFonts w:hint="eastAsia" w:ascii="宋体" w:hAnsi="宋体" w:eastAsia="宋体" w:cs="Arial"/>
          <w:kern w:val="0"/>
          <w:sz w:val="24"/>
          <w:szCs w:val="24"/>
        </w:rPr>
        <w:t>磋商办法：见供应商须知前附表。</w:t>
      </w:r>
    </w:p>
    <w:p>
      <w:pPr>
        <w:widowControl/>
        <w:shd w:val="clear" w:color="auto" w:fill="FFFFFF"/>
        <w:snapToGrid w:val="0"/>
        <w:spacing w:line="360" w:lineRule="auto"/>
        <w:ind w:firstLine="480" w:firstLineChars="200"/>
        <w:rPr>
          <w:rFonts w:ascii="宋体" w:hAnsi="Calibri" w:eastAsia="宋体" w:cs="Arial"/>
          <w:kern w:val="0"/>
          <w:sz w:val="24"/>
          <w:szCs w:val="24"/>
        </w:rPr>
      </w:pPr>
      <w:r>
        <w:rPr>
          <w:rFonts w:ascii="宋体" w:hAnsi="宋体" w:eastAsia="宋体" w:cs="Arial"/>
          <w:kern w:val="0"/>
          <w:sz w:val="24"/>
          <w:szCs w:val="24"/>
        </w:rPr>
        <w:t>1.4.2</w:t>
      </w:r>
      <w:r>
        <w:rPr>
          <w:rFonts w:hint="eastAsia" w:ascii="宋体" w:hAnsi="宋体" w:eastAsia="宋体" w:cs="Arial"/>
          <w:kern w:val="0"/>
          <w:sz w:val="24"/>
          <w:szCs w:val="24"/>
        </w:rPr>
        <w:t xml:space="preserve"> 定标方法：见供应商须知前附表。</w:t>
      </w:r>
    </w:p>
    <w:p>
      <w:pPr>
        <w:widowControl/>
        <w:shd w:val="clear" w:color="auto" w:fill="FFFFFF"/>
        <w:snapToGrid w:val="0"/>
        <w:spacing w:line="360" w:lineRule="auto"/>
        <w:ind w:firstLine="480" w:firstLineChars="200"/>
        <w:rPr>
          <w:rFonts w:ascii="宋体" w:hAnsi="Calibri" w:eastAsia="宋体" w:cs="Arial"/>
          <w:kern w:val="0"/>
          <w:sz w:val="24"/>
          <w:szCs w:val="24"/>
        </w:rPr>
      </w:pPr>
      <w:r>
        <w:rPr>
          <w:rFonts w:ascii="宋体" w:hAnsi="宋体" w:eastAsia="宋体" w:cs="Arial"/>
          <w:kern w:val="0"/>
          <w:sz w:val="24"/>
          <w:szCs w:val="24"/>
        </w:rPr>
        <w:t xml:space="preserve">1.5 </w:t>
      </w:r>
      <w:r>
        <w:rPr>
          <w:rFonts w:hint="eastAsia" w:ascii="宋体" w:hAnsi="宋体" w:eastAsia="宋体" w:cs="Arial"/>
          <w:kern w:val="0"/>
          <w:sz w:val="24"/>
          <w:szCs w:val="24"/>
        </w:rPr>
        <w:t>供应商资格条件和能力要求</w:t>
      </w:r>
    </w:p>
    <w:p>
      <w:pPr>
        <w:widowControl/>
        <w:shd w:val="clear" w:color="auto" w:fill="FFFFFF"/>
        <w:snapToGrid w:val="0"/>
        <w:spacing w:line="360" w:lineRule="auto"/>
        <w:ind w:firstLine="480" w:firstLineChars="200"/>
        <w:rPr>
          <w:rFonts w:ascii="宋体" w:hAnsi="Calibri" w:eastAsia="宋体" w:cs="Arial"/>
          <w:kern w:val="0"/>
          <w:sz w:val="24"/>
          <w:szCs w:val="24"/>
        </w:rPr>
      </w:pPr>
      <w:r>
        <w:rPr>
          <w:rFonts w:ascii="宋体" w:hAnsi="宋体" w:eastAsia="宋体" w:cs="Arial"/>
          <w:kern w:val="0"/>
          <w:sz w:val="24"/>
          <w:szCs w:val="24"/>
        </w:rPr>
        <w:t xml:space="preserve">1.5.1 </w:t>
      </w:r>
      <w:r>
        <w:rPr>
          <w:rFonts w:hint="eastAsia" w:ascii="宋体" w:hAnsi="宋体" w:eastAsia="宋体" w:cs="Arial"/>
          <w:kern w:val="0"/>
          <w:sz w:val="24"/>
          <w:szCs w:val="24"/>
        </w:rPr>
        <w:t>供应商应具备承担本招标项目的资格条件和能力，具体要求见供应商须知前附表。</w:t>
      </w:r>
    </w:p>
    <w:p>
      <w:pPr>
        <w:widowControl/>
        <w:shd w:val="clear" w:color="auto" w:fill="FFFFFF"/>
        <w:snapToGrid w:val="0"/>
        <w:spacing w:line="360" w:lineRule="auto"/>
        <w:ind w:firstLine="480" w:firstLineChars="200"/>
        <w:rPr>
          <w:rFonts w:ascii="宋体" w:hAnsi="Calibri" w:eastAsia="宋体" w:cs="Arial"/>
          <w:kern w:val="0"/>
          <w:sz w:val="24"/>
          <w:szCs w:val="24"/>
        </w:rPr>
      </w:pPr>
      <w:r>
        <w:rPr>
          <w:rFonts w:ascii="宋体" w:hAnsi="宋体" w:eastAsia="宋体" w:cs="Arial"/>
          <w:kern w:val="0"/>
          <w:sz w:val="24"/>
          <w:szCs w:val="24"/>
        </w:rPr>
        <w:t xml:space="preserve">1.5.2 </w:t>
      </w:r>
      <w:r>
        <w:rPr>
          <w:rFonts w:hint="eastAsia" w:ascii="宋体" w:hAnsi="宋体" w:eastAsia="宋体" w:cs="Arial"/>
          <w:kern w:val="0"/>
          <w:sz w:val="24"/>
          <w:szCs w:val="24"/>
        </w:rPr>
        <w:t>供应商须知前附表规定接受联合体投标的，除应符合本章第</w:t>
      </w:r>
      <w:r>
        <w:rPr>
          <w:rFonts w:ascii="宋体" w:hAnsi="宋体" w:eastAsia="宋体" w:cs="Arial"/>
          <w:kern w:val="0"/>
          <w:sz w:val="24"/>
          <w:szCs w:val="24"/>
        </w:rPr>
        <w:t>1.</w:t>
      </w:r>
      <w:r>
        <w:rPr>
          <w:rFonts w:hint="eastAsia" w:ascii="宋体" w:hAnsi="宋体" w:eastAsia="宋体" w:cs="Arial"/>
          <w:kern w:val="0"/>
          <w:sz w:val="24"/>
          <w:szCs w:val="24"/>
        </w:rPr>
        <w:t>5</w:t>
      </w:r>
      <w:r>
        <w:rPr>
          <w:rFonts w:ascii="宋体" w:hAnsi="宋体" w:eastAsia="宋体" w:cs="Arial"/>
          <w:kern w:val="0"/>
          <w:sz w:val="24"/>
          <w:szCs w:val="24"/>
        </w:rPr>
        <w:t>.1</w:t>
      </w:r>
      <w:r>
        <w:rPr>
          <w:rFonts w:hint="eastAsia" w:ascii="宋体" w:hAnsi="宋体" w:eastAsia="宋体" w:cs="Arial"/>
          <w:kern w:val="0"/>
          <w:sz w:val="24"/>
          <w:szCs w:val="24"/>
        </w:rPr>
        <w:t>款和供应商须知前附表的要求外，还应遵守以下规定：（</w:t>
      </w:r>
      <w:r>
        <w:rPr>
          <w:rFonts w:ascii="宋体" w:hAnsi="宋体" w:eastAsia="宋体" w:cs="Arial"/>
          <w:kern w:val="0"/>
          <w:sz w:val="24"/>
          <w:szCs w:val="24"/>
        </w:rPr>
        <w:t>1</w:t>
      </w:r>
      <w:r>
        <w:rPr>
          <w:rFonts w:hint="eastAsia" w:ascii="宋体" w:hAnsi="宋体" w:eastAsia="宋体" w:cs="Arial"/>
          <w:kern w:val="0"/>
          <w:sz w:val="24"/>
          <w:szCs w:val="24"/>
        </w:rPr>
        <w:t>）联合体各方应按</w:t>
      </w:r>
      <w:r>
        <w:rPr>
          <w:rFonts w:hint="eastAsia" w:ascii="宋体" w:hAnsi="宋体" w:eastAsia="宋体" w:cs="Arial"/>
          <w:kern w:val="0"/>
          <w:sz w:val="24"/>
          <w:szCs w:val="24"/>
          <w:lang w:eastAsia="zh-CN"/>
        </w:rPr>
        <w:t>竞争性磋商文件</w:t>
      </w:r>
      <w:r>
        <w:rPr>
          <w:rFonts w:hint="eastAsia" w:ascii="宋体" w:hAnsi="宋体" w:eastAsia="宋体" w:cs="Arial"/>
          <w:kern w:val="0"/>
          <w:sz w:val="24"/>
          <w:szCs w:val="24"/>
        </w:rPr>
        <w:t>提供的格式签订联合体协议书，明确联合体牵头人和各方权利义务；（</w:t>
      </w:r>
      <w:r>
        <w:rPr>
          <w:rFonts w:ascii="宋体" w:hAnsi="宋体" w:eastAsia="宋体" w:cs="Arial"/>
          <w:kern w:val="0"/>
          <w:sz w:val="24"/>
          <w:szCs w:val="24"/>
        </w:rPr>
        <w:t>2</w:t>
      </w:r>
      <w:r>
        <w:rPr>
          <w:rFonts w:hint="eastAsia" w:ascii="宋体" w:hAnsi="宋体" w:eastAsia="宋体" w:cs="Arial"/>
          <w:kern w:val="0"/>
          <w:sz w:val="24"/>
          <w:szCs w:val="24"/>
        </w:rPr>
        <w:t>）联合体各方不得再以自己名义单独或参加其他联合体在本招标项目中投标。</w:t>
      </w:r>
    </w:p>
    <w:p>
      <w:pPr>
        <w:widowControl/>
        <w:shd w:val="clear" w:color="auto" w:fill="FFFFFF"/>
        <w:snapToGrid w:val="0"/>
        <w:spacing w:line="360" w:lineRule="auto"/>
        <w:ind w:firstLine="480" w:firstLineChars="200"/>
        <w:rPr>
          <w:rFonts w:ascii="宋体" w:hAnsi="Calibri" w:eastAsia="宋体" w:cs="Arial"/>
          <w:kern w:val="0"/>
          <w:sz w:val="24"/>
          <w:szCs w:val="24"/>
        </w:rPr>
      </w:pPr>
      <w:r>
        <w:rPr>
          <w:rFonts w:ascii="宋体" w:hAnsi="宋体" w:eastAsia="宋体" w:cs="Arial"/>
          <w:kern w:val="0"/>
          <w:sz w:val="24"/>
          <w:szCs w:val="24"/>
        </w:rPr>
        <w:t xml:space="preserve">1.5.3 </w:t>
      </w:r>
      <w:r>
        <w:rPr>
          <w:rFonts w:hint="eastAsia" w:ascii="宋体" w:hAnsi="宋体" w:eastAsia="宋体" w:cs="Arial"/>
          <w:kern w:val="0"/>
          <w:sz w:val="24"/>
          <w:szCs w:val="24"/>
        </w:rPr>
        <w:t>供应商不得存在下列情形之一，否则相关投标均应被否决：</w:t>
      </w:r>
    </w:p>
    <w:p>
      <w:pPr>
        <w:widowControl/>
        <w:shd w:val="clear" w:color="auto" w:fill="FFFFFF"/>
        <w:snapToGrid w:val="0"/>
        <w:spacing w:line="360" w:lineRule="auto"/>
        <w:ind w:firstLine="480" w:firstLineChars="200"/>
        <w:rPr>
          <w:rFonts w:ascii="宋体" w:hAnsi="Calibri" w:eastAsia="宋体" w:cs="Arial"/>
          <w:kern w:val="0"/>
          <w:sz w:val="24"/>
          <w:szCs w:val="24"/>
        </w:rPr>
      </w:pPr>
      <w:r>
        <w:rPr>
          <w:rFonts w:hint="eastAsia" w:ascii="宋体" w:hAnsi="宋体" w:eastAsia="宋体" w:cs="Arial"/>
          <w:kern w:val="0"/>
          <w:sz w:val="24"/>
          <w:szCs w:val="24"/>
        </w:rPr>
        <w:t>（1）被责令停业的；</w:t>
      </w:r>
      <w:r>
        <w:rPr>
          <w:rFonts w:ascii="宋体" w:hAnsi="宋体" w:eastAsia="宋体" w:cs="Arial"/>
          <w:kern w:val="0"/>
          <w:sz w:val="24"/>
          <w:szCs w:val="24"/>
        </w:rPr>
        <w:t xml:space="preserve"> </w:t>
      </w:r>
    </w:p>
    <w:p>
      <w:pPr>
        <w:widowControl/>
        <w:shd w:val="clear" w:color="auto" w:fill="FFFFFF"/>
        <w:snapToGrid w:val="0"/>
        <w:spacing w:line="360" w:lineRule="auto"/>
        <w:ind w:firstLine="480" w:firstLineChars="200"/>
        <w:rPr>
          <w:rFonts w:ascii="宋体" w:hAnsi="Calibri" w:eastAsia="宋体" w:cs="Arial"/>
          <w:kern w:val="0"/>
          <w:sz w:val="24"/>
          <w:szCs w:val="24"/>
        </w:rPr>
      </w:pPr>
      <w:r>
        <w:rPr>
          <w:rFonts w:hint="eastAsia" w:ascii="宋体" w:hAnsi="宋体" w:eastAsia="宋体" w:cs="Arial"/>
          <w:kern w:val="0"/>
          <w:sz w:val="24"/>
          <w:szCs w:val="24"/>
        </w:rPr>
        <w:t>（2）被暂停或取消投标资格的；</w:t>
      </w:r>
      <w:r>
        <w:rPr>
          <w:rFonts w:ascii="宋体" w:hAnsi="宋体" w:eastAsia="宋体" w:cs="Arial"/>
          <w:kern w:val="0"/>
          <w:sz w:val="24"/>
          <w:szCs w:val="24"/>
        </w:rPr>
        <w:t xml:space="preserve"> </w:t>
      </w:r>
    </w:p>
    <w:p>
      <w:pPr>
        <w:widowControl/>
        <w:shd w:val="clear" w:color="auto" w:fill="FFFFFF"/>
        <w:snapToGrid w:val="0"/>
        <w:spacing w:line="360" w:lineRule="auto"/>
        <w:ind w:firstLine="480" w:firstLineChars="200"/>
        <w:rPr>
          <w:rFonts w:ascii="宋体" w:hAnsi="Calibri" w:eastAsia="宋体" w:cs="Arial"/>
          <w:kern w:val="0"/>
          <w:sz w:val="24"/>
          <w:szCs w:val="24"/>
        </w:rPr>
      </w:pPr>
      <w:r>
        <w:rPr>
          <w:rFonts w:hint="eastAsia" w:ascii="宋体" w:hAnsi="宋体" w:eastAsia="宋体" w:cs="Arial"/>
          <w:kern w:val="0"/>
          <w:sz w:val="24"/>
          <w:szCs w:val="24"/>
        </w:rPr>
        <w:t>（3）财产被接管或冻结的；</w:t>
      </w:r>
    </w:p>
    <w:p>
      <w:pPr>
        <w:widowControl/>
        <w:shd w:val="clear" w:color="auto" w:fill="FFFFFF"/>
        <w:snapToGrid w:val="0"/>
        <w:spacing w:line="360" w:lineRule="auto"/>
        <w:ind w:firstLine="480" w:firstLineChars="200"/>
        <w:rPr>
          <w:rFonts w:ascii="宋体" w:hAnsi="Calibri" w:eastAsia="宋体" w:cs="Arial"/>
          <w:kern w:val="0"/>
          <w:sz w:val="24"/>
          <w:szCs w:val="24"/>
        </w:rPr>
      </w:pPr>
      <w:r>
        <w:rPr>
          <w:rFonts w:hint="eastAsia" w:ascii="宋体" w:hAnsi="宋体" w:eastAsia="宋体" w:cs="Arial"/>
          <w:kern w:val="0"/>
          <w:sz w:val="24"/>
          <w:szCs w:val="24"/>
        </w:rPr>
        <w:t>（4）在最近三年内有骗取中标或严重违约或重大质量问题的；</w:t>
      </w:r>
    </w:p>
    <w:p>
      <w:pPr>
        <w:widowControl/>
        <w:shd w:val="clear" w:color="auto" w:fill="FFFFFF"/>
        <w:snapToGrid w:val="0"/>
        <w:spacing w:line="360" w:lineRule="auto"/>
        <w:ind w:firstLine="480" w:firstLineChars="200"/>
        <w:rPr>
          <w:rFonts w:ascii="宋体" w:hAnsi="Calibri" w:eastAsia="宋体" w:cs="Arial"/>
          <w:kern w:val="0"/>
          <w:sz w:val="24"/>
          <w:szCs w:val="24"/>
        </w:rPr>
      </w:pPr>
      <w:r>
        <w:rPr>
          <w:rFonts w:ascii="宋体" w:hAnsi="宋体" w:eastAsia="宋体" w:cs="Arial"/>
          <w:kern w:val="0"/>
          <w:sz w:val="24"/>
          <w:szCs w:val="24"/>
        </w:rPr>
        <w:t>1.</w:t>
      </w:r>
      <w:r>
        <w:rPr>
          <w:rFonts w:hint="eastAsia" w:ascii="宋体" w:hAnsi="宋体" w:eastAsia="宋体" w:cs="Arial"/>
          <w:kern w:val="0"/>
          <w:sz w:val="24"/>
          <w:szCs w:val="24"/>
        </w:rPr>
        <w:t>6费用承担</w:t>
      </w:r>
    </w:p>
    <w:p>
      <w:pPr>
        <w:widowControl/>
        <w:shd w:val="clear" w:color="auto" w:fill="FFFFFF"/>
        <w:snapToGrid w:val="0"/>
        <w:spacing w:line="360" w:lineRule="auto"/>
        <w:ind w:firstLine="480" w:firstLineChars="200"/>
        <w:rPr>
          <w:rFonts w:ascii="宋体" w:hAnsi="宋体" w:eastAsia="宋体" w:cs="Arial"/>
          <w:kern w:val="0"/>
          <w:sz w:val="24"/>
          <w:szCs w:val="24"/>
        </w:rPr>
      </w:pPr>
      <w:r>
        <w:rPr>
          <w:rFonts w:hint="eastAsia" w:ascii="宋体" w:hAnsi="宋体" w:eastAsia="宋体" w:cs="Arial"/>
          <w:kern w:val="0"/>
          <w:sz w:val="24"/>
          <w:szCs w:val="24"/>
        </w:rPr>
        <w:t>1.6.1</w:t>
      </w:r>
      <w:r>
        <w:rPr>
          <w:rFonts w:hint="eastAsia" w:ascii="宋体" w:hAnsi="宋体" w:eastAsia="宋体" w:cs="Arial"/>
          <w:kern w:val="0"/>
          <w:sz w:val="24"/>
          <w:szCs w:val="24"/>
          <w:lang w:eastAsia="zh-CN"/>
        </w:rPr>
        <w:t>竞争性磋商文件</w:t>
      </w:r>
      <w:r>
        <w:rPr>
          <w:rFonts w:hint="eastAsia" w:ascii="宋体" w:hAnsi="宋体" w:eastAsia="宋体" w:cs="Arial"/>
          <w:kern w:val="0"/>
          <w:sz w:val="24"/>
          <w:szCs w:val="24"/>
        </w:rPr>
        <w:t>费：见供应商须知前附表。</w:t>
      </w:r>
    </w:p>
    <w:p>
      <w:pPr>
        <w:widowControl/>
        <w:shd w:val="clear" w:color="auto" w:fill="FFFFFF"/>
        <w:snapToGrid w:val="0"/>
        <w:spacing w:line="360" w:lineRule="auto"/>
        <w:ind w:firstLine="480" w:firstLineChars="200"/>
        <w:rPr>
          <w:rFonts w:ascii="宋体" w:hAnsi="宋体" w:eastAsia="宋体" w:cs="Arial"/>
          <w:kern w:val="0"/>
          <w:sz w:val="24"/>
          <w:szCs w:val="24"/>
        </w:rPr>
      </w:pPr>
      <w:r>
        <w:rPr>
          <w:rFonts w:hint="eastAsia" w:ascii="宋体" w:hAnsi="宋体" w:eastAsia="宋体" w:cs="Arial"/>
          <w:kern w:val="0"/>
          <w:sz w:val="24"/>
          <w:szCs w:val="24"/>
        </w:rPr>
        <w:t>1.6.2供应商应承担其编制</w:t>
      </w:r>
      <w:r>
        <w:rPr>
          <w:rFonts w:hint="eastAsia" w:ascii="宋体" w:hAnsi="宋体" w:eastAsia="宋体" w:cs="Arial"/>
          <w:kern w:val="0"/>
          <w:sz w:val="24"/>
          <w:szCs w:val="24"/>
          <w:lang w:eastAsia="zh-CN"/>
        </w:rPr>
        <w:t>磋商响应文件</w:t>
      </w:r>
      <w:r>
        <w:rPr>
          <w:rFonts w:hint="eastAsia" w:ascii="宋体" w:hAnsi="宋体" w:eastAsia="宋体" w:cs="Arial"/>
          <w:kern w:val="0"/>
          <w:sz w:val="24"/>
          <w:szCs w:val="24"/>
        </w:rPr>
        <w:t>与递交</w:t>
      </w:r>
      <w:r>
        <w:rPr>
          <w:rFonts w:hint="eastAsia" w:ascii="宋体" w:hAnsi="宋体" w:eastAsia="宋体" w:cs="Arial"/>
          <w:kern w:val="0"/>
          <w:sz w:val="24"/>
          <w:szCs w:val="24"/>
          <w:lang w:eastAsia="zh-CN"/>
        </w:rPr>
        <w:t>磋商响应文件</w:t>
      </w:r>
      <w:r>
        <w:rPr>
          <w:rFonts w:hint="eastAsia" w:ascii="宋体" w:hAnsi="宋体" w:eastAsia="宋体" w:cs="Arial"/>
          <w:kern w:val="0"/>
          <w:sz w:val="24"/>
          <w:szCs w:val="24"/>
        </w:rPr>
        <w:t>所涉及的一切费用，无论投标结果如何，采购人及采购代理机构对上述费用不作任何补偿。采购代理咨询费由中标人支付。</w:t>
      </w:r>
    </w:p>
    <w:p>
      <w:pPr>
        <w:widowControl/>
        <w:shd w:val="clear" w:color="auto" w:fill="FFFFFF"/>
        <w:snapToGrid w:val="0"/>
        <w:spacing w:line="360" w:lineRule="auto"/>
        <w:ind w:firstLine="480" w:firstLineChars="200"/>
        <w:rPr>
          <w:rFonts w:ascii="宋体" w:hAnsi="Calibri" w:eastAsia="宋体" w:cs="Arial"/>
          <w:kern w:val="0"/>
          <w:sz w:val="24"/>
          <w:szCs w:val="24"/>
        </w:rPr>
      </w:pPr>
      <w:r>
        <w:rPr>
          <w:rFonts w:ascii="宋体" w:hAnsi="宋体" w:eastAsia="宋体" w:cs="Arial"/>
          <w:kern w:val="0"/>
          <w:sz w:val="24"/>
          <w:szCs w:val="24"/>
        </w:rPr>
        <w:t>1.</w:t>
      </w:r>
      <w:r>
        <w:rPr>
          <w:rFonts w:hint="eastAsia" w:ascii="宋体" w:hAnsi="宋体" w:eastAsia="宋体" w:cs="Arial"/>
          <w:kern w:val="0"/>
          <w:sz w:val="24"/>
          <w:szCs w:val="24"/>
        </w:rPr>
        <w:t>7投标保证金：见供应商须知前附表。</w:t>
      </w:r>
    </w:p>
    <w:p>
      <w:pPr>
        <w:widowControl/>
        <w:shd w:val="clear" w:color="auto" w:fill="FFFFFF"/>
        <w:snapToGrid w:val="0"/>
        <w:spacing w:line="360" w:lineRule="auto"/>
        <w:ind w:firstLine="480" w:firstLineChars="200"/>
        <w:rPr>
          <w:rFonts w:ascii="宋体" w:hAnsi="宋体" w:eastAsia="宋体" w:cs="Arial"/>
          <w:kern w:val="0"/>
          <w:sz w:val="24"/>
          <w:szCs w:val="24"/>
        </w:rPr>
      </w:pPr>
      <w:r>
        <w:rPr>
          <w:rFonts w:hint="eastAsia" w:ascii="宋体" w:hAnsi="宋体" w:eastAsia="宋体" w:cs="Arial"/>
          <w:kern w:val="0"/>
          <w:sz w:val="24"/>
          <w:szCs w:val="24"/>
        </w:rPr>
        <w:t>1.8踏勘现场</w:t>
      </w:r>
    </w:p>
    <w:p>
      <w:pPr>
        <w:widowControl/>
        <w:shd w:val="clear" w:color="auto" w:fill="FFFFFF"/>
        <w:snapToGrid w:val="0"/>
        <w:spacing w:line="360" w:lineRule="auto"/>
        <w:ind w:firstLine="480" w:firstLineChars="200"/>
        <w:rPr>
          <w:rFonts w:ascii="宋体" w:hAnsi="Calibri" w:eastAsia="宋体" w:cs="Arial"/>
          <w:kern w:val="0"/>
          <w:sz w:val="24"/>
          <w:szCs w:val="24"/>
        </w:rPr>
      </w:pPr>
      <w:r>
        <w:rPr>
          <w:rFonts w:ascii="宋体" w:hAnsi="宋体" w:eastAsia="宋体" w:cs="Arial"/>
          <w:kern w:val="0"/>
          <w:sz w:val="24"/>
          <w:szCs w:val="24"/>
        </w:rPr>
        <w:t>1.</w:t>
      </w:r>
      <w:r>
        <w:rPr>
          <w:rFonts w:hint="eastAsia" w:ascii="宋体" w:hAnsi="宋体" w:eastAsia="宋体" w:cs="Arial"/>
          <w:kern w:val="0"/>
          <w:sz w:val="24"/>
          <w:szCs w:val="24"/>
        </w:rPr>
        <w:t>8</w:t>
      </w:r>
      <w:r>
        <w:rPr>
          <w:rFonts w:ascii="宋体" w:hAnsi="宋体" w:eastAsia="宋体" w:cs="Arial"/>
          <w:kern w:val="0"/>
          <w:sz w:val="24"/>
          <w:szCs w:val="24"/>
        </w:rPr>
        <w:t xml:space="preserve">.1 </w:t>
      </w:r>
      <w:r>
        <w:rPr>
          <w:rFonts w:hint="eastAsia" w:ascii="宋体" w:hAnsi="宋体" w:eastAsia="宋体" w:cs="Arial"/>
          <w:kern w:val="0"/>
          <w:sz w:val="24"/>
          <w:szCs w:val="24"/>
        </w:rPr>
        <w:t>供应商须知前附表规定组织踏勘现场的，采购人或采购代理机构按供应商须知前附表规定的时间、地点组织供应商踏勘项目现场。</w:t>
      </w:r>
      <w:r>
        <w:rPr>
          <w:rFonts w:ascii="宋体" w:hAnsi="宋体" w:eastAsia="宋体" w:cs="Arial"/>
          <w:kern w:val="0"/>
          <w:sz w:val="24"/>
          <w:szCs w:val="24"/>
        </w:rPr>
        <w:t xml:space="preserve"> </w:t>
      </w:r>
    </w:p>
    <w:p>
      <w:pPr>
        <w:widowControl/>
        <w:shd w:val="clear" w:color="auto" w:fill="FFFFFF"/>
        <w:snapToGrid w:val="0"/>
        <w:spacing w:line="360" w:lineRule="auto"/>
        <w:ind w:firstLine="480" w:firstLineChars="200"/>
        <w:rPr>
          <w:rFonts w:ascii="宋体" w:hAnsi="Calibri" w:eastAsia="宋体" w:cs="Arial"/>
          <w:kern w:val="0"/>
          <w:sz w:val="24"/>
          <w:szCs w:val="24"/>
        </w:rPr>
      </w:pPr>
      <w:r>
        <w:rPr>
          <w:rFonts w:ascii="宋体" w:hAnsi="宋体" w:eastAsia="宋体" w:cs="Arial"/>
          <w:kern w:val="0"/>
          <w:sz w:val="24"/>
          <w:szCs w:val="24"/>
        </w:rPr>
        <w:t>1.</w:t>
      </w:r>
      <w:r>
        <w:rPr>
          <w:rFonts w:hint="eastAsia" w:ascii="宋体" w:hAnsi="宋体" w:eastAsia="宋体" w:cs="Arial"/>
          <w:kern w:val="0"/>
          <w:sz w:val="24"/>
          <w:szCs w:val="24"/>
        </w:rPr>
        <w:t>8</w:t>
      </w:r>
      <w:r>
        <w:rPr>
          <w:rFonts w:ascii="宋体" w:hAnsi="宋体" w:eastAsia="宋体" w:cs="Arial"/>
          <w:kern w:val="0"/>
          <w:sz w:val="24"/>
          <w:szCs w:val="24"/>
        </w:rPr>
        <w:t xml:space="preserve">.2 </w:t>
      </w:r>
      <w:r>
        <w:rPr>
          <w:rFonts w:hint="eastAsia" w:ascii="宋体" w:hAnsi="宋体" w:eastAsia="宋体" w:cs="Arial"/>
          <w:kern w:val="0"/>
          <w:sz w:val="24"/>
          <w:szCs w:val="24"/>
        </w:rPr>
        <w:t>供应商踏勘现场发生的费用自理。</w:t>
      </w:r>
    </w:p>
    <w:p>
      <w:pPr>
        <w:widowControl/>
        <w:shd w:val="clear" w:color="auto" w:fill="FFFFFF"/>
        <w:snapToGrid w:val="0"/>
        <w:spacing w:line="360" w:lineRule="auto"/>
        <w:ind w:firstLine="480" w:firstLineChars="200"/>
        <w:rPr>
          <w:rFonts w:ascii="宋体" w:hAnsi="Calibri" w:eastAsia="宋体" w:cs="Arial"/>
          <w:kern w:val="0"/>
          <w:sz w:val="24"/>
          <w:szCs w:val="24"/>
        </w:rPr>
      </w:pPr>
      <w:r>
        <w:rPr>
          <w:rFonts w:ascii="宋体" w:hAnsi="宋体" w:eastAsia="宋体" w:cs="Arial"/>
          <w:kern w:val="0"/>
          <w:sz w:val="24"/>
          <w:szCs w:val="24"/>
        </w:rPr>
        <w:t>1.</w:t>
      </w:r>
      <w:r>
        <w:rPr>
          <w:rFonts w:hint="eastAsia" w:ascii="宋体" w:hAnsi="宋体" w:eastAsia="宋体" w:cs="Arial"/>
          <w:kern w:val="0"/>
          <w:sz w:val="24"/>
          <w:szCs w:val="24"/>
        </w:rPr>
        <w:t>8</w:t>
      </w:r>
      <w:r>
        <w:rPr>
          <w:rFonts w:ascii="宋体" w:hAnsi="宋体" w:eastAsia="宋体" w:cs="Arial"/>
          <w:kern w:val="0"/>
          <w:sz w:val="24"/>
          <w:szCs w:val="24"/>
        </w:rPr>
        <w:t xml:space="preserve">.3 </w:t>
      </w:r>
      <w:r>
        <w:rPr>
          <w:rFonts w:hint="eastAsia" w:ascii="宋体" w:hAnsi="宋体" w:eastAsia="宋体" w:cs="Arial"/>
          <w:kern w:val="0"/>
          <w:sz w:val="24"/>
          <w:szCs w:val="24"/>
        </w:rPr>
        <w:t>除采购人或采购代理机构的原因外，供应商自行负责在踏勘现场中所发生的人员伤亡和财产损失。</w:t>
      </w:r>
    </w:p>
    <w:p>
      <w:pPr>
        <w:widowControl/>
        <w:shd w:val="clear" w:color="auto" w:fill="FFFFFF"/>
        <w:snapToGrid w:val="0"/>
        <w:spacing w:line="360" w:lineRule="auto"/>
        <w:ind w:firstLine="480" w:firstLineChars="200"/>
        <w:rPr>
          <w:rFonts w:ascii="宋体" w:hAnsi="Calibri" w:eastAsia="宋体" w:cs="Arial"/>
          <w:kern w:val="0"/>
          <w:sz w:val="24"/>
          <w:szCs w:val="24"/>
        </w:rPr>
      </w:pPr>
      <w:r>
        <w:rPr>
          <w:rFonts w:ascii="宋体" w:hAnsi="宋体" w:eastAsia="宋体" w:cs="Arial"/>
          <w:kern w:val="0"/>
          <w:sz w:val="24"/>
          <w:szCs w:val="24"/>
        </w:rPr>
        <w:t>1.</w:t>
      </w:r>
      <w:r>
        <w:rPr>
          <w:rFonts w:hint="eastAsia" w:ascii="宋体" w:hAnsi="宋体" w:eastAsia="宋体" w:cs="Arial"/>
          <w:kern w:val="0"/>
          <w:sz w:val="24"/>
          <w:szCs w:val="24"/>
        </w:rPr>
        <w:t>8</w:t>
      </w:r>
      <w:r>
        <w:rPr>
          <w:rFonts w:ascii="宋体" w:hAnsi="宋体" w:eastAsia="宋体" w:cs="Arial"/>
          <w:kern w:val="0"/>
          <w:sz w:val="24"/>
          <w:szCs w:val="24"/>
        </w:rPr>
        <w:t xml:space="preserve">.4 </w:t>
      </w:r>
      <w:r>
        <w:rPr>
          <w:rFonts w:hint="eastAsia" w:ascii="宋体" w:hAnsi="宋体" w:eastAsia="宋体" w:cs="Arial"/>
          <w:kern w:val="0"/>
          <w:sz w:val="24"/>
          <w:szCs w:val="24"/>
        </w:rPr>
        <w:t>采购人或采购代理机构在踏勘现场中介绍的项目有关情况，供供应商在编制</w:t>
      </w:r>
      <w:r>
        <w:rPr>
          <w:rFonts w:hint="eastAsia" w:ascii="宋体" w:hAnsi="宋体" w:eastAsia="宋体" w:cs="Arial"/>
          <w:kern w:val="0"/>
          <w:sz w:val="24"/>
          <w:szCs w:val="24"/>
          <w:lang w:eastAsia="zh-CN"/>
        </w:rPr>
        <w:t>磋商响应文件</w:t>
      </w:r>
      <w:r>
        <w:rPr>
          <w:rFonts w:hint="eastAsia" w:ascii="宋体" w:hAnsi="宋体" w:eastAsia="宋体" w:cs="Arial"/>
          <w:kern w:val="0"/>
          <w:sz w:val="24"/>
          <w:szCs w:val="24"/>
        </w:rPr>
        <w:t>时参考，采购人或采购代理机构不对供应商据此作出的判断和决策负责。</w:t>
      </w:r>
    </w:p>
    <w:p>
      <w:pPr>
        <w:widowControl/>
        <w:shd w:val="clear" w:color="auto" w:fill="FFFFFF"/>
        <w:snapToGrid w:val="0"/>
        <w:spacing w:line="360" w:lineRule="auto"/>
        <w:ind w:firstLine="480" w:firstLineChars="200"/>
        <w:rPr>
          <w:rFonts w:ascii="宋体" w:hAnsi="Calibri" w:eastAsia="宋体" w:cs="Arial"/>
          <w:kern w:val="0"/>
          <w:sz w:val="24"/>
          <w:szCs w:val="24"/>
        </w:rPr>
      </w:pPr>
      <w:r>
        <w:rPr>
          <w:rFonts w:ascii="宋体" w:hAnsi="宋体" w:eastAsia="宋体" w:cs="Arial"/>
          <w:kern w:val="0"/>
          <w:sz w:val="24"/>
          <w:szCs w:val="24"/>
        </w:rPr>
        <w:t>1.</w:t>
      </w:r>
      <w:r>
        <w:rPr>
          <w:rFonts w:hint="eastAsia" w:ascii="宋体" w:hAnsi="宋体" w:eastAsia="宋体" w:cs="Arial"/>
          <w:kern w:val="0"/>
          <w:sz w:val="24"/>
          <w:szCs w:val="24"/>
        </w:rPr>
        <w:t>9</w:t>
      </w:r>
      <w:r>
        <w:rPr>
          <w:rFonts w:ascii="宋体" w:hAnsi="宋体" w:eastAsia="宋体" w:cs="Arial"/>
          <w:kern w:val="0"/>
          <w:sz w:val="24"/>
          <w:szCs w:val="24"/>
        </w:rPr>
        <w:t xml:space="preserve"> </w:t>
      </w:r>
      <w:r>
        <w:rPr>
          <w:rFonts w:hint="eastAsia" w:ascii="宋体" w:hAnsi="宋体" w:eastAsia="宋体" w:cs="Arial"/>
          <w:kern w:val="0"/>
          <w:sz w:val="24"/>
          <w:szCs w:val="24"/>
        </w:rPr>
        <w:t>招标答疑会和招标澄清答疑要求</w:t>
      </w:r>
    </w:p>
    <w:p>
      <w:pPr>
        <w:widowControl/>
        <w:shd w:val="clear" w:color="auto" w:fill="FFFFFF"/>
        <w:snapToGrid w:val="0"/>
        <w:spacing w:line="360" w:lineRule="auto"/>
        <w:ind w:firstLine="480" w:firstLineChars="200"/>
        <w:rPr>
          <w:rFonts w:ascii="宋体" w:hAnsi="Calibri" w:eastAsia="宋体" w:cs="Arial"/>
          <w:kern w:val="0"/>
          <w:sz w:val="24"/>
          <w:szCs w:val="24"/>
        </w:rPr>
      </w:pPr>
      <w:r>
        <w:rPr>
          <w:rFonts w:ascii="宋体" w:hAnsi="宋体" w:eastAsia="宋体" w:cs="Arial"/>
          <w:kern w:val="0"/>
          <w:sz w:val="24"/>
          <w:szCs w:val="24"/>
        </w:rPr>
        <w:t>1.</w:t>
      </w:r>
      <w:r>
        <w:rPr>
          <w:rFonts w:hint="eastAsia" w:ascii="宋体" w:hAnsi="宋体" w:eastAsia="宋体" w:cs="Arial"/>
          <w:kern w:val="0"/>
          <w:sz w:val="24"/>
          <w:szCs w:val="24"/>
        </w:rPr>
        <w:t>9</w:t>
      </w:r>
      <w:r>
        <w:rPr>
          <w:rFonts w:ascii="宋体" w:hAnsi="宋体" w:eastAsia="宋体" w:cs="Arial"/>
          <w:kern w:val="0"/>
          <w:sz w:val="24"/>
          <w:szCs w:val="24"/>
        </w:rPr>
        <w:t xml:space="preserve">.1 </w:t>
      </w:r>
      <w:r>
        <w:rPr>
          <w:rFonts w:hint="eastAsia" w:ascii="宋体" w:hAnsi="宋体" w:eastAsia="宋体" w:cs="Arial"/>
          <w:kern w:val="0"/>
          <w:sz w:val="24"/>
          <w:szCs w:val="24"/>
        </w:rPr>
        <w:t>供应商须知前附表规定召开招标答疑会的，采购人或采购代理机构按照供应商须知前附表规定的时间和地点召开招标答疑会，澄清供应商提出的问题。</w:t>
      </w:r>
    </w:p>
    <w:p>
      <w:pPr>
        <w:widowControl/>
        <w:shd w:val="clear" w:color="auto" w:fill="FFFFFF"/>
        <w:snapToGrid w:val="0"/>
        <w:spacing w:line="360" w:lineRule="auto"/>
        <w:ind w:firstLine="480" w:firstLineChars="200"/>
        <w:rPr>
          <w:rFonts w:ascii="宋体" w:hAnsi="Calibri" w:eastAsia="宋体" w:cs="Arial"/>
          <w:kern w:val="0"/>
          <w:sz w:val="24"/>
          <w:szCs w:val="24"/>
        </w:rPr>
      </w:pPr>
      <w:r>
        <w:rPr>
          <w:rFonts w:ascii="宋体" w:hAnsi="宋体" w:eastAsia="宋体" w:cs="Arial"/>
          <w:kern w:val="0"/>
          <w:sz w:val="24"/>
          <w:szCs w:val="24"/>
        </w:rPr>
        <w:t>1.</w:t>
      </w:r>
      <w:r>
        <w:rPr>
          <w:rFonts w:hint="eastAsia" w:ascii="宋体" w:hAnsi="宋体" w:eastAsia="宋体" w:cs="Arial"/>
          <w:kern w:val="0"/>
          <w:sz w:val="24"/>
          <w:szCs w:val="24"/>
        </w:rPr>
        <w:t>9</w:t>
      </w:r>
      <w:r>
        <w:rPr>
          <w:rFonts w:ascii="宋体" w:hAnsi="宋体" w:eastAsia="宋体" w:cs="Arial"/>
          <w:kern w:val="0"/>
          <w:sz w:val="24"/>
          <w:szCs w:val="24"/>
        </w:rPr>
        <w:t xml:space="preserve">.2 </w:t>
      </w:r>
      <w:r>
        <w:rPr>
          <w:rFonts w:hint="eastAsia" w:ascii="宋体" w:hAnsi="宋体" w:eastAsia="宋体" w:cs="Arial"/>
          <w:kern w:val="0"/>
          <w:sz w:val="24"/>
          <w:szCs w:val="24"/>
        </w:rPr>
        <w:t>供应商若有疑问，应按供应商须知前附表规定的时间、方式向采购人或采购代理机构提出，要求采购人对</w:t>
      </w:r>
      <w:r>
        <w:rPr>
          <w:rFonts w:hint="eastAsia" w:ascii="宋体" w:hAnsi="宋体" w:eastAsia="宋体" w:cs="Arial"/>
          <w:kern w:val="0"/>
          <w:sz w:val="24"/>
          <w:szCs w:val="24"/>
          <w:lang w:eastAsia="zh-CN"/>
        </w:rPr>
        <w:t>竞争性磋商文件</w:t>
      </w:r>
      <w:r>
        <w:rPr>
          <w:rFonts w:hint="eastAsia" w:ascii="宋体" w:hAnsi="宋体" w:eastAsia="宋体" w:cs="Arial"/>
          <w:kern w:val="0"/>
          <w:sz w:val="24"/>
          <w:szCs w:val="24"/>
        </w:rPr>
        <w:t>予以澄清。</w:t>
      </w:r>
    </w:p>
    <w:p>
      <w:pPr>
        <w:widowControl/>
        <w:shd w:val="clear" w:color="auto" w:fill="FFFFFF"/>
        <w:snapToGrid w:val="0"/>
        <w:spacing w:line="360" w:lineRule="auto"/>
        <w:ind w:firstLine="480" w:firstLineChars="200"/>
        <w:rPr>
          <w:rFonts w:ascii="宋体" w:hAnsi="Calibri" w:eastAsia="宋体" w:cs="Arial"/>
          <w:kern w:val="0"/>
          <w:sz w:val="24"/>
          <w:szCs w:val="24"/>
        </w:rPr>
      </w:pPr>
      <w:r>
        <w:rPr>
          <w:rFonts w:ascii="宋体" w:hAnsi="宋体" w:eastAsia="宋体" w:cs="Arial"/>
          <w:kern w:val="0"/>
          <w:sz w:val="24"/>
          <w:szCs w:val="24"/>
        </w:rPr>
        <w:t>1.</w:t>
      </w:r>
      <w:r>
        <w:rPr>
          <w:rFonts w:hint="eastAsia" w:ascii="宋体" w:hAnsi="宋体" w:eastAsia="宋体" w:cs="Arial"/>
          <w:kern w:val="0"/>
          <w:sz w:val="24"/>
          <w:szCs w:val="24"/>
        </w:rPr>
        <w:t>9</w:t>
      </w:r>
      <w:r>
        <w:rPr>
          <w:rFonts w:ascii="宋体" w:hAnsi="宋体" w:eastAsia="宋体" w:cs="Arial"/>
          <w:kern w:val="0"/>
          <w:sz w:val="24"/>
          <w:szCs w:val="24"/>
        </w:rPr>
        <w:t xml:space="preserve">.3 </w:t>
      </w:r>
      <w:r>
        <w:rPr>
          <w:rFonts w:hint="eastAsia" w:ascii="宋体" w:hAnsi="宋体" w:eastAsia="宋体" w:cs="Arial"/>
          <w:kern w:val="0"/>
          <w:sz w:val="24"/>
          <w:szCs w:val="24"/>
        </w:rPr>
        <w:t>采购人或采购代理机构将按照供应商须知前附表规定的时间方式对供应商的疑问作出统一的解答。</w:t>
      </w:r>
    </w:p>
    <w:p>
      <w:pPr>
        <w:widowControl/>
        <w:shd w:val="clear" w:color="auto" w:fill="FFFFFF"/>
        <w:snapToGrid w:val="0"/>
        <w:spacing w:line="360" w:lineRule="auto"/>
        <w:ind w:firstLine="480" w:firstLineChars="200"/>
        <w:rPr>
          <w:rFonts w:ascii="宋体" w:hAnsi="宋体" w:eastAsia="宋体" w:cs="Arial"/>
          <w:kern w:val="0"/>
          <w:sz w:val="24"/>
          <w:szCs w:val="24"/>
        </w:rPr>
      </w:pPr>
      <w:r>
        <w:rPr>
          <w:rFonts w:hint="eastAsia" w:ascii="宋体" w:hAnsi="宋体" w:eastAsia="宋体" w:cs="Arial"/>
          <w:kern w:val="0"/>
          <w:sz w:val="24"/>
          <w:szCs w:val="24"/>
        </w:rPr>
        <w:t>1.10</w:t>
      </w:r>
      <w:r>
        <w:rPr>
          <w:rFonts w:hint="eastAsia" w:ascii="宋体" w:hAnsi="宋体" w:eastAsia="宋体" w:cs="Arial"/>
          <w:kern w:val="0"/>
          <w:sz w:val="24"/>
          <w:szCs w:val="24"/>
          <w:lang w:eastAsia="zh-CN"/>
        </w:rPr>
        <w:t>磋商响应文件</w:t>
      </w:r>
      <w:r>
        <w:rPr>
          <w:rFonts w:hint="eastAsia" w:ascii="宋体" w:hAnsi="宋体" w:eastAsia="宋体" w:cs="Arial"/>
          <w:kern w:val="0"/>
          <w:sz w:val="24"/>
          <w:szCs w:val="24"/>
        </w:rPr>
        <w:t>份数：见供应商须知前附表。</w:t>
      </w:r>
    </w:p>
    <w:p>
      <w:pPr>
        <w:widowControl/>
        <w:shd w:val="clear" w:color="auto" w:fill="FFFFFF"/>
        <w:snapToGrid w:val="0"/>
        <w:spacing w:line="360" w:lineRule="auto"/>
        <w:ind w:firstLine="480" w:firstLineChars="200"/>
        <w:rPr>
          <w:rFonts w:ascii="宋体" w:hAnsi="宋体" w:eastAsia="宋体" w:cs="Arial"/>
          <w:kern w:val="0"/>
          <w:sz w:val="24"/>
          <w:szCs w:val="24"/>
        </w:rPr>
      </w:pPr>
      <w:r>
        <w:rPr>
          <w:rFonts w:hint="eastAsia" w:ascii="宋体" w:hAnsi="宋体" w:eastAsia="宋体" w:cs="Arial"/>
          <w:kern w:val="0"/>
          <w:sz w:val="24"/>
          <w:szCs w:val="24"/>
        </w:rPr>
        <w:t>1.11</w:t>
      </w:r>
      <w:r>
        <w:rPr>
          <w:rFonts w:hint="eastAsia" w:ascii="宋体" w:hAnsi="宋体" w:eastAsia="宋体" w:cs="Arial"/>
          <w:kern w:val="0"/>
          <w:sz w:val="24"/>
          <w:szCs w:val="24"/>
          <w:lang w:eastAsia="zh-CN"/>
        </w:rPr>
        <w:t>磋商响应文件</w:t>
      </w:r>
      <w:r>
        <w:rPr>
          <w:rFonts w:hint="eastAsia" w:ascii="宋体" w:hAnsi="宋体" w:eastAsia="宋体" w:cs="Arial"/>
          <w:kern w:val="0"/>
          <w:sz w:val="24"/>
          <w:szCs w:val="24"/>
        </w:rPr>
        <w:t>递交：见供应商须知前附表。</w:t>
      </w:r>
    </w:p>
    <w:p>
      <w:pPr>
        <w:widowControl/>
        <w:shd w:val="clear" w:color="auto" w:fill="FFFFFF"/>
        <w:snapToGrid w:val="0"/>
        <w:spacing w:line="360" w:lineRule="auto"/>
        <w:ind w:firstLine="480" w:firstLineChars="200"/>
        <w:rPr>
          <w:rFonts w:ascii="宋体" w:hAnsi="宋体" w:eastAsia="宋体" w:cs="Arial"/>
          <w:kern w:val="0"/>
          <w:sz w:val="24"/>
          <w:szCs w:val="24"/>
        </w:rPr>
      </w:pPr>
      <w:r>
        <w:rPr>
          <w:rFonts w:hint="eastAsia" w:ascii="宋体" w:hAnsi="宋体" w:eastAsia="宋体" w:cs="Arial"/>
          <w:kern w:val="0"/>
          <w:sz w:val="24"/>
          <w:szCs w:val="24"/>
        </w:rPr>
        <w:t>1.12开标：见供应商须知前附表。</w:t>
      </w:r>
    </w:p>
    <w:p>
      <w:pPr>
        <w:widowControl/>
        <w:shd w:val="clear" w:color="auto" w:fill="FFFFFF"/>
        <w:snapToGrid w:val="0"/>
        <w:spacing w:line="360" w:lineRule="auto"/>
        <w:ind w:firstLine="480" w:firstLineChars="200"/>
        <w:rPr>
          <w:rFonts w:ascii="宋体" w:hAnsi="宋体" w:eastAsia="宋体" w:cs="Arial"/>
          <w:kern w:val="0"/>
          <w:sz w:val="24"/>
          <w:szCs w:val="24"/>
        </w:rPr>
      </w:pPr>
      <w:r>
        <w:rPr>
          <w:rFonts w:hint="eastAsia" w:ascii="宋体" w:hAnsi="宋体" w:eastAsia="宋体" w:cs="Arial"/>
          <w:kern w:val="0"/>
          <w:sz w:val="24"/>
          <w:szCs w:val="24"/>
        </w:rPr>
        <w:t>1.13投标有效期：见供应商须知前附表。</w:t>
      </w:r>
    </w:p>
    <w:p>
      <w:pPr>
        <w:widowControl/>
        <w:shd w:val="clear" w:color="auto" w:fill="FFFFFF"/>
        <w:snapToGrid w:val="0"/>
        <w:spacing w:line="360" w:lineRule="auto"/>
        <w:ind w:firstLine="480" w:firstLineChars="200"/>
        <w:rPr>
          <w:rFonts w:ascii="宋体" w:hAnsi="宋体" w:eastAsia="宋体" w:cs="Arial"/>
          <w:kern w:val="0"/>
          <w:sz w:val="24"/>
          <w:szCs w:val="24"/>
        </w:rPr>
      </w:pPr>
      <w:r>
        <w:rPr>
          <w:rFonts w:hint="eastAsia" w:ascii="宋体" w:hAnsi="宋体" w:eastAsia="宋体" w:cs="Arial"/>
          <w:kern w:val="0"/>
          <w:sz w:val="24"/>
          <w:szCs w:val="24"/>
        </w:rPr>
        <w:t>1.14公告发布媒体：见供应商须知前附表。</w:t>
      </w:r>
    </w:p>
    <w:p>
      <w:pPr>
        <w:widowControl/>
        <w:shd w:val="clear" w:color="auto" w:fill="FFFFFF"/>
        <w:snapToGrid w:val="0"/>
        <w:spacing w:line="360" w:lineRule="auto"/>
        <w:ind w:firstLine="480" w:firstLineChars="200"/>
        <w:rPr>
          <w:rFonts w:ascii="宋体" w:hAnsi="宋体" w:eastAsia="宋体" w:cs="Arial"/>
          <w:kern w:val="0"/>
          <w:sz w:val="24"/>
          <w:szCs w:val="24"/>
        </w:rPr>
      </w:pPr>
      <w:r>
        <w:rPr>
          <w:rFonts w:hint="eastAsia" w:ascii="宋体" w:hAnsi="宋体" w:eastAsia="宋体" w:cs="Arial"/>
          <w:kern w:val="0"/>
          <w:sz w:val="24"/>
          <w:szCs w:val="24"/>
        </w:rPr>
        <w:t>1.15履约保证金：见供应商须知前附表。</w:t>
      </w:r>
    </w:p>
    <w:p>
      <w:pPr>
        <w:widowControl/>
        <w:shd w:val="clear" w:color="auto" w:fill="FFFFFF"/>
        <w:snapToGrid w:val="0"/>
        <w:spacing w:line="360" w:lineRule="auto"/>
        <w:ind w:firstLine="480" w:firstLineChars="200"/>
        <w:rPr>
          <w:rFonts w:ascii="宋体" w:hAnsi="宋体" w:eastAsia="宋体" w:cs="Arial"/>
          <w:kern w:val="0"/>
          <w:sz w:val="24"/>
          <w:szCs w:val="24"/>
        </w:rPr>
      </w:pPr>
      <w:r>
        <w:rPr>
          <w:rFonts w:hint="eastAsia" w:ascii="宋体" w:hAnsi="宋体" w:eastAsia="宋体" w:cs="Arial"/>
          <w:kern w:val="0"/>
          <w:sz w:val="24"/>
          <w:szCs w:val="24"/>
        </w:rPr>
        <w:t>1.16保密</w:t>
      </w:r>
    </w:p>
    <w:p>
      <w:pPr>
        <w:widowControl/>
        <w:shd w:val="clear" w:color="auto" w:fill="FFFFFF"/>
        <w:snapToGrid w:val="0"/>
        <w:spacing w:line="360" w:lineRule="auto"/>
        <w:ind w:firstLine="480" w:firstLineChars="200"/>
        <w:rPr>
          <w:rFonts w:ascii="宋体" w:hAnsi="宋体" w:eastAsia="宋体" w:cs="Arial"/>
          <w:kern w:val="0"/>
          <w:sz w:val="24"/>
          <w:szCs w:val="24"/>
        </w:rPr>
      </w:pPr>
      <w:r>
        <w:rPr>
          <w:rFonts w:hint="eastAsia" w:ascii="宋体" w:hAnsi="宋体" w:eastAsia="宋体" w:cs="Arial"/>
          <w:kern w:val="0"/>
          <w:sz w:val="24"/>
          <w:szCs w:val="24"/>
        </w:rPr>
        <w:t>参与招标投标活动的各方应当对</w:t>
      </w:r>
      <w:r>
        <w:rPr>
          <w:rFonts w:hint="eastAsia" w:ascii="宋体" w:hAnsi="宋体" w:eastAsia="宋体" w:cs="Arial"/>
          <w:kern w:val="0"/>
          <w:sz w:val="24"/>
          <w:szCs w:val="24"/>
          <w:lang w:eastAsia="zh-CN"/>
        </w:rPr>
        <w:t>竞争性磋商文件</w:t>
      </w:r>
      <w:r>
        <w:rPr>
          <w:rFonts w:hint="eastAsia" w:ascii="宋体" w:hAnsi="宋体" w:eastAsia="宋体" w:cs="Arial"/>
          <w:kern w:val="0"/>
          <w:sz w:val="24"/>
          <w:szCs w:val="24"/>
        </w:rPr>
        <w:t>和</w:t>
      </w:r>
      <w:r>
        <w:rPr>
          <w:rFonts w:hint="eastAsia" w:ascii="宋体" w:hAnsi="宋体" w:eastAsia="宋体" w:cs="Arial"/>
          <w:kern w:val="0"/>
          <w:sz w:val="24"/>
          <w:szCs w:val="24"/>
          <w:lang w:eastAsia="zh-CN"/>
        </w:rPr>
        <w:t>磋商响应文件</w:t>
      </w:r>
      <w:r>
        <w:rPr>
          <w:rFonts w:hint="eastAsia" w:ascii="宋体" w:hAnsi="宋体" w:eastAsia="宋体" w:cs="Arial"/>
          <w:kern w:val="0"/>
          <w:sz w:val="24"/>
          <w:szCs w:val="24"/>
        </w:rPr>
        <w:t>中的商业和技术等秘密保密，否则应当承担相应的法律责任。</w:t>
      </w:r>
    </w:p>
    <w:p>
      <w:pPr>
        <w:widowControl/>
        <w:shd w:val="clear" w:color="auto" w:fill="FFFFFF"/>
        <w:snapToGrid w:val="0"/>
        <w:spacing w:line="360" w:lineRule="auto"/>
        <w:ind w:firstLine="480" w:firstLineChars="200"/>
        <w:rPr>
          <w:rFonts w:ascii="宋体" w:hAnsi="Calibri" w:eastAsia="宋体" w:cs="Arial"/>
          <w:kern w:val="0"/>
          <w:sz w:val="24"/>
          <w:szCs w:val="24"/>
        </w:rPr>
      </w:pPr>
      <w:r>
        <w:rPr>
          <w:rFonts w:ascii="宋体" w:hAnsi="宋体" w:eastAsia="宋体" w:cs="Arial"/>
          <w:kern w:val="0"/>
          <w:sz w:val="24"/>
          <w:szCs w:val="24"/>
        </w:rPr>
        <w:t>1.</w:t>
      </w:r>
      <w:r>
        <w:rPr>
          <w:rFonts w:hint="eastAsia" w:ascii="宋体" w:hAnsi="宋体" w:eastAsia="宋体" w:cs="Arial"/>
          <w:kern w:val="0"/>
          <w:sz w:val="24"/>
          <w:szCs w:val="24"/>
        </w:rPr>
        <w:t>17语言文字</w:t>
      </w:r>
    </w:p>
    <w:p>
      <w:pPr>
        <w:widowControl/>
        <w:shd w:val="clear" w:color="auto" w:fill="FFFFFF"/>
        <w:snapToGrid w:val="0"/>
        <w:spacing w:line="360" w:lineRule="auto"/>
        <w:ind w:firstLine="480" w:firstLineChars="200"/>
        <w:rPr>
          <w:rFonts w:ascii="宋体" w:hAnsi="Calibri" w:eastAsia="宋体" w:cs="Arial"/>
          <w:kern w:val="0"/>
          <w:sz w:val="24"/>
          <w:szCs w:val="24"/>
        </w:rPr>
      </w:pPr>
      <w:r>
        <w:rPr>
          <w:rFonts w:hint="eastAsia" w:ascii="宋体" w:hAnsi="宋体" w:eastAsia="宋体" w:cs="Arial"/>
          <w:kern w:val="0"/>
          <w:sz w:val="24"/>
          <w:szCs w:val="24"/>
        </w:rPr>
        <w:t>除专用术语外，与招标投标有关的语言均应当使用中文。必要时专用术语应附有中文注释。</w:t>
      </w:r>
    </w:p>
    <w:p>
      <w:pPr>
        <w:widowControl/>
        <w:shd w:val="clear" w:color="auto" w:fill="FFFFFF"/>
        <w:snapToGrid w:val="0"/>
        <w:spacing w:line="360" w:lineRule="auto"/>
        <w:ind w:firstLine="480" w:firstLineChars="200"/>
        <w:rPr>
          <w:rFonts w:ascii="宋体" w:hAnsi="Calibri" w:eastAsia="宋体" w:cs="Arial"/>
          <w:kern w:val="0"/>
          <w:sz w:val="24"/>
          <w:szCs w:val="24"/>
        </w:rPr>
      </w:pPr>
      <w:r>
        <w:rPr>
          <w:rFonts w:ascii="宋体" w:hAnsi="宋体" w:eastAsia="宋体" w:cs="Arial"/>
          <w:kern w:val="0"/>
          <w:sz w:val="24"/>
          <w:szCs w:val="24"/>
        </w:rPr>
        <w:t>1.</w:t>
      </w:r>
      <w:r>
        <w:rPr>
          <w:rFonts w:hint="eastAsia" w:ascii="宋体" w:hAnsi="宋体" w:eastAsia="宋体" w:cs="Arial"/>
          <w:kern w:val="0"/>
          <w:sz w:val="24"/>
          <w:szCs w:val="24"/>
        </w:rPr>
        <w:t>18</w:t>
      </w:r>
      <w:r>
        <w:rPr>
          <w:rFonts w:ascii="宋体" w:hAnsi="宋体" w:eastAsia="宋体" w:cs="Arial"/>
          <w:kern w:val="0"/>
          <w:sz w:val="24"/>
          <w:szCs w:val="24"/>
        </w:rPr>
        <w:t xml:space="preserve"> </w:t>
      </w:r>
      <w:r>
        <w:rPr>
          <w:rFonts w:hint="eastAsia" w:ascii="宋体" w:hAnsi="宋体" w:eastAsia="宋体" w:cs="Arial"/>
          <w:kern w:val="0"/>
          <w:sz w:val="24"/>
          <w:szCs w:val="24"/>
        </w:rPr>
        <w:t>计量单位</w:t>
      </w:r>
    </w:p>
    <w:p>
      <w:pPr>
        <w:widowControl/>
        <w:shd w:val="clear" w:color="auto" w:fill="FFFFFF"/>
        <w:snapToGrid w:val="0"/>
        <w:spacing w:line="360" w:lineRule="auto"/>
        <w:ind w:firstLine="480" w:firstLineChars="200"/>
        <w:rPr>
          <w:rFonts w:ascii="宋体" w:hAnsi="Calibri" w:eastAsia="宋体" w:cs="Arial"/>
          <w:kern w:val="0"/>
          <w:sz w:val="24"/>
          <w:szCs w:val="24"/>
        </w:rPr>
      </w:pPr>
      <w:r>
        <w:rPr>
          <w:rFonts w:hint="eastAsia" w:ascii="宋体" w:hAnsi="宋体" w:eastAsia="宋体" w:cs="Arial"/>
          <w:kern w:val="0"/>
          <w:sz w:val="24"/>
          <w:szCs w:val="24"/>
        </w:rPr>
        <w:t>所有计量均采用中华人民共和国法定计量单位。</w:t>
      </w:r>
    </w:p>
    <w:p>
      <w:pPr>
        <w:widowControl/>
        <w:shd w:val="clear" w:color="auto" w:fill="FFFFFF"/>
        <w:snapToGrid w:val="0"/>
        <w:spacing w:line="360" w:lineRule="auto"/>
        <w:ind w:firstLine="480" w:firstLineChars="200"/>
        <w:rPr>
          <w:rFonts w:ascii="宋体" w:hAnsi="Calibri" w:eastAsia="宋体" w:cs="Arial"/>
          <w:kern w:val="0"/>
          <w:sz w:val="24"/>
          <w:szCs w:val="24"/>
        </w:rPr>
      </w:pPr>
      <w:r>
        <w:rPr>
          <w:rFonts w:ascii="宋体" w:hAnsi="宋体" w:eastAsia="宋体" w:cs="Arial"/>
          <w:kern w:val="0"/>
          <w:sz w:val="24"/>
          <w:szCs w:val="24"/>
        </w:rPr>
        <w:t>1.</w:t>
      </w:r>
      <w:r>
        <w:rPr>
          <w:rFonts w:hint="eastAsia" w:ascii="宋体" w:hAnsi="宋体" w:eastAsia="宋体" w:cs="Arial"/>
          <w:kern w:val="0"/>
          <w:sz w:val="24"/>
          <w:szCs w:val="24"/>
        </w:rPr>
        <w:t>19</w:t>
      </w:r>
      <w:r>
        <w:rPr>
          <w:rFonts w:ascii="宋体" w:hAnsi="宋体" w:eastAsia="宋体" w:cs="Arial"/>
          <w:kern w:val="0"/>
          <w:sz w:val="24"/>
          <w:szCs w:val="24"/>
        </w:rPr>
        <w:t xml:space="preserve"> </w:t>
      </w:r>
      <w:r>
        <w:rPr>
          <w:rFonts w:hint="eastAsia" w:ascii="宋体" w:hAnsi="宋体" w:eastAsia="宋体" w:cs="Arial"/>
          <w:kern w:val="0"/>
          <w:sz w:val="24"/>
          <w:szCs w:val="24"/>
        </w:rPr>
        <w:t>偏离</w:t>
      </w:r>
    </w:p>
    <w:p>
      <w:pPr>
        <w:widowControl/>
        <w:shd w:val="clear" w:color="auto" w:fill="FFFFFF"/>
        <w:snapToGrid w:val="0"/>
        <w:spacing w:line="360" w:lineRule="auto"/>
        <w:ind w:firstLine="480" w:firstLineChars="200"/>
        <w:rPr>
          <w:rFonts w:ascii="宋体" w:hAnsi="Calibri" w:eastAsia="宋体" w:cs="Arial"/>
          <w:kern w:val="0"/>
          <w:sz w:val="24"/>
          <w:szCs w:val="24"/>
        </w:rPr>
      </w:pPr>
      <w:r>
        <w:rPr>
          <w:rFonts w:hint="eastAsia" w:ascii="宋体" w:hAnsi="宋体" w:eastAsia="宋体" w:cs="Arial"/>
          <w:kern w:val="0"/>
          <w:sz w:val="24"/>
          <w:szCs w:val="24"/>
          <w:lang w:eastAsia="zh-CN"/>
        </w:rPr>
        <w:t>磋商响应文件</w:t>
      </w:r>
      <w:r>
        <w:rPr>
          <w:rFonts w:hint="eastAsia" w:ascii="宋体" w:hAnsi="宋体" w:eastAsia="宋体" w:cs="Arial"/>
          <w:kern w:val="0"/>
          <w:sz w:val="24"/>
          <w:szCs w:val="24"/>
        </w:rPr>
        <w:t>与</w:t>
      </w:r>
      <w:r>
        <w:rPr>
          <w:rFonts w:hint="eastAsia" w:ascii="宋体" w:hAnsi="宋体" w:eastAsia="宋体" w:cs="Arial"/>
          <w:kern w:val="0"/>
          <w:sz w:val="24"/>
          <w:szCs w:val="24"/>
          <w:lang w:eastAsia="zh-CN"/>
        </w:rPr>
        <w:t>竞争性磋商文件</w:t>
      </w:r>
      <w:r>
        <w:rPr>
          <w:rFonts w:hint="eastAsia" w:ascii="宋体" w:hAnsi="宋体" w:eastAsia="宋体" w:cs="Arial"/>
          <w:kern w:val="0"/>
          <w:sz w:val="24"/>
          <w:szCs w:val="24"/>
        </w:rPr>
        <w:t>某些要求产生偏离的，偏离应当符合</w:t>
      </w:r>
      <w:r>
        <w:rPr>
          <w:rFonts w:hint="eastAsia" w:ascii="宋体" w:hAnsi="宋体" w:eastAsia="宋体" w:cs="Arial"/>
          <w:kern w:val="0"/>
          <w:sz w:val="24"/>
          <w:szCs w:val="24"/>
          <w:lang w:eastAsia="zh-CN"/>
        </w:rPr>
        <w:t>竞争性磋商文件</w:t>
      </w:r>
      <w:r>
        <w:rPr>
          <w:rFonts w:hint="eastAsia" w:ascii="宋体" w:hAnsi="宋体" w:eastAsia="宋体" w:cs="Arial"/>
          <w:kern w:val="0"/>
          <w:sz w:val="24"/>
          <w:szCs w:val="24"/>
        </w:rPr>
        <w:t>规定的偏离范围和幅度。</w:t>
      </w:r>
    </w:p>
    <w:p>
      <w:pPr>
        <w:tabs>
          <w:tab w:val="center" w:pos="4832"/>
          <w:tab w:val="left" w:pos="7140"/>
        </w:tabs>
        <w:spacing w:line="360" w:lineRule="auto"/>
        <w:ind w:firstLine="472" w:firstLineChars="196"/>
        <w:jc w:val="left"/>
        <w:outlineLvl w:val="1"/>
        <w:rPr>
          <w:rFonts w:hint="eastAsia" w:ascii="宋体" w:hAnsi="Calibri" w:eastAsia="宋体" w:cs="宋体"/>
          <w:b/>
          <w:sz w:val="24"/>
          <w:szCs w:val="24"/>
          <w:lang w:eastAsia="zh-CN"/>
        </w:rPr>
      </w:pPr>
      <w:bookmarkStart w:id="6" w:name="_Toc535592196"/>
      <w:bookmarkStart w:id="7" w:name="_Toc104243910"/>
      <w:r>
        <w:rPr>
          <w:rFonts w:ascii="宋体" w:hAnsi="宋体" w:eastAsia="宋体" w:cs="宋体"/>
          <w:b/>
          <w:sz w:val="24"/>
          <w:szCs w:val="24"/>
        </w:rPr>
        <w:t>2</w:t>
      </w:r>
      <w:r>
        <w:rPr>
          <w:rFonts w:hint="eastAsia" w:ascii="宋体" w:hAnsi="宋体" w:eastAsia="宋体" w:cs="宋体"/>
          <w:b/>
          <w:sz w:val="24"/>
          <w:szCs w:val="24"/>
        </w:rPr>
        <w:t>．</w:t>
      </w:r>
      <w:bookmarkEnd w:id="6"/>
      <w:bookmarkEnd w:id="7"/>
      <w:r>
        <w:rPr>
          <w:rFonts w:hint="eastAsia" w:ascii="宋体" w:hAnsi="宋体" w:eastAsia="宋体" w:cs="宋体"/>
          <w:b/>
          <w:sz w:val="24"/>
          <w:szCs w:val="24"/>
          <w:lang w:eastAsia="zh-CN"/>
        </w:rPr>
        <w:t>竞争性磋商文件</w:t>
      </w:r>
    </w:p>
    <w:p>
      <w:pPr>
        <w:widowControl/>
        <w:shd w:val="clear" w:color="auto" w:fill="FFFFFF"/>
        <w:snapToGrid w:val="0"/>
        <w:spacing w:line="360" w:lineRule="auto"/>
        <w:ind w:firstLine="480" w:firstLineChars="200"/>
        <w:rPr>
          <w:rFonts w:ascii="宋体" w:hAnsi="Calibri" w:eastAsia="宋体" w:cs="Arial"/>
          <w:kern w:val="0"/>
          <w:sz w:val="24"/>
          <w:szCs w:val="24"/>
        </w:rPr>
      </w:pPr>
      <w:r>
        <w:rPr>
          <w:rFonts w:ascii="宋体" w:hAnsi="宋体" w:eastAsia="宋体" w:cs="Arial"/>
          <w:kern w:val="0"/>
          <w:sz w:val="24"/>
          <w:szCs w:val="24"/>
        </w:rPr>
        <w:t xml:space="preserve">2.1 </w:t>
      </w:r>
      <w:r>
        <w:rPr>
          <w:rFonts w:hint="eastAsia" w:ascii="宋体" w:hAnsi="宋体" w:eastAsia="宋体" w:cs="Arial"/>
          <w:kern w:val="0"/>
          <w:sz w:val="24"/>
          <w:szCs w:val="24"/>
          <w:lang w:eastAsia="zh-CN"/>
        </w:rPr>
        <w:t>竞争性磋商文件</w:t>
      </w:r>
      <w:r>
        <w:rPr>
          <w:rFonts w:hint="eastAsia" w:ascii="宋体" w:hAnsi="宋体" w:eastAsia="宋体" w:cs="Arial"/>
          <w:kern w:val="0"/>
          <w:sz w:val="24"/>
          <w:szCs w:val="24"/>
        </w:rPr>
        <w:t>的组成</w:t>
      </w:r>
    </w:p>
    <w:p>
      <w:pPr>
        <w:widowControl/>
        <w:shd w:val="clear" w:color="auto" w:fill="FFFFFF"/>
        <w:snapToGrid w:val="0"/>
        <w:spacing w:line="360" w:lineRule="auto"/>
        <w:ind w:firstLine="480" w:firstLineChars="200"/>
        <w:rPr>
          <w:rFonts w:ascii="宋体" w:hAnsi="Calibri" w:eastAsia="宋体" w:cs="Arial"/>
          <w:kern w:val="0"/>
          <w:sz w:val="24"/>
          <w:szCs w:val="24"/>
        </w:rPr>
      </w:pPr>
      <w:r>
        <w:rPr>
          <w:rFonts w:hint="eastAsia" w:ascii="宋体" w:hAnsi="宋体" w:eastAsia="宋体" w:cs="Arial"/>
          <w:kern w:val="0"/>
          <w:sz w:val="24"/>
          <w:szCs w:val="24"/>
        </w:rPr>
        <w:t>（</w:t>
      </w:r>
      <w:r>
        <w:rPr>
          <w:rFonts w:ascii="宋体" w:hAnsi="宋体" w:eastAsia="宋体" w:cs="Arial"/>
          <w:kern w:val="0"/>
          <w:sz w:val="24"/>
          <w:szCs w:val="24"/>
        </w:rPr>
        <w:t>1</w:t>
      </w:r>
      <w:r>
        <w:rPr>
          <w:rFonts w:hint="eastAsia" w:ascii="宋体" w:hAnsi="宋体" w:eastAsia="宋体" w:cs="Arial"/>
          <w:kern w:val="0"/>
          <w:sz w:val="24"/>
          <w:szCs w:val="24"/>
        </w:rPr>
        <w:t>）供应商须知；</w:t>
      </w:r>
    </w:p>
    <w:p>
      <w:pPr>
        <w:widowControl/>
        <w:shd w:val="clear" w:color="auto" w:fill="FFFFFF"/>
        <w:snapToGrid w:val="0"/>
        <w:spacing w:line="360" w:lineRule="auto"/>
        <w:ind w:firstLine="480" w:firstLineChars="200"/>
        <w:rPr>
          <w:rFonts w:ascii="宋体" w:hAnsi="Calibri" w:eastAsia="宋体" w:cs="Arial"/>
          <w:kern w:val="0"/>
          <w:sz w:val="24"/>
          <w:szCs w:val="24"/>
        </w:rPr>
      </w:pPr>
      <w:r>
        <w:rPr>
          <w:rFonts w:hint="eastAsia" w:ascii="宋体" w:hAnsi="宋体" w:eastAsia="宋体" w:cs="Arial"/>
          <w:kern w:val="0"/>
          <w:sz w:val="24"/>
          <w:szCs w:val="24"/>
        </w:rPr>
        <w:t>（</w:t>
      </w:r>
      <w:r>
        <w:rPr>
          <w:rFonts w:ascii="宋体" w:hAnsi="宋体" w:eastAsia="宋体" w:cs="Arial"/>
          <w:kern w:val="0"/>
          <w:sz w:val="24"/>
          <w:szCs w:val="24"/>
        </w:rPr>
        <w:t>2</w:t>
      </w:r>
      <w:r>
        <w:rPr>
          <w:rFonts w:hint="eastAsia" w:ascii="宋体" w:hAnsi="宋体" w:eastAsia="宋体" w:cs="Arial"/>
          <w:kern w:val="0"/>
          <w:sz w:val="24"/>
          <w:szCs w:val="24"/>
        </w:rPr>
        <w:t>）磋商办法；</w:t>
      </w:r>
    </w:p>
    <w:p>
      <w:pPr>
        <w:widowControl/>
        <w:shd w:val="clear" w:color="auto" w:fill="FFFFFF"/>
        <w:snapToGrid w:val="0"/>
        <w:spacing w:line="360" w:lineRule="auto"/>
        <w:ind w:firstLine="480" w:firstLineChars="200"/>
        <w:rPr>
          <w:rFonts w:ascii="宋体" w:hAnsi="Calibri" w:eastAsia="宋体" w:cs="Arial"/>
          <w:kern w:val="0"/>
          <w:sz w:val="24"/>
          <w:szCs w:val="24"/>
        </w:rPr>
      </w:pPr>
      <w:r>
        <w:rPr>
          <w:rFonts w:hint="eastAsia" w:ascii="宋体" w:hAnsi="宋体" w:eastAsia="宋体" w:cs="Arial"/>
          <w:kern w:val="0"/>
          <w:sz w:val="24"/>
          <w:szCs w:val="24"/>
        </w:rPr>
        <w:t>（</w:t>
      </w:r>
      <w:r>
        <w:rPr>
          <w:rFonts w:ascii="宋体" w:hAnsi="宋体" w:eastAsia="宋体" w:cs="Arial"/>
          <w:kern w:val="0"/>
          <w:sz w:val="24"/>
          <w:szCs w:val="24"/>
        </w:rPr>
        <w:t>3</w:t>
      </w:r>
      <w:r>
        <w:rPr>
          <w:rFonts w:hint="eastAsia" w:ascii="宋体" w:hAnsi="宋体" w:eastAsia="宋体" w:cs="Arial"/>
          <w:kern w:val="0"/>
          <w:sz w:val="24"/>
          <w:szCs w:val="24"/>
        </w:rPr>
        <w:t>）合同条款；</w:t>
      </w:r>
    </w:p>
    <w:p>
      <w:pPr>
        <w:widowControl/>
        <w:shd w:val="clear" w:color="auto" w:fill="FFFFFF"/>
        <w:snapToGrid w:val="0"/>
        <w:spacing w:line="360" w:lineRule="auto"/>
        <w:ind w:firstLine="480" w:firstLineChars="200"/>
        <w:rPr>
          <w:rFonts w:ascii="宋体" w:hAnsi="Calibri" w:eastAsia="宋体" w:cs="Arial"/>
          <w:kern w:val="0"/>
          <w:sz w:val="24"/>
          <w:szCs w:val="24"/>
        </w:rPr>
      </w:pPr>
      <w:r>
        <w:rPr>
          <w:rFonts w:hint="eastAsia" w:ascii="宋体" w:hAnsi="宋体" w:eastAsia="宋体" w:cs="Arial"/>
          <w:kern w:val="0"/>
          <w:sz w:val="24"/>
          <w:szCs w:val="24"/>
        </w:rPr>
        <w:t>（</w:t>
      </w:r>
      <w:r>
        <w:rPr>
          <w:rFonts w:ascii="宋体" w:hAnsi="宋体" w:eastAsia="宋体" w:cs="Arial"/>
          <w:kern w:val="0"/>
          <w:sz w:val="24"/>
          <w:szCs w:val="24"/>
        </w:rPr>
        <w:t>4</w:t>
      </w:r>
      <w:r>
        <w:rPr>
          <w:rFonts w:hint="eastAsia" w:ascii="宋体" w:hAnsi="宋体" w:eastAsia="宋体" w:cs="Arial"/>
          <w:kern w:val="0"/>
          <w:sz w:val="24"/>
          <w:szCs w:val="24"/>
        </w:rPr>
        <w:t>）服务标准和要求；</w:t>
      </w:r>
    </w:p>
    <w:p>
      <w:pPr>
        <w:widowControl/>
        <w:shd w:val="clear" w:color="auto" w:fill="FFFFFF"/>
        <w:snapToGrid w:val="0"/>
        <w:spacing w:line="360" w:lineRule="auto"/>
        <w:ind w:firstLine="480" w:firstLineChars="200"/>
        <w:rPr>
          <w:rFonts w:ascii="宋体" w:hAnsi="Calibri" w:eastAsia="宋体" w:cs="Arial"/>
          <w:kern w:val="0"/>
          <w:sz w:val="24"/>
          <w:szCs w:val="24"/>
        </w:rPr>
      </w:pPr>
      <w:r>
        <w:rPr>
          <w:rFonts w:hint="eastAsia" w:ascii="宋体" w:hAnsi="宋体" w:eastAsia="宋体" w:cs="Arial"/>
          <w:kern w:val="0"/>
          <w:sz w:val="24"/>
          <w:szCs w:val="24"/>
        </w:rPr>
        <w:t>（</w:t>
      </w:r>
      <w:r>
        <w:rPr>
          <w:rFonts w:ascii="宋体" w:hAnsi="宋体" w:eastAsia="宋体" w:cs="Arial"/>
          <w:kern w:val="0"/>
          <w:sz w:val="24"/>
          <w:szCs w:val="24"/>
        </w:rPr>
        <w:t>5</w:t>
      </w:r>
      <w:r>
        <w:rPr>
          <w:rFonts w:hint="eastAsia" w:ascii="宋体" w:hAnsi="宋体" w:eastAsia="宋体" w:cs="Arial"/>
          <w:kern w:val="0"/>
          <w:sz w:val="24"/>
          <w:szCs w:val="24"/>
        </w:rPr>
        <w:t>）</w:t>
      </w:r>
      <w:r>
        <w:rPr>
          <w:rFonts w:hint="eastAsia" w:ascii="宋体" w:hAnsi="宋体" w:eastAsia="宋体" w:cs="Arial"/>
          <w:kern w:val="0"/>
          <w:sz w:val="24"/>
          <w:szCs w:val="24"/>
          <w:lang w:eastAsia="zh-CN"/>
        </w:rPr>
        <w:t>磋商响应文件</w:t>
      </w:r>
      <w:r>
        <w:rPr>
          <w:rFonts w:hint="eastAsia" w:ascii="宋体" w:hAnsi="宋体" w:eastAsia="宋体" w:cs="Arial"/>
          <w:kern w:val="0"/>
          <w:sz w:val="24"/>
          <w:szCs w:val="24"/>
        </w:rPr>
        <w:t>格式；</w:t>
      </w:r>
    </w:p>
    <w:p>
      <w:pPr>
        <w:widowControl/>
        <w:shd w:val="clear" w:color="auto" w:fill="FFFFFF"/>
        <w:snapToGrid w:val="0"/>
        <w:spacing w:line="360" w:lineRule="auto"/>
        <w:ind w:firstLine="480" w:firstLineChars="200"/>
        <w:rPr>
          <w:rFonts w:ascii="宋体" w:hAnsi="Calibri" w:eastAsia="宋体" w:cs="Arial"/>
          <w:kern w:val="0"/>
          <w:sz w:val="24"/>
          <w:szCs w:val="24"/>
        </w:rPr>
      </w:pPr>
      <w:r>
        <w:rPr>
          <w:rFonts w:hint="eastAsia" w:ascii="宋体" w:hAnsi="宋体" w:eastAsia="宋体" w:cs="Arial"/>
          <w:kern w:val="0"/>
          <w:sz w:val="24"/>
          <w:szCs w:val="24"/>
        </w:rPr>
        <w:t>（</w:t>
      </w:r>
      <w:r>
        <w:rPr>
          <w:rFonts w:ascii="宋体" w:hAnsi="宋体" w:eastAsia="宋体" w:cs="Arial"/>
          <w:kern w:val="0"/>
          <w:sz w:val="24"/>
          <w:szCs w:val="24"/>
        </w:rPr>
        <w:t>6</w:t>
      </w:r>
      <w:r>
        <w:rPr>
          <w:rFonts w:hint="eastAsia" w:ascii="宋体" w:hAnsi="宋体" w:eastAsia="宋体" w:cs="Arial"/>
          <w:kern w:val="0"/>
          <w:sz w:val="24"/>
          <w:szCs w:val="24"/>
        </w:rPr>
        <w:t>）补充条款。</w:t>
      </w:r>
    </w:p>
    <w:p>
      <w:pPr>
        <w:widowControl/>
        <w:shd w:val="clear" w:color="auto" w:fill="FFFFFF"/>
        <w:snapToGrid w:val="0"/>
        <w:spacing w:line="360" w:lineRule="auto"/>
        <w:ind w:firstLine="480" w:firstLineChars="200"/>
        <w:rPr>
          <w:rFonts w:ascii="宋体" w:hAnsi="Calibri" w:eastAsia="宋体" w:cs="Arial"/>
          <w:kern w:val="0"/>
          <w:sz w:val="24"/>
          <w:szCs w:val="24"/>
        </w:rPr>
      </w:pPr>
      <w:r>
        <w:rPr>
          <w:rFonts w:hint="eastAsia" w:ascii="宋体" w:hAnsi="宋体" w:eastAsia="宋体" w:cs="Arial"/>
          <w:kern w:val="0"/>
          <w:sz w:val="24"/>
          <w:szCs w:val="24"/>
        </w:rPr>
        <w:t>根据本章第</w:t>
      </w:r>
      <w:r>
        <w:rPr>
          <w:rFonts w:ascii="宋体" w:hAnsi="宋体" w:eastAsia="宋体" w:cs="Arial"/>
          <w:kern w:val="0"/>
          <w:sz w:val="24"/>
          <w:szCs w:val="24"/>
        </w:rPr>
        <w:t>2.4</w:t>
      </w:r>
      <w:r>
        <w:rPr>
          <w:rFonts w:hint="eastAsia" w:ascii="宋体" w:hAnsi="宋体" w:eastAsia="宋体" w:cs="Arial"/>
          <w:kern w:val="0"/>
          <w:sz w:val="24"/>
          <w:szCs w:val="24"/>
        </w:rPr>
        <w:t>款和第</w:t>
      </w:r>
      <w:r>
        <w:rPr>
          <w:rFonts w:ascii="宋体" w:hAnsi="宋体" w:eastAsia="宋体" w:cs="Arial"/>
          <w:kern w:val="0"/>
          <w:sz w:val="24"/>
          <w:szCs w:val="24"/>
        </w:rPr>
        <w:t>2.5</w:t>
      </w:r>
      <w:r>
        <w:rPr>
          <w:rFonts w:hint="eastAsia" w:ascii="宋体" w:hAnsi="宋体" w:eastAsia="宋体" w:cs="Arial"/>
          <w:kern w:val="0"/>
          <w:sz w:val="24"/>
          <w:szCs w:val="24"/>
        </w:rPr>
        <w:t>款对</w:t>
      </w:r>
      <w:r>
        <w:rPr>
          <w:rFonts w:hint="eastAsia" w:ascii="宋体" w:hAnsi="宋体" w:eastAsia="宋体" w:cs="Arial"/>
          <w:kern w:val="0"/>
          <w:sz w:val="24"/>
          <w:szCs w:val="24"/>
          <w:lang w:eastAsia="zh-CN"/>
        </w:rPr>
        <w:t>竞争性磋商文件</w:t>
      </w:r>
      <w:r>
        <w:rPr>
          <w:rFonts w:hint="eastAsia" w:ascii="宋体" w:hAnsi="宋体" w:eastAsia="宋体" w:cs="Arial"/>
          <w:kern w:val="0"/>
          <w:sz w:val="24"/>
          <w:szCs w:val="24"/>
        </w:rPr>
        <w:t>所作的澄清、修改，构成</w:t>
      </w:r>
      <w:r>
        <w:rPr>
          <w:rFonts w:hint="eastAsia" w:ascii="宋体" w:hAnsi="宋体" w:eastAsia="宋体" w:cs="Arial"/>
          <w:kern w:val="0"/>
          <w:sz w:val="24"/>
          <w:szCs w:val="24"/>
          <w:lang w:eastAsia="zh-CN"/>
        </w:rPr>
        <w:t>竞争性磋商文件</w:t>
      </w:r>
      <w:r>
        <w:rPr>
          <w:rFonts w:hint="eastAsia" w:ascii="宋体" w:hAnsi="宋体" w:eastAsia="宋体" w:cs="Arial"/>
          <w:kern w:val="0"/>
          <w:sz w:val="24"/>
          <w:szCs w:val="24"/>
        </w:rPr>
        <w:t>的组成部分。</w:t>
      </w:r>
    </w:p>
    <w:p>
      <w:pPr>
        <w:widowControl/>
        <w:shd w:val="clear" w:color="auto" w:fill="FFFFFF"/>
        <w:snapToGrid w:val="0"/>
        <w:spacing w:line="360" w:lineRule="auto"/>
        <w:ind w:firstLine="480" w:firstLineChars="200"/>
        <w:rPr>
          <w:rFonts w:ascii="宋体" w:hAnsi="Calibri" w:eastAsia="宋体" w:cs="Arial"/>
          <w:kern w:val="0"/>
          <w:sz w:val="24"/>
          <w:szCs w:val="24"/>
        </w:rPr>
      </w:pPr>
      <w:r>
        <w:rPr>
          <w:rFonts w:ascii="宋体" w:hAnsi="宋体" w:eastAsia="宋体" w:cs="Arial"/>
          <w:kern w:val="0"/>
          <w:sz w:val="24"/>
          <w:szCs w:val="24"/>
        </w:rPr>
        <w:t>2.</w:t>
      </w:r>
      <w:r>
        <w:rPr>
          <w:rFonts w:hint="eastAsia" w:ascii="宋体" w:hAnsi="宋体" w:eastAsia="宋体" w:cs="Arial"/>
          <w:kern w:val="0"/>
          <w:sz w:val="24"/>
          <w:szCs w:val="24"/>
        </w:rPr>
        <w:t>2</w:t>
      </w:r>
      <w:r>
        <w:rPr>
          <w:rFonts w:ascii="宋体" w:hAnsi="宋体" w:eastAsia="宋体" w:cs="Arial"/>
          <w:kern w:val="0"/>
          <w:sz w:val="24"/>
          <w:szCs w:val="24"/>
        </w:rPr>
        <w:t xml:space="preserve"> </w:t>
      </w:r>
      <w:r>
        <w:rPr>
          <w:rFonts w:hint="eastAsia" w:ascii="宋体" w:hAnsi="宋体" w:eastAsia="宋体" w:cs="Arial"/>
          <w:kern w:val="0"/>
          <w:sz w:val="24"/>
          <w:szCs w:val="24"/>
          <w:lang w:eastAsia="zh-CN"/>
        </w:rPr>
        <w:t>竞争性磋商文件</w:t>
      </w:r>
      <w:r>
        <w:rPr>
          <w:rFonts w:hint="eastAsia" w:ascii="宋体" w:hAnsi="宋体" w:eastAsia="宋体" w:cs="Arial"/>
          <w:kern w:val="0"/>
          <w:sz w:val="24"/>
          <w:szCs w:val="24"/>
        </w:rPr>
        <w:t>的获取</w:t>
      </w:r>
    </w:p>
    <w:p>
      <w:pPr>
        <w:widowControl/>
        <w:shd w:val="clear" w:color="auto" w:fill="FFFFFF"/>
        <w:snapToGrid w:val="0"/>
        <w:spacing w:line="360" w:lineRule="auto"/>
        <w:ind w:firstLine="480" w:firstLineChars="200"/>
        <w:rPr>
          <w:rFonts w:ascii="宋体" w:hAnsi="Calibri" w:eastAsia="宋体" w:cs="Arial"/>
          <w:kern w:val="0"/>
          <w:sz w:val="24"/>
          <w:szCs w:val="24"/>
        </w:rPr>
      </w:pPr>
      <w:r>
        <w:rPr>
          <w:rFonts w:hint="eastAsia" w:ascii="宋体" w:hAnsi="宋体" w:eastAsia="宋体" w:cs="Arial"/>
          <w:kern w:val="0"/>
          <w:sz w:val="24"/>
          <w:szCs w:val="24"/>
        </w:rPr>
        <w:t>凡有意参加并符合供应商须知前附表“供应商资格条件和能力”的供应商，均可在采购代理机构获取</w:t>
      </w:r>
      <w:r>
        <w:rPr>
          <w:rFonts w:hint="eastAsia" w:ascii="宋体" w:hAnsi="宋体" w:eastAsia="宋体" w:cs="Arial"/>
          <w:kern w:val="0"/>
          <w:sz w:val="24"/>
          <w:szCs w:val="24"/>
          <w:lang w:eastAsia="zh-CN"/>
        </w:rPr>
        <w:t>竞争性磋商文件</w:t>
      </w:r>
      <w:r>
        <w:rPr>
          <w:rFonts w:hint="eastAsia" w:ascii="宋体" w:hAnsi="宋体" w:eastAsia="宋体" w:cs="Arial"/>
          <w:kern w:val="0"/>
          <w:sz w:val="24"/>
          <w:szCs w:val="24"/>
        </w:rPr>
        <w:t>。</w:t>
      </w:r>
    </w:p>
    <w:p>
      <w:pPr>
        <w:widowControl/>
        <w:shd w:val="clear" w:color="auto" w:fill="FFFFFF"/>
        <w:snapToGrid w:val="0"/>
        <w:spacing w:line="360" w:lineRule="auto"/>
        <w:ind w:firstLine="480" w:firstLineChars="200"/>
        <w:rPr>
          <w:rFonts w:ascii="宋体" w:hAnsi="Calibri" w:eastAsia="宋体" w:cs="Arial"/>
          <w:kern w:val="0"/>
          <w:sz w:val="24"/>
          <w:szCs w:val="24"/>
        </w:rPr>
      </w:pPr>
      <w:r>
        <w:rPr>
          <w:rFonts w:ascii="宋体" w:hAnsi="宋体" w:eastAsia="宋体" w:cs="Arial"/>
          <w:kern w:val="0"/>
          <w:sz w:val="24"/>
          <w:szCs w:val="24"/>
        </w:rPr>
        <w:t>2.</w:t>
      </w:r>
      <w:r>
        <w:rPr>
          <w:rFonts w:hint="eastAsia" w:ascii="宋体" w:hAnsi="宋体" w:eastAsia="宋体" w:cs="Arial"/>
          <w:kern w:val="0"/>
          <w:sz w:val="24"/>
          <w:szCs w:val="24"/>
        </w:rPr>
        <w:t>3</w:t>
      </w:r>
      <w:r>
        <w:rPr>
          <w:rFonts w:ascii="宋体" w:hAnsi="宋体" w:eastAsia="宋体" w:cs="Arial"/>
          <w:kern w:val="0"/>
          <w:sz w:val="24"/>
          <w:szCs w:val="24"/>
        </w:rPr>
        <w:t xml:space="preserve"> </w:t>
      </w:r>
      <w:r>
        <w:rPr>
          <w:rFonts w:hint="eastAsia" w:ascii="宋体" w:hAnsi="宋体" w:eastAsia="宋体" w:cs="Arial"/>
          <w:kern w:val="0"/>
          <w:sz w:val="24"/>
          <w:szCs w:val="24"/>
          <w:lang w:eastAsia="zh-CN"/>
        </w:rPr>
        <w:t>竞争性磋商文件</w:t>
      </w:r>
      <w:r>
        <w:rPr>
          <w:rFonts w:hint="eastAsia" w:ascii="宋体" w:hAnsi="宋体" w:eastAsia="宋体" w:cs="Arial"/>
          <w:kern w:val="0"/>
          <w:sz w:val="24"/>
          <w:szCs w:val="24"/>
        </w:rPr>
        <w:t>的澄清</w:t>
      </w:r>
    </w:p>
    <w:p>
      <w:pPr>
        <w:widowControl/>
        <w:shd w:val="clear" w:color="auto" w:fill="FFFFFF"/>
        <w:snapToGrid w:val="0"/>
        <w:spacing w:line="360" w:lineRule="auto"/>
        <w:ind w:firstLine="480" w:firstLineChars="200"/>
        <w:rPr>
          <w:rFonts w:ascii="宋体" w:hAnsi="Calibri" w:eastAsia="宋体" w:cs="Arial"/>
          <w:kern w:val="0"/>
          <w:sz w:val="24"/>
          <w:szCs w:val="24"/>
        </w:rPr>
      </w:pPr>
      <w:r>
        <w:rPr>
          <w:rFonts w:ascii="宋体" w:hAnsi="宋体" w:eastAsia="宋体" w:cs="Arial"/>
          <w:kern w:val="0"/>
          <w:sz w:val="24"/>
          <w:szCs w:val="24"/>
        </w:rPr>
        <w:t>2.</w:t>
      </w:r>
      <w:r>
        <w:rPr>
          <w:rFonts w:hint="eastAsia" w:ascii="宋体" w:hAnsi="宋体" w:eastAsia="宋体" w:cs="Arial"/>
          <w:kern w:val="0"/>
          <w:sz w:val="24"/>
          <w:szCs w:val="24"/>
        </w:rPr>
        <w:t>3</w:t>
      </w:r>
      <w:r>
        <w:rPr>
          <w:rFonts w:ascii="宋体" w:hAnsi="宋体" w:eastAsia="宋体" w:cs="Arial"/>
          <w:kern w:val="0"/>
          <w:sz w:val="24"/>
          <w:szCs w:val="24"/>
        </w:rPr>
        <w:t xml:space="preserve">.1 </w:t>
      </w:r>
      <w:r>
        <w:rPr>
          <w:rFonts w:hint="eastAsia" w:ascii="宋体" w:hAnsi="宋体" w:eastAsia="宋体" w:cs="Arial"/>
          <w:kern w:val="0"/>
          <w:sz w:val="24"/>
          <w:szCs w:val="24"/>
        </w:rPr>
        <w:t>供应商应当仔细阅读和检查</w:t>
      </w:r>
      <w:r>
        <w:rPr>
          <w:rFonts w:hint="eastAsia" w:ascii="宋体" w:hAnsi="宋体" w:eastAsia="宋体" w:cs="Arial"/>
          <w:kern w:val="0"/>
          <w:sz w:val="24"/>
          <w:szCs w:val="24"/>
          <w:lang w:eastAsia="zh-CN"/>
        </w:rPr>
        <w:t>竞争性磋商文件</w:t>
      </w:r>
      <w:r>
        <w:rPr>
          <w:rFonts w:hint="eastAsia" w:ascii="宋体" w:hAnsi="宋体" w:eastAsia="宋体" w:cs="Arial"/>
          <w:kern w:val="0"/>
          <w:sz w:val="24"/>
          <w:szCs w:val="24"/>
        </w:rPr>
        <w:t>的全部内容。如发现缺页或附件不全，应当及时向采购人提出，以便补齐。如有疑问，应当在供应商须知前附表规定的时间、方式向采购人提出，要求采购人对</w:t>
      </w:r>
      <w:r>
        <w:rPr>
          <w:rFonts w:hint="eastAsia" w:ascii="宋体" w:hAnsi="宋体" w:eastAsia="宋体" w:cs="Arial"/>
          <w:kern w:val="0"/>
          <w:sz w:val="24"/>
          <w:szCs w:val="24"/>
          <w:lang w:eastAsia="zh-CN"/>
        </w:rPr>
        <w:t>竞争性磋商文件</w:t>
      </w:r>
      <w:r>
        <w:rPr>
          <w:rFonts w:hint="eastAsia" w:ascii="宋体" w:hAnsi="宋体" w:eastAsia="宋体" w:cs="Arial"/>
          <w:kern w:val="0"/>
          <w:sz w:val="24"/>
          <w:szCs w:val="24"/>
        </w:rPr>
        <w:t>予以澄清。</w:t>
      </w:r>
    </w:p>
    <w:p>
      <w:pPr>
        <w:widowControl/>
        <w:shd w:val="clear" w:color="auto" w:fill="FFFFFF"/>
        <w:snapToGrid w:val="0"/>
        <w:spacing w:line="360" w:lineRule="auto"/>
        <w:ind w:firstLine="480" w:firstLineChars="200"/>
        <w:rPr>
          <w:rFonts w:ascii="宋体" w:hAnsi="Calibri" w:eastAsia="宋体" w:cs="Arial"/>
          <w:kern w:val="0"/>
          <w:sz w:val="24"/>
          <w:szCs w:val="24"/>
        </w:rPr>
      </w:pPr>
      <w:r>
        <w:rPr>
          <w:rFonts w:ascii="宋体" w:hAnsi="宋体" w:eastAsia="宋体" w:cs="Arial"/>
          <w:kern w:val="0"/>
          <w:sz w:val="24"/>
          <w:szCs w:val="24"/>
        </w:rPr>
        <w:t>2.</w:t>
      </w:r>
      <w:r>
        <w:rPr>
          <w:rFonts w:hint="eastAsia" w:ascii="宋体" w:hAnsi="宋体" w:eastAsia="宋体" w:cs="Arial"/>
          <w:kern w:val="0"/>
          <w:sz w:val="24"/>
          <w:szCs w:val="24"/>
        </w:rPr>
        <w:t>3</w:t>
      </w:r>
      <w:r>
        <w:rPr>
          <w:rFonts w:ascii="宋体" w:hAnsi="宋体" w:eastAsia="宋体" w:cs="Arial"/>
          <w:kern w:val="0"/>
          <w:sz w:val="24"/>
          <w:szCs w:val="24"/>
        </w:rPr>
        <w:t xml:space="preserve">.2 </w:t>
      </w:r>
      <w:r>
        <w:rPr>
          <w:rFonts w:hint="eastAsia" w:ascii="宋体" w:hAnsi="宋体" w:eastAsia="宋体" w:cs="Arial"/>
          <w:kern w:val="0"/>
          <w:sz w:val="24"/>
          <w:szCs w:val="24"/>
          <w:lang w:eastAsia="zh-CN"/>
        </w:rPr>
        <w:t>竞争性磋商文件</w:t>
      </w:r>
      <w:r>
        <w:rPr>
          <w:rFonts w:hint="eastAsia" w:ascii="宋体" w:hAnsi="宋体" w:eastAsia="宋体" w:cs="Arial"/>
          <w:kern w:val="0"/>
          <w:sz w:val="24"/>
          <w:szCs w:val="24"/>
        </w:rPr>
        <w:t>的澄清将按照供应商须知前附表规定的时间、方式发布，但不指明澄清问题的来源。</w:t>
      </w:r>
    </w:p>
    <w:p>
      <w:pPr>
        <w:widowControl/>
        <w:shd w:val="clear" w:color="auto" w:fill="FFFFFF"/>
        <w:snapToGrid w:val="0"/>
        <w:spacing w:line="360" w:lineRule="auto"/>
        <w:ind w:firstLine="480" w:firstLineChars="200"/>
        <w:rPr>
          <w:rFonts w:ascii="宋体" w:hAnsi="Calibri" w:eastAsia="宋体" w:cs="Arial"/>
          <w:kern w:val="0"/>
          <w:sz w:val="24"/>
          <w:szCs w:val="24"/>
        </w:rPr>
      </w:pPr>
      <w:r>
        <w:rPr>
          <w:rFonts w:ascii="宋体" w:hAnsi="宋体" w:eastAsia="宋体" w:cs="Arial"/>
          <w:kern w:val="0"/>
          <w:sz w:val="24"/>
          <w:szCs w:val="24"/>
        </w:rPr>
        <w:t>2.</w:t>
      </w:r>
      <w:r>
        <w:rPr>
          <w:rFonts w:hint="eastAsia" w:ascii="宋体" w:hAnsi="宋体" w:eastAsia="宋体" w:cs="Arial"/>
          <w:kern w:val="0"/>
          <w:sz w:val="24"/>
          <w:szCs w:val="24"/>
        </w:rPr>
        <w:t>4</w:t>
      </w:r>
      <w:r>
        <w:rPr>
          <w:rFonts w:hint="eastAsia" w:ascii="宋体" w:hAnsi="宋体" w:eastAsia="宋体" w:cs="Arial"/>
          <w:kern w:val="0"/>
          <w:sz w:val="24"/>
          <w:szCs w:val="24"/>
          <w:lang w:eastAsia="zh-CN"/>
        </w:rPr>
        <w:t>竞争性磋商文件</w:t>
      </w:r>
      <w:r>
        <w:rPr>
          <w:rFonts w:hint="eastAsia" w:ascii="宋体" w:hAnsi="宋体" w:eastAsia="宋体" w:cs="Arial"/>
          <w:kern w:val="0"/>
          <w:sz w:val="24"/>
          <w:szCs w:val="24"/>
        </w:rPr>
        <w:t>的修改</w:t>
      </w:r>
    </w:p>
    <w:p>
      <w:pPr>
        <w:widowControl/>
        <w:shd w:val="clear" w:color="auto" w:fill="FFFFFF"/>
        <w:snapToGrid w:val="0"/>
        <w:spacing w:line="360" w:lineRule="auto"/>
        <w:ind w:firstLine="480" w:firstLineChars="200"/>
        <w:rPr>
          <w:rFonts w:ascii="宋体" w:hAnsi="Calibri" w:eastAsia="宋体" w:cs="Arial"/>
          <w:kern w:val="0"/>
          <w:sz w:val="24"/>
          <w:szCs w:val="24"/>
        </w:rPr>
      </w:pPr>
      <w:r>
        <w:rPr>
          <w:rFonts w:ascii="宋体" w:hAnsi="宋体" w:eastAsia="宋体" w:cs="Arial"/>
          <w:kern w:val="0"/>
          <w:sz w:val="24"/>
          <w:szCs w:val="24"/>
        </w:rPr>
        <w:t>2.</w:t>
      </w:r>
      <w:r>
        <w:rPr>
          <w:rFonts w:hint="eastAsia" w:ascii="宋体" w:hAnsi="宋体" w:eastAsia="宋体" w:cs="Arial"/>
          <w:kern w:val="0"/>
          <w:sz w:val="24"/>
          <w:szCs w:val="24"/>
        </w:rPr>
        <w:t>4</w:t>
      </w:r>
      <w:r>
        <w:rPr>
          <w:rFonts w:ascii="宋体" w:hAnsi="宋体" w:eastAsia="宋体" w:cs="Arial"/>
          <w:kern w:val="0"/>
          <w:sz w:val="24"/>
          <w:szCs w:val="24"/>
        </w:rPr>
        <w:t xml:space="preserve">.1 </w:t>
      </w:r>
      <w:r>
        <w:rPr>
          <w:rFonts w:hint="eastAsia" w:ascii="宋体" w:hAnsi="宋体" w:eastAsia="宋体" w:cs="Arial"/>
          <w:kern w:val="0"/>
          <w:sz w:val="24"/>
          <w:szCs w:val="24"/>
          <w:lang w:eastAsia="zh-CN"/>
        </w:rPr>
        <w:t>竞争性磋商文件</w:t>
      </w:r>
      <w:r>
        <w:rPr>
          <w:rFonts w:hint="eastAsia" w:ascii="宋体" w:hAnsi="宋体" w:eastAsia="宋体" w:cs="Arial"/>
          <w:kern w:val="0"/>
          <w:sz w:val="24"/>
          <w:szCs w:val="24"/>
        </w:rPr>
        <w:t>的修改将按照供应商须知前附表规定的时间、方式发布，但不指明澄清问题的来源。</w:t>
      </w:r>
    </w:p>
    <w:p>
      <w:pPr>
        <w:widowControl/>
        <w:shd w:val="clear" w:color="auto" w:fill="FFFFFF"/>
        <w:snapToGrid w:val="0"/>
        <w:spacing w:line="360" w:lineRule="auto"/>
        <w:ind w:firstLine="480" w:firstLineChars="200"/>
        <w:rPr>
          <w:rFonts w:ascii="宋体" w:hAnsi="Calibri" w:eastAsia="宋体" w:cs="Arial"/>
          <w:kern w:val="0"/>
          <w:sz w:val="24"/>
          <w:szCs w:val="24"/>
        </w:rPr>
      </w:pPr>
      <w:r>
        <w:rPr>
          <w:rFonts w:ascii="宋体" w:hAnsi="宋体" w:eastAsia="宋体" w:cs="Arial"/>
          <w:kern w:val="0"/>
          <w:sz w:val="24"/>
          <w:szCs w:val="24"/>
        </w:rPr>
        <w:t>2.</w:t>
      </w:r>
      <w:r>
        <w:rPr>
          <w:rFonts w:hint="eastAsia" w:ascii="宋体" w:hAnsi="宋体" w:eastAsia="宋体" w:cs="Arial"/>
          <w:kern w:val="0"/>
          <w:sz w:val="24"/>
          <w:szCs w:val="24"/>
        </w:rPr>
        <w:t>4</w:t>
      </w:r>
      <w:r>
        <w:rPr>
          <w:rFonts w:ascii="宋体" w:hAnsi="宋体" w:eastAsia="宋体" w:cs="Arial"/>
          <w:kern w:val="0"/>
          <w:sz w:val="24"/>
          <w:szCs w:val="24"/>
        </w:rPr>
        <w:t xml:space="preserve">.2 </w:t>
      </w:r>
      <w:r>
        <w:rPr>
          <w:rFonts w:hint="eastAsia" w:ascii="宋体" w:hAnsi="宋体" w:eastAsia="宋体" w:cs="Arial"/>
          <w:kern w:val="0"/>
          <w:sz w:val="24"/>
          <w:szCs w:val="24"/>
        </w:rPr>
        <w:t>在供应商须知前附表规定的截止时间前，无论出于何种原因，采购代理机构和采购人可主动地或在解答潜在供应商提出的澄清问题时对</w:t>
      </w:r>
      <w:r>
        <w:rPr>
          <w:rFonts w:hint="eastAsia" w:ascii="宋体" w:hAnsi="宋体" w:eastAsia="宋体" w:cs="Arial"/>
          <w:kern w:val="0"/>
          <w:sz w:val="24"/>
          <w:szCs w:val="24"/>
          <w:lang w:eastAsia="zh-CN"/>
        </w:rPr>
        <w:t>竞争性磋商文件</w:t>
      </w:r>
      <w:r>
        <w:rPr>
          <w:rFonts w:hint="eastAsia" w:ascii="宋体" w:hAnsi="宋体" w:eastAsia="宋体" w:cs="Arial"/>
          <w:kern w:val="0"/>
          <w:sz w:val="24"/>
          <w:szCs w:val="24"/>
        </w:rPr>
        <w:t>进行修改。</w:t>
      </w:r>
    </w:p>
    <w:p>
      <w:pPr>
        <w:widowControl/>
        <w:shd w:val="clear" w:color="auto" w:fill="FFFFFF"/>
        <w:snapToGrid w:val="0"/>
        <w:spacing w:line="360" w:lineRule="auto"/>
        <w:ind w:firstLine="480" w:firstLineChars="200"/>
        <w:rPr>
          <w:rFonts w:ascii="宋体" w:hAnsi="Calibri" w:eastAsia="宋体" w:cs="Arial"/>
          <w:kern w:val="0"/>
          <w:sz w:val="24"/>
          <w:szCs w:val="24"/>
        </w:rPr>
      </w:pPr>
      <w:r>
        <w:rPr>
          <w:rFonts w:ascii="宋体" w:hAnsi="宋体" w:eastAsia="宋体" w:cs="Arial"/>
          <w:kern w:val="0"/>
          <w:sz w:val="24"/>
          <w:szCs w:val="24"/>
        </w:rPr>
        <w:t>2.</w:t>
      </w:r>
      <w:r>
        <w:rPr>
          <w:rFonts w:hint="eastAsia" w:ascii="宋体" w:hAnsi="宋体" w:eastAsia="宋体" w:cs="Arial"/>
          <w:kern w:val="0"/>
          <w:sz w:val="24"/>
          <w:szCs w:val="24"/>
        </w:rPr>
        <w:t>4</w:t>
      </w:r>
      <w:r>
        <w:rPr>
          <w:rFonts w:ascii="宋体" w:hAnsi="宋体" w:eastAsia="宋体" w:cs="Arial"/>
          <w:kern w:val="0"/>
          <w:sz w:val="24"/>
          <w:szCs w:val="24"/>
        </w:rPr>
        <w:t xml:space="preserve">.3 </w:t>
      </w:r>
      <w:r>
        <w:rPr>
          <w:rFonts w:hint="eastAsia" w:ascii="宋体" w:hAnsi="宋体" w:eastAsia="宋体" w:cs="Arial"/>
          <w:kern w:val="0"/>
          <w:sz w:val="24"/>
          <w:szCs w:val="24"/>
          <w:lang w:eastAsia="zh-CN"/>
        </w:rPr>
        <w:t>竞争性磋商文件</w:t>
      </w:r>
      <w:r>
        <w:rPr>
          <w:rFonts w:hint="eastAsia" w:ascii="宋体" w:hAnsi="宋体" w:eastAsia="宋体" w:cs="Arial"/>
          <w:kern w:val="0"/>
          <w:sz w:val="24"/>
          <w:szCs w:val="24"/>
        </w:rPr>
        <w:t>的修改部分是</w:t>
      </w:r>
      <w:r>
        <w:rPr>
          <w:rFonts w:hint="eastAsia" w:ascii="宋体" w:hAnsi="宋体" w:eastAsia="宋体" w:cs="Arial"/>
          <w:kern w:val="0"/>
          <w:sz w:val="24"/>
          <w:szCs w:val="24"/>
          <w:lang w:eastAsia="zh-CN"/>
        </w:rPr>
        <w:t>竞争性磋商文件</w:t>
      </w:r>
      <w:r>
        <w:rPr>
          <w:rFonts w:hint="eastAsia" w:ascii="宋体" w:hAnsi="宋体" w:eastAsia="宋体" w:cs="Arial"/>
          <w:kern w:val="0"/>
          <w:sz w:val="24"/>
          <w:szCs w:val="24"/>
        </w:rPr>
        <w:t>的组成部分对供应商具有约束力。</w:t>
      </w:r>
    </w:p>
    <w:p>
      <w:pPr>
        <w:widowControl/>
        <w:shd w:val="clear" w:color="auto" w:fill="FFFFFF"/>
        <w:snapToGrid w:val="0"/>
        <w:spacing w:line="360" w:lineRule="auto"/>
        <w:ind w:firstLine="480" w:firstLineChars="200"/>
        <w:rPr>
          <w:rFonts w:ascii="宋体" w:hAnsi="Calibri" w:eastAsia="宋体" w:cs="Arial"/>
          <w:kern w:val="0"/>
          <w:sz w:val="24"/>
          <w:szCs w:val="24"/>
        </w:rPr>
      </w:pPr>
      <w:r>
        <w:rPr>
          <w:rFonts w:ascii="宋体" w:hAnsi="宋体" w:eastAsia="宋体" w:cs="Arial"/>
          <w:kern w:val="0"/>
          <w:sz w:val="24"/>
          <w:szCs w:val="24"/>
        </w:rPr>
        <w:t>2.</w:t>
      </w:r>
      <w:r>
        <w:rPr>
          <w:rFonts w:hint="eastAsia" w:ascii="宋体" w:hAnsi="宋体" w:eastAsia="宋体" w:cs="Arial"/>
          <w:kern w:val="0"/>
          <w:sz w:val="24"/>
          <w:szCs w:val="24"/>
        </w:rPr>
        <w:t>4</w:t>
      </w:r>
      <w:r>
        <w:rPr>
          <w:rFonts w:ascii="宋体" w:hAnsi="宋体" w:eastAsia="宋体" w:cs="Arial"/>
          <w:kern w:val="0"/>
          <w:sz w:val="24"/>
          <w:szCs w:val="24"/>
        </w:rPr>
        <w:t xml:space="preserve">.4 </w:t>
      </w:r>
      <w:r>
        <w:rPr>
          <w:rFonts w:hint="eastAsia" w:ascii="宋体" w:hAnsi="宋体" w:eastAsia="宋体" w:cs="Arial"/>
          <w:kern w:val="0"/>
          <w:sz w:val="24"/>
          <w:szCs w:val="24"/>
        </w:rPr>
        <w:t>为使供应商准备投标时有充分时间对</w:t>
      </w:r>
      <w:r>
        <w:rPr>
          <w:rFonts w:hint="eastAsia" w:ascii="宋体" w:hAnsi="宋体" w:eastAsia="宋体" w:cs="Arial"/>
          <w:kern w:val="0"/>
          <w:sz w:val="24"/>
          <w:szCs w:val="24"/>
          <w:lang w:eastAsia="zh-CN"/>
        </w:rPr>
        <w:t>竞争性磋商文件</w:t>
      </w:r>
      <w:r>
        <w:rPr>
          <w:rFonts w:hint="eastAsia" w:ascii="宋体" w:hAnsi="宋体" w:eastAsia="宋体" w:cs="Arial"/>
          <w:kern w:val="0"/>
          <w:sz w:val="24"/>
          <w:szCs w:val="24"/>
        </w:rPr>
        <w:t>的修改部分进行研究，采购人可适当推迟投标截止期。</w:t>
      </w:r>
    </w:p>
    <w:p>
      <w:pPr>
        <w:widowControl/>
        <w:shd w:val="clear" w:color="auto" w:fill="FFFFFF"/>
        <w:snapToGrid w:val="0"/>
        <w:spacing w:line="360" w:lineRule="auto"/>
        <w:ind w:firstLine="480" w:firstLineChars="200"/>
        <w:rPr>
          <w:rFonts w:ascii="宋体" w:hAnsi="Calibri" w:eastAsia="宋体" w:cs="Arial"/>
          <w:kern w:val="0"/>
          <w:sz w:val="24"/>
          <w:szCs w:val="24"/>
        </w:rPr>
      </w:pPr>
      <w:r>
        <w:rPr>
          <w:rFonts w:ascii="宋体" w:hAnsi="宋体" w:eastAsia="宋体" w:cs="Arial"/>
          <w:kern w:val="0"/>
          <w:sz w:val="24"/>
          <w:szCs w:val="24"/>
        </w:rPr>
        <w:t>2.</w:t>
      </w:r>
      <w:r>
        <w:rPr>
          <w:rFonts w:hint="eastAsia" w:ascii="宋体" w:hAnsi="宋体" w:eastAsia="宋体" w:cs="Arial"/>
          <w:kern w:val="0"/>
          <w:sz w:val="24"/>
          <w:szCs w:val="24"/>
        </w:rPr>
        <w:t>4</w:t>
      </w:r>
      <w:r>
        <w:rPr>
          <w:rFonts w:ascii="宋体" w:hAnsi="宋体" w:eastAsia="宋体" w:cs="Arial"/>
          <w:kern w:val="0"/>
          <w:sz w:val="24"/>
          <w:szCs w:val="24"/>
        </w:rPr>
        <w:t xml:space="preserve">.5 </w:t>
      </w:r>
      <w:r>
        <w:rPr>
          <w:rFonts w:hint="eastAsia" w:ascii="宋体" w:hAnsi="宋体" w:eastAsia="宋体" w:cs="Arial"/>
          <w:kern w:val="0"/>
          <w:sz w:val="24"/>
          <w:szCs w:val="24"/>
        </w:rPr>
        <w:t>当采购人发放的</w:t>
      </w:r>
      <w:r>
        <w:rPr>
          <w:rFonts w:hint="eastAsia" w:ascii="宋体" w:hAnsi="宋体" w:eastAsia="宋体" w:cs="Arial"/>
          <w:kern w:val="0"/>
          <w:sz w:val="24"/>
          <w:szCs w:val="24"/>
          <w:lang w:eastAsia="zh-CN"/>
        </w:rPr>
        <w:t>竞争性磋商文件</w:t>
      </w:r>
      <w:r>
        <w:rPr>
          <w:rFonts w:hint="eastAsia" w:ascii="宋体" w:hAnsi="宋体" w:eastAsia="宋体" w:cs="Arial"/>
          <w:kern w:val="0"/>
          <w:sz w:val="24"/>
          <w:szCs w:val="24"/>
        </w:rPr>
        <w:t>及</w:t>
      </w:r>
      <w:r>
        <w:rPr>
          <w:rFonts w:hint="eastAsia" w:ascii="宋体" w:hAnsi="宋体" w:eastAsia="宋体" w:cs="Arial"/>
          <w:kern w:val="0"/>
          <w:sz w:val="24"/>
          <w:szCs w:val="24"/>
          <w:lang w:eastAsia="zh-CN"/>
        </w:rPr>
        <w:t>竞争性磋商文件</w:t>
      </w:r>
      <w:r>
        <w:rPr>
          <w:rFonts w:hint="eastAsia" w:ascii="宋体" w:hAnsi="宋体" w:eastAsia="宋体" w:cs="Arial"/>
          <w:kern w:val="0"/>
          <w:sz w:val="24"/>
          <w:szCs w:val="24"/>
        </w:rPr>
        <w:t>的答疑文件、修改文件、补充文件前后不一致，发生矛盾情况时，以最后发出的为准。</w:t>
      </w:r>
    </w:p>
    <w:p>
      <w:pPr>
        <w:widowControl/>
        <w:shd w:val="clear" w:color="auto" w:fill="FFFFFF"/>
        <w:snapToGrid w:val="0"/>
        <w:spacing w:line="360" w:lineRule="auto"/>
        <w:ind w:firstLine="480" w:firstLineChars="200"/>
        <w:rPr>
          <w:rFonts w:ascii="宋体" w:hAnsi="Calibri" w:eastAsia="宋体" w:cs="Arial"/>
          <w:kern w:val="0"/>
          <w:sz w:val="24"/>
          <w:szCs w:val="24"/>
        </w:rPr>
      </w:pPr>
      <w:r>
        <w:rPr>
          <w:rFonts w:ascii="宋体" w:hAnsi="宋体" w:eastAsia="宋体" w:cs="Arial"/>
          <w:kern w:val="0"/>
          <w:sz w:val="24"/>
          <w:szCs w:val="24"/>
        </w:rPr>
        <w:t>2.</w:t>
      </w:r>
      <w:r>
        <w:rPr>
          <w:rFonts w:hint="eastAsia" w:ascii="宋体" w:hAnsi="宋体" w:eastAsia="宋体" w:cs="Arial"/>
          <w:kern w:val="0"/>
          <w:sz w:val="24"/>
          <w:szCs w:val="24"/>
        </w:rPr>
        <w:t>4</w:t>
      </w:r>
      <w:r>
        <w:rPr>
          <w:rFonts w:ascii="宋体" w:hAnsi="宋体" w:eastAsia="宋体" w:cs="Arial"/>
          <w:kern w:val="0"/>
          <w:sz w:val="24"/>
          <w:szCs w:val="24"/>
        </w:rPr>
        <w:t xml:space="preserve">.6 </w:t>
      </w:r>
      <w:r>
        <w:rPr>
          <w:rFonts w:hint="eastAsia" w:ascii="宋体" w:hAnsi="宋体" w:eastAsia="宋体" w:cs="Arial"/>
          <w:kern w:val="0"/>
          <w:sz w:val="24"/>
          <w:szCs w:val="24"/>
        </w:rPr>
        <w:t>如果</w:t>
      </w:r>
      <w:r>
        <w:rPr>
          <w:rFonts w:hint="eastAsia" w:ascii="宋体" w:hAnsi="宋体" w:eastAsia="宋体" w:cs="Arial"/>
          <w:kern w:val="0"/>
          <w:sz w:val="24"/>
          <w:szCs w:val="24"/>
          <w:lang w:eastAsia="zh-CN"/>
        </w:rPr>
        <w:t>竞争性磋商文件</w:t>
      </w:r>
      <w:r>
        <w:rPr>
          <w:rFonts w:hint="eastAsia" w:ascii="宋体" w:hAnsi="宋体" w:eastAsia="宋体" w:cs="Arial"/>
          <w:kern w:val="0"/>
          <w:sz w:val="24"/>
          <w:szCs w:val="24"/>
        </w:rPr>
        <w:t>各个组成部分之间出现歧义或相互矛盾，或任何文件中呈现明显的或不符合逻辑等的错误，或在文件编写过程中经常出现的打印错误等，供应商应将需要澄清的内容在供应商须知前附表规定的时间之前提出。根据合同条款中的相关约定，如果供应商在投标过程中未能发现并对有关歧义、矛盾或错误提出澄清请求，而在中标后发现并提出，中标人将必须接受由采购人依据合同有关条款而做出的书面澄清。</w:t>
      </w:r>
    </w:p>
    <w:p>
      <w:pPr>
        <w:tabs>
          <w:tab w:val="center" w:pos="4832"/>
          <w:tab w:val="left" w:pos="7140"/>
        </w:tabs>
        <w:spacing w:line="360" w:lineRule="auto"/>
        <w:ind w:firstLine="472" w:firstLineChars="196"/>
        <w:jc w:val="left"/>
        <w:outlineLvl w:val="1"/>
        <w:rPr>
          <w:rFonts w:hint="eastAsia" w:ascii="宋体" w:hAnsi="Calibri" w:eastAsia="宋体" w:cs="宋体"/>
          <w:b/>
          <w:sz w:val="24"/>
          <w:szCs w:val="24"/>
          <w:lang w:eastAsia="zh-CN"/>
        </w:rPr>
      </w:pPr>
      <w:bookmarkStart w:id="8" w:name="_BookMark_6"/>
      <w:bookmarkEnd w:id="8"/>
      <w:bookmarkStart w:id="9" w:name="_Toc535592197"/>
      <w:bookmarkStart w:id="10" w:name="_Toc104243911"/>
      <w:r>
        <w:rPr>
          <w:rFonts w:ascii="宋体" w:hAnsi="宋体" w:eastAsia="宋体" w:cs="宋体"/>
          <w:b/>
          <w:sz w:val="24"/>
          <w:szCs w:val="24"/>
        </w:rPr>
        <w:t>3</w:t>
      </w:r>
      <w:r>
        <w:rPr>
          <w:rFonts w:hint="eastAsia" w:ascii="宋体" w:hAnsi="宋体" w:eastAsia="宋体" w:cs="宋体"/>
          <w:b/>
          <w:sz w:val="24"/>
          <w:szCs w:val="24"/>
        </w:rPr>
        <w:t>．</w:t>
      </w:r>
      <w:bookmarkEnd w:id="9"/>
      <w:bookmarkEnd w:id="10"/>
      <w:r>
        <w:rPr>
          <w:rFonts w:hint="eastAsia" w:ascii="宋体" w:hAnsi="宋体" w:eastAsia="宋体" w:cs="宋体"/>
          <w:b/>
          <w:sz w:val="24"/>
          <w:szCs w:val="24"/>
          <w:lang w:eastAsia="zh-CN"/>
        </w:rPr>
        <w:t>磋商响应文件</w:t>
      </w:r>
    </w:p>
    <w:p>
      <w:pPr>
        <w:widowControl/>
        <w:shd w:val="clear" w:color="auto" w:fill="FFFFFF"/>
        <w:snapToGrid w:val="0"/>
        <w:spacing w:line="360" w:lineRule="auto"/>
        <w:ind w:firstLine="480" w:firstLineChars="200"/>
        <w:rPr>
          <w:rFonts w:ascii="宋体" w:hAnsi="Calibri" w:eastAsia="宋体" w:cs="Arial"/>
          <w:kern w:val="0"/>
          <w:sz w:val="24"/>
          <w:szCs w:val="24"/>
        </w:rPr>
      </w:pPr>
      <w:r>
        <w:rPr>
          <w:rFonts w:ascii="宋体" w:hAnsi="宋体" w:eastAsia="宋体" w:cs="Arial"/>
          <w:kern w:val="0"/>
          <w:sz w:val="24"/>
          <w:szCs w:val="24"/>
        </w:rPr>
        <w:t xml:space="preserve">3.1 </w:t>
      </w:r>
      <w:r>
        <w:rPr>
          <w:rFonts w:hint="eastAsia" w:ascii="宋体" w:hAnsi="宋体" w:eastAsia="宋体" w:cs="Arial"/>
          <w:kern w:val="0"/>
          <w:sz w:val="24"/>
          <w:szCs w:val="24"/>
          <w:lang w:eastAsia="zh-CN"/>
        </w:rPr>
        <w:t>磋商响应文件</w:t>
      </w:r>
      <w:r>
        <w:rPr>
          <w:rFonts w:hint="eastAsia" w:ascii="宋体" w:hAnsi="宋体" w:eastAsia="宋体" w:cs="Arial"/>
          <w:kern w:val="0"/>
          <w:sz w:val="24"/>
          <w:szCs w:val="24"/>
        </w:rPr>
        <w:t>的组成</w:t>
      </w:r>
    </w:p>
    <w:p>
      <w:pPr>
        <w:widowControl/>
        <w:shd w:val="clear" w:color="auto" w:fill="FFFFFF"/>
        <w:snapToGrid w:val="0"/>
        <w:spacing w:line="360" w:lineRule="auto"/>
        <w:ind w:firstLine="480" w:firstLineChars="200"/>
        <w:rPr>
          <w:rFonts w:ascii="宋体" w:hAnsi="Calibri" w:eastAsia="宋体" w:cs="Arial"/>
          <w:kern w:val="0"/>
          <w:sz w:val="24"/>
          <w:szCs w:val="24"/>
        </w:rPr>
      </w:pPr>
      <w:r>
        <w:rPr>
          <w:rFonts w:ascii="宋体" w:hAnsi="宋体" w:eastAsia="宋体" w:cs="Arial"/>
          <w:kern w:val="0"/>
          <w:sz w:val="24"/>
          <w:szCs w:val="24"/>
        </w:rPr>
        <w:t>3.1.1</w:t>
      </w:r>
      <w:r>
        <w:rPr>
          <w:rFonts w:hint="eastAsia" w:ascii="宋体" w:hAnsi="宋体" w:eastAsia="宋体" w:cs="Arial"/>
          <w:kern w:val="0"/>
          <w:sz w:val="24"/>
          <w:szCs w:val="24"/>
          <w:lang w:eastAsia="zh-CN"/>
        </w:rPr>
        <w:t>磋商响应文件</w:t>
      </w:r>
      <w:r>
        <w:rPr>
          <w:rFonts w:hint="eastAsia" w:ascii="宋体" w:hAnsi="宋体" w:eastAsia="宋体" w:cs="Arial"/>
          <w:kern w:val="0"/>
          <w:sz w:val="24"/>
          <w:szCs w:val="24"/>
        </w:rPr>
        <w:t>应包括下列内容：</w:t>
      </w:r>
    </w:p>
    <w:p>
      <w:pPr>
        <w:widowControl/>
        <w:shd w:val="clear" w:color="auto" w:fill="FFFFFF"/>
        <w:snapToGrid w:val="0"/>
        <w:spacing w:line="360" w:lineRule="auto"/>
        <w:ind w:firstLine="480" w:firstLineChars="200"/>
        <w:rPr>
          <w:rFonts w:ascii="宋体" w:hAnsi="宋体" w:eastAsia="宋体" w:cs="Times New Roman"/>
          <w:bCs/>
          <w:sz w:val="24"/>
          <w:szCs w:val="24"/>
        </w:rPr>
      </w:pPr>
      <w:r>
        <w:rPr>
          <w:rFonts w:hint="eastAsia" w:ascii="宋体" w:hAnsi="宋体" w:eastAsia="宋体" w:cs="Times New Roman"/>
          <w:bCs/>
          <w:sz w:val="24"/>
          <w:szCs w:val="24"/>
        </w:rPr>
        <w:t>(1)投标函</w:t>
      </w:r>
    </w:p>
    <w:p>
      <w:pPr>
        <w:widowControl/>
        <w:shd w:val="clear" w:color="auto" w:fill="FFFFFF"/>
        <w:snapToGrid w:val="0"/>
        <w:spacing w:line="360" w:lineRule="auto"/>
        <w:ind w:firstLine="480" w:firstLineChars="200"/>
        <w:rPr>
          <w:rFonts w:ascii="宋体" w:hAnsi="宋体" w:eastAsia="宋体" w:cs="Times New Roman"/>
          <w:bCs/>
          <w:sz w:val="24"/>
          <w:szCs w:val="24"/>
        </w:rPr>
      </w:pPr>
      <w:r>
        <w:rPr>
          <w:rFonts w:hint="eastAsia" w:ascii="宋体" w:hAnsi="宋体" w:eastAsia="宋体" w:cs="Times New Roman"/>
          <w:bCs/>
          <w:sz w:val="24"/>
          <w:szCs w:val="24"/>
        </w:rPr>
        <w:t>(2)投标价格明细表</w:t>
      </w:r>
    </w:p>
    <w:p>
      <w:pPr>
        <w:widowControl/>
        <w:shd w:val="clear" w:color="auto" w:fill="FFFFFF"/>
        <w:snapToGrid w:val="0"/>
        <w:spacing w:line="360" w:lineRule="auto"/>
        <w:ind w:firstLine="480" w:firstLineChars="200"/>
        <w:rPr>
          <w:rFonts w:ascii="宋体" w:hAnsi="宋体" w:eastAsia="宋体" w:cs="Times New Roman"/>
          <w:bCs/>
          <w:sz w:val="24"/>
          <w:szCs w:val="24"/>
        </w:rPr>
      </w:pPr>
      <w:r>
        <w:rPr>
          <w:rFonts w:hint="eastAsia" w:ascii="宋体" w:hAnsi="宋体" w:eastAsia="宋体" w:cs="Times New Roman"/>
          <w:bCs/>
          <w:sz w:val="24"/>
          <w:szCs w:val="24"/>
        </w:rPr>
        <w:t>(3)偏离表</w:t>
      </w:r>
    </w:p>
    <w:p>
      <w:pPr>
        <w:widowControl/>
        <w:shd w:val="clear" w:color="auto" w:fill="FFFFFF"/>
        <w:snapToGrid w:val="0"/>
        <w:spacing w:line="360" w:lineRule="auto"/>
        <w:ind w:firstLine="480" w:firstLineChars="200"/>
        <w:rPr>
          <w:rFonts w:ascii="宋体" w:hAnsi="宋体" w:eastAsia="宋体" w:cs="Times New Roman"/>
          <w:bCs/>
          <w:sz w:val="24"/>
          <w:szCs w:val="24"/>
        </w:rPr>
      </w:pPr>
      <w:r>
        <w:rPr>
          <w:rFonts w:hint="eastAsia" w:ascii="宋体" w:hAnsi="宋体" w:eastAsia="宋体" w:cs="Times New Roman"/>
          <w:bCs/>
          <w:sz w:val="24"/>
          <w:szCs w:val="24"/>
        </w:rPr>
        <w:t>(4)法定代表人身份证明书</w:t>
      </w:r>
    </w:p>
    <w:p>
      <w:pPr>
        <w:widowControl/>
        <w:shd w:val="clear" w:color="auto" w:fill="FFFFFF"/>
        <w:snapToGrid w:val="0"/>
        <w:spacing w:line="360" w:lineRule="auto"/>
        <w:ind w:firstLine="480" w:firstLineChars="200"/>
        <w:rPr>
          <w:rFonts w:ascii="宋体" w:hAnsi="宋体" w:eastAsia="宋体" w:cs="Times New Roman"/>
          <w:bCs/>
          <w:sz w:val="24"/>
          <w:szCs w:val="24"/>
        </w:rPr>
      </w:pPr>
      <w:r>
        <w:rPr>
          <w:rFonts w:hint="eastAsia" w:ascii="宋体" w:hAnsi="宋体" w:eastAsia="宋体" w:cs="Times New Roman"/>
          <w:bCs/>
          <w:sz w:val="24"/>
          <w:szCs w:val="24"/>
        </w:rPr>
        <w:t>(5)法定代表人授权委托书</w:t>
      </w:r>
    </w:p>
    <w:p>
      <w:pPr>
        <w:widowControl/>
        <w:shd w:val="clear" w:color="auto" w:fill="FFFFFF"/>
        <w:snapToGrid w:val="0"/>
        <w:spacing w:line="360" w:lineRule="auto"/>
        <w:ind w:firstLine="480" w:firstLineChars="200"/>
        <w:rPr>
          <w:rFonts w:ascii="宋体" w:hAnsi="宋体" w:eastAsia="宋体" w:cs="Times New Roman"/>
          <w:bCs/>
          <w:sz w:val="24"/>
          <w:szCs w:val="24"/>
        </w:rPr>
      </w:pPr>
      <w:r>
        <w:rPr>
          <w:rFonts w:hint="eastAsia" w:ascii="宋体" w:hAnsi="宋体" w:eastAsia="宋体" w:cs="Times New Roman"/>
          <w:bCs/>
          <w:sz w:val="24"/>
          <w:szCs w:val="24"/>
        </w:rPr>
        <w:t>(6)供应商基本情况表</w:t>
      </w:r>
    </w:p>
    <w:p>
      <w:pPr>
        <w:widowControl/>
        <w:shd w:val="clear" w:color="auto" w:fill="FFFFFF"/>
        <w:snapToGrid w:val="0"/>
        <w:spacing w:line="360" w:lineRule="auto"/>
        <w:ind w:firstLine="480" w:firstLineChars="200"/>
        <w:rPr>
          <w:rFonts w:ascii="宋体" w:hAnsi="宋体" w:eastAsia="宋体" w:cs="Times New Roman"/>
          <w:bCs/>
          <w:sz w:val="24"/>
          <w:szCs w:val="24"/>
        </w:rPr>
      </w:pPr>
      <w:r>
        <w:rPr>
          <w:rFonts w:hint="eastAsia" w:ascii="宋体" w:hAnsi="宋体" w:eastAsia="宋体" w:cs="Times New Roman"/>
          <w:bCs/>
          <w:sz w:val="24"/>
          <w:szCs w:val="24"/>
        </w:rPr>
        <w:t>(7)供应商近三年类似项目业绩表</w:t>
      </w:r>
    </w:p>
    <w:p>
      <w:pPr>
        <w:widowControl/>
        <w:shd w:val="clear" w:color="auto" w:fill="FFFFFF"/>
        <w:snapToGrid w:val="0"/>
        <w:spacing w:line="360" w:lineRule="auto"/>
        <w:ind w:firstLine="480" w:firstLineChars="200"/>
        <w:rPr>
          <w:rFonts w:ascii="宋体" w:hAnsi="宋体" w:eastAsia="宋体" w:cs="Times New Roman"/>
          <w:bCs/>
          <w:sz w:val="24"/>
          <w:szCs w:val="24"/>
        </w:rPr>
      </w:pPr>
      <w:r>
        <w:rPr>
          <w:rFonts w:hint="eastAsia" w:ascii="宋体" w:hAnsi="宋体" w:eastAsia="宋体" w:cs="Times New Roman"/>
          <w:bCs/>
          <w:sz w:val="24"/>
          <w:szCs w:val="24"/>
        </w:rPr>
        <w:t>(8)拟派项目负责人简历表</w:t>
      </w:r>
    </w:p>
    <w:p>
      <w:pPr>
        <w:widowControl/>
        <w:shd w:val="clear" w:color="auto" w:fill="FFFFFF"/>
        <w:snapToGrid w:val="0"/>
        <w:spacing w:line="360" w:lineRule="auto"/>
        <w:ind w:firstLine="480" w:firstLineChars="200"/>
        <w:rPr>
          <w:rFonts w:ascii="宋体" w:hAnsi="宋体" w:eastAsia="宋体" w:cs="Times New Roman"/>
          <w:bCs/>
          <w:sz w:val="24"/>
          <w:szCs w:val="24"/>
        </w:rPr>
      </w:pPr>
      <w:r>
        <w:rPr>
          <w:rFonts w:hint="eastAsia" w:ascii="宋体" w:hAnsi="宋体" w:eastAsia="宋体" w:cs="Times New Roman"/>
          <w:bCs/>
          <w:sz w:val="24"/>
          <w:szCs w:val="24"/>
        </w:rPr>
        <w:t>(9)拟派本项目服务人员情况表</w:t>
      </w:r>
    </w:p>
    <w:p>
      <w:pPr>
        <w:widowControl/>
        <w:shd w:val="clear" w:color="auto" w:fill="FFFFFF"/>
        <w:snapToGrid w:val="0"/>
        <w:spacing w:line="360" w:lineRule="auto"/>
        <w:ind w:firstLine="480" w:firstLineChars="200"/>
        <w:rPr>
          <w:rFonts w:ascii="宋体" w:hAnsi="宋体" w:eastAsia="宋体" w:cs="Times New Roman"/>
          <w:bCs/>
          <w:sz w:val="24"/>
          <w:szCs w:val="24"/>
        </w:rPr>
      </w:pPr>
      <w:r>
        <w:rPr>
          <w:rFonts w:hint="eastAsia" w:ascii="宋体" w:hAnsi="宋体" w:eastAsia="宋体" w:cs="Times New Roman"/>
          <w:bCs/>
          <w:sz w:val="24"/>
          <w:szCs w:val="24"/>
        </w:rPr>
        <w:t>(10)服务方案</w:t>
      </w:r>
    </w:p>
    <w:p>
      <w:pPr>
        <w:widowControl/>
        <w:shd w:val="clear" w:color="auto" w:fill="FFFFFF"/>
        <w:snapToGrid w:val="0"/>
        <w:spacing w:line="360" w:lineRule="auto"/>
        <w:ind w:firstLine="480" w:firstLineChars="200"/>
        <w:rPr>
          <w:rFonts w:ascii="宋体" w:hAnsi="宋体" w:eastAsia="宋体" w:cs="Times New Roman"/>
          <w:bCs/>
          <w:sz w:val="24"/>
          <w:szCs w:val="24"/>
        </w:rPr>
      </w:pPr>
      <w:r>
        <w:rPr>
          <w:rFonts w:hint="eastAsia" w:ascii="宋体" w:hAnsi="宋体" w:eastAsia="宋体" w:cs="Times New Roman"/>
          <w:bCs/>
          <w:sz w:val="24"/>
          <w:szCs w:val="24"/>
        </w:rPr>
        <w:t>(11)其他需要提交的资料</w:t>
      </w:r>
    </w:p>
    <w:p>
      <w:pPr>
        <w:widowControl/>
        <w:shd w:val="clear" w:color="auto" w:fill="FFFFFF"/>
        <w:snapToGrid w:val="0"/>
        <w:spacing w:line="360" w:lineRule="auto"/>
        <w:ind w:firstLine="480" w:firstLineChars="200"/>
        <w:rPr>
          <w:rFonts w:ascii="宋体" w:hAnsi="Calibri" w:eastAsia="宋体" w:cs="Arial"/>
          <w:kern w:val="0"/>
          <w:sz w:val="24"/>
          <w:szCs w:val="24"/>
        </w:rPr>
      </w:pPr>
      <w:r>
        <w:rPr>
          <w:rFonts w:ascii="宋体" w:hAnsi="宋体" w:eastAsia="宋体" w:cs="Arial"/>
          <w:kern w:val="0"/>
          <w:sz w:val="24"/>
          <w:szCs w:val="24"/>
        </w:rPr>
        <w:t xml:space="preserve">3.1.2 </w:t>
      </w:r>
      <w:r>
        <w:rPr>
          <w:rFonts w:hint="eastAsia" w:ascii="宋体" w:hAnsi="宋体" w:eastAsia="宋体" w:cs="Arial"/>
          <w:kern w:val="0"/>
          <w:sz w:val="24"/>
          <w:szCs w:val="24"/>
        </w:rPr>
        <w:t>供应商须知前附表规定不接受联合体投标的，或供应商没有组成联合体的，</w:t>
      </w:r>
      <w:r>
        <w:rPr>
          <w:rFonts w:hint="eastAsia" w:ascii="宋体" w:hAnsi="宋体" w:eastAsia="宋体" w:cs="Arial"/>
          <w:kern w:val="0"/>
          <w:sz w:val="24"/>
          <w:szCs w:val="24"/>
          <w:lang w:eastAsia="zh-CN"/>
        </w:rPr>
        <w:t>磋商响应文件</w:t>
      </w:r>
      <w:r>
        <w:rPr>
          <w:rFonts w:hint="eastAsia" w:ascii="宋体" w:hAnsi="宋体" w:eastAsia="宋体" w:cs="Arial"/>
          <w:kern w:val="0"/>
          <w:sz w:val="24"/>
          <w:szCs w:val="24"/>
        </w:rPr>
        <w:t>不包括本章第</w:t>
      </w:r>
      <w:r>
        <w:rPr>
          <w:rFonts w:ascii="宋体" w:hAnsi="宋体" w:eastAsia="宋体" w:cs="Arial"/>
          <w:kern w:val="0"/>
          <w:sz w:val="24"/>
          <w:szCs w:val="24"/>
        </w:rPr>
        <w:t>3.1.1</w:t>
      </w:r>
      <w:r>
        <w:rPr>
          <w:rFonts w:hint="eastAsia" w:ascii="宋体" w:hAnsi="宋体" w:eastAsia="宋体" w:cs="Arial"/>
          <w:kern w:val="0"/>
          <w:sz w:val="24"/>
          <w:szCs w:val="24"/>
        </w:rPr>
        <w:t>（</w:t>
      </w:r>
      <w:r>
        <w:rPr>
          <w:rFonts w:ascii="宋体" w:hAnsi="宋体" w:eastAsia="宋体" w:cs="Arial"/>
          <w:kern w:val="0"/>
          <w:sz w:val="24"/>
          <w:szCs w:val="24"/>
        </w:rPr>
        <w:t>7</w:t>
      </w:r>
      <w:r>
        <w:rPr>
          <w:rFonts w:hint="eastAsia" w:ascii="宋体" w:hAnsi="宋体" w:eastAsia="宋体" w:cs="Arial"/>
          <w:kern w:val="0"/>
          <w:sz w:val="24"/>
          <w:szCs w:val="24"/>
        </w:rPr>
        <w:t>）款所指的联合体协议书。</w:t>
      </w:r>
      <w:r>
        <w:rPr>
          <w:rFonts w:ascii="宋体" w:hAnsi="宋体" w:eastAsia="宋体" w:cs="Arial"/>
          <w:kern w:val="0"/>
          <w:sz w:val="24"/>
          <w:szCs w:val="24"/>
        </w:rPr>
        <w:t xml:space="preserve"> </w:t>
      </w:r>
    </w:p>
    <w:p>
      <w:pPr>
        <w:widowControl/>
        <w:shd w:val="clear" w:color="auto" w:fill="FFFFFF"/>
        <w:snapToGrid w:val="0"/>
        <w:spacing w:line="360" w:lineRule="auto"/>
        <w:ind w:firstLine="480" w:firstLineChars="200"/>
        <w:rPr>
          <w:rFonts w:ascii="宋体" w:hAnsi="Calibri" w:eastAsia="宋体" w:cs="Arial"/>
          <w:kern w:val="0"/>
          <w:sz w:val="24"/>
          <w:szCs w:val="24"/>
        </w:rPr>
      </w:pPr>
      <w:r>
        <w:rPr>
          <w:rFonts w:ascii="宋体" w:hAnsi="宋体" w:eastAsia="宋体" w:cs="Arial"/>
          <w:kern w:val="0"/>
          <w:sz w:val="24"/>
          <w:szCs w:val="24"/>
        </w:rPr>
        <w:t xml:space="preserve">3.2 </w:t>
      </w:r>
      <w:r>
        <w:rPr>
          <w:rFonts w:hint="eastAsia" w:ascii="宋体" w:hAnsi="宋体" w:eastAsia="宋体" w:cs="Arial"/>
          <w:kern w:val="0"/>
          <w:sz w:val="24"/>
          <w:szCs w:val="24"/>
        </w:rPr>
        <w:t>投标价格</w:t>
      </w:r>
    </w:p>
    <w:p>
      <w:pPr>
        <w:widowControl/>
        <w:shd w:val="clear" w:color="auto" w:fill="FFFFFF"/>
        <w:snapToGrid w:val="0"/>
        <w:spacing w:line="360" w:lineRule="auto"/>
        <w:ind w:firstLine="480" w:firstLineChars="200"/>
        <w:rPr>
          <w:rFonts w:ascii="宋体" w:hAnsi="宋体" w:eastAsia="宋体" w:cs="Arial"/>
          <w:kern w:val="0"/>
          <w:sz w:val="24"/>
          <w:szCs w:val="24"/>
        </w:rPr>
      </w:pPr>
      <w:r>
        <w:rPr>
          <w:rFonts w:ascii="宋体" w:hAnsi="宋体" w:eastAsia="宋体" w:cs="Arial"/>
          <w:kern w:val="0"/>
          <w:sz w:val="24"/>
          <w:szCs w:val="24"/>
        </w:rPr>
        <w:t>3.2.1</w:t>
      </w:r>
      <w:r>
        <w:rPr>
          <w:rFonts w:hint="eastAsia" w:ascii="宋体" w:hAnsi="宋体" w:eastAsia="宋体" w:cs="Arial"/>
          <w:kern w:val="0"/>
          <w:sz w:val="24"/>
          <w:szCs w:val="24"/>
        </w:rPr>
        <w:t>供应商应当按第四章“服务标准和要求”的规定进行报价，并填写第五章“</w:t>
      </w:r>
      <w:r>
        <w:rPr>
          <w:rFonts w:hint="eastAsia" w:ascii="宋体" w:hAnsi="宋体" w:eastAsia="宋体" w:cs="Arial"/>
          <w:kern w:val="0"/>
          <w:sz w:val="24"/>
          <w:szCs w:val="24"/>
          <w:lang w:eastAsia="zh-CN"/>
        </w:rPr>
        <w:t>磋商响应文件</w:t>
      </w:r>
      <w:r>
        <w:rPr>
          <w:rFonts w:hint="eastAsia" w:ascii="宋体" w:hAnsi="宋体" w:eastAsia="宋体" w:cs="Arial"/>
          <w:kern w:val="0"/>
          <w:sz w:val="24"/>
          <w:szCs w:val="24"/>
        </w:rPr>
        <w:t>格式”中的投标价格明细表。</w:t>
      </w:r>
    </w:p>
    <w:p>
      <w:pPr>
        <w:widowControl/>
        <w:shd w:val="clear" w:color="auto" w:fill="FFFFFF"/>
        <w:snapToGrid w:val="0"/>
        <w:spacing w:line="360" w:lineRule="auto"/>
        <w:ind w:firstLine="480" w:firstLineChars="200"/>
        <w:rPr>
          <w:rFonts w:ascii="宋体" w:hAnsi="宋体" w:eastAsia="宋体" w:cs="Arial"/>
          <w:kern w:val="0"/>
          <w:sz w:val="24"/>
          <w:szCs w:val="24"/>
        </w:rPr>
      </w:pPr>
      <w:r>
        <w:rPr>
          <w:rFonts w:ascii="宋体" w:hAnsi="宋体" w:eastAsia="宋体" w:cs="Arial"/>
          <w:kern w:val="0"/>
          <w:sz w:val="24"/>
          <w:szCs w:val="24"/>
        </w:rPr>
        <w:t xml:space="preserve">3.2.2 </w:t>
      </w:r>
      <w:r>
        <w:rPr>
          <w:rFonts w:hint="eastAsia" w:ascii="宋体" w:hAnsi="宋体" w:eastAsia="宋体" w:cs="Arial"/>
          <w:kern w:val="0"/>
          <w:sz w:val="24"/>
          <w:szCs w:val="24"/>
        </w:rPr>
        <w:t>供应商的投标价格不能超出本项目采购预算金额。</w:t>
      </w:r>
    </w:p>
    <w:p>
      <w:pPr>
        <w:widowControl/>
        <w:shd w:val="clear" w:color="auto" w:fill="FFFFFF"/>
        <w:snapToGrid w:val="0"/>
        <w:spacing w:line="360" w:lineRule="auto"/>
        <w:ind w:firstLine="480" w:firstLineChars="200"/>
        <w:rPr>
          <w:rFonts w:ascii="宋体" w:hAnsi="宋体" w:eastAsia="宋体" w:cs="Arial"/>
          <w:kern w:val="0"/>
          <w:sz w:val="24"/>
          <w:szCs w:val="24"/>
        </w:rPr>
      </w:pPr>
      <w:r>
        <w:rPr>
          <w:rFonts w:hint="eastAsia" w:ascii="宋体" w:hAnsi="宋体" w:eastAsia="宋体" w:cs="Arial"/>
          <w:kern w:val="0"/>
          <w:sz w:val="24"/>
          <w:szCs w:val="24"/>
        </w:rPr>
        <w:t>3.2.3 供应商提供的货物/服务一律用人民币报价。</w:t>
      </w:r>
    </w:p>
    <w:p>
      <w:pPr>
        <w:widowControl/>
        <w:shd w:val="clear" w:color="auto" w:fill="FFFFFF"/>
        <w:snapToGrid w:val="0"/>
        <w:spacing w:line="360" w:lineRule="auto"/>
        <w:ind w:firstLine="480" w:firstLineChars="200"/>
        <w:rPr>
          <w:rFonts w:ascii="宋体" w:hAnsi="宋体" w:eastAsia="宋体" w:cs="Arial"/>
          <w:kern w:val="0"/>
          <w:sz w:val="24"/>
          <w:szCs w:val="24"/>
        </w:rPr>
      </w:pPr>
      <w:r>
        <w:rPr>
          <w:rFonts w:hint="eastAsia" w:ascii="宋体" w:hAnsi="宋体" w:eastAsia="宋体" w:cs="Arial"/>
          <w:kern w:val="0"/>
          <w:sz w:val="24"/>
          <w:szCs w:val="24"/>
        </w:rPr>
        <w:t>3.2.4 投标价格应包括供应商履行本项目合同（如果中标）所必须的所有成本费用和中标人应承担的一切税费，包括但不仅限于：人工、差旅、税金、保险等一切费用。未列和没有填写的项目费用，采购人将视为已包括在投标价格中。</w:t>
      </w:r>
    </w:p>
    <w:p>
      <w:pPr>
        <w:widowControl/>
        <w:shd w:val="clear" w:color="auto" w:fill="FFFFFF"/>
        <w:snapToGrid w:val="0"/>
        <w:spacing w:line="360" w:lineRule="auto"/>
        <w:ind w:firstLine="480" w:firstLineChars="200"/>
        <w:rPr>
          <w:rFonts w:ascii="宋体" w:hAnsi="Calibri" w:eastAsia="宋体" w:cs="Arial"/>
          <w:kern w:val="0"/>
          <w:sz w:val="24"/>
          <w:szCs w:val="24"/>
        </w:rPr>
      </w:pPr>
      <w:r>
        <w:rPr>
          <w:rFonts w:ascii="宋体" w:hAnsi="宋体" w:eastAsia="宋体" w:cs="Arial"/>
          <w:kern w:val="0"/>
          <w:sz w:val="24"/>
          <w:szCs w:val="24"/>
        </w:rPr>
        <w:t xml:space="preserve">3.3 </w:t>
      </w:r>
      <w:r>
        <w:rPr>
          <w:rFonts w:hint="eastAsia" w:ascii="宋体" w:hAnsi="宋体" w:eastAsia="宋体" w:cs="Arial"/>
          <w:kern w:val="0"/>
          <w:sz w:val="24"/>
          <w:szCs w:val="24"/>
        </w:rPr>
        <w:t>投标有效期</w:t>
      </w:r>
    </w:p>
    <w:p>
      <w:pPr>
        <w:widowControl/>
        <w:shd w:val="clear" w:color="auto" w:fill="FFFFFF"/>
        <w:snapToGrid w:val="0"/>
        <w:spacing w:line="360" w:lineRule="auto"/>
        <w:ind w:firstLine="480" w:firstLineChars="200"/>
        <w:rPr>
          <w:rFonts w:ascii="宋体" w:hAnsi="Calibri" w:eastAsia="宋体" w:cs="Arial"/>
          <w:kern w:val="0"/>
          <w:sz w:val="24"/>
          <w:szCs w:val="24"/>
        </w:rPr>
      </w:pPr>
      <w:r>
        <w:rPr>
          <w:rFonts w:ascii="宋体" w:hAnsi="宋体" w:eastAsia="宋体" w:cs="Arial"/>
          <w:kern w:val="0"/>
          <w:sz w:val="24"/>
          <w:szCs w:val="24"/>
        </w:rPr>
        <w:t xml:space="preserve">3.3.1 </w:t>
      </w:r>
      <w:r>
        <w:rPr>
          <w:rFonts w:hint="eastAsia" w:ascii="宋体" w:hAnsi="宋体" w:eastAsia="宋体" w:cs="Arial"/>
          <w:kern w:val="0"/>
          <w:sz w:val="24"/>
          <w:szCs w:val="24"/>
        </w:rPr>
        <w:t>在供应商须知前附表规定的投标有效期内，供应商不得要求撤销或修改其</w:t>
      </w:r>
      <w:r>
        <w:rPr>
          <w:rFonts w:hint="eastAsia" w:ascii="宋体" w:hAnsi="宋体" w:eastAsia="宋体" w:cs="Arial"/>
          <w:kern w:val="0"/>
          <w:sz w:val="24"/>
          <w:szCs w:val="24"/>
          <w:lang w:eastAsia="zh-CN"/>
        </w:rPr>
        <w:t>磋商响应文件</w:t>
      </w:r>
      <w:r>
        <w:rPr>
          <w:rFonts w:hint="eastAsia" w:ascii="宋体" w:hAnsi="宋体" w:eastAsia="宋体" w:cs="Arial"/>
          <w:kern w:val="0"/>
          <w:sz w:val="24"/>
          <w:szCs w:val="24"/>
        </w:rPr>
        <w:t>。</w:t>
      </w:r>
    </w:p>
    <w:p>
      <w:pPr>
        <w:widowControl/>
        <w:shd w:val="clear" w:color="auto" w:fill="FFFFFF"/>
        <w:snapToGrid w:val="0"/>
        <w:spacing w:line="360" w:lineRule="auto"/>
        <w:ind w:firstLine="480" w:firstLineChars="200"/>
        <w:rPr>
          <w:rFonts w:ascii="宋体" w:hAnsi="Calibri" w:eastAsia="宋体" w:cs="Arial"/>
          <w:kern w:val="0"/>
          <w:sz w:val="24"/>
          <w:szCs w:val="24"/>
        </w:rPr>
      </w:pPr>
      <w:r>
        <w:rPr>
          <w:rFonts w:ascii="宋体" w:hAnsi="宋体" w:eastAsia="宋体" w:cs="Arial"/>
          <w:kern w:val="0"/>
          <w:sz w:val="24"/>
          <w:szCs w:val="24"/>
        </w:rPr>
        <w:t xml:space="preserve">3.3.2 </w:t>
      </w:r>
      <w:r>
        <w:rPr>
          <w:rFonts w:hint="eastAsia" w:ascii="宋体" w:hAnsi="宋体" w:eastAsia="宋体" w:cs="Arial"/>
          <w:kern w:val="0"/>
          <w:sz w:val="24"/>
          <w:szCs w:val="24"/>
        </w:rPr>
        <w:t>出现特殊情况需要延长投标有效期的，采购人将通知所有供应商延长投标有效期。供应商同意延长的，应当相应延长其投标保证金的有效期，但不得要求或被允许修改或撤销其</w:t>
      </w:r>
      <w:r>
        <w:rPr>
          <w:rFonts w:hint="eastAsia" w:ascii="宋体" w:hAnsi="宋体" w:eastAsia="宋体" w:cs="Arial"/>
          <w:kern w:val="0"/>
          <w:sz w:val="24"/>
          <w:szCs w:val="24"/>
          <w:lang w:eastAsia="zh-CN"/>
        </w:rPr>
        <w:t>磋商响应文件</w:t>
      </w:r>
      <w:r>
        <w:rPr>
          <w:rFonts w:hint="eastAsia" w:ascii="宋体" w:hAnsi="宋体" w:eastAsia="宋体" w:cs="Arial"/>
          <w:kern w:val="0"/>
          <w:sz w:val="24"/>
          <w:szCs w:val="24"/>
        </w:rPr>
        <w:t>；供应商拒绝延长的，其投标失效，但供应商有权收回其投标保证金。</w:t>
      </w:r>
      <w:r>
        <w:rPr>
          <w:rFonts w:ascii="宋体" w:hAnsi="宋体" w:eastAsia="宋体" w:cs="Arial"/>
          <w:kern w:val="0"/>
          <w:sz w:val="24"/>
          <w:szCs w:val="24"/>
        </w:rPr>
        <w:t xml:space="preserve"> </w:t>
      </w:r>
    </w:p>
    <w:p>
      <w:pPr>
        <w:widowControl/>
        <w:shd w:val="clear" w:color="auto" w:fill="FFFFFF"/>
        <w:snapToGrid w:val="0"/>
        <w:spacing w:line="360" w:lineRule="auto"/>
        <w:ind w:firstLine="480" w:firstLineChars="200"/>
        <w:rPr>
          <w:rFonts w:ascii="宋体" w:hAnsi="Calibri" w:eastAsia="宋体" w:cs="Arial"/>
          <w:kern w:val="0"/>
          <w:sz w:val="24"/>
          <w:szCs w:val="24"/>
        </w:rPr>
      </w:pPr>
      <w:r>
        <w:rPr>
          <w:rFonts w:ascii="宋体" w:hAnsi="宋体" w:eastAsia="宋体" w:cs="Arial"/>
          <w:kern w:val="0"/>
          <w:sz w:val="24"/>
          <w:szCs w:val="24"/>
        </w:rPr>
        <w:t xml:space="preserve">3.3.3 </w:t>
      </w:r>
      <w:r>
        <w:rPr>
          <w:rFonts w:hint="eastAsia" w:ascii="宋体" w:hAnsi="宋体" w:eastAsia="宋体" w:cs="Arial"/>
          <w:kern w:val="0"/>
          <w:sz w:val="24"/>
          <w:szCs w:val="24"/>
        </w:rPr>
        <w:t>投标保证金的有效期与投标有效期一致。</w:t>
      </w:r>
    </w:p>
    <w:p>
      <w:pPr>
        <w:widowControl/>
        <w:shd w:val="clear" w:color="auto" w:fill="FFFFFF"/>
        <w:snapToGrid w:val="0"/>
        <w:spacing w:line="360" w:lineRule="auto"/>
        <w:ind w:firstLine="480" w:firstLineChars="200"/>
        <w:rPr>
          <w:rFonts w:ascii="宋体" w:hAnsi="Calibri" w:eastAsia="宋体" w:cs="Arial"/>
          <w:kern w:val="0"/>
          <w:sz w:val="24"/>
          <w:szCs w:val="24"/>
        </w:rPr>
      </w:pPr>
      <w:r>
        <w:rPr>
          <w:rFonts w:ascii="宋体" w:hAnsi="宋体" w:eastAsia="宋体" w:cs="Arial"/>
          <w:kern w:val="0"/>
          <w:sz w:val="24"/>
          <w:szCs w:val="24"/>
        </w:rPr>
        <w:t xml:space="preserve">3.4 </w:t>
      </w:r>
      <w:r>
        <w:rPr>
          <w:rFonts w:hint="eastAsia" w:ascii="宋体" w:hAnsi="宋体" w:eastAsia="宋体" w:cs="Arial"/>
          <w:kern w:val="0"/>
          <w:sz w:val="24"/>
          <w:szCs w:val="24"/>
        </w:rPr>
        <w:t>投标保证金</w:t>
      </w:r>
    </w:p>
    <w:p>
      <w:pPr>
        <w:widowControl/>
        <w:shd w:val="clear" w:color="auto" w:fill="FFFFFF"/>
        <w:snapToGrid w:val="0"/>
        <w:spacing w:line="360" w:lineRule="auto"/>
        <w:ind w:firstLine="480" w:firstLineChars="200"/>
        <w:rPr>
          <w:rFonts w:ascii="宋体" w:hAnsi="宋体" w:eastAsia="宋体" w:cs="Arial"/>
          <w:kern w:val="0"/>
          <w:sz w:val="24"/>
          <w:szCs w:val="24"/>
        </w:rPr>
      </w:pPr>
      <w:r>
        <w:rPr>
          <w:rFonts w:ascii="宋体" w:hAnsi="宋体" w:eastAsia="宋体" w:cs="Arial"/>
          <w:kern w:val="0"/>
          <w:sz w:val="24"/>
          <w:szCs w:val="24"/>
        </w:rPr>
        <w:t xml:space="preserve">3.4.1 </w:t>
      </w:r>
      <w:r>
        <w:rPr>
          <w:rFonts w:hint="eastAsia" w:ascii="宋体" w:hAnsi="宋体" w:eastAsia="宋体" w:cs="Arial"/>
          <w:kern w:val="0"/>
          <w:sz w:val="24"/>
          <w:szCs w:val="24"/>
        </w:rPr>
        <w:t>供应商应于投标截止时间前按供应商须知前附表规定数额提交投标保证金。未提交投标保证金的，将被视为非响应性投标而予以拒绝。联合体投标的，其投标保证金由牵头人递交，并应符合供应商须知前附表的规定。</w:t>
      </w:r>
    </w:p>
    <w:p>
      <w:pPr>
        <w:shd w:val="clear" w:color="auto" w:fill="FFFFFF"/>
        <w:snapToGrid w:val="0"/>
        <w:spacing w:line="384" w:lineRule="auto"/>
        <w:ind w:firstLine="360" w:firstLineChars="150"/>
        <w:rPr>
          <w:rFonts w:ascii="宋体" w:hAnsi="宋体" w:eastAsia="宋体" w:cs="Times New Roman"/>
          <w:sz w:val="24"/>
          <w:szCs w:val="24"/>
        </w:rPr>
      </w:pPr>
      <w:r>
        <w:rPr>
          <w:rFonts w:ascii="宋体" w:hAnsi="宋体" w:eastAsia="宋体" w:cs="Arial"/>
          <w:kern w:val="0"/>
          <w:sz w:val="24"/>
          <w:szCs w:val="24"/>
        </w:rPr>
        <w:t>3.4.2</w:t>
      </w:r>
      <w:r>
        <w:rPr>
          <w:rFonts w:hint="eastAsia" w:ascii="宋体" w:hAnsi="宋体" w:eastAsia="宋体" w:cs="Times New Roman"/>
          <w:sz w:val="24"/>
          <w:szCs w:val="24"/>
        </w:rPr>
        <w:t>投标保证金以支票、汇票、本票或者金融机构、担保机构出具的保函等非现金形式提交至采购代理机构。</w:t>
      </w:r>
    </w:p>
    <w:p>
      <w:pPr>
        <w:shd w:val="clear" w:color="auto" w:fill="FFFFFF"/>
        <w:snapToGrid w:val="0"/>
        <w:spacing w:line="384" w:lineRule="auto"/>
        <w:ind w:firstLine="360" w:firstLineChars="150"/>
        <w:rPr>
          <w:rFonts w:ascii="宋体" w:hAnsi="宋体" w:eastAsia="宋体" w:cs="Arial"/>
          <w:kern w:val="0"/>
          <w:sz w:val="24"/>
          <w:szCs w:val="24"/>
        </w:rPr>
      </w:pPr>
      <w:r>
        <w:rPr>
          <w:rFonts w:hint="eastAsia" w:ascii="宋体" w:hAnsi="宋体" w:eastAsia="宋体" w:cs="Arial"/>
          <w:kern w:val="0"/>
          <w:sz w:val="24"/>
          <w:szCs w:val="24"/>
        </w:rPr>
        <w:t>投标保证金的金额：人民币30000.00元（大写：叁万元整），于2022年10月</w:t>
      </w:r>
      <w:r>
        <w:rPr>
          <w:rFonts w:hint="eastAsia" w:ascii="宋体" w:hAnsi="宋体" w:eastAsia="宋体" w:cs="Arial"/>
          <w:kern w:val="0"/>
          <w:sz w:val="24"/>
          <w:szCs w:val="24"/>
          <w:lang w:val="en-US" w:eastAsia="zh-CN"/>
        </w:rPr>
        <w:t>21</w:t>
      </w:r>
      <w:r>
        <w:rPr>
          <w:rFonts w:hint="eastAsia" w:ascii="宋体" w:hAnsi="宋体" w:eastAsia="宋体" w:cs="Arial"/>
          <w:kern w:val="0"/>
          <w:sz w:val="24"/>
          <w:szCs w:val="24"/>
        </w:rPr>
        <w:t>日上午16时</w:t>
      </w:r>
      <w:r>
        <w:rPr>
          <w:rFonts w:ascii="宋体" w:hAnsi="宋体" w:eastAsia="宋体" w:cs="Arial"/>
          <w:kern w:val="0"/>
          <w:sz w:val="24"/>
          <w:szCs w:val="24"/>
        </w:rPr>
        <w:t>0</w:t>
      </w:r>
      <w:r>
        <w:rPr>
          <w:rFonts w:hint="eastAsia" w:ascii="宋体" w:hAnsi="宋体" w:eastAsia="宋体" w:cs="Arial"/>
          <w:kern w:val="0"/>
          <w:sz w:val="24"/>
          <w:szCs w:val="24"/>
        </w:rPr>
        <w:t>0分前（北京时间，以到账时间为准)从供应商基本账户以银行电汇或网银形式汇（打）至指定账户，供应商递交投标保证金应充分考虑资金在途时间。</w:t>
      </w:r>
    </w:p>
    <w:p>
      <w:pPr>
        <w:shd w:val="clear" w:color="auto" w:fill="FFFFFF"/>
        <w:snapToGrid w:val="0"/>
        <w:spacing w:line="384" w:lineRule="auto"/>
        <w:ind w:firstLine="360" w:firstLineChars="150"/>
        <w:rPr>
          <w:rFonts w:ascii="宋体" w:hAnsi="宋体" w:eastAsia="宋体" w:cs="Arial"/>
          <w:kern w:val="0"/>
          <w:sz w:val="24"/>
          <w:szCs w:val="24"/>
          <w:lang w:val="zh-CN"/>
        </w:rPr>
      </w:pPr>
      <w:r>
        <w:rPr>
          <w:rFonts w:hint="eastAsia" w:ascii="宋体" w:hAnsi="宋体" w:eastAsia="宋体" w:cs="Arial"/>
          <w:kern w:val="0"/>
          <w:sz w:val="24"/>
          <w:szCs w:val="24"/>
          <w:lang w:val="zh-CN"/>
        </w:rPr>
        <w:t>投标保证金缴纳方式：银行电汇或网银；</w:t>
      </w:r>
    </w:p>
    <w:p>
      <w:pPr>
        <w:shd w:val="clear" w:color="auto" w:fill="FFFFFF"/>
        <w:snapToGrid w:val="0"/>
        <w:spacing w:line="384" w:lineRule="auto"/>
        <w:ind w:firstLine="360" w:firstLineChars="150"/>
        <w:rPr>
          <w:rFonts w:ascii="宋体" w:hAnsi="宋体" w:eastAsia="宋体" w:cs="Arial"/>
          <w:kern w:val="0"/>
          <w:sz w:val="24"/>
          <w:szCs w:val="24"/>
          <w:lang w:val="zh-CN"/>
        </w:rPr>
      </w:pPr>
      <w:r>
        <w:rPr>
          <w:rFonts w:hint="eastAsia" w:ascii="宋体" w:hAnsi="宋体" w:eastAsia="宋体" w:cs="Arial"/>
          <w:kern w:val="0"/>
          <w:sz w:val="24"/>
          <w:szCs w:val="24"/>
          <w:lang w:val="zh-CN"/>
        </w:rPr>
        <w:t>投标保证金形式：投标保证金在投标截止时间之前以公司的基本账户一次性汇入招标代理机构指定账户（以到帐时间为准，逾期无效），不接受现金、支票、分（子）公司及任何个人汇款；</w:t>
      </w:r>
      <w:r>
        <w:rPr>
          <w:rFonts w:hint="eastAsia" w:ascii="宋体" w:hAnsi="宋体" w:eastAsia="宋体" w:cs="Arial"/>
          <w:kern w:val="0"/>
          <w:sz w:val="24"/>
          <w:szCs w:val="24"/>
        </w:rPr>
        <w:t xml:space="preserve">  </w:t>
      </w:r>
    </w:p>
    <w:p>
      <w:pPr>
        <w:shd w:val="clear" w:color="auto" w:fill="FFFFFF"/>
        <w:snapToGrid w:val="0"/>
        <w:spacing w:line="384" w:lineRule="auto"/>
        <w:ind w:firstLine="360" w:firstLineChars="150"/>
        <w:rPr>
          <w:rFonts w:ascii="宋体" w:hAnsi="宋体" w:eastAsia="宋体" w:cs="Arial"/>
          <w:kern w:val="0"/>
          <w:sz w:val="24"/>
          <w:szCs w:val="24"/>
          <w:lang w:val="zh-CN"/>
        </w:rPr>
      </w:pPr>
      <w:r>
        <w:rPr>
          <w:rFonts w:hint="eastAsia" w:ascii="宋体" w:hAnsi="宋体" w:eastAsia="宋体" w:cs="Arial"/>
          <w:kern w:val="0"/>
          <w:sz w:val="24"/>
          <w:szCs w:val="24"/>
          <w:lang w:val="zh-CN"/>
        </w:rPr>
        <w:t>银行信息：</w:t>
      </w:r>
    </w:p>
    <w:p>
      <w:pPr>
        <w:shd w:val="clear" w:color="auto" w:fill="FFFFFF"/>
        <w:snapToGrid w:val="0"/>
        <w:spacing w:line="384" w:lineRule="auto"/>
        <w:ind w:firstLine="360" w:firstLineChars="150"/>
        <w:rPr>
          <w:rFonts w:ascii="宋体" w:hAnsi="宋体" w:eastAsia="宋体" w:cs="Arial"/>
          <w:kern w:val="0"/>
          <w:sz w:val="24"/>
          <w:szCs w:val="24"/>
          <w:lang w:val="zh-CN"/>
        </w:rPr>
      </w:pPr>
      <w:r>
        <w:rPr>
          <w:rFonts w:hint="eastAsia" w:ascii="宋体" w:hAnsi="宋体" w:eastAsia="宋体" w:cs="Arial"/>
          <w:kern w:val="0"/>
          <w:sz w:val="24"/>
          <w:szCs w:val="24"/>
          <w:lang w:val="zh-CN"/>
        </w:rPr>
        <w:t>账</w:t>
      </w:r>
      <w:r>
        <w:rPr>
          <w:rFonts w:hint="eastAsia" w:ascii="宋体" w:hAnsi="宋体" w:eastAsia="宋体" w:cs="Arial"/>
          <w:kern w:val="0"/>
          <w:sz w:val="24"/>
          <w:szCs w:val="24"/>
        </w:rPr>
        <w:t xml:space="preserve"> </w:t>
      </w:r>
      <w:r>
        <w:rPr>
          <w:rFonts w:hint="eastAsia" w:ascii="宋体" w:hAnsi="宋体" w:eastAsia="宋体" w:cs="Arial"/>
          <w:kern w:val="0"/>
          <w:sz w:val="24"/>
          <w:szCs w:val="24"/>
          <w:lang w:val="zh-CN"/>
        </w:rPr>
        <w:t>户</w:t>
      </w:r>
      <w:r>
        <w:rPr>
          <w:rFonts w:hint="eastAsia" w:ascii="宋体" w:hAnsi="宋体" w:eastAsia="宋体" w:cs="Arial"/>
          <w:kern w:val="0"/>
          <w:sz w:val="24"/>
          <w:szCs w:val="24"/>
        </w:rPr>
        <w:t xml:space="preserve"> </w:t>
      </w:r>
      <w:r>
        <w:rPr>
          <w:rFonts w:hint="eastAsia" w:ascii="宋体" w:hAnsi="宋体" w:eastAsia="宋体" w:cs="Arial"/>
          <w:kern w:val="0"/>
          <w:sz w:val="24"/>
          <w:szCs w:val="24"/>
          <w:lang w:val="zh-CN"/>
        </w:rPr>
        <w:t>名</w:t>
      </w:r>
      <w:r>
        <w:rPr>
          <w:rFonts w:hint="eastAsia" w:ascii="宋体" w:hAnsi="宋体" w:eastAsia="宋体" w:cs="Arial"/>
          <w:kern w:val="0"/>
          <w:sz w:val="24"/>
          <w:szCs w:val="24"/>
        </w:rPr>
        <w:t xml:space="preserve"> </w:t>
      </w:r>
      <w:r>
        <w:rPr>
          <w:rFonts w:hint="eastAsia" w:ascii="宋体" w:hAnsi="宋体" w:eastAsia="宋体" w:cs="Arial"/>
          <w:kern w:val="0"/>
          <w:sz w:val="24"/>
          <w:szCs w:val="24"/>
          <w:lang w:val="zh-CN"/>
        </w:rPr>
        <w:t>称：新疆新之建工程咨询有限公司</w:t>
      </w:r>
    </w:p>
    <w:p>
      <w:pPr>
        <w:shd w:val="clear" w:color="auto" w:fill="FFFFFF"/>
        <w:snapToGrid w:val="0"/>
        <w:spacing w:line="384" w:lineRule="auto"/>
        <w:ind w:firstLine="360" w:firstLineChars="150"/>
        <w:rPr>
          <w:rFonts w:ascii="宋体" w:hAnsi="宋体" w:eastAsia="宋体" w:cs="Arial"/>
          <w:kern w:val="0"/>
          <w:sz w:val="24"/>
          <w:szCs w:val="24"/>
          <w:lang w:val="zh-CN"/>
        </w:rPr>
      </w:pPr>
      <w:r>
        <w:rPr>
          <w:rFonts w:hint="eastAsia" w:ascii="宋体" w:hAnsi="宋体" w:eastAsia="宋体" w:cs="Arial"/>
          <w:kern w:val="0"/>
          <w:sz w:val="24"/>
          <w:szCs w:val="24"/>
          <w:lang w:val="zh-CN"/>
        </w:rPr>
        <w:t>开户行名称：中国银行乌鲁木齐市青年路支行</w:t>
      </w:r>
    </w:p>
    <w:p>
      <w:pPr>
        <w:shd w:val="clear" w:color="auto" w:fill="FFFFFF"/>
        <w:snapToGrid w:val="0"/>
        <w:spacing w:line="384" w:lineRule="auto"/>
        <w:ind w:firstLine="360" w:firstLineChars="150"/>
        <w:rPr>
          <w:rFonts w:ascii="宋体" w:hAnsi="宋体" w:eastAsia="宋体" w:cs="Arial"/>
          <w:kern w:val="0"/>
          <w:sz w:val="24"/>
          <w:szCs w:val="24"/>
          <w:lang w:val="zh-CN"/>
        </w:rPr>
      </w:pPr>
      <w:r>
        <w:rPr>
          <w:rFonts w:hint="eastAsia" w:ascii="宋体" w:hAnsi="宋体" w:eastAsia="宋体" w:cs="Arial"/>
          <w:kern w:val="0"/>
          <w:sz w:val="24"/>
          <w:szCs w:val="24"/>
          <w:lang w:val="zh-CN"/>
        </w:rPr>
        <w:t>账      号：107673584569</w:t>
      </w:r>
    </w:p>
    <w:p>
      <w:pPr>
        <w:shd w:val="clear" w:color="auto" w:fill="FFFFFF"/>
        <w:snapToGrid w:val="0"/>
        <w:spacing w:line="384" w:lineRule="auto"/>
        <w:ind w:firstLine="360" w:firstLineChars="150"/>
        <w:rPr>
          <w:rFonts w:ascii="宋体" w:hAnsi="宋体" w:eastAsia="宋体" w:cs="Arial"/>
          <w:kern w:val="0"/>
          <w:sz w:val="24"/>
          <w:szCs w:val="24"/>
          <w:lang w:val="zh-CN"/>
        </w:rPr>
      </w:pPr>
      <w:r>
        <w:rPr>
          <w:rFonts w:hint="eastAsia" w:ascii="宋体" w:hAnsi="宋体" w:eastAsia="宋体" w:cs="Arial"/>
          <w:kern w:val="0"/>
          <w:sz w:val="24"/>
          <w:szCs w:val="24"/>
          <w:lang w:val="zh-CN"/>
        </w:rPr>
        <w:t>行      号：104881006022</w:t>
      </w:r>
    </w:p>
    <w:p>
      <w:pPr>
        <w:shd w:val="clear" w:color="auto" w:fill="FFFFFF"/>
        <w:snapToGrid w:val="0"/>
        <w:spacing w:line="384" w:lineRule="auto"/>
        <w:ind w:firstLine="360" w:firstLineChars="150"/>
        <w:rPr>
          <w:rFonts w:ascii="宋体" w:hAnsi="宋体" w:eastAsia="宋体" w:cs="Arial"/>
          <w:kern w:val="0"/>
          <w:sz w:val="24"/>
          <w:szCs w:val="24"/>
          <w:lang w:val="zh-CN"/>
        </w:rPr>
      </w:pPr>
      <w:r>
        <w:rPr>
          <w:rFonts w:hint="eastAsia" w:ascii="宋体" w:hAnsi="宋体" w:eastAsia="宋体" w:cs="Arial"/>
          <w:kern w:val="0"/>
          <w:sz w:val="24"/>
          <w:szCs w:val="24"/>
          <w:lang w:val="zh-CN"/>
        </w:rPr>
        <w:t>退保证金须提供的资料：</w:t>
      </w:r>
    </w:p>
    <w:p>
      <w:pPr>
        <w:shd w:val="clear" w:color="auto" w:fill="FFFFFF"/>
        <w:snapToGrid w:val="0"/>
        <w:spacing w:line="384" w:lineRule="auto"/>
        <w:ind w:firstLine="360" w:firstLineChars="150"/>
        <w:rPr>
          <w:rFonts w:ascii="宋体" w:hAnsi="宋体" w:eastAsia="宋体" w:cs="Arial"/>
          <w:kern w:val="0"/>
          <w:sz w:val="24"/>
          <w:szCs w:val="24"/>
          <w:lang w:val="zh-CN"/>
        </w:rPr>
      </w:pPr>
      <w:r>
        <w:rPr>
          <w:rFonts w:hint="eastAsia" w:ascii="宋体" w:hAnsi="宋体" w:eastAsia="宋体" w:cs="Arial"/>
          <w:kern w:val="0"/>
          <w:sz w:val="24"/>
          <w:szCs w:val="24"/>
          <w:lang w:val="zh-CN"/>
        </w:rPr>
        <w:t>1、授权委托书、开户许可证（或基本账户信息）复印件盖公章；</w:t>
      </w:r>
    </w:p>
    <w:p>
      <w:pPr>
        <w:shd w:val="clear" w:color="auto" w:fill="FFFFFF"/>
        <w:snapToGrid w:val="0"/>
        <w:spacing w:line="384" w:lineRule="auto"/>
        <w:ind w:firstLine="360" w:firstLineChars="150"/>
        <w:rPr>
          <w:rFonts w:ascii="宋体" w:hAnsi="宋体" w:eastAsia="宋体" w:cs="Arial"/>
          <w:kern w:val="0"/>
          <w:sz w:val="24"/>
          <w:szCs w:val="24"/>
          <w:lang w:val="zh-CN"/>
        </w:rPr>
      </w:pPr>
      <w:r>
        <w:rPr>
          <w:rFonts w:hint="eastAsia" w:ascii="宋体" w:hAnsi="宋体" w:eastAsia="宋体" w:cs="Arial"/>
          <w:kern w:val="0"/>
          <w:sz w:val="24"/>
          <w:szCs w:val="24"/>
          <w:lang w:val="zh-CN"/>
        </w:rPr>
        <w:t>2、对开收据（原件）；模板后附</w:t>
      </w:r>
    </w:p>
    <w:p>
      <w:pPr>
        <w:shd w:val="clear" w:color="auto" w:fill="FFFFFF"/>
        <w:snapToGrid w:val="0"/>
        <w:spacing w:line="384" w:lineRule="auto"/>
        <w:ind w:firstLine="360" w:firstLineChars="150"/>
        <w:rPr>
          <w:rFonts w:ascii="宋体" w:hAnsi="宋体" w:eastAsia="宋体" w:cs="Arial"/>
          <w:kern w:val="0"/>
          <w:sz w:val="24"/>
          <w:szCs w:val="24"/>
          <w:lang w:val="zh-CN"/>
        </w:rPr>
      </w:pPr>
      <w:r>
        <w:rPr>
          <w:rFonts w:hint="eastAsia" w:ascii="宋体" w:hAnsi="宋体" w:eastAsia="宋体" w:cs="Arial"/>
          <w:kern w:val="0"/>
          <w:sz w:val="24"/>
          <w:szCs w:val="24"/>
          <w:lang w:val="zh-CN"/>
        </w:rPr>
        <w:t>3、填写完整的退保证金信息表：</w:t>
      </w:r>
    </w:p>
    <w:p>
      <w:pPr>
        <w:shd w:val="clear" w:color="auto" w:fill="FFFFFF"/>
        <w:snapToGrid w:val="0"/>
        <w:spacing w:line="384" w:lineRule="auto"/>
        <w:ind w:firstLine="360" w:firstLineChars="150"/>
        <w:rPr>
          <w:rFonts w:ascii="宋体" w:hAnsi="宋体" w:eastAsia="宋体" w:cs="Arial"/>
          <w:kern w:val="0"/>
          <w:sz w:val="24"/>
          <w:szCs w:val="24"/>
          <w:lang w:val="zh-CN"/>
        </w:rPr>
      </w:pPr>
      <w:r>
        <w:rPr>
          <w:rFonts w:hint="eastAsia" w:ascii="宋体" w:hAnsi="宋体" w:eastAsia="宋体" w:cs="Arial"/>
          <w:kern w:val="0"/>
          <w:sz w:val="24"/>
          <w:szCs w:val="24"/>
          <w:lang w:val="zh-CN"/>
        </w:rPr>
        <w:t>单位名称：</w:t>
      </w:r>
    </w:p>
    <w:p>
      <w:pPr>
        <w:shd w:val="clear" w:color="auto" w:fill="FFFFFF"/>
        <w:snapToGrid w:val="0"/>
        <w:spacing w:line="384" w:lineRule="auto"/>
        <w:ind w:firstLine="360" w:firstLineChars="150"/>
        <w:rPr>
          <w:rFonts w:ascii="宋体" w:hAnsi="宋体" w:eastAsia="宋体" w:cs="Arial"/>
          <w:kern w:val="0"/>
          <w:sz w:val="24"/>
          <w:szCs w:val="24"/>
          <w:lang w:val="zh-CN"/>
        </w:rPr>
      </w:pPr>
      <w:r>
        <w:rPr>
          <w:rFonts w:hint="eastAsia" w:ascii="宋体" w:hAnsi="宋体" w:eastAsia="宋体" w:cs="Arial"/>
          <w:kern w:val="0"/>
          <w:sz w:val="24"/>
          <w:szCs w:val="24"/>
          <w:lang w:val="zh-CN"/>
        </w:rPr>
        <w:t>开户银行：</w:t>
      </w:r>
    </w:p>
    <w:p>
      <w:pPr>
        <w:shd w:val="clear" w:color="auto" w:fill="FFFFFF"/>
        <w:snapToGrid w:val="0"/>
        <w:spacing w:line="384" w:lineRule="auto"/>
        <w:ind w:firstLine="360" w:firstLineChars="150"/>
        <w:rPr>
          <w:rFonts w:ascii="宋体" w:hAnsi="宋体" w:eastAsia="宋体" w:cs="Arial"/>
          <w:kern w:val="0"/>
          <w:sz w:val="24"/>
          <w:szCs w:val="24"/>
          <w:lang w:val="zh-CN"/>
        </w:rPr>
      </w:pPr>
      <w:r>
        <w:rPr>
          <w:rFonts w:hint="eastAsia" w:ascii="宋体" w:hAnsi="宋体" w:eastAsia="宋体" w:cs="Arial"/>
          <w:kern w:val="0"/>
          <w:sz w:val="24"/>
          <w:szCs w:val="24"/>
          <w:lang w:val="zh-CN"/>
        </w:rPr>
        <w:t>开户行行号：</w:t>
      </w:r>
    </w:p>
    <w:p>
      <w:pPr>
        <w:shd w:val="clear" w:color="auto" w:fill="FFFFFF"/>
        <w:snapToGrid w:val="0"/>
        <w:spacing w:line="384" w:lineRule="auto"/>
        <w:ind w:firstLine="360" w:firstLineChars="150"/>
        <w:rPr>
          <w:rFonts w:ascii="宋体" w:hAnsi="宋体" w:eastAsia="宋体" w:cs="Arial"/>
          <w:kern w:val="0"/>
          <w:sz w:val="24"/>
          <w:szCs w:val="24"/>
          <w:lang w:val="zh-CN"/>
        </w:rPr>
      </w:pPr>
      <w:r>
        <w:rPr>
          <w:rFonts w:hint="eastAsia" w:ascii="宋体" w:hAnsi="宋体" w:eastAsia="宋体" w:cs="Arial"/>
          <w:kern w:val="0"/>
          <w:sz w:val="24"/>
          <w:szCs w:val="24"/>
          <w:lang w:val="zh-CN"/>
        </w:rPr>
        <w:t>公司账号：</w:t>
      </w:r>
    </w:p>
    <w:p>
      <w:pPr>
        <w:shd w:val="clear" w:color="auto" w:fill="FFFFFF"/>
        <w:snapToGrid w:val="0"/>
        <w:spacing w:line="384" w:lineRule="auto"/>
        <w:ind w:firstLine="360" w:firstLineChars="150"/>
        <w:rPr>
          <w:rFonts w:ascii="宋体" w:hAnsi="宋体" w:eastAsia="宋体" w:cs="Arial"/>
          <w:kern w:val="0"/>
          <w:sz w:val="24"/>
          <w:szCs w:val="24"/>
          <w:lang w:val="zh-CN"/>
        </w:rPr>
      </w:pPr>
      <w:r>
        <w:rPr>
          <w:rFonts w:hint="eastAsia" w:ascii="宋体" w:hAnsi="宋体" w:eastAsia="宋体" w:cs="Arial"/>
          <w:kern w:val="0"/>
          <w:sz w:val="24"/>
          <w:szCs w:val="24"/>
          <w:lang w:val="zh-CN"/>
        </w:rPr>
        <w:t>联系电话：</w:t>
      </w:r>
    </w:p>
    <w:p>
      <w:pPr>
        <w:shd w:val="clear" w:color="auto" w:fill="FFFFFF"/>
        <w:snapToGrid w:val="0"/>
        <w:spacing w:line="384" w:lineRule="auto"/>
        <w:ind w:firstLine="360" w:firstLineChars="150"/>
        <w:rPr>
          <w:rFonts w:ascii="宋体" w:hAnsi="宋体" w:eastAsia="宋体" w:cs="Arial"/>
          <w:kern w:val="0"/>
          <w:sz w:val="24"/>
          <w:szCs w:val="24"/>
        </w:rPr>
      </w:pPr>
      <w:r>
        <w:rPr>
          <w:rFonts w:ascii="宋体" w:hAnsi="宋体" w:eastAsia="宋体" w:cs="Arial"/>
          <w:kern w:val="0"/>
          <w:sz w:val="24"/>
          <w:szCs w:val="24"/>
        </w:rPr>
        <w:drawing>
          <wp:anchor distT="0" distB="0" distL="114300" distR="114300" simplePos="0" relativeHeight="251659264" behindDoc="0" locked="0" layoutInCell="1" allowOverlap="1">
            <wp:simplePos x="0" y="0"/>
            <wp:positionH relativeFrom="column">
              <wp:posOffset>83820</wp:posOffset>
            </wp:positionH>
            <wp:positionV relativeFrom="paragraph">
              <wp:posOffset>19685</wp:posOffset>
            </wp:positionV>
            <wp:extent cx="2557780" cy="1429385"/>
            <wp:effectExtent l="0" t="0" r="13970" b="18415"/>
            <wp:wrapTopAndBottom/>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12"/>
                    <a:stretch>
                      <a:fillRect/>
                    </a:stretch>
                  </pic:blipFill>
                  <pic:spPr>
                    <a:xfrm>
                      <a:off x="0" y="0"/>
                      <a:ext cx="2557780" cy="1429385"/>
                    </a:xfrm>
                    <a:prstGeom prst="rect">
                      <a:avLst/>
                    </a:prstGeom>
                    <a:noFill/>
                    <a:ln>
                      <a:noFill/>
                    </a:ln>
                  </pic:spPr>
                </pic:pic>
              </a:graphicData>
            </a:graphic>
          </wp:anchor>
        </w:drawing>
      </w:r>
      <w:r>
        <w:rPr>
          <w:rFonts w:hint="eastAsia" w:ascii="宋体" w:hAnsi="宋体" w:eastAsia="宋体" w:cs="Arial"/>
          <w:kern w:val="0"/>
          <w:sz w:val="24"/>
          <w:szCs w:val="24"/>
        </w:rPr>
        <w:t>对开收据模板：</w:t>
      </w:r>
      <w:r>
        <w:rPr>
          <w:rFonts w:hint="eastAsia" w:ascii="宋体" w:hAnsi="宋体" w:eastAsia="宋体" w:cs="Arial"/>
          <w:kern w:val="0"/>
          <w:sz w:val="24"/>
          <w:szCs w:val="24"/>
        </w:rPr>
        <w:tab/>
      </w:r>
    </w:p>
    <w:p>
      <w:pPr>
        <w:shd w:val="clear" w:color="auto" w:fill="FFFFFF"/>
        <w:snapToGrid w:val="0"/>
        <w:spacing w:line="384" w:lineRule="auto"/>
        <w:ind w:firstLine="360" w:firstLineChars="150"/>
        <w:rPr>
          <w:rFonts w:ascii="宋体" w:hAnsi="宋体" w:eastAsia="宋体" w:cs="Arial"/>
          <w:kern w:val="0"/>
          <w:sz w:val="24"/>
          <w:szCs w:val="24"/>
          <w:lang w:val="zh-CN"/>
        </w:rPr>
      </w:pPr>
      <w:r>
        <w:rPr>
          <w:rFonts w:hint="eastAsia" w:ascii="宋体" w:hAnsi="宋体" w:eastAsia="宋体" w:cs="Arial"/>
          <w:kern w:val="0"/>
          <w:sz w:val="24"/>
          <w:szCs w:val="24"/>
        </w:rPr>
        <w:t>投</w:t>
      </w:r>
      <w:r>
        <w:rPr>
          <w:rFonts w:hint="eastAsia" w:ascii="宋体" w:hAnsi="宋体" w:eastAsia="宋体" w:cs="Arial"/>
          <w:kern w:val="0"/>
          <w:sz w:val="24"/>
          <w:szCs w:val="24"/>
          <w:lang w:val="zh-CN"/>
        </w:rPr>
        <w:t>标保证金有效期：投标截止时间后90天</w:t>
      </w:r>
    </w:p>
    <w:p>
      <w:pPr>
        <w:shd w:val="clear" w:color="auto" w:fill="FFFFFF"/>
        <w:snapToGrid w:val="0"/>
        <w:spacing w:line="384" w:lineRule="auto"/>
        <w:ind w:firstLine="360" w:firstLineChars="150"/>
        <w:rPr>
          <w:rFonts w:ascii="宋体" w:hAnsi="宋体" w:eastAsia="宋体" w:cs="Arial"/>
          <w:kern w:val="0"/>
          <w:sz w:val="24"/>
          <w:szCs w:val="24"/>
          <w:lang w:val="zh-CN"/>
        </w:rPr>
      </w:pPr>
      <w:r>
        <w:rPr>
          <w:rFonts w:hint="eastAsia" w:ascii="宋体" w:hAnsi="宋体" w:eastAsia="宋体" w:cs="Arial"/>
          <w:kern w:val="0"/>
          <w:sz w:val="24"/>
          <w:szCs w:val="24"/>
          <w:lang w:val="zh-CN"/>
        </w:rPr>
        <w:t>备注：</w:t>
      </w:r>
    </w:p>
    <w:p>
      <w:pPr>
        <w:shd w:val="clear" w:color="auto" w:fill="FFFFFF"/>
        <w:snapToGrid w:val="0"/>
        <w:spacing w:line="384" w:lineRule="auto"/>
        <w:ind w:firstLine="360" w:firstLineChars="150"/>
        <w:rPr>
          <w:rFonts w:ascii="宋体" w:hAnsi="宋体" w:eastAsia="宋体" w:cs="Arial"/>
          <w:kern w:val="0"/>
          <w:sz w:val="24"/>
          <w:szCs w:val="24"/>
          <w:lang w:val="zh-CN"/>
        </w:rPr>
      </w:pPr>
      <w:r>
        <w:rPr>
          <w:rFonts w:hint="eastAsia" w:ascii="宋体" w:hAnsi="宋体" w:eastAsia="宋体" w:cs="Arial"/>
          <w:kern w:val="0"/>
          <w:sz w:val="24"/>
          <w:szCs w:val="24"/>
          <w:lang w:val="zh-CN"/>
        </w:rPr>
        <w:t>汇款时请备注项目简称及汇款事由“新疆维吾尔自治区应急管理厅应急指挥专网信息安全性加固服务项目”若字数超标，可自行简写项目名称。</w:t>
      </w:r>
    </w:p>
    <w:p>
      <w:pPr>
        <w:shd w:val="clear" w:color="auto" w:fill="FFFFFF"/>
        <w:snapToGrid w:val="0"/>
        <w:spacing w:line="384" w:lineRule="auto"/>
        <w:ind w:firstLine="360" w:firstLineChars="150"/>
        <w:rPr>
          <w:rFonts w:ascii="宋体" w:hAnsi="宋体" w:eastAsia="宋体" w:cs="Arial"/>
          <w:kern w:val="0"/>
          <w:sz w:val="24"/>
          <w:szCs w:val="24"/>
          <w:lang w:val="zh-CN"/>
        </w:rPr>
      </w:pPr>
      <w:r>
        <w:rPr>
          <w:rFonts w:hint="eastAsia" w:ascii="宋体" w:hAnsi="宋体" w:eastAsia="宋体" w:cs="Arial"/>
          <w:kern w:val="0"/>
          <w:sz w:val="24"/>
          <w:szCs w:val="24"/>
          <w:lang w:val="zh-CN"/>
        </w:rPr>
        <w:t>汇款后请把汇款凭证或网页截图随身携带至开标现场以备查验，其复印件放在磋商响应文件中，无需到公司换取收据。</w:t>
      </w:r>
    </w:p>
    <w:p>
      <w:pPr>
        <w:shd w:val="clear" w:color="auto" w:fill="FFFFFF"/>
        <w:snapToGrid w:val="0"/>
        <w:spacing w:line="384" w:lineRule="auto"/>
        <w:ind w:firstLine="360" w:firstLineChars="150"/>
        <w:rPr>
          <w:rFonts w:ascii="宋体" w:hAnsi="宋体" w:eastAsia="宋体" w:cs="Arial"/>
          <w:kern w:val="0"/>
          <w:sz w:val="24"/>
          <w:szCs w:val="24"/>
          <w:lang w:val="zh-CN"/>
        </w:rPr>
      </w:pPr>
      <w:r>
        <w:rPr>
          <w:rFonts w:hint="eastAsia" w:ascii="宋体" w:hAnsi="宋体" w:eastAsia="宋体" w:cs="Arial"/>
          <w:kern w:val="0"/>
          <w:sz w:val="24"/>
          <w:szCs w:val="24"/>
          <w:lang w:val="zh-CN"/>
        </w:rPr>
        <w:t xml:space="preserve">供应商若不按照上述要求缴纳投标保证金的,磋商响应文件将被否决。 </w:t>
      </w:r>
    </w:p>
    <w:p>
      <w:pPr>
        <w:shd w:val="clear" w:color="auto" w:fill="FFFFFF"/>
        <w:snapToGrid w:val="0"/>
        <w:spacing w:line="384" w:lineRule="auto"/>
        <w:ind w:firstLine="360" w:firstLineChars="150"/>
        <w:rPr>
          <w:rFonts w:ascii="宋体" w:hAnsi="宋体" w:eastAsia="宋体" w:cs="Arial"/>
          <w:kern w:val="0"/>
          <w:sz w:val="24"/>
          <w:szCs w:val="24"/>
          <w:lang w:val="zh-CN"/>
        </w:rPr>
      </w:pPr>
      <w:r>
        <w:rPr>
          <w:rFonts w:hint="eastAsia" w:ascii="宋体" w:hAnsi="宋体" w:eastAsia="宋体" w:cs="Arial"/>
          <w:kern w:val="0"/>
          <w:sz w:val="24"/>
          <w:szCs w:val="24"/>
          <w:lang w:val="zh-CN"/>
        </w:rPr>
        <w:t>建议供应商开标当天准备好一份退投标保证金的资料，以免来回办理，影响退投标</w:t>
      </w:r>
    </w:p>
    <w:p>
      <w:pPr>
        <w:shd w:val="clear" w:color="auto" w:fill="FFFFFF"/>
        <w:snapToGrid w:val="0"/>
        <w:spacing w:line="384" w:lineRule="auto"/>
        <w:ind w:firstLine="360" w:firstLineChars="150"/>
        <w:rPr>
          <w:rFonts w:ascii="宋体" w:hAnsi="宋体" w:eastAsia="宋体" w:cs="Arial"/>
          <w:kern w:val="0"/>
          <w:sz w:val="24"/>
          <w:szCs w:val="24"/>
          <w:lang w:val="zh-CN"/>
        </w:rPr>
      </w:pPr>
      <w:r>
        <w:rPr>
          <w:rFonts w:hint="eastAsia" w:ascii="宋体" w:hAnsi="宋体" w:eastAsia="宋体" w:cs="Arial"/>
          <w:kern w:val="0"/>
          <w:sz w:val="24"/>
          <w:szCs w:val="24"/>
          <w:lang w:val="zh-CN"/>
        </w:rPr>
        <w:t>保证金的进度。</w:t>
      </w:r>
    </w:p>
    <w:p>
      <w:pPr>
        <w:shd w:val="clear" w:color="auto" w:fill="FFFFFF"/>
        <w:snapToGrid w:val="0"/>
        <w:spacing w:line="384" w:lineRule="auto"/>
        <w:ind w:firstLine="360" w:firstLineChars="150"/>
        <w:rPr>
          <w:rFonts w:ascii="宋体" w:hAnsi="Calibri" w:eastAsia="宋体" w:cs="Arial"/>
          <w:kern w:val="0"/>
          <w:sz w:val="24"/>
          <w:szCs w:val="24"/>
        </w:rPr>
      </w:pPr>
      <w:r>
        <w:rPr>
          <w:rFonts w:ascii="宋体" w:hAnsi="宋体" w:eastAsia="宋体" w:cs="Arial"/>
          <w:kern w:val="0"/>
          <w:sz w:val="24"/>
          <w:szCs w:val="24"/>
        </w:rPr>
        <w:t>3.4.</w:t>
      </w:r>
      <w:r>
        <w:rPr>
          <w:rFonts w:hint="eastAsia" w:ascii="宋体" w:hAnsi="宋体" w:eastAsia="宋体" w:cs="Arial"/>
          <w:kern w:val="0"/>
          <w:sz w:val="24"/>
          <w:szCs w:val="24"/>
        </w:rPr>
        <w:t>3</w:t>
      </w:r>
      <w:r>
        <w:rPr>
          <w:rFonts w:ascii="宋体" w:hAnsi="宋体" w:eastAsia="宋体" w:cs="Arial"/>
          <w:kern w:val="0"/>
          <w:sz w:val="24"/>
          <w:szCs w:val="24"/>
        </w:rPr>
        <w:t xml:space="preserve"> </w:t>
      </w:r>
      <w:r>
        <w:rPr>
          <w:rFonts w:hint="eastAsia" w:ascii="宋体" w:hAnsi="宋体" w:eastAsia="宋体" w:cs="Arial"/>
          <w:kern w:val="0"/>
          <w:sz w:val="24"/>
          <w:szCs w:val="24"/>
        </w:rPr>
        <w:t>投标保证金是为了保护采购人免遭因供应商的行为而蒙受损失。采购人在因供应商的行为受到损害时可根据相关法律规定没收供应商的投标保证金。</w:t>
      </w:r>
    </w:p>
    <w:p>
      <w:pPr>
        <w:widowControl/>
        <w:shd w:val="clear" w:color="auto" w:fill="FFFFFF"/>
        <w:snapToGrid w:val="0"/>
        <w:spacing w:line="360" w:lineRule="auto"/>
        <w:ind w:firstLine="480" w:firstLineChars="200"/>
        <w:rPr>
          <w:rFonts w:ascii="宋体" w:hAnsi="宋体" w:eastAsia="宋体" w:cs="Arial"/>
          <w:kern w:val="0"/>
          <w:sz w:val="24"/>
          <w:szCs w:val="24"/>
        </w:rPr>
      </w:pPr>
      <w:r>
        <w:rPr>
          <w:rFonts w:ascii="宋体" w:hAnsi="宋体" w:eastAsia="宋体" w:cs="Arial"/>
          <w:kern w:val="0"/>
          <w:sz w:val="24"/>
          <w:szCs w:val="24"/>
        </w:rPr>
        <w:t>3.4.</w:t>
      </w:r>
      <w:r>
        <w:rPr>
          <w:rFonts w:hint="eastAsia" w:ascii="宋体" w:hAnsi="宋体" w:eastAsia="宋体" w:cs="Arial"/>
          <w:kern w:val="0"/>
          <w:sz w:val="24"/>
          <w:szCs w:val="24"/>
        </w:rPr>
        <w:t>4</w:t>
      </w:r>
      <w:r>
        <w:rPr>
          <w:rFonts w:ascii="宋体" w:hAnsi="宋体" w:eastAsia="宋体" w:cs="Arial"/>
          <w:kern w:val="0"/>
          <w:sz w:val="24"/>
          <w:szCs w:val="24"/>
        </w:rPr>
        <w:t xml:space="preserve"> 采购人或者采购代理机构应当自中标通知书发出之日起5个工作日内退还未中标人的投标保证金，自采购合同签订之日起5个工作日内退还中标人的投标保证金</w:t>
      </w:r>
      <w:r>
        <w:rPr>
          <w:rFonts w:hint="eastAsia" w:ascii="宋体" w:hAnsi="宋体" w:eastAsia="宋体" w:cs="Arial"/>
          <w:kern w:val="0"/>
          <w:sz w:val="24"/>
          <w:szCs w:val="24"/>
        </w:rPr>
        <w:t>。</w:t>
      </w:r>
    </w:p>
    <w:p>
      <w:pPr>
        <w:widowControl/>
        <w:shd w:val="clear" w:color="auto" w:fill="FFFFFF"/>
        <w:snapToGrid w:val="0"/>
        <w:spacing w:line="360" w:lineRule="auto"/>
        <w:ind w:firstLine="480" w:firstLineChars="200"/>
        <w:rPr>
          <w:rFonts w:ascii="宋体" w:hAnsi="Calibri" w:eastAsia="宋体" w:cs="Arial"/>
          <w:kern w:val="0"/>
          <w:sz w:val="24"/>
          <w:szCs w:val="24"/>
        </w:rPr>
      </w:pPr>
      <w:r>
        <w:rPr>
          <w:rFonts w:ascii="宋体" w:hAnsi="宋体" w:eastAsia="宋体" w:cs="Arial"/>
          <w:kern w:val="0"/>
          <w:sz w:val="24"/>
          <w:szCs w:val="24"/>
        </w:rPr>
        <w:t>3.4.</w:t>
      </w:r>
      <w:r>
        <w:rPr>
          <w:rFonts w:hint="eastAsia" w:ascii="宋体" w:hAnsi="宋体" w:eastAsia="宋体" w:cs="Arial"/>
          <w:kern w:val="0"/>
          <w:sz w:val="24"/>
          <w:szCs w:val="24"/>
        </w:rPr>
        <w:t>5投标保证金有效期与投标有效期一致。</w:t>
      </w:r>
    </w:p>
    <w:p>
      <w:pPr>
        <w:widowControl/>
        <w:shd w:val="clear" w:color="auto" w:fill="FFFFFF"/>
        <w:snapToGrid w:val="0"/>
        <w:spacing w:line="360" w:lineRule="auto"/>
        <w:ind w:firstLine="480" w:firstLineChars="200"/>
        <w:rPr>
          <w:rFonts w:ascii="宋体" w:hAnsi="Calibri" w:eastAsia="宋体" w:cs="Arial"/>
          <w:kern w:val="0"/>
          <w:sz w:val="24"/>
          <w:szCs w:val="24"/>
        </w:rPr>
      </w:pPr>
      <w:r>
        <w:rPr>
          <w:rFonts w:ascii="宋体" w:hAnsi="宋体" w:eastAsia="宋体" w:cs="Arial"/>
          <w:kern w:val="0"/>
          <w:sz w:val="24"/>
          <w:szCs w:val="24"/>
        </w:rPr>
        <w:t>3.4.</w:t>
      </w:r>
      <w:r>
        <w:rPr>
          <w:rFonts w:hint="eastAsia" w:ascii="宋体" w:hAnsi="宋体" w:eastAsia="宋体" w:cs="Arial"/>
          <w:kern w:val="0"/>
          <w:sz w:val="24"/>
          <w:szCs w:val="24"/>
        </w:rPr>
        <w:t>6</w:t>
      </w:r>
      <w:r>
        <w:rPr>
          <w:rFonts w:ascii="宋体" w:hAnsi="宋体" w:eastAsia="宋体" w:cs="Arial"/>
          <w:kern w:val="0"/>
          <w:sz w:val="24"/>
          <w:szCs w:val="24"/>
        </w:rPr>
        <w:t xml:space="preserve"> </w:t>
      </w:r>
      <w:r>
        <w:rPr>
          <w:rFonts w:hint="eastAsia" w:ascii="宋体" w:hAnsi="宋体" w:eastAsia="宋体" w:cs="Arial"/>
          <w:kern w:val="0"/>
          <w:sz w:val="24"/>
          <w:szCs w:val="24"/>
        </w:rPr>
        <w:t>有下列情形之一的，投标保证金不予退还：</w:t>
      </w:r>
    </w:p>
    <w:p>
      <w:pPr>
        <w:widowControl/>
        <w:shd w:val="clear" w:color="auto" w:fill="FFFFFF"/>
        <w:snapToGrid w:val="0"/>
        <w:spacing w:line="360" w:lineRule="auto"/>
        <w:ind w:firstLine="480" w:firstLineChars="200"/>
        <w:rPr>
          <w:rFonts w:ascii="宋体" w:hAnsi="Calibri" w:eastAsia="宋体" w:cs="Arial"/>
          <w:kern w:val="0"/>
          <w:sz w:val="24"/>
          <w:szCs w:val="24"/>
        </w:rPr>
      </w:pPr>
      <w:r>
        <w:rPr>
          <w:rFonts w:hint="eastAsia" w:ascii="宋体" w:hAnsi="宋体" w:eastAsia="宋体" w:cs="Arial"/>
          <w:kern w:val="0"/>
          <w:sz w:val="24"/>
          <w:szCs w:val="24"/>
        </w:rPr>
        <w:t>（</w:t>
      </w:r>
      <w:r>
        <w:rPr>
          <w:rFonts w:ascii="宋体" w:hAnsi="宋体" w:eastAsia="宋体" w:cs="Arial"/>
          <w:kern w:val="0"/>
          <w:sz w:val="24"/>
          <w:szCs w:val="24"/>
        </w:rPr>
        <w:t>1</w:t>
      </w:r>
      <w:r>
        <w:rPr>
          <w:rFonts w:hint="eastAsia" w:ascii="宋体" w:hAnsi="宋体" w:eastAsia="宋体" w:cs="Arial"/>
          <w:kern w:val="0"/>
          <w:sz w:val="24"/>
          <w:szCs w:val="24"/>
        </w:rPr>
        <w:t>）供应商在规定的投标有效期内撤销或修改其</w:t>
      </w:r>
      <w:r>
        <w:rPr>
          <w:rFonts w:hint="eastAsia" w:ascii="宋体" w:hAnsi="宋体" w:eastAsia="宋体" w:cs="Arial"/>
          <w:kern w:val="0"/>
          <w:sz w:val="24"/>
          <w:szCs w:val="24"/>
          <w:lang w:eastAsia="zh-CN"/>
        </w:rPr>
        <w:t>磋商响应文件</w:t>
      </w:r>
      <w:r>
        <w:rPr>
          <w:rFonts w:hint="eastAsia" w:ascii="宋体" w:hAnsi="宋体" w:eastAsia="宋体" w:cs="Arial"/>
          <w:kern w:val="0"/>
          <w:sz w:val="24"/>
          <w:szCs w:val="24"/>
        </w:rPr>
        <w:t>的；</w:t>
      </w:r>
    </w:p>
    <w:p>
      <w:pPr>
        <w:widowControl/>
        <w:shd w:val="clear" w:color="auto" w:fill="FFFFFF"/>
        <w:snapToGrid w:val="0"/>
        <w:spacing w:line="360" w:lineRule="auto"/>
        <w:ind w:firstLine="480" w:firstLineChars="200"/>
        <w:rPr>
          <w:rFonts w:ascii="宋体" w:hAnsi="Calibri" w:eastAsia="宋体" w:cs="Arial"/>
          <w:kern w:val="0"/>
          <w:sz w:val="24"/>
          <w:szCs w:val="24"/>
        </w:rPr>
      </w:pPr>
      <w:r>
        <w:rPr>
          <w:rFonts w:hint="eastAsia" w:ascii="宋体" w:hAnsi="宋体" w:eastAsia="宋体" w:cs="Arial"/>
          <w:kern w:val="0"/>
          <w:sz w:val="24"/>
          <w:szCs w:val="24"/>
        </w:rPr>
        <w:t>（</w:t>
      </w:r>
      <w:r>
        <w:rPr>
          <w:rFonts w:ascii="宋体" w:hAnsi="宋体" w:eastAsia="宋体" w:cs="Arial"/>
          <w:kern w:val="0"/>
          <w:sz w:val="24"/>
          <w:szCs w:val="24"/>
        </w:rPr>
        <w:t>2</w:t>
      </w:r>
      <w:r>
        <w:rPr>
          <w:rFonts w:hint="eastAsia" w:ascii="宋体" w:hAnsi="宋体" w:eastAsia="宋体" w:cs="Arial"/>
          <w:kern w:val="0"/>
          <w:sz w:val="24"/>
          <w:szCs w:val="24"/>
        </w:rPr>
        <w:t>）中标人在收到中标通知书后，无正当理由拒签合同协议书或在签订合同时提出附加条件或者更改合同实质性内容的；</w:t>
      </w:r>
    </w:p>
    <w:p>
      <w:pPr>
        <w:widowControl/>
        <w:shd w:val="clear" w:color="auto" w:fill="FFFFFF"/>
        <w:snapToGrid w:val="0"/>
        <w:spacing w:line="360" w:lineRule="auto"/>
        <w:ind w:firstLine="480" w:firstLineChars="200"/>
        <w:rPr>
          <w:rFonts w:ascii="宋体" w:hAnsi="Calibri" w:eastAsia="宋体" w:cs="Arial"/>
          <w:kern w:val="0"/>
          <w:sz w:val="24"/>
          <w:szCs w:val="24"/>
        </w:rPr>
      </w:pPr>
      <w:r>
        <w:rPr>
          <w:rFonts w:hint="eastAsia" w:ascii="宋体" w:hAnsi="宋体" w:eastAsia="宋体" w:cs="Arial"/>
          <w:kern w:val="0"/>
          <w:sz w:val="24"/>
          <w:szCs w:val="24"/>
        </w:rPr>
        <w:t>（</w:t>
      </w:r>
      <w:r>
        <w:rPr>
          <w:rFonts w:ascii="宋体" w:hAnsi="宋体" w:eastAsia="宋体" w:cs="Arial"/>
          <w:kern w:val="0"/>
          <w:sz w:val="24"/>
          <w:szCs w:val="24"/>
        </w:rPr>
        <w:t>3</w:t>
      </w:r>
      <w:r>
        <w:rPr>
          <w:rFonts w:hint="eastAsia" w:ascii="宋体" w:hAnsi="宋体" w:eastAsia="宋体" w:cs="Arial"/>
          <w:kern w:val="0"/>
          <w:sz w:val="24"/>
          <w:szCs w:val="24"/>
        </w:rPr>
        <w:t>）未按</w:t>
      </w:r>
      <w:r>
        <w:rPr>
          <w:rFonts w:hint="eastAsia" w:ascii="宋体" w:hAnsi="宋体" w:eastAsia="宋体" w:cs="Arial"/>
          <w:kern w:val="0"/>
          <w:sz w:val="24"/>
          <w:szCs w:val="24"/>
          <w:lang w:eastAsia="zh-CN"/>
        </w:rPr>
        <w:t>竞争性磋商文件</w:t>
      </w:r>
      <w:r>
        <w:rPr>
          <w:rFonts w:hint="eastAsia" w:ascii="宋体" w:hAnsi="宋体" w:eastAsia="宋体" w:cs="Arial"/>
          <w:kern w:val="0"/>
          <w:sz w:val="24"/>
          <w:szCs w:val="24"/>
        </w:rPr>
        <w:t>规定提交履约保证金的。</w:t>
      </w:r>
    </w:p>
    <w:p>
      <w:pPr>
        <w:widowControl/>
        <w:shd w:val="clear" w:color="auto" w:fill="FFFFFF"/>
        <w:snapToGrid w:val="0"/>
        <w:spacing w:line="360" w:lineRule="auto"/>
        <w:ind w:firstLine="480" w:firstLineChars="200"/>
        <w:rPr>
          <w:rFonts w:ascii="宋体" w:hAnsi="Calibri" w:eastAsia="宋体" w:cs="Arial"/>
          <w:kern w:val="0"/>
          <w:sz w:val="24"/>
          <w:szCs w:val="24"/>
        </w:rPr>
      </w:pPr>
      <w:r>
        <w:rPr>
          <w:rFonts w:ascii="宋体" w:hAnsi="宋体" w:eastAsia="宋体" w:cs="Arial"/>
          <w:kern w:val="0"/>
          <w:sz w:val="24"/>
          <w:szCs w:val="24"/>
        </w:rPr>
        <w:t xml:space="preserve">3.5 </w:t>
      </w:r>
      <w:r>
        <w:rPr>
          <w:rFonts w:hint="eastAsia" w:ascii="宋体" w:hAnsi="宋体" w:eastAsia="宋体" w:cs="Arial"/>
          <w:kern w:val="0"/>
          <w:sz w:val="24"/>
          <w:szCs w:val="24"/>
          <w:lang w:eastAsia="zh-CN"/>
        </w:rPr>
        <w:t>磋商响应文件</w:t>
      </w:r>
      <w:r>
        <w:rPr>
          <w:rFonts w:hint="eastAsia" w:ascii="宋体" w:hAnsi="宋体" w:eastAsia="宋体" w:cs="Arial"/>
          <w:kern w:val="0"/>
          <w:sz w:val="24"/>
          <w:szCs w:val="24"/>
        </w:rPr>
        <w:t>的编制</w:t>
      </w:r>
    </w:p>
    <w:p>
      <w:pPr>
        <w:widowControl/>
        <w:shd w:val="clear" w:color="auto" w:fill="FFFFFF"/>
        <w:snapToGrid w:val="0"/>
        <w:spacing w:line="360" w:lineRule="auto"/>
        <w:ind w:firstLine="480" w:firstLineChars="200"/>
        <w:rPr>
          <w:rFonts w:ascii="宋体" w:hAnsi="Calibri" w:eastAsia="宋体" w:cs="Arial"/>
          <w:kern w:val="0"/>
          <w:sz w:val="24"/>
          <w:szCs w:val="24"/>
        </w:rPr>
      </w:pPr>
      <w:r>
        <w:rPr>
          <w:rFonts w:ascii="宋体" w:hAnsi="宋体" w:eastAsia="宋体" w:cs="Arial"/>
          <w:kern w:val="0"/>
          <w:sz w:val="24"/>
          <w:szCs w:val="24"/>
        </w:rPr>
        <w:t>3.5.1</w:t>
      </w:r>
      <w:r>
        <w:rPr>
          <w:rFonts w:hint="eastAsia" w:ascii="宋体" w:hAnsi="宋体" w:eastAsia="宋体" w:cs="Arial"/>
          <w:kern w:val="0"/>
          <w:sz w:val="24"/>
          <w:szCs w:val="24"/>
          <w:lang w:eastAsia="zh-CN"/>
        </w:rPr>
        <w:t>磋商响应文件</w:t>
      </w:r>
      <w:r>
        <w:rPr>
          <w:rFonts w:hint="eastAsia" w:ascii="宋体" w:hAnsi="宋体" w:eastAsia="宋体" w:cs="Arial"/>
          <w:kern w:val="0"/>
          <w:sz w:val="24"/>
          <w:szCs w:val="24"/>
        </w:rPr>
        <w:t>应按第五章“</w:t>
      </w:r>
      <w:r>
        <w:rPr>
          <w:rFonts w:hint="eastAsia" w:ascii="宋体" w:hAnsi="宋体" w:eastAsia="宋体" w:cs="Arial"/>
          <w:kern w:val="0"/>
          <w:sz w:val="24"/>
          <w:szCs w:val="24"/>
          <w:lang w:eastAsia="zh-CN"/>
        </w:rPr>
        <w:t>磋商响应文件</w:t>
      </w:r>
      <w:r>
        <w:rPr>
          <w:rFonts w:hint="eastAsia" w:ascii="宋体" w:hAnsi="宋体" w:eastAsia="宋体" w:cs="Arial"/>
          <w:kern w:val="0"/>
          <w:sz w:val="24"/>
          <w:szCs w:val="24"/>
        </w:rPr>
        <w:t>格式”进行编写，如有必要，可以增加附页，作为</w:t>
      </w:r>
      <w:r>
        <w:rPr>
          <w:rFonts w:hint="eastAsia" w:ascii="宋体" w:hAnsi="宋体" w:eastAsia="宋体" w:cs="Arial"/>
          <w:kern w:val="0"/>
          <w:sz w:val="24"/>
          <w:szCs w:val="24"/>
          <w:lang w:eastAsia="zh-CN"/>
        </w:rPr>
        <w:t>磋商响应文件</w:t>
      </w:r>
      <w:r>
        <w:rPr>
          <w:rFonts w:hint="eastAsia" w:ascii="宋体" w:hAnsi="宋体" w:eastAsia="宋体" w:cs="Arial"/>
          <w:kern w:val="0"/>
          <w:sz w:val="24"/>
          <w:szCs w:val="24"/>
        </w:rPr>
        <w:t>的组成部分。</w:t>
      </w:r>
    </w:p>
    <w:p>
      <w:pPr>
        <w:widowControl/>
        <w:shd w:val="clear" w:color="auto" w:fill="FFFFFF"/>
        <w:snapToGrid w:val="0"/>
        <w:spacing w:line="360" w:lineRule="auto"/>
        <w:ind w:firstLine="480" w:firstLineChars="200"/>
        <w:rPr>
          <w:rFonts w:ascii="宋体" w:hAnsi="Calibri" w:eastAsia="宋体" w:cs="Arial"/>
          <w:kern w:val="0"/>
          <w:sz w:val="24"/>
          <w:szCs w:val="24"/>
        </w:rPr>
      </w:pPr>
      <w:r>
        <w:rPr>
          <w:rFonts w:ascii="宋体" w:hAnsi="宋体" w:eastAsia="宋体" w:cs="Arial"/>
          <w:kern w:val="0"/>
          <w:sz w:val="24"/>
          <w:szCs w:val="24"/>
        </w:rPr>
        <w:t>3.5.2</w:t>
      </w:r>
      <w:r>
        <w:rPr>
          <w:rFonts w:hint="eastAsia" w:ascii="宋体" w:hAnsi="宋体" w:eastAsia="宋体" w:cs="Arial"/>
          <w:kern w:val="0"/>
          <w:sz w:val="24"/>
          <w:szCs w:val="24"/>
          <w:lang w:eastAsia="zh-CN"/>
        </w:rPr>
        <w:t>磋商响应文件</w:t>
      </w:r>
      <w:r>
        <w:rPr>
          <w:rFonts w:hint="eastAsia" w:ascii="宋体" w:hAnsi="宋体" w:eastAsia="宋体" w:cs="Arial"/>
          <w:kern w:val="0"/>
          <w:sz w:val="24"/>
          <w:szCs w:val="24"/>
        </w:rPr>
        <w:t>应当对</w:t>
      </w:r>
      <w:r>
        <w:rPr>
          <w:rFonts w:hint="eastAsia" w:ascii="宋体" w:hAnsi="宋体" w:eastAsia="宋体" w:cs="Arial"/>
          <w:kern w:val="0"/>
          <w:sz w:val="24"/>
          <w:szCs w:val="24"/>
          <w:lang w:eastAsia="zh-CN"/>
        </w:rPr>
        <w:t>竞争性磋商文件</w:t>
      </w:r>
      <w:r>
        <w:rPr>
          <w:rFonts w:hint="eastAsia" w:ascii="宋体" w:hAnsi="宋体" w:eastAsia="宋体" w:cs="Arial"/>
          <w:kern w:val="0"/>
          <w:sz w:val="24"/>
          <w:szCs w:val="24"/>
        </w:rPr>
        <w:t>有关采购范围、技术与服务要求等实质性内容做出响应。</w:t>
      </w:r>
    </w:p>
    <w:p>
      <w:pPr>
        <w:widowControl/>
        <w:shd w:val="clear" w:color="auto" w:fill="FFFFFF"/>
        <w:snapToGrid w:val="0"/>
        <w:spacing w:line="360" w:lineRule="auto"/>
        <w:ind w:firstLine="480" w:firstLineChars="200"/>
        <w:rPr>
          <w:rFonts w:ascii="宋体" w:hAnsi="Calibri" w:eastAsia="宋体" w:cs="Arial"/>
          <w:kern w:val="0"/>
          <w:sz w:val="24"/>
          <w:szCs w:val="24"/>
        </w:rPr>
      </w:pPr>
      <w:r>
        <w:rPr>
          <w:rFonts w:ascii="宋体" w:hAnsi="宋体" w:eastAsia="宋体" w:cs="Arial"/>
          <w:kern w:val="0"/>
          <w:sz w:val="24"/>
          <w:szCs w:val="24"/>
        </w:rPr>
        <w:t xml:space="preserve">3.5.3 </w:t>
      </w:r>
      <w:r>
        <w:rPr>
          <w:rFonts w:hint="eastAsia" w:ascii="宋体" w:hAnsi="宋体" w:eastAsia="宋体" w:cs="Arial"/>
          <w:kern w:val="0"/>
          <w:sz w:val="24"/>
          <w:szCs w:val="24"/>
          <w:lang w:eastAsia="zh-CN"/>
        </w:rPr>
        <w:t>磋商响应文件</w:t>
      </w:r>
      <w:r>
        <w:rPr>
          <w:rFonts w:hint="eastAsia" w:ascii="宋体" w:hAnsi="宋体" w:eastAsia="宋体" w:cs="Arial"/>
          <w:kern w:val="0"/>
          <w:sz w:val="24"/>
          <w:szCs w:val="24"/>
        </w:rPr>
        <w:t>要求盖章处均应加盖。</w:t>
      </w:r>
    </w:p>
    <w:p>
      <w:pPr>
        <w:widowControl/>
        <w:shd w:val="clear" w:color="auto" w:fill="FFFFFF"/>
        <w:snapToGrid w:val="0"/>
        <w:spacing w:line="360" w:lineRule="auto"/>
        <w:ind w:firstLine="480" w:firstLineChars="200"/>
        <w:rPr>
          <w:rFonts w:ascii="宋体" w:hAnsi="Calibri" w:eastAsia="宋体" w:cs="Arial"/>
          <w:kern w:val="0"/>
          <w:sz w:val="24"/>
          <w:szCs w:val="24"/>
        </w:rPr>
      </w:pPr>
      <w:r>
        <w:rPr>
          <w:rFonts w:ascii="宋体" w:hAnsi="宋体" w:eastAsia="宋体" w:cs="Arial"/>
          <w:kern w:val="0"/>
          <w:sz w:val="24"/>
          <w:szCs w:val="24"/>
        </w:rPr>
        <w:t xml:space="preserve">3.5.4 </w:t>
      </w:r>
      <w:r>
        <w:rPr>
          <w:rFonts w:hint="eastAsia" w:ascii="宋体" w:hAnsi="宋体" w:eastAsia="宋体" w:cs="Arial"/>
          <w:kern w:val="0"/>
          <w:sz w:val="24"/>
          <w:szCs w:val="24"/>
          <w:lang w:eastAsia="zh-CN"/>
        </w:rPr>
        <w:t>磋商响应文件</w:t>
      </w:r>
      <w:r>
        <w:rPr>
          <w:rFonts w:hint="eastAsia" w:ascii="宋体" w:hAnsi="宋体" w:eastAsia="宋体" w:cs="Arial"/>
          <w:kern w:val="0"/>
          <w:sz w:val="24"/>
          <w:szCs w:val="24"/>
        </w:rPr>
        <w:t>采用</w:t>
      </w:r>
      <w:r>
        <w:rPr>
          <w:rFonts w:ascii="宋体" w:hAnsi="宋体" w:eastAsia="宋体" w:cs="Arial"/>
          <w:kern w:val="0"/>
          <w:sz w:val="24"/>
          <w:szCs w:val="24"/>
        </w:rPr>
        <w:t>A4</w:t>
      </w:r>
      <w:r>
        <w:rPr>
          <w:rFonts w:hint="eastAsia" w:ascii="宋体" w:hAnsi="宋体" w:eastAsia="宋体" w:cs="Arial"/>
          <w:kern w:val="0"/>
          <w:sz w:val="24"/>
          <w:szCs w:val="24"/>
        </w:rPr>
        <w:t>打印纸。</w:t>
      </w:r>
    </w:p>
    <w:p>
      <w:pPr>
        <w:widowControl/>
        <w:shd w:val="clear" w:color="auto" w:fill="FFFFFF"/>
        <w:snapToGrid w:val="0"/>
        <w:spacing w:line="360" w:lineRule="auto"/>
        <w:ind w:firstLine="480" w:firstLineChars="200"/>
        <w:rPr>
          <w:rFonts w:ascii="宋体" w:hAnsi="Calibri" w:eastAsia="宋体" w:cs="Arial"/>
          <w:kern w:val="0"/>
          <w:sz w:val="24"/>
          <w:szCs w:val="24"/>
        </w:rPr>
      </w:pPr>
      <w:r>
        <w:rPr>
          <w:rFonts w:ascii="宋体" w:hAnsi="宋体" w:eastAsia="宋体" w:cs="Arial"/>
          <w:kern w:val="0"/>
          <w:sz w:val="24"/>
          <w:szCs w:val="24"/>
        </w:rPr>
        <w:t xml:space="preserve">3.5.5 </w:t>
      </w:r>
      <w:r>
        <w:rPr>
          <w:rFonts w:hint="eastAsia" w:ascii="宋体" w:hAnsi="宋体" w:eastAsia="宋体" w:cs="Arial"/>
          <w:kern w:val="0"/>
          <w:sz w:val="24"/>
          <w:szCs w:val="24"/>
          <w:lang w:eastAsia="zh-CN"/>
        </w:rPr>
        <w:t>磋商响应文件</w:t>
      </w:r>
      <w:r>
        <w:rPr>
          <w:rFonts w:hint="eastAsia" w:ascii="宋体" w:hAnsi="宋体" w:eastAsia="宋体" w:cs="Arial"/>
          <w:kern w:val="0"/>
          <w:sz w:val="24"/>
          <w:szCs w:val="24"/>
        </w:rPr>
        <w:t>可以用蓝黑墨水笔或炭素笔书写</w:t>
      </w:r>
      <w:r>
        <w:rPr>
          <w:rFonts w:ascii="宋体" w:hAnsi="Calibri" w:eastAsia="宋体" w:cs="Arial"/>
          <w:kern w:val="0"/>
          <w:sz w:val="24"/>
          <w:szCs w:val="24"/>
        </w:rPr>
        <w:t>,</w:t>
      </w:r>
      <w:r>
        <w:rPr>
          <w:rFonts w:ascii="宋体" w:hAnsi="宋体" w:eastAsia="宋体" w:cs="Arial"/>
          <w:kern w:val="0"/>
          <w:szCs w:val="21"/>
        </w:rPr>
        <w:t xml:space="preserve"> </w:t>
      </w:r>
      <w:r>
        <w:rPr>
          <w:rFonts w:hint="eastAsia" w:ascii="宋体" w:hAnsi="宋体" w:eastAsia="宋体" w:cs="Arial"/>
          <w:kern w:val="0"/>
          <w:sz w:val="24"/>
          <w:szCs w:val="24"/>
        </w:rPr>
        <w:t>但建议最好采用打印书写方式书写。</w:t>
      </w:r>
    </w:p>
    <w:p>
      <w:pPr>
        <w:widowControl/>
        <w:shd w:val="clear" w:color="auto" w:fill="FFFFFF"/>
        <w:snapToGrid w:val="0"/>
        <w:spacing w:line="360" w:lineRule="auto"/>
        <w:ind w:firstLine="480" w:firstLineChars="200"/>
        <w:rPr>
          <w:rFonts w:ascii="宋体" w:hAnsi="Calibri" w:eastAsia="宋体" w:cs="Arial"/>
          <w:kern w:val="0"/>
          <w:sz w:val="24"/>
          <w:szCs w:val="24"/>
        </w:rPr>
      </w:pPr>
      <w:r>
        <w:rPr>
          <w:rFonts w:ascii="宋体" w:hAnsi="宋体" w:eastAsia="宋体" w:cs="Arial"/>
          <w:kern w:val="0"/>
          <w:sz w:val="24"/>
          <w:szCs w:val="24"/>
        </w:rPr>
        <w:t xml:space="preserve">3.5.6 </w:t>
      </w:r>
      <w:r>
        <w:rPr>
          <w:rFonts w:hint="eastAsia" w:ascii="宋体" w:hAnsi="宋体" w:eastAsia="宋体" w:cs="Arial"/>
          <w:kern w:val="0"/>
          <w:sz w:val="24"/>
          <w:szCs w:val="24"/>
        </w:rPr>
        <w:t>供应商应按供应商须知前附表规定，编制</w:t>
      </w:r>
      <w:r>
        <w:rPr>
          <w:rFonts w:hint="eastAsia" w:ascii="宋体" w:hAnsi="宋体" w:eastAsia="宋体" w:cs="Arial"/>
          <w:kern w:val="0"/>
          <w:sz w:val="24"/>
          <w:szCs w:val="24"/>
          <w:lang w:eastAsia="zh-CN"/>
        </w:rPr>
        <w:t>磋商响应文件</w:t>
      </w:r>
      <w:r>
        <w:rPr>
          <w:rFonts w:hint="eastAsia" w:ascii="宋体" w:hAnsi="宋体" w:eastAsia="宋体" w:cs="Arial"/>
          <w:kern w:val="0"/>
          <w:sz w:val="24"/>
          <w:szCs w:val="24"/>
        </w:rPr>
        <w:t>“正本”和“副本”份数。封面必须注明“正本”或“副本”字样。</w:t>
      </w:r>
    </w:p>
    <w:p>
      <w:pPr>
        <w:widowControl/>
        <w:shd w:val="clear" w:color="auto" w:fill="FFFFFF"/>
        <w:snapToGrid w:val="0"/>
        <w:spacing w:line="360" w:lineRule="auto"/>
        <w:ind w:firstLine="480" w:firstLineChars="200"/>
        <w:rPr>
          <w:rFonts w:ascii="宋体" w:hAnsi="Calibri" w:eastAsia="宋体" w:cs="Arial"/>
          <w:kern w:val="0"/>
          <w:sz w:val="24"/>
          <w:szCs w:val="24"/>
        </w:rPr>
      </w:pPr>
      <w:r>
        <w:rPr>
          <w:rFonts w:ascii="宋体" w:hAnsi="宋体" w:eastAsia="宋体" w:cs="Arial"/>
          <w:kern w:val="0"/>
          <w:sz w:val="24"/>
          <w:szCs w:val="24"/>
        </w:rPr>
        <w:t xml:space="preserve">3.5.7 </w:t>
      </w:r>
      <w:r>
        <w:rPr>
          <w:rFonts w:hint="eastAsia" w:ascii="宋体" w:hAnsi="宋体" w:eastAsia="宋体" w:cs="Arial"/>
          <w:kern w:val="0"/>
          <w:sz w:val="24"/>
          <w:szCs w:val="24"/>
          <w:lang w:eastAsia="zh-CN"/>
        </w:rPr>
        <w:t>磋商响应文件</w:t>
      </w:r>
      <w:r>
        <w:rPr>
          <w:rFonts w:hint="eastAsia" w:ascii="宋体" w:hAnsi="宋体" w:eastAsia="宋体" w:cs="Arial"/>
          <w:kern w:val="0"/>
          <w:sz w:val="24"/>
          <w:szCs w:val="24"/>
        </w:rPr>
        <w:t>正本和副本如有不一致之处，以正本为准。</w:t>
      </w:r>
    </w:p>
    <w:p>
      <w:pPr>
        <w:tabs>
          <w:tab w:val="center" w:pos="4832"/>
          <w:tab w:val="left" w:pos="7140"/>
        </w:tabs>
        <w:spacing w:line="360" w:lineRule="auto"/>
        <w:ind w:firstLine="472" w:firstLineChars="196"/>
        <w:jc w:val="left"/>
        <w:outlineLvl w:val="1"/>
        <w:rPr>
          <w:rFonts w:ascii="宋体" w:hAnsi="Calibri" w:eastAsia="宋体" w:cs="宋体"/>
          <w:b/>
          <w:sz w:val="24"/>
          <w:szCs w:val="24"/>
        </w:rPr>
      </w:pPr>
      <w:bookmarkStart w:id="11" w:name="_BookMark_7"/>
      <w:bookmarkEnd w:id="11"/>
      <w:bookmarkStart w:id="12" w:name="_Toc535592198"/>
      <w:bookmarkStart w:id="13" w:name="_Toc104243912"/>
      <w:r>
        <w:rPr>
          <w:rFonts w:ascii="宋体" w:hAnsi="宋体" w:eastAsia="宋体" w:cs="宋体"/>
          <w:b/>
          <w:sz w:val="24"/>
          <w:szCs w:val="24"/>
        </w:rPr>
        <w:t>4</w:t>
      </w:r>
      <w:r>
        <w:rPr>
          <w:rFonts w:hint="eastAsia" w:ascii="宋体" w:hAnsi="宋体" w:eastAsia="宋体" w:cs="宋体"/>
          <w:b/>
          <w:sz w:val="24"/>
          <w:szCs w:val="24"/>
        </w:rPr>
        <w:t>．投标</w:t>
      </w:r>
      <w:bookmarkEnd w:id="12"/>
      <w:bookmarkEnd w:id="13"/>
    </w:p>
    <w:p>
      <w:pPr>
        <w:widowControl/>
        <w:shd w:val="clear" w:color="auto" w:fill="FFFFFF"/>
        <w:snapToGrid w:val="0"/>
        <w:spacing w:line="360" w:lineRule="auto"/>
        <w:ind w:firstLine="480" w:firstLineChars="200"/>
        <w:rPr>
          <w:rFonts w:ascii="宋体" w:hAnsi="Calibri" w:eastAsia="宋体" w:cs="Arial"/>
          <w:kern w:val="0"/>
          <w:sz w:val="24"/>
          <w:szCs w:val="24"/>
        </w:rPr>
      </w:pPr>
      <w:r>
        <w:rPr>
          <w:rFonts w:ascii="宋体" w:hAnsi="宋体" w:eastAsia="宋体" w:cs="Arial"/>
          <w:kern w:val="0"/>
          <w:sz w:val="24"/>
          <w:szCs w:val="24"/>
        </w:rPr>
        <w:t xml:space="preserve">4.1 </w:t>
      </w:r>
      <w:r>
        <w:rPr>
          <w:rFonts w:hint="eastAsia" w:ascii="宋体" w:hAnsi="宋体" w:eastAsia="宋体" w:cs="Arial"/>
          <w:kern w:val="0"/>
          <w:sz w:val="24"/>
          <w:szCs w:val="24"/>
          <w:lang w:eastAsia="zh-CN"/>
        </w:rPr>
        <w:t>磋商响应文件</w:t>
      </w:r>
      <w:r>
        <w:rPr>
          <w:rFonts w:hint="eastAsia" w:ascii="宋体" w:hAnsi="宋体" w:eastAsia="宋体" w:cs="Arial"/>
          <w:kern w:val="0"/>
          <w:sz w:val="24"/>
          <w:szCs w:val="24"/>
        </w:rPr>
        <w:t>的密封和标识</w:t>
      </w:r>
    </w:p>
    <w:p>
      <w:pPr>
        <w:widowControl/>
        <w:shd w:val="clear" w:color="auto" w:fill="FFFFFF"/>
        <w:snapToGrid w:val="0"/>
        <w:spacing w:line="360" w:lineRule="auto"/>
        <w:ind w:firstLine="480" w:firstLineChars="200"/>
        <w:rPr>
          <w:rFonts w:ascii="宋体" w:hAnsi="Calibri" w:eastAsia="宋体" w:cs="Arial"/>
          <w:kern w:val="0"/>
          <w:sz w:val="24"/>
          <w:szCs w:val="24"/>
        </w:rPr>
      </w:pPr>
      <w:r>
        <w:rPr>
          <w:rFonts w:ascii="宋体" w:hAnsi="宋体" w:eastAsia="宋体" w:cs="Arial"/>
          <w:kern w:val="0"/>
          <w:sz w:val="24"/>
          <w:szCs w:val="24"/>
        </w:rPr>
        <w:t>4.1.1</w:t>
      </w:r>
      <w:r>
        <w:rPr>
          <w:rFonts w:hint="eastAsia" w:ascii="宋体" w:hAnsi="宋体" w:eastAsia="宋体" w:cs="Arial"/>
          <w:kern w:val="0"/>
          <w:sz w:val="24"/>
          <w:szCs w:val="24"/>
        </w:rPr>
        <w:t>、供应商必须将</w:t>
      </w:r>
      <w:r>
        <w:rPr>
          <w:rFonts w:hint="eastAsia" w:ascii="宋体" w:hAnsi="宋体" w:eastAsia="宋体" w:cs="Arial"/>
          <w:kern w:val="0"/>
          <w:sz w:val="24"/>
          <w:szCs w:val="24"/>
          <w:lang w:eastAsia="zh-CN"/>
        </w:rPr>
        <w:t>磋商响应文件</w:t>
      </w:r>
      <w:r>
        <w:rPr>
          <w:rFonts w:hint="eastAsia" w:ascii="宋体" w:hAnsi="宋体" w:eastAsia="宋体" w:cs="Arial"/>
          <w:kern w:val="0"/>
          <w:sz w:val="24"/>
          <w:szCs w:val="24"/>
        </w:rPr>
        <w:t>密封装袋，并在封袋注明：XXX项目</w:t>
      </w:r>
      <w:r>
        <w:rPr>
          <w:rFonts w:hint="eastAsia" w:ascii="宋体" w:hAnsi="宋体" w:eastAsia="宋体" w:cs="Arial"/>
          <w:kern w:val="0"/>
          <w:sz w:val="24"/>
          <w:szCs w:val="24"/>
          <w:lang w:eastAsia="zh-CN"/>
        </w:rPr>
        <w:t>磋商响应文件</w:t>
      </w:r>
      <w:r>
        <w:rPr>
          <w:rFonts w:hint="eastAsia" w:ascii="宋体" w:hAnsi="宋体" w:eastAsia="宋体" w:cs="Arial"/>
          <w:kern w:val="0"/>
          <w:sz w:val="24"/>
          <w:szCs w:val="24"/>
        </w:rPr>
        <w:t>及供应商名称，否则整个</w:t>
      </w:r>
      <w:r>
        <w:rPr>
          <w:rFonts w:hint="eastAsia" w:ascii="宋体" w:hAnsi="宋体" w:eastAsia="宋体" w:cs="Arial"/>
          <w:kern w:val="0"/>
          <w:sz w:val="24"/>
          <w:szCs w:val="24"/>
          <w:lang w:eastAsia="zh-CN"/>
        </w:rPr>
        <w:t>磋商响应文件</w:t>
      </w:r>
      <w:r>
        <w:rPr>
          <w:rFonts w:hint="eastAsia" w:ascii="宋体" w:hAnsi="宋体" w:eastAsia="宋体" w:cs="Arial"/>
          <w:kern w:val="0"/>
          <w:sz w:val="24"/>
          <w:szCs w:val="24"/>
        </w:rPr>
        <w:t>将被视为不响应</w:t>
      </w:r>
      <w:r>
        <w:rPr>
          <w:rFonts w:hint="eastAsia" w:ascii="宋体" w:hAnsi="宋体" w:eastAsia="宋体" w:cs="Arial"/>
          <w:kern w:val="0"/>
          <w:sz w:val="24"/>
          <w:szCs w:val="24"/>
          <w:lang w:eastAsia="zh-CN"/>
        </w:rPr>
        <w:t>竞争性磋商文件</w:t>
      </w:r>
      <w:r>
        <w:rPr>
          <w:rFonts w:hint="eastAsia" w:ascii="宋体" w:hAnsi="宋体" w:eastAsia="宋体" w:cs="Arial"/>
          <w:kern w:val="0"/>
          <w:sz w:val="24"/>
          <w:szCs w:val="24"/>
        </w:rPr>
        <w:t>，而予以拒绝。</w:t>
      </w:r>
    </w:p>
    <w:p>
      <w:pPr>
        <w:widowControl/>
        <w:shd w:val="clear" w:color="auto" w:fill="FFFFFF"/>
        <w:snapToGrid w:val="0"/>
        <w:spacing w:line="360" w:lineRule="auto"/>
        <w:ind w:firstLine="480" w:firstLineChars="200"/>
        <w:rPr>
          <w:rFonts w:ascii="宋体" w:hAnsi="Calibri" w:eastAsia="宋体" w:cs="Arial"/>
          <w:kern w:val="0"/>
          <w:sz w:val="24"/>
          <w:szCs w:val="24"/>
        </w:rPr>
      </w:pPr>
      <w:r>
        <w:rPr>
          <w:rFonts w:ascii="宋体" w:hAnsi="宋体" w:eastAsia="宋体" w:cs="Arial"/>
          <w:kern w:val="0"/>
          <w:sz w:val="24"/>
          <w:szCs w:val="24"/>
        </w:rPr>
        <w:t>4.1.2</w:t>
      </w:r>
      <w:r>
        <w:rPr>
          <w:rFonts w:hint="eastAsia" w:ascii="宋体" w:hAnsi="宋体" w:eastAsia="宋体" w:cs="Arial"/>
          <w:kern w:val="0"/>
          <w:sz w:val="24"/>
          <w:szCs w:val="24"/>
        </w:rPr>
        <w:t>、</w:t>
      </w:r>
      <w:r>
        <w:rPr>
          <w:rFonts w:hint="eastAsia" w:ascii="宋体" w:hAnsi="宋体" w:eastAsia="宋体" w:cs="Arial"/>
          <w:kern w:val="0"/>
          <w:sz w:val="24"/>
          <w:szCs w:val="24"/>
          <w:lang w:eastAsia="zh-CN"/>
        </w:rPr>
        <w:t>磋商响应文件</w:t>
      </w:r>
      <w:r>
        <w:rPr>
          <w:rFonts w:hint="eastAsia" w:ascii="宋体" w:hAnsi="宋体" w:eastAsia="宋体" w:cs="Arial"/>
          <w:kern w:val="0"/>
          <w:sz w:val="24"/>
          <w:szCs w:val="24"/>
        </w:rPr>
        <w:t>封袋必须在开启处密封，并加盖供应商章及法定代表人章。否则整个</w:t>
      </w:r>
      <w:r>
        <w:rPr>
          <w:rFonts w:hint="eastAsia" w:ascii="宋体" w:hAnsi="宋体" w:eastAsia="宋体" w:cs="Arial"/>
          <w:kern w:val="0"/>
          <w:sz w:val="24"/>
          <w:szCs w:val="24"/>
          <w:lang w:eastAsia="zh-CN"/>
        </w:rPr>
        <w:t>磋商响应文件</w:t>
      </w:r>
      <w:r>
        <w:rPr>
          <w:rFonts w:hint="eastAsia" w:ascii="宋体" w:hAnsi="宋体" w:eastAsia="宋体" w:cs="Arial"/>
          <w:kern w:val="0"/>
          <w:sz w:val="24"/>
          <w:szCs w:val="24"/>
        </w:rPr>
        <w:t>将被视为不响应</w:t>
      </w:r>
      <w:r>
        <w:rPr>
          <w:rFonts w:hint="eastAsia" w:ascii="宋体" w:hAnsi="宋体" w:eastAsia="宋体" w:cs="Arial"/>
          <w:kern w:val="0"/>
          <w:sz w:val="24"/>
          <w:szCs w:val="24"/>
          <w:lang w:eastAsia="zh-CN"/>
        </w:rPr>
        <w:t>竞争性磋商文件</w:t>
      </w:r>
      <w:r>
        <w:rPr>
          <w:rFonts w:hint="eastAsia" w:ascii="宋体" w:hAnsi="宋体" w:eastAsia="宋体" w:cs="Arial"/>
          <w:kern w:val="0"/>
          <w:sz w:val="24"/>
          <w:szCs w:val="24"/>
        </w:rPr>
        <w:t>，而予以拒绝。</w:t>
      </w:r>
    </w:p>
    <w:p>
      <w:pPr>
        <w:widowControl/>
        <w:shd w:val="clear" w:color="auto" w:fill="FFFFFF"/>
        <w:snapToGrid w:val="0"/>
        <w:spacing w:line="360" w:lineRule="auto"/>
        <w:ind w:firstLine="480" w:firstLineChars="200"/>
        <w:rPr>
          <w:rFonts w:ascii="宋体" w:hAnsi="Calibri" w:eastAsia="宋体" w:cs="Arial"/>
          <w:kern w:val="0"/>
          <w:sz w:val="24"/>
          <w:szCs w:val="24"/>
        </w:rPr>
      </w:pPr>
      <w:r>
        <w:rPr>
          <w:rFonts w:ascii="宋体" w:hAnsi="宋体" w:eastAsia="宋体" w:cs="Arial"/>
          <w:kern w:val="0"/>
          <w:sz w:val="24"/>
          <w:szCs w:val="24"/>
        </w:rPr>
        <w:t xml:space="preserve">4.2 </w:t>
      </w:r>
      <w:r>
        <w:rPr>
          <w:rFonts w:hint="eastAsia" w:ascii="宋体" w:hAnsi="宋体" w:eastAsia="宋体" w:cs="Arial"/>
          <w:kern w:val="0"/>
          <w:sz w:val="24"/>
          <w:szCs w:val="24"/>
          <w:lang w:eastAsia="zh-CN"/>
        </w:rPr>
        <w:t>磋商响应文件</w:t>
      </w:r>
      <w:r>
        <w:rPr>
          <w:rFonts w:hint="eastAsia" w:ascii="宋体" w:hAnsi="宋体" w:eastAsia="宋体" w:cs="Arial"/>
          <w:kern w:val="0"/>
          <w:sz w:val="24"/>
          <w:szCs w:val="24"/>
        </w:rPr>
        <w:t>的递交</w:t>
      </w:r>
    </w:p>
    <w:p>
      <w:pPr>
        <w:widowControl/>
        <w:shd w:val="clear" w:color="auto" w:fill="FFFFFF"/>
        <w:snapToGrid w:val="0"/>
        <w:spacing w:line="360" w:lineRule="auto"/>
        <w:ind w:firstLine="480" w:firstLineChars="200"/>
        <w:rPr>
          <w:rFonts w:ascii="宋体" w:hAnsi="Calibri" w:eastAsia="宋体" w:cs="Arial"/>
          <w:kern w:val="0"/>
          <w:sz w:val="24"/>
          <w:szCs w:val="24"/>
        </w:rPr>
      </w:pPr>
      <w:bookmarkStart w:id="14" w:name="_Hlk57105549"/>
      <w:bookmarkStart w:id="15" w:name="_Hlk57105548"/>
      <w:bookmarkStart w:id="16" w:name="_Hlk57105547"/>
      <w:bookmarkStart w:id="17" w:name="_Hlk23746210"/>
      <w:bookmarkStart w:id="18" w:name="_Hlk18820304"/>
      <w:bookmarkStart w:id="19" w:name="_Hlk23651228"/>
      <w:bookmarkStart w:id="20" w:name="_Hlk23651230"/>
      <w:bookmarkStart w:id="21" w:name="_Hlk23746208"/>
      <w:bookmarkStart w:id="22" w:name="_Hlk22461103"/>
      <w:bookmarkStart w:id="23" w:name="_Hlk18820305"/>
      <w:bookmarkStart w:id="24" w:name="_Hlk22461104"/>
      <w:bookmarkStart w:id="25" w:name="_Hlk23651229"/>
      <w:bookmarkStart w:id="26" w:name="_Hlk22461105"/>
      <w:bookmarkStart w:id="27" w:name="_Hlk18820306"/>
      <w:bookmarkStart w:id="28" w:name="_Hlk23746209"/>
      <w:r>
        <w:rPr>
          <w:rFonts w:ascii="宋体" w:hAnsi="宋体" w:eastAsia="宋体" w:cs="Arial"/>
          <w:kern w:val="0"/>
          <w:sz w:val="24"/>
          <w:szCs w:val="24"/>
        </w:rPr>
        <w:t>4</w:t>
      </w:r>
      <w:r>
        <w:rPr>
          <w:rFonts w:ascii="宋体" w:hAnsi="Calibri" w:eastAsia="宋体" w:cs="Arial"/>
          <w:kern w:val="0"/>
          <w:sz w:val="24"/>
          <w:szCs w:val="24"/>
        </w:rPr>
        <w:t>.</w:t>
      </w:r>
      <w:r>
        <w:rPr>
          <w:rFonts w:ascii="宋体" w:hAnsi="宋体" w:eastAsia="宋体" w:cs="Arial"/>
          <w:kern w:val="0"/>
          <w:sz w:val="24"/>
          <w:szCs w:val="24"/>
        </w:rPr>
        <w:t>2.1</w:t>
      </w:r>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r>
        <w:rPr>
          <w:rFonts w:hint="eastAsia" w:ascii="宋体" w:hAnsi="宋体" w:eastAsia="宋体" w:cs="Arial"/>
          <w:kern w:val="0"/>
          <w:sz w:val="24"/>
          <w:szCs w:val="24"/>
        </w:rPr>
        <w:t>、供应商必须按供应商须知前附表规定，将</w:t>
      </w:r>
      <w:r>
        <w:rPr>
          <w:rFonts w:hint="eastAsia" w:ascii="宋体" w:hAnsi="宋体" w:eastAsia="宋体" w:cs="Arial"/>
          <w:kern w:val="0"/>
          <w:sz w:val="24"/>
          <w:szCs w:val="24"/>
          <w:lang w:eastAsia="zh-CN"/>
        </w:rPr>
        <w:t>磋商响应文件</w:t>
      </w:r>
      <w:r>
        <w:rPr>
          <w:rFonts w:hint="eastAsia" w:ascii="宋体" w:hAnsi="宋体" w:eastAsia="宋体" w:cs="Arial"/>
          <w:kern w:val="0"/>
          <w:sz w:val="24"/>
          <w:szCs w:val="24"/>
        </w:rPr>
        <w:t>在截止时间前送至递交地点。违反的将视为整个</w:t>
      </w:r>
      <w:r>
        <w:rPr>
          <w:rFonts w:hint="eastAsia" w:ascii="宋体" w:hAnsi="宋体" w:eastAsia="宋体" w:cs="Arial"/>
          <w:kern w:val="0"/>
          <w:sz w:val="24"/>
          <w:szCs w:val="24"/>
          <w:lang w:eastAsia="zh-CN"/>
        </w:rPr>
        <w:t>磋商响应文件</w:t>
      </w:r>
      <w:r>
        <w:rPr>
          <w:rFonts w:hint="eastAsia" w:ascii="宋体" w:hAnsi="宋体" w:eastAsia="宋体" w:cs="Arial"/>
          <w:kern w:val="0"/>
          <w:sz w:val="24"/>
          <w:szCs w:val="24"/>
        </w:rPr>
        <w:t>不响应</w:t>
      </w:r>
      <w:r>
        <w:rPr>
          <w:rFonts w:hint="eastAsia" w:ascii="宋体" w:hAnsi="宋体" w:eastAsia="宋体" w:cs="Arial"/>
          <w:kern w:val="0"/>
          <w:sz w:val="24"/>
          <w:szCs w:val="24"/>
          <w:lang w:eastAsia="zh-CN"/>
        </w:rPr>
        <w:t>竞争性磋商文件</w:t>
      </w:r>
      <w:r>
        <w:rPr>
          <w:rFonts w:ascii="宋体" w:hAnsi="Calibri" w:eastAsia="宋体" w:cs="Arial"/>
          <w:kern w:val="0"/>
          <w:sz w:val="24"/>
          <w:szCs w:val="24"/>
        </w:rPr>
        <w:t>,</w:t>
      </w:r>
      <w:r>
        <w:rPr>
          <w:rFonts w:hint="eastAsia" w:ascii="宋体" w:hAnsi="宋体" w:eastAsia="宋体" w:cs="Arial"/>
          <w:kern w:val="0"/>
          <w:sz w:val="24"/>
          <w:szCs w:val="24"/>
        </w:rPr>
        <w:t>而予以拒绝。</w:t>
      </w:r>
    </w:p>
    <w:p>
      <w:pPr>
        <w:widowControl/>
        <w:shd w:val="clear" w:color="auto" w:fill="FFFFFF"/>
        <w:snapToGrid w:val="0"/>
        <w:spacing w:line="360" w:lineRule="auto"/>
        <w:ind w:firstLine="480" w:firstLineChars="200"/>
        <w:rPr>
          <w:rFonts w:ascii="宋体" w:hAnsi="Calibri" w:eastAsia="宋体" w:cs="Arial"/>
          <w:kern w:val="0"/>
          <w:sz w:val="24"/>
          <w:szCs w:val="24"/>
        </w:rPr>
      </w:pPr>
      <w:r>
        <w:rPr>
          <w:rFonts w:ascii="宋体" w:hAnsi="宋体" w:eastAsia="宋体" w:cs="Arial"/>
          <w:kern w:val="0"/>
          <w:sz w:val="24"/>
          <w:szCs w:val="24"/>
        </w:rPr>
        <w:t>4</w:t>
      </w:r>
      <w:r>
        <w:rPr>
          <w:rFonts w:ascii="宋体" w:hAnsi="Calibri" w:eastAsia="宋体" w:cs="Arial"/>
          <w:kern w:val="0"/>
          <w:sz w:val="24"/>
          <w:szCs w:val="24"/>
        </w:rPr>
        <w:t>.</w:t>
      </w:r>
      <w:r>
        <w:rPr>
          <w:rFonts w:ascii="宋体" w:hAnsi="宋体" w:eastAsia="宋体" w:cs="Arial"/>
          <w:kern w:val="0"/>
          <w:sz w:val="24"/>
          <w:szCs w:val="24"/>
        </w:rPr>
        <w:t>2.2</w:t>
      </w:r>
      <w:r>
        <w:rPr>
          <w:rFonts w:hint="eastAsia" w:ascii="宋体" w:hAnsi="宋体" w:eastAsia="宋体" w:cs="Arial"/>
          <w:kern w:val="0"/>
          <w:sz w:val="24"/>
          <w:szCs w:val="24"/>
        </w:rPr>
        <w:t>、采购人事先约定延长投标截止时间的，采购人与供应商以前的投标截止期方面的全部权利、责任和义务，将适用延长至新的投标截止期。</w:t>
      </w:r>
    </w:p>
    <w:p>
      <w:pPr>
        <w:widowControl/>
        <w:shd w:val="clear" w:color="auto" w:fill="FFFFFF"/>
        <w:snapToGrid w:val="0"/>
        <w:spacing w:line="360" w:lineRule="auto"/>
        <w:ind w:firstLine="480" w:firstLineChars="200"/>
        <w:rPr>
          <w:rFonts w:ascii="宋体" w:hAnsi="Calibri" w:eastAsia="宋体" w:cs="Arial"/>
          <w:kern w:val="0"/>
          <w:sz w:val="24"/>
          <w:szCs w:val="24"/>
        </w:rPr>
      </w:pPr>
      <w:r>
        <w:rPr>
          <w:rFonts w:ascii="宋体" w:hAnsi="宋体" w:eastAsia="宋体" w:cs="Arial"/>
          <w:kern w:val="0"/>
          <w:sz w:val="24"/>
          <w:szCs w:val="24"/>
        </w:rPr>
        <w:t>4.2.</w:t>
      </w:r>
      <w:r>
        <w:rPr>
          <w:rFonts w:hint="eastAsia" w:ascii="宋体" w:hAnsi="宋体" w:eastAsia="宋体" w:cs="Arial"/>
          <w:kern w:val="0"/>
          <w:sz w:val="24"/>
          <w:szCs w:val="24"/>
        </w:rPr>
        <w:t>3</w:t>
      </w:r>
      <w:r>
        <w:rPr>
          <w:rFonts w:ascii="宋体" w:hAnsi="宋体" w:eastAsia="宋体" w:cs="Arial"/>
          <w:kern w:val="0"/>
          <w:sz w:val="24"/>
          <w:szCs w:val="24"/>
        </w:rPr>
        <w:t xml:space="preserve"> </w:t>
      </w:r>
      <w:r>
        <w:rPr>
          <w:rFonts w:hint="eastAsia" w:ascii="宋体" w:hAnsi="宋体" w:eastAsia="宋体" w:cs="Arial"/>
          <w:kern w:val="0"/>
          <w:sz w:val="24"/>
          <w:szCs w:val="24"/>
        </w:rPr>
        <w:t>供应商或其</w:t>
      </w:r>
      <w:r>
        <w:rPr>
          <w:rFonts w:hint="eastAsia" w:ascii="宋体" w:hAnsi="宋体" w:eastAsia="宋体" w:cs="Arial"/>
          <w:kern w:val="0"/>
          <w:sz w:val="24"/>
          <w:szCs w:val="24"/>
          <w:lang w:eastAsia="zh-CN"/>
        </w:rPr>
        <w:t>磋商响应文件</w:t>
      </w:r>
      <w:r>
        <w:rPr>
          <w:rFonts w:hint="eastAsia" w:ascii="宋体" w:hAnsi="宋体" w:eastAsia="宋体" w:cs="Arial"/>
          <w:kern w:val="0"/>
          <w:sz w:val="24"/>
          <w:szCs w:val="24"/>
        </w:rPr>
        <w:t>存在下列情形之一的，采购人对其</w:t>
      </w:r>
      <w:r>
        <w:rPr>
          <w:rFonts w:hint="eastAsia" w:ascii="宋体" w:hAnsi="宋体" w:eastAsia="宋体" w:cs="Arial"/>
          <w:kern w:val="0"/>
          <w:sz w:val="24"/>
          <w:szCs w:val="24"/>
          <w:lang w:eastAsia="zh-CN"/>
        </w:rPr>
        <w:t>磋商响应文件</w:t>
      </w:r>
      <w:r>
        <w:rPr>
          <w:rFonts w:hint="eastAsia" w:ascii="宋体" w:hAnsi="宋体" w:eastAsia="宋体" w:cs="Arial"/>
          <w:kern w:val="0"/>
          <w:sz w:val="24"/>
          <w:szCs w:val="24"/>
        </w:rPr>
        <w:t>不予受理：</w:t>
      </w:r>
    </w:p>
    <w:p>
      <w:pPr>
        <w:widowControl/>
        <w:shd w:val="clear" w:color="auto" w:fill="FFFFFF"/>
        <w:snapToGrid w:val="0"/>
        <w:spacing w:line="360" w:lineRule="auto"/>
        <w:ind w:firstLine="480" w:firstLineChars="200"/>
        <w:rPr>
          <w:rFonts w:ascii="宋体" w:hAnsi="Calibri" w:eastAsia="宋体" w:cs="Arial"/>
          <w:kern w:val="0"/>
          <w:sz w:val="24"/>
          <w:szCs w:val="24"/>
        </w:rPr>
      </w:pPr>
      <w:r>
        <w:rPr>
          <w:rFonts w:hint="eastAsia" w:ascii="宋体" w:hAnsi="宋体" w:eastAsia="宋体" w:cs="Arial"/>
          <w:kern w:val="0"/>
          <w:sz w:val="24"/>
          <w:szCs w:val="24"/>
        </w:rPr>
        <w:t>（</w:t>
      </w:r>
      <w:r>
        <w:rPr>
          <w:rFonts w:ascii="宋体" w:hAnsi="宋体" w:eastAsia="宋体" w:cs="Arial"/>
          <w:kern w:val="0"/>
          <w:sz w:val="24"/>
          <w:szCs w:val="24"/>
        </w:rPr>
        <w:t>1</w:t>
      </w:r>
      <w:r>
        <w:rPr>
          <w:rFonts w:hint="eastAsia" w:ascii="宋体" w:hAnsi="宋体" w:eastAsia="宋体" w:cs="Arial"/>
          <w:kern w:val="0"/>
          <w:sz w:val="24"/>
          <w:szCs w:val="24"/>
        </w:rPr>
        <w:t>）逾期送达的</w:t>
      </w:r>
      <w:r>
        <w:rPr>
          <w:rFonts w:hint="eastAsia" w:ascii="宋体" w:hAnsi="宋体" w:eastAsia="宋体" w:cs="Arial"/>
          <w:kern w:val="0"/>
          <w:sz w:val="24"/>
          <w:szCs w:val="24"/>
          <w:lang w:eastAsia="zh-CN"/>
        </w:rPr>
        <w:t>磋商响应文件</w:t>
      </w:r>
      <w:r>
        <w:rPr>
          <w:rFonts w:hint="eastAsia" w:ascii="宋体" w:hAnsi="宋体" w:eastAsia="宋体" w:cs="Arial"/>
          <w:kern w:val="0"/>
          <w:sz w:val="24"/>
          <w:szCs w:val="24"/>
        </w:rPr>
        <w:t>；</w:t>
      </w:r>
    </w:p>
    <w:p>
      <w:pPr>
        <w:widowControl/>
        <w:shd w:val="clear" w:color="auto" w:fill="FFFFFF"/>
        <w:snapToGrid w:val="0"/>
        <w:spacing w:line="360" w:lineRule="auto"/>
        <w:ind w:firstLine="480" w:firstLineChars="200"/>
        <w:rPr>
          <w:rFonts w:ascii="宋体" w:hAnsi="Calibri" w:eastAsia="宋体" w:cs="Arial"/>
          <w:kern w:val="0"/>
          <w:sz w:val="24"/>
          <w:szCs w:val="24"/>
        </w:rPr>
      </w:pPr>
      <w:r>
        <w:rPr>
          <w:rFonts w:hint="eastAsia" w:ascii="宋体" w:hAnsi="宋体" w:eastAsia="宋体" w:cs="Arial"/>
          <w:kern w:val="0"/>
          <w:sz w:val="24"/>
          <w:szCs w:val="24"/>
        </w:rPr>
        <w:t>（</w:t>
      </w:r>
      <w:r>
        <w:rPr>
          <w:rFonts w:ascii="宋体" w:hAnsi="宋体" w:eastAsia="宋体" w:cs="Arial"/>
          <w:kern w:val="0"/>
          <w:sz w:val="24"/>
          <w:szCs w:val="24"/>
        </w:rPr>
        <w:t>2</w:t>
      </w:r>
      <w:r>
        <w:rPr>
          <w:rFonts w:hint="eastAsia" w:ascii="宋体" w:hAnsi="宋体" w:eastAsia="宋体" w:cs="Arial"/>
          <w:kern w:val="0"/>
          <w:sz w:val="24"/>
          <w:szCs w:val="24"/>
        </w:rPr>
        <w:t>）未按本章第</w:t>
      </w:r>
      <w:r>
        <w:rPr>
          <w:rFonts w:ascii="宋体" w:hAnsi="宋体" w:eastAsia="宋体" w:cs="Arial"/>
          <w:kern w:val="0"/>
          <w:sz w:val="24"/>
          <w:szCs w:val="24"/>
        </w:rPr>
        <w:t>4.1</w:t>
      </w:r>
      <w:r>
        <w:rPr>
          <w:rFonts w:hint="eastAsia" w:ascii="宋体" w:hAnsi="宋体" w:eastAsia="宋体" w:cs="Arial"/>
          <w:kern w:val="0"/>
          <w:sz w:val="24"/>
          <w:szCs w:val="24"/>
        </w:rPr>
        <w:t>款要求密封的</w:t>
      </w:r>
      <w:r>
        <w:rPr>
          <w:rFonts w:hint="eastAsia" w:ascii="宋体" w:hAnsi="宋体" w:eastAsia="宋体" w:cs="Arial"/>
          <w:kern w:val="0"/>
          <w:sz w:val="24"/>
          <w:szCs w:val="24"/>
          <w:lang w:eastAsia="zh-CN"/>
        </w:rPr>
        <w:t>磋商响应文件</w:t>
      </w:r>
      <w:r>
        <w:rPr>
          <w:rFonts w:hint="eastAsia" w:ascii="宋体" w:hAnsi="宋体" w:eastAsia="宋体" w:cs="Arial"/>
          <w:kern w:val="0"/>
          <w:sz w:val="24"/>
          <w:szCs w:val="24"/>
        </w:rPr>
        <w:t>。</w:t>
      </w:r>
    </w:p>
    <w:p>
      <w:pPr>
        <w:widowControl/>
        <w:shd w:val="clear" w:color="auto" w:fill="FFFFFF"/>
        <w:snapToGrid w:val="0"/>
        <w:spacing w:line="360" w:lineRule="auto"/>
        <w:ind w:firstLine="480" w:firstLineChars="200"/>
        <w:rPr>
          <w:rFonts w:ascii="宋体" w:hAnsi="Calibri" w:eastAsia="宋体" w:cs="Arial"/>
          <w:kern w:val="0"/>
          <w:sz w:val="24"/>
          <w:szCs w:val="24"/>
        </w:rPr>
      </w:pPr>
      <w:r>
        <w:rPr>
          <w:rFonts w:ascii="宋体" w:hAnsi="宋体" w:eastAsia="宋体" w:cs="Arial"/>
          <w:kern w:val="0"/>
          <w:sz w:val="24"/>
          <w:szCs w:val="24"/>
        </w:rPr>
        <w:t xml:space="preserve">4.3 </w:t>
      </w:r>
      <w:r>
        <w:rPr>
          <w:rFonts w:hint="eastAsia" w:ascii="宋体" w:hAnsi="宋体" w:eastAsia="宋体" w:cs="Arial"/>
          <w:kern w:val="0"/>
          <w:sz w:val="24"/>
          <w:szCs w:val="24"/>
          <w:lang w:eastAsia="zh-CN"/>
        </w:rPr>
        <w:t>磋商响应文件</w:t>
      </w:r>
      <w:r>
        <w:rPr>
          <w:rFonts w:hint="eastAsia" w:ascii="宋体" w:hAnsi="宋体" w:eastAsia="宋体" w:cs="Arial"/>
          <w:kern w:val="0"/>
          <w:sz w:val="24"/>
          <w:szCs w:val="24"/>
        </w:rPr>
        <w:t>的修改与撤回</w:t>
      </w:r>
    </w:p>
    <w:p>
      <w:pPr>
        <w:widowControl/>
        <w:shd w:val="clear" w:color="auto" w:fill="FFFFFF"/>
        <w:snapToGrid w:val="0"/>
        <w:spacing w:line="360" w:lineRule="auto"/>
        <w:ind w:firstLine="480" w:firstLineChars="200"/>
        <w:rPr>
          <w:rFonts w:ascii="宋体" w:hAnsi="Calibri" w:eastAsia="宋体" w:cs="Arial"/>
          <w:kern w:val="0"/>
          <w:sz w:val="24"/>
          <w:szCs w:val="24"/>
        </w:rPr>
      </w:pPr>
      <w:r>
        <w:rPr>
          <w:rFonts w:ascii="宋体" w:hAnsi="宋体" w:eastAsia="宋体" w:cs="Arial"/>
          <w:kern w:val="0"/>
          <w:sz w:val="24"/>
          <w:szCs w:val="24"/>
        </w:rPr>
        <w:t xml:space="preserve">4.3.1 </w:t>
      </w:r>
      <w:r>
        <w:rPr>
          <w:rFonts w:hint="eastAsia" w:ascii="宋体" w:hAnsi="宋体" w:eastAsia="宋体" w:cs="Arial"/>
          <w:kern w:val="0"/>
          <w:sz w:val="24"/>
          <w:szCs w:val="24"/>
        </w:rPr>
        <w:t>供应商递交</w:t>
      </w:r>
      <w:r>
        <w:rPr>
          <w:rFonts w:hint="eastAsia" w:ascii="宋体" w:hAnsi="宋体" w:eastAsia="宋体" w:cs="Arial"/>
          <w:kern w:val="0"/>
          <w:sz w:val="24"/>
          <w:szCs w:val="24"/>
          <w:lang w:eastAsia="zh-CN"/>
        </w:rPr>
        <w:t>磋商响应文件</w:t>
      </w:r>
      <w:r>
        <w:rPr>
          <w:rFonts w:hint="eastAsia" w:ascii="宋体" w:hAnsi="宋体" w:eastAsia="宋体" w:cs="Arial"/>
          <w:kern w:val="0"/>
          <w:sz w:val="24"/>
          <w:szCs w:val="24"/>
        </w:rPr>
        <w:t>后，在规定投标截止时间前，可以书面形式向采购人递交修改或撤回其</w:t>
      </w:r>
      <w:r>
        <w:rPr>
          <w:rFonts w:hint="eastAsia" w:ascii="宋体" w:hAnsi="宋体" w:eastAsia="宋体" w:cs="Arial"/>
          <w:kern w:val="0"/>
          <w:sz w:val="24"/>
          <w:szCs w:val="24"/>
          <w:lang w:eastAsia="zh-CN"/>
        </w:rPr>
        <w:t>磋商响应文件</w:t>
      </w:r>
      <w:r>
        <w:rPr>
          <w:rFonts w:hint="eastAsia" w:ascii="宋体" w:hAnsi="宋体" w:eastAsia="宋体" w:cs="Arial"/>
          <w:kern w:val="0"/>
          <w:sz w:val="24"/>
          <w:szCs w:val="24"/>
        </w:rPr>
        <w:t>的通知。</w:t>
      </w:r>
    </w:p>
    <w:p>
      <w:pPr>
        <w:widowControl/>
        <w:shd w:val="clear" w:color="auto" w:fill="FFFFFF"/>
        <w:snapToGrid w:val="0"/>
        <w:spacing w:line="360" w:lineRule="auto"/>
        <w:ind w:firstLine="480" w:firstLineChars="200"/>
        <w:rPr>
          <w:rFonts w:ascii="宋体" w:hAnsi="Calibri" w:eastAsia="宋体" w:cs="Arial"/>
          <w:kern w:val="0"/>
          <w:sz w:val="24"/>
          <w:szCs w:val="24"/>
        </w:rPr>
      </w:pPr>
      <w:r>
        <w:rPr>
          <w:rFonts w:ascii="宋体" w:hAnsi="宋体" w:eastAsia="宋体" w:cs="Arial"/>
          <w:kern w:val="0"/>
          <w:sz w:val="24"/>
          <w:szCs w:val="24"/>
        </w:rPr>
        <w:t xml:space="preserve">4.3.2 </w:t>
      </w:r>
      <w:r>
        <w:rPr>
          <w:rFonts w:hint="eastAsia" w:ascii="宋体" w:hAnsi="宋体" w:eastAsia="宋体" w:cs="Arial"/>
          <w:kern w:val="0"/>
          <w:sz w:val="24"/>
          <w:szCs w:val="24"/>
        </w:rPr>
        <w:t>修改的内容为</w:t>
      </w:r>
      <w:r>
        <w:rPr>
          <w:rFonts w:hint="eastAsia" w:ascii="宋体" w:hAnsi="宋体" w:eastAsia="宋体" w:cs="Arial"/>
          <w:kern w:val="0"/>
          <w:sz w:val="24"/>
          <w:szCs w:val="24"/>
          <w:lang w:eastAsia="zh-CN"/>
        </w:rPr>
        <w:t>磋商响应文件</w:t>
      </w:r>
      <w:r>
        <w:rPr>
          <w:rFonts w:hint="eastAsia" w:ascii="宋体" w:hAnsi="宋体" w:eastAsia="宋体" w:cs="Arial"/>
          <w:kern w:val="0"/>
          <w:sz w:val="24"/>
          <w:szCs w:val="24"/>
        </w:rPr>
        <w:t>的组成部分。修改的</w:t>
      </w:r>
      <w:r>
        <w:rPr>
          <w:rFonts w:hint="eastAsia" w:ascii="宋体" w:hAnsi="宋体" w:eastAsia="宋体" w:cs="Arial"/>
          <w:kern w:val="0"/>
          <w:sz w:val="24"/>
          <w:szCs w:val="24"/>
          <w:lang w:eastAsia="zh-CN"/>
        </w:rPr>
        <w:t>磋商响应文件</w:t>
      </w:r>
      <w:r>
        <w:rPr>
          <w:rFonts w:hint="eastAsia" w:ascii="宋体" w:hAnsi="宋体" w:eastAsia="宋体" w:cs="Arial"/>
          <w:kern w:val="0"/>
          <w:sz w:val="24"/>
          <w:szCs w:val="24"/>
        </w:rPr>
        <w:t>应按照本</w:t>
      </w:r>
      <w:r>
        <w:rPr>
          <w:rFonts w:hint="eastAsia" w:ascii="宋体" w:hAnsi="宋体" w:eastAsia="宋体" w:cs="Arial"/>
          <w:kern w:val="0"/>
          <w:sz w:val="24"/>
          <w:szCs w:val="24"/>
          <w:lang w:eastAsia="zh-CN"/>
        </w:rPr>
        <w:t>竞争性磋商文件</w:t>
      </w:r>
      <w:r>
        <w:rPr>
          <w:rFonts w:hint="eastAsia" w:ascii="宋体" w:hAnsi="宋体" w:eastAsia="宋体" w:cs="Arial"/>
          <w:kern w:val="0"/>
          <w:sz w:val="24"/>
          <w:szCs w:val="24"/>
        </w:rPr>
        <w:t>的规定进行编制、密封、标记和递交，并标明“修改”字样。</w:t>
      </w:r>
    </w:p>
    <w:p>
      <w:pPr>
        <w:widowControl/>
        <w:shd w:val="clear" w:color="auto" w:fill="FFFFFF"/>
        <w:snapToGrid w:val="0"/>
        <w:spacing w:line="360" w:lineRule="auto"/>
        <w:ind w:firstLine="480" w:firstLineChars="200"/>
        <w:rPr>
          <w:rFonts w:ascii="宋体" w:hAnsi="Calibri" w:eastAsia="宋体" w:cs="Arial"/>
          <w:kern w:val="0"/>
          <w:sz w:val="24"/>
          <w:szCs w:val="24"/>
        </w:rPr>
      </w:pPr>
      <w:r>
        <w:rPr>
          <w:rFonts w:ascii="宋体" w:hAnsi="宋体" w:eastAsia="宋体" w:cs="Arial"/>
          <w:kern w:val="0"/>
          <w:sz w:val="24"/>
          <w:szCs w:val="24"/>
        </w:rPr>
        <w:t>4.4</w:t>
      </w:r>
      <w:r>
        <w:rPr>
          <w:rFonts w:hint="eastAsia" w:ascii="宋体" w:hAnsi="宋体" w:eastAsia="宋体" w:cs="Arial"/>
          <w:kern w:val="0"/>
          <w:sz w:val="24"/>
          <w:szCs w:val="24"/>
          <w:lang w:eastAsia="zh-CN"/>
        </w:rPr>
        <w:t>磋商响应文件</w:t>
      </w:r>
      <w:r>
        <w:rPr>
          <w:rFonts w:hint="eastAsia" w:ascii="宋体" w:hAnsi="宋体" w:eastAsia="宋体" w:cs="Arial"/>
          <w:kern w:val="0"/>
          <w:sz w:val="24"/>
          <w:szCs w:val="24"/>
        </w:rPr>
        <w:t>格式</w:t>
      </w:r>
    </w:p>
    <w:p>
      <w:pPr>
        <w:widowControl/>
        <w:shd w:val="clear" w:color="auto" w:fill="FFFFFF"/>
        <w:snapToGrid w:val="0"/>
        <w:spacing w:line="360" w:lineRule="auto"/>
        <w:ind w:firstLine="480" w:firstLineChars="200"/>
        <w:rPr>
          <w:rFonts w:ascii="宋体" w:hAnsi="Calibri" w:eastAsia="宋体" w:cs="Arial"/>
          <w:kern w:val="0"/>
          <w:sz w:val="24"/>
          <w:szCs w:val="24"/>
        </w:rPr>
      </w:pPr>
      <w:r>
        <w:rPr>
          <w:rFonts w:ascii="宋体" w:hAnsi="宋体" w:eastAsia="宋体" w:cs="Arial"/>
          <w:kern w:val="0"/>
          <w:sz w:val="24"/>
          <w:szCs w:val="24"/>
        </w:rPr>
        <w:t xml:space="preserve">4.4.1 </w:t>
      </w:r>
      <w:r>
        <w:rPr>
          <w:rFonts w:hint="eastAsia" w:ascii="宋体" w:hAnsi="宋体" w:eastAsia="宋体" w:cs="Arial"/>
          <w:kern w:val="0"/>
          <w:sz w:val="24"/>
          <w:szCs w:val="24"/>
          <w:lang w:eastAsia="zh-CN"/>
        </w:rPr>
        <w:t>磋商响应文件</w:t>
      </w:r>
      <w:r>
        <w:rPr>
          <w:rFonts w:hint="eastAsia" w:ascii="宋体" w:hAnsi="宋体" w:eastAsia="宋体" w:cs="Arial"/>
          <w:kern w:val="0"/>
          <w:sz w:val="24"/>
          <w:szCs w:val="24"/>
        </w:rPr>
        <w:t>格式见第五章。</w:t>
      </w:r>
    </w:p>
    <w:p>
      <w:pPr>
        <w:widowControl/>
        <w:shd w:val="clear" w:color="auto" w:fill="FFFFFF"/>
        <w:snapToGrid w:val="0"/>
        <w:spacing w:line="360" w:lineRule="auto"/>
        <w:ind w:firstLine="480" w:firstLineChars="200"/>
        <w:rPr>
          <w:rFonts w:ascii="宋体" w:hAnsi="Calibri" w:eastAsia="宋体" w:cs="Arial"/>
          <w:kern w:val="0"/>
          <w:sz w:val="24"/>
          <w:szCs w:val="24"/>
        </w:rPr>
      </w:pPr>
      <w:r>
        <w:rPr>
          <w:rFonts w:ascii="宋体" w:hAnsi="宋体" w:eastAsia="宋体" w:cs="Arial"/>
          <w:kern w:val="0"/>
          <w:sz w:val="24"/>
          <w:szCs w:val="24"/>
        </w:rPr>
        <w:t xml:space="preserve">4.4.2 </w:t>
      </w:r>
      <w:r>
        <w:rPr>
          <w:rFonts w:hint="eastAsia" w:ascii="宋体" w:hAnsi="宋体" w:eastAsia="宋体" w:cs="Arial"/>
          <w:kern w:val="0"/>
          <w:sz w:val="24"/>
          <w:szCs w:val="24"/>
        </w:rPr>
        <w:t>供应商应使用本</w:t>
      </w:r>
      <w:r>
        <w:rPr>
          <w:rFonts w:hint="eastAsia" w:ascii="宋体" w:hAnsi="宋体" w:eastAsia="宋体" w:cs="Arial"/>
          <w:kern w:val="0"/>
          <w:sz w:val="24"/>
          <w:szCs w:val="24"/>
          <w:lang w:eastAsia="zh-CN"/>
        </w:rPr>
        <w:t>竞争性磋商文件</w:t>
      </w:r>
      <w:r>
        <w:rPr>
          <w:rFonts w:hint="eastAsia" w:ascii="宋体" w:hAnsi="宋体" w:eastAsia="宋体" w:cs="Arial"/>
          <w:kern w:val="0"/>
          <w:sz w:val="24"/>
          <w:szCs w:val="24"/>
        </w:rPr>
        <w:t>后面提供的</w:t>
      </w:r>
      <w:r>
        <w:rPr>
          <w:rFonts w:hint="eastAsia" w:ascii="宋体" w:hAnsi="宋体" w:eastAsia="宋体" w:cs="Arial"/>
          <w:kern w:val="0"/>
          <w:sz w:val="24"/>
          <w:szCs w:val="24"/>
          <w:lang w:eastAsia="zh-CN"/>
        </w:rPr>
        <w:t>磋商响应文件</w:t>
      </w:r>
      <w:r>
        <w:rPr>
          <w:rFonts w:hint="eastAsia" w:ascii="宋体" w:hAnsi="宋体" w:eastAsia="宋体" w:cs="Arial"/>
          <w:kern w:val="0"/>
          <w:sz w:val="24"/>
          <w:szCs w:val="24"/>
        </w:rPr>
        <w:t>格式填写，如不够用时，供应商可按同样格式自行编制和填补，如果本</w:t>
      </w:r>
      <w:r>
        <w:rPr>
          <w:rFonts w:hint="eastAsia" w:ascii="宋体" w:hAnsi="宋体" w:eastAsia="宋体" w:cs="Arial"/>
          <w:kern w:val="0"/>
          <w:sz w:val="24"/>
          <w:szCs w:val="24"/>
          <w:lang w:eastAsia="zh-CN"/>
        </w:rPr>
        <w:t>竞争性磋商文件</w:t>
      </w:r>
      <w:r>
        <w:rPr>
          <w:rFonts w:hint="eastAsia" w:ascii="宋体" w:hAnsi="宋体" w:eastAsia="宋体" w:cs="Arial"/>
          <w:kern w:val="0"/>
          <w:sz w:val="24"/>
          <w:szCs w:val="24"/>
        </w:rPr>
        <w:t>未提供格式的，供应商可自行编制。</w:t>
      </w:r>
    </w:p>
    <w:p>
      <w:pPr>
        <w:tabs>
          <w:tab w:val="center" w:pos="4832"/>
          <w:tab w:val="left" w:pos="7140"/>
        </w:tabs>
        <w:spacing w:line="360" w:lineRule="auto"/>
        <w:ind w:firstLine="472" w:firstLineChars="196"/>
        <w:jc w:val="left"/>
        <w:outlineLvl w:val="1"/>
        <w:rPr>
          <w:rFonts w:ascii="宋体" w:hAnsi="Calibri" w:eastAsia="宋体" w:cs="宋体"/>
          <w:b/>
          <w:sz w:val="24"/>
          <w:szCs w:val="24"/>
        </w:rPr>
      </w:pPr>
      <w:bookmarkStart w:id="29" w:name="_BookMark_8"/>
      <w:bookmarkEnd w:id="29"/>
      <w:bookmarkStart w:id="30" w:name="_Toc535592199"/>
      <w:bookmarkStart w:id="31" w:name="_Toc104243913"/>
      <w:r>
        <w:rPr>
          <w:rFonts w:ascii="宋体" w:hAnsi="宋体" w:eastAsia="宋体" w:cs="宋体"/>
          <w:b/>
          <w:sz w:val="24"/>
          <w:szCs w:val="24"/>
        </w:rPr>
        <w:t>5</w:t>
      </w:r>
      <w:r>
        <w:rPr>
          <w:rFonts w:hint="eastAsia" w:ascii="宋体" w:hAnsi="宋体" w:eastAsia="宋体" w:cs="宋体"/>
          <w:b/>
          <w:sz w:val="24"/>
          <w:szCs w:val="24"/>
        </w:rPr>
        <w:t>．开标</w:t>
      </w:r>
      <w:bookmarkEnd w:id="30"/>
      <w:bookmarkEnd w:id="31"/>
    </w:p>
    <w:p>
      <w:pPr>
        <w:widowControl/>
        <w:shd w:val="clear" w:color="auto" w:fill="FFFFFF"/>
        <w:snapToGrid w:val="0"/>
        <w:spacing w:line="360" w:lineRule="auto"/>
        <w:ind w:firstLine="480" w:firstLineChars="200"/>
        <w:rPr>
          <w:rFonts w:ascii="宋体" w:hAnsi="Calibri" w:eastAsia="宋体" w:cs="Arial"/>
          <w:kern w:val="0"/>
          <w:sz w:val="24"/>
          <w:szCs w:val="24"/>
        </w:rPr>
      </w:pPr>
      <w:r>
        <w:rPr>
          <w:rFonts w:ascii="宋体" w:hAnsi="宋体" w:eastAsia="宋体" w:cs="Arial"/>
          <w:kern w:val="0"/>
          <w:sz w:val="24"/>
          <w:szCs w:val="24"/>
        </w:rPr>
        <w:t xml:space="preserve">5.1 </w:t>
      </w:r>
      <w:r>
        <w:rPr>
          <w:rFonts w:hint="eastAsia" w:ascii="宋体" w:hAnsi="宋体" w:eastAsia="宋体" w:cs="Arial"/>
          <w:kern w:val="0"/>
          <w:sz w:val="24"/>
          <w:szCs w:val="24"/>
        </w:rPr>
        <w:t>开标时间和地点</w:t>
      </w:r>
    </w:p>
    <w:p>
      <w:pPr>
        <w:widowControl/>
        <w:shd w:val="clear" w:color="auto" w:fill="FFFFFF"/>
        <w:snapToGrid w:val="0"/>
        <w:spacing w:line="360" w:lineRule="auto"/>
        <w:ind w:firstLine="480" w:firstLineChars="200"/>
        <w:rPr>
          <w:rFonts w:ascii="宋体" w:hAnsi="Calibri" w:eastAsia="宋体" w:cs="Arial"/>
          <w:kern w:val="0"/>
          <w:sz w:val="24"/>
          <w:szCs w:val="24"/>
        </w:rPr>
      </w:pPr>
      <w:r>
        <w:rPr>
          <w:rFonts w:hint="eastAsia" w:ascii="宋体" w:hAnsi="宋体" w:eastAsia="宋体" w:cs="Arial"/>
          <w:kern w:val="0"/>
          <w:sz w:val="24"/>
          <w:szCs w:val="24"/>
        </w:rPr>
        <w:t>采购人在供应商须知前附表规定的时间、地点公开开标，并邀请所有供应商的法定代表人或其授权委托人参加。</w:t>
      </w:r>
    </w:p>
    <w:p>
      <w:pPr>
        <w:widowControl/>
        <w:shd w:val="clear" w:color="auto" w:fill="FFFFFF"/>
        <w:snapToGrid w:val="0"/>
        <w:spacing w:line="360" w:lineRule="auto"/>
        <w:ind w:firstLine="480" w:firstLineChars="200"/>
        <w:rPr>
          <w:rFonts w:ascii="宋体" w:hAnsi="Calibri" w:eastAsia="宋体" w:cs="Arial"/>
          <w:kern w:val="0"/>
          <w:sz w:val="24"/>
          <w:szCs w:val="24"/>
        </w:rPr>
      </w:pPr>
      <w:r>
        <w:rPr>
          <w:rFonts w:ascii="宋体" w:hAnsi="宋体" w:eastAsia="宋体" w:cs="Arial"/>
          <w:kern w:val="0"/>
          <w:sz w:val="24"/>
          <w:szCs w:val="24"/>
        </w:rPr>
        <w:t xml:space="preserve">5.2 </w:t>
      </w:r>
      <w:r>
        <w:rPr>
          <w:rFonts w:hint="eastAsia" w:ascii="宋体" w:hAnsi="宋体" w:eastAsia="宋体" w:cs="Arial"/>
          <w:kern w:val="0"/>
          <w:sz w:val="24"/>
          <w:szCs w:val="24"/>
        </w:rPr>
        <w:t>开标注意事项</w:t>
      </w:r>
    </w:p>
    <w:p>
      <w:pPr>
        <w:widowControl/>
        <w:shd w:val="clear" w:color="auto" w:fill="FFFFFF"/>
        <w:snapToGrid w:val="0"/>
        <w:spacing w:line="360" w:lineRule="auto"/>
        <w:ind w:firstLine="480" w:firstLineChars="200"/>
        <w:rPr>
          <w:rFonts w:ascii="宋体" w:hAnsi="Calibri" w:eastAsia="宋体" w:cs="Arial"/>
          <w:kern w:val="0"/>
          <w:sz w:val="24"/>
          <w:szCs w:val="24"/>
        </w:rPr>
      </w:pPr>
      <w:r>
        <w:rPr>
          <w:rFonts w:ascii="宋体" w:hAnsi="宋体" w:eastAsia="宋体" w:cs="Arial"/>
          <w:kern w:val="0"/>
          <w:sz w:val="24"/>
          <w:szCs w:val="24"/>
        </w:rPr>
        <w:t xml:space="preserve">5.2.1 </w:t>
      </w:r>
      <w:r>
        <w:rPr>
          <w:rFonts w:hint="eastAsia" w:ascii="宋体" w:hAnsi="宋体" w:eastAsia="宋体" w:cs="Arial"/>
          <w:kern w:val="0"/>
          <w:sz w:val="24"/>
          <w:szCs w:val="24"/>
        </w:rPr>
        <w:t>供应商法人授权委托人应按时参加开标会并携带一份法定代表人授权委托书及有效身份证明。若是法定代表人参加开标会应携带有效身份证明。</w:t>
      </w:r>
    </w:p>
    <w:p>
      <w:pPr>
        <w:widowControl/>
        <w:shd w:val="clear" w:color="auto" w:fill="FFFFFF"/>
        <w:snapToGrid w:val="0"/>
        <w:spacing w:line="360" w:lineRule="auto"/>
        <w:ind w:firstLine="480" w:firstLineChars="200"/>
        <w:rPr>
          <w:rFonts w:ascii="宋体" w:hAnsi="Calibri" w:eastAsia="宋体" w:cs="Arial"/>
          <w:kern w:val="0"/>
          <w:sz w:val="24"/>
          <w:szCs w:val="24"/>
        </w:rPr>
      </w:pPr>
      <w:r>
        <w:rPr>
          <w:rFonts w:ascii="宋体" w:hAnsi="宋体" w:eastAsia="宋体" w:cs="Arial"/>
          <w:kern w:val="0"/>
          <w:sz w:val="24"/>
          <w:szCs w:val="24"/>
        </w:rPr>
        <w:t xml:space="preserve">5.3 </w:t>
      </w:r>
      <w:r>
        <w:rPr>
          <w:rFonts w:hint="eastAsia" w:ascii="宋体" w:hAnsi="宋体" w:eastAsia="宋体" w:cs="Arial"/>
          <w:kern w:val="0"/>
          <w:sz w:val="24"/>
          <w:szCs w:val="24"/>
        </w:rPr>
        <w:t>开标程序</w:t>
      </w:r>
    </w:p>
    <w:p>
      <w:pPr>
        <w:widowControl/>
        <w:shd w:val="clear" w:color="auto" w:fill="FFFFFF"/>
        <w:snapToGrid w:val="0"/>
        <w:spacing w:line="360" w:lineRule="auto"/>
        <w:ind w:firstLine="480" w:firstLineChars="200"/>
        <w:rPr>
          <w:rFonts w:ascii="宋体" w:hAnsi="Calibri" w:eastAsia="宋体" w:cs="Arial"/>
          <w:kern w:val="0"/>
          <w:sz w:val="24"/>
          <w:szCs w:val="24"/>
        </w:rPr>
      </w:pPr>
      <w:r>
        <w:rPr>
          <w:rFonts w:hint="eastAsia" w:ascii="宋体" w:hAnsi="宋体" w:eastAsia="宋体" w:cs="Arial"/>
          <w:kern w:val="0"/>
          <w:sz w:val="24"/>
          <w:szCs w:val="24"/>
        </w:rPr>
        <w:t>按下列程序进行开标：</w:t>
      </w:r>
    </w:p>
    <w:p>
      <w:pPr>
        <w:widowControl/>
        <w:shd w:val="clear" w:color="auto" w:fill="FFFFFF"/>
        <w:snapToGrid w:val="0"/>
        <w:spacing w:line="360" w:lineRule="auto"/>
        <w:ind w:firstLine="480" w:firstLineChars="200"/>
        <w:rPr>
          <w:rFonts w:ascii="宋体" w:hAnsi="Calibri" w:eastAsia="宋体" w:cs="Arial"/>
          <w:kern w:val="0"/>
          <w:sz w:val="24"/>
          <w:szCs w:val="24"/>
        </w:rPr>
      </w:pPr>
      <w:r>
        <w:rPr>
          <w:rFonts w:hint="eastAsia" w:ascii="宋体" w:hAnsi="宋体" w:eastAsia="宋体" w:cs="Arial"/>
          <w:kern w:val="0"/>
          <w:sz w:val="24"/>
          <w:szCs w:val="24"/>
        </w:rPr>
        <w:t>（</w:t>
      </w:r>
      <w:r>
        <w:rPr>
          <w:rFonts w:ascii="宋体" w:hAnsi="宋体" w:eastAsia="宋体" w:cs="Arial"/>
          <w:kern w:val="0"/>
          <w:sz w:val="24"/>
          <w:szCs w:val="24"/>
        </w:rPr>
        <w:t>1</w:t>
      </w:r>
      <w:r>
        <w:rPr>
          <w:rFonts w:hint="eastAsia" w:ascii="宋体" w:hAnsi="宋体" w:eastAsia="宋体" w:cs="Arial"/>
          <w:kern w:val="0"/>
          <w:sz w:val="24"/>
          <w:szCs w:val="24"/>
        </w:rPr>
        <w:t>）宣布开标纪律；</w:t>
      </w:r>
    </w:p>
    <w:p>
      <w:pPr>
        <w:spacing w:line="480" w:lineRule="exact"/>
        <w:ind w:firstLine="480" w:firstLineChars="200"/>
        <w:rPr>
          <w:rFonts w:ascii="宋体" w:hAnsi="宋体" w:cs="宋体"/>
          <w:sz w:val="24"/>
          <w:szCs w:val="24"/>
        </w:rPr>
      </w:pPr>
      <w:r>
        <w:rPr>
          <w:rFonts w:hint="eastAsia" w:ascii="宋体" w:hAnsi="宋体" w:eastAsia="宋体" w:cs="Arial"/>
          <w:kern w:val="0"/>
          <w:sz w:val="24"/>
          <w:szCs w:val="24"/>
        </w:rPr>
        <w:t>（</w:t>
      </w:r>
      <w:r>
        <w:rPr>
          <w:rFonts w:ascii="宋体" w:hAnsi="宋体" w:eastAsia="宋体" w:cs="Arial"/>
          <w:kern w:val="0"/>
          <w:sz w:val="24"/>
          <w:szCs w:val="24"/>
        </w:rPr>
        <w:t>2</w:t>
      </w:r>
      <w:r>
        <w:rPr>
          <w:rFonts w:hint="eastAsia" w:ascii="宋体" w:hAnsi="宋体" w:eastAsia="宋体" w:cs="Arial"/>
          <w:kern w:val="0"/>
          <w:sz w:val="24"/>
          <w:szCs w:val="24"/>
        </w:rPr>
        <w:t>）开标会主持人介绍参加会议的人员，并</w:t>
      </w:r>
      <w:r>
        <w:rPr>
          <w:rFonts w:hint="eastAsia" w:ascii="宋体" w:hAnsi="宋体" w:cs="宋体"/>
          <w:sz w:val="24"/>
          <w:szCs w:val="24"/>
        </w:rPr>
        <w:t>负责按本竞争性</w:t>
      </w:r>
      <w:r>
        <w:rPr>
          <w:rFonts w:hint="eastAsia" w:ascii="宋体" w:hAnsi="宋体" w:cs="宋体"/>
          <w:sz w:val="24"/>
          <w:szCs w:val="24"/>
          <w:lang w:eastAsia="zh-CN"/>
        </w:rPr>
        <w:t>磋商响应文件</w:t>
      </w:r>
      <w:r>
        <w:rPr>
          <w:rFonts w:hint="eastAsia" w:ascii="宋体" w:hAnsi="宋体" w:cs="宋体"/>
          <w:sz w:val="24"/>
          <w:szCs w:val="24"/>
        </w:rPr>
        <w:t>规定的开标会程序主持招标会。</w:t>
      </w:r>
    </w:p>
    <w:p>
      <w:pPr>
        <w:spacing w:line="480" w:lineRule="exact"/>
        <w:ind w:firstLine="480" w:firstLineChars="200"/>
        <w:rPr>
          <w:rFonts w:ascii="宋体" w:hAnsi="宋体" w:cs="宋体"/>
          <w:sz w:val="24"/>
          <w:szCs w:val="24"/>
        </w:rPr>
      </w:pPr>
      <w:r>
        <w:rPr>
          <w:rFonts w:hint="eastAsia" w:ascii="宋体" w:hAnsi="宋体" w:cs="宋体"/>
          <w:sz w:val="24"/>
          <w:szCs w:val="24"/>
        </w:rPr>
        <w:t>招标会记录人负责对整个招标会情况进行记录。</w:t>
      </w:r>
    </w:p>
    <w:p>
      <w:pPr>
        <w:widowControl/>
        <w:shd w:val="clear" w:color="auto" w:fill="FFFFFF"/>
        <w:snapToGrid w:val="0"/>
        <w:spacing w:line="360" w:lineRule="auto"/>
        <w:ind w:firstLine="480" w:firstLineChars="200"/>
        <w:rPr>
          <w:rFonts w:ascii="宋体" w:hAnsi="Calibri" w:eastAsia="宋体" w:cs="Arial"/>
          <w:kern w:val="0"/>
          <w:sz w:val="24"/>
          <w:szCs w:val="24"/>
        </w:rPr>
      </w:pPr>
      <w:r>
        <w:rPr>
          <w:rFonts w:hint="eastAsia" w:ascii="宋体" w:hAnsi="宋体" w:cs="宋体"/>
          <w:sz w:val="24"/>
          <w:szCs w:val="24"/>
        </w:rPr>
        <w:t>唱标人负责宣读响应性文件的供货期以及供应商报价等内容。</w:t>
      </w:r>
      <w:r>
        <w:rPr>
          <w:rFonts w:hint="eastAsia" w:ascii="宋体" w:hAnsi="宋体" w:eastAsia="宋体" w:cs="Arial"/>
          <w:kern w:val="0"/>
          <w:sz w:val="24"/>
          <w:szCs w:val="24"/>
        </w:rPr>
        <w:t>；</w:t>
      </w:r>
    </w:p>
    <w:p>
      <w:pPr>
        <w:widowControl/>
        <w:shd w:val="clear" w:color="auto" w:fill="FFFFFF"/>
        <w:snapToGrid w:val="0"/>
        <w:spacing w:line="360" w:lineRule="auto"/>
        <w:ind w:firstLine="480" w:firstLineChars="200"/>
        <w:rPr>
          <w:rFonts w:ascii="宋体" w:hAnsi="宋体" w:eastAsia="宋体" w:cs="Arial"/>
          <w:kern w:val="0"/>
          <w:sz w:val="24"/>
          <w:szCs w:val="24"/>
        </w:rPr>
      </w:pPr>
      <w:r>
        <w:rPr>
          <w:rFonts w:hint="eastAsia" w:ascii="宋体" w:hAnsi="宋体" w:eastAsia="宋体" w:cs="Arial"/>
          <w:kern w:val="0"/>
          <w:sz w:val="24"/>
          <w:szCs w:val="24"/>
        </w:rPr>
        <w:t>（</w:t>
      </w:r>
      <w:r>
        <w:rPr>
          <w:rFonts w:ascii="宋体" w:hAnsi="宋体" w:eastAsia="宋体" w:cs="Arial"/>
          <w:kern w:val="0"/>
          <w:sz w:val="24"/>
          <w:szCs w:val="24"/>
        </w:rPr>
        <w:t>3</w:t>
      </w:r>
      <w:r>
        <w:rPr>
          <w:rFonts w:hint="eastAsia" w:ascii="宋体" w:hAnsi="宋体" w:eastAsia="宋体" w:cs="Arial"/>
          <w:kern w:val="0"/>
          <w:sz w:val="24"/>
          <w:szCs w:val="24"/>
        </w:rPr>
        <w:t>）公布在投标截止时间前递交</w:t>
      </w:r>
      <w:r>
        <w:rPr>
          <w:rFonts w:hint="eastAsia" w:ascii="宋体" w:hAnsi="宋体" w:eastAsia="宋体" w:cs="Arial"/>
          <w:kern w:val="0"/>
          <w:sz w:val="24"/>
          <w:szCs w:val="24"/>
          <w:lang w:eastAsia="zh-CN"/>
        </w:rPr>
        <w:t>磋商响应文件</w:t>
      </w:r>
      <w:r>
        <w:rPr>
          <w:rFonts w:hint="eastAsia" w:ascii="宋体" w:hAnsi="宋体" w:eastAsia="宋体" w:cs="Arial"/>
          <w:kern w:val="0"/>
          <w:sz w:val="24"/>
          <w:szCs w:val="24"/>
        </w:rPr>
        <w:t>的供应商名称，并点名确认供应商是否派人到场</w:t>
      </w:r>
      <w:r>
        <w:rPr>
          <w:rFonts w:ascii="宋体" w:hAnsi="宋体" w:eastAsia="宋体" w:cs="Arial"/>
          <w:kern w:val="0"/>
          <w:sz w:val="24"/>
          <w:szCs w:val="24"/>
        </w:rPr>
        <w:t>参加开标</w:t>
      </w:r>
      <w:r>
        <w:rPr>
          <w:rFonts w:hint="eastAsia" w:ascii="宋体" w:hAnsi="宋体" w:eastAsia="宋体" w:cs="Arial"/>
          <w:kern w:val="0"/>
          <w:sz w:val="24"/>
          <w:szCs w:val="24"/>
        </w:rPr>
        <w:t>，由采购人或监督人查验监督人查验供应商的有效的营业执照复印件加盖公章、有效的法定代表人授权委托书、委托代理人身份证、保证金汇款凭证加盖公章。如果供应商未派人到场</w:t>
      </w:r>
      <w:r>
        <w:rPr>
          <w:rFonts w:ascii="宋体" w:hAnsi="宋体" w:eastAsia="宋体" w:cs="Arial"/>
          <w:kern w:val="0"/>
          <w:sz w:val="24"/>
          <w:szCs w:val="24"/>
        </w:rPr>
        <w:t>参加开标，</w:t>
      </w:r>
      <w:r>
        <w:rPr>
          <w:rFonts w:hint="eastAsia" w:ascii="宋体" w:hAnsi="宋体" w:eastAsia="宋体" w:cs="Arial"/>
          <w:kern w:val="0"/>
          <w:sz w:val="24"/>
          <w:szCs w:val="24"/>
        </w:rPr>
        <w:t>则</w:t>
      </w:r>
      <w:r>
        <w:rPr>
          <w:rFonts w:ascii="宋体" w:hAnsi="宋体" w:eastAsia="宋体" w:cs="Arial"/>
          <w:kern w:val="0"/>
          <w:sz w:val="24"/>
          <w:szCs w:val="24"/>
        </w:rPr>
        <w:t>视同认可开标结果</w:t>
      </w:r>
      <w:r>
        <w:rPr>
          <w:rFonts w:hint="eastAsia" w:ascii="宋体" w:hAnsi="宋体" w:eastAsia="宋体" w:cs="Arial"/>
          <w:kern w:val="0"/>
          <w:sz w:val="24"/>
          <w:szCs w:val="24"/>
        </w:rPr>
        <w:t>；</w:t>
      </w:r>
      <w:r>
        <w:rPr>
          <w:rFonts w:ascii="宋体" w:hAnsi="宋体" w:eastAsia="宋体" w:cs="Arial"/>
          <w:kern w:val="0"/>
          <w:sz w:val="24"/>
          <w:szCs w:val="24"/>
        </w:rPr>
        <w:t xml:space="preserve"> </w:t>
      </w:r>
    </w:p>
    <w:p>
      <w:pPr>
        <w:widowControl/>
        <w:shd w:val="clear" w:color="auto" w:fill="FFFFFF"/>
        <w:snapToGrid w:val="0"/>
        <w:spacing w:line="360" w:lineRule="auto"/>
        <w:ind w:firstLine="480" w:firstLineChars="200"/>
        <w:rPr>
          <w:rFonts w:ascii="宋体" w:hAnsi="Calibri" w:eastAsia="宋体" w:cs="Arial"/>
          <w:kern w:val="0"/>
          <w:sz w:val="24"/>
          <w:szCs w:val="24"/>
        </w:rPr>
      </w:pPr>
      <w:r>
        <w:rPr>
          <w:rFonts w:hint="eastAsia" w:ascii="宋体" w:hAnsi="宋体" w:eastAsia="宋体" w:cs="Arial"/>
          <w:kern w:val="0"/>
          <w:sz w:val="24"/>
          <w:szCs w:val="24"/>
        </w:rPr>
        <w:t>（</w:t>
      </w:r>
      <w:r>
        <w:rPr>
          <w:rFonts w:ascii="宋体" w:hAnsi="宋体" w:eastAsia="宋体" w:cs="Arial"/>
          <w:kern w:val="0"/>
          <w:sz w:val="24"/>
          <w:szCs w:val="24"/>
        </w:rPr>
        <w:t>4</w:t>
      </w:r>
      <w:r>
        <w:rPr>
          <w:rFonts w:hint="eastAsia" w:ascii="宋体" w:hAnsi="宋体" w:eastAsia="宋体" w:cs="Arial"/>
          <w:kern w:val="0"/>
          <w:sz w:val="24"/>
          <w:szCs w:val="24"/>
        </w:rPr>
        <w:t>）由供应商代表检查</w:t>
      </w:r>
      <w:r>
        <w:rPr>
          <w:rFonts w:hint="eastAsia" w:ascii="宋体" w:hAnsi="宋体" w:eastAsia="宋体" w:cs="Arial"/>
          <w:kern w:val="0"/>
          <w:sz w:val="24"/>
          <w:szCs w:val="24"/>
          <w:lang w:eastAsia="zh-CN"/>
        </w:rPr>
        <w:t>磋商响应文件</w:t>
      </w:r>
      <w:r>
        <w:rPr>
          <w:rFonts w:hint="eastAsia" w:ascii="宋体" w:hAnsi="宋体" w:eastAsia="宋体" w:cs="Arial"/>
          <w:kern w:val="0"/>
          <w:sz w:val="24"/>
          <w:szCs w:val="24"/>
        </w:rPr>
        <w:t>的密封情况；</w:t>
      </w:r>
    </w:p>
    <w:p>
      <w:pPr>
        <w:widowControl/>
        <w:shd w:val="clear" w:color="auto" w:fill="FFFFFF"/>
        <w:snapToGrid w:val="0"/>
        <w:spacing w:line="360" w:lineRule="auto"/>
        <w:ind w:firstLine="480" w:firstLineChars="200"/>
        <w:rPr>
          <w:rFonts w:ascii="宋体" w:hAnsi="Calibri" w:eastAsia="宋体" w:cs="Arial"/>
          <w:kern w:val="0"/>
          <w:sz w:val="24"/>
          <w:szCs w:val="24"/>
        </w:rPr>
      </w:pPr>
      <w:r>
        <w:rPr>
          <w:rFonts w:hint="eastAsia" w:ascii="宋体" w:hAnsi="宋体" w:eastAsia="宋体" w:cs="Arial"/>
          <w:kern w:val="0"/>
          <w:sz w:val="24"/>
          <w:szCs w:val="24"/>
        </w:rPr>
        <w:t>（</w:t>
      </w:r>
      <w:r>
        <w:rPr>
          <w:rFonts w:ascii="宋体" w:hAnsi="宋体" w:eastAsia="宋体" w:cs="Arial"/>
          <w:kern w:val="0"/>
          <w:sz w:val="24"/>
          <w:szCs w:val="24"/>
        </w:rPr>
        <w:t>5</w:t>
      </w:r>
      <w:r>
        <w:rPr>
          <w:rFonts w:hint="eastAsia" w:ascii="宋体" w:hAnsi="宋体" w:eastAsia="宋体" w:cs="Arial"/>
          <w:kern w:val="0"/>
          <w:sz w:val="24"/>
          <w:szCs w:val="24"/>
        </w:rPr>
        <w:t>）开标会主持人宣布响应性文件送达时间是否符合竞争性</w:t>
      </w:r>
      <w:r>
        <w:rPr>
          <w:rFonts w:hint="eastAsia" w:ascii="宋体" w:hAnsi="宋体" w:eastAsia="宋体" w:cs="Arial"/>
          <w:kern w:val="0"/>
          <w:sz w:val="24"/>
          <w:szCs w:val="24"/>
          <w:lang w:eastAsia="zh-CN"/>
        </w:rPr>
        <w:t>磋商响应文件</w:t>
      </w:r>
      <w:r>
        <w:rPr>
          <w:rFonts w:hint="eastAsia" w:ascii="宋体" w:hAnsi="宋体" w:eastAsia="宋体" w:cs="Arial"/>
          <w:kern w:val="0"/>
          <w:sz w:val="24"/>
          <w:szCs w:val="24"/>
        </w:rPr>
        <w:t>要求。监督人对响应性文件是否按竞争性</w:t>
      </w:r>
      <w:r>
        <w:rPr>
          <w:rFonts w:hint="eastAsia" w:ascii="宋体" w:hAnsi="宋体" w:eastAsia="宋体" w:cs="Arial"/>
          <w:kern w:val="0"/>
          <w:sz w:val="24"/>
          <w:szCs w:val="24"/>
          <w:lang w:eastAsia="zh-CN"/>
        </w:rPr>
        <w:t>磋商响应文件</w:t>
      </w:r>
      <w:r>
        <w:rPr>
          <w:rFonts w:hint="eastAsia" w:ascii="宋体" w:hAnsi="宋体" w:eastAsia="宋体" w:cs="Arial"/>
          <w:kern w:val="0"/>
          <w:sz w:val="24"/>
          <w:szCs w:val="24"/>
        </w:rPr>
        <w:t>规定密封与标志进行核查。</w:t>
      </w:r>
    </w:p>
    <w:p>
      <w:pPr>
        <w:spacing w:line="480" w:lineRule="exact"/>
        <w:ind w:firstLine="480" w:firstLineChars="200"/>
        <w:rPr>
          <w:rFonts w:ascii="宋体" w:hAnsi="Calibri" w:eastAsia="宋体" w:cs="Arial"/>
          <w:kern w:val="0"/>
          <w:sz w:val="24"/>
          <w:szCs w:val="24"/>
        </w:rPr>
      </w:pPr>
      <w:r>
        <w:rPr>
          <w:rFonts w:hint="eastAsia" w:ascii="宋体" w:hAnsi="宋体" w:eastAsia="宋体" w:cs="Arial"/>
          <w:kern w:val="0"/>
          <w:sz w:val="24"/>
          <w:szCs w:val="24"/>
        </w:rPr>
        <w:t>（</w:t>
      </w:r>
      <w:r>
        <w:rPr>
          <w:rFonts w:ascii="宋体" w:hAnsi="宋体" w:eastAsia="宋体" w:cs="Arial"/>
          <w:kern w:val="0"/>
          <w:sz w:val="24"/>
          <w:szCs w:val="24"/>
        </w:rPr>
        <w:t>6</w:t>
      </w:r>
      <w:r>
        <w:rPr>
          <w:rFonts w:hint="eastAsia" w:ascii="宋体" w:hAnsi="宋体" w:eastAsia="宋体" w:cs="Arial"/>
          <w:kern w:val="0"/>
          <w:sz w:val="24"/>
          <w:szCs w:val="24"/>
        </w:rPr>
        <w:t>）</w:t>
      </w:r>
      <w:r>
        <w:rPr>
          <w:rFonts w:hint="eastAsia" w:ascii="宋体" w:hAnsi="宋体" w:cs="宋体"/>
          <w:bCs/>
          <w:sz w:val="24"/>
          <w:szCs w:val="24"/>
        </w:rPr>
        <w:t>开标会主持人征求供应商有无书面补充材料，但是对供货期、报价等实质性内容更改的无效。</w:t>
      </w:r>
      <w:r>
        <w:rPr>
          <w:rFonts w:hint="eastAsia" w:ascii="宋体" w:hAnsi="宋体" w:eastAsia="宋体" w:cs="Arial"/>
          <w:kern w:val="0"/>
          <w:sz w:val="24"/>
          <w:szCs w:val="24"/>
        </w:rPr>
        <w:t>相关人员在开标记录表上签字；</w:t>
      </w:r>
    </w:p>
    <w:p>
      <w:pPr>
        <w:spacing w:line="480" w:lineRule="exact"/>
        <w:ind w:firstLine="480" w:firstLineChars="200"/>
        <w:rPr>
          <w:rFonts w:ascii="宋体" w:hAnsi="宋体" w:cs="宋体"/>
          <w:bCs/>
          <w:sz w:val="24"/>
          <w:szCs w:val="24"/>
        </w:rPr>
      </w:pPr>
      <w:r>
        <w:rPr>
          <w:rFonts w:hint="eastAsia" w:ascii="宋体" w:hAnsi="宋体" w:eastAsia="宋体" w:cs="Arial"/>
          <w:kern w:val="0"/>
          <w:sz w:val="24"/>
          <w:szCs w:val="24"/>
        </w:rPr>
        <w:t>（</w:t>
      </w:r>
      <w:r>
        <w:rPr>
          <w:rFonts w:ascii="宋体" w:hAnsi="宋体" w:eastAsia="宋体" w:cs="Arial"/>
          <w:kern w:val="0"/>
          <w:sz w:val="24"/>
          <w:szCs w:val="24"/>
        </w:rPr>
        <w:t>7</w:t>
      </w:r>
      <w:r>
        <w:rPr>
          <w:rFonts w:hint="eastAsia" w:ascii="宋体" w:hAnsi="宋体" w:eastAsia="宋体" w:cs="Arial"/>
          <w:kern w:val="0"/>
          <w:sz w:val="24"/>
          <w:szCs w:val="24"/>
        </w:rPr>
        <w:t>）</w:t>
      </w:r>
      <w:r>
        <w:rPr>
          <w:rFonts w:hint="eastAsia" w:ascii="宋体" w:hAnsi="宋体" w:cs="宋体"/>
          <w:b/>
          <w:bCs/>
          <w:sz w:val="24"/>
          <w:szCs w:val="24"/>
        </w:rPr>
        <w:t>唱标人将对供应商的第一轮磋商报价不进行公布，待所有供应商确定最终磋商报价后，同时公布供应商的第一、第二轮磋商报价，如果磋商小组认为有必要可要求供应商进行多轮报价。</w:t>
      </w:r>
      <w:r>
        <w:rPr>
          <w:rFonts w:hint="eastAsia" w:ascii="宋体" w:hAnsi="宋体" w:cs="宋体"/>
          <w:b/>
          <w:bCs/>
          <w:sz w:val="24"/>
          <w:szCs w:val="24"/>
          <w14:textFill>
            <w14:gradFill>
              <w14:gsLst>
                <w14:gs w14:pos="0">
                  <w14:srgbClr w14:val="FE4444"/>
                </w14:gs>
                <w14:gs w14:pos="100000">
                  <w14:srgbClr w14:val="832B2B"/>
                </w14:gs>
              </w14:gsLst>
              <w14:lin w14:ang="0" w14:scaled="0"/>
            </w14:gradFill>
          </w14:textFill>
        </w:rPr>
        <w:t>（注：本项目不以最低价作为中标条件，如若投标人所报价格明显偏低，评审委员会有权要求供应商对其报价进行澄清，如若其价格明显低于成本价或为恶意填报低价的，评审委员会有权否决其投标。）</w:t>
      </w:r>
    </w:p>
    <w:p>
      <w:pPr>
        <w:widowControl/>
        <w:shd w:val="clear" w:color="auto" w:fill="FFFFFF"/>
        <w:snapToGrid w:val="0"/>
        <w:spacing w:line="360" w:lineRule="auto"/>
        <w:ind w:firstLine="480" w:firstLineChars="200"/>
        <w:rPr>
          <w:rFonts w:ascii="宋体" w:hAnsi="Calibri" w:eastAsia="宋体" w:cs="Arial"/>
          <w:kern w:val="0"/>
          <w:sz w:val="24"/>
          <w:szCs w:val="24"/>
        </w:rPr>
      </w:pPr>
      <w:r>
        <w:rPr>
          <w:rFonts w:hint="eastAsia" w:ascii="宋体" w:hAnsi="Calibri" w:eastAsia="宋体" w:cs="Arial"/>
          <w:kern w:val="0"/>
          <w:sz w:val="24"/>
          <w:szCs w:val="24"/>
        </w:rPr>
        <w:t>（8）响应性文件开标完毕，供应商退场。</w:t>
      </w:r>
    </w:p>
    <w:p>
      <w:pPr>
        <w:tabs>
          <w:tab w:val="center" w:pos="4832"/>
          <w:tab w:val="left" w:pos="7140"/>
        </w:tabs>
        <w:spacing w:line="360" w:lineRule="auto"/>
        <w:ind w:firstLine="472" w:firstLineChars="196"/>
        <w:jc w:val="left"/>
        <w:outlineLvl w:val="1"/>
        <w:rPr>
          <w:rFonts w:ascii="宋体" w:hAnsi="Calibri" w:eastAsia="宋体" w:cs="宋体"/>
          <w:b/>
          <w:sz w:val="24"/>
          <w:szCs w:val="24"/>
        </w:rPr>
      </w:pPr>
      <w:bookmarkStart w:id="32" w:name="_BookMark_9"/>
      <w:bookmarkEnd w:id="32"/>
      <w:bookmarkStart w:id="33" w:name="_Toc535592200"/>
      <w:bookmarkStart w:id="34" w:name="_Toc104243914"/>
      <w:r>
        <w:rPr>
          <w:rFonts w:ascii="宋体" w:hAnsi="宋体" w:eastAsia="宋体" w:cs="宋体"/>
          <w:b/>
          <w:sz w:val="24"/>
          <w:szCs w:val="24"/>
        </w:rPr>
        <w:t>6</w:t>
      </w:r>
      <w:r>
        <w:rPr>
          <w:rFonts w:hint="eastAsia" w:ascii="宋体" w:hAnsi="宋体" w:eastAsia="宋体" w:cs="宋体"/>
          <w:b/>
          <w:sz w:val="24"/>
          <w:szCs w:val="24"/>
        </w:rPr>
        <w:t>．</w:t>
      </w:r>
      <w:bookmarkEnd w:id="33"/>
      <w:bookmarkEnd w:id="34"/>
      <w:r>
        <w:rPr>
          <w:rFonts w:hint="eastAsia" w:ascii="宋体" w:hAnsi="宋体" w:eastAsia="宋体" w:cs="宋体"/>
          <w:b/>
          <w:sz w:val="24"/>
          <w:szCs w:val="24"/>
        </w:rPr>
        <w:t>磋商</w:t>
      </w:r>
    </w:p>
    <w:p>
      <w:pPr>
        <w:widowControl/>
        <w:shd w:val="clear" w:color="auto" w:fill="FFFFFF"/>
        <w:snapToGrid w:val="0"/>
        <w:spacing w:line="360" w:lineRule="auto"/>
        <w:ind w:firstLine="480" w:firstLineChars="200"/>
        <w:rPr>
          <w:rFonts w:ascii="宋体" w:hAnsi="Calibri" w:eastAsia="宋体" w:cs="Arial"/>
          <w:kern w:val="0"/>
          <w:sz w:val="24"/>
          <w:szCs w:val="24"/>
        </w:rPr>
      </w:pPr>
      <w:r>
        <w:rPr>
          <w:rFonts w:ascii="宋体" w:hAnsi="宋体" w:eastAsia="宋体" w:cs="Arial"/>
          <w:kern w:val="0"/>
          <w:sz w:val="24"/>
          <w:szCs w:val="24"/>
        </w:rPr>
        <w:t xml:space="preserve">6.1 </w:t>
      </w:r>
      <w:r>
        <w:rPr>
          <w:rFonts w:hint="eastAsia" w:ascii="宋体" w:hAnsi="宋体" w:eastAsia="宋体" w:cs="Arial"/>
          <w:kern w:val="0"/>
          <w:sz w:val="24"/>
          <w:szCs w:val="24"/>
        </w:rPr>
        <w:t>磋商小组</w:t>
      </w:r>
    </w:p>
    <w:p>
      <w:pPr>
        <w:widowControl/>
        <w:shd w:val="clear" w:color="auto" w:fill="FFFFFF"/>
        <w:snapToGrid w:val="0"/>
        <w:spacing w:line="360" w:lineRule="auto"/>
        <w:ind w:firstLine="480" w:firstLineChars="200"/>
        <w:rPr>
          <w:rFonts w:ascii="宋体" w:hAnsi="Calibri" w:eastAsia="宋体" w:cs="Arial"/>
          <w:kern w:val="0"/>
          <w:sz w:val="24"/>
          <w:szCs w:val="24"/>
        </w:rPr>
      </w:pPr>
      <w:r>
        <w:rPr>
          <w:rFonts w:hint="eastAsia" w:ascii="宋体" w:hAnsi="宋体" w:eastAsia="宋体" w:cs="Arial"/>
          <w:kern w:val="0"/>
          <w:sz w:val="24"/>
          <w:szCs w:val="24"/>
        </w:rPr>
        <w:t>磋商由采购人按照《政府采购磋商专家管理办法》财库〔2016〕198号，依法组建的磋商小组负责。磋商小组由采购人熟悉相关业务的代表，以及有关技术、经济等方面的专家组成。</w:t>
      </w:r>
    </w:p>
    <w:p>
      <w:pPr>
        <w:widowControl/>
        <w:shd w:val="clear" w:color="auto" w:fill="FFFFFF"/>
        <w:snapToGrid w:val="0"/>
        <w:spacing w:line="360" w:lineRule="auto"/>
        <w:ind w:firstLine="480" w:firstLineChars="200"/>
        <w:rPr>
          <w:rFonts w:ascii="宋体" w:hAnsi="Calibri" w:eastAsia="宋体" w:cs="Arial"/>
          <w:kern w:val="0"/>
          <w:sz w:val="24"/>
          <w:szCs w:val="24"/>
        </w:rPr>
      </w:pPr>
      <w:r>
        <w:rPr>
          <w:rFonts w:ascii="宋体" w:hAnsi="宋体" w:eastAsia="宋体" w:cs="Arial"/>
          <w:kern w:val="0"/>
          <w:sz w:val="24"/>
          <w:szCs w:val="24"/>
        </w:rPr>
        <w:t xml:space="preserve">6.2 </w:t>
      </w:r>
      <w:r>
        <w:rPr>
          <w:rFonts w:hint="eastAsia" w:ascii="宋体" w:hAnsi="宋体" w:eastAsia="宋体" w:cs="Arial"/>
          <w:kern w:val="0"/>
          <w:sz w:val="24"/>
          <w:szCs w:val="24"/>
        </w:rPr>
        <w:t>磋商原则</w:t>
      </w:r>
      <w:r>
        <w:rPr>
          <w:rFonts w:ascii="宋体" w:hAnsi="宋体" w:eastAsia="宋体" w:cs="Arial"/>
          <w:kern w:val="0"/>
          <w:sz w:val="24"/>
          <w:szCs w:val="24"/>
        </w:rPr>
        <w:t xml:space="preserve"> </w:t>
      </w:r>
    </w:p>
    <w:p>
      <w:pPr>
        <w:widowControl/>
        <w:shd w:val="clear" w:color="auto" w:fill="FFFFFF"/>
        <w:snapToGrid w:val="0"/>
        <w:spacing w:line="360" w:lineRule="auto"/>
        <w:ind w:firstLine="480" w:firstLineChars="200"/>
        <w:rPr>
          <w:rFonts w:ascii="宋体" w:hAnsi="Calibri" w:eastAsia="宋体" w:cs="Arial"/>
          <w:kern w:val="0"/>
          <w:sz w:val="24"/>
          <w:szCs w:val="24"/>
        </w:rPr>
      </w:pPr>
      <w:r>
        <w:rPr>
          <w:rFonts w:hint="eastAsia" w:ascii="宋体" w:hAnsi="宋体" w:eastAsia="宋体" w:cs="Arial"/>
          <w:kern w:val="0"/>
          <w:sz w:val="24"/>
          <w:szCs w:val="24"/>
        </w:rPr>
        <w:t>磋商活动遵循公平、公正、科学和择优的原则。</w:t>
      </w:r>
    </w:p>
    <w:p>
      <w:pPr>
        <w:widowControl/>
        <w:shd w:val="clear" w:color="auto" w:fill="FFFFFF"/>
        <w:snapToGrid w:val="0"/>
        <w:spacing w:line="360" w:lineRule="auto"/>
        <w:ind w:firstLine="480" w:firstLineChars="200"/>
        <w:rPr>
          <w:rFonts w:ascii="宋体" w:hAnsi="宋体" w:eastAsia="宋体" w:cs="Arial"/>
          <w:kern w:val="0"/>
          <w:sz w:val="24"/>
          <w:szCs w:val="24"/>
        </w:rPr>
      </w:pPr>
      <w:r>
        <w:rPr>
          <w:rFonts w:ascii="宋体" w:hAnsi="宋体" w:eastAsia="宋体" w:cs="Arial"/>
          <w:kern w:val="0"/>
          <w:sz w:val="24"/>
          <w:szCs w:val="24"/>
        </w:rPr>
        <w:t xml:space="preserve">6.3 </w:t>
      </w:r>
      <w:r>
        <w:rPr>
          <w:rFonts w:hint="eastAsia" w:ascii="宋体" w:hAnsi="宋体" w:eastAsia="宋体" w:cs="Arial"/>
          <w:kern w:val="0"/>
          <w:sz w:val="24"/>
          <w:szCs w:val="24"/>
        </w:rPr>
        <w:t>磋商</w:t>
      </w:r>
    </w:p>
    <w:p>
      <w:pPr>
        <w:widowControl/>
        <w:shd w:val="clear" w:color="auto" w:fill="FFFFFF"/>
        <w:snapToGrid w:val="0"/>
        <w:spacing w:line="360" w:lineRule="auto"/>
        <w:ind w:firstLine="480" w:firstLineChars="200"/>
        <w:rPr>
          <w:rFonts w:ascii="宋体" w:hAnsi="宋体" w:eastAsia="宋体" w:cs="Arial"/>
          <w:kern w:val="0"/>
          <w:sz w:val="24"/>
          <w:szCs w:val="24"/>
        </w:rPr>
      </w:pPr>
      <w:r>
        <w:rPr>
          <w:rFonts w:hint="eastAsia" w:ascii="宋体" w:hAnsi="宋体" w:eastAsia="宋体" w:cs="Arial"/>
          <w:kern w:val="0"/>
          <w:sz w:val="24"/>
          <w:szCs w:val="24"/>
        </w:rPr>
        <w:t>磋商小组按照</w:t>
      </w:r>
      <w:r>
        <w:rPr>
          <w:rFonts w:hint="eastAsia" w:ascii="宋体" w:hAnsi="宋体" w:eastAsia="宋体" w:cs="Arial"/>
          <w:kern w:val="0"/>
          <w:sz w:val="24"/>
          <w:szCs w:val="24"/>
          <w:lang w:eastAsia="zh-CN"/>
        </w:rPr>
        <w:t>竞争性磋商文件</w:t>
      </w:r>
      <w:r>
        <w:rPr>
          <w:rFonts w:hint="eastAsia" w:ascii="宋体" w:hAnsi="宋体" w:eastAsia="宋体" w:cs="Arial"/>
          <w:kern w:val="0"/>
          <w:sz w:val="24"/>
          <w:szCs w:val="24"/>
        </w:rPr>
        <w:t>中规定的方法、磋商因素、标准和程序对</w:t>
      </w:r>
      <w:r>
        <w:rPr>
          <w:rFonts w:hint="eastAsia" w:ascii="宋体" w:hAnsi="宋体" w:eastAsia="宋体" w:cs="Arial"/>
          <w:kern w:val="0"/>
          <w:sz w:val="24"/>
          <w:szCs w:val="24"/>
          <w:lang w:eastAsia="zh-CN"/>
        </w:rPr>
        <w:t>磋商响应文件</w:t>
      </w:r>
      <w:r>
        <w:rPr>
          <w:rFonts w:hint="eastAsia" w:ascii="宋体" w:hAnsi="宋体" w:eastAsia="宋体" w:cs="Arial"/>
          <w:kern w:val="0"/>
          <w:sz w:val="24"/>
          <w:szCs w:val="24"/>
        </w:rPr>
        <w:t>进行磋商。</w:t>
      </w:r>
    </w:p>
    <w:p>
      <w:pPr>
        <w:tabs>
          <w:tab w:val="center" w:pos="4832"/>
          <w:tab w:val="left" w:pos="7140"/>
        </w:tabs>
        <w:spacing w:line="360" w:lineRule="auto"/>
        <w:ind w:firstLine="472" w:firstLineChars="196"/>
        <w:jc w:val="left"/>
        <w:outlineLvl w:val="1"/>
        <w:rPr>
          <w:rFonts w:ascii="宋体" w:hAnsi="Calibri" w:eastAsia="宋体" w:cs="宋体"/>
          <w:b/>
          <w:sz w:val="24"/>
          <w:szCs w:val="24"/>
        </w:rPr>
      </w:pPr>
      <w:bookmarkStart w:id="35" w:name="_BookMark_10"/>
      <w:bookmarkEnd w:id="35"/>
      <w:bookmarkStart w:id="36" w:name="_Toc104243915"/>
      <w:bookmarkStart w:id="37" w:name="_Toc535592201"/>
      <w:r>
        <w:rPr>
          <w:rFonts w:ascii="宋体" w:hAnsi="宋体" w:eastAsia="宋体" w:cs="宋体"/>
          <w:b/>
          <w:sz w:val="24"/>
          <w:szCs w:val="24"/>
        </w:rPr>
        <w:t>7</w:t>
      </w:r>
      <w:r>
        <w:rPr>
          <w:rFonts w:hint="eastAsia" w:ascii="宋体" w:hAnsi="宋体" w:eastAsia="宋体" w:cs="宋体"/>
          <w:b/>
          <w:sz w:val="24"/>
          <w:szCs w:val="24"/>
        </w:rPr>
        <w:t>．定标及合同授予</w:t>
      </w:r>
      <w:bookmarkEnd w:id="36"/>
      <w:bookmarkEnd w:id="37"/>
    </w:p>
    <w:p>
      <w:pPr>
        <w:widowControl/>
        <w:shd w:val="clear" w:color="auto" w:fill="FFFFFF"/>
        <w:snapToGrid w:val="0"/>
        <w:spacing w:line="360" w:lineRule="auto"/>
        <w:ind w:firstLine="480" w:firstLineChars="200"/>
        <w:rPr>
          <w:rFonts w:ascii="宋体" w:hAnsi="Calibri" w:eastAsia="宋体" w:cs="Arial"/>
          <w:kern w:val="0"/>
          <w:sz w:val="24"/>
          <w:szCs w:val="24"/>
        </w:rPr>
      </w:pPr>
      <w:r>
        <w:rPr>
          <w:rFonts w:ascii="宋体" w:hAnsi="宋体" w:eastAsia="宋体" w:cs="Arial"/>
          <w:kern w:val="0"/>
          <w:sz w:val="24"/>
          <w:szCs w:val="24"/>
        </w:rPr>
        <w:t xml:space="preserve">7.1 </w:t>
      </w:r>
      <w:r>
        <w:rPr>
          <w:rFonts w:hint="eastAsia" w:ascii="宋体" w:hAnsi="宋体" w:eastAsia="宋体" w:cs="Arial"/>
          <w:kern w:val="0"/>
          <w:sz w:val="24"/>
          <w:szCs w:val="24"/>
        </w:rPr>
        <w:t>定标方法</w:t>
      </w:r>
    </w:p>
    <w:p>
      <w:pPr>
        <w:widowControl/>
        <w:shd w:val="clear" w:color="auto" w:fill="FFFFFF"/>
        <w:snapToGrid w:val="0"/>
        <w:spacing w:line="360" w:lineRule="auto"/>
        <w:ind w:firstLine="480" w:firstLineChars="200"/>
        <w:rPr>
          <w:rFonts w:ascii="宋体" w:hAnsi="Calibri" w:eastAsia="宋体" w:cs="Arial"/>
          <w:kern w:val="0"/>
          <w:sz w:val="24"/>
          <w:szCs w:val="24"/>
        </w:rPr>
      </w:pPr>
      <w:r>
        <w:rPr>
          <w:rFonts w:ascii="宋体" w:hAnsi="宋体" w:eastAsia="宋体" w:cs="Arial"/>
          <w:kern w:val="0"/>
          <w:sz w:val="24"/>
          <w:szCs w:val="24"/>
        </w:rPr>
        <w:t xml:space="preserve">7.1.1 </w:t>
      </w:r>
      <w:r>
        <w:rPr>
          <w:rFonts w:hint="eastAsia" w:ascii="宋体" w:hAnsi="宋体" w:eastAsia="宋体" w:cs="Arial"/>
          <w:kern w:val="0"/>
          <w:sz w:val="24"/>
          <w:szCs w:val="24"/>
        </w:rPr>
        <w:t>磋商活动遵循公平、公正、科学和择优的原则。磋商小组按照</w:t>
      </w:r>
      <w:r>
        <w:rPr>
          <w:rFonts w:hint="eastAsia" w:ascii="宋体" w:hAnsi="宋体" w:eastAsia="宋体" w:cs="Arial"/>
          <w:kern w:val="0"/>
          <w:sz w:val="24"/>
          <w:szCs w:val="24"/>
          <w:lang w:eastAsia="zh-CN"/>
        </w:rPr>
        <w:t>竞争性磋商文件</w:t>
      </w:r>
      <w:r>
        <w:rPr>
          <w:rFonts w:hint="eastAsia" w:ascii="宋体" w:hAnsi="宋体" w:eastAsia="宋体" w:cs="Arial"/>
          <w:kern w:val="0"/>
          <w:sz w:val="24"/>
          <w:szCs w:val="24"/>
        </w:rPr>
        <w:t>中规定的方法、磋商因素、标准和程序对</w:t>
      </w:r>
      <w:r>
        <w:rPr>
          <w:rFonts w:hint="eastAsia" w:ascii="宋体" w:hAnsi="宋体" w:eastAsia="宋体" w:cs="Arial"/>
          <w:kern w:val="0"/>
          <w:sz w:val="24"/>
          <w:szCs w:val="24"/>
          <w:lang w:eastAsia="zh-CN"/>
        </w:rPr>
        <w:t>磋商响应文件</w:t>
      </w:r>
      <w:r>
        <w:rPr>
          <w:rFonts w:hint="eastAsia" w:ascii="宋体" w:hAnsi="宋体" w:eastAsia="宋体" w:cs="Arial"/>
          <w:kern w:val="0"/>
          <w:sz w:val="24"/>
          <w:szCs w:val="24"/>
        </w:rPr>
        <w:t>进行磋商，并按供应商须知前附表的规定向采购人推荐中标候选人。采购人依据磋商小组推荐的中标候选人确定中标人。</w:t>
      </w:r>
    </w:p>
    <w:p>
      <w:pPr>
        <w:widowControl/>
        <w:shd w:val="clear" w:color="auto" w:fill="FFFFFF"/>
        <w:snapToGrid w:val="0"/>
        <w:spacing w:line="360" w:lineRule="auto"/>
        <w:ind w:firstLine="480" w:firstLineChars="200"/>
        <w:rPr>
          <w:rFonts w:ascii="宋体" w:hAnsi="Calibri" w:eastAsia="宋体" w:cs="Arial"/>
          <w:kern w:val="0"/>
          <w:sz w:val="24"/>
          <w:szCs w:val="24"/>
        </w:rPr>
      </w:pPr>
      <w:r>
        <w:rPr>
          <w:rFonts w:ascii="宋体" w:hAnsi="宋体" w:eastAsia="宋体" w:cs="Arial"/>
          <w:kern w:val="0"/>
          <w:sz w:val="24"/>
          <w:szCs w:val="24"/>
        </w:rPr>
        <w:t>7.1.</w:t>
      </w:r>
      <w:r>
        <w:rPr>
          <w:rFonts w:hint="eastAsia" w:ascii="宋体" w:hAnsi="宋体" w:eastAsia="宋体" w:cs="Arial"/>
          <w:kern w:val="0"/>
          <w:sz w:val="24"/>
          <w:szCs w:val="24"/>
        </w:rPr>
        <w:t>2</w:t>
      </w:r>
      <w:r>
        <w:rPr>
          <w:rFonts w:ascii="宋体" w:hAnsi="宋体" w:eastAsia="宋体" w:cs="Arial"/>
          <w:kern w:val="0"/>
          <w:sz w:val="24"/>
          <w:szCs w:val="24"/>
        </w:rPr>
        <w:t xml:space="preserve"> </w:t>
      </w:r>
      <w:r>
        <w:rPr>
          <w:rFonts w:hint="eastAsia" w:ascii="宋体" w:hAnsi="宋体" w:eastAsia="宋体" w:cs="Arial"/>
          <w:kern w:val="0"/>
          <w:sz w:val="24"/>
          <w:szCs w:val="24"/>
        </w:rPr>
        <w:t>采购人从中标候选人中确定出中标人的原则：采购人应当确定排名第一的中标候选人为中标人。排名第一的中标候选人放弃中标、因不可抗力不能履行合同，不按照</w:t>
      </w:r>
      <w:r>
        <w:rPr>
          <w:rFonts w:hint="eastAsia" w:ascii="宋体" w:hAnsi="宋体" w:eastAsia="宋体" w:cs="Arial"/>
          <w:kern w:val="0"/>
          <w:sz w:val="24"/>
          <w:szCs w:val="24"/>
          <w:lang w:eastAsia="zh-CN"/>
        </w:rPr>
        <w:t>竞争性磋商文件</w:t>
      </w:r>
      <w:r>
        <w:rPr>
          <w:rFonts w:hint="eastAsia" w:ascii="宋体" w:hAnsi="宋体" w:eastAsia="宋体" w:cs="Arial"/>
          <w:kern w:val="0"/>
          <w:sz w:val="24"/>
          <w:szCs w:val="24"/>
        </w:rPr>
        <w:t>要求提交履约保证金、或者被查实存在影响中标结果的违法行为等情形，不符合中标条件的，采购人可以按照磋商小组提出的中标候选人名单排名依次确定其他中标候选人为中标人。</w:t>
      </w:r>
    </w:p>
    <w:p>
      <w:pPr>
        <w:widowControl/>
        <w:shd w:val="clear" w:color="auto" w:fill="FFFFFF"/>
        <w:snapToGrid w:val="0"/>
        <w:spacing w:line="360" w:lineRule="auto"/>
        <w:ind w:firstLine="480" w:firstLineChars="200"/>
        <w:rPr>
          <w:rFonts w:ascii="宋体" w:hAnsi="Calibri" w:eastAsia="宋体" w:cs="Arial"/>
          <w:kern w:val="0"/>
          <w:sz w:val="24"/>
          <w:szCs w:val="24"/>
        </w:rPr>
      </w:pPr>
      <w:r>
        <w:rPr>
          <w:rFonts w:ascii="宋体" w:hAnsi="宋体" w:eastAsia="宋体" w:cs="Arial"/>
          <w:kern w:val="0"/>
          <w:sz w:val="24"/>
          <w:szCs w:val="24"/>
        </w:rPr>
        <w:t xml:space="preserve">7.2 </w:t>
      </w:r>
      <w:r>
        <w:rPr>
          <w:rFonts w:hint="eastAsia" w:ascii="宋体" w:hAnsi="宋体" w:eastAsia="宋体" w:cs="Arial"/>
          <w:kern w:val="0"/>
          <w:sz w:val="24"/>
          <w:szCs w:val="24"/>
        </w:rPr>
        <w:t>中标候选人公示</w:t>
      </w:r>
    </w:p>
    <w:p>
      <w:pPr>
        <w:widowControl/>
        <w:shd w:val="clear" w:color="auto" w:fill="FFFFFF"/>
        <w:snapToGrid w:val="0"/>
        <w:spacing w:line="360" w:lineRule="auto"/>
        <w:ind w:firstLine="480" w:firstLineChars="200"/>
        <w:rPr>
          <w:rFonts w:ascii="宋体" w:hAnsi="Calibri" w:eastAsia="宋体" w:cs="Arial"/>
          <w:kern w:val="0"/>
          <w:sz w:val="24"/>
          <w:szCs w:val="24"/>
        </w:rPr>
      </w:pPr>
      <w:r>
        <w:rPr>
          <w:rFonts w:hint="eastAsia" w:ascii="宋体" w:hAnsi="宋体" w:eastAsia="宋体" w:cs="Arial"/>
          <w:kern w:val="0"/>
          <w:sz w:val="24"/>
          <w:szCs w:val="24"/>
        </w:rPr>
        <w:t>在中标通知书发出前，中标候选人的情况将在公告发布的媒体上公示，公示期不得少于1个工作日。</w:t>
      </w:r>
    </w:p>
    <w:p>
      <w:pPr>
        <w:widowControl/>
        <w:shd w:val="clear" w:color="auto" w:fill="FFFFFF"/>
        <w:snapToGrid w:val="0"/>
        <w:spacing w:line="360" w:lineRule="auto"/>
        <w:ind w:firstLine="480" w:firstLineChars="200"/>
        <w:rPr>
          <w:rFonts w:ascii="宋体" w:hAnsi="Calibri" w:eastAsia="宋体" w:cs="Arial"/>
          <w:kern w:val="0"/>
          <w:sz w:val="24"/>
          <w:szCs w:val="24"/>
        </w:rPr>
      </w:pPr>
      <w:r>
        <w:rPr>
          <w:rFonts w:ascii="宋体" w:hAnsi="宋体" w:eastAsia="宋体" w:cs="Arial"/>
          <w:kern w:val="0"/>
          <w:sz w:val="24"/>
          <w:szCs w:val="24"/>
        </w:rPr>
        <w:t xml:space="preserve">7.3 </w:t>
      </w:r>
      <w:r>
        <w:rPr>
          <w:rFonts w:hint="eastAsia" w:ascii="宋体" w:hAnsi="宋体" w:eastAsia="宋体" w:cs="Arial"/>
          <w:kern w:val="0"/>
          <w:sz w:val="24"/>
          <w:szCs w:val="24"/>
        </w:rPr>
        <w:t>中标通知</w:t>
      </w:r>
    </w:p>
    <w:p>
      <w:pPr>
        <w:widowControl/>
        <w:shd w:val="clear" w:color="auto" w:fill="FFFFFF"/>
        <w:snapToGrid w:val="0"/>
        <w:spacing w:line="360" w:lineRule="auto"/>
        <w:ind w:firstLine="480" w:firstLineChars="200"/>
        <w:rPr>
          <w:rFonts w:ascii="宋体" w:hAnsi="Calibri" w:eastAsia="宋体" w:cs="Arial"/>
          <w:kern w:val="0"/>
          <w:sz w:val="24"/>
          <w:szCs w:val="24"/>
        </w:rPr>
      </w:pPr>
      <w:r>
        <w:rPr>
          <w:rFonts w:hint="eastAsia" w:ascii="宋体" w:hAnsi="宋体" w:eastAsia="宋体" w:cs="Arial"/>
          <w:kern w:val="0"/>
          <w:sz w:val="24"/>
          <w:szCs w:val="24"/>
        </w:rPr>
        <w:t>公示期满后，采购人以书面形式向中标人发出中标通知书，并及时通知其它供应商中标结果。</w:t>
      </w:r>
    </w:p>
    <w:p>
      <w:pPr>
        <w:widowControl/>
        <w:shd w:val="clear" w:color="auto" w:fill="FFFFFF"/>
        <w:snapToGrid w:val="0"/>
        <w:spacing w:line="360" w:lineRule="auto"/>
        <w:ind w:firstLine="480" w:firstLineChars="200"/>
        <w:rPr>
          <w:rFonts w:ascii="宋体" w:hAnsi="Calibri" w:eastAsia="宋体" w:cs="Arial"/>
          <w:kern w:val="0"/>
          <w:sz w:val="24"/>
          <w:szCs w:val="24"/>
        </w:rPr>
      </w:pPr>
      <w:r>
        <w:rPr>
          <w:rFonts w:ascii="宋体" w:hAnsi="宋体" w:eastAsia="宋体" w:cs="Arial"/>
          <w:kern w:val="0"/>
          <w:sz w:val="24"/>
          <w:szCs w:val="24"/>
        </w:rPr>
        <w:t xml:space="preserve">7.4 </w:t>
      </w:r>
      <w:r>
        <w:rPr>
          <w:rFonts w:hint="eastAsia" w:ascii="宋体" w:hAnsi="宋体" w:eastAsia="宋体" w:cs="Arial"/>
          <w:kern w:val="0"/>
          <w:sz w:val="24"/>
          <w:szCs w:val="24"/>
        </w:rPr>
        <w:t>履约保证金</w:t>
      </w:r>
    </w:p>
    <w:p>
      <w:pPr>
        <w:widowControl/>
        <w:shd w:val="clear" w:color="auto" w:fill="FFFFFF"/>
        <w:snapToGrid w:val="0"/>
        <w:spacing w:line="360" w:lineRule="auto"/>
        <w:ind w:firstLine="480" w:firstLineChars="200"/>
        <w:rPr>
          <w:rFonts w:ascii="宋体" w:hAnsi="Calibri" w:eastAsia="宋体" w:cs="Arial"/>
          <w:kern w:val="0"/>
          <w:sz w:val="24"/>
          <w:szCs w:val="24"/>
        </w:rPr>
      </w:pPr>
      <w:r>
        <w:rPr>
          <w:rFonts w:ascii="宋体" w:hAnsi="宋体" w:eastAsia="宋体" w:cs="Arial"/>
          <w:kern w:val="0"/>
          <w:sz w:val="24"/>
          <w:szCs w:val="24"/>
        </w:rPr>
        <w:t xml:space="preserve">7.4.1 </w:t>
      </w:r>
      <w:r>
        <w:rPr>
          <w:rFonts w:hint="eastAsia" w:ascii="宋体" w:hAnsi="宋体" w:eastAsia="宋体" w:cs="Arial"/>
          <w:kern w:val="0"/>
          <w:sz w:val="24"/>
          <w:szCs w:val="24"/>
        </w:rPr>
        <w:t>在签订合同前，中标人应按供应商须知前附表规定的金额、形式向采购人提交履约保证金。联合体中标的，其履约保证金由牵头人提交，并应符合供应商须知前附表的规定。</w:t>
      </w:r>
    </w:p>
    <w:p>
      <w:pPr>
        <w:widowControl/>
        <w:shd w:val="clear" w:color="auto" w:fill="FFFFFF"/>
        <w:snapToGrid w:val="0"/>
        <w:spacing w:line="360" w:lineRule="auto"/>
        <w:ind w:firstLine="480" w:firstLineChars="200"/>
        <w:rPr>
          <w:rFonts w:ascii="宋体" w:hAnsi="Calibri" w:eastAsia="宋体" w:cs="Arial"/>
          <w:kern w:val="0"/>
          <w:sz w:val="24"/>
          <w:szCs w:val="24"/>
        </w:rPr>
      </w:pPr>
      <w:r>
        <w:rPr>
          <w:rFonts w:ascii="宋体" w:hAnsi="宋体" w:eastAsia="宋体" w:cs="Arial"/>
          <w:kern w:val="0"/>
          <w:sz w:val="24"/>
          <w:szCs w:val="24"/>
        </w:rPr>
        <w:t xml:space="preserve">7.4.2 </w:t>
      </w:r>
      <w:r>
        <w:rPr>
          <w:rFonts w:hint="eastAsia" w:ascii="宋体" w:hAnsi="宋体" w:eastAsia="宋体" w:cs="Arial"/>
          <w:kern w:val="0"/>
          <w:sz w:val="24"/>
          <w:szCs w:val="24"/>
        </w:rPr>
        <w:t>中标人不能按本章第</w:t>
      </w:r>
      <w:r>
        <w:rPr>
          <w:rFonts w:ascii="宋体" w:hAnsi="宋体" w:eastAsia="宋体" w:cs="Arial"/>
          <w:kern w:val="0"/>
          <w:sz w:val="24"/>
          <w:szCs w:val="24"/>
        </w:rPr>
        <w:t>7.4.1</w:t>
      </w:r>
      <w:r>
        <w:rPr>
          <w:rFonts w:hint="eastAsia" w:ascii="宋体" w:hAnsi="宋体" w:eastAsia="宋体" w:cs="Arial"/>
          <w:kern w:val="0"/>
          <w:sz w:val="24"/>
          <w:szCs w:val="24"/>
        </w:rPr>
        <w:t>款要求提交履约保证金的，视为放弃中标，其投标保证金不予退还；给采购人造成的损失超过投标保证金数额的，中标人还应当对超过部分予以赔偿。</w:t>
      </w:r>
    </w:p>
    <w:p>
      <w:pPr>
        <w:widowControl/>
        <w:shd w:val="clear" w:color="auto" w:fill="FFFFFF"/>
        <w:snapToGrid w:val="0"/>
        <w:spacing w:line="360" w:lineRule="auto"/>
        <w:ind w:firstLine="480" w:firstLineChars="200"/>
        <w:rPr>
          <w:rFonts w:ascii="宋体" w:hAnsi="Calibri" w:eastAsia="宋体" w:cs="Arial"/>
          <w:kern w:val="0"/>
          <w:sz w:val="24"/>
          <w:szCs w:val="24"/>
        </w:rPr>
      </w:pPr>
      <w:r>
        <w:rPr>
          <w:rFonts w:ascii="宋体" w:hAnsi="宋体" w:eastAsia="宋体" w:cs="Arial"/>
          <w:kern w:val="0"/>
          <w:sz w:val="24"/>
          <w:szCs w:val="24"/>
        </w:rPr>
        <w:t xml:space="preserve">7.5 </w:t>
      </w:r>
      <w:r>
        <w:rPr>
          <w:rFonts w:hint="eastAsia" w:ascii="宋体" w:hAnsi="宋体" w:eastAsia="宋体" w:cs="Arial"/>
          <w:kern w:val="0"/>
          <w:sz w:val="24"/>
          <w:szCs w:val="24"/>
        </w:rPr>
        <w:t>签订合同</w:t>
      </w:r>
    </w:p>
    <w:p>
      <w:pPr>
        <w:widowControl/>
        <w:shd w:val="clear" w:color="auto" w:fill="FFFFFF"/>
        <w:snapToGrid w:val="0"/>
        <w:spacing w:line="360" w:lineRule="auto"/>
        <w:ind w:firstLine="480" w:firstLineChars="200"/>
        <w:rPr>
          <w:rFonts w:ascii="宋体" w:hAnsi="Calibri" w:eastAsia="宋体" w:cs="Arial"/>
          <w:kern w:val="0"/>
          <w:sz w:val="24"/>
          <w:szCs w:val="24"/>
        </w:rPr>
      </w:pPr>
      <w:r>
        <w:rPr>
          <w:rFonts w:ascii="宋体" w:hAnsi="宋体" w:eastAsia="宋体" w:cs="Arial"/>
          <w:kern w:val="0"/>
          <w:sz w:val="24"/>
          <w:szCs w:val="24"/>
        </w:rPr>
        <w:t>7.5.1</w:t>
      </w:r>
      <w:r>
        <w:rPr>
          <w:rFonts w:hint="eastAsia" w:ascii="宋体" w:hAnsi="Calibri" w:eastAsia="宋体" w:cs="Arial"/>
          <w:kern w:val="0"/>
          <w:sz w:val="24"/>
          <w:szCs w:val="24"/>
        </w:rPr>
        <w:t>采购人应当自中标通知书发出之日起30日内，按照</w:t>
      </w:r>
      <w:r>
        <w:rPr>
          <w:rFonts w:hint="eastAsia" w:ascii="宋体" w:hAnsi="Calibri" w:eastAsia="宋体" w:cs="Arial"/>
          <w:kern w:val="0"/>
          <w:sz w:val="24"/>
          <w:szCs w:val="24"/>
          <w:lang w:eastAsia="zh-CN"/>
        </w:rPr>
        <w:t>竞争性磋商文件</w:t>
      </w:r>
      <w:r>
        <w:rPr>
          <w:rFonts w:hint="eastAsia" w:ascii="宋体" w:hAnsi="Calibri" w:eastAsia="宋体" w:cs="Arial"/>
          <w:kern w:val="0"/>
          <w:sz w:val="24"/>
          <w:szCs w:val="24"/>
        </w:rPr>
        <w:t>和中标人</w:t>
      </w:r>
      <w:r>
        <w:rPr>
          <w:rFonts w:hint="eastAsia" w:ascii="宋体" w:hAnsi="Calibri" w:eastAsia="宋体" w:cs="Arial"/>
          <w:kern w:val="0"/>
          <w:sz w:val="24"/>
          <w:szCs w:val="24"/>
          <w:lang w:eastAsia="zh-CN"/>
        </w:rPr>
        <w:t>磋商响应文件</w:t>
      </w:r>
      <w:r>
        <w:rPr>
          <w:rFonts w:hint="eastAsia" w:ascii="宋体" w:hAnsi="Calibri" w:eastAsia="宋体" w:cs="Arial"/>
          <w:kern w:val="0"/>
          <w:sz w:val="24"/>
          <w:szCs w:val="24"/>
        </w:rPr>
        <w:t>的规定，与中标人签订书面合同。所签订的合同不得对</w:t>
      </w:r>
      <w:r>
        <w:rPr>
          <w:rFonts w:hint="eastAsia" w:ascii="宋体" w:hAnsi="Calibri" w:eastAsia="宋体" w:cs="Arial"/>
          <w:kern w:val="0"/>
          <w:sz w:val="24"/>
          <w:szCs w:val="24"/>
          <w:lang w:eastAsia="zh-CN"/>
        </w:rPr>
        <w:t>竞争性磋商文件</w:t>
      </w:r>
      <w:r>
        <w:rPr>
          <w:rFonts w:hint="eastAsia" w:ascii="宋体" w:hAnsi="Calibri" w:eastAsia="宋体" w:cs="Arial"/>
          <w:kern w:val="0"/>
          <w:sz w:val="24"/>
          <w:szCs w:val="24"/>
        </w:rPr>
        <w:t>确定的事项和中标人</w:t>
      </w:r>
      <w:r>
        <w:rPr>
          <w:rFonts w:hint="eastAsia" w:ascii="宋体" w:hAnsi="Calibri" w:eastAsia="宋体" w:cs="Arial"/>
          <w:kern w:val="0"/>
          <w:sz w:val="24"/>
          <w:szCs w:val="24"/>
          <w:lang w:eastAsia="zh-CN"/>
        </w:rPr>
        <w:t>磋商响应文件</w:t>
      </w:r>
      <w:r>
        <w:rPr>
          <w:rFonts w:hint="eastAsia" w:ascii="宋体" w:hAnsi="Calibri" w:eastAsia="宋体" w:cs="Arial"/>
          <w:kern w:val="0"/>
          <w:sz w:val="24"/>
          <w:szCs w:val="24"/>
        </w:rPr>
        <w:t>作实质性修改。采购人不得向中标人提出任何不合理的要求作为签订合同的条件。</w:t>
      </w:r>
    </w:p>
    <w:p>
      <w:pPr>
        <w:widowControl/>
        <w:shd w:val="clear" w:color="auto" w:fill="FFFFFF"/>
        <w:snapToGrid w:val="0"/>
        <w:spacing w:line="360" w:lineRule="auto"/>
        <w:ind w:firstLine="480" w:firstLineChars="200"/>
        <w:rPr>
          <w:rFonts w:ascii="宋体" w:hAnsi="宋体" w:eastAsia="宋体" w:cs="Arial"/>
          <w:kern w:val="0"/>
          <w:sz w:val="24"/>
          <w:szCs w:val="24"/>
        </w:rPr>
      </w:pPr>
      <w:r>
        <w:rPr>
          <w:rFonts w:hint="eastAsia" w:ascii="宋体" w:hAnsi="宋体" w:eastAsia="宋体" w:cs="Arial"/>
          <w:kern w:val="0"/>
          <w:sz w:val="24"/>
          <w:szCs w:val="24"/>
        </w:rPr>
        <w:t>7.5.2发出中标通知书后，采购人无正当理由拒签合同的，给中标人造成损失的，还应当赔偿中标人损失。</w:t>
      </w:r>
    </w:p>
    <w:p>
      <w:pPr>
        <w:widowControl/>
        <w:shd w:val="clear" w:color="auto" w:fill="FFFFFF"/>
        <w:snapToGrid w:val="0"/>
        <w:spacing w:line="360" w:lineRule="auto"/>
        <w:ind w:firstLine="480" w:firstLineChars="200"/>
        <w:rPr>
          <w:rFonts w:ascii="宋体" w:hAnsi="Calibri" w:eastAsia="宋体" w:cs="Arial"/>
          <w:kern w:val="0"/>
          <w:sz w:val="24"/>
          <w:szCs w:val="24"/>
        </w:rPr>
      </w:pPr>
      <w:r>
        <w:rPr>
          <w:rFonts w:ascii="宋体" w:hAnsi="Calibri" w:eastAsia="宋体" w:cs="Arial"/>
          <w:kern w:val="0"/>
          <w:sz w:val="24"/>
          <w:szCs w:val="24"/>
        </w:rPr>
        <w:t>7.5.</w:t>
      </w:r>
      <w:r>
        <w:rPr>
          <w:rFonts w:hint="eastAsia" w:ascii="宋体" w:hAnsi="Calibri" w:eastAsia="宋体" w:cs="Arial"/>
          <w:kern w:val="0"/>
          <w:sz w:val="24"/>
          <w:szCs w:val="24"/>
        </w:rPr>
        <w:t>3发出中标通知书后，中标人无正当理由拒签合同的，采购人取消其中标资格，其投标保证金不予退还；给采购人造成的损失超过投标保证金数额的，中标人还应当对超过部分予以赔偿。</w:t>
      </w:r>
    </w:p>
    <w:p>
      <w:pPr>
        <w:tabs>
          <w:tab w:val="center" w:pos="4832"/>
          <w:tab w:val="left" w:pos="7140"/>
        </w:tabs>
        <w:spacing w:line="360" w:lineRule="auto"/>
        <w:ind w:firstLine="472" w:firstLineChars="196"/>
        <w:jc w:val="left"/>
        <w:outlineLvl w:val="1"/>
        <w:rPr>
          <w:rFonts w:ascii="宋体" w:hAnsi="Calibri" w:eastAsia="宋体" w:cs="宋体"/>
          <w:b/>
          <w:sz w:val="24"/>
          <w:szCs w:val="24"/>
        </w:rPr>
      </w:pPr>
      <w:bookmarkStart w:id="38" w:name="_BookMark_11"/>
      <w:bookmarkEnd w:id="38"/>
      <w:bookmarkStart w:id="39" w:name="_Toc535592202"/>
      <w:bookmarkStart w:id="40" w:name="_Toc104243916"/>
      <w:r>
        <w:rPr>
          <w:rFonts w:ascii="宋体" w:hAnsi="宋体" w:eastAsia="宋体" w:cs="宋体"/>
          <w:b/>
          <w:sz w:val="24"/>
          <w:szCs w:val="24"/>
        </w:rPr>
        <w:t>8</w:t>
      </w:r>
      <w:r>
        <w:rPr>
          <w:rFonts w:hint="eastAsia" w:ascii="宋体" w:hAnsi="宋体" w:eastAsia="宋体" w:cs="宋体"/>
          <w:b/>
          <w:sz w:val="24"/>
          <w:szCs w:val="24"/>
        </w:rPr>
        <w:t>．纪律和监督</w:t>
      </w:r>
      <w:bookmarkEnd w:id="39"/>
      <w:bookmarkEnd w:id="40"/>
    </w:p>
    <w:p>
      <w:pPr>
        <w:widowControl/>
        <w:shd w:val="clear" w:color="auto" w:fill="FFFFFF"/>
        <w:snapToGrid w:val="0"/>
        <w:spacing w:line="360" w:lineRule="auto"/>
        <w:ind w:firstLine="480" w:firstLineChars="200"/>
        <w:rPr>
          <w:rFonts w:ascii="宋体" w:hAnsi="Calibri" w:eastAsia="宋体" w:cs="Arial"/>
          <w:kern w:val="0"/>
          <w:sz w:val="24"/>
          <w:szCs w:val="24"/>
        </w:rPr>
      </w:pPr>
      <w:r>
        <w:rPr>
          <w:rFonts w:ascii="宋体" w:hAnsi="宋体" w:eastAsia="宋体" w:cs="Arial"/>
          <w:kern w:val="0"/>
          <w:sz w:val="24"/>
          <w:szCs w:val="24"/>
        </w:rPr>
        <w:t xml:space="preserve">8.1 </w:t>
      </w:r>
      <w:r>
        <w:rPr>
          <w:rFonts w:hint="eastAsia" w:ascii="宋体" w:hAnsi="宋体" w:eastAsia="宋体" w:cs="Arial"/>
          <w:kern w:val="0"/>
          <w:sz w:val="24"/>
          <w:szCs w:val="24"/>
        </w:rPr>
        <w:t>对采购人的纪律要求</w:t>
      </w:r>
    </w:p>
    <w:p>
      <w:pPr>
        <w:widowControl/>
        <w:shd w:val="clear" w:color="auto" w:fill="FFFFFF"/>
        <w:snapToGrid w:val="0"/>
        <w:spacing w:line="360" w:lineRule="auto"/>
        <w:ind w:firstLine="480" w:firstLineChars="200"/>
        <w:rPr>
          <w:rFonts w:ascii="宋体" w:hAnsi="Calibri" w:eastAsia="宋体" w:cs="Arial"/>
          <w:kern w:val="0"/>
          <w:sz w:val="24"/>
          <w:szCs w:val="24"/>
        </w:rPr>
      </w:pPr>
      <w:r>
        <w:rPr>
          <w:rFonts w:hint="eastAsia" w:ascii="宋体" w:hAnsi="宋体" w:eastAsia="宋体" w:cs="Arial"/>
          <w:kern w:val="0"/>
          <w:sz w:val="24"/>
          <w:szCs w:val="24"/>
        </w:rPr>
        <w:t>采购人不得泄漏招标投标活动中应当保密的情况和资料，不得与供应商串通损害国家利益、社会公共利益或者他人合法权益。</w:t>
      </w:r>
    </w:p>
    <w:p>
      <w:pPr>
        <w:widowControl/>
        <w:shd w:val="clear" w:color="auto" w:fill="FFFFFF"/>
        <w:snapToGrid w:val="0"/>
        <w:spacing w:line="360" w:lineRule="auto"/>
        <w:ind w:firstLine="480" w:firstLineChars="200"/>
        <w:rPr>
          <w:rFonts w:ascii="宋体" w:hAnsi="Calibri" w:eastAsia="宋体" w:cs="Arial"/>
          <w:kern w:val="0"/>
          <w:sz w:val="24"/>
          <w:szCs w:val="24"/>
        </w:rPr>
      </w:pPr>
      <w:r>
        <w:rPr>
          <w:rFonts w:ascii="宋体" w:hAnsi="宋体" w:eastAsia="宋体" w:cs="Arial"/>
          <w:kern w:val="0"/>
          <w:sz w:val="24"/>
          <w:szCs w:val="24"/>
        </w:rPr>
        <w:t xml:space="preserve">8.2 </w:t>
      </w:r>
      <w:r>
        <w:rPr>
          <w:rFonts w:hint="eastAsia" w:ascii="宋体" w:hAnsi="宋体" w:eastAsia="宋体" w:cs="Arial"/>
          <w:kern w:val="0"/>
          <w:sz w:val="24"/>
          <w:szCs w:val="24"/>
        </w:rPr>
        <w:t>对供应商的纪律要求</w:t>
      </w:r>
    </w:p>
    <w:p>
      <w:pPr>
        <w:widowControl/>
        <w:shd w:val="clear" w:color="auto" w:fill="FFFFFF"/>
        <w:snapToGrid w:val="0"/>
        <w:spacing w:line="360" w:lineRule="auto"/>
        <w:ind w:firstLine="480" w:firstLineChars="200"/>
        <w:rPr>
          <w:rFonts w:ascii="宋体" w:hAnsi="Calibri" w:eastAsia="宋体" w:cs="Arial"/>
          <w:kern w:val="0"/>
          <w:sz w:val="24"/>
          <w:szCs w:val="24"/>
        </w:rPr>
      </w:pPr>
      <w:r>
        <w:rPr>
          <w:rFonts w:hint="eastAsia" w:ascii="宋体" w:hAnsi="宋体" w:eastAsia="宋体" w:cs="Arial"/>
          <w:kern w:val="0"/>
          <w:sz w:val="24"/>
          <w:szCs w:val="24"/>
        </w:rPr>
        <w:t>供应商不得相互串通投标或者与采购人串通投标，不得向采购人或者磋商小组成员行贿谋取中标，不得以他人名义投标或者以其他方式弄虚作假骗取中标；供应商不得以任何方式干扰、影响磋商工作。</w:t>
      </w:r>
    </w:p>
    <w:p>
      <w:pPr>
        <w:widowControl/>
        <w:shd w:val="clear" w:color="auto" w:fill="FFFFFF"/>
        <w:snapToGrid w:val="0"/>
        <w:spacing w:line="360" w:lineRule="auto"/>
        <w:ind w:firstLine="480" w:firstLineChars="200"/>
        <w:rPr>
          <w:rFonts w:ascii="宋体" w:hAnsi="Calibri" w:eastAsia="宋体" w:cs="Arial"/>
          <w:kern w:val="0"/>
          <w:sz w:val="24"/>
          <w:szCs w:val="24"/>
        </w:rPr>
      </w:pPr>
      <w:r>
        <w:rPr>
          <w:rFonts w:ascii="宋体" w:hAnsi="宋体" w:eastAsia="宋体" w:cs="Arial"/>
          <w:kern w:val="0"/>
          <w:sz w:val="24"/>
          <w:szCs w:val="24"/>
        </w:rPr>
        <w:t xml:space="preserve">8.3 </w:t>
      </w:r>
      <w:r>
        <w:rPr>
          <w:rFonts w:hint="eastAsia" w:ascii="宋体" w:hAnsi="宋体" w:eastAsia="宋体" w:cs="Arial"/>
          <w:kern w:val="0"/>
          <w:sz w:val="24"/>
          <w:szCs w:val="24"/>
        </w:rPr>
        <w:t>对磋商小组成员的纪律要求</w:t>
      </w:r>
    </w:p>
    <w:p>
      <w:pPr>
        <w:widowControl/>
        <w:shd w:val="clear" w:color="auto" w:fill="FFFFFF"/>
        <w:snapToGrid w:val="0"/>
        <w:spacing w:line="360" w:lineRule="auto"/>
        <w:ind w:firstLine="480" w:firstLineChars="200"/>
        <w:rPr>
          <w:rFonts w:ascii="宋体" w:hAnsi="Calibri" w:eastAsia="宋体" w:cs="Arial"/>
          <w:kern w:val="0"/>
          <w:sz w:val="24"/>
          <w:szCs w:val="24"/>
        </w:rPr>
      </w:pPr>
      <w:r>
        <w:rPr>
          <w:rFonts w:hint="eastAsia" w:ascii="宋体" w:hAnsi="宋体" w:eastAsia="宋体" w:cs="Arial"/>
          <w:kern w:val="0"/>
          <w:sz w:val="24"/>
          <w:szCs w:val="24"/>
        </w:rPr>
        <w:t>磋商小组成员不得收受他人的财物或者其他好处，不得向他人透漏对</w:t>
      </w:r>
      <w:r>
        <w:rPr>
          <w:rFonts w:hint="eastAsia" w:ascii="宋体" w:hAnsi="宋体" w:eastAsia="宋体" w:cs="Arial"/>
          <w:kern w:val="0"/>
          <w:sz w:val="24"/>
          <w:szCs w:val="24"/>
          <w:lang w:eastAsia="zh-CN"/>
        </w:rPr>
        <w:t>磋商响应文件</w:t>
      </w:r>
      <w:r>
        <w:rPr>
          <w:rFonts w:hint="eastAsia" w:ascii="宋体" w:hAnsi="宋体" w:eastAsia="宋体" w:cs="Arial"/>
          <w:kern w:val="0"/>
          <w:sz w:val="24"/>
          <w:szCs w:val="24"/>
        </w:rPr>
        <w:t>的磋商和比较、中标候选人的推荐情况以及磋商有关的其他情况。在磋商活动中，磋商小组成员不得擅离职守，影响磋商程序正常进行，不得使用磋商办法没有规定的磋商因素和标准进行磋商。</w:t>
      </w:r>
    </w:p>
    <w:p>
      <w:pPr>
        <w:widowControl/>
        <w:shd w:val="clear" w:color="auto" w:fill="FFFFFF"/>
        <w:snapToGrid w:val="0"/>
        <w:spacing w:line="360" w:lineRule="auto"/>
        <w:ind w:firstLine="480" w:firstLineChars="200"/>
        <w:rPr>
          <w:rFonts w:ascii="宋体" w:hAnsi="Calibri" w:eastAsia="宋体" w:cs="Arial"/>
          <w:kern w:val="0"/>
          <w:sz w:val="24"/>
          <w:szCs w:val="24"/>
        </w:rPr>
      </w:pPr>
      <w:r>
        <w:rPr>
          <w:rFonts w:ascii="宋体" w:hAnsi="宋体" w:eastAsia="宋体" w:cs="Arial"/>
          <w:kern w:val="0"/>
          <w:sz w:val="24"/>
          <w:szCs w:val="24"/>
        </w:rPr>
        <w:t xml:space="preserve">8.4 </w:t>
      </w:r>
      <w:r>
        <w:rPr>
          <w:rFonts w:hint="eastAsia" w:ascii="宋体" w:hAnsi="宋体" w:eastAsia="宋体" w:cs="Arial"/>
          <w:kern w:val="0"/>
          <w:sz w:val="24"/>
          <w:szCs w:val="24"/>
        </w:rPr>
        <w:t>对与磋商活动有关的工作人员的纪律要求</w:t>
      </w:r>
    </w:p>
    <w:p>
      <w:pPr>
        <w:widowControl/>
        <w:shd w:val="clear" w:color="auto" w:fill="FFFFFF"/>
        <w:snapToGrid w:val="0"/>
        <w:spacing w:line="360" w:lineRule="auto"/>
        <w:ind w:firstLine="480" w:firstLineChars="200"/>
        <w:rPr>
          <w:rFonts w:ascii="宋体" w:hAnsi="Calibri" w:eastAsia="宋体" w:cs="Arial"/>
          <w:kern w:val="0"/>
          <w:sz w:val="24"/>
          <w:szCs w:val="24"/>
        </w:rPr>
      </w:pPr>
      <w:r>
        <w:rPr>
          <w:rFonts w:hint="eastAsia" w:ascii="宋体" w:hAnsi="宋体" w:eastAsia="宋体" w:cs="Arial"/>
          <w:kern w:val="0"/>
          <w:sz w:val="24"/>
          <w:szCs w:val="24"/>
        </w:rPr>
        <w:t>与磋商活动有关的工作人员不得收受他人的财物或者其他好处，不得向他人透漏对</w:t>
      </w:r>
      <w:r>
        <w:rPr>
          <w:rFonts w:hint="eastAsia" w:ascii="宋体" w:hAnsi="宋体" w:eastAsia="宋体" w:cs="Arial"/>
          <w:kern w:val="0"/>
          <w:sz w:val="24"/>
          <w:szCs w:val="24"/>
          <w:lang w:eastAsia="zh-CN"/>
        </w:rPr>
        <w:t>磋商响应文件</w:t>
      </w:r>
      <w:r>
        <w:rPr>
          <w:rFonts w:hint="eastAsia" w:ascii="宋体" w:hAnsi="宋体" w:eastAsia="宋体" w:cs="Arial"/>
          <w:kern w:val="0"/>
          <w:sz w:val="24"/>
          <w:szCs w:val="24"/>
        </w:rPr>
        <w:t>的磋商和比较、中标候选人的推荐情况以及磋商有关的其他情况。在磋商活动中，与磋商活动有关的工作人员不得擅离职守，影响磋商程序正常进行。</w:t>
      </w:r>
    </w:p>
    <w:p>
      <w:pPr>
        <w:widowControl/>
        <w:shd w:val="clear" w:color="auto" w:fill="FFFFFF"/>
        <w:snapToGrid w:val="0"/>
        <w:spacing w:line="360" w:lineRule="auto"/>
        <w:ind w:firstLine="480" w:firstLineChars="200"/>
        <w:rPr>
          <w:rFonts w:ascii="宋体" w:hAnsi="宋体" w:eastAsia="宋体" w:cs="Arial"/>
          <w:kern w:val="0"/>
          <w:sz w:val="24"/>
          <w:szCs w:val="24"/>
        </w:rPr>
      </w:pPr>
      <w:r>
        <w:rPr>
          <w:rFonts w:ascii="宋体" w:hAnsi="宋体" w:eastAsia="宋体" w:cs="Arial"/>
          <w:kern w:val="0"/>
          <w:sz w:val="24"/>
          <w:szCs w:val="24"/>
        </w:rPr>
        <w:t xml:space="preserve">8.5 </w:t>
      </w:r>
      <w:r>
        <w:rPr>
          <w:rFonts w:hint="eastAsia" w:ascii="宋体" w:hAnsi="宋体" w:eastAsia="宋体" w:cs="Arial"/>
          <w:kern w:val="0"/>
          <w:sz w:val="24"/>
          <w:szCs w:val="24"/>
        </w:rPr>
        <w:t>监督</w:t>
      </w:r>
    </w:p>
    <w:p>
      <w:pPr>
        <w:widowControl/>
        <w:shd w:val="clear" w:color="auto" w:fill="FFFFFF"/>
        <w:snapToGrid w:val="0"/>
        <w:spacing w:line="360" w:lineRule="auto"/>
        <w:ind w:firstLine="480" w:firstLineChars="200"/>
        <w:rPr>
          <w:rFonts w:ascii="宋体" w:hAnsi="Calibri" w:eastAsia="宋体" w:cs="Arial"/>
          <w:bCs/>
          <w:kern w:val="0"/>
          <w:sz w:val="24"/>
          <w:szCs w:val="24"/>
        </w:rPr>
      </w:pPr>
      <w:r>
        <w:rPr>
          <w:rFonts w:hint="eastAsia" w:ascii="宋体" w:hAnsi="宋体" w:eastAsia="宋体" w:cs="Arial"/>
          <w:kern w:val="0"/>
          <w:sz w:val="24"/>
          <w:szCs w:val="24"/>
        </w:rPr>
        <w:t>本项目的招标投标活动及其相关当事人应当接受有管辖权的监督部门依法实施的监督。</w:t>
      </w:r>
      <w:r>
        <w:rPr>
          <w:rFonts w:ascii="宋体" w:hAnsi="Calibri" w:eastAsia="宋体" w:cs="Arial"/>
          <w:bCs/>
          <w:kern w:val="0"/>
          <w:sz w:val="24"/>
          <w:szCs w:val="24"/>
        </w:rPr>
        <w:br w:type="page"/>
      </w:r>
    </w:p>
    <w:p>
      <w:pPr>
        <w:widowControl/>
        <w:shd w:val="clear" w:color="auto" w:fill="FFFFFF"/>
        <w:snapToGrid w:val="0"/>
        <w:spacing w:line="360" w:lineRule="auto"/>
        <w:jc w:val="center"/>
        <w:outlineLvl w:val="0"/>
        <w:rPr>
          <w:rFonts w:ascii="宋体" w:hAnsi="宋体" w:eastAsia="宋体" w:cs="宋体"/>
          <w:b/>
          <w:sz w:val="24"/>
          <w:szCs w:val="24"/>
        </w:rPr>
      </w:pPr>
      <w:bookmarkStart w:id="41" w:name="_Toc104243917"/>
      <w:r>
        <w:rPr>
          <w:rFonts w:hint="eastAsia" w:ascii="宋体" w:hAnsi="宋体" w:eastAsia="宋体" w:cs="宋体"/>
          <w:b/>
          <w:sz w:val="24"/>
          <w:szCs w:val="24"/>
        </w:rPr>
        <w:t>第二章 磋商办法</w:t>
      </w:r>
      <w:bookmarkEnd w:id="41"/>
    </w:p>
    <w:p>
      <w:pPr>
        <w:tabs>
          <w:tab w:val="center" w:pos="4832"/>
          <w:tab w:val="left" w:pos="7140"/>
        </w:tabs>
        <w:spacing w:line="360" w:lineRule="auto"/>
        <w:jc w:val="center"/>
        <w:outlineLvl w:val="2"/>
        <w:rPr>
          <w:rFonts w:ascii="宋体" w:hAnsi="宋体" w:eastAsia="宋体" w:cs="宋体"/>
          <w:b/>
          <w:sz w:val="24"/>
          <w:szCs w:val="24"/>
        </w:rPr>
      </w:pPr>
      <w:bookmarkStart w:id="42" w:name="_BookMark_1"/>
      <w:bookmarkEnd w:id="42"/>
      <w:bookmarkStart w:id="43" w:name="_Toc104243918"/>
      <w:bookmarkStart w:id="44" w:name="_Toc58342531"/>
      <w:bookmarkStart w:id="45" w:name="_Toc501719166"/>
      <w:r>
        <w:rPr>
          <w:rFonts w:hint="eastAsia" w:ascii="宋体" w:hAnsi="宋体" w:eastAsia="宋体" w:cs="宋体"/>
          <w:b/>
          <w:sz w:val="24"/>
          <w:szCs w:val="24"/>
        </w:rPr>
        <w:t>评审办法前附表</w:t>
      </w:r>
      <w:bookmarkEnd w:id="43"/>
      <w:bookmarkEnd w:id="44"/>
    </w:p>
    <w:tbl>
      <w:tblPr>
        <w:tblStyle w:val="38"/>
        <w:tblW w:w="91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12"/>
        <w:gridCol w:w="2783"/>
        <w:gridCol w:w="57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25" w:hRule="atLeast"/>
          <w:jc w:val="center"/>
        </w:trPr>
        <w:tc>
          <w:tcPr>
            <w:tcW w:w="612" w:type="dxa"/>
            <w:shd w:val="clear" w:color="auto" w:fill="auto"/>
            <w:tcMar>
              <w:top w:w="0" w:type="dxa"/>
              <w:left w:w="28" w:type="dxa"/>
              <w:bottom w:w="0" w:type="dxa"/>
              <w:right w:w="28" w:type="dxa"/>
            </w:tcMar>
            <w:vAlign w:val="center"/>
          </w:tcPr>
          <w:p>
            <w:pPr>
              <w:jc w:val="center"/>
              <w:rPr>
                <w:rFonts w:asciiTheme="minorEastAsia" w:hAnsiTheme="minorEastAsia"/>
                <w:sz w:val="24"/>
              </w:rPr>
            </w:pPr>
            <w:r>
              <w:rPr>
                <w:rFonts w:hint="eastAsia" w:asciiTheme="minorEastAsia" w:hAnsiTheme="minorEastAsia"/>
                <w:sz w:val="24"/>
              </w:rPr>
              <w:t>序号</w:t>
            </w:r>
          </w:p>
        </w:tc>
        <w:tc>
          <w:tcPr>
            <w:tcW w:w="2783" w:type="dxa"/>
            <w:shd w:val="clear" w:color="auto" w:fill="auto"/>
            <w:tcMar>
              <w:top w:w="0" w:type="dxa"/>
              <w:left w:w="28" w:type="dxa"/>
              <w:bottom w:w="0" w:type="dxa"/>
              <w:right w:w="28" w:type="dxa"/>
            </w:tcMar>
            <w:vAlign w:val="center"/>
          </w:tcPr>
          <w:p>
            <w:pPr>
              <w:jc w:val="center"/>
              <w:rPr>
                <w:rFonts w:asciiTheme="minorEastAsia" w:hAnsiTheme="minorEastAsia"/>
                <w:sz w:val="24"/>
              </w:rPr>
            </w:pPr>
            <w:r>
              <w:rPr>
                <w:rFonts w:hint="eastAsia" w:asciiTheme="minorEastAsia" w:hAnsiTheme="minorEastAsia"/>
                <w:sz w:val="24"/>
              </w:rPr>
              <w:t>条款内容</w:t>
            </w:r>
          </w:p>
        </w:tc>
        <w:tc>
          <w:tcPr>
            <w:tcW w:w="5765" w:type="dxa"/>
            <w:shd w:val="clear" w:color="auto" w:fill="auto"/>
            <w:tcMar>
              <w:top w:w="0" w:type="dxa"/>
              <w:left w:w="28" w:type="dxa"/>
              <w:bottom w:w="0" w:type="dxa"/>
              <w:right w:w="28" w:type="dxa"/>
            </w:tcMar>
            <w:vAlign w:val="center"/>
          </w:tcPr>
          <w:p>
            <w:pPr>
              <w:jc w:val="center"/>
              <w:rPr>
                <w:rFonts w:asciiTheme="minorEastAsia" w:hAnsiTheme="minorEastAsia"/>
                <w:sz w:val="24"/>
              </w:rPr>
            </w:pPr>
            <w:r>
              <w:rPr>
                <w:rFonts w:hint="eastAsia" w:asciiTheme="minorEastAsia" w:hAnsiTheme="minorEastAsia"/>
                <w:sz w:val="24"/>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30" w:hRule="atLeast"/>
          <w:jc w:val="center"/>
        </w:trPr>
        <w:tc>
          <w:tcPr>
            <w:tcW w:w="612" w:type="dxa"/>
            <w:shd w:val="clear" w:color="auto" w:fill="auto"/>
            <w:tcMar>
              <w:top w:w="0" w:type="dxa"/>
              <w:left w:w="28" w:type="dxa"/>
              <w:bottom w:w="0" w:type="dxa"/>
              <w:right w:w="28" w:type="dxa"/>
            </w:tcMar>
            <w:vAlign w:val="center"/>
          </w:tcPr>
          <w:p>
            <w:pPr>
              <w:jc w:val="center"/>
              <w:rPr>
                <w:rFonts w:asciiTheme="minorEastAsia" w:hAnsiTheme="minorEastAsia"/>
                <w:sz w:val="24"/>
              </w:rPr>
            </w:pPr>
            <w:r>
              <w:rPr>
                <w:rFonts w:asciiTheme="minorEastAsia" w:hAnsiTheme="minorEastAsia"/>
                <w:sz w:val="24"/>
              </w:rPr>
              <w:t>1</w:t>
            </w:r>
          </w:p>
        </w:tc>
        <w:tc>
          <w:tcPr>
            <w:tcW w:w="2783" w:type="dxa"/>
            <w:shd w:val="clear" w:color="auto" w:fill="auto"/>
            <w:tcMar>
              <w:top w:w="0" w:type="dxa"/>
              <w:left w:w="28" w:type="dxa"/>
              <w:bottom w:w="0" w:type="dxa"/>
              <w:right w:w="28" w:type="dxa"/>
            </w:tcMar>
            <w:vAlign w:val="center"/>
          </w:tcPr>
          <w:p>
            <w:pPr>
              <w:jc w:val="center"/>
              <w:rPr>
                <w:rFonts w:asciiTheme="minorEastAsia" w:hAnsiTheme="minorEastAsia"/>
                <w:sz w:val="24"/>
              </w:rPr>
            </w:pPr>
            <w:r>
              <w:rPr>
                <w:rFonts w:hint="eastAsia" w:asciiTheme="minorEastAsia" w:hAnsiTheme="minorEastAsia"/>
                <w:sz w:val="24"/>
              </w:rPr>
              <w:t>分值构成及权重</w:t>
            </w:r>
          </w:p>
          <w:p>
            <w:pPr>
              <w:jc w:val="center"/>
              <w:rPr>
                <w:rFonts w:asciiTheme="minorEastAsia" w:hAnsiTheme="minorEastAsia"/>
                <w:sz w:val="24"/>
              </w:rPr>
            </w:pPr>
            <w:r>
              <w:rPr>
                <w:rFonts w:asciiTheme="minorEastAsia" w:hAnsiTheme="minorEastAsia"/>
                <w:sz w:val="24"/>
              </w:rPr>
              <w:t>(</w:t>
            </w:r>
            <w:r>
              <w:rPr>
                <w:rFonts w:hint="eastAsia" w:asciiTheme="minorEastAsia" w:hAnsiTheme="minorEastAsia"/>
                <w:sz w:val="24"/>
              </w:rPr>
              <w:t>总分</w:t>
            </w:r>
            <w:r>
              <w:rPr>
                <w:rFonts w:asciiTheme="minorEastAsia" w:hAnsiTheme="minorEastAsia"/>
                <w:sz w:val="24"/>
              </w:rPr>
              <w:t>100</w:t>
            </w:r>
            <w:r>
              <w:rPr>
                <w:rFonts w:hint="eastAsia" w:asciiTheme="minorEastAsia" w:hAnsiTheme="minorEastAsia"/>
                <w:sz w:val="24"/>
              </w:rPr>
              <w:t>分</w:t>
            </w:r>
            <w:r>
              <w:rPr>
                <w:rFonts w:asciiTheme="minorEastAsia" w:hAnsiTheme="minorEastAsia"/>
                <w:sz w:val="24"/>
              </w:rPr>
              <w:t>)</w:t>
            </w:r>
          </w:p>
        </w:tc>
        <w:tc>
          <w:tcPr>
            <w:tcW w:w="5765" w:type="dxa"/>
            <w:shd w:val="clear" w:color="auto" w:fill="auto"/>
            <w:tcMar>
              <w:top w:w="0" w:type="dxa"/>
              <w:left w:w="28" w:type="dxa"/>
              <w:bottom w:w="0" w:type="dxa"/>
              <w:right w:w="28" w:type="dxa"/>
            </w:tcMar>
            <w:vAlign w:val="center"/>
          </w:tcPr>
          <w:p>
            <w:pPr>
              <w:rPr>
                <w:rFonts w:asciiTheme="minorEastAsia" w:hAnsiTheme="minorEastAsia"/>
                <w:sz w:val="24"/>
              </w:rPr>
            </w:pPr>
            <w:r>
              <w:rPr>
                <w:rFonts w:asciiTheme="minorEastAsia" w:hAnsiTheme="minorEastAsia"/>
                <w:sz w:val="24"/>
              </w:rPr>
              <w:t>1.</w:t>
            </w:r>
            <w:r>
              <w:rPr>
                <w:rFonts w:hint="eastAsia" w:asciiTheme="minorEastAsia" w:hAnsiTheme="minorEastAsia"/>
                <w:sz w:val="24"/>
              </w:rPr>
              <w:t>详细评审部分9</w:t>
            </w:r>
            <w:r>
              <w:rPr>
                <w:rFonts w:asciiTheme="minorEastAsia" w:hAnsiTheme="minorEastAsia"/>
                <w:sz w:val="24"/>
              </w:rPr>
              <w:t>0</w:t>
            </w:r>
            <w:r>
              <w:rPr>
                <w:rFonts w:hint="eastAsia" w:asciiTheme="minorEastAsia" w:hAnsiTheme="minorEastAsia"/>
                <w:sz w:val="24"/>
              </w:rPr>
              <w:t>分</w:t>
            </w:r>
          </w:p>
          <w:p>
            <w:pPr>
              <w:rPr>
                <w:rFonts w:asciiTheme="minorEastAsia" w:hAnsiTheme="minorEastAsia"/>
                <w:sz w:val="24"/>
              </w:rPr>
            </w:pPr>
            <w:r>
              <w:rPr>
                <w:rFonts w:asciiTheme="minorEastAsia" w:hAnsiTheme="minorEastAsia"/>
                <w:sz w:val="24"/>
              </w:rPr>
              <w:t>2.</w:t>
            </w:r>
            <w:r>
              <w:rPr>
                <w:rFonts w:hint="eastAsia" w:asciiTheme="minorEastAsia" w:hAnsiTheme="minorEastAsia"/>
                <w:sz w:val="24"/>
              </w:rPr>
              <w:t>投标报价1</w:t>
            </w:r>
            <w:r>
              <w:rPr>
                <w:rFonts w:asciiTheme="minorEastAsia" w:hAnsiTheme="minorEastAsia"/>
                <w:sz w:val="24"/>
              </w:rPr>
              <w:t>0</w:t>
            </w:r>
            <w:r>
              <w:rPr>
                <w:rFonts w:hint="eastAsia" w:asciiTheme="minorEastAsia" w:hAnsiTheme="minorEastAsia"/>
                <w:sz w:val="24"/>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47" w:hRule="atLeast"/>
          <w:jc w:val="center"/>
        </w:trPr>
        <w:tc>
          <w:tcPr>
            <w:tcW w:w="612" w:type="dxa"/>
            <w:shd w:val="clear" w:color="auto" w:fill="auto"/>
            <w:tcMar>
              <w:top w:w="0" w:type="dxa"/>
              <w:left w:w="28" w:type="dxa"/>
              <w:bottom w:w="0" w:type="dxa"/>
              <w:right w:w="28" w:type="dxa"/>
            </w:tcMar>
            <w:vAlign w:val="center"/>
          </w:tcPr>
          <w:p>
            <w:pPr>
              <w:jc w:val="center"/>
              <w:rPr>
                <w:rFonts w:asciiTheme="minorEastAsia" w:hAnsiTheme="minorEastAsia"/>
                <w:sz w:val="24"/>
              </w:rPr>
            </w:pPr>
            <w:r>
              <w:rPr>
                <w:rFonts w:hint="eastAsia" w:asciiTheme="minorEastAsia" w:hAnsiTheme="minorEastAsia"/>
                <w:sz w:val="24"/>
              </w:rPr>
              <w:t>2</w:t>
            </w:r>
          </w:p>
        </w:tc>
        <w:tc>
          <w:tcPr>
            <w:tcW w:w="2783" w:type="dxa"/>
            <w:shd w:val="clear" w:color="auto" w:fill="auto"/>
            <w:tcMar>
              <w:top w:w="0" w:type="dxa"/>
              <w:left w:w="28" w:type="dxa"/>
              <w:bottom w:w="0" w:type="dxa"/>
              <w:right w:w="28" w:type="dxa"/>
            </w:tcMar>
            <w:vAlign w:val="center"/>
          </w:tcPr>
          <w:p>
            <w:pPr>
              <w:jc w:val="center"/>
              <w:rPr>
                <w:rFonts w:asciiTheme="minorEastAsia" w:hAnsiTheme="minorEastAsia"/>
                <w:sz w:val="24"/>
              </w:rPr>
            </w:pPr>
            <w:r>
              <w:rPr>
                <w:rFonts w:hint="eastAsia" w:asciiTheme="minorEastAsia" w:hAnsiTheme="minorEastAsia"/>
                <w:sz w:val="24"/>
              </w:rPr>
              <w:t>资格审查</w:t>
            </w:r>
          </w:p>
        </w:tc>
        <w:tc>
          <w:tcPr>
            <w:tcW w:w="5765" w:type="dxa"/>
            <w:shd w:val="clear" w:color="auto" w:fill="auto"/>
            <w:tcMar>
              <w:top w:w="0" w:type="dxa"/>
              <w:left w:w="28" w:type="dxa"/>
              <w:bottom w:w="0" w:type="dxa"/>
              <w:right w:w="28" w:type="dxa"/>
            </w:tcMar>
            <w:vAlign w:val="center"/>
          </w:tcPr>
          <w:p>
            <w:pPr>
              <w:rPr>
                <w:rFonts w:asciiTheme="minorEastAsia" w:hAnsiTheme="minorEastAsia"/>
                <w:sz w:val="24"/>
              </w:rPr>
            </w:pPr>
            <w:r>
              <w:rPr>
                <w:rFonts w:hint="eastAsia" w:asciiTheme="minorEastAsia" w:hAnsiTheme="minorEastAsia"/>
                <w:sz w:val="24"/>
              </w:rPr>
              <w:t>详见《资格审查标准》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25" w:hRule="atLeast"/>
          <w:jc w:val="center"/>
        </w:trPr>
        <w:tc>
          <w:tcPr>
            <w:tcW w:w="612" w:type="dxa"/>
            <w:shd w:val="clear" w:color="auto" w:fill="auto"/>
            <w:tcMar>
              <w:top w:w="0" w:type="dxa"/>
              <w:left w:w="28" w:type="dxa"/>
              <w:bottom w:w="0" w:type="dxa"/>
              <w:right w:w="28" w:type="dxa"/>
            </w:tcMar>
            <w:vAlign w:val="center"/>
          </w:tcPr>
          <w:p>
            <w:pPr>
              <w:jc w:val="center"/>
              <w:rPr>
                <w:rFonts w:asciiTheme="minorEastAsia" w:hAnsiTheme="minorEastAsia"/>
                <w:sz w:val="24"/>
              </w:rPr>
            </w:pPr>
            <w:r>
              <w:rPr>
                <w:rFonts w:hint="eastAsia" w:asciiTheme="minorEastAsia" w:hAnsiTheme="minorEastAsia"/>
                <w:sz w:val="24"/>
              </w:rPr>
              <w:t>3</w:t>
            </w:r>
          </w:p>
        </w:tc>
        <w:tc>
          <w:tcPr>
            <w:tcW w:w="2783" w:type="dxa"/>
            <w:shd w:val="clear" w:color="auto" w:fill="auto"/>
            <w:tcMar>
              <w:top w:w="0" w:type="dxa"/>
              <w:left w:w="28" w:type="dxa"/>
              <w:bottom w:w="0" w:type="dxa"/>
              <w:right w:w="28" w:type="dxa"/>
            </w:tcMar>
            <w:vAlign w:val="center"/>
          </w:tcPr>
          <w:p>
            <w:pPr>
              <w:jc w:val="center"/>
              <w:rPr>
                <w:rFonts w:asciiTheme="minorEastAsia" w:hAnsiTheme="minorEastAsia"/>
                <w:sz w:val="24"/>
              </w:rPr>
            </w:pPr>
            <w:r>
              <w:rPr>
                <w:rFonts w:hint="eastAsia" w:asciiTheme="minorEastAsia" w:hAnsiTheme="minorEastAsia"/>
                <w:sz w:val="24"/>
              </w:rPr>
              <w:t>完备性及符合性审查</w:t>
            </w:r>
          </w:p>
        </w:tc>
        <w:tc>
          <w:tcPr>
            <w:tcW w:w="5765" w:type="dxa"/>
            <w:shd w:val="clear" w:color="auto" w:fill="auto"/>
            <w:tcMar>
              <w:top w:w="0" w:type="dxa"/>
              <w:left w:w="28" w:type="dxa"/>
              <w:bottom w:w="0" w:type="dxa"/>
              <w:right w:w="28" w:type="dxa"/>
            </w:tcMar>
            <w:vAlign w:val="center"/>
          </w:tcPr>
          <w:p>
            <w:pPr>
              <w:rPr>
                <w:rFonts w:asciiTheme="minorEastAsia" w:hAnsiTheme="minorEastAsia"/>
                <w:sz w:val="24"/>
              </w:rPr>
            </w:pPr>
            <w:r>
              <w:rPr>
                <w:rFonts w:hint="eastAsia" w:asciiTheme="minorEastAsia" w:hAnsiTheme="minorEastAsia"/>
                <w:sz w:val="24"/>
              </w:rPr>
              <w:t>详见《完备性及符合性审查标准》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25" w:hRule="atLeast"/>
          <w:jc w:val="center"/>
        </w:trPr>
        <w:tc>
          <w:tcPr>
            <w:tcW w:w="612" w:type="dxa"/>
            <w:vMerge w:val="restart"/>
            <w:shd w:val="clear" w:color="auto" w:fill="auto"/>
            <w:tcMar>
              <w:top w:w="0" w:type="dxa"/>
              <w:left w:w="28" w:type="dxa"/>
              <w:bottom w:w="0" w:type="dxa"/>
              <w:right w:w="28" w:type="dxa"/>
            </w:tcMar>
            <w:vAlign w:val="center"/>
          </w:tcPr>
          <w:p>
            <w:pPr>
              <w:jc w:val="center"/>
              <w:rPr>
                <w:rFonts w:asciiTheme="minorEastAsia" w:hAnsiTheme="minorEastAsia"/>
                <w:sz w:val="24"/>
              </w:rPr>
            </w:pPr>
            <w:r>
              <w:rPr>
                <w:rFonts w:hint="eastAsia" w:asciiTheme="minorEastAsia" w:hAnsiTheme="minorEastAsia"/>
                <w:sz w:val="24"/>
              </w:rPr>
              <w:t>4</w:t>
            </w:r>
          </w:p>
        </w:tc>
        <w:tc>
          <w:tcPr>
            <w:tcW w:w="2783" w:type="dxa"/>
            <w:vMerge w:val="restart"/>
            <w:shd w:val="clear" w:color="auto" w:fill="auto"/>
            <w:tcMar>
              <w:top w:w="0" w:type="dxa"/>
              <w:left w:w="28" w:type="dxa"/>
              <w:bottom w:w="0" w:type="dxa"/>
              <w:right w:w="28" w:type="dxa"/>
            </w:tcMar>
            <w:vAlign w:val="center"/>
          </w:tcPr>
          <w:p>
            <w:pPr>
              <w:jc w:val="center"/>
              <w:rPr>
                <w:rFonts w:asciiTheme="minorEastAsia" w:hAnsiTheme="minorEastAsia"/>
                <w:sz w:val="24"/>
              </w:rPr>
            </w:pPr>
            <w:r>
              <w:rPr>
                <w:rFonts w:hint="eastAsia" w:asciiTheme="minorEastAsia" w:hAnsiTheme="minorEastAsia"/>
                <w:sz w:val="24"/>
              </w:rPr>
              <w:t>详细评审</w:t>
            </w:r>
          </w:p>
        </w:tc>
        <w:tc>
          <w:tcPr>
            <w:tcW w:w="5765" w:type="dxa"/>
            <w:shd w:val="clear" w:color="auto" w:fill="auto"/>
            <w:tcMar>
              <w:top w:w="0" w:type="dxa"/>
              <w:left w:w="28" w:type="dxa"/>
              <w:bottom w:w="0" w:type="dxa"/>
              <w:right w:w="28" w:type="dxa"/>
            </w:tcMar>
            <w:vAlign w:val="center"/>
          </w:tcPr>
          <w:p>
            <w:pPr>
              <w:rPr>
                <w:rFonts w:asciiTheme="minorEastAsia" w:hAnsiTheme="minorEastAsia"/>
                <w:sz w:val="24"/>
              </w:rPr>
            </w:pPr>
            <w:r>
              <w:rPr>
                <w:rFonts w:hint="eastAsia" w:asciiTheme="minorEastAsia" w:hAnsiTheme="minorEastAsia"/>
                <w:sz w:val="24"/>
              </w:rPr>
              <w:t>详见《详细评审标准》及本节第3.5款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77" w:hRule="atLeast"/>
          <w:jc w:val="center"/>
        </w:trPr>
        <w:tc>
          <w:tcPr>
            <w:tcW w:w="612" w:type="dxa"/>
            <w:vMerge w:val="continue"/>
            <w:shd w:val="clear" w:color="auto" w:fill="auto"/>
            <w:tcMar>
              <w:top w:w="0" w:type="dxa"/>
              <w:left w:w="28" w:type="dxa"/>
              <w:bottom w:w="0" w:type="dxa"/>
              <w:right w:w="28" w:type="dxa"/>
            </w:tcMar>
            <w:vAlign w:val="center"/>
          </w:tcPr>
          <w:p>
            <w:pPr>
              <w:jc w:val="center"/>
              <w:rPr>
                <w:rFonts w:asciiTheme="minorEastAsia" w:hAnsiTheme="minorEastAsia"/>
                <w:sz w:val="24"/>
              </w:rPr>
            </w:pPr>
          </w:p>
        </w:tc>
        <w:tc>
          <w:tcPr>
            <w:tcW w:w="2783" w:type="dxa"/>
            <w:vMerge w:val="continue"/>
            <w:shd w:val="clear" w:color="auto" w:fill="auto"/>
            <w:tcMar>
              <w:top w:w="0" w:type="dxa"/>
              <w:left w:w="28" w:type="dxa"/>
              <w:bottom w:w="0" w:type="dxa"/>
              <w:right w:w="28" w:type="dxa"/>
            </w:tcMar>
            <w:vAlign w:val="center"/>
          </w:tcPr>
          <w:p>
            <w:pPr>
              <w:jc w:val="center"/>
              <w:rPr>
                <w:rFonts w:asciiTheme="minorEastAsia" w:hAnsiTheme="minorEastAsia"/>
                <w:sz w:val="24"/>
              </w:rPr>
            </w:pPr>
          </w:p>
        </w:tc>
        <w:tc>
          <w:tcPr>
            <w:tcW w:w="5765" w:type="dxa"/>
            <w:shd w:val="clear" w:color="auto" w:fill="auto"/>
            <w:tcMar>
              <w:top w:w="0" w:type="dxa"/>
              <w:left w:w="28" w:type="dxa"/>
              <w:bottom w:w="0" w:type="dxa"/>
              <w:right w:w="28" w:type="dxa"/>
            </w:tcMar>
            <w:vAlign w:val="center"/>
          </w:tcPr>
          <w:p>
            <w:pPr>
              <w:rPr>
                <w:rFonts w:asciiTheme="minorEastAsia" w:hAnsiTheme="minorEastAsia"/>
                <w:sz w:val="24"/>
              </w:rPr>
            </w:pPr>
            <w:r>
              <w:rPr>
                <w:rFonts w:hint="eastAsia" w:asciiTheme="minorEastAsia" w:hAnsiTheme="minorEastAsia"/>
                <w:sz w:val="24"/>
              </w:rPr>
              <w:t>投标报价得分计算方法：</w:t>
            </w:r>
          </w:p>
          <w:p>
            <w:pPr>
              <w:rPr>
                <w:rFonts w:asciiTheme="minorEastAsia" w:hAnsiTheme="minorEastAsia"/>
                <w:sz w:val="24"/>
              </w:rPr>
            </w:pPr>
            <w:r>
              <w:rPr>
                <w:rFonts w:hint="eastAsia" w:asciiTheme="minorEastAsia" w:hAnsiTheme="minorEastAsia"/>
                <w:sz w:val="24"/>
              </w:rPr>
              <w:t>1.投标报价的确定</w:t>
            </w:r>
          </w:p>
          <w:p>
            <w:pPr>
              <w:rPr>
                <w:rFonts w:asciiTheme="minorEastAsia" w:hAnsiTheme="minorEastAsia"/>
                <w:sz w:val="24"/>
              </w:rPr>
            </w:pPr>
            <w:r>
              <w:rPr>
                <w:rFonts w:hint="eastAsia" w:asciiTheme="minorEastAsia" w:hAnsiTheme="minorEastAsia"/>
                <w:sz w:val="24"/>
              </w:rPr>
              <w:t>投标报价是指经评审的且不超过采购预算金额的投标价格</w:t>
            </w:r>
          </w:p>
          <w:p>
            <w:pPr>
              <w:rPr>
                <w:rFonts w:asciiTheme="minorEastAsia" w:hAnsiTheme="minorEastAsia"/>
                <w:sz w:val="24"/>
              </w:rPr>
            </w:pPr>
            <w:r>
              <w:rPr>
                <w:rFonts w:hint="eastAsia" w:asciiTheme="minorEastAsia" w:hAnsiTheme="minorEastAsia"/>
                <w:sz w:val="24"/>
              </w:rPr>
              <w:t>2.磋商基准价的确定</w:t>
            </w:r>
          </w:p>
          <w:p>
            <w:pPr>
              <w:rPr>
                <w:rFonts w:asciiTheme="minorEastAsia" w:hAnsiTheme="minorEastAsia"/>
                <w:sz w:val="24"/>
              </w:rPr>
            </w:pPr>
            <w:r>
              <w:rPr>
                <w:rFonts w:asciiTheme="minorEastAsia" w:hAnsiTheme="minorEastAsia"/>
                <w:sz w:val="24"/>
              </w:rPr>
              <w:t>满足</w:t>
            </w:r>
            <w:r>
              <w:rPr>
                <w:rFonts w:hint="eastAsia" w:asciiTheme="minorEastAsia" w:hAnsiTheme="minorEastAsia"/>
                <w:sz w:val="24"/>
                <w:lang w:eastAsia="zh-CN"/>
              </w:rPr>
              <w:t>竞争性磋商文件</w:t>
            </w:r>
            <w:r>
              <w:rPr>
                <w:rFonts w:asciiTheme="minorEastAsia" w:hAnsiTheme="minorEastAsia"/>
                <w:sz w:val="24"/>
              </w:rPr>
              <w:t>要求且</w:t>
            </w:r>
            <w:r>
              <w:rPr>
                <w:rFonts w:hint="eastAsia" w:asciiTheme="minorEastAsia" w:hAnsiTheme="minorEastAsia"/>
                <w:sz w:val="24"/>
              </w:rPr>
              <w:t>投标报价</w:t>
            </w:r>
            <w:r>
              <w:rPr>
                <w:rFonts w:asciiTheme="minorEastAsia" w:hAnsiTheme="minorEastAsia"/>
                <w:sz w:val="24"/>
              </w:rPr>
              <w:t>最低的为</w:t>
            </w:r>
            <w:r>
              <w:rPr>
                <w:rFonts w:hint="eastAsia" w:asciiTheme="minorEastAsia" w:hAnsiTheme="minorEastAsia"/>
                <w:sz w:val="24"/>
              </w:rPr>
              <w:t>磋商</w:t>
            </w:r>
            <w:r>
              <w:rPr>
                <w:rFonts w:asciiTheme="minorEastAsia" w:hAnsiTheme="minorEastAsia"/>
                <w:sz w:val="24"/>
              </w:rPr>
              <w:t>基准价</w:t>
            </w:r>
          </w:p>
          <w:p>
            <w:pPr>
              <w:rPr>
                <w:rFonts w:asciiTheme="minorEastAsia" w:hAnsiTheme="minorEastAsia"/>
                <w:sz w:val="24"/>
              </w:rPr>
            </w:pPr>
            <w:r>
              <w:rPr>
                <w:rFonts w:hint="eastAsia" w:asciiTheme="minorEastAsia" w:hAnsiTheme="minorEastAsia"/>
                <w:sz w:val="24"/>
              </w:rPr>
              <w:t>3.</w:t>
            </w:r>
            <w:r>
              <w:rPr>
                <w:rFonts w:asciiTheme="minorEastAsia" w:hAnsiTheme="minorEastAsia"/>
                <w:sz w:val="24"/>
              </w:rPr>
              <w:t>投标报价得分=(</w:t>
            </w:r>
            <w:r>
              <w:rPr>
                <w:rFonts w:hint="eastAsia" w:asciiTheme="minorEastAsia" w:hAnsiTheme="minorEastAsia"/>
                <w:sz w:val="24"/>
              </w:rPr>
              <w:t>磋商</w:t>
            </w:r>
            <w:r>
              <w:rPr>
                <w:rFonts w:asciiTheme="minorEastAsia" w:hAnsiTheme="minorEastAsia"/>
                <w:sz w:val="24"/>
              </w:rPr>
              <w:t>基准价／投标报价)×</w:t>
            </w:r>
            <w:r>
              <w:rPr>
                <w:rFonts w:hint="eastAsia" w:asciiTheme="minorEastAsia" w:hAnsiTheme="minorEastAsia"/>
                <w:sz w:val="24"/>
              </w:rPr>
              <w:t>10</w:t>
            </w:r>
          </w:p>
          <w:p>
            <w:pPr>
              <w:rPr>
                <w:rFonts w:asciiTheme="minorEastAsia" w:hAnsiTheme="minorEastAsia"/>
                <w:sz w:val="24"/>
              </w:rPr>
            </w:pPr>
            <w:r>
              <w:rPr>
                <w:rFonts w:hint="eastAsia" w:asciiTheme="minorEastAsia" w:hAnsiTheme="minorEastAsia"/>
                <w:sz w:val="24"/>
              </w:rPr>
              <w:t>4.评分分值计算保留小数点后两位，小数点后三位“四舍五入”。</w:t>
            </w:r>
          </w:p>
          <w:p>
            <w:pPr>
              <w:rPr>
                <w:rFonts w:asciiTheme="minorEastAsia" w:hAnsiTheme="minorEastAsia"/>
                <w:sz w:val="24"/>
              </w:rPr>
            </w:pPr>
            <w:r>
              <w:rPr>
                <w:rFonts w:hint="eastAsia" w:asciiTheme="minorEastAsia" w:hAnsiTheme="minorEastAsia"/>
                <w:sz w:val="24"/>
              </w:rPr>
              <w:t>5.</w:t>
            </w:r>
            <w:r>
              <w:rPr>
                <w:rFonts w:asciiTheme="minorEastAsia" w:hAnsiTheme="minorEastAsia"/>
                <w:sz w:val="24"/>
              </w:rPr>
              <w:t>因落实政府采购政策</w:t>
            </w:r>
            <w:r>
              <w:rPr>
                <w:rFonts w:hint="eastAsia" w:asciiTheme="minorEastAsia" w:hAnsiTheme="minorEastAsia"/>
                <w:sz w:val="24"/>
              </w:rPr>
              <w:t>对小微企业、残疾人福利性单位、监狱企业的价格给予10%</w:t>
            </w:r>
            <w:r>
              <w:rPr>
                <w:rFonts w:asciiTheme="minorEastAsia" w:hAnsiTheme="minorEastAsia"/>
                <w:sz w:val="24"/>
              </w:rPr>
              <w:t>价格</w:t>
            </w:r>
            <w:r>
              <w:rPr>
                <w:rFonts w:hint="eastAsia" w:asciiTheme="minorEastAsia" w:hAnsiTheme="minorEastAsia"/>
                <w:sz w:val="24"/>
              </w:rPr>
              <w:t>扣除；</w:t>
            </w:r>
            <w:r>
              <w:rPr>
                <w:rFonts w:asciiTheme="minorEastAsia" w:hAnsiTheme="minorEastAsia"/>
                <w:sz w:val="24"/>
              </w:rPr>
              <w:t>以</w:t>
            </w:r>
            <w:r>
              <w:rPr>
                <w:rFonts w:hint="eastAsia" w:asciiTheme="minorEastAsia" w:hAnsiTheme="minorEastAsia"/>
                <w:sz w:val="24"/>
              </w:rPr>
              <w:t>扣除</w:t>
            </w:r>
            <w:r>
              <w:rPr>
                <w:rFonts w:asciiTheme="minorEastAsia" w:hAnsiTheme="minorEastAsia"/>
                <w:sz w:val="24"/>
              </w:rPr>
              <w:t>后的价格</w:t>
            </w:r>
            <w:r>
              <w:rPr>
                <w:rFonts w:hint="eastAsia" w:asciiTheme="minorEastAsia" w:hAnsiTheme="minorEastAsia"/>
                <w:sz w:val="24"/>
              </w:rPr>
              <w:t>参与评审，不重复享受价格扣除政策。</w:t>
            </w:r>
          </w:p>
        </w:tc>
      </w:tr>
    </w:tbl>
    <w:p>
      <w:pPr>
        <w:widowControl/>
        <w:shd w:val="clear" w:color="auto" w:fill="FFFFFF"/>
        <w:snapToGrid w:val="0"/>
        <w:spacing w:line="276" w:lineRule="auto"/>
        <w:jc w:val="center"/>
        <w:rPr>
          <w:rFonts w:ascii="宋体" w:hAnsi="宋体" w:eastAsia="宋体" w:cs="Arial"/>
          <w:b/>
          <w:kern w:val="0"/>
          <w:sz w:val="24"/>
          <w:szCs w:val="24"/>
        </w:rPr>
      </w:pPr>
    </w:p>
    <w:p>
      <w:pPr>
        <w:widowControl/>
        <w:shd w:val="clear" w:color="auto" w:fill="FFFFFF"/>
        <w:snapToGrid w:val="0"/>
        <w:spacing w:line="276" w:lineRule="auto"/>
        <w:jc w:val="center"/>
        <w:rPr>
          <w:rFonts w:ascii="宋体" w:hAnsi="宋体" w:eastAsia="宋体" w:cs="Arial"/>
          <w:b/>
          <w:kern w:val="0"/>
          <w:sz w:val="24"/>
          <w:szCs w:val="24"/>
        </w:rPr>
      </w:pPr>
      <w:r>
        <w:rPr>
          <w:rFonts w:hint="eastAsia" w:ascii="宋体" w:hAnsi="宋体" w:eastAsia="宋体" w:cs="Arial"/>
          <w:b/>
          <w:kern w:val="0"/>
          <w:sz w:val="24"/>
          <w:szCs w:val="24"/>
        </w:rPr>
        <w:t>《资格审查标准》</w:t>
      </w:r>
      <w:bookmarkEnd w:id="45"/>
    </w:p>
    <w:tbl>
      <w:tblPr>
        <w:tblStyle w:val="38"/>
        <w:tblW w:w="9160" w:type="dxa"/>
        <w:jc w:val="center"/>
        <w:tblLayout w:type="fixed"/>
        <w:tblCellMar>
          <w:top w:w="0" w:type="dxa"/>
          <w:left w:w="0" w:type="dxa"/>
          <w:bottom w:w="0" w:type="dxa"/>
          <w:right w:w="0" w:type="dxa"/>
        </w:tblCellMar>
      </w:tblPr>
      <w:tblGrid>
        <w:gridCol w:w="628"/>
        <w:gridCol w:w="8532"/>
      </w:tblGrid>
      <w:tr>
        <w:tblPrEx>
          <w:tblCellMar>
            <w:top w:w="0" w:type="dxa"/>
            <w:left w:w="0" w:type="dxa"/>
            <w:bottom w:w="0" w:type="dxa"/>
            <w:right w:w="0" w:type="dxa"/>
          </w:tblCellMar>
        </w:tblPrEx>
        <w:trPr>
          <w:cantSplit/>
          <w:trHeight w:val="314" w:hRule="atLeast"/>
          <w:jc w:val="center"/>
        </w:trPr>
        <w:tc>
          <w:tcPr>
            <w:tcW w:w="628" w:type="dxa"/>
            <w:tcBorders>
              <w:top w:val="single" w:color="auto" w:sz="8" w:space="0"/>
              <w:left w:val="single" w:color="auto" w:sz="8" w:space="0"/>
              <w:bottom w:val="single" w:color="auto" w:sz="8" w:space="0"/>
              <w:right w:val="single" w:color="auto" w:sz="8" w:space="0"/>
            </w:tcBorders>
            <w:vAlign w:val="center"/>
          </w:tcPr>
          <w:p>
            <w:pPr>
              <w:widowControl/>
              <w:shd w:val="clear" w:color="auto" w:fill="FFFFFF"/>
              <w:snapToGrid w:val="0"/>
              <w:spacing w:line="276" w:lineRule="auto"/>
              <w:jc w:val="center"/>
              <w:rPr>
                <w:rFonts w:ascii="宋体" w:hAnsi="宋体" w:eastAsia="宋体" w:cs="Arial"/>
                <w:kern w:val="0"/>
                <w:sz w:val="24"/>
                <w:szCs w:val="24"/>
              </w:rPr>
            </w:pPr>
            <w:r>
              <w:rPr>
                <w:rFonts w:hint="eastAsia" w:ascii="宋体" w:hAnsi="宋体" w:eastAsia="宋体" w:cs="Arial"/>
                <w:kern w:val="0"/>
                <w:sz w:val="24"/>
                <w:szCs w:val="24"/>
              </w:rPr>
              <w:t>序号</w:t>
            </w:r>
          </w:p>
        </w:tc>
        <w:tc>
          <w:tcPr>
            <w:tcW w:w="8532" w:type="dxa"/>
            <w:tcBorders>
              <w:top w:val="single" w:color="auto" w:sz="8" w:space="0"/>
              <w:left w:val="single" w:color="auto" w:sz="8" w:space="0"/>
              <w:bottom w:val="single" w:color="auto" w:sz="8" w:space="0"/>
              <w:right w:val="single" w:color="auto" w:sz="8" w:space="0"/>
            </w:tcBorders>
            <w:vAlign w:val="center"/>
          </w:tcPr>
          <w:p>
            <w:pPr>
              <w:widowControl/>
              <w:shd w:val="clear" w:color="auto" w:fill="FFFFFF"/>
              <w:snapToGrid w:val="0"/>
              <w:spacing w:line="276" w:lineRule="auto"/>
              <w:jc w:val="center"/>
              <w:rPr>
                <w:rFonts w:ascii="宋体" w:hAnsi="宋体" w:eastAsia="宋体" w:cs="Arial"/>
                <w:kern w:val="0"/>
                <w:sz w:val="24"/>
                <w:szCs w:val="24"/>
              </w:rPr>
            </w:pPr>
            <w:r>
              <w:rPr>
                <w:rFonts w:hint="eastAsia" w:ascii="宋体" w:hAnsi="宋体" w:eastAsia="宋体" w:cs="Arial"/>
                <w:kern w:val="0"/>
                <w:sz w:val="24"/>
                <w:szCs w:val="24"/>
              </w:rPr>
              <w:t>审查标准</w:t>
            </w:r>
          </w:p>
        </w:tc>
      </w:tr>
      <w:tr>
        <w:tblPrEx>
          <w:tblCellMar>
            <w:top w:w="0" w:type="dxa"/>
            <w:left w:w="0" w:type="dxa"/>
            <w:bottom w:w="0" w:type="dxa"/>
            <w:right w:w="0" w:type="dxa"/>
          </w:tblCellMar>
        </w:tblPrEx>
        <w:trPr>
          <w:cantSplit/>
          <w:trHeight w:val="314" w:hRule="atLeast"/>
          <w:jc w:val="center"/>
        </w:trPr>
        <w:tc>
          <w:tcPr>
            <w:tcW w:w="628" w:type="dxa"/>
            <w:tcBorders>
              <w:top w:val="single" w:color="auto" w:sz="8" w:space="0"/>
              <w:left w:val="single" w:color="auto" w:sz="8" w:space="0"/>
              <w:bottom w:val="single" w:color="auto" w:sz="8" w:space="0"/>
              <w:right w:val="single" w:color="auto" w:sz="8" w:space="0"/>
            </w:tcBorders>
            <w:vAlign w:val="center"/>
          </w:tcPr>
          <w:p>
            <w:pPr>
              <w:widowControl/>
              <w:shd w:val="clear" w:color="auto" w:fill="FFFFFF"/>
              <w:snapToGrid w:val="0"/>
              <w:spacing w:line="276" w:lineRule="auto"/>
              <w:jc w:val="center"/>
              <w:rPr>
                <w:rFonts w:ascii="宋体" w:hAnsi="宋体" w:eastAsia="宋体" w:cs="Arial"/>
                <w:kern w:val="0"/>
                <w:sz w:val="24"/>
                <w:szCs w:val="24"/>
              </w:rPr>
            </w:pPr>
            <w:r>
              <w:rPr>
                <w:rFonts w:hint="eastAsia" w:ascii="宋体" w:hAnsi="宋体" w:eastAsia="宋体" w:cs="Arial"/>
                <w:kern w:val="0"/>
                <w:sz w:val="24"/>
                <w:szCs w:val="24"/>
              </w:rPr>
              <w:t>1</w:t>
            </w:r>
          </w:p>
        </w:tc>
        <w:tc>
          <w:tcPr>
            <w:tcW w:w="8532" w:type="dxa"/>
            <w:tcBorders>
              <w:top w:val="single" w:color="auto" w:sz="8" w:space="0"/>
              <w:left w:val="single" w:color="auto" w:sz="8" w:space="0"/>
              <w:bottom w:val="single" w:color="auto" w:sz="8" w:space="0"/>
              <w:right w:val="single" w:color="auto" w:sz="8" w:space="0"/>
            </w:tcBorders>
          </w:tcPr>
          <w:p>
            <w:pPr>
              <w:rPr>
                <w:rFonts w:ascii="宋体" w:hAnsi="宋体" w:eastAsia="宋体" w:cs="Arial"/>
                <w:kern w:val="0"/>
                <w:sz w:val="24"/>
                <w:szCs w:val="24"/>
              </w:rPr>
            </w:pPr>
            <w:r>
              <w:rPr>
                <w:rFonts w:hint="eastAsia" w:ascii="宋体" w:hAnsi="宋体" w:eastAsia="宋体" w:cs="Arial"/>
                <w:kern w:val="0"/>
                <w:sz w:val="24"/>
                <w:szCs w:val="24"/>
              </w:rPr>
              <w:t>供应商须符合《中华人民共和国政府采购法》第二十二条的相关规定；</w:t>
            </w:r>
          </w:p>
        </w:tc>
      </w:tr>
      <w:tr>
        <w:tblPrEx>
          <w:tblCellMar>
            <w:top w:w="0" w:type="dxa"/>
            <w:left w:w="0" w:type="dxa"/>
            <w:bottom w:w="0" w:type="dxa"/>
            <w:right w:w="0" w:type="dxa"/>
          </w:tblCellMar>
        </w:tblPrEx>
        <w:trPr>
          <w:cantSplit/>
          <w:trHeight w:val="131" w:hRule="atLeast"/>
          <w:jc w:val="center"/>
        </w:trPr>
        <w:tc>
          <w:tcPr>
            <w:tcW w:w="628" w:type="dxa"/>
            <w:tcBorders>
              <w:top w:val="nil"/>
              <w:left w:val="single" w:color="auto" w:sz="8" w:space="0"/>
              <w:bottom w:val="single" w:color="auto" w:sz="8" w:space="0"/>
              <w:right w:val="single" w:color="auto" w:sz="8" w:space="0"/>
            </w:tcBorders>
            <w:tcMar>
              <w:top w:w="0" w:type="dxa"/>
              <w:left w:w="28" w:type="dxa"/>
              <w:bottom w:w="0" w:type="dxa"/>
              <w:right w:w="28" w:type="dxa"/>
            </w:tcMar>
            <w:vAlign w:val="center"/>
          </w:tcPr>
          <w:p>
            <w:pPr>
              <w:widowControl/>
              <w:shd w:val="clear" w:color="auto" w:fill="FFFFFF"/>
              <w:snapToGrid w:val="0"/>
              <w:spacing w:line="276" w:lineRule="auto"/>
              <w:jc w:val="center"/>
              <w:rPr>
                <w:rFonts w:ascii="宋体" w:hAnsi="宋体" w:eastAsia="宋体" w:cs="Arial"/>
                <w:kern w:val="0"/>
                <w:sz w:val="24"/>
                <w:szCs w:val="24"/>
              </w:rPr>
            </w:pPr>
            <w:r>
              <w:rPr>
                <w:rFonts w:hint="eastAsia" w:ascii="宋体" w:hAnsi="宋体" w:eastAsia="宋体" w:cs="Arial"/>
                <w:kern w:val="0"/>
                <w:sz w:val="24"/>
                <w:szCs w:val="24"/>
              </w:rPr>
              <w:t>2</w:t>
            </w:r>
          </w:p>
        </w:tc>
        <w:tc>
          <w:tcPr>
            <w:tcW w:w="8532" w:type="dxa"/>
            <w:tcBorders>
              <w:top w:val="nil"/>
              <w:left w:val="nil"/>
              <w:bottom w:val="single" w:color="auto" w:sz="8" w:space="0"/>
              <w:right w:val="single" w:color="auto" w:sz="8" w:space="0"/>
            </w:tcBorders>
            <w:tcMar>
              <w:top w:w="0" w:type="dxa"/>
              <w:left w:w="28" w:type="dxa"/>
              <w:bottom w:w="0" w:type="dxa"/>
              <w:right w:w="28" w:type="dxa"/>
            </w:tcMar>
          </w:tcPr>
          <w:p>
            <w:pPr>
              <w:rPr>
                <w:rFonts w:ascii="宋体" w:hAnsi="宋体" w:eastAsia="宋体" w:cs="Arial"/>
                <w:kern w:val="0"/>
                <w:sz w:val="24"/>
                <w:szCs w:val="24"/>
              </w:rPr>
            </w:pPr>
            <w:r>
              <w:rPr>
                <w:rFonts w:hint="eastAsia" w:ascii="宋体" w:hAnsi="宋体" w:eastAsia="宋体" w:cs="Arial"/>
                <w:kern w:val="0"/>
                <w:sz w:val="24"/>
                <w:szCs w:val="24"/>
              </w:rPr>
              <w:t>供应商须具备有效的营业执照；</w:t>
            </w:r>
          </w:p>
        </w:tc>
      </w:tr>
      <w:tr>
        <w:tblPrEx>
          <w:tblCellMar>
            <w:top w:w="0" w:type="dxa"/>
            <w:left w:w="0" w:type="dxa"/>
            <w:bottom w:w="0" w:type="dxa"/>
            <w:right w:w="0" w:type="dxa"/>
          </w:tblCellMar>
        </w:tblPrEx>
        <w:trPr>
          <w:cantSplit/>
          <w:trHeight w:val="371" w:hRule="atLeast"/>
          <w:jc w:val="center"/>
        </w:trPr>
        <w:tc>
          <w:tcPr>
            <w:tcW w:w="628" w:type="dxa"/>
            <w:tcBorders>
              <w:top w:val="nil"/>
              <w:left w:val="single" w:color="auto" w:sz="8" w:space="0"/>
              <w:bottom w:val="single" w:color="auto" w:sz="8" w:space="0"/>
              <w:right w:val="single" w:color="auto" w:sz="8" w:space="0"/>
            </w:tcBorders>
            <w:tcMar>
              <w:top w:w="0" w:type="dxa"/>
              <w:left w:w="28" w:type="dxa"/>
              <w:bottom w:w="0" w:type="dxa"/>
              <w:right w:w="28" w:type="dxa"/>
            </w:tcMar>
            <w:vAlign w:val="center"/>
          </w:tcPr>
          <w:p>
            <w:pPr>
              <w:widowControl/>
              <w:shd w:val="clear" w:color="auto" w:fill="FFFFFF"/>
              <w:snapToGrid w:val="0"/>
              <w:spacing w:line="276" w:lineRule="auto"/>
              <w:jc w:val="center"/>
              <w:rPr>
                <w:rFonts w:ascii="宋体" w:hAnsi="宋体" w:eastAsia="宋体" w:cs="Arial"/>
                <w:kern w:val="0"/>
                <w:sz w:val="24"/>
                <w:szCs w:val="24"/>
              </w:rPr>
            </w:pPr>
            <w:r>
              <w:rPr>
                <w:rFonts w:hint="eastAsia" w:ascii="宋体" w:hAnsi="宋体" w:eastAsia="宋体" w:cs="Arial"/>
                <w:kern w:val="0"/>
                <w:sz w:val="24"/>
                <w:szCs w:val="24"/>
              </w:rPr>
              <w:t>3</w:t>
            </w:r>
          </w:p>
        </w:tc>
        <w:tc>
          <w:tcPr>
            <w:tcW w:w="8532" w:type="dxa"/>
            <w:tcBorders>
              <w:top w:val="nil"/>
              <w:left w:val="nil"/>
              <w:bottom w:val="single" w:color="auto" w:sz="8" w:space="0"/>
              <w:right w:val="single" w:color="auto" w:sz="8" w:space="0"/>
            </w:tcBorders>
            <w:tcMar>
              <w:top w:w="0" w:type="dxa"/>
              <w:left w:w="28" w:type="dxa"/>
              <w:bottom w:w="0" w:type="dxa"/>
              <w:right w:w="28" w:type="dxa"/>
            </w:tcMar>
          </w:tcPr>
          <w:p>
            <w:pPr>
              <w:rPr>
                <w:rFonts w:ascii="宋体" w:hAnsi="宋体" w:eastAsia="宋体" w:cs="Arial"/>
                <w:kern w:val="0"/>
                <w:sz w:val="24"/>
                <w:szCs w:val="24"/>
              </w:rPr>
            </w:pPr>
            <w:r>
              <w:rPr>
                <w:rFonts w:hint="eastAsia" w:ascii="宋体" w:hAnsi="宋体" w:eastAsia="宋体" w:cs="Arial"/>
                <w:kern w:val="0"/>
                <w:sz w:val="24"/>
                <w:szCs w:val="24"/>
              </w:rPr>
              <w:t>投标保证金是否按照</w:t>
            </w:r>
            <w:r>
              <w:rPr>
                <w:rFonts w:hint="eastAsia" w:ascii="宋体" w:hAnsi="宋体" w:eastAsia="宋体" w:cs="Arial"/>
                <w:kern w:val="0"/>
                <w:sz w:val="24"/>
                <w:szCs w:val="24"/>
                <w:lang w:eastAsia="zh-CN"/>
              </w:rPr>
              <w:t>竞争性磋商文件</w:t>
            </w:r>
            <w:r>
              <w:rPr>
                <w:rFonts w:hint="eastAsia" w:ascii="宋体" w:hAnsi="宋体" w:eastAsia="宋体" w:cs="Arial"/>
                <w:kern w:val="0"/>
                <w:sz w:val="24"/>
                <w:szCs w:val="24"/>
              </w:rPr>
              <w:t>要求缴纳。</w:t>
            </w:r>
          </w:p>
        </w:tc>
      </w:tr>
      <w:tr>
        <w:tblPrEx>
          <w:tblCellMar>
            <w:top w:w="0" w:type="dxa"/>
            <w:left w:w="0" w:type="dxa"/>
            <w:bottom w:w="0" w:type="dxa"/>
            <w:right w:w="0" w:type="dxa"/>
          </w:tblCellMar>
        </w:tblPrEx>
        <w:trPr>
          <w:cantSplit/>
          <w:trHeight w:val="371" w:hRule="atLeast"/>
          <w:jc w:val="center"/>
        </w:trPr>
        <w:tc>
          <w:tcPr>
            <w:tcW w:w="628" w:type="dxa"/>
            <w:tcBorders>
              <w:top w:val="nil"/>
              <w:left w:val="single" w:color="auto" w:sz="8" w:space="0"/>
              <w:bottom w:val="single" w:color="auto" w:sz="8" w:space="0"/>
              <w:right w:val="single" w:color="auto" w:sz="8" w:space="0"/>
            </w:tcBorders>
            <w:tcMar>
              <w:top w:w="0" w:type="dxa"/>
              <w:left w:w="28" w:type="dxa"/>
              <w:bottom w:w="0" w:type="dxa"/>
              <w:right w:w="28" w:type="dxa"/>
            </w:tcMar>
            <w:vAlign w:val="center"/>
          </w:tcPr>
          <w:p>
            <w:pPr>
              <w:widowControl/>
              <w:shd w:val="clear" w:color="auto" w:fill="FFFFFF"/>
              <w:snapToGrid w:val="0"/>
              <w:spacing w:line="276" w:lineRule="auto"/>
              <w:jc w:val="center"/>
              <w:rPr>
                <w:rFonts w:ascii="宋体" w:hAnsi="宋体" w:eastAsia="宋体" w:cs="Arial"/>
                <w:kern w:val="0"/>
                <w:sz w:val="24"/>
                <w:szCs w:val="24"/>
              </w:rPr>
            </w:pPr>
            <w:r>
              <w:rPr>
                <w:rFonts w:hint="eastAsia" w:ascii="宋体" w:hAnsi="宋体" w:eastAsia="宋体" w:cs="Arial"/>
                <w:kern w:val="0"/>
                <w:sz w:val="24"/>
                <w:szCs w:val="24"/>
              </w:rPr>
              <w:t>4</w:t>
            </w:r>
          </w:p>
        </w:tc>
        <w:tc>
          <w:tcPr>
            <w:tcW w:w="8532" w:type="dxa"/>
            <w:tcBorders>
              <w:top w:val="nil"/>
              <w:left w:val="nil"/>
              <w:bottom w:val="single" w:color="auto" w:sz="8" w:space="0"/>
              <w:right w:val="single" w:color="auto" w:sz="8" w:space="0"/>
            </w:tcBorders>
            <w:tcMar>
              <w:top w:w="0" w:type="dxa"/>
              <w:left w:w="28" w:type="dxa"/>
              <w:bottom w:w="0" w:type="dxa"/>
              <w:right w:w="28" w:type="dxa"/>
            </w:tcMar>
          </w:tcPr>
          <w:p>
            <w:pPr>
              <w:widowControl/>
              <w:textAlignment w:val="center"/>
              <w:rPr>
                <w:rFonts w:ascii="宋体" w:hAnsi="宋体" w:eastAsia="宋体" w:cs="宋体"/>
                <w:sz w:val="24"/>
                <w:szCs w:val="24"/>
              </w:rPr>
            </w:pPr>
            <w:r>
              <w:rPr>
                <w:rFonts w:ascii="宋体" w:hAnsi="宋体" w:eastAsia="宋体" w:cs="宋体"/>
                <w:sz w:val="24"/>
                <w:szCs w:val="24"/>
              </w:rPr>
              <w:t>凡拟参加本次招标项目的</w:t>
            </w:r>
            <w:r>
              <w:rPr>
                <w:rFonts w:hint="eastAsia" w:ascii="宋体" w:hAnsi="宋体" w:eastAsia="宋体" w:cs="宋体"/>
                <w:sz w:val="24"/>
                <w:szCs w:val="24"/>
              </w:rPr>
              <w:t>供应商</w:t>
            </w:r>
            <w:r>
              <w:rPr>
                <w:rFonts w:ascii="宋体" w:hAnsi="宋体" w:eastAsia="宋体" w:cs="宋体"/>
                <w:sz w:val="24"/>
                <w:szCs w:val="24"/>
              </w:rPr>
              <w:t>，近三年内（本项目投标截止期前）存在下述条件中的任意一项将拒绝其参加本次采购活动：</w:t>
            </w:r>
          </w:p>
          <w:p>
            <w:pPr>
              <w:widowControl/>
              <w:textAlignment w:val="center"/>
              <w:rPr>
                <w:rFonts w:ascii="宋体" w:hAnsi="宋体" w:eastAsia="宋体" w:cs="宋体"/>
                <w:sz w:val="24"/>
                <w:szCs w:val="24"/>
              </w:rPr>
            </w:pPr>
            <w:r>
              <w:rPr>
                <w:rFonts w:ascii="宋体" w:hAnsi="宋体" w:eastAsia="宋体" w:cs="宋体"/>
                <w:sz w:val="24"/>
                <w:szCs w:val="24"/>
              </w:rPr>
              <w:t>1）“信用中国网（www.creditchina.gov.cn）”被列入失信被执行人、重大税收违法失信主体、政府采购严重违法失信行为记录名单（尚在处罚期内的）；（查询信用报告）</w:t>
            </w:r>
          </w:p>
          <w:p>
            <w:pPr>
              <w:widowControl/>
              <w:textAlignment w:val="center"/>
              <w:rPr>
                <w:rFonts w:ascii="宋体" w:hAnsi="宋体" w:eastAsia="宋体" w:cs="宋体"/>
                <w:sz w:val="24"/>
                <w:szCs w:val="24"/>
              </w:rPr>
            </w:pPr>
            <w:r>
              <w:rPr>
                <w:rFonts w:ascii="宋体" w:hAnsi="宋体" w:eastAsia="宋体" w:cs="宋体"/>
                <w:sz w:val="24"/>
                <w:szCs w:val="24"/>
              </w:rPr>
              <w:t>2）“中国政府采购网（www.ccgp.gov.cn）”被列入政府采购严重违法失信行为记录名单的（尚在处罚期内的）；（网站主页点击“政府采购严重违法失信行为记录名单”，进行查询；）</w:t>
            </w:r>
          </w:p>
          <w:p>
            <w:pPr>
              <w:rPr>
                <w:rFonts w:ascii="宋体" w:hAnsi="宋体" w:eastAsia="宋体" w:cs="Arial"/>
                <w:kern w:val="0"/>
                <w:sz w:val="24"/>
                <w:szCs w:val="24"/>
              </w:rPr>
            </w:pPr>
            <w:r>
              <w:rPr>
                <w:rFonts w:ascii="宋体" w:hAnsi="宋体" w:eastAsia="宋体" w:cs="宋体"/>
                <w:sz w:val="24"/>
                <w:szCs w:val="24"/>
              </w:rPr>
              <w:t>3）“中国裁判文书网（http://wenshu.court.gov.cn/）”有行贿受贿犯罪记录(尚在处罚期内)；（网站主页点击“高级检索-案由-刑事案件-贪污贿赂-行贿，查询单位、法定代表人（查询时先输入单位点击搜索后输入法定代表人”，进行查询）</w:t>
            </w:r>
          </w:p>
        </w:tc>
      </w:tr>
      <w:tr>
        <w:tblPrEx>
          <w:tblCellMar>
            <w:top w:w="0" w:type="dxa"/>
            <w:left w:w="0" w:type="dxa"/>
            <w:bottom w:w="0" w:type="dxa"/>
            <w:right w:w="0" w:type="dxa"/>
          </w:tblCellMar>
        </w:tblPrEx>
        <w:trPr>
          <w:cantSplit/>
          <w:trHeight w:val="371" w:hRule="atLeast"/>
          <w:jc w:val="center"/>
        </w:trPr>
        <w:tc>
          <w:tcPr>
            <w:tcW w:w="628" w:type="dxa"/>
            <w:tcBorders>
              <w:top w:val="nil"/>
              <w:left w:val="single" w:color="auto" w:sz="8" w:space="0"/>
              <w:bottom w:val="single" w:color="auto" w:sz="8" w:space="0"/>
              <w:right w:val="single" w:color="auto" w:sz="8" w:space="0"/>
            </w:tcBorders>
            <w:tcMar>
              <w:top w:w="0" w:type="dxa"/>
              <w:left w:w="28" w:type="dxa"/>
              <w:bottom w:w="0" w:type="dxa"/>
              <w:right w:w="28" w:type="dxa"/>
            </w:tcMar>
            <w:vAlign w:val="center"/>
          </w:tcPr>
          <w:p>
            <w:pPr>
              <w:widowControl/>
              <w:shd w:val="clear" w:color="auto" w:fill="FFFFFF"/>
              <w:snapToGrid w:val="0"/>
              <w:spacing w:line="276" w:lineRule="auto"/>
              <w:jc w:val="center"/>
              <w:rPr>
                <w:rFonts w:ascii="宋体" w:hAnsi="宋体" w:eastAsia="宋体" w:cs="Arial"/>
                <w:kern w:val="0"/>
                <w:sz w:val="24"/>
                <w:szCs w:val="24"/>
              </w:rPr>
            </w:pPr>
            <w:r>
              <w:rPr>
                <w:rFonts w:hint="eastAsia" w:ascii="宋体" w:hAnsi="宋体" w:eastAsia="宋体" w:cs="Arial"/>
                <w:kern w:val="0"/>
                <w:sz w:val="24"/>
                <w:szCs w:val="24"/>
              </w:rPr>
              <w:t>5</w:t>
            </w:r>
          </w:p>
        </w:tc>
        <w:tc>
          <w:tcPr>
            <w:tcW w:w="8532" w:type="dxa"/>
            <w:tcBorders>
              <w:top w:val="nil"/>
              <w:left w:val="nil"/>
              <w:bottom w:val="single" w:color="auto" w:sz="8" w:space="0"/>
              <w:right w:val="single" w:color="auto" w:sz="8" w:space="0"/>
            </w:tcBorders>
            <w:tcMar>
              <w:top w:w="0" w:type="dxa"/>
              <w:left w:w="28" w:type="dxa"/>
              <w:bottom w:w="0" w:type="dxa"/>
              <w:right w:w="28" w:type="dxa"/>
            </w:tcMar>
          </w:tcPr>
          <w:p>
            <w:pPr>
              <w:rPr>
                <w:rFonts w:ascii="宋体" w:hAnsi="宋体" w:eastAsia="宋体" w:cs="宋体"/>
                <w:sz w:val="24"/>
                <w:szCs w:val="24"/>
              </w:rPr>
            </w:pPr>
            <w:r>
              <w:rPr>
                <w:rFonts w:hint="eastAsia" w:ascii="宋体" w:hAnsi="宋体" w:eastAsia="宋体" w:cs="宋体"/>
                <w:sz w:val="24"/>
                <w:szCs w:val="24"/>
              </w:rPr>
              <w:t>供应商应具备完成本项目服务的相关能力（包含人员、设备等）；</w:t>
            </w:r>
          </w:p>
        </w:tc>
      </w:tr>
      <w:tr>
        <w:tblPrEx>
          <w:tblCellMar>
            <w:top w:w="0" w:type="dxa"/>
            <w:left w:w="0" w:type="dxa"/>
            <w:bottom w:w="0" w:type="dxa"/>
            <w:right w:w="0" w:type="dxa"/>
          </w:tblCellMar>
        </w:tblPrEx>
        <w:trPr>
          <w:cantSplit/>
          <w:trHeight w:val="371" w:hRule="atLeast"/>
          <w:jc w:val="center"/>
        </w:trPr>
        <w:tc>
          <w:tcPr>
            <w:tcW w:w="628" w:type="dxa"/>
            <w:tcBorders>
              <w:top w:val="nil"/>
              <w:left w:val="single" w:color="auto" w:sz="8" w:space="0"/>
              <w:bottom w:val="single" w:color="auto" w:sz="8" w:space="0"/>
              <w:right w:val="single" w:color="auto" w:sz="8" w:space="0"/>
            </w:tcBorders>
            <w:tcMar>
              <w:top w:w="0" w:type="dxa"/>
              <w:left w:w="28" w:type="dxa"/>
              <w:bottom w:w="0" w:type="dxa"/>
              <w:right w:w="28" w:type="dxa"/>
            </w:tcMar>
            <w:vAlign w:val="center"/>
          </w:tcPr>
          <w:p>
            <w:pPr>
              <w:widowControl/>
              <w:shd w:val="clear" w:color="auto" w:fill="FFFFFF"/>
              <w:snapToGrid w:val="0"/>
              <w:spacing w:line="276" w:lineRule="auto"/>
              <w:jc w:val="center"/>
              <w:rPr>
                <w:rFonts w:ascii="宋体" w:hAnsi="宋体" w:eastAsia="宋体" w:cs="Arial"/>
                <w:kern w:val="0"/>
                <w:sz w:val="24"/>
                <w:szCs w:val="24"/>
              </w:rPr>
            </w:pPr>
            <w:r>
              <w:rPr>
                <w:rFonts w:hint="eastAsia" w:ascii="宋体" w:hAnsi="宋体" w:eastAsia="宋体" w:cs="Arial"/>
                <w:kern w:val="0"/>
                <w:sz w:val="24"/>
                <w:szCs w:val="24"/>
              </w:rPr>
              <w:t>6</w:t>
            </w:r>
          </w:p>
        </w:tc>
        <w:tc>
          <w:tcPr>
            <w:tcW w:w="8532" w:type="dxa"/>
            <w:tcBorders>
              <w:top w:val="nil"/>
              <w:left w:val="nil"/>
              <w:bottom w:val="single" w:color="auto" w:sz="8" w:space="0"/>
              <w:right w:val="single" w:color="auto" w:sz="8" w:space="0"/>
            </w:tcBorders>
            <w:tcMar>
              <w:top w:w="0" w:type="dxa"/>
              <w:left w:w="28" w:type="dxa"/>
              <w:bottom w:w="0" w:type="dxa"/>
              <w:right w:w="28" w:type="dxa"/>
            </w:tcMar>
          </w:tcPr>
          <w:p>
            <w:pPr>
              <w:rPr>
                <w:rFonts w:ascii="宋体" w:hAnsi="宋体" w:eastAsia="宋体" w:cs="宋体"/>
                <w:sz w:val="24"/>
                <w:szCs w:val="24"/>
              </w:rPr>
            </w:pPr>
            <w:r>
              <w:rPr>
                <w:rFonts w:hint="eastAsia" w:ascii="宋体" w:hAnsi="宋体" w:eastAsia="宋体" w:cs="宋体"/>
                <w:sz w:val="24"/>
                <w:szCs w:val="24"/>
              </w:rPr>
              <w:t>参加招投标活动前三年内，在经营活动中没重大违法记录（受行政主管部门处罚的不能参加投标）；</w:t>
            </w:r>
          </w:p>
        </w:tc>
      </w:tr>
      <w:tr>
        <w:tblPrEx>
          <w:tblCellMar>
            <w:top w:w="0" w:type="dxa"/>
            <w:left w:w="0" w:type="dxa"/>
            <w:bottom w:w="0" w:type="dxa"/>
            <w:right w:w="0" w:type="dxa"/>
          </w:tblCellMar>
        </w:tblPrEx>
        <w:trPr>
          <w:cantSplit/>
          <w:trHeight w:val="950" w:hRule="atLeast"/>
          <w:jc w:val="center"/>
        </w:trPr>
        <w:tc>
          <w:tcPr>
            <w:tcW w:w="9160" w:type="dxa"/>
            <w:gridSpan w:val="2"/>
            <w:tcBorders>
              <w:top w:val="single" w:color="auto" w:sz="8" w:space="0"/>
              <w:left w:val="single" w:color="auto" w:sz="8" w:space="0"/>
              <w:bottom w:val="single" w:color="auto" w:sz="8" w:space="0"/>
              <w:right w:val="single" w:color="auto" w:sz="8" w:space="0"/>
            </w:tcBorders>
            <w:tcMar>
              <w:top w:w="0" w:type="dxa"/>
              <w:left w:w="28" w:type="dxa"/>
              <w:bottom w:w="0" w:type="dxa"/>
              <w:right w:w="28" w:type="dxa"/>
            </w:tcMar>
            <w:vAlign w:val="center"/>
          </w:tcPr>
          <w:p>
            <w:pPr>
              <w:widowControl/>
              <w:shd w:val="clear" w:color="auto" w:fill="FFFFFF"/>
              <w:snapToGrid w:val="0"/>
              <w:spacing w:line="276" w:lineRule="auto"/>
              <w:jc w:val="left"/>
              <w:rPr>
                <w:rFonts w:ascii="宋体" w:hAnsi="宋体" w:eastAsia="宋体" w:cs="Arial"/>
                <w:kern w:val="0"/>
                <w:sz w:val="24"/>
                <w:szCs w:val="24"/>
              </w:rPr>
            </w:pPr>
            <w:r>
              <w:rPr>
                <w:rFonts w:hint="eastAsia" w:ascii="宋体" w:hAnsi="宋体" w:eastAsia="宋体" w:cs="Arial"/>
                <w:kern w:val="0"/>
                <w:sz w:val="24"/>
                <w:szCs w:val="24"/>
              </w:rPr>
              <w:t>备注：如果资格磋商中有一项不满足审查标准的，采购人将认定该供应商不通过资格审查，</w:t>
            </w:r>
            <w:r>
              <w:rPr>
                <w:rFonts w:hint="eastAsia" w:ascii="宋体" w:hAnsi="宋体" w:eastAsia="宋体" w:cs="Arial"/>
                <w:kern w:val="0"/>
                <w:sz w:val="24"/>
                <w:szCs w:val="24"/>
                <w:lang w:eastAsia="zh-CN"/>
              </w:rPr>
              <w:t>磋商响应文件</w:t>
            </w:r>
            <w:r>
              <w:rPr>
                <w:rFonts w:hint="eastAsia" w:ascii="宋体" w:hAnsi="宋体" w:eastAsia="宋体" w:cs="Arial"/>
                <w:kern w:val="0"/>
                <w:sz w:val="24"/>
                <w:szCs w:val="24"/>
              </w:rPr>
              <w:t>将被拒绝磋商。并且不允许供应商通过修改或撤销其不符合要求的差异或保留，使之成为具有响应性的投标。</w:t>
            </w:r>
          </w:p>
        </w:tc>
      </w:tr>
    </w:tbl>
    <w:p>
      <w:pPr>
        <w:widowControl/>
        <w:shd w:val="clear" w:color="auto" w:fill="FFFFFF"/>
        <w:snapToGrid w:val="0"/>
        <w:spacing w:line="276" w:lineRule="auto"/>
        <w:jc w:val="center"/>
        <w:rPr>
          <w:rFonts w:ascii="宋体" w:hAnsi="宋体" w:eastAsia="宋体" w:cs="Arial"/>
          <w:b/>
          <w:kern w:val="0"/>
          <w:sz w:val="24"/>
          <w:szCs w:val="24"/>
        </w:rPr>
      </w:pPr>
      <w:bookmarkStart w:id="46" w:name="_Toc501719167"/>
    </w:p>
    <w:p>
      <w:pPr>
        <w:widowControl/>
        <w:shd w:val="clear" w:color="auto" w:fill="FFFFFF"/>
        <w:snapToGrid w:val="0"/>
        <w:spacing w:line="276" w:lineRule="auto"/>
        <w:jc w:val="center"/>
        <w:rPr>
          <w:rFonts w:ascii="宋体" w:hAnsi="宋体" w:eastAsia="宋体" w:cs="Arial"/>
          <w:b/>
          <w:kern w:val="0"/>
          <w:sz w:val="24"/>
          <w:szCs w:val="24"/>
        </w:rPr>
      </w:pPr>
      <w:r>
        <w:rPr>
          <w:rFonts w:hint="eastAsia" w:ascii="宋体" w:hAnsi="宋体" w:eastAsia="宋体" w:cs="Arial"/>
          <w:b/>
          <w:kern w:val="0"/>
          <w:sz w:val="24"/>
          <w:szCs w:val="24"/>
        </w:rPr>
        <w:t>《完备性及符合性审查标准》</w:t>
      </w:r>
      <w:bookmarkEnd w:id="46"/>
    </w:p>
    <w:tbl>
      <w:tblPr>
        <w:tblStyle w:val="38"/>
        <w:tblW w:w="9177" w:type="dxa"/>
        <w:jc w:val="center"/>
        <w:tblLayout w:type="fixed"/>
        <w:tblCellMar>
          <w:top w:w="0" w:type="dxa"/>
          <w:left w:w="0" w:type="dxa"/>
          <w:bottom w:w="0" w:type="dxa"/>
          <w:right w:w="0" w:type="dxa"/>
        </w:tblCellMar>
      </w:tblPr>
      <w:tblGrid>
        <w:gridCol w:w="621"/>
        <w:gridCol w:w="8556"/>
      </w:tblGrid>
      <w:tr>
        <w:tblPrEx>
          <w:tblCellMar>
            <w:top w:w="0" w:type="dxa"/>
            <w:left w:w="0" w:type="dxa"/>
            <w:bottom w:w="0" w:type="dxa"/>
            <w:right w:w="0" w:type="dxa"/>
          </w:tblCellMar>
        </w:tblPrEx>
        <w:trPr>
          <w:cantSplit/>
          <w:trHeight w:val="465" w:hRule="atLeast"/>
          <w:jc w:val="center"/>
        </w:trPr>
        <w:tc>
          <w:tcPr>
            <w:tcW w:w="621" w:type="dxa"/>
            <w:tcBorders>
              <w:top w:val="single" w:color="auto" w:sz="8" w:space="0"/>
              <w:left w:val="single" w:color="auto" w:sz="8" w:space="0"/>
              <w:bottom w:val="single" w:color="auto" w:sz="8" w:space="0"/>
              <w:right w:val="single" w:color="auto" w:sz="8" w:space="0"/>
            </w:tcBorders>
            <w:vAlign w:val="center"/>
          </w:tcPr>
          <w:p>
            <w:pPr>
              <w:widowControl/>
              <w:shd w:val="clear" w:color="auto" w:fill="FFFFFF"/>
              <w:snapToGrid w:val="0"/>
              <w:spacing w:line="276" w:lineRule="auto"/>
              <w:rPr>
                <w:rFonts w:ascii="宋体" w:hAnsi="宋体" w:eastAsia="宋体" w:cs="Arial"/>
                <w:kern w:val="0"/>
                <w:sz w:val="24"/>
                <w:szCs w:val="24"/>
              </w:rPr>
            </w:pPr>
            <w:r>
              <w:rPr>
                <w:rFonts w:hint="eastAsia" w:ascii="宋体" w:hAnsi="宋体" w:eastAsia="宋体" w:cs="Arial"/>
                <w:kern w:val="0"/>
                <w:sz w:val="24"/>
                <w:szCs w:val="24"/>
              </w:rPr>
              <w:t>序号</w:t>
            </w:r>
          </w:p>
        </w:tc>
        <w:tc>
          <w:tcPr>
            <w:tcW w:w="8556" w:type="dxa"/>
            <w:tcBorders>
              <w:top w:val="single" w:color="auto" w:sz="8" w:space="0"/>
              <w:left w:val="single" w:color="auto" w:sz="8" w:space="0"/>
              <w:bottom w:val="single" w:color="auto" w:sz="8" w:space="0"/>
              <w:right w:val="single" w:color="auto" w:sz="8" w:space="0"/>
            </w:tcBorders>
            <w:vAlign w:val="center"/>
          </w:tcPr>
          <w:p>
            <w:pPr>
              <w:widowControl/>
              <w:shd w:val="clear" w:color="auto" w:fill="FFFFFF"/>
              <w:snapToGrid w:val="0"/>
              <w:spacing w:line="276" w:lineRule="auto"/>
              <w:jc w:val="center"/>
              <w:rPr>
                <w:rFonts w:ascii="宋体" w:hAnsi="宋体" w:eastAsia="宋体" w:cs="Arial"/>
                <w:kern w:val="0"/>
                <w:sz w:val="24"/>
                <w:szCs w:val="24"/>
              </w:rPr>
            </w:pPr>
            <w:r>
              <w:rPr>
                <w:rFonts w:hint="eastAsia" w:ascii="宋体" w:hAnsi="宋体" w:eastAsia="宋体" w:cs="Arial"/>
                <w:kern w:val="0"/>
                <w:sz w:val="24"/>
                <w:szCs w:val="24"/>
              </w:rPr>
              <w:t>磋商标准</w:t>
            </w:r>
          </w:p>
        </w:tc>
      </w:tr>
      <w:tr>
        <w:tblPrEx>
          <w:tblCellMar>
            <w:top w:w="0" w:type="dxa"/>
            <w:left w:w="0" w:type="dxa"/>
            <w:bottom w:w="0" w:type="dxa"/>
            <w:right w:w="0" w:type="dxa"/>
          </w:tblCellMar>
        </w:tblPrEx>
        <w:trPr>
          <w:cantSplit/>
          <w:trHeight w:val="20" w:hRule="atLeast"/>
          <w:jc w:val="center"/>
        </w:trPr>
        <w:tc>
          <w:tcPr>
            <w:tcW w:w="621" w:type="dxa"/>
            <w:tcBorders>
              <w:top w:val="nil"/>
              <w:left w:val="single" w:color="auto" w:sz="8" w:space="0"/>
              <w:bottom w:val="single" w:color="auto" w:sz="8" w:space="0"/>
              <w:right w:val="single" w:color="auto" w:sz="8" w:space="0"/>
            </w:tcBorders>
            <w:tcMar>
              <w:top w:w="0" w:type="dxa"/>
              <w:left w:w="28" w:type="dxa"/>
              <w:bottom w:w="0" w:type="dxa"/>
              <w:right w:w="28" w:type="dxa"/>
            </w:tcMar>
            <w:vAlign w:val="center"/>
          </w:tcPr>
          <w:p>
            <w:pPr>
              <w:widowControl/>
              <w:shd w:val="clear" w:color="auto" w:fill="FFFFFF"/>
              <w:snapToGrid w:val="0"/>
              <w:spacing w:line="276" w:lineRule="auto"/>
              <w:jc w:val="center"/>
              <w:rPr>
                <w:rFonts w:ascii="宋体" w:hAnsi="宋体" w:eastAsia="宋体" w:cs="Arial"/>
                <w:kern w:val="0"/>
                <w:sz w:val="24"/>
                <w:szCs w:val="24"/>
              </w:rPr>
            </w:pPr>
            <w:r>
              <w:rPr>
                <w:rFonts w:ascii="宋体" w:hAnsi="宋体" w:eastAsia="宋体" w:cs="Arial"/>
                <w:kern w:val="0"/>
                <w:sz w:val="24"/>
                <w:szCs w:val="24"/>
              </w:rPr>
              <w:t>1</w:t>
            </w:r>
          </w:p>
        </w:tc>
        <w:tc>
          <w:tcPr>
            <w:tcW w:w="8556" w:type="dxa"/>
            <w:tcBorders>
              <w:top w:val="nil"/>
              <w:left w:val="nil"/>
              <w:bottom w:val="single" w:color="auto" w:sz="8" w:space="0"/>
              <w:right w:val="single" w:color="auto" w:sz="8" w:space="0"/>
            </w:tcBorders>
            <w:tcMar>
              <w:top w:w="0" w:type="dxa"/>
              <w:left w:w="28" w:type="dxa"/>
              <w:bottom w:w="0" w:type="dxa"/>
              <w:right w:w="28" w:type="dxa"/>
            </w:tcMar>
          </w:tcPr>
          <w:p>
            <w:pPr>
              <w:rPr>
                <w:rFonts w:ascii="宋体" w:hAnsi="宋体" w:eastAsia="宋体" w:cs="Arial"/>
                <w:kern w:val="0"/>
                <w:sz w:val="24"/>
                <w:szCs w:val="24"/>
              </w:rPr>
            </w:pPr>
            <w:r>
              <w:rPr>
                <w:rFonts w:hint="eastAsia" w:ascii="宋体" w:hAnsi="宋体" w:cs="宋体"/>
                <w:kern w:val="0"/>
                <w:sz w:val="24"/>
                <w:szCs w:val="24"/>
              </w:rPr>
              <w:t>响应文件按</w:t>
            </w:r>
            <w:r>
              <w:rPr>
                <w:rFonts w:hint="eastAsia" w:ascii="宋体" w:hAnsi="宋体" w:cs="宋体"/>
                <w:kern w:val="0"/>
                <w:sz w:val="24"/>
                <w:szCs w:val="24"/>
                <w:lang w:eastAsia="zh-CN"/>
              </w:rPr>
              <w:t>磋商响应文件</w:t>
            </w:r>
            <w:r>
              <w:rPr>
                <w:rFonts w:hint="eastAsia" w:ascii="宋体" w:hAnsi="宋体" w:cs="宋体"/>
                <w:kern w:val="0"/>
                <w:sz w:val="24"/>
                <w:szCs w:val="24"/>
              </w:rPr>
              <w:t>规定格式完整提供的；</w:t>
            </w:r>
            <w:r>
              <w:rPr>
                <w:rFonts w:hint="eastAsia" w:ascii="宋体" w:hAnsi="宋体" w:eastAsia="宋体" w:cs="Arial"/>
                <w:kern w:val="0"/>
                <w:sz w:val="24"/>
                <w:szCs w:val="24"/>
                <w:lang w:eastAsia="zh-CN"/>
              </w:rPr>
              <w:t>磋商响应文件</w:t>
            </w:r>
            <w:r>
              <w:rPr>
                <w:rFonts w:hint="eastAsia" w:ascii="宋体" w:hAnsi="宋体" w:eastAsia="宋体" w:cs="Arial"/>
                <w:kern w:val="0"/>
                <w:sz w:val="24"/>
                <w:szCs w:val="24"/>
              </w:rPr>
              <w:t>要求加盖供应商章、法定代表人章处必须加盖；</w:t>
            </w:r>
          </w:p>
        </w:tc>
      </w:tr>
      <w:tr>
        <w:tblPrEx>
          <w:tblCellMar>
            <w:top w:w="0" w:type="dxa"/>
            <w:left w:w="0" w:type="dxa"/>
            <w:bottom w:w="0" w:type="dxa"/>
            <w:right w:w="0" w:type="dxa"/>
          </w:tblCellMar>
        </w:tblPrEx>
        <w:trPr>
          <w:cantSplit/>
          <w:trHeight w:val="20" w:hRule="atLeast"/>
          <w:jc w:val="center"/>
        </w:trPr>
        <w:tc>
          <w:tcPr>
            <w:tcW w:w="621" w:type="dxa"/>
            <w:tcBorders>
              <w:top w:val="nil"/>
              <w:left w:val="single" w:color="auto" w:sz="8" w:space="0"/>
              <w:bottom w:val="single" w:color="auto" w:sz="8" w:space="0"/>
              <w:right w:val="single" w:color="auto" w:sz="8" w:space="0"/>
            </w:tcBorders>
            <w:tcMar>
              <w:top w:w="0" w:type="dxa"/>
              <w:left w:w="28" w:type="dxa"/>
              <w:bottom w:w="0" w:type="dxa"/>
              <w:right w:w="28" w:type="dxa"/>
            </w:tcMar>
            <w:vAlign w:val="center"/>
          </w:tcPr>
          <w:p>
            <w:pPr>
              <w:widowControl/>
              <w:shd w:val="clear" w:color="auto" w:fill="FFFFFF"/>
              <w:snapToGrid w:val="0"/>
              <w:spacing w:line="276" w:lineRule="auto"/>
              <w:jc w:val="center"/>
              <w:rPr>
                <w:rFonts w:ascii="宋体" w:hAnsi="宋体" w:eastAsia="宋体" w:cs="Arial"/>
                <w:kern w:val="0"/>
                <w:sz w:val="24"/>
                <w:szCs w:val="24"/>
              </w:rPr>
            </w:pPr>
            <w:r>
              <w:rPr>
                <w:rFonts w:ascii="宋体" w:hAnsi="宋体" w:eastAsia="宋体" w:cs="Arial"/>
                <w:kern w:val="0"/>
                <w:sz w:val="24"/>
                <w:szCs w:val="24"/>
              </w:rPr>
              <w:t>2</w:t>
            </w:r>
          </w:p>
        </w:tc>
        <w:tc>
          <w:tcPr>
            <w:tcW w:w="8556" w:type="dxa"/>
            <w:tcBorders>
              <w:top w:val="nil"/>
              <w:left w:val="nil"/>
              <w:bottom w:val="single" w:color="auto" w:sz="8" w:space="0"/>
              <w:right w:val="single" w:color="auto" w:sz="8" w:space="0"/>
            </w:tcBorders>
            <w:tcMar>
              <w:top w:w="0" w:type="dxa"/>
              <w:left w:w="28" w:type="dxa"/>
              <w:bottom w:w="0" w:type="dxa"/>
              <w:right w:w="28" w:type="dxa"/>
            </w:tcMar>
          </w:tcPr>
          <w:p>
            <w:pPr>
              <w:rPr>
                <w:rFonts w:ascii="宋体" w:hAnsi="宋体" w:eastAsia="宋体" w:cs="Arial"/>
                <w:kern w:val="0"/>
                <w:sz w:val="24"/>
                <w:szCs w:val="24"/>
              </w:rPr>
            </w:pPr>
            <w:r>
              <w:rPr>
                <w:rFonts w:hint="eastAsia" w:ascii="宋体" w:hAnsi="宋体" w:eastAsia="宋体" w:cs="Arial"/>
                <w:kern w:val="0"/>
                <w:sz w:val="24"/>
                <w:szCs w:val="24"/>
              </w:rPr>
              <w:t>投标价格明细表必须完整填写；</w:t>
            </w:r>
          </w:p>
        </w:tc>
      </w:tr>
      <w:tr>
        <w:tblPrEx>
          <w:tblCellMar>
            <w:top w:w="0" w:type="dxa"/>
            <w:left w:w="0" w:type="dxa"/>
            <w:bottom w:w="0" w:type="dxa"/>
            <w:right w:w="0" w:type="dxa"/>
          </w:tblCellMar>
        </w:tblPrEx>
        <w:trPr>
          <w:cantSplit/>
          <w:trHeight w:val="20" w:hRule="atLeast"/>
          <w:jc w:val="center"/>
        </w:trPr>
        <w:tc>
          <w:tcPr>
            <w:tcW w:w="621" w:type="dxa"/>
            <w:tcBorders>
              <w:top w:val="nil"/>
              <w:left w:val="single" w:color="auto" w:sz="8" w:space="0"/>
              <w:bottom w:val="single" w:color="auto" w:sz="8" w:space="0"/>
              <w:right w:val="single" w:color="auto" w:sz="8" w:space="0"/>
            </w:tcBorders>
            <w:tcMar>
              <w:top w:w="0" w:type="dxa"/>
              <w:left w:w="28" w:type="dxa"/>
              <w:bottom w:w="0" w:type="dxa"/>
              <w:right w:w="28" w:type="dxa"/>
            </w:tcMar>
            <w:vAlign w:val="center"/>
          </w:tcPr>
          <w:p>
            <w:pPr>
              <w:widowControl/>
              <w:shd w:val="clear" w:color="auto" w:fill="FFFFFF"/>
              <w:snapToGrid w:val="0"/>
              <w:spacing w:line="276" w:lineRule="auto"/>
              <w:jc w:val="center"/>
              <w:rPr>
                <w:rFonts w:ascii="宋体" w:hAnsi="宋体" w:eastAsia="宋体" w:cs="Arial"/>
                <w:kern w:val="0"/>
                <w:sz w:val="24"/>
                <w:szCs w:val="24"/>
              </w:rPr>
            </w:pPr>
            <w:r>
              <w:rPr>
                <w:rFonts w:ascii="宋体" w:hAnsi="宋体" w:eastAsia="宋体" w:cs="Arial"/>
                <w:kern w:val="0"/>
                <w:sz w:val="24"/>
                <w:szCs w:val="24"/>
              </w:rPr>
              <w:t>3</w:t>
            </w:r>
          </w:p>
        </w:tc>
        <w:tc>
          <w:tcPr>
            <w:tcW w:w="8556" w:type="dxa"/>
            <w:tcBorders>
              <w:top w:val="nil"/>
              <w:left w:val="nil"/>
              <w:bottom w:val="single" w:color="auto" w:sz="8" w:space="0"/>
              <w:right w:val="single" w:color="auto" w:sz="8" w:space="0"/>
            </w:tcBorders>
            <w:tcMar>
              <w:top w:w="0" w:type="dxa"/>
              <w:left w:w="28" w:type="dxa"/>
              <w:bottom w:w="0" w:type="dxa"/>
              <w:right w:w="28" w:type="dxa"/>
            </w:tcMar>
          </w:tcPr>
          <w:p>
            <w:pPr>
              <w:rPr>
                <w:rFonts w:ascii="宋体" w:hAnsi="宋体" w:eastAsia="宋体" w:cs="Arial"/>
                <w:kern w:val="0"/>
                <w:sz w:val="24"/>
                <w:szCs w:val="24"/>
              </w:rPr>
            </w:pPr>
            <w:r>
              <w:rPr>
                <w:rFonts w:hint="eastAsia" w:ascii="宋体" w:hAnsi="宋体" w:eastAsia="宋体" w:cs="Arial"/>
                <w:kern w:val="0"/>
                <w:sz w:val="24"/>
                <w:szCs w:val="24"/>
              </w:rPr>
              <w:t>服务周期必须满足</w:t>
            </w:r>
            <w:r>
              <w:rPr>
                <w:rFonts w:hint="eastAsia" w:ascii="宋体" w:hAnsi="宋体" w:eastAsia="宋体" w:cs="Arial"/>
                <w:kern w:val="0"/>
                <w:sz w:val="24"/>
                <w:szCs w:val="24"/>
                <w:lang w:eastAsia="zh-CN"/>
              </w:rPr>
              <w:t>竞争性磋商文件</w:t>
            </w:r>
            <w:r>
              <w:rPr>
                <w:rFonts w:hint="eastAsia" w:ascii="宋体" w:hAnsi="宋体" w:eastAsia="宋体" w:cs="Arial"/>
                <w:kern w:val="0"/>
                <w:sz w:val="24"/>
                <w:szCs w:val="24"/>
              </w:rPr>
              <w:t>要求；</w:t>
            </w:r>
          </w:p>
        </w:tc>
      </w:tr>
      <w:tr>
        <w:tblPrEx>
          <w:tblCellMar>
            <w:top w:w="0" w:type="dxa"/>
            <w:left w:w="0" w:type="dxa"/>
            <w:bottom w:w="0" w:type="dxa"/>
            <w:right w:w="0" w:type="dxa"/>
          </w:tblCellMar>
        </w:tblPrEx>
        <w:trPr>
          <w:cantSplit/>
          <w:trHeight w:val="20" w:hRule="atLeast"/>
          <w:jc w:val="center"/>
        </w:trPr>
        <w:tc>
          <w:tcPr>
            <w:tcW w:w="621" w:type="dxa"/>
            <w:tcBorders>
              <w:top w:val="nil"/>
              <w:left w:val="single" w:color="auto" w:sz="8" w:space="0"/>
              <w:bottom w:val="single" w:color="auto" w:sz="8" w:space="0"/>
              <w:right w:val="single" w:color="auto" w:sz="8" w:space="0"/>
            </w:tcBorders>
            <w:tcMar>
              <w:top w:w="0" w:type="dxa"/>
              <w:left w:w="28" w:type="dxa"/>
              <w:bottom w:w="0" w:type="dxa"/>
              <w:right w:w="28" w:type="dxa"/>
            </w:tcMar>
            <w:vAlign w:val="center"/>
          </w:tcPr>
          <w:p>
            <w:pPr>
              <w:widowControl/>
              <w:shd w:val="clear" w:color="auto" w:fill="FFFFFF"/>
              <w:snapToGrid w:val="0"/>
              <w:spacing w:line="276" w:lineRule="auto"/>
              <w:jc w:val="center"/>
              <w:rPr>
                <w:rFonts w:ascii="宋体" w:hAnsi="宋体" w:eastAsia="宋体" w:cs="Arial"/>
                <w:kern w:val="0"/>
                <w:sz w:val="24"/>
                <w:szCs w:val="24"/>
              </w:rPr>
            </w:pPr>
            <w:r>
              <w:rPr>
                <w:rFonts w:hint="eastAsia" w:ascii="宋体" w:hAnsi="宋体" w:eastAsia="宋体" w:cs="Arial"/>
                <w:kern w:val="0"/>
                <w:sz w:val="24"/>
                <w:szCs w:val="24"/>
              </w:rPr>
              <w:t>4</w:t>
            </w:r>
          </w:p>
        </w:tc>
        <w:tc>
          <w:tcPr>
            <w:tcW w:w="8556" w:type="dxa"/>
            <w:tcBorders>
              <w:top w:val="nil"/>
              <w:left w:val="nil"/>
              <w:bottom w:val="single" w:color="auto" w:sz="8" w:space="0"/>
              <w:right w:val="single" w:color="auto" w:sz="8" w:space="0"/>
            </w:tcBorders>
            <w:tcMar>
              <w:top w:w="0" w:type="dxa"/>
              <w:left w:w="28" w:type="dxa"/>
              <w:bottom w:w="0" w:type="dxa"/>
              <w:right w:w="28" w:type="dxa"/>
            </w:tcMar>
          </w:tcPr>
          <w:p>
            <w:pPr>
              <w:rPr>
                <w:rFonts w:ascii="宋体" w:hAnsi="宋体" w:eastAsia="宋体" w:cs="Arial"/>
                <w:kern w:val="0"/>
                <w:sz w:val="24"/>
                <w:szCs w:val="24"/>
              </w:rPr>
            </w:pPr>
            <w:r>
              <w:rPr>
                <w:rFonts w:hint="eastAsia" w:ascii="宋体" w:hAnsi="宋体" w:eastAsia="宋体" w:cs="Arial"/>
                <w:kern w:val="0"/>
                <w:sz w:val="24"/>
                <w:szCs w:val="24"/>
              </w:rPr>
              <w:t>投标价格不得超过供应商须知前附表中的采购预算金额；</w:t>
            </w:r>
          </w:p>
        </w:tc>
      </w:tr>
      <w:tr>
        <w:tblPrEx>
          <w:tblCellMar>
            <w:top w:w="0" w:type="dxa"/>
            <w:left w:w="0" w:type="dxa"/>
            <w:bottom w:w="0" w:type="dxa"/>
            <w:right w:w="0" w:type="dxa"/>
          </w:tblCellMar>
        </w:tblPrEx>
        <w:trPr>
          <w:cantSplit/>
          <w:trHeight w:val="20" w:hRule="atLeast"/>
          <w:jc w:val="center"/>
        </w:trPr>
        <w:tc>
          <w:tcPr>
            <w:tcW w:w="621" w:type="dxa"/>
            <w:tcBorders>
              <w:top w:val="nil"/>
              <w:left w:val="single" w:color="auto" w:sz="8" w:space="0"/>
              <w:bottom w:val="single" w:color="auto" w:sz="8" w:space="0"/>
              <w:right w:val="single" w:color="auto" w:sz="8" w:space="0"/>
            </w:tcBorders>
            <w:tcMar>
              <w:top w:w="0" w:type="dxa"/>
              <w:left w:w="28" w:type="dxa"/>
              <w:bottom w:w="0" w:type="dxa"/>
              <w:right w:w="28" w:type="dxa"/>
            </w:tcMar>
            <w:vAlign w:val="center"/>
          </w:tcPr>
          <w:p>
            <w:pPr>
              <w:widowControl/>
              <w:shd w:val="clear" w:color="auto" w:fill="FFFFFF"/>
              <w:snapToGrid w:val="0"/>
              <w:spacing w:line="276" w:lineRule="auto"/>
              <w:jc w:val="center"/>
              <w:rPr>
                <w:rFonts w:ascii="宋体" w:hAnsi="宋体" w:eastAsia="宋体" w:cs="Arial"/>
                <w:kern w:val="0"/>
                <w:sz w:val="24"/>
                <w:szCs w:val="24"/>
              </w:rPr>
            </w:pPr>
            <w:r>
              <w:rPr>
                <w:rFonts w:hint="eastAsia" w:ascii="宋体" w:hAnsi="宋体" w:eastAsia="宋体" w:cs="Arial"/>
                <w:kern w:val="0"/>
                <w:sz w:val="24"/>
                <w:szCs w:val="24"/>
              </w:rPr>
              <w:t>5</w:t>
            </w:r>
          </w:p>
        </w:tc>
        <w:tc>
          <w:tcPr>
            <w:tcW w:w="8556" w:type="dxa"/>
            <w:tcBorders>
              <w:top w:val="nil"/>
              <w:left w:val="nil"/>
              <w:bottom w:val="single" w:color="auto" w:sz="8" w:space="0"/>
              <w:right w:val="single" w:color="auto" w:sz="8" w:space="0"/>
            </w:tcBorders>
            <w:tcMar>
              <w:top w:w="0" w:type="dxa"/>
              <w:left w:w="28" w:type="dxa"/>
              <w:bottom w:w="0" w:type="dxa"/>
              <w:right w:w="28" w:type="dxa"/>
            </w:tcMar>
          </w:tcPr>
          <w:p>
            <w:pPr>
              <w:rPr>
                <w:rFonts w:ascii="宋体" w:hAnsi="宋体" w:eastAsia="宋体" w:cs="Arial"/>
                <w:kern w:val="0"/>
                <w:sz w:val="24"/>
                <w:szCs w:val="24"/>
              </w:rPr>
            </w:pPr>
            <w:r>
              <w:rPr>
                <w:rFonts w:hint="eastAsia" w:ascii="宋体" w:hAnsi="宋体" w:cs="宋体"/>
                <w:kern w:val="0"/>
                <w:sz w:val="24"/>
                <w:szCs w:val="24"/>
              </w:rPr>
              <w:t>投标保证金的缴纳主体与供应商不一致的，没有按照</w:t>
            </w:r>
            <w:r>
              <w:rPr>
                <w:rFonts w:hint="eastAsia" w:ascii="宋体" w:hAnsi="宋体" w:cs="宋体"/>
                <w:kern w:val="0"/>
                <w:sz w:val="24"/>
                <w:szCs w:val="24"/>
                <w:lang w:eastAsia="zh-CN"/>
              </w:rPr>
              <w:t>磋商响应文件</w:t>
            </w:r>
            <w:r>
              <w:rPr>
                <w:rFonts w:hint="eastAsia" w:ascii="宋体" w:hAnsi="宋体" w:cs="宋体"/>
                <w:kern w:val="0"/>
                <w:sz w:val="24"/>
                <w:szCs w:val="24"/>
              </w:rPr>
              <w:t>要求提供投标担保，或者所提供的投标担保有瑕疵的；</w:t>
            </w:r>
          </w:p>
        </w:tc>
      </w:tr>
      <w:tr>
        <w:tblPrEx>
          <w:tblCellMar>
            <w:top w:w="0" w:type="dxa"/>
            <w:left w:w="0" w:type="dxa"/>
            <w:bottom w:w="0" w:type="dxa"/>
            <w:right w:w="0" w:type="dxa"/>
          </w:tblCellMar>
        </w:tblPrEx>
        <w:trPr>
          <w:cantSplit/>
          <w:trHeight w:val="20" w:hRule="atLeast"/>
          <w:jc w:val="center"/>
        </w:trPr>
        <w:tc>
          <w:tcPr>
            <w:tcW w:w="621" w:type="dxa"/>
            <w:tcBorders>
              <w:top w:val="nil"/>
              <w:left w:val="single" w:color="auto" w:sz="8" w:space="0"/>
              <w:bottom w:val="single" w:color="auto" w:sz="8" w:space="0"/>
              <w:right w:val="single" w:color="auto" w:sz="8" w:space="0"/>
            </w:tcBorders>
            <w:tcMar>
              <w:top w:w="0" w:type="dxa"/>
              <w:left w:w="28" w:type="dxa"/>
              <w:bottom w:w="0" w:type="dxa"/>
              <w:right w:w="28" w:type="dxa"/>
            </w:tcMar>
            <w:vAlign w:val="center"/>
          </w:tcPr>
          <w:p>
            <w:pPr>
              <w:widowControl/>
              <w:shd w:val="clear" w:color="auto" w:fill="FFFFFF"/>
              <w:snapToGrid w:val="0"/>
              <w:spacing w:line="276" w:lineRule="auto"/>
              <w:jc w:val="center"/>
              <w:rPr>
                <w:rFonts w:ascii="宋体" w:hAnsi="宋体" w:eastAsia="宋体" w:cs="Arial"/>
                <w:kern w:val="0"/>
                <w:sz w:val="24"/>
                <w:szCs w:val="24"/>
              </w:rPr>
            </w:pPr>
            <w:r>
              <w:rPr>
                <w:rFonts w:hint="eastAsia" w:ascii="宋体" w:hAnsi="宋体" w:eastAsia="宋体" w:cs="Arial"/>
                <w:kern w:val="0"/>
                <w:sz w:val="24"/>
                <w:szCs w:val="24"/>
              </w:rPr>
              <w:t>6</w:t>
            </w:r>
          </w:p>
        </w:tc>
        <w:tc>
          <w:tcPr>
            <w:tcW w:w="8556" w:type="dxa"/>
            <w:tcBorders>
              <w:top w:val="nil"/>
              <w:left w:val="nil"/>
              <w:bottom w:val="single" w:color="auto" w:sz="8" w:space="0"/>
              <w:right w:val="single" w:color="auto" w:sz="8" w:space="0"/>
            </w:tcBorders>
            <w:tcMar>
              <w:top w:w="0" w:type="dxa"/>
              <w:left w:w="28" w:type="dxa"/>
              <w:bottom w:w="0" w:type="dxa"/>
              <w:right w:w="28" w:type="dxa"/>
            </w:tcMar>
          </w:tcPr>
          <w:p>
            <w:pPr>
              <w:rPr>
                <w:rFonts w:ascii="宋体" w:hAnsi="宋体" w:eastAsia="宋体" w:cs="Arial"/>
                <w:kern w:val="0"/>
                <w:sz w:val="24"/>
                <w:szCs w:val="24"/>
              </w:rPr>
            </w:pPr>
            <w:r>
              <w:rPr>
                <w:rFonts w:hint="eastAsia" w:ascii="宋体" w:hAnsi="宋体" w:eastAsia="宋体" w:cs="Arial"/>
                <w:kern w:val="0"/>
                <w:sz w:val="24"/>
                <w:szCs w:val="24"/>
                <w:lang w:eastAsia="zh-CN"/>
              </w:rPr>
              <w:t>磋商响应文件</w:t>
            </w:r>
            <w:r>
              <w:rPr>
                <w:rFonts w:hint="eastAsia" w:ascii="宋体" w:hAnsi="宋体" w:eastAsia="宋体" w:cs="Arial"/>
                <w:kern w:val="0"/>
                <w:sz w:val="24"/>
                <w:szCs w:val="24"/>
              </w:rPr>
              <w:t>没有不符合</w:t>
            </w:r>
            <w:r>
              <w:rPr>
                <w:rFonts w:hint="eastAsia" w:ascii="宋体" w:hAnsi="宋体" w:eastAsia="宋体" w:cs="Arial"/>
                <w:kern w:val="0"/>
                <w:sz w:val="24"/>
                <w:szCs w:val="24"/>
                <w:lang w:eastAsia="zh-CN"/>
              </w:rPr>
              <w:t>竞争性磋商文件</w:t>
            </w:r>
            <w:r>
              <w:rPr>
                <w:rFonts w:hint="eastAsia" w:ascii="宋体" w:hAnsi="宋体" w:eastAsia="宋体" w:cs="Arial"/>
                <w:kern w:val="0"/>
                <w:sz w:val="24"/>
                <w:szCs w:val="24"/>
              </w:rPr>
              <w:t>实质性要求的。</w:t>
            </w:r>
          </w:p>
        </w:tc>
      </w:tr>
      <w:tr>
        <w:tblPrEx>
          <w:tblCellMar>
            <w:top w:w="0" w:type="dxa"/>
            <w:left w:w="0" w:type="dxa"/>
            <w:bottom w:w="0" w:type="dxa"/>
            <w:right w:w="0" w:type="dxa"/>
          </w:tblCellMar>
        </w:tblPrEx>
        <w:trPr>
          <w:cantSplit/>
          <w:trHeight w:val="20" w:hRule="atLeast"/>
          <w:jc w:val="center"/>
        </w:trPr>
        <w:tc>
          <w:tcPr>
            <w:tcW w:w="9177" w:type="dxa"/>
            <w:gridSpan w:val="2"/>
            <w:tcBorders>
              <w:top w:val="single" w:color="auto" w:sz="8" w:space="0"/>
              <w:left w:val="single" w:color="auto" w:sz="8" w:space="0"/>
              <w:bottom w:val="single" w:color="auto" w:sz="8" w:space="0"/>
              <w:right w:val="single" w:color="auto" w:sz="8" w:space="0"/>
            </w:tcBorders>
            <w:tcMar>
              <w:top w:w="0" w:type="dxa"/>
              <w:left w:w="28" w:type="dxa"/>
              <w:bottom w:w="0" w:type="dxa"/>
              <w:right w:w="28" w:type="dxa"/>
            </w:tcMar>
            <w:vAlign w:val="center"/>
          </w:tcPr>
          <w:p>
            <w:pPr>
              <w:widowControl/>
              <w:shd w:val="clear" w:color="auto" w:fill="FFFFFF"/>
              <w:snapToGrid w:val="0"/>
              <w:spacing w:line="276" w:lineRule="auto"/>
              <w:rPr>
                <w:rFonts w:ascii="宋体" w:hAnsi="宋体" w:eastAsia="宋体" w:cs="Arial"/>
                <w:kern w:val="0"/>
                <w:sz w:val="24"/>
                <w:szCs w:val="24"/>
              </w:rPr>
            </w:pPr>
            <w:r>
              <w:rPr>
                <w:rFonts w:hint="eastAsia" w:ascii="宋体" w:hAnsi="宋体" w:eastAsia="宋体" w:cs="Arial"/>
                <w:kern w:val="0"/>
                <w:sz w:val="24"/>
                <w:szCs w:val="24"/>
              </w:rPr>
              <w:t>备注：完备性及符合性审查中有一项不满足磋商标准的，磋商小组将认定该供应商不通过完备性及符合性审查，不得进入下一阶段磋商。并且不允许供应商通过修改或撤销其不符合要求的差异或保留，使之成为具有响应性的投标。</w:t>
            </w:r>
          </w:p>
        </w:tc>
      </w:tr>
    </w:tbl>
    <w:p>
      <w:pPr>
        <w:pStyle w:val="7"/>
        <w:jc w:val="center"/>
        <w:rPr>
          <w:rFonts w:ascii="宋体" w:hAnsi="宋体" w:cs="Arial"/>
          <w:b/>
          <w:szCs w:val="24"/>
        </w:rPr>
      </w:pPr>
    </w:p>
    <w:p>
      <w:pPr>
        <w:pStyle w:val="7"/>
        <w:jc w:val="center"/>
        <w:rPr>
          <w:rFonts w:ascii="宋体" w:hAnsi="宋体" w:cs="Arial"/>
          <w:b/>
          <w:szCs w:val="24"/>
        </w:rPr>
      </w:pPr>
      <w:r>
        <w:rPr>
          <w:rFonts w:hint="eastAsia" w:ascii="宋体" w:hAnsi="宋体" w:cs="Arial"/>
          <w:b/>
          <w:szCs w:val="24"/>
        </w:rPr>
        <w:t>《详细磋商标准》</w:t>
      </w:r>
    </w:p>
    <w:tbl>
      <w:tblPr>
        <w:tblStyle w:val="38"/>
        <w:tblpPr w:leftFromText="180" w:rightFromText="180" w:vertAnchor="text" w:horzAnchor="page" w:tblpX="1333" w:tblpY="94"/>
        <w:tblOverlap w:val="never"/>
        <w:tblW w:w="9146" w:type="dxa"/>
        <w:tblInd w:w="0" w:type="dxa"/>
        <w:tblLayout w:type="fixed"/>
        <w:tblCellMar>
          <w:top w:w="0" w:type="dxa"/>
          <w:left w:w="0" w:type="dxa"/>
          <w:bottom w:w="0" w:type="dxa"/>
          <w:right w:w="0" w:type="dxa"/>
        </w:tblCellMar>
      </w:tblPr>
      <w:tblGrid>
        <w:gridCol w:w="656"/>
        <w:gridCol w:w="1225"/>
        <w:gridCol w:w="851"/>
        <w:gridCol w:w="6414"/>
      </w:tblGrid>
      <w:tr>
        <w:tblPrEx>
          <w:tblCellMar>
            <w:top w:w="0" w:type="dxa"/>
            <w:left w:w="0" w:type="dxa"/>
            <w:bottom w:w="0" w:type="dxa"/>
            <w:right w:w="0" w:type="dxa"/>
          </w:tblCellMar>
        </w:tblPrEx>
        <w:trPr>
          <w:trHeight w:val="567" w:hRule="atLeast"/>
        </w:trPr>
        <w:tc>
          <w:tcPr>
            <w:tcW w:w="656" w:type="dxa"/>
            <w:tcBorders>
              <w:top w:val="single" w:color="auto" w:sz="8" w:space="0"/>
              <w:left w:val="single" w:color="auto" w:sz="8" w:space="0"/>
              <w:bottom w:val="single" w:color="auto" w:sz="8" w:space="0"/>
              <w:right w:val="single" w:color="auto" w:sz="8" w:space="0"/>
            </w:tcBorders>
            <w:vAlign w:val="center"/>
          </w:tcPr>
          <w:p>
            <w:pPr>
              <w:jc w:val="center"/>
              <w:rPr>
                <w:rFonts w:asciiTheme="minorEastAsia" w:hAnsiTheme="minorEastAsia"/>
                <w:sz w:val="24"/>
                <w:szCs w:val="24"/>
              </w:rPr>
            </w:pPr>
            <w:r>
              <w:rPr>
                <w:rFonts w:hint="eastAsia" w:asciiTheme="minorEastAsia" w:hAnsiTheme="minorEastAsia"/>
                <w:sz w:val="24"/>
                <w:szCs w:val="24"/>
              </w:rPr>
              <w:t>序号</w:t>
            </w:r>
          </w:p>
        </w:tc>
        <w:tc>
          <w:tcPr>
            <w:tcW w:w="1225" w:type="dxa"/>
            <w:tcBorders>
              <w:top w:val="single" w:color="auto" w:sz="8" w:space="0"/>
              <w:left w:val="nil"/>
              <w:bottom w:val="single" w:color="auto" w:sz="8" w:space="0"/>
              <w:right w:val="single" w:color="auto" w:sz="8" w:space="0"/>
            </w:tcBorders>
            <w:vAlign w:val="center"/>
          </w:tcPr>
          <w:p>
            <w:pPr>
              <w:jc w:val="center"/>
              <w:rPr>
                <w:rFonts w:asciiTheme="minorEastAsia" w:hAnsiTheme="minorEastAsia"/>
                <w:sz w:val="24"/>
                <w:szCs w:val="24"/>
              </w:rPr>
            </w:pPr>
            <w:r>
              <w:rPr>
                <w:rFonts w:hint="eastAsia" w:asciiTheme="minorEastAsia" w:hAnsiTheme="minorEastAsia"/>
                <w:sz w:val="24"/>
                <w:szCs w:val="24"/>
              </w:rPr>
              <w:t>评审项目</w:t>
            </w:r>
          </w:p>
        </w:tc>
        <w:tc>
          <w:tcPr>
            <w:tcW w:w="851" w:type="dxa"/>
            <w:tcBorders>
              <w:top w:val="single" w:color="auto" w:sz="8" w:space="0"/>
              <w:left w:val="nil"/>
              <w:bottom w:val="single" w:color="auto" w:sz="8" w:space="0"/>
              <w:right w:val="single" w:color="auto" w:sz="8" w:space="0"/>
            </w:tcBorders>
            <w:vAlign w:val="center"/>
          </w:tcPr>
          <w:p>
            <w:pPr>
              <w:jc w:val="center"/>
              <w:rPr>
                <w:rFonts w:asciiTheme="minorEastAsia" w:hAnsiTheme="minorEastAsia"/>
                <w:sz w:val="24"/>
                <w:szCs w:val="24"/>
              </w:rPr>
            </w:pPr>
            <w:r>
              <w:rPr>
                <w:rFonts w:hint="eastAsia" w:asciiTheme="minorEastAsia" w:hAnsiTheme="minorEastAsia"/>
                <w:sz w:val="24"/>
                <w:szCs w:val="24"/>
              </w:rPr>
              <w:t>标准分</w:t>
            </w:r>
          </w:p>
        </w:tc>
        <w:tc>
          <w:tcPr>
            <w:tcW w:w="6414" w:type="dxa"/>
            <w:tcBorders>
              <w:top w:val="single" w:color="auto" w:sz="8" w:space="0"/>
              <w:left w:val="nil"/>
              <w:bottom w:val="single" w:color="auto" w:sz="8" w:space="0"/>
              <w:right w:val="single" w:color="auto" w:sz="8" w:space="0"/>
            </w:tcBorders>
            <w:vAlign w:val="center"/>
          </w:tcPr>
          <w:p>
            <w:pPr>
              <w:jc w:val="center"/>
              <w:rPr>
                <w:rFonts w:asciiTheme="minorEastAsia" w:hAnsiTheme="minorEastAsia"/>
                <w:sz w:val="24"/>
                <w:szCs w:val="24"/>
              </w:rPr>
            </w:pPr>
            <w:r>
              <w:rPr>
                <w:rFonts w:hint="eastAsia" w:asciiTheme="minorEastAsia" w:hAnsiTheme="minorEastAsia"/>
                <w:sz w:val="24"/>
                <w:szCs w:val="24"/>
              </w:rPr>
              <w:t>评审标准</w:t>
            </w:r>
          </w:p>
        </w:tc>
      </w:tr>
      <w:tr>
        <w:tblPrEx>
          <w:tblCellMar>
            <w:top w:w="0" w:type="dxa"/>
            <w:left w:w="0" w:type="dxa"/>
            <w:bottom w:w="0" w:type="dxa"/>
            <w:right w:w="0" w:type="dxa"/>
          </w:tblCellMar>
        </w:tblPrEx>
        <w:trPr>
          <w:trHeight w:val="5293" w:hRule="atLeast"/>
        </w:trPr>
        <w:tc>
          <w:tcPr>
            <w:tcW w:w="656" w:type="dxa"/>
            <w:tcBorders>
              <w:top w:val="single" w:color="auto" w:sz="8" w:space="0"/>
              <w:left w:val="single" w:color="auto" w:sz="8" w:space="0"/>
              <w:bottom w:val="single" w:color="auto" w:sz="8" w:space="0"/>
              <w:right w:val="single" w:color="auto" w:sz="8" w:space="0"/>
            </w:tcBorders>
            <w:vAlign w:val="center"/>
          </w:tcPr>
          <w:p>
            <w:pPr>
              <w:jc w:val="center"/>
              <w:rPr>
                <w:rFonts w:asciiTheme="minorEastAsia" w:hAnsiTheme="minorEastAsia"/>
                <w:sz w:val="24"/>
                <w:szCs w:val="24"/>
              </w:rPr>
            </w:pPr>
            <w:r>
              <w:rPr>
                <w:rFonts w:hint="eastAsia" w:asciiTheme="minorEastAsia" w:hAnsiTheme="minorEastAsia"/>
                <w:sz w:val="24"/>
                <w:szCs w:val="24"/>
              </w:rPr>
              <w:t>1</w:t>
            </w:r>
          </w:p>
        </w:tc>
        <w:tc>
          <w:tcPr>
            <w:tcW w:w="1225" w:type="dxa"/>
            <w:tcBorders>
              <w:top w:val="single" w:color="auto" w:sz="8" w:space="0"/>
              <w:left w:val="nil"/>
              <w:bottom w:val="single" w:color="auto" w:sz="8" w:space="0"/>
              <w:right w:val="single" w:color="auto" w:sz="8" w:space="0"/>
            </w:tcBorders>
            <w:vAlign w:val="center"/>
          </w:tcPr>
          <w:p>
            <w:pPr>
              <w:widowControl/>
              <w:jc w:val="center"/>
              <w:textAlignment w:val="center"/>
              <w:rPr>
                <w:rFonts w:ascii="宋体" w:hAnsi="宋体" w:eastAsia="宋体" w:cs="宋体"/>
                <w:sz w:val="24"/>
                <w:szCs w:val="24"/>
              </w:rPr>
            </w:pPr>
            <w:r>
              <w:rPr>
                <w:rFonts w:hint="eastAsia" w:ascii="宋体" w:hAnsi="宋体" w:eastAsia="宋体" w:cs="宋体"/>
                <w:kern w:val="0"/>
                <w:sz w:val="24"/>
                <w:szCs w:val="24"/>
                <w:lang w:bidi="ar"/>
              </w:rPr>
              <w:t>履约能力</w:t>
            </w:r>
          </w:p>
        </w:tc>
        <w:tc>
          <w:tcPr>
            <w:tcW w:w="851" w:type="dxa"/>
            <w:tcBorders>
              <w:top w:val="single" w:color="auto" w:sz="8" w:space="0"/>
              <w:left w:val="nil"/>
              <w:bottom w:val="single" w:color="auto" w:sz="8" w:space="0"/>
              <w:right w:val="single" w:color="auto" w:sz="8" w:space="0"/>
            </w:tcBorders>
            <w:vAlign w:val="center"/>
          </w:tcPr>
          <w:p>
            <w:pPr>
              <w:widowControl/>
              <w:jc w:val="center"/>
              <w:textAlignment w:val="center"/>
              <w:rPr>
                <w:rFonts w:ascii="宋体" w:hAnsi="宋体" w:eastAsia="宋体" w:cs="宋体"/>
                <w:sz w:val="24"/>
                <w:szCs w:val="24"/>
              </w:rPr>
            </w:pPr>
            <w:r>
              <w:rPr>
                <w:rFonts w:hint="eastAsia" w:ascii="宋体" w:hAnsi="宋体" w:eastAsia="宋体" w:cs="宋体"/>
                <w:kern w:val="0"/>
                <w:sz w:val="24"/>
                <w:szCs w:val="24"/>
                <w:lang w:bidi="ar"/>
              </w:rPr>
              <w:t>10</w:t>
            </w:r>
          </w:p>
        </w:tc>
        <w:tc>
          <w:tcPr>
            <w:tcW w:w="6414" w:type="dxa"/>
            <w:tcBorders>
              <w:top w:val="single" w:color="auto" w:sz="8" w:space="0"/>
              <w:left w:val="nil"/>
              <w:bottom w:val="single" w:color="auto" w:sz="8" w:space="0"/>
              <w:right w:val="single" w:color="auto" w:sz="8" w:space="0"/>
            </w:tcBorders>
            <w:vAlign w:val="center"/>
          </w:tcPr>
          <w:p>
            <w:pPr>
              <w:widowControl/>
              <w:textAlignment w:val="center"/>
              <w:rPr>
                <w:rFonts w:ascii="宋体" w:hAnsi="宋体" w:eastAsia="宋体" w:cs="宋体"/>
                <w:kern w:val="0"/>
                <w:sz w:val="24"/>
                <w:szCs w:val="24"/>
                <w:lang w:bidi="ar"/>
              </w:rPr>
            </w:pPr>
            <w:r>
              <w:rPr>
                <w:rFonts w:hint="eastAsia" w:ascii="宋体" w:hAnsi="宋体" w:eastAsia="宋体" w:cs="宋体"/>
                <w:kern w:val="0"/>
                <w:sz w:val="24"/>
                <w:szCs w:val="24"/>
                <w:lang w:bidi="ar"/>
              </w:rPr>
              <w:t>1.供应商具备有效的“网络安全服务资质认证证书（信息系统风险评估）”二级及以上、“网络安全服务资质认证证书（信息系统安全集成）”二级及以上、“网络安全服务资质认证证书（信息系统安全运维）”二级及以上，每提供一个有效证书得1分，满分3分。</w:t>
            </w:r>
          </w:p>
          <w:p>
            <w:pPr>
              <w:widowControl/>
              <w:textAlignment w:val="center"/>
              <w:rPr>
                <w:rFonts w:ascii="宋体" w:hAnsi="宋体" w:eastAsia="宋体" w:cs="宋体"/>
                <w:kern w:val="0"/>
                <w:sz w:val="24"/>
                <w:szCs w:val="24"/>
                <w:lang w:bidi="ar"/>
              </w:rPr>
            </w:pPr>
            <w:r>
              <w:rPr>
                <w:rFonts w:hint="eastAsia" w:ascii="宋体" w:hAnsi="宋体" w:eastAsia="宋体" w:cs="宋体"/>
                <w:kern w:val="0"/>
                <w:sz w:val="24"/>
                <w:szCs w:val="24"/>
                <w:lang w:bidi="ar"/>
              </w:rPr>
              <w:t>2、供应商具备有效的“ITSS信息技术服务标准符合性证书（咨询设计）”三级及以上、</w:t>
            </w:r>
            <w:r>
              <w:rPr>
                <w:rFonts w:ascii="宋体" w:hAnsi="宋体" w:eastAsia="宋体" w:cs="宋体"/>
                <w:kern w:val="0"/>
                <w:sz w:val="24"/>
                <w:szCs w:val="24"/>
                <w:lang w:bidi="ar"/>
              </w:rPr>
              <w:t>“</w:t>
            </w:r>
            <w:r>
              <w:rPr>
                <w:rFonts w:hint="eastAsia" w:ascii="宋体" w:hAnsi="宋体" w:eastAsia="宋体" w:cs="宋体"/>
                <w:kern w:val="0"/>
                <w:sz w:val="24"/>
                <w:szCs w:val="24"/>
                <w:lang w:bidi="ar"/>
              </w:rPr>
              <w:t>ITSS信息技术服务标准符合性证书（运行维护）</w:t>
            </w:r>
            <w:r>
              <w:rPr>
                <w:rFonts w:ascii="宋体" w:hAnsi="宋体" w:eastAsia="宋体" w:cs="宋体"/>
                <w:kern w:val="0"/>
                <w:sz w:val="24"/>
                <w:szCs w:val="24"/>
                <w:lang w:bidi="ar"/>
              </w:rPr>
              <w:t>”</w:t>
            </w:r>
            <w:r>
              <w:rPr>
                <w:rFonts w:hint="eastAsia" w:ascii="宋体" w:hAnsi="宋体" w:eastAsia="宋体" w:cs="宋体"/>
                <w:kern w:val="0"/>
                <w:sz w:val="24"/>
                <w:szCs w:val="24"/>
                <w:lang w:bidi="ar"/>
              </w:rPr>
              <w:t>三级及以上，每提供一个得1分，满分2分；</w:t>
            </w:r>
          </w:p>
          <w:p>
            <w:pPr>
              <w:widowControl/>
              <w:textAlignment w:val="center"/>
              <w:rPr>
                <w:rFonts w:ascii="宋体" w:hAnsi="宋体" w:eastAsia="宋体" w:cs="宋体"/>
                <w:kern w:val="0"/>
                <w:sz w:val="24"/>
                <w:szCs w:val="24"/>
                <w:lang w:bidi="ar"/>
              </w:rPr>
            </w:pPr>
            <w:r>
              <w:rPr>
                <w:rFonts w:hint="eastAsia" w:ascii="宋体" w:hAnsi="宋体" w:eastAsia="宋体" w:cs="宋体"/>
                <w:kern w:val="0"/>
                <w:sz w:val="24"/>
                <w:szCs w:val="24"/>
                <w:lang w:bidi="ar"/>
              </w:rPr>
              <w:t>3、供应商具备有效的“DCMM数据管理能力成熟度等级证书”得2分；</w:t>
            </w:r>
          </w:p>
          <w:p>
            <w:pPr>
              <w:widowControl/>
              <w:textAlignment w:val="center"/>
              <w:rPr>
                <w:rFonts w:ascii="宋体" w:hAnsi="宋体" w:eastAsia="宋体" w:cs="宋体"/>
                <w:kern w:val="0"/>
                <w:sz w:val="24"/>
                <w:szCs w:val="24"/>
                <w:lang w:bidi="ar"/>
              </w:rPr>
            </w:pPr>
            <w:r>
              <w:rPr>
                <w:rFonts w:hint="eastAsia" w:ascii="宋体" w:hAnsi="宋体" w:eastAsia="宋体" w:cs="宋体"/>
                <w:kern w:val="0"/>
                <w:sz w:val="24"/>
                <w:szCs w:val="24"/>
                <w:lang w:bidi="ar"/>
              </w:rPr>
              <w:t>4、供应商具备有效的“ISO 27001网络安全管理体系认证</w:t>
            </w:r>
            <w:r>
              <w:rPr>
                <w:rFonts w:hint="eastAsia" w:cs="Arial" w:asciiTheme="minorEastAsia" w:hAnsiTheme="minorEastAsia"/>
                <w:kern w:val="0"/>
                <w:sz w:val="24"/>
                <w:szCs w:val="24"/>
              </w:rPr>
              <w:t>证书</w:t>
            </w:r>
            <w:r>
              <w:rPr>
                <w:rFonts w:hint="eastAsia" w:ascii="宋体" w:hAnsi="宋体" w:eastAsia="宋体" w:cs="宋体"/>
                <w:kern w:val="0"/>
                <w:sz w:val="24"/>
                <w:szCs w:val="24"/>
                <w:lang w:bidi="ar"/>
              </w:rPr>
              <w:t>”得1分；</w:t>
            </w:r>
          </w:p>
          <w:p>
            <w:pPr>
              <w:widowControl/>
              <w:textAlignment w:val="center"/>
              <w:rPr>
                <w:rFonts w:ascii="宋体" w:hAnsi="宋体" w:eastAsia="宋体" w:cs="宋体"/>
                <w:kern w:val="0"/>
                <w:sz w:val="24"/>
                <w:szCs w:val="24"/>
                <w:lang w:bidi="ar"/>
              </w:rPr>
            </w:pPr>
            <w:r>
              <w:rPr>
                <w:rFonts w:hint="eastAsia" w:ascii="宋体" w:hAnsi="宋体" w:eastAsia="宋体" w:cs="宋体"/>
                <w:kern w:val="0"/>
                <w:sz w:val="24"/>
                <w:szCs w:val="24"/>
                <w:lang w:bidi="ar"/>
              </w:rPr>
              <w:t>5、供应商具备有效的“GB/T15496企业标准体系认证</w:t>
            </w:r>
            <w:r>
              <w:rPr>
                <w:rFonts w:hint="eastAsia" w:cs="Arial" w:asciiTheme="minorEastAsia" w:hAnsiTheme="minorEastAsia"/>
                <w:kern w:val="0"/>
                <w:sz w:val="24"/>
                <w:szCs w:val="24"/>
              </w:rPr>
              <w:t>证书</w:t>
            </w:r>
            <w:r>
              <w:rPr>
                <w:rFonts w:hint="eastAsia" w:ascii="宋体" w:hAnsi="宋体" w:eastAsia="宋体" w:cs="宋体"/>
                <w:kern w:val="0"/>
                <w:sz w:val="24"/>
                <w:szCs w:val="24"/>
                <w:lang w:bidi="ar"/>
              </w:rPr>
              <w:t>”得1分；</w:t>
            </w:r>
          </w:p>
          <w:p>
            <w:pPr>
              <w:widowControl/>
              <w:textAlignment w:val="center"/>
              <w:rPr>
                <w:rFonts w:ascii="宋体" w:hAnsi="宋体" w:eastAsia="宋体" w:cs="宋体"/>
                <w:kern w:val="0"/>
                <w:sz w:val="24"/>
                <w:szCs w:val="24"/>
                <w:lang w:bidi="ar"/>
              </w:rPr>
            </w:pPr>
            <w:r>
              <w:rPr>
                <w:rFonts w:hint="eastAsia" w:ascii="宋体" w:hAnsi="宋体" w:eastAsia="宋体" w:cs="宋体"/>
                <w:kern w:val="0"/>
                <w:sz w:val="24"/>
                <w:szCs w:val="24"/>
                <w:lang w:bidi="ar"/>
              </w:rPr>
              <w:t>6、供应商具备有效的“信息系统建设和服务能力（CS3）评估证书”以上或同级别证书得1分。</w:t>
            </w:r>
          </w:p>
          <w:p>
            <w:pPr>
              <w:widowControl/>
              <w:textAlignment w:val="center"/>
              <w:rPr>
                <w:rFonts w:ascii="宋体" w:hAnsi="宋体" w:eastAsia="宋体" w:cs="宋体"/>
                <w:sz w:val="24"/>
                <w:szCs w:val="24"/>
              </w:rPr>
            </w:pPr>
            <w:r>
              <w:rPr>
                <w:rFonts w:hint="eastAsia" w:ascii="宋体" w:hAnsi="宋体" w:eastAsia="宋体" w:cs="宋体"/>
                <w:kern w:val="0"/>
                <w:sz w:val="24"/>
                <w:szCs w:val="24"/>
                <w:lang w:bidi="ar"/>
              </w:rPr>
              <w:t>注：须提供有效的证书复印件，并加盖供应商公章.</w:t>
            </w:r>
          </w:p>
        </w:tc>
      </w:tr>
      <w:tr>
        <w:tblPrEx>
          <w:tblCellMar>
            <w:top w:w="0" w:type="dxa"/>
            <w:left w:w="0" w:type="dxa"/>
            <w:bottom w:w="0" w:type="dxa"/>
            <w:right w:w="0" w:type="dxa"/>
          </w:tblCellMar>
        </w:tblPrEx>
        <w:trPr>
          <w:trHeight w:val="567" w:hRule="atLeast"/>
        </w:trPr>
        <w:tc>
          <w:tcPr>
            <w:tcW w:w="656" w:type="dxa"/>
            <w:tcBorders>
              <w:top w:val="single" w:color="auto" w:sz="8" w:space="0"/>
              <w:left w:val="single" w:color="auto" w:sz="8" w:space="0"/>
              <w:bottom w:val="single" w:color="auto" w:sz="8" w:space="0"/>
              <w:right w:val="single" w:color="auto" w:sz="8" w:space="0"/>
            </w:tcBorders>
            <w:vAlign w:val="center"/>
          </w:tcPr>
          <w:p>
            <w:pPr>
              <w:jc w:val="center"/>
              <w:rPr>
                <w:rFonts w:asciiTheme="minorEastAsia" w:hAnsiTheme="minorEastAsia"/>
                <w:sz w:val="24"/>
                <w:szCs w:val="24"/>
              </w:rPr>
            </w:pPr>
            <w:r>
              <w:rPr>
                <w:rFonts w:hint="eastAsia" w:asciiTheme="minorEastAsia" w:hAnsiTheme="minorEastAsia"/>
                <w:sz w:val="24"/>
                <w:szCs w:val="24"/>
              </w:rPr>
              <w:t>2</w:t>
            </w:r>
          </w:p>
        </w:tc>
        <w:tc>
          <w:tcPr>
            <w:tcW w:w="1225" w:type="dxa"/>
            <w:tcBorders>
              <w:top w:val="single" w:color="auto" w:sz="8" w:space="0"/>
              <w:left w:val="nil"/>
              <w:bottom w:val="single" w:color="auto" w:sz="8" w:space="0"/>
              <w:right w:val="single" w:color="auto" w:sz="8" w:space="0"/>
            </w:tcBorders>
            <w:vAlign w:val="center"/>
          </w:tcPr>
          <w:p>
            <w:pPr>
              <w:widowControl/>
              <w:jc w:val="center"/>
              <w:textAlignment w:val="center"/>
              <w:rPr>
                <w:rFonts w:ascii="宋体" w:hAnsi="宋体" w:eastAsia="宋体" w:cs="宋体"/>
                <w:sz w:val="24"/>
                <w:szCs w:val="24"/>
              </w:rPr>
            </w:pPr>
            <w:r>
              <w:rPr>
                <w:rFonts w:hint="eastAsia" w:ascii="宋体" w:hAnsi="宋体" w:eastAsia="宋体" w:cs="宋体"/>
                <w:kern w:val="0"/>
                <w:sz w:val="24"/>
                <w:szCs w:val="24"/>
                <w:lang w:bidi="ar"/>
              </w:rPr>
              <w:t>业绩案例</w:t>
            </w:r>
          </w:p>
        </w:tc>
        <w:tc>
          <w:tcPr>
            <w:tcW w:w="851" w:type="dxa"/>
            <w:tcBorders>
              <w:top w:val="single" w:color="auto" w:sz="8" w:space="0"/>
              <w:left w:val="nil"/>
              <w:bottom w:val="single" w:color="auto" w:sz="8" w:space="0"/>
              <w:right w:val="single" w:color="auto" w:sz="8" w:space="0"/>
            </w:tcBorders>
            <w:vAlign w:val="center"/>
          </w:tcPr>
          <w:p>
            <w:pPr>
              <w:widowControl/>
              <w:jc w:val="center"/>
              <w:textAlignment w:val="center"/>
              <w:rPr>
                <w:rFonts w:ascii="宋体" w:hAnsi="宋体" w:eastAsia="宋体" w:cs="宋体"/>
                <w:sz w:val="24"/>
                <w:szCs w:val="24"/>
              </w:rPr>
            </w:pPr>
            <w:r>
              <w:rPr>
                <w:rFonts w:hint="eastAsia" w:ascii="宋体" w:hAnsi="宋体" w:eastAsia="宋体" w:cs="宋体"/>
                <w:kern w:val="0"/>
                <w:sz w:val="24"/>
                <w:szCs w:val="24"/>
                <w:lang w:bidi="ar"/>
              </w:rPr>
              <w:t>6</w:t>
            </w:r>
          </w:p>
        </w:tc>
        <w:tc>
          <w:tcPr>
            <w:tcW w:w="6414" w:type="dxa"/>
            <w:tcBorders>
              <w:top w:val="single" w:color="auto" w:sz="8" w:space="0"/>
              <w:left w:val="nil"/>
              <w:bottom w:val="single" w:color="auto" w:sz="8" w:space="0"/>
              <w:right w:val="single" w:color="auto" w:sz="8" w:space="0"/>
            </w:tcBorders>
            <w:vAlign w:val="center"/>
          </w:tcPr>
          <w:p>
            <w:pPr>
              <w:widowControl/>
              <w:textAlignment w:val="center"/>
              <w:rPr>
                <w:rFonts w:ascii="宋体" w:hAnsi="宋体" w:eastAsia="宋体" w:cs="宋体"/>
                <w:kern w:val="0"/>
                <w:sz w:val="24"/>
                <w:szCs w:val="24"/>
                <w:lang w:bidi="ar"/>
              </w:rPr>
            </w:pPr>
            <w:r>
              <w:rPr>
                <w:rFonts w:hint="eastAsia" w:ascii="宋体" w:hAnsi="宋体" w:eastAsia="宋体" w:cs="宋体"/>
                <w:kern w:val="0"/>
                <w:sz w:val="24"/>
                <w:szCs w:val="24"/>
                <w:lang w:bidi="ar"/>
              </w:rPr>
              <w:t>自2019年1月1日起至今，供应商具有全国省级及以上类似（网络安全咨询、安全技术服务、网络安全运维）项目案例，所提供项目案例中同时包含2类及以上案例的，每提供一个得2分，包含1类案例的，每提供一个得1分，满分6分。（须提供中标通知书、合同的首页、金额页、盖章页复印件加盖供应商公章,同一项目不重复计算。）</w:t>
            </w:r>
          </w:p>
        </w:tc>
      </w:tr>
      <w:tr>
        <w:tblPrEx>
          <w:tblCellMar>
            <w:top w:w="0" w:type="dxa"/>
            <w:left w:w="0" w:type="dxa"/>
            <w:bottom w:w="0" w:type="dxa"/>
            <w:right w:w="0" w:type="dxa"/>
          </w:tblCellMar>
        </w:tblPrEx>
        <w:trPr>
          <w:trHeight w:val="691" w:hRule="atLeast"/>
        </w:trPr>
        <w:tc>
          <w:tcPr>
            <w:tcW w:w="656" w:type="dxa"/>
            <w:tcBorders>
              <w:top w:val="single" w:color="auto" w:sz="8" w:space="0"/>
              <w:left w:val="single" w:color="auto" w:sz="8" w:space="0"/>
              <w:bottom w:val="single" w:color="auto" w:sz="8" w:space="0"/>
              <w:right w:val="single" w:color="auto" w:sz="8" w:space="0"/>
            </w:tcBorders>
            <w:vAlign w:val="center"/>
          </w:tcPr>
          <w:p>
            <w:pPr>
              <w:jc w:val="center"/>
              <w:rPr>
                <w:rFonts w:asciiTheme="minorEastAsia" w:hAnsiTheme="minorEastAsia"/>
                <w:sz w:val="24"/>
                <w:szCs w:val="24"/>
              </w:rPr>
            </w:pPr>
            <w:r>
              <w:rPr>
                <w:rFonts w:hint="eastAsia" w:asciiTheme="minorEastAsia" w:hAnsiTheme="minorEastAsia"/>
                <w:sz w:val="24"/>
                <w:szCs w:val="24"/>
              </w:rPr>
              <w:t>3</w:t>
            </w:r>
          </w:p>
        </w:tc>
        <w:tc>
          <w:tcPr>
            <w:tcW w:w="1225" w:type="dxa"/>
            <w:tcBorders>
              <w:top w:val="single" w:color="auto" w:sz="8" w:space="0"/>
              <w:left w:val="nil"/>
              <w:bottom w:val="single" w:color="auto" w:sz="8" w:space="0"/>
              <w:right w:val="single" w:color="auto" w:sz="8" w:space="0"/>
            </w:tcBorders>
            <w:vAlign w:val="center"/>
          </w:tcPr>
          <w:p>
            <w:pPr>
              <w:widowControl/>
              <w:jc w:val="center"/>
              <w:textAlignment w:val="center"/>
              <w:rPr>
                <w:rFonts w:ascii="宋体" w:hAnsi="宋体" w:eastAsia="宋体" w:cs="宋体"/>
                <w:sz w:val="24"/>
                <w:szCs w:val="24"/>
              </w:rPr>
            </w:pPr>
            <w:r>
              <w:rPr>
                <w:rFonts w:hint="eastAsia" w:ascii="宋体" w:hAnsi="宋体" w:eastAsia="宋体" w:cs="宋体"/>
                <w:kern w:val="0"/>
                <w:sz w:val="24"/>
                <w:szCs w:val="24"/>
                <w:lang w:bidi="ar"/>
              </w:rPr>
              <w:t>技术服务内容响应</w:t>
            </w:r>
          </w:p>
        </w:tc>
        <w:tc>
          <w:tcPr>
            <w:tcW w:w="851" w:type="dxa"/>
            <w:tcBorders>
              <w:top w:val="single" w:color="auto" w:sz="8" w:space="0"/>
              <w:left w:val="nil"/>
              <w:bottom w:val="single" w:color="auto" w:sz="8" w:space="0"/>
              <w:right w:val="single" w:color="auto" w:sz="8" w:space="0"/>
            </w:tcBorders>
            <w:vAlign w:val="center"/>
          </w:tcPr>
          <w:p>
            <w:pPr>
              <w:widowControl/>
              <w:jc w:val="center"/>
              <w:textAlignment w:val="center"/>
              <w:rPr>
                <w:rFonts w:ascii="宋体" w:hAnsi="宋体" w:eastAsia="宋体" w:cs="宋体"/>
                <w:sz w:val="24"/>
                <w:szCs w:val="24"/>
              </w:rPr>
            </w:pPr>
            <w:r>
              <w:rPr>
                <w:rFonts w:hint="eastAsia" w:ascii="宋体" w:hAnsi="宋体" w:eastAsia="宋体" w:cs="宋体"/>
                <w:kern w:val="0"/>
                <w:sz w:val="24"/>
                <w:szCs w:val="24"/>
                <w:lang w:bidi="ar"/>
              </w:rPr>
              <w:t>10</w:t>
            </w:r>
          </w:p>
        </w:tc>
        <w:tc>
          <w:tcPr>
            <w:tcW w:w="6414" w:type="dxa"/>
            <w:tcBorders>
              <w:top w:val="single" w:color="auto" w:sz="8" w:space="0"/>
              <w:left w:val="nil"/>
              <w:bottom w:val="single" w:color="auto" w:sz="8" w:space="0"/>
              <w:right w:val="single" w:color="auto" w:sz="8" w:space="0"/>
            </w:tcBorders>
            <w:vAlign w:val="center"/>
          </w:tcPr>
          <w:p>
            <w:pPr>
              <w:widowControl/>
              <w:textAlignment w:val="center"/>
              <w:rPr>
                <w:rFonts w:ascii="宋体" w:hAnsi="宋体" w:eastAsia="宋体" w:cs="宋体"/>
                <w:sz w:val="24"/>
                <w:szCs w:val="24"/>
              </w:rPr>
            </w:pPr>
            <w:r>
              <w:rPr>
                <w:rFonts w:hint="eastAsia" w:ascii="宋体" w:hAnsi="宋体" w:eastAsia="宋体" w:cs="宋体"/>
                <w:kern w:val="0"/>
                <w:sz w:val="24"/>
                <w:szCs w:val="24"/>
                <w:lang w:bidi="ar"/>
              </w:rPr>
              <w:t>对</w:t>
            </w:r>
            <w:r>
              <w:rPr>
                <w:rFonts w:hint="eastAsia" w:ascii="宋体" w:hAnsi="宋体" w:eastAsia="宋体" w:cs="宋体"/>
                <w:kern w:val="0"/>
                <w:sz w:val="24"/>
                <w:szCs w:val="24"/>
                <w:lang w:eastAsia="zh-CN" w:bidi="ar"/>
              </w:rPr>
              <w:t>磋商响应文件</w:t>
            </w:r>
            <w:r>
              <w:rPr>
                <w:rFonts w:hint="eastAsia" w:ascii="宋体" w:hAnsi="宋体" w:eastAsia="宋体" w:cs="宋体"/>
                <w:kern w:val="0"/>
                <w:sz w:val="24"/>
                <w:szCs w:val="24"/>
                <w:lang w:bidi="ar"/>
              </w:rPr>
              <w:t>中提出的项目需求进行逐条响应，全部满足</w:t>
            </w:r>
            <w:r>
              <w:rPr>
                <w:rFonts w:hint="eastAsia" w:ascii="宋体" w:hAnsi="宋体" w:eastAsia="宋体" w:cs="宋体"/>
                <w:kern w:val="0"/>
                <w:sz w:val="24"/>
                <w:szCs w:val="24"/>
                <w:lang w:eastAsia="zh-CN" w:bidi="ar"/>
              </w:rPr>
              <w:t>磋商响应文件</w:t>
            </w:r>
            <w:r>
              <w:rPr>
                <w:rFonts w:hint="eastAsia" w:ascii="宋体" w:hAnsi="宋体" w:eastAsia="宋体" w:cs="宋体"/>
                <w:kern w:val="0"/>
                <w:sz w:val="24"/>
                <w:szCs w:val="24"/>
                <w:lang w:bidi="ar"/>
              </w:rPr>
              <w:t>要求得10分。每有一项负偏离扣1分，扣完为止。</w:t>
            </w:r>
          </w:p>
        </w:tc>
      </w:tr>
      <w:tr>
        <w:tblPrEx>
          <w:tblCellMar>
            <w:top w:w="0" w:type="dxa"/>
            <w:left w:w="0" w:type="dxa"/>
            <w:bottom w:w="0" w:type="dxa"/>
            <w:right w:w="0" w:type="dxa"/>
          </w:tblCellMar>
        </w:tblPrEx>
        <w:trPr>
          <w:trHeight w:val="567" w:hRule="atLeast"/>
        </w:trPr>
        <w:tc>
          <w:tcPr>
            <w:tcW w:w="656" w:type="dxa"/>
            <w:tcBorders>
              <w:top w:val="single" w:color="auto" w:sz="8" w:space="0"/>
              <w:left w:val="single" w:color="auto" w:sz="8" w:space="0"/>
              <w:bottom w:val="single" w:color="auto" w:sz="8" w:space="0"/>
              <w:right w:val="single" w:color="auto" w:sz="8" w:space="0"/>
            </w:tcBorders>
            <w:vAlign w:val="center"/>
          </w:tcPr>
          <w:p>
            <w:pPr>
              <w:jc w:val="center"/>
              <w:rPr>
                <w:rFonts w:asciiTheme="minorEastAsia" w:hAnsiTheme="minorEastAsia"/>
                <w:sz w:val="24"/>
                <w:szCs w:val="24"/>
              </w:rPr>
            </w:pPr>
            <w:r>
              <w:rPr>
                <w:rFonts w:hint="eastAsia" w:asciiTheme="minorEastAsia" w:hAnsiTheme="minorEastAsia"/>
                <w:sz w:val="24"/>
                <w:szCs w:val="24"/>
              </w:rPr>
              <w:t>4</w:t>
            </w:r>
          </w:p>
        </w:tc>
        <w:tc>
          <w:tcPr>
            <w:tcW w:w="1225" w:type="dxa"/>
            <w:tcBorders>
              <w:top w:val="single" w:color="auto" w:sz="8" w:space="0"/>
              <w:left w:val="nil"/>
              <w:bottom w:val="single" w:color="auto" w:sz="8" w:space="0"/>
              <w:right w:val="single" w:color="auto" w:sz="8" w:space="0"/>
            </w:tcBorders>
            <w:vAlign w:val="center"/>
          </w:tcPr>
          <w:p>
            <w:pPr>
              <w:widowControl/>
              <w:jc w:val="center"/>
              <w:textAlignment w:val="center"/>
              <w:rPr>
                <w:rFonts w:ascii="宋体" w:hAnsi="宋体" w:eastAsia="宋体" w:cs="宋体"/>
                <w:sz w:val="24"/>
                <w:szCs w:val="24"/>
              </w:rPr>
            </w:pPr>
            <w:r>
              <w:rPr>
                <w:rFonts w:hint="eastAsia" w:ascii="宋体" w:hAnsi="宋体" w:eastAsia="宋体" w:cs="宋体"/>
                <w:kern w:val="0"/>
                <w:sz w:val="24"/>
                <w:szCs w:val="24"/>
                <w:lang w:bidi="ar"/>
              </w:rPr>
              <w:t>需求理解分析</w:t>
            </w:r>
          </w:p>
        </w:tc>
        <w:tc>
          <w:tcPr>
            <w:tcW w:w="851" w:type="dxa"/>
            <w:tcBorders>
              <w:top w:val="single" w:color="auto" w:sz="8" w:space="0"/>
              <w:left w:val="nil"/>
              <w:bottom w:val="single" w:color="auto" w:sz="8" w:space="0"/>
              <w:right w:val="single" w:color="auto" w:sz="8" w:space="0"/>
            </w:tcBorders>
            <w:vAlign w:val="center"/>
          </w:tcPr>
          <w:p>
            <w:pPr>
              <w:widowControl/>
              <w:jc w:val="center"/>
              <w:textAlignment w:val="center"/>
              <w:rPr>
                <w:rFonts w:ascii="宋体" w:hAnsi="宋体" w:eastAsia="宋体" w:cs="宋体"/>
                <w:sz w:val="24"/>
                <w:szCs w:val="24"/>
              </w:rPr>
            </w:pPr>
            <w:r>
              <w:rPr>
                <w:rFonts w:hint="eastAsia" w:ascii="宋体" w:hAnsi="宋体" w:eastAsia="宋体" w:cs="宋体"/>
                <w:kern w:val="0"/>
                <w:sz w:val="24"/>
                <w:szCs w:val="24"/>
                <w:lang w:bidi="ar"/>
              </w:rPr>
              <w:t>10</w:t>
            </w:r>
          </w:p>
        </w:tc>
        <w:tc>
          <w:tcPr>
            <w:tcW w:w="6414" w:type="dxa"/>
            <w:tcBorders>
              <w:top w:val="single" w:color="auto" w:sz="8" w:space="0"/>
              <w:left w:val="nil"/>
              <w:bottom w:val="single" w:color="auto" w:sz="8" w:space="0"/>
              <w:right w:val="single" w:color="auto" w:sz="8" w:space="0"/>
            </w:tcBorders>
            <w:vAlign w:val="center"/>
          </w:tcPr>
          <w:p>
            <w:pPr>
              <w:widowControl/>
              <w:textAlignment w:val="center"/>
              <w:rPr>
                <w:rFonts w:ascii="宋体" w:hAnsi="宋体" w:eastAsia="宋体" w:cs="宋体"/>
                <w:kern w:val="0"/>
                <w:sz w:val="24"/>
                <w:szCs w:val="24"/>
                <w:lang w:bidi="ar"/>
              </w:rPr>
            </w:pPr>
            <w:r>
              <w:rPr>
                <w:rFonts w:hint="eastAsia" w:ascii="宋体" w:hAnsi="宋体" w:eastAsia="宋体" w:cs="宋体"/>
                <w:kern w:val="0"/>
                <w:sz w:val="24"/>
                <w:szCs w:val="24"/>
                <w:lang w:bidi="ar"/>
              </w:rPr>
              <w:t>根据供应商对本项目整体建设背景、建设必要性、相关政策、现状差距分析、项目可实施性等5部分对理解的深刻程度、全面性、可行性等做综合评审，共计10分。</w:t>
            </w:r>
          </w:p>
          <w:p>
            <w:pPr>
              <w:widowControl/>
              <w:textAlignment w:val="center"/>
              <w:rPr>
                <w:rFonts w:ascii="宋体" w:hAnsi="宋体" w:eastAsia="宋体" w:cs="宋体"/>
                <w:sz w:val="24"/>
                <w:szCs w:val="24"/>
              </w:rPr>
            </w:pPr>
            <w:r>
              <w:rPr>
                <w:rFonts w:hint="eastAsia" w:ascii="宋体" w:hAnsi="宋体" w:eastAsia="宋体" w:cs="宋体"/>
                <w:kern w:val="0"/>
                <w:sz w:val="24"/>
                <w:szCs w:val="24"/>
                <w:lang w:bidi="ar"/>
              </w:rPr>
              <w:t>对项目理解深刻、透彻，存在问题分析合理的得10分；理解比较深刻、透彻，分析比较合理的得6分；理解基本符合逻辑，分析比较合理的得2分；差的或没有的不得分。</w:t>
            </w:r>
          </w:p>
        </w:tc>
      </w:tr>
      <w:tr>
        <w:tblPrEx>
          <w:tblCellMar>
            <w:top w:w="0" w:type="dxa"/>
            <w:left w:w="0" w:type="dxa"/>
            <w:bottom w:w="0" w:type="dxa"/>
            <w:right w:w="0" w:type="dxa"/>
          </w:tblCellMar>
        </w:tblPrEx>
        <w:trPr>
          <w:trHeight w:val="408" w:hRule="atLeast"/>
        </w:trPr>
        <w:tc>
          <w:tcPr>
            <w:tcW w:w="656" w:type="dxa"/>
            <w:tcBorders>
              <w:top w:val="single" w:color="auto" w:sz="8" w:space="0"/>
              <w:left w:val="single" w:color="auto" w:sz="8" w:space="0"/>
              <w:bottom w:val="single" w:color="auto" w:sz="8" w:space="0"/>
              <w:right w:val="single" w:color="auto" w:sz="8" w:space="0"/>
            </w:tcBorders>
            <w:vAlign w:val="center"/>
          </w:tcPr>
          <w:p>
            <w:pPr>
              <w:jc w:val="center"/>
              <w:rPr>
                <w:rFonts w:asciiTheme="minorEastAsia" w:hAnsiTheme="minorEastAsia"/>
                <w:sz w:val="24"/>
                <w:szCs w:val="24"/>
              </w:rPr>
            </w:pPr>
            <w:r>
              <w:rPr>
                <w:rFonts w:hint="eastAsia" w:asciiTheme="minorEastAsia" w:hAnsiTheme="minorEastAsia"/>
                <w:sz w:val="24"/>
                <w:szCs w:val="24"/>
              </w:rPr>
              <w:t>5</w:t>
            </w:r>
          </w:p>
        </w:tc>
        <w:tc>
          <w:tcPr>
            <w:tcW w:w="1225" w:type="dxa"/>
            <w:tcBorders>
              <w:top w:val="single" w:color="auto" w:sz="8" w:space="0"/>
              <w:left w:val="nil"/>
              <w:bottom w:val="single" w:color="auto" w:sz="8" w:space="0"/>
              <w:right w:val="single" w:color="auto" w:sz="8" w:space="0"/>
            </w:tcBorders>
            <w:vAlign w:val="center"/>
          </w:tcPr>
          <w:p>
            <w:pPr>
              <w:widowControl/>
              <w:jc w:val="center"/>
              <w:textAlignment w:val="center"/>
              <w:rPr>
                <w:rFonts w:ascii="宋体" w:hAnsi="宋体" w:eastAsia="宋体" w:cs="宋体"/>
                <w:sz w:val="24"/>
                <w:szCs w:val="24"/>
              </w:rPr>
            </w:pPr>
            <w:r>
              <w:rPr>
                <w:rFonts w:hint="eastAsia" w:ascii="宋体" w:hAnsi="宋体" w:eastAsia="宋体" w:cs="宋体"/>
                <w:kern w:val="0"/>
                <w:sz w:val="24"/>
                <w:szCs w:val="24"/>
                <w:lang w:bidi="ar"/>
              </w:rPr>
              <w:t>项目建设方案</w:t>
            </w:r>
          </w:p>
        </w:tc>
        <w:tc>
          <w:tcPr>
            <w:tcW w:w="851" w:type="dxa"/>
            <w:tcBorders>
              <w:top w:val="single" w:color="auto" w:sz="8" w:space="0"/>
              <w:left w:val="nil"/>
              <w:bottom w:val="single" w:color="auto" w:sz="8" w:space="0"/>
              <w:right w:val="single" w:color="auto" w:sz="8" w:space="0"/>
            </w:tcBorders>
            <w:vAlign w:val="center"/>
          </w:tcPr>
          <w:p>
            <w:pPr>
              <w:widowControl/>
              <w:jc w:val="center"/>
              <w:textAlignment w:val="center"/>
              <w:rPr>
                <w:rFonts w:ascii="宋体" w:hAnsi="宋体" w:eastAsia="宋体" w:cs="宋体"/>
                <w:sz w:val="24"/>
                <w:szCs w:val="24"/>
              </w:rPr>
            </w:pPr>
            <w:r>
              <w:rPr>
                <w:rFonts w:hint="eastAsia" w:ascii="宋体" w:hAnsi="宋体" w:eastAsia="宋体" w:cs="宋体"/>
                <w:kern w:val="0"/>
                <w:sz w:val="24"/>
                <w:szCs w:val="24"/>
                <w:lang w:bidi="ar"/>
              </w:rPr>
              <w:t>18</w:t>
            </w:r>
          </w:p>
        </w:tc>
        <w:tc>
          <w:tcPr>
            <w:tcW w:w="6414" w:type="dxa"/>
            <w:tcBorders>
              <w:top w:val="single" w:color="auto" w:sz="8" w:space="0"/>
              <w:left w:val="nil"/>
              <w:bottom w:val="single" w:color="auto" w:sz="8" w:space="0"/>
              <w:right w:val="single" w:color="auto" w:sz="8" w:space="0"/>
            </w:tcBorders>
            <w:vAlign w:val="center"/>
          </w:tcPr>
          <w:p>
            <w:pPr>
              <w:widowControl/>
              <w:textAlignment w:val="center"/>
              <w:rPr>
                <w:rFonts w:ascii="宋体" w:hAnsi="宋体" w:eastAsia="宋体" w:cs="宋体"/>
                <w:kern w:val="0"/>
                <w:sz w:val="24"/>
                <w:szCs w:val="24"/>
                <w:lang w:bidi="ar"/>
              </w:rPr>
            </w:pPr>
            <w:r>
              <w:rPr>
                <w:rFonts w:hint="eastAsia" w:ascii="宋体" w:hAnsi="宋体" w:eastAsia="宋体" w:cs="宋体"/>
                <w:kern w:val="0"/>
                <w:sz w:val="24"/>
                <w:szCs w:val="24"/>
                <w:lang w:bidi="ar"/>
              </w:rPr>
              <w:t>供应商应遵循自治区应急管理厅网络安全总体设计思路和技术路线，进行自治区应急管理厅应急指挥专网网络安全加固服务项目服务内容的总体方案设计。包括项目建设目标、建设总体思路、总体建设原则与策略、总体建设任务、总体架构、关键技术架构等6部分开展项目建设方案编制，共计18分。</w:t>
            </w:r>
          </w:p>
          <w:p>
            <w:pPr>
              <w:widowControl/>
              <w:textAlignment w:val="center"/>
              <w:rPr>
                <w:rFonts w:ascii="宋体" w:hAnsi="宋体" w:eastAsia="宋体" w:cs="宋体"/>
                <w:sz w:val="24"/>
                <w:szCs w:val="24"/>
              </w:rPr>
            </w:pPr>
            <w:r>
              <w:rPr>
                <w:rFonts w:hint="eastAsia" w:ascii="宋体" w:hAnsi="宋体" w:eastAsia="宋体" w:cs="宋体"/>
                <w:kern w:val="0"/>
                <w:sz w:val="24"/>
                <w:szCs w:val="24"/>
                <w:lang w:bidi="ar"/>
              </w:rPr>
              <w:t>内容完整、描述清晰、科学规范、可操作性强的得18分；内容较完整、描述较清楚、科学较规范、可操作性较强的得12分；内容基本完整、描述基本清晰、可操作性一般的得6分；差的或没有的不得分；</w:t>
            </w:r>
          </w:p>
        </w:tc>
      </w:tr>
      <w:tr>
        <w:tblPrEx>
          <w:tblCellMar>
            <w:top w:w="0" w:type="dxa"/>
            <w:left w:w="0" w:type="dxa"/>
            <w:bottom w:w="0" w:type="dxa"/>
            <w:right w:w="0" w:type="dxa"/>
          </w:tblCellMar>
        </w:tblPrEx>
        <w:trPr>
          <w:trHeight w:val="567" w:hRule="atLeast"/>
        </w:trPr>
        <w:tc>
          <w:tcPr>
            <w:tcW w:w="656" w:type="dxa"/>
            <w:tcBorders>
              <w:top w:val="single" w:color="auto" w:sz="8" w:space="0"/>
              <w:left w:val="single" w:color="auto" w:sz="8" w:space="0"/>
              <w:bottom w:val="single" w:color="auto" w:sz="8" w:space="0"/>
              <w:right w:val="single" w:color="auto" w:sz="8" w:space="0"/>
            </w:tcBorders>
            <w:vAlign w:val="center"/>
          </w:tcPr>
          <w:p>
            <w:pPr>
              <w:jc w:val="center"/>
              <w:rPr>
                <w:rFonts w:asciiTheme="minorEastAsia" w:hAnsiTheme="minorEastAsia"/>
                <w:sz w:val="24"/>
                <w:szCs w:val="24"/>
              </w:rPr>
            </w:pPr>
            <w:r>
              <w:rPr>
                <w:rFonts w:hint="eastAsia" w:asciiTheme="minorEastAsia" w:hAnsiTheme="minorEastAsia"/>
                <w:sz w:val="24"/>
                <w:szCs w:val="24"/>
              </w:rPr>
              <w:t>6</w:t>
            </w:r>
          </w:p>
        </w:tc>
        <w:tc>
          <w:tcPr>
            <w:tcW w:w="1225" w:type="dxa"/>
            <w:tcBorders>
              <w:top w:val="single" w:color="auto" w:sz="8" w:space="0"/>
              <w:left w:val="nil"/>
              <w:bottom w:val="single" w:color="auto" w:sz="8" w:space="0"/>
              <w:right w:val="single" w:color="auto" w:sz="8" w:space="0"/>
            </w:tcBorders>
            <w:vAlign w:val="center"/>
          </w:tcPr>
          <w:p>
            <w:pPr>
              <w:widowControl/>
              <w:jc w:val="center"/>
              <w:textAlignment w:val="center"/>
              <w:rPr>
                <w:rFonts w:ascii="宋体" w:hAnsi="宋体" w:eastAsia="宋体" w:cs="宋体"/>
                <w:sz w:val="24"/>
                <w:szCs w:val="24"/>
              </w:rPr>
            </w:pPr>
            <w:r>
              <w:rPr>
                <w:rFonts w:hint="eastAsia" w:ascii="宋体" w:hAnsi="宋体" w:eastAsia="宋体" w:cs="宋体"/>
                <w:kern w:val="0"/>
                <w:sz w:val="24"/>
                <w:szCs w:val="24"/>
                <w:lang w:bidi="ar"/>
              </w:rPr>
              <w:t>项目管理方案</w:t>
            </w:r>
          </w:p>
        </w:tc>
        <w:tc>
          <w:tcPr>
            <w:tcW w:w="851" w:type="dxa"/>
            <w:tcBorders>
              <w:top w:val="single" w:color="auto" w:sz="8" w:space="0"/>
              <w:left w:val="nil"/>
              <w:bottom w:val="single" w:color="auto" w:sz="8" w:space="0"/>
              <w:right w:val="single" w:color="auto" w:sz="8" w:space="0"/>
            </w:tcBorders>
            <w:vAlign w:val="center"/>
          </w:tcPr>
          <w:p>
            <w:pPr>
              <w:widowControl/>
              <w:jc w:val="center"/>
              <w:textAlignment w:val="center"/>
              <w:rPr>
                <w:rFonts w:ascii="宋体" w:hAnsi="宋体" w:eastAsia="宋体" w:cs="宋体"/>
                <w:sz w:val="24"/>
                <w:szCs w:val="24"/>
              </w:rPr>
            </w:pPr>
            <w:r>
              <w:rPr>
                <w:rFonts w:hint="eastAsia" w:ascii="宋体" w:hAnsi="宋体" w:eastAsia="宋体" w:cs="宋体"/>
                <w:kern w:val="0"/>
                <w:sz w:val="24"/>
                <w:szCs w:val="24"/>
                <w:lang w:bidi="ar"/>
              </w:rPr>
              <w:t>6</w:t>
            </w:r>
          </w:p>
        </w:tc>
        <w:tc>
          <w:tcPr>
            <w:tcW w:w="6414" w:type="dxa"/>
            <w:tcBorders>
              <w:top w:val="single" w:color="auto" w:sz="8" w:space="0"/>
              <w:left w:val="nil"/>
              <w:bottom w:val="single" w:color="auto" w:sz="8" w:space="0"/>
              <w:right w:val="single" w:color="auto" w:sz="8" w:space="0"/>
            </w:tcBorders>
            <w:vAlign w:val="center"/>
          </w:tcPr>
          <w:p>
            <w:pPr>
              <w:widowControl/>
              <w:textAlignment w:val="center"/>
              <w:rPr>
                <w:rFonts w:ascii="宋体" w:hAnsi="宋体" w:eastAsia="宋体" w:cs="宋体"/>
                <w:kern w:val="0"/>
                <w:sz w:val="24"/>
                <w:szCs w:val="24"/>
                <w:lang w:bidi="ar"/>
              </w:rPr>
            </w:pPr>
            <w:r>
              <w:rPr>
                <w:rFonts w:hint="eastAsia" w:ascii="宋体" w:hAnsi="宋体" w:eastAsia="宋体" w:cs="宋体"/>
                <w:kern w:val="0"/>
                <w:sz w:val="24"/>
                <w:szCs w:val="24"/>
                <w:lang w:bidi="ar"/>
              </w:rPr>
              <w:t>结合本项目特点和实际现状，供应商提供风险控制方案，提出本项目实施的主要风险以及降低风险的策略与措施；提供测试与验收方案，对应用功能及性能的测试进行描述；提供实施进度方案，提出对项目实施工作进度规划；共计6分。</w:t>
            </w:r>
          </w:p>
          <w:p>
            <w:pPr>
              <w:widowControl/>
              <w:textAlignment w:val="center"/>
              <w:rPr>
                <w:rFonts w:ascii="宋体" w:hAnsi="宋体" w:eastAsia="宋体" w:cs="宋体"/>
                <w:sz w:val="24"/>
                <w:szCs w:val="24"/>
              </w:rPr>
            </w:pPr>
            <w:r>
              <w:rPr>
                <w:rFonts w:hint="eastAsia" w:ascii="宋体" w:hAnsi="宋体" w:eastAsia="宋体" w:cs="宋体"/>
                <w:kern w:val="0"/>
                <w:sz w:val="24"/>
                <w:szCs w:val="24"/>
                <w:lang w:bidi="ar"/>
              </w:rPr>
              <w:t>方案内容完整、描述清晰、措施完善、可操作性强的得6分；内容较完整、描述较清晰、措施较完善、可操作性较强的得4分；内容基本完整、描述基本清晰、可操作性一般的得2分；差的或没有的不得分；</w:t>
            </w:r>
          </w:p>
        </w:tc>
      </w:tr>
      <w:tr>
        <w:tblPrEx>
          <w:tblCellMar>
            <w:top w:w="0" w:type="dxa"/>
            <w:left w:w="0" w:type="dxa"/>
            <w:bottom w:w="0" w:type="dxa"/>
            <w:right w:w="0" w:type="dxa"/>
          </w:tblCellMar>
        </w:tblPrEx>
        <w:trPr>
          <w:trHeight w:val="567" w:hRule="atLeast"/>
        </w:trPr>
        <w:tc>
          <w:tcPr>
            <w:tcW w:w="656" w:type="dxa"/>
            <w:tcBorders>
              <w:top w:val="single" w:color="auto" w:sz="8" w:space="0"/>
              <w:left w:val="single" w:color="auto" w:sz="8" w:space="0"/>
              <w:bottom w:val="single" w:color="auto" w:sz="8" w:space="0"/>
              <w:right w:val="single" w:color="auto" w:sz="8" w:space="0"/>
            </w:tcBorders>
            <w:vAlign w:val="center"/>
          </w:tcPr>
          <w:p>
            <w:pPr>
              <w:jc w:val="center"/>
              <w:rPr>
                <w:rFonts w:asciiTheme="minorEastAsia" w:hAnsiTheme="minorEastAsia"/>
                <w:sz w:val="24"/>
                <w:szCs w:val="24"/>
              </w:rPr>
            </w:pPr>
            <w:r>
              <w:rPr>
                <w:rFonts w:hint="eastAsia" w:asciiTheme="minorEastAsia" w:hAnsiTheme="minorEastAsia"/>
                <w:sz w:val="24"/>
                <w:szCs w:val="24"/>
              </w:rPr>
              <w:t>7</w:t>
            </w:r>
          </w:p>
        </w:tc>
        <w:tc>
          <w:tcPr>
            <w:tcW w:w="1225" w:type="dxa"/>
            <w:tcBorders>
              <w:top w:val="single" w:color="auto" w:sz="8" w:space="0"/>
              <w:left w:val="nil"/>
              <w:bottom w:val="single" w:color="auto" w:sz="8" w:space="0"/>
              <w:right w:val="single" w:color="auto" w:sz="8" w:space="0"/>
            </w:tcBorders>
            <w:vAlign w:val="center"/>
          </w:tcPr>
          <w:p>
            <w:pPr>
              <w:widowControl/>
              <w:spacing w:line="360" w:lineRule="auto"/>
              <w:jc w:val="center"/>
              <w:rPr>
                <w:rFonts w:ascii="宋体" w:hAnsi="宋体" w:eastAsia="宋体" w:cs="宋体"/>
                <w:kern w:val="0"/>
                <w:sz w:val="24"/>
                <w:szCs w:val="24"/>
                <w:lang w:bidi="ar"/>
              </w:rPr>
            </w:pPr>
            <w:r>
              <w:rPr>
                <w:rFonts w:hint="eastAsia" w:ascii="宋体" w:hAnsi="宋体" w:cs="宋体"/>
                <w:kern w:val="0"/>
                <w:sz w:val="24"/>
                <w:szCs w:val="24"/>
              </w:rPr>
              <w:t>安全服务方案</w:t>
            </w:r>
          </w:p>
        </w:tc>
        <w:tc>
          <w:tcPr>
            <w:tcW w:w="851" w:type="dxa"/>
            <w:tcBorders>
              <w:top w:val="single" w:color="auto" w:sz="8" w:space="0"/>
              <w:left w:val="nil"/>
              <w:bottom w:val="single" w:color="auto" w:sz="8" w:space="0"/>
              <w:right w:val="single" w:color="auto" w:sz="8" w:space="0"/>
            </w:tcBorders>
            <w:vAlign w:val="center"/>
          </w:tcPr>
          <w:p>
            <w:pPr>
              <w:widowControl/>
              <w:spacing w:line="360" w:lineRule="auto"/>
              <w:jc w:val="center"/>
              <w:rPr>
                <w:rFonts w:ascii="宋体" w:hAnsi="宋体" w:eastAsia="宋体" w:cs="宋体"/>
                <w:kern w:val="0"/>
                <w:sz w:val="24"/>
                <w:szCs w:val="24"/>
                <w:lang w:bidi="ar"/>
              </w:rPr>
            </w:pPr>
            <w:r>
              <w:rPr>
                <w:rFonts w:hint="eastAsia" w:ascii="宋体" w:hAnsi="宋体" w:cs="宋体"/>
                <w:kern w:val="0"/>
                <w:sz w:val="24"/>
                <w:szCs w:val="24"/>
              </w:rPr>
              <w:t>6</w:t>
            </w:r>
          </w:p>
        </w:tc>
        <w:tc>
          <w:tcPr>
            <w:tcW w:w="6414" w:type="dxa"/>
            <w:tcBorders>
              <w:top w:val="single" w:color="auto" w:sz="8" w:space="0"/>
              <w:left w:val="nil"/>
              <w:bottom w:val="single" w:color="auto" w:sz="8" w:space="0"/>
              <w:right w:val="single" w:color="auto" w:sz="8" w:space="0"/>
            </w:tcBorders>
            <w:vAlign w:val="center"/>
          </w:tcPr>
          <w:p>
            <w:pPr>
              <w:widowControl/>
              <w:textAlignment w:val="center"/>
              <w:rPr>
                <w:rFonts w:ascii="宋体" w:hAnsi="宋体" w:eastAsia="宋体" w:cs="宋体"/>
                <w:kern w:val="0"/>
                <w:sz w:val="24"/>
                <w:szCs w:val="24"/>
                <w:lang w:bidi="ar"/>
              </w:rPr>
            </w:pPr>
            <w:r>
              <w:rPr>
                <w:rFonts w:hint="eastAsia" w:ascii="宋体" w:hAnsi="宋体" w:eastAsia="宋体" w:cs="宋体"/>
                <w:kern w:val="0"/>
                <w:sz w:val="24"/>
                <w:szCs w:val="24"/>
                <w:lang w:bidi="ar"/>
              </w:rPr>
              <w:t>根据供应商对本项目的理解制定完整的安全服务方案，包含漏洞扫描服务、基线核查服务、安全规划咨询服务、</w:t>
            </w:r>
          </w:p>
          <w:p>
            <w:pPr>
              <w:widowControl/>
              <w:textAlignment w:val="center"/>
              <w:rPr>
                <w:rFonts w:ascii="宋体" w:hAnsi="宋体" w:eastAsia="宋体" w:cs="宋体"/>
                <w:kern w:val="0"/>
                <w:sz w:val="24"/>
                <w:szCs w:val="24"/>
                <w:lang w:bidi="ar"/>
              </w:rPr>
            </w:pPr>
            <w:r>
              <w:rPr>
                <w:rFonts w:hint="eastAsia" w:ascii="宋体" w:hAnsi="宋体" w:eastAsia="宋体" w:cs="宋体"/>
                <w:kern w:val="0"/>
                <w:sz w:val="24"/>
                <w:szCs w:val="24"/>
                <w:lang w:bidi="ar"/>
              </w:rPr>
              <w:t>网络安全审计等安全技术服务。服务内容完整、可行性较强、且具有针对性的，得6分；内容不完整、可行性较弱、针对性较弱，得</w:t>
            </w:r>
            <w:r>
              <w:rPr>
                <w:rFonts w:ascii="宋体" w:hAnsi="宋体" w:eastAsia="宋体" w:cs="宋体"/>
                <w:kern w:val="0"/>
                <w:sz w:val="24"/>
                <w:szCs w:val="24"/>
                <w:lang w:bidi="ar"/>
              </w:rPr>
              <w:t>3</w:t>
            </w:r>
            <w:r>
              <w:rPr>
                <w:rFonts w:hint="eastAsia" w:ascii="宋体" w:hAnsi="宋体" w:eastAsia="宋体" w:cs="宋体"/>
                <w:kern w:val="0"/>
                <w:sz w:val="24"/>
                <w:szCs w:val="24"/>
                <w:lang w:bidi="ar"/>
              </w:rPr>
              <w:t>分；内容缺失、无可行性、无针对性或未制定，不得分。</w:t>
            </w:r>
          </w:p>
        </w:tc>
      </w:tr>
      <w:tr>
        <w:tblPrEx>
          <w:tblCellMar>
            <w:top w:w="0" w:type="dxa"/>
            <w:left w:w="0" w:type="dxa"/>
            <w:bottom w:w="0" w:type="dxa"/>
            <w:right w:w="0" w:type="dxa"/>
          </w:tblCellMar>
        </w:tblPrEx>
        <w:trPr>
          <w:trHeight w:val="567" w:hRule="atLeast"/>
        </w:trPr>
        <w:tc>
          <w:tcPr>
            <w:tcW w:w="656" w:type="dxa"/>
            <w:vMerge w:val="restart"/>
            <w:tcBorders>
              <w:top w:val="single" w:color="auto" w:sz="8" w:space="0"/>
              <w:left w:val="single" w:color="auto" w:sz="8" w:space="0"/>
              <w:right w:val="single" w:color="auto" w:sz="8" w:space="0"/>
            </w:tcBorders>
            <w:vAlign w:val="center"/>
          </w:tcPr>
          <w:p>
            <w:pPr>
              <w:jc w:val="center"/>
              <w:rPr>
                <w:rFonts w:asciiTheme="minorEastAsia" w:hAnsiTheme="minorEastAsia"/>
                <w:sz w:val="24"/>
                <w:szCs w:val="24"/>
              </w:rPr>
            </w:pPr>
            <w:r>
              <w:rPr>
                <w:rFonts w:hint="eastAsia" w:asciiTheme="minorEastAsia" w:hAnsiTheme="minorEastAsia"/>
                <w:sz w:val="24"/>
                <w:szCs w:val="24"/>
              </w:rPr>
              <w:t>8</w:t>
            </w:r>
          </w:p>
        </w:tc>
        <w:tc>
          <w:tcPr>
            <w:tcW w:w="1225" w:type="dxa"/>
            <w:vMerge w:val="restart"/>
            <w:tcBorders>
              <w:top w:val="single" w:color="auto" w:sz="8" w:space="0"/>
              <w:left w:val="nil"/>
              <w:right w:val="single" w:color="auto" w:sz="8" w:space="0"/>
            </w:tcBorders>
            <w:vAlign w:val="center"/>
          </w:tcPr>
          <w:p>
            <w:pPr>
              <w:ind w:left="-105" w:leftChars="-50" w:right="-105" w:rightChars="-50"/>
              <w:jc w:val="center"/>
              <w:rPr>
                <w:rFonts w:ascii="宋体" w:hAnsi="宋体" w:cs="Arial"/>
                <w:kern w:val="0"/>
                <w:sz w:val="24"/>
                <w:szCs w:val="24"/>
              </w:rPr>
            </w:pPr>
            <w:r>
              <w:rPr>
                <w:rFonts w:hint="eastAsia" w:ascii="宋体" w:hAnsi="宋体" w:eastAsia="宋体" w:cs="宋体"/>
                <w:kern w:val="0"/>
                <w:sz w:val="24"/>
                <w:szCs w:val="24"/>
                <w:lang w:bidi="ar"/>
              </w:rPr>
              <w:t>项目团队能力</w:t>
            </w:r>
          </w:p>
        </w:tc>
        <w:tc>
          <w:tcPr>
            <w:tcW w:w="851" w:type="dxa"/>
            <w:tcBorders>
              <w:top w:val="single" w:color="auto" w:sz="8" w:space="0"/>
              <w:left w:val="nil"/>
              <w:bottom w:val="single" w:color="auto" w:sz="8" w:space="0"/>
              <w:right w:val="single" w:color="auto" w:sz="8" w:space="0"/>
            </w:tcBorders>
            <w:vAlign w:val="center"/>
          </w:tcPr>
          <w:p>
            <w:pPr>
              <w:widowControl/>
              <w:jc w:val="center"/>
              <w:textAlignment w:val="center"/>
              <w:rPr>
                <w:rFonts w:ascii="宋体" w:hAnsi="宋体" w:eastAsia="宋体" w:cs="宋体"/>
                <w:sz w:val="24"/>
                <w:szCs w:val="24"/>
              </w:rPr>
            </w:pPr>
            <w:r>
              <w:rPr>
                <w:rFonts w:hint="eastAsia" w:ascii="宋体" w:hAnsi="宋体" w:eastAsia="宋体" w:cs="宋体"/>
                <w:sz w:val="24"/>
                <w:szCs w:val="24"/>
              </w:rPr>
              <w:t>2</w:t>
            </w:r>
          </w:p>
        </w:tc>
        <w:tc>
          <w:tcPr>
            <w:tcW w:w="6414" w:type="dxa"/>
            <w:tcBorders>
              <w:top w:val="single" w:color="auto" w:sz="8" w:space="0"/>
              <w:left w:val="nil"/>
              <w:bottom w:val="single" w:color="auto" w:sz="8" w:space="0"/>
              <w:right w:val="single" w:color="auto" w:sz="8" w:space="0"/>
            </w:tcBorders>
            <w:vAlign w:val="center"/>
          </w:tcPr>
          <w:p>
            <w:pPr>
              <w:widowControl/>
              <w:jc w:val="left"/>
              <w:textAlignment w:val="center"/>
              <w:rPr>
                <w:rFonts w:ascii="宋体" w:hAnsi="宋体" w:eastAsia="宋体" w:cs="宋体"/>
                <w:kern w:val="0"/>
                <w:sz w:val="24"/>
                <w:szCs w:val="24"/>
                <w:lang w:bidi="ar"/>
              </w:rPr>
            </w:pPr>
            <w:r>
              <w:rPr>
                <w:rFonts w:hint="eastAsia" w:ascii="宋体" w:hAnsi="宋体" w:eastAsia="宋体" w:cs="宋体"/>
                <w:kern w:val="0"/>
                <w:sz w:val="24"/>
                <w:szCs w:val="24"/>
                <w:lang w:bidi="ar"/>
              </w:rPr>
              <w:t>拟派项目负责人具备有效的项目管理师证书（PMP）、注册网络安全专业人员证书（</w:t>
            </w:r>
            <w:r>
              <w:rPr>
                <w:rFonts w:ascii="宋体" w:hAnsi="宋体" w:eastAsia="宋体" w:cs="宋体"/>
                <w:kern w:val="0"/>
                <w:sz w:val="24"/>
                <w:szCs w:val="24"/>
                <w:lang w:bidi="ar"/>
              </w:rPr>
              <w:t>CISP</w:t>
            </w:r>
            <w:r>
              <w:rPr>
                <w:rFonts w:hint="eastAsia" w:ascii="宋体" w:hAnsi="宋体" w:eastAsia="宋体" w:cs="宋体"/>
                <w:kern w:val="0"/>
                <w:sz w:val="24"/>
                <w:szCs w:val="24"/>
                <w:lang w:bidi="ar"/>
              </w:rPr>
              <w:t>）和高级信息系统项目管理师证书，</w:t>
            </w:r>
          </w:p>
          <w:p>
            <w:pPr>
              <w:widowControl/>
              <w:jc w:val="left"/>
              <w:textAlignment w:val="center"/>
              <w:rPr>
                <w:rFonts w:ascii="宋体" w:hAnsi="宋体" w:eastAsia="宋体" w:cs="宋体"/>
                <w:kern w:val="0"/>
                <w:sz w:val="24"/>
                <w:szCs w:val="24"/>
                <w:lang w:bidi="ar"/>
              </w:rPr>
            </w:pPr>
            <w:r>
              <w:rPr>
                <w:rFonts w:hint="eastAsia" w:ascii="宋体" w:hAnsi="宋体" w:eastAsia="宋体" w:cs="宋体"/>
                <w:kern w:val="0"/>
                <w:sz w:val="24"/>
                <w:szCs w:val="24"/>
                <w:lang w:bidi="ar"/>
              </w:rPr>
              <w:t>全部具备得2分，具备其中2项得1分，具备其中1项得0.5分，没有不得分。</w:t>
            </w:r>
          </w:p>
          <w:p>
            <w:pPr>
              <w:widowControl/>
              <w:jc w:val="left"/>
              <w:textAlignment w:val="center"/>
              <w:rPr>
                <w:rFonts w:ascii="宋体" w:hAnsi="宋体" w:eastAsia="宋体" w:cs="宋体"/>
                <w:sz w:val="24"/>
                <w:szCs w:val="24"/>
              </w:rPr>
            </w:pPr>
            <w:r>
              <w:rPr>
                <w:rFonts w:hint="eastAsia" w:ascii="宋体" w:hAnsi="宋体" w:eastAsia="宋体" w:cs="宋体"/>
                <w:kern w:val="0"/>
                <w:sz w:val="24"/>
                <w:szCs w:val="24"/>
                <w:lang w:bidi="ar"/>
              </w:rPr>
              <w:t>注：提供个人简历、相关资格证书复印件、相关证明材料、社保机构出具的开标前6个月内任意1个月供应商为其缴纳的社保证明。</w:t>
            </w:r>
          </w:p>
        </w:tc>
      </w:tr>
      <w:tr>
        <w:tblPrEx>
          <w:tblCellMar>
            <w:top w:w="0" w:type="dxa"/>
            <w:left w:w="0" w:type="dxa"/>
            <w:bottom w:w="0" w:type="dxa"/>
            <w:right w:w="0" w:type="dxa"/>
          </w:tblCellMar>
        </w:tblPrEx>
        <w:trPr>
          <w:trHeight w:val="567" w:hRule="atLeast"/>
        </w:trPr>
        <w:tc>
          <w:tcPr>
            <w:tcW w:w="656" w:type="dxa"/>
            <w:vMerge w:val="continue"/>
            <w:tcBorders>
              <w:left w:val="single" w:color="auto" w:sz="8" w:space="0"/>
              <w:bottom w:val="single" w:color="auto" w:sz="8" w:space="0"/>
              <w:right w:val="single" w:color="auto" w:sz="8" w:space="0"/>
            </w:tcBorders>
            <w:vAlign w:val="center"/>
          </w:tcPr>
          <w:p>
            <w:pPr>
              <w:jc w:val="center"/>
              <w:rPr>
                <w:rFonts w:asciiTheme="minorEastAsia" w:hAnsiTheme="minorEastAsia"/>
                <w:sz w:val="24"/>
                <w:szCs w:val="24"/>
              </w:rPr>
            </w:pPr>
          </w:p>
        </w:tc>
        <w:tc>
          <w:tcPr>
            <w:tcW w:w="1225" w:type="dxa"/>
            <w:vMerge w:val="continue"/>
            <w:tcBorders>
              <w:left w:val="nil"/>
              <w:bottom w:val="single" w:color="auto" w:sz="8" w:space="0"/>
              <w:right w:val="single" w:color="auto" w:sz="8" w:space="0"/>
            </w:tcBorders>
            <w:vAlign w:val="center"/>
          </w:tcPr>
          <w:p>
            <w:pPr>
              <w:ind w:left="-105" w:leftChars="-50" w:right="-105" w:rightChars="-50"/>
              <w:jc w:val="center"/>
              <w:rPr>
                <w:rFonts w:ascii="宋体" w:hAnsi="宋体" w:cs="Arial"/>
                <w:kern w:val="0"/>
                <w:sz w:val="24"/>
                <w:szCs w:val="24"/>
              </w:rPr>
            </w:pPr>
          </w:p>
        </w:tc>
        <w:tc>
          <w:tcPr>
            <w:tcW w:w="851" w:type="dxa"/>
            <w:tcBorders>
              <w:top w:val="single" w:color="auto" w:sz="8" w:space="0"/>
              <w:left w:val="nil"/>
              <w:bottom w:val="single" w:color="auto" w:sz="8" w:space="0"/>
              <w:right w:val="single" w:color="auto" w:sz="8" w:space="0"/>
            </w:tcBorders>
            <w:vAlign w:val="center"/>
          </w:tcPr>
          <w:p>
            <w:pPr>
              <w:widowControl/>
              <w:jc w:val="center"/>
              <w:textAlignment w:val="center"/>
              <w:rPr>
                <w:rFonts w:ascii="宋体" w:hAnsi="宋体" w:eastAsia="宋体" w:cs="宋体"/>
                <w:sz w:val="24"/>
                <w:szCs w:val="24"/>
              </w:rPr>
            </w:pPr>
            <w:r>
              <w:rPr>
                <w:rFonts w:hint="eastAsia" w:ascii="宋体" w:hAnsi="宋体" w:eastAsia="宋体" w:cs="宋体"/>
                <w:kern w:val="0"/>
                <w:sz w:val="24"/>
                <w:szCs w:val="24"/>
                <w:lang w:bidi="ar"/>
              </w:rPr>
              <w:t>4</w:t>
            </w:r>
          </w:p>
        </w:tc>
        <w:tc>
          <w:tcPr>
            <w:tcW w:w="6414" w:type="dxa"/>
            <w:tcBorders>
              <w:top w:val="single" w:color="auto" w:sz="8" w:space="0"/>
              <w:left w:val="nil"/>
              <w:bottom w:val="single" w:color="auto" w:sz="8" w:space="0"/>
              <w:right w:val="single" w:color="auto" w:sz="8" w:space="0"/>
            </w:tcBorders>
            <w:vAlign w:val="center"/>
          </w:tcPr>
          <w:p>
            <w:pPr>
              <w:widowControl/>
              <w:jc w:val="left"/>
              <w:textAlignment w:val="center"/>
              <w:rPr>
                <w:rFonts w:ascii="宋体" w:hAnsi="宋体" w:eastAsia="宋体" w:cs="宋体"/>
                <w:kern w:val="0"/>
                <w:sz w:val="24"/>
                <w:szCs w:val="24"/>
                <w:lang w:bidi="ar"/>
              </w:rPr>
            </w:pPr>
            <w:r>
              <w:rPr>
                <w:rFonts w:hint="eastAsia" w:ascii="宋体" w:hAnsi="宋体" w:eastAsia="宋体" w:cs="宋体"/>
                <w:kern w:val="0"/>
                <w:sz w:val="24"/>
                <w:szCs w:val="24"/>
                <w:lang w:bidi="ar"/>
              </w:rPr>
              <w:t>供应商拟派测评小组成员具备：①高级技术职称证书、②软件评测师证书、③高级信息系统项目管理师、④注册网络安全专业人员证书（</w:t>
            </w:r>
            <w:r>
              <w:rPr>
                <w:rFonts w:ascii="宋体" w:hAnsi="宋体" w:eastAsia="宋体" w:cs="宋体"/>
                <w:kern w:val="0"/>
                <w:sz w:val="24"/>
                <w:szCs w:val="24"/>
                <w:lang w:bidi="ar"/>
              </w:rPr>
              <w:t>CISP</w:t>
            </w:r>
            <w:r>
              <w:rPr>
                <w:rFonts w:hint="eastAsia" w:ascii="宋体" w:hAnsi="宋体" w:eastAsia="宋体" w:cs="宋体"/>
                <w:kern w:val="0"/>
                <w:sz w:val="24"/>
                <w:szCs w:val="24"/>
                <w:lang w:bidi="ar"/>
              </w:rPr>
              <w:t>）；全部具备得4分，具备其中3项得2分，具备其中2项及以下得0.5分，没有不得分。</w:t>
            </w:r>
          </w:p>
          <w:p>
            <w:pPr>
              <w:widowControl/>
              <w:jc w:val="left"/>
              <w:textAlignment w:val="center"/>
              <w:rPr>
                <w:rFonts w:ascii="宋体" w:hAnsi="宋体" w:eastAsia="宋体" w:cs="宋体"/>
                <w:sz w:val="24"/>
                <w:szCs w:val="24"/>
              </w:rPr>
            </w:pPr>
            <w:r>
              <w:rPr>
                <w:rFonts w:hint="eastAsia" w:ascii="宋体" w:hAnsi="宋体" w:eastAsia="宋体" w:cs="宋体"/>
                <w:kern w:val="0"/>
                <w:sz w:val="24"/>
                <w:szCs w:val="24"/>
                <w:lang w:bidi="ar"/>
              </w:rPr>
              <w:t>注：团队中所有人员提供相关个人简历、相关资格证书复印件、相关证明材料、社保机构出具的开标前6个月内任一个月供应商为其缴纳的社保证明，同一人员拥有多个证件的不重复计算。</w:t>
            </w:r>
          </w:p>
        </w:tc>
      </w:tr>
      <w:tr>
        <w:tblPrEx>
          <w:tblCellMar>
            <w:top w:w="0" w:type="dxa"/>
            <w:left w:w="0" w:type="dxa"/>
            <w:bottom w:w="0" w:type="dxa"/>
            <w:right w:w="0" w:type="dxa"/>
          </w:tblCellMar>
        </w:tblPrEx>
        <w:trPr>
          <w:trHeight w:val="567" w:hRule="atLeast"/>
        </w:trPr>
        <w:tc>
          <w:tcPr>
            <w:tcW w:w="656" w:type="dxa"/>
            <w:tcBorders>
              <w:top w:val="single" w:color="auto" w:sz="8" w:space="0"/>
              <w:left w:val="single" w:color="auto" w:sz="8" w:space="0"/>
              <w:bottom w:val="single" w:color="auto" w:sz="8" w:space="0"/>
              <w:right w:val="single" w:color="auto" w:sz="8" w:space="0"/>
            </w:tcBorders>
            <w:vAlign w:val="center"/>
          </w:tcPr>
          <w:p>
            <w:pPr>
              <w:jc w:val="center"/>
              <w:rPr>
                <w:rFonts w:asciiTheme="minorEastAsia" w:hAnsiTheme="minorEastAsia"/>
                <w:sz w:val="24"/>
                <w:szCs w:val="24"/>
              </w:rPr>
            </w:pPr>
            <w:r>
              <w:rPr>
                <w:rFonts w:hint="eastAsia" w:asciiTheme="minorEastAsia" w:hAnsiTheme="minorEastAsia"/>
                <w:sz w:val="24"/>
                <w:szCs w:val="24"/>
              </w:rPr>
              <w:t>9</w:t>
            </w:r>
          </w:p>
        </w:tc>
        <w:tc>
          <w:tcPr>
            <w:tcW w:w="1225" w:type="dxa"/>
            <w:tcBorders>
              <w:top w:val="single" w:color="auto" w:sz="8" w:space="0"/>
              <w:left w:val="nil"/>
              <w:bottom w:val="single" w:color="auto" w:sz="8" w:space="0"/>
              <w:right w:val="single" w:color="auto" w:sz="8" w:space="0"/>
            </w:tcBorders>
            <w:vAlign w:val="center"/>
          </w:tcPr>
          <w:p>
            <w:pPr>
              <w:widowControl/>
              <w:spacing w:line="360" w:lineRule="auto"/>
              <w:jc w:val="center"/>
              <w:rPr>
                <w:rFonts w:ascii="宋体" w:hAnsi="宋体" w:eastAsia="宋体" w:cs="宋体"/>
                <w:sz w:val="24"/>
                <w:szCs w:val="24"/>
              </w:rPr>
            </w:pPr>
            <w:r>
              <w:rPr>
                <w:rFonts w:hint="eastAsia" w:ascii="宋体" w:hAnsi="宋体" w:cs="宋体"/>
                <w:kern w:val="0"/>
                <w:sz w:val="24"/>
                <w:szCs w:val="24"/>
              </w:rPr>
              <w:t>项目服务质量保障</w:t>
            </w:r>
          </w:p>
        </w:tc>
        <w:tc>
          <w:tcPr>
            <w:tcW w:w="851" w:type="dxa"/>
            <w:tcBorders>
              <w:top w:val="single" w:color="auto" w:sz="8" w:space="0"/>
              <w:left w:val="nil"/>
              <w:bottom w:val="single" w:color="auto" w:sz="8" w:space="0"/>
              <w:right w:val="single" w:color="auto" w:sz="8" w:space="0"/>
            </w:tcBorders>
            <w:vAlign w:val="center"/>
          </w:tcPr>
          <w:p>
            <w:pPr>
              <w:widowControl/>
              <w:spacing w:line="360" w:lineRule="auto"/>
              <w:jc w:val="center"/>
              <w:rPr>
                <w:rFonts w:ascii="宋体" w:hAnsi="宋体" w:eastAsia="宋体" w:cs="宋体"/>
                <w:sz w:val="24"/>
                <w:szCs w:val="24"/>
              </w:rPr>
            </w:pPr>
            <w:r>
              <w:rPr>
                <w:rFonts w:hint="eastAsia" w:ascii="宋体" w:hAnsi="宋体" w:cs="宋体"/>
                <w:kern w:val="0"/>
                <w:sz w:val="24"/>
                <w:szCs w:val="24"/>
              </w:rPr>
              <w:t>4</w:t>
            </w:r>
          </w:p>
        </w:tc>
        <w:tc>
          <w:tcPr>
            <w:tcW w:w="6414" w:type="dxa"/>
            <w:tcBorders>
              <w:top w:val="single" w:color="auto" w:sz="8" w:space="0"/>
              <w:left w:val="nil"/>
              <w:bottom w:val="single" w:color="auto" w:sz="8" w:space="0"/>
              <w:right w:val="single" w:color="auto" w:sz="8" w:space="0"/>
            </w:tcBorders>
            <w:vAlign w:val="center"/>
          </w:tcPr>
          <w:p>
            <w:pPr>
              <w:widowControl/>
              <w:textAlignment w:val="center"/>
              <w:rPr>
                <w:rFonts w:ascii="宋体" w:hAnsi="宋体" w:eastAsia="宋体" w:cs="宋体"/>
                <w:kern w:val="0"/>
                <w:sz w:val="24"/>
                <w:szCs w:val="24"/>
                <w:lang w:bidi="ar"/>
              </w:rPr>
            </w:pPr>
            <w:r>
              <w:rPr>
                <w:rFonts w:hint="eastAsia" w:ascii="宋体" w:hAnsi="宋体" w:eastAsia="宋体" w:cs="宋体"/>
                <w:kern w:val="0"/>
                <w:sz w:val="24"/>
                <w:szCs w:val="24"/>
                <w:lang w:bidi="ar"/>
              </w:rPr>
              <w:t>项目服务质量保障，内容包含①明确项目服务质量目标；②项目服务质量控制体系及措施；上述2项每项内容完整，可行性强、且具有针对性的，得4分；内容较完整，具备可实施性，得2分；内容不完整或未能满足采购需求或逻辑性不强或无针对性，不得分。</w:t>
            </w:r>
          </w:p>
        </w:tc>
      </w:tr>
      <w:tr>
        <w:tblPrEx>
          <w:tblCellMar>
            <w:top w:w="0" w:type="dxa"/>
            <w:left w:w="0" w:type="dxa"/>
            <w:bottom w:w="0" w:type="dxa"/>
            <w:right w:w="0" w:type="dxa"/>
          </w:tblCellMar>
        </w:tblPrEx>
        <w:trPr>
          <w:trHeight w:val="567" w:hRule="atLeast"/>
        </w:trPr>
        <w:tc>
          <w:tcPr>
            <w:tcW w:w="656" w:type="dxa"/>
            <w:tcBorders>
              <w:top w:val="single" w:color="auto" w:sz="8" w:space="0"/>
              <w:left w:val="single" w:color="auto" w:sz="8" w:space="0"/>
              <w:bottom w:val="single" w:color="auto" w:sz="8" w:space="0"/>
              <w:right w:val="single" w:color="auto" w:sz="8" w:space="0"/>
            </w:tcBorders>
            <w:vAlign w:val="center"/>
          </w:tcPr>
          <w:p>
            <w:pPr>
              <w:jc w:val="center"/>
              <w:rPr>
                <w:rFonts w:asciiTheme="minorEastAsia" w:hAnsiTheme="minorEastAsia"/>
                <w:sz w:val="24"/>
                <w:szCs w:val="24"/>
              </w:rPr>
            </w:pPr>
            <w:r>
              <w:rPr>
                <w:rFonts w:hint="eastAsia" w:asciiTheme="minorEastAsia" w:hAnsiTheme="minorEastAsia"/>
                <w:sz w:val="24"/>
                <w:szCs w:val="24"/>
              </w:rPr>
              <w:t>10</w:t>
            </w:r>
          </w:p>
        </w:tc>
        <w:tc>
          <w:tcPr>
            <w:tcW w:w="1225" w:type="dxa"/>
            <w:tcBorders>
              <w:top w:val="single" w:color="auto" w:sz="8" w:space="0"/>
              <w:left w:val="nil"/>
              <w:bottom w:val="single" w:color="auto" w:sz="8" w:space="0"/>
              <w:right w:val="single" w:color="auto" w:sz="8" w:space="0"/>
            </w:tcBorders>
            <w:vAlign w:val="center"/>
          </w:tcPr>
          <w:p>
            <w:pPr>
              <w:widowControl/>
              <w:spacing w:line="360" w:lineRule="auto"/>
              <w:jc w:val="center"/>
              <w:rPr>
                <w:rFonts w:ascii="宋体" w:hAnsi="宋体" w:eastAsia="宋体" w:cs="宋体"/>
                <w:kern w:val="0"/>
                <w:sz w:val="24"/>
                <w:szCs w:val="24"/>
                <w:lang w:bidi="ar"/>
              </w:rPr>
            </w:pPr>
            <w:r>
              <w:rPr>
                <w:rFonts w:hint="eastAsia" w:ascii="Times New Roman" w:hAnsi="Times New Roman" w:cs="宋体"/>
                <w:sz w:val="24"/>
                <w:szCs w:val="24"/>
              </w:rPr>
              <w:t>应急预案</w:t>
            </w:r>
          </w:p>
        </w:tc>
        <w:tc>
          <w:tcPr>
            <w:tcW w:w="851" w:type="dxa"/>
            <w:tcBorders>
              <w:top w:val="single" w:color="auto" w:sz="8" w:space="0"/>
              <w:left w:val="nil"/>
              <w:bottom w:val="single" w:color="auto" w:sz="8" w:space="0"/>
              <w:right w:val="single" w:color="auto" w:sz="8" w:space="0"/>
            </w:tcBorders>
            <w:vAlign w:val="center"/>
          </w:tcPr>
          <w:p>
            <w:pPr>
              <w:widowControl/>
              <w:spacing w:line="360" w:lineRule="auto"/>
              <w:jc w:val="center"/>
              <w:rPr>
                <w:rFonts w:ascii="宋体" w:hAnsi="宋体" w:eastAsia="宋体" w:cs="宋体"/>
                <w:kern w:val="0"/>
                <w:sz w:val="24"/>
                <w:szCs w:val="24"/>
                <w:lang w:bidi="ar"/>
              </w:rPr>
            </w:pPr>
            <w:r>
              <w:rPr>
                <w:rFonts w:hint="eastAsia" w:ascii="宋体" w:hAnsi="宋体" w:cs="宋体"/>
                <w:kern w:val="0"/>
                <w:sz w:val="24"/>
                <w:szCs w:val="24"/>
              </w:rPr>
              <w:t>3</w:t>
            </w:r>
          </w:p>
        </w:tc>
        <w:tc>
          <w:tcPr>
            <w:tcW w:w="6414" w:type="dxa"/>
            <w:tcBorders>
              <w:top w:val="single" w:color="auto" w:sz="8" w:space="0"/>
              <w:left w:val="nil"/>
              <w:bottom w:val="single" w:color="auto" w:sz="8" w:space="0"/>
              <w:right w:val="single" w:color="auto" w:sz="8" w:space="0"/>
            </w:tcBorders>
            <w:vAlign w:val="center"/>
          </w:tcPr>
          <w:p>
            <w:pPr>
              <w:widowControl/>
              <w:textAlignment w:val="center"/>
              <w:rPr>
                <w:rFonts w:ascii="宋体" w:hAnsi="宋体" w:eastAsia="宋体" w:cs="宋体"/>
                <w:kern w:val="0"/>
                <w:sz w:val="24"/>
                <w:szCs w:val="24"/>
                <w:lang w:bidi="ar"/>
              </w:rPr>
            </w:pPr>
            <w:r>
              <w:rPr>
                <w:rFonts w:hint="eastAsia" w:ascii="宋体" w:hAnsi="宋体" w:eastAsia="宋体" w:cs="宋体"/>
                <w:kern w:val="0"/>
                <w:sz w:val="24"/>
                <w:szCs w:val="24"/>
                <w:lang w:bidi="ar"/>
              </w:rPr>
              <w:t>针对突发状况（如疫情、网络安全事件等）处置预案，合理可行的，得3分；一般的，得2分；差的或未提供，得0分。</w:t>
            </w:r>
          </w:p>
        </w:tc>
      </w:tr>
      <w:tr>
        <w:tblPrEx>
          <w:tblCellMar>
            <w:top w:w="0" w:type="dxa"/>
            <w:left w:w="0" w:type="dxa"/>
            <w:bottom w:w="0" w:type="dxa"/>
            <w:right w:w="0" w:type="dxa"/>
          </w:tblCellMar>
        </w:tblPrEx>
        <w:trPr>
          <w:trHeight w:val="567" w:hRule="atLeast"/>
        </w:trPr>
        <w:tc>
          <w:tcPr>
            <w:tcW w:w="656" w:type="dxa"/>
            <w:tcBorders>
              <w:top w:val="single" w:color="auto" w:sz="8" w:space="0"/>
              <w:left w:val="single" w:color="auto" w:sz="8" w:space="0"/>
              <w:bottom w:val="single" w:color="auto" w:sz="8" w:space="0"/>
              <w:right w:val="single" w:color="auto" w:sz="8" w:space="0"/>
            </w:tcBorders>
            <w:vAlign w:val="center"/>
          </w:tcPr>
          <w:p>
            <w:pPr>
              <w:jc w:val="center"/>
              <w:rPr>
                <w:rFonts w:asciiTheme="minorEastAsia" w:hAnsiTheme="minorEastAsia"/>
                <w:sz w:val="24"/>
                <w:szCs w:val="24"/>
              </w:rPr>
            </w:pPr>
            <w:r>
              <w:rPr>
                <w:rFonts w:hint="eastAsia" w:asciiTheme="minorEastAsia" w:hAnsiTheme="minorEastAsia"/>
                <w:sz w:val="24"/>
                <w:szCs w:val="24"/>
              </w:rPr>
              <w:t>11</w:t>
            </w:r>
          </w:p>
        </w:tc>
        <w:tc>
          <w:tcPr>
            <w:tcW w:w="1225" w:type="dxa"/>
            <w:tcBorders>
              <w:top w:val="single" w:color="auto" w:sz="8" w:space="0"/>
              <w:left w:val="nil"/>
              <w:bottom w:val="single" w:color="auto" w:sz="8" w:space="0"/>
              <w:right w:val="single" w:color="auto" w:sz="8" w:space="0"/>
            </w:tcBorders>
            <w:vAlign w:val="center"/>
          </w:tcPr>
          <w:p>
            <w:pPr>
              <w:widowControl/>
              <w:jc w:val="center"/>
              <w:textAlignment w:val="center"/>
              <w:rPr>
                <w:rFonts w:ascii="宋体" w:hAnsi="宋体" w:eastAsia="宋体" w:cs="宋体"/>
                <w:sz w:val="24"/>
                <w:szCs w:val="24"/>
              </w:rPr>
            </w:pPr>
            <w:r>
              <w:rPr>
                <w:rFonts w:hint="eastAsia" w:ascii="宋体" w:hAnsi="宋体" w:eastAsia="宋体" w:cs="宋体"/>
                <w:kern w:val="0"/>
                <w:sz w:val="24"/>
                <w:szCs w:val="24"/>
                <w:lang w:bidi="ar"/>
              </w:rPr>
              <w:t>培训服务方案</w:t>
            </w:r>
          </w:p>
        </w:tc>
        <w:tc>
          <w:tcPr>
            <w:tcW w:w="851" w:type="dxa"/>
            <w:tcBorders>
              <w:top w:val="single" w:color="auto" w:sz="8" w:space="0"/>
              <w:left w:val="nil"/>
              <w:bottom w:val="single" w:color="auto" w:sz="8" w:space="0"/>
              <w:right w:val="single" w:color="auto" w:sz="8" w:space="0"/>
            </w:tcBorders>
            <w:vAlign w:val="center"/>
          </w:tcPr>
          <w:p>
            <w:pPr>
              <w:widowControl/>
              <w:jc w:val="center"/>
              <w:textAlignment w:val="center"/>
              <w:rPr>
                <w:rFonts w:ascii="宋体" w:hAnsi="宋体" w:eastAsia="宋体" w:cs="宋体"/>
                <w:sz w:val="24"/>
                <w:szCs w:val="24"/>
              </w:rPr>
            </w:pPr>
            <w:r>
              <w:rPr>
                <w:rFonts w:hint="eastAsia" w:ascii="宋体" w:hAnsi="宋体" w:eastAsia="宋体" w:cs="宋体"/>
                <w:kern w:val="0"/>
                <w:sz w:val="24"/>
                <w:szCs w:val="24"/>
                <w:lang w:bidi="ar"/>
              </w:rPr>
              <w:t>3</w:t>
            </w:r>
          </w:p>
        </w:tc>
        <w:tc>
          <w:tcPr>
            <w:tcW w:w="6414" w:type="dxa"/>
            <w:tcBorders>
              <w:top w:val="single" w:color="auto" w:sz="8" w:space="0"/>
              <w:left w:val="nil"/>
              <w:bottom w:val="single" w:color="auto" w:sz="8" w:space="0"/>
              <w:right w:val="single" w:color="auto" w:sz="8" w:space="0"/>
            </w:tcBorders>
            <w:vAlign w:val="center"/>
          </w:tcPr>
          <w:p>
            <w:pPr>
              <w:widowControl/>
              <w:textAlignment w:val="center"/>
              <w:rPr>
                <w:rFonts w:ascii="宋体" w:hAnsi="宋体" w:eastAsia="宋体" w:cs="宋体"/>
                <w:sz w:val="24"/>
                <w:szCs w:val="24"/>
              </w:rPr>
            </w:pPr>
            <w:r>
              <w:rPr>
                <w:rFonts w:hint="eastAsia" w:ascii="宋体" w:hAnsi="宋体" w:eastAsia="宋体" w:cs="宋体"/>
                <w:kern w:val="0"/>
                <w:sz w:val="24"/>
                <w:szCs w:val="24"/>
                <w:lang w:bidi="ar"/>
              </w:rPr>
              <w:t>供应商提出完整的项目培训方案，包括培训计划、培训方式、培训内容。方案内容完整、描述清晰、科学规范、可操作性强的得3分；方案内容较完整、描述较清晰、科学规范、可操作性较强的得2分；方案内容基本完整、描述基本清晰、可操作性一般的得1分；差的或没有的不得分；</w:t>
            </w:r>
          </w:p>
        </w:tc>
      </w:tr>
      <w:tr>
        <w:tblPrEx>
          <w:tblCellMar>
            <w:top w:w="0" w:type="dxa"/>
            <w:left w:w="0" w:type="dxa"/>
            <w:bottom w:w="0" w:type="dxa"/>
            <w:right w:w="0" w:type="dxa"/>
          </w:tblCellMar>
        </w:tblPrEx>
        <w:trPr>
          <w:trHeight w:val="567" w:hRule="atLeast"/>
        </w:trPr>
        <w:tc>
          <w:tcPr>
            <w:tcW w:w="656" w:type="dxa"/>
            <w:tcBorders>
              <w:top w:val="single" w:color="auto" w:sz="8" w:space="0"/>
              <w:left w:val="single" w:color="auto" w:sz="8" w:space="0"/>
              <w:bottom w:val="single" w:color="auto" w:sz="8" w:space="0"/>
              <w:right w:val="single" w:color="auto" w:sz="8" w:space="0"/>
            </w:tcBorders>
            <w:vAlign w:val="center"/>
          </w:tcPr>
          <w:p>
            <w:pPr>
              <w:jc w:val="center"/>
              <w:rPr>
                <w:rFonts w:asciiTheme="minorEastAsia" w:hAnsiTheme="minorEastAsia"/>
                <w:sz w:val="24"/>
                <w:szCs w:val="24"/>
              </w:rPr>
            </w:pPr>
            <w:r>
              <w:rPr>
                <w:rFonts w:hint="eastAsia" w:asciiTheme="minorEastAsia" w:hAnsiTheme="minorEastAsia"/>
                <w:sz w:val="24"/>
                <w:szCs w:val="24"/>
              </w:rPr>
              <w:t>12</w:t>
            </w:r>
          </w:p>
        </w:tc>
        <w:tc>
          <w:tcPr>
            <w:tcW w:w="1225" w:type="dxa"/>
            <w:tcBorders>
              <w:top w:val="single" w:color="auto" w:sz="8" w:space="0"/>
              <w:left w:val="nil"/>
              <w:bottom w:val="single" w:color="auto" w:sz="8" w:space="0"/>
              <w:right w:val="single" w:color="auto" w:sz="8" w:space="0"/>
            </w:tcBorders>
            <w:vAlign w:val="center"/>
          </w:tcPr>
          <w:p>
            <w:pPr>
              <w:widowControl/>
              <w:jc w:val="center"/>
              <w:textAlignment w:val="center"/>
              <w:rPr>
                <w:rFonts w:ascii="宋体" w:hAnsi="宋体" w:eastAsia="宋体" w:cs="宋体"/>
                <w:sz w:val="24"/>
                <w:szCs w:val="24"/>
              </w:rPr>
            </w:pPr>
            <w:r>
              <w:rPr>
                <w:rFonts w:hint="eastAsia" w:ascii="宋体" w:hAnsi="宋体" w:eastAsia="宋体" w:cs="宋体"/>
                <w:kern w:val="0"/>
                <w:sz w:val="24"/>
                <w:szCs w:val="24"/>
                <w:lang w:bidi="ar"/>
              </w:rPr>
              <w:t>服务响应能力</w:t>
            </w:r>
          </w:p>
        </w:tc>
        <w:tc>
          <w:tcPr>
            <w:tcW w:w="851" w:type="dxa"/>
            <w:tcBorders>
              <w:top w:val="single" w:color="auto" w:sz="8" w:space="0"/>
              <w:left w:val="nil"/>
              <w:bottom w:val="single" w:color="auto" w:sz="8" w:space="0"/>
              <w:right w:val="single" w:color="auto" w:sz="8" w:space="0"/>
            </w:tcBorders>
            <w:vAlign w:val="center"/>
          </w:tcPr>
          <w:p>
            <w:pPr>
              <w:widowControl/>
              <w:jc w:val="center"/>
              <w:textAlignment w:val="center"/>
              <w:rPr>
                <w:rFonts w:ascii="宋体" w:hAnsi="宋体" w:eastAsia="宋体" w:cs="宋体"/>
                <w:sz w:val="24"/>
                <w:szCs w:val="24"/>
              </w:rPr>
            </w:pPr>
            <w:r>
              <w:rPr>
                <w:rFonts w:hint="eastAsia" w:ascii="宋体" w:hAnsi="宋体" w:eastAsia="宋体" w:cs="宋体"/>
                <w:kern w:val="0"/>
                <w:sz w:val="24"/>
                <w:szCs w:val="24"/>
                <w:lang w:bidi="ar"/>
              </w:rPr>
              <w:t>4</w:t>
            </w:r>
          </w:p>
        </w:tc>
        <w:tc>
          <w:tcPr>
            <w:tcW w:w="6414" w:type="dxa"/>
            <w:tcBorders>
              <w:top w:val="single" w:color="auto" w:sz="8" w:space="0"/>
              <w:left w:val="nil"/>
              <w:bottom w:val="single" w:color="auto" w:sz="8" w:space="0"/>
              <w:right w:val="single" w:color="auto" w:sz="8" w:space="0"/>
            </w:tcBorders>
            <w:vAlign w:val="center"/>
          </w:tcPr>
          <w:p>
            <w:pPr>
              <w:widowControl/>
              <w:textAlignment w:val="center"/>
              <w:rPr>
                <w:rFonts w:ascii="宋体" w:hAnsi="宋体" w:eastAsia="宋体" w:cs="宋体"/>
                <w:sz w:val="24"/>
                <w:szCs w:val="24"/>
              </w:rPr>
            </w:pPr>
            <w:r>
              <w:rPr>
                <w:rFonts w:hint="eastAsia" w:ascii="宋体" w:hAnsi="宋体" w:eastAsia="宋体" w:cs="宋体"/>
                <w:kern w:val="0"/>
                <w:sz w:val="24"/>
                <w:szCs w:val="24"/>
                <w:lang w:bidi="ar"/>
              </w:rPr>
              <w:t>供应商按照项目需求响应本地化服务，就服务方案进行综合评比，且有承诺函。在场地、设备及人员、专用服务电话及其他有优于</w:t>
            </w:r>
            <w:r>
              <w:rPr>
                <w:rFonts w:hint="eastAsia" w:ascii="宋体" w:hAnsi="宋体" w:eastAsia="宋体" w:cs="宋体"/>
                <w:kern w:val="0"/>
                <w:sz w:val="24"/>
                <w:szCs w:val="24"/>
                <w:lang w:eastAsia="zh-CN" w:bidi="ar"/>
              </w:rPr>
              <w:t>磋商响应文件</w:t>
            </w:r>
            <w:r>
              <w:rPr>
                <w:rFonts w:hint="eastAsia" w:ascii="宋体" w:hAnsi="宋体" w:eastAsia="宋体" w:cs="宋体"/>
                <w:kern w:val="0"/>
                <w:sz w:val="24"/>
                <w:szCs w:val="24"/>
                <w:lang w:bidi="ar"/>
              </w:rPr>
              <w:t>项目需求得4分，场地、设备及人员、专用服务电话及其他满足</w:t>
            </w:r>
            <w:r>
              <w:rPr>
                <w:rFonts w:hint="eastAsia" w:ascii="宋体" w:hAnsi="宋体" w:eastAsia="宋体" w:cs="宋体"/>
                <w:kern w:val="0"/>
                <w:sz w:val="24"/>
                <w:szCs w:val="24"/>
                <w:lang w:eastAsia="zh-CN" w:bidi="ar"/>
              </w:rPr>
              <w:t>磋商响应文件</w:t>
            </w:r>
            <w:r>
              <w:rPr>
                <w:rFonts w:hint="eastAsia" w:ascii="宋体" w:hAnsi="宋体" w:eastAsia="宋体" w:cs="宋体"/>
                <w:kern w:val="0"/>
                <w:sz w:val="24"/>
                <w:szCs w:val="24"/>
                <w:lang w:bidi="ar"/>
              </w:rPr>
              <w:t>项目需求得2分，不符合</w:t>
            </w:r>
            <w:r>
              <w:rPr>
                <w:rFonts w:hint="eastAsia" w:ascii="宋体" w:hAnsi="宋体" w:eastAsia="宋体" w:cs="宋体"/>
                <w:kern w:val="0"/>
                <w:sz w:val="24"/>
                <w:szCs w:val="24"/>
                <w:lang w:eastAsia="zh-CN" w:bidi="ar"/>
              </w:rPr>
              <w:t>磋商响应文件</w:t>
            </w:r>
            <w:r>
              <w:rPr>
                <w:rFonts w:hint="eastAsia" w:ascii="宋体" w:hAnsi="宋体" w:eastAsia="宋体" w:cs="宋体"/>
                <w:kern w:val="0"/>
                <w:sz w:val="24"/>
                <w:szCs w:val="24"/>
                <w:lang w:bidi="ar"/>
              </w:rPr>
              <w:t>项目需求的不得分。（提供服务承诺函并加盖供应商公章）；</w:t>
            </w:r>
          </w:p>
        </w:tc>
      </w:tr>
      <w:tr>
        <w:tblPrEx>
          <w:tblCellMar>
            <w:top w:w="0" w:type="dxa"/>
            <w:left w:w="0" w:type="dxa"/>
            <w:bottom w:w="0" w:type="dxa"/>
            <w:right w:w="0" w:type="dxa"/>
          </w:tblCellMar>
        </w:tblPrEx>
        <w:trPr>
          <w:trHeight w:val="567" w:hRule="atLeast"/>
        </w:trPr>
        <w:tc>
          <w:tcPr>
            <w:tcW w:w="656" w:type="dxa"/>
            <w:tcBorders>
              <w:top w:val="single" w:color="auto" w:sz="8" w:space="0"/>
              <w:left w:val="single" w:color="auto" w:sz="8" w:space="0"/>
              <w:bottom w:val="single" w:color="auto" w:sz="8" w:space="0"/>
              <w:right w:val="single" w:color="auto" w:sz="8" w:space="0"/>
            </w:tcBorders>
            <w:vAlign w:val="center"/>
          </w:tcPr>
          <w:p>
            <w:pPr>
              <w:jc w:val="center"/>
              <w:rPr>
                <w:rFonts w:asciiTheme="minorEastAsia" w:hAnsiTheme="minorEastAsia"/>
                <w:sz w:val="24"/>
                <w:szCs w:val="24"/>
              </w:rPr>
            </w:pPr>
            <w:r>
              <w:rPr>
                <w:rFonts w:hint="eastAsia" w:asciiTheme="minorEastAsia" w:hAnsiTheme="minorEastAsia"/>
                <w:sz w:val="24"/>
                <w:szCs w:val="24"/>
              </w:rPr>
              <w:t>13</w:t>
            </w:r>
          </w:p>
        </w:tc>
        <w:tc>
          <w:tcPr>
            <w:tcW w:w="1225" w:type="dxa"/>
            <w:tcBorders>
              <w:top w:val="single" w:color="auto" w:sz="8" w:space="0"/>
              <w:left w:val="nil"/>
              <w:bottom w:val="single" w:color="auto" w:sz="8" w:space="0"/>
              <w:right w:val="single" w:color="auto" w:sz="8" w:space="0"/>
            </w:tcBorders>
            <w:vAlign w:val="center"/>
          </w:tcPr>
          <w:p>
            <w:pPr>
              <w:widowControl/>
              <w:jc w:val="center"/>
              <w:textAlignment w:val="center"/>
              <w:rPr>
                <w:rFonts w:ascii="宋体" w:hAnsi="宋体" w:eastAsia="宋体" w:cs="宋体"/>
                <w:sz w:val="24"/>
                <w:szCs w:val="24"/>
              </w:rPr>
            </w:pPr>
            <w:r>
              <w:rPr>
                <w:rFonts w:hint="eastAsia" w:ascii="宋体" w:hAnsi="宋体" w:eastAsia="宋体" w:cs="宋体"/>
                <w:kern w:val="0"/>
                <w:sz w:val="24"/>
                <w:szCs w:val="24"/>
                <w:lang w:bidi="ar"/>
              </w:rPr>
              <w:t>售后服务</w:t>
            </w:r>
          </w:p>
        </w:tc>
        <w:tc>
          <w:tcPr>
            <w:tcW w:w="851" w:type="dxa"/>
            <w:tcBorders>
              <w:top w:val="single" w:color="auto" w:sz="8" w:space="0"/>
              <w:left w:val="nil"/>
              <w:bottom w:val="single" w:color="auto" w:sz="8" w:space="0"/>
              <w:right w:val="single" w:color="auto" w:sz="8" w:space="0"/>
            </w:tcBorders>
            <w:vAlign w:val="center"/>
          </w:tcPr>
          <w:p>
            <w:pPr>
              <w:widowControl/>
              <w:jc w:val="center"/>
              <w:textAlignment w:val="center"/>
              <w:rPr>
                <w:rFonts w:ascii="宋体" w:hAnsi="宋体" w:eastAsia="宋体" w:cs="宋体"/>
                <w:sz w:val="24"/>
                <w:szCs w:val="24"/>
              </w:rPr>
            </w:pPr>
            <w:r>
              <w:rPr>
                <w:rFonts w:hint="eastAsia" w:ascii="宋体" w:hAnsi="宋体" w:eastAsia="宋体" w:cs="宋体"/>
                <w:kern w:val="0"/>
                <w:sz w:val="24"/>
                <w:szCs w:val="24"/>
                <w:lang w:bidi="ar"/>
              </w:rPr>
              <w:t>4</w:t>
            </w:r>
          </w:p>
        </w:tc>
        <w:tc>
          <w:tcPr>
            <w:tcW w:w="6414" w:type="dxa"/>
            <w:tcBorders>
              <w:top w:val="single" w:color="auto" w:sz="8" w:space="0"/>
              <w:left w:val="nil"/>
              <w:bottom w:val="single" w:color="auto" w:sz="8" w:space="0"/>
              <w:right w:val="single" w:color="auto" w:sz="8" w:space="0"/>
            </w:tcBorders>
            <w:vAlign w:val="center"/>
          </w:tcPr>
          <w:p>
            <w:pPr>
              <w:widowControl/>
              <w:textAlignment w:val="center"/>
              <w:rPr>
                <w:rFonts w:ascii="宋体" w:hAnsi="宋体" w:eastAsia="宋体" w:cs="宋体"/>
                <w:sz w:val="24"/>
                <w:szCs w:val="24"/>
              </w:rPr>
            </w:pPr>
            <w:r>
              <w:rPr>
                <w:rFonts w:hint="eastAsia" w:ascii="宋体" w:hAnsi="宋体" w:eastAsia="宋体" w:cs="宋体"/>
                <w:kern w:val="0"/>
                <w:sz w:val="24"/>
                <w:szCs w:val="24"/>
                <w:lang w:bidi="ar"/>
              </w:rPr>
              <w:t>针对该项目提供售后服务计划内容、措施、人员配备等相关内容。售后服务计划内容详细，措施完善、人员配备合理的，得4分；售后服务计划内容较详细，措施较完善、人员配备较合理的得2分；售后服务计划内容基本详细，措施基本完善、人员配备基本合理的得1分；售后服务计划内容、措施、人员配备不满足项目需求或未提供的不得分。</w:t>
            </w:r>
          </w:p>
        </w:tc>
      </w:tr>
      <w:tr>
        <w:tblPrEx>
          <w:tblCellMar>
            <w:top w:w="0" w:type="dxa"/>
            <w:left w:w="0" w:type="dxa"/>
            <w:bottom w:w="0" w:type="dxa"/>
            <w:right w:w="0" w:type="dxa"/>
          </w:tblCellMar>
        </w:tblPrEx>
        <w:trPr>
          <w:trHeight w:val="567" w:hRule="atLeast"/>
        </w:trPr>
        <w:tc>
          <w:tcPr>
            <w:tcW w:w="1881" w:type="dxa"/>
            <w:gridSpan w:val="2"/>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asciiTheme="minorEastAsia" w:hAnsiTheme="minorEastAsia"/>
                <w:sz w:val="24"/>
                <w:szCs w:val="24"/>
              </w:rPr>
            </w:pPr>
            <w:r>
              <w:rPr>
                <w:rFonts w:hint="eastAsia" w:asciiTheme="minorEastAsia" w:hAnsiTheme="minorEastAsia"/>
                <w:sz w:val="24"/>
                <w:szCs w:val="24"/>
              </w:rPr>
              <w:t>合计</w:t>
            </w:r>
          </w:p>
        </w:tc>
        <w:tc>
          <w:tcPr>
            <w:tcW w:w="851" w:type="dxa"/>
            <w:tcBorders>
              <w:top w:val="nil"/>
              <w:left w:val="nil"/>
              <w:bottom w:val="single" w:color="auto" w:sz="8" w:space="0"/>
              <w:right w:val="single" w:color="auto" w:sz="8" w:space="0"/>
            </w:tcBorders>
            <w:tcMar>
              <w:top w:w="0" w:type="dxa"/>
              <w:left w:w="108" w:type="dxa"/>
              <w:bottom w:w="0" w:type="dxa"/>
              <w:right w:w="108" w:type="dxa"/>
            </w:tcMar>
            <w:vAlign w:val="center"/>
          </w:tcPr>
          <w:p>
            <w:pPr>
              <w:jc w:val="center"/>
              <w:rPr>
                <w:rFonts w:asciiTheme="minorEastAsia" w:hAnsiTheme="minorEastAsia"/>
                <w:sz w:val="24"/>
                <w:szCs w:val="24"/>
              </w:rPr>
            </w:pPr>
            <w:r>
              <w:rPr>
                <w:rFonts w:hint="eastAsia" w:asciiTheme="minorEastAsia" w:hAnsiTheme="minorEastAsia"/>
                <w:sz w:val="24"/>
                <w:szCs w:val="24"/>
              </w:rPr>
              <w:t>90</w:t>
            </w:r>
          </w:p>
        </w:tc>
        <w:tc>
          <w:tcPr>
            <w:tcW w:w="6414" w:type="dxa"/>
            <w:tcBorders>
              <w:top w:val="nil"/>
              <w:left w:val="nil"/>
              <w:bottom w:val="single" w:color="auto" w:sz="8" w:space="0"/>
              <w:right w:val="single" w:color="auto" w:sz="8" w:space="0"/>
            </w:tcBorders>
            <w:tcMar>
              <w:top w:w="0" w:type="dxa"/>
              <w:left w:w="108" w:type="dxa"/>
              <w:bottom w:w="0" w:type="dxa"/>
              <w:right w:w="108" w:type="dxa"/>
            </w:tcMar>
            <w:vAlign w:val="center"/>
          </w:tcPr>
          <w:p>
            <w:pPr>
              <w:jc w:val="center"/>
              <w:rPr>
                <w:rFonts w:asciiTheme="minorEastAsia" w:hAnsiTheme="minorEastAsia"/>
                <w:sz w:val="24"/>
                <w:szCs w:val="24"/>
              </w:rPr>
            </w:pPr>
          </w:p>
        </w:tc>
      </w:tr>
    </w:tbl>
    <w:p>
      <w:pPr>
        <w:rPr>
          <w:rFonts w:ascii="宋体" w:hAnsi="宋体" w:cs="Arial"/>
          <w:b/>
          <w:szCs w:val="24"/>
        </w:rPr>
      </w:pPr>
    </w:p>
    <w:p>
      <w:pPr>
        <w:pStyle w:val="7"/>
      </w:pPr>
    </w:p>
    <w:p>
      <w:pPr>
        <w:widowControl/>
        <w:jc w:val="left"/>
      </w:pPr>
    </w:p>
    <w:p>
      <w:pPr>
        <w:tabs>
          <w:tab w:val="center" w:pos="4832"/>
          <w:tab w:val="left" w:pos="7140"/>
        </w:tabs>
        <w:spacing w:line="360" w:lineRule="auto"/>
        <w:ind w:firstLine="472" w:firstLineChars="196"/>
        <w:jc w:val="left"/>
        <w:outlineLvl w:val="2"/>
        <w:rPr>
          <w:rFonts w:ascii="宋体" w:hAnsi="宋体" w:eastAsia="宋体" w:cs="宋体"/>
          <w:b/>
          <w:sz w:val="24"/>
          <w:szCs w:val="24"/>
        </w:rPr>
      </w:pPr>
      <w:bookmarkStart w:id="47" w:name="_Toc104243919"/>
      <w:r>
        <w:rPr>
          <w:rFonts w:ascii="宋体" w:hAnsi="宋体" w:eastAsia="宋体" w:cs="宋体"/>
          <w:b/>
          <w:sz w:val="24"/>
          <w:szCs w:val="24"/>
        </w:rPr>
        <w:t xml:space="preserve">1. </w:t>
      </w:r>
      <w:r>
        <w:rPr>
          <w:rFonts w:hint="eastAsia" w:ascii="宋体" w:hAnsi="宋体" w:eastAsia="宋体" w:cs="宋体"/>
          <w:b/>
          <w:sz w:val="24"/>
          <w:szCs w:val="24"/>
        </w:rPr>
        <w:t>磋商方法</w:t>
      </w:r>
      <w:bookmarkEnd w:id="47"/>
    </w:p>
    <w:p>
      <w:pPr>
        <w:widowControl/>
        <w:shd w:val="clear" w:color="auto" w:fill="FFFFFF"/>
        <w:snapToGrid w:val="0"/>
        <w:spacing w:line="360" w:lineRule="auto"/>
        <w:ind w:firstLine="480" w:firstLineChars="200"/>
        <w:rPr>
          <w:rFonts w:ascii="宋体" w:hAnsi="宋体" w:eastAsia="宋体" w:cs="Arial"/>
          <w:kern w:val="0"/>
          <w:sz w:val="24"/>
          <w:szCs w:val="24"/>
        </w:rPr>
      </w:pPr>
      <w:r>
        <w:rPr>
          <w:rFonts w:hint="eastAsia" w:ascii="宋体" w:hAnsi="宋体" w:eastAsia="宋体" w:cs="Arial"/>
          <w:kern w:val="0"/>
          <w:sz w:val="24"/>
          <w:szCs w:val="24"/>
        </w:rPr>
        <w:t>本次磋商采用综合评分法。磋商小组对满足</w:t>
      </w:r>
      <w:r>
        <w:rPr>
          <w:rFonts w:hint="eastAsia" w:ascii="宋体" w:hAnsi="宋体" w:eastAsia="宋体" w:cs="Arial"/>
          <w:kern w:val="0"/>
          <w:sz w:val="24"/>
          <w:szCs w:val="24"/>
          <w:lang w:eastAsia="zh-CN"/>
        </w:rPr>
        <w:t>竞争性磋商文件</w:t>
      </w:r>
      <w:r>
        <w:rPr>
          <w:rFonts w:hint="eastAsia" w:ascii="宋体" w:hAnsi="宋体" w:eastAsia="宋体" w:cs="Arial"/>
          <w:kern w:val="0"/>
          <w:sz w:val="24"/>
          <w:szCs w:val="24"/>
        </w:rPr>
        <w:t>实质性要求的</w:t>
      </w:r>
      <w:r>
        <w:rPr>
          <w:rFonts w:hint="eastAsia" w:ascii="宋体" w:hAnsi="宋体" w:eastAsia="宋体" w:cs="Arial"/>
          <w:kern w:val="0"/>
          <w:sz w:val="24"/>
          <w:szCs w:val="24"/>
          <w:lang w:eastAsia="zh-CN"/>
        </w:rPr>
        <w:t>磋商响应文件</w:t>
      </w:r>
      <w:r>
        <w:rPr>
          <w:rFonts w:hint="eastAsia" w:ascii="宋体" w:hAnsi="宋体" w:eastAsia="宋体" w:cs="Arial"/>
          <w:kern w:val="0"/>
          <w:sz w:val="24"/>
          <w:szCs w:val="24"/>
        </w:rPr>
        <w:t>，按照本节规定的磋商标准进行磋商。磋商中各评委若发生意见分歧，以少数服从多数原则确定。</w:t>
      </w:r>
    </w:p>
    <w:p>
      <w:pPr>
        <w:tabs>
          <w:tab w:val="center" w:pos="4832"/>
          <w:tab w:val="left" w:pos="7140"/>
        </w:tabs>
        <w:spacing w:line="360" w:lineRule="auto"/>
        <w:ind w:firstLine="472" w:firstLineChars="196"/>
        <w:jc w:val="left"/>
        <w:outlineLvl w:val="2"/>
        <w:rPr>
          <w:rFonts w:ascii="宋体" w:hAnsi="宋体" w:eastAsia="宋体" w:cs="宋体"/>
          <w:b/>
          <w:sz w:val="24"/>
          <w:szCs w:val="24"/>
        </w:rPr>
      </w:pPr>
      <w:bookmarkStart w:id="48" w:name="_Toc104243920"/>
      <w:r>
        <w:rPr>
          <w:rFonts w:ascii="宋体" w:hAnsi="宋体" w:eastAsia="宋体" w:cs="宋体"/>
          <w:b/>
          <w:sz w:val="24"/>
          <w:szCs w:val="24"/>
        </w:rPr>
        <w:t xml:space="preserve">2. </w:t>
      </w:r>
      <w:r>
        <w:rPr>
          <w:rFonts w:hint="eastAsia" w:ascii="宋体" w:hAnsi="宋体" w:eastAsia="宋体" w:cs="宋体"/>
          <w:b/>
          <w:sz w:val="24"/>
          <w:szCs w:val="24"/>
        </w:rPr>
        <w:t>磋商标准</w:t>
      </w:r>
      <w:bookmarkEnd w:id="48"/>
    </w:p>
    <w:p>
      <w:pPr>
        <w:widowControl/>
        <w:shd w:val="clear" w:color="auto" w:fill="FFFFFF"/>
        <w:snapToGrid w:val="0"/>
        <w:spacing w:line="360" w:lineRule="auto"/>
        <w:ind w:firstLine="480" w:firstLineChars="200"/>
        <w:rPr>
          <w:rFonts w:ascii="宋体" w:hAnsi="宋体" w:eastAsia="宋体" w:cs="Arial"/>
          <w:kern w:val="0"/>
          <w:sz w:val="24"/>
          <w:szCs w:val="24"/>
        </w:rPr>
      </w:pPr>
      <w:r>
        <w:rPr>
          <w:rFonts w:hint="eastAsia" w:ascii="宋体" w:hAnsi="宋体" w:eastAsia="宋体" w:cs="Arial"/>
          <w:kern w:val="0"/>
          <w:sz w:val="24"/>
          <w:szCs w:val="24"/>
        </w:rPr>
        <w:t>2.1 资格审查：磋商因素和磋商标准见《资格审查标准》。</w:t>
      </w:r>
    </w:p>
    <w:p>
      <w:pPr>
        <w:widowControl/>
        <w:shd w:val="clear" w:color="auto" w:fill="FFFFFF"/>
        <w:snapToGrid w:val="0"/>
        <w:spacing w:line="360" w:lineRule="auto"/>
        <w:ind w:left="479" w:leftChars="228"/>
        <w:rPr>
          <w:rFonts w:ascii="宋体" w:hAnsi="Calibri" w:eastAsia="宋体" w:cs="Arial"/>
          <w:kern w:val="0"/>
          <w:sz w:val="24"/>
          <w:szCs w:val="24"/>
        </w:rPr>
      </w:pPr>
      <w:r>
        <w:rPr>
          <w:rFonts w:hint="eastAsia" w:ascii="宋体" w:hAnsi="宋体" w:eastAsia="宋体" w:cs="Arial"/>
          <w:kern w:val="0"/>
          <w:sz w:val="24"/>
          <w:szCs w:val="24"/>
        </w:rPr>
        <w:t>2.2 完备性及符合性审查：磋商因素和磋商标准见《完备性及符合性审查标准》。</w:t>
      </w:r>
      <w:r>
        <w:rPr>
          <w:rFonts w:ascii="宋体" w:hAnsi="宋体" w:eastAsia="宋体" w:cs="Arial"/>
          <w:kern w:val="0"/>
          <w:sz w:val="24"/>
          <w:szCs w:val="24"/>
        </w:rPr>
        <w:t>2.</w:t>
      </w:r>
      <w:r>
        <w:rPr>
          <w:rFonts w:hint="eastAsia" w:ascii="宋体" w:hAnsi="宋体" w:eastAsia="宋体" w:cs="Arial"/>
          <w:kern w:val="0"/>
          <w:sz w:val="24"/>
          <w:szCs w:val="24"/>
        </w:rPr>
        <w:t>3详细磋商：</w:t>
      </w:r>
    </w:p>
    <w:p>
      <w:pPr>
        <w:widowControl/>
        <w:shd w:val="clear" w:color="auto" w:fill="FFFFFF"/>
        <w:snapToGrid w:val="0"/>
        <w:spacing w:line="360" w:lineRule="auto"/>
        <w:ind w:firstLine="480" w:firstLineChars="200"/>
        <w:rPr>
          <w:rFonts w:ascii="宋体" w:hAnsi="Calibri" w:eastAsia="宋体" w:cs="Arial"/>
          <w:kern w:val="0"/>
          <w:sz w:val="24"/>
          <w:szCs w:val="24"/>
        </w:rPr>
      </w:pPr>
      <w:r>
        <w:rPr>
          <w:rFonts w:hint="eastAsia" w:ascii="宋体" w:hAnsi="Calibri" w:eastAsia="宋体" w:cs="Arial"/>
          <w:kern w:val="0"/>
          <w:sz w:val="24"/>
          <w:szCs w:val="24"/>
        </w:rPr>
        <w:t>2.3.1详细磋商：磋商因素和磋商标准见《详细磋商标准》及本节第3.5款。</w:t>
      </w:r>
    </w:p>
    <w:p>
      <w:pPr>
        <w:widowControl/>
        <w:shd w:val="clear" w:color="auto" w:fill="FFFFFF"/>
        <w:snapToGrid w:val="0"/>
        <w:spacing w:line="360" w:lineRule="auto"/>
        <w:ind w:firstLine="480" w:firstLineChars="200"/>
        <w:rPr>
          <w:rFonts w:ascii="宋体" w:hAnsi="Calibri" w:eastAsia="宋体" w:cs="Arial"/>
          <w:kern w:val="0"/>
          <w:sz w:val="24"/>
          <w:szCs w:val="24"/>
        </w:rPr>
      </w:pPr>
      <w:r>
        <w:rPr>
          <w:rFonts w:ascii="宋体" w:hAnsi="宋体" w:eastAsia="宋体" w:cs="Arial"/>
          <w:kern w:val="0"/>
          <w:sz w:val="24"/>
          <w:szCs w:val="24"/>
        </w:rPr>
        <w:t>2.</w:t>
      </w:r>
      <w:r>
        <w:rPr>
          <w:rFonts w:hint="eastAsia" w:ascii="宋体" w:hAnsi="宋体" w:eastAsia="宋体" w:cs="Arial"/>
          <w:kern w:val="0"/>
          <w:sz w:val="24"/>
          <w:szCs w:val="24"/>
        </w:rPr>
        <w:t>3</w:t>
      </w:r>
      <w:r>
        <w:rPr>
          <w:rFonts w:ascii="宋体" w:hAnsi="宋体" w:eastAsia="宋体" w:cs="Arial"/>
          <w:kern w:val="0"/>
          <w:sz w:val="24"/>
          <w:szCs w:val="24"/>
        </w:rPr>
        <w:t xml:space="preserve">.2 </w:t>
      </w:r>
      <w:r>
        <w:rPr>
          <w:rFonts w:hint="eastAsia" w:ascii="宋体" w:hAnsi="宋体" w:eastAsia="宋体" w:cs="Arial"/>
          <w:kern w:val="0"/>
          <w:sz w:val="24"/>
          <w:szCs w:val="24"/>
        </w:rPr>
        <w:t>投标报价评分标准：</w:t>
      </w:r>
    </w:p>
    <w:p>
      <w:pPr>
        <w:widowControl/>
        <w:shd w:val="clear" w:color="auto" w:fill="FFFFFF"/>
        <w:snapToGrid w:val="0"/>
        <w:spacing w:line="360" w:lineRule="auto"/>
        <w:ind w:firstLine="480" w:firstLineChars="200"/>
        <w:rPr>
          <w:rFonts w:ascii="宋体" w:hAnsi="Calibri" w:eastAsia="宋体" w:cs="Arial"/>
          <w:kern w:val="0"/>
          <w:sz w:val="24"/>
          <w:szCs w:val="24"/>
        </w:rPr>
      </w:pPr>
      <w:r>
        <w:rPr>
          <w:rFonts w:hint="eastAsia" w:ascii="宋体" w:hAnsi="宋体" w:eastAsia="宋体" w:cs="Arial"/>
          <w:kern w:val="0"/>
          <w:sz w:val="24"/>
          <w:szCs w:val="24"/>
        </w:rPr>
        <w:t>（</w:t>
      </w:r>
      <w:r>
        <w:rPr>
          <w:rFonts w:ascii="宋体" w:hAnsi="宋体" w:eastAsia="宋体" w:cs="Arial"/>
          <w:kern w:val="0"/>
          <w:sz w:val="24"/>
          <w:szCs w:val="24"/>
        </w:rPr>
        <w:t>1</w:t>
      </w:r>
      <w:r>
        <w:rPr>
          <w:rFonts w:hint="eastAsia" w:ascii="宋体" w:hAnsi="宋体" w:eastAsia="宋体" w:cs="Arial"/>
          <w:kern w:val="0"/>
          <w:sz w:val="24"/>
          <w:szCs w:val="24"/>
        </w:rPr>
        <w:t>）分值构成及权重：见磋商办法前附表。</w:t>
      </w:r>
    </w:p>
    <w:p>
      <w:pPr>
        <w:widowControl/>
        <w:shd w:val="clear" w:color="auto" w:fill="FFFFFF"/>
        <w:snapToGrid w:val="0"/>
        <w:spacing w:line="360" w:lineRule="auto"/>
        <w:ind w:firstLine="480" w:firstLineChars="200"/>
        <w:rPr>
          <w:rFonts w:ascii="宋体" w:hAnsi="Calibri" w:eastAsia="宋体" w:cs="Arial"/>
          <w:kern w:val="0"/>
          <w:sz w:val="24"/>
          <w:szCs w:val="24"/>
        </w:rPr>
      </w:pPr>
      <w:r>
        <w:rPr>
          <w:rFonts w:hint="eastAsia" w:ascii="宋体" w:hAnsi="宋体" w:eastAsia="宋体" w:cs="Arial"/>
          <w:kern w:val="0"/>
          <w:sz w:val="24"/>
          <w:szCs w:val="24"/>
        </w:rPr>
        <w:t>（</w:t>
      </w:r>
      <w:r>
        <w:rPr>
          <w:rFonts w:ascii="宋体" w:hAnsi="宋体" w:eastAsia="宋体" w:cs="Arial"/>
          <w:kern w:val="0"/>
          <w:sz w:val="24"/>
          <w:szCs w:val="24"/>
        </w:rPr>
        <w:t>2</w:t>
      </w:r>
      <w:r>
        <w:rPr>
          <w:rFonts w:hint="eastAsia" w:ascii="宋体" w:hAnsi="宋体" w:eastAsia="宋体" w:cs="Arial"/>
          <w:kern w:val="0"/>
          <w:sz w:val="24"/>
          <w:szCs w:val="24"/>
        </w:rPr>
        <w:t>）磋商基准价计算：见磋商办法前附表。</w:t>
      </w:r>
    </w:p>
    <w:p>
      <w:pPr>
        <w:widowControl/>
        <w:shd w:val="clear" w:color="auto" w:fill="FFFFFF"/>
        <w:snapToGrid w:val="0"/>
        <w:spacing w:line="360" w:lineRule="auto"/>
        <w:ind w:firstLine="480" w:firstLineChars="200"/>
        <w:rPr>
          <w:rFonts w:ascii="宋体" w:hAnsi="Calibri" w:eastAsia="宋体" w:cs="Arial"/>
          <w:kern w:val="0"/>
          <w:sz w:val="24"/>
          <w:szCs w:val="24"/>
        </w:rPr>
      </w:pPr>
      <w:r>
        <w:rPr>
          <w:rFonts w:hint="eastAsia" w:ascii="宋体" w:hAnsi="宋体" w:eastAsia="宋体" w:cs="Arial"/>
          <w:kern w:val="0"/>
          <w:sz w:val="24"/>
          <w:szCs w:val="24"/>
        </w:rPr>
        <w:t>（3）投标报价得分的计算：见磋商办法前附表。</w:t>
      </w:r>
    </w:p>
    <w:p>
      <w:pPr>
        <w:tabs>
          <w:tab w:val="center" w:pos="4832"/>
          <w:tab w:val="left" w:pos="7140"/>
        </w:tabs>
        <w:spacing w:line="360" w:lineRule="auto"/>
        <w:ind w:firstLine="472" w:firstLineChars="196"/>
        <w:jc w:val="left"/>
        <w:outlineLvl w:val="2"/>
        <w:rPr>
          <w:rFonts w:ascii="宋体" w:hAnsi="Calibri" w:eastAsia="宋体" w:cs="宋体"/>
          <w:b/>
          <w:sz w:val="24"/>
          <w:szCs w:val="24"/>
        </w:rPr>
      </w:pPr>
      <w:bookmarkStart w:id="49" w:name="_Toc104243921"/>
      <w:r>
        <w:rPr>
          <w:rFonts w:ascii="宋体" w:hAnsi="宋体" w:eastAsia="宋体" w:cs="宋体"/>
          <w:b/>
          <w:sz w:val="24"/>
          <w:szCs w:val="24"/>
        </w:rPr>
        <w:t xml:space="preserve">3. </w:t>
      </w:r>
      <w:r>
        <w:rPr>
          <w:rFonts w:hint="eastAsia" w:ascii="宋体" w:hAnsi="宋体" w:eastAsia="宋体" w:cs="宋体"/>
          <w:b/>
          <w:sz w:val="24"/>
          <w:szCs w:val="24"/>
        </w:rPr>
        <w:t>磋商程序</w:t>
      </w:r>
      <w:bookmarkEnd w:id="49"/>
    </w:p>
    <w:p>
      <w:pPr>
        <w:pStyle w:val="61"/>
        <w:widowControl/>
        <w:numPr>
          <w:ilvl w:val="1"/>
          <w:numId w:val="2"/>
        </w:numPr>
        <w:shd w:val="clear" w:color="auto" w:fill="FFFFFF"/>
        <w:snapToGrid w:val="0"/>
        <w:spacing w:line="360" w:lineRule="auto"/>
        <w:ind w:firstLineChars="0"/>
        <w:rPr>
          <w:rFonts w:ascii="宋体" w:cs="Arial"/>
          <w:kern w:val="0"/>
          <w:sz w:val="24"/>
          <w:szCs w:val="24"/>
        </w:rPr>
      </w:pPr>
      <w:r>
        <w:rPr>
          <w:rFonts w:hint="eastAsia" w:ascii="宋体" w:hAnsi="宋体" w:cs="Arial"/>
          <w:kern w:val="0"/>
          <w:sz w:val="24"/>
          <w:szCs w:val="24"/>
        </w:rPr>
        <w:t>基本程序</w:t>
      </w:r>
    </w:p>
    <w:p>
      <w:pPr>
        <w:widowControl/>
        <w:shd w:val="clear" w:color="auto" w:fill="FFFFFF"/>
        <w:snapToGrid w:val="0"/>
        <w:spacing w:line="360" w:lineRule="auto"/>
        <w:ind w:firstLine="480" w:firstLineChars="200"/>
        <w:rPr>
          <w:rFonts w:ascii="宋体" w:hAnsi="宋体" w:eastAsia="宋体" w:cs="Arial"/>
          <w:kern w:val="0"/>
          <w:sz w:val="24"/>
          <w:szCs w:val="24"/>
        </w:rPr>
      </w:pPr>
      <w:r>
        <w:rPr>
          <w:rFonts w:hint="eastAsia" w:ascii="宋体" w:hAnsi="宋体" w:eastAsia="宋体" w:cs="Arial"/>
          <w:kern w:val="0"/>
          <w:sz w:val="24"/>
          <w:szCs w:val="24"/>
        </w:rPr>
        <w:t>磋商活动将按以下步骤进行：</w:t>
      </w:r>
    </w:p>
    <w:p>
      <w:pPr>
        <w:widowControl/>
        <w:shd w:val="clear" w:color="auto" w:fill="FFFFFF"/>
        <w:snapToGrid w:val="0"/>
        <w:spacing w:line="360" w:lineRule="auto"/>
        <w:ind w:firstLine="480" w:firstLineChars="200"/>
        <w:rPr>
          <w:rFonts w:ascii="宋体" w:hAnsi="Calibri" w:eastAsia="宋体" w:cs="Arial"/>
          <w:kern w:val="0"/>
          <w:sz w:val="24"/>
          <w:szCs w:val="24"/>
        </w:rPr>
      </w:pPr>
      <w:r>
        <w:rPr>
          <w:rFonts w:hint="eastAsia" w:ascii="宋体" w:hAnsi="宋体" w:eastAsia="宋体" w:cs="Arial"/>
          <w:kern w:val="0"/>
          <w:sz w:val="24"/>
          <w:szCs w:val="24"/>
        </w:rPr>
        <w:t>（1）磋商</w:t>
      </w:r>
      <w:r>
        <w:rPr>
          <w:rFonts w:hint="eastAsia" w:ascii="宋体" w:hAnsi="宋体" w:cs="Arial"/>
          <w:kern w:val="0"/>
          <w:sz w:val="24"/>
          <w:szCs w:val="24"/>
        </w:rPr>
        <w:t>准备</w:t>
      </w:r>
    </w:p>
    <w:p>
      <w:pPr>
        <w:widowControl/>
        <w:shd w:val="clear" w:color="auto" w:fill="FFFFFF"/>
        <w:snapToGrid w:val="0"/>
        <w:spacing w:line="360" w:lineRule="auto"/>
        <w:ind w:firstLine="480" w:firstLineChars="200"/>
        <w:rPr>
          <w:rFonts w:ascii="宋体" w:hAnsi="Calibri" w:eastAsia="宋体" w:cs="Arial"/>
          <w:kern w:val="0"/>
          <w:sz w:val="24"/>
          <w:szCs w:val="24"/>
        </w:rPr>
      </w:pPr>
      <w:r>
        <w:rPr>
          <w:rFonts w:hint="eastAsia" w:ascii="宋体" w:hAnsi="宋体" w:eastAsia="宋体" w:cs="Arial"/>
          <w:kern w:val="0"/>
          <w:sz w:val="24"/>
          <w:szCs w:val="24"/>
        </w:rPr>
        <w:t>（2）资格审查</w:t>
      </w:r>
    </w:p>
    <w:p>
      <w:pPr>
        <w:widowControl/>
        <w:shd w:val="clear" w:color="auto" w:fill="FFFFFF"/>
        <w:snapToGrid w:val="0"/>
        <w:spacing w:line="360" w:lineRule="auto"/>
        <w:ind w:firstLine="480" w:firstLineChars="200"/>
        <w:rPr>
          <w:rFonts w:ascii="宋体" w:hAnsi="宋体" w:eastAsia="宋体" w:cs="Arial"/>
          <w:kern w:val="0"/>
          <w:sz w:val="24"/>
          <w:szCs w:val="24"/>
        </w:rPr>
      </w:pPr>
      <w:r>
        <w:rPr>
          <w:rFonts w:hint="eastAsia" w:ascii="宋体" w:hAnsi="宋体" w:eastAsia="宋体" w:cs="Arial"/>
          <w:kern w:val="0"/>
          <w:sz w:val="24"/>
          <w:szCs w:val="24"/>
        </w:rPr>
        <w:t>（3）完备性及符合性审查</w:t>
      </w:r>
    </w:p>
    <w:p>
      <w:pPr>
        <w:widowControl/>
        <w:shd w:val="clear" w:color="auto" w:fill="FFFFFF"/>
        <w:snapToGrid w:val="0"/>
        <w:spacing w:line="360" w:lineRule="auto"/>
        <w:ind w:firstLine="480" w:firstLineChars="200"/>
        <w:rPr>
          <w:rFonts w:ascii="宋体" w:hAnsi="Calibri" w:eastAsia="宋体" w:cs="Arial"/>
          <w:kern w:val="0"/>
          <w:sz w:val="24"/>
          <w:szCs w:val="24"/>
        </w:rPr>
      </w:pPr>
      <w:r>
        <w:rPr>
          <w:rFonts w:hint="eastAsia" w:ascii="宋体" w:hAnsi="宋体" w:eastAsia="宋体" w:cs="Arial"/>
          <w:kern w:val="0"/>
          <w:sz w:val="24"/>
          <w:szCs w:val="24"/>
        </w:rPr>
        <w:t>（4）详细评审</w:t>
      </w:r>
    </w:p>
    <w:p>
      <w:pPr>
        <w:widowControl/>
        <w:shd w:val="clear" w:color="auto" w:fill="FFFFFF"/>
        <w:snapToGrid w:val="0"/>
        <w:spacing w:line="360" w:lineRule="auto"/>
        <w:ind w:firstLine="480" w:firstLineChars="200"/>
        <w:rPr>
          <w:rFonts w:ascii="宋体" w:hAnsi="Calibri" w:eastAsia="宋体" w:cs="Arial"/>
          <w:kern w:val="0"/>
          <w:sz w:val="24"/>
          <w:szCs w:val="24"/>
        </w:rPr>
      </w:pPr>
      <w:r>
        <w:rPr>
          <w:rFonts w:hint="eastAsia" w:ascii="宋体" w:hAnsi="宋体" w:eastAsia="宋体" w:cs="Arial"/>
          <w:kern w:val="0"/>
          <w:sz w:val="24"/>
          <w:szCs w:val="24"/>
        </w:rPr>
        <w:t>（5）澄清、说明或补正</w:t>
      </w:r>
    </w:p>
    <w:p>
      <w:pPr>
        <w:widowControl/>
        <w:shd w:val="clear" w:color="auto" w:fill="FFFFFF"/>
        <w:snapToGrid w:val="0"/>
        <w:spacing w:line="360" w:lineRule="auto"/>
        <w:ind w:firstLine="480" w:firstLineChars="200"/>
        <w:rPr>
          <w:rFonts w:ascii="宋体" w:hAnsi="Calibri" w:eastAsia="宋体" w:cs="Arial"/>
          <w:kern w:val="0"/>
          <w:sz w:val="24"/>
          <w:szCs w:val="24"/>
        </w:rPr>
      </w:pPr>
      <w:r>
        <w:rPr>
          <w:rFonts w:hint="eastAsia" w:ascii="宋体" w:hAnsi="宋体" w:eastAsia="宋体" w:cs="Arial"/>
          <w:kern w:val="0"/>
          <w:sz w:val="24"/>
          <w:szCs w:val="24"/>
        </w:rPr>
        <w:t>（6）推荐中标候选人及提交磋商报告</w:t>
      </w:r>
    </w:p>
    <w:p>
      <w:pPr>
        <w:widowControl/>
        <w:shd w:val="clear" w:color="auto" w:fill="FFFFFF"/>
        <w:snapToGrid w:val="0"/>
        <w:spacing w:line="360" w:lineRule="auto"/>
        <w:ind w:firstLine="480" w:firstLineChars="200"/>
        <w:rPr>
          <w:rFonts w:ascii="宋体" w:hAnsi="宋体" w:eastAsia="宋体" w:cs="Arial"/>
          <w:kern w:val="0"/>
          <w:sz w:val="24"/>
          <w:szCs w:val="24"/>
        </w:rPr>
      </w:pPr>
      <w:r>
        <w:rPr>
          <w:rFonts w:ascii="宋体" w:hAnsi="宋体" w:eastAsia="宋体" w:cs="Arial"/>
          <w:kern w:val="0"/>
          <w:sz w:val="24"/>
          <w:szCs w:val="24"/>
        </w:rPr>
        <w:t xml:space="preserve">3.2 </w:t>
      </w:r>
      <w:r>
        <w:rPr>
          <w:rFonts w:hint="eastAsia" w:ascii="宋体" w:hAnsi="宋体" w:eastAsia="宋体" w:cs="Arial"/>
          <w:kern w:val="0"/>
          <w:sz w:val="24"/>
          <w:szCs w:val="24"/>
        </w:rPr>
        <w:t>磋商准备</w:t>
      </w:r>
    </w:p>
    <w:p>
      <w:pPr>
        <w:widowControl/>
        <w:shd w:val="clear" w:color="auto" w:fill="FFFFFF"/>
        <w:snapToGrid w:val="0"/>
        <w:spacing w:line="360" w:lineRule="auto"/>
        <w:ind w:firstLine="480" w:firstLineChars="200"/>
        <w:rPr>
          <w:rFonts w:ascii="宋体" w:hAnsi="Calibri" w:eastAsia="宋体" w:cs="Arial"/>
          <w:kern w:val="0"/>
          <w:sz w:val="24"/>
          <w:szCs w:val="24"/>
        </w:rPr>
      </w:pPr>
      <w:r>
        <w:rPr>
          <w:rFonts w:ascii="宋体" w:hAnsi="宋体" w:eastAsia="宋体" w:cs="Arial"/>
          <w:kern w:val="0"/>
          <w:sz w:val="24"/>
          <w:szCs w:val="24"/>
        </w:rPr>
        <w:t>3.2.1</w:t>
      </w:r>
      <w:r>
        <w:rPr>
          <w:rFonts w:hint="eastAsia" w:ascii="宋体" w:hAnsi="宋体" w:eastAsia="宋体" w:cs="Arial"/>
          <w:kern w:val="0"/>
          <w:sz w:val="24"/>
          <w:szCs w:val="24"/>
        </w:rPr>
        <w:t>磋商小组成员签到</w:t>
      </w:r>
    </w:p>
    <w:p>
      <w:pPr>
        <w:widowControl/>
        <w:shd w:val="clear" w:color="auto" w:fill="FFFFFF"/>
        <w:snapToGrid w:val="0"/>
        <w:spacing w:line="360" w:lineRule="auto"/>
        <w:ind w:firstLine="480" w:firstLineChars="200"/>
        <w:rPr>
          <w:rFonts w:ascii="宋体" w:hAnsi="Calibri" w:eastAsia="宋体" w:cs="Arial"/>
          <w:kern w:val="0"/>
          <w:sz w:val="24"/>
          <w:szCs w:val="24"/>
        </w:rPr>
      </w:pPr>
      <w:r>
        <w:rPr>
          <w:rFonts w:hint="eastAsia" w:ascii="宋体" w:hAnsi="宋体" w:eastAsia="宋体" w:cs="Arial"/>
          <w:kern w:val="0"/>
          <w:sz w:val="24"/>
          <w:szCs w:val="24"/>
        </w:rPr>
        <w:t>磋商小组成员到达磋商现场时应当在签到表上签到以证明其出席。</w:t>
      </w:r>
    </w:p>
    <w:p>
      <w:pPr>
        <w:widowControl/>
        <w:shd w:val="clear" w:color="auto" w:fill="FFFFFF"/>
        <w:snapToGrid w:val="0"/>
        <w:spacing w:line="360" w:lineRule="auto"/>
        <w:ind w:firstLine="480" w:firstLineChars="200"/>
        <w:rPr>
          <w:rFonts w:ascii="宋体" w:hAnsi="Calibri" w:eastAsia="宋体" w:cs="Arial"/>
          <w:kern w:val="0"/>
          <w:sz w:val="24"/>
          <w:szCs w:val="24"/>
        </w:rPr>
      </w:pPr>
      <w:r>
        <w:rPr>
          <w:rFonts w:ascii="宋体" w:hAnsi="宋体" w:eastAsia="宋体" w:cs="Arial"/>
          <w:kern w:val="0"/>
          <w:sz w:val="24"/>
          <w:szCs w:val="24"/>
        </w:rPr>
        <w:t xml:space="preserve">3.2.2 </w:t>
      </w:r>
      <w:r>
        <w:rPr>
          <w:rFonts w:hint="eastAsia" w:ascii="宋体" w:hAnsi="宋体" w:eastAsia="宋体" w:cs="Arial"/>
          <w:kern w:val="0"/>
          <w:sz w:val="24"/>
          <w:szCs w:val="24"/>
        </w:rPr>
        <w:t>磋商小组的分工</w:t>
      </w:r>
    </w:p>
    <w:p>
      <w:pPr>
        <w:widowControl/>
        <w:shd w:val="clear" w:color="auto" w:fill="FFFFFF"/>
        <w:snapToGrid w:val="0"/>
        <w:spacing w:line="360" w:lineRule="auto"/>
        <w:ind w:firstLine="480" w:firstLineChars="200"/>
        <w:rPr>
          <w:rFonts w:ascii="宋体" w:hAnsi="Calibri" w:eastAsia="宋体" w:cs="Arial"/>
          <w:kern w:val="0"/>
          <w:sz w:val="24"/>
          <w:szCs w:val="24"/>
        </w:rPr>
      </w:pPr>
      <w:r>
        <w:rPr>
          <w:rFonts w:ascii="宋体" w:hAnsi="宋体" w:eastAsia="宋体" w:cs="Arial"/>
          <w:kern w:val="0"/>
          <w:sz w:val="24"/>
          <w:szCs w:val="24"/>
        </w:rPr>
        <w:t>3.2.2.1</w:t>
      </w:r>
      <w:r>
        <w:rPr>
          <w:rFonts w:hint="eastAsia" w:ascii="宋体" w:hAnsi="宋体" w:eastAsia="宋体" w:cs="Arial"/>
          <w:kern w:val="0"/>
          <w:sz w:val="24"/>
          <w:szCs w:val="24"/>
        </w:rPr>
        <w:t>磋商小组首先推选一名磋商小组主任。磋商小组主任负责磋商活动的组织领导工作。磋商小组主任与磋商小组其他成员具有同等的磋商权力。</w:t>
      </w:r>
    </w:p>
    <w:p>
      <w:pPr>
        <w:widowControl/>
        <w:shd w:val="clear" w:color="auto" w:fill="FFFFFF"/>
        <w:snapToGrid w:val="0"/>
        <w:spacing w:line="360" w:lineRule="auto"/>
        <w:ind w:firstLine="480" w:firstLineChars="200"/>
        <w:rPr>
          <w:rFonts w:ascii="宋体" w:hAnsi="Calibri" w:eastAsia="宋体" w:cs="Arial"/>
          <w:kern w:val="0"/>
          <w:sz w:val="24"/>
          <w:szCs w:val="24"/>
        </w:rPr>
      </w:pPr>
      <w:r>
        <w:rPr>
          <w:rFonts w:ascii="宋体" w:hAnsi="宋体" w:eastAsia="宋体" w:cs="Arial"/>
          <w:kern w:val="0"/>
          <w:sz w:val="24"/>
          <w:szCs w:val="24"/>
        </w:rPr>
        <w:t xml:space="preserve">3.2.2.2 </w:t>
      </w:r>
      <w:r>
        <w:rPr>
          <w:rFonts w:hint="eastAsia" w:ascii="宋体" w:hAnsi="宋体" w:eastAsia="宋体" w:cs="Arial"/>
          <w:kern w:val="0"/>
          <w:sz w:val="24"/>
          <w:szCs w:val="24"/>
        </w:rPr>
        <w:t>磋商小组主任除履行自己作为磋商小组成员独立磋商的职责外，主要负责以下工作：</w:t>
      </w:r>
    </w:p>
    <w:p>
      <w:pPr>
        <w:widowControl/>
        <w:shd w:val="clear" w:color="auto" w:fill="FFFFFF"/>
        <w:snapToGrid w:val="0"/>
        <w:spacing w:line="360" w:lineRule="auto"/>
        <w:ind w:firstLine="480" w:firstLineChars="200"/>
        <w:rPr>
          <w:rFonts w:ascii="宋体" w:hAnsi="Calibri" w:eastAsia="宋体" w:cs="Arial"/>
          <w:kern w:val="0"/>
          <w:sz w:val="24"/>
          <w:szCs w:val="24"/>
        </w:rPr>
      </w:pPr>
      <w:r>
        <w:rPr>
          <w:rFonts w:hint="eastAsia" w:ascii="宋体" w:hAnsi="宋体" w:eastAsia="宋体" w:cs="Arial"/>
          <w:kern w:val="0"/>
          <w:sz w:val="24"/>
          <w:szCs w:val="24"/>
        </w:rPr>
        <w:t>（</w:t>
      </w:r>
      <w:r>
        <w:rPr>
          <w:rFonts w:ascii="宋体" w:hAnsi="宋体" w:eastAsia="宋体" w:cs="Arial"/>
          <w:kern w:val="0"/>
          <w:sz w:val="24"/>
          <w:szCs w:val="24"/>
        </w:rPr>
        <w:t>1</w:t>
      </w:r>
      <w:r>
        <w:rPr>
          <w:rFonts w:hint="eastAsia" w:ascii="宋体" w:hAnsi="宋体" w:eastAsia="宋体" w:cs="Arial"/>
          <w:kern w:val="0"/>
          <w:sz w:val="24"/>
          <w:szCs w:val="24"/>
        </w:rPr>
        <w:t>）组织磋商小组成员学习</w:t>
      </w:r>
      <w:r>
        <w:rPr>
          <w:rFonts w:hint="eastAsia" w:ascii="宋体" w:hAnsi="宋体" w:eastAsia="宋体" w:cs="Arial"/>
          <w:kern w:val="0"/>
          <w:sz w:val="24"/>
          <w:szCs w:val="24"/>
          <w:lang w:eastAsia="zh-CN"/>
        </w:rPr>
        <w:t>竞争性磋商文件</w:t>
      </w:r>
      <w:r>
        <w:rPr>
          <w:rFonts w:hint="eastAsia" w:ascii="宋体" w:hAnsi="宋体" w:eastAsia="宋体" w:cs="Arial"/>
          <w:kern w:val="0"/>
          <w:sz w:val="24"/>
          <w:szCs w:val="24"/>
        </w:rPr>
        <w:t>；</w:t>
      </w:r>
    </w:p>
    <w:p>
      <w:pPr>
        <w:widowControl/>
        <w:shd w:val="clear" w:color="auto" w:fill="FFFFFF"/>
        <w:snapToGrid w:val="0"/>
        <w:spacing w:line="360" w:lineRule="auto"/>
        <w:ind w:firstLine="480" w:firstLineChars="200"/>
        <w:rPr>
          <w:rFonts w:ascii="宋体" w:hAnsi="Calibri" w:eastAsia="宋体" w:cs="Arial"/>
          <w:kern w:val="0"/>
          <w:sz w:val="24"/>
          <w:szCs w:val="24"/>
        </w:rPr>
      </w:pPr>
      <w:r>
        <w:rPr>
          <w:rFonts w:hint="eastAsia" w:ascii="宋体" w:hAnsi="宋体" w:eastAsia="宋体" w:cs="Arial"/>
          <w:kern w:val="0"/>
          <w:sz w:val="24"/>
          <w:szCs w:val="24"/>
        </w:rPr>
        <w:t>（</w:t>
      </w:r>
      <w:r>
        <w:rPr>
          <w:rFonts w:ascii="宋体" w:hAnsi="宋体" w:eastAsia="宋体" w:cs="Arial"/>
          <w:kern w:val="0"/>
          <w:sz w:val="24"/>
          <w:szCs w:val="24"/>
        </w:rPr>
        <w:t>2</w:t>
      </w:r>
      <w:r>
        <w:rPr>
          <w:rFonts w:hint="eastAsia" w:ascii="宋体" w:hAnsi="宋体" w:eastAsia="宋体" w:cs="Arial"/>
          <w:kern w:val="0"/>
          <w:sz w:val="24"/>
          <w:szCs w:val="24"/>
        </w:rPr>
        <w:t>）汇总各磋商小组成员认为需要供应商澄清、说明或者补正的问题；</w:t>
      </w:r>
    </w:p>
    <w:p>
      <w:pPr>
        <w:widowControl/>
        <w:shd w:val="clear" w:color="auto" w:fill="FFFFFF"/>
        <w:snapToGrid w:val="0"/>
        <w:spacing w:line="360" w:lineRule="auto"/>
        <w:ind w:firstLine="480" w:firstLineChars="200"/>
        <w:rPr>
          <w:rFonts w:ascii="宋体" w:hAnsi="Calibri" w:eastAsia="宋体" w:cs="Arial"/>
          <w:kern w:val="0"/>
          <w:sz w:val="24"/>
          <w:szCs w:val="24"/>
        </w:rPr>
      </w:pPr>
      <w:r>
        <w:rPr>
          <w:rFonts w:hint="eastAsia" w:ascii="宋体" w:hAnsi="宋体" w:eastAsia="宋体" w:cs="Arial"/>
          <w:kern w:val="0"/>
          <w:sz w:val="24"/>
          <w:szCs w:val="24"/>
        </w:rPr>
        <w:t>（</w:t>
      </w:r>
      <w:r>
        <w:rPr>
          <w:rFonts w:ascii="宋体" w:hAnsi="宋体" w:eastAsia="宋体" w:cs="Arial"/>
          <w:kern w:val="0"/>
          <w:sz w:val="24"/>
          <w:szCs w:val="24"/>
        </w:rPr>
        <w:t>3</w:t>
      </w:r>
      <w:r>
        <w:rPr>
          <w:rFonts w:hint="eastAsia" w:ascii="宋体" w:hAnsi="宋体" w:eastAsia="宋体" w:cs="Arial"/>
          <w:kern w:val="0"/>
          <w:sz w:val="24"/>
          <w:szCs w:val="24"/>
        </w:rPr>
        <w:t>）组织磋商小组对供应商质询并对供应商的答复进行磋商；</w:t>
      </w:r>
    </w:p>
    <w:p>
      <w:pPr>
        <w:widowControl/>
        <w:shd w:val="clear" w:color="auto" w:fill="FFFFFF"/>
        <w:snapToGrid w:val="0"/>
        <w:spacing w:line="360" w:lineRule="auto"/>
        <w:ind w:firstLine="480" w:firstLineChars="200"/>
        <w:rPr>
          <w:rFonts w:ascii="宋体" w:hAnsi="Calibri" w:eastAsia="宋体" w:cs="Arial"/>
          <w:kern w:val="0"/>
          <w:sz w:val="24"/>
          <w:szCs w:val="24"/>
        </w:rPr>
      </w:pPr>
      <w:r>
        <w:rPr>
          <w:rFonts w:hint="eastAsia" w:ascii="宋体" w:hAnsi="宋体" w:eastAsia="宋体" w:cs="Arial"/>
          <w:kern w:val="0"/>
          <w:sz w:val="24"/>
          <w:szCs w:val="24"/>
        </w:rPr>
        <w:t>（</w:t>
      </w:r>
      <w:r>
        <w:rPr>
          <w:rFonts w:ascii="宋体" w:hAnsi="宋体" w:eastAsia="宋体" w:cs="Arial"/>
          <w:kern w:val="0"/>
          <w:sz w:val="24"/>
          <w:szCs w:val="24"/>
        </w:rPr>
        <w:t>4</w:t>
      </w:r>
      <w:r>
        <w:rPr>
          <w:rFonts w:hint="eastAsia" w:ascii="宋体" w:hAnsi="宋体" w:eastAsia="宋体" w:cs="Arial"/>
          <w:kern w:val="0"/>
          <w:sz w:val="24"/>
          <w:szCs w:val="24"/>
        </w:rPr>
        <w:t>）对出现较大争议的事项进行书面记录；</w:t>
      </w:r>
    </w:p>
    <w:p>
      <w:pPr>
        <w:widowControl/>
        <w:shd w:val="clear" w:color="auto" w:fill="FFFFFF"/>
        <w:snapToGrid w:val="0"/>
        <w:spacing w:line="360" w:lineRule="auto"/>
        <w:ind w:firstLine="480" w:firstLineChars="200"/>
        <w:rPr>
          <w:rFonts w:ascii="宋体" w:hAnsi="Calibri" w:eastAsia="宋体" w:cs="Arial"/>
          <w:kern w:val="0"/>
          <w:sz w:val="24"/>
          <w:szCs w:val="24"/>
        </w:rPr>
      </w:pPr>
      <w:r>
        <w:rPr>
          <w:rFonts w:hint="eastAsia" w:ascii="宋体" w:hAnsi="宋体" w:eastAsia="宋体" w:cs="Arial"/>
          <w:kern w:val="0"/>
          <w:sz w:val="24"/>
          <w:szCs w:val="24"/>
        </w:rPr>
        <w:t>（</w:t>
      </w:r>
      <w:r>
        <w:rPr>
          <w:rFonts w:ascii="宋体" w:hAnsi="宋体" w:eastAsia="宋体" w:cs="Arial"/>
          <w:kern w:val="0"/>
          <w:sz w:val="24"/>
          <w:szCs w:val="24"/>
        </w:rPr>
        <w:t>5</w:t>
      </w:r>
      <w:r>
        <w:rPr>
          <w:rFonts w:hint="eastAsia" w:ascii="宋体" w:hAnsi="宋体" w:eastAsia="宋体" w:cs="Arial"/>
          <w:kern w:val="0"/>
          <w:sz w:val="24"/>
          <w:szCs w:val="24"/>
        </w:rPr>
        <w:t>）组织收回磋商过程中使用的文件、表格和磋商记录以及其他资料，并查验磋商记录的完整性及有效性；</w:t>
      </w:r>
    </w:p>
    <w:p>
      <w:pPr>
        <w:widowControl/>
        <w:shd w:val="clear" w:color="auto" w:fill="FFFFFF"/>
        <w:snapToGrid w:val="0"/>
        <w:spacing w:line="360" w:lineRule="auto"/>
        <w:ind w:firstLine="480" w:firstLineChars="200"/>
        <w:rPr>
          <w:rFonts w:ascii="宋体" w:hAnsi="Calibri" w:eastAsia="宋体" w:cs="Arial"/>
          <w:kern w:val="0"/>
          <w:sz w:val="24"/>
          <w:szCs w:val="24"/>
        </w:rPr>
      </w:pPr>
      <w:r>
        <w:rPr>
          <w:rFonts w:hint="eastAsia" w:ascii="宋体" w:hAnsi="宋体" w:eastAsia="宋体" w:cs="Arial"/>
          <w:kern w:val="0"/>
          <w:sz w:val="24"/>
          <w:szCs w:val="24"/>
        </w:rPr>
        <w:t>（</w:t>
      </w:r>
      <w:r>
        <w:rPr>
          <w:rFonts w:ascii="宋体" w:hAnsi="宋体" w:eastAsia="宋体" w:cs="Arial"/>
          <w:kern w:val="0"/>
          <w:sz w:val="24"/>
          <w:szCs w:val="24"/>
        </w:rPr>
        <w:t>6</w:t>
      </w:r>
      <w:r>
        <w:rPr>
          <w:rFonts w:hint="eastAsia" w:ascii="宋体" w:hAnsi="宋体" w:eastAsia="宋体" w:cs="Arial"/>
          <w:kern w:val="0"/>
          <w:sz w:val="24"/>
          <w:szCs w:val="24"/>
        </w:rPr>
        <w:t>）组织对磋商结论进行复核确认；</w:t>
      </w:r>
    </w:p>
    <w:p>
      <w:pPr>
        <w:widowControl/>
        <w:shd w:val="clear" w:color="auto" w:fill="FFFFFF"/>
        <w:snapToGrid w:val="0"/>
        <w:spacing w:line="360" w:lineRule="auto"/>
        <w:ind w:firstLine="480" w:firstLineChars="200"/>
        <w:rPr>
          <w:rFonts w:ascii="宋体" w:hAnsi="Calibri" w:eastAsia="宋体" w:cs="Arial"/>
          <w:kern w:val="0"/>
          <w:sz w:val="24"/>
          <w:szCs w:val="24"/>
        </w:rPr>
      </w:pPr>
      <w:r>
        <w:rPr>
          <w:rFonts w:hint="eastAsia" w:ascii="宋体" w:hAnsi="宋体" w:eastAsia="宋体" w:cs="Arial"/>
          <w:kern w:val="0"/>
          <w:sz w:val="24"/>
          <w:szCs w:val="24"/>
        </w:rPr>
        <w:t>（</w:t>
      </w:r>
      <w:r>
        <w:rPr>
          <w:rFonts w:ascii="宋体" w:hAnsi="宋体" w:eastAsia="宋体" w:cs="Arial"/>
          <w:kern w:val="0"/>
          <w:sz w:val="24"/>
          <w:szCs w:val="24"/>
        </w:rPr>
        <w:t>7</w:t>
      </w:r>
      <w:r>
        <w:rPr>
          <w:rFonts w:hint="eastAsia" w:ascii="宋体" w:hAnsi="宋体" w:eastAsia="宋体" w:cs="Arial"/>
          <w:kern w:val="0"/>
          <w:sz w:val="24"/>
          <w:szCs w:val="24"/>
        </w:rPr>
        <w:t>）组织编写磋商报告。</w:t>
      </w:r>
    </w:p>
    <w:p>
      <w:pPr>
        <w:widowControl/>
        <w:shd w:val="clear" w:color="auto" w:fill="FFFFFF"/>
        <w:snapToGrid w:val="0"/>
        <w:spacing w:line="360" w:lineRule="auto"/>
        <w:ind w:firstLine="480" w:firstLineChars="200"/>
        <w:rPr>
          <w:rFonts w:ascii="宋体" w:hAnsi="Calibri" w:eastAsia="宋体" w:cs="Arial"/>
          <w:kern w:val="0"/>
          <w:sz w:val="24"/>
          <w:szCs w:val="24"/>
        </w:rPr>
      </w:pPr>
      <w:r>
        <w:rPr>
          <w:rFonts w:ascii="宋体" w:hAnsi="宋体" w:eastAsia="宋体" w:cs="Arial"/>
          <w:kern w:val="0"/>
          <w:sz w:val="24"/>
          <w:szCs w:val="24"/>
        </w:rPr>
        <w:t xml:space="preserve">3.2.3 </w:t>
      </w:r>
      <w:r>
        <w:rPr>
          <w:rFonts w:hint="eastAsia" w:ascii="宋体" w:hAnsi="宋体" w:eastAsia="宋体" w:cs="Arial"/>
          <w:kern w:val="0"/>
          <w:sz w:val="24"/>
          <w:szCs w:val="24"/>
        </w:rPr>
        <w:t>熟悉文件资料</w:t>
      </w:r>
    </w:p>
    <w:p>
      <w:pPr>
        <w:widowControl/>
        <w:shd w:val="clear" w:color="auto" w:fill="FFFFFF"/>
        <w:snapToGrid w:val="0"/>
        <w:spacing w:line="360" w:lineRule="auto"/>
        <w:ind w:firstLine="480" w:firstLineChars="200"/>
        <w:rPr>
          <w:rFonts w:ascii="宋体" w:hAnsi="Calibri" w:eastAsia="宋体" w:cs="Arial"/>
          <w:kern w:val="0"/>
          <w:sz w:val="24"/>
          <w:szCs w:val="24"/>
        </w:rPr>
      </w:pPr>
      <w:r>
        <w:rPr>
          <w:rFonts w:ascii="宋体" w:hAnsi="宋体" w:eastAsia="宋体" w:cs="Arial"/>
          <w:kern w:val="0"/>
          <w:sz w:val="24"/>
          <w:szCs w:val="24"/>
        </w:rPr>
        <w:t xml:space="preserve">3.2.3.1 </w:t>
      </w:r>
      <w:r>
        <w:rPr>
          <w:rFonts w:hint="eastAsia" w:ascii="宋体" w:hAnsi="宋体" w:eastAsia="宋体" w:cs="Arial"/>
          <w:kern w:val="0"/>
          <w:sz w:val="24"/>
          <w:szCs w:val="24"/>
        </w:rPr>
        <w:t>磋商小组主任应当组织磋商小组成员认真研究</w:t>
      </w:r>
      <w:r>
        <w:rPr>
          <w:rFonts w:hint="eastAsia" w:ascii="宋体" w:hAnsi="宋体" w:eastAsia="宋体" w:cs="Arial"/>
          <w:kern w:val="0"/>
          <w:sz w:val="24"/>
          <w:szCs w:val="24"/>
          <w:lang w:eastAsia="zh-CN"/>
        </w:rPr>
        <w:t>竞争性磋商文件</w:t>
      </w:r>
      <w:r>
        <w:rPr>
          <w:rFonts w:hint="eastAsia" w:ascii="宋体" w:hAnsi="宋体" w:eastAsia="宋体" w:cs="Arial"/>
          <w:kern w:val="0"/>
          <w:sz w:val="24"/>
          <w:szCs w:val="24"/>
        </w:rPr>
        <w:t>，了解和熟悉招标目的、采购范围、主要合同条件、服务标准和要求，掌握磋商标准和方法，熟悉本章及附件中包括的磋商表格的使用，如果本章及附件所附的表格不能满足磋商所需时，磋商小组应当补充编制磋商所需的表格。</w:t>
      </w:r>
    </w:p>
    <w:p>
      <w:pPr>
        <w:widowControl/>
        <w:shd w:val="clear" w:color="auto" w:fill="FFFFFF"/>
        <w:snapToGrid w:val="0"/>
        <w:spacing w:line="360" w:lineRule="auto"/>
        <w:ind w:firstLine="480" w:firstLineChars="200"/>
        <w:rPr>
          <w:rFonts w:ascii="宋体" w:hAnsi="Calibri" w:eastAsia="宋体" w:cs="Arial"/>
          <w:kern w:val="0"/>
          <w:sz w:val="24"/>
          <w:szCs w:val="24"/>
        </w:rPr>
      </w:pPr>
      <w:r>
        <w:rPr>
          <w:rFonts w:ascii="宋体" w:hAnsi="宋体" w:eastAsia="宋体" w:cs="Arial"/>
          <w:kern w:val="0"/>
          <w:sz w:val="24"/>
          <w:szCs w:val="24"/>
        </w:rPr>
        <w:t xml:space="preserve">3.2.3.2 </w:t>
      </w:r>
      <w:r>
        <w:rPr>
          <w:rFonts w:hint="eastAsia" w:ascii="宋体" w:hAnsi="宋体" w:eastAsia="宋体" w:cs="Arial"/>
          <w:kern w:val="0"/>
          <w:sz w:val="24"/>
          <w:szCs w:val="24"/>
        </w:rPr>
        <w:t>采购人或采购代理机构应当向磋商小组提供磋商所需的信息和数据，包括：</w:t>
      </w:r>
    </w:p>
    <w:p>
      <w:pPr>
        <w:widowControl/>
        <w:shd w:val="clear" w:color="auto" w:fill="FFFFFF"/>
        <w:snapToGrid w:val="0"/>
        <w:spacing w:line="360" w:lineRule="auto"/>
        <w:ind w:firstLine="480" w:firstLineChars="200"/>
        <w:rPr>
          <w:rFonts w:ascii="宋体" w:hAnsi="Calibri" w:eastAsia="宋体" w:cs="Arial"/>
          <w:kern w:val="0"/>
          <w:sz w:val="24"/>
          <w:szCs w:val="24"/>
        </w:rPr>
      </w:pPr>
      <w:r>
        <w:rPr>
          <w:rFonts w:hint="eastAsia" w:ascii="宋体" w:hAnsi="宋体" w:eastAsia="宋体" w:cs="Arial"/>
          <w:kern w:val="0"/>
          <w:sz w:val="24"/>
          <w:szCs w:val="24"/>
        </w:rPr>
        <w:t>（</w:t>
      </w:r>
      <w:r>
        <w:rPr>
          <w:rFonts w:ascii="宋体" w:hAnsi="宋体" w:eastAsia="宋体" w:cs="Arial"/>
          <w:kern w:val="0"/>
          <w:sz w:val="24"/>
          <w:szCs w:val="24"/>
        </w:rPr>
        <w:t>1</w:t>
      </w:r>
      <w:r>
        <w:rPr>
          <w:rFonts w:hint="eastAsia" w:ascii="宋体" w:hAnsi="宋体" w:eastAsia="宋体" w:cs="Arial"/>
          <w:kern w:val="0"/>
          <w:sz w:val="24"/>
          <w:szCs w:val="24"/>
        </w:rPr>
        <w:t>）</w:t>
      </w:r>
      <w:r>
        <w:rPr>
          <w:rFonts w:hint="eastAsia" w:ascii="宋体" w:hAnsi="宋体" w:eastAsia="宋体" w:cs="Arial"/>
          <w:kern w:val="0"/>
          <w:sz w:val="24"/>
          <w:szCs w:val="24"/>
          <w:lang w:eastAsia="zh-CN"/>
        </w:rPr>
        <w:t>竞争性磋商文件</w:t>
      </w:r>
      <w:r>
        <w:rPr>
          <w:rFonts w:hint="eastAsia" w:ascii="宋体" w:hAnsi="宋体" w:eastAsia="宋体" w:cs="Arial"/>
          <w:kern w:val="0"/>
          <w:sz w:val="24"/>
          <w:szCs w:val="24"/>
        </w:rPr>
        <w:t>及其澄清修改等</w:t>
      </w:r>
      <w:r>
        <w:rPr>
          <w:rFonts w:hint="eastAsia" w:ascii="宋体" w:hAnsi="宋体" w:eastAsia="宋体" w:cs="Arial"/>
          <w:kern w:val="0"/>
          <w:sz w:val="24"/>
          <w:szCs w:val="24"/>
          <w:lang w:eastAsia="zh-CN"/>
        </w:rPr>
        <w:t>竞争性磋商文件</w:t>
      </w:r>
      <w:r>
        <w:rPr>
          <w:rFonts w:hint="eastAsia" w:ascii="宋体" w:hAnsi="宋体" w:eastAsia="宋体" w:cs="Arial"/>
          <w:kern w:val="0"/>
          <w:sz w:val="24"/>
          <w:szCs w:val="24"/>
        </w:rPr>
        <w:t>补充；</w:t>
      </w:r>
    </w:p>
    <w:p>
      <w:pPr>
        <w:widowControl/>
        <w:shd w:val="clear" w:color="auto" w:fill="FFFFFF"/>
        <w:snapToGrid w:val="0"/>
        <w:spacing w:line="360" w:lineRule="auto"/>
        <w:ind w:firstLine="480" w:firstLineChars="200"/>
        <w:rPr>
          <w:rFonts w:ascii="宋体" w:hAnsi="Calibri" w:eastAsia="宋体" w:cs="Arial"/>
          <w:kern w:val="0"/>
          <w:sz w:val="24"/>
          <w:szCs w:val="24"/>
        </w:rPr>
      </w:pPr>
      <w:r>
        <w:rPr>
          <w:rFonts w:hint="eastAsia" w:ascii="宋体" w:hAnsi="宋体" w:eastAsia="宋体" w:cs="Arial"/>
          <w:kern w:val="0"/>
          <w:sz w:val="24"/>
          <w:szCs w:val="24"/>
        </w:rPr>
        <w:t>（</w:t>
      </w:r>
      <w:r>
        <w:rPr>
          <w:rFonts w:ascii="宋体" w:hAnsi="宋体" w:eastAsia="宋体" w:cs="Arial"/>
          <w:kern w:val="0"/>
          <w:sz w:val="24"/>
          <w:szCs w:val="24"/>
        </w:rPr>
        <w:t>2</w:t>
      </w:r>
      <w:r>
        <w:rPr>
          <w:rFonts w:hint="eastAsia" w:ascii="宋体" w:hAnsi="宋体" w:eastAsia="宋体" w:cs="Arial"/>
          <w:kern w:val="0"/>
          <w:sz w:val="24"/>
          <w:szCs w:val="24"/>
        </w:rPr>
        <w:t>）未在开标会上当场拒绝的各</w:t>
      </w:r>
      <w:r>
        <w:rPr>
          <w:rFonts w:hint="eastAsia" w:ascii="宋体" w:hAnsi="宋体" w:eastAsia="宋体" w:cs="Arial"/>
          <w:kern w:val="0"/>
          <w:sz w:val="24"/>
          <w:szCs w:val="24"/>
          <w:lang w:eastAsia="zh-CN"/>
        </w:rPr>
        <w:t>磋商响应文件</w:t>
      </w:r>
      <w:r>
        <w:rPr>
          <w:rFonts w:hint="eastAsia" w:ascii="宋体" w:hAnsi="宋体" w:eastAsia="宋体" w:cs="Arial"/>
          <w:kern w:val="0"/>
          <w:sz w:val="24"/>
          <w:szCs w:val="24"/>
        </w:rPr>
        <w:t>；</w:t>
      </w:r>
    </w:p>
    <w:p>
      <w:pPr>
        <w:widowControl/>
        <w:shd w:val="clear" w:color="auto" w:fill="FFFFFF"/>
        <w:snapToGrid w:val="0"/>
        <w:spacing w:line="360" w:lineRule="auto"/>
        <w:ind w:firstLine="480" w:firstLineChars="200"/>
        <w:rPr>
          <w:rFonts w:ascii="宋体" w:hAnsi="Calibri" w:eastAsia="宋体" w:cs="Arial"/>
          <w:kern w:val="0"/>
          <w:sz w:val="24"/>
          <w:szCs w:val="24"/>
        </w:rPr>
      </w:pPr>
      <w:r>
        <w:rPr>
          <w:rFonts w:hint="eastAsia" w:ascii="宋体" w:hAnsi="宋体" w:eastAsia="宋体" w:cs="Arial"/>
          <w:kern w:val="0"/>
          <w:sz w:val="24"/>
          <w:szCs w:val="24"/>
        </w:rPr>
        <w:t>（</w:t>
      </w:r>
      <w:r>
        <w:rPr>
          <w:rFonts w:ascii="宋体" w:hAnsi="宋体" w:eastAsia="宋体" w:cs="Arial"/>
          <w:kern w:val="0"/>
          <w:sz w:val="24"/>
          <w:szCs w:val="24"/>
        </w:rPr>
        <w:t>3</w:t>
      </w:r>
      <w:r>
        <w:rPr>
          <w:rFonts w:hint="eastAsia" w:ascii="宋体" w:hAnsi="宋体" w:eastAsia="宋体" w:cs="Arial"/>
          <w:kern w:val="0"/>
          <w:sz w:val="24"/>
          <w:szCs w:val="24"/>
        </w:rPr>
        <w:t>）开标会记录；</w:t>
      </w:r>
    </w:p>
    <w:p>
      <w:pPr>
        <w:widowControl/>
        <w:shd w:val="clear" w:color="auto" w:fill="FFFFFF"/>
        <w:snapToGrid w:val="0"/>
        <w:spacing w:line="360" w:lineRule="auto"/>
        <w:ind w:firstLine="480" w:firstLineChars="200"/>
        <w:rPr>
          <w:rFonts w:ascii="宋体" w:hAnsi="Calibri" w:eastAsia="宋体" w:cs="Arial"/>
          <w:kern w:val="0"/>
          <w:sz w:val="24"/>
          <w:szCs w:val="24"/>
        </w:rPr>
      </w:pPr>
      <w:r>
        <w:rPr>
          <w:rFonts w:hint="eastAsia" w:ascii="宋体" w:hAnsi="宋体" w:eastAsia="宋体" w:cs="Arial"/>
          <w:kern w:val="0"/>
          <w:sz w:val="24"/>
          <w:szCs w:val="24"/>
        </w:rPr>
        <w:t>（</w:t>
      </w:r>
      <w:r>
        <w:rPr>
          <w:rFonts w:ascii="宋体" w:hAnsi="宋体" w:eastAsia="宋体" w:cs="Arial"/>
          <w:kern w:val="0"/>
          <w:sz w:val="24"/>
          <w:szCs w:val="24"/>
        </w:rPr>
        <w:t>4</w:t>
      </w:r>
      <w:r>
        <w:rPr>
          <w:rFonts w:hint="eastAsia" w:ascii="宋体" w:hAnsi="宋体" w:eastAsia="宋体" w:cs="Arial"/>
          <w:kern w:val="0"/>
          <w:sz w:val="24"/>
          <w:szCs w:val="24"/>
        </w:rPr>
        <w:t>）磋商表格；</w:t>
      </w:r>
    </w:p>
    <w:p>
      <w:pPr>
        <w:widowControl/>
        <w:shd w:val="clear" w:color="auto" w:fill="FFFFFF"/>
        <w:snapToGrid w:val="0"/>
        <w:spacing w:line="360" w:lineRule="auto"/>
        <w:ind w:firstLine="480" w:firstLineChars="200"/>
        <w:rPr>
          <w:rFonts w:ascii="宋体" w:hAnsi="Calibri" w:eastAsia="宋体" w:cs="Arial"/>
          <w:kern w:val="0"/>
          <w:sz w:val="24"/>
          <w:szCs w:val="24"/>
        </w:rPr>
      </w:pPr>
      <w:r>
        <w:rPr>
          <w:rFonts w:hint="eastAsia" w:ascii="宋体" w:hAnsi="宋体" w:eastAsia="宋体" w:cs="Arial"/>
          <w:kern w:val="0"/>
          <w:sz w:val="24"/>
          <w:szCs w:val="24"/>
        </w:rPr>
        <w:t>（</w:t>
      </w:r>
      <w:r>
        <w:rPr>
          <w:rFonts w:ascii="宋体" w:hAnsi="宋体" w:eastAsia="宋体" w:cs="Arial"/>
          <w:kern w:val="0"/>
          <w:sz w:val="24"/>
          <w:szCs w:val="24"/>
        </w:rPr>
        <w:t>5</w:t>
      </w:r>
      <w:r>
        <w:rPr>
          <w:rFonts w:hint="eastAsia" w:ascii="宋体" w:hAnsi="宋体" w:eastAsia="宋体" w:cs="Arial"/>
          <w:kern w:val="0"/>
          <w:sz w:val="24"/>
          <w:szCs w:val="24"/>
        </w:rPr>
        <w:t>）其他信息和数据。</w:t>
      </w:r>
    </w:p>
    <w:p>
      <w:pPr>
        <w:widowControl/>
        <w:shd w:val="clear" w:color="auto" w:fill="FFFFFF"/>
        <w:snapToGrid w:val="0"/>
        <w:spacing w:line="360" w:lineRule="auto"/>
        <w:ind w:firstLine="480" w:firstLineChars="200"/>
        <w:rPr>
          <w:rFonts w:ascii="宋体" w:hAnsi="Calibri" w:eastAsia="宋体" w:cs="Arial"/>
          <w:kern w:val="0"/>
          <w:sz w:val="24"/>
          <w:szCs w:val="24"/>
        </w:rPr>
      </w:pPr>
      <w:r>
        <w:rPr>
          <w:rFonts w:ascii="宋体" w:hAnsi="宋体" w:eastAsia="宋体" w:cs="Arial"/>
          <w:kern w:val="0"/>
          <w:sz w:val="24"/>
          <w:szCs w:val="24"/>
        </w:rPr>
        <w:t>3.</w:t>
      </w:r>
      <w:r>
        <w:rPr>
          <w:rFonts w:hint="eastAsia" w:ascii="宋体" w:hAnsi="宋体" w:eastAsia="宋体" w:cs="Arial"/>
          <w:kern w:val="0"/>
          <w:sz w:val="24"/>
          <w:szCs w:val="24"/>
        </w:rPr>
        <w:t>3资格审查（适用于资格后审）</w:t>
      </w:r>
    </w:p>
    <w:p>
      <w:pPr>
        <w:widowControl/>
        <w:shd w:val="clear" w:color="auto" w:fill="FFFFFF"/>
        <w:snapToGrid w:val="0"/>
        <w:spacing w:line="360" w:lineRule="auto"/>
        <w:ind w:firstLine="480" w:firstLineChars="200"/>
        <w:rPr>
          <w:rFonts w:ascii="宋体" w:hAnsi="Calibri" w:eastAsia="宋体" w:cs="Arial"/>
          <w:kern w:val="0"/>
          <w:sz w:val="24"/>
          <w:szCs w:val="24"/>
        </w:rPr>
      </w:pPr>
      <w:r>
        <w:rPr>
          <w:rFonts w:hint="eastAsia" w:ascii="宋体" w:hAnsi="宋体" w:eastAsia="宋体" w:cs="Arial"/>
          <w:kern w:val="0"/>
          <w:sz w:val="24"/>
          <w:szCs w:val="24"/>
        </w:rPr>
        <w:t>采购人会依据本章规定的磋商因素和审查标准，对供应商的资格审查资料进行资格审查。资格审查有一项未通过审查标准，采购人将认定整个</w:t>
      </w:r>
      <w:r>
        <w:rPr>
          <w:rFonts w:hint="eastAsia" w:ascii="宋体" w:hAnsi="宋体" w:eastAsia="宋体" w:cs="Arial"/>
          <w:kern w:val="0"/>
          <w:sz w:val="24"/>
          <w:szCs w:val="24"/>
          <w:lang w:eastAsia="zh-CN"/>
        </w:rPr>
        <w:t>磋商响应文件</w:t>
      </w:r>
      <w:r>
        <w:rPr>
          <w:rFonts w:hint="eastAsia" w:ascii="宋体" w:hAnsi="宋体" w:eastAsia="宋体" w:cs="Arial"/>
          <w:kern w:val="0"/>
          <w:sz w:val="24"/>
          <w:szCs w:val="24"/>
        </w:rPr>
        <w:t>不响应</w:t>
      </w:r>
      <w:r>
        <w:rPr>
          <w:rFonts w:hint="eastAsia" w:ascii="宋体" w:hAnsi="宋体" w:eastAsia="宋体" w:cs="Arial"/>
          <w:kern w:val="0"/>
          <w:sz w:val="24"/>
          <w:szCs w:val="24"/>
          <w:lang w:eastAsia="zh-CN"/>
        </w:rPr>
        <w:t>竞争性磋商文件</w:t>
      </w:r>
      <w:r>
        <w:rPr>
          <w:rFonts w:hint="eastAsia" w:ascii="宋体" w:hAnsi="宋体" w:eastAsia="宋体" w:cs="Arial"/>
          <w:kern w:val="0"/>
          <w:sz w:val="24"/>
          <w:szCs w:val="24"/>
        </w:rPr>
        <w:t>而否决其投标，并且不允许供应商通过修改或撤销其不符合要求的差异或保留，使之成为具有响应性的投标。</w:t>
      </w:r>
    </w:p>
    <w:p>
      <w:pPr>
        <w:widowControl/>
        <w:shd w:val="clear" w:color="auto" w:fill="FFFFFF"/>
        <w:snapToGrid w:val="0"/>
        <w:spacing w:line="360" w:lineRule="auto"/>
        <w:ind w:firstLine="480" w:firstLineChars="200"/>
        <w:rPr>
          <w:rFonts w:ascii="宋体" w:hAnsi="Calibri" w:eastAsia="宋体" w:cs="Arial"/>
          <w:kern w:val="0"/>
          <w:sz w:val="24"/>
          <w:szCs w:val="24"/>
        </w:rPr>
      </w:pPr>
      <w:r>
        <w:rPr>
          <w:rFonts w:hint="eastAsia" w:ascii="宋体" w:hAnsi="宋体" w:eastAsia="宋体" w:cs="Arial"/>
          <w:kern w:val="0"/>
          <w:sz w:val="24"/>
          <w:szCs w:val="24"/>
        </w:rPr>
        <w:t>3.4完备性及符合性审查</w:t>
      </w:r>
    </w:p>
    <w:p>
      <w:pPr>
        <w:widowControl/>
        <w:shd w:val="clear" w:color="auto" w:fill="FFFFFF"/>
        <w:snapToGrid w:val="0"/>
        <w:spacing w:line="360" w:lineRule="auto"/>
        <w:ind w:firstLine="480" w:firstLineChars="200"/>
        <w:rPr>
          <w:rFonts w:ascii="宋体" w:hAnsi="Calibri" w:eastAsia="宋体" w:cs="Arial"/>
          <w:kern w:val="0"/>
          <w:sz w:val="24"/>
          <w:szCs w:val="24"/>
        </w:rPr>
      </w:pPr>
      <w:r>
        <w:rPr>
          <w:rFonts w:ascii="宋体" w:hAnsi="宋体" w:eastAsia="宋体" w:cs="Arial"/>
          <w:kern w:val="0"/>
          <w:sz w:val="24"/>
          <w:szCs w:val="24"/>
        </w:rPr>
        <w:t>3.</w:t>
      </w:r>
      <w:r>
        <w:rPr>
          <w:rFonts w:hint="eastAsia" w:ascii="宋体" w:hAnsi="宋体" w:eastAsia="宋体" w:cs="Arial"/>
          <w:kern w:val="0"/>
          <w:sz w:val="24"/>
          <w:szCs w:val="24"/>
        </w:rPr>
        <w:t>4</w:t>
      </w:r>
      <w:r>
        <w:rPr>
          <w:rFonts w:ascii="宋体" w:hAnsi="宋体" w:eastAsia="宋体" w:cs="Arial"/>
          <w:kern w:val="0"/>
          <w:sz w:val="24"/>
          <w:szCs w:val="24"/>
        </w:rPr>
        <w:t xml:space="preserve">.1 </w:t>
      </w:r>
      <w:r>
        <w:rPr>
          <w:rFonts w:hint="eastAsia" w:ascii="宋体" w:hAnsi="宋体" w:eastAsia="宋体" w:cs="Arial"/>
          <w:kern w:val="0"/>
          <w:sz w:val="24"/>
          <w:szCs w:val="24"/>
        </w:rPr>
        <w:t>磋商小组依据本章规定的磋商因素和磋商标准，对供应商的</w:t>
      </w:r>
      <w:r>
        <w:rPr>
          <w:rFonts w:hint="eastAsia" w:ascii="宋体" w:hAnsi="宋体" w:eastAsia="宋体" w:cs="Arial"/>
          <w:kern w:val="0"/>
          <w:sz w:val="24"/>
          <w:szCs w:val="24"/>
          <w:lang w:eastAsia="zh-CN"/>
        </w:rPr>
        <w:t>磋商响应文件</w:t>
      </w:r>
      <w:r>
        <w:rPr>
          <w:rFonts w:hint="eastAsia" w:ascii="宋体" w:hAnsi="宋体" w:eastAsia="宋体" w:cs="Arial"/>
          <w:kern w:val="0"/>
          <w:sz w:val="24"/>
          <w:szCs w:val="24"/>
        </w:rPr>
        <w:t>进行完备性及符合性审查。完备性及符合性审查有一项未通过磋商标准，磋商小组将认定整个</w:t>
      </w:r>
      <w:r>
        <w:rPr>
          <w:rFonts w:hint="eastAsia" w:ascii="宋体" w:hAnsi="宋体" w:eastAsia="宋体" w:cs="Arial"/>
          <w:kern w:val="0"/>
          <w:sz w:val="24"/>
          <w:szCs w:val="24"/>
          <w:lang w:eastAsia="zh-CN"/>
        </w:rPr>
        <w:t>磋商响应文件</w:t>
      </w:r>
      <w:r>
        <w:rPr>
          <w:rFonts w:hint="eastAsia" w:ascii="宋体" w:hAnsi="宋体" w:eastAsia="宋体" w:cs="Arial"/>
          <w:kern w:val="0"/>
          <w:sz w:val="24"/>
          <w:szCs w:val="24"/>
        </w:rPr>
        <w:t>不响应</w:t>
      </w:r>
      <w:r>
        <w:rPr>
          <w:rFonts w:hint="eastAsia" w:ascii="宋体" w:hAnsi="宋体" w:eastAsia="宋体" w:cs="Arial"/>
          <w:kern w:val="0"/>
          <w:sz w:val="24"/>
          <w:szCs w:val="24"/>
          <w:lang w:eastAsia="zh-CN"/>
        </w:rPr>
        <w:t>竞争性磋商文件</w:t>
      </w:r>
      <w:r>
        <w:rPr>
          <w:rFonts w:hint="eastAsia" w:ascii="宋体" w:hAnsi="宋体" w:eastAsia="宋体" w:cs="Arial"/>
          <w:kern w:val="0"/>
          <w:sz w:val="24"/>
          <w:szCs w:val="24"/>
        </w:rPr>
        <w:t>而否决其投标，并且不允许供应商通过修改或撤销其不符合要求的差异或保留，使之成为具有响应性的投标。</w:t>
      </w:r>
    </w:p>
    <w:p>
      <w:pPr>
        <w:widowControl/>
        <w:shd w:val="clear" w:color="auto" w:fill="FFFFFF"/>
        <w:snapToGrid w:val="0"/>
        <w:spacing w:line="360" w:lineRule="auto"/>
        <w:ind w:firstLine="480" w:firstLineChars="200"/>
        <w:rPr>
          <w:rFonts w:ascii="宋体" w:hAnsi="Calibri" w:eastAsia="宋体" w:cs="Arial"/>
          <w:kern w:val="0"/>
          <w:sz w:val="24"/>
          <w:szCs w:val="24"/>
        </w:rPr>
      </w:pPr>
      <w:r>
        <w:rPr>
          <w:rFonts w:ascii="宋体" w:hAnsi="宋体" w:eastAsia="宋体" w:cs="Arial"/>
          <w:kern w:val="0"/>
          <w:sz w:val="24"/>
          <w:szCs w:val="24"/>
        </w:rPr>
        <w:t>3.</w:t>
      </w:r>
      <w:r>
        <w:rPr>
          <w:rFonts w:hint="eastAsia" w:ascii="宋体" w:hAnsi="宋体" w:eastAsia="宋体" w:cs="Arial"/>
          <w:kern w:val="0"/>
          <w:sz w:val="24"/>
          <w:szCs w:val="24"/>
        </w:rPr>
        <w:t>4</w:t>
      </w:r>
      <w:r>
        <w:rPr>
          <w:rFonts w:ascii="宋体" w:hAnsi="宋体" w:eastAsia="宋体" w:cs="Arial"/>
          <w:kern w:val="0"/>
          <w:sz w:val="24"/>
          <w:szCs w:val="24"/>
        </w:rPr>
        <w:t xml:space="preserve">.2 </w:t>
      </w:r>
      <w:r>
        <w:rPr>
          <w:rFonts w:hint="eastAsia" w:ascii="宋体" w:hAnsi="宋体" w:eastAsia="宋体" w:cs="Arial"/>
          <w:kern w:val="0"/>
          <w:sz w:val="24"/>
          <w:szCs w:val="24"/>
        </w:rPr>
        <w:t>完备性及符合性审查条款是指对本招标项目产生了重大影响的重大偏差，而且纠正此类偏差将会对响应本次招标的其他供应商的竞争地位产生不公正的影响。</w:t>
      </w:r>
    </w:p>
    <w:p>
      <w:pPr>
        <w:widowControl/>
        <w:shd w:val="clear" w:color="auto" w:fill="FFFFFF"/>
        <w:snapToGrid w:val="0"/>
        <w:spacing w:line="360" w:lineRule="auto"/>
        <w:ind w:firstLine="480" w:firstLineChars="200"/>
        <w:rPr>
          <w:rFonts w:ascii="宋体" w:hAnsi="宋体" w:eastAsia="宋体" w:cs="Arial"/>
          <w:kern w:val="0"/>
          <w:sz w:val="24"/>
          <w:szCs w:val="24"/>
        </w:rPr>
      </w:pPr>
      <w:r>
        <w:rPr>
          <w:rFonts w:ascii="宋体" w:hAnsi="宋体" w:eastAsia="宋体" w:cs="Arial"/>
          <w:kern w:val="0"/>
          <w:sz w:val="24"/>
          <w:szCs w:val="24"/>
        </w:rPr>
        <w:t>3.</w:t>
      </w:r>
      <w:r>
        <w:rPr>
          <w:rFonts w:hint="eastAsia" w:ascii="宋体" w:hAnsi="宋体" w:eastAsia="宋体" w:cs="Arial"/>
          <w:kern w:val="0"/>
          <w:sz w:val="24"/>
          <w:szCs w:val="24"/>
        </w:rPr>
        <w:t>4</w:t>
      </w:r>
      <w:r>
        <w:rPr>
          <w:rFonts w:ascii="宋体" w:hAnsi="宋体" w:eastAsia="宋体" w:cs="Arial"/>
          <w:kern w:val="0"/>
          <w:sz w:val="24"/>
          <w:szCs w:val="24"/>
        </w:rPr>
        <w:t>.3</w:t>
      </w:r>
      <w:r>
        <w:rPr>
          <w:rFonts w:hint="eastAsia" w:ascii="宋体" w:hAnsi="宋体" w:eastAsia="宋体" w:cs="Arial"/>
          <w:kern w:val="0"/>
          <w:sz w:val="24"/>
          <w:szCs w:val="24"/>
        </w:rPr>
        <w:t>细微偏差是指</w:t>
      </w:r>
      <w:r>
        <w:rPr>
          <w:rFonts w:hint="eastAsia" w:ascii="宋体" w:hAnsi="宋体" w:eastAsia="宋体" w:cs="Arial"/>
          <w:kern w:val="0"/>
          <w:sz w:val="24"/>
          <w:szCs w:val="24"/>
          <w:lang w:eastAsia="zh-CN"/>
        </w:rPr>
        <w:t>磋商响应文件</w:t>
      </w:r>
      <w:r>
        <w:rPr>
          <w:rFonts w:hint="eastAsia" w:ascii="宋体" w:hAnsi="宋体" w:eastAsia="宋体" w:cs="Arial"/>
          <w:kern w:val="0"/>
          <w:sz w:val="24"/>
          <w:szCs w:val="24"/>
        </w:rPr>
        <w:t>在实质上响应</w:t>
      </w:r>
      <w:r>
        <w:rPr>
          <w:rFonts w:hint="eastAsia" w:ascii="宋体" w:hAnsi="宋体" w:eastAsia="宋体" w:cs="Arial"/>
          <w:kern w:val="0"/>
          <w:sz w:val="24"/>
          <w:szCs w:val="24"/>
          <w:lang w:eastAsia="zh-CN"/>
        </w:rPr>
        <w:t>竞争性磋商文件</w:t>
      </w:r>
      <w:r>
        <w:rPr>
          <w:rFonts w:hint="eastAsia" w:ascii="宋体" w:hAnsi="宋体" w:eastAsia="宋体" w:cs="Arial"/>
          <w:kern w:val="0"/>
          <w:sz w:val="24"/>
          <w:szCs w:val="24"/>
        </w:rPr>
        <w:t>要求，但在个别地方存在疏漏或者提供了不完整的技术信息和数据等情况，并且补正这些遗漏和不完整不会对其他供应商造成不公平的结果。细微偏差不影响</w:t>
      </w:r>
      <w:r>
        <w:rPr>
          <w:rFonts w:hint="eastAsia" w:ascii="宋体" w:hAnsi="宋体" w:eastAsia="宋体" w:cs="Arial"/>
          <w:kern w:val="0"/>
          <w:sz w:val="24"/>
          <w:szCs w:val="24"/>
          <w:lang w:eastAsia="zh-CN"/>
        </w:rPr>
        <w:t>磋商响应文件</w:t>
      </w:r>
      <w:r>
        <w:rPr>
          <w:rFonts w:hint="eastAsia" w:ascii="宋体" w:hAnsi="宋体" w:eastAsia="宋体" w:cs="Arial"/>
          <w:kern w:val="0"/>
          <w:sz w:val="24"/>
          <w:szCs w:val="24"/>
        </w:rPr>
        <w:t>的有效性，磋商小组可要求存在细微偏差的供应商予以补正。</w:t>
      </w:r>
    </w:p>
    <w:p>
      <w:pPr>
        <w:widowControl/>
        <w:shd w:val="clear" w:color="auto" w:fill="FFFFFF"/>
        <w:snapToGrid w:val="0"/>
        <w:spacing w:line="360" w:lineRule="auto"/>
        <w:ind w:firstLine="480" w:firstLineChars="200"/>
        <w:rPr>
          <w:rFonts w:ascii="宋体" w:hAnsi="Calibri" w:eastAsia="宋体" w:cs="Arial"/>
          <w:kern w:val="0"/>
          <w:sz w:val="24"/>
          <w:szCs w:val="24"/>
        </w:rPr>
      </w:pPr>
      <w:r>
        <w:rPr>
          <w:rFonts w:ascii="宋体" w:hAnsi="宋体" w:eastAsia="宋体" w:cs="Arial"/>
          <w:kern w:val="0"/>
          <w:sz w:val="24"/>
          <w:szCs w:val="24"/>
        </w:rPr>
        <w:t>3.</w:t>
      </w:r>
      <w:r>
        <w:rPr>
          <w:rFonts w:hint="eastAsia" w:ascii="宋体" w:hAnsi="宋体" w:eastAsia="宋体" w:cs="Arial"/>
          <w:kern w:val="0"/>
          <w:sz w:val="24"/>
          <w:szCs w:val="24"/>
        </w:rPr>
        <w:t>5详细评审</w:t>
      </w:r>
    </w:p>
    <w:p>
      <w:pPr>
        <w:widowControl/>
        <w:shd w:val="clear" w:color="auto" w:fill="FFFFFF"/>
        <w:snapToGrid w:val="0"/>
        <w:spacing w:line="360" w:lineRule="auto"/>
        <w:ind w:firstLine="480" w:firstLineChars="200"/>
        <w:rPr>
          <w:rFonts w:ascii="宋体" w:hAnsi="Calibri" w:eastAsia="宋体" w:cs="Arial"/>
          <w:kern w:val="0"/>
          <w:sz w:val="24"/>
          <w:szCs w:val="24"/>
        </w:rPr>
      </w:pPr>
      <w:r>
        <w:rPr>
          <w:rFonts w:ascii="宋体" w:hAnsi="宋体" w:eastAsia="宋体" w:cs="Arial"/>
          <w:kern w:val="0"/>
          <w:sz w:val="24"/>
          <w:szCs w:val="24"/>
        </w:rPr>
        <w:t>3.</w:t>
      </w:r>
      <w:r>
        <w:rPr>
          <w:rFonts w:hint="eastAsia" w:ascii="宋体" w:hAnsi="宋体" w:eastAsia="宋体" w:cs="Arial"/>
          <w:kern w:val="0"/>
          <w:sz w:val="24"/>
          <w:szCs w:val="24"/>
        </w:rPr>
        <w:t>5</w:t>
      </w:r>
      <w:r>
        <w:rPr>
          <w:rFonts w:ascii="宋体" w:hAnsi="宋体" w:eastAsia="宋体" w:cs="Arial"/>
          <w:kern w:val="0"/>
          <w:sz w:val="24"/>
          <w:szCs w:val="24"/>
        </w:rPr>
        <w:t>.1</w:t>
      </w:r>
      <w:r>
        <w:rPr>
          <w:rFonts w:hint="eastAsia" w:ascii="宋体" w:hAnsi="宋体" w:eastAsia="宋体" w:cs="Arial"/>
          <w:kern w:val="0"/>
          <w:sz w:val="24"/>
          <w:szCs w:val="24"/>
        </w:rPr>
        <w:t>只有通过了资格审查、完备性及符合性审查且供应商不少于3个方可进入详细评审。</w:t>
      </w:r>
    </w:p>
    <w:p>
      <w:pPr>
        <w:widowControl/>
        <w:shd w:val="clear" w:color="auto" w:fill="FFFFFF"/>
        <w:snapToGrid w:val="0"/>
        <w:spacing w:line="360" w:lineRule="auto"/>
        <w:ind w:firstLine="480" w:firstLineChars="200"/>
        <w:rPr>
          <w:rFonts w:ascii="宋体" w:hAnsi="宋体" w:eastAsia="宋体" w:cs="Arial"/>
          <w:kern w:val="0"/>
          <w:sz w:val="24"/>
          <w:szCs w:val="24"/>
        </w:rPr>
      </w:pPr>
      <w:r>
        <w:rPr>
          <w:rFonts w:ascii="宋体" w:hAnsi="宋体" w:eastAsia="宋体" w:cs="Arial"/>
          <w:kern w:val="0"/>
          <w:sz w:val="24"/>
          <w:szCs w:val="24"/>
        </w:rPr>
        <w:t>3.</w:t>
      </w:r>
      <w:r>
        <w:rPr>
          <w:rFonts w:hint="eastAsia" w:ascii="宋体" w:hAnsi="宋体" w:eastAsia="宋体" w:cs="Arial"/>
          <w:kern w:val="0"/>
          <w:sz w:val="24"/>
          <w:szCs w:val="24"/>
        </w:rPr>
        <w:t>5</w:t>
      </w:r>
      <w:r>
        <w:rPr>
          <w:rFonts w:ascii="宋体" w:hAnsi="宋体" w:eastAsia="宋体" w:cs="Arial"/>
          <w:kern w:val="0"/>
          <w:sz w:val="24"/>
          <w:szCs w:val="24"/>
        </w:rPr>
        <w:t>.</w:t>
      </w:r>
      <w:r>
        <w:rPr>
          <w:rFonts w:hint="eastAsia" w:ascii="宋体" w:hAnsi="宋体" w:eastAsia="宋体" w:cs="Arial"/>
          <w:kern w:val="0"/>
          <w:sz w:val="24"/>
          <w:szCs w:val="24"/>
        </w:rPr>
        <w:t>2</w:t>
      </w:r>
      <w:r>
        <w:rPr>
          <w:rFonts w:ascii="宋体" w:hAnsi="宋体" w:eastAsia="宋体" w:cs="Arial"/>
          <w:kern w:val="0"/>
          <w:sz w:val="24"/>
          <w:szCs w:val="24"/>
        </w:rPr>
        <w:t xml:space="preserve"> </w:t>
      </w:r>
      <w:r>
        <w:rPr>
          <w:rFonts w:hint="eastAsia" w:ascii="宋体" w:hAnsi="宋体" w:eastAsia="宋体" w:cs="Arial"/>
          <w:kern w:val="0"/>
          <w:sz w:val="24"/>
          <w:szCs w:val="24"/>
        </w:rPr>
        <w:t>澄清、说明和补正</w:t>
      </w:r>
    </w:p>
    <w:p>
      <w:pPr>
        <w:widowControl/>
        <w:shd w:val="clear" w:color="auto" w:fill="FFFFFF"/>
        <w:snapToGrid w:val="0"/>
        <w:spacing w:line="360" w:lineRule="auto"/>
        <w:ind w:firstLine="480" w:firstLineChars="200"/>
        <w:rPr>
          <w:rFonts w:ascii="宋体" w:hAnsi="宋体" w:eastAsia="宋体" w:cs="Arial"/>
          <w:kern w:val="0"/>
          <w:sz w:val="24"/>
          <w:szCs w:val="24"/>
        </w:rPr>
      </w:pPr>
      <w:r>
        <w:rPr>
          <w:rFonts w:ascii="宋体" w:hAnsi="宋体" w:eastAsia="宋体" w:cs="Arial"/>
          <w:kern w:val="0"/>
          <w:sz w:val="24"/>
          <w:szCs w:val="24"/>
        </w:rPr>
        <w:t>3.</w:t>
      </w:r>
      <w:r>
        <w:rPr>
          <w:rFonts w:hint="eastAsia" w:ascii="宋体" w:hAnsi="宋体" w:eastAsia="宋体" w:cs="Arial"/>
          <w:kern w:val="0"/>
          <w:sz w:val="24"/>
          <w:szCs w:val="24"/>
        </w:rPr>
        <w:t>5</w:t>
      </w:r>
      <w:r>
        <w:rPr>
          <w:rFonts w:ascii="宋体" w:hAnsi="宋体" w:eastAsia="宋体" w:cs="Arial"/>
          <w:kern w:val="0"/>
          <w:sz w:val="24"/>
          <w:szCs w:val="24"/>
        </w:rPr>
        <w:t>.</w:t>
      </w:r>
      <w:r>
        <w:rPr>
          <w:rFonts w:hint="eastAsia" w:ascii="宋体" w:hAnsi="宋体" w:eastAsia="宋体" w:cs="Arial"/>
          <w:kern w:val="0"/>
          <w:sz w:val="24"/>
          <w:szCs w:val="24"/>
        </w:rPr>
        <w:t>2</w:t>
      </w:r>
      <w:r>
        <w:rPr>
          <w:rFonts w:ascii="宋体" w:hAnsi="宋体" w:eastAsia="宋体" w:cs="Arial"/>
          <w:kern w:val="0"/>
          <w:sz w:val="24"/>
          <w:szCs w:val="24"/>
        </w:rPr>
        <w:t>.</w:t>
      </w:r>
      <w:r>
        <w:rPr>
          <w:rFonts w:hint="eastAsia" w:ascii="宋体" w:hAnsi="宋体" w:eastAsia="宋体" w:cs="Arial"/>
          <w:kern w:val="0"/>
          <w:sz w:val="24"/>
          <w:szCs w:val="24"/>
        </w:rPr>
        <w:t>1在不改变供应商</w:t>
      </w:r>
      <w:r>
        <w:rPr>
          <w:rFonts w:hint="eastAsia" w:ascii="宋体" w:hAnsi="宋体" w:eastAsia="宋体" w:cs="Arial"/>
          <w:kern w:val="0"/>
          <w:sz w:val="24"/>
          <w:szCs w:val="24"/>
          <w:lang w:eastAsia="zh-CN"/>
        </w:rPr>
        <w:t>磋商响应文件</w:t>
      </w:r>
      <w:r>
        <w:rPr>
          <w:rFonts w:hint="eastAsia" w:ascii="宋体" w:hAnsi="宋体" w:eastAsia="宋体" w:cs="Arial"/>
          <w:kern w:val="0"/>
          <w:sz w:val="24"/>
          <w:szCs w:val="24"/>
        </w:rPr>
        <w:t>实质性内容的前提下，磋商小组应当对</w:t>
      </w:r>
      <w:r>
        <w:rPr>
          <w:rFonts w:hint="eastAsia" w:ascii="宋体" w:hAnsi="宋体" w:eastAsia="宋体" w:cs="Arial"/>
          <w:kern w:val="0"/>
          <w:sz w:val="24"/>
          <w:szCs w:val="24"/>
          <w:lang w:eastAsia="zh-CN"/>
        </w:rPr>
        <w:t>磋商响应文件</w:t>
      </w:r>
      <w:r>
        <w:rPr>
          <w:rFonts w:hint="eastAsia" w:ascii="宋体" w:hAnsi="宋体" w:eastAsia="宋体" w:cs="Arial"/>
          <w:kern w:val="0"/>
          <w:sz w:val="24"/>
          <w:szCs w:val="24"/>
        </w:rPr>
        <w:t>进行基础性数据分析和整理，从而发现并提取其中可能存在的对采购范围理解的偏差、技术响应偏离、投标价格的算术性错误、错漏项、投标价格构成不合理、不平衡报价等存在明显异常的问题。</w:t>
      </w:r>
    </w:p>
    <w:p>
      <w:pPr>
        <w:widowControl/>
        <w:shd w:val="clear" w:color="auto" w:fill="FFFFFF"/>
        <w:snapToGrid w:val="0"/>
        <w:spacing w:line="360" w:lineRule="auto"/>
        <w:ind w:firstLine="480" w:firstLineChars="200"/>
        <w:rPr>
          <w:rFonts w:ascii="宋体" w:hAnsi="Calibri" w:eastAsia="宋体" w:cs="Arial"/>
          <w:kern w:val="0"/>
          <w:sz w:val="24"/>
          <w:szCs w:val="24"/>
        </w:rPr>
      </w:pPr>
      <w:r>
        <w:rPr>
          <w:rFonts w:ascii="宋体" w:hAnsi="宋体" w:eastAsia="宋体" w:cs="Arial"/>
          <w:kern w:val="0"/>
          <w:sz w:val="24"/>
          <w:szCs w:val="24"/>
        </w:rPr>
        <w:t>3.</w:t>
      </w:r>
      <w:r>
        <w:rPr>
          <w:rFonts w:hint="eastAsia" w:ascii="宋体" w:hAnsi="宋体" w:eastAsia="宋体" w:cs="Arial"/>
          <w:kern w:val="0"/>
          <w:sz w:val="24"/>
          <w:szCs w:val="24"/>
        </w:rPr>
        <w:t>5</w:t>
      </w:r>
      <w:r>
        <w:rPr>
          <w:rFonts w:ascii="宋体" w:hAnsi="宋体" w:eastAsia="宋体" w:cs="Arial"/>
          <w:kern w:val="0"/>
          <w:sz w:val="24"/>
          <w:szCs w:val="24"/>
        </w:rPr>
        <w:t>.</w:t>
      </w:r>
      <w:r>
        <w:rPr>
          <w:rFonts w:hint="eastAsia" w:ascii="宋体" w:hAnsi="宋体" w:eastAsia="宋体" w:cs="Arial"/>
          <w:kern w:val="0"/>
          <w:sz w:val="24"/>
          <w:szCs w:val="24"/>
        </w:rPr>
        <w:t>2</w:t>
      </w:r>
      <w:r>
        <w:rPr>
          <w:rFonts w:ascii="宋体" w:hAnsi="宋体" w:eastAsia="宋体" w:cs="Arial"/>
          <w:kern w:val="0"/>
          <w:sz w:val="24"/>
          <w:szCs w:val="24"/>
        </w:rPr>
        <w:t>.</w:t>
      </w:r>
      <w:r>
        <w:rPr>
          <w:rFonts w:hint="eastAsia" w:ascii="宋体" w:hAnsi="宋体" w:eastAsia="宋体" w:cs="Arial"/>
          <w:kern w:val="0"/>
          <w:sz w:val="24"/>
          <w:szCs w:val="24"/>
        </w:rPr>
        <w:t>2</w:t>
      </w:r>
      <w:r>
        <w:rPr>
          <w:rFonts w:hint="eastAsia" w:ascii="宋体" w:hAnsi="Calibri" w:eastAsia="宋体" w:cs="Arial"/>
          <w:kern w:val="0"/>
          <w:sz w:val="24"/>
          <w:szCs w:val="24"/>
        </w:rPr>
        <w:t>磋商委员会认为供应商的报价明显低于其它通过符合性审查供应商的报价，有可能影响产品质量或者不能诚信履约的，应当要求其在磋商现场合理的时间内提供书面说明，必要时提交相关证明材料；供应商不能证明其报价合理性的，磋商委员会应当将其作为无效投标处理。</w:t>
      </w:r>
    </w:p>
    <w:p>
      <w:pPr>
        <w:widowControl/>
        <w:shd w:val="clear" w:color="auto" w:fill="FFFFFF"/>
        <w:snapToGrid w:val="0"/>
        <w:spacing w:line="360" w:lineRule="auto"/>
        <w:ind w:firstLine="480" w:firstLineChars="200"/>
        <w:rPr>
          <w:rFonts w:ascii="宋体" w:hAnsi="宋体" w:eastAsia="宋体" w:cs="Arial"/>
          <w:kern w:val="0"/>
          <w:sz w:val="24"/>
          <w:szCs w:val="24"/>
        </w:rPr>
      </w:pPr>
      <w:r>
        <w:rPr>
          <w:rFonts w:ascii="宋体" w:hAnsi="宋体" w:eastAsia="宋体" w:cs="Arial"/>
          <w:kern w:val="0"/>
          <w:sz w:val="24"/>
          <w:szCs w:val="24"/>
        </w:rPr>
        <w:t>3.</w:t>
      </w:r>
      <w:r>
        <w:rPr>
          <w:rFonts w:hint="eastAsia" w:ascii="宋体" w:hAnsi="宋体" w:eastAsia="宋体" w:cs="Arial"/>
          <w:kern w:val="0"/>
          <w:sz w:val="24"/>
          <w:szCs w:val="24"/>
        </w:rPr>
        <w:t>5</w:t>
      </w:r>
      <w:r>
        <w:rPr>
          <w:rFonts w:ascii="宋体" w:hAnsi="宋体" w:eastAsia="宋体" w:cs="Arial"/>
          <w:kern w:val="0"/>
          <w:sz w:val="24"/>
          <w:szCs w:val="24"/>
        </w:rPr>
        <w:t>.</w:t>
      </w:r>
      <w:r>
        <w:rPr>
          <w:rFonts w:hint="eastAsia" w:ascii="宋体" w:hAnsi="宋体" w:eastAsia="宋体" w:cs="Arial"/>
          <w:kern w:val="0"/>
          <w:sz w:val="24"/>
          <w:szCs w:val="24"/>
        </w:rPr>
        <w:t>2</w:t>
      </w:r>
      <w:r>
        <w:rPr>
          <w:rFonts w:ascii="宋体" w:hAnsi="宋体" w:eastAsia="宋体" w:cs="Arial"/>
          <w:kern w:val="0"/>
          <w:sz w:val="24"/>
          <w:szCs w:val="24"/>
        </w:rPr>
        <w:t>.</w:t>
      </w:r>
      <w:r>
        <w:rPr>
          <w:rFonts w:hint="eastAsia" w:ascii="宋体" w:hAnsi="宋体" w:eastAsia="宋体" w:cs="Arial"/>
          <w:kern w:val="0"/>
          <w:sz w:val="24"/>
          <w:szCs w:val="24"/>
        </w:rPr>
        <w:t>3澄清、说明和补正内容不得改变</w:t>
      </w:r>
      <w:r>
        <w:rPr>
          <w:rFonts w:hint="eastAsia" w:ascii="宋体" w:hAnsi="宋体" w:eastAsia="宋体" w:cs="Arial"/>
          <w:kern w:val="0"/>
          <w:sz w:val="24"/>
          <w:szCs w:val="24"/>
          <w:lang w:eastAsia="zh-CN"/>
        </w:rPr>
        <w:t>磋商响应文件</w:t>
      </w:r>
      <w:r>
        <w:rPr>
          <w:rFonts w:hint="eastAsia" w:ascii="宋体" w:hAnsi="宋体" w:eastAsia="宋体" w:cs="Arial"/>
          <w:kern w:val="0"/>
          <w:sz w:val="24"/>
          <w:szCs w:val="24"/>
        </w:rPr>
        <w:t>的实质性内容（算术性错误修正的除外）。供应商的书面澄清、说明和补正属于</w:t>
      </w:r>
      <w:r>
        <w:rPr>
          <w:rFonts w:hint="eastAsia" w:ascii="宋体" w:hAnsi="宋体" w:eastAsia="宋体" w:cs="Arial"/>
          <w:kern w:val="0"/>
          <w:sz w:val="24"/>
          <w:szCs w:val="24"/>
          <w:lang w:eastAsia="zh-CN"/>
        </w:rPr>
        <w:t>磋商响应文件</w:t>
      </w:r>
      <w:r>
        <w:rPr>
          <w:rFonts w:hint="eastAsia" w:ascii="宋体" w:hAnsi="宋体" w:eastAsia="宋体" w:cs="Arial"/>
          <w:kern w:val="0"/>
          <w:sz w:val="24"/>
          <w:szCs w:val="24"/>
        </w:rPr>
        <w:t>的组成部分。</w:t>
      </w:r>
    </w:p>
    <w:p>
      <w:pPr>
        <w:widowControl/>
        <w:shd w:val="clear" w:color="auto" w:fill="FFFFFF"/>
        <w:snapToGrid w:val="0"/>
        <w:spacing w:line="360" w:lineRule="auto"/>
        <w:ind w:firstLine="480" w:firstLineChars="200"/>
        <w:rPr>
          <w:rFonts w:ascii="宋体" w:hAnsi="宋体" w:eastAsia="宋体" w:cs="Arial"/>
          <w:kern w:val="0"/>
          <w:sz w:val="24"/>
          <w:szCs w:val="24"/>
        </w:rPr>
      </w:pPr>
      <w:r>
        <w:rPr>
          <w:rFonts w:ascii="宋体" w:hAnsi="宋体" w:eastAsia="宋体" w:cs="Arial"/>
          <w:kern w:val="0"/>
          <w:sz w:val="24"/>
          <w:szCs w:val="24"/>
        </w:rPr>
        <w:t>3.</w:t>
      </w:r>
      <w:r>
        <w:rPr>
          <w:rFonts w:hint="eastAsia" w:ascii="宋体" w:hAnsi="宋体" w:eastAsia="宋体" w:cs="Arial"/>
          <w:kern w:val="0"/>
          <w:sz w:val="24"/>
          <w:szCs w:val="24"/>
        </w:rPr>
        <w:t>5</w:t>
      </w:r>
      <w:r>
        <w:rPr>
          <w:rFonts w:ascii="宋体" w:hAnsi="宋体" w:eastAsia="宋体" w:cs="Arial"/>
          <w:kern w:val="0"/>
          <w:sz w:val="24"/>
          <w:szCs w:val="24"/>
        </w:rPr>
        <w:t>.</w:t>
      </w:r>
      <w:r>
        <w:rPr>
          <w:rFonts w:hint="eastAsia" w:ascii="宋体" w:hAnsi="宋体" w:eastAsia="宋体" w:cs="Arial"/>
          <w:kern w:val="0"/>
          <w:sz w:val="24"/>
          <w:szCs w:val="24"/>
        </w:rPr>
        <w:t>2</w:t>
      </w:r>
      <w:r>
        <w:rPr>
          <w:rFonts w:ascii="宋体" w:hAnsi="宋体" w:eastAsia="宋体" w:cs="Arial"/>
          <w:kern w:val="0"/>
          <w:sz w:val="24"/>
          <w:szCs w:val="24"/>
        </w:rPr>
        <w:t>.</w:t>
      </w:r>
      <w:r>
        <w:rPr>
          <w:rFonts w:hint="eastAsia" w:ascii="宋体" w:hAnsi="宋体" w:eastAsia="宋体" w:cs="Arial"/>
          <w:kern w:val="0"/>
          <w:sz w:val="24"/>
          <w:szCs w:val="24"/>
        </w:rPr>
        <w:t>4磋商小组针对需要供应商对所提交</w:t>
      </w:r>
      <w:r>
        <w:rPr>
          <w:rFonts w:hint="eastAsia" w:ascii="宋体" w:hAnsi="宋体" w:eastAsia="宋体" w:cs="Arial"/>
          <w:kern w:val="0"/>
          <w:sz w:val="24"/>
          <w:szCs w:val="24"/>
          <w:lang w:eastAsia="zh-CN"/>
        </w:rPr>
        <w:t>磋商响应文件</w:t>
      </w:r>
      <w:r>
        <w:rPr>
          <w:rFonts w:hint="eastAsia" w:ascii="宋体" w:hAnsi="宋体" w:eastAsia="宋体" w:cs="Arial"/>
          <w:kern w:val="0"/>
          <w:sz w:val="24"/>
          <w:szCs w:val="24"/>
        </w:rPr>
        <w:t>中不明确的内容进行书面澄清、说明或补正。澄清通知不得向供应商提出带有暗示性或诱导性问题，或向其明确</w:t>
      </w:r>
      <w:r>
        <w:rPr>
          <w:rFonts w:hint="eastAsia" w:ascii="宋体" w:hAnsi="宋体" w:eastAsia="宋体" w:cs="Arial"/>
          <w:kern w:val="0"/>
          <w:sz w:val="24"/>
          <w:szCs w:val="24"/>
          <w:lang w:eastAsia="zh-CN"/>
        </w:rPr>
        <w:t>磋商响应文件</w:t>
      </w:r>
      <w:r>
        <w:rPr>
          <w:rFonts w:hint="eastAsia" w:ascii="宋体" w:hAnsi="宋体" w:eastAsia="宋体" w:cs="Arial"/>
          <w:kern w:val="0"/>
          <w:sz w:val="24"/>
          <w:szCs w:val="24"/>
        </w:rPr>
        <w:t>中的遗漏和错误。供应商接到磋商小组发出的书面澄清通知后，应按磋商小组的要求提供书面澄清资料，并在规定的时间递交到指定地点。磋商小组不接受供应商主动提出的澄清、说明或补正。</w:t>
      </w:r>
    </w:p>
    <w:p>
      <w:pPr>
        <w:widowControl/>
        <w:shd w:val="clear" w:color="auto" w:fill="FFFFFF"/>
        <w:snapToGrid w:val="0"/>
        <w:spacing w:line="360" w:lineRule="auto"/>
        <w:ind w:firstLine="480" w:firstLineChars="200"/>
        <w:rPr>
          <w:rFonts w:ascii="宋体" w:hAnsi="Calibri" w:eastAsia="宋体" w:cs="Arial"/>
          <w:kern w:val="0"/>
          <w:sz w:val="24"/>
          <w:szCs w:val="24"/>
        </w:rPr>
      </w:pPr>
      <w:r>
        <w:rPr>
          <w:rFonts w:ascii="宋体" w:hAnsi="宋体" w:eastAsia="宋体" w:cs="Arial"/>
          <w:kern w:val="0"/>
          <w:sz w:val="24"/>
          <w:szCs w:val="24"/>
        </w:rPr>
        <w:t>3.</w:t>
      </w:r>
      <w:r>
        <w:rPr>
          <w:rFonts w:hint="eastAsia" w:ascii="宋体" w:hAnsi="宋体" w:eastAsia="宋体" w:cs="Arial"/>
          <w:kern w:val="0"/>
          <w:sz w:val="24"/>
          <w:szCs w:val="24"/>
        </w:rPr>
        <w:t>5</w:t>
      </w:r>
      <w:r>
        <w:rPr>
          <w:rFonts w:ascii="宋体" w:hAnsi="宋体" w:eastAsia="宋体" w:cs="Arial"/>
          <w:kern w:val="0"/>
          <w:sz w:val="24"/>
          <w:szCs w:val="24"/>
        </w:rPr>
        <w:t>.</w:t>
      </w:r>
      <w:r>
        <w:rPr>
          <w:rFonts w:hint="eastAsia" w:ascii="宋体" w:hAnsi="宋体" w:eastAsia="宋体" w:cs="Arial"/>
          <w:kern w:val="0"/>
          <w:sz w:val="24"/>
          <w:szCs w:val="24"/>
        </w:rPr>
        <w:t>2</w:t>
      </w:r>
      <w:r>
        <w:rPr>
          <w:rFonts w:ascii="宋体" w:hAnsi="宋体" w:eastAsia="宋体" w:cs="Arial"/>
          <w:kern w:val="0"/>
          <w:sz w:val="24"/>
          <w:szCs w:val="24"/>
        </w:rPr>
        <w:t>.</w:t>
      </w:r>
      <w:r>
        <w:rPr>
          <w:rFonts w:hint="eastAsia" w:ascii="宋体" w:hAnsi="宋体" w:eastAsia="宋体" w:cs="Arial"/>
          <w:kern w:val="0"/>
          <w:sz w:val="24"/>
          <w:szCs w:val="24"/>
        </w:rPr>
        <w:t>5磋商小组对供应商提交的澄清、说明或补正有疑问的，可以要求供应商进一步澄清、说明或补正，直至满足磋商小组的要求。</w:t>
      </w:r>
    </w:p>
    <w:p>
      <w:pPr>
        <w:widowControl/>
        <w:shd w:val="clear" w:color="auto" w:fill="FFFFFF"/>
        <w:snapToGrid w:val="0"/>
        <w:spacing w:line="360" w:lineRule="auto"/>
        <w:ind w:firstLine="480" w:firstLineChars="200"/>
        <w:rPr>
          <w:rFonts w:ascii="宋体" w:hAnsi="Calibri" w:eastAsia="宋体" w:cs="Arial"/>
          <w:kern w:val="0"/>
          <w:sz w:val="24"/>
          <w:szCs w:val="24"/>
        </w:rPr>
      </w:pPr>
      <w:r>
        <w:rPr>
          <w:rFonts w:ascii="宋体" w:hAnsi="宋体" w:eastAsia="宋体" w:cs="Arial"/>
          <w:kern w:val="0"/>
          <w:sz w:val="24"/>
          <w:szCs w:val="24"/>
        </w:rPr>
        <w:t>3.</w:t>
      </w:r>
      <w:r>
        <w:rPr>
          <w:rFonts w:hint="eastAsia" w:ascii="宋体" w:hAnsi="宋体" w:eastAsia="宋体" w:cs="Arial"/>
          <w:kern w:val="0"/>
          <w:sz w:val="24"/>
          <w:szCs w:val="24"/>
        </w:rPr>
        <w:t>5</w:t>
      </w:r>
      <w:r>
        <w:rPr>
          <w:rFonts w:ascii="宋体" w:hAnsi="宋体" w:eastAsia="宋体" w:cs="Arial"/>
          <w:kern w:val="0"/>
          <w:sz w:val="24"/>
          <w:szCs w:val="24"/>
        </w:rPr>
        <w:t>.</w:t>
      </w:r>
      <w:r>
        <w:rPr>
          <w:rFonts w:hint="eastAsia" w:ascii="宋体" w:hAnsi="宋体" w:eastAsia="宋体" w:cs="Arial"/>
          <w:kern w:val="0"/>
          <w:sz w:val="24"/>
          <w:szCs w:val="24"/>
        </w:rPr>
        <w:t>3评委评分：评委按照《详细磋商标准》评分，供应商详细磋商得分等于全部评委评分的算术平均值。</w:t>
      </w:r>
    </w:p>
    <w:p>
      <w:pPr>
        <w:widowControl/>
        <w:shd w:val="clear" w:color="auto" w:fill="FFFFFF"/>
        <w:snapToGrid w:val="0"/>
        <w:spacing w:line="360" w:lineRule="auto"/>
        <w:ind w:firstLine="480" w:firstLineChars="200"/>
        <w:rPr>
          <w:rFonts w:ascii="宋体" w:hAnsi="Calibri" w:eastAsia="宋体" w:cs="Arial"/>
          <w:kern w:val="0"/>
          <w:sz w:val="24"/>
          <w:szCs w:val="24"/>
        </w:rPr>
      </w:pPr>
      <w:r>
        <w:rPr>
          <w:rFonts w:ascii="宋体" w:hAnsi="宋体" w:eastAsia="宋体" w:cs="Arial"/>
          <w:kern w:val="0"/>
          <w:sz w:val="24"/>
          <w:szCs w:val="24"/>
        </w:rPr>
        <w:t>3.</w:t>
      </w:r>
      <w:r>
        <w:rPr>
          <w:rFonts w:hint="eastAsia" w:ascii="宋体" w:hAnsi="宋体" w:eastAsia="宋体" w:cs="Arial"/>
          <w:kern w:val="0"/>
          <w:sz w:val="24"/>
          <w:szCs w:val="24"/>
        </w:rPr>
        <w:t>5</w:t>
      </w:r>
      <w:r>
        <w:rPr>
          <w:rFonts w:ascii="宋体" w:hAnsi="宋体" w:eastAsia="宋体" w:cs="Arial"/>
          <w:kern w:val="0"/>
          <w:sz w:val="24"/>
          <w:szCs w:val="24"/>
        </w:rPr>
        <w:t>.</w:t>
      </w:r>
      <w:r>
        <w:rPr>
          <w:rFonts w:hint="eastAsia" w:ascii="宋体" w:hAnsi="宋体" w:eastAsia="宋体" w:cs="Arial"/>
          <w:kern w:val="0"/>
          <w:sz w:val="24"/>
          <w:szCs w:val="24"/>
        </w:rPr>
        <w:t>4</w:t>
      </w:r>
      <w:r>
        <w:rPr>
          <w:rFonts w:ascii="宋体" w:hAnsi="宋体" w:eastAsia="宋体" w:cs="Arial"/>
          <w:kern w:val="0"/>
          <w:sz w:val="24"/>
          <w:szCs w:val="24"/>
        </w:rPr>
        <w:t xml:space="preserve"> </w:t>
      </w:r>
      <w:r>
        <w:rPr>
          <w:rFonts w:hint="eastAsia" w:ascii="宋体" w:hAnsi="宋体" w:eastAsia="宋体" w:cs="Arial"/>
          <w:kern w:val="0"/>
          <w:sz w:val="24"/>
          <w:szCs w:val="24"/>
        </w:rPr>
        <w:t>算术错误修正：投标价格有算术错误的，磋商小组按以下原则对投标价格进行修正，修正的价格经供应商书面确认后具有约束力。供应商不接受修正价格的，其投标将被否决。</w:t>
      </w:r>
    </w:p>
    <w:p>
      <w:pPr>
        <w:widowControl/>
        <w:shd w:val="clear" w:color="auto" w:fill="FFFFFF"/>
        <w:snapToGrid w:val="0"/>
        <w:spacing w:line="360" w:lineRule="auto"/>
        <w:ind w:firstLine="480" w:firstLineChars="200"/>
        <w:rPr>
          <w:rFonts w:ascii="宋体" w:hAnsi="Calibri" w:eastAsia="宋体" w:cs="Arial"/>
          <w:kern w:val="0"/>
          <w:sz w:val="24"/>
          <w:szCs w:val="24"/>
        </w:rPr>
      </w:pPr>
      <w:r>
        <w:rPr>
          <w:rFonts w:hint="eastAsia" w:ascii="宋体" w:hAnsi="宋体" w:eastAsia="宋体" w:cs="Arial"/>
          <w:kern w:val="0"/>
          <w:sz w:val="24"/>
          <w:szCs w:val="24"/>
        </w:rPr>
        <w:t>（</w:t>
      </w:r>
      <w:r>
        <w:rPr>
          <w:rFonts w:ascii="宋体" w:hAnsi="宋体" w:eastAsia="宋体" w:cs="Arial"/>
          <w:kern w:val="0"/>
          <w:sz w:val="24"/>
          <w:szCs w:val="24"/>
        </w:rPr>
        <w:t>1</w:t>
      </w:r>
      <w:r>
        <w:rPr>
          <w:rFonts w:hint="eastAsia" w:ascii="宋体" w:hAnsi="宋体" w:eastAsia="宋体" w:cs="Arial"/>
          <w:kern w:val="0"/>
          <w:sz w:val="24"/>
          <w:szCs w:val="24"/>
        </w:rPr>
        <w:t>）</w:t>
      </w:r>
      <w:r>
        <w:rPr>
          <w:rFonts w:hint="eastAsia" w:ascii="宋体" w:hAnsi="宋体" w:eastAsia="宋体" w:cs="Arial"/>
          <w:kern w:val="0"/>
          <w:sz w:val="24"/>
          <w:szCs w:val="24"/>
          <w:lang w:eastAsia="zh-CN"/>
        </w:rPr>
        <w:t>磋商响应文件</w:t>
      </w:r>
      <w:r>
        <w:rPr>
          <w:rFonts w:hint="eastAsia" w:ascii="宋体" w:hAnsi="宋体" w:eastAsia="宋体" w:cs="Arial"/>
          <w:kern w:val="0"/>
          <w:sz w:val="24"/>
          <w:szCs w:val="24"/>
        </w:rPr>
        <w:t>中的大写金额与小写金额不一致的，以大写金额为准；</w:t>
      </w:r>
    </w:p>
    <w:p>
      <w:pPr>
        <w:widowControl/>
        <w:shd w:val="clear" w:color="auto" w:fill="FFFFFF"/>
        <w:snapToGrid w:val="0"/>
        <w:spacing w:line="360" w:lineRule="auto"/>
        <w:ind w:firstLine="480" w:firstLineChars="200"/>
        <w:rPr>
          <w:rFonts w:ascii="宋体" w:hAnsi="Calibri" w:eastAsia="宋体" w:cs="Arial"/>
          <w:kern w:val="0"/>
          <w:sz w:val="24"/>
          <w:szCs w:val="24"/>
        </w:rPr>
      </w:pPr>
      <w:r>
        <w:rPr>
          <w:rFonts w:hint="eastAsia" w:ascii="宋体" w:hAnsi="宋体" w:eastAsia="宋体" w:cs="Arial"/>
          <w:kern w:val="0"/>
          <w:sz w:val="24"/>
          <w:szCs w:val="24"/>
        </w:rPr>
        <w:t>（</w:t>
      </w:r>
      <w:r>
        <w:rPr>
          <w:rFonts w:ascii="宋体" w:hAnsi="宋体" w:eastAsia="宋体" w:cs="Arial"/>
          <w:kern w:val="0"/>
          <w:sz w:val="24"/>
          <w:szCs w:val="24"/>
        </w:rPr>
        <w:t>2</w:t>
      </w:r>
      <w:r>
        <w:rPr>
          <w:rFonts w:hint="eastAsia" w:ascii="宋体" w:hAnsi="宋体" w:eastAsia="宋体" w:cs="Arial"/>
          <w:kern w:val="0"/>
          <w:sz w:val="24"/>
          <w:szCs w:val="24"/>
        </w:rPr>
        <w:t>）总价金额与依据单价计算出的结果不一致的，以单价金额为准修正总价，但单价金额小数点有明显错误的除外。</w:t>
      </w:r>
    </w:p>
    <w:p>
      <w:pPr>
        <w:widowControl/>
        <w:shd w:val="clear" w:color="auto" w:fill="FFFFFF"/>
        <w:snapToGrid w:val="0"/>
        <w:spacing w:line="360" w:lineRule="auto"/>
        <w:ind w:firstLine="480" w:firstLineChars="200"/>
        <w:rPr>
          <w:rFonts w:ascii="宋体" w:hAnsi="Calibri" w:eastAsia="宋体" w:cs="Arial"/>
          <w:kern w:val="0"/>
          <w:sz w:val="24"/>
          <w:szCs w:val="24"/>
        </w:rPr>
      </w:pPr>
      <w:r>
        <w:rPr>
          <w:rFonts w:ascii="宋体" w:hAnsi="宋体" w:eastAsia="宋体" w:cs="Arial"/>
          <w:kern w:val="0"/>
          <w:sz w:val="24"/>
          <w:szCs w:val="24"/>
        </w:rPr>
        <w:t>3.</w:t>
      </w:r>
      <w:r>
        <w:rPr>
          <w:rFonts w:hint="eastAsia" w:ascii="宋体" w:hAnsi="宋体" w:eastAsia="宋体" w:cs="Arial"/>
          <w:kern w:val="0"/>
          <w:sz w:val="24"/>
          <w:szCs w:val="24"/>
        </w:rPr>
        <w:t>5</w:t>
      </w:r>
      <w:r>
        <w:rPr>
          <w:rFonts w:ascii="宋体" w:hAnsi="宋体" w:eastAsia="宋体" w:cs="Arial"/>
          <w:kern w:val="0"/>
          <w:sz w:val="24"/>
          <w:szCs w:val="24"/>
        </w:rPr>
        <w:t>.</w:t>
      </w:r>
      <w:r>
        <w:rPr>
          <w:rFonts w:hint="eastAsia" w:ascii="宋体" w:hAnsi="宋体" w:eastAsia="宋体" w:cs="Arial"/>
          <w:kern w:val="0"/>
          <w:sz w:val="24"/>
          <w:szCs w:val="24"/>
        </w:rPr>
        <w:t>5</w:t>
      </w:r>
      <w:r>
        <w:rPr>
          <w:rFonts w:ascii="宋体" w:hAnsi="宋体" w:eastAsia="宋体" w:cs="Arial"/>
          <w:kern w:val="0"/>
          <w:sz w:val="24"/>
          <w:szCs w:val="24"/>
        </w:rPr>
        <w:t xml:space="preserve"> </w:t>
      </w:r>
      <w:r>
        <w:rPr>
          <w:rFonts w:hint="eastAsia" w:ascii="宋体" w:hAnsi="宋体" w:eastAsia="宋体" w:cs="Arial"/>
          <w:kern w:val="0"/>
          <w:sz w:val="24"/>
          <w:szCs w:val="24"/>
        </w:rPr>
        <w:t>磋商小组发现供应商的报价明显低于其他供应商投标价格，使得其投标价格可能低于其成本的，应当要求该供应商作出书面说明并提供相应的证明材料。供应商不能合理说明或者不能提供相应证明材料的，由磋商小组认定该供应商以低于成本报价竞标，否决其投标。</w:t>
      </w:r>
    </w:p>
    <w:p>
      <w:pPr>
        <w:widowControl/>
        <w:shd w:val="clear" w:color="auto" w:fill="FFFFFF"/>
        <w:snapToGrid w:val="0"/>
        <w:spacing w:line="360" w:lineRule="auto"/>
        <w:ind w:firstLine="480" w:firstLineChars="200"/>
        <w:rPr>
          <w:rFonts w:ascii="宋体" w:hAnsi="宋体" w:eastAsia="宋体" w:cs="Arial"/>
          <w:kern w:val="0"/>
          <w:sz w:val="24"/>
          <w:szCs w:val="24"/>
        </w:rPr>
      </w:pPr>
      <w:r>
        <w:rPr>
          <w:rFonts w:ascii="宋体" w:hAnsi="宋体" w:eastAsia="宋体" w:cs="Arial"/>
          <w:kern w:val="0"/>
          <w:sz w:val="24"/>
          <w:szCs w:val="24"/>
        </w:rPr>
        <w:t>3.</w:t>
      </w:r>
      <w:r>
        <w:rPr>
          <w:rFonts w:hint="eastAsia" w:ascii="宋体" w:hAnsi="宋体" w:eastAsia="宋体" w:cs="Arial"/>
          <w:kern w:val="0"/>
          <w:sz w:val="24"/>
          <w:szCs w:val="24"/>
        </w:rPr>
        <w:t>5</w:t>
      </w:r>
      <w:r>
        <w:rPr>
          <w:rFonts w:ascii="宋体" w:hAnsi="宋体" w:eastAsia="宋体" w:cs="Arial"/>
          <w:kern w:val="0"/>
          <w:sz w:val="24"/>
          <w:szCs w:val="24"/>
        </w:rPr>
        <w:t>.</w:t>
      </w:r>
      <w:r>
        <w:rPr>
          <w:rFonts w:hint="eastAsia" w:ascii="宋体" w:hAnsi="宋体" w:eastAsia="宋体" w:cs="Arial"/>
          <w:kern w:val="0"/>
          <w:sz w:val="24"/>
          <w:szCs w:val="24"/>
        </w:rPr>
        <w:t>6投标报价评分：对投标报价进行投标报价得分计算，计算方法详见磋商办法前附表。</w:t>
      </w:r>
    </w:p>
    <w:p>
      <w:pPr>
        <w:widowControl/>
        <w:shd w:val="clear" w:color="auto" w:fill="FFFFFF"/>
        <w:snapToGrid w:val="0"/>
        <w:spacing w:line="360" w:lineRule="auto"/>
        <w:ind w:firstLine="480" w:firstLineChars="200"/>
        <w:rPr>
          <w:rFonts w:ascii="宋体" w:hAnsi="Calibri" w:eastAsia="宋体" w:cs="Arial"/>
          <w:kern w:val="0"/>
          <w:sz w:val="24"/>
          <w:szCs w:val="24"/>
        </w:rPr>
      </w:pPr>
      <w:r>
        <w:rPr>
          <w:rFonts w:ascii="宋体" w:hAnsi="宋体" w:eastAsia="宋体" w:cs="Arial"/>
          <w:kern w:val="0"/>
          <w:sz w:val="24"/>
          <w:szCs w:val="24"/>
        </w:rPr>
        <w:t>3.</w:t>
      </w:r>
      <w:r>
        <w:rPr>
          <w:rFonts w:hint="eastAsia" w:ascii="宋体" w:hAnsi="宋体" w:eastAsia="宋体" w:cs="Arial"/>
          <w:kern w:val="0"/>
          <w:sz w:val="24"/>
          <w:szCs w:val="24"/>
        </w:rPr>
        <w:t>5</w:t>
      </w:r>
      <w:r>
        <w:rPr>
          <w:rFonts w:ascii="宋体" w:hAnsi="宋体" w:eastAsia="宋体" w:cs="Arial"/>
          <w:kern w:val="0"/>
          <w:sz w:val="24"/>
          <w:szCs w:val="24"/>
        </w:rPr>
        <w:t>.</w:t>
      </w:r>
      <w:r>
        <w:rPr>
          <w:rFonts w:hint="eastAsia" w:ascii="宋体" w:hAnsi="宋体" w:eastAsia="宋体" w:cs="Arial"/>
          <w:kern w:val="0"/>
          <w:sz w:val="24"/>
          <w:szCs w:val="24"/>
        </w:rPr>
        <w:t>7</w:t>
      </w:r>
      <w:r>
        <w:rPr>
          <w:rFonts w:ascii="宋体" w:hAnsi="宋体" w:eastAsia="宋体" w:cs="Arial"/>
          <w:kern w:val="0"/>
          <w:sz w:val="24"/>
          <w:szCs w:val="24"/>
        </w:rPr>
        <w:t xml:space="preserve"> </w:t>
      </w:r>
      <w:r>
        <w:rPr>
          <w:rFonts w:hint="eastAsia" w:ascii="宋体" w:hAnsi="宋体" w:eastAsia="宋体" w:cs="Arial"/>
          <w:kern w:val="0"/>
          <w:sz w:val="24"/>
          <w:szCs w:val="24"/>
        </w:rPr>
        <w:t>汇总评分结果，评分分值计算保留小数点后两位，小数点后第三位“四舍五入”。</w:t>
      </w:r>
    </w:p>
    <w:p>
      <w:pPr>
        <w:widowControl/>
        <w:shd w:val="clear" w:color="auto" w:fill="FFFFFF"/>
        <w:snapToGrid w:val="0"/>
        <w:spacing w:line="360" w:lineRule="auto"/>
        <w:ind w:firstLine="480" w:firstLineChars="200"/>
        <w:rPr>
          <w:rFonts w:ascii="宋体" w:hAnsi="宋体" w:eastAsia="宋体" w:cs="Arial"/>
          <w:kern w:val="0"/>
          <w:sz w:val="24"/>
          <w:szCs w:val="24"/>
        </w:rPr>
      </w:pPr>
      <w:r>
        <w:rPr>
          <w:rFonts w:ascii="宋体" w:hAnsi="宋体" w:eastAsia="宋体" w:cs="Arial"/>
          <w:kern w:val="0"/>
          <w:sz w:val="24"/>
          <w:szCs w:val="24"/>
        </w:rPr>
        <w:t>3.</w:t>
      </w:r>
      <w:r>
        <w:rPr>
          <w:rFonts w:hint="eastAsia" w:ascii="宋体" w:hAnsi="宋体" w:eastAsia="宋体" w:cs="Arial"/>
          <w:kern w:val="0"/>
          <w:sz w:val="24"/>
          <w:szCs w:val="24"/>
        </w:rPr>
        <w:t>5</w:t>
      </w:r>
      <w:r>
        <w:rPr>
          <w:rFonts w:ascii="宋体" w:hAnsi="宋体" w:eastAsia="宋体" w:cs="Arial"/>
          <w:kern w:val="0"/>
          <w:sz w:val="24"/>
          <w:szCs w:val="24"/>
        </w:rPr>
        <w:t>.</w:t>
      </w:r>
      <w:r>
        <w:rPr>
          <w:rFonts w:hint="eastAsia" w:ascii="宋体" w:hAnsi="宋体" w:eastAsia="宋体" w:cs="Arial"/>
          <w:kern w:val="0"/>
          <w:sz w:val="24"/>
          <w:szCs w:val="24"/>
        </w:rPr>
        <w:t>8</w:t>
      </w:r>
      <w:r>
        <w:rPr>
          <w:rFonts w:ascii="宋体" w:hAnsi="宋体" w:eastAsia="宋体" w:cs="Arial"/>
          <w:kern w:val="0"/>
          <w:sz w:val="24"/>
          <w:szCs w:val="24"/>
        </w:rPr>
        <w:t xml:space="preserve"> </w:t>
      </w:r>
      <w:r>
        <w:rPr>
          <w:rFonts w:hint="eastAsia" w:ascii="宋体" w:hAnsi="宋体" w:eastAsia="宋体" w:cs="Arial"/>
          <w:kern w:val="0"/>
          <w:sz w:val="24"/>
          <w:szCs w:val="24"/>
        </w:rPr>
        <w:t>详细评审工作全部结束后，供应商总得分排序按照以下原则进行。</w:t>
      </w:r>
    </w:p>
    <w:p>
      <w:pPr>
        <w:widowControl/>
        <w:shd w:val="clear" w:color="auto" w:fill="FFFFFF"/>
        <w:snapToGrid w:val="0"/>
        <w:spacing w:line="360" w:lineRule="auto"/>
        <w:ind w:firstLine="480" w:firstLineChars="200"/>
        <w:rPr>
          <w:rFonts w:ascii="宋体" w:hAnsi="宋体" w:eastAsia="宋体" w:cs="Arial"/>
          <w:kern w:val="0"/>
          <w:sz w:val="24"/>
          <w:szCs w:val="24"/>
        </w:rPr>
      </w:pPr>
      <w:r>
        <w:rPr>
          <w:rFonts w:ascii="宋体" w:hAnsi="宋体" w:eastAsia="宋体" w:cs="Arial"/>
          <w:kern w:val="0"/>
          <w:sz w:val="24"/>
          <w:szCs w:val="24"/>
        </w:rPr>
        <w:t>3.</w:t>
      </w:r>
      <w:r>
        <w:rPr>
          <w:rFonts w:hint="eastAsia" w:ascii="宋体" w:hAnsi="宋体" w:eastAsia="宋体" w:cs="Arial"/>
          <w:kern w:val="0"/>
          <w:sz w:val="24"/>
          <w:szCs w:val="24"/>
        </w:rPr>
        <w:t>5</w:t>
      </w:r>
      <w:r>
        <w:rPr>
          <w:rFonts w:ascii="宋体" w:hAnsi="宋体" w:eastAsia="宋体" w:cs="Arial"/>
          <w:kern w:val="0"/>
          <w:sz w:val="24"/>
          <w:szCs w:val="24"/>
        </w:rPr>
        <w:t>.</w:t>
      </w:r>
      <w:r>
        <w:rPr>
          <w:rFonts w:hint="eastAsia" w:ascii="宋体" w:hAnsi="宋体" w:eastAsia="宋体" w:cs="Arial"/>
          <w:kern w:val="0"/>
          <w:sz w:val="24"/>
          <w:szCs w:val="24"/>
        </w:rPr>
        <w:t>8.1按照总得分由高到低顺序对供应商进行排序；</w:t>
      </w:r>
    </w:p>
    <w:p>
      <w:pPr>
        <w:widowControl/>
        <w:shd w:val="clear" w:color="auto" w:fill="FFFFFF"/>
        <w:snapToGrid w:val="0"/>
        <w:spacing w:line="360" w:lineRule="auto"/>
        <w:ind w:firstLine="480" w:firstLineChars="200"/>
        <w:rPr>
          <w:rFonts w:ascii="宋体" w:hAnsi="宋体" w:eastAsia="宋体" w:cs="Arial"/>
          <w:kern w:val="0"/>
          <w:sz w:val="24"/>
          <w:szCs w:val="24"/>
        </w:rPr>
      </w:pPr>
      <w:r>
        <w:rPr>
          <w:rFonts w:ascii="宋体" w:hAnsi="宋体" w:eastAsia="宋体" w:cs="Arial"/>
          <w:kern w:val="0"/>
          <w:sz w:val="24"/>
          <w:szCs w:val="24"/>
        </w:rPr>
        <w:t>3.</w:t>
      </w:r>
      <w:r>
        <w:rPr>
          <w:rFonts w:hint="eastAsia" w:ascii="宋体" w:hAnsi="宋体" w:eastAsia="宋体" w:cs="Arial"/>
          <w:kern w:val="0"/>
          <w:sz w:val="24"/>
          <w:szCs w:val="24"/>
        </w:rPr>
        <w:t>5</w:t>
      </w:r>
      <w:r>
        <w:rPr>
          <w:rFonts w:ascii="宋体" w:hAnsi="宋体" w:eastAsia="宋体" w:cs="Arial"/>
          <w:kern w:val="0"/>
          <w:sz w:val="24"/>
          <w:szCs w:val="24"/>
        </w:rPr>
        <w:t>.</w:t>
      </w:r>
      <w:r>
        <w:rPr>
          <w:rFonts w:hint="eastAsia" w:ascii="宋体" w:hAnsi="宋体" w:eastAsia="宋体" w:cs="Arial"/>
          <w:kern w:val="0"/>
          <w:sz w:val="24"/>
          <w:szCs w:val="24"/>
        </w:rPr>
        <w:t>8.2总</w:t>
      </w:r>
      <w:r>
        <w:rPr>
          <w:rFonts w:ascii="宋体" w:hAnsi="宋体" w:eastAsia="宋体" w:cs="Arial"/>
          <w:kern w:val="0"/>
          <w:sz w:val="24"/>
          <w:szCs w:val="24"/>
        </w:rPr>
        <w:t>得分</w:t>
      </w:r>
      <w:r>
        <w:rPr>
          <w:rFonts w:hint="eastAsia" w:ascii="宋体" w:hAnsi="宋体" w:eastAsia="宋体" w:cs="Arial"/>
          <w:kern w:val="0"/>
          <w:sz w:val="24"/>
          <w:szCs w:val="24"/>
        </w:rPr>
        <w:t>相同时报价低的供应商排序靠前；</w:t>
      </w:r>
    </w:p>
    <w:p>
      <w:pPr>
        <w:widowControl/>
        <w:shd w:val="clear" w:color="auto" w:fill="FFFFFF"/>
        <w:snapToGrid w:val="0"/>
        <w:spacing w:line="360" w:lineRule="auto"/>
        <w:ind w:firstLine="480" w:firstLineChars="200"/>
        <w:rPr>
          <w:rFonts w:ascii="宋体" w:hAnsi="宋体" w:eastAsia="宋体" w:cs="Arial"/>
          <w:kern w:val="0"/>
          <w:sz w:val="24"/>
          <w:szCs w:val="24"/>
        </w:rPr>
      </w:pPr>
      <w:r>
        <w:rPr>
          <w:rFonts w:ascii="宋体" w:hAnsi="宋体" w:eastAsia="宋体" w:cs="Arial"/>
          <w:kern w:val="0"/>
          <w:sz w:val="24"/>
          <w:szCs w:val="24"/>
        </w:rPr>
        <w:t>3.</w:t>
      </w:r>
      <w:r>
        <w:rPr>
          <w:rFonts w:hint="eastAsia" w:ascii="宋体" w:hAnsi="宋体" w:eastAsia="宋体" w:cs="Arial"/>
          <w:kern w:val="0"/>
          <w:sz w:val="24"/>
          <w:szCs w:val="24"/>
        </w:rPr>
        <w:t>5</w:t>
      </w:r>
      <w:r>
        <w:rPr>
          <w:rFonts w:ascii="宋体" w:hAnsi="宋体" w:eastAsia="宋体" w:cs="Arial"/>
          <w:kern w:val="0"/>
          <w:sz w:val="24"/>
          <w:szCs w:val="24"/>
        </w:rPr>
        <w:t>.</w:t>
      </w:r>
      <w:r>
        <w:rPr>
          <w:rFonts w:hint="eastAsia" w:ascii="宋体" w:hAnsi="宋体" w:eastAsia="宋体" w:cs="Arial"/>
          <w:kern w:val="0"/>
          <w:sz w:val="24"/>
          <w:szCs w:val="24"/>
        </w:rPr>
        <w:t>8.3总</w:t>
      </w:r>
      <w:r>
        <w:rPr>
          <w:rFonts w:ascii="宋体" w:hAnsi="宋体" w:eastAsia="宋体" w:cs="Arial"/>
          <w:kern w:val="0"/>
          <w:sz w:val="24"/>
          <w:szCs w:val="24"/>
        </w:rPr>
        <w:t>得分相同</w:t>
      </w:r>
      <w:r>
        <w:rPr>
          <w:rFonts w:hint="eastAsia" w:ascii="宋体" w:hAnsi="宋体" w:eastAsia="宋体" w:cs="Arial"/>
          <w:kern w:val="0"/>
          <w:sz w:val="24"/>
          <w:szCs w:val="24"/>
        </w:rPr>
        <w:t>且报价相同的</w:t>
      </w:r>
      <w:r>
        <w:rPr>
          <w:rFonts w:ascii="宋体" w:hAnsi="宋体" w:eastAsia="宋体" w:cs="Arial"/>
          <w:kern w:val="0"/>
          <w:sz w:val="24"/>
          <w:szCs w:val="24"/>
        </w:rPr>
        <w:t>，</w:t>
      </w:r>
      <w:r>
        <w:rPr>
          <w:rFonts w:hint="eastAsia" w:ascii="宋体" w:hAnsi="宋体" w:eastAsia="宋体" w:cs="Arial"/>
          <w:kern w:val="0"/>
          <w:sz w:val="24"/>
          <w:szCs w:val="24"/>
        </w:rPr>
        <w:t>采取随机抽取方式</w:t>
      </w:r>
      <w:r>
        <w:rPr>
          <w:rFonts w:ascii="宋体" w:hAnsi="宋体" w:eastAsia="宋体" w:cs="Arial"/>
          <w:kern w:val="0"/>
          <w:sz w:val="24"/>
          <w:szCs w:val="24"/>
        </w:rPr>
        <w:t>确定</w:t>
      </w:r>
      <w:r>
        <w:rPr>
          <w:rFonts w:hint="eastAsia" w:ascii="宋体" w:hAnsi="宋体" w:eastAsia="宋体" w:cs="Arial"/>
          <w:kern w:val="0"/>
          <w:sz w:val="24"/>
          <w:szCs w:val="24"/>
        </w:rPr>
        <w:t>排序顺序。</w:t>
      </w:r>
    </w:p>
    <w:p>
      <w:pPr>
        <w:widowControl/>
        <w:shd w:val="clear" w:color="auto" w:fill="FFFFFF"/>
        <w:snapToGrid w:val="0"/>
        <w:spacing w:line="360" w:lineRule="auto"/>
        <w:ind w:firstLine="480" w:firstLineChars="200"/>
        <w:rPr>
          <w:rFonts w:ascii="宋体" w:hAnsi="Calibri" w:eastAsia="宋体" w:cs="Arial"/>
          <w:kern w:val="0"/>
          <w:sz w:val="24"/>
          <w:szCs w:val="24"/>
        </w:rPr>
      </w:pPr>
      <w:r>
        <w:rPr>
          <w:rFonts w:ascii="宋体" w:hAnsi="宋体" w:eastAsia="宋体" w:cs="Arial"/>
          <w:kern w:val="0"/>
          <w:sz w:val="24"/>
          <w:szCs w:val="24"/>
        </w:rPr>
        <w:t>3.</w:t>
      </w:r>
      <w:r>
        <w:rPr>
          <w:rFonts w:hint="eastAsia" w:ascii="宋体" w:hAnsi="宋体" w:eastAsia="宋体" w:cs="Arial"/>
          <w:kern w:val="0"/>
          <w:sz w:val="24"/>
          <w:szCs w:val="24"/>
        </w:rPr>
        <w:t>6推荐中标候选人及提交磋商报告</w:t>
      </w:r>
    </w:p>
    <w:p>
      <w:pPr>
        <w:widowControl/>
        <w:shd w:val="clear" w:color="auto" w:fill="FFFFFF"/>
        <w:snapToGrid w:val="0"/>
        <w:spacing w:line="360" w:lineRule="auto"/>
        <w:ind w:firstLine="480" w:firstLineChars="200"/>
        <w:rPr>
          <w:rFonts w:ascii="宋体" w:hAnsi="宋体" w:eastAsia="宋体" w:cs="Arial"/>
          <w:kern w:val="0"/>
          <w:sz w:val="24"/>
          <w:szCs w:val="24"/>
        </w:rPr>
      </w:pPr>
      <w:r>
        <w:rPr>
          <w:rFonts w:ascii="宋体" w:hAnsi="宋体" w:eastAsia="宋体" w:cs="Arial"/>
          <w:kern w:val="0"/>
          <w:sz w:val="24"/>
          <w:szCs w:val="24"/>
        </w:rPr>
        <w:t>3.</w:t>
      </w:r>
      <w:r>
        <w:rPr>
          <w:rFonts w:hint="eastAsia" w:ascii="宋体" w:hAnsi="宋体" w:eastAsia="宋体" w:cs="Arial"/>
          <w:kern w:val="0"/>
          <w:sz w:val="24"/>
          <w:szCs w:val="24"/>
        </w:rPr>
        <w:t>6.</w:t>
      </w:r>
      <w:r>
        <w:rPr>
          <w:rFonts w:ascii="宋体" w:hAnsi="宋体" w:eastAsia="宋体" w:cs="Arial"/>
          <w:kern w:val="0"/>
          <w:sz w:val="24"/>
          <w:szCs w:val="24"/>
        </w:rPr>
        <w:t>1</w:t>
      </w:r>
      <w:r>
        <w:rPr>
          <w:rFonts w:hint="eastAsia" w:ascii="宋体" w:hAnsi="宋体" w:eastAsia="宋体" w:cs="Arial"/>
          <w:kern w:val="0"/>
          <w:sz w:val="24"/>
          <w:szCs w:val="24"/>
        </w:rPr>
        <w:t>磋商小组推荐中标候选人，总得分排序第一的供应商将被确定为第一中标候选人，以此类推确定出规定数量的中标候选人。</w:t>
      </w:r>
    </w:p>
    <w:p>
      <w:pPr>
        <w:widowControl/>
        <w:shd w:val="clear" w:color="auto" w:fill="FFFFFF"/>
        <w:snapToGrid w:val="0"/>
        <w:spacing w:line="360" w:lineRule="auto"/>
        <w:ind w:firstLine="480" w:firstLineChars="200"/>
        <w:rPr>
          <w:rFonts w:ascii="宋体" w:hAnsi="Calibri" w:eastAsia="宋体" w:cs="Arial"/>
          <w:kern w:val="0"/>
          <w:sz w:val="24"/>
          <w:szCs w:val="24"/>
        </w:rPr>
      </w:pPr>
      <w:r>
        <w:rPr>
          <w:rFonts w:ascii="宋体" w:hAnsi="宋体" w:eastAsia="宋体" w:cs="Arial"/>
          <w:kern w:val="0"/>
          <w:sz w:val="24"/>
          <w:szCs w:val="24"/>
        </w:rPr>
        <w:t>3.</w:t>
      </w:r>
      <w:r>
        <w:rPr>
          <w:rFonts w:hint="eastAsia" w:ascii="宋体" w:hAnsi="宋体" w:eastAsia="宋体" w:cs="Arial"/>
          <w:kern w:val="0"/>
          <w:sz w:val="24"/>
          <w:szCs w:val="24"/>
        </w:rPr>
        <w:t>6</w:t>
      </w:r>
      <w:r>
        <w:rPr>
          <w:rFonts w:ascii="宋体" w:hAnsi="宋体" w:eastAsia="宋体" w:cs="Arial"/>
          <w:kern w:val="0"/>
          <w:sz w:val="24"/>
          <w:szCs w:val="24"/>
        </w:rPr>
        <w:t>.2</w:t>
      </w:r>
      <w:r>
        <w:rPr>
          <w:rFonts w:hint="eastAsia" w:ascii="宋体" w:hAnsi="宋体" w:eastAsia="宋体" w:cs="Arial"/>
          <w:kern w:val="0"/>
          <w:sz w:val="24"/>
          <w:szCs w:val="24"/>
        </w:rPr>
        <w:t>当通过了资格审查、完备性及符合性审查后，供应商少于3个时，采购人应当依法重新招标。</w:t>
      </w:r>
    </w:p>
    <w:p>
      <w:pPr>
        <w:widowControl/>
        <w:shd w:val="clear" w:color="auto" w:fill="FFFFFF"/>
        <w:snapToGrid w:val="0"/>
        <w:spacing w:line="360" w:lineRule="auto"/>
        <w:ind w:firstLine="480" w:firstLineChars="200"/>
        <w:rPr>
          <w:rFonts w:ascii="宋体" w:hAnsi="Calibri" w:eastAsia="宋体" w:cs="Arial"/>
          <w:kern w:val="0"/>
          <w:sz w:val="24"/>
          <w:szCs w:val="24"/>
        </w:rPr>
      </w:pPr>
      <w:r>
        <w:rPr>
          <w:rFonts w:ascii="宋体" w:hAnsi="宋体" w:eastAsia="宋体" w:cs="Arial"/>
          <w:kern w:val="0"/>
          <w:sz w:val="24"/>
          <w:szCs w:val="24"/>
        </w:rPr>
        <w:t>3.</w:t>
      </w:r>
      <w:r>
        <w:rPr>
          <w:rFonts w:hint="eastAsia" w:ascii="宋体" w:hAnsi="宋体" w:eastAsia="宋体" w:cs="Arial"/>
          <w:kern w:val="0"/>
          <w:sz w:val="24"/>
          <w:szCs w:val="24"/>
        </w:rPr>
        <w:t>6</w:t>
      </w:r>
      <w:r>
        <w:rPr>
          <w:rFonts w:ascii="宋体" w:hAnsi="宋体" w:eastAsia="宋体" w:cs="Arial"/>
          <w:kern w:val="0"/>
          <w:sz w:val="24"/>
          <w:szCs w:val="24"/>
        </w:rPr>
        <w:t xml:space="preserve">.3 </w:t>
      </w:r>
      <w:r>
        <w:rPr>
          <w:rFonts w:hint="eastAsia" w:ascii="宋体" w:hAnsi="宋体" w:eastAsia="宋体" w:cs="Arial"/>
          <w:kern w:val="0"/>
          <w:sz w:val="24"/>
          <w:szCs w:val="24"/>
        </w:rPr>
        <w:t>磋商小组完成磋商后，应当向采购人提交书面磋商报告。</w:t>
      </w:r>
    </w:p>
    <w:p>
      <w:pPr>
        <w:widowControl/>
        <w:shd w:val="clear" w:color="auto" w:fill="FFFFFF"/>
        <w:snapToGrid w:val="0"/>
        <w:spacing w:line="360" w:lineRule="auto"/>
        <w:ind w:firstLine="480" w:firstLineChars="200"/>
        <w:rPr>
          <w:rFonts w:ascii="宋体" w:hAnsi="Calibri" w:eastAsia="宋体" w:cs="Arial"/>
          <w:kern w:val="0"/>
          <w:sz w:val="24"/>
          <w:szCs w:val="24"/>
        </w:rPr>
      </w:pPr>
      <w:r>
        <w:rPr>
          <w:rFonts w:ascii="宋体" w:hAnsi="宋体" w:eastAsia="宋体" w:cs="Arial"/>
          <w:kern w:val="0"/>
          <w:sz w:val="24"/>
          <w:szCs w:val="24"/>
        </w:rPr>
        <w:t>3.</w:t>
      </w:r>
      <w:r>
        <w:rPr>
          <w:rFonts w:hint="eastAsia" w:ascii="宋体" w:hAnsi="宋体" w:eastAsia="宋体" w:cs="Arial"/>
          <w:kern w:val="0"/>
          <w:sz w:val="24"/>
          <w:szCs w:val="24"/>
        </w:rPr>
        <w:t>7特殊情况的处置程序</w:t>
      </w:r>
    </w:p>
    <w:p>
      <w:pPr>
        <w:widowControl/>
        <w:shd w:val="clear" w:color="auto" w:fill="FFFFFF"/>
        <w:snapToGrid w:val="0"/>
        <w:spacing w:line="360" w:lineRule="auto"/>
        <w:ind w:firstLine="480" w:firstLineChars="200"/>
        <w:rPr>
          <w:rFonts w:ascii="宋体" w:hAnsi="Calibri" w:eastAsia="宋体" w:cs="Arial"/>
          <w:kern w:val="0"/>
          <w:sz w:val="24"/>
          <w:szCs w:val="24"/>
        </w:rPr>
      </w:pPr>
      <w:r>
        <w:rPr>
          <w:rFonts w:ascii="宋体" w:hAnsi="宋体" w:eastAsia="宋体" w:cs="Arial"/>
          <w:kern w:val="0"/>
          <w:sz w:val="24"/>
          <w:szCs w:val="24"/>
        </w:rPr>
        <w:t>3.</w:t>
      </w:r>
      <w:r>
        <w:rPr>
          <w:rFonts w:hint="eastAsia" w:ascii="宋体" w:hAnsi="宋体" w:eastAsia="宋体" w:cs="Arial"/>
          <w:kern w:val="0"/>
          <w:sz w:val="24"/>
          <w:szCs w:val="24"/>
        </w:rPr>
        <w:t>7</w:t>
      </w:r>
      <w:r>
        <w:rPr>
          <w:rFonts w:ascii="宋体" w:hAnsi="宋体" w:eastAsia="宋体" w:cs="Arial"/>
          <w:kern w:val="0"/>
          <w:sz w:val="24"/>
          <w:szCs w:val="24"/>
        </w:rPr>
        <w:t xml:space="preserve">.1 </w:t>
      </w:r>
      <w:r>
        <w:rPr>
          <w:rFonts w:hint="eastAsia" w:ascii="宋体" w:hAnsi="宋体" w:eastAsia="宋体" w:cs="Arial"/>
          <w:kern w:val="0"/>
          <w:sz w:val="24"/>
          <w:szCs w:val="24"/>
        </w:rPr>
        <w:t>关于磋商活动暂停</w:t>
      </w:r>
    </w:p>
    <w:p>
      <w:pPr>
        <w:widowControl/>
        <w:shd w:val="clear" w:color="auto" w:fill="FFFFFF"/>
        <w:snapToGrid w:val="0"/>
        <w:spacing w:line="360" w:lineRule="auto"/>
        <w:ind w:firstLine="480" w:firstLineChars="200"/>
        <w:rPr>
          <w:rFonts w:ascii="宋体" w:hAnsi="Calibri" w:eastAsia="宋体" w:cs="Arial"/>
          <w:kern w:val="0"/>
          <w:sz w:val="24"/>
          <w:szCs w:val="24"/>
        </w:rPr>
      </w:pPr>
      <w:r>
        <w:rPr>
          <w:rFonts w:hint="eastAsia" w:ascii="宋体" w:hAnsi="宋体" w:eastAsia="宋体" w:cs="Arial"/>
          <w:kern w:val="0"/>
          <w:sz w:val="24"/>
          <w:szCs w:val="24"/>
        </w:rPr>
        <w:t>磋商小组应当执行连续磋商的原则，按磋商办法中规定的程序、内容、方法、标准完成全部磋商工作。只有发生不可抗力导致磋商工作无法继续时，磋商活动方可暂停。发生磋商暂停情况时，应当封存全部</w:t>
      </w:r>
      <w:r>
        <w:rPr>
          <w:rFonts w:hint="eastAsia" w:ascii="宋体" w:hAnsi="宋体" w:eastAsia="宋体" w:cs="Arial"/>
          <w:kern w:val="0"/>
          <w:sz w:val="24"/>
          <w:szCs w:val="24"/>
          <w:lang w:eastAsia="zh-CN"/>
        </w:rPr>
        <w:t>磋商响应文件</w:t>
      </w:r>
      <w:r>
        <w:rPr>
          <w:rFonts w:hint="eastAsia" w:ascii="宋体" w:hAnsi="宋体" w:eastAsia="宋体" w:cs="Arial"/>
          <w:kern w:val="0"/>
          <w:sz w:val="24"/>
          <w:szCs w:val="24"/>
        </w:rPr>
        <w:t>和磋商记录，待不可抗力的影响结束且具备继续磋商的条件时，由原磋商小组继续磋商。</w:t>
      </w:r>
    </w:p>
    <w:p>
      <w:pPr>
        <w:widowControl/>
        <w:shd w:val="clear" w:color="auto" w:fill="FFFFFF"/>
        <w:snapToGrid w:val="0"/>
        <w:spacing w:line="360" w:lineRule="auto"/>
        <w:ind w:firstLine="480" w:firstLineChars="200"/>
        <w:rPr>
          <w:rFonts w:ascii="宋体" w:hAnsi="Calibri" w:eastAsia="宋体" w:cs="Arial"/>
          <w:kern w:val="0"/>
          <w:sz w:val="24"/>
          <w:szCs w:val="24"/>
        </w:rPr>
      </w:pPr>
      <w:r>
        <w:rPr>
          <w:rFonts w:ascii="宋体" w:hAnsi="宋体" w:eastAsia="宋体" w:cs="Arial"/>
          <w:kern w:val="0"/>
          <w:sz w:val="24"/>
          <w:szCs w:val="24"/>
        </w:rPr>
        <w:t>3.</w:t>
      </w:r>
      <w:r>
        <w:rPr>
          <w:rFonts w:hint="eastAsia" w:ascii="宋体" w:hAnsi="宋体" w:eastAsia="宋体" w:cs="Arial"/>
          <w:kern w:val="0"/>
          <w:sz w:val="24"/>
          <w:szCs w:val="24"/>
        </w:rPr>
        <w:t>7</w:t>
      </w:r>
      <w:r>
        <w:rPr>
          <w:rFonts w:ascii="宋体" w:hAnsi="宋体" w:eastAsia="宋体" w:cs="Arial"/>
          <w:kern w:val="0"/>
          <w:sz w:val="24"/>
          <w:szCs w:val="24"/>
        </w:rPr>
        <w:t>.2</w:t>
      </w:r>
      <w:r>
        <w:rPr>
          <w:rFonts w:hint="eastAsia" w:ascii="宋体" w:hAnsi="宋体" w:eastAsia="宋体" w:cs="Arial"/>
          <w:kern w:val="0"/>
          <w:sz w:val="24"/>
          <w:szCs w:val="24"/>
        </w:rPr>
        <w:t>关于磋商中途更换评委</w:t>
      </w:r>
    </w:p>
    <w:p>
      <w:pPr>
        <w:widowControl/>
        <w:shd w:val="clear" w:color="auto" w:fill="FFFFFF"/>
        <w:snapToGrid w:val="0"/>
        <w:spacing w:line="360" w:lineRule="auto"/>
        <w:ind w:firstLine="480" w:firstLineChars="200"/>
        <w:rPr>
          <w:rFonts w:ascii="宋体" w:hAnsi="Calibri" w:eastAsia="宋体" w:cs="Arial"/>
          <w:kern w:val="0"/>
          <w:sz w:val="24"/>
          <w:szCs w:val="24"/>
        </w:rPr>
      </w:pPr>
      <w:r>
        <w:rPr>
          <w:rFonts w:ascii="宋体" w:hAnsi="宋体" w:eastAsia="宋体" w:cs="Arial"/>
          <w:kern w:val="0"/>
          <w:sz w:val="24"/>
          <w:szCs w:val="24"/>
        </w:rPr>
        <w:t>3.</w:t>
      </w:r>
      <w:r>
        <w:rPr>
          <w:rFonts w:hint="eastAsia" w:ascii="宋体" w:hAnsi="宋体" w:eastAsia="宋体" w:cs="Arial"/>
          <w:kern w:val="0"/>
          <w:sz w:val="24"/>
          <w:szCs w:val="24"/>
        </w:rPr>
        <w:t>7</w:t>
      </w:r>
      <w:r>
        <w:rPr>
          <w:rFonts w:ascii="宋体" w:hAnsi="宋体" w:eastAsia="宋体" w:cs="Arial"/>
          <w:kern w:val="0"/>
          <w:sz w:val="24"/>
          <w:szCs w:val="24"/>
        </w:rPr>
        <w:t xml:space="preserve">.2.1 </w:t>
      </w:r>
      <w:r>
        <w:rPr>
          <w:rFonts w:hint="eastAsia" w:ascii="宋体" w:hAnsi="宋体" w:eastAsia="宋体" w:cs="Arial"/>
          <w:kern w:val="0"/>
          <w:sz w:val="24"/>
          <w:szCs w:val="24"/>
        </w:rPr>
        <w:t>除非发生下列情况之一，磋商小组成员不得在磋商中途更换：</w:t>
      </w:r>
    </w:p>
    <w:p>
      <w:pPr>
        <w:widowControl/>
        <w:shd w:val="clear" w:color="auto" w:fill="FFFFFF"/>
        <w:snapToGrid w:val="0"/>
        <w:spacing w:line="360" w:lineRule="auto"/>
        <w:ind w:firstLine="480" w:firstLineChars="200"/>
        <w:rPr>
          <w:rFonts w:ascii="宋体" w:hAnsi="Calibri" w:eastAsia="宋体" w:cs="Arial"/>
          <w:kern w:val="0"/>
          <w:sz w:val="24"/>
          <w:szCs w:val="24"/>
        </w:rPr>
      </w:pPr>
      <w:r>
        <w:rPr>
          <w:rFonts w:hint="eastAsia" w:ascii="宋体" w:hAnsi="宋体" w:eastAsia="宋体" w:cs="Arial"/>
          <w:kern w:val="0"/>
          <w:sz w:val="24"/>
          <w:szCs w:val="24"/>
        </w:rPr>
        <w:t>（</w:t>
      </w:r>
      <w:r>
        <w:rPr>
          <w:rFonts w:ascii="宋体" w:hAnsi="宋体" w:eastAsia="宋体" w:cs="Arial"/>
          <w:kern w:val="0"/>
          <w:sz w:val="24"/>
          <w:szCs w:val="24"/>
        </w:rPr>
        <w:t>1</w:t>
      </w:r>
      <w:r>
        <w:rPr>
          <w:rFonts w:hint="eastAsia" w:ascii="宋体" w:hAnsi="宋体" w:eastAsia="宋体" w:cs="Arial"/>
          <w:kern w:val="0"/>
          <w:sz w:val="24"/>
          <w:szCs w:val="24"/>
        </w:rPr>
        <w:t>）因不可抗拒的客观原因，不能到场或需在磋商中途退出磋商活动。</w:t>
      </w:r>
    </w:p>
    <w:p>
      <w:pPr>
        <w:widowControl/>
        <w:shd w:val="clear" w:color="auto" w:fill="FFFFFF"/>
        <w:snapToGrid w:val="0"/>
        <w:spacing w:line="360" w:lineRule="auto"/>
        <w:ind w:firstLine="480" w:firstLineChars="200"/>
        <w:rPr>
          <w:rFonts w:ascii="宋体" w:hAnsi="Calibri" w:eastAsia="宋体" w:cs="Arial"/>
          <w:kern w:val="0"/>
          <w:sz w:val="24"/>
          <w:szCs w:val="24"/>
        </w:rPr>
      </w:pPr>
      <w:r>
        <w:rPr>
          <w:rFonts w:hint="eastAsia" w:ascii="宋体" w:hAnsi="宋体" w:eastAsia="宋体" w:cs="Arial"/>
          <w:kern w:val="0"/>
          <w:sz w:val="24"/>
          <w:szCs w:val="24"/>
        </w:rPr>
        <w:t>（</w:t>
      </w:r>
      <w:r>
        <w:rPr>
          <w:rFonts w:ascii="宋体" w:hAnsi="宋体" w:eastAsia="宋体" w:cs="Arial"/>
          <w:kern w:val="0"/>
          <w:sz w:val="24"/>
          <w:szCs w:val="24"/>
        </w:rPr>
        <w:t>2</w:t>
      </w:r>
      <w:r>
        <w:rPr>
          <w:rFonts w:hint="eastAsia" w:ascii="宋体" w:hAnsi="宋体" w:eastAsia="宋体" w:cs="Arial"/>
          <w:kern w:val="0"/>
          <w:sz w:val="24"/>
          <w:szCs w:val="24"/>
        </w:rPr>
        <w:t>）根据法律法规规定，某个或某几个磋商小组成员需要回避。</w:t>
      </w:r>
    </w:p>
    <w:p>
      <w:pPr>
        <w:widowControl/>
        <w:shd w:val="clear" w:color="auto" w:fill="FFFFFF"/>
        <w:snapToGrid w:val="0"/>
        <w:spacing w:line="360" w:lineRule="auto"/>
        <w:ind w:firstLine="480" w:firstLineChars="200"/>
        <w:rPr>
          <w:rFonts w:ascii="宋体" w:hAnsi="Calibri" w:eastAsia="宋体" w:cs="Arial"/>
          <w:kern w:val="0"/>
          <w:sz w:val="24"/>
          <w:szCs w:val="24"/>
        </w:rPr>
      </w:pPr>
      <w:r>
        <w:rPr>
          <w:rFonts w:ascii="宋体" w:hAnsi="宋体" w:eastAsia="宋体" w:cs="Arial"/>
          <w:kern w:val="0"/>
          <w:sz w:val="24"/>
          <w:szCs w:val="24"/>
        </w:rPr>
        <w:t>3.</w:t>
      </w:r>
      <w:r>
        <w:rPr>
          <w:rFonts w:hint="eastAsia" w:ascii="宋体" w:hAnsi="宋体" w:eastAsia="宋体" w:cs="Arial"/>
          <w:kern w:val="0"/>
          <w:sz w:val="24"/>
          <w:szCs w:val="24"/>
        </w:rPr>
        <w:t>7</w:t>
      </w:r>
      <w:r>
        <w:rPr>
          <w:rFonts w:ascii="宋体" w:hAnsi="宋体" w:eastAsia="宋体" w:cs="Arial"/>
          <w:kern w:val="0"/>
          <w:sz w:val="24"/>
          <w:szCs w:val="24"/>
        </w:rPr>
        <w:t xml:space="preserve">.2.2 </w:t>
      </w:r>
      <w:r>
        <w:rPr>
          <w:rFonts w:hint="eastAsia" w:ascii="宋体" w:hAnsi="宋体" w:eastAsia="宋体" w:cs="Arial"/>
          <w:kern w:val="0"/>
          <w:sz w:val="24"/>
          <w:szCs w:val="24"/>
        </w:rPr>
        <w:t>退出磋商的磋商小组成员，其已完成的磋商行为无效，由更换的评委进行磋商。</w:t>
      </w:r>
    </w:p>
    <w:p>
      <w:pPr>
        <w:widowControl/>
        <w:shd w:val="clear" w:color="auto" w:fill="FFFFFF"/>
        <w:snapToGrid w:val="0"/>
        <w:spacing w:line="360" w:lineRule="auto"/>
        <w:ind w:firstLine="480" w:firstLineChars="200"/>
        <w:rPr>
          <w:rFonts w:ascii="宋体" w:hAnsi="宋体" w:eastAsia="宋体" w:cs="Arial"/>
          <w:kern w:val="0"/>
          <w:sz w:val="24"/>
          <w:szCs w:val="24"/>
        </w:rPr>
      </w:pPr>
      <w:r>
        <w:rPr>
          <w:rFonts w:ascii="宋体" w:hAnsi="宋体" w:eastAsia="宋体" w:cs="Arial"/>
          <w:kern w:val="0"/>
          <w:sz w:val="24"/>
          <w:szCs w:val="24"/>
        </w:rPr>
        <w:t>3.</w:t>
      </w:r>
      <w:r>
        <w:rPr>
          <w:rFonts w:hint="eastAsia" w:ascii="宋体" w:hAnsi="宋体" w:eastAsia="宋体" w:cs="Arial"/>
          <w:kern w:val="0"/>
          <w:sz w:val="24"/>
          <w:szCs w:val="24"/>
        </w:rPr>
        <w:t>7</w:t>
      </w:r>
      <w:r>
        <w:rPr>
          <w:rFonts w:ascii="宋体" w:hAnsi="宋体" w:eastAsia="宋体" w:cs="Arial"/>
          <w:kern w:val="0"/>
          <w:sz w:val="24"/>
          <w:szCs w:val="24"/>
        </w:rPr>
        <w:t xml:space="preserve">.3 </w:t>
      </w:r>
      <w:r>
        <w:rPr>
          <w:rFonts w:hint="eastAsia" w:ascii="宋体" w:hAnsi="宋体" w:eastAsia="宋体" w:cs="Arial"/>
          <w:kern w:val="0"/>
          <w:sz w:val="24"/>
          <w:szCs w:val="24"/>
        </w:rPr>
        <w:t>在磋商环节中，需磋商小组就某项定性的磋商结论做出表决的，由磋商小组全体成员按照少数服从多数的原则确定。</w:t>
      </w:r>
    </w:p>
    <w:p>
      <w:pPr>
        <w:widowControl/>
        <w:jc w:val="left"/>
        <w:rPr>
          <w:rFonts w:ascii="宋体" w:hAnsi="宋体" w:eastAsia="宋体" w:cs="Arial"/>
          <w:kern w:val="0"/>
          <w:sz w:val="24"/>
          <w:szCs w:val="24"/>
        </w:rPr>
      </w:pPr>
      <w:r>
        <w:rPr>
          <w:rFonts w:ascii="宋体" w:hAnsi="宋体" w:eastAsia="宋体" w:cs="Arial"/>
          <w:kern w:val="0"/>
          <w:sz w:val="24"/>
          <w:szCs w:val="24"/>
        </w:rPr>
        <w:br w:type="page"/>
      </w:r>
    </w:p>
    <w:p>
      <w:pPr>
        <w:widowControl/>
        <w:shd w:val="clear" w:color="auto" w:fill="FFFFFF"/>
        <w:snapToGrid w:val="0"/>
        <w:spacing w:line="360" w:lineRule="auto"/>
        <w:jc w:val="center"/>
        <w:rPr>
          <w:rFonts w:ascii="宋体" w:hAnsi="Calibri" w:eastAsia="宋体" w:cs="Times New Roman"/>
          <w:b/>
          <w:sz w:val="24"/>
          <w:szCs w:val="24"/>
        </w:rPr>
      </w:pPr>
      <w:bookmarkStart w:id="50" w:name="_Toc485312286"/>
      <w:r>
        <w:rPr>
          <w:rFonts w:hint="eastAsia" w:ascii="宋体" w:hAnsi="宋体" w:eastAsia="宋体" w:cs="Times New Roman"/>
          <w:b/>
          <w:sz w:val="24"/>
          <w:szCs w:val="24"/>
        </w:rPr>
        <w:t>问题澄清通知</w:t>
      </w:r>
    </w:p>
    <w:p>
      <w:pPr>
        <w:spacing w:line="360" w:lineRule="auto"/>
        <w:rPr>
          <w:rFonts w:ascii="宋体" w:hAnsi="Calibri" w:eastAsia="宋体" w:cs="Times New Roman"/>
          <w:sz w:val="24"/>
          <w:szCs w:val="24"/>
        </w:rPr>
      </w:pPr>
    </w:p>
    <w:p>
      <w:pPr>
        <w:spacing w:line="360" w:lineRule="auto"/>
        <w:rPr>
          <w:rFonts w:ascii="宋体" w:hAnsi="Calibri" w:eastAsia="宋体" w:cs="Arial"/>
          <w:kern w:val="0"/>
          <w:sz w:val="24"/>
          <w:szCs w:val="24"/>
        </w:rPr>
      </w:pPr>
      <w:r>
        <w:rPr>
          <w:rFonts w:hint="eastAsia" w:ascii="宋体" w:hAnsi="宋体" w:eastAsia="宋体" w:cs="Arial"/>
          <w:kern w:val="0"/>
          <w:sz w:val="24"/>
          <w:szCs w:val="24"/>
        </w:rPr>
        <w:t>（供应商名称）：</w:t>
      </w:r>
    </w:p>
    <w:p>
      <w:pPr>
        <w:spacing w:line="360" w:lineRule="auto"/>
        <w:ind w:firstLine="480" w:firstLineChars="200"/>
        <w:rPr>
          <w:rFonts w:ascii="宋体" w:hAnsi="Calibri" w:eastAsia="宋体" w:cs="Arial"/>
          <w:kern w:val="0"/>
          <w:sz w:val="24"/>
          <w:szCs w:val="24"/>
        </w:rPr>
      </w:pPr>
      <w:r>
        <w:rPr>
          <w:rFonts w:hint="eastAsia" w:ascii="宋体" w:hAnsi="宋体" w:eastAsia="宋体" w:cs="Arial"/>
          <w:kern w:val="0"/>
          <w:sz w:val="24"/>
          <w:szCs w:val="24"/>
        </w:rPr>
        <w:t>（招标项目名称）招标的磋商小组，对你方的</w:t>
      </w:r>
      <w:r>
        <w:rPr>
          <w:rFonts w:hint="eastAsia" w:ascii="宋体" w:hAnsi="宋体" w:eastAsia="宋体" w:cs="Arial"/>
          <w:kern w:val="0"/>
          <w:sz w:val="24"/>
          <w:szCs w:val="24"/>
          <w:lang w:eastAsia="zh-CN"/>
        </w:rPr>
        <w:t>磋商响应文件</w:t>
      </w:r>
      <w:r>
        <w:rPr>
          <w:rFonts w:hint="eastAsia" w:ascii="宋体" w:hAnsi="宋体" w:eastAsia="宋体" w:cs="Arial"/>
          <w:kern w:val="0"/>
          <w:sz w:val="24"/>
          <w:szCs w:val="24"/>
        </w:rPr>
        <w:t>进行了仔细的审查，现需你方对本通知所附质疑问卷中的问题以书面形式予以澄清、说明或者补正。</w:t>
      </w:r>
    </w:p>
    <w:p>
      <w:pPr>
        <w:spacing w:line="360" w:lineRule="auto"/>
        <w:rPr>
          <w:rFonts w:ascii="宋体" w:hAnsi="Calibri" w:eastAsia="宋体" w:cs="Arial"/>
          <w:kern w:val="0"/>
          <w:sz w:val="24"/>
          <w:szCs w:val="24"/>
        </w:rPr>
      </w:pPr>
      <w:r>
        <w:rPr>
          <w:rFonts w:hint="eastAsia" w:ascii="宋体" w:hAnsi="宋体" w:eastAsia="宋体" w:cs="Arial"/>
          <w:kern w:val="0"/>
          <w:sz w:val="24"/>
          <w:szCs w:val="24"/>
        </w:rPr>
        <w:t>质疑问题：</w:t>
      </w:r>
    </w:p>
    <w:p>
      <w:pPr>
        <w:spacing w:line="360" w:lineRule="auto"/>
        <w:rPr>
          <w:rFonts w:ascii="宋体" w:hAnsi="Calibri" w:eastAsia="宋体" w:cs="Arial"/>
          <w:kern w:val="0"/>
          <w:sz w:val="24"/>
          <w:szCs w:val="24"/>
        </w:rPr>
      </w:pPr>
    </w:p>
    <w:p>
      <w:pPr>
        <w:spacing w:line="360" w:lineRule="auto"/>
        <w:rPr>
          <w:rFonts w:ascii="宋体" w:hAnsi="Calibri" w:eastAsia="宋体" w:cs="Arial"/>
          <w:kern w:val="0"/>
          <w:sz w:val="24"/>
          <w:szCs w:val="24"/>
        </w:rPr>
      </w:pPr>
    </w:p>
    <w:p>
      <w:pPr>
        <w:spacing w:line="360" w:lineRule="auto"/>
        <w:rPr>
          <w:rFonts w:ascii="宋体" w:hAnsi="Calibri" w:eastAsia="宋体" w:cs="Arial"/>
          <w:kern w:val="0"/>
          <w:sz w:val="24"/>
          <w:szCs w:val="24"/>
        </w:rPr>
      </w:pPr>
    </w:p>
    <w:p>
      <w:pPr>
        <w:spacing w:line="360" w:lineRule="auto"/>
        <w:rPr>
          <w:rFonts w:ascii="宋体" w:hAnsi="Calibri" w:eastAsia="宋体" w:cs="Arial"/>
          <w:kern w:val="0"/>
          <w:sz w:val="24"/>
          <w:szCs w:val="24"/>
        </w:rPr>
      </w:pPr>
    </w:p>
    <w:p>
      <w:pPr>
        <w:spacing w:line="360" w:lineRule="auto"/>
        <w:rPr>
          <w:rFonts w:ascii="宋体" w:hAnsi="Calibri" w:eastAsia="宋体" w:cs="Arial"/>
          <w:kern w:val="0"/>
          <w:sz w:val="24"/>
          <w:szCs w:val="24"/>
        </w:rPr>
      </w:pPr>
    </w:p>
    <w:p>
      <w:pPr>
        <w:spacing w:line="360" w:lineRule="auto"/>
        <w:rPr>
          <w:rFonts w:ascii="宋体" w:hAnsi="Calibri" w:eastAsia="宋体" w:cs="Arial"/>
          <w:kern w:val="0"/>
          <w:sz w:val="24"/>
          <w:szCs w:val="24"/>
        </w:rPr>
      </w:pPr>
    </w:p>
    <w:p>
      <w:pPr>
        <w:spacing w:line="360" w:lineRule="auto"/>
        <w:rPr>
          <w:rFonts w:ascii="宋体" w:hAnsi="Calibri" w:eastAsia="宋体" w:cs="Arial"/>
          <w:kern w:val="0"/>
          <w:sz w:val="24"/>
          <w:szCs w:val="24"/>
        </w:rPr>
      </w:pPr>
    </w:p>
    <w:p>
      <w:pPr>
        <w:spacing w:line="360" w:lineRule="auto"/>
        <w:rPr>
          <w:rFonts w:ascii="宋体" w:hAnsi="Calibri" w:eastAsia="宋体" w:cs="Arial"/>
          <w:kern w:val="0"/>
          <w:sz w:val="24"/>
          <w:szCs w:val="24"/>
        </w:rPr>
      </w:pPr>
    </w:p>
    <w:p>
      <w:pPr>
        <w:spacing w:line="360" w:lineRule="auto"/>
        <w:rPr>
          <w:rFonts w:ascii="宋体" w:hAnsi="Calibri" w:eastAsia="宋体" w:cs="Arial"/>
          <w:kern w:val="0"/>
          <w:sz w:val="24"/>
          <w:szCs w:val="24"/>
        </w:rPr>
      </w:pPr>
    </w:p>
    <w:p>
      <w:pPr>
        <w:spacing w:line="360" w:lineRule="auto"/>
        <w:rPr>
          <w:rFonts w:ascii="宋体" w:hAnsi="Calibri" w:eastAsia="宋体" w:cs="Arial"/>
          <w:kern w:val="0"/>
          <w:sz w:val="24"/>
          <w:szCs w:val="24"/>
        </w:rPr>
      </w:pPr>
    </w:p>
    <w:p>
      <w:pPr>
        <w:spacing w:line="360" w:lineRule="auto"/>
        <w:rPr>
          <w:rFonts w:ascii="宋体" w:hAnsi="Calibri" w:eastAsia="宋体" w:cs="Arial"/>
          <w:kern w:val="0"/>
          <w:sz w:val="24"/>
          <w:szCs w:val="24"/>
        </w:rPr>
      </w:pPr>
      <w:r>
        <w:rPr>
          <w:rFonts w:hint="eastAsia" w:ascii="宋体" w:hAnsi="宋体" w:eastAsia="宋体" w:cs="Arial"/>
          <w:kern w:val="0"/>
          <w:sz w:val="24"/>
          <w:szCs w:val="24"/>
        </w:rPr>
        <w:t>磋商小组员（签字）：</w:t>
      </w:r>
    </w:p>
    <w:p>
      <w:pPr>
        <w:spacing w:line="360" w:lineRule="auto"/>
        <w:rPr>
          <w:rFonts w:ascii="宋体" w:hAnsi="Calibri" w:eastAsia="宋体" w:cs="Arial"/>
          <w:kern w:val="0"/>
          <w:sz w:val="24"/>
          <w:szCs w:val="24"/>
        </w:rPr>
      </w:pPr>
    </w:p>
    <w:p>
      <w:pPr>
        <w:spacing w:line="360" w:lineRule="auto"/>
        <w:rPr>
          <w:rFonts w:ascii="宋体" w:hAnsi="Calibri" w:eastAsia="宋体" w:cs="Arial"/>
          <w:kern w:val="0"/>
          <w:sz w:val="24"/>
          <w:szCs w:val="24"/>
        </w:rPr>
      </w:pPr>
      <w:r>
        <w:rPr>
          <w:rFonts w:hint="eastAsia" w:ascii="宋体" w:hAnsi="宋体" w:eastAsia="宋体" w:cs="Arial"/>
          <w:kern w:val="0"/>
          <w:sz w:val="24"/>
          <w:szCs w:val="24"/>
        </w:rPr>
        <w:t>日期：年月日</w:t>
      </w:r>
    </w:p>
    <w:p>
      <w:pPr>
        <w:spacing w:line="360" w:lineRule="auto"/>
        <w:jc w:val="center"/>
        <w:rPr>
          <w:rFonts w:ascii="宋体" w:hAnsi="Calibri" w:eastAsia="宋体" w:cs="Times New Roman"/>
          <w:b/>
          <w:sz w:val="24"/>
          <w:szCs w:val="24"/>
        </w:rPr>
      </w:pPr>
      <w:r>
        <w:rPr>
          <w:rFonts w:ascii="宋体" w:hAnsi="Calibri" w:eastAsia="宋体" w:cs="Arial"/>
          <w:kern w:val="0"/>
          <w:sz w:val="24"/>
          <w:szCs w:val="24"/>
        </w:rPr>
        <w:br w:type="page"/>
      </w:r>
      <w:r>
        <w:rPr>
          <w:rFonts w:hint="eastAsia" w:ascii="宋体" w:hAnsi="宋体" w:eastAsia="宋体" w:cs="Times New Roman"/>
          <w:b/>
          <w:sz w:val="24"/>
          <w:szCs w:val="24"/>
        </w:rPr>
        <w:t>问题的澄清、说明或补正</w:t>
      </w:r>
    </w:p>
    <w:p>
      <w:pPr>
        <w:rPr>
          <w:rFonts w:ascii="宋体" w:hAnsi="宋体" w:eastAsia="宋体" w:cs="Arial"/>
          <w:kern w:val="0"/>
          <w:sz w:val="24"/>
          <w:szCs w:val="24"/>
        </w:rPr>
      </w:pPr>
    </w:p>
    <w:p>
      <w:pPr>
        <w:spacing w:line="360" w:lineRule="auto"/>
        <w:rPr>
          <w:rFonts w:ascii="宋体" w:hAnsi="Calibri" w:eastAsia="宋体" w:cs="Arial"/>
          <w:kern w:val="0"/>
          <w:sz w:val="24"/>
          <w:szCs w:val="24"/>
        </w:rPr>
      </w:pPr>
      <w:r>
        <w:rPr>
          <w:rFonts w:hint="eastAsia" w:ascii="宋体" w:hAnsi="宋体" w:eastAsia="宋体" w:cs="Arial"/>
          <w:kern w:val="0"/>
          <w:sz w:val="24"/>
          <w:szCs w:val="24"/>
        </w:rPr>
        <w:t>磋商小组：</w:t>
      </w:r>
    </w:p>
    <w:p>
      <w:pPr>
        <w:spacing w:line="360" w:lineRule="auto"/>
        <w:ind w:firstLine="480" w:firstLineChars="200"/>
        <w:rPr>
          <w:rFonts w:ascii="宋体" w:hAnsi="Calibri" w:eastAsia="宋体" w:cs="Arial"/>
          <w:kern w:val="0"/>
          <w:sz w:val="24"/>
          <w:szCs w:val="24"/>
        </w:rPr>
      </w:pPr>
      <w:r>
        <w:rPr>
          <w:rFonts w:hint="eastAsia" w:ascii="宋体" w:hAnsi="宋体" w:eastAsia="宋体" w:cs="Arial"/>
          <w:kern w:val="0"/>
          <w:sz w:val="24"/>
          <w:szCs w:val="24"/>
        </w:rPr>
        <w:t>（招标项目名称）的问题澄清通知已收悉，现澄清、说明或者补正如下：</w:t>
      </w:r>
    </w:p>
    <w:p>
      <w:pPr>
        <w:spacing w:line="360" w:lineRule="auto"/>
        <w:rPr>
          <w:rFonts w:ascii="宋体" w:hAnsi="Calibri" w:eastAsia="宋体" w:cs="Arial"/>
          <w:kern w:val="0"/>
          <w:sz w:val="24"/>
          <w:szCs w:val="24"/>
        </w:rPr>
      </w:pPr>
    </w:p>
    <w:p>
      <w:pPr>
        <w:spacing w:line="360" w:lineRule="auto"/>
        <w:rPr>
          <w:rFonts w:ascii="宋体" w:hAnsi="Calibri" w:eastAsia="宋体" w:cs="Arial"/>
          <w:kern w:val="0"/>
          <w:sz w:val="24"/>
          <w:szCs w:val="24"/>
        </w:rPr>
      </w:pPr>
    </w:p>
    <w:p>
      <w:pPr>
        <w:spacing w:line="360" w:lineRule="auto"/>
        <w:rPr>
          <w:rFonts w:ascii="宋体" w:hAnsi="Calibri" w:eastAsia="宋体" w:cs="Arial"/>
          <w:kern w:val="0"/>
          <w:sz w:val="24"/>
          <w:szCs w:val="24"/>
        </w:rPr>
      </w:pPr>
    </w:p>
    <w:p>
      <w:pPr>
        <w:spacing w:line="360" w:lineRule="auto"/>
        <w:rPr>
          <w:rFonts w:ascii="宋体" w:hAnsi="Calibri" w:eastAsia="宋体" w:cs="Arial"/>
          <w:kern w:val="0"/>
          <w:sz w:val="24"/>
          <w:szCs w:val="24"/>
        </w:rPr>
      </w:pPr>
    </w:p>
    <w:p>
      <w:pPr>
        <w:spacing w:line="360" w:lineRule="auto"/>
        <w:rPr>
          <w:rFonts w:ascii="宋体" w:hAnsi="Calibri" w:eastAsia="宋体" w:cs="Arial"/>
          <w:kern w:val="0"/>
          <w:sz w:val="24"/>
          <w:szCs w:val="24"/>
        </w:rPr>
      </w:pPr>
    </w:p>
    <w:p>
      <w:pPr>
        <w:spacing w:line="360" w:lineRule="auto"/>
        <w:rPr>
          <w:rFonts w:ascii="宋体" w:hAnsi="Calibri" w:eastAsia="宋体" w:cs="Arial"/>
          <w:kern w:val="0"/>
          <w:sz w:val="24"/>
          <w:szCs w:val="24"/>
        </w:rPr>
      </w:pPr>
    </w:p>
    <w:p>
      <w:pPr>
        <w:spacing w:line="360" w:lineRule="auto"/>
        <w:rPr>
          <w:rFonts w:ascii="宋体" w:hAnsi="Calibri" w:eastAsia="宋体" w:cs="Arial"/>
          <w:kern w:val="0"/>
          <w:sz w:val="24"/>
          <w:szCs w:val="24"/>
        </w:rPr>
      </w:pPr>
    </w:p>
    <w:p>
      <w:pPr>
        <w:spacing w:line="360" w:lineRule="auto"/>
        <w:rPr>
          <w:rFonts w:ascii="宋体" w:hAnsi="Calibri" w:eastAsia="宋体" w:cs="Arial"/>
          <w:kern w:val="0"/>
          <w:sz w:val="24"/>
          <w:szCs w:val="24"/>
        </w:rPr>
      </w:pPr>
    </w:p>
    <w:p>
      <w:pPr>
        <w:spacing w:line="360" w:lineRule="auto"/>
        <w:rPr>
          <w:rFonts w:ascii="宋体" w:hAnsi="Calibri" w:eastAsia="宋体" w:cs="Arial"/>
          <w:kern w:val="0"/>
          <w:sz w:val="24"/>
          <w:szCs w:val="24"/>
        </w:rPr>
      </w:pPr>
    </w:p>
    <w:p>
      <w:pPr>
        <w:spacing w:line="360" w:lineRule="auto"/>
        <w:rPr>
          <w:rFonts w:ascii="宋体" w:hAnsi="Calibri" w:eastAsia="宋体" w:cs="Arial"/>
          <w:kern w:val="0"/>
          <w:sz w:val="24"/>
          <w:szCs w:val="24"/>
        </w:rPr>
      </w:pPr>
      <w:r>
        <w:rPr>
          <w:rFonts w:hint="eastAsia" w:ascii="宋体" w:hAnsi="宋体" w:eastAsia="宋体" w:cs="Arial"/>
          <w:kern w:val="0"/>
          <w:sz w:val="24"/>
          <w:szCs w:val="24"/>
        </w:rPr>
        <w:t>法定代表人或其授权委托人（签字）：</w:t>
      </w:r>
    </w:p>
    <w:p>
      <w:pPr>
        <w:spacing w:line="360" w:lineRule="auto"/>
        <w:rPr>
          <w:rFonts w:ascii="宋体" w:hAnsi="Calibri" w:eastAsia="宋体" w:cs="Arial"/>
          <w:kern w:val="0"/>
          <w:sz w:val="24"/>
          <w:szCs w:val="24"/>
        </w:rPr>
      </w:pPr>
    </w:p>
    <w:p>
      <w:pPr>
        <w:spacing w:line="360" w:lineRule="auto"/>
        <w:rPr>
          <w:rFonts w:ascii="宋体" w:hAnsi="Calibri" w:eastAsia="宋体" w:cs="Arial"/>
          <w:kern w:val="0"/>
          <w:sz w:val="24"/>
          <w:szCs w:val="24"/>
        </w:rPr>
      </w:pPr>
      <w:r>
        <w:rPr>
          <w:rFonts w:hint="eastAsia" w:ascii="宋体" w:hAnsi="宋体" w:eastAsia="宋体" w:cs="Arial"/>
          <w:kern w:val="0"/>
          <w:sz w:val="24"/>
          <w:szCs w:val="24"/>
        </w:rPr>
        <w:t>日期：年月日</w:t>
      </w:r>
    </w:p>
    <w:p>
      <w:pPr>
        <w:spacing w:line="360" w:lineRule="auto"/>
        <w:jc w:val="center"/>
        <w:outlineLvl w:val="0"/>
        <w:rPr>
          <w:rFonts w:ascii="宋体" w:hAnsi="宋体" w:eastAsia="宋体" w:cs="宋体"/>
          <w:b/>
          <w:sz w:val="24"/>
          <w:szCs w:val="24"/>
        </w:rPr>
      </w:pPr>
      <w:r>
        <w:rPr>
          <w:rFonts w:ascii="宋体" w:hAnsi="Calibri" w:eastAsia="宋体" w:cs="Arial"/>
          <w:kern w:val="0"/>
          <w:sz w:val="24"/>
          <w:szCs w:val="24"/>
        </w:rPr>
        <w:br w:type="page"/>
      </w:r>
      <w:bookmarkStart w:id="51" w:name="_Toc104243922"/>
      <w:r>
        <w:rPr>
          <w:rFonts w:hint="eastAsia" w:ascii="宋体" w:hAnsi="宋体" w:eastAsia="宋体" w:cs="宋体"/>
          <w:b/>
          <w:sz w:val="24"/>
          <w:szCs w:val="24"/>
        </w:rPr>
        <w:t>第三章 合同条款</w:t>
      </w:r>
      <w:bookmarkEnd w:id="50"/>
      <w:bookmarkEnd w:id="51"/>
    </w:p>
    <w:p/>
    <w:p>
      <w:pPr>
        <w:pStyle w:val="7"/>
      </w:pPr>
      <w:r>
        <w:br w:type="page"/>
      </w:r>
    </w:p>
    <w:p>
      <w:pPr>
        <w:spacing w:line="440" w:lineRule="exact"/>
        <w:jc w:val="center"/>
        <w:outlineLvl w:val="0"/>
        <w:rPr>
          <w:rFonts w:ascii="宋体" w:hAnsi="宋体" w:eastAsia="宋体" w:cs="宋体"/>
          <w:b/>
          <w:sz w:val="24"/>
          <w:szCs w:val="24"/>
        </w:rPr>
      </w:pPr>
      <w:bookmarkStart w:id="52" w:name="_Toc104243923"/>
      <w:r>
        <w:rPr>
          <w:rFonts w:hint="eastAsia" w:ascii="宋体" w:hAnsi="宋体" w:eastAsia="宋体" w:cs="宋体"/>
          <w:b/>
          <w:sz w:val="24"/>
          <w:szCs w:val="24"/>
        </w:rPr>
        <w:t>第四章 服务标准和要求</w:t>
      </w:r>
      <w:bookmarkEnd w:id="52"/>
      <w:bookmarkStart w:id="53" w:name="_Toc138638906"/>
      <w:bookmarkEnd w:id="53"/>
      <w:bookmarkStart w:id="54" w:name="_Toc138638510"/>
      <w:bookmarkEnd w:id="54"/>
      <w:bookmarkStart w:id="55" w:name="_Toc138639090"/>
      <w:bookmarkEnd w:id="55"/>
      <w:bookmarkStart w:id="56" w:name="_Toc138639074"/>
      <w:bookmarkEnd w:id="56"/>
      <w:bookmarkStart w:id="57" w:name="_Toc138638509"/>
      <w:bookmarkEnd w:id="57"/>
      <w:bookmarkStart w:id="58" w:name="_Toc138638907"/>
      <w:bookmarkEnd w:id="58"/>
      <w:bookmarkStart w:id="59" w:name="_Toc138638534"/>
      <w:bookmarkEnd w:id="59"/>
      <w:bookmarkStart w:id="60" w:name="_Toc138638773"/>
      <w:bookmarkEnd w:id="60"/>
      <w:bookmarkStart w:id="61" w:name="_Toc138638538"/>
      <w:bookmarkEnd w:id="61"/>
      <w:bookmarkStart w:id="62" w:name="_Toc138638884"/>
      <w:bookmarkEnd w:id="62"/>
      <w:bookmarkStart w:id="63" w:name="_Toc138638535"/>
      <w:bookmarkEnd w:id="63"/>
      <w:bookmarkStart w:id="64" w:name="_Toc138639091"/>
      <w:bookmarkEnd w:id="64"/>
      <w:bookmarkStart w:id="65" w:name="_Toc138638718"/>
      <w:bookmarkEnd w:id="65"/>
      <w:bookmarkStart w:id="66" w:name="_Toc138638883"/>
      <w:bookmarkEnd w:id="66"/>
      <w:bookmarkStart w:id="67" w:name="_Toc138638910"/>
      <w:bookmarkEnd w:id="67"/>
      <w:bookmarkStart w:id="68" w:name="_Toc138638702"/>
      <w:bookmarkEnd w:id="68"/>
      <w:bookmarkStart w:id="69" w:name="_Toc138639145"/>
      <w:bookmarkEnd w:id="69"/>
      <w:bookmarkStart w:id="70" w:name="_Toc138638719"/>
      <w:bookmarkEnd w:id="70"/>
      <w:bookmarkStart w:id="71" w:name="_合同文件的组成及解释顺序"/>
      <w:bookmarkEnd w:id="71"/>
    </w:p>
    <w:p>
      <w:pPr>
        <w:widowControl/>
        <w:spacing w:line="360" w:lineRule="auto"/>
        <w:jc w:val="left"/>
        <w:rPr>
          <w:rFonts w:cs="Times New Roman" w:asciiTheme="minorEastAsia" w:hAnsiTheme="minorEastAsia"/>
          <w:kern w:val="0"/>
          <w:sz w:val="24"/>
          <w:szCs w:val="20"/>
        </w:rPr>
      </w:pPr>
      <w:bookmarkStart w:id="72" w:name="_Toc531016893"/>
    </w:p>
    <w:p>
      <w:pPr>
        <w:tabs>
          <w:tab w:val="center" w:pos="4832"/>
          <w:tab w:val="left" w:pos="7140"/>
        </w:tabs>
        <w:spacing w:line="360" w:lineRule="auto"/>
        <w:jc w:val="left"/>
        <w:outlineLvl w:val="1"/>
        <w:rPr>
          <w:rFonts w:ascii="宋体" w:hAnsi="宋体" w:cs="宋体"/>
          <w:b/>
          <w:color w:val="000000" w:themeColor="text1"/>
          <w:sz w:val="24"/>
          <w:szCs w:val="24"/>
          <w14:textFill>
            <w14:solidFill>
              <w14:schemeClr w14:val="tx1"/>
            </w14:solidFill>
          </w14:textFill>
        </w:rPr>
      </w:pPr>
      <w:r>
        <w:rPr>
          <w:rFonts w:hint="eastAsia" w:ascii="宋体" w:hAnsi="宋体" w:cs="宋体"/>
          <w:b/>
          <w:color w:val="000000" w:themeColor="text1"/>
          <w:sz w:val="24"/>
          <w:szCs w:val="24"/>
          <w14:textFill>
            <w14:solidFill>
              <w14:schemeClr w14:val="tx1"/>
            </w14:solidFill>
          </w14:textFill>
        </w:rPr>
        <w:t>一、技术标准需求</w:t>
      </w:r>
    </w:p>
    <w:p>
      <w:pPr>
        <w:tabs>
          <w:tab w:val="center" w:pos="4832"/>
          <w:tab w:val="left" w:pos="7140"/>
        </w:tabs>
        <w:spacing w:line="360" w:lineRule="auto"/>
        <w:outlineLvl w:val="2"/>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（一）项目概述</w:t>
      </w:r>
    </w:p>
    <w:p>
      <w:pPr>
        <w:tabs>
          <w:tab w:val="center" w:pos="4832"/>
          <w:tab w:val="left" w:pos="7140"/>
        </w:tabs>
        <w:spacing w:line="360" w:lineRule="auto"/>
        <w:jc w:val="left"/>
        <w:outlineLvl w:val="2"/>
        <w:rPr>
          <w:rFonts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1.1</w:t>
      </w:r>
      <w:r>
        <w:rPr>
          <w:rFonts w:hint="eastAsia" w:ascii="宋体" w:hAnsi="宋体" w:cs="宋体"/>
          <w:b/>
          <w:color w:val="000000" w:themeColor="text1"/>
          <w:sz w:val="24"/>
          <w:szCs w:val="24"/>
          <w14:textFill>
            <w14:solidFill>
              <w14:schemeClr w14:val="tx1"/>
            </w14:solidFill>
          </w14:textFill>
        </w:rPr>
        <w:t xml:space="preserve"> </w:t>
      </w:r>
      <w:r>
        <w:rPr>
          <w:rFonts w:hint="eastAsia" w:ascii="宋体" w:hAnsi="宋体" w:eastAsia="宋体" w:cs="宋体"/>
          <w:b/>
          <w:color w:val="000000" w:themeColor="text1"/>
          <w:sz w:val="24"/>
          <w:szCs w:val="24"/>
          <w14:textFill>
            <w14:solidFill>
              <w14:schemeClr w14:val="tx1"/>
            </w14:solidFill>
          </w14:textFill>
        </w:rPr>
        <w:t>项目名称</w:t>
      </w:r>
    </w:p>
    <w:p>
      <w:pPr>
        <w:tabs>
          <w:tab w:val="center" w:pos="4832"/>
          <w:tab w:val="left" w:pos="7140"/>
        </w:tabs>
        <w:spacing w:line="360" w:lineRule="auto"/>
        <w:ind w:firstLine="480" w:firstLineChars="200"/>
        <w:jc w:val="left"/>
        <w:outlineLvl w:val="2"/>
        <w:rPr>
          <w:rFonts w:hint="eastAsia" w:ascii="宋体" w:hAnsi="宋体" w:eastAsia="宋体" w:cs="宋体"/>
          <w:b w:val="0"/>
          <w:bCs/>
          <w:color w:val="000000" w:themeColor="text1"/>
          <w:sz w:val="24"/>
          <w:szCs w:val="24"/>
          <w14:textFill>
            <w14:solidFill>
              <w14:schemeClr w14:val="tx1"/>
            </w14:solidFill>
          </w14:textFill>
        </w:rPr>
      </w:pPr>
      <w:r>
        <w:rPr>
          <w:rFonts w:hint="eastAsia" w:ascii="宋体" w:hAnsi="宋体" w:eastAsia="宋体" w:cs="宋体"/>
          <w:b w:val="0"/>
          <w:bCs/>
          <w:color w:val="000000" w:themeColor="text1"/>
          <w:sz w:val="24"/>
          <w:szCs w:val="24"/>
          <w14:textFill>
            <w14:solidFill>
              <w14:schemeClr w14:val="tx1"/>
            </w14:solidFill>
          </w14:textFill>
        </w:rPr>
        <w:t>新疆维吾尔自治区应急管理厅应急指挥专网信息安全性加固服务项目</w:t>
      </w:r>
    </w:p>
    <w:p>
      <w:pPr>
        <w:tabs>
          <w:tab w:val="center" w:pos="4832"/>
          <w:tab w:val="left" w:pos="7140"/>
        </w:tabs>
        <w:spacing w:line="360" w:lineRule="auto"/>
        <w:jc w:val="left"/>
        <w:outlineLvl w:val="2"/>
        <w:rPr>
          <w:rFonts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1.2</w:t>
      </w:r>
      <w:r>
        <w:rPr>
          <w:rFonts w:hint="eastAsia" w:ascii="宋体" w:hAnsi="宋体" w:cs="宋体"/>
          <w:b/>
          <w:color w:val="000000" w:themeColor="text1"/>
          <w:sz w:val="24"/>
          <w:szCs w:val="24"/>
          <w14:textFill>
            <w14:solidFill>
              <w14:schemeClr w14:val="tx1"/>
            </w14:solidFill>
          </w14:textFill>
        </w:rPr>
        <w:t xml:space="preserve"> </w:t>
      </w:r>
      <w:r>
        <w:rPr>
          <w:rFonts w:hint="eastAsia" w:ascii="宋体" w:hAnsi="宋体" w:eastAsia="宋体" w:cs="宋体"/>
          <w:b/>
          <w:color w:val="000000" w:themeColor="text1"/>
          <w:sz w:val="24"/>
          <w:szCs w:val="24"/>
          <w14:textFill>
            <w14:solidFill>
              <w14:schemeClr w14:val="tx1"/>
            </w14:solidFill>
          </w14:textFill>
        </w:rPr>
        <w:t>项目建设背景</w:t>
      </w:r>
    </w:p>
    <w:p>
      <w:pPr>
        <w:spacing w:line="360" w:lineRule="auto"/>
        <w:ind w:firstLine="480" w:firstLineChars="200"/>
        <w:rPr>
          <w:sz w:val="24"/>
          <w:szCs w:val="24"/>
        </w:rPr>
      </w:pPr>
      <w:r>
        <w:rPr>
          <w:rFonts w:hint="eastAsia"/>
          <w:sz w:val="24"/>
          <w:szCs w:val="24"/>
        </w:rPr>
        <w:t>自治区应急管理厅根据《中华人民共和国国家安全法》、《中华人民共和国密码法》、《中华人民共和国数据安全法》、《国务院安委会办公室国家减灾委办公室应急管理部关于加强应急基础信息管理的通知》（安委办〔2019〕8号）等相关文件要求，结合自治区应急管理厅应急指挥专网的网络和安全现状，按照网络安全等级保护制度的要求，落实网络安全保护责任，采取网络安全技术措施防范计算机病毒、网络攻击、网络入侵等行为，保障网络免受干扰、破坏或者未经授权的访问，防止网络数据泄露或者被窃取、篡改。进一步提高网络安全保障能力，主要通过购买服务的方式，开展自治区应急管理厅应急指挥专网网络安全加固服务项目。</w:t>
      </w:r>
    </w:p>
    <w:p>
      <w:pPr>
        <w:tabs>
          <w:tab w:val="center" w:pos="4832"/>
          <w:tab w:val="left" w:pos="7140"/>
        </w:tabs>
        <w:spacing w:line="360" w:lineRule="auto"/>
        <w:jc w:val="left"/>
        <w:outlineLvl w:val="2"/>
        <w:rPr>
          <w:rFonts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1.</w:t>
      </w:r>
      <w:r>
        <w:rPr>
          <w:rFonts w:hint="eastAsia" w:ascii="宋体" w:hAnsi="宋体" w:cs="宋体"/>
          <w:b/>
          <w:color w:val="000000" w:themeColor="text1"/>
          <w:sz w:val="24"/>
          <w:szCs w:val="24"/>
          <w14:textFill>
            <w14:solidFill>
              <w14:schemeClr w14:val="tx1"/>
            </w14:solidFill>
          </w14:textFill>
        </w:rPr>
        <w:t xml:space="preserve">3 </w:t>
      </w:r>
      <w:r>
        <w:rPr>
          <w:rFonts w:hint="eastAsia" w:ascii="宋体" w:hAnsi="宋体" w:eastAsia="宋体" w:cs="宋体"/>
          <w:b/>
          <w:color w:val="000000" w:themeColor="text1"/>
          <w:sz w:val="24"/>
          <w:szCs w:val="24"/>
          <w14:textFill>
            <w14:solidFill>
              <w14:schemeClr w14:val="tx1"/>
            </w14:solidFill>
          </w14:textFill>
        </w:rPr>
        <w:t>项目建设原则</w:t>
      </w:r>
    </w:p>
    <w:p>
      <w:pPr>
        <w:widowControl/>
        <w:spacing w:line="360" w:lineRule="auto"/>
        <w:ind w:firstLine="480" w:firstLineChars="200"/>
        <w:jc w:val="left"/>
        <w:rPr>
          <w:rFonts w:ascii="宋体" w:hAnsi="宋体" w:eastAsia="宋体" w:cs="Times New Roman"/>
          <w:kern w:val="0"/>
          <w:sz w:val="24"/>
          <w:szCs w:val="20"/>
          <w:lang w:val="en-GB"/>
        </w:rPr>
      </w:pPr>
      <w:r>
        <w:rPr>
          <w:rFonts w:hint="eastAsia" w:ascii="宋体" w:hAnsi="宋体" w:eastAsia="宋体" w:cs="Times New Roman"/>
          <w:kern w:val="0"/>
          <w:sz w:val="24"/>
          <w:szCs w:val="20"/>
          <w:lang w:val="en-GB"/>
        </w:rPr>
        <w:t>本项目以提升</w:t>
      </w:r>
      <w:r>
        <w:rPr>
          <w:rFonts w:hint="eastAsia" w:ascii="宋体" w:hAnsi="宋体" w:eastAsia="宋体" w:cs="Times New Roman"/>
          <w:sz w:val="24"/>
          <w:szCs w:val="24"/>
        </w:rPr>
        <w:t>应急指挥专网网络安全</w:t>
      </w:r>
      <w:r>
        <w:rPr>
          <w:rFonts w:hint="eastAsia" w:ascii="宋体" w:hAnsi="宋体" w:eastAsia="宋体" w:cs="Times New Roman"/>
          <w:kern w:val="0"/>
          <w:sz w:val="24"/>
          <w:szCs w:val="20"/>
          <w:lang w:val="en-GB"/>
        </w:rPr>
        <w:t>保障能力为基础，通过人员与技术服务相结合的方式开展</w:t>
      </w:r>
      <w:r>
        <w:rPr>
          <w:rFonts w:hint="eastAsia" w:ascii="宋体" w:hAnsi="宋体" w:eastAsia="宋体" w:cs="Times New Roman"/>
          <w:sz w:val="24"/>
          <w:szCs w:val="24"/>
        </w:rPr>
        <w:t>应急指挥专网网络安全性加固服务等</w:t>
      </w:r>
      <w:r>
        <w:rPr>
          <w:rFonts w:hint="eastAsia" w:ascii="宋体" w:hAnsi="宋体" w:eastAsia="宋体" w:cs="Times New Roman"/>
          <w:kern w:val="0"/>
          <w:sz w:val="24"/>
          <w:szCs w:val="20"/>
          <w:lang w:val="en-GB"/>
        </w:rPr>
        <w:t>工作，强化安全服务能力，按照</w:t>
      </w:r>
      <w:r>
        <w:rPr>
          <w:rFonts w:hint="eastAsia" w:ascii="宋体" w:hAnsi="宋体" w:eastAsia="宋体" w:cs="Times New Roman"/>
          <w:kern w:val="0"/>
          <w:sz w:val="24"/>
          <w:szCs w:val="20"/>
        </w:rPr>
        <w:t>标准化、高性能、高可靠性</w:t>
      </w:r>
      <w:r>
        <w:rPr>
          <w:rFonts w:hint="eastAsia" w:ascii="宋体" w:hAnsi="宋体" w:eastAsia="宋体" w:cs="Times New Roman"/>
          <w:kern w:val="0"/>
          <w:sz w:val="24"/>
          <w:szCs w:val="20"/>
          <w:lang w:val="en-GB"/>
        </w:rPr>
        <w:t>的原则进行建设。严格遵守以下原则：</w:t>
      </w:r>
    </w:p>
    <w:p>
      <w:pPr>
        <w:spacing w:line="360" w:lineRule="auto"/>
        <w:ind w:firstLine="480" w:firstLineChars="200"/>
        <w:rPr>
          <w:rFonts w:ascii="宋体" w:hAnsi="宋体" w:eastAsia="宋体" w:cs="Times New Roman"/>
          <w:kern w:val="0"/>
          <w:sz w:val="24"/>
          <w:szCs w:val="20"/>
          <w:lang w:val="en-GB"/>
        </w:rPr>
      </w:pPr>
      <w:r>
        <w:rPr>
          <w:rFonts w:hint="eastAsia" w:ascii="宋体" w:hAnsi="宋体" w:eastAsia="宋体" w:cs="Times New Roman"/>
          <w:kern w:val="0"/>
          <w:sz w:val="24"/>
          <w:szCs w:val="20"/>
          <w:lang w:val="en-GB"/>
        </w:rPr>
        <w:t>1.标准化原则</w:t>
      </w:r>
    </w:p>
    <w:p>
      <w:pPr>
        <w:pStyle w:val="206"/>
        <w:rPr>
          <w:rFonts w:ascii="宋体" w:hAnsi="宋体"/>
          <w:szCs w:val="20"/>
          <w:lang w:val="en-GB"/>
        </w:rPr>
      </w:pPr>
      <w:r>
        <w:rPr>
          <w:rFonts w:hint="eastAsia" w:ascii="宋体" w:hAnsi="宋体"/>
          <w:szCs w:val="20"/>
          <w:lang w:val="en-GB"/>
        </w:rPr>
        <w:t>标准化是信息系统建设的基础保障，应用服务系统建设必须在安全体系和安全技术、信息表示和信息交换、网络协议等标准方面遵循统一技术标准，才能达到“互联、互通”要求，实现“信息交换、资源共享”。网络系统必须支持国际上通用的网络协议、路由协议等开放的协议标准，有利于保证与其它网络之间的平滑连接互通，以及将来网络的扩展。</w:t>
      </w:r>
    </w:p>
    <w:p>
      <w:pPr>
        <w:spacing w:line="360" w:lineRule="auto"/>
        <w:ind w:firstLine="480" w:firstLineChars="200"/>
        <w:rPr>
          <w:rFonts w:ascii="宋体" w:hAnsi="宋体" w:eastAsia="宋体" w:cs="Times New Roman"/>
          <w:kern w:val="0"/>
          <w:sz w:val="24"/>
          <w:szCs w:val="20"/>
          <w:lang w:val="en-GB"/>
        </w:rPr>
      </w:pPr>
      <w:r>
        <w:rPr>
          <w:rFonts w:hint="eastAsia" w:ascii="宋体" w:hAnsi="宋体" w:eastAsia="宋体" w:cs="Times New Roman"/>
          <w:kern w:val="0"/>
          <w:sz w:val="24"/>
          <w:szCs w:val="20"/>
          <w:lang w:val="en-GB"/>
        </w:rPr>
        <w:t>2.高性能原则</w:t>
      </w:r>
    </w:p>
    <w:p>
      <w:pPr>
        <w:pStyle w:val="206"/>
        <w:rPr>
          <w:rFonts w:ascii="宋体" w:hAnsi="宋体"/>
          <w:szCs w:val="20"/>
          <w:lang w:val="en-GB"/>
        </w:rPr>
      </w:pPr>
      <w:r>
        <w:rPr>
          <w:rFonts w:hint="eastAsia" w:ascii="宋体" w:hAnsi="宋体"/>
          <w:szCs w:val="20"/>
          <w:lang w:val="en-GB"/>
        </w:rPr>
        <w:t>随着应急管理业务的不断完善，各类信息的共享与业务协同、各种信息数据的汇聚将对网络性能提出更高的要求。应急管理厅整体网络架构应具备高速转发性能，保证各项业务的顺利开展。</w:t>
      </w:r>
      <w:r>
        <w:rPr>
          <w:rFonts w:hint="eastAsia" w:ascii="宋体" w:hAnsi="宋体"/>
          <w:szCs w:val="24"/>
        </w:rPr>
        <w:t>应急指挥专网</w:t>
      </w:r>
      <w:r>
        <w:rPr>
          <w:rFonts w:hint="eastAsia" w:ascii="宋体" w:hAnsi="宋体"/>
          <w:szCs w:val="20"/>
          <w:lang w:val="en-GB"/>
        </w:rPr>
        <w:t>是</w:t>
      </w:r>
      <w:r>
        <w:rPr>
          <w:rFonts w:hint="eastAsia" w:ascii="宋体" w:hAnsi="宋体"/>
          <w:szCs w:val="20"/>
        </w:rPr>
        <w:t>应急管理厅</w:t>
      </w:r>
      <w:r>
        <w:rPr>
          <w:rFonts w:hint="eastAsia" w:ascii="宋体" w:hAnsi="宋体"/>
          <w:szCs w:val="20"/>
          <w:lang w:val="en-GB"/>
        </w:rPr>
        <w:t>网络</w:t>
      </w:r>
      <w:r>
        <w:rPr>
          <w:rFonts w:hint="eastAsia" w:ascii="宋体" w:hAnsi="宋体"/>
          <w:szCs w:val="20"/>
        </w:rPr>
        <w:t>的重要组成部分</w:t>
      </w:r>
      <w:r>
        <w:rPr>
          <w:rFonts w:hint="eastAsia" w:ascii="宋体" w:hAnsi="宋体"/>
          <w:szCs w:val="20"/>
          <w:lang w:val="en-GB"/>
        </w:rPr>
        <w:t>，必须保障网络及</w:t>
      </w:r>
      <w:r>
        <w:rPr>
          <w:rFonts w:hint="eastAsia" w:ascii="宋体" w:hAnsi="宋体"/>
          <w:szCs w:val="20"/>
        </w:rPr>
        <w:t>安全</w:t>
      </w:r>
      <w:r>
        <w:rPr>
          <w:rFonts w:hint="eastAsia" w:ascii="宋体" w:hAnsi="宋体"/>
          <w:szCs w:val="20"/>
          <w:lang w:val="en-GB"/>
        </w:rPr>
        <w:t>设备的高吞吐能力，使网络系统不成为业务运行的瓶颈。</w:t>
      </w:r>
    </w:p>
    <w:p>
      <w:pPr>
        <w:spacing w:line="360" w:lineRule="auto"/>
        <w:ind w:firstLine="480" w:firstLineChars="200"/>
        <w:rPr>
          <w:rFonts w:ascii="宋体" w:hAnsi="宋体" w:eastAsia="宋体" w:cs="Times New Roman"/>
          <w:kern w:val="0"/>
          <w:sz w:val="24"/>
          <w:szCs w:val="20"/>
          <w:lang w:val="en-GB"/>
        </w:rPr>
      </w:pPr>
      <w:r>
        <w:rPr>
          <w:rFonts w:hint="eastAsia" w:ascii="宋体" w:hAnsi="宋体" w:eastAsia="宋体" w:cs="Times New Roman"/>
          <w:kern w:val="0"/>
          <w:sz w:val="24"/>
          <w:szCs w:val="20"/>
          <w:lang w:val="en-GB"/>
        </w:rPr>
        <w:t>3.高可靠性原则</w:t>
      </w:r>
    </w:p>
    <w:p>
      <w:pPr>
        <w:pStyle w:val="206"/>
        <w:rPr>
          <w:lang w:val="en-GB"/>
        </w:rPr>
      </w:pPr>
      <w:r>
        <w:rPr>
          <w:rFonts w:hint="eastAsia" w:ascii="宋体" w:hAnsi="宋体"/>
          <w:szCs w:val="20"/>
          <w:lang w:val="en-GB"/>
        </w:rPr>
        <w:t>信息系统的稳定可靠是网络正常运行的关键。在自治区应急管理厅应急指挥专网网络安全加固服务项目中要选用高可靠性网络</w:t>
      </w:r>
      <w:r>
        <w:rPr>
          <w:rFonts w:hint="eastAsia" w:ascii="宋体" w:hAnsi="宋体"/>
          <w:szCs w:val="20"/>
        </w:rPr>
        <w:t>安全设备</w:t>
      </w:r>
      <w:r>
        <w:rPr>
          <w:rFonts w:hint="eastAsia" w:ascii="宋体" w:hAnsi="宋体"/>
          <w:szCs w:val="20"/>
          <w:lang w:val="en-GB"/>
        </w:rPr>
        <w:t>，网络交换设备充分考虑冗余、容错能力；合理设计网络架构，制订可靠的网络备份策略，最大限度地支持系统的正常运行；网络</w:t>
      </w:r>
      <w:r>
        <w:rPr>
          <w:rFonts w:hint="eastAsia" w:ascii="宋体" w:hAnsi="宋体"/>
          <w:szCs w:val="20"/>
        </w:rPr>
        <w:t>安全</w:t>
      </w:r>
      <w:r>
        <w:rPr>
          <w:rFonts w:hint="eastAsia" w:ascii="宋体" w:hAnsi="宋体"/>
          <w:szCs w:val="20"/>
          <w:lang w:val="en-GB"/>
        </w:rPr>
        <w:t>设备在出现故障时应便于诊断和排除，充分体现计算机网络的高可靠性。实现业务系统的7×24小时不间断工作。</w:t>
      </w:r>
    </w:p>
    <w:p>
      <w:pPr>
        <w:tabs>
          <w:tab w:val="center" w:pos="4832"/>
          <w:tab w:val="left" w:pos="7140"/>
        </w:tabs>
        <w:spacing w:line="360" w:lineRule="auto"/>
        <w:jc w:val="left"/>
        <w:outlineLvl w:val="2"/>
        <w:rPr>
          <w:rFonts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1.</w:t>
      </w:r>
      <w:r>
        <w:rPr>
          <w:rFonts w:hint="eastAsia" w:ascii="宋体" w:hAnsi="宋体" w:cs="宋体"/>
          <w:b/>
          <w:color w:val="000000" w:themeColor="text1"/>
          <w:sz w:val="24"/>
          <w:szCs w:val="24"/>
          <w14:textFill>
            <w14:solidFill>
              <w14:schemeClr w14:val="tx1"/>
            </w14:solidFill>
          </w14:textFill>
        </w:rPr>
        <w:t xml:space="preserve">4 </w:t>
      </w:r>
      <w:r>
        <w:rPr>
          <w:rFonts w:hint="eastAsia" w:ascii="宋体" w:hAnsi="宋体" w:eastAsia="宋体" w:cs="宋体"/>
          <w:b/>
          <w:color w:val="000000" w:themeColor="text1"/>
          <w:sz w:val="24"/>
          <w:szCs w:val="24"/>
          <w14:textFill>
            <w14:solidFill>
              <w14:schemeClr w14:val="tx1"/>
            </w14:solidFill>
          </w14:textFill>
        </w:rPr>
        <w:t>项目建设目标</w:t>
      </w:r>
    </w:p>
    <w:p>
      <w:pPr>
        <w:spacing w:line="360" w:lineRule="auto"/>
        <w:ind w:firstLine="480" w:firstLineChars="200"/>
        <w:rPr>
          <w:rFonts w:ascii="宋体" w:hAnsi="宋体" w:cs="宋体"/>
          <w:sz w:val="24"/>
          <w:szCs w:val="28"/>
        </w:rPr>
      </w:pPr>
      <w:r>
        <w:rPr>
          <w:rFonts w:hint="eastAsia" w:ascii="宋体" w:hAnsi="宋体" w:cs="宋体"/>
          <w:sz w:val="24"/>
          <w:szCs w:val="28"/>
        </w:rPr>
        <w:t>自治区应急管理厅为保障网络安全总体可控，推动应急管理指挥相关工作有序开展，强化安全服务能力和质效管理水平，实现对指挥信息网的安全加固，依据网络安全等级保护三级2.0标准，按照“</w:t>
      </w:r>
      <w:r>
        <w:rPr>
          <w:rFonts w:hint="eastAsia" w:ascii="宋体" w:hAnsi="宋体" w:eastAsia="宋体" w:cs="Times New Roman"/>
          <w:kern w:val="0"/>
          <w:sz w:val="24"/>
          <w:szCs w:val="20"/>
        </w:rPr>
        <w:t>标准化、高性能、高可靠</w:t>
      </w:r>
      <w:r>
        <w:rPr>
          <w:rFonts w:hint="eastAsia" w:ascii="宋体" w:hAnsi="宋体" w:cs="宋体"/>
          <w:sz w:val="24"/>
          <w:szCs w:val="28"/>
        </w:rPr>
        <w:t>”的基本原则，在安全物理环境、安全通信网络、安全区域边界、安全计算环境和安全管理中心等方面进行安全规划与建设，确保应急指挥专网“网络建设合规、安全防护到位”。</w:t>
      </w:r>
    </w:p>
    <w:p>
      <w:pPr>
        <w:numPr>
          <w:ilvl w:val="0"/>
          <w:numId w:val="3"/>
        </w:numPr>
        <w:tabs>
          <w:tab w:val="center" w:pos="4832"/>
          <w:tab w:val="left" w:pos="7140"/>
        </w:tabs>
        <w:spacing w:line="360" w:lineRule="auto"/>
        <w:outlineLvl w:val="2"/>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技术需求</w:t>
      </w:r>
    </w:p>
    <w:p>
      <w:pPr>
        <w:pStyle w:val="2"/>
        <w:ind w:firstLine="482"/>
      </w:pPr>
      <w:r>
        <w:rPr>
          <w:rFonts w:hint="eastAsia"/>
          <w:b/>
          <w:bCs/>
          <w:u w:val="single"/>
        </w:rPr>
        <w:t>有负偏离的每项将扣分</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为保障自治区应急管理厅应急指挥专网网络安全和数据安全总体可控，推动应急管理相关工作有序开展，持续强化应急指挥能力，通过购买服务方式，形成科学有效的网络安全保障体系，有效提升应急管理厅应急指挥救援能力，支撑自治区应急管理厅应急指挥专网安全平稳运行。</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本项目主要围绕自治区应急管理厅应急指挥专网运行环境，开展自治区应急管理厅安全运营服务等相关工作，主要包含搭建网络安全监测通报预警机制，开展漏洞扫描、基线核查巡查巡检服务、安全规划咨询服务、网络安全审计服务，并为实现网络安全监测通报预警机制和相关安全服务配备相应的安全设备。根据本项目工作内容，形成以下任务需求，投标方需逐一应答，并制定符合招标人要求的相应工作方案。</w:t>
      </w:r>
    </w:p>
    <w:p>
      <w:pPr>
        <w:tabs>
          <w:tab w:val="center" w:pos="4832"/>
          <w:tab w:val="left" w:pos="7140"/>
        </w:tabs>
        <w:spacing w:line="360" w:lineRule="auto"/>
        <w:jc w:val="left"/>
        <w:outlineLvl w:val="2"/>
        <w:rPr>
          <w:rFonts w:ascii="宋体" w:hAnsi="宋体" w:cs="宋体"/>
          <w:b/>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2.</w:t>
      </w:r>
      <w:r>
        <w:rPr>
          <w:rFonts w:hint="eastAsia" w:ascii="宋体" w:hAnsi="宋体" w:cs="宋体"/>
          <w:b/>
          <w:color w:val="000000" w:themeColor="text1"/>
          <w:sz w:val="24"/>
          <w:szCs w:val="24"/>
          <w14:textFill>
            <w14:solidFill>
              <w14:schemeClr w14:val="tx1"/>
            </w14:solidFill>
          </w14:textFill>
        </w:rPr>
        <w:t>1 技术服务需求</w:t>
      </w:r>
    </w:p>
    <w:p>
      <w:pPr>
        <w:tabs>
          <w:tab w:val="center" w:pos="4832"/>
          <w:tab w:val="left" w:pos="7140"/>
        </w:tabs>
        <w:spacing w:line="360" w:lineRule="auto"/>
        <w:jc w:val="left"/>
        <w:outlineLvl w:val="3"/>
        <w:rPr>
          <w:rFonts w:ascii="宋体" w:hAnsi="宋体" w:cs="宋体"/>
          <w:b/>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2.</w:t>
      </w:r>
      <w:r>
        <w:rPr>
          <w:rFonts w:hint="eastAsia" w:ascii="宋体" w:hAnsi="宋体" w:cs="宋体"/>
          <w:b/>
          <w:color w:val="000000" w:themeColor="text1"/>
          <w:sz w:val="24"/>
          <w:szCs w:val="24"/>
          <w14:textFill>
            <w14:solidFill>
              <w14:schemeClr w14:val="tx1"/>
            </w14:solidFill>
          </w14:textFill>
        </w:rPr>
        <w:t>1.1 搭建网络安全监测通报预警机制服务需求</w:t>
      </w:r>
    </w:p>
    <w:p>
      <w:pPr>
        <w:pStyle w:val="7"/>
        <w:spacing w:after="0" w:line="360" w:lineRule="auto"/>
        <w:ind w:firstLine="524" w:firstLineChars="200"/>
        <w:rPr>
          <w:rFonts w:ascii="宋体" w:hAnsi="宋体"/>
          <w:szCs w:val="24"/>
        </w:rPr>
      </w:pPr>
      <w:r>
        <w:rPr>
          <w:rFonts w:hint="eastAsia" w:ascii="宋体" w:hAnsi="宋体" w:cs="宋体"/>
          <w:bCs/>
          <w:snapToGrid w:val="0"/>
          <w:color w:val="000000" w:themeColor="text1"/>
          <w:spacing w:val="11"/>
          <w:szCs w:val="24"/>
          <w14:textFill>
            <w14:solidFill>
              <w14:schemeClr w14:val="tx1"/>
            </w14:solidFill>
          </w14:textFill>
        </w:rPr>
        <w:t>项目以自治区应急管理厅</w:t>
      </w:r>
      <w:r>
        <w:rPr>
          <w:rFonts w:hint="eastAsia" w:ascii="宋体" w:hAnsi="宋体"/>
          <w:szCs w:val="24"/>
        </w:rPr>
        <w:t>应急指挥专网网络安全性加固</w:t>
      </w:r>
      <w:r>
        <w:rPr>
          <w:rFonts w:hint="eastAsia" w:ascii="宋体" w:hAnsi="宋体" w:cs="宋体"/>
          <w:bCs/>
          <w:snapToGrid w:val="0"/>
          <w:color w:val="000000" w:themeColor="text1"/>
          <w:spacing w:val="11"/>
          <w:szCs w:val="24"/>
          <w14:textFill>
            <w14:solidFill>
              <w14:schemeClr w14:val="tx1"/>
            </w14:solidFill>
          </w14:textFill>
        </w:rPr>
        <w:t>为主线，搭建</w:t>
      </w:r>
      <w:r>
        <w:rPr>
          <w:rFonts w:hint="eastAsia" w:ascii="宋体" w:hAnsi="宋体"/>
          <w:szCs w:val="24"/>
        </w:rPr>
        <w:t>网络安全监测通报预警机制,内容如下：</w:t>
      </w:r>
    </w:p>
    <w:p>
      <w:pPr>
        <w:spacing w:line="360" w:lineRule="auto"/>
        <w:ind w:firstLine="524" w:firstLineChars="200"/>
        <w:rPr>
          <w:rFonts w:ascii="宋体" w:hAnsi="宋体" w:eastAsia="宋体" w:cs="宋体"/>
          <w:bCs/>
          <w:snapToGrid w:val="0"/>
          <w:color w:val="000000" w:themeColor="text1"/>
          <w:spacing w:val="11"/>
          <w:kern w:val="0"/>
          <w:sz w:val="24"/>
          <w:szCs w:val="24"/>
          <w14:textFill>
            <w14:solidFill>
              <w14:schemeClr w14:val="tx1"/>
            </w14:solidFill>
          </w14:textFill>
        </w:rPr>
      </w:pPr>
      <w:r>
        <w:rPr>
          <w:rFonts w:hint="eastAsia" w:ascii="宋体" w:hAnsi="宋体" w:eastAsia="宋体" w:cs="宋体"/>
          <w:bCs/>
          <w:snapToGrid w:val="0"/>
          <w:color w:val="000000" w:themeColor="text1"/>
          <w:spacing w:val="11"/>
          <w:kern w:val="0"/>
          <w:sz w:val="24"/>
          <w:szCs w:val="24"/>
          <w14:textFill>
            <w14:solidFill>
              <w14:schemeClr w14:val="tx1"/>
            </w14:solidFill>
          </w14:textFill>
        </w:rPr>
        <w:t>1.投标方应在本项目中提供网络安全监测服务，通过人员与技术相结合的方式对关键信息基础设施对应的信息系统及安全设备进行远程监测服务，并利用相关工具对漏洞、弱点进行扫描，攻击事件监测、分析、并提出处置整改建议，每周编制《网络安全监测运行报告》，提交至自治区应急管理厅信息中心。</w:t>
      </w:r>
    </w:p>
    <w:p>
      <w:pPr>
        <w:spacing w:line="360" w:lineRule="auto"/>
        <w:ind w:firstLine="524" w:firstLineChars="200"/>
        <w:rPr>
          <w:rFonts w:ascii="宋体" w:hAnsi="宋体" w:eastAsia="宋体" w:cs="宋体"/>
          <w:bCs/>
          <w:snapToGrid w:val="0"/>
          <w:color w:val="000000" w:themeColor="text1"/>
          <w:spacing w:val="11"/>
          <w:kern w:val="0"/>
          <w:sz w:val="24"/>
          <w:szCs w:val="24"/>
          <w14:textFill>
            <w14:solidFill>
              <w14:schemeClr w14:val="tx1"/>
            </w14:solidFill>
          </w14:textFill>
        </w:rPr>
      </w:pPr>
      <w:r>
        <w:rPr>
          <w:rFonts w:hint="eastAsia" w:ascii="宋体" w:hAnsi="宋体" w:eastAsia="宋体" w:cs="宋体"/>
          <w:bCs/>
          <w:snapToGrid w:val="0"/>
          <w:color w:val="000000" w:themeColor="text1"/>
          <w:spacing w:val="11"/>
          <w:kern w:val="0"/>
          <w:sz w:val="24"/>
          <w:szCs w:val="24"/>
          <w14:textFill>
            <w14:solidFill>
              <w14:schemeClr w14:val="tx1"/>
            </w14:solidFill>
          </w14:textFill>
        </w:rPr>
        <w:t>2.投标方应在本项目中提供互联网资产发现及远程渗透服务，利用远程发现和现场核查等手段，每周监测发现应急管理厅及下属各州市县应急管理局关键信息基础设施及重要信息系统安全隐患，每年对应急管理厅及下属各州市县应急管理局已经发现的关键信息基础设施及重要信息系统进行一次渗透测试。</w:t>
      </w:r>
    </w:p>
    <w:p>
      <w:pPr>
        <w:spacing w:line="360" w:lineRule="auto"/>
        <w:ind w:firstLine="524" w:firstLineChars="200"/>
      </w:pPr>
      <w:r>
        <w:rPr>
          <w:rFonts w:hint="eastAsia" w:ascii="宋体" w:hAnsi="宋体" w:eastAsia="宋体" w:cs="宋体"/>
          <w:bCs/>
          <w:snapToGrid w:val="0"/>
          <w:color w:val="000000" w:themeColor="text1"/>
          <w:spacing w:val="11"/>
          <w:kern w:val="0"/>
          <w:sz w:val="24"/>
          <w:szCs w:val="24"/>
          <w14:textFill>
            <w14:solidFill>
              <w14:schemeClr w14:val="tx1"/>
            </w14:solidFill>
          </w14:textFill>
        </w:rPr>
        <w:t>3.投标方应在本项目中提供网络安全培训服务，围绕网络安全意识培训、关键信息基础设施认定和防护培训、网络安全技能培训，加强应急管理厅人才建设，提升所属关键信息技术设施维护人员的综合安全技术水平，并结合本项目网络安全工作的实际需求，每年对自治区应急管理厅及下属各州应急管理局关键信息基础设施及重要信息基础设施维护人员提供全疆范围的网络安全培训，并形成相关培训手册。</w:t>
      </w:r>
    </w:p>
    <w:p>
      <w:pPr>
        <w:tabs>
          <w:tab w:val="center" w:pos="4832"/>
          <w:tab w:val="left" w:pos="7140"/>
        </w:tabs>
        <w:spacing w:line="360" w:lineRule="auto"/>
        <w:jc w:val="left"/>
        <w:outlineLvl w:val="3"/>
        <w:rPr>
          <w:rFonts w:ascii="宋体" w:hAnsi="宋体" w:cs="宋体"/>
          <w:b/>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2.1.</w:t>
      </w:r>
      <w:r>
        <w:rPr>
          <w:rFonts w:hint="eastAsia" w:ascii="宋体" w:hAnsi="宋体" w:cs="宋体"/>
          <w:b/>
          <w:color w:val="000000" w:themeColor="text1"/>
          <w:sz w:val="24"/>
          <w:szCs w:val="24"/>
          <w14:textFill>
            <w14:solidFill>
              <w14:schemeClr w14:val="tx1"/>
            </w14:solidFill>
          </w14:textFill>
        </w:rPr>
        <w:t>2安全服务技术需求</w:t>
      </w:r>
    </w:p>
    <w:p>
      <w:pPr>
        <w:spacing w:line="360" w:lineRule="auto"/>
        <w:ind w:firstLine="524" w:firstLineChars="200"/>
        <w:rPr>
          <w:rFonts w:ascii="宋体" w:hAnsi="宋体" w:eastAsia="宋体" w:cs="宋体"/>
          <w:bCs/>
          <w:snapToGrid w:val="0"/>
          <w:color w:val="000000" w:themeColor="text1"/>
          <w:spacing w:val="11"/>
          <w:kern w:val="0"/>
          <w:sz w:val="24"/>
          <w:szCs w:val="24"/>
          <w14:textFill>
            <w14:solidFill>
              <w14:schemeClr w14:val="tx1"/>
            </w14:solidFill>
          </w14:textFill>
        </w:rPr>
      </w:pPr>
      <w:r>
        <w:rPr>
          <w:rFonts w:hint="eastAsia" w:ascii="宋体" w:hAnsi="宋体" w:eastAsia="宋体" w:cs="宋体"/>
          <w:bCs/>
          <w:snapToGrid w:val="0"/>
          <w:color w:val="000000" w:themeColor="text1"/>
          <w:spacing w:val="11"/>
          <w:kern w:val="0"/>
          <w:sz w:val="24"/>
          <w:szCs w:val="24"/>
          <w14:textFill>
            <w14:solidFill>
              <w14:schemeClr w14:val="tx1"/>
            </w14:solidFill>
          </w14:textFill>
        </w:rPr>
        <w:t>本项目以自治区应急管理厅应急指挥专网网络安全能力提升为主线。借助构建安全机制、安全服务、安全培训等手段，健全完善应急指挥专网安全防控管理服务体系，在日常安全服务中，常态化开展漏洞扫描服务、基线核查服务、安全规划咨询服务，并对网络安全服务质效开展审计服务。</w:t>
      </w:r>
    </w:p>
    <w:p>
      <w:pPr>
        <w:numPr>
          <w:ilvl w:val="0"/>
          <w:numId w:val="4"/>
        </w:num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漏洞扫描服务</w:t>
      </w:r>
    </w:p>
    <w:p>
      <w:pPr>
        <w:spacing w:line="360" w:lineRule="auto"/>
        <w:ind w:firstLine="480" w:firstLineChars="200"/>
        <w:rPr>
          <w:rFonts w:ascii="宋体" w:hAnsi="宋体" w:eastAsia="宋体" w:cs="宋体"/>
          <w:sz w:val="24"/>
          <w:szCs w:val="24"/>
        </w:rPr>
      </w:pPr>
      <w:r>
        <w:rPr>
          <w:rFonts w:ascii="宋体" w:hAnsi="宋体" w:eastAsia="宋体" w:cs="宋体"/>
          <w:sz w:val="24"/>
          <w:szCs w:val="24"/>
        </w:rPr>
        <w:t>投标方</w:t>
      </w:r>
      <w:r>
        <w:rPr>
          <w:rFonts w:hint="eastAsia" w:ascii="宋体" w:hAnsi="宋体" w:eastAsia="宋体" w:cs="宋体"/>
          <w:sz w:val="24"/>
          <w:szCs w:val="24"/>
        </w:rPr>
        <w:t>应提供针对自治区应急管理厅应急指挥专网的漏洞扫描服务，通过人员与技术相结合的方式</w:t>
      </w:r>
      <w:r>
        <w:rPr>
          <w:rFonts w:ascii="宋体" w:hAnsi="宋体" w:eastAsia="宋体" w:cs="宋体"/>
          <w:sz w:val="24"/>
          <w:szCs w:val="24"/>
        </w:rPr>
        <w:t>在大流量、高复杂数据环境下实现对主机、操作系统以及网络设备的实时响应管理，开展全面扫描、资产发现、漏洞扫描、脆弱性检查、评估与管理等工作，并及时处置潜在的安全漏洞风险，每月输出漏洞扫描和处置服务报告。</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2.基线核查服务</w:t>
      </w:r>
    </w:p>
    <w:p>
      <w:pPr>
        <w:spacing w:line="360" w:lineRule="auto"/>
        <w:ind w:firstLine="480" w:firstLineChars="200"/>
        <w:rPr>
          <w:rFonts w:ascii="宋体" w:hAnsi="宋体" w:eastAsia="宋体" w:cs="宋体"/>
          <w:sz w:val="24"/>
          <w:szCs w:val="24"/>
        </w:rPr>
      </w:pPr>
      <w:r>
        <w:rPr>
          <w:rFonts w:ascii="宋体" w:hAnsi="宋体" w:eastAsia="宋体" w:cs="宋体"/>
          <w:sz w:val="24"/>
          <w:szCs w:val="24"/>
        </w:rPr>
        <w:t>投标方</w:t>
      </w:r>
      <w:r>
        <w:rPr>
          <w:rFonts w:hint="eastAsia" w:ascii="宋体" w:hAnsi="宋体" w:eastAsia="宋体" w:cs="宋体"/>
          <w:sz w:val="24"/>
          <w:szCs w:val="24"/>
        </w:rPr>
        <w:t>应提供针对自治区应急管理厅应急指挥专网的</w:t>
      </w:r>
      <w:r>
        <w:rPr>
          <w:rFonts w:ascii="宋体" w:hAnsi="宋体" w:eastAsia="宋体" w:cs="宋体"/>
          <w:sz w:val="24"/>
          <w:szCs w:val="24"/>
        </w:rPr>
        <w:t>基线核查</w:t>
      </w:r>
      <w:r>
        <w:rPr>
          <w:rFonts w:hint="eastAsia" w:ascii="宋体" w:hAnsi="宋体" w:eastAsia="宋体" w:cs="宋体"/>
          <w:sz w:val="24"/>
          <w:szCs w:val="24"/>
        </w:rPr>
        <w:t>服务，通过人员与技术相结合的方式，</w:t>
      </w:r>
      <w:r>
        <w:rPr>
          <w:rFonts w:ascii="宋体" w:hAnsi="宋体" w:eastAsia="宋体" w:cs="宋体"/>
          <w:sz w:val="24"/>
          <w:szCs w:val="24"/>
        </w:rPr>
        <w:t>根据安全基线规范基准，</w:t>
      </w:r>
      <w:r>
        <w:rPr>
          <w:rFonts w:hint="eastAsia" w:ascii="宋体" w:hAnsi="宋体" w:eastAsia="宋体" w:cs="宋体"/>
          <w:sz w:val="24"/>
          <w:szCs w:val="24"/>
        </w:rPr>
        <w:t>完成</w:t>
      </w:r>
      <w:r>
        <w:rPr>
          <w:rFonts w:ascii="宋体" w:hAnsi="宋体" w:eastAsia="宋体" w:cs="宋体"/>
          <w:sz w:val="24"/>
          <w:szCs w:val="24"/>
        </w:rPr>
        <w:t>上线安全检查、第三方入网安全检查、合规安全检查（上级检查）、日常安全检查和安全服务等任务，发现</w:t>
      </w:r>
      <w:r>
        <w:rPr>
          <w:rFonts w:hint="eastAsia" w:ascii="宋体" w:hAnsi="宋体" w:eastAsia="宋体" w:cs="宋体"/>
          <w:sz w:val="24"/>
          <w:szCs w:val="24"/>
        </w:rPr>
        <w:t>应急指挥专网</w:t>
      </w:r>
      <w:r>
        <w:rPr>
          <w:rFonts w:ascii="宋体" w:hAnsi="宋体" w:eastAsia="宋体" w:cs="宋体"/>
          <w:sz w:val="24"/>
          <w:szCs w:val="24"/>
        </w:rPr>
        <w:t>和应用中存在的配置缺陷、管理漏洞，提升网络和应用系统的安全强度</w:t>
      </w:r>
      <w:r>
        <w:rPr>
          <w:rFonts w:hint="eastAsia" w:ascii="宋体" w:hAnsi="宋体" w:eastAsia="宋体" w:cs="宋体"/>
          <w:sz w:val="24"/>
          <w:szCs w:val="24"/>
        </w:rPr>
        <w:t>，每季度输出自治区应急管理厅应急指挥专网基线核查检测报告。</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3.网络安全规划咨询服务</w:t>
      </w:r>
    </w:p>
    <w:p>
      <w:pPr>
        <w:spacing w:line="360" w:lineRule="auto"/>
        <w:ind w:firstLine="480" w:firstLineChars="200"/>
        <w:rPr>
          <w:rFonts w:ascii="宋体" w:hAnsi="宋体" w:eastAsia="宋体" w:cs="宋体"/>
          <w:sz w:val="24"/>
          <w:szCs w:val="24"/>
        </w:rPr>
      </w:pPr>
      <w:r>
        <w:rPr>
          <w:rFonts w:ascii="宋体" w:hAnsi="宋体" w:eastAsia="宋体" w:cs="宋体"/>
          <w:sz w:val="24"/>
          <w:szCs w:val="24"/>
        </w:rPr>
        <w:t>为客户提供网络安全PDCA全生命周期的安全咨询服务内容，从信息安全规划、咨询并实施各类安全解决方案，结合网络安全发展新态势、新要求，帮助用户网络安全应急指挥保障机制，使网络安全建设和发展形成健康、良性的循环，逐步提升应急管理政务服务能力和应急指挥保障能力。</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4.网络安全审计服务</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投标方应提供符合本项目的网络安全审计服务，通过人员与技术相结合的方式检查和评价自治区应急管理厅应急指挥专网各项安全措施，确保网络安全活动符合法律法规和管理制度的要求，使得自治区应急管理厅应急指挥专网得到有效的安全保障。</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在服务期间配合自治区应急管理厅完成应急指挥专网审计工作，每次审计服务结束后应按照自治区应急管理厅安全审计报告格式出具符合要求的审计报告。</w:t>
      </w:r>
    </w:p>
    <w:p>
      <w:pPr>
        <w:tabs>
          <w:tab w:val="center" w:pos="4832"/>
          <w:tab w:val="left" w:pos="7140"/>
        </w:tabs>
        <w:spacing w:line="360" w:lineRule="auto"/>
        <w:jc w:val="left"/>
        <w:outlineLvl w:val="3"/>
        <w:rPr>
          <w:rFonts w:ascii="宋体" w:hAnsi="宋体" w:cs="宋体"/>
          <w:b/>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2.1.</w:t>
      </w:r>
      <w:r>
        <w:rPr>
          <w:rFonts w:hint="eastAsia" w:ascii="宋体" w:hAnsi="宋体" w:cs="宋体"/>
          <w:b/>
          <w:color w:val="000000" w:themeColor="text1"/>
          <w:sz w:val="24"/>
          <w:szCs w:val="24"/>
          <w14:textFill>
            <w14:solidFill>
              <w14:schemeClr w14:val="tx1"/>
            </w14:solidFill>
          </w14:textFill>
        </w:rPr>
        <w:t>3配套基础设施防护需求</w:t>
      </w:r>
    </w:p>
    <w:p>
      <w:pPr>
        <w:pStyle w:val="205"/>
        <w:rPr>
          <w:rFonts w:cs="宋体"/>
          <w:bCs/>
          <w:color w:val="000000" w:themeColor="text1"/>
          <w14:textFill>
            <w14:solidFill>
              <w14:schemeClr w14:val="tx1"/>
            </w14:solidFill>
          </w14:textFill>
        </w:rPr>
      </w:pPr>
      <w:r>
        <w:rPr>
          <w:rFonts w:hint="eastAsia" w:eastAsia="宋体" w:cs="宋体"/>
          <w:bCs/>
          <w:color w:val="000000" w:themeColor="text1"/>
          <w14:textFill>
            <w14:solidFill>
              <w14:schemeClr w14:val="tx1"/>
            </w14:solidFill>
          </w14:textFill>
        </w:rPr>
        <w:t>1.投标方应在本项目中提供防火墙设备，</w:t>
      </w:r>
      <w:r>
        <w:rPr>
          <w:rFonts w:hint="eastAsia" w:cs="宋体"/>
          <w:bCs/>
          <w:color w:val="000000" w:themeColor="text1"/>
          <w14:textFill>
            <w14:solidFill>
              <w14:schemeClr w14:val="tx1"/>
            </w14:solidFill>
          </w14:textFill>
        </w:rPr>
        <w:t>为自治区应急管理厅应急指挥专网提供访问控制、会话控制、应用行为控制、流量控制、入侵防御和病毒过滤等技术服务。能够对链路健康检查，并对勒索病毒能够及时做出防御，为应急专网提供安全可靠的网络安全环境。</w:t>
      </w:r>
    </w:p>
    <w:p>
      <w:pPr>
        <w:pStyle w:val="205"/>
        <w:rPr>
          <w:rFonts w:eastAsia="宋体" w:cs="宋体"/>
          <w:bCs/>
          <w:color w:val="000000" w:themeColor="text1"/>
          <w14:textFill>
            <w14:solidFill>
              <w14:schemeClr w14:val="tx1"/>
            </w14:solidFill>
          </w14:textFill>
        </w:rPr>
      </w:pPr>
      <w:r>
        <w:rPr>
          <w:rFonts w:hint="eastAsia" w:eastAsia="宋体" w:cs="宋体"/>
          <w:bCs/>
          <w:color w:val="000000" w:themeColor="text1"/>
          <w14:textFill>
            <w14:solidFill>
              <w14:schemeClr w14:val="tx1"/>
            </w14:solidFill>
          </w14:textFill>
        </w:rPr>
        <w:t>2.投标方应在本项目中提供入侵防御设备，形成闭环入侵检测防御机制，实时识别和阻断病毒、木马、SQL注入、跨站脚本攻击、DoS/DDoS、扫描等安全威胁，提供网络滥用流量的识别和控制功能。并执行实时精确阻断，主动而高效地保护应急指挥专网安全，同时可以对漏洞攻击、蠕虫病毒、间谍软件、木马后门、溢出攻击、数据库攻击、高级威胁攻击、暴力破解等多种深层攻击行为进行防御。</w:t>
      </w:r>
    </w:p>
    <w:p>
      <w:pPr>
        <w:pStyle w:val="205"/>
        <w:rPr>
          <w:rFonts w:eastAsia="宋体" w:cs="宋体"/>
          <w:bCs/>
          <w:color w:val="000000" w:themeColor="text1"/>
          <w14:textFill>
            <w14:solidFill>
              <w14:schemeClr w14:val="tx1"/>
            </w14:solidFill>
          </w14:textFill>
        </w:rPr>
      </w:pPr>
      <w:r>
        <w:rPr>
          <w:rFonts w:hint="eastAsia" w:eastAsia="宋体" w:cs="宋体"/>
          <w:bCs/>
          <w:color w:val="000000" w:themeColor="text1"/>
          <w14:textFill>
            <w14:solidFill>
              <w14:schemeClr w14:val="tx1"/>
            </w14:solidFill>
          </w14:textFill>
        </w:rPr>
        <w:t>3.投标方应在本项目中提供探针设备，完成对</w:t>
      </w:r>
      <w:r>
        <w:rPr>
          <w:rFonts w:hint="eastAsia" w:eastAsia="宋体" w:cs="宋体"/>
          <w:kern w:val="2"/>
        </w:rPr>
        <w:t>应急指挥专网</w:t>
      </w:r>
      <w:r>
        <w:rPr>
          <w:rFonts w:hint="eastAsia" w:eastAsia="宋体" w:cs="宋体"/>
          <w:bCs/>
          <w:color w:val="000000" w:themeColor="text1"/>
          <w14:textFill>
            <w14:solidFill>
              <w14:schemeClr w14:val="tx1"/>
            </w14:solidFill>
          </w14:textFill>
        </w:rPr>
        <w:t>中网络流量数据的捕获、流量信息的获取、流量信息的过滤、流量信息的预处理、流量统计、长流识别等流量监测、分析等功能。</w:t>
      </w:r>
    </w:p>
    <w:p>
      <w:pPr>
        <w:pStyle w:val="205"/>
        <w:rPr>
          <w:rFonts w:eastAsia="宋体" w:cs="宋体"/>
          <w:bCs/>
          <w:color w:val="000000" w:themeColor="text1"/>
          <w14:textFill>
            <w14:solidFill>
              <w14:schemeClr w14:val="tx1"/>
            </w14:solidFill>
          </w14:textFill>
        </w:rPr>
      </w:pPr>
      <w:r>
        <w:rPr>
          <w:rFonts w:hint="eastAsia" w:eastAsia="宋体" w:cs="宋体"/>
          <w:bCs/>
          <w:color w:val="000000" w:themeColor="text1"/>
          <w14:textFill>
            <w14:solidFill>
              <w14:schemeClr w14:val="tx1"/>
            </w14:solidFill>
          </w14:textFill>
        </w:rPr>
        <w:t>4.投标方应在本项目中提供日志审计设备，全面收集自治区应急管理厅应急指挥专网相关系统中的安全设备、网络设备、数据库、服务器、应用系统、主机等设备所产生的日志并进行采集、留存，并实时监控告警，合规审计等。通过工具按季度输出日志审计服务报告，完善自治区应急管理厅网络安全审计和溯源机制，切实提高网络安全防护水平。</w:t>
      </w:r>
    </w:p>
    <w:p>
      <w:pPr>
        <w:pStyle w:val="205"/>
        <w:rPr>
          <w:rFonts w:eastAsia="宋体" w:cs="宋体"/>
          <w:bCs/>
          <w:color w:val="000000" w:themeColor="text1"/>
          <w14:textFill>
            <w14:solidFill>
              <w14:schemeClr w14:val="tx1"/>
            </w14:solidFill>
          </w14:textFill>
        </w:rPr>
      </w:pPr>
      <w:r>
        <w:rPr>
          <w:rFonts w:hint="eastAsia" w:eastAsia="宋体" w:cs="宋体"/>
          <w:bCs/>
          <w:color w:val="000000" w:themeColor="text1"/>
          <w14:textFill>
            <w14:solidFill>
              <w14:schemeClr w14:val="tx1"/>
            </w14:solidFill>
          </w14:textFill>
        </w:rPr>
        <w:t>5.投标方应在本项目中提供数据库审计设备，针对自治区应急管理厅应急指挥专网相关系统中数据库的各种操作，解析还原成原始的数据库语句，通过匹配预置的安全规则，智能分析和监控访问者的各种操作，进行实时威胁预警，并对事件统计分析、记录。</w:t>
      </w:r>
    </w:p>
    <w:p>
      <w:pPr>
        <w:pStyle w:val="205"/>
        <w:rPr>
          <w:rFonts w:eastAsia="宋体" w:cs="宋体"/>
          <w:bCs/>
          <w:color w:val="000000" w:themeColor="text1"/>
          <w14:textFill>
            <w14:solidFill>
              <w14:schemeClr w14:val="tx1"/>
            </w14:solidFill>
          </w14:textFill>
        </w:rPr>
      </w:pPr>
      <w:r>
        <w:rPr>
          <w:rFonts w:hint="eastAsia" w:eastAsia="宋体" w:cs="宋体"/>
          <w:bCs/>
          <w:color w:val="000000" w:themeColor="text1"/>
          <w14:textFill>
            <w14:solidFill>
              <w14:schemeClr w14:val="tx1"/>
            </w14:solidFill>
          </w14:textFill>
        </w:rPr>
        <w:t>6.投标方应在本项目中提供基线核查设备，针对自治区应急管理厅应急指挥专网相关服务器操作系统、数据库、软件和容器的配置进行安全检测，并提供检测结果说明和加固建议。基线检查功能可以帮您进行系统安全加固，降低入侵风险并满足安全合规要求。</w:t>
      </w:r>
    </w:p>
    <w:p>
      <w:pPr>
        <w:tabs>
          <w:tab w:val="center" w:pos="4832"/>
          <w:tab w:val="left" w:pos="7140"/>
        </w:tabs>
        <w:spacing w:line="360" w:lineRule="auto"/>
        <w:jc w:val="left"/>
        <w:outlineLvl w:val="2"/>
        <w:rPr>
          <w:rFonts w:ascii="宋体" w:hAnsi="宋体" w:cs="宋体"/>
          <w:b/>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2.</w:t>
      </w:r>
      <w:r>
        <w:rPr>
          <w:rFonts w:hint="eastAsia" w:ascii="宋体" w:hAnsi="宋体" w:cs="宋体"/>
          <w:b/>
          <w:color w:val="000000" w:themeColor="text1"/>
          <w:sz w:val="24"/>
          <w:szCs w:val="24"/>
          <w14:textFill>
            <w14:solidFill>
              <w14:schemeClr w14:val="tx1"/>
            </w14:solidFill>
          </w14:textFill>
        </w:rPr>
        <w:t>2 技术服务规格和要求</w:t>
      </w:r>
    </w:p>
    <w:p>
      <w:pPr>
        <w:pStyle w:val="7"/>
        <w:spacing w:after="0" w:line="360" w:lineRule="auto"/>
        <w:ind w:firstLine="480" w:firstLineChars="200"/>
      </w:pPr>
      <w:r>
        <w:rPr>
          <w:rFonts w:hint="eastAsia"/>
        </w:rPr>
        <w:t>本章节规定了本项目采购内容的技术服务指标项。</w:t>
      </w:r>
    </w:p>
    <w:p>
      <w:pPr>
        <w:tabs>
          <w:tab w:val="center" w:pos="4832"/>
          <w:tab w:val="left" w:pos="7140"/>
        </w:tabs>
        <w:spacing w:line="360" w:lineRule="auto"/>
        <w:jc w:val="left"/>
        <w:outlineLvl w:val="3"/>
        <w:rPr>
          <w:rFonts w:ascii="宋体" w:hAnsi="宋体" w:cs="宋体"/>
          <w:b/>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2.2.</w:t>
      </w:r>
      <w:r>
        <w:rPr>
          <w:rFonts w:hint="eastAsia" w:ascii="宋体" w:hAnsi="宋体" w:cs="宋体"/>
          <w:b/>
          <w:color w:val="000000" w:themeColor="text1"/>
          <w:sz w:val="24"/>
          <w:szCs w:val="24"/>
          <w14:textFill>
            <w14:solidFill>
              <w14:schemeClr w14:val="tx1"/>
            </w14:solidFill>
          </w14:textFill>
        </w:rPr>
        <w:t>1 搭建网络安全监测通报预警机制服务要求</w:t>
      </w:r>
    </w:p>
    <w:tbl>
      <w:tblPr>
        <w:tblStyle w:val="38"/>
        <w:tblW w:w="87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0"/>
        <w:gridCol w:w="2167"/>
        <w:gridCol w:w="58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750" w:type="dxa"/>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序号</w:t>
            </w:r>
          </w:p>
        </w:tc>
        <w:tc>
          <w:tcPr>
            <w:tcW w:w="2167" w:type="dxa"/>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指标项</w:t>
            </w:r>
          </w:p>
        </w:tc>
        <w:tc>
          <w:tcPr>
            <w:tcW w:w="5863" w:type="dxa"/>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指标要求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50" w:type="dxa"/>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1</w:t>
            </w:r>
          </w:p>
        </w:tc>
        <w:tc>
          <w:tcPr>
            <w:tcW w:w="2167" w:type="dxa"/>
            <w:shd w:val="clear" w:color="auto" w:fill="auto"/>
            <w:vAlign w:val="center"/>
          </w:tcPr>
          <w:p>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搭建网络安全监测通报预警机制服务</w:t>
            </w:r>
          </w:p>
        </w:tc>
        <w:tc>
          <w:tcPr>
            <w:tcW w:w="5863" w:type="dxa"/>
            <w:shd w:val="clear" w:color="auto" w:fill="auto"/>
            <w:vAlign w:val="center"/>
          </w:tcPr>
          <w:p>
            <w:pPr>
              <w:widowControl/>
              <w:jc w:val="left"/>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搭建网络安全监测通报预警机制服务1项。通过</w:t>
            </w:r>
            <w:r>
              <w:rPr>
                <w:rFonts w:hint="eastAsia" w:ascii="宋体" w:hAnsi="宋体" w:eastAsia="宋体" w:cs="宋体"/>
                <w:color w:val="000000" w:themeColor="text1"/>
                <w:szCs w:val="21"/>
                <w14:textFill>
                  <w14:solidFill>
                    <w14:schemeClr w14:val="tx1"/>
                  </w14:solidFill>
                </w14:textFill>
              </w:rPr>
              <w:t>搭建网络安全监测通报预警机制，完成网络安全监测、远程渗透测试、网络安全培训</w:t>
            </w:r>
            <w:r>
              <w:rPr>
                <w:rFonts w:hint="eastAsia" w:ascii="宋体" w:hAnsi="宋体" w:eastAsia="宋体" w:cs="宋体"/>
                <w:color w:val="000000"/>
                <w:kern w:val="0"/>
                <w:szCs w:val="21"/>
                <w:lang w:bidi="ar"/>
              </w:rPr>
              <w:t>。包含以下内容：</w:t>
            </w:r>
          </w:p>
          <w:p>
            <w:pPr>
              <w:pStyle w:val="7"/>
              <w:numPr>
                <w:ilvl w:val="0"/>
                <w:numId w:val="5"/>
              </w:numPr>
              <w:spacing w:after="0"/>
              <w:rPr>
                <w:rFonts w:ascii="宋体" w:hAnsi="宋体" w:cs="宋体"/>
                <w:sz w:val="21"/>
                <w:szCs w:val="21"/>
              </w:rPr>
            </w:pPr>
            <w:r>
              <w:rPr>
                <w:rFonts w:hint="eastAsia" w:ascii="宋体" w:hAnsi="宋体" w:cs="宋体"/>
                <w:sz w:val="21"/>
                <w:szCs w:val="21"/>
              </w:rPr>
              <w:t>网络安全监测服务：每周对关键信息基础设施对应的信息系统进行监管服务，主要针对攻击事件进行监测、分析、并提出处置整改建议；</w:t>
            </w:r>
          </w:p>
          <w:p>
            <w:pPr>
              <w:pStyle w:val="7"/>
              <w:numPr>
                <w:ilvl w:val="0"/>
                <w:numId w:val="5"/>
              </w:numPr>
              <w:spacing w:after="0"/>
              <w:rPr>
                <w:rFonts w:ascii="宋体" w:hAnsi="宋体" w:cs="宋体"/>
                <w:sz w:val="21"/>
                <w:szCs w:val="21"/>
              </w:rPr>
            </w:pPr>
            <w:r>
              <w:rPr>
                <w:rFonts w:hint="eastAsia" w:ascii="宋体" w:hAnsi="宋体" w:cs="宋体"/>
                <w:sz w:val="21"/>
                <w:szCs w:val="21"/>
              </w:rPr>
              <w:t>技术服务：利用远程发现和现场核查等手段，提供互联网资产发现技术服务，对应急管理厅及下属各州市县应急管理局已经发现的关键信息基础设施及重要信息系统每年进行一次渗透测试；</w:t>
            </w:r>
          </w:p>
          <w:p>
            <w:pPr>
              <w:pStyle w:val="7"/>
              <w:numPr>
                <w:ilvl w:val="0"/>
                <w:numId w:val="5"/>
              </w:numPr>
              <w:spacing w:after="0"/>
              <w:rPr>
                <w:rFonts w:ascii="宋体" w:hAnsi="宋体" w:cs="宋体"/>
                <w:color w:val="000000"/>
                <w:szCs w:val="21"/>
                <w:lang w:bidi="ar"/>
              </w:rPr>
            </w:pPr>
            <w:r>
              <w:rPr>
                <w:rFonts w:hint="eastAsia" w:ascii="宋体" w:hAnsi="宋体" w:cs="宋体"/>
                <w:sz w:val="21"/>
                <w:szCs w:val="21"/>
              </w:rPr>
              <w:t>全年开展不少于32课时，授课老师具备至少5年以上实战经验，具备安全认证证书；开展全疆范围的网络安全意识培训公开课；针对关键信息基础设施管理人员、维护人员的认定、防护培训开展关键信息基础设施认定和防护培训；对应急管理厅及下属各州应急管理局关键信息基础设施及重要信息系统干部提供网络安全技能培训。</w:t>
            </w:r>
          </w:p>
        </w:tc>
      </w:tr>
    </w:tbl>
    <w:p>
      <w:pPr>
        <w:ind w:firstLine="480" w:firstLineChars="200"/>
        <w:rPr>
          <w:rFonts w:ascii="宋体" w:hAnsi="宋体" w:cs="宋体"/>
          <w:bCs/>
          <w:color w:val="000000" w:themeColor="text1"/>
          <w:sz w:val="24"/>
          <w:szCs w:val="24"/>
          <w14:textFill>
            <w14:solidFill>
              <w14:schemeClr w14:val="tx1"/>
            </w14:solidFill>
          </w14:textFill>
        </w:rPr>
      </w:pPr>
    </w:p>
    <w:p>
      <w:pPr>
        <w:tabs>
          <w:tab w:val="center" w:pos="4832"/>
          <w:tab w:val="left" w:pos="7140"/>
        </w:tabs>
        <w:spacing w:line="360" w:lineRule="auto"/>
        <w:jc w:val="left"/>
        <w:outlineLvl w:val="3"/>
        <w:rPr>
          <w:rFonts w:ascii="宋体" w:hAnsi="宋体" w:cs="宋体"/>
          <w:b/>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2.2.</w:t>
      </w:r>
      <w:r>
        <w:rPr>
          <w:rFonts w:hint="eastAsia" w:ascii="宋体" w:hAnsi="宋体" w:cs="宋体"/>
          <w:b/>
          <w:color w:val="000000" w:themeColor="text1"/>
          <w:sz w:val="24"/>
          <w:szCs w:val="24"/>
          <w14:textFill>
            <w14:solidFill>
              <w14:schemeClr w14:val="tx1"/>
            </w14:solidFill>
          </w14:textFill>
        </w:rPr>
        <w:t>2 安全服务技术要求</w:t>
      </w:r>
    </w:p>
    <w:tbl>
      <w:tblPr>
        <w:tblStyle w:val="38"/>
        <w:tblW w:w="87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0"/>
        <w:gridCol w:w="2167"/>
        <w:gridCol w:w="58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750" w:type="dxa"/>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序号</w:t>
            </w:r>
          </w:p>
        </w:tc>
        <w:tc>
          <w:tcPr>
            <w:tcW w:w="2167" w:type="dxa"/>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指标项</w:t>
            </w:r>
          </w:p>
        </w:tc>
        <w:tc>
          <w:tcPr>
            <w:tcW w:w="5863" w:type="dxa"/>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指标要求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50" w:type="dxa"/>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1</w:t>
            </w:r>
          </w:p>
        </w:tc>
        <w:tc>
          <w:tcPr>
            <w:tcW w:w="2167" w:type="dxa"/>
            <w:shd w:val="clear" w:color="auto" w:fill="auto"/>
            <w:vAlign w:val="center"/>
          </w:tcPr>
          <w:p>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漏洞扫描服务</w:t>
            </w:r>
          </w:p>
        </w:tc>
        <w:tc>
          <w:tcPr>
            <w:tcW w:w="5863" w:type="dxa"/>
            <w:shd w:val="clear" w:color="auto" w:fill="auto"/>
            <w:vAlign w:val="center"/>
          </w:tcPr>
          <w:p>
            <w:pPr>
              <w:rPr>
                <w:rFonts w:ascii="宋体" w:hAnsi="宋体" w:eastAsia="宋体" w:cs="宋体"/>
                <w:color w:val="000000"/>
                <w:szCs w:val="21"/>
              </w:rPr>
            </w:pPr>
            <w:r>
              <w:rPr>
                <w:rFonts w:hint="eastAsia" w:ascii="宋体" w:hAnsi="宋体" w:eastAsia="宋体" w:cs="宋体"/>
                <w:color w:val="000000"/>
                <w:kern w:val="0"/>
                <w:szCs w:val="21"/>
                <w:lang w:bidi="ar"/>
              </w:rPr>
              <w:t>投标方应提供针对自治区应急管理厅应急指挥专网的漏洞扫描服务，通过人员与技术相结合的方式在大流量、高复杂数据环境下实现对主机、操作系统以及网络设备的实时响应管理，开展全面扫描、资产发现、漏洞扫描、脆弱性检查、评估与管理等工作，并及时处置潜在的安全漏洞风险，每月输出漏洞扫描和处置服务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jc w:val="center"/>
        </w:trPr>
        <w:tc>
          <w:tcPr>
            <w:tcW w:w="750" w:type="dxa"/>
            <w:shd w:val="clear" w:color="auto" w:fill="auto"/>
            <w:vAlign w:val="center"/>
          </w:tcPr>
          <w:p>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2</w:t>
            </w:r>
          </w:p>
        </w:tc>
        <w:tc>
          <w:tcPr>
            <w:tcW w:w="2167" w:type="dxa"/>
            <w:shd w:val="clear" w:color="auto" w:fill="auto"/>
            <w:vAlign w:val="center"/>
          </w:tcPr>
          <w:p>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基线核查服务</w:t>
            </w:r>
          </w:p>
        </w:tc>
        <w:tc>
          <w:tcPr>
            <w:tcW w:w="5863" w:type="dxa"/>
            <w:shd w:val="clear" w:color="auto" w:fill="auto"/>
            <w:vAlign w:val="center"/>
          </w:tcPr>
          <w:p>
            <w:pPr>
              <w:rPr>
                <w:rFonts w:ascii="宋体" w:hAnsi="宋体" w:eastAsia="宋体" w:cs="宋体"/>
                <w:color w:val="000000"/>
                <w:kern w:val="0"/>
                <w:szCs w:val="21"/>
                <w:lang w:bidi="ar"/>
              </w:rPr>
            </w:pPr>
            <w:r>
              <w:rPr>
                <w:rFonts w:hint="eastAsia" w:ascii="宋体" w:hAnsi="宋体" w:eastAsia="宋体" w:cs="宋体"/>
                <w:szCs w:val="21"/>
              </w:rPr>
              <w:t>投标方应提供针对自治区应急管理厅应急指挥专网的基线核查服务，通过人员与技术相结合的方式，根据安全基线规范基准，完成上线安全检查、第三方入网安全检查、合规安全检查（上级检查）、日常安全检查和安全服务等任务，发现应急指挥专网和应用中存在的配置缺陷、管理漏洞，提升网络和应用系统的安全强度，每季度输出自治区应急管理厅应急指挥专网基线核查检测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7" w:hRule="atLeast"/>
          <w:jc w:val="center"/>
        </w:trPr>
        <w:tc>
          <w:tcPr>
            <w:tcW w:w="750" w:type="dxa"/>
            <w:shd w:val="clear" w:color="auto" w:fill="auto"/>
            <w:vAlign w:val="center"/>
          </w:tcPr>
          <w:p>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3</w:t>
            </w:r>
          </w:p>
        </w:tc>
        <w:tc>
          <w:tcPr>
            <w:tcW w:w="2167" w:type="dxa"/>
            <w:shd w:val="clear" w:color="auto" w:fill="auto"/>
            <w:vAlign w:val="center"/>
          </w:tcPr>
          <w:p>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安全规划咨询服务</w:t>
            </w:r>
          </w:p>
        </w:tc>
        <w:tc>
          <w:tcPr>
            <w:tcW w:w="5863" w:type="dxa"/>
            <w:shd w:val="clear" w:color="auto" w:fill="auto"/>
            <w:vAlign w:val="center"/>
          </w:tcPr>
          <w:p>
            <w:pPr>
              <w:rPr>
                <w:rFonts w:ascii="宋体" w:hAnsi="宋体" w:eastAsia="宋体" w:cs="宋体"/>
                <w:szCs w:val="21"/>
              </w:rPr>
            </w:pPr>
            <w:r>
              <w:rPr>
                <w:rFonts w:hint="eastAsia" w:ascii="宋体" w:hAnsi="宋体" w:eastAsia="宋体" w:cs="宋体"/>
                <w:szCs w:val="21"/>
              </w:rPr>
              <w:t>咨询规划服务基于组织业务和安全现状，参考国内外网络安全建设最佳实践和理论，根据网络安全相关标准规范，为用户提供全生命周期的安全调研、分析、规划体系建设等，并通过安全运营服务跟随确保交付成果的可落地性、可执行性，帮助用户建立持续的网络安全保障体系。</w:t>
            </w:r>
          </w:p>
          <w:p>
            <w:pPr>
              <w:rPr>
                <w:rFonts w:ascii="宋体" w:hAnsi="宋体" w:eastAsia="宋体" w:cs="宋体"/>
                <w:szCs w:val="21"/>
              </w:rPr>
            </w:pPr>
            <w:r>
              <w:rPr>
                <w:rFonts w:hint="eastAsia" w:ascii="宋体" w:hAnsi="宋体" w:eastAsia="宋体" w:cs="宋体"/>
                <w:szCs w:val="21"/>
              </w:rPr>
              <w:t>1.政策合规性安全规划咨询服务</w:t>
            </w:r>
          </w:p>
          <w:p>
            <w:pPr>
              <w:rPr>
                <w:rFonts w:ascii="宋体" w:hAnsi="宋体" w:eastAsia="宋体" w:cs="宋体"/>
                <w:szCs w:val="21"/>
              </w:rPr>
            </w:pPr>
            <w:r>
              <w:rPr>
                <w:rFonts w:hint="eastAsia" w:ascii="宋体" w:hAnsi="宋体" w:eastAsia="宋体" w:cs="宋体"/>
                <w:szCs w:val="21"/>
              </w:rPr>
              <w:t>凭借对通用标准及行业专属标准的深刻理解，为客户提供包括分保、等保在内的合规性设计咨询服务，帮助客户做好各类标准的符合性管理以及政策、法规风险的规避工作，协助客户顺利完成上级单位或监管部门的检查迎检工作。</w:t>
            </w:r>
          </w:p>
          <w:p>
            <w:pPr>
              <w:rPr>
                <w:rFonts w:ascii="宋体" w:hAnsi="宋体" w:eastAsia="宋体" w:cs="宋体"/>
                <w:szCs w:val="21"/>
              </w:rPr>
            </w:pPr>
            <w:r>
              <w:rPr>
                <w:rFonts w:hint="eastAsia" w:ascii="宋体" w:hAnsi="宋体" w:eastAsia="宋体" w:cs="宋体"/>
                <w:szCs w:val="21"/>
              </w:rPr>
              <w:t>2.安全解决方案规划咨询服务</w:t>
            </w:r>
          </w:p>
          <w:p>
            <w:pPr>
              <w:rPr>
                <w:rFonts w:ascii="宋体" w:hAnsi="宋体" w:eastAsia="宋体" w:cs="宋体"/>
                <w:szCs w:val="21"/>
              </w:rPr>
            </w:pPr>
            <w:r>
              <w:rPr>
                <w:rFonts w:hint="eastAsia" w:ascii="宋体" w:hAnsi="宋体" w:eastAsia="宋体" w:cs="宋体"/>
                <w:szCs w:val="21"/>
              </w:rPr>
              <w:t>参照风险评估标准和管理规范，针对系统的威胁性和脆弱性，对信息系统及其处理、传输和存储的数据信息的保密性、完整性和可用性等安全属性进行科学评估，为客户识别当前信息系统、业务逻辑层面的信息安全风险，并提供技术支持协助客户进行有效的风险处置规划建议。</w:t>
            </w:r>
          </w:p>
          <w:p>
            <w:pPr>
              <w:rPr>
                <w:rFonts w:ascii="宋体" w:hAnsi="宋体" w:eastAsia="宋体" w:cs="宋体"/>
                <w:szCs w:val="21"/>
              </w:rPr>
            </w:pPr>
            <w:r>
              <w:rPr>
                <w:rFonts w:hint="eastAsia" w:ascii="宋体" w:hAnsi="宋体" w:eastAsia="宋体" w:cs="宋体"/>
                <w:szCs w:val="21"/>
              </w:rPr>
              <w:t>3.安全体系规划服务</w:t>
            </w:r>
          </w:p>
          <w:p>
            <w:r>
              <w:rPr>
                <w:rFonts w:hint="eastAsia" w:ascii="宋体" w:hAnsi="宋体" w:eastAsia="宋体" w:cs="宋体"/>
                <w:szCs w:val="21"/>
              </w:rPr>
              <w:t>体系规划服务遵循ISO/IEC27001及等级保护要求，协助客户组织确定信息安全管理体系范围，制定信息安全方针，明确管理职责，以风险评估为基础选择控制目标与控制措施等一系列活动来建立信息安全管理体系，包括应急预案、人员管理、信息安全管理、人员培训等。按体系的规定要求进行运作，保持体系运行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jc w:val="center"/>
        </w:trPr>
        <w:tc>
          <w:tcPr>
            <w:tcW w:w="750" w:type="dxa"/>
            <w:shd w:val="clear" w:color="auto" w:fill="auto"/>
            <w:vAlign w:val="center"/>
          </w:tcPr>
          <w:p>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4</w:t>
            </w:r>
          </w:p>
        </w:tc>
        <w:tc>
          <w:tcPr>
            <w:tcW w:w="2167" w:type="dxa"/>
            <w:shd w:val="clear" w:color="auto" w:fill="auto"/>
            <w:vAlign w:val="center"/>
          </w:tcPr>
          <w:p>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网络安全审计服务</w:t>
            </w:r>
          </w:p>
        </w:tc>
        <w:tc>
          <w:tcPr>
            <w:tcW w:w="5863" w:type="dxa"/>
            <w:shd w:val="clear" w:color="auto" w:fill="auto"/>
            <w:vAlign w:val="center"/>
          </w:tcPr>
          <w:p>
            <w:pPr>
              <w:rPr>
                <w:rFonts w:ascii="宋体" w:hAnsi="宋体" w:eastAsia="宋体" w:cs="宋体"/>
                <w:szCs w:val="21"/>
              </w:rPr>
            </w:pPr>
            <w:r>
              <w:rPr>
                <w:rFonts w:hint="eastAsia" w:ascii="宋体" w:hAnsi="宋体" w:eastAsia="宋体" w:cs="宋体"/>
                <w:szCs w:val="21"/>
              </w:rPr>
              <w:t>投标方应提供符合本项目的网络安全审计服务，通过人员与技术相结合的方式检查和评价自治区应急管理厅应急指挥专网各项安全措施，确保网络安全活动符合法律法规和管理制度的要求，使得自治区应急管理厅应急指挥专网得到有效的安全保障。</w:t>
            </w:r>
          </w:p>
          <w:p>
            <w:pPr>
              <w:rPr>
                <w:rFonts w:ascii="宋体" w:hAnsi="宋体" w:eastAsia="宋体" w:cs="宋体"/>
                <w:color w:val="000000"/>
                <w:kern w:val="0"/>
                <w:szCs w:val="21"/>
                <w:lang w:bidi="ar"/>
              </w:rPr>
            </w:pPr>
            <w:r>
              <w:rPr>
                <w:rFonts w:hint="eastAsia" w:ascii="宋体" w:hAnsi="宋体" w:eastAsia="宋体" w:cs="宋体"/>
                <w:szCs w:val="21"/>
              </w:rPr>
              <w:t>在服务期间配合自治区应急管理厅完成应急指挥专网审计工作，每次审计服务结束后应按照自治区应急管理厅安全审计报告格式出具符合要求的审计报告。</w:t>
            </w:r>
          </w:p>
        </w:tc>
      </w:tr>
    </w:tbl>
    <w:p/>
    <w:p>
      <w:pPr>
        <w:tabs>
          <w:tab w:val="center" w:pos="4832"/>
          <w:tab w:val="left" w:pos="7140"/>
        </w:tabs>
        <w:spacing w:line="360" w:lineRule="auto"/>
        <w:jc w:val="left"/>
        <w:outlineLvl w:val="3"/>
        <w:rPr>
          <w:rFonts w:ascii="宋体" w:hAnsi="宋体" w:cs="宋体"/>
          <w:b/>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2.2.</w:t>
      </w:r>
      <w:r>
        <w:rPr>
          <w:rFonts w:hint="eastAsia" w:ascii="宋体" w:hAnsi="宋体" w:cs="宋体"/>
          <w:b/>
          <w:color w:val="000000" w:themeColor="text1"/>
          <w:sz w:val="24"/>
          <w:szCs w:val="24"/>
          <w14:textFill>
            <w14:solidFill>
              <w14:schemeClr w14:val="tx1"/>
            </w14:solidFill>
          </w14:textFill>
        </w:rPr>
        <w:t>3 配套基础设施技术规格</w:t>
      </w:r>
    </w:p>
    <w:tbl>
      <w:tblPr>
        <w:tblStyle w:val="3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4"/>
        <w:gridCol w:w="1190"/>
        <w:gridCol w:w="74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52"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autoSpaceDE w:val="0"/>
              <w:spacing w:line="240" w:lineRule="atLeast"/>
              <w:jc w:val="center"/>
              <w:textAlignment w:val="center"/>
              <w:rPr>
                <w:rFonts w:ascii="宋体" w:hAnsi="宋体" w:eastAsia="宋体" w:cs="宋体"/>
                <w:color w:val="000000"/>
              </w:rPr>
            </w:pPr>
            <w:r>
              <w:rPr>
                <w:rFonts w:hint="eastAsia" w:ascii="宋体" w:hAnsi="宋体" w:eastAsia="宋体" w:cs="宋体"/>
                <w:color w:val="000000"/>
                <w:kern w:val="0"/>
                <w:szCs w:val="21"/>
                <w:lang w:bidi="ar"/>
              </w:rPr>
              <w:t>序号</w:t>
            </w:r>
          </w:p>
        </w:tc>
        <w:tc>
          <w:tcPr>
            <w:tcW w:w="641"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autoSpaceDE w:val="0"/>
              <w:spacing w:line="240" w:lineRule="atLeast"/>
              <w:jc w:val="center"/>
              <w:textAlignment w:val="center"/>
              <w:rPr>
                <w:rFonts w:ascii="宋体" w:hAnsi="宋体" w:eastAsia="宋体" w:cs="宋体"/>
                <w:color w:val="000000"/>
              </w:rPr>
            </w:pPr>
            <w:r>
              <w:rPr>
                <w:rFonts w:hint="eastAsia" w:ascii="宋体" w:hAnsi="宋体" w:eastAsia="宋体" w:cs="宋体"/>
                <w:color w:val="000000"/>
                <w:kern w:val="0"/>
                <w:szCs w:val="21"/>
                <w:lang w:bidi="ar"/>
              </w:rPr>
              <w:t>指标项</w:t>
            </w:r>
          </w:p>
        </w:tc>
        <w:tc>
          <w:tcPr>
            <w:tcW w:w="4007"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autoSpaceDE w:val="0"/>
              <w:spacing w:line="240" w:lineRule="atLeast"/>
              <w:jc w:val="center"/>
              <w:textAlignment w:val="center"/>
              <w:rPr>
                <w:rFonts w:ascii="宋体" w:hAnsi="宋体" w:eastAsia="宋体" w:cs="宋体"/>
                <w:color w:val="000000"/>
              </w:rPr>
            </w:pPr>
            <w:r>
              <w:rPr>
                <w:rFonts w:hint="eastAsia" w:ascii="宋体" w:hAnsi="宋体" w:eastAsia="宋体" w:cs="宋体"/>
                <w:color w:val="000000"/>
                <w:kern w:val="0"/>
                <w:szCs w:val="21"/>
                <w:lang w:bidi="ar"/>
              </w:rPr>
              <w:t>指标要求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 w:hRule="atLeast"/>
          <w:jc w:val="center"/>
        </w:trPr>
        <w:tc>
          <w:tcPr>
            <w:tcW w:w="352"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autoSpaceDE w:val="0"/>
              <w:spacing w:line="240" w:lineRule="atLeast"/>
              <w:jc w:val="center"/>
              <w:textAlignment w:val="center"/>
              <w:rPr>
                <w:rFonts w:ascii="宋体" w:hAnsi="宋体" w:eastAsia="宋体" w:cs="宋体"/>
                <w:color w:val="000000"/>
              </w:rPr>
            </w:pPr>
            <w:r>
              <w:rPr>
                <w:rFonts w:hint="eastAsia" w:ascii="宋体" w:hAnsi="宋体" w:eastAsia="宋体" w:cs="宋体"/>
                <w:color w:val="000000"/>
                <w:kern w:val="0"/>
                <w:szCs w:val="21"/>
                <w:lang w:bidi="ar"/>
              </w:rPr>
              <w:t>1</w:t>
            </w:r>
          </w:p>
        </w:tc>
        <w:tc>
          <w:tcPr>
            <w:tcW w:w="641"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autoSpaceDE w:val="0"/>
              <w:spacing w:line="240" w:lineRule="atLeast"/>
              <w:jc w:val="center"/>
              <w:textAlignment w:val="center"/>
              <w:rPr>
                <w:rFonts w:ascii="宋体" w:hAnsi="宋体" w:eastAsia="宋体" w:cs="宋体"/>
                <w:color w:val="000000"/>
                <w:kern w:val="0"/>
              </w:rPr>
            </w:pPr>
            <w:r>
              <w:rPr>
                <w:rFonts w:hint="eastAsia" w:ascii="宋体" w:hAnsi="宋体" w:eastAsia="宋体" w:cs="宋体"/>
                <w:bCs/>
                <w:color w:val="000000"/>
                <w:szCs w:val="21"/>
                <w:lang w:bidi="ar"/>
              </w:rPr>
              <w:t>防火墙</w:t>
            </w:r>
          </w:p>
        </w:tc>
        <w:tc>
          <w:tcPr>
            <w:tcW w:w="4007" w:type="pct"/>
            <w:tcBorders>
              <w:top w:val="single" w:color="auto" w:sz="4" w:space="0"/>
              <w:left w:val="single" w:color="auto" w:sz="4" w:space="0"/>
              <w:bottom w:val="single" w:color="auto" w:sz="4" w:space="0"/>
              <w:right w:val="single" w:color="auto" w:sz="4" w:space="0"/>
            </w:tcBorders>
            <w:shd w:val="clear" w:color="auto" w:fill="auto"/>
            <w:vAlign w:val="center"/>
          </w:tcPr>
          <w:p>
            <w:pPr>
              <w:pStyle w:val="209"/>
              <w:widowControl/>
              <w:autoSpaceDE w:val="0"/>
              <w:spacing w:after="0" w:line="240" w:lineRule="atLeast"/>
              <w:ind w:firstLine="0" w:firstLineChars="0"/>
              <w:rPr>
                <w:rFonts w:ascii="宋体" w:hAnsi="宋体" w:cs="宋体"/>
                <w:bCs/>
                <w:color w:val="FF0000"/>
              </w:rPr>
            </w:pPr>
            <w:r>
              <w:rPr>
                <w:rFonts w:hint="eastAsia" w:ascii="宋体" w:hAnsi="宋体" w:cs="宋体"/>
                <w:bCs/>
                <w:color w:val="000000"/>
              </w:rPr>
              <w:t>投标方应在本项目中提供防火墙2台设备，为自治区应急管理厅应急指挥专网提供访问控制、会话控制、应用行为控制、流量控制、入侵防御和病毒过滤等技术服务。能够对链路健康检查，并对勒索病毒能够及时做出防御，为应急专网提供安全可靠的网络安全环境。</w:t>
            </w:r>
            <w:r>
              <w:rPr>
                <w:rFonts w:hint="eastAsia" w:ascii="宋体" w:hAnsi="宋体" w:cs="宋体"/>
                <w:bCs/>
                <w:color w:val="FF0000"/>
              </w:rPr>
              <w:t>为满足需求，解决防火墙版本老化问题，需对全疆14个地州，99个县的防火墙进行升级改造，升级至7.3版本，并且提供对应升级改造方案。</w:t>
            </w:r>
          </w:p>
          <w:p>
            <w:pPr>
              <w:pStyle w:val="209"/>
              <w:widowControl/>
              <w:autoSpaceDE w:val="0"/>
              <w:spacing w:after="0" w:line="240" w:lineRule="atLeast"/>
              <w:ind w:firstLine="0" w:firstLineChars="0"/>
              <w:rPr>
                <w:rFonts w:ascii="宋体" w:hAnsi="宋体" w:cs="宋体"/>
              </w:rPr>
            </w:pPr>
            <w:r>
              <w:rPr>
                <w:rFonts w:hint="eastAsia" w:ascii="宋体" w:hAnsi="宋体" w:cs="宋体"/>
                <w:color w:val="000000"/>
                <w:kern w:val="0"/>
              </w:rPr>
              <w:t>1、本次防火墙设备主要</w:t>
            </w:r>
            <w:r>
              <w:rPr>
                <w:rFonts w:hint="eastAsia" w:ascii="宋体" w:hAnsi="宋体" w:cs="宋体"/>
              </w:rPr>
              <w:t>技术规格要求：</w:t>
            </w:r>
          </w:p>
          <w:p>
            <w:r>
              <w:rPr>
                <w:rFonts w:hint="eastAsia" w:ascii="Calibri" w:hAnsi="Calibri" w:eastAsia="宋体" w:cs="宋体"/>
                <w:szCs w:val="21"/>
                <w:lang w:bidi="ar"/>
              </w:rPr>
              <w:t>（</w:t>
            </w:r>
            <w:r>
              <w:rPr>
                <w:rFonts w:ascii="Calibri" w:hAnsi="Calibri" w:eastAsia="宋体" w:cs="Times New Roman"/>
                <w:szCs w:val="21"/>
                <w:lang w:bidi="ar"/>
              </w:rPr>
              <w:t>1</w:t>
            </w:r>
            <w:r>
              <w:rPr>
                <w:rFonts w:hint="eastAsia" w:ascii="Calibri" w:hAnsi="Calibri" w:eastAsia="宋体" w:cs="宋体"/>
                <w:szCs w:val="21"/>
                <w:lang w:bidi="ar"/>
              </w:rPr>
              <w:t>）国产化软硬件设备，内存大小≥</w:t>
            </w:r>
            <w:r>
              <w:rPr>
                <w:rFonts w:ascii="Calibri" w:hAnsi="Calibri" w:eastAsia="宋体" w:cs="Times New Roman"/>
                <w:szCs w:val="21"/>
                <w:lang w:bidi="ar"/>
              </w:rPr>
              <w:t>8GB</w:t>
            </w:r>
            <w:r>
              <w:rPr>
                <w:rFonts w:hint="eastAsia" w:ascii="Calibri" w:hAnsi="Calibri" w:eastAsia="宋体" w:cs="宋体"/>
                <w:szCs w:val="21"/>
                <w:lang w:bidi="ar"/>
              </w:rPr>
              <w:t>，硬盘容量≥</w:t>
            </w:r>
            <w:r>
              <w:rPr>
                <w:rFonts w:ascii="Calibri" w:hAnsi="Calibri" w:eastAsia="宋体" w:cs="Times New Roman"/>
                <w:szCs w:val="21"/>
                <w:lang w:bidi="ar"/>
              </w:rPr>
              <w:t>64GB SSD</w:t>
            </w:r>
            <w:r>
              <w:rPr>
                <w:rFonts w:hint="eastAsia" w:ascii="Calibri" w:hAnsi="Calibri" w:eastAsia="宋体" w:cs="宋体"/>
                <w:szCs w:val="21"/>
                <w:lang w:bidi="ar"/>
              </w:rPr>
              <w:t>；千兆电口≥</w:t>
            </w:r>
            <w:r>
              <w:rPr>
                <w:rFonts w:ascii="Calibri" w:hAnsi="Calibri" w:eastAsia="宋体" w:cs="Times New Roman"/>
                <w:szCs w:val="21"/>
                <w:lang w:bidi="ar"/>
              </w:rPr>
              <w:t>8</w:t>
            </w:r>
            <w:r>
              <w:rPr>
                <w:rFonts w:hint="eastAsia" w:ascii="Calibri" w:hAnsi="Calibri" w:eastAsia="宋体" w:cs="宋体"/>
                <w:szCs w:val="21"/>
                <w:lang w:bidi="ar"/>
              </w:rPr>
              <w:t>个；万兆光口</w:t>
            </w:r>
            <w:r>
              <w:rPr>
                <w:rFonts w:ascii="Calibri" w:hAnsi="Calibri" w:eastAsia="宋体" w:cs="Times New Roman"/>
                <w:szCs w:val="21"/>
                <w:lang w:bidi="ar"/>
              </w:rPr>
              <w:t>SFP+</w:t>
            </w:r>
            <w:r>
              <w:rPr>
                <w:rFonts w:hint="eastAsia" w:ascii="Calibri" w:hAnsi="Calibri" w:eastAsia="宋体" w:cs="宋体"/>
                <w:szCs w:val="21"/>
                <w:lang w:bidi="ar"/>
              </w:rPr>
              <w:t>≥</w:t>
            </w:r>
            <w:r>
              <w:rPr>
                <w:rFonts w:ascii="Calibri" w:hAnsi="Calibri" w:eastAsia="宋体" w:cs="Times New Roman"/>
                <w:szCs w:val="21"/>
                <w:lang w:bidi="ar"/>
              </w:rPr>
              <w:t>2</w:t>
            </w:r>
            <w:r>
              <w:rPr>
                <w:rFonts w:hint="eastAsia" w:ascii="Calibri" w:hAnsi="Calibri" w:eastAsia="宋体" w:cs="宋体"/>
                <w:szCs w:val="21"/>
                <w:lang w:bidi="ar"/>
              </w:rPr>
              <w:t>个</w:t>
            </w:r>
            <w:r>
              <w:rPr>
                <w:rFonts w:ascii="Calibri" w:hAnsi="Calibri" w:eastAsia="宋体" w:cs="Times New Roman"/>
                <w:szCs w:val="21"/>
                <w:lang w:bidi="ar"/>
              </w:rPr>
              <w:t>,</w:t>
            </w:r>
            <w:r>
              <w:rPr>
                <w:rFonts w:hint="eastAsia" w:ascii="Calibri" w:hAnsi="Calibri" w:eastAsia="宋体" w:cs="宋体"/>
                <w:szCs w:val="21"/>
                <w:lang w:bidi="ar"/>
              </w:rPr>
              <w:t>电源：冗余电源。</w:t>
            </w:r>
          </w:p>
          <w:p>
            <w:r>
              <w:rPr>
                <w:rFonts w:hint="eastAsia" w:ascii="Calibri" w:hAnsi="Calibri" w:eastAsia="宋体" w:cs="宋体"/>
                <w:szCs w:val="21"/>
                <w:lang w:bidi="ar"/>
              </w:rPr>
              <w:t>（</w:t>
            </w:r>
            <w:r>
              <w:rPr>
                <w:rFonts w:ascii="Calibri" w:hAnsi="Calibri" w:eastAsia="宋体" w:cs="Times New Roman"/>
                <w:szCs w:val="21"/>
                <w:lang w:bidi="ar"/>
              </w:rPr>
              <w:t>2</w:t>
            </w:r>
            <w:r>
              <w:rPr>
                <w:rFonts w:hint="eastAsia" w:ascii="Calibri" w:hAnsi="Calibri" w:eastAsia="宋体" w:cs="宋体"/>
                <w:szCs w:val="21"/>
                <w:lang w:bidi="ar"/>
              </w:rPr>
              <w:t>）网络层吞吐量≥</w:t>
            </w:r>
            <w:r>
              <w:rPr>
                <w:rFonts w:ascii="Calibri" w:hAnsi="Calibri" w:eastAsia="宋体" w:cs="Times New Roman"/>
                <w:szCs w:val="21"/>
                <w:lang w:bidi="ar"/>
              </w:rPr>
              <w:t>40Gbps</w:t>
            </w:r>
            <w:r>
              <w:rPr>
                <w:rFonts w:hint="eastAsia" w:ascii="Calibri" w:hAnsi="Calibri" w:eastAsia="宋体" w:cs="宋体"/>
                <w:szCs w:val="21"/>
                <w:lang w:bidi="ar"/>
              </w:rPr>
              <w:t>，应用层吞吐量≥</w:t>
            </w:r>
            <w:r>
              <w:rPr>
                <w:rFonts w:ascii="Calibri" w:hAnsi="Calibri" w:eastAsia="宋体" w:cs="Times New Roman"/>
                <w:szCs w:val="21"/>
                <w:lang w:bidi="ar"/>
              </w:rPr>
              <w:t>20Gbps</w:t>
            </w:r>
            <w:r>
              <w:rPr>
                <w:rFonts w:hint="eastAsia" w:ascii="Calibri" w:hAnsi="Calibri" w:eastAsia="宋体" w:cs="宋体"/>
                <w:szCs w:val="21"/>
                <w:lang w:bidi="ar"/>
              </w:rPr>
              <w:t>，防病毒吞吐量≥</w:t>
            </w:r>
            <w:r>
              <w:rPr>
                <w:rFonts w:ascii="Calibri" w:hAnsi="Calibri" w:eastAsia="宋体" w:cs="Times New Roman"/>
                <w:szCs w:val="21"/>
                <w:lang w:bidi="ar"/>
              </w:rPr>
              <w:t>1.5Gbps</w:t>
            </w:r>
            <w:r>
              <w:rPr>
                <w:rFonts w:hint="eastAsia" w:ascii="Calibri" w:hAnsi="Calibri" w:eastAsia="宋体" w:cs="宋体"/>
                <w:szCs w:val="21"/>
                <w:lang w:bidi="ar"/>
              </w:rPr>
              <w:t>，</w:t>
            </w:r>
            <w:r>
              <w:rPr>
                <w:rFonts w:ascii="Calibri" w:hAnsi="Calibri" w:eastAsia="宋体" w:cs="Times New Roman"/>
                <w:szCs w:val="21"/>
                <w:lang w:bidi="ar"/>
              </w:rPr>
              <w:t>IPS</w:t>
            </w:r>
            <w:r>
              <w:rPr>
                <w:rFonts w:hint="eastAsia" w:ascii="Calibri" w:hAnsi="Calibri" w:eastAsia="宋体" w:cs="宋体"/>
                <w:szCs w:val="21"/>
                <w:lang w:bidi="ar"/>
              </w:rPr>
              <w:t>吞吐量≥</w:t>
            </w:r>
            <w:r>
              <w:rPr>
                <w:rFonts w:ascii="Calibri" w:hAnsi="Calibri" w:eastAsia="宋体" w:cs="Times New Roman"/>
                <w:szCs w:val="21"/>
                <w:lang w:bidi="ar"/>
              </w:rPr>
              <w:t>1.2Gbps</w:t>
            </w:r>
            <w:r>
              <w:rPr>
                <w:rFonts w:hint="eastAsia" w:ascii="Calibri" w:hAnsi="Calibri" w:eastAsia="宋体" w:cs="宋体"/>
                <w:szCs w:val="21"/>
                <w:lang w:bidi="ar"/>
              </w:rPr>
              <w:t>，并发连接数≥</w:t>
            </w:r>
            <w:r>
              <w:rPr>
                <w:rFonts w:ascii="Calibri" w:hAnsi="Calibri" w:eastAsia="宋体" w:cs="Times New Roman"/>
                <w:szCs w:val="21"/>
                <w:lang w:bidi="ar"/>
              </w:rPr>
              <w:t>200</w:t>
            </w:r>
            <w:r>
              <w:rPr>
                <w:rFonts w:hint="eastAsia" w:ascii="Calibri" w:hAnsi="Calibri" w:eastAsia="宋体" w:cs="宋体"/>
                <w:szCs w:val="21"/>
                <w:lang w:bidi="ar"/>
              </w:rPr>
              <w:t>万，</w:t>
            </w:r>
            <w:r>
              <w:rPr>
                <w:rFonts w:ascii="Calibri" w:hAnsi="Calibri" w:eastAsia="宋体" w:cs="Times New Roman"/>
                <w:szCs w:val="21"/>
                <w:lang w:bidi="ar"/>
              </w:rPr>
              <w:t>HTTP</w:t>
            </w:r>
            <w:r>
              <w:rPr>
                <w:rFonts w:hint="eastAsia" w:ascii="Calibri" w:hAnsi="Calibri" w:eastAsia="宋体" w:cs="宋体"/>
                <w:szCs w:val="21"/>
                <w:lang w:bidi="ar"/>
              </w:rPr>
              <w:t>每秒新建连接数≥</w:t>
            </w:r>
            <w:r>
              <w:rPr>
                <w:rFonts w:ascii="Calibri" w:hAnsi="Calibri" w:eastAsia="宋体" w:cs="Times New Roman"/>
                <w:szCs w:val="21"/>
                <w:lang w:bidi="ar"/>
              </w:rPr>
              <w:t>9</w:t>
            </w:r>
            <w:r>
              <w:rPr>
                <w:rFonts w:hint="eastAsia" w:ascii="Calibri" w:hAnsi="Calibri" w:eastAsia="宋体" w:cs="宋体"/>
                <w:szCs w:val="21"/>
                <w:lang w:bidi="ar"/>
              </w:rPr>
              <w:t>万。</w:t>
            </w:r>
          </w:p>
          <w:p>
            <w:pPr>
              <w:rPr>
                <w:rFonts w:ascii="宋体" w:hAnsi="宋体" w:eastAsia="宋体" w:cs="宋体"/>
              </w:rPr>
            </w:pPr>
            <w:r>
              <w:rPr>
                <w:rFonts w:hint="eastAsia" w:ascii="Calibri" w:hAnsi="Calibri" w:eastAsia="宋体" w:cs="宋体"/>
                <w:szCs w:val="21"/>
                <w:lang w:bidi="ar"/>
              </w:rPr>
              <w:t>（</w:t>
            </w:r>
            <w:r>
              <w:rPr>
                <w:rFonts w:ascii="Calibri" w:hAnsi="Calibri" w:eastAsia="宋体" w:cs="Times New Roman"/>
                <w:szCs w:val="21"/>
                <w:lang w:bidi="ar"/>
              </w:rPr>
              <w:t>3</w:t>
            </w:r>
            <w:r>
              <w:rPr>
                <w:rFonts w:hint="eastAsia" w:ascii="Calibri" w:hAnsi="Calibri" w:eastAsia="宋体" w:cs="宋体"/>
                <w:szCs w:val="21"/>
                <w:lang w:bidi="ar"/>
              </w:rPr>
              <w:t>）产品提供</w:t>
            </w:r>
            <w:r>
              <w:rPr>
                <w:rFonts w:ascii="Calibri" w:hAnsi="Calibri" w:eastAsia="宋体" w:cs="Times New Roman"/>
                <w:szCs w:val="21"/>
                <w:lang w:bidi="ar"/>
              </w:rPr>
              <w:t>3</w:t>
            </w:r>
            <w:r>
              <w:rPr>
                <w:rFonts w:hint="eastAsia" w:ascii="Calibri" w:hAnsi="Calibri" w:eastAsia="宋体" w:cs="宋体"/>
                <w:szCs w:val="21"/>
                <w:lang w:bidi="ar"/>
              </w:rPr>
              <w:t>年质保、</w:t>
            </w:r>
            <w:r>
              <w:rPr>
                <w:rFonts w:ascii="Calibri" w:hAnsi="Calibri" w:eastAsia="宋体" w:cs="Times New Roman"/>
                <w:szCs w:val="21"/>
                <w:lang w:bidi="ar"/>
              </w:rPr>
              <w:t>3</w:t>
            </w:r>
            <w:r>
              <w:rPr>
                <w:rFonts w:hint="eastAsia" w:ascii="Calibri" w:hAnsi="Calibri" w:eastAsia="宋体" w:cs="宋体"/>
                <w:szCs w:val="21"/>
                <w:lang w:bidi="ar"/>
              </w:rPr>
              <w:t>年软件升级服务。</w:t>
            </w:r>
          </w:p>
          <w:p>
            <w:pPr>
              <w:pStyle w:val="209"/>
              <w:widowControl/>
              <w:autoSpaceDE w:val="0"/>
              <w:spacing w:after="0" w:line="240" w:lineRule="atLeast"/>
              <w:ind w:firstLine="0" w:firstLineChars="0"/>
              <w:rPr>
                <w:rFonts w:ascii="宋体" w:hAnsi="宋体" w:cs="宋体"/>
              </w:rPr>
            </w:pPr>
            <w:r>
              <w:rPr>
                <w:rFonts w:hint="eastAsia" w:ascii="宋体" w:hAnsi="宋体" w:cs="宋体"/>
              </w:rPr>
              <w:t>2、本次防火墙功能需求</w:t>
            </w:r>
          </w:p>
          <w:p>
            <w:pPr>
              <w:pStyle w:val="209"/>
              <w:widowControl/>
              <w:autoSpaceDE w:val="0"/>
              <w:spacing w:after="0" w:line="240" w:lineRule="atLeast"/>
              <w:ind w:firstLine="0" w:firstLineChars="0"/>
              <w:rPr>
                <w:rFonts w:ascii="宋体" w:hAnsi="宋体" w:cs="宋体"/>
                <w:bCs/>
                <w:color w:val="000000"/>
              </w:rPr>
            </w:pPr>
            <w:r>
              <w:rPr>
                <w:rFonts w:hint="eastAsia" w:ascii="宋体" w:hAnsi="宋体" w:cs="宋体"/>
                <w:bCs/>
                <w:color w:val="000000"/>
              </w:rPr>
              <w:t>（1）产品具备静态路由、策略路由和多播路由协议，并具备BGP、RIP、OSPF等动态路由协议；</w:t>
            </w:r>
          </w:p>
          <w:p>
            <w:pPr>
              <w:pStyle w:val="209"/>
              <w:widowControl/>
              <w:autoSpaceDE w:val="0"/>
              <w:spacing w:after="0" w:line="240" w:lineRule="atLeast"/>
              <w:ind w:firstLine="0" w:firstLineChars="0"/>
              <w:rPr>
                <w:rFonts w:ascii="宋体" w:hAnsi="宋体" w:cs="宋体"/>
                <w:bCs/>
                <w:color w:val="FF0000"/>
              </w:rPr>
            </w:pPr>
            <w:r>
              <w:rPr>
                <w:rFonts w:hint="eastAsia" w:ascii="宋体" w:hAnsi="宋体" w:cs="宋体"/>
                <w:bCs/>
                <w:color w:val="FF0000"/>
              </w:rPr>
              <w:t>(2)产品能够具备与用户原有大数据安全分析平台平台联动进行威胁分析处置，将本地防火墙产品产生的安全日志等数据上报至大数据安全分析平台平台，并在大数据安全分析平台平台进行威胁展示，为了保证服务质量提供厂家盖章证明文件，并提供相应可行性方案。</w:t>
            </w:r>
          </w:p>
          <w:p>
            <w:pPr>
              <w:pStyle w:val="209"/>
              <w:widowControl/>
              <w:autoSpaceDE w:val="0"/>
              <w:spacing w:after="0" w:line="240" w:lineRule="atLeast"/>
              <w:ind w:firstLine="0" w:firstLineChars="0"/>
              <w:rPr>
                <w:rFonts w:ascii="宋体" w:hAnsi="宋体" w:cs="宋体"/>
                <w:bCs/>
                <w:color w:val="000000"/>
              </w:rPr>
            </w:pPr>
            <w:r>
              <w:rPr>
                <w:rFonts w:hint="eastAsia" w:ascii="宋体" w:hAnsi="宋体" w:cs="宋体"/>
                <w:bCs/>
                <w:color w:val="000000"/>
              </w:rPr>
              <w:t>(3)要求具备DNS代理功能，具备基于接口、源IP地址、目的IP地址多个元素配置DNS代理规则；</w:t>
            </w:r>
          </w:p>
          <w:p>
            <w:pPr>
              <w:pStyle w:val="209"/>
              <w:widowControl/>
              <w:autoSpaceDE w:val="0"/>
              <w:spacing w:after="0" w:line="240" w:lineRule="atLeast"/>
              <w:ind w:firstLine="0" w:firstLineChars="0"/>
              <w:rPr>
                <w:rFonts w:ascii="宋体" w:hAnsi="宋体" w:cs="宋体"/>
                <w:bCs/>
                <w:color w:val="000000"/>
              </w:rPr>
            </w:pPr>
            <w:r>
              <w:rPr>
                <w:rFonts w:hint="eastAsia" w:ascii="宋体" w:hAnsi="宋体" w:cs="宋体"/>
                <w:bCs/>
                <w:color w:val="000000"/>
              </w:rPr>
              <w:t>（4）产品能够具备对文件传输行为进行安全过滤，具备基于上传、下载、双向的文件内容过滤。</w:t>
            </w:r>
          </w:p>
          <w:p>
            <w:pPr>
              <w:pStyle w:val="209"/>
              <w:widowControl/>
              <w:autoSpaceDE w:val="0"/>
              <w:spacing w:after="0" w:line="240" w:lineRule="atLeast"/>
              <w:ind w:firstLine="0" w:firstLineChars="0"/>
              <w:rPr>
                <w:rFonts w:ascii="宋体" w:hAnsi="宋体" w:cs="宋体"/>
                <w:bCs/>
                <w:color w:val="000000"/>
              </w:rPr>
            </w:pPr>
            <w:r>
              <w:rPr>
                <w:rFonts w:hint="eastAsia" w:ascii="宋体" w:hAnsi="宋体" w:cs="宋体"/>
                <w:bCs/>
                <w:color w:val="000000"/>
              </w:rPr>
              <w:t>（5）产品能够具备与态势感知平台联动，将本地防火墙产品产生的安全日志等数据上报至态势感知平台，并在态势感知平台进行威胁展示。</w:t>
            </w:r>
          </w:p>
          <w:p>
            <w:pPr>
              <w:pStyle w:val="209"/>
              <w:widowControl/>
              <w:autoSpaceDE w:val="0"/>
              <w:spacing w:after="0" w:line="240" w:lineRule="atLeast"/>
              <w:ind w:firstLine="0" w:firstLineChars="0"/>
              <w:rPr>
                <w:rFonts w:ascii="宋体" w:hAnsi="宋体" w:cs="宋体"/>
                <w:bCs/>
                <w:color w:val="000000"/>
              </w:rPr>
            </w:pPr>
            <w:r>
              <w:rPr>
                <w:rFonts w:hint="eastAsia" w:ascii="宋体" w:hAnsi="宋体" w:cs="宋体"/>
                <w:bCs/>
                <w:color w:val="000000"/>
              </w:rPr>
              <w:t>（6）产品能够具备用户账号全生命周期保护功能，包括用户账号多余入口检测、账号暴力破解检测、账号弱口令检测、失陷账号检测，防止因账号被暴力破解导致的非法提权情况发生。（需提供功能截图证明加盖厂商公章）</w:t>
            </w:r>
          </w:p>
          <w:p>
            <w:pPr>
              <w:pStyle w:val="209"/>
              <w:widowControl/>
              <w:autoSpaceDE w:val="0"/>
              <w:spacing w:after="0" w:line="240" w:lineRule="atLeast"/>
              <w:ind w:firstLine="0" w:firstLineChars="0"/>
              <w:rPr>
                <w:rFonts w:ascii="宋体" w:hAnsi="宋体" w:cs="宋体"/>
                <w:bCs/>
                <w:color w:val="000000"/>
              </w:rPr>
            </w:pPr>
            <w:r>
              <w:rPr>
                <w:rFonts w:hint="eastAsia" w:ascii="宋体" w:hAnsi="宋体" w:cs="宋体"/>
                <w:bCs/>
                <w:color w:val="000000"/>
              </w:rPr>
              <w:t>（7）产品能够具备策略生命周期管理功能，能够具备对安全策略修改的时间、原因、变更类型进行统一管理，便于策略的运维与管理。</w:t>
            </w:r>
          </w:p>
          <w:p>
            <w:pPr>
              <w:pStyle w:val="209"/>
              <w:widowControl/>
              <w:autoSpaceDE w:val="0"/>
              <w:spacing w:after="0" w:line="240" w:lineRule="atLeast"/>
              <w:ind w:firstLine="0" w:firstLineChars="0"/>
              <w:rPr>
                <w:rFonts w:ascii="宋体" w:hAnsi="宋体" w:cs="宋体"/>
              </w:rPr>
            </w:pPr>
            <w:r>
              <w:rPr>
                <w:rFonts w:hint="eastAsia" w:ascii="宋体" w:hAnsi="宋体" w:cs="宋体"/>
                <w:bCs/>
                <w:color w:val="000000"/>
              </w:rPr>
              <w:t>（8）提供销售许可证、产品检验报告和著作权登记证书;产品包含3年软件升级，硬件质保，3年规则库升级。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0" w:hRule="atLeast"/>
          <w:jc w:val="center"/>
        </w:trPr>
        <w:tc>
          <w:tcPr>
            <w:tcW w:w="352"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autoSpaceDE w:val="0"/>
              <w:spacing w:line="240" w:lineRule="atLeast"/>
              <w:jc w:val="center"/>
              <w:textAlignment w:val="center"/>
              <w:rPr>
                <w:rFonts w:ascii="宋体" w:hAnsi="宋体" w:eastAsia="宋体" w:cs="宋体"/>
                <w:color w:val="000000"/>
              </w:rPr>
            </w:pPr>
            <w:r>
              <w:rPr>
                <w:rFonts w:hint="eastAsia" w:ascii="宋体" w:hAnsi="宋体" w:eastAsia="宋体" w:cs="宋体"/>
                <w:color w:val="000000"/>
                <w:szCs w:val="21"/>
                <w:lang w:bidi="ar"/>
              </w:rPr>
              <w:t>2</w:t>
            </w:r>
          </w:p>
        </w:tc>
        <w:tc>
          <w:tcPr>
            <w:tcW w:w="641"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autoSpaceDE w:val="0"/>
              <w:spacing w:line="240" w:lineRule="atLeast"/>
              <w:jc w:val="center"/>
              <w:textAlignment w:val="center"/>
              <w:rPr>
                <w:rFonts w:ascii="宋体" w:hAnsi="宋体" w:eastAsia="宋体" w:cs="宋体"/>
                <w:color w:val="000000"/>
                <w:kern w:val="0"/>
              </w:rPr>
            </w:pPr>
            <w:r>
              <w:rPr>
                <w:rFonts w:hint="eastAsia" w:ascii="宋体" w:hAnsi="宋体" w:eastAsia="宋体" w:cs="宋体"/>
                <w:color w:val="000000"/>
                <w:kern w:val="0"/>
                <w:szCs w:val="21"/>
                <w:lang w:bidi="ar"/>
              </w:rPr>
              <w:t>入侵防御</w:t>
            </w:r>
          </w:p>
        </w:tc>
        <w:tc>
          <w:tcPr>
            <w:tcW w:w="4007" w:type="pct"/>
            <w:tcBorders>
              <w:top w:val="single" w:color="auto" w:sz="4" w:space="0"/>
              <w:left w:val="single" w:color="auto" w:sz="4" w:space="0"/>
              <w:bottom w:val="single" w:color="auto" w:sz="4" w:space="0"/>
              <w:right w:val="single" w:color="auto" w:sz="4" w:space="0"/>
            </w:tcBorders>
            <w:shd w:val="clear" w:color="auto" w:fill="auto"/>
            <w:vAlign w:val="center"/>
          </w:tcPr>
          <w:p>
            <w:pPr>
              <w:pStyle w:val="209"/>
              <w:widowControl/>
              <w:autoSpaceDE w:val="0"/>
              <w:spacing w:after="0" w:line="240" w:lineRule="atLeast"/>
              <w:ind w:firstLine="210"/>
              <w:rPr>
                <w:rFonts w:ascii="宋体" w:hAnsi="宋体" w:cs="宋体"/>
                <w:bCs/>
                <w:color w:val="000000"/>
              </w:rPr>
            </w:pPr>
            <w:r>
              <w:rPr>
                <w:rFonts w:hint="eastAsia" w:ascii="宋体" w:hAnsi="宋体" w:cs="宋体"/>
                <w:bCs/>
                <w:color w:val="000000"/>
              </w:rPr>
              <w:t>投标方应在本项目中提供入侵防御设备，形成闭环入侵检测防御机制，实时识别和阻断病毒、木马、SQL注入、跨站脚本攻击、DoS/DDoS、扫描安全威胁等网络滥用流量的识别和控制功能。并执行实时精确阻断，主动而高效地保护应急指挥专网安全，同时可以对漏洞攻击、蠕虫病毒、间谍软件、木马后门、溢出攻击、数据库攻击、高级威胁攻击、暴力破解等多种深层攻击行为进行防御。</w:t>
            </w:r>
          </w:p>
          <w:p>
            <w:pPr>
              <w:pStyle w:val="13"/>
              <w:widowControl/>
              <w:autoSpaceDE w:val="0"/>
              <w:spacing w:line="240" w:lineRule="atLeast"/>
              <w:ind w:left="0" w:leftChars="0"/>
              <w:rPr>
                <w:rFonts w:ascii="宋体" w:hAnsi="宋体" w:cs="宋体"/>
              </w:rPr>
            </w:pPr>
            <w:r>
              <w:rPr>
                <w:rFonts w:hint="eastAsia" w:ascii="宋体" w:hAnsi="宋体" w:cs="宋体"/>
                <w:color w:val="000000"/>
                <w:kern w:val="0"/>
              </w:rPr>
              <w:t>1、本次入侵防御设备主要</w:t>
            </w:r>
            <w:r>
              <w:rPr>
                <w:rFonts w:hint="eastAsia" w:ascii="宋体" w:hAnsi="宋体" w:cs="宋体"/>
              </w:rPr>
              <w:t>技术规格要求：</w:t>
            </w:r>
          </w:p>
          <w:p>
            <w:pPr>
              <w:widowControl/>
              <w:autoSpaceDE w:val="0"/>
              <w:spacing w:line="240" w:lineRule="atLeast"/>
              <w:jc w:val="left"/>
              <w:textAlignment w:val="center"/>
              <w:rPr>
                <w:rFonts w:ascii="宋体" w:hAnsi="宋体" w:eastAsia="宋体" w:cs="宋体"/>
              </w:rPr>
            </w:pPr>
            <w:r>
              <w:rPr>
                <w:rFonts w:hint="eastAsia" w:ascii="宋体" w:hAnsi="宋体" w:eastAsia="宋体" w:cs="宋体"/>
                <w:szCs w:val="21"/>
                <w:lang w:bidi="ar"/>
              </w:rPr>
              <w:t>（1）国产化软硬件设备，内存大小≥8GB，硬盘容量≥128GB SSD，接口配置：千兆电口≥6个，万兆光口SFP+≥2个（含光模块）；</w:t>
            </w:r>
          </w:p>
          <w:p>
            <w:pPr>
              <w:widowControl/>
              <w:autoSpaceDE w:val="0"/>
              <w:spacing w:line="240" w:lineRule="atLeast"/>
              <w:jc w:val="left"/>
              <w:textAlignment w:val="center"/>
              <w:rPr>
                <w:rFonts w:ascii="宋体" w:hAnsi="宋体" w:eastAsia="宋体" w:cs="宋体"/>
              </w:rPr>
            </w:pPr>
            <w:r>
              <w:rPr>
                <w:rFonts w:hint="eastAsia" w:ascii="宋体" w:hAnsi="宋体" w:eastAsia="宋体" w:cs="宋体"/>
                <w:szCs w:val="21"/>
                <w:lang w:bidi="ar"/>
              </w:rPr>
              <w:t>（2）网络层吞吐量≥40Gbps，IPS吞吐量≥1.5Gbps，并发连接数≥2000000，每秒新建连接数≥150000；</w:t>
            </w:r>
          </w:p>
          <w:p>
            <w:pPr>
              <w:pStyle w:val="209"/>
              <w:widowControl/>
              <w:autoSpaceDE w:val="0"/>
              <w:spacing w:after="0" w:line="240" w:lineRule="atLeast"/>
              <w:ind w:firstLine="0" w:firstLineChars="0"/>
              <w:rPr>
                <w:rFonts w:ascii="宋体" w:hAnsi="宋体" w:cs="宋体"/>
              </w:rPr>
            </w:pPr>
            <w:r>
              <w:rPr>
                <w:rFonts w:hint="eastAsia" w:ascii="宋体" w:hAnsi="宋体" w:cs="宋体"/>
              </w:rPr>
              <w:t>（3）产品提供3年质保、3年软件升级服务。</w:t>
            </w:r>
          </w:p>
          <w:p>
            <w:pPr>
              <w:pStyle w:val="209"/>
              <w:widowControl/>
              <w:autoSpaceDE w:val="0"/>
              <w:spacing w:after="0" w:line="240" w:lineRule="atLeast"/>
              <w:ind w:firstLine="210"/>
              <w:rPr>
                <w:rFonts w:ascii="宋体" w:hAnsi="宋体" w:cs="宋体"/>
              </w:rPr>
            </w:pPr>
            <w:r>
              <w:rPr>
                <w:rFonts w:hint="eastAsia" w:ascii="宋体" w:hAnsi="宋体" w:cs="宋体"/>
              </w:rPr>
              <w:t>2、</w:t>
            </w:r>
            <w:r>
              <w:rPr>
                <w:rFonts w:hint="eastAsia" w:ascii="宋体" w:hAnsi="宋体" w:cs="宋体"/>
                <w:color w:val="000000"/>
                <w:kern w:val="0"/>
              </w:rPr>
              <w:t>本次入侵防御设备具备主要功能</w:t>
            </w:r>
          </w:p>
          <w:p>
            <w:pPr>
              <w:widowControl/>
              <w:autoSpaceDE w:val="0"/>
              <w:spacing w:line="240" w:lineRule="atLeast"/>
              <w:jc w:val="left"/>
              <w:textAlignment w:val="center"/>
              <w:rPr>
                <w:rFonts w:ascii="宋体" w:hAnsi="宋体" w:eastAsia="宋体" w:cs="宋体"/>
              </w:rPr>
            </w:pPr>
            <w:r>
              <w:rPr>
                <w:rFonts w:hint="eastAsia" w:ascii="宋体" w:hAnsi="宋体" w:eastAsia="宋体" w:cs="宋体"/>
                <w:szCs w:val="21"/>
                <w:lang w:bidi="ar"/>
              </w:rPr>
              <w:t>（1）满足ipv6区业务改造利旧，实现IPv6环境入侵防护；</w:t>
            </w:r>
          </w:p>
          <w:p>
            <w:pPr>
              <w:widowControl/>
              <w:autoSpaceDE w:val="0"/>
              <w:spacing w:line="240" w:lineRule="atLeast"/>
              <w:jc w:val="left"/>
              <w:textAlignment w:val="center"/>
              <w:rPr>
                <w:rFonts w:ascii="宋体" w:hAnsi="宋体" w:eastAsia="宋体" w:cs="宋体"/>
              </w:rPr>
            </w:pPr>
            <w:r>
              <w:rPr>
                <w:rFonts w:hint="eastAsia" w:ascii="宋体" w:hAnsi="宋体" w:eastAsia="宋体" w:cs="宋体"/>
                <w:szCs w:val="21"/>
                <w:lang w:bidi="ar"/>
              </w:rPr>
              <w:t>（2）能够具备IP地址扫描和端口扫描防护；具备IP协议异常报文检测和TCP协议异常报文检测；具备ARP欺骗防御功能；</w:t>
            </w:r>
          </w:p>
          <w:p>
            <w:pPr>
              <w:widowControl/>
              <w:autoSpaceDE w:val="0"/>
              <w:spacing w:line="240" w:lineRule="atLeast"/>
              <w:jc w:val="left"/>
              <w:textAlignment w:val="center"/>
              <w:rPr>
                <w:rFonts w:ascii="宋体" w:hAnsi="宋体" w:eastAsia="宋体" w:cs="宋体"/>
              </w:rPr>
            </w:pPr>
            <w:r>
              <w:rPr>
                <w:rFonts w:hint="eastAsia" w:ascii="宋体" w:hAnsi="宋体" w:eastAsia="宋体" w:cs="宋体"/>
                <w:szCs w:val="21"/>
                <w:lang w:bidi="ar"/>
              </w:rPr>
              <w:t>（3）具备设备软硬件异常状态监控，可以监控设备CPU、内存、硬盘使用率，并且可监控系统状态、、安全能力监控状态；</w:t>
            </w:r>
          </w:p>
          <w:p>
            <w:pPr>
              <w:widowControl/>
              <w:autoSpaceDE w:val="0"/>
              <w:spacing w:line="240" w:lineRule="atLeast"/>
              <w:jc w:val="left"/>
              <w:textAlignment w:val="center"/>
              <w:rPr>
                <w:rFonts w:ascii="宋体" w:hAnsi="宋体" w:eastAsia="宋体" w:cs="宋体"/>
              </w:rPr>
            </w:pPr>
            <w:r>
              <w:rPr>
                <w:rFonts w:hint="eastAsia" w:ascii="宋体" w:hAnsi="宋体" w:eastAsia="宋体" w:cs="宋体"/>
                <w:szCs w:val="21"/>
                <w:lang w:bidi="ar"/>
              </w:rPr>
              <w:t>（4）具备热门威胁库，具备木马、勒索软件、蠕虫、挖矿病毒等种类，特征总数在60万条以上；（需提供功能截图证明加盖厂商公章）。</w:t>
            </w:r>
          </w:p>
          <w:p>
            <w:pPr>
              <w:widowControl/>
              <w:autoSpaceDE w:val="0"/>
              <w:spacing w:line="240" w:lineRule="atLeast"/>
              <w:jc w:val="left"/>
              <w:textAlignment w:val="center"/>
              <w:rPr>
                <w:rFonts w:ascii="宋体" w:hAnsi="宋体" w:eastAsia="宋体" w:cs="宋体"/>
              </w:rPr>
            </w:pPr>
            <w:r>
              <w:rPr>
                <w:rFonts w:hint="eastAsia" w:ascii="宋体" w:hAnsi="宋体" w:eastAsia="宋体" w:cs="宋体"/>
                <w:szCs w:val="21"/>
                <w:lang w:bidi="ar"/>
              </w:rPr>
              <w:t>（5）具备应用类型，网站类型，文件类型等多种类型进行带宽分配和流量控制，具备基于时间、地域、子接口和VLAN等因素实现对象的流量控制；（需提供功能截图证明加盖厂商公章）</w:t>
            </w:r>
          </w:p>
          <w:p>
            <w:pPr>
              <w:widowControl/>
              <w:autoSpaceDE w:val="0"/>
              <w:spacing w:line="240" w:lineRule="atLeast"/>
              <w:jc w:val="left"/>
              <w:textAlignment w:val="center"/>
              <w:rPr>
                <w:rFonts w:ascii="宋体" w:hAnsi="宋体" w:eastAsia="宋体" w:cs="宋体"/>
              </w:rPr>
            </w:pPr>
            <w:r>
              <w:rPr>
                <w:rFonts w:hint="eastAsia" w:ascii="宋体" w:hAnsi="宋体" w:eastAsia="宋体" w:cs="宋体"/>
                <w:szCs w:val="21"/>
                <w:lang w:bidi="ar"/>
              </w:rPr>
              <w:t>（6）提供销售许可证、产品检验报告和著作权登记证书；产品包含3年软件升级，硬件质保，3年规则库升级。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352"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autoSpaceDE w:val="0"/>
              <w:spacing w:line="240" w:lineRule="atLeast"/>
              <w:jc w:val="center"/>
              <w:textAlignment w:val="center"/>
              <w:rPr>
                <w:rFonts w:ascii="宋体" w:hAnsi="宋体" w:eastAsia="宋体" w:cs="宋体"/>
                <w:color w:val="000000"/>
              </w:rPr>
            </w:pPr>
            <w:r>
              <w:rPr>
                <w:rFonts w:hint="eastAsia" w:ascii="宋体" w:hAnsi="宋体" w:eastAsia="宋体" w:cs="宋体"/>
                <w:color w:val="000000"/>
                <w:szCs w:val="21"/>
                <w:lang w:bidi="ar"/>
              </w:rPr>
              <w:t>3</w:t>
            </w:r>
          </w:p>
        </w:tc>
        <w:tc>
          <w:tcPr>
            <w:tcW w:w="641"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autoSpaceDE w:val="0"/>
              <w:spacing w:line="240" w:lineRule="atLeast"/>
              <w:jc w:val="center"/>
              <w:textAlignment w:val="center"/>
              <w:rPr>
                <w:rFonts w:ascii="宋体" w:hAnsi="宋体" w:eastAsia="宋体" w:cs="宋体"/>
                <w:color w:val="000000"/>
                <w:kern w:val="0"/>
              </w:rPr>
            </w:pPr>
            <w:r>
              <w:rPr>
                <w:rFonts w:hint="eastAsia" w:ascii="宋体" w:hAnsi="宋体" w:eastAsia="宋体" w:cs="宋体"/>
                <w:color w:val="000000"/>
                <w:kern w:val="0"/>
                <w:szCs w:val="21"/>
                <w:lang w:bidi="ar"/>
              </w:rPr>
              <w:t>态势感知与探针</w:t>
            </w:r>
          </w:p>
        </w:tc>
        <w:tc>
          <w:tcPr>
            <w:tcW w:w="4007" w:type="pct"/>
            <w:tcBorders>
              <w:top w:val="single" w:color="auto" w:sz="4" w:space="0"/>
              <w:left w:val="single" w:color="auto" w:sz="4" w:space="0"/>
              <w:bottom w:val="single" w:color="auto" w:sz="4" w:space="0"/>
              <w:right w:val="single" w:color="auto" w:sz="4" w:space="0"/>
            </w:tcBorders>
            <w:shd w:val="clear" w:color="auto" w:fill="auto"/>
            <w:vAlign w:val="center"/>
          </w:tcPr>
          <w:p>
            <w:pPr>
              <w:pStyle w:val="209"/>
              <w:widowControl/>
              <w:autoSpaceDE w:val="0"/>
              <w:spacing w:after="0" w:line="240" w:lineRule="atLeast"/>
              <w:ind w:firstLine="0" w:firstLineChars="0"/>
              <w:rPr>
                <w:rFonts w:ascii="宋体" w:hAnsi="宋体" w:cs="宋体"/>
                <w:bCs/>
                <w:color w:val="000000"/>
              </w:rPr>
            </w:pPr>
            <w:r>
              <w:rPr>
                <w:rFonts w:hint="eastAsia" w:ascii="宋体" w:hAnsi="宋体" w:cs="宋体"/>
                <w:bCs/>
                <w:color w:val="000000"/>
              </w:rPr>
              <w:t>投标方应在本项目中提供态势感知与两台探针设备，完成对指挥专网网络流量数据的捕获、流量信息的获取、流量信息的过滤、流量信息的预处理流量统计、长流识别等流量监测、分析等功能。</w:t>
            </w:r>
          </w:p>
          <w:p>
            <w:pPr>
              <w:pStyle w:val="13"/>
              <w:widowControl/>
              <w:numPr>
                <w:ilvl w:val="0"/>
                <w:numId w:val="6"/>
              </w:numPr>
              <w:autoSpaceDE w:val="0"/>
              <w:spacing w:line="240" w:lineRule="atLeast"/>
              <w:ind w:leftChars="0"/>
            </w:pPr>
            <w:r>
              <w:rPr>
                <w:rFonts w:hint="eastAsia" w:ascii="宋体" w:hAnsi="宋体" w:cs="宋体"/>
                <w:color w:val="000000"/>
                <w:kern w:val="0"/>
              </w:rPr>
              <w:t>本次态势感知设备主要</w:t>
            </w:r>
            <w:r>
              <w:rPr>
                <w:rFonts w:hint="eastAsia" w:ascii="宋体" w:hAnsi="宋体" w:cs="宋体"/>
              </w:rPr>
              <w:t>技术规格要求：</w:t>
            </w:r>
          </w:p>
          <w:p>
            <w:r>
              <w:rPr>
                <w:rFonts w:hint="eastAsia" w:ascii="宋体" w:hAnsi="宋体" w:eastAsia="宋体" w:cs="宋体"/>
                <w:color w:val="000000"/>
                <w:kern w:val="0"/>
                <w:szCs w:val="21"/>
                <w:lang w:bidi="ar"/>
              </w:rPr>
              <w:t>（1）</w:t>
            </w:r>
            <w:r>
              <w:rPr>
                <w:rFonts w:hint="eastAsia" w:ascii="宋体" w:hAnsi="宋体" w:eastAsia="宋体" w:cs="宋体"/>
                <w:szCs w:val="21"/>
                <w:lang w:bidi="ar"/>
              </w:rPr>
              <w:t>国产化软硬件设备，</w:t>
            </w:r>
            <w:r>
              <w:rPr>
                <w:rFonts w:hint="eastAsia" w:ascii="Calibri" w:hAnsi="Calibri" w:eastAsia="宋体" w:cs="宋体"/>
                <w:szCs w:val="21"/>
                <w:lang w:bidi="ar"/>
              </w:rPr>
              <w:t>存储容量≥</w:t>
            </w:r>
            <w:r>
              <w:rPr>
                <w:rFonts w:ascii="Calibri" w:hAnsi="Calibri" w:eastAsia="宋体" w:cs="Times New Roman"/>
                <w:szCs w:val="21"/>
                <w:lang w:bidi="ar"/>
              </w:rPr>
              <w:t>28T</w:t>
            </w:r>
            <w:r>
              <w:rPr>
                <w:rFonts w:hint="eastAsia" w:ascii="Calibri" w:hAnsi="Calibri" w:eastAsia="宋体" w:cs="宋体"/>
                <w:szCs w:val="21"/>
                <w:lang w:bidi="ar"/>
              </w:rPr>
              <w:t>，在带宽性能≥</w:t>
            </w:r>
            <w:r>
              <w:rPr>
                <w:rFonts w:ascii="Calibri" w:hAnsi="Calibri" w:eastAsia="宋体" w:cs="Times New Roman"/>
                <w:szCs w:val="21"/>
                <w:lang w:bidi="ar"/>
              </w:rPr>
              <w:t>1Gbps</w:t>
            </w:r>
            <w:r>
              <w:rPr>
                <w:rFonts w:hint="eastAsia" w:ascii="Calibri" w:hAnsi="Calibri" w:eastAsia="宋体" w:cs="宋体"/>
                <w:szCs w:val="21"/>
                <w:lang w:bidi="ar"/>
              </w:rPr>
              <w:t>时存储时长≥</w:t>
            </w:r>
            <w:r>
              <w:rPr>
                <w:rFonts w:ascii="Calibri" w:hAnsi="Calibri" w:eastAsia="宋体" w:cs="Times New Roman"/>
                <w:szCs w:val="21"/>
                <w:lang w:bidi="ar"/>
              </w:rPr>
              <w:t>1500</w:t>
            </w:r>
            <w:r>
              <w:rPr>
                <w:rFonts w:hint="eastAsia" w:ascii="Calibri" w:hAnsi="Calibri" w:eastAsia="宋体" w:cs="宋体"/>
                <w:szCs w:val="21"/>
                <w:lang w:bidi="ar"/>
              </w:rPr>
              <w:t>天</w:t>
            </w:r>
            <w:r>
              <w:rPr>
                <w:rFonts w:ascii="Calibri" w:hAnsi="Calibri" w:eastAsia="宋体" w:cs="Times New Roman"/>
                <w:szCs w:val="21"/>
                <w:lang w:bidi="ar"/>
              </w:rPr>
              <w:t>/1Gbps</w:t>
            </w:r>
            <w:r>
              <w:rPr>
                <w:rFonts w:hint="eastAsia" w:ascii="Calibri" w:hAnsi="Calibri" w:eastAsia="宋体" w:cs="宋体"/>
                <w:szCs w:val="21"/>
                <w:lang w:bidi="ar"/>
              </w:rPr>
              <w:t>。硬件参数：内存≥</w:t>
            </w:r>
            <w:r>
              <w:rPr>
                <w:rFonts w:ascii="Calibri" w:hAnsi="Calibri" w:eastAsia="宋体" w:cs="Times New Roman"/>
                <w:szCs w:val="21"/>
                <w:lang w:bidi="ar"/>
              </w:rPr>
              <w:t>4*32GB</w:t>
            </w:r>
            <w:r>
              <w:rPr>
                <w:rFonts w:hint="eastAsia" w:ascii="Calibri" w:hAnsi="Calibri" w:eastAsia="宋体" w:cs="宋体"/>
                <w:szCs w:val="21"/>
                <w:lang w:bidi="ar"/>
              </w:rPr>
              <w:t>，系统盘≥</w:t>
            </w:r>
            <w:r>
              <w:rPr>
                <w:rFonts w:ascii="Calibri" w:hAnsi="Calibri" w:eastAsia="宋体" w:cs="Times New Roman"/>
                <w:szCs w:val="21"/>
                <w:lang w:bidi="ar"/>
              </w:rPr>
              <w:t>1*240GB SATA SSD</w:t>
            </w:r>
            <w:r>
              <w:rPr>
                <w:rFonts w:hint="eastAsia" w:ascii="Calibri" w:hAnsi="Calibri" w:eastAsia="宋体" w:cs="宋体"/>
                <w:szCs w:val="21"/>
                <w:lang w:bidi="ar"/>
              </w:rPr>
              <w:t>，数据盘≥</w:t>
            </w:r>
            <w:r>
              <w:rPr>
                <w:rFonts w:ascii="Calibri" w:hAnsi="Calibri" w:eastAsia="宋体" w:cs="Times New Roman"/>
                <w:szCs w:val="21"/>
                <w:lang w:bidi="ar"/>
              </w:rPr>
              <w:t>10*4TB</w:t>
            </w:r>
            <w:r>
              <w:rPr>
                <w:rFonts w:hint="eastAsia" w:ascii="Calibri" w:hAnsi="Calibri" w:eastAsia="宋体" w:cs="宋体"/>
                <w:szCs w:val="21"/>
                <w:lang w:bidi="ar"/>
              </w:rPr>
              <w:t>，标配盘位数不少于</w:t>
            </w:r>
            <w:r>
              <w:rPr>
                <w:rFonts w:ascii="Calibri" w:hAnsi="Calibri" w:eastAsia="宋体" w:cs="Times New Roman"/>
                <w:szCs w:val="21"/>
                <w:lang w:bidi="ar"/>
              </w:rPr>
              <w:t>12</w:t>
            </w:r>
            <w:r>
              <w:rPr>
                <w:rFonts w:hint="eastAsia" w:ascii="Calibri" w:hAnsi="Calibri" w:eastAsia="宋体" w:cs="宋体"/>
                <w:szCs w:val="21"/>
                <w:lang w:bidi="ar"/>
              </w:rPr>
              <w:t>，</w:t>
            </w:r>
            <w:r>
              <w:rPr>
                <w:rFonts w:hint="eastAsia" w:ascii="宋体" w:hAnsi="宋体" w:eastAsia="宋体" w:cs="宋体"/>
                <w:color w:val="000000"/>
                <w:kern w:val="0"/>
                <w:szCs w:val="21"/>
                <w:lang w:bidi="ar"/>
              </w:rPr>
              <w:t>配置≥4个自适应千兆电口，≥</w:t>
            </w:r>
            <w:r>
              <w:rPr>
                <w:rFonts w:hint="eastAsia" w:ascii="宋体" w:hAnsi="宋体" w:eastAsia="宋体" w:cs="宋体"/>
                <w:bCs/>
                <w:color w:val="000000"/>
                <w:szCs w:val="21"/>
                <w:lang w:bidi="ar"/>
              </w:rPr>
              <w:t>2万兆光口</w:t>
            </w:r>
            <w:r>
              <w:rPr>
                <w:rFonts w:ascii="Calibri" w:hAnsi="Calibri" w:eastAsia="宋体" w:cs="Times New Roman"/>
                <w:szCs w:val="21"/>
                <w:lang w:bidi="ar"/>
              </w:rPr>
              <w:t>,</w:t>
            </w:r>
            <w:r>
              <w:rPr>
                <w:rFonts w:hint="eastAsia" w:ascii="Calibri" w:hAnsi="Calibri" w:eastAsia="宋体" w:cs="宋体"/>
                <w:szCs w:val="21"/>
                <w:lang w:bidi="ar"/>
              </w:rPr>
              <w:t>包含不少于</w:t>
            </w:r>
            <w:r>
              <w:rPr>
                <w:rFonts w:ascii="Calibri" w:hAnsi="Calibri" w:eastAsia="宋体" w:cs="Times New Roman"/>
                <w:szCs w:val="21"/>
                <w:lang w:bidi="ar"/>
              </w:rPr>
              <w:t>300</w:t>
            </w:r>
            <w:r>
              <w:rPr>
                <w:rFonts w:hint="eastAsia" w:ascii="Calibri" w:hAnsi="Calibri" w:eastAsia="宋体" w:cs="宋体"/>
                <w:szCs w:val="21"/>
                <w:lang w:bidi="ar"/>
              </w:rPr>
              <w:t>个防护设备接入授权。</w:t>
            </w:r>
          </w:p>
          <w:p>
            <w:pPr>
              <w:numPr>
                <w:ilvl w:val="0"/>
                <w:numId w:val="6"/>
              </w:numPr>
            </w:pPr>
            <w:r>
              <w:rPr>
                <w:rFonts w:hint="eastAsia" w:ascii="宋体" w:hAnsi="宋体" w:eastAsia="宋体" w:cs="宋体"/>
                <w:color w:val="000000"/>
                <w:kern w:val="0"/>
                <w:szCs w:val="21"/>
                <w:lang w:bidi="ar"/>
              </w:rPr>
              <w:t>本次探针设备主要</w:t>
            </w:r>
            <w:r>
              <w:rPr>
                <w:rFonts w:hint="eastAsia" w:ascii="宋体" w:hAnsi="宋体" w:eastAsia="宋体" w:cs="宋体"/>
                <w:szCs w:val="21"/>
                <w:lang w:bidi="ar"/>
              </w:rPr>
              <w:t>技术规格要求：</w:t>
            </w:r>
          </w:p>
          <w:p>
            <w:pPr>
              <w:pStyle w:val="209"/>
              <w:widowControl/>
              <w:autoSpaceDE w:val="0"/>
              <w:spacing w:after="0" w:line="240" w:lineRule="atLeast"/>
              <w:ind w:firstLine="0" w:firstLineChars="0"/>
              <w:rPr>
                <w:rFonts w:ascii="宋体" w:hAnsi="宋体" w:cs="宋体"/>
                <w:color w:val="000000"/>
                <w:kern w:val="0"/>
              </w:rPr>
            </w:pPr>
            <w:r>
              <w:rPr>
                <w:rFonts w:hint="eastAsia" w:ascii="宋体" w:hAnsi="宋体" w:cs="宋体"/>
                <w:color w:val="000000"/>
                <w:kern w:val="0"/>
              </w:rPr>
              <w:t>（1）</w:t>
            </w:r>
            <w:r>
              <w:rPr>
                <w:rFonts w:hint="eastAsia" w:ascii="宋体" w:hAnsi="宋体" w:cs="宋体"/>
              </w:rPr>
              <w:t>国产化软硬件设备，</w:t>
            </w:r>
            <w:r>
              <w:rPr>
                <w:rFonts w:hint="eastAsia" w:ascii="宋体" w:hAnsi="宋体" w:cs="宋体"/>
                <w:color w:val="000000"/>
                <w:kern w:val="0"/>
              </w:rPr>
              <w:t>吞吐性能≥2 Gbps，</w:t>
            </w:r>
            <w:r>
              <w:rPr>
                <w:rFonts w:hint="eastAsia" w:ascii="宋体" w:hAnsi="宋体" w:cs="宋体"/>
                <w:bCs/>
                <w:color w:val="000000"/>
              </w:rPr>
              <w:t>内存大小≥8G，硬盘容量</w:t>
            </w:r>
            <w:r>
              <w:rPr>
                <w:rFonts w:hint="eastAsia" w:ascii="宋体" w:hAnsi="宋体" w:cs="宋体"/>
                <w:color w:val="000000"/>
                <w:kern w:val="0"/>
              </w:rPr>
              <w:t>≥</w:t>
            </w:r>
            <w:r>
              <w:rPr>
                <w:rFonts w:hint="eastAsia" w:ascii="宋体" w:hAnsi="宋体" w:cs="宋体"/>
                <w:bCs/>
                <w:color w:val="000000"/>
              </w:rPr>
              <w:t>480GB SSD，</w:t>
            </w:r>
            <w:r>
              <w:rPr>
                <w:rFonts w:hint="eastAsia" w:ascii="宋体" w:hAnsi="宋体" w:cs="宋体"/>
                <w:color w:val="000000"/>
                <w:kern w:val="0"/>
              </w:rPr>
              <w:t>并发连接数≥180万，新建连接速率2万/秒，配置≥6个自适应千兆电口，≥</w:t>
            </w:r>
            <w:r>
              <w:rPr>
                <w:rFonts w:hint="eastAsia" w:ascii="宋体" w:hAnsi="宋体" w:cs="宋体"/>
                <w:bCs/>
                <w:color w:val="000000"/>
              </w:rPr>
              <w:t>2万兆光口</w:t>
            </w:r>
            <w:r>
              <w:rPr>
                <w:rFonts w:hint="eastAsia" w:ascii="宋体" w:hAnsi="宋体" w:cs="宋体"/>
                <w:color w:val="000000"/>
                <w:kern w:val="0"/>
              </w:rPr>
              <w:t>，USB≥1个，≥1个RJ45串口，1个管理口，含冗余电源等。</w:t>
            </w:r>
          </w:p>
          <w:p>
            <w:pPr>
              <w:pStyle w:val="209"/>
              <w:widowControl/>
              <w:autoSpaceDE w:val="0"/>
              <w:spacing w:after="0" w:line="240" w:lineRule="atLeast"/>
              <w:ind w:firstLine="0" w:firstLineChars="0"/>
              <w:rPr>
                <w:rFonts w:ascii="宋体" w:hAnsi="宋体" w:cs="宋体"/>
                <w:color w:val="000000"/>
                <w:kern w:val="0"/>
              </w:rPr>
            </w:pPr>
            <w:r>
              <w:rPr>
                <w:rFonts w:hint="eastAsia" w:ascii="宋体" w:hAnsi="宋体" w:cs="宋体"/>
              </w:rPr>
              <w:t>（2）</w:t>
            </w:r>
            <w:r>
              <w:rPr>
                <w:rFonts w:hint="eastAsia" w:ascii="宋体" w:hAnsi="宋体" w:cs="宋体"/>
                <w:bCs/>
                <w:color w:val="000000"/>
              </w:rPr>
              <w:t>产品包含3年软件升级，硬件质保，3年规则库升级。</w:t>
            </w:r>
          </w:p>
          <w:p>
            <w:pPr>
              <w:pStyle w:val="13"/>
              <w:widowControl/>
              <w:autoSpaceDE w:val="0"/>
              <w:spacing w:line="240" w:lineRule="atLeast"/>
              <w:ind w:left="0" w:leftChars="0"/>
              <w:rPr>
                <w:rFonts w:ascii="宋体" w:hAnsi="宋体" w:cs="宋体"/>
              </w:rPr>
            </w:pPr>
            <w:r>
              <w:rPr>
                <w:rFonts w:hint="eastAsia" w:ascii="宋体" w:hAnsi="宋体" w:cs="宋体"/>
                <w:color w:val="000000"/>
                <w:kern w:val="0"/>
              </w:rPr>
              <w:t>2、本次态势感知与探针设备主要</w:t>
            </w:r>
            <w:r>
              <w:rPr>
                <w:rFonts w:hint="eastAsia" w:ascii="宋体" w:hAnsi="宋体" w:cs="宋体"/>
              </w:rPr>
              <w:t>技术规格要求：</w:t>
            </w:r>
          </w:p>
          <w:p>
            <w:pPr>
              <w:rPr>
                <w:rFonts w:ascii="宋体" w:hAnsi="宋体" w:eastAsia="宋体" w:cs="宋体"/>
              </w:rPr>
            </w:pPr>
            <w:r>
              <w:rPr>
                <w:rFonts w:hint="eastAsia" w:ascii="宋体" w:hAnsi="宋体" w:eastAsia="宋体" w:cs="宋体"/>
                <w:szCs w:val="21"/>
                <w:lang w:bidi="ar"/>
              </w:rPr>
              <w:t>态势感知设备：</w:t>
            </w:r>
          </w:p>
          <w:p>
            <w:pPr>
              <w:pStyle w:val="209"/>
              <w:widowControl/>
              <w:autoSpaceDE w:val="0"/>
              <w:spacing w:after="0" w:line="240" w:lineRule="atLeast"/>
              <w:ind w:firstLine="0" w:firstLineChars="0"/>
              <w:rPr>
                <w:rFonts w:ascii="宋体" w:hAnsi="宋体" w:cs="宋体"/>
                <w:bCs/>
                <w:color w:val="000000"/>
              </w:rPr>
            </w:pPr>
            <w:r>
              <w:rPr>
                <w:rFonts w:hint="eastAsia" w:ascii="宋体" w:hAnsi="宋体" w:cs="宋体"/>
                <w:bCs/>
                <w:color w:val="000000"/>
              </w:rPr>
              <w:t>（1）通过自定义设置实现对安全事件、外部攻击者等维度实时告警展示，大屏轮播功能，可在一个屏幕上自动切换轮播不同的大屏，所有大屏可自定义播放顺序。（需提供功能截图证明加盖厂商公章）；</w:t>
            </w:r>
          </w:p>
          <w:p>
            <w:pPr>
              <w:pStyle w:val="209"/>
              <w:widowControl/>
              <w:autoSpaceDE w:val="0"/>
              <w:spacing w:after="0" w:line="240" w:lineRule="atLeast"/>
              <w:ind w:firstLine="0" w:firstLineChars="0"/>
              <w:rPr>
                <w:rFonts w:ascii="宋体" w:hAnsi="宋体" w:cs="宋体"/>
                <w:bCs/>
                <w:color w:val="000000"/>
              </w:rPr>
            </w:pPr>
            <w:r>
              <w:rPr>
                <w:rFonts w:hint="eastAsia" w:ascii="宋体" w:hAnsi="宋体" w:cs="宋体"/>
                <w:bCs/>
                <w:color w:val="000000"/>
              </w:rPr>
              <w:t>（2）具备挖矿攻击事前、事中和事后全链路的检测分析能力，综合运用威胁情报、IPS特征规则和行为关联分析技术，如检测发现文件传输（上传下载）阶段的异常，对挖矿早期的准备动作即告警。（需提供功能截图证明加盖厂商公章）；</w:t>
            </w:r>
          </w:p>
          <w:p>
            <w:pPr>
              <w:pStyle w:val="209"/>
              <w:widowControl/>
              <w:autoSpaceDE w:val="0"/>
              <w:spacing w:after="0" w:line="240" w:lineRule="atLeast"/>
              <w:ind w:firstLine="0" w:firstLineChars="0"/>
              <w:rPr>
                <w:rFonts w:ascii="宋体" w:hAnsi="宋体" w:cs="宋体"/>
                <w:bCs/>
                <w:color w:val="000000"/>
              </w:rPr>
            </w:pPr>
            <w:r>
              <w:rPr>
                <w:rFonts w:hint="eastAsia" w:ascii="宋体" w:hAnsi="宋体" w:cs="宋体"/>
                <w:bCs/>
                <w:color w:val="000000"/>
              </w:rPr>
              <w:t>（3）安全感知平台具备与现有环境部署的两台防火墙、入侵防御系统联动封锁，发生安全事件具备与防火墙联动一键查杀、进程取证与处置（需提供截图证明并加盖原厂商公章）</w:t>
            </w:r>
          </w:p>
          <w:p>
            <w:pPr>
              <w:pStyle w:val="33"/>
              <w:widowControl w:val="0"/>
              <w:spacing w:before="0" w:beforeAutospacing="0" w:after="0" w:afterAutospacing="0"/>
              <w:ind w:firstLine="422" w:firstLineChars="200"/>
              <w:jc w:val="both"/>
              <w:rPr>
                <w:b/>
                <w:bCs/>
              </w:rPr>
            </w:pPr>
            <w:r>
              <w:rPr>
                <w:rFonts w:hint="eastAsia" w:ascii="Calibri" w:hAnsi="Calibri"/>
                <w:b/>
                <w:bCs/>
                <w:kern w:val="2"/>
                <w:sz w:val="21"/>
                <w:szCs w:val="21"/>
                <w:lang w:bidi="ar"/>
              </w:rPr>
              <w:t>探针设备：</w:t>
            </w:r>
          </w:p>
          <w:p>
            <w:pPr>
              <w:pStyle w:val="209"/>
              <w:widowControl/>
              <w:autoSpaceDE w:val="0"/>
              <w:spacing w:after="0" w:line="240" w:lineRule="atLeast"/>
              <w:ind w:firstLine="0" w:firstLineChars="0"/>
              <w:rPr>
                <w:rFonts w:ascii="宋体" w:hAnsi="宋体" w:cs="宋体"/>
                <w:bCs/>
                <w:color w:val="000000"/>
              </w:rPr>
            </w:pPr>
            <w:r>
              <w:rPr>
                <w:rFonts w:hint="eastAsia" w:ascii="宋体" w:hAnsi="宋体" w:cs="宋体"/>
                <w:bCs/>
                <w:color w:val="000000"/>
              </w:rPr>
              <w:t>（1）具备传输5种以上协议审计日志；可实时监控设备的CPU、内存、存储空间使用情况；</w:t>
            </w:r>
          </w:p>
          <w:p>
            <w:pPr>
              <w:pStyle w:val="209"/>
              <w:widowControl/>
              <w:autoSpaceDE w:val="0"/>
              <w:spacing w:after="0" w:line="240" w:lineRule="atLeast"/>
              <w:ind w:firstLine="0" w:firstLineChars="0"/>
              <w:rPr>
                <w:rFonts w:ascii="宋体" w:hAnsi="宋体" w:cs="宋体"/>
                <w:bCs/>
                <w:color w:val="000000"/>
              </w:rPr>
            </w:pPr>
            <w:r>
              <w:rPr>
                <w:rFonts w:hint="eastAsia" w:ascii="宋体" w:hAnsi="宋体" w:cs="宋体"/>
                <w:bCs/>
                <w:color w:val="000000"/>
              </w:rPr>
              <w:t>（2）具备标准端口运行非标准的协议，端口类型包括80/8080、21、69、443、25等至少5种以上。（需提供功能截图证明加盖厂商公章）；</w:t>
            </w:r>
          </w:p>
          <w:p>
            <w:pPr>
              <w:pStyle w:val="209"/>
              <w:widowControl/>
              <w:autoSpaceDE w:val="0"/>
              <w:spacing w:after="0" w:line="240" w:lineRule="atLeast"/>
              <w:ind w:firstLine="0" w:firstLineChars="0"/>
              <w:rPr>
                <w:rFonts w:ascii="宋体" w:hAnsi="宋体" w:cs="宋体"/>
                <w:bCs/>
                <w:color w:val="000000"/>
              </w:rPr>
            </w:pPr>
            <w:r>
              <w:rPr>
                <w:rFonts w:hint="eastAsia" w:ascii="宋体" w:hAnsi="宋体" w:cs="宋体"/>
                <w:bCs/>
                <w:color w:val="000000"/>
              </w:rPr>
              <w:t>（3）具备流量抓包，可定义抓包数量、接口、IP地址、端口或自定义过滤表达式（需提供功能截图证明加盖厂商公章）；</w:t>
            </w:r>
          </w:p>
          <w:p>
            <w:pPr>
              <w:pStyle w:val="209"/>
              <w:widowControl/>
              <w:autoSpaceDE w:val="0"/>
              <w:spacing w:after="0" w:line="240" w:lineRule="atLeast"/>
              <w:ind w:firstLine="0" w:firstLineChars="0"/>
              <w:rPr>
                <w:rFonts w:ascii="宋体" w:hAnsi="宋体" w:cs="宋体"/>
                <w:bCs/>
                <w:color w:val="000000"/>
              </w:rPr>
            </w:pPr>
            <w:r>
              <w:rPr>
                <w:rFonts w:hint="eastAsia" w:ascii="宋体" w:hAnsi="宋体" w:cs="宋体"/>
                <w:bCs/>
                <w:color w:val="000000"/>
              </w:rPr>
              <w:t>（4）具备SQL注入、XSS攻击、网页木马、网站扫描、WEBSHELL、跨站请求伪造、系统命令注入、文件包含攻击等至少6种以上攻击行为；</w:t>
            </w:r>
          </w:p>
          <w:p>
            <w:pPr>
              <w:pStyle w:val="209"/>
              <w:widowControl/>
              <w:autoSpaceDE w:val="0"/>
              <w:spacing w:after="0" w:line="240" w:lineRule="atLeast"/>
              <w:ind w:firstLine="0" w:firstLineChars="0"/>
              <w:rPr>
                <w:rFonts w:ascii="宋体" w:hAnsi="宋体" w:cs="宋体"/>
                <w:bCs/>
                <w:color w:val="000000"/>
              </w:rPr>
            </w:pPr>
            <w:r>
              <w:rPr>
                <w:rFonts w:hint="eastAsia" w:ascii="宋体" w:hAnsi="宋体" w:cs="宋体"/>
                <w:bCs/>
                <w:color w:val="000000"/>
              </w:rPr>
              <w:t>（5）为了服务应急指挥专网的安全体系建设，此次接入探针需接入原有的安全管理平台，进行设备联动，闭环应急响应分析，并提供相应原厂盖章证明文件，并提供相应原厂可行性方案加盖公章，同时提供原有设备厂家的对接公章的证明文件。</w:t>
            </w:r>
          </w:p>
          <w:p>
            <w:pPr>
              <w:pStyle w:val="209"/>
              <w:widowControl/>
              <w:autoSpaceDE w:val="0"/>
              <w:spacing w:after="0" w:line="240" w:lineRule="atLeast"/>
              <w:ind w:firstLine="0" w:firstLineChars="0"/>
              <w:rPr>
                <w:rFonts w:ascii="宋体" w:hAnsi="宋体" w:cs="宋体"/>
              </w:rPr>
            </w:pPr>
            <w:r>
              <w:rPr>
                <w:rFonts w:hint="eastAsia" w:ascii="宋体" w:hAnsi="宋体" w:cs="宋体"/>
                <w:bCs/>
                <w:color w:val="000000"/>
              </w:rPr>
              <w:t>（6）提供销售许可证、产品检验报告和著作权登记证书。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4" w:hRule="atLeast"/>
          <w:jc w:val="center"/>
        </w:trPr>
        <w:tc>
          <w:tcPr>
            <w:tcW w:w="352"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autoSpaceDE w:val="0"/>
              <w:spacing w:line="240" w:lineRule="atLeast"/>
              <w:jc w:val="center"/>
              <w:textAlignment w:val="center"/>
              <w:rPr>
                <w:rFonts w:ascii="宋体" w:hAnsi="宋体" w:eastAsia="宋体" w:cs="宋体"/>
                <w:color w:val="000000"/>
              </w:rPr>
            </w:pPr>
            <w:r>
              <w:rPr>
                <w:rFonts w:hint="eastAsia" w:ascii="宋体" w:hAnsi="宋体" w:eastAsia="宋体" w:cs="宋体"/>
                <w:color w:val="000000"/>
                <w:szCs w:val="21"/>
                <w:lang w:bidi="ar"/>
              </w:rPr>
              <w:t>4</w:t>
            </w:r>
          </w:p>
        </w:tc>
        <w:tc>
          <w:tcPr>
            <w:tcW w:w="641"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autoSpaceDE w:val="0"/>
              <w:spacing w:line="240" w:lineRule="atLeast"/>
              <w:jc w:val="center"/>
              <w:textAlignment w:val="center"/>
              <w:rPr>
                <w:rFonts w:ascii="宋体" w:hAnsi="宋体" w:eastAsia="宋体" w:cs="宋体"/>
                <w:color w:val="000000"/>
                <w:kern w:val="0"/>
              </w:rPr>
            </w:pPr>
            <w:r>
              <w:rPr>
                <w:rFonts w:hint="eastAsia" w:ascii="宋体" w:hAnsi="宋体" w:eastAsia="宋体" w:cs="宋体"/>
                <w:color w:val="000000"/>
                <w:kern w:val="0"/>
                <w:szCs w:val="21"/>
                <w:lang w:bidi="ar"/>
              </w:rPr>
              <w:t>日志审计</w:t>
            </w:r>
          </w:p>
        </w:tc>
        <w:tc>
          <w:tcPr>
            <w:tcW w:w="4007" w:type="pct"/>
            <w:tcBorders>
              <w:top w:val="single" w:color="auto" w:sz="4" w:space="0"/>
              <w:left w:val="single" w:color="auto" w:sz="4" w:space="0"/>
              <w:bottom w:val="single" w:color="auto" w:sz="4" w:space="0"/>
              <w:right w:val="single" w:color="auto" w:sz="4" w:space="0"/>
            </w:tcBorders>
            <w:shd w:val="clear" w:color="auto" w:fill="auto"/>
            <w:vAlign w:val="center"/>
          </w:tcPr>
          <w:p>
            <w:pPr>
              <w:pStyle w:val="209"/>
              <w:widowControl/>
              <w:autoSpaceDE w:val="0"/>
              <w:spacing w:after="0" w:line="240" w:lineRule="atLeast"/>
              <w:ind w:firstLine="210"/>
              <w:rPr>
                <w:rFonts w:ascii="宋体" w:hAnsi="宋体" w:cs="宋体"/>
                <w:bCs/>
                <w:color w:val="000000"/>
              </w:rPr>
            </w:pPr>
            <w:r>
              <w:rPr>
                <w:rFonts w:hint="eastAsia" w:ascii="宋体" w:hAnsi="宋体" w:cs="宋体"/>
                <w:bCs/>
                <w:color w:val="000000"/>
              </w:rPr>
              <w:t>投标方应在本项目中提供日志审计系统，全面收集自治区应急管理厅应急指挥专网相关系统中的安全设备、网络设备、数据库、服务器、应用系统、主机等设备所产生的日志并进行采集、留存，并实时监控告警，合规审计等。通过工具按季度输出日志审计服务报告，完善自治区应急管理厅网络安全审计和溯源机制，切实提高网络和网络安全防护水平。</w:t>
            </w:r>
          </w:p>
          <w:p>
            <w:pPr>
              <w:pStyle w:val="13"/>
              <w:widowControl/>
              <w:autoSpaceDE w:val="0"/>
              <w:spacing w:line="240" w:lineRule="atLeast"/>
              <w:ind w:left="0" w:leftChars="0"/>
              <w:rPr>
                <w:rFonts w:ascii="宋体" w:hAnsi="宋体" w:cs="宋体"/>
              </w:rPr>
            </w:pPr>
            <w:r>
              <w:rPr>
                <w:rFonts w:hint="eastAsia" w:ascii="宋体" w:hAnsi="宋体" w:cs="宋体"/>
                <w:color w:val="000000"/>
                <w:kern w:val="0"/>
              </w:rPr>
              <w:t>1、本次日志审计设备主要</w:t>
            </w:r>
            <w:r>
              <w:rPr>
                <w:rFonts w:hint="eastAsia" w:ascii="宋体" w:hAnsi="宋体" w:cs="宋体"/>
              </w:rPr>
              <w:t>技术规格要求：</w:t>
            </w:r>
          </w:p>
          <w:p>
            <w:pPr>
              <w:pStyle w:val="209"/>
              <w:widowControl/>
              <w:numPr>
                <w:ilvl w:val="0"/>
                <w:numId w:val="7"/>
              </w:numPr>
              <w:autoSpaceDE w:val="0"/>
              <w:spacing w:before="100" w:beforeAutospacing="0" w:after="0" w:line="240" w:lineRule="atLeast"/>
              <w:ind w:firstLine="210"/>
              <w:rPr>
                <w:rFonts w:ascii="宋体" w:hAnsi="宋体" w:cs="宋体"/>
                <w:bCs/>
                <w:color w:val="000000"/>
              </w:rPr>
            </w:pPr>
            <w:r>
              <w:rPr>
                <w:rFonts w:hint="eastAsia" w:ascii="宋体" w:hAnsi="宋体" w:cs="宋体"/>
              </w:rPr>
              <w:t>国产化软件系统，资产授权数量(个)≥100；≥</w:t>
            </w:r>
            <w:r>
              <w:rPr>
                <w:rFonts w:hint="eastAsia" w:ascii="宋体" w:hAnsi="宋体" w:cs="宋体"/>
                <w:bCs/>
                <w:color w:val="000000"/>
              </w:rPr>
              <w:t>680种日志对象的日志数据采集；标准化自动识别系统类型</w:t>
            </w:r>
            <w:r>
              <w:rPr>
                <w:rFonts w:hint="eastAsia" w:ascii="宋体" w:hAnsi="宋体" w:cs="宋体"/>
              </w:rPr>
              <w:t>≥</w:t>
            </w:r>
            <w:r>
              <w:rPr>
                <w:rFonts w:hint="eastAsia" w:ascii="宋体" w:hAnsi="宋体" w:cs="宋体"/>
                <w:bCs/>
                <w:color w:val="000000"/>
              </w:rPr>
              <w:t>150种。</w:t>
            </w:r>
          </w:p>
          <w:p>
            <w:pPr>
              <w:pStyle w:val="209"/>
              <w:widowControl/>
              <w:numPr>
                <w:ilvl w:val="0"/>
                <w:numId w:val="7"/>
              </w:numPr>
              <w:autoSpaceDE w:val="0"/>
              <w:spacing w:before="100" w:beforeAutospacing="0" w:after="0" w:line="240" w:lineRule="atLeast"/>
              <w:ind w:firstLine="210"/>
              <w:rPr>
                <w:rFonts w:ascii="宋体" w:hAnsi="宋体" w:cs="宋体"/>
              </w:rPr>
            </w:pPr>
            <w:r>
              <w:rPr>
                <w:rFonts w:hint="eastAsia" w:ascii="宋体" w:hAnsi="宋体" w:cs="宋体"/>
              </w:rPr>
              <w:t>产品提供3年质保、3年软件升级服务。</w:t>
            </w:r>
          </w:p>
          <w:p>
            <w:pPr>
              <w:pStyle w:val="13"/>
              <w:widowControl/>
              <w:autoSpaceDE w:val="0"/>
              <w:spacing w:line="240" w:lineRule="atLeast"/>
              <w:ind w:left="0" w:leftChars="0"/>
              <w:rPr>
                <w:rFonts w:ascii="宋体" w:hAnsi="宋体" w:cs="宋体"/>
              </w:rPr>
            </w:pPr>
            <w:r>
              <w:rPr>
                <w:rFonts w:hint="eastAsia" w:ascii="宋体" w:hAnsi="宋体" w:cs="宋体"/>
                <w:color w:val="000000"/>
                <w:kern w:val="0"/>
              </w:rPr>
              <w:t>2、本次日志审计设备主要功能实现</w:t>
            </w:r>
            <w:r>
              <w:rPr>
                <w:rFonts w:hint="eastAsia" w:ascii="宋体" w:hAnsi="宋体" w:cs="宋体"/>
              </w:rPr>
              <w:t>要求：</w:t>
            </w:r>
          </w:p>
          <w:p>
            <w:pPr>
              <w:pStyle w:val="209"/>
              <w:widowControl/>
              <w:autoSpaceDE w:val="0"/>
              <w:spacing w:after="0" w:line="240" w:lineRule="atLeast"/>
              <w:ind w:firstLine="210"/>
              <w:rPr>
                <w:rFonts w:ascii="宋体" w:hAnsi="宋体" w:cs="宋体"/>
                <w:bCs/>
                <w:color w:val="000000"/>
              </w:rPr>
            </w:pPr>
            <w:r>
              <w:rPr>
                <w:rFonts w:hint="eastAsia" w:ascii="宋体" w:hAnsi="宋体" w:cs="宋体"/>
                <w:bCs/>
                <w:color w:val="000000"/>
              </w:rPr>
              <w:t>（1）具备设置日志存储策略，包括设置日志存储周期（天）、存储空间容量使用阈值等；</w:t>
            </w:r>
          </w:p>
          <w:p>
            <w:pPr>
              <w:pStyle w:val="209"/>
              <w:widowControl/>
              <w:autoSpaceDE w:val="0"/>
              <w:spacing w:after="0" w:line="240" w:lineRule="atLeast"/>
              <w:ind w:firstLine="210"/>
              <w:rPr>
                <w:rFonts w:ascii="宋体" w:hAnsi="宋体" w:cs="宋体"/>
                <w:bCs/>
                <w:color w:val="000000"/>
              </w:rPr>
            </w:pPr>
            <w:r>
              <w:rPr>
                <w:rFonts w:hint="eastAsia" w:ascii="宋体" w:hAnsi="宋体" w:cs="宋体"/>
                <w:bCs/>
                <w:color w:val="000000"/>
              </w:rPr>
              <w:t>（2）具备可视化展示，包括接入设备概况等，可提供设备专项分析场景。如防火墙外部攻击场景分析、关联规则告警趋势图、VPN账号异常场景分析、安全事件趋势图、Windows服务器主机异常场景分析等（需提供功能截图证明加盖厂商公章）；</w:t>
            </w:r>
          </w:p>
          <w:p>
            <w:pPr>
              <w:pStyle w:val="209"/>
              <w:widowControl/>
              <w:autoSpaceDE w:val="0"/>
              <w:spacing w:after="0" w:line="240" w:lineRule="atLeast"/>
              <w:ind w:firstLine="210"/>
              <w:rPr>
                <w:rFonts w:ascii="宋体" w:hAnsi="宋体" w:cs="宋体"/>
                <w:bCs/>
                <w:color w:val="000000"/>
              </w:rPr>
            </w:pPr>
            <w:r>
              <w:rPr>
                <w:rFonts w:hint="eastAsia" w:ascii="宋体" w:hAnsi="宋体" w:cs="宋体"/>
                <w:bCs/>
                <w:color w:val="000000"/>
              </w:rPr>
              <w:t>（3）具备网站攻击、账号异常、暴力破解、拒绝服务、主机脆弱性、主机异常、漏洞利用、恶意软件、权限异常、侦查探测等内置关联分析规则，内置关联分析规则数量达到300条以上（需提供功能截图证明加盖厂商公章）；</w:t>
            </w:r>
          </w:p>
          <w:p>
            <w:pPr>
              <w:pStyle w:val="209"/>
              <w:widowControl/>
              <w:autoSpaceDE w:val="0"/>
              <w:spacing w:after="0" w:line="240" w:lineRule="atLeast"/>
              <w:ind w:firstLine="210"/>
              <w:rPr>
                <w:rFonts w:ascii="宋体" w:hAnsi="宋体" w:cs="宋体"/>
                <w:bCs/>
                <w:color w:val="000000"/>
              </w:rPr>
            </w:pPr>
            <w:r>
              <w:rPr>
                <w:rFonts w:hint="eastAsia" w:ascii="宋体" w:hAnsi="宋体" w:cs="宋体"/>
                <w:bCs/>
                <w:color w:val="000000"/>
              </w:rPr>
              <w:t>（4）具备告警事件归并、告警归档，具备基于发生频率、发生频次及时间的条件设定。（需提供功能截图证明加盖厂商公章）</w:t>
            </w:r>
          </w:p>
          <w:p>
            <w:pPr>
              <w:pStyle w:val="209"/>
              <w:widowControl/>
              <w:autoSpaceDE w:val="0"/>
              <w:spacing w:after="0" w:line="240" w:lineRule="atLeast"/>
              <w:ind w:firstLine="210"/>
              <w:rPr>
                <w:rFonts w:ascii="宋体" w:hAnsi="宋体" w:cs="宋体"/>
                <w:bCs/>
                <w:color w:val="000000"/>
              </w:rPr>
            </w:pPr>
            <w:r>
              <w:rPr>
                <w:rFonts w:hint="eastAsia" w:ascii="宋体" w:hAnsi="宋体" w:cs="宋体"/>
                <w:bCs/>
                <w:color w:val="000000"/>
              </w:rPr>
              <w:t>（5）能够在</w:t>
            </w:r>
            <w:r>
              <w:rPr>
                <w:rFonts w:hint="eastAsia" w:cs="宋体"/>
                <w:bCs/>
                <w:color w:val="000000"/>
              </w:rPr>
              <w:t>原有安全资源平台进行部署，实现完美兼容原有平台进行统一管理与部署，统一升级和扩容，提供厂商证明并加盖公章。</w:t>
            </w:r>
          </w:p>
          <w:p>
            <w:pPr>
              <w:pStyle w:val="209"/>
              <w:widowControl/>
              <w:autoSpaceDE w:val="0"/>
              <w:spacing w:after="0" w:line="240" w:lineRule="atLeast"/>
              <w:ind w:firstLine="210"/>
              <w:rPr>
                <w:rFonts w:ascii="宋体" w:hAnsi="宋体" w:cs="宋体"/>
              </w:rPr>
            </w:pPr>
            <w:r>
              <w:rPr>
                <w:rFonts w:hint="eastAsia" w:ascii="宋体" w:hAnsi="宋体" w:cs="宋体"/>
                <w:bCs/>
                <w:color w:val="000000"/>
              </w:rPr>
              <w:t>（6）提供销售许可证、产品检验报告和著作权登记证书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352"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autoSpaceDE w:val="0"/>
              <w:spacing w:line="240" w:lineRule="atLeast"/>
              <w:jc w:val="center"/>
              <w:textAlignment w:val="center"/>
              <w:rPr>
                <w:rFonts w:ascii="宋体" w:hAnsi="宋体" w:eastAsia="宋体" w:cs="宋体"/>
                <w:color w:val="000000"/>
              </w:rPr>
            </w:pPr>
            <w:r>
              <w:rPr>
                <w:rFonts w:hint="eastAsia" w:ascii="宋体" w:hAnsi="宋体" w:eastAsia="宋体" w:cs="宋体"/>
                <w:color w:val="000000"/>
                <w:szCs w:val="21"/>
                <w:lang w:bidi="ar"/>
              </w:rPr>
              <w:t>5</w:t>
            </w:r>
          </w:p>
        </w:tc>
        <w:tc>
          <w:tcPr>
            <w:tcW w:w="641"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autoSpaceDE w:val="0"/>
              <w:spacing w:line="240" w:lineRule="atLeast"/>
              <w:jc w:val="center"/>
              <w:textAlignment w:val="center"/>
              <w:rPr>
                <w:rFonts w:ascii="宋体" w:hAnsi="宋体" w:eastAsia="宋体" w:cs="宋体"/>
                <w:color w:val="000000"/>
                <w:kern w:val="0"/>
              </w:rPr>
            </w:pPr>
            <w:r>
              <w:rPr>
                <w:rFonts w:hint="eastAsia" w:ascii="宋体" w:hAnsi="宋体" w:eastAsia="宋体" w:cs="宋体"/>
                <w:color w:val="000000"/>
                <w:kern w:val="0"/>
                <w:szCs w:val="21"/>
                <w:lang w:bidi="ar"/>
              </w:rPr>
              <w:t>数据库审计</w:t>
            </w:r>
          </w:p>
        </w:tc>
        <w:tc>
          <w:tcPr>
            <w:tcW w:w="4007" w:type="pct"/>
            <w:tcBorders>
              <w:top w:val="single" w:color="auto" w:sz="4" w:space="0"/>
              <w:left w:val="single" w:color="auto" w:sz="4" w:space="0"/>
              <w:bottom w:val="single" w:color="auto" w:sz="4" w:space="0"/>
              <w:right w:val="single" w:color="auto" w:sz="4" w:space="0"/>
            </w:tcBorders>
            <w:shd w:val="clear" w:color="auto" w:fill="auto"/>
            <w:vAlign w:val="center"/>
          </w:tcPr>
          <w:p>
            <w:pPr>
              <w:pStyle w:val="209"/>
              <w:widowControl/>
              <w:autoSpaceDE w:val="0"/>
              <w:spacing w:after="0" w:line="240" w:lineRule="atLeast"/>
              <w:ind w:firstLine="210"/>
              <w:rPr>
                <w:rFonts w:ascii="宋体" w:hAnsi="宋体" w:cs="宋体"/>
                <w:bCs/>
                <w:color w:val="000000"/>
              </w:rPr>
            </w:pPr>
            <w:r>
              <w:rPr>
                <w:rFonts w:hint="eastAsia" w:ascii="宋体" w:hAnsi="宋体" w:cs="宋体"/>
                <w:bCs/>
                <w:color w:val="000000"/>
              </w:rPr>
              <w:t>投标方应在本项目中提供数据库审计系统，针对自治区应急管理厅应急指挥专网相关系统中数据库的各种操作，解析还原成原始的数据库语句，通过匹配预置的安全规则，智能分析和监控访问者的各种操作，进行实时威胁预警，并对事件统计分析、记录。</w:t>
            </w:r>
          </w:p>
          <w:p>
            <w:pPr>
              <w:pStyle w:val="13"/>
              <w:widowControl/>
              <w:autoSpaceDE w:val="0"/>
              <w:spacing w:line="240" w:lineRule="atLeast"/>
              <w:ind w:left="0" w:leftChars="0"/>
              <w:rPr>
                <w:rFonts w:ascii="宋体" w:hAnsi="宋体" w:cs="宋体"/>
              </w:rPr>
            </w:pPr>
            <w:r>
              <w:rPr>
                <w:rFonts w:hint="eastAsia" w:ascii="宋体" w:hAnsi="宋体" w:cs="宋体"/>
                <w:color w:val="000000"/>
                <w:kern w:val="0"/>
              </w:rPr>
              <w:t>1、本次数据库审计设备主要</w:t>
            </w:r>
            <w:r>
              <w:rPr>
                <w:rFonts w:hint="eastAsia" w:ascii="宋体" w:hAnsi="宋体" w:cs="宋体"/>
              </w:rPr>
              <w:t>技术规格要求：</w:t>
            </w:r>
          </w:p>
          <w:p>
            <w:pPr>
              <w:pStyle w:val="33"/>
              <w:widowControl w:val="0"/>
              <w:autoSpaceDE w:val="0"/>
              <w:adjustRightInd w:val="0"/>
              <w:spacing w:before="0" w:beforeAutospacing="0" w:after="0" w:afterAutospacing="0" w:line="240" w:lineRule="atLeast"/>
              <w:jc w:val="both"/>
              <w:rPr>
                <w:bCs/>
                <w:color w:val="000000"/>
                <w:kern w:val="2"/>
                <w:sz w:val="21"/>
                <w:szCs w:val="21"/>
              </w:rPr>
            </w:pPr>
            <w:r>
              <w:rPr>
                <w:rFonts w:hint="eastAsia" w:cs="Times New Roman"/>
                <w:bCs/>
                <w:color w:val="000000"/>
                <w:spacing w:val="11"/>
                <w:sz w:val="21"/>
                <w:szCs w:val="21"/>
                <w:lang w:bidi="ar"/>
              </w:rPr>
              <w:t>（1）</w:t>
            </w:r>
            <w:r>
              <w:rPr>
                <w:rFonts w:hint="eastAsia" w:cs="Times New Roman"/>
                <w:spacing w:val="11"/>
                <w:sz w:val="21"/>
                <w:szCs w:val="21"/>
                <w:lang w:bidi="ar"/>
              </w:rPr>
              <w:t>国产化软件系统，</w:t>
            </w:r>
            <w:r>
              <w:rPr>
                <w:rFonts w:hint="eastAsia" w:cs="Times New Roman"/>
                <w:bCs/>
                <w:color w:val="000000"/>
                <w:kern w:val="2"/>
                <w:sz w:val="21"/>
                <w:szCs w:val="21"/>
                <w:lang w:bidi="ar"/>
              </w:rPr>
              <w:t>数据库流量≥200M，日志检索≥15000条/s；</w:t>
            </w:r>
          </w:p>
          <w:p>
            <w:pPr>
              <w:pStyle w:val="209"/>
              <w:widowControl/>
              <w:autoSpaceDE w:val="0"/>
              <w:spacing w:after="0" w:line="240" w:lineRule="atLeast"/>
              <w:ind w:firstLine="0" w:firstLineChars="0"/>
              <w:rPr>
                <w:rFonts w:ascii="宋体" w:hAnsi="宋体" w:cs="宋体"/>
                <w:color w:val="000000"/>
                <w:kern w:val="0"/>
              </w:rPr>
            </w:pPr>
            <w:r>
              <w:rPr>
                <w:rFonts w:hint="eastAsia" w:ascii="宋体" w:hAnsi="宋体" w:cs="宋体"/>
              </w:rPr>
              <w:t>（2）产品提供3年质保、3年软件升级服务。</w:t>
            </w:r>
          </w:p>
          <w:p>
            <w:pPr>
              <w:pStyle w:val="13"/>
              <w:widowControl/>
              <w:autoSpaceDE w:val="0"/>
              <w:spacing w:line="240" w:lineRule="atLeast"/>
              <w:ind w:left="0" w:leftChars="0"/>
              <w:rPr>
                <w:rFonts w:ascii="宋体" w:hAnsi="宋体" w:cs="宋体"/>
              </w:rPr>
            </w:pPr>
            <w:r>
              <w:rPr>
                <w:rFonts w:hint="eastAsia" w:ascii="宋体" w:hAnsi="宋体" w:cs="宋体"/>
                <w:color w:val="000000"/>
                <w:kern w:val="0"/>
              </w:rPr>
              <w:t>2、本次数据库审计设备主要</w:t>
            </w:r>
            <w:r>
              <w:rPr>
                <w:rFonts w:hint="eastAsia" w:ascii="宋体" w:hAnsi="宋体" w:cs="宋体"/>
              </w:rPr>
              <w:t>功能实现要求：</w:t>
            </w:r>
          </w:p>
          <w:p>
            <w:pPr>
              <w:pStyle w:val="33"/>
              <w:widowControl w:val="0"/>
              <w:autoSpaceDE w:val="0"/>
              <w:adjustRightInd w:val="0"/>
              <w:spacing w:before="0" w:beforeAutospacing="0" w:after="0" w:afterAutospacing="0" w:line="240" w:lineRule="atLeast"/>
              <w:jc w:val="both"/>
              <w:rPr>
                <w:bCs/>
                <w:color w:val="000000"/>
                <w:kern w:val="2"/>
                <w:sz w:val="21"/>
                <w:szCs w:val="21"/>
              </w:rPr>
            </w:pPr>
            <w:r>
              <w:rPr>
                <w:rFonts w:hint="eastAsia" w:cs="Times New Roman"/>
                <w:bCs/>
                <w:color w:val="000000"/>
                <w:kern w:val="2"/>
                <w:sz w:val="21"/>
                <w:szCs w:val="21"/>
                <w:lang w:bidi="ar"/>
              </w:rPr>
              <w:t>（1）具备审计主流数据库Oracle、SQL-Server、DB2、MySQL、Cache、达梦、人大金仓、南大通用等。</w:t>
            </w:r>
          </w:p>
          <w:p>
            <w:pPr>
              <w:pStyle w:val="33"/>
              <w:widowControl w:val="0"/>
              <w:autoSpaceDE w:val="0"/>
              <w:adjustRightInd w:val="0"/>
              <w:spacing w:before="0" w:beforeAutospacing="0" w:after="0" w:afterAutospacing="0" w:line="240" w:lineRule="atLeast"/>
              <w:jc w:val="both"/>
              <w:rPr>
                <w:bCs/>
                <w:color w:val="000000"/>
                <w:kern w:val="2"/>
                <w:sz w:val="21"/>
                <w:szCs w:val="21"/>
              </w:rPr>
            </w:pPr>
            <w:r>
              <w:rPr>
                <w:rFonts w:hint="eastAsia" w:cs="Times New Roman"/>
                <w:bCs/>
                <w:color w:val="000000"/>
                <w:kern w:val="2"/>
                <w:sz w:val="21"/>
                <w:szCs w:val="21"/>
                <w:lang w:bidi="ar"/>
              </w:rPr>
              <w:t>（2）具备吞吐量分析，包括业务主机吞吐量趋势、SQL语句吞吐量排行、SQL操作类型吞吐量排行、SQL操作类型吞吐量趋势、业务主机吞吐量排行、用户吞吐量排行、用户吞吐量趋势等；</w:t>
            </w:r>
          </w:p>
          <w:p>
            <w:pPr>
              <w:pStyle w:val="33"/>
              <w:widowControl w:val="0"/>
              <w:autoSpaceDE w:val="0"/>
              <w:adjustRightInd w:val="0"/>
              <w:spacing w:before="0" w:beforeAutospacing="0" w:after="0" w:afterAutospacing="0" w:line="240" w:lineRule="atLeast"/>
              <w:jc w:val="both"/>
              <w:rPr>
                <w:bCs/>
                <w:color w:val="000000"/>
                <w:kern w:val="2"/>
                <w:sz w:val="21"/>
                <w:szCs w:val="21"/>
              </w:rPr>
            </w:pPr>
            <w:r>
              <w:rPr>
                <w:rFonts w:hint="eastAsia" w:cs="Times New Roman"/>
                <w:bCs/>
                <w:color w:val="000000"/>
                <w:kern w:val="2"/>
                <w:sz w:val="21"/>
                <w:szCs w:val="21"/>
                <w:lang w:bidi="ar"/>
              </w:rPr>
              <w:t>（3）具备对SQL语句进行安全检测，并识别当前的SQL操作是否有暴库、撞库等严重性安全问题；</w:t>
            </w:r>
          </w:p>
          <w:p>
            <w:pPr>
              <w:pStyle w:val="33"/>
              <w:widowControl w:val="0"/>
              <w:autoSpaceDE w:val="0"/>
              <w:adjustRightInd w:val="0"/>
              <w:spacing w:before="0" w:beforeAutospacing="0" w:after="0" w:afterAutospacing="0" w:line="240" w:lineRule="atLeast"/>
              <w:jc w:val="both"/>
              <w:rPr>
                <w:bCs/>
                <w:color w:val="000000"/>
                <w:kern w:val="2"/>
                <w:sz w:val="21"/>
                <w:szCs w:val="21"/>
              </w:rPr>
            </w:pPr>
            <w:r>
              <w:rPr>
                <w:rFonts w:hint="eastAsia" w:cs="Times New Roman"/>
                <w:bCs/>
                <w:color w:val="000000"/>
                <w:kern w:val="2"/>
                <w:sz w:val="21"/>
                <w:szCs w:val="21"/>
                <w:lang w:bidi="ar"/>
              </w:rPr>
              <w:t>（4）具备数据库风险查询，例如响应码、返回行数、策略、 时间、源IP、客户端程序、业务系统、数据库名、操作类型、表名、邮件告警、风险级别、SNMP trap告警、短信告警等；</w:t>
            </w:r>
          </w:p>
          <w:p>
            <w:pPr>
              <w:pStyle w:val="209"/>
              <w:widowControl/>
              <w:autoSpaceDE w:val="0"/>
              <w:spacing w:after="0" w:line="240" w:lineRule="atLeast"/>
              <w:ind w:firstLine="0" w:firstLineChars="0"/>
              <w:rPr>
                <w:bCs/>
                <w:color w:val="000000"/>
              </w:rPr>
            </w:pPr>
            <w:r>
              <w:rPr>
                <w:rFonts w:hint="eastAsia" w:cs="宋体"/>
                <w:bCs/>
                <w:color w:val="000000"/>
              </w:rPr>
              <w:t>（</w:t>
            </w:r>
            <w:r>
              <w:rPr>
                <w:bCs/>
                <w:color w:val="000000"/>
              </w:rPr>
              <w:t>5</w:t>
            </w:r>
            <w:r>
              <w:rPr>
                <w:rFonts w:hint="eastAsia" w:cs="宋体"/>
                <w:bCs/>
                <w:color w:val="000000"/>
              </w:rPr>
              <w:t>）</w:t>
            </w:r>
            <w:r>
              <w:rPr>
                <w:rFonts w:hint="eastAsia" w:ascii="宋体" w:hAnsi="宋体" w:cs="宋体"/>
                <w:bCs/>
                <w:color w:val="000000"/>
              </w:rPr>
              <w:t>能够在</w:t>
            </w:r>
            <w:r>
              <w:rPr>
                <w:rFonts w:hint="eastAsia" w:cs="宋体"/>
                <w:bCs/>
                <w:color w:val="000000"/>
              </w:rPr>
              <w:t>原有安全资源平台进行部署，实现完美兼容原有平台进行统一管理与部署，统一升级和扩容，提供厂商证明并加盖公章。</w:t>
            </w:r>
          </w:p>
          <w:p>
            <w:pPr>
              <w:pStyle w:val="33"/>
              <w:widowControl w:val="0"/>
              <w:autoSpaceDE w:val="0"/>
              <w:adjustRightInd w:val="0"/>
              <w:spacing w:before="0" w:beforeAutospacing="0" w:after="0" w:afterAutospacing="0" w:line="240" w:lineRule="atLeast"/>
              <w:jc w:val="both"/>
              <w:rPr>
                <w:bCs/>
                <w:color w:val="000000"/>
                <w:kern w:val="2"/>
                <w:sz w:val="21"/>
                <w:szCs w:val="21"/>
              </w:rPr>
            </w:pPr>
            <w:r>
              <w:rPr>
                <w:rFonts w:hint="eastAsia" w:cs="Times New Roman"/>
                <w:bCs/>
                <w:color w:val="000000"/>
                <w:kern w:val="2"/>
                <w:sz w:val="21"/>
                <w:szCs w:val="21"/>
                <w:lang w:bidi="ar"/>
              </w:rPr>
              <w:t>（6）在设备维保期内，厂家提供对系统软件的免费升级服务，保证系统软件为最新版本；</w:t>
            </w:r>
          </w:p>
          <w:p>
            <w:pPr>
              <w:pStyle w:val="33"/>
              <w:widowControl w:val="0"/>
              <w:autoSpaceDE w:val="0"/>
              <w:adjustRightInd w:val="0"/>
              <w:spacing w:before="0" w:beforeAutospacing="0" w:after="0" w:afterAutospacing="0" w:line="240" w:lineRule="atLeast"/>
              <w:jc w:val="both"/>
              <w:rPr>
                <w:sz w:val="21"/>
                <w:szCs w:val="21"/>
              </w:rPr>
            </w:pPr>
            <w:r>
              <w:rPr>
                <w:rFonts w:hint="eastAsia" w:cs="Times New Roman"/>
                <w:bCs/>
                <w:color w:val="000000"/>
                <w:kern w:val="2"/>
                <w:sz w:val="21"/>
                <w:szCs w:val="21"/>
                <w:lang w:bidi="ar"/>
              </w:rPr>
              <w:t>（7）提供销售许可证、产品检验报告和著作权登记证书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352"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autoSpaceDE w:val="0"/>
              <w:spacing w:line="240" w:lineRule="atLeast"/>
              <w:jc w:val="center"/>
              <w:textAlignment w:val="center"/>
              <w:rPr>
                <w:rFonts w:ascii="宋体" w:hAnsi="宋体" w:eastAsia="宋体" w:cs="宋体"/>
                <w:color w:val="000000"/>
              </w:rPr>
            </w:pPr>
            <w:r>
              <w:rPr>
                <w:rFonts w:hint="eastAsia" w:ascii="宋体" w:hAnsi="宋体" w:eastAsia="宋体" w:cs="宋体"/>
                <w:color w:val="000000"/>
                <w:szCs w:val="21"/>
                <w:lang w:bidi="ar"/>
              </w:rPr>
              <w:t>6</w:t>
            </w:r>
          </w:p>
        </w:tc>
        <w:tc>
          <w:tcPr>
            <w:tcW w:w="641"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autoSpaceDE w:val="0"/>
              <w:spacing w:line="240" w:lineRule="atLeast"/>
              <w:jc w:val="center"/>
              <w:textAlignment w:val="center"/>
              <w:rPr>
                <w:rFonts w:ascii="宋体" w:hAnsi="宋体" w:eastAsia="宋体" w:cs="宋体"/>
                <w:color w:val="000000"/>
                <w:kern w:val="0"/>
              </w:rPr>
            </w:pPr>
            <w:r>
              <w:rPr>
                <w:rFonts w:hint="eastAsia" w:ascii="宋体" w:hAnsi="宋体" w:eastAsia="宋体" w:cs="宋体"/>
                <w:color w:val="000000"/>
                <w:kern w:val="0"/>
                <w:szCs w:val="21"/>
                <w:lang w:bidi="ar"/>
              </w:rPr>
              <w:t>基线核查</w:t>
            </w:r>
          </w:p>
        </w:tc>
        <w:tc>
          <w:tcPr>
            <w:tcW w:w="4007" w:type="pct"/>
            <w:tcBorders>
              <w:top w:val="single" w:color="auto" w:sz="4" w:space="0"/>
              <w:left w:val="single" w:color="auto" w:sz="4" w:space="0"/>
              <w:bottom w:val="single" w:color="auto" w:sz="4" w:space="0"/>
              <w:right w:val="single" w:color="auto" w:sz="4" w:space="0"/>
            </w:tcBorders>
            <w:shd w:val="clear" w:color="auto" w:fill="auto"/>
            <w:vAlign w:val="center"/>
          </w:tcPr>
          <w:p>
            <w:pPr>
              <w:pStyle w:val="33"/>
              <w:widowControl w:val="0"/>
              <w:autoSpaceDE w:val="0"/>
              <w:adjustRightInd w:val="0"/>
              <w:spacing w:before="0" w:beforeAutospacing="0" w:after="0" w:afterAutospacing="0" w:line="240" w:lineRule="atLeast"/>
              <w:jc w:val="both"/>
              <w:rPr>
                <w:bCs/>
                <w:color w:val="000000"/>
                <w:kern w:val="2"/>
                <w:sz w:val="21"/>
                <w:szCs w:val="21"/>
              </w:rPr>
            </w:pPr>
            <w:r>
              <w:rPr>
                <w:rFonts w:hint="eastAsia" w:cs="Times New Roman"/>
                <w:bCs/>
                <w:color w:val="000000"/>
                <w:kern w:val="2"/>
                <w:sz w:val="21"/>
                <w:szCs w:val="21"/>
                <w:lang w:bidi="ar"/>
              </w:rPr>
              <w:t>投标方应在本项目中提供基线核查系统，针对自治区应急管理厅应急指挥专网相关服务器操作系统、数据库、软件和容器的配置进行安全检测，并提供检测结果说明和加固建议。基线检查功能进行系统安全加固，降低入侵风险并满足安全合规要求。</w:t>
            </w:r>
          </w:p>
          <w:p>
            <w:pPr>
              <w:pStyle w:val="33"/>
              <w:widowControl w:val="0"/>
              <w:autoSpaceDE w:val="0"/>
              <w:adjustRightInd w:val="0"/>
              <w:spacing w:before="0" w:beforeAutospacing="0" w:after="0" w:afterAutospacing="0" w:line="240" w:lineRule="atLeast"/>
              <w:jc w:val="both"/>
              <w:rPr>
                <w:bCs/>
                <w:color w:val="000000"/>
                <w:kern w:val="2"/>
                <w:sz w:val="21"/>
                <w:szCs w:val="21"/>
              </w:rPr>
            </w:pPr>
            <w:r>
              <w:rPr>
                <w:rFonts w:hint="eastAsia" w:cs="Times New Roman"/>
                <w:bCs/>
                <w:color w:val="000000"/>
                <w:kern w:val="2"/>
                <w:sz w:val="21"/>
                <w:szCs w:val="21"/>
                <w:lang w:bidi="ar"/>
              </w:rPr>
              <w:t>本次基线核查设备主要技术规格要求：</w:t>
            </w:r>
          </w:p>
          <w:p>
            <w:pPr>
              <w:pStyle w:val="33"/>
              <w:widowControl w:val="0"/>
              <w:numPr>
                <w:ilvl w:val="0"/>
                <w:numId w:val="8"/>
              </w:numPr>
              <w:autoSpaceDE w:val="0"/>
              <w:adjustRightInd w:val="0"/>
              <w:spacing w:before="0" w:beforeAutospacing="0" w:after="0" w:afterAutospacing="0" w:line="240" w:lineRule="atLeast"/>
              <w:jc w:val="both"/>
              <w:rPr>
                <w:bCs/>
                <w:color w:val="000000"/>
                <w:kern w:val="2"/>
                <w:sz w:val="21"/>
                <w:szCs w:val="21"/>
              </w:rPr>
            </w:pPr>
            <w:r>
              <w:rPr>
                <w:rFonts w:hint="eastAsia" w:cs="Times New Roman"/>
                <w:bCs/>
                <w:color w:val="000000"/>
                <w:kern w:val="2"/>
                <w:sz w:val="21"/>
                <w:szCs w:val="21"/>
                <w:lang w:bidi="ar"/>
              </w:rPr>
              <w:t>国产化软件系统，含有系统漏扫授权IP数≥300，WEB漏扫授权URL数≥60；系统漏扫最大并发IP数≥75，WEB漏扫最大并发URL数≥5。</w:t>
            </w:r>
          </w:p>
          <w:p>
            <w:pPr>
              <w:pStyle w:val="33"/>
              <w:widowControl w:val="0"/>
              <w:numPr>
                <w:ilvl w:val="0"/>
                <w:numId w:val="8"/>
              </w:numPr>
              <w:autoSpaceDE w:val="0"/>
              <w:adjustRightInd w:val="0"/>
              <w:spacing w:before="0" w:beforeAutospacing="0" w:after="0" w:afterAutospacing="0" w:line="240" w:lineRule="atLeast"/>
              <w:jc w:val="both"/>
              <w:rPr>
                <w:bCs/>
                <w:color w:val="000000"/>
                <w:kern w:val="2"/>
                <w:sz w:val="21"/>
                <w:szCs w:val="21"/>
              </w:rPr>
            </w:pPr>
            <w:r>
              <w:rPr>
                <w:rFonts w:hint="eastAsia" w:cs="Times New Roman"/>
                <w:bCs/>
                <w:color w:val="000000"/>
                <w:spacing w:val="11"/>
                <w:lang w:bidi="ar"/>
              </w:rPr>
              <w:t>能够在</w:t>
            </w:r>
            <w:r>
              <w:rPr>
                <w:rFonts w:hint="eastAsia" w:cs="Times New Roman"/>
                <w:bCs/>
                <w:color w:val="000000"/>
                <w:kern w:val="2"/>
                <w:sz w:val="21"/>
                <w:szCs w:val="21"/>
                <w:lang w:bidi="ar"/>
              </w:rPr>
              <w:t>原有安全资源平台进行部署，实现完美兼容原有平台进行统一管理与部署，统一升级和扩容，提供厂商证明并加盖公章。</w:t>
            </w:r>
          </w:p>
          <w:p>
            <w:pPr>
              <w:pStyle w:val="33"/>
              <w:widowControl w:val="0"/>
              <w:numPr>
                <w:ilvl w:val="0"/>
                <w:numId w:val="8"/>
              </w:numPr>
              <w:autoSpaceDE w:val="0"/>
              <w:adjustRightInd w:val="0"/>
              <w:spacing w:before="0" w:beforeAutospacing="0" w:after="0" w:afterAutospacing="0" w:line="240" w:lineRule="atLeast"/>
              <w:jc w:val="both"/>
              <w:rPr>
                <w:bCs/>
                <w:color w:val="000000"/>
                <w:kern w:val="2"/>
                <w:sz w:val="21"/>
                <w:szCs w:val="21"/>
              </w:rPr>
            </w:pPr>
            <w:r>
              <w:rPr>
                <w:rFonts w:hint="eastAsia" w:cs="Times New Roman"/>
                <w:bCs/>
                <w:color w:val="000000"/>
                <w:kern w:val="2"/>
                <w:sz w:val="21"/>
                <w:szCs w:val="21"/>
                <w:lang w:bidi="ar"/>
              </w:rPr>
              <w:t>产品提供3年质保、3年软件升级服务。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352"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autoSpaceDE w:val="0"/>
              <w:spacing w:line="240" w:lineRule="atLeast"/>
              <w:jc w:val="center"/>
              <w:textAlignment w:val="center"/>
              <w:rPr>
                <w:rFonts w:ascii="宋体" w:hAnsi="宋体" w:eastAsia="宋体" w:cs="宋体"/>
                <w:color w:val="000000"/>
              </w:rPr>
            </w:pPr>
            <w:r>
              <w:rPr>
                <w:rFonts w:hint="eastAsia" w:ascii="宋体" w:hAnsi="宋体" w:eastAsia="宋体" w:cs="宋体"/>
                <w:color w:val="000000"/>
                <w:szCs w:val="21"/>
                <w:lang w:bidi="ar"/>
              </w:rPr>
              <w:t>6</w:t>
            </w:r>
          </w:p>
        </w:tc>
        <w:tc>
          <w:tcPr>
            <w:tcW w:w="641"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autoSpaceDE w:val="0"/>
              <w:spacing w:line="240" w:lineRule="atLeast"/>
              <w:jc w:val="center"/>
              <w:textAlignment w:val="center"/>
              <w:rPr>
                <w:rFonts w:ascii="宋体" w:hAnsi="宋体" w:eastAsia="宋体" w:cs="宋体"/>
                <w:color w:val="000000"/>
                <w:kern w:val="0"/>
              </w:rPr>
            </w:pPr>
            <w:r>
              <w:rPr>
                <w:rFonts w:hint="eastAsia" w:ascii="宋体" w:hAnsi="宋体" w:eastAsia="宋体" w:cs="宋体"/>
                <w:color w:val="000000"/>
                <w:kern w:val="0"/>
              </w:rPr>
              <w:t>云桌面</w:t>
            </w:r>
          </w:p>
        </w:tc>
        <w:tc>
          <w:tcPr>
            <w:tcW w:w="4007" w:type="pct"/>
            <w:tcBorders>
              <w:top w:val="single" w:color="auto" w:sz="4" w:space="0"/>
              <w:left w:val="single" w:color="auto" w:sz="4" w:space="0"/>
              <w:bottom w:val="single" w:color="auto" w:sz="4" w:space="0"/>
              <w:right w:val="single" w:color="auto" w:sz="4" w:space="0"/>
            </w:tcBorders>
            <w:shd w:val="clear" w:color="auto" w:fill="auto"/>
            <w:vAlign w:val="center"/>
          </w:tcPr>
          <w:p>
            <w:r>
              <w:rPr>
                <w:rFonts w:hint="eastAsia" w:ascii="Calibri" w:hAnsi="Calibri" w:eastAsia="宋体" w:cs="宋体"/>
                <w:szCs w:val="24"/>
                <w:lang w:bidi="ar"/>
              </w:rPr>
              <w:t>本项目要求桌面云一体机与终端、桌面云软件，配备</w:t>
            </w:r>
            <w:r>
              <w:rPr>
                <w:rFonts w:ascii="Calibri" w:hAnsi="Calibri" w:eastAsia="宋体" w:cs="Times New Roman"/>
                <w:szCs w:val="24"/>
                <w:lang w:bidi="ar"/>
              </w:rPr>
              <w:t>8</w:t>
            </w:r>
            <w:r>
              <w:rPr>
                <w:rFonts w:hint="eastAsia" w:ascii="Calibri" w:hAnsi="Calibri" w:eastAsia="宋体" w:cs="宋体"/>
                <w:szCs w:val="24"/>
                <w:lang w:bidi="ar"/>
              </w:rPr>
              <w:t>台云终端。桌面云一体机出厂时必须预装各类桌面云软件（含服务器虚拟化、存储虚拟化等），不允许提供祼机设备。</w:t>
            </w:r>
          </w:p>
          <w:p>
            <w:pPr>
              <w:numPr>
                <w:ilvl w:val="0"/>
                <w:numId w:val="9"/>
              </w:numPr>
            </w:pPr>
            <w:r>
              <w:rPr>
                <w:rFonts w:hint="eastAsia" w:ascii="Calibri" w:hAnsi="Calibri" w:eastAsia="宋体" w:cs="宋体"/>
                <w:szCs w:val="24"/>
                <w:lang w:bidi="ar"/>
              </w:rPr>
              <w:t>为了保障桌面资源满足使用需求，桌面云一体机配置要求：</w:t>
            </w:r>
            <w:r>
              <w:rPr>
                <w:rFonts w:ascii="Calibri" w:hAnsi="Calibri" w:eastAsia="宋体" w:cs="Times New Roman"/>
                <w:color w:val="FF0000"/>
                <w:szCs w:val="24"/>
                <w:lang w:bidi="ar"/>
              </w:rPr>
              <w:t>CPU</w:t>
            </w:r>
            <w:r>
              <w:rPr>
                <w:rFonts w:hint="eastAsia" w:ascii="Calibri" w:hAnsi="Calibri" w:eastAsia="宋体" w:cs="宋体"/>
                <w:color w:val="FF0000"/>
                <w:szCs w:val="24"/>
                <w:lang w:bidi="ar"/>
              </w:rPr>
              <w:t>核数</w:t>
            </w:r>
            <w:r>
              <w:rPr>
                <w:rFonts w:ascii="Calibri" w:hAnsi="Calibri" w:eastAsia="宋体" w:cs="Times New Roman"/>
                <w:color w:val="FF0000"/>
                <w:szCs w:val="24"/>
                <w:lang w:bidi="ar"/>
              </w:rPr>
              <w:t>≥10</w:t>
            </w:r>
            <w:r>
              <w:rPr>
                <w:rFonts w:hint="eastAsia" w:ascii="Calibri" w:hAnsi="Calibri" w:eastAsia="宋体" w:cs="宋体"/>
                <w:color w:val="FF0000"/>
                <w:szCs w:val="24"/>
                <w:lang w:bidi="ar"/>
              </w:rPr>
              <w:t>（主频不低于</w:t>
            </w:r>
            <w:r>
              <w:rPr>
                <w:rFonts w:ascii="Calibri" w:hAnsi="Calibri" w:eastAsia="宋体" w:cs="Times New Roman"/>
                <w:color w:val="FF0000"/>
                <w:szCs w:val="24"/>
                <w:lang w:bidi="ar"/>
              </w:rPr>
              <w:t>2.4GHz</w:t>
            </w:r>
            <w:r>
              <w:rPr>
                <w:rFonts w:hint="eastAsia" w:ascii="Calibri" w:hAnsi="Calibri" w:eastAsia="宋体" w:cs="宋体"/>
                <w:color w:val="FF0000"/>
                <w:szCs w:val="24"/>
                <w:lang w:bidi="ar"/>
              </w:rPr>
              <w:t>）、内存</w:t>
            </w:r>
            <w:r>
              <w:rPr>
                <w:rFonts w:ascii="Calibri" w:hAnsi="Calibri" w:eastAsia="宋体" w:cs="Times New Roman"/>
                <w:color w:val="FF0000"/>
                <w:szCs w:val="24"/>
                <w:lang w:bidi="ar"/>
              </w:rPr>
              <w:t>≥4*32GB</w:t>
            </w:r>
            <w:r>
              <w:rPr>
                <w:rFonts w:hint="eastAsia" w:ascii="Calibri" w:hAnsi="Calibri" w:eastAsia="宋体" w:cs="宋体"/>
                <w:color w:val="FF0000"/>
                <w:szCs w:val="24"/>
                <w:lang w:bidi="ar"/>
              </w:rPr>
              <w:t>、接口</w:t>
            </w:r>
            <w:r>
              <w:rPr>
                <w:rFonts w:ascii="Calibri" w:hAnsi="Calibri" w:eastAsia="宋体" w:cs="Times New Roman"/>
                <w:color w:val="FF0000"/>
                <w:szCs w:val="24"/>
                <w:lang w:bidi="ar"/>
              </w:rPr>
              <w:t>≥6</w:t>
            </w:r>
            <w:r>
              <w:rPr>
                <w:rFonts w:hint="eastAsia" w:ascii="Calibri" w:hAnsi="Calibri" w:eastAsia="宋体" w:cs="宋体"/>
                <w:color w:val="FF0000"/>
                <w:szCs w:val="24"/>
                <w:lang w:bidi="ar"/>
              </w:rPr>
              <w:t>千兆电口</w:t>
            </w:r>
            <w:r>
              <w:rPr>
                <w:rFonts w:ascii="Calibri" w:hAnsi="Calibri" w:eastAsia="宋体" w:cs="Times New Roman"/>
                <w:color w:val="FF0000"/>
                <w:szCs w:val="24"/>
                <w:lang w:bidi="ar"/>
              </w:rPr>
              <w:t>+2</w:t>
            </w:r>
            <w:r>
              <w:rPr>
                <w:rFonts w:hint="eastAsia" w:ascii="Calibri" w:hAnsi="Calibri" w:eastAsia="宋体" w:cs="宋体"/>
                <w:color w:val="FF0000"/>
                <w:szCs w:val="24"/>
                <w:lang w:bidi="ar"/>
              </w:rPr>
              <w:t>万兆光口。系统盘不低于</w:t>
            </w:r>
            <w:r>
              <w:rPr>
                <w:rFonts w:ascii="Calibri" w:hAnsi="Calibri" w:eastAsia="宋体" w:cs="Times New Roman"/>
                <w:color w:val="FF0000"/>
                <w:szCs w:val="24"/>
                <w:lang w:bidi="ar"/>
              </w:rPr>
              <w:t>2</w:t>
            </w:r>
            <w:r>
              <w:rPr>
                <w:rFonts w:hint="eastAsia" w:ascii="Calibri" w:hAnsi="Calibri" w:eastAsia="宋体" w:cs="宋体"/>
                <w:color w:val="FF0000"/>
                <w:szCs w:val="24"/>
                <w:lang w:bidi="ar"/>
              </w:rPr>
              <w:t>块</w:t>
            </w:r>
            <w:r>
              <w:rPr>
                <w:rFonts w:ascii="Calibri" w:hAnsi="Calibri" w:eastAsia="宋体" w:cs="Times New Roman"/>
                <w:color w:val="FF0000"/>
                <w:szCs w:val="24"/>
                <w:lang w:bidi="ar"/>
              </w:rPr>
              <w:t>240GB SSD</w:t>
            </w:r>
            <w:r>
              <w:rPr>
                <w:rFonts w:hint="eastAsia" w:ascii="Calibri" w:hAnsi="Calibri" w:eastAsia="宋体" w:cs="宋体"/>
                <w:color w:val="FF0000"/>
                <w:szCs w:val="24"/>
                <w:lang w:bidi="ar"/>
              </w:rPr>
              <w:t>硬盘、单台桌面云一体机缓存盘不低于</w:t>
            </w:r>
            <w:r>
              <w:rPr>
                <w:rFonts w:ascii="Calibri" w:hAnsi="Calibri" w:eastAsia="宋体" w:cs="Times New Roman"/>
                <w:color w:val="FF0000"/>
                <w:szCs w:val="24"/>
                <w:lang w:bidi="ar"/>
              </w:rPr>
              <w:t>2</w:t>
            </w:r>
            <w:r>
              <w:rPr>
                <w:rFonts w:hint="eastAsia" w:ascii="Calibri" w:hAnsi="Calibri" w:eastAsia="宋体" w:cs="宋体"/>
                <w:color w:val="FF0000"/>
                <w:szCs w:val="24"/>
                <w:lang w:bidi="ar"/>
              </w:rPr>
              <w:t>块</w:t>
            </w:r>
            <w:r>
              <w:rPr>
                <w:rFonts w:ascii="Calibri" w:hAnsi="Calibri" w:eastAsia="宋体" w:cs="Times New Roman"/>
                <w:color w:val="FF0000"/>
                <w:szCs w:val="24"/>
                <w:lang w:bidi="ar"/>
              </w:rPr>
              <w:t>480T SSD</w:t>
            </w:r>
            <w:r>
              <w:rPr>
                <w:rFonts w:hint="eastAsia" w:ascii="Calibri" w:hAnsi="Calibri" w:eastAsia="宋体" w:cs="宋体"/>
                <w:color w:val="FF0000"/>
                <w:szCs w:val="24"/>
                <w:lang w:bidi="ar"/>
              </w:rPr>
              <w:t>硬盘，数据盘不少于</w:t>
            </w:r>
            <w:r>
              <w:rPr>
                <w:rFonts w:ascii="Calibri" w:hAnsi="Calibri" w:eastAsia="宋体" w:cs="Times New Roman"/>
                <w:color w:val="FF0000"/>
                <w:szCs w:val="24"/>
                <w:lang w:bidi="ar"/>
              </w:rPr>
              <w:t>16T</w:t>
            </w:r>
            <w:r>
              <w:rPr>
                <w:rFonts w:hint="eastAsia" w:ascii="Calibri" w:hAnsi="Calibri" w:eastAsia="宋体" w:cs="宋体"/>
                <w:color w:val="FF0000"/>
                <w:szCs w:val="24"/>
                <w:lang w:bidi="ar"/>
              </w:rPr>
              <w:t>的</w:t>
            </w:r>
            <w:r>
              <w:rPr>
                <w:rFonts w:ascii="Calibri" w:hAnsi="Calibri" w:eastAsia="宋体" w:cs="Times New Roman"/>
                <w:color w:val="FF0000"/>
                <w:szCs w:val="24"/>
                <w:lang w:bidi="ar"/>
              </w:rPr>
              <w:t>SATA</w:t>
            </w:r>
            <w:r>
              <w:rPr>
                <w:rFonts w:hint="eastAsia" w:ascii="Calibri" w:hAnsi="Calibri" w:eastAsia="宋体" w:cs="宋体"/>
                <w:color w:val="FF0000"/>
                <w:szCs w:val="24"/>
                <w:lang w:bidi="ar"/>
              </w:rPr>
              <w:t>硬盘。</w:t>
            </w:r>
          </w:p>
          <w:p>
            <w:pPr>
              <w:numPr>
                <w:ilvl w:val="0"/>
                <w:numId w:val="9"/>
              </w:numPr>
              <w:rPr>
                <w:color w:val="FF0000"/>
              </w:rPr>
            </w:pPr>
            <w:r>
              <w:rPr>
                <w:rFonts w:hint="eastAsia" w:ascii="Calibri" w:hAnsi="Calibri" w:eastAsia="宋体" w:cs="宋体"/>
                <w:szCs w:val="24"/>
                <w:lang w:bidi="ar"/>
              </w:rPr>
              <w:t>为了提高桌面使用稳定性，客户端连接虚拟桌面无需依赖虚拟机</w:t>
            </w:r>
            <w:r>
              <w:rPr>
                <w:rFonts w:ascii="Calibri" w:hAnsi="Calibri" w:eastAsia="宋体" w:cs="Times New Roman"/>
                <w:szCs w:val="24"/>
                <w:lang w:bidi="ar"/>
              </w:rPr>
              <w:t>IP</w:t>
            </w:r>
            <w:r>
              <w:rPr>
                <w:rFonts w:hint="eastAsia" w:ascii="Calibri" w:hAnsi="Calibri" w:eastAsia="宋体" w:cs="宋体"/>
                <w:szCs w:val="24"/>
                <w:lang w:bidi="ar"/>
              </w:rPr>
              <w:t>，如禁用虚机网卡或者随意更改</w:t>
            </w:r>
            <w:r>
              <w:rPr>
                <w:rFonts w:ascii="Calibri" w:hAnsi="Calibri" w:eastAsia="宋体" w:cs="Times New Roman"/>
                <w:szCs w:val="24"/>
                <w:lang w:bidi="ar"/>
              </w:rPr>
              <w:t>IP</w:t>
            </w:r>
            <w:r>
              <w:rPr>
                <w:rFonts w:hint="eastAsia" w:ascii="Calibri" w:hAnsi="Calibri" w:eastAsia="宋体" w:cs="宋体"/>
                <w:szCs w:val="24"/>
                <w:lang w:bidi="ar"/>
              </w:rPr>
              <w:t>，桌面会话不会中断，可以正常工作。</w:t>
            </w:r>
          </w:p>
          <w:p>
            <w:pPr>
              <w:numPr>
                <w:ilvl w:val="0"/>
                <w:numId w:val="9"/>
              </w:numPr>
              <w:rPr>
                <w:color w:val="FF0000"/>
              </w:rPr>
            </w:pPr>
            <w:r>
              <w:rPr>
                <w:rFonts w:hint="eastAsia" w:ascii="Calibri" w:hAnsi="Calibri" w:eastAsia="宋体" w:cs="宋体"/>
                <w:color w:val="FF0000"/>
                <w:szCs w:val="24"/>
                <w:lang w:bidi="ar"/>
              </w:rPr>
              <w:t>具备</w:t>
            </w:r>
            <w:r>
              <w:rPr>
                <w:rFonts w:ascii="Calibri" w:hAnsi="Calibri" w:eastAsia="宋体" w:cs="Times New Roman"/>
                <w:color w:val="FF0000"/>
                <w:szCs w:val="24"/>
                <w:lang w:bidi="ar"/>
              </w:rPr>
              <w:t>U</w:t>
            </w:r>
            <w:r>
              <w:rPr>
                <w:rFonts w:hint="eastAsia" w:ascii="Calibri" w:hAnsi="Calibri" w:eastAsia="宋体" w:cs="宋体"/>
                <w:color w:val="FF0000"/>
                <w:szCs w:val="24"/>
                <w:lang w:bidi="ar"/>
              </w:rPr>
              <w:t>盘、</w:t>
            </w:r>
            <w:r>
              <w:rPr>
                <w:rFonts w:ascii="Calibri" w:hAnsi="Calibri" w:eastAsia="宋体" w:cs="Times New Roman"/>
                <w:color w:val="FF0000"/>
                <w:szCs w:val="24"/>
                <w:lang w:bidi="ar"/>
              </w:rPr>
              <w:t>PC</w:t>
            </w:r>
            <w:r>
              <w:rPr>
                <w:rFonts w:hint="eastAsia" w:ascii="Calibri" w:hAnsi="Calibri" w:eastAsia="宋体" w:cs="宋体"/>
                <w:color w:val="FF0000"/>
                <w:szCs w:val="24"/>
                <w:lang w:bidi="ar"/>
              </w:rPr>
              <w:t>本地桌面到虚拟桌面这</w:t>
            </w:r>
            <w:r>
              <w:rPr>
                <w:rFonts w:ascii="Calibri" w:hAnsi="Calibri" w:eastAsia="宋体" w:cs="Times New Roman"/>
                <w:color w:val="FF0000"/>
                <w:szCs w:val="24"/>
                <w:lang w:bidi="ar"/>
              </w:rPr>
              <w:t>2</w:t>
            </w:r>
            <w:r>
              <w:rPr>
                <w:rFonts w:hint="eastAsia" w:ascii="Calibri" w:hAnsi="Calibri" w:eastAsia="宋体" w:cs="宋体"/>
                <w:color w:val="FF0000"/>
                <w:szCs w:val="24"/>
                <w:lang w:bidi="ar"/>
              </w:rPr>
              <w:t>种情况的双向拷贝管控，可控制</w:t>
            </w:r>
            <w:r>
              <w:rPr>
                <w:rFonts w:ascii="Calibri" w:hAnsi="Calibri" w:eastAsia="宋体" w:cs="Times New Roman"/>
                <w:color w:val="FF0000"/>
                <w:szCs w:val="24"/>
                <w:lang w:bidi="ar"/>
              </w:rPr>
              <w:t>U</w:t>
            </w:r>
            <w:r>
              <w:rPr>
                <w:rFonts w:hint="eastAsia" w:ascii="Calibri" w:hAnsi="Calibri" w:eastAsia="宋体" w:cs="宋体"/>
                <w:color w:val="FF0000"/>
                <w:szCs w:val="24"/>
                <w:lang w:bidi="ar"/>
              </w:rPr>
              <w:t>盘的只读和读写权限，可控制本地桌面和虚拟桌面双向拷贝、单向拷贝。</w:t>
            </w:r>
          </w:p>
          <w:p>
            <w:pPr>
              <w:numPr>
                <w:ilvl w:val="0"/>
                <w:numId w:val="9"/>
              </w:numPr>
              <w:rPr>
                <w:color w:val="FF0000"/>
              </w:rPr>
            </w:pPr>
            <w:r>
              <w:rPr>
                <w:rFonts w:hint="eastAsia" w:ascii="Calibri" w:hAnsi="Calibri" w:eastAsia="宋体" w:cs="宋体"/>
                <w:color w:val="FF0000"/>
                <w:szCs w:val="24"/>
                <w:lang w:bidi="ar"/>
              </w:rPr>
              <w:t>具备模板升级，可以统一安装所需要升级的软件</w:t>
            </w:r>
            <w:r>
              <w:rPr>
                <w:rFonts w:ascii="Calibri" w:hAnsi="Calibri" w:eastAsia="宋体" w:cs="Times New Roman"/>
                <w:color w:val="FF0000"/>
                <w:szCs w:val="24"/>
                <w:lang w:bidi="ar"/>
              </w:rPr>
              <w:t>/</w:t>
            </w:r>
            <w:r>
              <w:rPr>
                <w:rFonts w:hint="eastAsia" w:ascii="Calibri" w:hAnsi="Calibri" w:eastAsia="宋体" w:cs="宋体"/>
                <w:color w:val="FF0000"/>
                <w:szCs w:val="24"/>
                <w:lang w:bidi="ar"/>
              </w:rPr>
              <w:t>补丁，一键更新到指定的虚拟机，满足标准化场景的软件和补丁更新需求，并不影响非</w:t>
            </w:r>
            <w:r>
              <w:rPr>
                <w:rFonts w:ascii="Calibri" w:hAnsi="Calibri" w:eastAsia="宋体" w:cs="Times New Roman"/>
                <w:color w:val="FF0000"/>
                <w:szCs w:val="24"/>
                <w:lang w:bidi="ar"/>
              </w:rPr>
              <w:t>c</w:t>
            </w:r>
            <w:r>
              <w:rPr>
                <w:rFonts w:hint="eastAsia" w:ascii="Calibri" w:hAnsi="Calibri" w:eastAsia="宋体" w:cs="宋体"/>
                <w:color w:val="FF0000"/>
                <w:szCs w:val="24"/>
                <w:lang w:bidi="ar"/>
              </w:rPr>
              <w:t>盘目录下个人数据。并可以设置虚拟机下次重启更新至模版状态，不影响当下使用。</w:t>
            </w:r>
          </w:p>
          <w:p>
            <w:pPr>
              <w:numPr>
                <w:ilvl w:val="0"/>
                <w:numId w:val="9"/>
              </w:numPr>
              <w:rPr>
                <w:color w:val="FF0000"/>
              </w:rPr>
            </w:pPr>
            <w:r>
              <w:rPr>
                <w:rFonts w:hint="eastAsia" w:ascii="Calibri" w:hAnsi="Calibri" w:eastAsia="宋体" w:cs="宋体"/>
                <w:color w:val="FF0000"/>
                <w:szCs w:val="24"/>
                <w:lang w:bidi="ar"/>
              </w:rPr>
              <w:t>所投产品需具备智能运维平台，可实时监控并分析桌面云平台使用情况，自动侦测并发现虚拟机卡慢问题，并提供优化解决方案。以满足在出现桌面体验问题时快速定位并解决问题。</w:t>
            </w:r>
          </w:p>
          <w:p>
            <w:pPr>
              <w:pStyle w:val="33"/>
              <w:widowControl w:val="0"/>
              <w:autoSpaceDE w:val="0"/>
              <w:adjustRightInd w:val="0"/>
              <w:spacing w:before="0" w:beforeAutospacing="0" w:after="0" w:afterAutospacing="0" w:line="240" w:lineRule="atLeast"/>
              <w:jc w:val="both"/>
              <w:rPr>
                <w:bCs/>
                <w:color w:val="000000"/>
                <w:kern w:val="2"/>
                <w:sz w:val="21"/>
                <w:szCs w:val="21"/>
              </w:rPr>
            </w:pPr>
            <w:r>
              <w:rPr>
                <w:rFonts w:hint="eastAsia" w:cs="Times New Roman"/>
                <w:bCs/>
                <w:color w:val="000000"/>
                <w:kern w:val="2"/>
                <w:sz w:val="21"/>
                <w:szCs w:val="21"/>
                <w:lang w:bidi="ar"/>
              </w:rPr>
              <w:t>产品提供3年质保、3年软件升级服务。</w:t>
            </w:r>
          </w:p>
        </w:tc>
      </w:tr>
    </w:tbl>
    <w:p>
      <w:pPr>
        <w:tabs>
          <w:tab w:val="center" w:pos="4832"/>
          <w:tab w:val="left" w:pos="7140"/>
        </w:tabs>
        <w:spacing w:line="360" w:lineRule="auto"/>
        <w:jc w:val="left"/>
        <w:outlineLvl w:val="2"/>
        <w:rPr>
          <w:rFonts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2.3相关</w:t>
      </w:r>
      <w:r>
        <w:rPr>
          <w:rFonts w:hint="eastAsia" w:ascii="宋体" w:hAnsi="宋体" w:cs="宋体"/>
          <w:b/>
          <w:color w:val="000000" w:themeColor="text1"/>
          <w:sz w:val="24"/>
          <w:szCs w:val="24"/>
          <w14:textFill>
            <w14:solidFill>
              <w14:schemeClr w14:val="tx1"/>
            </w14:solidFill>
          </w14:textFill>
        </w:rPr>
        <w:t>工作成果需求</w:t>
      </w:r>
    </w:p>
    <w:p>
      <w:pPr>
        <w:pStyle w:val="7"/>
        <w:spacing w:line="360" w:lineRule="auto"/>
        <w:ind w:firstLine="480" w:firstLineChars="200"/>
        <w:rPr>
          <w:rFonts w:ascii="宋体" w:hAnsi="宋体" w:cs="宋体"/>
          <w:kern w:val="2"/>
          <w:szCs w:val="28"/>
        </w:rPr>
      </w:pPr>
      <w:r>
        <w:rPr>
          <w:rFonts w:hint="eastAsia" w:ascii="宋体" w:hAnsi="宋体" w:cs="宋体"/>
          <w:kern w:val="2"/>
          <w:szCs w:val="28"/>
        </w:rPr>
        <w:t>投标方应按要求在充分满足需求文件并严格执行与本项目服务内容相关规范基础上，提供自治区应急管理厅应急指挥专网网络安全加固服务项目的交付成果，制定成果文件质量保障措施，确保交付物符合实际需要，文字严谨，数据真实可靠，内容详实，具备推广、复用价值，工作成果物包含但不限于以下文件：</w:t>
      </w:r>
    </w:p>
    <w:p>
      <w:pPr>
        <w:tabs>
          <w:tab w:val="center" w:pos="4832"/>
          <w:tab w:val="left" w:pos="7140"/>
        </w:tabs>
        <w:spacing w:line="360" w:lineRule="auto"/>
        <w:jc w:val="left"/>
        <w:outlineLvl w:val="3"/>
        <w:rPr>
          <w:rFonts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2.3.1搭建网络安全监测通报预警机制服务工作成果</w:t>
      </w:r>
    </w:p>
    <w:p>
      <w:pPr>
        <w:pStyle w:val="37"/>
        <w:spacing w:after="0"/>
        <w:ind w:firstLine="240"/>
        <w:rPr>
          <w:rFonts w:ascii="宋体" w:hAnsi="宋体" w:eastAsia="宋体" w:cs="宋体"/>
          <w:sz w:val="24"/>
          <w:szCs w:val="28"/>
        </w:rPr>
      </w:pPr>
    </w:p>
    <w:tbl>
      <w:tblPr>
        <w:tblStyle w:val="38"/>
        <w:tblW w:w="4996" w:type="pct"/>
        <w:jc w:val="center"/>
        <w:tblLayout w:type="autofit"/>
        <w:tblCellMar>
          <w:top w:w="0" w:type="dxa"/>
          <w:left w:w="108" w:type="dxa"/>
          <w:bottom w:w="0" w:type="dxa"/>
          <w:right w:w="108" w:type="dxa"/>
        </w:tblCellMar>
      </w:tblPr>
      <w:tblGrid>
        <w:gridCol w:w="1852"/>
        <w:gridCol w:w="1857"/>
        <w:gridCol w:w="1086"/>
        <w:gridCol w:w="2627"/>
        <w:gridCol w:w="1857"/>
      </w:tblGrid>
      <w:tr>
        <w:tblPrEx>
          <w:tblCellMar>
            <w:top w:w="0" w:type="dxa"/>
            <w:left w:w="108" w:type="dxa"/>
            <w:bottom w:w="0" w:type="dxa"/>
            <w:right w:w="108" w:type="dxa"/>
          </w:tblCellMar>
        </w:tblPrEx>
        <w:trPr>
          <w:trHeight w:val="330" w:hRule="atLeast"/>
          <w:jc w:val="center"/>
        </w:trPr>
        <w:tc>
          <w:tcPr>
            <w:tcW w:w="99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服务类别</w:t>
            </w:r>
          </w:p>
        </w:tc>
        <w:tc>
          <w:tcPr>
            <w:tcW w:w="100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服务类别</w:t>
            </w:r>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服务频次</w:t>
            </w:r>
          </w:p>
        </w:tc>
        <w:tc>
          <w:tcPr>
            <w:tcW w:w="14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服务内容</w:t>
            </w:r>
          </w:p>
        </w:tc>
        <w:tc>
          <w:tcPr>
            <w:tcW w:w="100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成果交付</w:t>
            </w:r>
          </w:p>
        </w:tc>
      </w:tr>
      <w:tr>
        <w:trPr>
          <w:trHeight w:val="2087" w:hRule="atLeast"/>
          <w:jc w:val="center"/>
        </w:trPr>
        <w:tc>
          <w:tcPr>
            <w:tcW w:w="99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网络安全监测</w:t>
            </w:r>
          </w:p>
        </w:tc>
        <w:tc>
          <w:tcPr>
            <w:tcW w:w="100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对关键信息基础设施对应的信息系统进行监管服务，主要针对其漏洞、弱点进行扫描，攻击事件监测、分析、并提出处置整改建议</w:t>
            </w:r>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每周</w:t>
            </w:r>
          </w:p>
        </w:tc>
        <w:tc>
          <w:tcPr>
            <w:tcW w:w="14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eastAsia="宋体" w:cs="宋体"/>
                <w:color w:val="000000"/>
                <w:szCs w:val="21"/>
              </w:rPr>
            </w:pPr>
            <w:r>
              <w:rPr>
                <w:rFonts w:hint="eastAsia" w:ascii="宋体" w:hAnsi="宋体" w:eastAsia="宋体" w:cs="宋体"/>
                <w:color w:val="000000"/>
                <w:kern w:val="0"/>
                <w:szCs w:val="21"/>
                <w:lang w:bidi="ar"/>
              </w:rPr>
              <w:t>提供网络安全监测平台，提供网络安全事件通报信息；提供全量网络安全预警通报信息；每周编制网络安全态势报告。</w:t>
            </w:r>
          </w:p>
        </w:tc>
        <w:tc>
          <w:tcPr>
            <w:tcW w:w="100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每周编制《网络安全态势报告》。</w:t>
            </w:r>
          </w:p>
        </w:tc>
      </w:tr>
      <w:tr>
        <w:tblPrEx>
          <w:tblCellMar>
            <w:top w:w="0" w:type="dxa"/>
            <w:left w:w="108" w:type="dxa"/>
            <w:bottom w:w="0" w:type="dxa"/>
            <w:right w:w="108" w:type="dxa"/>
          </w:tblCellMar>
        </w:tblPrEx>
        <w:trPr>
          <w:trHeight w:val="1235" w:hRule="atLeast"/>
          <w:jc w:val="center"/>
        </w:trPr>
        <w:tc>
          <w:tcPr>
            <w:tcW w:w="99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szCs w:val="21"/>
              </w:rPr>
            </w:pPr>
          </w:p>
        </w:tc>
        <w:tc>
          <w:tcPr>
            <w:tcW w:w="100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对关键信息基础设施单位安全设备进行远程监测。</w:t>
            </w:r>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每月</w:t>
            </w:r>
          </w:p>
        </w:tc>
        <w:tc>
          <w:tcPr>
            <w:tcW w:w="14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eastAsia="宋体" w:cs="宋体"/>
                <w:color w:val="000000"/>
                <w:szCs w:val="21"/>
              </w:rPr>
            </w:pPr>
            <w:r>
              <w:rPr>
                <w:rFonts w:hint="eastAsia" w:ascii="宋体" w:hAnsi="宋体" w:eastAsia="宋体" w:cs="宋体"/>
                <w:color w:val="000000"/>
                <w:kern w:val="0"/>
                <w:szCs w:val="21"/>
                <w:lang w:bidi="ar"/>
              </w:rPr>
              <w:t>主动探测辖区暴露在公网的资产和对重点网站进行网络安全的动态监测</w:t>
            </w:r>
          </w:p>
        </w:tc>
        <w:tc>
          <w:tcPr>
            <w:tcW w:w="100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Cs w:val="21"/>
              </w:rPr>
            </w:pPr>
            <w:r>
              <w:rPr>
                <w:rFonts w:hint="eastAsia" w:ascii="宋体" w:hAnsi="宋体" w:eastAsia="宋体" w:cs="宋体"/>
                <w:color w:val="000000"/>
                <w:kern w:val="0"/>
                <w:szCs w:val="21"/>
                <w:lang w:bidi="ar"/>
              </w:rPr>
              <w:t>每月输出《网络安全监测报告》。</w:t>
            </w:r>
          </w:p>
        </w:tc>
      </w:tr>
      <w:tr>
        <w:tblPrEx>
          <w:tblCellMar>
            <w:top w:w="0" w:type="dxa"/>
            <w:left w:w="108" w:type="dxa"/>
            <w:bottom w:w="0" w:type="dxa"/>
            <w:right w:w="108" w:type="dxa"/>
          </w:tblCellMar>
        </w:tblPrEx>
        <w:trPr>
          <w:trHeight w:val="1445" w:hRule="atLeast"/>
          <w:jc w:val="center"/>
        </w:trPr>
        <w:tc>
          <w:tcPr>
            <w:tcW w:w="99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技术服务</w:t>
            </w:r>
          </w:p>
        </w:tc>
        <w:tc>
          <w:tcPr>
            <w:tcW w:w="100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eastAsia="宋体" w:cs="宋体"/>
                <w:color w:val="000000"/>
                <w:szCs w:val="21"/>
              </w:rPr>
            </w:pPr>
            <w:r>
              <w:rPr>
                <w:rFonts w:hint="eastAsia" w:ascii="宋体" w:hAnsi="宋体" w:eastAsia="宋体" w:cs="宋体"/>
                <w:color w:val="000000"/>
                <w:kern w:val="0"/>
                <w:szCs w:val="21"/>
                <w:lang w:bidi="ar"/>
              </w:rPr>
              <w:t>互联网资产发现</w:t>
            </w:r>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每周</w:t>
            </w:r>
          </w:p>
        </w:tc>
        <w:tc>
          <w:tcPr>
            <w:tcW w:w="14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利用远程发现和现场核查等手段，发现应急管理厅及下属各州市县应急管理局关键信息基础设施及重要信息系统</w:t>
            </w:r>
          </w:p>
        </w:tc>
        <w:tc>
          <w:tcPr>
            <w:tcW w:w="100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lang w:bidi="ar"/>
              </w:rPr>
              <w:t>每周开展资产发现服务，年终输出《互联网资产台账》</w:t>
            </w:r>
          </w:p>
        </w:tc>
      </w:tr>
      <w:tr>
        <w:tblPrEx>
          <w:tblCellMar>
            <w:top w:w="0" w:type="dxa"/>
            <w:left w:w="108" w:type="dxa"/>
            <w:bottom w:w="0" w:type="dxa"/>
            <w:right w:w="108" w:type="dxa"/>
          </w:tblCellMar>
        </w:tblPrEx>
        <w:trPr>
          <w:trHeight w:val="1670" w:hRule="atLeast"/>
          <w:jc w:val="center"/>
        </w:trPr>
        <w:tc>
          <w:tcPr>
            <w:tcW w:w="99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Cs w:val="21"/>
              </w:rPr>
            </w:pPr>
          </w:p>
        </w:tc>
        <w:tc>
          <w:tcPr>
            <w:tcW w:w="100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eastAsia="宋体" w:cs="宋体"/>
                <w:color w:val="000000"/>
                <w:szCs w:val="21"/>
              </w:rPr>
            </w:pPr>
            <w:r>
              <w:rPr>
                <w:rFonts w:hint="eastAsia" w:ascii="宋体" w:hAnsi="宋体" w:eastAsia="宋体" w:cs="宋体"/>
                <w:color w:val="000000"/>
                <w:kern w:val="0"/>
                <w:szCs w:val="21"/>
                <w:lang w:bidi="ar"/>
              </w:rPr>
              <w:t>远程渗透</w:t>
            </w:r>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每年</w:t>
            </w:r>
          </w:p>
        </w:tc>
        <w:tc>
          <w:tcPr>
            <w:tcW w:w="14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对应急管理厅及下属各州市县应急管理局已经发现的关键信息基础设施及重要信息系统每年进行一次渗透测试</w:t>
            </w:r>
          </w:p>
        </w:tc>
        <w:tc>
          <w:tcPr>
            <w:tcW w:w="100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eastAsia="宋体" w:cs="宋体"/>
                <w:color w:val="000000"/>
                <w:szCs w:val="21"/>
              </w:rPr>
            </w:pPr>
            <w:r>
              <w:rPr>
                <w:rFonts w:hint="eastAsia" w:ascii="宋体" w:hAnsi="宋体" w:eastAsia="宋体" w:cs="宋体"/>
                <w:color w:val="000000"/>
                <w:kern w:val="0"/>
                <w:szCs w:val="21"/>
                <w:lang w:bidi="ar"/>
              </w:rPr>
              <w:t>每年开展一次渗透测后，输出《应急指挥专网渗透测试报告》。</w:t>
            </w:r>
          </w:p>
        </w:tc>
      </w:tr>
      <w:tr>
        <w:tblPrEx>
          <w:tblCellMar>
            <w:top w:w="0" w:type="dxa"/>
            <w:left w:w="108" w:type="dxa"/>
            <w:bottom w:w="0" w:type="dxa"/>
            <w:right w:w="108" w:type="dxa"/>
          </w:tblCellMar>
        </w:tblPrEx>
        <w:trPr>
          <w:trHeight w:val="1310" w:hRule="atLeast"/>
          <w:jc w:val="center"/>
        </w:trPr>
        <w:tc>
          <w:tcPr>
            <w:tcW w:w="99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eastAsia="宋体" w:cs="宋体"/>
                <w:color w:val="000000"/>
                <w:szCs w:val="21"/>
              </w:rPr>
            </w:pPr>
            <w:r>
              <w:rPr>
                <w:rFonts w:hint="eastAsia" w:ascii="宋体" w:hAnsi="宋体" w:eastAsia="宋体" w:cs="宋体"/>
                <w:color w:val="000000"/>
                <w:kern w:val="0"/>
                <w:szCs w:val="21"/>
                <w:lang w:bidi="ar"/>
              </w:rPr>
              <w:t>人才培养</w:t>
            </w:r>
          </w:p>
        </w:tc>
        <w:tc>
          <w:tcPr>
            <w:tcW w:w="100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eastAsia="宋体" w:cs="宋体"/>
                <w:color w:val="000000"/>
                <w:szCs w:val="21"/>
              </w:rPr>
            </w:pPr>
            <w:r>
              <w:rPr>
                <w:rFonts w:hint="eastAsia" w:ascii="宋体" w:hAnsi="宋体" w:eastAsia="宋体" w:cs="宋体"/>
                <w:color w:val="000000"/>
                <w:kern w:val="0"/>
                <w:szCs w:val="21"/>
                <w:lang w:bidi="ar"/>
              </w:rPr>
              <w:t>网络安全意识培训</w:t>
            </w:r>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不少于6课时</w:t>
            </w:r>
          </w:p>
        </w:tc>
        <w:tc>
          <w:tcPr>
            <w:tcW w:w="14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eastAsia="宋体" w:cs="宋体"/>
                <w:color w:val="000000"/>
                <w:szCs w:val="21"/>
              </w:rPr>
            </w:pPr>
            <w:r>
              <w:rPr>
                <w:rFonts w:hint="eastAsia" w:ascii="宋体" w:hAnsi="宋体" w:eastAsia="宋体" w:cs="宋体"/>
                <w:color w:val="000000"/>
                <w:kern w:val="0"/>
                <w:szCs w:val="21"/>
                <w:lang w:bidi="ar"/>
              </w:rPr>
              <w:t>每年进行全疆范围的网络安全培训公开课</w:t>
            </w:r>
          </w:p>
        </w:tc>
        <w:tc>
          <w:tcPr>
            <w:tcW w:w="100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eastAsia="宋体" w:cs="宋体"/>
                <w:color w:val="000000"/>
                <w:szCs w:val="21"/>
              </w:rPr>
            </w:pPr>
            <w:r>
              <w:rPr>
                <w:rFonts w:hint="eastAsia" w:ascii="宋体" w:hAnsi="宋体" w:eastAsia="宋体" w:cs="宋体"/>
                <w:color w:val="000000"/>
                <w:kern w:val="0"/>
                <w:szCs w:val="21"/>
                <w:lang w:bidi="ar"/>
              </w:rPr>
              <w:t>输出《网络安全意识培训教材》、《网络安全意识总结报告》</w:t>
            </w:r>
          </w:p>
        </w:tc>
      </w:tr>
      <w:tr>
        <w:tblPrEx>
          <w:tblCellMar>
            <w:top w:w="0" w:type="dxa"/>
            <w:left w:w="108" w:type="dxa"/>
            <w:bottom w:w="0" w:type="dxa"/>
            <w:right w:w="108" w:type="dxa"/>
          </w:tblCellMar>
        </w:tblPrEx>
        <w:trPr>
          <w:trHeight w:val="1658" w:hRule="atLeast"/>
          <w:jc w:val="center"/>
        </w:trPr>
        <w:tc>
          <w:tcPr>
            <w:tcW w:w="99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szCs w:val="21"/>
              </w:rPr>
            </w:pPr>
          </w:p>
        </w:tc>
        <w:tc>
          <w:tcPr>
            <w:tcW w:w="100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关键信息基础设施认定和防护培训</w:t>
            </w:r>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不少于6课时</w:t>
            </w:r>
          </w:p>
        </w:tc>
        <w:tc>
          <w:tcPr>
            <w:tcW w:w="14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eastAsia="宋体" w:cs="宋体"/>
                <w:color w:val="000000"/>
                <w:szCs w:val="21"/>
              </w:rPr>
            </w:pPr>
            <w:r>
              <w:rPr>
                <w:rFonts w:hint="eastAsia" w:ascii="宋体" w:hAnsi="宋体" w:eastAsia="宋体" w:cs="宋体"/>
                <w:color w:val="000000"/>
                <w:kern w:val="0"/>
                <w:szCs w:val="21"/>
                <w:lang w:bidi="ar"/>
              </w:rPr>
              <w:t>针对关键信息基础设施管理人员、维护人员的认定、防护培训</w:t>
            </w:r>
          </w:p>
        </w:tc>
        <w:tc>
          <w:tcPr>
            <w:tcW w:w="100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eastAsia="宋体" w:cs="宋体"/>
                <w:color w:val="000000"/>
                <w:szCs w:val="21"/>
              </w:rPr>
            </w:pPr>
            <w:r>
              <w:rPr>
                <w:rFonts w:hint="eastAsia" w:ascii="宋体" w:hAnsi="宋体" w:eastAsia="宋体" w:cs="宋体"/>
                <w:color w:val="000000"/>
                <w:kern w:val="0"/>
                <w:szCs w:val="21"/>
                <w:lang w:bidi="ar"/>
              </w:rPr>
              <w:t>输出《关键信息基础设施认定和防护培训教材》、《关键信息基础设施认定和防护培训总结报告》</w:t>
            </w:r>
          </w:p>
        </w:tc>
      </w:tr>
      <w:tr>
        <w:tblPrEx>
          <w:tblCellMar>
            <w:top w:w="0" w:type="dxa"/>
            <w:left w:w="108" w:type="dxa"/>
            <w:bottom w:w="0" w:type="dxa"/>
            <w:right w:w="108" w:type="dxa"/>
          </w:tblCellMar>
        </w:tblPrEx>
        <w:trPr>
          <w:trHeight w:val="2482" w:hRule="atLeast"/>
          <w:jc w:val="center"/>
        </w:trPr>
        <w:tc>
          <w:tcPr>
            <w:tcW w:w="99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szCs w:val="21"/>
              </w:rPr>
            </w:pPr>
          </w:p>
        </w:tc>
        <w:tc>
          <w:tcPr>
            <w:tcW w:w="100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eastAsia="宋体" w:cs="宋体"/>
                <w:color w:val="000000"/>
                <w:szCs w:val="21"/>
              </w:rPr>
            </w:pPr>
            <w:r>
              <w:rPr>
                <w:rFonts w:hint="eastAsia" w:ascii="宋体" w:hAnsi="宋体" w:eastAsia="宋体" w:cs="宋体"/>
                <w:color w:val="000000"/>
                <w:kern w:val="0"/>
                <w:szCs w:val="21"/>
                <w:lang w:bidi="ar"/>
              </w:rPr>
              <w:t>网络安全技能培训</w:t>
            </w:r>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不少于20课时</w:t>
            </w:r>
          </w:p>
        </w:tc>
        <w:tc>
          <w:tcPr>
            <w:tcW w:w="14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eastAsia="宋体" w:cs="宋体"/>
                <w:color w:val="000000"/>
                <w:szCs w:val="21"/>
              </w:rPr>
            </w:pPr>
            <w:r>
              <w:rPr>
                <w:rFonts w:hint="eastAsia" w:ascii="宋体" w:hAnsi="宋体" w:eastAsia="宋体" w:cs="宋体"/>
                <w:color w:val="000000"/>
                <w:kern w:val="0"/>
                <w:szCs w:val="21"/>
                <w:lang w:bidi="ar"/>
              </w:rPr>
              <w:t>针对应急管理厅及下属各州应急管理局关键信息基础设施及重要信息系统干部提供一次为期5天的专业培训，内容包括安全威胁发现、安全漏洞检测、安全事件分析、安全漏洞修复等技能。</w:t>
            </w:r>
          </w:p>
        </w:tc>
        <w:tc>
          <w:tcPr>
            <w:tcW w:w="100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eastAsia="宋体" w:cs="宋体"/>
                <w:color w:val="000000"/>
                <w:szCs w:val="21"/>
              </w:rPr>
            </w:pPr>
            <w:r>
              <w:rPr>
                <w:rFonts w:hint="eastAsia" w:ascii="宋体" w:hAnsi="宋体" w:eastAsia="宋体" w:cs="宋体"/>
                <w:color w:val="000000"/>
                <w:kern w:val="0"/>
                <w:szCs w:val="21"/>
                <w:lang w:bidi="ar"/>
              </w:rPr>
              <w:t>输出《网络安全技能培训教材》、《网络安全技能培训总结报告》</w:t>
            </w:r>
          </w:p>
        </w:tc>
      </w:tr>
    </w:tbl>
    <w:p>
      <w:pPr>
        <w:pStyle w:val="37"/>
        <w:ind w:firstLine="241"/>
        <w:rPr>
          <w:rFonts w:ascii="宋体" w:hAnsi="宋体" w:eastAsia="宋体" w:cs="宋体"/>
          <w:b/>
          <w:color w:val="000000" w:themeColor="text1"/>
          <w:sz w:val="24"/>
          <w:szCs w:val="24"/>
          <w14:textFill>
            <w14:solidFill>
              <w14:schemeClr w14:val="tx1"/>
            </w14:solidFill>
          </w14:textFill>
        </w:rPr>
      </w:pPr>
    </w:p>
    <w:p>
      <w:pPr>
        <w:tabs>
          <w:tab w:val="center" w:pos="4832"/>
          <w:tab w:val="left" w:pos="7140"/>
        </w:tabs>
        <w:spacing w:line="360" w:lineRule="auto"/>
        <w:jc w:val="left"/>
        <w:outlineLvl w:val="3"/>
        <w:rPr>
          <w:rFonts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2.3.2安全服务工作成果</w:t>
      </w:r>
    </w:p>
    <w:tbl>
      <w:tblPr>
        <w:tblStyle w:val="3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9"/>
        <w:gridCol w:w="1103"/>
        <w:gridCol w:w="1147"/>
        <w:gridCol w:w="1393"/>
        <w:gridCol w:w="4220"/>
        <w:gridCol w:w="7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719" w:type="dxa"/>
            <w:shd w:val="clear" w:color="auto" w:fill="auto"/>
            <w:vAlign w:val="center"/>
          </w:tcPr>
          <w:p>
            <w:pPr>
              <w:widowControl/>
              <w:jc w:val="center"/>
              <w:textAlignment w:val="center"/>
              <w:rPr>
                <w:rFonts w:ascii="宋体" w:hAnsi="宋体" w:eastAsia="宋体" w:cs="宋体"/>
                <w:b/>
                <w:bCs/>
                <w:color w:val="000000"/>
                <w:szCs w:val="21"/>
              </w:rPr>
            </w:pPr>
            <w:r>
              <w:rPr>
                <w:rFonts w:hint="eastAsia" w:ascii="宋体" w:hAnsi="宋体" w:eastAsia="宋体" w:cs="宋体"/>
                <w:b/>
                <w:bCs/>
                <w:color w:val="000000"/>
                <w:kern w:val="0"/>
                <w:szCs w:val="21"/>
                <w:lang w:bidi="ar"/>
              </w:rPr>
              <w:t>序号</w:t>
            </w:r>
          </w:p>
        </w:tc>
        <w:tc>
          <w:tcPr>
            <w:tcW w:w="1103" w:type="dxa"/>
            <w:shd w:val="clear" w:color="auto" w:fill="auto"/>
            <w:vAlign w:val="center"/>
          </w:tcPr>
          <w:p>
            <w:pPr>
              <w:widowControl/>
              <w:jc w:val="center"/>
              <w:textAlignment w:val="center"/>
              <w:rPr>
                <w:rFonts w:ascii="宋体" w:hAnsi="宋体" w:eastAsia="宋体" w:cs="宋体"/>
                <w:b/>
                <w:bCs/>
                <w:color w:val="000000"/>
                <w:szCs w:val="21"/>
              </w:rPr>
            </w:pPr>
            <w:r>
              <w:rPr>
                <w:rFonts w:hint="eastAsia" w:ascii="宋体" w:hAnsi="宋体" w:eastAsia="宋体" w:cs="宋体"/>
                <w:b/>
                <w:bCs/>
                <w:color w:val="000000"/>
                <w:szCs w:val="21"/>
              </w:rPr>
              <w:t>项目</w:t>
            </w:r>
          </w:p>
        </w:tc>
        <w:tc>
          <w:tcPr>
            <w:tcW w:w="1147" w:type="dxa"/>
            <w:shd w:val="clear" w:color="auto" w:fill="auto"/>
            <w:vAlign w:val="center"/>
          </w:tcPr>
          <w:p>
            <w:pPr>
              <w:widowControl/>
              <w:jc w:val="center"/>
              <w:textAlignment w:val="center"/>
              <w:rPr>
                <w:rFonts w:ascii="宋体" w:hAnsi="宋体" w:eastAsia="宋体" w:cs="宋体"/>
                <w:b/>
                <w:bCs/>
                <w:color w:val="000000"/>
                <w:szCs w:val="21"/>
              </w:rPr>
            </w:pPr>
            <w:r>
              <w:rPr>
                <w:rFonts w:hint="eastAsia" w:ascii="宋体" w:hAnsi="宋体" w:eastAsia="宋体" w:cs="宋体"/>
                <w:b/>
                <w:bCs/>
                <w:color w:val="000000"/>
                <w:kern w:val="0"/>
                <w:szCs w:val="21"/>
                <w:lang w:bidi="ar"/>
              </w:rPr>
              <w:t>服务内容</w:t>
            </w:r>
          </w:p>
        </w:tc>
        <w:tc>
          <w:tcPr>
            <w:tcW w:w="1393" w:type="dxa"/>
            <w:shd w:val="clear" w:color="auto" w:fill="auto"/>
            <w:vAlign w:val="center"/>
          </w:tcPr>
          <w:p>
            <w:pPr>
              <w:widowControl/>
              <w:jc w:val="center"/>
              <w:textAlignment w:val="center"/>
              <w:rPr>
                <w:rFonts w:ascii="宋体" w:hAnsi="宋体" w:eastAsia="宋体" w:cs="宋体"/>
                <w:b/>
                <w:bCs/>
                <w:color w:val="000000"/>
                <w:kern w:val="0"/>
                <w:szCs w:val="21"/>
                <w:lang w:bidi="ar"/>
              </w:rPr>
            </w:pPr>
            <w:r>
              <w:rPr>
                <w:rFonts w:hint="eastAsia" w:ascii="宋体" w:hAnsi="宋体" w:eastAsia="宋体" w:cs="宋体"/>
                <w:b/>
                <w:bCs/>
                <w:color w:val="000000"/>
                <w:kern w:val="0"/>
                <w:szCs w:val="21"/>
                <w:lang w:bidi="ar"/>
              </w:rPr>
              <w:t>服务频次</w:t>
            </w:r>
          </w:p>
        </w:tc>
        <w:tc>
          <w:tcPr>
            <w:tcW w:w="4220" w:type="dxa"/>
            <w:shd w:val="clear" w:color="auto" w:fill="auto"/>
            <w:vAlign w:val="center"/>
          </w:tcPr>
          <w:p>
            <w:pPr>
              <w:widowControl/>
              <w:jc w:val="center"/>
              <w:textAlignment w:val="center"/>
              <w:rPr>
                <w:rFonts w:ascii="宋体" w:hAnsi="宋体" w:eastAsia="宋体" w:cs="宋体"/>
                <w:b/>
                <w:bCs/>
                <w:color w:val="000000"/>
                <w:szCs w:val="21"/>
              </w:rPr>
            </w:pPr>
            <w:r>
              <w:rPr>
                <w:rFonts w:hint="eastAsia" w:ascii="宋体" w:hAnsi="宋体" w:eastAsia="宋体" w:cs="宋体"/>
                <w:b/>
                <w:bCs/>
                <w:color w:val="000000"/>
                <w:kern w:val="0"/>
                <w:szCs w:val="21"/>
                <w:lang w:bidi="ar"/>
              </w:rPr>
              <w:t>成果交付物</w:t>
            </w:r>
          </w:p>
        </w:tc>
        <w:tc>
          <w:tcPr>
            <w:tcW w:w="704" w:type="dxa"/>
            <w:shd w:val="clear" w:color="auto" w:fill="auto"/>
            <w:vAlign w:val="center"/>
          </w:tcPr>
          <w:p>
            <w:pPr>
              <w:widowControl/>
              <w:jc w:val="center"/>
              <w:textAlignment w:val="center"/>
              <w:rPr>
                <w:rFonts w:ascii="宋体" w:hAnsi="宋体" w:eastAsia="宋体" w:cs="宋体"/>
                <w:b/>
                <w:bCs/>
                <w:color w:val="000000"/>
                <w:szCs w:val="21"/>
              </w:rPr>
            </w:pPr>
            <w:r>
              <w:rPr>
                <w:rFonts w:hint="eastAsia" w:ascii="宋体" w:hAnsi="宋体" w:eastAsia="宋体" w:cs="宋体"/>
                <w:b/>
                <w:bCs/>
                <w:color w:val="000000"/>
                <w:kern w:val="0"/>
                <w:szCs w:val="21"/>
                <w:lang w:bidi="ar"/>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1" w:hRule="atLeast"/>
        </w:trPr>
        <w:tc>
          <w:tcPr>
            <w:tcW w:w="719" w:type="dxa"/>
            <w:shd w:val="clear" w:color="auto" w:fill="auto"/>
            <w:vAlign w:val="center"/>
          </w:tcPr>
          <w:p>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1</w:t>
            </w:r>
          </w:p>
        </w:tc>
        <w:tc>
          <w:tcPr>
            <w:tcW w:w="1103" w:type="dxa"/>
            <w:vMerge w:val="restart"/>
            <w:shd w:val="clear" w:color="auto" w:fill="auto"/>
            <w:vAlign w:val="center"/>
          </w:tcPr>
          <w:p>
            <w:pPr>
              <w:jc w:val="center"/>
              <w:rPr>
                <w:rFonts w:ascii="宋体" w:hAnsi="宋体" w:eastAsia="宋体" w:cs="宋体"/>
                <w:color w:val="000000"/>
                <w:szCs w:val="21"/>
              </w:rPr>
            </w:pPr>
            <w:r>
              <w:rPr>
                <w:rFonts w:hint="eastAsia" w:ascii="宋体" w:hAnsi="宋体" w:eastAsia="宋体" w:cs="宋体"/>
                <w:color w:val="000000"/>
                <w:szCs w:val="21"/>
              </w:rPr>
              <w:t>自治区应急管理厅应急指挥专网网络安全加固服务项目</w:t>
            </w:r>
          </w:p>
        </w:tc>
        <w:tc>
          <w:tcPr>
            <w:tcW w:w="1147" w:type="dxa"/>
            <w:shd w:val="clear" w:color="auto" w:fill="auto"/>
            <w:vAlign w:val="center"/>
          </w:tcPr>
          <w:p>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漏洞扫描服务</w:t>
            </w:r>
          </w:p>
        </w:tc>
        <w:tc>
          <w:tcPr>
            <w:tcW w:w="1393" w:type="dxa"/>
            <w:shd w:val="clear" w:color="auto" w:fill="auto"/>
            <w:vAlign w:val="center"/>
          </w:tcPr>
          <w:p>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每月1次</w:t>
            </w:r>
          </w:p>
        </w:tc>
        <w:tc>
          <w:tcPr>
            <w:tcW w:w="4220" w:type="dxa"/>
            <w:shd w:val="clear" w:color="auto" w:fill="auto"/>
            <w:vAlign w:val="center"/>
          </w:tcPr>
          <w:p>
            <w:pPr>
              <w:rPr>
                <w:rFonts w:ascii="宋体" w:hAnsi="宋体" w:eastAsia="宋体" w:cs="宋体"/>
                <w:color w:val="000000"/>
                <w:szCs w:val="21"/>
              </w:rPr>
            </w:pPr>
            <w:r>
              <w:rPr>
                <w:rFonts w:hint="eastAsia" w:ascii="宋体" w:hAnsi="宋体" w:eastAsia="宋体" w:cs="宋体"/>
                <w:color w:val="000000"/>
                <w:kern w:val="0"/>
                <w:szCs w:val="21"/>
                <w:lang w:bidi="ar"/>
              </w:rPr>
              <w:t>完成自治区应急管理厅应急指挥专网的漏洞扫描工作，并及时处置潜在的安全漏洞风险，每月输出《漏洞扫描和处置服务报告》。</w:t>
            </w:r>
          </w:p>
        </w:tc>
        <w:tc>
          <w:tcPr>
            <w:tcW w:w="704" w:type="dxa"/>
            <w:shd w:val="clear" w:color="auto" w:fill="auto"/>
            <w:vAlign w:val="center"/>
          </w:tcPr>
          <w:p>
            <w:pPr>
              <w:jc w:val="left"/>
              <w:rPr>
                <w:rFonts w:ascii="宋体" w:hAnsi="宋体" w:eastAsia="宋体" w:cs="宋体"/>
                <w:b/>
                <w:bCs/>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4" w:hRule="atLeast"/>
        </w:trPr>
        <w:tc>
          <w:tcPr>
            <w:tcW w:w="719" w:type="dxa"/>
            <w:shd w:val="clear" w:color="auto" w:fill="auto"/>
            <w:vAlign w:val="center"/>
          </w:tcPr>
          <w:p>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2</w:t>
            </w:r>
          </w:p>
        </w:tc>
        <w:tc>
          <w:tcPr>
            <w:tcW w:w="1103" w:type="dxa"/>
            <w:vMerge w:val="continue"/>
            <w:shd w:val="clear" w:color="auto" w:fill="auto"/>
            <w:vAlign w:val="center"/>
          </w:tcPr>
          <w:p>
            <w:pPr>
              <w:jc w:val="center"/>
              <w:rPr>
                <w:rFonts w:ascii="宋体" w:hAnsi="宋体" w:eastAsia="宋体" w:cs="宋体"/>
                <w:color w:val="000000"/>
                <w:szCs w:val="21"/>
              </w:rPr>
            </w:pPr>
          </w:p>
        </w:tc>
        <w:tc>
          <w:tcPr>
            <w:tcW w:w="1147" w:type="dxa"/>
            <w:shd w:val="clear" w:color="auto" w:fill="auto"/>
            <w:vAlign w:val="center"/>
          </w:tcPr>
          <w:p>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基线核查服务</w:t>
            </w:r>
          </w:p>
        </w:tc>
        <w:tc>
          <w:tcPr>
            <w:tcW w:w="1393" w:type="dxa"/>
            <w:shd w:val="clear" w:color="auto" w:fill="auto"/>
            <w:vAlign w:val="center"/>
          </w:tcPr>
          <w:p>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每季度1次</w:t>
            </w:r>
          </w:p>
        </w:tc>
        <w:tc>
          <w:tcPr>
            <w:tcW w:w="4220" w:type="dxa"/>
            <w:shd w:val="clear" w:color="auto" w:fill="auto"/>
            <w:vAlign w:val="center"/>
          </w:tcPr>
          <w:p>
            <w:pPr>
              <w:rPr>
                <w:rFonts w:ascii="宋体" w:hAnsi="宋体" w:eastAsia="宋体" w:cs="宋体"/>
                <w:color w:val="000000"/>
                <w:kern w:val="0"/>
                <w:szCs w:val="21"/>
                <w:lang w:bidi="ar"/>
              </w:rPr>
            </w:pPr>
            <w:r>
              <w:rPr>
                <w:rFonts w:hint="eastAsia" w:ascii="宋体" w:hAnsi="宋体" w:eastAsia="宋体" w:cs="宋体"/>
                <w:szCs w:val="21"/>
              </w:rPr>
              <w:t>完成自治区应急管理厅应急指挥专网的基线核查工作，并每季度输出《自治区应急管理厅应急指挥专网基线核查检测报告》。</w:t>
            </w:r>
          </w:p>
        </w:tc>
        <w:tc>
          <w:tcPr>
            <w:tcW w:w="704" w:type="dxa"/>
            <w:shd w:val="clear" w:color="auto" w:fill="auto"/>
            <w:vAlign w:val="center"/>
          </w:tcPr>
          <w:p>
            <w:pPr>
              <w:jc w:val="left"/>
              <w:rPr>
                <w:rFonts w:ascii="宋体" w:hAnsi="宋体" w:eastAsia="宋体" w:cs="宋体"/>
                <w:b/>
                <w:bCs/>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1" w:hRule="atLeast"/>
        </w:trPr>
        <w:tc>
          <w:tcPr>
            <w:tcW w:w="719" w:type="dxa"/>
            <w:shd w:val="clear" w:color="auto" w:fill="auto"/>
            <w:vAlign w:val="center"/>
          </w:tcPr>
          <w:p>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3</w:t>
            </w:r>
          </w:p>
        </w:tc>
        <w:tc>
          <w:tcPr>
            <w:tcW w:w="1103" w:type="dxa"/>
            <w:vMerge w:val="continue"/>
            <w:shd w:val="clear" w:color="auto" w:fill="auto"/>
            <w:vAlign w:val="center"/>
          </w:tcPr>
          <w:p>
            <w:pPr>
              <w:jc w:val="center"/>
              <w:rPr>
                <w:rFonts w:ascii="宋体" w:hAnsi="宋体" w:eastAsia="宋体" w:cs="宋体"/>
                <w:color w:val="000000"/>
                <w:szCs w:val="21"/>
              </w:rPr>
            </w:pPr>
          </w:p>
        </w:tc>
        <w:tc>
          <w:tcPr>
            <w:tcW w:w="1147" w:type="dxa"/>
            <w:shd w:val="clear" w:color="auto" w:fill="auto"/>
            <w:vAlign w:val="center"/>
          </w:tcPr>
          <w:p>
            <w:pPr>
              <w:widowControl/>
              <w:jc w:val="center"/>
              <w:textAlignment w:val="center"/>
              <w:rPr>
                <w:rFonts w:ascii="宋体" w:hAnsi="宋体" w:eastAsia="宋体" w:cs="宋体"/>
                <w:color w:val="000000"/>
                <w:kern w:val="0"/>
                <w:szCs w:val="21"/>
                <w:lang w:bidi="ar"/>
              </w:rPr>
            </w:pPr>
            <w:r>
              <w:rPr>
                <w:rFonts w:hint="eastAsia"/>
              </w:rPr>
              <w:t>“★”</w:t>
            </w:r>
            <w:r>
              <w:rPr>
                <w:rFonts w:hint="eastAsia" w:ascii="宋体" w:hAnsi="宋体" w:eastAsia="宋体" w:cs="宋体"/>
                <w:color w:val="000000"/>
                <w:kern w:val="0"/>
                <w:szCs w:val="21"/>
                <w:lang w:bidi="ar"/>
              </w:rPr>
              <w:t>安全规划咨询服务</w:t>
            </w:r>
          </w:p>
        </w:tc>
        <w:tc>
          <w:tcPr>
            <w:tcW w:w="1393" w:type="dxa"/>
            <w:shd w:val="clear" w:color="auto" w:fill="auto"/>
            <w:vAlign w:val="center"/>
          </w:tcPr>
          <w:p>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每半年1次</w:t>
            </w:r>
          </w:p>
        </w:tc>
        <w:tc>
          <w:tcPr>
            <w:tcW w:w="4220" w:type="dxa"/>
            <w:shd w:val="clear" w:color="auto" w:fill="auto"/>
            <w:vAlign w:val="center"/>
          </w:tcPr>
          <w:p>
            <w:pPr>
              <w:rPr>
                <w:rFonts w:ascii="宋体" w:hAnsi="宋体" w:eastAsia="微软雅黑" w:cs="宋体"/>
                <w:color w:val="000000"/>
                <w:kern w:val="0"/>
                <w:szCs w:val="21"/>
                <w:lang w:bidi="ar"/>
              </w:rPr>
            </w:pPr>
            <w:r>
              <w:rPr>
                <w:rFonts w:hint="eastAsia" w:ascii="宋体" w:hAnsi="宋体" w:eastAsia="宋体" w:cs="宋体"/>
                <w:szCs w:val="21"/>
              </w:rPr>
              <w:t>基于应急管理厅安全现状，参考国内外网络安全建设实践和理论，根据网络安全相关法律法规、标准规范，提供全生命周期的安全调研、分析、规划和体系建设等，完成网络安全规划编制，建设期输出《网络安全管理体系汇编》、《自治区应急管理厅安全规划咨询报告》。</w:t>
            </w:r>
          </w:p>
        </w:tc>
        <w:tc>
          <w:tcPr>
            <w:tcW w:w="704" w:type="dxa"/>
            <w:shd w:val="clear" w:color="auto" w:fill="auto"/>
            <w:vAlign w:val="center"/>
          </w:tcPr>
          <w:p>
            <w:pPr>
              <w:jc w:val="left"/>
              <w:rPr>
                <w:rFonts w:ascii="宋体" w:hAnsi="宋体" w:eastAsia="宋体" w:cs="宋体"/>
                <w:b/>
                <w:bCs/>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1" w:hRule="atLeast"/>
        </w:trPr>
        <w:tc>
          <w:tcPr>
            <w:tcW w:w="719" w:type="dxa"/>
            <w:shd w:val="clear" w:color="auto" w:fill="auto"/>
            <w:vAlign w:val="center"/>
          </w:tcPr>
          <w:p>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4</w:t>
            </w:r>
          </w:p>
        </w:tc>
        <w:tc>
          <w:tcPr>
            <w:tcW w:w="1103" w:type="dxa"/>
            <w:vMerge w:val="continue"/>
            <w:shd w:val="clear" w:color="auto" w:fill="auto"/>
            <w:vAlign w:val="center"/>
          </w:tcPr>
          <w:p>
            <w:pPr>
              <w:jc w:val="center"/>
              <w:rPr>
                <w:rFonts w:ascii="宋体" w:hAnsi="宋体" w:eastAsia="宋体" w:cs="宋体"/>
                <w:color w:val="000000"/>
                <w:szCs w:val="21"/>
              </w:rPr>
            </w:pPr>
          </w:p>
        </w:tc>
        <w:tc>
          <w:tcPr>
            <w:tcW w:w="1147" w:type="dxa"/>
            <w:shd w:val="clear" w:color="auto" w:fill="auto"/>
            <w:vAlign w:val="center"/>
          </w:tcPr>
          <w:p>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网络安全审计服务</w:t>
            </w:r>
          </w:p>
        </w:tc>
        <w:tc>
          <w:tcPr>
            <w:tcW w:w="1393" w:type="dxa"/>
            <w:shd w:val="clear" w:color="auto" w:fill="auto"/>
            <w:vAlign w:val="center"/>
          </w:tcPr>
          <w:p>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按需</w:t>
            </w:r>
          </w:p>
        </w:tc>
        <w:tc>
          <w:tcPr>
            <w:tcW w:w="4220" w:type="dxa"/>
            <w:shd w:val="clear" w:color="auto" w:fill="auto"/>
            <w:vAlign w:val="center"/>
          </w:tcPr>
          <w:p>
            <w:pPr>
              <w:rPr>
                <w:rFonts w:ascii="宋体" w:hAnsi="宋体" w:eastAsia="宋体" w:cs="宋体"/>
                <w:color w:val="000000"/>
                <w:kern w:val="0"/>
                <w:szCs w:val="21"/>
                <w:lang w:bidi="ar"/>
              </w:rPr>
            </w:pPr>
            <w:r>
              <w:rPr>
                <w:rFonts w:hint="eastAsia" w:ascii="宋体" w:hAnsi="宋体" w:eastAsia="宋体" w:cs="宋体"/>
                <w:szCs w:val="21"/>
              </w:rPr>
              <w:t>完成自治区应急管理厅应急指挥专网安全审计服务，在服务期间配合自治区应急管理厅完成应急指挥专网审计工作，每次审计服务结束后应按照自治区应急管理厅安全审计报告格式出具符合要求的《网络安全审计报告》。</w:t>
            </w:r>
          </w:p>
        </w:tc>
        <w:tc>
          <w:tcPr>
            <w:tcW w:w="704" w:type="dxa"/>
            <w:shd w:val="clear" w:color="auto" w:fill="auto"/>
            <w:vAlign w:val="center"/>
          </w:tcPr>
          <w:p>
            <w:pPr>
              <w:jc w:val="left"/>
              <w:rPr>
                <w:rFonts w:ascii="宋体" w:hAnsi="宋体" w:eastAsia="宋体" w:cs="宋体"/>
                <w:b/>
                <w:bCs/>
                <w:color w:val="000000"/>
                <w:szCs w:val="21"/>
              </w:rPr>
            </w:pPr>
          </w:p>
        </w:tc>
      </w:tr>
    </w:tbl>
    <w:p>
      <w:pPr>
        <w:pStyle w:val="37"/>
        <w:ind w:firstLine="241"/>
        <w:rPr>
          <w:rFonts w:ascii="宋体" w:hAnsi="宋体" w:eastAsia="宋体" w:cs="宋体"/>
          <w:b/>
          <w:color w:val="000000" w:themeColor="text1"/>
          <w:sz w:val="24"/>
          <w:szCs w:val="24"/>
          <w14:textFill>
            <w14:solidFill>
              <w14:schemeClr w14:val="tx1"/>
            </w14:solidFill>
          </w14:textFill>
        </w:rPr>
      </w:pPr>
    </w:p>
    <w:p>
      <w:pPr>
        <w:tabs>
          <w:tab w:val="center" w:pos="4832"/>
          <w:tab w:val="left" w:pos="7140"/>
        </w:tabs>
        <w:spacing w:line="360" w:lineRule="auto"/>
        <w:jc w:val="left"/>
        <w:outlineLvl w:val="3"/>
        <w:rPr>
          <w:rFonts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2.3.3配套基础设施成果</w:t>
      </w:r>
    </w:p>
    <w:tbl>
      <w:tblPr>
        <w:tblStyle w:val="38"/>
        <w:tblW w:w="499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9"/>
        <w:gridCol w:w="1255"/>
        <w:gridCol w:w="1424"/>
        <w:gridCol w:w="1281"/>
        <w:gridCol w:w="3756"/>
        <w:gridCol w:w="8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398" w:type="pct"/>
            <w:shd w:val="clear" w:color="auto" w:fill="auto"/>
            <w:vAlign w:val="center"/>
          </w:tcPr>
          <w:p>
            <w:pPr>
              <w:widowControl/>
              <w:jc w:val="center"/>
              <w:textAlignment w:val="center"/>
              <w:rPr>
                <w:rFonts w:ascii="宋体" w:hAnsi="宋体" w:eastAsia="宋体" w:cs="宋体"/>
                <w:b/>
                <w:bCs/>
                <w:color w:val="000000"/>
                <w:szCs w:val="21"/>
              </w:rPr>
            </w:pPr>
            <w:r>
              <w:rPr>
                <w:rFonts w:hint="eastAsia" w:ascii="宋体" w:hAnsi="宋体" w:eastAsia="宋体" w:cs="宋体"/>
                <w:b/>
                <w:bCs/>
                <w:color w:val="000000"/>
                <w:kern w:val="0"/>
                <w:szCs w:val="21"/>
                <w:lang w:bidi="ar"/>
              </w:rPr>
              <w:t>序号</w:t>
            </w:r>
          </w:p>
        </w:tc>
        <w:tc>
          <w:tcPr>
            <w:tcW w:w="676" w:type="pct"/>
            <w:shd w:val="clear" w:color="auto" w:fill="auto"/>
            <w:vAlign w:val="center"/>
          </w:tcPr>
          <w:p>
            <w:pPr>
              <w:widowControl/>
              <w:jc w:val="center"/>
              <w:textAlignment w:val="center"/>
              <w:rPr>
                <w:rFonts w:ascii="宋体" w:hAnsi="宋体" w:eastAsia="宋体" w:cs="宋体"/>
                <w:b/>
                <w:bCs/>
                <w:color w:val="000000"/>
                <w:szCs w:val="21"/>
              </w:rPr>
            </w:pPr>
            <w:r>
              <w:rPr>
                <w:rFonts w:hint="eastAsia" w:ascii="宋体" w:hAnsi="宋体" w:eastAsia="宋体" w:cs="宋体"/>
                <w:b/>
                <w:bCs/>
                <w:color w:val="000000"/>
                <w:szCs w:val="21"/>
              </w:rPr>
              <w:t>项目</w:t>
            </w:r>
          </w:p>
        </w:tc>
        <w:tc>
          <w:tcPr>
            <w:tcW w:w="767" w:type="pct"/>
            <w:shd w:val="clear" w:color="auto" w:fill="auto"/>
            <w:vAlign w:val="center"/>
          </w:tcPr>
          <w:p>
            <w:pPr>
              <w:widowControl/>
              <w:jc w:val="center"/>
              <w:textAlignment w:val="center"/>
              <w:rPr>
                <w:rFonts w:ascii="宋体" w:hAnsi="宋体" w:eastAsia="宋体" w:cs="宋体"/>
                <w:b/>
                <w:bCs/>
                <w:color w:val="000000"/>
                <w:szCs w:val="21"/>
              </w:rPr>
            </w:pPr>
            <w:r>
              <w:rPr>
                <w:rFonts w:hint="eastAsia" w:ascii="宋体" w:hAnsi="宋体" w:eastAsia="宋体" w:cs="宋体"/>
                <w:b/>
                <w:bCs/>
                <w:color w:val="000000"/>
                <w:kern w:val="0"/>
                <w:szCs w:val="21"/>
                <w:lang w:bidi="ar"/>
              </w:rPr>
              <w:t>服务内容</w:t>
            </w:r>
          </w:p>
        </w:tc>
        <w:tc>
          <w:tcPr>
            <w:tcW w:w="690" w:type="pct"/>
            <w:shd w:val="clear" w:color="auto" w:fill="auto"/>
            <w:vAlign w:val="center"/>
          </w:tcPr>
          <w:p>
            <w:pPr>
              <w:widowControl/>
              <w:jc w:val="center"/>
              <w:textAlignment w:val="center"/>
              <w:rPr>
                <w:rFonts w:ascii="宋体" w:hAnsi="宋体" w:eastAsia="宋体" w:cs="宋体"/>
                <w:b/>
                <w:bCs/>
                <w:color w:val="000000"/>
                <w:kern w:val="0"/>
                <w:szCs w:val="21"/>
                <w:lang w:bidi="ar"/>
              </w:rPr>
            </w:pPr>
            <w:r>
              <w:rPr>
                <w:rFonts w:hint="eastAsia" w:ascii="宋体" w:hAnsi="宋体" w:eastAsia="宋体" w:cs="宋体"/>
                <w:b/>
                <w:bCs/>
                <w:color w:val="000000"/>
                <w:kern w:val="0"/>
                <w:szCs w:val="21"/>
                <w:lang w:bidi="ar"/>
              </w:rPr>
              <w:t>服务频次</w:t>
            </w:r>
          </w:p>
        </w:tc>
        <w:tc>
          <w:tcPr>
            <w:tcW w:w="2023" w:type="pct"/>
            <w:shd w:val="clear" w:color="auto" w:fill="auto"/>
            <w:vAlign w:val="center"/>
          </w:tcPr>
          <w:p>
            <w:pPr>
              <w:widowControl/>
              <w:jc w:val="center"/>
              <w:textAlignment w:val="center"/>
              <w:rPr>
                <w:rFonts w:ascii="宋体" w:hAnsi="宋体" w:eastAsia="宋体" w:cs="宋体"/>
                <w:b/>
                <w:bCs/>
                <w:color w:val="000000"/>
                <w:szCs w:val="21"/>
              </w:rPr>
            </w:pPr>
            <w:r>
              <w:rPr>
                <w:rFonts w:hint="eastAsia" w:ascii="宋体" w:hAnsi="宋体" w:eastAsia="宋体" w:cs="宋体"/>
                <w:b/>
                <w:bCs/>
                <w:color w:val="000000"/>
                <w:kern w:val="0"/>
                <w:szCs w:val="21"/>
                <w:lang w:bidi="ar"/>
              </w:rPr>
              <w:t>成果交付物</w:t>
            </w:r>
          </w:p>
        </w:tc>
        <w:tc>
          <w:tcPr>
            <w:tcW w:w="444" w:type="pct"/>
            <w:shd w:val="clear" w:color="auto" w:fill="auto"/>
            <w:vAlign w:val="center"/>
          </w:tcPr>
          <w:p>
            <w:pPr>
              <w:widowControl/>
              <w:jc w:val="center"/>
              <w:textAlignment w:val="center"/>
              <w:rPr>
                <w:rFonts w:ascii="宋体" w:hAnsi="宋体" w:eastAsia="宋体" w:cs="宋体"/>
                <w:b/>
                <w:bCs/>
                <w:color w:val="000000"/>
                <w:szCs w:val="21"/>
              </w:rPr>
            </w:pPr>
            <w:r>
              <w:rPr>
                <w:rFonts w:hint="eastAsia" w:ascii="宋体" w:hAnsi="宋体" w:eastAsia="宋体" w:cs="宋体"/>
                <w:b/>
                <w:bCs/>
                <w:color w:val="000000"/>
                <w:kern w:val="0"/>
                <w:szCs w:val="21"/>
                <w:lang w:bidi="ar"/>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4" w:hRule="atLeast"/>
        </w:trPr>
        <w:tc>
          <w:tcPr>
            <w:tcW w:w="398" w:type="pct"/>
            <w:shd w:val="clear" w:color="auto" w:fill="auto"/>
            <w:vAlign w:val="center"/>
          </w:tcPr>
          <w:p>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1</w:t>
            </w:r>
          </w:p>
        </w:tc>
        <w:tc>
          <w:tcPr>
            <w:tcW w:w="676" w:type="pct"/>
            <w:vMerge w:val="restart"/>
            <w:shd w:val="clear" w:color="auto" w:fill="auto"/>
            <w:vAlign w:val="center"/>
          </w:tcPr>
          <w:p>
            <w:pPr>
              <w:jc w:val="center"/>
              <w:rPr>
                <w:rFonts w:ascii="宋体" w:hAnsi="宋体" w:eastAsia="宋体" w:cs="宋体"/>
                <w:color w:val="000000"/>
                <w:szCs w:val="21"/>
              </w:rPr>
            </w:pPr>
            <w:r>
              <w:rPr>
                <w:rFonts w:hint="eastAsia" w:ascii="宋体" w:hAnsi="宋体" w:eastAsia="宋体" w:cs="宋体"/>
                <w:color w:val="000000"/>
                <w:szCs w:val="21"/>
              </w:rPr>
              <w:t>自治区应急管理厅应急指挥专网网络安全加固服务项目</w:t>
            </w:r>
          </w:p>
        </w:tc>
        <w:tc>
          <w:tcPr>
            <w:tcW w:w="767" w:type="pct"/>
            <w:shd w:val="clear" w:color="auto" w:fill="auto"/>
            <w:vAlign w:val="center"/>
          </w:tcPr>
          <w:p>
            <w:pPr>
              <w:widowControl/>
              <w:jc w:val="center"/>
              <w:textAlignment w:val="center"/>
              <w:rPr>
                <w:rFonts w:ascii="宋体" w:hAnsi="宋体" w:eastAsia="宋体" w:cs="宋体"/>
                <w:color w:val="000000"/>
                <w:kern w:val="0"/>
                <w:szCs w:val="21"/>
                <w:lang w:bidi="ar"/>
              </w:rPr>
            </w:pPr>
            <w:r>
              <w:rPr>
                <w:rFonts w:hint="eastAsia" w:ascii="宋体" w:hAnsi="宋体" w:eastAsia="宋体" w:cs="宋体"/>
                <w:bCs/>
                <w:color w:val="000000" w:themeColor="text1"/>
                <w:szCs w:val="21"/>
                <w14:textFill>
                  <w14:solidFill>
                    <w14:schemeClr w14:val="tx1"/>
                  </w14:solidFill>
                </w14:textFill>
              </w:rPr>
              <w:t>防火墙</w:t>
            </w:r>
          </w:p>
        </w:tc>
        <w:tc>
          <w:tcPr>
            <w:tcW w:w="690" w:type="pct"/>
            <w:shd w:val="clear" w:color="auto" w:fill="auto"/>
            <w:vAlign w:val="center"/>
          </w:tcPr>
          <w:p>
            <w:pPr>
              <w:widowControl/>
              <w:jc w:val="center"/>
              <w:textAlignment w:val="center"/>
              <w:rPr>
                <w:rFonts w:ascii="宋体" w:hAnsi="宋体" w:eastAsia="宋体" w:cs="宋体"/>
                <w:bCs/>
                <w:color w:val="000000" w:themeColor="text1"/>
                <w:szCs w:val="21"/>
                <w14:textFill>
                  <w14:solidFill>
                    <w14:schemeClr w14:val="tx1"/>
                  </w14:solidFill>
                </w14:textFill>
              </w:rPr>
            </w:pPr>
            <w:r>
              <w:rPr>
                <w:rFonts w:hint="eastAsia" w:ascii="宋体" w:hAnsi="宋体" w:eastAsia="宋体" w:cs="宋体"/>
                <w:bCs/>
                <w:color w:val="000000" w:themeColor="text1"/>
                <w:szCs w:val="21"/>
                <w14:textFill>
                  <w14:solidFill>
                    <w14:schemeClr w14:val="tx1"/>
                  </w14:solidFill>
                </w14:textFill>
              </w:rPr>
              <w:t>1次</w:t>
            </w:r>
          </w:p>
        </w:tc>
        <w:tc>
          <w:tcPr>
            <w:tcW w:w="2023" w:type="pct"/>
            <w:shd w:val="clear" w:color="auto" w:fill="auto"/>
            <w:vAlign w:val="center"/>
          </w:tcPr>
          <w:p>
            <w:pPr>
              <w:widowControl/>
              <w:jc w:val="left"/>
              <w:textAlignment w:val="center"/>
              <w:rPr>
                <w:rFonts w:ascii="宋体" w:hAnsi="宋体" w:eastAsia="宋体" w:cs="宋体"/>
                <w:szCs w:val="21"/>
              </w:rPr>
            </w:pPr>
            <w:r>
              <w:rPr>
                <w:rFonts w:hint="eastAsia" w:ascii="宋体" w:hAnsi="宋体" w:eastAsia="宋体" w:cs="宋体"/>
                <w:szCs w:val="21"/>
              </w:rPr>
              <w:t>提供《防火墙操作手册》；</w:t>
            </w:r>
          </w:p>
          <w:p>
            <w:pPr>
              <w:widowControl/>
              <w:jc w:val="left"/>
              <w:textAlignment w:val="center"/>
              <w:rPr>
                <w:rFonts w:ascii="宋体" w:hAnsi="宋体" w:eastAsia="宋体" w:cs="宋体"/>
                <w:szCs w:val="21"/>
              </w:rPr>
            </w:pPr>
            <w:r>
              <w:rPr>
                <w:rFonts w:hint="eastAsia" w:ascii="宋体" w:hAnsi="宋体" w:eastAsia="宋体" w:cs="宋体"/>
                <w:szCs w:val="21"/>
              </w:rPr>
              <w:t>完成防火墙设备的调测、试运行等相关工作。</w:t>
            </w:r>
          </w:p>
        </w:tc>
        <w:tc>
          <w:tcPr>
            <w:tcW w:w="444" w:type="pct"/>
            <w:shd w:val="clear" w:color="auto" w:fill="auto"/>
            <w:vAlign w:val="center"/>
          </w:tcPr>
          <w:p>
            <w:pPr>
              <w:jc w:val="center"/>
              <w:rPr>
                <w:rFonts w:ascii="宋体" w:hAnsi="宋体" w:eastAsia="宋体" w:cs="宋体"/>
                <w:b/>
                <w:bCs/>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7" w:hRule="atLeast"/>
        </w:trPr>
        <w:tc>
          <w:tcPr>
            <w:tcW w:w="398" w:type="pct"/>
            <w:shd w:val="clear" w:color="auto" w:fill="auto"/>
            <w:vAlign w:val="center"/>
          </w:tcPr>
          <w:p>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2</w:t>
            </w:r>
          </w:p>
        </w:tc>
        <w:tc>
          <w:tcPr>
            <w:tcW w:w="676" w:type="pct"/>
            <w:vMerge w:val="continue"/>
            <w:shd w:val="clear" w:color="auto" w:fill="auto"/>
            <w:vAlign w:val="center"/>
          </w:tcPr>
          <w:p>
            <w:pPr>
              <w:jc w:val="center"/>
              <w:rPr>
                <w:rFonts w:ascii="宋体" w:hAnsi="宋体" w:eastAsia="宋体" w:cs="宋体"/>
                <w:color w:val="000000"/>
                <w:szCs w:val="21"/>
              </w:rPr>
            </w:pPr>
          </w:p>
        </w:tc>
        <w:tc>
          <w:tcPr>
            <w:tcW w:w="767" w:type="pct"/>
            <w:shd w:val="clear" w:color="auto" w:fill="auto"/>
            <w:vAlign w:val="center"/>
          </w:tcPr>
          <w:p>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入侵防御</w:t>
            </w:r>
          </w:p>
        </w:tc>
        <w:tc>
          <w:tcPr>
            <w:tcW w:w="690" w:type="pct"/>
            <w:shd w:val="clear" w:color="auto" w:fill="auto"/>
            <w:vAlign w:val="center"/>
          </w:tcPr>
          <w:p>
            <w:pPr>
              <w:widowControl/>
              <w:jc w:val="center"/>
              <w:textAlignment w:val="center"/>
              <w:rPr>
                <w:rFonts w:ascii="宋体" w:hAnsi="宋体" w:eastAsia="宋体" w:cs="宋体"/>
                <w:color w:val="000000"/>
                <w:kern w:val="0"/>
                <w:szCs w:val="21"/>
                <w:lang w:bidi="ar"/>
              </w:rPr>
            </w:pPr>
            <w:r>
              <w:rPr>
                <w:rFonts w:hint="eastAsia" w:ascii="宋体" w:hAnsi="宋体" w:eastAsia="宋体" w:cs="宋体"/>
                <w:bCs/>
                <w:color w:val="000000" w:themeColor="text1"/>
                <w:szCs w:val="21"/>
                <w14:textFill>
                  <w14:solidFill>
                    <w14:schemeClr w14:val="tx1"/>
                  </w14:solidFill>
                </w14:textFill>
              </w:rPr>
              <w:t>1次</w:t>
            </w:r>
          </w:p>
        </w:tc>
        <w:tc>
          <w:tcPr>
            <w:tcW w:w="2023" w:type="pct"/>
            <w:shd w:val="clear" w:color="auto" w:fill="auto"/>
            <w:vAlign w:val="center"/>
          </w:tcPr>
          <w:p>
            <w:pPr>
              <w:widowControl/>
              <w:jc w:val="left"/>
              <w:textAlignment w:val="center"/>
              <w:rPr>
                <w:rFonts w:ascii="宋体" w:hAnsi="宋体" w:eastAsia="宋体" w:cs="宋体"/>
                <w:szCs w:val="21"/>
              </w:rPr>
            </w:pPr>
            <w:r>
              <w:rPr>
                <w:rFonts w:hint="eastAsia" w:ascii="宋体" w:hAnsi="宋体" w:eastAsia="宋体" w:cs="宋体"/>
                <w:szCs w:val="21"/>
              </w:rPr>
              <w:t>提供《</w:t>
            </w:r>
            <w:r>
              <w:rPr>
                <w:rFonts w:hint="eastAsia" w:ascii="宋体" w:hAnsi="宋体" w:eastAsia="宋体" w:cs="宋体"/>
                <w:color w:val="000000"/>
                <w:kern w:val="0"/>
                <w:szCs w:val="21"/>
                <w:lang w:bidi="ar"/>
              </w:rPr>
              <w:t>入侵防御操</w:t>
            </w:r>
            <w:r>
              <w:rPr>
                <w:rFonts w:hint="eastAsia" w:ascii="宋体" w:hAnsi="宋体" w:eastAsia="宋体" w:cs="宋体"/>
                <w:szCs w:val="21"/>
              </w:rPr>
              <w:t>作手册》；</w:t>
            </w:r>
          </w:p>
          <w:p>
            <w:pPr>
              <w:widowControl/>
              <w:jc w:val="left"/>
              <w:textAlignment w:val="center"/>
              <w:rPr>
                <w:rFonts w:ascii="宋体" w:hAnsi="宋体" w:eastAsia="宋体" w:cs="宋体"/>
                <w:szCs w:val="21"/>
              </w:rPr>
            </w:pPr>
            <w:r>
              <w:rPr>
                <w:rFonts w:hint="eastAsia" w:ascii="宋体" w:hAnsi="宋体" w:eastAsia="宋体" w:cs="宋体"/>
                <w:szCs w:val="21"/>
              </w:rPr>
              <w:t>完成</w:t>
            </w:r>
            <w:r>
              <w:rPr>
                <w:rFonts w:hint="eastAsia" w:ascii="宋体" w:hAnsi="宋体" w:eastAsia="宋体" w:cs="宋体"/>
                <w:color w:val="000000"/>
                <w:kern w:val="0"/>
                <w:szCs w:val="21"/>
                <w:lang w:bidi="ar"/>
              </w:rPr>
              <w:t>入侵防御</w:t>
            </w:r>
            <w:r>
              <w:rPr>
                <w:rFonts w:hint="eastAsia" w:ascii="宋体" w:hAnsi="宋体" w:eastAsia="宋体" w:cs="宋体"/>
                <w:szCs w:val="21"/>
              </w:rPr>
              <w:t>设备的调测、试运行等相关工作。</w:t>
            </w:r>
          </w:p>
        </w:tc>
        <w:tc>
          <w:tcPr>
            <w:tcW w:w="444" w:type="pct"/>
            <w:shd w:val="clear" w:color="auto" w:fill="auto"/>
            <w:vAlign w:val="center"/>
          </w:tcPr>
          <w:p>
            <w:pPr>
              <w:jc w:val="center"/>
              <w:rPr>
                <w:rFonts w:ascii="宋体" w:hAnsi="宋体" w:eastAsia="宋体" w:cs="宋体"/>
                <w:b/>
                <w:bCs/>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4" w:hRule="atLeast"/>
        </w:trPr>
        <w:tc>
          <w:tcPr>
            <w:tcW w:w="398" w:type="pct"/>
            <w:shd w:val="clear" w:color="auto" w:fill="auto"/>
            <w:vAlign w:val="center"/>
          </w:tcPr>
          <w:p>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3</w:t>
            </w:r>
          </w:p>
        </w:tc>
        <w:tc>
          <w:tcPr>
            <w:tcW w:w="676" w:type="pct"/>
            <w:vMerge w:val="continue"/>
            <w:shd w:val="clear" w:color="auto" w:fill="auto"/>
            <w:vAlign w:val="center"/>
          </w:tcPr>
          <w:p>
            <w:pPr>
              <w:jc w:val="center"/>
              <w:rPr>
                <w:rFonts w:ascii="宋体" w:hAnsi="宋体" w:eastAsia="宋体" w:cs="宋体"/>
                <w:color w:val="000000"/>
                <w:szCs w:val="21"/>
              </w:rPr>
            </w:pPr>
          </w:p>
        </w:tc>
        <w:tc>
          <w:tcPr>
            <w:tcW w:w="767" w:type="pct"/>
            <w:shd w:val="clear" w:color="auto" w:fill="auto"/>
            <w:vAlign w:val="center"/>
          </w:tcPr>
          <w:p>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探针</w:t>
            </w:r>
          </w:p>
        </w:tc>
        <w:tc>
          <w:tcPr>
            <w:tcW w:w="690" w:type="pct"/>
            <w:shd w:val="clear" w:color="auto" w:fill="auto"/>
            <w:vAlign w:val="center"/>
          </w:tcPr>
          <w:p>
            <w:pPr>
              <w:widowControl/>
              <w:jc w:val="center"/>
              <w:textAlignment w:val="center"/>
              <w:rPr>
                <w:rFonts w:ascii="宋体" w:hAnsi="宋体" w:eastAsia="宋体" w:cs="宋体"/>
                <w:color w:val="000000"/>
                <w:kern w:val="0"/>
                <w:szCs w:val="21"/>
                <w:lang w:bidi="ar"/>
              </w:rPr>
            </w:pPr>
            <w:r>
              <w:rPr>
                <w:rFonts w:hint="eastAsia" w:ascii="宋体" w:hAnsi="宋体" w:eastAsia="宋体" w:cs="宋体"/>
                <w:bCs/>
                <w:color w:val="000000" w:themeColor="text1"/>
                <w:szCs w:val="21"/>
                <w14:textFill>
                  <w14:solidFill>
                    <w14:schemeClr w14:val="tx1"/>
                  </w14:solidFill>
                </w14:textFill>
              </w:rPr>
              <w:t>1次</w:t>
            </w:r>
          </w:p>
        </w:tc>
        <w:tc>
          <w:tcPr>
            <w:tcW w:w="2023" w:type="pct"/>
            <w:shd w:val="clear" w:color="auto" w:fill="auto"/>
            <w:vAlign w:val="center"/>
          </w:tcPr>
          <w:p>
            <w:pPr>
              <w:widowControl/>
              <w:jc w:val="left"/>
              <w:textAlignment w:val="center"/>
              <w:rPr>
                <w:rFonts w:ascii="宋体" w:hAnsi="宋体" w:eastAsia="宋体" w:cs="宋体"/>
                <w:szCs w:val="21"/>
              </w:rPr>
            </w:pPr>
            <w:r>
              <w:rPr>
                <w:rFonts w:hint="eastAsia" w:ascii="宋体" w:hAnsi="宋体" w:eastAsia="宋体" w:cs="宋体"/>
                <w:szCs w:val="21"/>
              </w:rPr>
              <w:t>提供《</w:t>
            </w:r>
            <w:r>
              <w:rPr>
                <w:rFonts w:hint="eastAsia" w:ascii="宋体" w:hAnsi="宋体" w:eastAsia="宋体" w:cs="宋体"/>
                <w:color w:val="000000"/>
                <w:kern w:val="0"/>
                <w:szCs w:val="21"/>
                <w:lang w:bidi="ar"/>
              </w:rPr>
              <w:t>探针操</w:t>
            </w:r>
            <w:r>
              <w:rPr>
                <w:rFonts w:hint="eastAsia" w:ascii="宋体" w:hAnsi="宋体" w:eastAsia="宋体" w:cs="宋体"/>
                <w:szCs w:val="21"/>
              </w:rPr>
              <w:t>作手册》；</w:t>
            </w:r>
          </w:p>
          <w:p>
            <w:pPr>
              <w:widowControl/>
              <w:jc w:val="left"/>
              <w:textAlignment w:val="center"/>
              <w:rPr>
                <w:rFonts w:ascii="宋体" w:hAnsi="宋体" w:eastAsia="宋体" w:cs="宋体"/>
                <w:szCs w:val="21"/>
              </w:rPr>
            </w:pPr>
            <w:r>
              <w:rPr>
                <w:rFonts w:hint="eastAsia" w:ascii="宋体" w:hAnsi="宋体" w:eastAsia="宋体" w:cs="宋体"/>
                <w:szCs w:val="21"/>
              </w:rPr>
              <w:t>完成</w:t>
            </w:r>
            <w:r>
              <w:rPr>
                <w:rFonts w:hint="eastAsia" w:ascii="宋体" w:hAnsi="宋体" w:eastAsia="宋体" w:cs="宋体"/>
                <w:color w:val="000000"/>
                <w:kern w:val="0"/>
                <w:szCs w:val="21"/>
                <w:lang w:bidi="ar"/>
              </w:rPr>
              <w:t>探针</w:t>
            </w:r>
            <w:r>
              <w:rPr>
                <w:rFonts w:hint="eastAsia" w:ascii="宋体" w:hAnsi="宋体" w:eastAsia="宋体" w:cs="宋体"/>
                <w:szCs w:val="21"/>
              </w:rPr>
              <w:t>设备的调测、试运行等相关工作。</w:t>
            </w:r>
          </w:p>
        </w:tc>
        <w:tc>
          <w:tcPr>
            <w:tcW w:w="444" w:type="pct"/>
            <w:shd w:val="clear" w:color="auto" w:fill="auto"/>
            <w:vAlign w:val="center"/>
          </w:tcPr>
          <w:p>
            <w:pPr>
              <w:jc w:val="center"/>
              <w:rPr>
                <w:rFonts w:ascii="宋体" w:hAnsi="宋体" w:eastAsia="宋体" w:cs="宋体"/>
                <w:b/>
                <w:bCs/>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trPr>
        <w:tc>
          <w:tcPr>
            <w:tcW w:w="398" w:type="pct"/>
            <w:shd w:val="clear" w:color="auto" w:fill="auto"/>
            <w:vAlign w:val="center"/>
          </w:tcPr>
          <w:p>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4</w:t>
            </w:r>
          </w:p>
        </w:tc>
        <w:tc>
          <w:tcPr>
            <w:tcW w:w="676" w:type="pct"/>
            <w:vMerge w:val="continue"/>
            <w:shd w:val="clear" w:color="auto" w:fill="auto"/>
            <w:vAlign w:val="center"/>
          </w:tcPr>
          <w:p>
            <w:pPr>
              <w:jc w:val="center"/>
              <w:rPr>
                <w:rFonts w:ascii="宋体" w:hAnsi="宋体" w:eastAsia="宋体" w:cs="宋体"/>
                <w:color w:val="000000"/>
                <w:szCs w:val="21"/>
              </w:rPr>
            </w:pPr>
          </w:p>
        </w:tc>
        <w:tc>
          <w:tcPr>
            <w:tcW w:w="767" w:type="pct"/>
            <w:shd w:val="clear" w:color="auto" w:fill="auto"/>
            <w:vAlign w:val="center"/>
          </w:tcPr>
          <w:p>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日志审计</w:t>
            </w:r>
          </w:p>
        </w:tc>
        <w:tc>
          <w:tcPr>
            <w:tcW w:w="690" w:type="pct"/>
            <w:shd w:val="clear" w:color="auto" w:fill="auto"/>
            <w:vAlign w:val="center"/>
          </w:tcPr>
          <w:p>
            <w:pPr>
              <w:widowControl/>
              <w:jc w:val="center"/>
              <w:textAlignment w:val="center"/>
              <w:rPr>
                <w:rFonts w:ascii="宋体" w:hAnsi="宋体" w:eastAsia="宋体" w:cs="宋体"/>
                <w:color w:val="000000"/>
                <w:kern w:val="0"/>
                <w:szCs w:val="21"/>
                <w:lang w:bidi="ar"/>
              </w:rPr>
            </w:pPr>
            <w:r>
              <w:rPr>
                <w:rFonts w:hint="eastAsia" w:ascii="宋体" w:hAnsi="宋体" w:eastAsia="宋体" w:cs="宋体"/>
                <w:bCs/>
                <w:color w:val="000000" w:themeColor="text1"/>
                <w:szCs w:val="21"/>
                <w14:textFill>
                  <w14:solidFill>
                    <w14:schemeClr w14:val="tx1"/>
                  </w14:solidFill>
                </w14:textFill>
              </w:rPr>
              <w:t>1次</w:t>
            </w:r>
          </w:p>
        </w:tc>
        <w:tc>
          <w:tcPr>
            <w:tcW w:w="2023" w:type="pct"/>
            <w:shd w:val="clear" w:color="auto" w:fill="auto"/>
            <w:vAlign w:val="center"/>
          </w:tcPr>
          <w:p>
            <w:pPr>
              <w:widowControl/>
              <w:jc w:val="left"/>
              <w:textAlignment w:val="center"/>
              <w:rPr>
                <w:rFonts w:ascii="宋体" w:hAnsi="宋体" w:eastAsia="宋体" w:cs="宋体"/>
                <w:szCs w:val="21"/>
              </w:rPr>
            </w:pPr>
            <w:r>
              <w:rPr>
                <w:rFonts w:hint="eastAsia" w:ascii="宋体" w:hAnsi="宋体" w:eastAsia="宋体" w:cs="宋体"/>
                <w:szCs w:val="21"/>
              </w:rPr>
              <w:t>提供《</w:t>
            </w:r>
            <w:r>
              <w:rPr>
                <w:rFonts w:hint="eastAsia" w:ascii="宋体" w:hAnsi="宋体" w:eastAsia="宋体" w:cs="宋体"/>
                <w:color w:val="000000"/>
                <w:kern w:val="0"/>
                <w:szCs w:val="21"/>
                <w:lang w:bidi="ar"/>
              </w:rPr>
              <w:t>日志审计操</w:t>
            </w:r>
            <w:r>
              <w:rPr>
                <w:rFonts w:hint="eastAsia" w:ascii="宋体" w:hAnsi="宋体" w:eastAsia="宋体" w:cs="宋体"/>
                <w:szCs w:val="21"/>
              </w:rPr>
              <w:t>作手册》；</w:t>
            </w:r>
          </w:p>
          <w:p>
            <w:pPr>
              <w:widowControl/>
              <w:jc w:val="left"/>
              <w:textAlignment w:val="center"/>
              <w:rPr>
                <w:rFonts w:ascii="宋体" w:hAnsi="宋体" w:eastAsia="宋体" w:cs="宋体"/>
                <w:szCs w:val="21"/>
              </w:rPr>
            </w:pPr>
            <w:r>
              <w:rPr>
                <w:rFonts w:hint="eastAsia" w:ascii="宋体" w:hAnsi="宋体" w:eastAsia="宋体" w:cs="宋体"/>
                <w:szCs w:val="21"/>
              </w:rPr>
              <w:t>完成</w:t>
            </w:r>
            <w:r>
              <w:rPr>
                <w:rFonts w:hint="eastAsia" w:ascii="宋体" w:hAnsi="宋体" w:eastAsia="宋体" w:cs="宋体"/>
                <w:color w:val="000000"/>
                <w:kern w:val="0"/>
                <w:szCs w:val="21"/>
                <w:lang w:bidi="ar"/>
              </w:rPr>
              <w:t>日志审计</w:t>
            </w:r>
            <w:r>
              <w:rPr>
                <w:rFonts w:hint="eastAsia" w:ascii="宋体" w:hAnsi="宋体" w:eastAsia="宋体" w:cs="宋体"/>
                <w:szCs w:val="21"/>
              </w:rPr>
              <w:t>设备的调测、试运行等相关工作。</w:t>
            </w:r>
          </w:p>
        </w:tc>
        <w:tc>
          <w:tcPr>
            <w:tcW w:w="444" w:type="pct"/>
            <w:shd w:val="clear" w:color="auto" w:fill="auto"/>
            <w:vAlign w:val="center"/>
          </w:tcPr>
          <w:p>
            <w:pPr>
              <w:jc w:val="center"/>
              <w:rPr>
                <w:rFonts w:ascii="宋体" w:hAnsi="宋体" w:eastAsia="宋体" w:cs="宋体"/>
                <w:b/>
                <w:bCs/>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trPr>
        <w:tc>
          <w:tcPr>
            <w:tcW w:w="398" w:type="pct"/>
            <w:shd w:val="clear" w:color="auto" w:fill="auto"/>
            <w:vAlign w:val="center"/>
          </w:tcPr>
          <w:p>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5</w:t>
            </w:r>
          </w:p>
        </w:tc>
        <w:tc>
          <w:tcPr>
            <w:tcW w:w="676" w:type="pct"/>
            <w:vMerge w:val="continue"/>
            <w:shd w:val="clear" w:color="auto" w:fill="auto"/>
            <w:vAlign w:val="center"/>
          </w:tcPr>
          <w:p>
            <w:pPr>
              <w:jc w:val="center"/>
              <w:rPr>
                <w:rFonts w:ascii="宋体" w:hAnsi="宋体" w:eastAsia="宋体" w:cs="宋体"/>
                <w:color w:val="000000"/>
                <w:szCs w:val="21"/>
              </w:rPr>
            </w:pPr>
          </w:p>
        </w:tc>
        <w:tc>
          <w:tcPr>
            <w:tcW w:w="767" w:type="pct"/>
            <w:shd w:val="clear" w:color="auto" w:fill="auto"/>
            <w:vAlign w:val="center"/>
          </w:tcPr>
          <w:p>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数据库审计</w:t>
            </w:r>
          </w:p>
        </w:tc>
        <w:tc>
          <w:tcPr>
            <w:tcW w:w="690" w:type="pct"/>
            <w:shd w:val="clear" w:color="auto" w:fill="auto"/>
            <w:vAlign w:val="center"/>
          </w:tcPr>
          <w:p>
            <w:pPr>
              <w:widowControl/>
              <w:jc w:val="center"/>
              <w:textAlignment w:val="center"/>
              <w:rPr>
                <w:rFonts w:ascii="宋体" w:hAnsi="宋体" w:eastAsia="宋体" w:cs="宋体"/>
                <w:color w:val="000000"/>
                <w:kern w:val="0"/>
                <w:szCs w:val="21"/>
                <w:lang w:bidi="ar"/>
              </w:rPr>
            </w:pPr>
            <w:r>
              <w:rPr>
                <w:rFonts w:hint="eastAsia" w:ascii="宋体" w:hAnsi="宋体" w:eastAsia="宋体" w:cs="宋体"/>
                <w:bCs/>
                <w:color w:val="000000" w:themeColor="text1"/>
                <w:szCs w:val="21"/>
                <w14:textFill>
                  <w14:solidFill>
                    <w14:schemeClr w14:val="tx1"/>
                  </w14:solidFill>
                </w14:textFill>
              </w:rPr>
              <w:t>1次</w:t>
            </w:r>
          </w:p>
        </w:tc>
        <w:tc>
          <w:tcPr>
            <w:tcW w:w="2023" w:type="pct"/>
            <w:shd w:val="clear" w:color="auto" w:fill="auto"/>
            <w:vAlign w:val="center"/>
          </w:tcPr>
          <w:p>
            <w:pPr>
              <w:widowControl/>
              <w:jc w:val="left"/>
              <w:textAlignment w:val="center"/>
              <w:rPr>
                <w:rFonts w:ascii="宋体" w:hAnsi="宋体" w:eastAsia="宋体" w:cs="宋体"/>
                <w:szCs w:val="21"/>
              </w:rPr>
            </w:pPr>
            <w:r>
              <w:rPr>
                <w:rFonts w:hint="eastAsia" w:ascii="宋体" w:hAnsi="宋体" w:eastAsia="宋体" w:cs="宋体"/>
                <w:szCs w:val="21"/>
              </w:rPr>
              <w:t>提供《</w:t>
            </w:r>
            <w:r>
              <w:rPr>
                <w:rFonts w:hint="eastAsia" w:ascii="宋体" w:hAnsi="宋体" w:eastAsia="宋体" w:cs="宋体"/>
                <w:color w:val="000000"/>
                <w:kern w:val="0"/>
                <w:szCs w:val="21"/>
                <w:lang w:bidi="ar"/>
              </w:rPr>
              <w:t>数据库审计操</w:t>
            </w:r>
            <w:r>
              <w:rPr>
                <w:rFonts w:hint="eastAsia" w:ascii="宋体" w:hAnsi="宋体" w:eastAsia="宋体" w:cs="宋体"/>
                <w:szCs w:val="21"/>
              </w:rPr>
              <w:t>作手册》；</w:t>
            </w:r>
          </w:p>
          <w:p>
            <w:pPr>
              <w:widowControl/>
              <w:jc w:val="left"/>
              <w:textAlignment w:val="center"/>
              <w:rPr>
                <w:rFonts w:ascii="宋体" w:hAnsi="宋体" w:eastAsia="宋体" w:cs="宋体"/>
                <w:szCs w:val="21"/>
              </w:rPr>
            </w:pPr>
            <w:r>
              <w:rPr>
                <w:rFonts w:hint="eastAsia" w:ascii="宋体" w:hAnsi="宋体" w:eastAsia="宋体" w:cs="宋体"/>
                <w:szCs w:val="21"/>
              </w:rPr>
              <w:t>完成</w:t>
            </w:r>
            <w:r>
              <w:rPr>
                <w:rFonts w:hint="eastAsia" w:ascii="宋体" w:hAnsi="宋体" w:eastAsia="宋体" w:cs="宋体"/>
                <w:color w:val="000000"/>
                <w:kern w:val="0"/>
                <w:szCs w:val="21"/>
                <w:lang w:bidi="ar"/>
              </w:rPr>
              <w:t>数据库审计</w:t>
            </w:r>
            <w:r>
              <w:rPr>
                <w:rFonts w:hint="eastAsia" w:ascii="宋体" w:hAnsi="宋体" w:eastAsia="宋体" w:cs="宋体"/>
                <w:szCs w:val="21"/>
              </w:rPr>
              <w:t>设备的调测、试运行等相关工作。</w:t>
            </w:r>
          </w:p>
        </w:tc>
        <w:tc>
          <w:tcPr>
            <w:tcW w:w="444" w:type="pct"/>
            <w:shd w:val="clear" w:color="auto" w:fill="auto"/>
            <w:vAlign w:val="center"/>
          </w:tcPr>
          <w:p>
            <w:pPr>
              <w:jc w:val="center"/>
              <w:rPr>
                <w:rFonts w:ascii="宋体" w:hAnsi="宋体" w:eastAsia="宋体" w:cs="宋体"/>
                <w:b/>
                <w:bCs/>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4" w:hRule="atLeast"/>
        </w:trPr>
        <w:tc>
          <w:tcPr>
            <w:tcW w:w="398" w:type="pct"/>
            <w:shd w:val="clear" w:color="auto" w:fill="auto"/>
            <w:vAlign w:val="center"/>
          </w:tcPr>
          <w:p>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6</w:t>
            </w:r>
          </w:p>
        </w:tc>
        <w:tc>
          <w:tcPr>
            <w:tcW w:w="676" w:type="pct"/>
            <w:vMerge w:val="continue"/>
            <w:shd w:val="clear" w:color="auto" w:fill="auto"/>
            <w:vAlign w:val="center"/>
          </w:tcPr>
          <w:p>
            <w:pPr>
              <w:jc w:val="center"/>
              <w:rPr>
                <w:rFonts w:ascii="宋体" w:hAnsi="宋体" w:eastAsia="宋体" w:cs="宋体"/>
                <w:color w:val="000000"/>
                <w:szCs w:val="21"/>
              </w:rPr>
            </w:pPr>
          </w:p>
        </w:tc>
        <w:tc>
          <w:tcPr>
            <w:tcW w:w="767" w:type="pct"/>
            <w:shd w:val="clear" w:color="auto" w:fill="auto"/>
            <w:vAlign w:val="center"/>
          </w:tcPr>
          <w:p>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基线核查</w:t>
            </w:r>
          </w:p>
        </w:tc>
        <w:tc>
          <w:tcPr>
            <w:tcW w:w="690" w:type="pct"/>
            <w:shd w:val="clear" w:color="auto" w:fill="auto"/>
            <w:vAlign w:val="center"/>
          </w:tcPr>
          <w:p>
            <w:pPr>
              <w:widowControl/>
              <w:jc w:val="center"/>
              <w:textAlignment w:val="center"/>
              <w:rPr>
                <w:rFonts w:ascii="宋体" w:hAnsi="宋体" w:eastAsia="宋体" w:cs="宋体"/>
                <w:color w:val="000000"/>
                <w:kern w:val="0"/>
                <w:szCs w:val="21"/>
                <w:lang w:bidi="ar"/>
              </w:rPr>
            </w:pPr>
            <w:r>
              <w:rPr>
                <w:rFonts w:hint="eastAsia" w:ascii="宋体" w:hAnsi="宋体" w:eastAsia="宋体" w:cs="宋体"/>
                <w:bCs/>
                <w:color w:val="000000" w:themeColor="text1"/>
                <w:szCs w:val="21"/>
                <w14:textFill>
                  <w14:solidFill>
                    <w14:schemeClr w14:val="tx1"/>
                  </w14:solidFill>
                </w14:textFill>
              </w:rPr>
              <w:t>1次</w:t>
            </w:r>
          </w:p>
        </w:tc>
        <w:tc>
          <w:tcPr>
            <w:tcW w:w="2023" w:type="pct"/>
            <w:shd w:val="clear" w:color="auto" w:fill="auto"/>
            <w:vAlign w:val="center"/>
          </w:tcPr>
          <w:p>
            <w:pPr>
              <w:widowControl/>
              <w:jc w:val="left"/>
              <w:textAlignment w:val="center"/>
              <w:rPr>
                <w:rFonts w:ascii="宋体" w:hAnsi="宋体" w:eastAsia="宋体" w:cs="宋体"/>
                <w:szCs w:val="21"/>
              </w:rPr>
            </w:pPr>
            <w:r>
              <w:rPr>
                <w:rFonts w:hint="eastAsia" w:ascii="宋体" w:hAnsi="宋体" w:eastAsia="宋体" w:cs="宋体"/>
                <w:szCs w:val="21"/>
              </w:rPr>
              <w:t>提供《</w:t>
            </w:r>
            <w:r>
              <w:rPr>
                <w:rFonts w:hint="eastAsia" w:ascii="宋体" w:hAnsi="宋体" w:eastAsia="宋体" w:cs="宋体"/>
                <w:color w:val="000000"/>
                <w:kern w:val="0"/>
                <w:szCs w:val="21"/>
                <w:lang w:bidi="ar"/>
              </w:rPr>
              <w:t>基线核查操</w:t>
            </w:r>
            <w:r>
              <w:rPr>
                <w:rFonts w:hint="eastAsia" w:ascii="宋体" w:hAnsi="宋体" w:eastAsia="宋体" w:cs="宋体"/>
                <w:szCs w:val="21"/>
              </w:rPr>
              <w:t>作手册》；</w:t>
            </w:r>
          </w:p>
          <w:p>
            <w:pPr>
              <w:widowControl/>
              <w:jc w:val="left"/>
              <w:textAlignment w:val="center"/>
              <w:rPr>
                <w:rFonts w:ascii="宋体" w:hAnsi="宋体" w:eastAsia="宋体" w:cs="宋体"/>
                <w:szCs w:val="21"/>
              </w:rPr>
            </w:pPr>
            <w:r>
              <w:rPr>
                <w:rFonts w:hint="eastAsia" w:ascii="宋体" w:hAnsi="宋体" w:eastAsia="宋体" w:cs="宋体"/>
                <w:szCs w:val="21"/>
              </w:rPr>
              <w:t>完成</w:t>
            </w:r>
            <w:r>
              <w:rPr>
                <w:rFonts w:hint="eastAsia" w:ascii="宋体" w:hAnsi="宋体" w:eastAsia="宋体" w:cs="宋体"/>
                <w:color w:val="000000"/>
                <w:kern w:val="0"/>
                <w:szCs w:val="21"/>
                <w:lang w:bidi="ar"/>
              </w:rPr>
              <w:t>基线核查</w:t>
            </w:r>
            <w:r>
              <w:rPr>
                <w:rFonts w:hint="eastAsia" w:ascii="宋体" w:hAnsi="宋体" w:eastAsia="宋体" w:cs="宋体"/>
                <w:szCs w:val="21"/>
              </w:rPr>
              <w:t>设备的调测、试运行等相关工作。</w:t>
            </w:r>
          </w:p>
        </w:tc>
        <w:tc>
          <w:tcPr>
            <w:tcW w:w="444" w:type="pct"/>
            <w:shd w:val="clear" w:color="auto" w:fill="auto"/>
            <w:vAlign w:val="center"/>
          </w:tcPr>
          <w:p>
            <w:pPr>
              <w:jc w:val="center"/>
              <w:rPr>
                <w:rFonts w:ascii="宋体" w:hAnsi="宋体" w:eastAsia="宋体" w:cs="宋体"/>
                <w:b/>
                <w:bCs/>
                <w:color w:val="000000"/>
                <w:szCs w:val="21"/>
              </w:rPr>
            </w:pPr>
          </w:p>
        </w:tc>
      </w:tr>
    </w:tbl>
    <w:p>
      <w:pPr>
        <w:pStyle w:val="37"/>
        <w:spacing w:after="0"/>
        <w:ind w:firstLine="0" w:firstLineChars="0"/>
        <w:rPr>
          <w:rFonts w:ascii="宋体" w:hAnsi="宋体" w:eastAsia="宋体" w:cs="宋体"/>
          <w:b/>
          <w:color w:val="000000" w:themeColor="text1"/>
          <w:sz w:val="24"/>
          <w:szCs w:val="24"/>
          <w14:textFill>
            <w14:solidFill>
              <w14:schemeClr w14:val="tx1"/>
            </w14:solidFill>
          </w14:textFill>
        </w:rPr>
      </w:pPr>
    </w:p>
    <w:p>
      <w:pPr>
        <w:numPr>
          <w:ilvl w:val="0"/>
          <w:numId w:val="3"/>
        </w:numPr>
        <w:tabs>
          <w:tab w:val="center" w:pos="4832"/>
          <w:tab w:val="left" w:pos="7140"/>
        </w:tabs>
        <w:spacing w:line="360" w:lineRule="auto"/>
        <w:outlineLvl w:val="2"/>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其他服务需求</w:t>
      </w:r>
    </w:p>
    <w:p>
      <w:pPr>
        <w:tabs>
          <w:tab w:val="center" w:pos="4832"/>
          <w:tab w:val="left" w:pos="7140"/>
        </w:tabs>
        <w:spacing w:line="360" w:lineRule="auto"/>
        <w:jc w:val="left"/>
        <w:outlineLvl w:val="2"/>
        <w:rPr>
          <w:rFonts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3.1服务总体要求</w:t>
      </w:r>
    </w:p>
    <w:p>
      <w:pPr>
        <w:spacing w:line="360" w:lineRule="auto"/>
        <w:ind w:firstLine="480" w:firstLineChars="200"/>
      </w:pPr>
      <w:r>
        <w:rPr>
          <w:rFonts w:hint="eastAsia" w:asciiTheme="minorEastAsia" w:hAnsiTheme="minorEastAsia" w:cstheme="minorEastAsia"/>
          <w:sz w:val="24"/>
          <w:szCs w:val="28"/>
        </w:rPr>
        <w:t>本项目主要以服务形式提供，提供的服务主要是满足自治区应急管理厅应急指挥专网运行环境，搭建网络安全监测通报预警机制，开展漏洞扫描、基线核查巡查巡检服务、安全规划咨询服务、网络安全审计服务，配备相应的网络安全设备等内容，</w:t>
      </w:r>
      <w:r>
        <w:rPr>
          <w:rFonts w:hint="eastAsia" w:asciiTheme="minorEastAsia" w:hAnsiTheme="minorEastAsia" w:cstheme="minorEastAsia"/>
          <w:b/>
          <w:bCs/>
          <w:sz w:val="24"/>
          <w:szCs w:val="28"/>
          <w:u w:val="single"/>
        </w:rPr>
        <w:t>同时提供</w:t>
      </w:r>
      <w:r>
        <w:rPr>
          <w:rFonts w:asciiTheme="minorEastAsia" w:hAnsiTheme="minorEastAsia" w:cstheme="minorEastAsia"/>
          <w:b/>
          <w:bCs/>
          <w:sz w:val="24"/>
          <w:szCs w:val="28"/>
          <w:u w:val="single"/>
        </w:rPr>
        <w:t>1</w:t>
      </w:r>
      <w:r>
        <w:rPr>
          <w:rFonts w:hint="eastAsia" w:asciiTheme="minorEastAsia" w:hAnsiTheme="minorEastAsia" w:cstheme="minorEastAsia"/>
          <w:b/>
          <w:bCs/>
          <w:sz w:val="24"/>
          <w:szCs w:val="28"/>
          <w:u w:val="single"/>
        </w:rPr>
        <w:t>项网络视频会议业务测试服务1项，服务期限1年</w:t>
      </w:r>
      <w:r>
        <w:rPr>
          <w:rFonts w:hint="eastAsia" w:asciiTheme="minorEastAsia" w:hAnsiTheme="minorEastAsia" w:cstheme="minorEastAsia"/>
          <w:sz w:val="24"/>
          <w:szCs w:val="28"/>
        </w:rPr>
        <w:t>。供应商应提供满足本项目服务目标的详细服务方案，方案内容包含但不限于服务目标、服务内容、服务方式、服务管理、服务团队及人员安排、服务质量保障措施、安全保密措施等。投标方案应坚持问题导向、目标导向和结果导向，逻辑合理、内容详实，具备可行性。工作方案与内容相适应，方法恰当，可行性强，能保证工作顺利、有序、高质量完成。</w:t>
      </w:r>
    </w:p>
    <w:p>
      <w:pPr>
        <w:tabs>
          <w:tab w:val="center" w:pos="4832"/>
          <w:tab w:val="left" w:pos="7140"/>
        </w:tabs>
        <w:spacing w:line="360" w:lineRule="auto"/>
        <w:jc w:val="left"/>
        <w:outlineLvl w:val="2"/>
        <w:rPr>
          <w:rFonts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3.2交付周期需求</w:t>
      </w:r>
    </w:p>
    <w:p>
      <w:pPr>
        <w:spacing w:line="360" w:lineRule="auto"/>
        <w:ind w:firstLine="480" w:firstLineChars="200"/>
        <w:rPr>
          <w:rFonts w:asciiTheme="minorEastAsia" w:hAnsiTheme="minorEastAsia" w:cstheme="minorEastAsia"/>
          <w:sz w:val="24"/>
          <w:szCs w:val="28"/>
        </w:rPr>
      </w:pPr>
      <w:r>
        <w:rPr>
          <w:rFonts w:hint="eastAsia" w:asciiTheme="minorEastAsia" w:hAnsiTheme="minorEastAsia" w:cstheme="minorEastAsia"/>
          <w:sz w:val="24"/>
          <w:szCs w:val="28"/>
        </w:rPr>
        <w:t>本项目软硬件部分要求在合同签订后的60个日历日内完成全部建设工作，保证本工程按期完成。投标方必须出具原厂的供货产品、供货周期承诺。</w:t>
      </w:r>
    </w:p>
    <w:p>
      <w:pPr>
        <w:spacing w:line="360" w:lineRule="auto"/>
        <w:ind w:firstLine="480" w:firstLineChars="200"/>
        <w:rPr>
          <w:rFonts w:asciiTheme="minorEastAsia" w:hAnsiTheme="minorEastAsia" w:cstheme="minorEastAsia"/>
          <w:sz w:val="24"/>
          <w:szCs w:val="28"/>
        </w:rPr>
      </w:pPr>
      <w:r>
        <w:rPr>
          <w:rFonts w:hint="eastAsia" w:asciiTheme="minorEastAsia" w:hAnsiTheme="minorEastAsia" w:cstheme="minorEastAsia"/>
          <w:sz w:val="24"/>
          <w:szCs w:val="28"/>
        </w:rPr>
        <w:t>在工程实施全过程中，招标方有对工程质量进行监督控制的职责和权利，中标方应按照项目管理要求进行严格的质量控制，并制定详细合理的沟通计划，至少包括周报、月报和项目例会，应确保双方能及时了解所需的信息。</w:t>
      </w:r>
    </w:p>
    <w:p>
      <w:pPr>
        <w:tabs>
          <w:tab w:val="center" w:pos="4832"/>
          <w:tab w:val="left" w:pos="7140"/>
        </w:tabs>
        <w:spacing w:line="360" w:lineRule="auto"/>
        <w:jc w:val="left"/>
        <w:outlineLvl w:val="2"/>
        <w:rPr>
          <w:rFonts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3.3售后服务需求</w:t>
      </w:r>
    </w:p>
    <w:p>
      <w:pPr>
        <w:numPr>
          <w:ilvl w:val="0"/>
          <w:numId w:val="10"/>
        </w:numPr>
        <w:spacing w:line="360" w:lineRule="auto"/>
        <w:ind w:firstLine="480" w:firstLineChars="200"/>
        <w:rPr>
          <w:rFonts w:eastAsia="宋体"/>
          <w:sz w:val="24"/>
          <w:szCs w:val="28"/>
        </w:rPr>
      </w:pPr>
      <w:r>
        <w:rPr>
          <w:rFonts w:hint="eastAsia" w:eastAsia="宋体"/>
          <w:sz w:val="24"/>
          <w:szCs w:val="28"/>
        </w:rPr>
        <w:t>投标方须为本项目提供至少3年的免费原厂维保服务，质保期从终验结束之日开始计算，质保期内故障设备及配件更换等产生相关费用中标方自行承担，且更换设备性能不得低于原设备性能。</w:t>
      </w:r>
    </w:p>
    <w:p>
      <w:pPr>
        <w:numPr>
          <w:ilvl w:val="0"/>
          <w:numId w:val="10"/>
        </w:numPr>
        <w:spacing w:line="360" w:lineRule="auto"/>
        <w:ind w:firstLine="480" w:firstLineChars="200"/>
        <w:rPr>
          <w:rFonts w:eastAsia="宋体"/>
          <w:sz w:val="24"/>
          <w:szCs w:val="28"/>
        </w:rPr>
      </w:pPr>
      <w:r>
        <w:rPr>
          <w:rFonts w:hint="eastAsia" w:eastAsia="宋体"/>
          <w:sz w:val="24"/>
          <w:szCs w:val="28"/>
        </w:rPr>
        <w:t>售后服务保障：上门安装调试，为保障高效售后服务；若报修，中标供应商须在接到招标人电话30分钟响应，2个小时内必须到达招标人指定现场，按国家及行业标准对故障进行及时处理，4-8个小时内排除故障。对于质保期内不能修复的产品/部件，中标供应商应在24个小时内免费更换备品备件。</w:t>
      </w:r>
    </w:p>
    <w:p>
      <w:pPr>
        <w:numPr>
          <w:ilvl w:val="0"/>
          <w:numId w:val="10"/>
        </w:numPr>
        <w:spacing w:line="360" w:lineRule="auto"/>
        <w:ind w:firstLine="480" w:firstLineChars="200"/>
        <w:rPr>
          <w:rFonts w:eastAsia="宋体"/>
          <w:sz w:val="24"/>
          <w:szCs w:val="28"/>
        </w:rPr>
      </w:pPr>
      <w:r>
        <w:rPr>
          <w:rFonts w:hint="eastAsia" w:eastAsia="宋体"/>
          <w:sz w:val="24"/>
          <w:szCs w:val="28"/>
        </w:rPr>
        <w:t>免费质保期内售后服务其他要求：中标供应商每3个月必须巡检一次，并对招标人指定人员现场集中进行设备使用培训，并将巡检和培训记录在案；在巡检过程中，发现设备故障现场进行解决，确实需要更换设备时，则必须通知设备的生产厂家，安排生产厂家以快递形式发出与该设备同等档次的备用设备。</w:t>
      </w:r>
    </w:p>
    <w:p>
      <w:pPr>
        <w:numPr>
          <w:ilvl w:val="0"/>
          <w:numId w:val="10"/>
        </w:numPr>
        <w:spacing w:line="360" w:lineRule="auto"/>
        <w:ind w:firstLine="480" w:firstLineChars="200"/>
        <w:rPr>
          <w:rFonts w:eastAsia="宋体"/>
          <w:sz w:val="24"/>
          <w:szCs w:val="28"/>
        </w:rPr>
      </w:pPr>
      <w:r>
        <w:rPr>
          <w:rFonts w:hint="eastAsia" w:eastAsia="宋体"/>
          <w:sz w:val="24"/>
          <w:szCs w:val="28"/>
        </w:rPr>
        <w:t>中标方应提供排除故障响应的具体流程；</w:t>
      </w:r>
    </w:p>
    <w:p>
      <w:pPr>
        <w:numPr>
          <w:ilvl w:val="0"/>
          <w:numId w:val="10"/>
        </w:numPr>
        <w:spacing w:line="360" w:lineRule="auto"/>
        <w:ind w:firstLine="480" w:firstLineChars="200"/>
        <w:rPr>
          <w:rFonts w:eastAsia="宋体"/>
          <w:sz w:val="24"/>
          <w:szCs w:val="28"/>
        </w:rPr>
      </w:pPr>
      <w:r>
        <w:rPr>
          <w:rFonts w:hint="eastAsia" w:eastAsia="宋体"/>
          <w:sz w:val="24"/>
          <w:szCs w:val="28"/>
        </w:rPr>
        <w:t>中标方应在技术建议书中说明技术指导和技术支持的范围和程度，中标方应提供技术服务流程，技术服务内容和价格清单，若维保期内与期外不同，则应分别列出。</w:t>
      </w:r>
    </w:p>
    <w:p>
      <w:pPr>
        <w:numPr>
          <w:ilvl w:val="0"/>
          <w:numId w:val="10"/>
        </w:numPr>
        <w:spacing w:line="360" w:lineRule="auto"/>
        <w:ind w:firstLine="480" w:firstLineChars="200"/>
        <w:rPr>
          <w:rFonts w:eastAsia="宋体"/>
          <w:sz w:val="24"/>
          <w:szCs w:val="28"/>
        </w:rPr>
      </w:pPr>
      <w:r>
        <w:rPr>
          <w:rFonts w:hint="eastAsia" w:eastAsia="宋体"/>
          <w:sz w:val="24"/>
          <w:szCs w:val="28"/>
        </w:rPr>
        <w:t>投标方需做出无推诿承诺。即投标方应提供特殊措施，无论由于哪一方产生的问题而使系统发生不正常情况时，并在得到招标方通知后，需立即派工程师到场，协助相关单位使系统尽快恢复正常。</w:t>
      </w:r>
    </w:p>
    <w:p>
      <w:pPr>
        <w:tabs>
          <w:tab w:val="center" w:pos="4832"/>
          <w:tab w:val="left" w:pos="7140"/>
        </w:tabs>
        <w:spacing w:line="360" w:lineRule="auto"/>
        <w:jc w:val="left"/>
        <w:outlineLvl w:val="2"/>
        <w:rPr>
          <w:rFonts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3.4培训服务需求</w:t>
      </w:r>
    </w:p>
    <w:p>
      <w:pPr>
        <w:numPr>
          <w:ilvl w:val="0"/>
          <w:numId w:val="11"/>
        </w:numPr>
        <w:spacing w:line="360" w:lineRule="auto"/>
        <w:ind w:firstLine="480" w:firstLineChars="200"/>
        <w:rPr>
          <w:rFonts w:eastAsia="宋体"/>
          <w:sz w:val="24"/>
          <w:szCs w:val="28"/>
        </w:rPr>
      </w:pPr>
      <w:r>
        <w:rPr>
          <w:rFonts w:hint="eastAsia" w:eastAsia="宋体"/>
          <w:sz w:val="24"/>
          <w:szCs w:val="28"/>
        </w:rPr>
        <w:t>中标方提供满足招标方要求的场地、食宿、师资、资料等条件。</w:t>
      </w:r>
    </w:p>
    <w:p>
      <w:pPr>
        <w:numPr>
          <w:ilvl w:val="0"/>
          <w:numId w:val="11"/>
        </w:numPr>
        <w:spacing w:line="360" w:lineRule="auto"/>
        <w:ind w:firstLine="480" w:firstLineChars="200"/>
        <w:rPr>
          <w:rFonts w:eastAsia="宋体"/>
          <w:sz w:val="24"/>
          <w:szCs w:val="28"/>
        </w:rPr>
      </w:pPr>
      <w:r>
        <w:rPr>
          <w:rFonts w:hint="eastAsia" w:eastAsia="宋体"/>
          <w:sz w:val="24"/>
          <w:szCs w:val="28"/>
        </w:rPr>
        <w:t>培训时间和地点：由招标方指定。</w:t>
      </w:r>
    </w:p>
    <w:p>
      <w:pPr>
        <w:numPr>
          <w:ilvl w:val="0"/>
          <w:numId w:val="11"/>
        </w:numPr>
        <w:spacing w:line="360" w:lineRule="auto"/>
        <w:ind w:firstLine="480" w:firstLineChars="200"/>
        <w:rPr>
          <w:rFonts w:eastAsia="宋体"/>
          <w:sz w:val="24"/>
          <w:szCs w:val="28"/>
        </w:rPr>
      </w:pPr>
      <w:r>
        <w:rPr>
          <w:rFonts w:hint="eastAsia" w:eastAsia="宋体"/>
          <w:sz w:val="24"/>
          <w:szCs w:val="28"/>
        </w:rPr>
        <w:t>培训内容包括但不限于不限人数的用户现场技术培训、不少于5天的培训（包括软硬件产品使用培训、各项产品操作技能等）；提供相关软件说明文档、管理和配置指南手册、使用手册和故障定位/排除指南手册。</w:t>
      </w:r>
    </w:p>
    <w:p>
      <w:pPr>
        <w:numPr>
          <w:ilvl w:val="0"/>
          <w:numId w:val="11"/>
        </w:numPr>
        <w:spacing w:line="360" w:lineRule="auto"/>
        <w:ind w:firstLine="480" w:firstLineChars="200"/>
        <w:rPr>
          <w:rFonts w:eastAsia="宋体"/>
          <w:sz w:val="24"/>
          <w:szCs w:val="28"/>
        </w:rPr>
      </w:pPr>
      <w:r>
        <w:rPr>
          <w:rFonts w:hint="eastAsia" w:eastAsia="宋体"/>
          <w:sz w:val="24"/>
          <w:szCs w:val="28"/>
        </w:rPr>
        <w:t>投标方须根据本次招标内容提供全面、详细的培训方案和培训计划，提供有经验的授课教师和标准化的培训课程。</w:t>
      </w:r>
    </w:p>
    <w:p>
      <w:pPr>
        <w:numPr>
          <w:ilvl w:val="0"/>
          <w:numId w:val="11"/>
        </w:numPr>
        <w:spacing w:line="360" w:lineRule="auto"/>
        <w:ind w:firstLine="480" w:firstLineChars="200"/>
        <w:rPr>
          <w:rFonts w:eastAsia="宋体"/>
          <w:sz w:val="24"/>
          <w:szCs w:val="28"/>
        </w:rPr>
      </w:pPr>
      <w:r>
        <w:rPr>
          <w:rFonts w:hint="eastAsia" w:eastAsia="宋体"/>
          <w:sz w:val="24"/>
          <w:szCs w:val="28"/>
        </w:rPr>
        <w:t>产品及技术培训，应保证被培训人员能够达到相应技术水平。</w:t>
      </w:r>
    </w:p>
    <w:p>
      <w:pPr>
        <w:tabs>
          <w:tab w:val="center" w:pos="4832"/>
          <w:tab w:val="left" w:pos="7140"/>
        </w:tabs>
        <w:spacing w:line="360" w:lineRule="auto"/>
        <w:jc w:val="left"/>
        <w:outlineLvl w:val="2"/>
        <w:rPr>
          <w:rFonts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3.5项目验收标准与需求</w:t>
      </w:r>
    </w:p>
    <w:p>
      <w:pPr>
        <w:spacing w:line="360" w:lineRule="auto"/>
        <w:ind w:firstLine="480" w:firstLineChars="200"/>
        <w:rPr>
          <w:rFonts w:ascii="宋体" w:hAnsi="宋体" w:eastAsia="宋体" w:cs="宋体"/>
          <w:sz w:val="24"/>
          <w:szCs w:val="28"/>
        </w:rPr>
      </w:pPr>
      <w:r>
        <w:rPr>
          <w:rFonts w:hint="eastAsia" w:ascii="宋体" w:hAnsi="宋体" w:eastAsia="宋体" w:cs="宋体"/>
          <w:sz w:val="24"/>
          <w:szCs w:val="28"/>
        </w:rPr>
        <w:t>参照国家和自治区项目验收有关规定，组织开展验收工作。</w:t>
      </w:r>
    </w:p>
    <w:p>
      <w:pPr>
        <w:numPr>
          <w:ilvl w:val="0"/>
          <w:numId w:val="12"/>
        </w:numPr>
        <w:spacing w:line="360" w:lineRule="auto"/>
        <w:ind w:firstLine="480" w:firstLineChars="200"/>
        <w:rPr>
          <w:rFonts w:ascii="宋体" w:hAnsi="宋体" w:eastAsia="宋体" w:cs="宋体"/>
          <w:sz w:val="24"/>
          <w:szCs w:val="28"/>
        </w:rPr>
      </w:pPr>
      <w:r>
        <w:rPr>
          <w:rFonts w:hint="eastAsia" w:ascii="宋体" w:hAnsi="宋体" w:eastAsia="宋体" w:cs="宋体"/>
          <w:sz w:val="24"/>
          <w:szCs w:val="28"/>
        </w:rPr>
        <w:t>验收组织</w:t>
      </w:r>
    </w:p>
    <w:p>
      <w:pPr>
        <w:spacing w:line="360" w:lineRule="auto"/>
        <w:ind w:firstLine="480" w:firstLineChars="200"/>
        <w:rPr>
          <w:rFonts w:ascii="宋体" w:hAnsi="宋体" w:eastAsia="宋体" w:cs="宋体"/>
          <w:sz w:val="24"/>
          <w:szCs w:val="28"/>
        </w:rPr>
      </w:pPr>
      <w:r>
        <w:rPr>
          <w:rFonts w:hint="eastAsia" w:ascii="宋体" w:hAnsi="宋体" w:eastAsia="宋体" w:cs="宋体"/>
          <w:sz w:val="24"/>
          <w:szCs w:val="28"/>
        </w:rPr>
        <w:t>项目验收分为初验和终验，都由招标方组织进行。</w:t>
      </w:r>
    </w:p>
    <w:p>
      <w:pPr>
        <w:numPr>
          <w:ilvl w:val="0"/>
          <w:numId w:val="12"/>
        </w:numPr>
        <w:spacing w:line="360" w:lineRule="auto"/>
        <w:ind w:firstLine="480" w:firstLineChars="200"/>
        <w:rPr>
          <w:rFonts w:ascii="宋体" w:hAnsi="宋体" w:eastAsia="宋体" w:cs="宋体"/>
          <w:sz w:val="24"/>
          <w:szCs w:val="28"/>
        </w:rPr>
      </w:pPr>
      <w:r>
        <w:rPr>
          <w:rFonts w:hint="eastAsia" w:ascii="宋体" w:hAnsi="宋体" w:eastAsia="宋体" w:cs="宋体"/>
          <w:sz w:val="24"/>
          <w:szCs w:val="28"/>
        </w:rPr>
        <w:t>初验流程</w:t>
      </w:r>
    </w:p>
    <w:p>
      <w:pPr>
        <w:spacing w:line="360" w:lineRule="auto"/>
        <w:ind w:firstLine="480" w:firstLineChars="200"/>
        <w:rPr>
          <w:rFonts w:ascii="宋体" w:hAnsi="宋体" w:eastAsia="宋体" w:cs="宋体"/>
          <w:sz w:val="24"/>
          <w:szCs w:val="28"/>
        </w:rPr>
      </w:pPr>
      <w:r>
        <w:rPr>
          <w:rFonts w:hint="eastAsia" w:ascii="宋体" w:hAnsi="宋体" w:eastAsia="宋体" w:cs="宋体"/>
          <w:sz w:val="24"/>
          <w:szCs w:val="28"/>
        </w:rPr>
        <w:t>（1）招标方依据相关批复文件、招标采购文件、合同，对项目的工程、技术、财务和档案等进行验收，形成验收报告。</w:t>
      </w:r>
    </w:p>
    <w:p>
      <w:pPr>
        <w:spacing w:line="360" w:lineRule="auto"/>
        <w:ind w:firstLine="480" w:firstLineChars="200"/>
        <w:rPr>
          <w:rFonts w:ascii="宋体" w:hAnsi="宋体" w:eastAsia="宋体" w:cs="宋体"/>
          <w:sz w:val="24"/>
          <w:szCs w:val="28"/>
        </w:rPr>
      </w:pPr>
      <w:r>
        <w:rPr>
          <w:rFonts w:hint="eastAsia" w:ascii="宋体" w:hAnsi="宋体" w:eastAsia="宋体" w:cs="宋体"/>
          <w:sz w:val="24"/>
          <w:szCs w:val="28"/>
        </w:rPr>
        <w:t>（2）项目初验后进入试运行，试运行期至少3个月。</w:t>
      </w:r>
    </w:p>
    <w:p>
      <w:pPr>
        <w:numPr>
          <w:ilvl w:val="0"/>
          <w:numId w:val="12"/>
        </w:numPr>
        <w:spacing w:line="360" w:lineRule="auto"/>
        <w:ind w:firstLine="480" w:firstLineChars="200"/>
        <w:rPr>
          <w:rFonts w:ascii="宋体" w:hAnsi="宋体" w:eastAsia="宋体" w:cs="宋体"/>
          <w:sz w:val="24"/>
          <w:szCs w:val="28"/>
        </w:rPr>
      </w:pPr>
      <w:r>
        <w:rPr>
          <w:rFonts w:hint="eastAsia" w:ascii="宋体" w:hAnsi="宋体" w:eastAsia="宋体" w:cs="宋体"/>
          <w:sz w:val="24"/>
          <w:szCs w:val="28"/>
        </w:rPr>
        <w:t>终验流程</w:t>
      </w:r>
    </w:p>
    <w:p>
      <w:pPr>
        <w:spacing w:line="360" w:lineRule="auto"/>
        <w:ind w:firstLine="480" w:firstLineChars="200"/>
        <w:rPr>
          <w:rFonts w:ascii="宋体" w:hAnsi="宋体" w:eastAsia="宋体" w:cs="宋体"/>
          <w:sz w:val="24"/>
          <w:szCs w:val="28"/>
        </w:rPr>
      </w:pPr>
      <w:r>
        <w:rPr>
          <w:rFonts w:hint="eastAsia" w:ascii="宋体" w:hAnsi="宋体" w:eastAsia="宋体" w:cs="宋体"/>
          <w:sz w:val="24"/>
          <w:szCs w:val="28"/>
        </w:rPr>
        <w:t>招标方组织成立验收组，负责开展终验的先期基础性工作，重点检查项目建设、施工、招标采购、档案资料、预（概）算执行和财务决算等情况，提出验收评价意见和建议。</w:t>
      </w:r>
    </w:p>
    <w:p>
      <w:pPr>
        <w:numPr>
          <w:ilvl w:val="0"/>
          <w:numId w:val="12"/>
        </w:numPr>
        <w:spacing w:line="360" w:lineRule="auto"/>
        <w:ind w:firstLine="480" w:firstLineChars="200"/>
        <w:rPr>
          <w:rFonts w:ascii="宋体" w:hAnsi="宋体" w:eastAsia="宋体" w:cs="宋体"/>
          <w:sz w:val="24"/>
          <w:szCs w:val="28"/>
        </w:rPr>
      </w:pPr>
      <w:r>
        <w:rPr>
          <w:rFonts w:hint="eastAsia" w:ascii="宋体" w:hAnsi="宋体" w:eastAsia="宋体" w:cs="宋体"/>
          <w:sz w:val="24"/>
          <w:szCs w:val="28"/>
        </w:rPr>
        <w:t>验收内容</w:t>
      </w:r>
    </w:p>
    <w:p>
      <w:pPr>
        <w:spacing w:line="360" w:lineRule="auto"/>
        <w:ind w:firstLine="480" w:firstLineChars="200"/>
        <w:rPr>
          <w:rFonts w:ascii="宋体" w:hAnsi="宋体" w:eastAsia="宋体" w:cs="宋体"/>
          <w:sz w:val="24"/>
          <w:szCs w:val="28"/>
        </w:rPr>
      </w:pPr>
      <w:r>
        <w:rPr>
          <w:rFonts w:hint="eastAsia" w:ascii="宋体" w:hAnsi="宋体" w:eastAsia="宋体" w:cs="宋体"/>
          <w:sz w:val="24"/>
          <w:szCs w:val="28"/>
        </w:rPr>
        <w:t>（1）审查项目的建设目标、规模、内容、质量及资金使用等情况。</w:t>
      </w:r>
    </w:p>
    <w:p>
      <w:pPr>
        <w:spacing w:line="360" w:lineRule="auto"/>
        <w:ind w:firstLine="480" w:firstLineChars="200"/>
        <w:rPr>
          <w:rFonts w:ascii="宋体" w:hAnsi="宋体" w:eastAsia="宋体" w:cs="宋体"/>
          <w:sz w:val="24"/>
          <w:szCs w:val="28"/>
        </w:rPr>
      </w:pPr>
      <w:r>
        <w:rPr>
          <w:rFonts w:hint="eastAsia" w:ascii="宋体" w:hAnsi="宋体" w:eastAsia="宋体" w:cs="宋体"/>
          <w:sz w:val="24"/>
          <w:szCs w:val="28"/>
        </w:rPr>
        <w:t>（2）审核项目形成的资产情况。</w:t>
      </w:r>
    </w:p>
    <w:p>
      <w:pPr>
        <w:spacing w:line="360" w:lineRule="auto"/>
        <w:ind w:firstLine="480" w:firstLineChars="200"/>
        <w:rPr>
          <w:rFonts w:ascii="宋体" w:hAnsi="宋体" w:eastAsia="宋体" w:cs="宋体"/>
          <w:sz w:val="24"/>
          <w:szCs w:val="28"/>
        </w:rPr>
      </w:pPr>
      <w:r>
        <w:rPr>
          <w:rFonts w:hint="eastAsia" w:ascii="宋体" w:hAnsi="宋体" w:eastAsia="宋体" w:cs="宋体"/>
          <w:sz w:val="24"/>
          <w:szCs w:val="28"/>
        </w:rPr>
        <w:t>（3）评价项目交付使用情况。</w:t>
      </w:r>
    </w:p>
    <w:p>
      <w:pPr>
        <w:spacing w:line="360" w:lineRule="auto"/>
        <w:ind w:firstLine="480" w:firstLineChars="200"/>
        <w:rPr>
          <w:rFonts w:ascii="宋体" w:hAnsi="宋体" w:eastAsia="宋体" w:cs="宋体"/>
          <w:sz w:val="24"/>
          <w:szCs w:val="28"/>
        </w:rPr>
      </w:pPr>
      <w:r>
        <w:rPr>
          <w:rFonts w:hint="eastAsia" w:ascii="宋体" w:hAnsi="宋体" w:eastAsia="宋体" w:cs="宋体"/>
          <w:sz w:val="24"/>
          <w:szCs w:val="28"/>
        </w:rPr>
        <w:t>（4）检查项目建设单位执行国家法律、法规情况。</w:t>
      </w:r>
    </w:p>
    <w:p>
      <w:pPr>
        <w:numPr>
          <w:ilvl w:val="0"/>
          <w:numId w:val="12"/>
        </w:numPr>
        <w:spacing w:line="360" w:lineRule="auto"/>
        <w:ind w:firstLine="480" w:firstLineChars="200"/>
        <w:rPr>
          <w:rFonts w:ascii="宋体" w:hAnsi="宋体" w:eastAsia="宋体" w:cs="宋体"/>
          <w:sz w:val="24"/>
          <w:szCs w:val="28"/>
        </w:rPr>
      </w:pPr>
      <w:r>
        <w:rPr>
          <w:rFonts w:hint="eastAsia" w:ascii="宋体" w:hAnsi="宋体" w:eastAsia="宋体" w:cs="宋体"/>
          <w:sz w:val="24"/>
          <w:szCs w:val="28"/>
        </w:rPr>
        <w:t>验收合格要求</w:t>
      </w:r>
    </w:p>
    <w:p>
      <w:pPr>
        <w:spacing w:line="360" w:lineRule="auto"/>
        <w:ind w:firstLine="480" w:firstLineChars="200"/>
        <w:rPr>
          <w:rFonts w:ascii="宋体" w:hAnsi="宋体" w:eastAsia="宋体" w:cs="宋体"/>
          <w:sz w:val="24"/>
          <w:szCs w:val="28"/>
        </w:rPr>
      </w:pPr>
      <w:r>
        <w:rPr>
          <w:rFonts w:hint="eastAsia" w:ascii="宋体" w:hAnsi="宋体" w:eastAsia="宋体" w:cs="宋体"/>
          <w:sz w:val="24"/>
          <w:szCs w:val="28"/>
        </w:rPr>
        <w:t>中标单位提供的服务应满足本项目实际需求，任何一个分项工程达不到招标方要求的均不予验收，本项目根据实际验收效果按比例支付相应的工程费用。验收合格的条件包含但不限于以下要求：</w:t>
      </w:r>
    </w:p>
    <w:p>
      <w:pPr>
        <w:spacing w:line="360" w:lineRule="auto"/>
        <w:ind w:firstLine="480" w:firstLineChars="200"/>
        <w:rPr>
          <w:rFonts w:ascii="宋体" w:hAnsi="宋体" w:eastAsia="宋体" w:cs="宋体"/>
          <w:sz w:val="24"/>
          <w:szCs w:val="28"/>
        </w:rPr>
      </w:pPr>
      <w:r>
        <w:rPr>
          <w:rFonts w:hint="eastAsia" w:ascii="宋体" w:hAnsi="宋体" w:eastAsia="宋体" w:cs="宋体"/>
          <w:sz w:val="24"/>
          <w:szCs w:val="28"/>
        </w:rPr>
        <w:t>（1）应满足技术规范文件章节包含的标准规范条款要求。</w:t>
      </w:r>
    </w:p>
    <w:p>
      <w:pPr>
        <w:spacing w:line="360" w:lineRule="auto"/>
        <w:ind w:firstLine="480" w:firstLineChars="200"/>
        <w:rPr>
          <w:rFonts w:ascii="宋体" w:hAnsi="宋体" w:eastAsia="宋体" w:cs="宋体"/>
          <w:sz w:val="24"/>
          <w:szCs w:val="28"/>
        </w:rPr>
      </w:pPr>
      <w:r>
        <w:rPr>
          <w:rFonts w:hint="eastAsia" w:ascii="宋体" w:hAnsi="宋体" w:eastAsia="宋体" w:cs="宋体"/>
          <w:sz w:val="24"/>
          <w:szCs w:val="28"/>
        </w:rPr>
        <w:t>（2）完成产品采购及安装调试，所有产品功能、性能、测试效果满足招标技术要求。</w:t>
      </w:r>
    </w:p>
    <w:p>
      <w:pPr>
        <w:spacing w:line="360" w:lineRule="auto"/>
        <w:ind w:firstLine="480" w:firstLineChars="200"/>
        <w:rPr>
          <w:rFonts w:ascii="宋体" w:hAnsi="宋体" w:eastAsia="宋体" w:cs="宋体"/>
          <w:sz w:val="24"/>
          <w:szCs w:val="28"/>
        </w:rPr>
      </w:pPr>
      <w:r>
        <w:rPr>
          <w:rFonts w:hint="eastAsia" w:ascii="宋体" w:hAnsi="宋体" w:eastAsia="宋体" w:cs="宋体"/>
          <w:sz w:val="24"/>
          <w:szCs w:val="28"/>
        </w:rPr>
        <w:t>（3）应满足合同约定的技术条款要求。</w:t>
      </w:r>
    </w:p>
    <w:p>
      <w:pPr>
        <w:spacing w:line="360" w:lineRule="auto"/>
        <w:ind w:firstLine="480" w:firstLineChars="200"/>
        <w:rPr>
          <w:rFonts w:ascii="宋体" w:hAnsi="宋体" w:eastAsia="宋体" w:cs="宋体"/>
          <w:sz w:val="24"/>
          <w:szCs w:val="28"/>
        </w:rPr>
      </w:pPr>
      <w:r>
        <w:rPr>
          <w:rFonts w:hint="eastAsia" w:ascii="宋体" w:hAnsi="宋体" w:eastAsia="宋体" w:cs="宋体"/>
          <w:sz w:val="24"/>
          <w:szCs w:val="28"/>
        </w:rPr>
        <w:t>（4）功能测试和性能测试验收时出现的问题已被解决。</w:t>
      </w:r>
    </w:p>
    <w:p>
      <w:pPr>
        <w:spacing w:line="360" w:lineRule="auto"/>
        <w:ind w:firstLine="480" w:firstLineChars="200"/>
        <w:rPr>
          <w:rFonts w:ascii="宋体" w:hAnsi="宋体" w:eastAsia="宋体" w:cs="宋体"/>
          <w:sz w:val="24"/>
          <w:szCs w:val="28"/>
        </w:rPr>
      </w:pPr>
      <w:r>
        <w:rPr>
          <w:rFonts w:hint="eastAsia" w:ascii="宋体" w:hAnsi="宋体" w:eastAsia="宋体" w:cs="宋体"/>
          <w:sz w:val="24"/>
          <w:szCs w:val="28"/>
        </w:rPr>
        <w:t>（5）投标方需配合采购人完成资产登记工作，并协助采购人完成资料整理、装订、归档。</w:t>
      </w:r>
    </w:p>
    <w:p>
      <w:pPr>
        <w:numPr>
          <w:ilvl w:val="0"/>
          <w:numId w:val="12"/>
        </w:numPr>
        <w:spacing w:line="360" w:lineRule="auto"/>
        <w:ind w:firstLine="480" w:firstLineChars="200"/>
        <w:rPr>
          <w:rFonts w:ascii="宋体" w:hAnsi="宋体" w:eastAsia="宋体" w:cs="宋体"/>
          <w:sz w:val="24"/>
          <w:szCs w:val="28"/>
        </w:rPr>
      </w:pPr>
      <w:r>
        <w:rPr>
          <w:rFonts w:hint="eastAsia" w:ascii="宋体" w:hAnsi="宋体" w:eastAsia="宋体" w:cs="宋体"/>
          <w:sz w:val="24"/>
          <w:szCs w:val="28"/>
        </w:rPr>
        <w:t>验收相关材料</w:t>
      </w:r>
    </w:p>
    <w:p>
      <w:pPr>
        <w:spacing w:line="360" w:lineRule="auto"/>
        <w:ind w:firstLine="480" w:firstLineChars="200"/>
        <w:rPr>
          <w:rFonts w:ascii="宋体" w:hAnsi="宋体" w:eastAsia="宋体" w:cs="宋体"/>
          <w:sz w:val="24"/>
          <w:szCs w:val="28"/>
        </w:rPr>
      </w:pPr>
      <w:r>
        <w:rPr>
          <w:rFonts w:hint="eastAsia" w:ascii="宋体" w:hAnsi="宋体" w:eastAsia="宋体" w:cs="宋体"/>
          <w:sz w:val="24"/>
          <w:szCs w:val="28"/>
        </w:rPr>
        <w:t>中标方须负责整理并提供以下验收材料，包括但不限于：项目实施方案、项目合同、项目建设总结、项目招标相关文档、项目建设相关文档、初步验收报告、软硬件测试报告、现场效果测评报告以及合同的全部货物和资料等。</w:t>
      </w:r>
    </w:p>
    <w:p>
      <w:pPr>
        <w:tabs>
          <w:tab w:val="center" w:pos="4832"/>
          <w:tab w:val="left" w:pos="7140"/>
        </w:tabs>
        <w:spacing w:line="360" w:lineRule="auto"/>
        <w:jc w:val="left"/>
        <w:outlineLvl w:val="2"/>
        <w:rPr>
          <w:rFonts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3.6知识产权需求</w:t>
      </w:r>
    </w:p>
    <w:p>
      <w:pPr>
        <w:spacing w:line="360" w:lineRule="auto"/>
        <w:ind w:firstLine="480" w:firstLineChars="200"/>
        <w:rPr>
          <w:rFonts w:ascii="宋体" w:hAnsi="宋体" w:eastAsia="宋体" w:cs="宋体"/>
          <w:sz w:val="24"/>
          <w:szCs w:val="28"/>
        </w:rPr>
      </w:pPr>
      <w:r>
        <w:rPr>
          <w:rFonts w:hint="eastAsia" w:ascii="宋体" w:hAnsi="宋体" w:eastAsia="宋体" w:cs="宋体"/>
          <w:sz w:val="24"/>
          <w:szCs w:val="28"/>
        </w:rPr>
        <w:t>投标方须保证招标方对投标方所提供的软件和文档资料享有合法的使用权。</w:t>
      </w:r>
    </w:p>
    <w:p>
      <w:pPr>
        <w:spacing w:line="360" w:lineRule="auto"/>
        <w:ind w:firstLine="480" w:firstLineChars="200"/>
        <w:rPr>
          <w:rFonts w:ascii="宋体" w:hAnsi="宋体" w:eastAsia="宋体" w:cs="宋体"/>
          <w:sz w:val="24"/>
          <w:szCs w:val="28"/>
        </w:rPr>
      </w:pPr>
      <w:r>
        <w:rPr>
          <w:rFonts w:hint="eastAsia" w:ascii="宋体" w:hAnsi="宋体" w:eastAsia="宋体" w:cs="宋体"/>
          <w:sz w:val="24"/>
          <w:szCs w:val="28"/>
        </w:rPr>
        <w:t>投标方须保证招标方在使用过程中不受到第三方关于侵犯专利权等知识产权的指控。任何第三方如果提出指控，投标方须与第三方交涉并承担可能发生的一切法律责任和费用。</w:t>
      </w:r>
    </w:p>
    <w:p>
      <w:pPr>
        <w:spacing w:line="360" w:lineRule="auto"/>
        <w:ind w:firstLine="480" w:firstLineChars="200"/>
        <w:rPr>
          <w:rFonts w:ascii="宋体" w:hAnsi="宋体" w:eastAsia="宋体" w:cs="宋体"/>
          <w:sz w:val="24"/>
          <w:szCs w:val="28"/>
        </w:rPr>
      </w:pPr>
      <w:r>
        <w:rPr>
          <w:rFonts w:hint="eastAsia" w:ascii="宋体" w:hAnsi="宋体" w:eastAsia="宋体" w:cs="宋体"/>
          <w:sz w:val="24"/>
          <w:szCs w:val="28"/>
        </w:rPr>
        <w:t>本项目所采购软硬件产品授权主体必须为自治区应急管理厅。</w:t>
      </w:r>
    </w:p>
    <w:p>
      <w:pPr>
        <w:tabs>
          <w:tab w:val="center" w:pos="4832"/>
          <w:tab w:val="left" w:pos="7140"/>
        </w:tabs>
        <w:spacing w:line="360" w:lineRule="auto"/>
        <w:jc w:val="left"/>
        <w:outlineLvl w:val="2"/>
        <w:rPr>
          <w:rFonts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3.</w:t>
      </w:r>
      <w:r>
        <w:rPr>
          <w:rFonts w:hint="eastAsia" w:ascii="宋体" w:hAnsi="宋体" w:cs="宋体"/>
          <w:b/>
          <w:color w:val="000000" w:themeColor="text1"/>
          <w:sz w:val="24"/>
          <w:szCs w:val="24"/>
          <w14:textFill>
            <w14:solidFill>
              <w14:schemeClr w14:val="tx1"/>
            </w14:solidFill>
          </w14:textFill>
        </w:rPr>
        <w:t>7</w:t>
      </w:r>
      <w:r>
        <w:rPr>
          <w:rFonts w:hint="eastAsia" w:ascii="宋体" w:hAnsi="宋体" w:eastAsia="宋体" w:cs="宋体"/>
          <w:b/>
          <w:color w:val="000000" w:themeColor="text1"/>
          <w:sz w:val="24"/>
          <w:szCs w:val="24"/>
          <w14:textFill>
            <w14:solidFill>
              <w14:schemeClr w14:val="tx1"/>
            </w14:solidFill>
          </w14:textFill>
        </w:rPr>
        <w:t>保密需求</w:t>
      </w:r>
    </w:p>
    <w:p>
      <w:pPr>
        <w:spacing w:line="360" w:lineRule="auto"/>
        <w:ind w:firstLine="480" w:firstLineChars="200"/>
        <w:rPr>
          <w:rFonts w:ascii="宋体" w:hAnsi="宋体" w:eastAsia="宋体" w:cs="宋体"/>
          <w:sz w:val="24"/>
          <w:szCs w:val="28"/>
        </w:rPr>
      </w:pPr>
      <w:r>
        <w:rPr>
          <w:rFonts w:ascii="宋体" w:hAnsi="宋体" w:eastAsia="宋体" w:cs="宋体"/>
          <w:sz w:val="24"/>
          <w:szCs w:val="28"/>
        </w:rPr>
        <w:t>中标方(含项目组所有成员)必须对项目技术文件以及由招标方提供的所有内部资料、技术文档、系统架构、拓扑结构、技术参数、部署方式、性能特性、数据和信息予以保密。中标方必须与招标方签订保密协议并严格遵守，未经招标方书面许可，中标方不得以任何形式向第三方透露本项目标书以及本项目的任何内容。</w:t>
      </w:r>
    </w:p>
    <w:p>
      <w:pPr>
        <w:spacing w:line="360" w:lineRule="auto"/>
        <w:outlineLvl w:val="1"/>
        <w:rPr>
          <w:rFonts w:eastAsia="宋体"/>
          <w:b/>
          <w:bCs/>
          <w:sz w:val="22"/>
          <w:szCs w:val="24"/>
        </w:rPr>
      </w:pPr>
      <w:bookmarkStart w:id="73" w:name="_Toc16781"/>
      <w:r>
        <w:rPr>
          <w:rFonts w:hint="eastAsia" w:eastAsia="宋体"/>
          <w:b/>
          <w:bCs/>
          <w:sz w:val="22"/>
          <w:szCs w:val="24"/>
        </w:rPr>
        <w:t>（四）</w:t>
      </w:r>
      <w:r>
        <w:rPr>
          <w:rFonts w:hint="eastAsia"/>
          <w:b/>
          <w:bCs/>
          <w:sz w:val="22"/>
          <w:szCs w:val="24"/>
        </w:rPr>
        <w:t>本项目软硬件部分</w:t>
      </w:r>
      <w:r>
        <w:rPr>
          <w:rFonts w:hint="eastAsia" w:eastAsia="宋体"/>
          <w:b/>
          <w:bCs/>
          <w:sz w:val="22"/>
          <w:szCs w:val="24"/>
        </w:rPr>
        <w:t>商务条款要求</w:t>
      </w:r>
      <w:bookmarkEnd w:id="73"/>
    </w:p>
    <w:p>
      <w:pPr>
        <w:tabs>
          <w:tab w:val="center" w:pos="4832"/>
          <w:tab w:val="left" w:pos="7140"/>
        </w:tabs>
        <w:spacing w:line="360" w:lineRule="auto"/>
        <w:jc w:val="left"/>
        <w:outlineLvl w:val="2"/>
        <w:rPr>
          <w:rFonts w:ascii="宋体" w:hAnsi="宋体" w:eastAsia="宋体" w:cs="宋体"/>
          <w:b/>
          <w:color w:val="000000" w:themeColor="text1"/>
          <w:sz w:val="24"/>
          <w:szCs w:val="24"/>
          <w14:textFill>
            <w14:solidFill>
              <w14:schemeClr w14:val="tx1"/>
            </w14:solidFill>
          </w14:textFill>
        </w:rPr>
      </w:pPr>
      <w:bookmarkStart w:id="74" w:name="_Toc31979"/>
      <w:r>
        <w:rPr>
          <w:rFonts w:hint="eastAsia" w:ascii="宋体" w:hAnsi="宋体" w:eastAsia="宋体" w:cs="宋体"/>
          <w:b/>
          <w:color w:val="000000" w:themeColor="text1"/>
          <w:sz w:val="24"/>
          <w:szCs w:val="24"/>
          <w14:textFill>
            <w14:solidFill>
              <w14:schemeClr w14:val="tx1"/>
            </w14:solidFill>
          </w14:textFill>
        </w:rPr>
        <w:t>4.1质保期</w:t>
      </w:r>
      <w:bookmarkEnd w:id="74"/>
    </w:p>
    <w:p>
      <w:pPr>
        <w:spacing w:line="360" w:lineRule="auto"/>
        <w:ind w:firstLine="480" w:firstLineChars="200"/>
        <w:rPr>
          <w:rFonts w:ascii="宋体" w:hAnsi="宋体" w:eastAsia="宋体" w:cs="宋体"/>
          <w:sz w:val="24"/>
          <w:szCs w:val="28"/>
        </w:rPr>
      </w:pPr>
      <w:r>
        <w:rPr>
          <w:rFonts w:hint="eastAsia" w:ascii="宋体" w:hAnsi="宋体" w:eastAsia="宋体" w:cs="宋体"/>
          <w:sz w:val="24"/>
          <w:szCs w:val="28"/>
        </w:rPr>
        <w:t>免费质保期3年，（免费质保期自通过甲方验收合格之日起计），特殊要求参见</w:t>
      </w:r>
      <w:r>
        <w:rPr>
          <w:rFonts w:hint="eastAsia" w:ascii="宋体" w:hAnsi="宋体" w:eastAsia="宋体" w:cs="宋体"/>
          <w:sz w:val="24"/>
          <w:szCs w:val="28"/>
          <w:lang w:eastAsia="zh-CN"/>
        </w:rPr>
        <w:t>竞争性磋商文件</w:t>
      </w:r>
      <w:r>
        <w:rPr>
          <w:rFonts w:hint="eastAsia" w:ascii="宋体" w:hAnsi="宋体" w:eastAsia="宋体" w:cs="宋体"/>
          <w:sz w:val="24"/>
          <w:szCs w:val="28"/>
        </w:rPr>
        <w:t>技术要求。</w:t>
      </w:r>
    </w:p>
    <w:p>
      <w:pPr>
        <w:spacing w:line="360" w:lineRule="auto"/>
        <w:outlineLvl w:val="2"/>
        <w:rPr>
          <w:rFonts w:eastAsia="宋体"/>
          <w:sz w:val="24"/>
          <w:szCs w:val="28"/>
        </w:rPr>
      </w:pPr>
      <w:bookmarkStart w:id="75" w:name="_Toc10400"/>
      <w:r>
        <w:rPr>
          <w:rFonts w:hint="eastAsia" w:eastAsia="宋体"/>
          <w:sz w:val="24"/>
          <w:szCs w:val="28"/>
        </w:rPr>
        <w:t>4.2交付期、交付方式及交付地点</w:t>
      </w:r>
      <w:bookmarkEnd w:id="75"/>
    </w:p>
    <w:p>
      <w:pPr>
        <w:numPr>
          <w:ilvl w:val="0"/>
          <w:numId w:val="13"/>
        </w:numPr>
        <w:spacing w:line="360" w:lineRule="auto"/>
        <w:ind w:firstLine="480" w:firstLineChars="200"/>
        <w:rPr>
          <w:rFonts w:eastAsia="宋体"/>
          <w:sz w:val="24"/>
          <w:szCs w:val="28"/>
        </w:rPr>
      </w:pPr>
      <w:r>
        <w:rPr>
          <w:rFonts w:eastAsia="宋体"/>
          <w:sz w:val="24"/>
          <w:szCs w:val="28"/>
        </w:rPr>
        <w:t>交付期：自合同签订之日起60个日历日内交货并完成安装调试。</w:t>
      </w:r>
    </w:p>
    <w:p>
      <w:pPr>
        <w:numPr>
          <w:ilvl w:val="0"/>
          <w:numId w:val="13"/>
        </w:numPr>
        <w:spacing w:line="360" w:lineRule="auto"/>
        <w:ind w:firstLine="480" w:firstLineChars="200"/>
        <w:rPr>
          <w:rFonts w:eastAsia="宋体"/>
          <w:sz w:val="24"/>
          <w:szCs w:val="28"/>
        </w:rPr>
      </w:pPr>
      <w:r>
        <w:rPr>
          <w:rFonts w:eastAsia="宋体"/>
          <w:sz w:val="24"/>
          <w:szCs w:val="28"/>
        </w:rPr>
        <w:t>交付方式：采购人指定。</w:t>
      </w:r>
    </w:p>
    <w:p>
      <w:pPr>
        <w:numPr>
          <w:ilvl w:val="0"/>
          <w:numId w:val="13"/>
        </w:numPr>
        <w:spacing w:line="360" w:lineRule="auto"/>
        <w:ind w:firstLine="480" w:firstLineChars="200"/>
        <w:rPr>
          <w:rFonts w:eastAsia="宋体"/>
          <w:sz w:val="24"/>
          <w:szCs w:val="28"/>
        </w:rPr>
      </w:pPr>
      <w:r>
        <w:rPr>
          <w:rFonts w:eastAsia="宋体"/>
          <w:sz w:val="24"/>
          <w:szCs w:val="28"/>
        </w:rPr>
        <w:t>交付地点：采购人指定。</w:t>
      </w:r>
    </w:p>
    <w:p>
      <w:pPr>
        <w:spacing w:line="360" w:lineRule="auto"/>
        <w:outlineLvl w:val="2"/>
        <w:rPr>
          <w:rFonts w:eastAsia="宋体"/>
          <w:sz w:val="24"/>
          <w:szCs w:val="28"/>
        </w:rPr>
      </w:pPr>
      <w:bookmarkStart w:id="76" w:name="_Toc8714"/>
      <w:r>
        <w:rPr>
          <w:rFonts w:hint="eastAsia" w:eastAsia="宋体"/>
          <w:b/>
          <w:bCs/>
          <w:sz w:val="22"/>
          <w:szCs w:val="24"/>
        </w:rPr>
        <w:t>（五）</w:t>
      </w:r>
      <w:r>
        <w:rPr>
          <w:rFonts w:hint="eastAsia"/>
          <w:sz w:val="24"/>
          <w:szCs w:val="28"/>
        </w:rPr>
        <w:t>合同价款</w:t>
      </w:r>
      <w:r>
        <w:rPr>
          <w:rFonts w:hint="eastAsia" w:eastAsia="宋体"/>
          <w:sz w:val="24"/>
          <w:szCs w:val="28"/>
        </w:rPr>
        <w:t>支付</w:t>
      </w:r>
      <w:bookmarkEnd w:id="76"/>
    </w:p>
    <w:p>
      <w:pPr>
        <w:numPr>
          <w:ilvl w:val="0"/>
          <w:numId w:val="14"/>
        </w:numPr>
        <w:spacing w:line="360" w:lineRule="auto"/>
        <w:ind w:firstLine="480" w:firstLineChars="200"/>
        <w:rPr>
          <w:rFonts w:eastAsia="宋体"/>
          <w:sz w:val="24"/>
          <w:szCs w:val="28"/>
        </w:rPr>
      </w:pPr>
      <w:r>
        <w:rPr>
          <w:rFonts w:eastAsia="宋体"/>
          <w:sz w:val="24"/>
          <w:szCs w:val="28"/>
        </w:rPr>
        <w:t>第一次付款：合同签订后，支付合同金额的30%。</w:t>
      </w:r>
    </w:p>
    <w:p>
      <w:pPr>
        <w:numPr>
          <w:ilvl w:val="0"/>
          <w:numId w:val="14"/>
        </w:numPr>
        <w:spacing w:line="360" w:lineRule="auto"/>
        <w:ind w:firstLine="480" w:firstLineChars="200"/>
        <w:rPr>
          <w:rFonts w:eastAsia="宋体"/>
          <w:sz w:val="24"/>
          <w:szCs w:val="28"/>
        </w:rPr>
      </w:pPr>
      <w:r>
        <w:rPr>
          <w:rFonts w:eastAsia="宋体"/>
          <w:sz w:val="24"/>
          <w:szCs w:val="28"/>
        </w:rPr>
        <w:t>第二次付款：根据甲方内部管理规定，满足验收条件，乙方提交全部验收材料，通过甲方组织的验收后，支付至合同金额的95%。</w:t>
      </w:r>
    </w:p>
    <w:p>
      <w:pPr>
        <w:widowControl/>
        <w:spacing w:line="360" w:lineRule="auto"/>
        <w:jc w:val="left"/>
        <w:rPr>
          <w:rFonts w:ascii="宋体" w:hAnsi="宋体" w:cs="宋体"/>
          <w:b/>
          <w:color w:val="000000" w:themeColor="text1"/>
          <w:sz w:val="24"/>
          <w:szCs w:val="24"/>
          <w14:textFill>
            <w14:solidFill>
              <w14:schemeClr w14:val="tx1"/>
            </w14:solidFill>
          </w14:textFill>
        </w:rPr>
        <w:sectPr>
          <w:headerReference r:id="rId6" w:type="default"/>
          <w:footerReference r:id="rId7" w:type="default"/>
          <w:pgSz w:w="11906" w:h="16838"/>
          <w:pgMar w:top="1134" w:right="1418" w:bottom="1134" w:left="1418" w:header="851" w:footer="850" w:gutter="0"/>
          <w:pgNumType w:start="1"/>
          <w:cols w:space="720" w:num="1"/>
          <w:docGrid w:linePitch="312" w:charSpace="0"/>
        </w:sectPr>
      </w:pPr>
      <w:r>
        <w:rPr>
          <w:rFonts w:eastAsia="宋体"/>
          <w:sz w:val="24"/>
          <w:szCs w:val="28"/>
        </w:rPr>
        <w:t>第三次付款：维保期满后，乙方按合同实施、无违约责任、在免费维保期内认真履行维保义务，经甲方确认后支付余款</w:t>
      </w:r>
    </w:p>
    <w:p>
      <w:pPr>
        <w:widowControl/>
        <w:jc w:val="left"/>
      </w:pPr>
    </w:p>
    <w:p>
      <w:pPr>
        <w:spacing w:line="440" w:lineRule="exact"/>
        <w:jc w:val="center"/>
        <w:outlineLvl w:val="0"/>
        <w:rPr>
          <w:rFonts w:ascii="宋体" w:hAnsi="宋体" w:eastAsia="宋体" w:cs="宋体"/>
          <w:b/>
          <w:sz w:val="24"/>
          <w:szCs w:val="24"/>
        </w:rPr>
      </w:pPr>
      <w:bookmarkStart w:id="77" w:name="_Toc104243924"/>
      <w:r>
        <w:rPr>
          <w:rFonts w:hint="eastAsia" w:ascii="宋体" w:hAnsi="宋体" w:eastAsia="宋体" w:cs="宋体"/>
          <w:b/>
          <w:sz w:val="24"/>
          <w:szCs w:val="24"/>
        </w:rPr>
        <w:t xml:space="preserve">第五章 </w:t>
      </w:r>
      <w:r>
        <w:rPr>
          <w:rFonts w:hint="eastAsia" w:ascii="宋体" w:hAnsi="宋体" w:eastAsia="宋体" w:cs="宋体"/>
          <w:b/>
          <w:sz w:val="24"/>
          <w:szCs w:val="24"/>
          <w:lang w:eastAsia="zh-CN"/>
        </w:rPr>
        <w:t>磋商响应文件</w:t>
      </w:r>
      <w:r>
        <w:rPr>
          <w:rFonts w:hint="eastAsia" w:ascii="宋体" w:hAnsi="宋体" w:eastAsia="宋体" w:cs="宋体"/>
          <w:b/>
          <w:sz w:val="24"/>
          <w:szCs w:val="24"/>
        </w:rPr>
        <w:t>格式</w:t>
      </w:r>
      <w:bookmarkEnd w:id="72"/>
      <w:bookmarkEnd w:id="77"/>
    </w:p>
    <w:p>
      <w:pPr>
        <w:rPr>
          <w:rFonts w:ascii="宋体" w:hAnsi="Calibri" w:eastAsia="宋体" w:cs="宋体"/>
          <w:b/>
          <w:sz w:val="24"/>
          <w:szCs w:val="24"/>
        </w:rPr>
      </w:pPr>
    </w:p>
    <w:p>
      <w:pPr>
        <w:rPr>
          <w:rFonts w:ascii="宋体" w:hAnsi="Calibri" w:eastAsia="宋体" w:cs="宋体"/>
          <w:b/>
          <w:sz w:val="24"/>
          <w:szCs w:val="24"/>
        </w:rPr>
      </w:pPr>
    </w:p>
    <w:p>
      <w:pPr>
        <w:rPr>
          <w:rFonts w:ascii="宋体" w:hAnsi="Calibri" w:eastAsia="宋体" w:cs="宋体"/>
          <w:sz w:val="24"/>
          <w:szCs w:val="24"/>
          <w:u w:val="single"/>
        </w:rPr>
      </w:pPr>
      <w:r>
        <w:rPr>
          <w:rFonts w:hint="eastAsia" w:ascii="宋体" w:hAnsi="宋体" w:eastAsia="宋体" w:cs="宋体"/>
          <w:sz w:val="24"/>
          <w:szCs w:val="24"/>
          <w:u w:val="single"/>
          <w:lang w:eastAsia="zh-CN"/>
        </w:rPr>
        <w:t>磋商响应文件</w:t>
      </w:r>
      <w:r>
        <w:rPr>
          <w:rFonts w:hint="eastAsia" w:ascii="宋体" w:hAnsi="宋体" w:eastAsia="宋体" w:cs="宋体"/>
          <w:sz w:val="24"/>
          <w:szCs w:val="24"/>
          <w:u w:val="single"/>
        </w:rPr>
        <w:t>封面示例</w:t>
      </w:r>
    </w:p>
    <w:p>
      <w:pPr>
        <w:spacing w:line="720" w:lineRule="auto"/>
        <w:ind w:right="315"/>
        <w:jc w:val="right"/>
        <w:rPr>
          <w:rFonts w:ascii="宋体" w:hAnsi="Calibri" w:eastAsia="宋体" w:cs="宋体"/>
          <w:b/>
          <w:sz w:val="24"/>
          <w:szCs w:val="24"/>
          <w:bdr w:val="single" w:color="auto" w:sz="4" w:space="0"/>
        </w:rPr>
      </w:pPr>
      <w:r>
        <w:rPr>
          <w:rFonts w:hint="eastAsia" w:ascii="宋体" w:hAnsi="宋体" w:eastAsia="宋体" w:cs="宋体"/>
          <w:b/>
          <w:sz w:val="24"/>
          <w:szCs w:val="24"/>
          <w:bdr w:val="single" w:color="auto" w:sz="4" w:space="0"/>
        </w:rPr>
        <w:t>正本</w:t>
      </w:r>
    </w:p>
    <w:p>
      <w:pPr>
        <w:spacing w:line="480" w:lineRule="auto"/>
        <w:jc w:val="center"/>
        <w:rPr>
          <w:rFonts w:ascii="宋体" w:hAnsi="宋体" w:eastAsia="宋体" w:cs="宋体"/>
          <w:b/>
          <w:bCs/>
          <w:sz w:val="24"/>
          <w:szCs w:val="24"/>
          <w:u w:val="single"/>
        </w:rPr>
      </w:pPr>
      <w:r>
        <w:rPr>
          <w:rFonts w:hint="eastAsia" w:ascii="宋体" w:hAnsi="宋体" w:eastAsia="宋体" w:cs="宋体"/>
          <w:b/>
          <w:bCs/>
          <w:sz w:val="24"/>
          <w:szCs w:val="24"/>
          <w:u w:val="single"/>
        </w:rPr>
        <w:t>（项目名称）</w:t>
      </w:r>
    </w:p>
    <w:p>
      <w:pPr>
        <w:spacing w:line="480" w:lineRule="auto"/>
        <w:jc w:val="center"/>
        <w:rPr>
          <w:rFonts w:ascii="宋体" w:hAnsi="Calibri" w:eastAsia="宋体" w:cs="宋体"/>
          <w:b/>
          <w:bCs/>
          <w:sz w:val="24"/>
          <w:szCs w:val="24"/>
          <w:u w:val="single"/>
        </w:rPr>
      </w:pPr>
      <w:r>
        <w:rPr>
          <w:rFonts w:hint="eastAsia" w:ascii="宋体" w:hAnsi="宋体" w:eastAsia="宋体" w:cs="宋体"/>
          <w:b/>
          <w:bCs/>
          <w:sz w:val="24"/>
          <w:szCs w:val="24"/>
          <w:u w:val="single"/>
        </w:rPr>
        <w:t>（项目编号）</w:t>
      </w:r>
    </w:p>
    <w:p>
      <w:pPr>
        <w:spacing w:line="300" w:lineRule="exact"/>
        <w:jc w:val="center"/>
        <w:rPr>
          <w:rFonts w:ascii="宋体" w:hAnsi="宋体" w:eastAsia="宋体" w:cs="宋体"/>
          <w:b/>
          <w:bCs/>
          <w:sz w:val="24"/>
          <w:szCs w:val="24"/>
        </w:rPr>
      </w:pPr>
    </w:p>
    <w:p>
      <w:pPr>
        <w:spacing w:line="300" w:lineRule="exact"/>
        <w:jc w:val="center"/>
        <w:rPr>
          <w:rFonts w:ascii="宋体" w:hAnsi="宋体" w:eastAsia="宋体" w:cs="宋体"/>
          <w:b/>
          <w:bCs/>
          <w:sz w:val="24"/>
          <w:szCs w:val="24"/>
        </w:rPr>
      </w:pPr>
    </w:p>
    <w:p>
      <w:pPr>
        <w:spacing w:line="300" w:lineRule="exact"/>
        <w:jc w:val="center"/>
        <w:rPr>
          <w:rFonts w:hint="eastAsia" w:ascii="宋体" w:hAnsi="Calibri" w:eastAsia="宋体" w:cs="宋体"/>
          <w:b/>
          <w:bCs/>
          <w:sz w:val="24"/>
          <w:szCs w:val="24"/>
          <w:lang w:eastAsia="zh-CN"/>
        </w:rPr>
      </w:pPr>
      <w:r>
        <w:rPr>
          <w:rFonts w:hint="eastAsia" w:ascii="宋体" w:hAnsi="宋体" w:eastAsia="宋体" w:cs="宋体"/>
          <w:b/>
          <w:bCs/>
          <w:sz w:val="24"/>
          <w:szCs w:val="24"/>
          <w:lang w:eastAsia="zh-CN"/>
        </w:rPr>
        <w:t>磋商响应文件</w:t>
      </w:r>
    </w:p>
    <w:p>
      <w:pPr>
        <w:spacing w:line="720" w:lineRule="auto"/>
        <w:rPr>
          <w:rFonts w:ascii="宋体" w:hAnsi="Calibri" w:eastAsia="宋体" w:cs="宋体"/>
          <w:sz w:val="24"/>
          <w:szCs w:val="24"/>
        </w:rPr>
      </w:pPr>
    </w:p>
    <w:p>
      <w:pPr>
        <w:spacing w:line="720" w:lineRule="auto"/>
        <w:rPr>
          <w:rFonts w:ascii="宋体" w:hAnsi="Calibri" w:eastAsia="宋体" w:cs="宋体"/>
          <w:sz w:val="24"/>
          <w:szCs w:val="24"/>
        </w:rPr>
      </w:pPr>
      <w:r>
        <w:rPr>
          <w:rFonts w:hint="eastAsia" w:ascii="宋体" w:hAnsi="宋体" w:eastAsia="宋体" w:cs="宋体"/>
          <w:sz w:val="24"/>
          <w:szCs w:val="24"/>
        </w:rPr>
        <w:t>供应商：（盖章）</w:t>
      </w:r>
    </w:p>
    <w:p>
      <w:pPr>
        <w:spacing w:line="720" w:lineRule="auto"/>
        <w:rPr>
          <w:rFonts w:ascii="宋体" w:hAnsi="Calibri" w:eastAsia="宋体" w:cs="宋体"/>
          <w:sz w:val="24"/>
          <w:szCs w:val="24"/>
        </w:rPr>
      </w:pPr>
      <w:r>
        <w:rPr>
          <w:rFonts w:hint="eastAsia" w:ascii="宋体" w:hAnsi="宋体" w:eastAsia="宋体" w:cs="宋体"/>
          <w:sz w:val="24"/>
          <w:szCs w:val="24"/>
        </w:rPr>
        <w:t>法定代表人：（盖章）</w:t>
      </w:r>
    </w:p>
    <w:p>
      <w:pPr>
        <w:spacing w:line="720" w:lineRule="auto"/>
        <w:rPr>
          <w:rFonts w:ascii="宋体" w:hAnsi="Calibri" w:eastAsia="宋体" w:cs="宋体"/>
          <w:sz w:val="24"/>
          <w:szCs w:val="24"/>
        </w:rPr>
      </w:pPr>
      <w:r>
        <w:rPr>
          <w:rFonts w:hint="eastAsia" w:ascii="宋体" w:hAnsi="宋体" w:eastAsia="宋体" w:cs="宋体"/>
          <w:sz w:val="24"/>
          <w:szCs w:val="24"/>
        </w:rPr>
        <w:t>单位地址：</w:t>
      </w:r>
    </w:p>
    <w:p>
      <w:pPr>
        <w:spacing w:line="720" w:lineRule="auto"/>
        <w:rPr>
          <w:rFonts w:ascii="宋体" w:hAnsi="Calibri" w:eastAsia="宋体" w:cs="宋体"/>
          <w:sz w:val="24"/>
          <w:szCs w:val="24"/>
        </w:rPr>
      </w:pPr>
      <w:r>
        <w:rPr>
          <w:rFonts w:hint="eastAsia" w:ascii="宋体" w:hAnsi="宋体" w:eastAsia="宋体" w:cs="宋体"/>
          <w:sz w:val="24"/>
          <w:szCs w:val="24"/>
        </w:rPr>
        <w:t>邮政编码：</w:t>
      </w:r>
    </w:p>
    <w:p>
      <w:pPr>
        <w:spacing w:line="720" w:lineRule="auto"/>
        <w:rPr>
          <w:rFonts w:ascii="宋体" w:hAnsi="Calibri" w:eastAsia="宋体" w:cs="宋体"/>
          <w:sz w:val="24"/>
          <w:szCs w:val="24"/>
        </w:rPr>
      </w:pPr>
      <w:r>
        <w:rPr>
          <w:rFonts w:hint="eastAsia" w:ascii="宋体" w:hAnsi="宋体" w:eastAsia="宋体" w:cs="宋体"/>
          <w:sz w:val="24"/>
          <w:szCs w:val="24"/>
        </w:rPr>
        <w:t>联系人：</w:t>
      </w:r>
    </w:p>
    <w:p>
      <w:pPr>
        <w:spacing w:line="720" w:lineRule="auto"/>
        <w:rPr>
          <w:rFonts w:ascii="宋体" w:hAnsi="Calibri" w:eastAsia="宋体" w:cs="宋体"/>
          <w:sz w:val="24"/>
          <w:szCs w:val="24"/>
        </w:rPr>
      </w:pPr>
      <w:r>
        <w:rPr>
          <w:rFonts w:hint="eastAsia" w:ascii="宋体" w:hAnsi="宋体" w:eastAsia="宋体" w:cs="宋体"/>
          <w:sz w:val="24"/>
          <w:szCs w:val="24"/>
        </w:rPr>
        <w:t>联系电话：</w:t>
      </w:r>
    </w:p>
    <w:p>
      <w:pPr>
        <w:spacing w:line="720" w:lineRule="auto"/>
        <w:rPr>
          <w:rFonts w:ascii="宋体" w:hAnsi="Calibri" w:eastAsia="宋体" w:cs="宋体"/>
          <w:sz w:val="24"/>
          <w:szCs w:val="24"/>
        </w:rPr>
      </w:pPr>
    </w:p>
    <w:p>
      <w:pPr>
        <w:spacing w:line="720" w:lineRule="auto"/>
        <w:ind w:firstLine="2" w:firstLineChars="1"/>
        <w:jc w:val="center"/>
        <w:rPr>
          <w:rFonts w:ascii="宋体" w:hAnsi="Calibri" w:eastAsia="宋体" w:cs="宋体"/>
          <w:sz w:val="24"/>
          <w:szCs w:val="24"/>
        </w:rPr>
      </w:pPr>
      <w:r>
        <w:rPr>
          <w:rFonts w:hint="eastAsia" w:ascii="宋体" w:hAnsi="宋体" w:eastAsia="宋体" w:cs="宋体"/>
          <w:sz w:val="24"/>
          <w:szCs w:val="24"/>
        </w:rPr>
        <w:t>年月日</w:t>
      </w:r>
    </w:p>
    <w:p>
      <w:pPr>
        <w:tabs>
          <w:tab w:val="center" w:pos="4832"/>
          <w:tab w:val="left" w:pos="7140"/>
        </w:tabs>
        <w:jc w:val="center"/>
        <w:outlineLvl w:val="1"/>
        <w:rPr>
          <w:rFonts w:ascii="宋体" w:hAnsi="宋体" w:eastAsia="宋体" w:cs="宋体"/>
          <w:b/>
          <w:sz w:val="24"/>
          <w:szCs w:val="24"/>
        </w:rPr>
      </w:pPr>
      <w:r>
        <w:rPr>
          <w:rFonts w:ascii="宋体" w:hAnsi="Calibri" w:eastAsia="宋体" w:cs="宋体"/>
          <w:b/>
          <w:sz w:val="24"/>
          <w:szCs w:val="24"/>
        </w:rPr>
        <w:br w:type="page"/>
      </w:r>
      <w:bookmarkStart w:id="78" w:name="_Toc104243925"/>
      <w:bookmarkStart w:id="79" w:name="_Toc531016894"/>
      <w:r>
        <w:rPr>
          <w:rFonts w:hint="eastAsia" w:ascii="宋体" w:hAnsi="宋体" w:eastAsia="宋体" w:cs="宋体"/>
          <w:b/>
          <w:sz w:val="24"/>
          <w:szCs w:val="24"/>
        </w:rPr>
        <w:t>目录</w:t>
      </w:r>
      <w:bookmarkEnd w:id="78"/>
      <w:bookmarkEnd w:id="79"/>
    </w:p>
    <w:p>
      <w:pPr>
        <w:spacing w:line="360" w:lineRule="auto"/>
        <w:rPr>
          <w:rFonts w:ascii="宋体" w:hAnsi="宋体" w:eastAsia="宋体" w:cs="Times New Roman"/>
          <w:bCs/>
          <w:sz w:val="24"/>
          <w:szCs w:val="24"/>
        </w:rPr>
      </w:pPr>
    </w:p>
    <w:p>
      <w:pPr>
        <w:spacing w:line="360" w:lineRule="auto"/>
        <w:ind w:firstLine="480" w:firstLineChars="200"/>
        <w:rPr>
          <w:rFonts w:ascii="宋体" w:hAnsi="宋体" w:eastAsia="宋体" w:cs="Times New Roman"/>
          <w:bCs/>
          <w:sz w:val="24"/>
          <w:szCs w:val="24"/>
        </w:rPr>
      </w:pPr>
      <w:r>
        <w:rPr>
          <w:rFonts w:hint="eastAsia" w:ascii="宋体" w:hAnsi="宋体" w:eastAsia="宋体" w:cs="Times New Roman"/>
          <w:bCs/>
          <w:sz w:val="24"/>
          <w:szCs w:val="24"/>
        </w:rPr>
        <w:t>(1)投标函</w:t>
      </w:r>
    </w:p>
    <w:p>
      <w:pPr>
        <w:spacing w:line="360" w:lineRule="auto"/>
        <w:ind w:firstLine="480" w:firstLineChars="200"/>
        <w:rPr>
          <w:rFonts w:ascii="宋体" w:hAnsi="宋体" w:eastAsia="宋体" w:cs="Times New Roman"/>
          <w:bCs/>
          <w:sz w:val="24"/>
          <w:szCs w:val="24"/>
        </w:rPr>
      </w:pPr>
      <w:r>
        <w:rPr>
          <w:rFonts w:hint="eastAsia" w:ascii="宋体" w:hAnsi="宋体" w:eastAsia="宋体" w:cs="Times New Roman"/>
          <w:bCs/>
          <w:sz w:val="24"/>
          <w:szCs w:val="24"/>
        </w:rPr>
        <w:t>(2)投标价格明细表</w:t>
      </w:r>
    </w:p>
    <w:p>
      <w:pPr>
        <w:spacing w:line="360" w:lineRule="auto"/>
        <w:ind w:firstLine="480" w:firstLineChars="200"/>
        <w:rPr>
          <w:rFonts w:ascii="宋体" w:hAnsi="宋体" w:eastAsia="宋体" w:cs="Times New Roman"/>
          <w:bCs/>
          <w:sz w:val="24"/>
          <w:szCs w:val="24"/>
        </w:rPr>
      </w:pPr>
      <w:r>
        <w:rPr>
          <w:rFonts w:hint="eastAsia" w:ascii="宋体" w:hAnsi="宋体" w:eastAsia="宋体" w:cs="Times New Roman"/>
          <w:bCs/>
          <w:sz w:val="24"/>
          <w:szCs w:val="24"/>
        </w:rPr>
        <w:t>(3)偏离表</w:t>
      </w:r>
    </w:p>
    <w:p>
      <w:pPr>
        <w:spacing w:line="360" w:lineRule="auto"/>
        <w:ind w:firstLine="480" w:firstLineChars="200"/>
        <w:rPr>
          <w:rFonts w:ascii="宋体" w:hAnsi="宋体" w:eastAsia="宋体" w:cs="Times New Roman"/>
          <w:bCs/>
          <w:sz w:val="24"/>
          <w:szCs w:val="24"/>
        </w:rPr>
      </w:pPr>
      <w:r>
        <w:rPr>
          <w:rFonts w:hint="eastAsia" w:ascii="宋体" w:hAnsi="宋体" w:eastAsia="宋体" w:cs="Times New Roman"/>
          <w:bCs/>
          <w:sz w:val="24"/>
          <w:szCs w:val="24"/>
        </w:rPr>
        <w:t>(4)法定代表人身份证明书</w:t>
      </w:r>
    </w:p>
    <w:p>
      <w:pPr>
        <w:spacing w:line="360" w:lineRule="auto"/>
        <w:ind w:firstLine="480" w:firstLineChars="200"/>
        <w:rPr>
          <w:rFonts w:ascii="宋体" w:hAnsi="宋体" w:eastAsia="宋体" w:cs="Times New Roman"/>
          <w:bCs/>
          <w:sz w:val="24"/>
          <w:szCs w:val="24"/>
        </w:rPr>
      </w:pPr>
      <w:r>
        <w:rPr>
          <w:rFonts w:hint="eastAsia" w:ascii="宋体" w:hAnsi="宋体" w:eastAsia="宋体" w:cs="Times New Roman"/>
          <w:bCs/>
          <w:sz w:val="24"/>
          <w:szCs w:val="24"/>
        </w:rPr>
        <w:t>(5)法定代表人授权委托书</w:t>
      </w:r>
    </w:p>
    <w:p>
      <w:pPr>
        <w:spacing w:line="360" w:lineRule="auto"/>
        <w:ind w:firstLine="480" w:firstLineChars="200"/>
        <w:rPr>
          <w:rFonts w:ascii="宋体" w:hAnsi="宋体" w:eastAsia="宋体" w:cs="Times New Roman"/>
          <w:bCs/>
          <w:sz w:val="24"/>
          <w:szCs w:val="24"/>
        </w:rPr>
      </w:pPr>
      <w:r>
        <w:rPr>
          <w:rFonts w:hint="eastAsia" w:ascii="宋体" w:hAnsi="宋体" w:eastAsia="宋体" w:cs="Times New Roman"/>
          <w:bCs/>
          <w:sz w:val="24"/>
          <w:szCs w:val="24"/>
        </w:rPr>
        <w:t>(6)供应商基本情况表及</w:t>
      </w:r>
      <w:r>
        <w:rPr>
          <w:rFonts w:hint="eastAsia" w:ascii="宋体" w:hAnsi="宋体" w:eastAsia="宋体" w:cs="宋体"/>
          <w:kern w:val="0"/>
          <w:sz w:val="24"/>
          <w:szCs w:val="24"/>
          <w:lang w:bidi="ar"/>
        </w:rPr>
        <w:t>履约能力</w:t>
      </w:r>
    </w:p>
    <w:p>
      <w:pPr>
        <w:spacing w:line="360" w:lineRule="auto"/>
        <w:ind w:firstLine="480" w:firstLineChars="200"/>
        <w:rPr>
          <w:rFonts w:ascii="宋体" w:hAnsi="宋体" w:eastAsia="宋体" w:cs="Times New Roman"/>
          <w:bCs/>
          <w:sz w:val="24"/>
          <w:szCs w:val="24"/>
        </w:rPr>
      </w:pPr>
      <w:r>
        <w:rPr>
          <w:rFonts w:hint="eastAsia" w:ascii="宋体" w:hAnsi="宋体" w:eastAsia="宋体" w:cs="Times New Roman"/>
          <w:bCs/>
          <w:sz w:val="24"/>
          <w:szCs w:val="24"/>
        </w:rPr>
        <w:t>(7)供应商近三年类似项目业绩表（</w:t>
      </w:r>
      <w:r>
        <w:rPr>
          <w:rFonts w:hint="eastAsia" w:ascii="宋体" w:hAnsi="宋体" w:eastAsia="宋体" w:cs="宋体"/>
          <w:kern w:val="0"/>
          <w:sz w:val="24"/>
          <w:szCs w:val="24"/>
          <w:lang w:bidi="ar"/>
        </w:rPr>
        <w:t>业绩案例</w:t>
      </w:r>
      <w:r>
        <w:rPr>
          <w:rFonts w:hint="eastAsia" w:ascii="宋体" w:hAnsi="宋体" w:eastAsia="宋体" w:cs="Times New Roman"/>
          <w:bCs/>
          <w:sz w:val="24"/>
          <w:szCs w:val="24"/>
        </w:rPr>
        <w:t>）</w:t>
      </w:r>
    </w:p>
    <w:p>
      <w:pPr>
        <w:spacing w:line="360" w:lineRule="auto"/>
        <w:ind w:firstLine="480" w:firstLineChars="200"/>
        <w:rPr>
          <w:rFonts w:ascii="宋体" w:hAnsi="宋体" w:eastAsia="宋体" w:cs="Times New Roman"/>
          <w:bCs/>
          <w:sz w:val="24"/>
          <w:szCs w:val="24"/>
        </w:rPr>
      </w:pPr>
      <w:r>
        <w:rPr>
          <w:rFonts w:hint="eastAsia" w:ascii="宋体" w:hAnsi="宋体" w:eastAsia="宋体" w:cs="Times New Roman"/>
          <w:bCs/>
          <w:sz w:val="24"/>
          <w:szCs w:val="24"/>
        </w:rPr>
        <w:t>(8)拟派项目负责人简历表</w:t>
      </w:r>
    </w:p>
    <w:p>
      <w:pPr>
        <w:spacing w:line="360" w:lineRule="auto"/>
        <w:ind w:firstLine="480" w:firstLineChars="200"/>
        <w:rPr>
          <w:rFonts w:ascii="宋体" w:hAnsi="宋体" w:eastAsia="宋体" w:cs="Times New Roman"/>
          <w:bCs/>
          <w:sz w:val="24"/>
          <w:szCs w:val="24"/>
        </w:rPr>
      </w:pPr>
      <w:r>
        <w:rPr>
          <w:rFonts w:hint="eastAsia" w:ascii="宋体" w:hAnsi="宋体" w:eastAsia="宋体" w:cs="Times New Roman"/>
          <w:bCs/>
          <w:sz w:val="24"/>
          <w:szCs w:val="24"/>
        </w:rPr>
        <w:t>(9)拟派本项目服务人员情况表（项目团队能力）</w:t>
      </w:r>
    </w:p>
    <w:p>
      <w:pPr>
        <w:spacing w:line="360" w:lineRule="auto"/>
        <w:ind w:firstLine="480" w:firstLineChars="200"/>
        <w:rPr>
          <w:rFonts w:ascii="宋体" w:hAnsi="宋体" w:eastAsia="宋体" w:cs="Times New Roman"/>
          <w:bCs/>
          <w:sz w:val="24"/>
          <w:szCs w:val="24"/>
        </w:rPr>
      </w:pPr>
      <w:r>
        <w:rPr>
          <w:rFonts w:hint="eastAsia" w:ascii="宋体" w:hAnsi="宋体" w:eastAsia="宋体" w:cs="Times New Roman"/>
          <w:bCs/>
          <w:sz w:val="24"/>
          <w:szCs w:val="24"/>
        </w:rPr>
        <w:t>(10)服务方案：</w:t>
      </w:r>
    </w:p>
    <w:p>
      <w:pPr>
        <w:spacing w:line="360" w:lineRule="auto"/>
        <w:ind w:firstLine="480" w:firstLineChars="200"/>
        <w:rPr>
          <w:rFonts w:ascii="宋体" w:hAnsi="宋体" w:eastAsia="宋体" w:cs="Times New Roman"/>
          <w:bCs/>
          <w:sz w:val="24"/>
          <w:szCs w:val="24"/>
        </w:rPr>
      </w:pPr>
      <w:r>
        <w:rPr>
          <w:rFonts w:hint="eastAsia" w:ascii="宋体" w:hAnsi="宋体" w:eastAsia="宋体" w:cs="Times New Roman"/>
          <w:bCs/>
          <w:sz w:val="24"/>
          <w:szCs w:val="24"/>
        </w:rPr>
        <w:t>(11)其他需要提交的资料</w:t>
      </w:r>
    </w:p>
    <w:p>
      <w:pPr>
        <w:spacing w:line="360" w:lineRule="auto"/>
        <w:ind w:firstLine="480" w:firstLineChars="200"/>
        <w:rPr>
          <w:rFonts w:ascii="宋体" w:hAnsi="Calibri" w:eastAsia="宋体" w:cs="Times New Roman"/>
          <w:bCs/>
          <w:sz w:val="24"/>
          <w:szCs w:val="24"/>
        </w:rPr>
      </w:pPr>
      <w:r>
        <w:rPr>
          <w:rFonts w:hint="eastAsia" w:ascii="宋体" w:hAnsi="宋体" w:eastAsia="宋体" w:cs="Times New Roman"/>
          <w:bCs/>
          <w:sz w:val="24"/>
          <w:szCs w:val="24"/>
        </w:rPr>
        <w:t>注：为了便于查找，请按上述顺序编制</w:t>
      </w:r>
      <w:r>
        <w:rPr>
          <w:rFonts w:hint="eastAsia" w:ascii="宋体" w:hAnsi="宋体" w:eastAsia="宋体" w:cs="Times New Roman"/>
          <w:bCs/>
          <w:sz w:val="24"/>
          <w:szCs w:val="24"/>
          <w:lang w:eastAsia="zh-CN"/>
        </w:rPr>
        <w:t>磋商响应文件</w:t>
      </w:r>
      <w:r>
        <w:rPr>
          <w:rFonts w:hint="eastAsia" w:ascii="宋体" w:hAnsi="宋体" w:eastAsia="宋体" w:cs="Times New Roman"/>
          <w:bCs/>
          <w:sz w:val="24"/>
          <w:szCs w:val="24"/>
        </w:rPr>
        <w:t>内容，并在目录中标明每项内容的起始页码。</w:t>
      </w:r>
    </w:p>
    <w:p>
      <w:pPr>
        <w:tabs>
          <w:tab w:val="center" w:pos="4832"/>
          <w:tab w:val="left" w:pos="7140"/>
        </w:tabs>
        <w:spacing w:line="360" w:lineRule="auto"/>
        <w:jc w:val="center"/>
        <w:outlineLvl w:val="1"/>
        <w:rPr>
          <w:rFonts w:ascii="宋体" w:hAnsi="宋体"/>
          <w:b/>
          <w:sz w:val="24"/>
          <w:szCs w:val="24"/>
        </w:rPr>
      </w:pPr>
      <w:r>
        <w:rPr>
          <w:rFonts w:ascii="宋体" w:hAnsi="Calibri" w:eastAsia="宋体" w:cs="宋体"/>
          <w:b/>
          <w:sz w:val="24"/>
          <w:szCs w:val="24"/>
        </w:rPr>
        <w:br w:type="page"/>
      </w:r>
      <w:bookmarkStart w:id="80" w:name="_Toc507586166"/>
      <w:bookmarkStart w:id="81" w:name="_Toc104243926"/>
      <w:bookmarkStart w:id="82" w:name="_Toc103717597"/>
      <w:bookmarkStart w:id="83" w:name="_Toc38446470"/>
      <w:bookmarkStart w:id="84" w:name="_Toc533503181"/>
      <w:r>
        <w:rPr>
          <w:rFonts w:hint="eastAsia" w:ascii="宋体" w:hAnsi="宋体"/>
          <w:b/>
          <w:sz w:val="24"/>
          <w:szCs w:val="24"/>
        </w:rPr>
        <w:t>一、投标函</w:t>
      </w:r>
      <w:bookmarkEnd w:id="80"/>
      <w:bookmarkEnd w:id="81"/>
      <w:bookmarkEnd w:id="82"/>
      <w:bookmarkEnd w:id="83"/>
      <w:bookmarkEnd w:id="84"/>
    </w:p>
    <w:p>
      <w:pPr>
        <w:widowControl/>
        <w:shd w:val="clear" w:color="auto" w:fill="FFFFFF"/>
        <w:snapToGrid w:val="0"/>
        <w:spacing w:line="360" w:lineRule="auto"/>
        <w:jc w:val="left"/>
        <w:rPr>
          <w:rFonts w:ascii="宋体" w:cs="Arial"/>
          <w:kern w:val="0"/>
          <w:sz w:val="24"/>
          <w:szCs w:val="24"/>
        </w:rPr>
      </w:pPr>
    </w:p>
    <w:p>
      <w:pPr>
        <w:widowControl/>
        <w:shd w:val="clear" w:color="auto" w:fill="FFFFFF"/>
        <w:snapToGrid w:val="0"/>
        <w:spacing w:line="360" w:lineRule="auto"/>
        <w:jc w:val="left"/>
        <w:rPr>
          <w:rFonts w:ascii="宋体" w:cs="Arial"/>
          <w:kern w:val="0"/>
          <w:sz w:val="24"/>
          <w:szCs w:val="24"/>
        </w:rPr>
      </w:pPr>
      <w:r>
        <w:rPr>
          <w:rFonts w:hint="eastAsia" w:ascii="宋体" w:hAnsi="宋体" w:cs="Arial"/>
          <w:kern w:val="0"/>
          <w:sz w:val="24"/>
          <w:szCs w:val="24"/>
        </w:rPr>
        <w:t>致：</w:t>
      </w:r>
      <w:r>
        <w:rPr>
          <w:rFonts w:hint="eastAsia" w:ascii="宋体" w:hAnsi="宋体" w:cs="Arial"/>
          <w:kern w:val="0"/>
          <w:sz w:val="24"/>
          <w:szCs w:val="24"/>
          <w:u w:val="single"/>
        </w:rPr>
        <w:t xml:space="preserve">                                           </w:t>
      </w:r>
      <w:r>
        <w:rPr>
          <w:rFonts w:hint="eastAsia" w:ascii="宋体" w:hAnsi="宋体" w:cs="Arial"/>
          <w:kern w:val="0"/>
          <w:sz w:val="24"/>
          <w:szCs w:val="24"/>
        </w:rPr>
        <w:t>（采购人名称）</w:t>
      </w:r>
    </w:p>
    <w:p>
      <w:pPr>
        <w:widowControl/>
        <w:shd w:val="clear" w:color="auto" w:fill="FFFFFF"/>
        <w:snapToGrid w:val="0"/>
        <w:spacing w:line="360" w:lineRule="auto"/>
        <w:ind w:firstLine="420"/>
        <w:jc w:val="left"/>
        <w:rPr>
          <w:rFonts w:ascii="宋体" w:cs="Arial"/>
          <w:kern w:val="0"/>
          <w:sz w:val="24"/>
          <w:szCs w:val="24"/>
        </w:rPr>
      </w:pPr>
      <w:r>
        <w:rPr>
          <w:rFonts w:hint="eastAsia" w:ascii="宋体" w:hAnsi="宋体" w:cs="Arial"/>
          <w:kern w:val="0"/>
          <w:sz w:val="24"/>
          <w:szCs w:val="24"/>
        </w:rPr>
        <w:t>根据已收到的</w:t>
      </w:r>
      <w:r>
        <w:rPr>
          <w:rFonts w:hint="eastAsia" w:ascii="宋体" w:hAnsi="宋体" w:cs="Arial"/>
          <w:kern w:val="0"/>
          <w:sz w:val="24"/>
          <w:szCs w:val="24"/>
          <w:u w:val="single"/>
        </w:rPr>
        <w:t xml:space="preserve">             </w:t>
      </w:r>
      <w:r>
        <w:rPr>
          <w:rFonts w:hint="eastAsia" w:ascii="宋体" w:hAnsi="宋体" w:cs="Arial"/>
          <w:kern w:val="0"/>
          <w:sz w:val="24"/>
          <w:szCs w:val="24"/>
        </w:rPr>
        <w:t>项目的</w:t>
      </w:r>
      <w:r>
        <w:rPr>
          <w:rFonts w:hint="eastAsia" w:hAnsi="宋体"/>
          <w:sz w:val="24"/>
          <w:szCs w:val="24"/>
          <w:lang w:eastAsia="zh-CN"/>
        </w:rPr>
        <w:t>竞争性磋商文件</w:t>
      </w:r>
      <w:r>
        <w:rPr>
          <w:rFonts w:hint="eastAsia" w:ascii="宋体" w:hAnsi="宋体" w:cs="Arial"/>
          <w:kern w:val="0"/>
          <w:sz w:val="24"/>
          <w:szCs w:val="24"/>
        </w:rPr>
        <w:t>，遵照</w:t>
      </w:r>
      <w:r>
        <w:rPr>
          <w:rFonts w:ascii="宋体" w:hAnsi="宋体" w:cs="Arial"/>
          <w:kern w:val="0"/>
          <w:sz w:val="24"/>
          <w:szCs w:val="24"/>
        </w:rPr>
        <w:t>《中华人民共和国</w:t>
      </w:r>
      <w:r>
        <w:rPr>
          <w:rFonts w:hint="eastAsia" w:ascii="宋体" w:hAnsi="宋体" w:cs="Arial"/>
          <w:kern w:val="0"/>
          <w:sz w:val="24"/>
          <w:szCs w:val="24"/>
        </w:rPr>
        <w:t>政府采购法</w:t>
      </w:r>
      <w:r>
        <w:rPr>
          <w:rFonts w:ascii="宋体" w:hAnsi="宋体" w:cs="Arial"/>
          <w:kern w:val="0"/>
          <w:sz w:val="24"/>
          <w:szCs w:val="24"/>
        </w:rPr>
        <w:t>》</w:t>
      </w:r>
      <w:r>
        <w:rPr>
          <w:rFonts w:hint="eastAsia" w:ascii="宋体" w:hAnsi="宋体" w:cs="Arial"/>
          <w:kern w:val="0"/>
          <w:sz w:val="24"/>
          <w:szCs w:val="24"/>
        </w:rPr>
        <w:t>等有关法律法规的规定，经考察现场和充分研究贵方的</w:t>
      </w:r>
      <w:r>
        <w:rPr>
          <w:rFonts w:hint="eastAsia" w:hAnsi="宋体"/>
          <w:sz w:val="24"/>
          <w:szCs w:val="24"/>
          <w:lang w:eastAsia="zh-CN"/>
        </w:rPr>
        <w:t>竞争性磋商文件</w:t>
      </w:r>
      <w:r>
        <w:rPr>
          <w:rFonts w:hint="eastAsia" w:ascii="宋体" w:hAnsi="宋体" w:cs="Arial"/>
          <w:kern w:val="0"/>
          <w:sz w:val="24"/>
          <w:szCs w:val="24"/>
        </w:rPr>
        <w:t>的全部内容后，我方郑重承诺如下：</w:t>
      </w:r>
    </w:p>
    <w:p>
      <w:pPr>
        <w:widowControl/>
        <w:shd w:val="clear" w:color="auto" w:fill="FFFFFF"/>
        <w:snapToGrid w:val="0"/>
        <w:spacing w:line="360" w:lineRule="auto"/>
        <w:ind w:firstLine="420"/>
        <w:jc w:val="left"/>
        <w:rPr>
          <w:rFonts w:ascii="宋体" w:hAnsi="宋体" w:cs="Arial"/>
          <w:kern w:val="0"/>
          <w:sz w:val="24"/>
          <w:szCs w:val="24"/>
        </w:rPr>
      </w:pPr>
      <w:r>
        <w:rPr>
          <w:rFonts w:ascii="宋体" w:hAnsi="宋体" w:cs="Arial"/>
          <w:kern w:val="0"/>
          <w:sz w:val="24"/>
          <w:szCs w:val="24"/>
        </w:rPr>
        <w:t>1.</w:t>
      </w:r>
      <w:r>
        <w:rPr>
          <w:rFonts w:hint="eastAsia" w:ascii="宋体" w:hAnsi="宋体" w:cs="Arial"/>
          <w:kern w:val="0"/>
          <w:sz w:val="24"/>
          <w:szCs w:val="24"/>
        </w:rPr>
        <w:t>我方投标价格为人民币</w:t>
      </w:r>
      <w:r>
        <w:rPr>
          <w:rFonts w:hint="eastAsia" w:ascii="宋体" w:hAnsi="宋体" w:cs="Arial"/>
          <w:kern w:val="0"/>
          <w:sz w:val="24"/>
          <w:szCs w:val="24"/>
          <w:u w:val="single"/>
        </w:rPr>
        <w:t xml:space="preserve">           </w:t>
      </w:r>
      <w:r>
        <w:rPr>
          <w:rFonts w:hint="eastAsia" w:ascii="宋体" w:hAnsi="宋体" w:cs="Arial"/>
          <w:kern w:val="0"/>
          <w:sz w:val="24"/>
          <w:szCs w:val="24"/>
        </w:rPr>
        <w:t>元（大写：</w:t>
      </w:r>
      <w:r>
        <w:rPr>
          <w:rFonts w:hint="eastAsia" w:ascii="宋体" w:hAnsi="宋体" w:cs="Arial"/>
          <w:kern w:val="0"/>
          <w:sz w:val="24"/>
          <w:szCs w:val="24"/>
          <w:u w:val="single"/>
        </w:rPr>
        <w:t xml:space="preserve">               </w:t>
      </w:r>
      <w:r>
        <w:rPr>
          <w:rFonts w:hint="eastAsia" w:ascii="宋体" w:hAnsi="宋体" w:cs="Arial"/>
          <w:kern w:val="0"/>
          <w:sz w:val="24"/>
          <w:szCs w:val="24"/>
        </w:rPr>
        <w:t>），服务周期为自合同签订之日起</w:t>
      </w:r>
      <w:r>
        <w:rPr>
          <w:rFonts w:hint="eastAsia" w:ascii="宋体" w:hAnsi="宋体" w:cs="Arial"/>
          <w:kern w:val="0"/>
          <w:sz w:val="24"/>
          <w:szCs w:val="24"/>
          <w:u w:val="single"/>
        </w:rPr>
        <w:t xml:space="preserve">    </w:t>
      </w:r>
      <w:r>
        <w:rPr>
          <w:rFonts w:hint="eastAsia" w:ascii="宋体" w:hAnsi="宋体" w:cs="Arial"/>
          <w:kern w:val="0"/>
          <w:sz w:val="24"/>
          <w:szCs w:val="24"/>
        </w:rPr>
        <w:t>年，硬件部分自合同签订之日起</w:t>
      </w:r>
      <w:r>
        <w:rPr>
          <w:rFonts w:hint="eastAsia" w:ascii="宋体" w:hAnsi="宋体" w:cs="Arial"/>
          <w:kern w:val="0"/>
          <w:sz w:val="24"/>
          <w:szCs w:val="24"/>
          <w:u w:val="single"/>
        </w:rPr>
        <w:t xml:space="preserve">    </w:t>
      </w:r>
      <w:r>
        <w:rPr>
          <w:rFonts w:hint="eastAsia" w:ascii="宋体" w:hAnsi="宋体" w:cs="Arial"/>
          <w:kern w:val="0"/>
          <w:sz w:val="24"/>
          <w:szCs w:val="24"/>
        </w:rPr>
        <w:t>个日历日内送达采购人指定地点并安装调试完毕。</w:t>
      </w:r>
    </w:p>
    <w:p>
      <w:pPr>
        <w:widowControl/>
        <w:shd w:val="clear" w:color="auto" w:fill="FFFFFF"/>
        <w:snapToGrid w:val="0"/>
        <w:spacing w:line="360" w:lineRule="auto"/>
        <w:ind w:firstLine="420"/>
        <w:jc w:val="left"/>
        <w:rPr>
          <w:rFonts w:ascii="宋体" w:cs="Arial"/>
          <w:kern w:val="0"/>
          <w:sz w:val="24"/>
          <w:szCs w:val="24"/>
        </w:rPr>
      </w:pPr>
      <w:r>
        <w:rPr>
          <w:rFonts w:ascii="宋体" w:hAnsi="宋体" w:cs="Arial"/>
          <w:kern w:val="0"/>
          <w:sz w:val="24"/>
          <w:szCs w:val="24"/>
        </w:rPr>
        <w:t>2.</w:t>
      </w:r>
      <w:r>
        <w:rPr>
          <w:rFonts w:hint="eastAsia" w:ascii="宋体" w:hAnsi="宋体" w:cs="Arial"/>
          <w:kern w:val="0"/>
          <w:sz w:val="24"/>
          <w:szCs w:val="24"/>
        </w:rPr>
        <w:t>如果我方中标，我方将在</w:t>
      </w:r>
      <w:r>
        <w:rPr>
          <w:rFonts w:hint="eastAsia" w:hAnsi="宋体"/>
          <w:sz w:val="24"/>
          <w:szCs w:val="24"/>
          <w:lang w:eastAsia="zh-CN"/>
        </w:rPr>
        <w:t>竞争性磋商文件</w:t>
      </w:r>
      <w:r>
        <w:rPr>
          <w:rFonts w:hint="eastAsia" w:ascii="宋体" w:hAnsi="宋体" w:cs="Arial"/>
          <w:kern w:val="0"/>
          <w:sz w:val="24"/>
          <w:szCs w:val="24"/>
        </w:rPr>
        <w:t>规定的时间内签订合同。如果我方违约，除没收投标保证金外，贵方有权终止我方中标并选择其它成交供应商。</w:t>
      </w:r>
    </w:p>
    <w:p>
      <w:pPr>
        <w:widowControl/>
        <w:shd w:val="clear" w:color="auto" w:fill="FFFFFF"/>
        <w:snapToGrid w:val="0"/>
        <w:spacing w:line="360" w:lineRule="auto"/>
        <w:ind w:firstLine="420"/>
        <w:jc w:val="left"/>
        <w:rPr>
          <w:rFonts w:ascii="宋体" w:cs="Arial"/>
          <w:kern w:val="0"/>
          <w:sz w:val="24"/>
          <w:szCs w:val="24"/>
        </w:rPr>
      </w:pPr>
      <w:r>
        <w:rPr>
          <w:rFonts w:hint="eastAsia" w:ascii="宋体" w:hAnsi="宋体" w:cs="Arial"/>
          <w:kern w:val="0"/>
          <w:sz w:val="24"/>
          <w:szCs w:val="24"/>
        </w:rPr>
        <w:t>3</w:t>
      </w:r>
      <w:r>
        <w:rPr>
          <w:rFonts w:ascii="宋体" w:hAnsi="宋体" w:cs="Arial"/>
          <w:kern w:val="0"/>
          <w:sz w:val="24"/>
          <w:szCs w:val="24"/>
        </w:rPr>
        <w:t>.</w:t>
      </w:r>
      <w:r>
        <w:rPr>
          <w:rFonts w:hint="eastAsia" w:ascii="宋体" w:hAnsi="宋体" w:cs="Arial"/>
          <w:kern w:val="0"/>
          <w:sz w:val="24"/>
          <w:szCs w:val="24"/>
        </w:rPr>
        <w:t>本</w:t>
      </w:r>
      <w:r>
        <w:rPr>
          <w:rFonts w:hint="eastAsia" w:hAnsi="宋体"/>
          <w:sz w:val="24"/>
          <w:szCs w:val="24"/>
          <w:lang w:eastAsia="zh-CN"/>
        </w:rPr>
        <w:t>磋商响应文件</w:t>
      </w:r>
      <w:r>
        <w:rPr>
          <w:rFonts w:hint="eastAsia" w:ascii="宋体" w:hAnsi="宋体" w:cs="Arial"/>
          <w:kern w:val="0"/>
          <w:sz w:val="24"/>
          <w:szCs w:val="24"/>
        </w:rPr>
        <w:t>在</w:t>
      </w:r>
      <w:r>
        <w:rPr>
          <w:rFonts w:hint="eastAsia" w:hAnsi="宋体"/>
          <w:sz w:val="24"/>
          <w:szCs w:val="24"/>
          <w:lang w:eastAsia="zh-CN"/>
        </w:rPr>
        <w:t>竞争性磋商文件</w:t>
      </w:r>
      <w:r>
        <w:rPr>
          <w:rFonts w:hint="eastAsia" w:ascii="宋体" w:hAnsi="宋体" w:cs="Arial"/>
          <w:kern w:val="0"/>
          <w:sz w:val="24"/>
          <w:szCs w:val="24"/>
        </w:rPr>
        <w:t>规定的投标有效期内对我方具有约束力，如果我方在投标有效期内撤销投标，其投标保证金将被贵方没收。</w:t>
      </w:r>
    </w:p>
    <w:p>
      <w:pPr>
        <w:widowControl/>
        <w:shd w:val="clear" w:color="auto" w:fill="FFFFFF"/>
        <w:snapToGrid w:val="0"/>
        <w:spacing w:line="360" w:lineRule="auto"/>
        <w:ind w:firstLine="420"/>
        <w:jc w:val="left"/>
        <w:rPr>
          <w:rFonts w:ascii="宋体" w:hAnsi="宋体" w:cs="Arial"/>
          <w:kern w:val="0"/>
          <w:sz w:val="24"/>
          <w:szCs w:val="24"/>
        </w:rPr>
      </w:pPr>
      <w:r>
        <w:rPr>
          <w:rFonts w:hint="eastAsia" w:ascii="宋体" w:hAnsi="宋体" w:cs="Arial"/>
          <w:kern w:val="0"/>
          <w:sz w:val="24"/>
          <w:szCs w:val="24"/>
        </w:rPr>
        <w:t>4</w:t>
      </w:r>
      <w:r>
        <w:rPr>
          <w:rFonts w:ascii="宋体" w:hAnsi="宋体" w:cs="Arial"/>
          <w:kern w:val="0"/>
          <w:sz w:val="24"/>
          <w:szCs w:val="24"/>
        </w:rPr>
        <w:t>.</w:t>
      </w:r>
      <w:r>
        <w:rPr>
          <w:rFonts w:hint="eastAsia" w:ascii="宋体" w:hAnsi="宋体" w:cs="Arial"/>
          <w:kern w:val="0"/>
          <w:sz w:val="24"/>
          <w:szCs w:val="24"/>
        </w:rPr>
        <w:t>我方已详细阅读</w:t>
      </w:r>
      <w:r>
        <w:rPr>
          <w:rFonts w:hint="eastAsia" w:hAnsi="宋体"/>
          <w:sz w:val="24"/>
          <w:szCs w:val="24"/>
          <w:lang w:eastAsia="zh-CN"/>
        </w:rPr>
        <w:t>竞争性磋商文件</w:t>
      </w:r>
      <w:r>
        <w:rPr>
          <w:rFonts w:hint="eastAsia" w:ascii="宋体" w:hAnsi="宋体" w:cs="Arial"/>
          <w:kern w:val="0"/>
          <w:sz w:val="24"/>
          <w:szCs w:val="24"/>
        </w:rPr>
        <w:t>全部内容且完全理解，同意放弃对这方面有不明及误解的权力。若有违反，同意被废除投标资格并接受处罚。</w:t>
      </w:r>
    </w:p>
    <w:p>
      <w:pPr>
        <w:widowControl/>
        <w:shd w:val="clear" w:color="auto" w:fill="FFFFFF"/>
        <w:snapToGrid w:val="0"/>
        <w:spacing w:line="360" w:lineRule="auto"/>
        <w:ind w:firstLine="420"/>
        <w:jc w:val="left"/>
        <w:rPr>
          <w:rFonts w:ascii="宋体" w:hAnsi="宋体" w:cs="Arial"/>
          <w:kern w:val="0"/>
          <w:sz w:val="24"/>
          <w:szCs w:val="24"/>
        </w:rPr>
      </w:pPr>
      <w:r>
        <w:rPr>
          <w:rFonts w:hint="eastAsia" w:ascii="宋体" w:hAnsi="宋体" w:cs="Arial"/>
          <w:kern w:val="0"/>
          <w:sz w:val="24"/>
          <w:szCs w:val="24"/>
        </w:rPr>
        <w:t>5.我方保证</w:t>
      </w:r>
      <w:r>
        <w:rPr>
          <w:rFonts w:hint="eastAsia" w:hAnsi="宋体"/>
          <w:sz w:val="24"/>
          <w:szCs w:val="24"/>
          <w:lang w:eastAsia="zh-CN"/>
        </w:rPr>
        <w:t>磋商响应文件</w:t>
      </w:r>
      <w:r>
        <w:rPr>
          <w:rFonts w:hint="eastAsia" w:ascii="宋体" w:hAnsi="宋体" w:cs="Arial"/>
          <w:kern w:val="0"/>
          <w:sz w:val="24"/>
          <w:szCs w:val="24"/>
        </w:rPr>
        <w:t>内容无任何虚假、未侵犯他人知识产权。如有虚假，同意废除中标资格并被没收投标担保，承担因侵犯他人知识产权而由此引起的全部法律责任和经济责任。</w:t>
      </w:r>
    </w:p>
    <w:p>
      <w:pPr>
        <w:widowControl/>
        <w:shd w:val="clear" w:color="auto" w:fill="FFFFFF"/>
        <w:snapToGrid w:val="0"/>
        <w:spacing w:line="360" w:lineRule="auto"/>
        <w:ind w:firstLine="420"/>
        <w:jc w:val="left"/>
        <w:rPr>
          <w:rFonts w:ascii="宋体" w:cs="Arial"/>
          <w:kern w:val="0"/>
          <w:sz w:val="24"/>
          <w:szCs w:val="24"/>
        </w:rPr>
      </w:pPr>
      <w:r>
        <w:rPr>
          <w:rFonts w:hint="eastAsia" w:ascii="宋体" w:hAnsi="宋体" w:cs="Arial"/>
          <w:kern w:val="0"/>
          <w:sz w:val="24"/>
          <w:szCs w:val="24"/>
        </w:rPr>
        <w:t>6</w:t>
      </w:r>
      <w:r>
        <w:rPr>
          <w:rFonts w:ascii="宋体" w:hAnsi="宋体" w:cs="Arial"/>
          <w:kern w:val="0"/>
          <w:sz w:val="24"/>
          <w:szCs w:val="24"/>
        </w:rPr>
        <w:t>.</w:t>
      </w:r>
      <w:r>
        <w:rPr>
          <w:rFonts w:hint="eastAsia" w:ascii="宋体" w:hAnsi="宋体" w:cs="Arial"/>
          <w:kern w:val="0"/>
          <w:sz w:val="24"/>
          <w:szCs w:val="24"/>
        </w:rPr>
        <w:t>我方愿意提供贵方可能要求的与投标有关的一切数据或资料，完全理解贵方不一定接受最低投标报价的投标或收到的任何投标。</w:t>
      </w:r>
    </w:p>
    <w:p>
      <w:pPr>
        <w:widowControl/>
        <w:shd w:val="clear" w:color="auto" w:fill="FFFFFF"/>
        <w:snapToGrid w:val="0"/>
        <w:spacing w:line="360" w:lineRule="auto"/>
        <w:ind w:firstLine="420"/>
        <w:jc w:val="left"/>
        <w:rPr>
          <w:rFonts w:ascii="宋体" w:hAnsi="宋体" w:cs="Arial"/>
          <w:kern w:val="0"/>
          <w:sz w:val="24"/>
          <w:szCs w:val="24"/>
        </w:rPr>
      </w:pPr>
      <w:r>
        <w:rPr>
          <w:rFonts w:hint="eastAsia" w:ascii="宋体" w:hAnsi="宋体" w:cs="Arial"/>
          <w:kern w:val="0"/>
          <w:sz w:val="24"/>
          <w:szCs w:val="24"/>
        </w:rPr>
        <w:t>7</w:t>
      </w:r>
      <w:r>
        <w:rPr>
          <w:rFonts w:ascii="宋体" w:hAnsi="宋体" w:cs="Arial"/>
          <w:kern w:val="0"/>
          <w:sz w:val="24"/>
          <w:szCs w:val="24"/>
        </w:rPr>
        <w:t>.</w:t>
      </w:r>
      <w:r>
        <w:rPr>
          <w:rFonts w:hint="eastAsia" w:ascii="宋体" w:hAnsi="宋体" w:cs="Arial"/>
          <w:kern w:val="0"/>
          <w:sz w:val="24"/>
          <w:szCs w:val="24"/>
        </w:rPr>
        <w:t>我方派法定代表人或其授权委托人作为我方代表，负责按时参加开标会并签署与投标有关的相关文件等。</w:t>
      </w:r>
    </w:p>
    <w:p>
      <w:pPr>
        <w:widowControl/>
        <w:shd w:val="clear" w:color="auto" w:fill="FFFFFF"/>
        <w:snapToGrid w:val="0"/>
        <w:spacing w:line="360" w:lineRule="auto"/>
        <w:ind w:firstLine="420"/>
        <w:jc w:val="left"/>
        <w:rPr>
          <w:rFonts w:ascii="宋体" w:hAnsi="宋体"/>
          <w:sz w:val="24"/>
        </w:rPr>
      </w:pPr>
      <w:r>
        <w:rPr>
          <w:rFonts w:hint="eastAsia" w:ascii="宋体" w:hAnsi="宋体" w:cs="Arial"/>
          <w:kern w:val="0"/>
          <w:sz w:val="24"/>
          <w:szCs w:val="24"/>
        </w:rPr>
        <w:t>8.我方</w:t>
      </w:r>
      <w:r>
        <w:rPr>
          <w:rFonts w:hint="eastAsia" w:ascii="宋体" w:hAnsi="宋体"/>
          <w:sz w:val="24"/>
        </w:rPr>
        <w:t>保证按</w:t>
      </w:r>
      <w:r>
        <w:rPr>
          <w:rFonts w:hint="eastAsia" w:hAnsi="宋体"/>
          <w:sz w:val="24"/>
          <w:szCs w:val="24"/>
          <w:lang w:eastAsia="zh-CN"/>
        </w:rPr>
        <w:t>竞争性磋商文件</w:t>
      </w:r>
      <w:r>
        <w:rPr>
          <w:rFonts w:hint="eastAsia" w:ascii="宋体" w:hAnsi="宋体"/>
          <w:sz w:val="24"/>
        </w:rPr>
        <w:t>及合同约定原则处理因采购人原因增加或调整的工作量及其他事宜。</w:t>
      </w:r>
    </w:p>
    <w:p>
      <w:pPr>
        <w:widowControl/>
        <w:shd w:val="clear" w:color="auto" w:fill="FFFFFF"/>
        <w:snapToGrid w:val="0"/>
        <w:spacing w:line="384" w:lineRule="auto"/>
        <w:ind w:firstLine="420"/>
        <w:jc w:val="left"/>
        <w:rPr>
          <w:rFonts w:ascii="宋体" w:hAnsi="Calibri" w:eastAsia="宋体" w:cs="Arial"/>
          <w:kern w:val="0"/>
          <w:sz w:val="24"/>
          <w:szCs w:val="24"/>
        </w:rPr>
      </w:pPr>
      <w:r>
        <w:rPr>
          <w:rFonts w:hint="eastAsia" w:ascii="宋体" w:hAnsi="宋体" w:eastAsia="宋体" w:cs="Arial"/>
          <w:kern w:val="0"/>
          <w:sz w:val="24"/>
          <w:szCs w:val="24"/>
        </w:rPr>
        <w:t>9. 如我方中标，我方自愿向采购代理机构支付咨询费，并在合同签订后3个工作日内向采购代理机构提供采购合同原件一份用于采购资料备案工作。</w:t>
      </w:r>
    </w:p>
    <w:p>
      <w:pPr>
        <w:widowControl/>
        <w:shd w:val="clear" w:color="auto" w:fill="FFFFFF"/>
        <w:snapToGrid w:val="0"/>
        <w:spacing w:line="360" w:lineRule="auto"/>
        <w:jc w:val="left"/>
        <w:rPr>
          <w:rFonts w:ascii="宋体" w:cs="Arial"/>
          <w:kern w:val="0"/>
          <w:sz w:val="24"/>
          <w:szCs w:val="24"/>
        </w:rPr>
      </w:pPr>
    </w:p>
    <w:p>
      <w:pPr>
        <w:widowControl/>
        <w:shd w:val="clear" w:color="auto" w:fill="FFFFFF"/>
        <w:snapToGrid w:val="0"/>
        <w:spacing w:line="360" w:lineRule="auto"/>
        <w:jc w:val="left"/>
        <w:rPr>
          <w:rFonts w:ascii="宋体" w:cs="Arial"/>
          <w:kern w:val="0"/>
          <w:sz w:val="24"/>
          <w:szCs w:val="24"/>
        </w:rPr>
      </w:pPr>
      <w:r>
        <w:rPr>
          <w:rFonts w:hint="eastAsia" w:ascii="宋体" w:hAnsi="宋体" w:cs="Arial"/>
          <w:kern w:val="0"/>
          <w:sz w:val="24"/>
          <w:szCs w:val="24"/>
        </w:rPr>
        <w:t>供应商：</w:t>
      </w:r>
      <w:r>
        <w:rPr>
          <w:rFonts w:hint="eastAsia" w:ascii="宋体" w:hAnsi="宋体" w:cs="Arial"/>
          <w:kern w:val="0"/>
          <w:sz w:val="24"/>
          <w:szCs w:val="24"/>
          <w:u w:val="single"/>
        </w:rPr>
        <w:t xml:space="preserve">               </w:t>
      </w:r>
      <w:r>
        <w:rPr>
          <w:rFonts w:hint="eastAsia" w:ascii="宋体" w:hAnsi="宋体" w:cs="Arial"/>
          <w:kern w:val="0"/>
          <w:sz w:val="24"/>
          <w:szCs w:val="24"/>
        </w:rPr>
        <w:t>（盖章）</w:t>
      </w:r>
    </w:p>
    <w:p>
      <w:pPr>
        <w:widowControl/>
        <w:shd w:val="clear" w:color="auto" w:fill="FFFFFF"/>
        <w:snapToGrid w:val="0"/>
        <w:spacing w:line="360" w:lineRule="auto"/>
        <w:jc w:val="left"/>
        <w:rPr>
          <w:rFonts w:ascii="宋体" w:cs="Arial"/>
          <w:kern w:val="0"/>
          <w:sz w:val="24"/>
          <w:szCs w:val="24"/>
        </w:rPr>
      </w:pPr>
    </w:p>
    <w:p>
      <w:pPr>
        <w:widowControl/>
        <w:shd w:val="clear" w:color="auto" w:fill="FFFFFF"/>
        <w:snapToGrid w:val="0"/>
        <w:spacing w:line="360" w:lineRule="auto"/>
        <w:jc w:val="left"/>
        <w:rPr>
          <w:rFonts w:ascii="宋体" w:cs="Arial"/>
          <w:kern w:val="0"/>
          <w:sz w:val="24"/>
          <w:szCs w:val="24"/>
        </w:rPr>
      </w:pPr>
      <w:r>
        <w:rPr>
          <w:rFonts w:hint="eastAsia" w:ascii="宋体" w:hAnsi="宋体" w:cs="Arial"/>
          <w:kern w:val="0"/>
          <w:sz w:val="24"/>
          <w:szCs w:val="24"/>
        </w:rPr>
        <w:t>法定代表人：</w:t>
      </w:r>
      <w:r>
        <w:rPr>
          <w:rFonts w:hint="eastAsia" w:ascii="宋体" w:hAnsi="宋体" w:cs="Arial"/>
          <w:kern w:val="0"/>
          <w:sz w:val="24"/>
          <w:szCs w:val="24"/>
          <w:u w:val="single"/>
        </w:rPr>
        <w:t xml:space="preserve">           </w:t>
      </w:r>
      <w:r>
        <w:rPr>
          <w:rFonts w:hint="eastAsia" w:ascii="宋体" w:hAnsi="宋体" w:cs="Arial"/>
          <w:kern w:val="0"/>
          <w:sz w:val="24"/>
          <w:szCs w:val="24"/>
        </w:rPr>
        <w:t>（盖章）</w:t>
      </w:r>
    </w:p>
    <w:p>
      <w:pPr>
        <w:widowControl/>
        <w:shd w:val="clear" w:color="auto" w:fill="FFFFFF"/>
        <w:snapToGrid w:val="0"/>
        <w:spacing w:line="360" w:lineRule="auto"/>
        <w:ind w:firstLine="420"/>
        <w:jc w:val="center"/>
        <w:rPr>
          <w:rFonts w:ascii="宋体" w:cs="Arial"/>
          <w:kern w:val="0"/>
          <w:sz w:val="24"/>
          <w:szCs w:val="24"/>
        </w:rPr>
      </w:pPr>
      <w:r>
        <w:rPr>
          <w:rFonts w:hint="eastAsia" w:ascii="宋体" w:hAnsi="宋体" w:cs="Arial"/>
          <w:kern w:val="0"/>
          <w:sz w:val="24"/>
          <w:szCs w:val="24"/>
        </w:rPr>
        <w:t xml:space="preserve">                                               日期：年 月 日</w:t>
      </w:r>
    </w:p>
    <w:p>
      <w:pPr>
        <w:widowControl/>
        <w:jc w:val="center"/>
        <w:outlineLvl w:val="1"/>
        <w:rPr>
          <w:rFonts w:ascii="宋体" w:hAnsi="宋体"/>
          <w:b/>
          <w:sz w:val="24"/>
          <w:szCs w:val="24"/>
        </w:rPr>
      </w:pPr>
      <w:bookmarkStart w:id="85" w:name="_Toc103717598"/>
      <w:bookmarkStart w:id="86" w:name="_Toc507586167"/>
      <w:bookmarkStart w:id="87" w:name="_Toc104243927"/>
      <w:bookmarkStart w:id="88" w:name="_Toc533503182"/>
      <w:bookmarkStart w:id="89" w:name="_Toc38446472"/>
      <w:bookmarkStart w:id="90" w:name="_Toc17484446"/>
      <w:bookmarkStart w:id="91" w:name="_Toc533503183"/>
      <w:bookmarkStart w:id="92" w:name="_Toc507586168"/>
      <w:r>
        <w:rPr>
          <w:rFonts w:hint="eastAsia" w:ascii="宋体" w:hAnsi="宋体"/>
          <w:b/>
          <w:sz w:val="24"/>
          <w:szCs w:val="24"/>
        </w:rPr>
        <w:t>二、投标价格明细表</w:t>
      </w:r>
      <w:bookmarkEnd w:id="85"/>
      <w:bookmarkEnd w:id="86"/>
      <w:bookmarkEnd w:id="87"/>
      <w:bookmarkEnd w:id="88"/>
      <w:bookmarkEnd w:id="89"/>
      <w:bookmarkEnd w:id="90"/>
    </w:p>
    <w:p>
      <w:pPr>
        <w:adjustRightInd w:val="0"/>
        <w:snapToGrid w:val="0"/>
        <w:spacing w:line="400" w:lineRule="exact"/>
        <w:ind w:right="480" w:firstLine="600" w:firstLineChars="250"/>
        <w:rPr>
          <w:rFonts w:ascii="宋体" w:hAnsi="宋体"/>
          <w:sz w:val="24"/>
        </w:rPr>
      </w:pPr>
      <w:r>
        <w:rPr>
          <w:rFonts w:hint="eastAsia" w:ascii="宋体" w:hAnsi="宋体"/>
          <w:sz w:val="24"/>
        </w:rPr>
        <w:t>项目名称：                                         价格单位：元</w:t>
      </w:r>
    </w:p>
    <w:tbl>
      <w:tblPr>
        <w:tblStyle w:val="39"/>
        <w:tblW w:w="791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586"/>
        <w:gridCol w:w="2577"/>
        <w:gridCol w:w="1913"/>
        <w:gridCol w:w="184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586"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Theme="minorEastAsia" w:hAnsiTheme="minorEastAsia"/>
                <w:sz w:val="24"/>
                <w:szCs w:val="24"/>
                <w:lang w:bidi="en-US"/>
              </w:rPr>
            </w:pPr>
            <w:r>
              <w:rPr>
                <w:rFonts w:hint="eastAsia" w:eastAsia="宋体" w:cs="Times New Roman" w:asciiTheme="minorEastAsia" w:hAnsiTheme="minorEastAsia"/>
                <w:sz w:val="24"/>
                <w:szCs w:val="24"/>
                <w:lang w:bidi="en-US"/>
              </w:rPr>
              <w:t>序号</w:t>
            </w:r>
          </w:p>
        </w:tc>
        <w:tc>
          <w:tcPr>
            <w:tcW w:w="2577"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Theme="minorEastAsia" w:hAnsiTheme="minorEastAsia"/>
                <w:sz w:val="24"/>
                <w:szCs w:val="24"/>
                <w:lang w:bidi="en-US"/>
              </w:rPr>
            </w:pPr>
            <w:r>
              <w:rPr>
                <w:rFonts w:hint="eastAsia" w:eastAsia="宋体" w:cs="Times New Roman" w:asciiTheme="minorEastAsia" w:hAnsiTheme="minorEastAsia"/>
                <w:sz w:val="24"/>
                <w:szCs w:val="24"/>
                <w:lang w:bidi="en-US"/>
              </w:rPr>
              <w:t>名称</w:t>
            </w:r>
          </w:p>
        </w:tc>
        <w:tc>
          <w:tcPr>
            <w:tcW w:w="1913"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Theme="minorEastAsia" w:hAnsiTheme="minorEastAsia"/>
                <w:sz w:val="24"/>
                <w:szCs w:val="24"/>
                <w:lang w:bidi="en-US"/>
              </w:rPr>
            </w:pPr>
            <w:r>
              <w:rPr>
                <w:rFonts w:eastAsia="宋体" w:cs="Times New Roman" w:asciiTheme="minorEastAsia" w:hAnsiTheme="minorEastAsia"/>
                <w:sz w:val="24"/>
                <w:szCs w:val="24"/>
                <w:lang w:bidi="en-US"/>
              </w:rPr>
              <w:t>价格</w:t>
            </w:r>
          </w:p>
        </w:tc>
        <w:tc>
          <w:tcPr>
            <w:tcW w:w="1843" w:type="dxa"/>
            <w:tcBorders>
              <w:top w:val="single" w:color="000000" w:sz="4" w:space="0"/>
              <w:left w:val="single" w:color="000000" w:sz="4" w:space="0"/>
              <w:bottom w:val="single" w:color="000000" w:sz="4" w:space="0"/>
              <w:right w:val="single" w:color="000000" w:sz="4" w:space="0"/>
            </w:tcBorders>
          </w:tcPr>
          <w:p>
            <w:pPr>
              <w:spacing w:line="360" w:lineRule="auto"/>
              <w:jc w:val="center"/>
              <w:rPr>
                <w:rFonts w:asciiTheme="minorEastAsia" w:hAnsiTheme="minorEastAsia"/>
                <w:sz w:val="24"/>
                <w:szCs w:val="24"/>
                <w:lang w:bidi="en-US"/>
              </w:rPr>
            </w:pPr>
            <w:r>
              <w:rPr>
                <w:rFonts w:hint="eastAsia" w:eastAsia="宋体" w:cs="Times New Roman" w:asciiTheme="minorEastAsia" w:hAnsiTheme="minorEastAsia"/>
                <w:sz w:val="24"/>
                <w:szCs w:val="24"/>
                <w:lang w:bidi="en-US"/>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586"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Theme="minorEastAsia" w:hAnsiTheme="minorEastAsia"/>
                <w:sz w:val="24"/>
                <w:szCs w:val="24"/>
                <w:lang w:bidi="en-US"/>
              </w:rPr>
            </w:pPr>
            <w:r>
              <w:rPr>
                <w:rFonts w:hint="eastAsia" w:eastAsia="宋体" w:cs="Times New Roman" w:asciiTheme="minorEastAsia" w:hAnsiTheme="minorEastAsia"/>
                <w:sz w:val="24"/>
                <w:szCs w:val="24"/>
                <w:lang w:bidi="en-US"/>
              </w:rPr>
              <w:t>1</w:t>
            </w:r>
          </w:p>
        </w:tc>
        <w:tc>
          <w:tcPr>
            <w:tcW w:w="2577"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Theme="minorEastAsia" w:hAnsiTheme="minorEastAsia"/>
                <w:sz w:val="24"/>
                <w:szCs w:val="24"/>
                <w:lang w:bidi="en-US"/>
              </w:rPr>
            </w:pPr>
          </w:p>
        </w:tc>
        <w:tc>
          <w:tcPr>
            <w:tcW w:w="1913"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Theme="minorEastAsia" w:hAnsiTheme="minorEastAsia"/>
                <w:sz w:val="24"/>
                <w:szCs w:val="24"/>
                <w:lang w:bidi="en-US"/>
              </w:rPr>
            </w:pPr>
          </w:p>
        </w:tc>
        <w:tc>
          <w:tcPr>
            <w:tcW w:w="1843" w:type="dxa"/>
            <w:tcBorders>
              <w:top w:val="single" w:color="000000" w:sz="4" w:space="0"/>
              <w:left w:val="single" w:color="000000" w:sz="4" w:space="0"/>
              <w:bottom w:val="single" w:color="000000" w:sz="4" w:space="0"/>
              <w:right w:val="single" w:color="000000" w:sz="4" w:space="0"/>
            </w:tcBorders>
          </w:tcPr>
          <w:p>
            <w:pPr>
              <w:spacing w:line="360" w:lineRule="auto"/>
              <w:jc w:val="center"/>
              <w:rPr>
                <w:rFonts w:asciiTheme="minorEastAsia" w:hAnsiTheme="minorEastAsia"/>
                <w:sz w:val="24"/>
                <w:szCs w:val="24"/>
                <w:lang w:bidi="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586"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Theme="minorEastAsia" w:hAnsiTheme="minorEastAsia"/>
                <w:sz w:val="24"/>
                <w:szCs w:val="24"/>
                <w:lang w:bidi="en-US"/>
              </w:rPr>
            </w:pPr>
            <w:r>
              <w:rPr>
                <w:rFonts w:hint="eastAsia" w:eastAsia="宋体" w:cs="Times New Roman" w:asciiTheme="minorEastAsia" w:hAnsiTheme="minorEastAsia"/>
                <w:sz w:val="24"/>
                <w:szCs w:val="24"/>
                <w:lang w:bidi="en-US"/>
              </w:rPr>
              <w:t>2</w:t>
            </w:r>
          </w:p>
        </w:tc>
        <w:tc>
          <w:tcPr>
            <w:tcW w:w="2577"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Theme="minorEastAsia" w:hAnsiTheme="minorEastAsia"/>
                <w:sz w:val="24"/>
                <w:szCs w:val="24"/>
                <w:lang w:bidi="en-US"/>
              </w:rPr>
            </w:pPr>
          </w:p>
        </w:tc>
        <w:tc>
          <w:tcPr>
            <w:tcW w:w="1913"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Theme="minorEastAsia" w:hAnsiTheme="minorEastAsia"/>
                <w:sz w:val="24"/>
                <w:szCs w:val="24"/>
                <w:lang w:bidi="en-US"/>
              </w:rPr>
            </w:pPr>
          </w:p>
        </w:tc>
        <w:tc>
          <w:tcPr>
            <w:tcW w:w="1843" w:type="dxa"/>
            <w:tcBorders>
              <w:top w:val="single" w:color="000000" w:sz="4" w:space="0"/>
              <w:left w:val="single" w:color="000000" w:sz="4" w:space="0"/>
              <w:bottom w:val="single" w:color="000000" w:sz="4" w:space="0"/>
              <w:right w:val="single" w:color="000000" w:sz="4" w:space="0"/>
            </w:tcBorders>
          </w:tcPr>
          <w:p>
            <w:pPr>
              <w:spacing w:line="360" w:lineRule="auto"/>
              <w:jc w:val="center"/>
              <w:rPr>
                <w:rFonts w:asciiTheme="minorEastAsia" w:hAnsiTheme="minorEastAsia"/>
                <w:sz w:val="24"/>
                <w:szCs w:val="24"/>
                <w:lang w:bidi="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586"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Theme="minorEastAsia" w:hAnsiTheme="minorEastAsia"/>
                <w:sz w:val="24"/>
                <w:szCs w:val="24"/>
                <w:lang w:bidi="en-US"/>
              </w:rPr>
            </w:pPr>
            <w:r>
              <w:rPr>
                <w:rFonts w:hint="eastAsia" w:eastAsia="宋体" w:cs="Times New Roman" w:asciiTheme="minorEastAsia" w:hAnsiTheme="minorEastAsia"/>
                <w:sz w:val="24"/>
                <w:szCs w:val="24"/>
                <w:lang w:bidi="en-US"/>
              </w:rPr>
              <w:t>3</w:t>
            </w:r>
          </w:p>
        </w:tc>
        <w:tc>
          <w:tcPr>
            <w:tcW w:w="2577"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Theme="minorEastAsia" w:hAnsiTheme="minorEastAsia"/>
                <w:sz w:val="24"/>
                <w:szCs w:val="24"/>
                <w:lang w:bidi="en-US"/>
              </w:rPr>
            </w:pPr>
          </w:p>
        </w:tc>
        <w:tc>
          <w:tcPr>
            <w:tcW w:w="1913"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Theme="minorEastAsia" w:hAnsiTheme="minorEastAsia"/>
                <w:sz w:val="24"/>
                <w:szCs w:val="24"/>
                <w:lang w:bidi="en-US"/>
              </w:rPr>
            </w:pPr>
          </w:p>
        </w:tc>
        <w:tc>
          <w:tcPr>
            <w:tcW w:w="1843" w:type="dxa"/>
            <w:tcBorders>
              <w:top w:val="single" w:color="000000" w:sz="4" w:space="0"/>
              <w:left w:val="single" w:color="000000" w:sz="4" w:space="0"/>
              <w:bottom w:val="single" w:color="000000" w:sz="4" w:space="0"/>
              <w:right w:val="single" w:color="000000" w:sz="4" w:space="0"/>
            </w:tcBorders>
          </w:tcPr>
          <w:p>
            <w:pPr>
              <w:spacing w:line="360" w:lineRule="auto"/>
              <w:jc w:val="center"/>
              <w:rPr>
                <w:rFonts w:asciiTheme="minorEastAsia" w:hAnsiTheme="minorEastAsia"/>
                <w:sz w:val="24"/>
                <w:szCs w:val="24"/>
                <w:lang w:bidi="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586"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Theme="minorEastAsia" w:hAnsiTheme="minorEastAsia"/>
                <w:sz w:val="24"/>
                <w:szCs w:val="24"/>
                <w:lang w:bidi="en-US"/>
              </w:rPr>
            </w:pPr>
            <w:r>
              <w:rPr>
                <w:rFonts w:hint="eastAsia" w:eastAsia="宋体" w:cs="Times New Roman" w:asciiTheme="minorEastAsia" w:hAnsiTheme="minorEastAsia"/>
                <w:sz w:val="24"/>
                <w:szCs w:val="24"/>
                <w:lang w:bidi="en-US"/>
              </w:rPr>
              <w:t>……</w:t>
            </w:r>
          </w:p>
        </w:tc>
        <w:tc>
          <w:tcPr>
            <w:tcW w:w="2577"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Theme="minorEastAsia" w:hAnsiTheme="minorEastAsia"/>
                <w:sz w:val="24"/>
                <w:szCs w:val="24"/>
                <w:lang w:bidi="en-US"/>
              </w:rPr>
            </w:pPr>
          </w:p>
        </w:tc>
        <w:tc>
          <w:tcPr>
            <w:tcW w:w="1913"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Theme="minorEastAsia" w:hAnsiTheme="minorEastAsia"/>
                <w:sz w:val="24"/>
                <w:szCs w:val="24"/>
                <w:lang w:bidi="en-US"/>
              </w:rPr>
            </w:pPr>
          </w:p>
        </w:tc>
        <w:tc>
          <w:tcPr>
            <w:tcW w:w="1843" w:type="dxa"/>
            <w:tcBorders>
              <w:top w:val="single" w:color="000000" w:sz="4" w:space="0"/>
              <w:left w:val="single" w:color="000000" w:sz="4" w:space="0"/>
              <w:bottom w:val="single" w:color="000000" w:sz="4" w:space="0"/>
              <w:right w:val="single" w:color="000000" w:sz="4" w:space="0"/>
            </w:tcBorders>
          </w:tcPr>
          <w:p>
            <w:pPr>
              <w:spacing w:line="360" w:lineRule="auto"/>
              <w:jc w:val="center"/>
              <w:rPr>
                <w:rFonts w:asciiTheme="minorEastAsia" w:hAnsiTheme="minorEastAsia"/>
                <w:sz w:val="24"/>
                <w:szCs w:val="24"/>
                <w:lang w:bidi="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4163" w:type="dxa"/>
            <w:gridSpan w:val="2"/>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Theme="minorEastAsia" w:hAnsiTheme="minorEastAsia"/>
                <w:sz w:val="24"/>
                <w:szCs w:val="24"/>
                <w:lang w:bidi="en-US"/>
              </w:rPr>
            </w:pPr>
            <w:r>
              <w:rPr>
                <w:rFonts w:hint="eastAsia" w:eastAsia="宋体" w:cs="Times New Roman" w:asciiTheme="minorEastAsia" w:hAnsiTheme="minorEastAsia"/>
                <w:sz w:val="24"/>
                <w:szCs w:val="24"/>
                <w:lang w:bidi="en-US"/>
              </w:rPr>
              <w:t>合计</w:t>
            </w:r>
          </w:p>
        </w:tc>
        <w:tc>
          <w:tcPr>
            <w:tcW w:w="1913"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Theme="minorEastAsia" w:hAnsiTheme="minorEastAsia"/>
                <w:sz w:val="24"/>
                <w:szCs w:val="24"/>
                <w:lang w:bidi="en-US"/>
              </w:rPr>
            </w:pPr>
          </w:p>
        </w:tc>
        <w:tc>
          <w:tcPr>
            <w:tcW w:w="1843" w:type="dxa"/>
            <w:tcBorders>
              <w:top w:val="single" w:color="000000" w:sz="4" w:space="0"/>
              <w:left w:val="single" w:color="000000" w:sz="4" w:space="0"/>
              <w:bottom w:val="single" w:color="000000" w:sz="4" w:space="0"/>
              <w:right w:val="single" w:color="000000" w:sz="4" w:space="0"/>
            </w:tcBorders>
          </w:tcPr>
          <w:p>
            <w:pPr>
              <w:spacing w:line="360" w:lineRule="auto"/>
              <w:jc w:val="center"/>
              <w:rPr>
                <w:rFonts w:asciiTheme="minorEastAsia" w:hAnsiTheme="minorEastAsia"/>
                <w:sz w:val="24"/>
                <w:szCs w:val="24"/>
                <w:lang w:bidi="en-US"/>
              </w:rPr>
            </w:pPr>
          </w:p>
        </w:tc>
      </w:tr>
    </w:tbl>
    <w:p>
      <w:pPr>
        <w:adjustRightInd w:val="0"/>
        <w:snapToGrid w:val="0"/>
        <w:spacing w:line="400" w:lineRule="exact"/>
        <w:ind w:right="480" w:firstLine="600" w:firstLineChars="250"/>
        <w:rPr>
          <w:rFonts w:ascii="宋体" w:hAnsi="宋体"/>
          <w:sz w:val="24"/>
        </w:rPr>
      </w:pPr>
    </w:p>
    <w:p>
      <w:pPr>
        <w:adjustRightInd w:val="0"/>
        <w:snapToGrid w:val="0"/>
        <w:spacing w:line="360" w:lineRule="auto"/>
        <w:ind w:firstLine="480" w:firstLineChars="200"/>
        <w:rPr>
          <w:rFonts w:ascii="宋体" w:cs="Arial"/>
          <w:kern w:val="0"/>
          <w:sz w:val="24"/>
          <w:szCs w:val="24"/>
        </w:rPr>
      </w:pPr>
    </w:p>
    <w:p>
      <w:pPr>
        <w:adjustRightInd w:val="0"/>
        <w:snapToGrid w:val="0"/>
        <w:spacing w:line="360" w:lineRule="auto"/>
        <w:ind w:firstLine="480" w:firstLineChars="200"/>
        <w:rPr>
          <w:rFonts w:ascii="宋体" w:cs="Arial"/>
          <w:kern w:val="0"/>
          <w:sz w:val="24"/>
          <w:szCs w:val="24"/>
        </w:rPr>
      </w:pPr>
      <w:r>
        <w:rPr>
          <w:rFonts w:hint="eastAsia" w:ascii="宋体" w:cs="Arial"/>
          <w:kern w:val="0"/>
          <w:sz w:val="24"/>
          <w:szCs w:val="24"/>
        </w:rPr>
        <w:t>备注：</w:t>
      </w:r>
    </w:p>
    <w:p>
      <w:pPr>
        <w:adjustRightInd w:val="0"/>
        <w:snapToGrid w:val="0"/>
        <w:spacing w:line="360" w:lineRule="auto"/>
        <w:ind w:firstLine="480" w:firstLineChars="200"/>
        <w:rPr>
          <w:rFonts w:ascii="宋体" w:hAnsi="宋体"/>
          <w:sz w:val="24"/>
        </w:rPr>
      </w:pPr>
      <w:r>
        <w:rPr>
          <w:rFonts w:hint="eastAsia" w:ascii="宋体" w:hAnsi="宋体"/>
          <w:sz w:val="24"/>
        </w:rPr>
        <w:t>1.1本表中所注明</w:t>
      </w:r>
      <w:r>
        <w:rPr>
          <w:rFonts w:hint="eastAsia" w:ascii="宋体" w:hAnsi="宋体" w:cs="Arial"/>
          <w:kern w:val="0"/>
          <w:sz w:val="24"/>
          <w:szCs w:val="24"/>
        </w:rPr>
        <w:t>价格</w:t>
      </w:r>
      <w:r>
        <w:rPr>
          <w:rFonts w:hint="eastAsia" w:ascii="宋体" w:hAnsi="宋体"/>
          <w:sz w:val="24"/>
        </w:rPr>
        <w:t>为固定不变价格。</w:t>
      </w:r>
    </w:p>
    <w:p>
      <w:pPr>
        <w:adjustRightInd w:val="0"/>
        <w:snapToGrid w:val="0"/>
        <w:spacing w:line="360" w:lineRule="auto"/>
        <w:ind w:firstLine="480" w:firstLineChars="200"/>
        <w:rPr>
          <w:rFonts w:ascii="宋体" w:hAnsi="宋体"/>
          <w:sz w:val="24"/>
        </w:rPr>
      </w:pPr>
      <w:r>
        <w:rPr>
          <w:rFonts w:hint="eastAsia" w:ascii="宋体" w:hAnsi="宋体"/>
          <w:sz w:val="24"/>
        </w:rPr>
        <w:t>1.2当分项价之和与总价不符时，以分项价合计为准。如有优惠条件，优惠条件要在分项价中体现，并予以说明。</w:t>
      </w:r>
    </w:p>
    <w:p>
      <w:pPr>
        <w:adjustRightInd w:val="0"/>
        <w:snapToGrid w:val="0"/>
        <w:spacing w:line="360" w:lineRule="auto"/>
        <w:ind w:firstLine="480" w:firstLineChars="200"/>
        <w:rPr>
          <w:rFonts w:ascii="宋体" w:hAnsi="宋体"/>
          <w:sz w:val="24"/>
        </w:rPr>
      </w:pPr>
      <w:r>
        <w:rPr>
          <w:rFonts w:hint="eastAsia" w:ascii="宋体" w:hAnsi="宋体"/>
          <w:sz w:val="24"/>
        </w:rPr>
        <w:t xml:space="preserve">1.3 </w:t>
      </w:r>
      <w:r>
        <w:rPr>
          <w:rFonts w:hint="eastAsia" w:ascii="宋体" w:hAnsi="宋体" w:eastAsia="宋体" w:cs="Arial"/>
          <w:kern w:val="0"/>
          <w:sz w:val="24"/>
          <w:szCs w:val="24"/>
        </w:rPr>
        <w:t>投标价格应包括供应商履行本项目合同（如果中标）所必须的所有成本费用和中标人应承担的一切税费，包括但不仅限于：人工、差旅、税金、保险等一切费用。未列和没有填写的项目费用，采购人将视为已包括在投标价格中。</w:t>
      </w:r>
    </w:p>
    <w:p>
      <w:pPr>
        <w:pStyle w:val="7"/>
      </w:pPr>
    </w:p>
    <w:p>
      <w:pPr>
        <w:widowControl/>
        <w:shd w:val="clear" w:color="auto" w:fill="FFFFFF"/>
        <w:snapToGrid w:val="0"/>
        <w:spacing w:line="360" w:lineRule="auto"/>
        <w:jc w:val="left"/>
        <w:rPr>
          <w:rFonts w:ascii="宋体" w:cs="Arial"/>
          <w:kern w:val="0"/>
          <w:sz w:val="24"/>
          <w:szCs w:val="24"/>
        </w:rPr>
      </w:pPr>
      <w:r>
        <w:rPr>
          <w:rFonts w:hint="eastAsia" w:ascii="宋体" w:hAnsi="宋体" w:cs="Arial"/>
          <w:kern w:val="0"/>
          <w:sz w:val="24"/>
          <w:szCs w:val="24"/>
        </w:rPr>
        <w:t>供应商：</w:t>
      </w:r>
      <w:r>
        <w:rPr>
          <w:rFonts w:hint="eastAsia" w:ascii="宋体" w:hAnsi="宋体" w:cs="Arial"/>
          <w:kern w:val="0"/>
          <w:sz w:val="24"/>
          <w:szCs w:val="24"/>
          <w:u w:val="single"/>
        </w:rPr>
        <w:t xml:space="preserve">               </w:t>
      </w:r>
      <w:r>
        <w:rPr>
          <w:rFonts w:hint="eastAsia" w:ascii="宋体" w:hAnsi="宋体" w:cs="Arial"/>
          <w:kern w:val="0"/>
          <w:sz w:val="24"/>
          <w:szCs w:val="24"/>
        </w:rPr>
        <w:t>（盖章）</w:t>
      </w:r>
    </w:p>
    <w:p>
      <w:pPr>
        <w:widowControl/>
        <w:shd w:val="clear" w:color="auto" w:fill="FFFFFF"/>
        <w:snapToGrid w:val="0"/>
        <w:spacing w:line="360" w:lineRule="auto"/>
        <w:jc w:val="left"/>
        <w:rPr>
          <w:rFonts w:ascii="宋体" w:cs="Arial"/>
          <w:kern w:val="0"/>
          <w:sz w:val="24"/>
          <w:szCs w:val="24"/>
        </w:rPr>
      </w:pPr>
    </w:p>
    <w:p>
      <w:pPr>
        <w:widowControl/>
        <w:shd w:val="clear" w:color="auto" w:fill="FFFFFF"/>
        <w:snapToGrid w:val="0"/>
        <w:spacing w:line="360" w:lineRule="auto"/>
        <w:jc w:val="left"/>
        <w:rPr>
          <w:rFonts w:ascii="宋体" w:cs="Arial"/>
          <w:kern w:val="0"/>
          <w:sz w:val="24"/>
          <w:szCs w:val="24"/>
        </w:rPr>
      </w:pPr>
      <w:r>
        <w:rPr>
          <w:rFonts w:hint="eastAsia" w:ascii="宋体" w:hAnsi="宋体" w:cs="Arial"/>
          <w:kern w:val="0"/>
          <w:sz w:val="24"/>
          <w:szCs w:val="24"/>
        </w:rPr>
        <w:t>法定代表人：</w:t>
      </w:r>
      <w:r>
        <w:rPr>
          <w:rFonts w:hint="eastAsia" w:ascii="宋体" w:hAnsi="宋体" w:cs="Arial"/>
          <w:kern w:val="0"/>
          <w:sz w:val="24"/>
          <w:szCs w:val="24"/>
          <w:u w:val="single"/>
        </w:rPr>
        <w:t xml:space="preserve">           </w:t>
      </w:r>
      <w:r>
        <w:rPr>
          <w:rFonts w:hint="eastAsia" w:ascii="宋体" w:hAnsi="宋体" w:cs="Arial"/>
          <w:kern w:val="0"/>
          <w:sz w:val="24"/>
          <w:szCs w:val="24"/>
        </w:rPr>
        <w:t>（盖章）</w:t>
      </w:r>
    </w:p>
    <w:p>
      <w:pPr>
        <w:widowControl/>
        <w:shd w:val="clear" w:color="auto" w:fill="FFFFFF"/>
        <w:snapToGrid w:val="0"/>
        <w:spacing w:line="360" w:lineRule="auto"/>
        <w:ind w:firstLine="420"/>
        <w:jc w:val="center"/>
        <w:rPr>
          <w:rFonts w:ascii="宋体" w:hAnsi="宋体" w:cs="Arial"/>
          <w:kern w:val="0"/>
          <w:sz w:val="24"/>
          <w:szCs w:val="24"/>
        </w:rPr>
      </w:pPr>
      <w:r>
        <w:rPr>
          <w:rFonts w:hint="eastAsia" w:ascii="宋体" w:hAnsi="宋体" w:cs="Arial"/>
          <w:kern w:val="0"/>
          <w:sz w:val="24"/>
          <w:szCs w:val="24"/>
        </w:rPr>
        <w:t xml:space="preserve">                                               日期： 年  月  日</w:t>
      </w:r>
    </w:p>
    <w:bookmarkEnd w:id="91"/>
    <w:bookmarkEnd w:id="92"/>
    <w:p>
      <w:pPr>
        <w:tabs>
          <w:tab w:val="center" w:pos="4832"/>
          <w:tab w:val="left" w:pos="7140"/>
        </w:tabs>
        <w:spacing w:line="360" w:lineRule="auto"/>
        <w:jc w:val="center"/>
        <w:outlineLvl w:val="1"/>
        <w:rPr>
          <w:rFonts w:ascii="宋体" w:hAnsi="宋体" w:cs="Arial"/>
          <w:kern w:val="0"/>
          <w:sz w:val="24"/>
          <w:szCs w:val="24"/>
        </w:rPr>
      </w:pPr>
      <w:r>
        <w:rPr>
          <w:rFonts w:ascii="宋体" w:cs="Arial"/>
          <w:b/>
          <w:bCs/>
          <w:kern w:val="36"/>
          <w:sz w:val="24"/>
          <w:szCs w:val="24"/>
        </w:rPr>
        <w:br w:type="page"/>
      </w:r>
      <w:bookmarkStart w:id="93" w:name="_Toc103717599"/>
      <w:bookmarkStart w:id="94" w:name="_Toc507586169"/>
      <w:bookmarkStart w:id="95" w:name="_Toc38446474"/>
      <w:bookmarkStart w:id="96" w:name="_Toc533503184"/>
      <w:bookmarkStart w:id="97" w:name="_Toc104243928"/>
      <w:r>
        <w:rPr>
          <w:rFonts w:hint="eastAsia" w:ascii="宋体" w:hAnsi="宋体"/>
          <w:b/>
          <w:sz w:val="24"/>
          <w:szCs w:val="24"/>
        </w:rPr>
        <w:t>三、偏离表</w:t>
      </w:r>
      <w:bookmarkEnd w:id="93"/>
      <w:bookmarkEnd w:id="94"/>
      <w:bookmarkEnd w:id="95"/>
      <w:bookmarkEnd w:id="96"/>
      <w:bookmarkEnd w:id="97"/>
    </w:p>
    <w:tbl>
      <w:tblPr>
        <w:tblStyle w:val="38"/>
        <w:tblW w:w="903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06"/>
        <w:gridCol w:w="2070"/>
        <w:gridCol w:w="2052"/>
        <w:gridCol w:w="2126"/>
        <w:gridCol w:w="198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3" w:hRule="atLeast"/>
          <w:jc w:val="center"/>
        </w:trPr>
        <w:tc>
          <w:tcPr>
            <w:tcW w:w="806" w:type="dxa"/>
            <w:vAlign w:val="center"/>
          </w:tcPr>
          <w:p>
            <w:pPr>
              <w:spacing w:line="360" w:lineRule="auto"/>
              <w:jc w:val="center"/>
              <w:rPr>
                <w:rFonts w:ascii="宋体"/>
                <w:bCs/>
                <w:sz w:val="24"/>
                <w:szCs w:val="24"/>
              </w:rPr>
            </w:pPr>
            <w:r>
              <w:rPr>
                <w:rFonts w:hint="eastAsia" w:ascii="宋体" w:hAnsi="宋体"/>
                <w:bCs/>
                <w:sz w:val="24"/>
                <w:szCs w:val="24"/>
              </w:rPr>
              <w:t>序号</w:t>
            </w:r>
          </w:p>
        </w:tc>
        <w:tc>
          <w:tcPr>
            <w:tcW w:w="2070" w:type="dxa"/>
            <w:vAlign w:val="center"/>
          </w:tcPr>
          <w:p>
            <w:pPr>
              <w:spacing w:line="360" w:lineRule="auto"/>
              <w:jc w:val="center"/>
              <w:rPr>
                <w:rFonts w:ascii="宋体"/>
                <w:bCs/>
                <w:sz w:val="24"/>
                <w:szCs w:val="24"/>
              </w:rPr>
            </w:pPr>
            <w:r>
              <w:rPr>
                <w:rFonts w:hint="eastAsia" w:ascii="宋体" w:hAnsi="宋体"/>
                <w:bCs/>
                <w:sz w:val="24"/>
                <w:szCs w:val="24"/>
                <w:lang w:eastAsia="zh-CN"/>
              </w:rPr>
              <w:t>竞争性磋商文件</w:t>
            </w:r>
            <w:r>
              <w:rPr>
                <w:rFonts w:hint="eastAsia" w:ascii="宋体" w:hAnsi="宋体"/>
                <w:bCs/>
                <w:sz w:val="24"/>
                <w:szCs w:val="24"/>
              </w:rPr>
              <w:t>条目号</w:t>
            </w:r>
          </w:p>
        </w:tc>
        <w:tc>
          <w:tcPr>
            <w:tcW w:w="2052" w:type="dxa"/>
            <w:vAlign w:val="center"/>
          </w:tcPr>
          <w:p>
            <w:pPr>
              <w:spacing w:line="360" w:lineRule="auto"/>
              <w:jc w:val="center"/>
              <w:rPr>
                <w:rFonts w:ascii="宋体"/>
                <w:bCs/>
                <w:sz w:val="24"/>
                <w:szCs w:val="24"/>
              </w:rPr>
            </w:pPr>
            <w:r>
              <w:rPr>
                <w:rFonts w:hint="eastAsia" w:ascii="宋体" w:hAnsi="宋体"/>
                <w:bCs/>
                <w:sz w:val="24"/>
                <w:szCs w:val="24"/>
                <w:lang w:eastAsia="zh-CN"/>
              </w:rPr>
              <w:t>竞争性磋商文件</w:t>
            </w:r>
            <w:r>
              <w:rPr>
                <w:rFonts w:hint="eastAsia" w:ascii="宋体" w:hAnsi="宋体"/>
                <w:bCs/>
                <w:sz w:val="24"/>
                <w:szCs w:val="24"/>
              </w:rPr>
              <w:t>的条款</w:t>
            </w:r>
          </w:p>
        </w:tc>
        <w:tc>
          <w:tcPr>
            <w:tcW w:w="2126" w:type="dxa"/>
            <w:vAlign w:val="center"/>
          </w:tcPr>
          <w:p>
            <w:pPr>
              <w:spacing w:line="360" w:lineRule="auto"/>
              <w:jc w:val="center"/>
              <w:rPr>
                <w:rFonts w:ascii="宋体"/>
                <w:bCs/>
                <w:sz w:val="24"/>
                <w:szCs w:val="24"/>
              </w:rPr>
            </w:pPr>
            <w:r>
              <w:rPr>
                <w:rFonts w:hint="eastAsia" w:hAnsi="宋体"/>
                <w:sz w:val="24"/>
                <w:szCs w:val="24"/>
                <w:lang w:eastAsia="zh-CN"/>
              </w:rPr>
              <w:t>磋商响应文件</w:t>
            </w:r>
            <w:r>
              <w:rPr>
                <w:rFonts w:hint="eastAsia" w:ascii="宋体" w:hAnsi="宋体"/>
                <w:bCs/>
                <w:sz w:val="24"/>
                <w:szCs w:val="24"/>
              </w:rPr>
              <w:t>的条款</w:t>
            </w:r>
          </w:p>
        </w:tc>
        <w:tc>
          <w:tcPr>
            <w:tcW w:w="1985" w:type="dxa"/>
            <w:vAlign w:val="center"/>
          </w:tcPr>
          <w:p>
            <w:pPr>
              <w:spacing w:line="360" w:lineRule="auto"/>
              <w:jc w:val="center"/>
              <w:rPr>
                <w:rFonts w:ascii="宋体"/>
                <w:bCs/>
                <w:sz w:val="24"/>
                <w:szCs w:val="24"/>
              </w:rPr>
            </w:pPr>
            <w:r>
              <w:rPr>
                <w:rFonts w:hint="eastAsia" w:ascii="宋体" w:hAnsi="宋体"/>
                <w:bCs/>
                <w:sz w:val="24"/>
                <w:szCs w:val="24"/>
              </w:rPr>
              <w:t>说明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jc w:val="center"/>
        </w:trPr>
        <w:tc>
          <w:tcPr>
            <w:tcW w:w="806" w:type="dxa"/>
          </w:tcPr>
          <w:p>
            <w:pPr>
              <w:spacing w:line="360" w:lineRule="auto"/>
              <w:jc w:val="center"/>
              <w:rPr>
                <w:rFonts w:ascii="宋体"/>
                <w:b/>
                <w:bCs/>
                <w:sz w:val="24"/>
                <w:szCs w:val="24"/>
              </w:rPr>
            </w:pPr>
          </w:p>
        </w:tc>
        <w:tc>
          <w:tcPr>
            <w:tcW w:w="2070" w:type="dxa"/>
          </w:tcPr>
          <w:p>
            <w:pPr>
              <w:spacing w:line="360" w:lineRule="auto"/>
              <w:jc w:val="center"/>
              <w:rPr>
                <w:rFonts w:ascii="宋体"/>
                <w:b/>
                <w:bCs/>
                <w:sz w:val="24"/>
                <w:szCs w:val="24"/>
              </w:rPr>
            </w:pPr>
          </w:p>
        </w:tc>
        <w:tc>
          <w:tcPr>
            <w:tcW w:w="2052" w:type="dxa"/>
          </w:tcPr>
          <w:p>
            <w:pPr>
              <w:spacing w:line="360" w:lineRule="auto"/>
              <w:jc w:val="center"/>
              <w:rPr>
                <w:rFonts w:ascii="宋体"/>
                <w:b/>
                <w:bCs/>
                <w:sz w:val="24"/>
                <w:szCs w:val="24"/>
              </w:rPr>
            </w:pPr>
          </w:p>
        </w:tc>
        <w:tc>
          <w:tcPr>
            <w:tcW w:w="2126" w:type="dxa"/>
          </w:tcPr>
          <w:p>
            <w:pPr>
              <w:spacing w:line="360" w:lineRule="auto"/>
              <w:jc w:val="center"/>
              <w:rPr>
                <w:rFonts w:ascii="宋体"/>
                <w:b/>
                <w:bCs/>
                <w:sz w:val="24"/>
                <w:szCs w:val="24"/>
              </w:rPr>
            </w:pPr>
          </w:p>
        </w:tc>
        <w:tc>
          <w:tcPr>
            <w:tcW w:w="1985" w:type="dxa"/>
          </w:tcPr>
          <w:p>
            <w:pPr>
              <w:spacing w:line="360" w:lineRule="auto"/>
              <w:jc w:val="center"/>
              <w:rPr>
                <w:rFonts w:ascii="宋体"/>
                <w:b/>
                <w:bCs/>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jc w:val="center"/>
        </w:trPr>
        <w:tc>
          <w:tcPr>
            <w:tcW w:w="806" w:type="dxa"/>
          </w:tcPr>
          <w:p>
            <w:pPr>
              <w:spacing w:line="360" w:lineRule="auto"/>
              <w:jc w:val="center"/>
              <w:rPr>
                <w:rFonts w:ascii="宋体"/>
                <w:b/>
                <w:bCs/>
                <w:sz w:val="24"/>
                <w:szCs w:val="24"/>
              </w:rPr>
            </w:pPr>
          </w:p>
        </w:tc>
        <w:tc>
          <w:tcPr>
            <w:tcW w:w="2070" w:type="dxa"/>
          </w:tcPr>
          <w:p>
            <w:pPr>
              <w:spacing w:line="360" w:lineRule="auto"/>
              <w:jc w:val="center"/>
              <w:rPr>
                <w:rFonts w:ascii="宋体"/>
                <w:b/>
                <w:bCs/>
                <w:sz w:val="24"/>
                <w:szCs w:val="24"/>
              </w:rPr>
            </w:pPr>
          </w:p>
        </w:tc>
        <w:tc>
          <w:tcPr>
            <w:tcW w:w="2052" w:type="dxa"/>
          </w:tcPr>
          <w:p>
            <w:pPr>
              <w:spacing w:line="360" w:lineRule="auto"/>
              <w:jc w:val="center"/>
              <w:rPr>
                <w:rFonts w:ascii="宋体"/>
                <w:b/>
                <w:bCs/>
                <w:sz w:val="24"/>
                <w:szCs w:val="24"/>
              </w:rPr>
            </w:pPr>
          </w:p>
        </w:tc>
        <w:tc>
          <w:tcPr>
            <w:tcW w:w="2126" w:type="dxa"/>
          </w:tcPr>
          <w:p>
            <w:pPr>
              <w:spacing w:line="360" w:lineRule="auto"/>
              <w:jc w:val="center"/>
              <w:rPr>
                <w:rFonts w:ascii="宋体"/>
                <w:b/>
                <w:bCs/>
                <w:sz w:val="24"/>
                <w:szCs w:val="24"/>
              </w:rPr>
            </w:pPr>
          </w:p>
        </w:tc>
        <w:tc>
          <w:tcPr>
            <w:tcW w:w="1985" w:type="dxa"/>
          </w:tcPr>
          <w:p>
            <w:pPr>
              <w:spacing w:line="360" w:lineRule="auto"/>
              <w:jc w:val="center"/>
              <w:rPr>
                <w:rFonts w:ascii="宋体"/>
                <w:b/>
                <w:bCs/>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jc w:val="center"/>
        </w:trPr>
        <w:tc>
          <w:tcPr>
            <w:tcW w:w="806" w:type="dxa"/>
          </w:tcPr>
          <w:p>
            <w:pPr>
              <w:spacing w:line="360" w:lineRule="auto"/>
              <w:jc w:val="center"/>
              <w:rPr>
                <w:rFonts w:ascii="宋体"/>
                <w:b/>
                <w:bCs/>
                <w:sz w:val="24"/>
                <w:szCs w:val="24"/>
              </w:rPr>
            </w:pPr>
          </w:p>
        </w:tc>
        <w:tc>
          <w:tcPr>
            <w:tcW w:w="2070" w:type="dxa"/>
          </w:tcPr>
          <w:p>
            <w:pPr>
              <w:spacing w:line="360" w:lineRule="auto"/>
              <w:jc w:val="center"/>
              <w:rPr>
                <w:rFonts w:ascii="宋体"/>
                <w:b/>
                <w:bCs/>
                <w:sz w:val="24"/>
                <w:szCs w:val="24"/>
              </w:rPr>
            </w:pPr>
          </w:p>
        </w:tc>
        <w:tc>
          <w:tcPr>
            <w:tcW w:w="2052" w:type="dxa"/>
          </w:tcPr>
          <w:p>
            <w:pPr>
              <w:spacing w:line="360" w:lineRule="auto"/>
              <w:jc w:val="center"/>
              <w:rPr>
                <w:rFonts w:ascii="宋体"/>
                <w:b/>
                <w:bCs/>
                <w:sz w:val="24"/>
                <w:szCs w:val="24"/>
              </w:rPr>
            </w:pPr>
          </w:p>
        </w:tc>
        <w:tc>
          <w:tcPr>
            <w:tcW w:w="2126" w:type="dxa"/>
          </w:tcPr>
          <w:p>
            <w:pPr>
              <w:spacing w:line="360" w:lineRule="auto"/>
              <w:jc w:val="center"/>
              <w:rPr>
                <w:rFonts w:ascii="宋体"/>
                <w:b/>
                <w:bCs/>
                <w:sz w:val="24"/>
                <w:szCs w:val="24"/>
              </w:rPr>
            </w:pPr>
          </w:p>
        </w:tc>
        <w:tc>
          <w:tcPr>
            <w:tcW w:w="1985" w:type="dxa"/>
          </w:tcPr>
          <w:p>
            <w:pPr>
              <w:spacing w:line="360" w:lineRule="auto"/>
              <w:jc w:val="center"/>
              <w:rPr>
                <w:rFonts w:ascii="宋体"/>
                <w:b/>
                <w:bCs/>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jc w:val="center"/>
        </w:trPr>
        <w:tc>
          <w:tcPr>
            <w:tcW w:w="806" w:type="dxa"/>
          </w:tcPr>
          <w:p>
            <w:pPr>
              <w:spacing w:line="360" w:lineRule="auto"/>
              <w:jc w:val="center"/>
              <w:rPr>
                <w:rFonts w:ascii="宋体"/>
                <w:b/>
                <w:bCs/>
                <w:sz w:val="24"/>
                <w:szCs w:val="24"/>
              </w:rPr>
            </w:pPr>
          </w:p>
        </w:tc>
        <w:tc>
          <w:tcPr>
            <w:tcW w:w="2070" w:type="dxa"/>
          </w:tcPr>
          <w:p>
            <w:pPr>
              <w:spacing w:line="360" w:lineRule="auto"/>
              <w:jc w:val="center"/>
              <w:rPr>
                <w:rFonts w:ascii="宋体"/>
                <w:b/>
                <w:bCs/>
                <w:sz w:val="24"/>
                <w:szCs w:val="24"/>
              </w:rPr>
            </w:pPr>
          </w:p>
        </w:tc>
        <w:tc>
          <w:tcPr>
            <w:tcW w:w="2052" w:type="dxa"/>
          </w:tcPr>
          <w:p>
            <w:pPr>
              <w:spacing w:line="360" w:lineRule="auto"/>
              <w:jc w:val="center"/>
              <w:rPr>
                <w:rFonts w:ascii="宋体"/>
                <w:b/>
                <w:bCs/>
                <w:sz w:val="24"/>
                <w:szCs w:val="24"/>
              </w:rPr>
            </w:pPr>
          </w:p>
        </w:tc>
        <w:tc>
          <w:tcPr>
            <w:tcW w:w="2126" w:type="dxa"/>
          </w:tcPr>
          <w:p>
            <w:pPr>
              <w:spacing w:line="360" w:lineRule="auto"/>
              <w:jc w:val="center"/>
              <w:rPr>
                <w:rFonts w:ascii="宋体"/>
                <w:b/>
                <w:bCs/>
                <w:sz w:val="24"/>
                <w:szCs w:val="24"/>
              </w:rPr>
            </w:pPr>
          </w:p>
        </w:tc>
        <w:tc>
          <w:tcPr>
            <w:tcW w:w="1985" w:type="dxa"/>
          </w:tcPr>
          <w:p>
            <w:pPr>
              <w:spacing w:line="360" w:lineRule="auto"/>
              <w:jc w:val="center"/>
              <w:rPr>
                <w:rFonts w:ascii="宋体"/>
                <w:b/>
                <w:bCs/>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jc w:val="center"/>
        </w:trPr>
        <w:tc>
          <w:tcPr>
            <w:tcW w:w="806" w:type="dxa"/>
          </w:tcPr>
          <w:p>
            <w:pPr>
              <w:spacing w:line="360" w:lineRule="auto"/>
              <w:jc w:val="center"/>
              <w:rPr>
                <w:rFonts w:ascii="宋体"/>
                <w:b/>
                <w:bCs/>
                <w:sz w:val="24"/>
                <w:szCs w:val="24"/>
              </w:rPr>
            </w:pPr>
          </w:p>
        </w:tc>
        <w:tc>
          <w:tcPr>
            <w:tcW w:w="2070" w:type="dxa"/>
          </w:tcPr>
          <w:p>
            <w:pPr>
              <w:spacing w:line="360" w:lineRule="auto"/>
              <w:jc w:val="center"/>
              <w:rPr>
                <w:rFonts w:ascii="宋体"/>
                <w:b/>
                <w:bCs/>
                <w:sz w:val="24"/>
                <w:szCs w:val="24"/>
              </w:rPr>
            </w:pPr>
          </w:p>
        </w:tc>
        <w:tc>
          <w:tcPr>
            <w:tcW w:w="2052" w:type="dxa"/>
          </w:tcPr>
          <w:p>
            <w:pPr>
              <w:spacing w:line="360" w:lineRule="auto"/>
              <w:jc w:val="center"/>
              <w:rPr>
                <w:rFonts w:ascii="宋体"/>
                <w:b/>
                <w:bCs/>
                <w:sz w:val="24"/>
                <w:szCs w:val="24"/>
              </w:rPr>
            </w:pPr>
          </w:p>
        </w:tc>
        <w:tc>
          <w:tcPr>
            <w:tcW w:w="2126" w:type="dxa"/>
          </w:tcPr>
          <w:p>
            <w:pPr>
              <w:spacing w:line="360" w:lineRule="auto"/>
              <w:jc w:val="center"/>
              <w:rPr>
                <w:rFonts w:ascii="宋体"/>
                <w:b/>
                <w:bCs/>
                <w:sz w:val="24"/>
                <w:szCs w:val="24"/>
              </w:rPr>
            </w:pPr>
          </w:p>
        </w:tc>
        <w:tc>
          <w:tcPr>
            <w:tcW w:w="1985" w:type="dxa"/>
          </w:tcPr>
          <w:p>
            <w:pPr>
              <w:spacing w:line="360" w:lineRule="auto"/>
              <w:jc w:val="center"/>
              <w:rPr>
                <w:rFonts w:ascii="宋体"/>
                <w:b/>
                <w:bCs/>
                <w:sz w:val="24"/>
                <w:szCs w:val="24"/>
              </w:rPr>
            </w:pPr>
          </w:p>
        </w:tc>
      </w:tr>
    </w:tbl>
    <w:p>
      <w:pPr>
        <w:spacing w:line="360" w:lineRule="auto"/>
        <w:ind w:firstLine="480" w:firstLineChars="200"/>
        <w:jc w:val="left"/>
        <w:rPr>
          <w:rFonts w:ascii="宋体"/>
          <w:sz w:val="24"/>
          <w:szCs w:val="24"/>
        </w:rPr>
      </w:pPr>
      <w:r>
        <w:rPr>
          <w:rFonts w:hint="eastAsia" w:ascii="宋体" w:hAnsi="宋体"/>
          <w:sz w:val="24"/>
          <w:szCs w:val="24"/>
        </w:rPr>
        <w:t>备注：供应商</w:t>
      </w:r>
      <w:r>
        <w:rPr>
          <w:rFonts w:hint="eastAsia" w:hAnsi="宋体"/>
          <w:sz w:val="24"/>
          <w:szCs w:val="24"/>
          <w:lang w:eastAsia="zh-CN"/>
        </w:rPr>
        <w:t>磋商响应文件</w:t>
      </w:r>
      <w:r>
        <w:rPr>
          <w:rFonts w:hint="eastAsia" w:ascii="宋体" w:hAnsi="宋体"/>
          <w:bCs/>
          <w:sz w:val="24"/>
          <w:szCs w:val="24"/>
        </w:rPr>
        <w:t>的条款</w:t>
      </w:r>
      <w:r>
        <w:rPr>
          <w:rFonts w:hint="eastAsia" w:ascii="宋体" w:hAnsi="宋体"/>
          <w:sz w:val="24"/>
          <w:szCs w:val="24"/>
        </w:rPr>
        <w:t>有差异的，则在此表中列明实际响应的内容提要并加以说明，以便查对。无差异说明表示完全响应。</w:t>
      </w:r>
    </w:p>
    <w:p>
      <w:pPr>
        <w:spacing w:line="360" w:lineRule="auto"/>
        <w:jc w:val="left"/>
        <w:rPr>
          <w:rFonts w:ascii="宋体"/>
          <w:sz w:val="24"/>
          <w:szCs w:val="24"/>
        </w:rPr>
      </w:pPr>
    </w:p>
    <w:p>
      <w:pPr>
        <w:spacing w:line="360" w:lineRule="auto"/>
        <w:jc w:val="left"/>
        <w:rPr>
          <w:rFonts w:ascii="宋体"/>
          <w:sz w:val="24"/>
          <w:szCs w:val="24"/>
        </w:rPr>
      </w:pPr>
    </w:p>
    <w:p>
      <w:pPr>
        <w:widowControl/>
        <w:shd w:val="clear" w:color="auto" w:fill="FFFFFF"/>
        <w:snapToGrid w:val="0"/>
        <w:spacing w:line="360" w:lineRule="auto"/>
        <w:jc w:val="left"/>
        <w:rPr>
          <w:rFonts w:ascii="宋体" w:cs="Arial"/>
          <w:kern w:val="0"/>
          <w:sz w:val="24"/>
          <w:szCs w:val="24"/>
        </w:rPr>
      </w:pPr>
      <w:r>
        <w:rPr>
          <w:rFonts w:hint="eastAsia" w:ascii="宋体" w:hAnsi="宋体" w:cs="Arial"/>
          <w:kern w:val="0"/>
          <w:sz w:val="24"/>
          <w:szCs w:val="24"/>
        </w:rPr>
        <w:t>供应商：</w:t>
      </w:r>
      <w:r>
        <w:rPr>
          <w:rFonts w:hint="eastAsia" w:ascii="宋体" w:hAnsi="宋体" w:cs="Arial"/>
          <w:kern w:val="0"/>
          <w:sz w:val="24"/>
          <w:szCs w:val="24"/>
          <w:u w:val="single"/>
        </w:rPr>
        <w:t xml:space="preserve">               </w:t>
      </w:r>
      <w:r>
        <w:rPr>
          <w:rFonts w:hint="eastAsia" w:ascii="宋体" w:hAnsi="宋体" w:cs="Arial"/>
          <w:kern w:val="0"/>
          <w:sz w:val="24"/>
          <w:szCs w:val="24"/>
        </w:rPr>
        <w:t>（盖章）</w:t>
      </w:r>
    </w:p>
    <w:p>
      <w:pPr>
        <w:widowControl/>
        <w:shd w:val="clear" w:color="auto" w:fill="FFFFFF"/>
        <w:snapToGrid w:val="0"/>
        <w:spacing w:line="360" w:lineRule="auto"/>
        <w:jc w:val="left"/>
        <w:rPr>
          <w:rFonts w:ascii="宋体" w:cs="Arial"/>
          <w:kern w:val="0"/>
          <w:sz w:val="24"/>
          <w:szCs w:val="24"/>
        </w:rPr>
      </w:pPr>
    </w:p>
    <w:p>
      <w:pPr>
        <w:widowControl/>
        <w:shd w:val="clear" w:color="auto" w:fill="FFFFFF"/>
        <w:snapToGrid w:val="0"/>
        <w:spacing w:line="360" w:lineRule="auto"/>
        <w:jc w:val="left"/>
        <w:rPr>
          <w:rFonts w:ascii="宋体" w:cs="Arial"/>
          <w:kern w:val="0"/>
          <w:sz w:val="24"/>
          <w:szCs w:val="24"/>
        </w:rPr>
      </w:pPr>
      <w:r>
        <w:rPr>
          <w:rFonts w:hint="eastAsia" w:ascii="宋体" w:hAnsi="宋体" w:cs="Arial"/>
          <w:kern w:val="0"/>
          <w:sz w:val="24"/>
          <w:szCs w:val="24"/>
        </w:rPr>
        <w:t>法定代表人：</w:t>
      </w:r>
      <w:r>
        <w:rPr>
          <w:rFonts w:hint="eastAsia" w:ascii="宋体" w:hAnsi="宋体" w:cs="Arial"/>
          <w:kern w:val="0"/>
          <w:sz w:val="24"/>
          <w:szCs w:val="24"/>
          <w:u w:val="single"/>
        </w:rPr>
        <w:t xml:space="preserve">           </w:t>
      </w:r>
      <w:r>
        <w:rPr>
          <w:rFonts w:hint="eastAsia" w:ascii="宋体" w:hAnsi="宋体" w:cs="Arial"/>
          <w:kern w:val="0"/>
          <w:sz w:val="24"/>
          <w:szCs w:val="24"/>
        </w:rPr>
        <w:t>（盖章）</w:t>
      </w:r>
    </w:p>
    <w:p>
      <w:pPr>
        <w:widowControl/>
        <w:shd w:val="clear" w:color="auto" w:fill="FFFFFF"/>
        <w:snapToGrid w:val="0"/>
        <w:spacing w:line="360" w:lineRule="auto"/>
        <w:ind w:firstLine="420"/>
        <w:jc w:val="center"/>
        <w:rPr>
          <w:rFonts w:ascii="宋体" w:cs="Arial"/>
          <w:kern w:val="0"/>
          <w:sz w:val="24"/>
          <w:szCs w:val="24"/>
        </w:rPr>
      </w:pPr>
      <w:r>
        <w:rPr>
          <w:rFonts w:hint="eastAsia" w:ascii="宋体" w:hAnsi="宋体" w:cs="Arial"/>
          <w:kern w:val="0"/>
          <w:sz w:val="24"/>
          <w:szCs w:val="24"/>
        </w:rPr>
        <w:t xml:space="preserve">                                               日期： 年  月  日</w:t>
      </w:r>
    </w:p>
    <w:p>
      <w:pPr>
        <w:tabs>
          <w:tab w:val="center" w:pos="4832"/>
          <w:tab w:val="left" w:pos="7140"/>
        </w:tabs>
        <w:spacing w:line="360" w:lineRule="auto"/>
        <w:jc w:val="center"/>
        <w:outlineLvl w:val="1"/>
        <w:rPr>
          <w:rFonts w:ascii="宋体" w:hAnsi="宋体"/>
          <w:b/>
          <w:sz w:val="24"/>
          <w:szCs w:val="24"/>
        </w:rPr>
      </w:pPr>
      <w:r>
        <w:rPr>
          <w:rFonts w:ascii="宋体" w:cs="Arial"/>
          <w:b/>
          <w:bCs/>
          <w:kern w:val="36"/>
          <w:sz w:val="24"/>
          <w:szCs w:val="24"/>
        </w:rPr>
        <w:br w:type="page"/>
      </w:r>
      <w:bookmarkStart w:id="98" w:name="_Toc38446475"/>
      <w:bookmarkStart w:id="99" w:name="_Toc104243929"/>
      <w:bookmarkStart w:id="100" w:name="_Toc533503185"/>
      <w:bookmarkStart w:id="101" w:name="_Toc103717600"/>
      <w:bookmarkStart w:id="102" w:name="_Toc507586170"/>
      <w:r>
        <w:rPr>
          <w:rFonts w:hint="eastAsia" w:ascii="宋体" w:hAnsi="宋体"/>
          <w:b/>
          <w:sz w:val="24"/>
          <w:szCs w:val="24"/>
        </w:rPr>
        <w:t>四、法定代表人身份证明书</w:t>
      </w:r>
      <w:bookmarkEnd w:id="98"/>
      <w:bookmarkEnd w:id="99"/>
      <w:bookmarkEnd w:id="100"/>
      <w:bookmarkEnd w:id="101"/>
      <w:bookmarkEnd w:id="102"/>
    </w:p>
    <w:p>
      <w:pPr>
        <w:widowControl/>
        <w:shd w:val="clear" w:color="auto" w:fill="FFFFFF"/>
        <w:snapToGrid w:val="0"/>
        <w:spacing w:line="384" w:lineRule="auto"/>
        <w:jc w:val="left"/>
        <w:rPr>
          <w:rFonts w:ascii="宋体" w:cs="Arial"/>
          <w:kern w:val="0"/>
          <w:sz w:val="24"/>
          <w:szCs w:val="24"/>
        </w:rPr>
      </w:pPr>
    </w:p>
    <w:p>
      <w:pPr>
        <w:widowControl/>
        <w:shd w:val="clear" w:color="auto" w:fill="FFFFFF"/>
        <w:snapToGrid w:val="0"/>
        <w:spacing w:line="384" w:lineRule="auto"/>
        <w:jc w:val="left"/>
        <w:rPr>
          <w:rFonts w:ascii="宋体" w:cs="Arial"/>
          <w:kern w:val="0"/>
          <w:sz w:val="24"/>
          <w:szCs w:val="24"/>
        </w:rPr>
      </w:pPr>
      <w:r>
        <w:rPr>
          <w:rFonts w:hint="eastAsia" w:ascii="宋体" w:hAnsi="宋体" w:cs="Arial"/>
          <w:kern w:val="0"/>
          <w:sz w:val="24"/>
          <w:szCs w:val="24"/>
        </w:rPr>
        <w:t>投</w:t>
      </w:r>
      <w:r>
        <w:rPr>
          <w:rFonts w:ascii="宋体" w:hAnsi="宋体" w:cs="Arial"/>
          <w:kern w:val="0"/>
          <w:sz w:val="24"/>
          <w:szCs w:val="24"/>
        </w:rPr>
        <w:t xml:space="preserve"> </w:t>
      </w:r>
      <w:r>
        <w:rPr>
          <w:rFonts w:hint="eastAsia" w:ascii="宋体" w:hAnsi="宋体" w:cs="Arial"/>
          <w:kern w:val="0"/>
          <w:sz w:val="24"/>
          <w:szCs w:val="24"/>
        </w:rPr>
        <w:t>标</w:t>
      </w:r>
      <w:r>
        <w:rPr>
          <w:rFonts w:ascii="宋体" w:hAnsi="宋体" w:cs="Arial"/>
          <w:kern w:val="0"/>
          <w:sz w:val="24"/>
          <w:szCs w:val="24"/>
        </w:rPr>
        <w:t xml:space="preserve"> </w:t>
      </w:r>
      <w:r>
        <w:rPr>
          <w:rFonts w:hint="eastAsia" w:ascii="宋体" w:hAnsi="宋体" w:cs="Arial"/>
          <w:kern w:val="0"/>
          <w:sz w:val="24"/>
          <w:szCs w:val="24"/>
        </w:rPr>
        <w:t>人：</w:t>
      </w:r>
      <w:r>
        <w:rPr>
          <w:rFonts w:ascii="宋体" w:hAnsi="宋体" w:cs="Arial"/>
          <w:kern w:val="0"/>
          <w:sz w:val="24"/>
          <w:szCs w:val="24"/>
          <w:u w:val="single"/>
        </w:rPr>
        <w:t xml:space="preserve">                              </w:t>
      </w:r>
    </w:p>
    <w:p>
      <w:pPr>
        <w:widowControl/>
        <w:shd w:val="clear" w:color="auto" w:fill="FFFFFF"/>
        <w:snapToGrid w:val="0"/>
        <w:spacing w:line="384" w:lineRule="auto"/>
        <w:jc w:val="left"/>
        <w:rPr>
          <w:rFonts w:ascii="宋体" w:cs="Arial"/>
          <w:kern w:val="0"/>
          <w:sz w:val="24"/>
          <w:szCs w:val="24"/>
        </w:rPr>
      </w:pPr>
      <w:r>
        <w:rPr>
          <w:rFonts w:hint="eastAsia" w:ascii="宋体" w:hAnsi="宋体" w:cs="Arial"/>
          <w:kern w:val="0"/>
          <w:sz w:val="24"/>
          <w:szCs w:val="24"/>
        </w:rPr>
        <w:t>单位性质：</w:t>
      </w:r>
      <w:r>
        <w:rPr>
          <w:rFonts w:ascii="宋体" w:hAnsi="宋体" w:cs="Arial"/>
          <w:kern w:val="0"/>
          <w:sz w:val="24"/>
          <w:szCs w:val="24"/>
          <w:u w:val="single"/>
        </w:rPr>
        <w:t xml:space="preserve">                              </w:t>
      </w:r>
    </w:p>
    <w:p>
      <w:pPr>
        <w:widowControl/>
        <w:shd w:val="clear" w:color="auto" w:fill="FFFFFF"/>
        <w:snapToGrid w:val="0"/>
        <w:spacing w:line="384" w:lineRule="auto"/>
        <w:jc w:val="left"/>
        <w:rPr>
          <w:rFonts w:ascii="宋体" w:cs="Arial"/>
          <w:kern w:val="0"/>
          <w:sz w:val="24"/>
          <w:szCs w:val="24"/>
        </w:rPr>
      </w:pPr>
      <w:r>
        <w:rPr>
          <w:rFonts w:hint="eastAsia" w:ascii="宋体" w:hAnsi="宋体" w:cs="Arial"/>
          <w:kern w:val="0"/>
          <w:sz w:val="24"/>
          <w:szCs w:val="24"/>
        </w:rPr>
        <w:t>地</w:t>
      </w:r>
      <w:r>
        <w:rPr>
          <w:rFonts w:ascii="宋体" w:hAnsi="宋体" w:cs="Arial"/>
          <w:kern w:val="0"/>
          <w:sz w:val="24"/>
          <w:szCs w:val="24"/>
        </w:rPr>
        <w:t xml:space="preserve">    </w:t>
      </w:r>
      <w:r>
        <w:rPr>
          <w:rFonts w:hint="eastAsia" w:ascii="宋体" w:hAnsi="宋体" w:cs="Arial"/>
          <w:kern w:val="0"/>
          <w:sz w:val="24"/>
          <w:szCs w:val="24"/>
        </w:rPr>
        <w:t>址：</w:t>
      </w:r>
      <w:r>
        <w:rPr>
          <w:rFonts w:ascii="宋体" w:hAnsi="宋体" w:cs="Arial"/>
          <w:kern w:val="0"/>
          <w:sz w:val="24"/>
          <w:szCs w:val="24"/>
          <w:u w:val="single"/>
        </w:rPr>
        <w:t xml:space="preserve">                              </w:t>
      </w:r>
    </w:p>
    <w:p>
      <w:pPr>
        <w:widowControl/>
        <w:shd w:val="clear" w:color="auto" w:fill="FFFFFF"/>
        <w:snapToGrid w:val="0"/>
        <w:spacing w:line="384" w:lineRule="auto"/>
        <w:jc w:val="left"/>
        <w:rPr>
          <w:rFonts w:ascii="宋体" w:cs="Arial"/>
          <w:kern w:val="0"/>
          <w:sz w:val="24"/>
          <w:szCs w:val="24"/>
        </w:rPr>
      </w:pPr>
      <w:r>
        <w:rPr>
          <w:rFonts w:hint="eastAsia" w:ascii="宋体" w:hAnsi="宋体" w:cs="Arial"/>
          <w:kern w:val="0"/>
          <w:sz w:val="24"/>
          <w:szCs w:val="24"/>
        </w:rPr>
        <w:t>成立时间：</w:t>
      </w:r>
      <w:r>
        <w:rPr>
          <w:rFonts w:ascii="宋体" w:hAnsi="宋体" w:cs="Arial"/>
          <w:kern w:val="0"/>
          <w:sz w:val="24"/>
          <w:szCs w:val="24"/>
          <w:u w:val="single"/>
        </w:rPr>
        <w:t xml:space="preserve">           </w:t>
      </w:r>
      <w:r>
        <w:rPr>
          <w:rFonts w:hint="eastAsia" w:ascii="宋体" w:hAnsi="宋体" w:cs="Arial"/>
          <w:kern w:val="0"/>
          <w:sz w:val="24"/>
          <w:szCs w:val="24"/>
        </w:rPr>
        <w:t>年</w:t>
      </w:r>
      <w:r>
        <w:rPr>
          <w:rFonts w:ascii="宋体" w:hAnsi="宋体" w:cs="Arial"/>
          <w:kern w:val="0"/>
          <w:sz w:val="24"/>
          <w:szCs w:val="24"/>
          <w:u w:val="single"/>
        </w:rPr>
        <w:t xml:space="preserve">       </w:t>
      </w:r>
      <w:r>
        <w:rPr>
          <w:rFonts w:hint="eastAsia" w:ascii="宋体" w:hAnsi="宋体" w:cs="Arial"/>
          <w:kern w:val="0"/>
          <w:sz w:val="24"/>
          <w:szCs w:val="24"/>
        </w:rPr>
        <w:t>月</w:t>
      </w:r>
      <w:r>
        <w:rPr>
          <w:rFonts w:ascii="宋体" w:hAnsi="宋体" w:cs="Arial"/>
          <w:kern w:val="0"/>
          <w:sz w:val="24"/>
          <w:szCs w:val="24"/>
          <w:u w:val="single"/>
        </w:rPr>
        <w:t xml:space="preserve">       </w:t>
      </w:r>
      <w:r>
        <w:rPr>
          <w:rFonts w:hint="eastAsia" w:ascii="宋体" w:hAnsi="宋体" w:cs="Arial"/>
          <w:kern w:val="0"/>
          <w:sz w:val="24"/>
          <w:szCs w:val="24"/>
        </w:rPr>
        <w:t>日</w:t>
      </w:r>
    </w:p>
    <w:p>
      <w:pPr>
        <w:widowControl/>
        <w:shd w:val="clear" w:color="auto" w:fill="FFFFFF"/>
        <w:snapToGrid w:val="0"/>
        <w:spacing w:line="384" w:lineRule="auto"/>
        <w:jc w:val="left"/>
        <w:rPr>
          <w:rFonts w:ascii="宋体" w:cs="Arial"/>
          <w:kern w:val="0"/>
          <w:sz w:val="24"/>
          <w:szCs w:val="24"/>
        </w:rPr>
      </w:pPr>
      <w:r>
        <w:rPr>
          <w:rFonts w:hint="eastAsia" w:ascii="宋体" w:hAnsi="宋体" w:cs="Arial"/>
          <w:kern w:val="0"/>
          <w:sz w:val="24"/>
          <w:szCs w:val="24"/>
        </w:rPr>
        <w:t>经营期限：</w:t>
      </w:r>
      <w:r>
        <w:rPr>
          <w:rFonts w:ascii="宋体" w:hAnsi="宋体" w:cs="Arial"/>
          <w:kern w:val="0"/>
          <w:sz w:val="24"/>
          <w:szCs w:val="24"/>
          <w:u w:val="single"/>
        </w:rPr>
        <w:t xml:space="preserve">                              </w:t>
      </w:r>
    </w:p>
    <w:p>
      <w:pPr>
        <w:widowControl/>
        <w:shd w:val="clear" w:color="auto" w:fill="FFFFFF"/>
        <w:snapToGrid w:val="0"/>
        <w:spacing w:line="384" w:lineRule="auto"/>
        <w:jc w:val="left"/>
        <w:rPr>
          <w:rFonts w:ascii="宋体" w:cs="Arial"/>
          <w:kern w:val="0"/>
          <w:sz w:val="24"/>
          <w:szCs w:val="24"/>
        </w:rPr>
      </w:pPr>
    </w:p>
    <w:p>
      <w:pPr>
        <w:widowControl/>
        <w:shd w:val="clear" w:color="auto" w:fill="FFFFFF"/>
        <w:snapToGrid w:val="0"/>
        <w:spacing w:line="384" w:lineRule="auto"/>
        <w:ind w:firstLine="480" w:firstLineChars="200"/>
        <w:jc w:val="left"/>
        <w:rPr>
          <w:rFonts w:ascii="宋体" w:cs="Arial"/>
          <w:kern w:val="0"/>
          <w:sz w:val="24"/>
          <w:szCs w:val="24"/>
        </w:rPr>
      </w:pPr>
      <w:r>
        <w:rPr>
          <w:rFonts w:hint="eastAsia" w:ascii="宋体" w:hAnsi="宋体" w:cs="Arial"/>
          <w:kern w:val="0"/>
          <w:sz w:val="24"/>
          <w:szCs w:val="24"/>
        </w:rPr>
        <w:t>姓名：</w:t>
      </w:r>
      <w:r>
        <w:rPr>
          <w:rFonts w:ascii="宋体" w:hAnsi="宋体" w:cs="Arial"/>
          <w:kern w:val="0"/>
          <w:sz w:val="24"/>
          <w:szCs w:val="24"/>
          <w:u w:val="single"/>
        </w:rPr>
        <w:t xml:space="preserve">         </w:t>
      </w:r>
      <w:r>
        <w:rPr>
          <w:rFonts w:hint="eastAsia" w:ascii="宋体" w:hAnsi="宋体" w:cs="Arial"/>
          <w:kern w:val="0"/>
          <w:sz w:val="24"/>
          <w:szCs w:val="24"/>
        </w:rPr>
        <w:t>性别：</w:t>
      </w:r>
      <w:r>
        <w:rPr>
          <w:rFonts w:ascii="宋体" w:hAnsi="宋体" w:cs="Arial"/>
          <w:kern w:val="0"/>
          <w:sz w:val="24"/>
          <w:szCs w:val="24"/>
          <w:u w:val="single"/>
        </w:rPr>
        <w:t xml:space="preserve">        </w:t>
      </w:r>
      <w:r>
        <w:rPr>
          <w:rFonts w:hint="eastAsia" w:ascii="宋体" w:hAnsi="宋体" w:cs="Arial"/>
          <w:kern w:val="0"/>
          <w:sz w:val="24"/>
          <w:szCs w:val="24"/>
        </w:rPr>
        <w:t>年龄：</w:t>
      </w:r>
      <w:r>
        <w:rPr>
          <w:rFonts w:ascii="宋体" w:hAnsi="宋体" w:cs="Arial"/>
          <w:kern w:val="0"/>
          <w:sz w:val="24"/>
          <w:szCs w:val="24"/>
          <w:u w:val="single"/>
        </w:rPr>
        <w:t xml:space="preserve">         </w:t>
      </w:r>
      <w:r>
        <w:rPr>
          <w:rFonts w:hint="eastAsia" w:ascii="宋体" w:hAnsi="宋体" w:cs="Arial"/>
          <w:kern w:val="0"/>
          <w:sz w:val="24"/>
          <w:szCs w:val="24"/>
        </w:rPr>
        <w:t>职务：</w:t>
      </w:r>
      <w:r>
        <w:rPr>
          <w:rFonts w:ascii="宋体" w:hAnsi="宋体" w:cs="Arial"/>
          <w:kern w:val="0"/>
          <w:sz w:val="24"/>
          <w:szCs w:val="24"/>
          <w:u w:val="single"/>
        </w:rPr>
        <w:t xml:space="preserve">          </w:t>
      </w:r>
      <w:r>
        <w:rPr>
          <w:rFonts w:hint="eastAsia" w:ascii="宋体" w:hAnsi="宋体" w:cs="Arial"/>
          <w:kern w:val="0"/>
          <w:sz w:val="24"/>
          <w:szCs w:val="24"/>
        </w:rPr>
        <w:t>系</w:t>
      </w:r>
      <w:r>
        <w:rPr>
          <w:rFonts w:ascii="宋体" w:hAnsi="宋体" w:cs="Arial"/>
          <w:kern w:val="0"/>
          <w:sz w:val="24"/>
          <w:szCs w:val="24"/>
          <w:u w:val="single"/>
        </w:rPr>
        <w:t xml:space="preserve">                                           </w:t>
      </w:r>
      <w:r>
        <w:rPr>
          <w:rFonts w:hint="eastAsia" w:ascii="宋体" w:hAnsi="宋体" w:cs="Arial"/>
          <w:kern w:val="0"/>
          <w:sz w:val="24"/>
          <w:szCs w:val="24"/>
        </w:rPr>
        <w:t>（供应商名称）的法定代表人。</w:t>
      </w:r>
    </w:p>
    <w:p>
      <w:pPr>
        <w:widowControl/>
        <w:shd w:val="clear" w:color="auto" w:fill="FFFFFF"/>
        <w:snapToGrid w:val="0"/>
        <w:spacing w:line="384" w:lineRule="auto"/>
        <w:ind w:firstLine="480" w:firstLineChars="200"/>
        <w:jc w:val="left"/>
        <w:rPr>
          <w:rFonts w:ascii="宋体" w:cs="Arial"/>
          <w:kern w:val="0"/>
          <w:sz w:val="24"/>
          <w:szCs w:val="24"/>
        </w:rPr>
      </w:pPr>
      <w:r>
        <w:rPr>
          <w:rFonts w:hint="eastAsia" w:ascii="宋体" w:hAnsi="宋体" w:cs="Arial"/>
          <w:kern w:val="0"/>
          <w:sz w:val="24"/>
          <w:szCs w:val="24"/>
        </w:rPr>
        <w:t>特此证明。</w:t>
      </w:r>
    </w:p>
    <w:p>
      <w:pPr>
        <w:widowControl/>
        <w:shd w:val="clear" w:color="auto" w:fill="FFFFFF"/>
        <w:snapToGrid w:val="0"/>
        <w:spacing w:line="384" w:lineRule="auto"/>
        <w:jc w:val="left"/>
        <w:rPr>
          <w:rFonts w:ascii="宋体" w:cs="Arial"/>
          <w:kern w:val="0"/>
          <w:sz w:val="24"/>
          <w:szCs w:val="24"/>
        </w:rPr>
      </w:pPr>
    </w:p>
    <w:p>
      <w:pPr>
        <w:widowControl/>
        <w:shd w:val="clear" w:color="auto" w:fill="FFFFFF"/>
        <w:snapToGrid w:val="0"/>
        <w:spacing w:line="384" w:lineRule="auto"/>
        <w:ind w:firstLine="480" w:firstLineChars="200"/>
        <w:jc w:val="left"/>
        <w:rPr>
          <w:rFonts w:ascii="宋体" w:cs="Arial"/>
          <w:kern w:val="0"/>
          <w:sz w:val="24"/>
          <w:szCs w:val="24"/>
        </w:rPr>
      </w:pPr>
      <w:r>
        <w:rPr>
          <w:rFonts w:hint="eastAsia" w:ascii="宋体" w:hAnsi="宋体" w:cs="Arial"/>
          <w:kern w:val="0"/>
          <w:sz w:val="24"/>
          <w:szCs w:val="24"/>
        </w:rPr>
        <w:t>附：法定代表人身份证明</w:t>
      </w:r>
    </w:p>
    <w:p>
      <w:pPr>
        <w:widowControl/>
        <w:shd w:val="clear" w:color="auto" w:fill="FFFFFF"/>
        <w:snapToGrid w:val="0"/>
        <w:spacing w:line="360" w:lineRule="auto"/>
        <w:jc w:val="left"/>
        <w:rPr>
          <w:rFonts w:ascii="宋体" w:cs="Arial"/>
          <w:kern w:val="0"/>
          <w:sz w:val="24"/>
          <w:szCs w:val="24"/>
        </w:rPr>
      </w:pPr>
    </w:p>
    <w:tbl>
      <w:tblPr>
        <w:tblStyle w:val="38"/>
        <w:tblW w:w="396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96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38" w:hRule="exact"/>
        </w:trPr>
        <w:tc>
          <w:tcPr>
            <w:tcW w:w="3969" w:type="dxa"/>
            <w:vAlign w:val="center"/>
          </w:tcPr>
          <w:p>
            <w:pPr>
              <w:spacing w:line="360" w:lineRule="auto"/>
              <w:jc w:val="center"/>
              <w:rPr>
                <w:rFonts w:ascii="宋体"/>
                <w:kern w:val="0"/>
                <w:sz w:val="24"/>
                <w:szCs w:val="24"/>
              </w:rPr>
            </w:pPr>
            <w:r>
              <w:rPr>
                <w:rFonts w:hint="eastAsia" w:ascii="宋体" w:hAnsi="宋体" w:cs="Arial"/>
                <w:kern w:val="0"/>
                <w:sz w:val="24"/>
                <w:szCs w:val="24"/>
              </w:rPr>
              <w:t>法定代表人</w:t>
            </w:r>
            <w:r>
              <w:rPr>
                <w:rFonts w:hint="eastAsia" w:ascii="宋体" w:hAnsi="宋体"/>
                <w:kern w:val="0"/>
                <w:sz w:val="24"/>
                <w:szCs w:val="24"/>
              </w:rPr>
              <w:t>身份证复印件（正面）</w:t>
            </w:r>
          </w:p>
        </w:tc>
      </w:tr>
    </w:tbl>
    <w:p>
      <w:pPr>
        <w:rPr>
          <w:vanish/>
        </w:rPr>
      </w:pPr>
    </w:p>
    <w:tbl>
      <w:tblPr>
        <w:tblStyle w:val="38"/>
        <w:tblpPr w:leftFromText="180" w:rightFromText="180" w:vertAnchor="text" w:horzAnchor="page" w:tblpX="5971" w:tblpY="-2431"/>
        <w:tblW w:w="396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96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38" w:hRule="exact"/>
        </w:trPr>
        <w:tc>
          <w:tcPr>
            <w:tcW w:w="3969" w:type="dxa"/>
            <w:vAlign w:val="center"/>
          </w:tcPr>
          <w:p>
            <w:pPr>
              <w:spacing w:line="360" w:lineRule="auto"/>
              <w:jc w:val="center"/>
              <w:rPr>
                <w:rFonts w:ascii="宋体"/>
                <w:kern w:val="0"/>
                <w:sz w:val="24"/>
                <w:szCs w:val="24"/>
              </w:rPr>
            </w:pPr>
            <w:r>
              <w:rPr>
                <w:rFonts w:hint="eastAsia" w:ascii="宋体" w:hAnsi="宋体" w:cs="Arial"/>
                <w:kern w:val="0"/>
                <w:sz w:val="24"/>
                <w:szCs w:val="24"/>
              </w:rPr>
              <w:t>法定代表人</w:t>
            </w:r>
            <w:r>
              <w:rPr>
                <w:rFonts w:hint="eastAsia" w:ascii="宋体" w:hAnsi="宋体"/>
                <w:kern w:val="0"/>
                <w:sz w:val="24"/>
                <w:szCs w:val="24"/>
              </w:rPr>
              <w:t>身份证复印件（反面）</w:t>
            </w:r>
          </w:p>
        </w:tc>
      </w:tr>
    </w:tbl>
    <w:p>
      <w:pPr>
        <w:widowControl/>
        <w:shd w:val="clear" w:color="auto" w:fill="FFFFFF"/>
        <w:snapToGrid w:val="0"/>
        <w:spacing w:line="384" w:lineRule="auto"/>
        <w:jc w:val="left"/>
        <w:rPr>
          <w:rFonts w:ascii="宋体" w:cs="Arial"/>
          <w:kern w:val="0"/>
          <w:sz w:val="24"/>
          <w:szCs w:val="24"/>
        </w:rPr>
      </w:pPr>
      <w:r>
        <w:rPr>
          <w:rFonts w:hint="eastAsia" w:ascii="宋体" w:cs="Arial"/>
          <w:kern w:val="0"/>
          <w:sz w:val="24"/>
          <w:szCs w:val="24"/>
        </w:rPr>
        <w:t xml:space="preserve">   </w:t>
      </w:r>
    </w:p>
    <w:p>
      <w:pPr>
        <w:widowControl/>
        <w:shd w:val="clear" w:color="auto" w:fill="FFFFFF"/>
        <w:snapToGrid w:val="0"/>
        <w:spacing w:line="384" w:lineRule="auto"/>
        <w:jc w:val="left"/>
        <w:rPr>
          <w:rFonts w:ascii="宋体" w:cs="Arial"/>
          <w:kern w:val="0"/>
          <w:sz w:val="24"/>
          <w:szCs w:val="24"/>
        </w:rPr>
      </w:pPr>
    </w:p>
    <w:p>
      <w:pPr>
        <w:widowControl/>
        <w:shd w:val="clear" w:color="auto" w:fill="FFFFFF"/>
        <w:snapToGrid w:val="0"/>
        <w:spacing w:line="384" w:lineRule="auto"/>
        <w:jc w:val="left"/>
        <w:rPr>
          <w:rFonts w:ascii="宋体" w:cs="Arial"/>
          <w:kern w:val="0"/>
          <w:sz w:val="24"/>
          <w:szCs w:val="24"/>
        </w:rPr>
      </w:pPr>
      <w:r>
        <w:rPr>
          <w:rFonts w:hint="eastAsia" w:ascii="宋体" w:hAnsi="宋体" w:cs="Arial"/>
          <w:kern w:val="0"/>
          <w:sz w:val="24"/>
          <w:szCs w:val="24"/>
        </w:rPr>
        <w:t>供应商：</w:t>
      </w:r>
      <w:r>
        <w:rPr>
          <w:rFonts w:ascii="宋体" w:hAnsi="宋体" w:cs="Arial"/>
          <w:kern w:val="0"/>
          <w:sz w:val="24"/>
          <w:szCs w:val="24"/>
          <w:u w:val="single"/>
        </w:rPr>
        <w:t xml:space="preserve">                      </w:t>
      </w:r>
      <w:r>
        <w:rPr>
          <w:rFonts w:hint="eastAsia" w:ascii="宋体" w:hAnsi="宋体" w:cs="Arial"/>
          <w:kern w:val="0"/>
          <w:sz w:val="24"/>
          <w:szCs w:val="24"/>
        </w:rPr>
        <w:t>（盖章）</w:t>
      </w:r>
    </w:p>
    <w:p>
      <w:pPr>
        <w:widowControl/>
        <w:shd w:val="clear" w:color="auto" w:fill="FFFFFF"/>
        <w:wordWrap w:val="0"/>
        <w:snapToGrid w:val="0"/>
        <w:jc w:val="right"/>
        <w:rPr>
          <w:rFonts w:ascii="宋体" w:cs="Arial"/>
          <w:kern w:val="0"/>
          <w:sz w:val="24"/>
          <w:szCs w:val="24"/>
        </w:rPr>
      </w:pPr>
      <w:r>
        <w:rPr>
          <w:rFonts w:hint="eastAsia" w:ascii="宋体" w:hAnsi="宋体" w:cs="Arial"/>
          <w:kern w:val="0"/>
          <w:sz w:val="24"/>
          <w:szCs w:val="24"/>
        </w:rPr>
        <w:t>日期：</w:t>
      </w:r>
      <w:r>
        <w:rPr>
          <w:rFonts w:ascii="宋体" w:hAnsi="宋体" w:cs="Arial"/>
          <w:kern w:val="0"/>
          <w:sz w:val="24"/>
          <w:szCs w:val="24"/>
          <w:u w:val="single"/>
        </w:rPr>
        <w:t xml:space="preserve">       </w:t>
      </w:r>
      <w:r>
        <w:rPr>
          <w:rFonts w:hint="eastAsia" w:ascii="宋体" w:hAnsi="宋体" w:cs="Arial"/>
          <w:kern w:val="0"/>
          <w:sz w:val="24"/>
          <w:szCs w:val="24"/>
        </w:rPr>
        <w:t>年</w:t>
      </w:r>
      <w:r>
        <w:rPr>
          <w:rFonts w:ascii="宋体" w:hAnsi="宋体" w:cs="Arial"/>
          <w:kern w:val="0"/>
          <w:sz w:val="24"/>
          <w:szCs w:val="24"/>
          <w:u w:val="single"/>
        </w:rPr>
        <w:t xml:space="preserve">      </w:t>
      </w:r>
      <w:r>
        <w:rPr>
          <w:rFonts w:hint="eastAsia" w:ascii="宋体" w:hAnsi="宋体" w:cs="Arial"/>
          <w:kern w:val="0"/>
          <w:sz w:val="24"/>
          <w:szCs w:val="24"/>
        </w:rPr>
        <w:t>月</w:t>
      </w:r>
      <w:r>
        <w:rPr>
          <w:rFonts w:ascii="宋体" w:hAnsi="宋体" w:cs="Arial"/>
          <w:kern w:val="0"/>
          <w:sz w:val="24"/>
          <w:szCs w:val="24"/>
          <w:u w:val="single"/>
        </w:rPr>
        <w:t xml:space="preserve">      </w:t>
      </w:r>
      <w:r>
        <w:rPr>
          <w:rFonts w:hint="eastAsia" w:ascii="宋体" w:hAnsi="宋体" w:cs="Arial"/>
          <w:kern w:val="0"/>
          <w:sz w:val="24"/>
          <w:szCs w:val="24"/>
        </w:rPr>
        <w:t>日</w:t>
      </w:r>
      <w:r>
        <w:rPr>
          <w:rFonts w:ascii="宋体" w:hAnsi="宋体" w:cs="Arial"/>
          <w:kern w:val="0"/>
          <w:sz w:val="24"/>
          <w:szCs w:val="24"/>
        </w:rPr>
        <w:t xml:space="preserve"> </w:t>
      </w:r>
    </w:p>
    <w:p>
      <w:pPr>
        <w:widowControl/>
        <w:shd w:val="clear" w:color="auto" w:fill="FFFFFF"/>
        <w:snapToGrid w:val="0"/>
        <w:spacing w:line="360" w:lineRule="auto"/>
        <w:jc w:val="right"/>
        <w:rPr>
          <w:rFonts w:ascii="宋体" w:cs="Arial"/>
          <w:kern w:val="0"/>
          <w:sz w:val="24"/>
          <w:szCs w:val="24"/>
        </w:rPr>
      </w:pPr>
    </w:p>
    <w:p>
      <w:pPr>
        <w:widowControl/>
        <w:shd w:val="clear" w:color="auto" w:fill="FFFFFF"/>
        <w:snapToGrid w:val="0"/>
        <w:spacing w:line="360" w:lineRule="auto"/>
        <w:jc w:val="right"/>
        <w:rPr>
          <w:rFonts w:ascii="宋体" w:cs="Arial"/>
          <w:kern w:val="0"/>
          <w:sz w:val="24"/>
          <w:szCs w:val="24"/>
        </w:rPr>
      </w:pPr>
    </w:p>
    <w:p>
      <w:pPr>
        <w:widowControl/>
        <w:shd w:val="clear" w:color="auto" w:fill="FFFFFF"/>
        <w:snapToGrid w:val="0"/>
        <w:spacing w:line="360" w:lineRule="auto"/>
        <w:jc w:val="right"/>
        <w:rPr>
          <w:rFonts w:ascii="宋体" w:cs="Arial"/>
          <w:kern w:val="0"/>
          <w:sz w:val="24"/>
          <w:szCs w:val="24"/>
        </w:rPr>
      </w:pPr>
    </w:p>
    <w:p>
      <w:pPr>
        <w:tabs>
          <w:tab w:val="center" w:pos="4832"/>
          <w:tab w:val="left" w:pos="7140"/>
        </w:tabs>
        <w:spacing w:line="360" w:lineRule="auto"/>
        <w:jc w:val="center"/>
        <w:outlineLvl w:val="1"/>
        <w:rPr>
          <w:rFonts w:ascii="宋体" w:hAnsi="宋体"/>
          <w:b/>
          <w:sz w:val="24"/>
          <w:szCs w:val="24"/>
        </w:rPr>
      </w:pPr>
      <w:r>
        <w:rPr>
          <w:rFonts w:ascii="宋体" w:cs="Arial"/>
          <w:b/>
          <w:bCs/>
          <w:kern w:val="0"/>
          <w:sz w:val="24"/>
          <w:szCs w:val="24"/>
        </w:rPr>
        <w:br w:type="page"/>
      </w:r>
      <w:bookmarkStart w:id="103" w:name="_Toc38446476"/>
      <w:bookmarkStart w:id="104" w:name="_Toc507586171"/>
      <w:bookmarkStart w:id="105" w:name="_Toc104243930"/>
      <w:bookmarkStart w:id="106" w:name="_Toc533503186"/>
      <w:bookmarkStart w:id="107" w:name="_Toc103717601"/>
      <w:r>
        <w:rPr>
          <w:rFonts w:hint="eastAsia" w:ascii="宋体" w:hAnsi="宋体"/>
          <w:b/>
          <w:sz w:val="24"/>
          <w:szCs w:val="24"/>
        </w:rPr>
        <w:t>五、法定代表人授权委托书</w:t>
      </w:r>
      <w:bookmarkEnd w:id="103"/>
      <w:bookmarkEnd w:id="104"/>
      <w:bookmarkEnd w:id="105"/>
      <w:bookmarkEnd w:id="106"/>
      <w:bookmarkEnd w:id="107"/>
    </w:p>
    <w:p>
      <w:pPr>
        <w:widowControl/>
        <w:shd w:val="clear" w:color="auto" w:fill="FFFFFF"/>
        <w:snapToGrid w:val="0"/>
        <w:spacing w:line="360" w:lineRule="auto"/>
        <w:jc w:val="left"/>
        <w:rPr>
          <w:rFonts w:ascii="宋体" w:cs="Arial"/>
          <w:kern w:val="0"/>
          <w:sz w:val="24"/>
          <w:szCs w:val="24"/>
        </w:rPr>
      </w:pPr>
    </w:p>
    <w:p>
      <w:pPr>
        <w:widowControl/>
        <w:shd w:val="clear" w:color="auto" w:fill="FFFFFF"/>
        <w:snapToGrid w:val="0"/>
        <w:spacing w:line="384" w:lineRule="auto"/>
        <w:ind w:firstLine="480" w:firstLineChars="200"/>
        <w:jc w:val="left"/>
        <w:rPr>
          <w:rFonts w:ascii="宋体" w:cs="Arial"/>
          <w:kern w:val="0"/>
          <w:sz w:val="24"/>
          <w:szCs w:val="24"/>
        </w:rPr>
      </w:pPr>
      <w:r>
        <w:rPr>
          <w:rFonts w:hint="eastAsia" w:ascii="宋体" w:hAnsi="宋体" w:cs="Arial"/>
          <w:kern w:val="0"/>
          <w:sz w:val="24"/>
          <w:szCs w:val="24"/>
        </w:rPr>
        <w:t>本人</w:t>
      </w:r>
      <w:r>
        <w:rPr>
          <w:rFonts w:ascii="宋体" w:hAnsi="宋体" w:cs="Arial"/>
          <w:kern w:val="0"/>
          <w:sz w:val="24"/>
          <w:szCs w:val="24"/>
          <w:u w:val="single"/>
        </w:rPr>
        <w:t xml:space="preserve">                </w:t>
      </w:r>
      <w:r>
        <w:rPr>
          <w:rFonts w:hint="eastAsia" w:ascii="宋体" w:hAnsi="宋体" w:cs="Arial"/>
          <w:kern w:val="0"/>
          <w:sz w:val="24"/>
          <w:szCs w:val="24"/>
        </w:rPr>
        <w:t>（姓名）系</w:t>
      </w:r>
      <w:r>
        <w:rPr>
          <w:rFonts w:ascii="宋体" w:hAnsi="宋体" w:cs="Arial"/>
          <w:kern w:val="0"/>
          <w:sz w:val="24"/>
          <w:szCs w:val="24"/>
          <w:u w:val="single"/>
        </w:rPr>
        <w:t xml:space="preserve">  </w:t>
      </w:r>
      <w:r>
        <w:rPr>
          <w:rFonts w:hint="eastAsia" w:ascii="宋体" w:hAnsi="宋体" w:cs="Arial"/>
          <w:kern w:val="0"/>
          <w:sz w:val="24"/>
          <w:szCs w:val="24"/>
          <w:u w:val="single"/>
        </w:rPr>
        <w:t xml:space="preserve">       </w:t>
      </w:r>
      <w:r>
        <w:rPr>
          <w:rFonts w:ascii="宋体" w:hAnsi="宋体" w:cs="Arial"/>
          <w:kern w:val="0"/>
          <w:sz w:val="24"/>
          <w:szCs w:val="24"/>
          <w:u w:val="single"/>
        </w:rPr>
        <w:t xml:space="preserve">       </w:t>
      </w:r>
      <w:r>
        <w:rPr>
          <w:rFonts w:ascii="宋体" w:hAnsi="宋体" w:cs="Arial"/>
          <w:kern w:val="0"/>
          <w:sz w:val="24"/>
          <w:szCs w:val="24"/>
        </w:rPr>
        <w:t xml:space="preserve"> </w:t>
      </w:r>
      <w:r>
        <w:rPr>
          <w:rFonts w:hint="eastAsia" w:ascii="宋体" w:hAnsi="宋体" w:cs="Arial"/>
          <w:kern w:val="0"/>
          <w:sz w:val="24"/>
          <w:szCs w:val="24"/>
        </w:rPr>
        <w:t>（供应商名称）的法定代表人，现拟派我单位</w:t>
      </w:r>
      <w:r>
        <w:rPr>
          <w:rFonts w:ascii="宋体" w:hAnsi="宋体" w:cs="Arial"/>
          <w:kern w:val="0"/>
          <w:sz w:val="24"/>
          <w:szCs w:val="24"/>
          <w:u w:val="single"/>
        </w:rPr>
        <w:t xml:space="preserve">              </w:t>
      </w:r>
      <w:r>
        <w:rPr>
          <w:rFonts w:hint="eastAsia" w:ascii="宋体" w:hAnsi="宋体" w:cs="Arial"/>
          <w:kern w:val="0"/>
          <w:sz w:val="24"/>
          <w:szCs w:val="24"/>
        </w:rPr>
        <w:t>（姓名）为我方委托代理人。委托代理人根据授权，就</w:t>
      </w:r>
      <w:r>
        <w:rPr>
          <w:rFonts w:ascii="宋体" w:hAnsi="宋体" w:cs="Arial"/>
          <w:kern w:val="0"/>
          <w:sz w:val="24"/>
          <w:szCs w:val="24"/>
          <w:u w:val="single"/>
        </w:rPr>
        <w:t xml:space="preserve">              </w:t>
      </w:r>
      <w:r>
        <w:rPr>
          <w:rFonts w:hint="eastAsia" w:ascii="宋体" w:hAnsi="宋体" w:cs="Arial"/>
          <w:kern w:val="0"/>
          <w:sz w:val="24"/>
          <w:szCs w:val="24"/>
        </w:rPr>
        <w:t>（招标项目名称）的投标，以本公司名义处理一切与之有关的事务，其法律后果由我方承担。</w:t>
      </w:r>
    </w:p>
    <w:p>
      <w:pPr>
        <w:widowControl/>
        <w:shd w:val="clear" w:color="auto" w:fill="FFFFFF"/>
        <w:snapToGrid w:val="0"/>
        <w:spacing w:line="384" w:lineRule="auto"/>
        <w:ind w:firstLine="480" w:firstLineChars="200"/>
        <w:jc w:val="left"/>
        <w:rPr>
          <w:rFonts w:ascii="宋体" w:cs="Arial"/>
          <w:kern w:val="0"/>
          <w:sz w:val="24"/>
          <w:szCs w:val="24"/>
          <w:u w:val="single"/>
        </w:rPr>
      </w:pPr>
      <w:r>
        <w:rPr>
          <w:rFonts w:hint="eastAsia" w:ascii="宋体" w:hAnsi="宋体" w:cs="Arial"/>
          <w:kern w:val="0"/>
          <w:sz w:val="24"/>
          <w:szCs w:val="24"/>
        </w:rPr>
        <w:t>代理人：</w:t>
      </w:r>
      <w:r>
        <w:rPr>
          <w:rFonts w:ascii="宋体" w:hAnsi="宋体" w:cs="Arial"/>
          <w:i/>
          <w:kern w:val="0"/>
          <w:sz w:val="24"/>
          <w:szCs w:val="24"/>
          <w:u w:val="single"/>
        </w:rPr>
        <w:t xml:space="preserve">                 </w:t>
      </w:r>
      <w:r>
        <w:rPr>
          <w:rFonts w:hint="eastAsia" w:ascii="宋体" w:hAnsi="宋体" w:cs="Arial"/>
          <w:kern w:val="0"/>
          <w:sz w:val="24"/>
          <w:szCs w:val="24"/>
        </w:rPr>
        <w:t>性别：</w:t>
      </w:r>
      <w:r>
        <w:rPr>
          <w:rFonts w:ascii="宋体" w:hAnsi="宋体" w:cs="Arial"/>
          <w:kern w:val="0"/>
          <w:sz w:val="24"/>
          <w:szCs w:val="24"/>
          <w:u w:val="single"/>
        </w:rPr>
        <w:t xml:space="preserve">             </w:t>
      </w:r>
      <w:r>
        <w:rPr>
          <w:rFonts w:ascii="宋体" w:hAnsi="宋体" w:cs="Arial"/>
          <w:kern w:val="0"/>
          <w:sz w:val="24"/>
          <w:szCs w:val="24"/>
        </w:rPr>
        <w:t xml:space="preserve"> </w:t>
      </w:r>
      <w:r>
        <w:rPr>
          <w:rFonts w:hint="eastAsia" w:ascii="宋体" w:hAnsi="宋体" w:cs="Arial"/>
          <w:kern w:val="0"/>
          <w:sz w:val="24"/>
          <w:szCs w:val="24"/>
        </w:rPr>
        <w:t>年龄：</w:t>
      </w:r>
      <w:r>
        <w:rPr>
          <w:rFonts w:ascii="宋体" w:hAnsi="宋体" w:cs="Arial"/>
          <w:kern w:val="0"/>
          <w:sz w:val="24"/>
          <w:szCs w:val="24"/>
          <w:u w:val="single"/>
        </w:rPr>
        <w:t xml:space="preserve">                    </w:t>
      </w:r>
    </w:p>
    <w:p>
      <w:pPr>
        <w:widowControl/>
        <w:shd w:val="clear" w:color="auto" w:fill="FFFFFF"/>
        <w:snapToGrid w:val="0"/>
        <w:spacing w:line="384" w:lineRule="auto"/>
        <w:ind w:firstLine="480" w:firstLineChars="200"/>
        <w:jc w:val="left"/>
        <w:rPr>
          <w:rFonts w:ascii="宋体" w:cs="Arial"/>
          <w:kern w:val="0"/>
          <w:sz w:val="24"/>
          <w:szCs w:val="24"/>
        </w:rPr>
      </w:pPr>
      <w:r>
        <w:rPr>
          <w:rFonts w:hint="eastAsia" w:ascii="宋体" w:hAnsi="宋体" w:cs="Arial"/>
          <w:kern w:val="0"/>
          <w:sz w:val="24"/>
          <w:szCs w:val="24"/>
        </w:rPr>
        <w:t>单</w:t>
      </w:r>
      <w:r>
        <w:rPr>
          <w:rFonts w:ascii="宋体" w:hAnsi="宋体" w:cs="Arial"/>
          <w:kern w:val="0"/>
          <w:sz w:val="24"/>
          <w:szCs w:val="24"/>
        </w:rPr>
        <w:t xml:space="preserve">  </w:t>
      </w:r>
      <w:r>
        <w:rPr>
          <w:rFonts w:hint="eastAsia" w:ascii="宋体" w:hAnsi="宋体" w:cs="Arial"/>
          <w:kern w:val="0"/>
          <w:sz w:val="24"/>
          <w:szCs w:val="24"/>
        </w:rPr>
        <w:t>位：</w:t>
      </w:r>
      <w:r>
        <w:rPr>
          <w:rFonts w:ascii="宋体" w:hAnsi="宋体" w:cs="Arial"/>
          <w:kern w:val="0"/>
          <w:sz w:val="24"/>
          <w:szCs w:val="24"/>
          <w:u w:val="single"/>
        </w:rPr>
        <w:t xml:space="preserve">                 </w:t>
      </w:r>
      <w:r>
        <w:rPr>
          <w:rFonts w:hint="eastAsia" w:ascii="宋体" w:hAnsi="宋体" w:cs="Arial"/>
          <w:kern w:val="0"/>
          <w:sz w:val="24"/>
          <w:szCs w:val="24"/>
        </w:rPr>
        <w:t>部门：</w:t>
      </w:r>
      <w:r>
        <w:rPr>
          <w:rFonts w:ascii="宋体" w:hAnsi="宋体" w:cs="Arial"/>
          <w:kern w:val="0"/>
          <w:sz w:val="24"/>
          <w:szCs w:val="24"/>
          <w:u w:val="single"/>
        </w:rPr>
        <w:t xml:space="preserve">             </w:t>
      </w:r>
      <w:r>
        <w:rPr>
          <w:rFonts w:ascii="宋体" w:hAnsi="宋体" w:cs="Arial"/>
          <w:kern w:val="0"/>
          <w:sz w:val="24"/>
          <w:szCs w:val="24"/>
        </w:rPr>
        <w:t xml:space="preserve"> </w:t>
      </w:r>
      <w:r>
        <w:rPr>
          <w:rFonts w:hint="eastAsia" w:ascii="宋体" w:hAnsi="宋体" w:cs="Arial"/>
          <w:kern w:val="0"/>
          <w:sz w:val="24"/>
          <w:szCs w:val="24"/>
        </w:rPr>
        <w:t>职务：</w:t>
      </w:r>
      <w:r>
        <w:rPr>
          <w:rFonts w:ascii="宋体" w:hAnsi="宋体" w:cs="Arial"/>
          <w:kern w:val="0"/>
          <w:sz w:val="24"/>
          <w:szCs w:val="24"/>
          <w:u w:val="single"/>
        </w:rPr>
        <w:t xml:space="preserve">                    </w:t>
      </w:r>
    </w:p>
    <w:p>
      <w:pPr>
        <w:widowControl/>
        <w:shd w:val="clear" w:color="auto" w:fill="FFFFFF"/>
        <w:snapToGrid w:val="0"/>
        <w:spacing w:line="384" w:lineRule="auto"/>
        <w:ind w:firstLine="480" w:firstLineChars="200"/>
        <w:jc w:val="left"/>
        <w:rPr>
          <w:rFonts w:ascii="宋体" w:cs="Arial"/>
          <w:kern w:val="0"/>
          <w:sz w:val="24"/>
          <w:szCs w:val="24"/>
        </w:rPr>
      </w:pPr>
      <w:r>
        <w:rPr>
          <w:rFonts w:hint="eastAsia" w:ascii="宋体" w:hAnsi="宋体" w:cs="Arial"/>
          <w:kern w:val="0"/>
          <w:sz w:val="24"/>
          <w:szCs w:val="24"/>
        </w:rPr>
        <w:t>代理人无转委权，特此申明。</w:t>
      </w:r>
    </w:p>
    <w:p>
      <w:pPr>
        <w:widowControl/>
        <w:shd w:val="clear" w:color="auto" w:fill="FFFFFF"/>
        <w:snapToGrid w:val="0"/>
        <w:spacing w:line="360" w:lineRule="auto"/>
        <w:jc w:val="left"/>
        <w:rPr>
          <w:rFonts w:ascii="宋体" w:hAnsi="宋体" w:cs="Arial"/>
          <w:kern w:val="0"/>
          <w:sz w:val="24"/>
          <w:szCs w:val="24"/>
        </w:rPr>
      </w:pPr>
    </w:p>
    <w:p>
      <w:pPr>
        <w:widowControl/>
        <w:shd w:val="clear" w:color="auto" w:fill="FFFFFF"/>
        <w:snapToGrid w:val="0"/>
        <w:spacing w:line="360" w:lineRule="auto"/>
        <w:jc w:val="left"/>
        <w:rPr>
          <w:rFonts w:ascii="宋体" w:cs="Arial"/>
          <w:kern w:val="0"/>
          <w:sz w:val="24"/>
          <w:szCs w:val="24"/>
        </w:rPr>
      </w:pPr>
      <w:r>
        <w:rPr>
          <w:rFonts w:hint="eastAsia" w:ascii="宋体" w:hAnsi="宋体" w:cs="Arial"/>
          <w:kern w:val="0"/>
          <w:sz w:val="24"/>
          <w:szCs w:val="24"/>
        </w:rPr>
        <w:t>附：委托代理人身份证明。</w:t>
      </w:r>
    </w:p>
    <w:tbl>
      <w:tblPr>
        <w:tblStyle w:val="38"/>
        <w:tblW w:w="396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96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38" w:hRule="exact"/>
        </w:trPr>
        <w:tc>
          <w:tcPr>
            <w:tcW w:w="3969" w:type="dxa"/>
            <w:vAlign w:val="center"/>
          </w:tcPr>
          <w:p>
            <w:pPr>
              <w:spacing w:line="360" w:lineRule="auto"/>
              <w:jc w:val="center"/>
              <w:rPr>
                <w:rFonts w:ascii="宋体"/>
                <w:kern w:val="0"/>
                <w:sz w:val="24"/>
                <w:szCs w:val="24"/>
              </w:rPr>
            </w:pPr>
            <w:r>
              <w:rPr>
                <w:rFonts w:hint="eastAsia" w:ascii="宋体" w:hAnsi="宋体" w:cs="Arial"/>
                <w:kern w:val="0"/>
                <w:sz w:val="24"/>
                <w:szCs w:val="24"/>
              </w:rPr>
              <w:t>委托代理人</w:t>
            </w:r>
            <w:r>
              <w:rPr>
                <w:rFonts w:hint="eastAsia" w:ascii="宋体" w:hAnsi="宋体"/>
                <w:kern w:val="0"/>
                <w:sz w:val="24"/>
                <w:szCs w:val="24"/>
              </w:rPr>
              <w:t>身份证复印件（正面）</w:t>
            </w:r>
          </w:p>
        </w:tc>
      </w:tr>
    </w:tbl>
    <w:p>
      <w:pPr>
        <w:rPr>
          <w:vanish/>
        </w:rPr>
      </w:pPr>
    </w:p>
    <w:tbl>
      <w:tblPr>
        <w:tblStyle w:val="38"/>
        <w:tblpPr w:leftFromText="180" w:rightFromText="180" w:vertAnchor="text" w:horzAnchor="page" w:tblpX="5711" w:tblpY="-2431"/>
        <w:tblW w:w="396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96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438" w:hRule="exact"/>
        </w:trPr>
        <w:tc>
          <w:tcPr>
            <w:tcW w:w="3969" w:type="dxa"/>
            <w:vAlign w:val="center"/>
          </w:tcPr>
          <w:p>
            <w:pPr>
              <w:spacing w:line="360" w:lineRule="auto"/>
              <w:jc w:val="center"/>
              <w:rPr>
                <w:rFonts w:ascii="宋体"/>
                <w:kern w:val="0"/>
                <w:sz w:val="24"/>
                <w:szCs w:val="24"/>
              </w:rPr>
            </w:pPr>
            <w:r>
              <w:rPr>
                <w:rFonts w:hint="eastAsia" w:ascii="宋体" w:hAnsi="宋体" w:cs="Arial"/>
                <w:kern w:val="0"/>
                <w:sz w:val="24"/>
                <w:szCs w:val="24"/>
              </w:rPr>
              <w:t>委托代理人</w:t>
            </w:r>
            <w:r>
              <w:rPr>
                <w:rFonts w:hint="eastAsia" w:ascii="宋体" w:hAnsi="宋体"/>
                <w:kern w:val="0"/>
                <w:sz w:val="24"/>
                <w:szCs w:val="24"/>
              </w:rPr>
              <w:t>身份证复印件（反面）</w:t>
            </w:r>
          </w:p>
        </w:tc>
      </w:tr>
    </w:tbl>
    <w:p>
      <w:pPr>
        <w:widowControl/>
        <w:shd w:val="clear" w:color="auto" w:fill="FFFFFF"/>
        <w:snapToGrid w:val="0"/>
        <w:spacing w:line="360" w:lineRule="auto"/>
        <w:jc w:val="left"/>
        <w:rPr>
          <w:rFonts w:ascii="宋体" w:cs="Arial"/>
          <w:kern w:val="0"/>
          <w:sz w:val="24"/>
          <w:szCs w:val="24"/>
        </w:rPr>
      </w:pPr>
    </w:p>
    <w:p>
      <w:pPr>
        <w:widowControl/>
        <w:shd w:val="clear" w:color="auto" w:fill="FFFFFF"/>
        <w:snapToGrid w:val="0"/>
        <w:spacing w:line="360" w:lineRule="auto"/>
        <w:jc w:val="left"/>
        <w:rPr>
          <w:rFonts w:ascii="宋体" w:cs="Arial"/>
          <w:kern w:val="0"/>
          <w:sz w:val="24"/>
          <w:szCs w:val="24"/>
        </w:rPr>
      </w:pPr>
    </w:p>
    <w:p>
      <w:pPr>
        <w:widowControl/>
        <w:shd w:val="clear" w:color="auto" w:fill="FFFFFF"/>
        <w:snapToGrid w:val="0"/>
        <w:spacing w:line="360" w:lineRule="auto"/>
        <w:jc w:val="left"/>
        <w:rPr>
          <w:rFonts w:ascii="宋体" w:cs="Arial"/>
          <w:kern w:val="0"/>
          <w:sz w:val="24"/>
          <w:szCs w:val="24"/>
        </w:rPr>
      </w:pPr>
    </w:p>
    <w:p>
      <w:pPr>
        <w:widowControl/>
        <w:shd w:val="clear" w:color="auto" w:fill="FFFFFF"/>
        <w:snapToGrid w:val="0"/>
        <w:spacing w:line="360" w:lineRule="auto"/>
        <w:jc w:val="left"/>
        <w:rPr>
          <w:rFonts w:ascii="宋体" w:cs="Arial"/>
          <w:kern w:val="0"/>
          <w:sz w:val="24"/>
          <w:szCs w:val="24"/>
        </w:rPr>
      </w:pPr>
      <w:r>
        <w:rPr>
          <w:rFonts w:hint="eastAsia" w:ascii="宋体" w:hAnsi="宋体" w:cs="Arial"/>
          <w:kern w:val="0"/>
          <w:sz w:val="24"/>
          <w:szCs w:val="24"/>
        </w:rPr>
        <w:t>供应商：</w:t>
      </w:r>
      <w:r>
        <w:rPr>
          <w:rFonts w:hint="eastAsia" w:ascii="宋体" w:hAnsi="宋体" w:cs="Arial"/>
          <w:kern w:val="0"/>
          <w:sz w:val="24"/>
          <w:szCs w:val="24"/>
          <w:u w:val="single"/>
        </w:rPr>
        <w:t xml:space="preserve">               </w:t>
      </w:r>
      <w:r>
        <w:rPr>
          <w:rFonts w:hint="eastAsia" w:ascii="宋体" w:hAnsi="宋体" w:cs="Arial"/>
          <w:kern w:val="0"/>
          <w:sz w:val="24"/>
          <w:szCs w:val="24"/>
        </w:rPr>
        <w:t>（盖章）</w:t>
      </w:r>
    </w:p>
    <w:p>
      <w:pPr>
        <w:widowControl/>
        <w:shd w:val="clear" w:color="auto" w:fill="FFFFFF"/>
        <w:snapToGrid w:val="0"/>
        <w:spacing w:line="360" w:lineRule="auto"/>
        <w:jc w:val="left"/>
        <w:rPr>
          <w:rFonts w:ascii="宋体" w:cs="Arial"/>
          <w:kern w:val="0"/>
          <w:sz w:val="24"/>
          <w:szCs w:val="24"/>
        </w:rPr>
      </w:pPr>
    </w:p>
    <w:p>
      <w:pPr>
        <w:widowControl/>
        <w:shd w:val="clear" w:color="auto" w:fill="FFFFFF"/>
        <w:snapToGrid w:val="0"/>
        <w:spacing w:line="360" w:lineRule="auto"/>
        <w:jc w:val="left"/>
        <w:rPr>
          <w:rFonts w:ascii="宋体" w:cs="Arial"/>
          <w:kern w:val="0"/>
          <w:sz w:val="24"/>
          <w:szCs w:val="24"/>
        </w:rPr>
      </w:pPr>
      <w:r>
        <w:rPr>
          <w:rFonts w:hint="eastAsia" w:ascii="宋体" w:hAnsi="宋体" w:cs="Arial"/>
          <w:kern w:val="0"/>
          <w:sz w:val="24"/>
          <w:szCs w:val="24"/>
        </w:rPr>
        <w:t>法定代表人：</w:t>
      </w:r>
      <w:r>
        <w:rPr>
          <w:rFonts w:hint="eastAsia" w:ascii="宋体" w:hAnsi="宋体" w:cs="Arial"/>
          <w:kern w:val="0"/>
          <w:sz w:val="24"/>
          <w:szCs w:val="24"/>
          <w:u w:val="single"/>
        </w:rPr>
        <w:t xml:space="preserve">           </w:t>
      </w:r>
      <w:r>
        <w:rPr>
          <w:rFonts w:hint="eastAsia" w:ascii="宋体" w:hAnsi="宋体" w:cs="Arial"/>
          <w:kern w:val="0"/>
          <w:sz w:val="24"/>
          <w:szCs w:val="24"/>
        </w:rPr>
        <w:t>（盖章）</w:t>
      </w:r>
    </w:p>
    <w:p>
      <w:pPr>
        <w:widowControl/>
        <w:shd w:val="clear" w:color="auto" w:fill="FFFFFF"/>
        <w:snapToGrid w:val="0"/>
        <w:spacing w:line="360" w:lineRule="auto"/>
        <w:ind w:firstLine="420"/>
        <w:jc w:val="center"/>
        <w:rPr>
          <w:rFonts w:ascii="宋体" w:cs="Arial"/>
          <w:kern w:val="0"/>
          <w:sz w:val="24"/>
          <w:szCs w:val="24"/>
        </w:rPr>
      </w:pPr>
      <w:r>
        <w:rPr>
          <w:rFonts w:hint="eastAsia" w:ascii="宋体" w:hAnsi="宋体" w:cs="Arial"/>
          <w:kern w:val="0"/>
          <w:sz w:val="24"/>
          <w:szCs w:val="24"/>
        </w:rPr>
        <w:t xml:space="preserve">                                               日期： 年  月  日</w:t>
      </w:r>
    </w:p>
    <w:p>
      <w:pPr>
        <w:widowControl/>
        <w:shd w:val="clear" w:color="auto" w:fill="FFFFFF"/>
        <w:snapToGrid w:val="0"/>
        <w:spacing w:line="360" w:lineRule="auto"/>
        <w:jc w:val="left"/>
        <w:rPr>
          <w:rFonts w:ascii="宋体" w:cs="Arial"/>
          <w:kern w:val="0"/>
          <w:sz w:val="24"/>
          <w:szCs w:val="24"/>
        </w:rPr>
      </w:pPr>
    </w:p>
    <w:p>
      <w:r>
        <w:t xml:space="preserve"> </w:t>
      </w:r>
    </w:p>
    <w:p>
      <w:pPr>
        <w:tabs>
          <w:tab w:val="center" w:pos="4832"/>
          <w:tab w:val="left" w:pos="7140"/>
        </w:tabs>
        <w:spacing w:line="360" w:lineRule="auto"/>
        <w:jc w:val="center"/>
        <w:outlineLvl w:val="1"/>
        <w:rPr>
          <w:rFonts w:ascii="宋体" w:hAnsi="宋体"/>
          <w:b/>
          <w:sz w:val="24"/>
          <w:szCs w:val="24"/>
        </w:rPr>
      </w:pPr>
      <w:bookmarkStart w:id="108" w:name="_Toc507586173"/>
      <w:r>
        <w:rPr>
          <w:rFonts w:ascii="宋体" w:hAnsi="宋体"/>
          <w:b/>
          <w:sz w:val="24"/>
          <w:szCs w:val="24"/>
        </w:rPr>
        <w:br w:type="page"/>
      </w:r>
      <w:bookmarkStart w:id="109" w:name="_Toc104243931"/>
      <w:bookmarkStart w:id="110" w:name="_Toc38446478"/>
      <w:bookmarkStart w:id="111" w:name="_Toc533503189"/>
      <w:bookmarkStart w:id="112" w:name="_Toc103717602"/>
      <w:r>
        <w:rPr>
          <w:rFonts w:hint="eastAsia" w:ascii="宋体" w:hAnsi="宋体"/>
          <w:b/>
          <w:sz w:val="24"/>
          <w:szCs w:val="24"/>
        </w:rPr>
        <w:t>六、供应商基本情况表</w:t>
      </w:r>
      <w:bookmarkEnd w:id="108"/>
      <w:bookmarkEnd w:id="109"/>
      <w:bookmarkEnd w:id="110"/>
      <w:bookmarkEnd w:id="111"/>
      <w:bookmarkEnd w:id="112"/>
      <w:r>
        <w:rPr>
          <w:rFonts w:hint="eastAsia" w:ascii="宋体" w:hAnsi="宋体"/>
          <w:b/>
          <w:sz w:val="24"/>
          <w:szCs w:val="24"/>
        </w:rPr>
        <w:t>及履约能力</w:t>
      </w:r>
    </w:p>
    <w:p>
      <w:pPr>
        <w:spacing w:line="360" w:lineRule="auto"/>
        <w:jc w:val="left"/>
        <w:rPr>
          <w:rFonts w:ascii="宋体" w:hAnsi="宋体" w:eastAsia="宋体" w:cs="Times New Roman"/>
          <w:sz w:val="24"/>
          <w:szCs w:val="24"/>
        </w:rPr>
      </w:pPr>
    </w:p>
    <w:tbl>
      <w:tblPr>
        <w:tblStyle w:val="38"/>
        <w:tblW w:w="87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4"/>
        <w:gridCol w:w="3988"/>
        <w:gridCol w:w="1571"/>
        <w:gridCol w:w="16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5" w:hRule="exact"/>
          <w:jc w:val="center"/>
        </w:trPr>
        <w:tc>
          <w:tcPr>
            <w:tcW w:w="1514" w:type="dxa"/>
            <w:vAlign w:val="center"/>
          </w:tcPr>
          <w:p>
            <w:pPr>
              <w:widowControl/>
              <w:snapToGrid w:val="0"/>
              <w:jc w:val="center"/>
              <w:rPr>
                <w:rFonts w:ascii="宋体" w:hAnsi="宋体" w:eastAsia="宋体" w:cs="宋体"/>
                <w:kern w:val="0"/>
                <w:sz w:val="24"/>
                <w:szCs w:val="24"/>
                <w:lang w:bidi="ar"/>
              </w:rPr>
            </w:pPr>
            <w:r>
              <w:rPr>
                <w:rFonts w:hint="eastAsia" w:ascii="宋体" w:hAnsi="宋体" w:eastAsia="宋体" w:cs="宋体"/>
                <w:kern w:val="0"/>
                <w:sz w:val="24"/>
                <w:szCs w:val="24"/>
                <w:lang w:bidi="ar"/>
              </w:rPr>
              <w:t>供应商</w:t>
            </w:r>
            <w:r>
              <w:rPr>
                <w:rFonts w:hint="eastAsia" w:ascii="宋体" w:hAnsi="宋体" w:cs="宋体"/>
                <w:kern w:val="0"/>
                <w:sz w:val="24"/>
                <w:szCs w:val="24"/>
                <w:lang w:bidi="ar"/>
              </w:rPr>
              <w:t>名称</w:t>
            </w:r>
          </w:p>
        </w:tc>
        <w:tc>
          <w:tcPr>
            <w:tcW w:w="3988" w:type="dxa"/>
            <w:vAlign w:val="center"/>
          </w:tcPr>
          <w:p>
            <w:pPr>
              <w:widowControl/>
              <w:snapToGrid w:val="0"/>
              <w:jc w:val="center"/>
              <w:rPr>
                <w:rFonts w:ascii="宋体" w:hAnsi="宋体" w:eastAsia="宋体" w:cs="宋体"/>
                <w:kern w:val="0"/>
                <w:sz w:val="24"/>
                <w:szCs w:val="24"/>
                <w:lang w:bidi="ar"/>
              </w:rPr>
            </w:pPr>
          </w:p>
        </w:tc>
        <w:tc>
          <w:tcPr>
            <w:tcW w:w="1571" w:type="dxa"/>
            <w:tcBorders>
              <w:right w:val="single" w:color="000000" w:sz="4" w:space="0"/>
            </w:tcBorders>
            <w:vAlign w:val="center"/>
          </w:tcPr>
          <w:p>
            <w:pPr>
              <w:widowControl/>
              <w:snapToGrid w:val="0"/>
              <w:jc w:val="center"/>
              <w:rPr>
                <w:rFonts w:ascii="宋体" w:hAnsi="宋体" w:eastAsia="宋体" w:cs="宋体"/>
                <w:kern w:val="0"/>
                <w:sz w:val="24"/>
                <w:szCs w:val="24"/>
                <w:lang w:bidi="ar"/>
              </w:rPr>
            </w:pPr>
            <w:r>
              <w:rPr>
                <w:rFonts w:hint="eastAsia" w:ascii="宋体" w:hAnsi="宋体" w:eastAsia="宋体" w:cs="宋体"/>
                <w:kern w:val="0"/>
                <w:sz w:val="24"/>
                <w:szCs w:val="24"/>
                <w:lang w:bidi="ar"/>
              </w:rPr>
              <w:t>法定代表人</w:t>
            </w:r>
          </w:p>
        </w:tc>
        <w:tc>
          <w:tcPr>
            <w:tcW w:w="1644" w:type="dxa"/>
            <w:tcBorders>
              <w:left w:val="single" w:color="000000" w:sz="4" w:space="0"/>
            </w:tcBorders>
            <w:vAlign w:val="center"/>
          </w:tcPr>
          <w:p>
            <w:pPr>
              <w:widowControl/>
              <w:snapToGrid w:val="0"/>
              <w:jc w:val="center"/>
              <w:rPr>
                <w:rFonts w:ascii="宋体" w:hAnsi="宋体" w:eastAsia="宋体" w:cs="宋体"/>
                <w:kern w:val="0"/>
                <w:sz w:val="24"/>
                <w:szCs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6" w:hRule="exact"/>
          <w:jc w:val="center"/>
        </w:trPr>
        <w:tc>
          <w:tcPr>
            <w:tcW w:w="1514" w:type="dxa"/>
            <w:vAlign w:val="center"/>
          </w:tcPr>
          <w:p>
            <w:pPr>
              <w:widowControl/>
              <w:snapToGrid w:val="0"/>
              <w:jc w:val="center"/>
              <w:rPr>
                <w:rFonts w:ascii="宋体" w:hAnsi="宋体" w:eastAsia="宋体" w:cs="宋体"/>
                <w:kern w:val="0"/>
                <w:sz w:val="24"/>
                <w:szCs w:val="24"/>
                <w:lang w:bidi="ar"/>
              </w:rPr>
            </w:pPr>
            <w:r>
              <w:rPr>
                <w:rFonts w:hint="eastAsia" w:ascii="宋体" w:hAnsi="宋体" w:eastAsia="宋体" w:cs="宋体"/>
                <w:kern w:val="0"/>
                <w:sz w:val="24"/>
                <w:szCs w:val="24"/>
                <w:lang w:bidi="ar"/>
              </w:rPr>
              <w:t>注册时间</w:t>
            </w:r>
          </w:p>
        </w:tc>
        <w:tc>
          <w:tcPr>
            <w:tcW w:w="3988" w:type="dxa"/>
            <w:vAlign w:val="center"/>
          </w:tcPr>
          <w:p>
            <w:pPr>
              <w:widowControl/>
              <w:snapToGrid w:val="0"/>
              <w:jc w:val="center"/>
              <w:rPr>
                <w:rFonts w:ascii="宋体" w:hAnsi="宋体" w:eastAsia="宋体" w:cs="宋体"/>
                <w:kern w:val="0"/>
                <w:sz w:val="24"/>
                <w:szCs w:val="24"/>
                <w:lang w:bidi="ar"/>
              </w:rPr>
            </w:pPr>
          </w:p>
        </w:tc>
        <w:tc>
          <w:tcPr>
            <w:tcW w:w="1571" w:type="dxa"/>
            <w:tcBorders>
              <w:right w:val="single" w:color="000000" w:sz="4" w:space="0"/>
            </w:tcBorders>
            <w:vAlign w:val="center"/>
          </w:tcPr>
          <w:p>
            <w:pPr>
              <w:widowControl/>
              <w:snapToGrid w:val="0"/>
              <w:jc w:val="center"/>
              <w:rPr>
                <w:rFonts w:ascii="宋体" w:hAnsi="宋体" w:eastAsia="宋体" w:cs="宋体"/>
                <w:kern w:val="0"/>
                <w:sz w:val="24"/>
                <w:szCs w:val="24"/>
                <w:lang w:bidi="ar"/>
              </w:rPr>
            </w:pPr>
            <w:r>
              <w:rPr>
                <w:rFonts w:hint="eastAsia" w:ascii="宋体" w:hAnsi="宋体" w:eastAsia="宋体" w:cs="宋体"/>
                <w:kern w:val="0"/>
                <w:sz w:val="24"/>
                <w:szCs w:val="24"/>
                <w:lang w:bidi="ar"/>
              </w:rPr>
              <w:t>注册地址</w:t>
            </w:r>
          </w:p>
        </w:tc>
        <w:tc>
          <w:tcPr>
            <w:tcW w:w="1644" w:type="dxa"/>
            <w:tcBorders>
              <w:left w:val="single" w:color="000000" w:sz="4" w:space="0"/>
            </w:tcBorders>
            <w:vAlign w:val="center"/>
          </w:tcPr>
          <w:p>
            <w:pPr>
              <w:widowControl/>
              <w:snapToGrid w:val="0"/>
              <w:jc w:val="center"/>
              <w:rPr>
                <w:rFonts w:ascii="宋体" w:hAnsi="宋体" w:eastAsia="宋体" w:cs="宋体"/>
                <w:kern w:val="0"/>
                <w:sz w:val="24"/>
                <w:szCs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6" w:hRule="exact"/>
          <w:jc w:val="center"/>
        </w:trPr>
        <w:tc>
          <w:tcPr>
            <w:tcW w:w="1514" w:type="dxa"/>
            <w:vAlign w:val="center"/>
          </w:tcPr>
          <w:p>
            <w:pPr>
              <w:widowControl/>
              <w:snapToGrid w:val="0"/>
              <w:jc w:val="center"/>
              <w:rPr>
                <w:rFonts w:ascii="宋体" w:hAnsi="宋体" w:eastAsia="宋体" w:cs="宋体"/>
                <w:kern w:val="0"/>
                <w:sz w:val="24"/>
                <w:szCs w:val="24"/>
                <w:lang w:bidi="ar"/>
              </w:rPr>
            </w:pPr>
            <w:r>
              <w:rPr>
                <w:rFonts w:hint="eastAsia" w:ascii="宋体" w:hAnsi="宋体" w:eastAsia="宋体" w:cs="宋体"/>
                <w:kern w:val="0"/>
                <w:sz w:val="24"/>
                <w:szCs w:val="24"/>
                <w:lang w:bidi="ar"/>
              </w:rPr>
              <w:t>注册资金</w:t>
            </w:r>
          </w:p>
        </w:tc>
        <w:tc>
          <w:tcPr>
            <w:tcW w:w="3988" w:type="dxa"/>
            <w:vAlign w:val="center"/>
          </w:tcPr>
          <w:p>
            <w:pPr>
              <w:widowControl/>
              <w:snapToGrid w:val="0"/>
              <w:jc w:val="center"/>
              <w:rPr>
                <w:rFonts w:ascii="宋体" w:hAnsi="宋体" w:eastAsia="宋体" w:cs="宋体"/>
                <w:kern w:val="0"/>
                <w:sz w:val="24"/>
                <w:szCs w:val="24"/>
                <w:lang w:bidi="ar"/>
              </w:rPr>
            </w:pPr>
          </w:p>
        </w:tc>
        <w:tc>
          <w:tcPr>
            <w:tcW w:w="1571" w:type="dxa"/>
            <w:tcBorders>
              <w:right w:val="single" w:color="000000" w:sz="4" w:space="0"/>
            </w:tcBorders>
            <w:vAlign w:val="center"/>
          </w:tcPr>
          <w:p>
            <w:pPr>
              <w:widowControl/>
              <w:snapToGrid w:val="0"/>
              <w:jc w:val="center"/>
              <w:rPr>
                <w:rFonts w:ascii="宋体" w:hAnsi="宋体" w:eastAsia="宋体" w:cs="宋体"/>
                <w:kern w:val="0"/>
                <w:sz w:val="24"/>
                <w:szCs w:val="24"/>
                <w:lang w:bidi="ar"/>
              </w:rPr>
            </w:pPr>
            <w:r>
              <w:rPr>
                <w:rFonts w:hint="eastAsia" w:ascii="宋体" w:hAnsi="宋体" w:eastAsia="宋体" w:cs="宋体"/>
                <w:kern w:val="0"/>
                <w:sz w:val="24"/>
                <w:szCs w:val="24"/>
                <w:lang w:bidi="ar"/>
              </w:rPr>
              <w:t>联系电话</w:t>
            </w:r>
          </w:p>
        </w:tc>
        <w:tc>
          <w:tcPr>
            <w:tcW w:w="1644" w:type="dxa"/>
            <w:tcBorders>
              <w:left w:val="single" w:color="000000" w:sz="4" w:space="0"/>
            </w:tcBorders>
            <w:vAlign w:val="center"/>
          </w:tcPr>
          <w:p>
            <w:pPr>
              <w:widowControl/>
              <w:snapToGrid w:val="0"/>
              <w:jc w:val="center"/>
              <w:rPr>
                <w:rFonts w:ascii="宋体" w:hAnsi="宋体" w:eastAsia="宋体" w:cs="宋体"/>
                <w:kern w:val="0"/>
                <w:sz w:val="24"/>
                <w:szCs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6" w:hRule="exact"/>
          <w:jc w:val="center"/>
        </w:trPr>
        <w:tc>
          <w:tcPr>
            <w:tcW w:w="1514" w:type="dxa"/>
            <w:vAlign w:val="center"/>
          </w:tcPr>
          <w:p>
            <w:pPr>
              <w:widowControl/>
              <w:snapToGrid w:val="0"/>
              <w:jc w:val="center"/>
              <w:rPr>
                <w:rFonts w:ascii="宋体" w:hAnsi="宋体" w:eastAsia="宋体" w:cs="宋体"/>
                <w:kern w:val="0"/>
                <w:sz w:val="24"/>
                <w:szCs w:val="24"/>
                <w:lang w:bidi="ar"/>
              </w:rPr>
            </w:pPr>
            <w:r>
              <w:rPr>
                <w:rFonts w:hint="eastAsia" w:ascii="宋体" w:hAnsi="宋体" w:eastAsia="宋体" w:cs="宋体"/>
                <w:kern w:val="0"/>
                <w:sz w:val="24"/>
                <w:szCs w:val="24"/>
                <w:lang w:bidi="ar"/>
              </w:rPr>
              <w:t>职工概况</w:t>
            </w:r>
          </w:p>
        </w:tc>
        <w:tc>
          <w:tcPr>
            <w:tcW w:w="7203" w:type="dxa"/>
            <w:gridSpan w:val="3"/>
            <w:vAlign w:val="center"/>
          </w:tcPr>
          <w:p>
            <w:pPr>
              <w:widowControl/>
              <w:snapToGrid w:val="0"/>
              <w:jc w:val="center"/>
              <w:rPr>
                <w:rFonts w:ascii="宋体" w:hAnsi="宋体" w:eastAsia="宋体" w:cs="宋体"/>
                <w:kern w:val="0"/>
                <w:sz w:val="24"/>
                <w:szCs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77" w:hRule="exact"/>
          <w:jc w:val="center"/>
        </w:trPr>
        <w:tc>
          <w:tcPr>
            <w:tcW w:w="1514" w:type="dxa"/>
            <w:vAlign w:val="center"/>
          </w:tcPr>
          <w:p>
            <w:pPr>
              <w:widowControl/>
              <w:snapToGrid w:val="0"/>
              <w:jc w:val="center"/>
              <w:rPr>
                <w:rFonts w:ascii="宋体" w:hAnsi="宋体" w:eastAsia="宋体" w:cs="宋体"/>
                <w:kern w:val="0"/>
                <w:sz w:val="24"/>
                <w:szCs w:val="24"/>
                <w:lang w:bidi="ar"/>
              </w:rPr>
            </w:pPr>
            <w:r>
              <w:rPr>
                <w:rFonts w:ascii="宋体" w:hAnsi="宋体" w:eastAsia="宋体" w:cs="宋体"/>
                <w:kern w:val="0"/>
                <w:sz w:val="24"/>
                <w:szCs w:val="24"/>
                <w:lang w:bidi="ar"/>
              </w:rPr>
              <w:t>单位简介</w:t>
            </w:r>
          </w:p>
        </w:tc>
        <w:tc>
          <w:tcPr>
            <w:tcW w:w="7203" w:type="dxa"/>
            <w:gridSpan w:val="3"/>
            <w:vAlign w:val="center"/>
          </w:tcPr>
          <w:p>
            <w:pPr>
              <w:widowControl/>
              <w:snapToGrid w:val="0"/>
              <w:rPr>
                <w:rFonts w:ascii="宋体" w:hAnsi="宋体" w:eastAsia="宋体" w:cs="宋体"/>
                <w:kern w:val="0"/>
                <w:sz w:val="24"/>
                <w:szCs w:val="24"/>
                <w:lang w:bidi="ar"/>
              </w:rPr>
            </w:pPr>
          </w:p>
        </w:tc>
      </w:tr>
    </w:tbl>
    <w:p>
      <w:pPr>
        <w:spacing w:line="360" w:lineRule="auto"/>
        <w:jc w:val="left"/>
        <w:rPr>
          <w:rFonts w:ascii="宋体" w:hAnsi="宋体" w:eastAsia="宋体" w:cs="Times New Roman"/>
          <w:sz w:val="24"/>
          <w:szCs w:val="24"/>
        </w:rPr>
      </w:pPr>
    </w:p>
    <w:p>
      <w:pPr>
        <w:spacing w:line="360" w:lineRule="auto"/>
        <w:jc w:val="left"/>
        <w:rPr>
          <w:rFonts w:ascii="宋体" w:hAnsi="宋体" w:eastAsia="宋体" w:cs="Times New Roman"/>
          <w:sz w:val="24"/>
          <w:szCs w:val="24"/>
        </w:rPr>
      </w:pPr>
      <w:r>
        <w:rPr>
          <w:rFonts w:hint="eastAsia" w:ascii="宋体" w:hAnsi="宋体" w:eastAsia="宋体" w:cs="Times New Roman"/>
          <w:sz w:val="24"/>
          <w:szCs w:val="24"/>
        </w:rPr>
        <w:t>备注：1、本表后附营业执照、资质证明文件及其它相关材料；</w:t>
      </w:r>
    </w:p>
    <w:p>
      <w:pPr>
        <w:spacing w:line="360" w:lineRule="auto"/>
        <w:ind w:firstLine="720" w:firstLineChars="300"/>
        <w:jc w:val="left"/>
        <w:rPr>
          <w:rFonts w:ascii="宋体" w:hAnsi="宋体"/>
          <w:sz w:val="24"/>
          <w:szCs w:val="24"/>
        </w:rPr>
      </w:pPr>
      <w:r>
        <w:rPr>
          <w:rFonts w:hint="eastAsia" w:ascii="宋体" w:hAnsi="宋体"/>
          <w:sz w:val="24"/>
          <w:szCs w:val="24"/>
        </w:rPr>
        <w:t>2、供应商如为中小微企业或残疾人福利性单位的须提供声明函，为监狱企业的须提供由省级以上监狱管理局、戒毒管理局（含新疆生产建设兵团）出具的属于监狱企业的证明文件；注：残疾人福利性单位和监狱企业视同小型、微型企业。</w:t>
      </w:r>
    </w:p>
    <w:p>
      <w:pPr>
        <w:widowControl/>
        <w:jc w:val="left"/>
        <w:rPr>
          <w:rFonts w:ascii="宋体" w:hAnsi="宋体"/>
          <w:kern w:val="0"/>
          <w:sz w:val="24"/>
          <w:szCs w:val="24"/>
        </w:rPr>
      </w:pPr>
      <w:r>
        <w:br w:type="page"/>
      </w:r>
    </w:p>
    <w:p>
      <w:pPr>
        <w:pStyle w:val="33"/>
        <w:spacing w:line="432" w:lineRule="auto"/>
        <w:rPr>
          <w:rStyle w:val="41"/>
        </w:rPr>
      </w:pPr>
      <w:r>
        <w:rPr>
          <w:rFonts w:hint="eastAsia"/>
        </w:rPr>
        <w:t xml:space="preserve"> </w:t>
      </w:r>
      <w:r>
        <w:rPr>
          <w:rStyle w:val="41"/>
          <w:rFonts w:hint="eastAsia"/>
        </w:rPr>
        <w:t xml:space="preserve">附表一、                  </w:t>
      </w:r>
    </w:p>
    <w:p>
      <w:pPr>
        <w:spacing w:line="588" w:lineRule="exact"/>
        <w:jc w:val="center"/>
        <w:rPr>
          <w:rFonts w:asciiTheme="minorEastAsia" w:hAnsiTheme="minorEastAsia"/>
          <w:b/>
          <w:spacing w:val="6"/>
          <w:sz w:val="24"/>
          <w:szCs w:val="24"/>
        </w:rPr>
      </w:pPr>
      <w:r>
        <w:rPr>
          <w:rFonts w:hint="eastAsia" w:asciiTheme="minorEastAsia" w:hAnsiTheme="minorEastAsia"/>
          <w:b/>
          <w:spacing w:val="6"/>
          <w:sz w:val="24"/>
          <w:szCs w:val="24"/>
        </w:rPr>
        <w:t>中小企业声明函（工程、服务）</w:t>
      </w:r>
    </w:p>
    <w:p>
      <w:pPr>
        <w:spacing w:line="588" w:lineRule="exact"/>
        <w:jc w:val="center"/>
        <w:rPr>
          <w:rFonts w:asciiTheme="minorEastAsia" w:hAnsiTheme="minorEastAsia"/>
          <w:b/>
          <w:spacing w:val="6"/>
          <w:sz w:val="24"/>
          <w:szCs w:val="24"/>
        </w:rPr>
      </w:pPr>
    </w:p>
    <w:p>
      <w:pPr>
        <w:spacing w:line="588" w:lineRule="exact"/>
        <w:ind w:firstLine="480" w:firstLineChars="200"/>
        <w:rPr>
          <w:rFonts w:ascii="宋体" w:hAnsi="宋体" w:eastAsia="宋体" w:cs="宋体"/>
          <w:kern w:val="0"/>
          <w:sz w:val="24"/>
          <w:szCs w:val="24"/>
        </w:rPr>
      </w:pPr>
      <w:r>
        <w:rPr>
          <w:rFonts w:hint="eastAsia" w:ascii="宋体" w:hAnsi="宋体" w:eastAsia="宋体" w:cs="宋体"/>
          <w:kern w:val="0"/>
          <w:sz w:val="24"/>
          <w:szCs w:val="24"/>
        </w:rPr>
        <w:t>本公司（联合体）郑重声明，根据《政府采购促进中小企业发展管理办法》（财库﹝</w:t>
      </w:r>
      <w:r>
        <w:rPr>
          <w:rFonts w:ascii="宋体" w:hAnsi="宋体" w:eastAsia="宋体" w:cs="宋体"/>
          <w:kern w:val="0"/>
          <w:sz w:val="24"/>
          <w:szCs w:val="24"/>
        </w:rPr>
        <w:t>2020</w:t>
      </w:r>
      <w:r>
        <w:rPr>
          <w:rFonts w:hint="eastAsia" w:ascii="宋体" w:hAnsi="宋体" w:eastAsia="宋体" w:cs="宋体"/>
          <w:kern w:val="0"/>
          <w:sz w:val="24"/>
          <w:szCs w:val="24"/>
        </w:rPr>
        <w:t>﹞</w:t>
      </w:r>
      <w:r>
        <w:rPr>
          <w:rFonts w:ascii="宋体" w:hAnsi="宋体" w:eastAsia="宋体" w:cs="宋体"/>
          <w:kern w:val="0"/>
          <w:sz w:val="24"/>
          <w:szCs w:val="24"/>
        </w:rPr>
        <w:t xml:space="preserve">46 </w:t>
      </w:r>
      <w:r>
        <w:rPr>
          <w:rFonts w:hint="eastAsia" w:ascii="宋体" w:hAnsi="宋体" w:eastAsia="宋体" w:cs="宋体"/>
          <w:kern w:val="0"/>
          <w:sz w:val="24"/>
          <w:szCs w:val="24"/>
        </w:rPr>
        <w:t>号）的规定，本公司</w:t>
      </w:r>
      <w:r>
        <w:rPr>
          <w:rFonts w:hint="eastAsia" w:ascii="宋体" w:hAnsi="宋体" w:eastAsia="宋体" w:cs="宋体"/>
          <w:kern w:val="0"/>
          <w:sz w:val="24"/>
          <w:szCs w:val="24"/>
          <w:u w:val="single"/>
        </w:rPr>
        <w:t>（联合体）</w:t>
      </w:r>
      <w:r>
        <w:rPr>
          <w:rFonts w:hint="eastAsia" w:ascii="宋体" w:hAnsi="宋体" w:eastAsia="宋体" w:cs="宋体"/>
          <w:kern w:val="0"/>
          <w:sz w:val="24"/>
          <w:szCs w:val="24"/>
        </w:rPr>
        <w:t>参加</w:t>
      </w:r>
      <w:r>
        <w:rPr>
          <w:rFonts w:hint="eastAsia" w:ascii="宋体" w:hAnsi="宋体" w:eastAsia="宋体" w:cs="宋体"/>
          <w:kern w:val="0"/>
          <w:sz w:val="24"/>
          <w:szCs w:val="24"/>
          <w:u w:val="single"/>
        </w:rPr>
        <w:t>（单位名称）</w:t>
      </w:r>
      <w:r>
        <w:rPr>
          <w:rFonts w:hint="eastAsia" w:ascii="宋体" w:hAnsi="宋体" w:eastAsia="宋体" w:cs="宋体"/>
          <w:kern w:val="0"/>
          <w:sz w:val="24"/>
          <w:szCs w:val="24"/>
        </w:rPr>
        <w:t>的</w:t>
      </w:r>
      <w:r>
        <w:rPr>
          <w:rFonts w:hint="eastAsia" w:ascii="宋体" w:hAnsi="宋体" w:eastAsia="宋体" w:cs="宋体"/>
          <w:kern w:val="0"/>
          <w:sz w:val="24"/>
          <w:szCs w:val="24"/>
          <w:u w:val="single"/>
        </w:rPr>
        <w:t>（项目名称）</w:t>
      </w:r>
      <w:r>
        <w:rPr>
          <w:rFonts w:hint="eastAsia" w:ascii="宋体" w:hAnsi="宋体" w:eastAsia="宋体" w:cs="宋体"/>
          <w:kern w:val="0"/>
          <w:sz w:val="24"/>
          <w:szCs w:val="24"/>
        </w:rPr>
        <w:t>采购活动，工程的施工单位全部为符合政策要求的中小企业（或者：服务全部由符合政策要求的中小企业承接）。相关企业（含联合体中的中小企业、签订分包意向协议的中小企业）的具体情况如下：</w:t>
      </w:r>
    </w:p>
    <w:p>
      <w:pPr>
        <w:spacing w:line="588" w:lineRule="exact"/>
        <w:ind w:firstLine="480" w:firstLineChars="200"/>
        <w:rPr>
          <w:rFonts w:ascii="宋体" w:hAnsi="宋体" w:eastAsia="宋体" w:cs="宋体"/>
          <w:kern w:val="0"/>
          <w:sz w:val="24"/>
          <w:szCs w:val="24"/>
        </w:rPr>
      </w:pPr>
      <w:r>
        <w:rPr>
          <w:rFonts w:ascii="宋体" w:hAnsi="宋体" w:eastAsia="宋体" w:cs="宋体"/>
          <w:kern w:val="0"/>
          <w:sz w:val="24"/>
          <w:szCs w:val="24"/>
        </w:rPr>
        <w:t xml:space="preserve">1. </w:t>
      </w:r>
      <w:r>
        <w:rPr>
          <w:rFonts w:hint="eastAsia" w:ascii="宋体" w:hAnsi="宋体" w:eastAsia="宋体" w:cs="宋体"/>
          <w:kern w:val="0"/>
          <w:sz w:val="24"/>
          <w:szCs w:val="24"/>
          <w:u w:val="single"/>
        </w:rPr>
        <w:t>（标的名称）</w:t>
      </w:r>
      <w:r>
        <w:rPr>
          <w:rFonts w:ascii="宋体" w:hAnsi="宋体" w:eastAsia="宋体" w:cs="宋体"/>
          <w:kern w:val="0"/>
          <w:sz w:val="24"/>
          <w:szCs w:val="24"/>
        </w:rPr>
        <w:t xml:space="preserve"> </w:t>
      </w:r>
      <w:r>
        <w:rPr>
          <w:rFonts w:hint="eastAsia" w:ascii="宋体" w:hAnsi="宋体" w:eastAsia="宋体" w:cs="宋体"/>
          <w:kern w:val="0"/>
          <w:sz w:val="24"/>
          <w:szCs w:val="24"/>
        </w:rPr>
        <w:t>，属于</w:t>
      </w:r>
      <w:r>
        <w:rPr>
          <w:rFonts w:hint="eastAsia" w:ascii="宋体" w:hAnsi="宋体" w:eastAsia="宋体" w:cs="宋体"/>
          <w:kern w:val="0"/>
          <w:sz w:val="24"/>
          <w:szCs w:val="24"/>
          <w:u w:val="single"/>
        </w:rPr>
        <w:t>（采购文件中明确的所属行业）</w:t>
      </w:r>
      <w:r>
        <w:rPr>
          <w:rFonts w:hint="eastAsia" w:ascii="宋体" w:hAnsi="宋体" w:eastAsia="宋体" w:cs="宋体"/>
          <w:kern w:val="0"/>
          <w:sz w:val="24"/>
          <w:szCs w:val="24"/>
        </w:rPr>
        <w:t>；承建（承接）企业为</w:t>
      </w:r>
      <w:r>
        <w:rPr>
          <w:rFonts w:hint="eastAsia" w:ascii="宋体" w:hAnsi="宋体" w:eastAsia="宋体" w:cs="宋体"/>
          <w:kern w:val="0"/>
          <w:sz w:val="24"/>
          <w:szCs w:val="24"/>
          <w:u w:val="single"/>
        </w:rPr>
        <w:t>（企业名称）</w:t>
      </w:r>
      <w:r>
        <w:rPr>
          <w:rFonts w:hint="eastAsia" w:ascii="宋体" w:hAnsi="宋体" w:eastAsia="宋体" w:cs="宋体"/>
          <w:kern w:val="0"/>
          <w:sz w:val="24"/>
          <w:szCs w:val="24"/>
        </w:rPr>
        <w:t>，从业人员</w:t>
      </w:r>
      <w:r>
        <w:rPr>
          <w:rFonts w:hint="eastAsia" w:ascii="宋体" w:hAnsi="宋体" w:eastAsia="宋体" w:cs="宋体"/>
          <w:kern w:val="0"/>
          <w:sz w:val="24"/>
          <w:szCs w:val="24"/>
          <w:u w:val="single"/>
        </w:rPr>
        <w:t xml:space="preserve"> /  </w:t>
      </w:r>
      <w:r>
        <w:rPr>
          <w:rFonts w:hint="eastAsia" w:ascii="宋体" w:hAnsi="宋体" w:eastAsia="宋体" w:cs="宋体"/>
          <w:kern w:val="0"/>
          <w:sz w:val="24"/>
          <w:szCs w:val="24"/>
        </w:rPr>
        <w:t>人，营业收入为</w:t>
      </w:r>
      <w:r>
        <w:rPr>
          <w:rFonts w:hint="eastAsia" w:ascii="宋体" w:hAnsi="宋体" w:eastAsia="宋体" w:cs="宋体"/>
          <w:kern w:val="0"/>
          <w:sz w:val="24"/>
          <w:szCs w:val="24"/>
          <w:u w:val="single"/>
        </w:rPr>
        <w:t xml:space="preserve">  / </w:t>
      </w:r>
      <w:r>
        <w:rPr>
          <w:rFonts w:hint="eastAsia" w:ascii="宋体" w:hAnsi="宋体" w:eastAsia="宋体" w:cs="宋体"/>
          <w:kern w:val="0"/>
          <w:sz w:val="24"/>
          <w:szCs w:val="24"/>
        </w:rPr>
        <w:t>万元，资产总额为</w:t>
      </w:r>
      <w:r>
        <w:rPr>
          <w:rFonts w:hint="eastAsia" w:ascii="宋体" w:hAnsi="宋体" w:eastAsia="宋体" w:cs="宋体"/>
          <w:kern w:val="0"/>
          <w:sz w:val="24"/>
          <w:szCs w:val="24"/>
          <w:u w:val="single"/>
        </w:rPr>
        <w:t xml:space="preserve">  / </w:t>
      </w:r>
      <w:r>
        <w:rPr>
          <w:rFonts w:hint="eastAsia" w:ascii="宋体" w:hAnsi="宋体" w:eastAsia="宋体" w:cs="宋体"/>
          <w:kern w:val="0"/>
          <w:sz w:val="24"/>
          <w:szCs w:val="24"/>
        </w:rPr>
        <w:t>万元，属于（</w:t>
      </w:r>
      <w:r>
        <w:rPr>
          <w:rFonts w:hint="eastAsia" w:ascii="宋体" w:hAnsi="宋体" w:eastAsia="宋体" w:cs="宋体"/>
          <w:kern w:val="0"/>
          <w:sz w:val="24"/>
          <w:szCs w:val="24"/>
          <w:u w:val="single"/>
        </w:rPr>
        <w:t>中型企业、小型企业、微型企业</w:t>
      </w:r>
      <w:r>
        <w:rPr>
          <w:rFonts w:hint="eastAsia" w:ascii="宋体" w:hAnsi="宋体" w:eastAsia="宋体" w:cs="宋体"/>
          <w:kern w:val="0"/>
          <w:sz w:val="24"/>
          <w:szCs w:val="24"/>
        </w:rPr>
        <w:t>）；</w:t>
      </w:r>
    </w:p>
    <w:p>
      <w:pPr>
        <w:spacing w:line="588" w:lineRule="exact"/>
        <w:ind w:firstLine="480" w:firstLineChars="200"/>
        <w:rPr>
          <w:rFonts w:ascii="宋体" w:hAnsi="宋体" w:eastAsia="宋体" w:cs="宋体"/>
          <w:kern w:val="0"/>
          <w:sz w:val="24"/>
          <w:szCs w:val="24"/>
        </w:rPr>
      </w:pPr>
      <w:r>
        <w:rPr>
          <w:rFonts w:ascii="宋体" w:hAnsi="宋体" w:eastAsia="宋体" w:cs="宋体"/>
          <w:kern w:val="0"/>
          <w:sz w:val="24"/>
          <w:szCs w:val="24"/>
        </w:rPr>
        <w:t xml:space="preserve">2. </w:t>
      </w:r>
      <w:r>
        <w:rPr>
          <w:rFonts w:hint="eastAsia" w:ascii="宋体" w:hAnsi="宋体" w:eastAsia="宋体" w:cs="宋体"/>
          <w:kern w:val="0"/>
          <w:sz w:val="24"/>
          <w:szCs w:val="24"/>
          <w:u w:val="single"/>
        </w:rPr>
        <w:t>（标的名称）</w:t>
      </w:r>
      <w:r>
        <w:rPr>
          <w:rFonts w:ascii="宋体" w:hAnsi="宋体" w:eastAsia="宋体" w:cs="宋体"/>
          <w:kern w:val="0"/>
          <w:sz w:val="24"/>
          <w:szCs w:val="24"/>
        </w:rPr>
        <w:t xml:space="preserve"> </w:t>
      </w:r>
      <w:r>
        <w:rPr>
          <w:rFonts w:hint="eastAsia" w:ascii="宋体" w:hAnsi="宋体" w:eastAsia="宋体" w:cs="宋体"/>
          <w:kern w:val="0"/>
          <w:sz w:val="24"/>
          <w:szCs w:val="24"/>
        </w:rPr>
        <w:t>，属于</w:t>
      </w:r>
      <w:r>
        <w:rPr>
          <w:rFonts w:hint="eastAsia" w:ascii="宋体" w:hAnsi="宋体" w:eastAsia="宋体" w:cs="宋体"/>
          <w:kern w:val="0"/>
          <w:sz w:val="24"/>
          <w:szCs w:val="24"/>
          <w:u w:val="single"/>
        </w:rPr>
        <w:t>（采购文件中明确的所属行业）</w:t>
      </w:r>
      <w:r>
        <w:rPr>
          <w:rFonts w:hint="eastAsia" w:ascii="宋体" w:hAnsi="宋体" w:eastAsia="宋体" w:cs="宋体"/>
          <w:kern w:val="0"/>
          <w:sz w:val="24"/>
          <w:szCs w:val="24"/>
        </w:rPr>
        <w:t>；承建（承接）企业为</w:t>
      </w:r>
      <w:r>
        <w:rPr>
          <w:rFonts w:hint="eastAsia" w:ascii="宋体" w:hAnsi="宋体" w:eastAsia="宋体" w:cs="宋体"/>
          <w:kern w:val="0"/>
          <w:sz w:val="24"/>
          <w:szCs w:val="24"/>
          <w:u w:val="single"/>
        </w:rPr>
        <w:t>（企业名称）</w:t>
      </w:r>
      <w:r>
        <w:rPr>
          <w:rFonts w:hint="eastAsia" w:ascii="宋体" w:hAnsi="宋体" w:eastAsia="宋体" w:cs="宋体"/>
          <w:kern w:val="0"/>
          <w:sz w:val="24"/>
          <w:szCs w:val="24"/>
        </w:rPr>
        <w:t>，从业人员</w:t>
      </w:r>
      <w:r>
        <w:rPr>
          <w:rFonts w:hint="eastAsia" w:ascii="宋体" w:hAnsi="宋体" w:eastAsia="宋体" w:cs="宋体"/>
          <w:kern w:val="0"/>
          <w:sz w:val="24"/>
          <w:szCs w:val="24"/>
          <w:u w:val="single"/>
        </w:rPr>
        <w:t xml:space="preserve"> /  </w:t>
      </w:r>
      <w:r>
        <w:rPr>
          <w:rFonts w:hint="eastAsia" w:ascii="宋体" w:hAnsi="宋体" w:eastAsia="宋体" w:cs="宋体"/>
          <w:kern w:val="0"/>
          <w:sz w:val="24"/>
          <w:szCs w:val="24"/>
        </w:rPr>
        <w:t>人，营业收入为</w:t>
      </w:r>
      <w:r>
        <w:rPr>
          <w:rFonts w:hint="eastAsia" w:ascii="宋体" w:hAnsi="宋体" w:eastAsia="宋体" w:cs="宋体"/>
          <w:kern w:val="0"/>
          <w:sz w:val="24"/>
          <w:szCs w:val="24"/>
          <w:u w:val="single"/>
        </w:rPr>
        <w:t xml:space="preserve">  / </w:t>
      </w:r>
      <w:r>
        <w:rPr>
          <w:rFonts w:hint="eastAsia" w:ascii="宋体" w:hAnsi="宋体" w:eastAsia="宋体" w:cs="宋体"/>
          <w:kern w:val="0"/>
          <w:sz w:val="24"/>
          <w:szCs w:val="24"/>
        </w:rPr>
        <w:t>万元，资产总额为</w:t>
      </w:r>
      <w:r>
        <w:rPr>
          <w:rFonts w:hint="eastAsia" w:ascii="宋体" w:hAnsi="宋体" w:eastAsia="宋体" w:cs="宋体"/>
          <w:kern w:val="0"/>
          <w:sz w:val="24"/>
          <w:szCs w:val="24"/>
          <w:u w:val="single"/>
        </w:rPr>
        <w:t xml:space="preserve">  / </w:t>
      </w:r>
      <w:r>
        <w:rPr>
          <w:rFonts w:hint="eastAsia" w:ascii="宋体" w:hAnsi="宋体" w:eastAsia="宋体" w:cs="宋体"/>
          <w:kern w:val="0"/>
          <w:sz w:val="24"/>
          <w:szCs w:val="24"/>
        </w:rPr>
        <w:t>万元，属于（</w:t>
      </w:r>
      <w:r>
        <w:rPr>
          <w:rFonts w:hint="eastAsia" w:ascii="宋体" w:hAnsi="宋体" w:eastAsia="宋体" w:cs="宋体"/>
          <w:kern w:val="0"/>
          <w:sz w:val="24"/>
          <w:szCs w:val="24"/>
          <w:u w:val="single"/>
        </w:rPr>
        <w:t>中型企业、小型企业、微型企业</w:t>
      </w:r>
      <w:r>
        <w:rPr>
          <w:rFonts w:hint="eastAsia" w:ascii="宋体" w:hAnsi="宋体" w:eastAsia="宋体" w:cs="宋体"/>
          <w:kern w:val="0"/>
          <w:sz w:val="24"/>
          <w:szCs w:val="24"/>
        </w:rPr>
        <w:t>）；</w:t>
      </w:r>
    </w:p>
    <w:p>
      <w:pPr>
        <w:spacing w:line="588" w:lineRule="exact"/>
        <w:ind w:firstLine="480" w:firstLineChars="200"/>
        <w:rPr>
          <w:rFonts w:ascii="宋体" w:hAnsi="宋体" w:eastAsia="宋体" w:cs="宋体"/>
          <w:kern w:val="0"/>
          <w:sz w:val="24"/>
          <w:szCs w:val="24"/>
        </w:rPr>
      </w:pPr>
      <w:r>
        <w:rPr>
          <w:rFonts w:hint="eastAsia" w:ascii="宋体" w:hAnsi="宋体" w:eastAsia="宋体" w:cs="宋体"/>
          <w:kern w:val="0"/>
          <w:sz w:val="24"/>
          <w:szCs w:val="24"/>
        </w:rPr>
        <w:t>……</w:t>
      </w:r>
    </w:p>
    <w:p>
      <w:pPr>
        <w:spacing w:line="588" w:lineRule="exact"/>
        <w:ind w:firstLine="480" w:firstLineChars="200"/>
        <w:rPr>
          <w:rFonts w:ascii="宋体" w:hAnsi="宋体" w:eastAsia="宋体" w:cs="宋体"/>
          <w:kern w:val="0"/>
          <w:sz w:val="24"/>
          <w:szCs w:val="24"/>
        </w:rPr>
      </w:pPr>
      <w:r>
        <w:rPr>
          <w:rFonts w:hint="eastAsia" w:ascii="宋体" w:hAnsi="宋体" w:eastAsia="宋体" w:cs="宋体"/>
          <w:kern w:val="0"/>
          <w:sz w:val="24"/>
          <w:szCs w:val="24"/>
        </w:rPr>
        <w:t>以上企业，不属于大企业的分支机构，不存在控股股东为大企业的情形，也不存在与大企业的负责人为同一人的情形。</w:t>
      </w:r>
    </w:p>
    <w:p>
      <w:pPr>
        <w:spacing w:line="588" w:lineRule="exact"/>
        <w:ind w:firstLine="480" w:firstLineChars="200"/>
        <w:rPr>
          <w:rFonts w:ascii="宋体" w:hAnsi="宋体" w:eastAsia="宋体" w:cs="宋体"/>
          <w:kern w:val="0"/>
          <w:sz w:val="24"/>
          <w:szCs w:val="24"/>
        </w:rPr>
      </w:pPr>
      <w:r>
        <w:rPr>
          <w:rFonts w:hint="eastAsia" w:ascii="宋体" w:hAnsi="宋体" w:eastAsia="宋体" w:cs="宋体"/>
          <w:kern w:val="0"/>
          <w:sz w:val="24"/>
          <w:szCs w:val="24"/>
        </w:rPr>
        <w:t>本企业对上述声明内容的真实性负责。如有虚假，将依法承担相应责任。</w:t>
      </w:r>
    </w:p>
    <w:p>
      <w:pPr>
        <w:spacing w:line="588" w:lineRule="exact"/>
        <w:ind w:firstLine="480" w:firstLineChars="200"/>
        <w:jc w:val="right"/>
        <w:rPr>
          <w:rFonts w:ascii="宋体" w:hAnsi="宋体" w:eastAsia="宋体" w:cs="宋体"/>
          <w:kern w:val="0"/>
          <w:sz w:val="24"/>
          <w:szCs w:val="24"/>
        </w:rPr>
      </w:pPr>
      <w:r>
        <w:rPr>
          <w:rFonts w:hint="eastAsia" w:ascii="宋体" w:hAnsi="宋体" w:eastAsia="宋体" w:cs="宋体"/>
          <w:kern w:val="0"/>
          <w:sz w:val="24"/>
          <w:szCs w:val="24"/>
        </w:rPr>
        <w:t>企业名称（盖章）：</w:t>
      </w:r>
    </w:p>
    <w:p>
      <w:pPr>
        <w:spacing w:line="588" w:lineRule="exact"/>
        <w:ind w:right="480" w:firstLine="480" w:firstLineChars="200"/>
        <w:jc w:val="right"/>
        <w:rPr>
          <w:rFonts w:cs="宋体"/>
          <w:b/>
        </w:rPr>
      </w:pPr>
      <w:r>
        <w:rPr>
          <w:rFonts w:hint="eastAsia" w:ascii="宋体" w:hAnsi="宋体" w:eastAsia="宋体" w:cs="宋体"/>
          <w:kern w:val="0"/>
          <w:sz w:val="24"/>
          <w:szCs w:val="24"/>
        </w:rPr>
        <w:t>日期：</w:t>
      </w:r>
    </w:p>
    <w:p>
      <w:pPr>
        <w:spacing w:line="588" w:lineRule="exact"/>
        <w:rPr>
          <w:rStyle w:val="41"/>
          <w:rFonts w:ascii="宋体" w:hAnsi="宋体" w:eastAsia="宋体"/>
          <w:kern w:val="0"/>
          <w:sz w:val="24"/>
          <w:szCs w:val="24"/>
        </w:rPr>
      </w:pPr>
      <w:r>
        <w:rPr>
          <w:rFonts w:hint="eastAsia" w:ascii="宋体" w:hAnsi="宋体" w:eastAsia="宋体" w:cs="宋体"/>
          <w:kern w:val="0"/>
          <w:szCs w:val="21"/>
        </w:rPr>
        <w:t>注：人员、营业收入、资产总额填报上一年度数据，无上一年度数据的新成立企业可不填报。</w:t>
      </w:r>
    </w:p>
    <w:p>
      <w:pPr>
        <w:widowControl/>
        <w:jc w:val="left"/>
        <w:rPr>
          <w:rStyle w:val="41"/>
          <w:rFonts w:ascii="宋体" w:hAnsi="宋体" w:eastAsia="宋体"/>
          <w:kern w:val="0"/>
          <w:sz w:val="24"/>
          <w:szCs w:val="24"/>
        </w:rPr>
      </w:pPr>
      <w:r>
        <w:rPr>
          <w:rStyle w:val="41"/>
          <w:rFonts w:ascii="宋体" w:hAnsi="宋体" w:eastAsia="宋体"/>
          <w:kern w:val="0"/>
          <w:sz w:val="24"/>
          <w:szCs w:val="24"/>
        </w:rPr>
        <w:br w:type="page"/>
      </w:r>
    </w:p>
    <w:p>
      <w:pPr>
        <w:widowControl/>
        <w:jc w:val="left"/>
        <w:rPr>
          <w:rFonts w:eastAsia="仿宋_GB2312"/>
          <w:spacing w:val="6"/>
          <w:sz w:val="30"/>
          <w:szCs w:val="30"/>
        </w:rPr>
      </w:pPr>
      <w:r>
        <w:rPr>
          <w:rStyle w:val="41"/>
          <w:rFonts w:hint="eastAsia" w:ascii="宋体" w:hAnsi="宋体"/>
          <w:kern w:val="0"/>
          <w:sz w:val="24"/>
          <w:szCs w:val="24"/>
        </w:rPr>
        <w:t>附表二、</w:t>
      </w:r>
    </w:p>
    <w:p>
      <w:pPr>
        <w:spacing w:line="588" w:lineRule="exact"/>
        <w:jc w:val="center"/>
        <w:rPr>
          <w:rFonts w:asciiTheme="minorEastAsia" w:hAnsiTheme="minorEastAsia"/>
          <w:b/>
          <w:spacing w:val="6"/>
          <w:sz w:val="24"/>
          <w:szCs w:val="24"/>
        </w:rPr>
      </w:pPr>
      <w:r>
        <w:rPr>
          <w:rFonts w:hint="eastAsia" w:asciiTheme="minorEastAsia" w:hAnsiTheme="minorEastAsia"/>
          <w:b/>
          <w:spacing w:val="6"/>
          <w:sz w:val="24"/>
          <w:szCs w:val="24"/>
        </w:rPr>
        <w:t>残疾人福利性单位声明函</w:t>
      </w:r>
    </w:p>
    <w:p>
      <w:pPr>
        <w:spacing w:line="588" w:lineRule="exact"/>
        <w:rPr>
          <w:rFonts w:asciiTheme="minorEastAsia" w:hAnsiTheme="minorEastAsia"/>
          <w:b/>
          <w:spacing w:val="6"/>
          <w:sz w:val="24"/>
          <w:szCs w:val="24"/>
        </w:rPr>
      </w:pPr>
    </w:p>
    <w:p>
      <w:pPr>
        <w:spacing w:line="588" w:lineRule="exact"/>
        <w:ind w:firstLine="504" w:firstLineChars="200"/>
        <w:rPr>
          <w:rFonts w:asciiTheme="minorEastAsia" w:hAnsiTheme="minorEastAsia"/>
          <w:spacing w:val="6"/>
          <w:sz w:val="24"/>
          <w:szCs w:val="24"/>
        </w:rPr>
      </w:pPr>
      <w:r>
        <w:rPr>
          <w:rFonts w:hint="eastAsia" w:asciiTheme="minorEastAsia" w:hAnsiTheme="minorEastAsia"/>
          <w:spacing w:val="6"/>
          <w:sz w:val="24"/>
          <w:szCs w:val="24"/>
        </w:rPr>
        <w:t>本单位郑重声明，根据《财政部</w:t>
      </w:r>
      <w:r>
        <w:rPr>
          <w:rFonts w:asciiTheme="minorEastAsia" w:hAnsiTheme="minorEastAsia"/>
          <w:spacing w:val="6"/>
          <w:sz w:val="24"/>
          <w:szCs w:val="24"/>
        </w:rPr>
        <w:t xml:space="preserve"> </w:t>
      </w:r>
      <w:r>
        <w:rPr>
          <w:rFonts w:hint="eastAsia" w:asciiTheme="minorEastAsia" w:hAnsiTheme="minorEastAsia"/>
          <w:spacing w:val="6"/>
          <w:sz w:val="24"/>
          <w:szCs w:val="24"/>
        </w:rPr>
        <w:t>民政部</w:t>
      </w:r>
      <w:r>
        <w:rPr>
          <w:rFonts w:asciiTheme="minorEastAsia" w:hAnsiTheme="minorEastAsia"/>
          <w:spacing w:val="6"/>
          <w:sz w:val="24"/>
          <w:szCs w:val="24"/>
        </w:rPr>
        <w:t xml:space="preserve"> </w:t>
      </w:r>
      <w:r>
        <w:rPr>
          <w:rFonts w:hint="eastAsia" w:asciiTheme="minorEastAsia" w:hAnsiTheme="minorEastAsia"/>
          <w:spacing w:val="6"/>
          <w:sz w:val="24"/>
          <w:szCs w:val="24"/>
        </w:rPr>
        <w:t>中国残疾人联合会关于促进残疾人就业政府采购政策的通知》（财库</w:t>
      </w:r>
      <w:r>
        <w:rPr>
          <w:rFonts w:hint="eastAsia" w:asciiTheme="minorEastAsia" w:hAnsiTheme="minorEastAsia"/>
          <w:sz w:val="24"/>
          <w:szCs w:val="24"/>
        </w:rPr>
        <w:t>〔</w:t>
      </w:r>
      <w:r>
        <w:rPr>
          <w:rFonts w:asciiTheme="minorEastAsia" w:hAnsiTheme="minorEastAsia"/>
          <w:sz w:val="24"/>
          <w:szCs w:val="24"/>
        </w:rPr>
        <w:t>2017</w:t>
      </w:r>
      <w:r>
        <w:rPr>
          <w:rFonts w:hint="eastAsia" w:asciiTheme="minorEastAsia" w:hAnsiTheme="minorEastAsia"/>
          <w:sz w:val="24"/>
          <w:szCs w:val="24"/>
        </w:rPr>
        <w:t>〕</w:t>
      </w:r>
      <w:r>
        <w:rPr>
          <w:rFonts w:asciiTheme="minorEastAsia" w:hAnsiTheme="minorEastAsia"/>
          <w:sz w:val="24"/>
          <w:szCs w:val="24"/>
        </w:rPr>
        <w:t xml:space="preserve"> 141</w:t>
      </w:r>
      <w:r>
        <w:rPr>
          <w:rFonts w:hint="eastAsia" w:asciiTheme="minorEastAsia" w:hAnsiTheme="minorEastAsia"/>
          <w:spacing w:val="6"/>
          <w:sz w:val="24"/>
          <w:szCs w:val="24"/>
        </w:rPr>
        <w:t>号）的规定，本单位为符合条件的残疾人福利性单位，且本单位参加</w:t>
      </w:r>
      <w:r>
        <w:rPr>
          <w:rFonts w:asciiTheme="minorEastAsia" w:hAnsiTheme="minorEastAsia"/>
          <w:spacing w:val="6"/>
          <w:sz w:val="24"/>
          <w:szCs w:val="24"/>
        </w:rPr>
        <w:t>___</w:t>
      </w:r>
      <w:r>
        <w:rPr>
          <w:rFonts w:hint="eastAsia" w:asciiTheme="minorEastAsia" w:hAnsiTheme="minorEastAsia"/>
          <w:spacing w:val="6"/>
          <w:sz w:val="24"/>
          <w:szCs w:val="24"/>
        </w:rPr>
        <w:t>/</w:t>
      </w:r>
      <w:r>
        <w:rPr>
          <w:rFonts w:asciiTheme="minorEastAsia" w:hAnsiTheme="minorEastAsia"/>
          <w:spacing w:val="6"/>
          <w:sz w:val="24"/>
          <w:szCs w:val="24"/>
        </w:rPr>
        <w:t>___</w:t>
      </w:r>
      <w:r>
        <w:rPr>
          <w:rFonts w:hint="eastAsia" w:asciiTheme="minorEastAsia" w:hAnsiTheme="minorEastAsia"/>
          <w:spacing w:val="6"/>
          <w:sz w:val="24"/>
          <w:szCs w:val="24"/>
        </w:rPr>
        <w:t>单位的</w:t>
      </w:r>
      <w:r>
        <w:rPr>
          <w:rFonts w:asciiTheme="minorEastAsia" w:hAnsiTheme="minorEastAsia"/>
          <w:spacing w:val="6"/>
          <w:sz w:val="24"/>
          <w:szCs w:val="24"/>
        </w:rPr>
        <w:t>___</w:t>
      </w:r>
      <w:r>
        <w:rPr>
          <w:rFonts w:hint="eastAsia" w:asciiTheme="minorEastAsia" w:hAnsiTheme="minorEastAsia"/>
          <w:spacing w:val="6"/>
          <w:sz w:val="24"/>
          <w:szCs w:val="24"/>
        </w:rPr>
        <w:t>/</w:t>
      </w:r>
      <w:r>
        <w:rPr>
          <w:rFonts w:asciiTheme="minorEastAsia" w:hAnsiTheme="minorEastAsia"/>
          <w:spacing w:val="6"/>
          <w:sz w:val="24"/>
          <w:szCs w:val="24"/>
        </w:rPr>
        <w:t>___</w:t>
      </w:r>
      <w:r>
        <w:rPr>
          <w:rFonts w:hint="eastAsia" w:asciiTheme="minorEastAsia" w:hAnsiTheme="minorEastAsia"/>
          <w:spacing w:val="6"/>
          <w:sz w:val="24"/>
          <w:szCs w:val="24"/>
        </w:rPr>
        <w:t>项目采购活动提供本单位制造的货物（由本单位承担工程</w:t>
      </w:r>
      <w:r>
        <w:rPr>
          <w:rFonts w:asciiTheme="minorEastAsia" w:hAnsiTheme="minorEastAsia"/>
          <w:spacing w:val="6"/>
          <w:sz w:val="24"/>
          <w:szCs w:val="24"/>
        </w:rPr>
        <w:t>/</w:t>
      </w:r>
      <w:r>
        <w:rPr>
          <w:rFonts w:hint="eastAsia" w:asciiTheme="minorEastAsia" w:hAnsiTheme="minorEastAsia"/>
          <w:spacing w:val="6"/>
          <w:sz w:val="24"/>
          <w:szCs w:val="24"/>
        </w:rPr>
        <w:t>提供服务），或者提供其他残疾人福利性单位制造的货物（不包括使用非残疾人福利性单位注册商标的货物）。</w:t>
      </w:r>
    </w:p>
    <w:p>
      <w:pPr>
        <w:spacing w:line="588" w:lineRule="exact"/>
        <w:ind w:firstLine="504" w:firstLineChars="200"/>
        <w:rPr>
          <w:rFonts w:asciiTheme="minorEastAsia" w:hAnsiTheme="minorEastAsia"/>
          <w:spacing w:val="6"/>
          <w:sz w:val="24"/>
          <w:szCs w:val="24"/>
        </w:rPr>
      </w:pPr>
      <w:r>
        <w:rPr>
          <w:rFonts w:hint="eastAsia" w:asciiTheme="minorEastAsia" w:hAnsiTheme="minorEastAsia"/>
          <w:spacing w:val="6"/>
          <w:sz w:val="24"/>
          <w:szCs w:val="24"/>
        </w:rPr>
        <w:t>本单位对上述声明的真实性负责。如有虚假，将依法承担相应责任。</w:t>
      </w:r>
    </w:p>
    <w:p>
      <w:pPr>
        <w:spacing w:line="588" w:lineRule="exact"/>
        <w:ind w:firstLine="504" w:firstLineChars="200"/>
        <w:rPr>
          <w:rFonts w:asciiTheme="minorEastAsia" w:hAnsiTheme="minorEastAsia"/>
          <w:spacing w:val="6"/>
          <w:sz w:val="24"/>
          <w:szCs w:val="24"/>
        </w:rPr>
      </w:pPr>
    </w:p>
    <w:p>
      <w:pPr>
        <w:spacing w:line="588" w:lineRule="exact"/>
        <w:ind w:firstLine="504" w:firstLineChars="200"/>
        <w:rPr>
          <w:rFonts w:asciiTheme="minorEastAsia" w:hAnsiTheme="minorEastAsia"/>
          <w:spacing w:val="6"/>
          <w:sz w:val="24"/>
          <w:szCs w:val="24"/>
        </w:rPr>
      </w:pPr>
    </w:p>
    <w:p>
      <w:pPr>
        <w:tabs>
          <w:tab w:val="left" w:pos="4860"/>
        </w:tabs>
        <w:spacing w:line="588" w:lineRule="exact"/>
        <w:ind w:right="1560" w:firstLine="504" w:firstLineChars="200"/>
        <w:jc w:val="center"/>
        <w:rPr>
          <w:rFonts w:asciiTheme="minorEastAsia" w:hAnsiTheme="minorEastAsia"/>
          <w:spacing w:val="6"/>
          <w:sz w:val="24"/>
          <w:szCs w:val="24"/>
        </w:rPr>
      </w:pPr>
      <w:r>
        <w:rPr>
          <w:rFonts w:asciiTheme="minorEastAsia" w:hAnsiTheme="minorEastAsia"/>
          <w:spacing w:val="6"/>
          <w:sz w:val="24"/>
          <w:szCs w:val="24"/>
        </w:rPr>
        <w:t xml:space="preserve">               </w:t>
      </w:r>
      <w:r>
        <w:rPr>
          <w:rFonts w:hint="eastAsia" w:asciiTheme="minorEastAsia" w:hAnsiTheme="minorEastAsia"/>
          <w:spacing w:val="6"/>
          <w:sz w:val="24"/>
          <w:szCs w:val="24"/>
        </w:rPr>
        <w:t>单位名称（盖章）：</w:t>
      </w:r>
    </w:p>
    <w:p>
      <w:pPr>
        <w:tabs>
          <w:tab w:val="left" w:pos="4860"/>
        </w:tabs>
        <w:spacing w:line="588" w:lineRule="exact"/>
        <w:ind w:right="1560" w:firstLine="504" w:firstLineChars="200"/>
        <w:jc w:val="center"/>
        <w:rPr>
          <w:rFonts w:asciiTheme="minorEastAsia" w:hAnsiTheme="minorEastAsia"/>
          <w:spacing w:val="6"/>
          <w:sz w:val="24"/>
          <w:szCs w:val="24"/>
        </w:rPr>
      </w:pPr>
      <w:r>
        <w:rPr>
          <w:rFonts w:asciiTheme="minorEastAsia" w:hAnsiTheme="minorEastAsia"/>
          <w:spacing w:val="6"/>
          <w:sz w:val="24"/>
          <w:szCs w:val="24"/>
        </w:rPr>
        <w:t xml:space="preserve">       </w:t>
      </w:r>
      <w:r>
        <w:rPr>
          <w:rFonts w:hint="eastAsia" w:asciiTheme="minorEastAsia" w:hAnsiTheme="minorEastAsia"/>
          <w:spacing w:val="6"/>
          <w:sz w:val="24"/>
          <w:szCs w:val="24"/>
        </w:rPr>
        <w:t>日</w:t>
      </w:r>
      <w:r>
        <w:rPr>
          <w:rFonts w:asciiTheme="minorEastAsia" w:hAnsiTheme="minorEastAsia"/>
          <w:spacing w:val="6"/>
          <w:sz w:val="24"/>
          <w:szCs w:val="24"/>
        </w:rPr>
        <w:t xml:space="preserve">  </w:t>
      </w:r>
      <w:r>
        <w:rPr>
          <w:rFonts w:hint="eastAsia" w:asciiTheme="minorEastAsia" w:hAnsiTheme="minorEastAsia"/>
          <w:spacing w:val="6"/>
          <w:sz w:val="24"/>
          <w:szCs w:val="24"/>
        </w:rPr>
        <w:t>期：</w:t>
      </w:r>
    </w:p>
    <w:p>
      <w:pPr>
        <w:rPr>
          <w:rFonts w:asciiTheme="minorEastAsia" w:hAnsiTheme="minorEastAsia"/>
          <w:sz w:val="24"/>
          <w:szCs w:val="24"/>
        </w:rPr>
      </w:pPr>
    </w:p>
    <w:p>
      <w:pPr>
        <w:widowControl/>
        <w:jc w:val="left"/>
        <w:rPr>
          <w:rStyle w:val="41"/>
          <w:b w:val="0"/>
        </w:rPr>
      </w:pPr>
      <w:r>
        <w:rPr>
          <w:rStyle w:val="41"/>
          <w:rFonts w:hint="eastAsia" w:ascii="宋体" w:hAnsi="宋体"/>
          <w:kern w:val="0"/>
          <w:sz w:val="24"/>
          <w:szCs w:val="24"/>
        </w:rPr>
        <w:t>附表三、</w:t>
      </w:r>
    </w:p>
    <w:p>
      <w:pPr>
        <w:spacing w:line="588" w:lineRule="exact"/>
        <w:jc w:val="center"/>
        <w:rPr>
          <w:rStyle w:val="41"/>
          <w:rFonts w:ascii="宋体" w:hAnsi="宋体"/>
          <w:b w:val="0"/>
          <w:kern w:val="0"/>
        </w:rPr>
      </w:pPr>
      <w:r>
        <w:rPr>
          <w:rStyle w:val="41"/>
          <w:rFonts w:hint="eastAsia" w:ascii="宋体" w:hAnsi="宋体"/>
          <w:kern w:val="0"/>
          <w:sz w:val="24"/>
          <w:szCs w:val="24"/>
        </w:rPr>
        <w:t>监狱企业证明文件</w:t>
      </w:r>
    </w:p>
    <w:p>
      <w:pPr>
        <w:spacing w:line="588" w:lineRule="exact"/>
        <w:ind w:firstLine="504" w:firstLineChars="200"/>
        <w:rPr>
          <w:rFonts w:asciiTheme="minorEastAsia" w:hAnsiTheme="minorEastAsia"/>
          <w:spacing w:val="6"/>
          <w:sz w:val="24"/>
          <w:szCs w:val="24"/>
        </w:rPr>
      </w:pPr>
      <w:r>
        <w:rPr>
          <w:rFonts w:hint="eastAsia" w:asciiTheme="minorEastAsia" w:hAnsiTheme="minorEastAsia"/>
          <w:spacing w:val="6"/>
          <w:sz w:val="24"/>
          <w:szCs w:val="24"/>
        </w:rPr>
        <w:t>监狱企业参加政府采购活动时，应当提供由省级以上监狱管理局、戒毒管理局（含新疆生产建设兵团）出具的属于监狱企业的证明文件。</w:t>
      </w:r>
    </w:p>
    <w:p>
      <w:pPr>
        <w:widowControl/>
        <w:jc w:val="left"/>
        <w:rPr>
          <w:rFonts w:ascii="宋体" w:hAnsi="宋体"/>
          <w:b/>
          <w:sz w:val="24"/>
          <w:szCs w:val="24"/>
        </w:rPr>
      </w:pPr>
      <w:r>
        <w:rPr>
          <w:rFonts w:ascii="宋体" w:hAnsi="宋体"/>
          <w:b/>
          <w:sz w:val="24"/>
          <w:szCs w:val="24"/>
        </w:rPr>
        <w:br w:type="page"/>
      </w:r>
    </w:p>
    <w:p>
      <w:pPr>
        <w:tabs>
          <w:tab w:val="center" w:pos="4832"/>
          <w:tab w:val="left" w:pos="7140"/>
        </w:tabs>
        <w:spacing w:line="360" w:lineRule="auto"/>
        <w:jc w:val="center"/>
        <w:outlineLvl w:val="1"/>
        <w:rPr>
          <w:rFonts w:ascii="宋体" w:hAnsi="宋体"/>
          <w:b/>
          <w:bCs/>
          <w:sz w:val="24"/>
          <w:szCs w:val="24"/>
        </w:rPr>
      </w:pPr>
      <w:bookmarkStart w:id="113" w:name="_Toc507586174"/>
      <w:bookmarkStart w:id="114" w:name="_Toc103717603"/>
      <w:bookmarkStart w:id="115" w:name="_Toc533503190"/>
      <w:bookmarkStart w:id="116" w:name="_Toc104243932"/>
      <w:bookmarkStart w:id="117" w:name="_Toc38446479"/>
      <w:r>
        <w:rPr>
          <w:rFonts w:hint="eastAsia" w:ascii="宋体" w:hAnsi="宋体"/>
          <w:b/>
          <w:sz w:val="24"/>
          <w:szCs w:val="24"/>
        </w:rPr>
        <w:t>七、</w:t>
      </w:r>
      <w:r>
        <w:rPr>
          <w:rFonts w:hint="eastAsia" w:ascii="宋体" w:hAnsi="宋体"/>
          <w:b/>
          <w:bCs/>
          <w:sz w:val="24"/>
          <w:szCs w:val="24"/>
        </w:rPr>
        <w:t>供应商近三年类似项目业绩表</w:t>
      </w:r>
      <w:bookmarkEnd w:id="113"/>
      <w:bookmarkEnd w:id="114"/>
      <w:bookmarkEnd w:id="115"/>
      <w:bookmarkEnd w:id="116"/>
      <w:bookmarkEnd w:id="117"/>
      <w:r>
        <w:rPr>
          <w:rFonts w:hint="eastAsia" w:ascii="宋体" w:hAnsi="宋体"/>
          <w:b/>
          <w:bCs/>
          <w:sz w:val="24"/>
          <w:szCs w:val="24"/>
        </w:rPr>
        <w:t>（业绩案例）</w:t>
      </w:r>
    </w:p>
    <w:p>
      <w:pPr>
        <w:spacing w:line="360" w:lineRule="auto"/>
        <w:jc w:val="left"/>
        <w:rPr>
          <w:rFonts w:ascii="宋体" w:hAnsi="宋体"/>
          <w:sz w:val="24"/>
          <w:szCs w:val="24"/>
        </w:rPr>
      </w:pPr>
    </w:p>
    <w:tbl>
      <w:tblPr>
        <w:tblStyle w:val="39"/>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37"/>
        <w:gridCol w:w="1276"/>
        <w:gridCol w:w="1336"/>
        <w:gridCol w:w="1455"/>
        <w:gridCol w:w="1417"/>
        <w:gridCol w:w="1431"/>
        <w:gridCol w:w="104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6" w:hRule="atLeast"/>
          <w:jc w:val="center"/>
        </w:trPr>
        <w:tc>
          <w:tcPr>
            <w:tcW w:w="937" w:type="dxa"/>
            <w:vAlign w:val="center"/>
          </w:tcPr>
          <w:p>
            <w:pPr>
              <w:jc w:val="center"/>
              <w:rPr>
                <w:rFonts w:ascii="宋体" w:hAnsi="宋体"/>
                <w:sz w:val="24"/>
                <w:szCs w:val="24"/>
              </w:rPr>
            </w:pPr>
            <w:r>
              <w:rPr>
                <w:rFonts w:hint="eastAsia" w:ascii="宋体" w:hAnsi="宋体" w:eastAsia="宋体" w:cs="Times New Roman"/>
                <w:sz w:val="24"/>
                <w:szCs w:val="24"/>
              </w:rPr>
              <w:t>序号</w:t>
            </w:r>
          </w:p>
        </w:tc>
        <w:tc>
          <w:tcPr>
            <w:tcW w:w="1276" w:type="dxa"/>
            <w:vAlign w:val="center"/>
          </w:tcPr>
          <w:p>
            <w:pPr>
              <w:jc w:val="center"/>
              <w:rPr>
                <w:rFonts w:ascii="宋体" w:hAnsi="宋体"/>
                <w:sz w:val="24"/>
                <w:szCs w:val="24"/>
              </w:rPr>
            </w:pPr>
            <w:r>
              <w:rPr>
                <w:rFonts w:hint="eastAsia" w:ascii="宋体" w:hAnsi="宋体" w:eastAsia="宋体" w:cs="Times New Roman"/>
                <w:sz w:val="24"/>
                <w:szCs w:val="24"/>
              </w:rPr>
              <w:t>项目名称</w:t>
            </w:r>
          </w:p>
        </w:tc>
        <w:tc>
          <w:tcPr>
            <w:tcW w:w="1336" w:type="dxa"/>
            <w:vAlign w:val="center"/>
          </w:tcPr>
          <w:p>
            <w:pPr>
              <w:jc w:val="center"/>
              <w:rPr>
                <w:rFonts w:ascii="宋体" w:hAnsi="宋体"/>
                <w:sz w:val="24"/>
                <w:szCs w:val="24"/>
              </w:rPr>
            </w:pPr>
            <w:r>
              <w:rPr>
                <w:rFonts w:hint="eastAsia" w:ascii="宋体" w:hAnsi="宋体" w:eastAsia="宋体" w:cs="Times New Roman"/>
                <w:sz w:val="24"/>
                <w:szCs w:val="24"/>
              </w:rPr>
              <w:t>采购人</w:t>
            </w:r>
          </w:p>
        </w:tc>
        <w:tc>
          <w:tcPr>
            <w:tcW w:w="1455" w:type="dxa"/>
            <w:vAlign w:val="center"/>
          </w:tcPr>
          <w:p>
            <w:pPr>
              <w:jc w:val="center"/>
              <w:rPr>
                <w:rFonts w:ascii="宋体" w:hAnsi="宋体"/>
                <w:sz w:val="24"/>
                <w:szCs w:val="24"/>
              </w:rPr>
            </w:pPr>
            <w:r>
              <w:rPr>
                <w:rFonts w:hint="eastAsia" w:ascii="宋体" w:hAnsi="宋体" w:eastAsia="宋体" w:cs="Times New Roman"/>
                <w:sz w:val="24"/>
                <w:szCs w:val="24"/>
              </w:rPr>
              <w:t>合同内容</w:t>
            </w:r>
          </w:p>
        </w:tc>
        <w:tc>
          <w:tcPr>
            <w:tcW w:w="1417" w:type="dxa"/>
            <w:vAlign w:val="center"/>
          </w:tcPr>
          <w:p>
            <w:pPr>
              <w:jc w:val="center"/>
              <w:rPr>
                <w:rFonts w:ascii="宋体" w:hAnsi="宋体"/>
                <w:sz w:val="24"/>
                <w:szCs w:val="24"/>
              </w:rPr>
            </w:pPr>
            <w:r>
              <w:rPr>
                <w:rFonts w:hint="eastAsia" w:ascii="宋体" w:hAnsi="宋体" w:eastAsia="宋体" w:cs="Times New Roman"/>
                <w:sz w:val="24"/>
                <w:szCs w:val="24"/>
              </w:rPr>
              <w:t>合同价格</w:t>
            </w:r>
          </w:p>
        </w:tc>
        <w:tc>
          <w:tcPr>
            <w:tcW w:w="1431" w:type="dxa"/>
            <w:vAlign w:val="center"/>
          </w:tcPr>
          <w:p>
            <w:pPr>
              <w:jc w:val="center"/>
              <w:rPr>
                <w:rFonts w:ascii="宋体" w:hAnsi="宋体"/>
                <w:sz w:val="24"/>
                <w:szCs w:val="24"/>
              </w:rPr>
            </w:pPr>
            <w:r>
              <w:rPr>
                <w:rFonts w:hint="eastAsia" w:ascii="宋体" w:hAnsi="宋体" w:eastAsia="宋体" w:cs="Times New Roman"/>
                <w:sz w:val="24"/>
                <w:szCs w:val="24"/>
              </w:rPr>
              <w:t>签约日期</w:t>
            </w:r>
          </w:p>
        </w:tc>
        <w:tc>
          <w:tcPr>
            <w:tcW w:w="1046" w:type="dxa"/>
            <w:vAlign w:val="center"/>
          </w:tcPr>
          <w:p>
            <w:pPr>
              <w:jc w:val="center"/>
              <w:rPr>
                <w:rFonts w:ascii="宋体" w:hAnsi="宋体"/>
                <w:sz w:val="24"/>
                <w:szCs w:val="24"/>
              </w:rPr>
            </w:pPr>
            <w:r>
              <w:rPr>
                <w:rFonts w:hint="eastAsia" w:ascii="宋体" w:hAnsi="宋体" w:eastAsia="宋体" w:cs="Times New Roman"/>
                <w:sz w:val="24"/>
                <w:szCs w:val="24"/>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6" w:hRule="atLeast"/>
          <w:jc w:val="center"/>
        </w:trPr>
        <w:tc>
          <w:tcPr>
            <w:tcW w:w="937" w:type="dxa"/>
            <w:vAlign w:val="center"/>
          </w:tcPr>
          <w:p>
            <w:pPr>
              <w:jc w:val="center"/>
              <w:rPr>
                <w:rFonts w:ascii="宋体" w:hAnsi="宋体"/>
                <w:sz w:val="24"/>
                <w:szCs w:val="24"/>
              </w:rPr>
            </w:pPr>
          </w:p>
        </w:tc>
        <w:tc>
          <w:tcPr>
            <w:tcW w:w="1276" w:type="dxa"/>
            <w:vAlign w:val="center"/>
          </w:tcPr>
          <w:p>
            <w:pPr>
              <w:jc w:val="center"/>
              <w:rPr>
                <w:rFonts w:ascii="宋体" w:hAnsi="宋体"/>
                <w:sz w:val="24"/>
                <w:szCs w:val="24"/>
              </w:rPr>
            </w:pPr>
          </w:p>
        </w:tc>
        <w:tc>
          <w:tcPr>
            <w:tcW w:w="1336" w:type="dxa"/>
            <w:vAlign w:val="center"/>
          </w:tcPr>
          <w:p>
            <w:pPr>
              <w:jc w:val="center"/>
              <w:rPr>
                <w:rFonts w:ascii="宋体" w:hAnsi="宋体"/>
                <w:sz w:val="24"/>
                <w:szCs w:val="24"/>
              </w:rPr>
            </w:pPr>
          </w:p>
        </w:tc>
        <w:tc>
          <w:tcPr>
            <w:tcW w:w="1455" w:type="dxa"/>
            <w:vAlign w:val="center"/>
          </w:tcPr>
          <w:p>
            <w:pPr>
              <w:jc w:val="center"/>
              <w:rPr>
                <w:rFonts w:ascii="宋体" w:hAnsi="宋体"/>
                <w:sz w:val="24"/>
                <w:szCs w:val="24"/>
              </w:rPr>
            </w:pPr>
          </w:p>
        </w:tc>
        <w:tc>
          <w:tcPr>
            <w:tcW w:w="1417" w:type="dxa"/>
            <w:vAlign w:val="center"/>
          </w:tcPr>
          <w:p>
            <w:pPr>
              <w:jc w:val="center"/>
              <w:rPr>
                <w:rFonts w:ascii="宋体" w:hAnsi="宋体"/>
                <w:sz w:val="24"/>
                <w:szCs w:val="24"/>
              </w:rPr>
            </w:pPr>
          </w:p>
        </w:tc>
        <w:tc>
          <w:tcPr>
            <w:tcW w:w="1431" w:type="dxa"/>
            <w:vAlign w:val="center"/>
          </w:tcPr>
          <w:p>
            <w:pPr>
              <w:jc w:val="center"/>
              <w:rPr>
                <w:rFonts w:ascii="宋体" w:hAnsi="宋体"/>
                <w:sz w:val="24"/>
                <w:szCs w:val="24"/>
              </w:rPr>
            </w:pPr>
          </w:p>
        </w:tc>
        <w:tc>
          <w:tcPr>
            <w:tcW w:w="1046" w:type="dxa"/>
            <w:vAlign w:val="center"/>
          </w:tcPr>
          <w:p>
            <w:pPr>
              <w:jc w:val="center"/>
              <w:rPr>
                <w:rFonts w:ascii="宋体" w:hAnsi="宋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6" w:hRule="atLeast"/>
          <w:jc w:val="center"/>
        </w:trPr>
        <w:tc>
          <w:tcPr>
            <w:tcW w:w="937" w:type="dxa"/>
            <w:vAlign w:val="center"/>
          </w:tcPr>
          <w:p>
            <w:pPr>
              <w:jc w:val="center"/>
              <w:rPr>
                <w:rFonts w:ascii="宋体" w:hAnsi="宋体"/>
                <w:sz w:val="24"/>
                <w:szCs w:val="24"/>
              </w:rPr>
            </w:pPr>
          </w:p>
        </w:tc>
        <w:tc>
          <w:tcPr>
            <w:tcW w:w="1276" w:type="dxa"/>
            <w:vAlign w:val="center"/>
          </w:tcPr>
          <w:p>
            <w:pPr>
              <w:jc w:val="center"/>
              <w:rPr>
                <w:rFonts w:ascii="宋体" w:hAnsi="宋体"/>
                <w:sz w:val="24"/>
                <w:szCs w:val="24"/>
              </w:rPr>
            </w:pPr>
          </w:p>
        </w:tc>
        <w:tc>
          <w:tcPr>
            <w:tcW w:w="1336" w:type="dxa"/>
            <w:vAlign w:val="center"/>
          </w:tcPr>
          <w:p>
            <w:pPr>
              <w:jc w:val="center"/>
              <w:rPr>
                <w:rFonts w:ascii="宋体" w:hAnsi="宋体"/>
                <w:sz w:val="24"/>
                <w:szCs w:val="24"/>
              </w:rPr>
            </w:pPr>
          </w:p>
        </w:tc>
        <w:tc>
          <w:tcPr>
            <w:tcW w:w="1455" w:type="dxa"/>
            <w:vAlign w:val="center"/>
          </w:tcPr>
          <w:p>
            <w:pPr>
              <w:jc w:val="center"/>
              <w:rPr>
                <w:rFonts w:ascii="宋体" w:hAnsi="宋体"/>
                <w:sz w:val="24"/>
                <w:szCs w:val="24"/>
              </w:rPr>
            </w:pPr>
          </w:p>
        </w:tc>
        <w:tc>
          <w:tcPr>
            <w:tcW w:w="1417" w:type="dxa"/>
            <w:vAlign w:val="center"/>
          </w:tcPr>
          <w:p>
            <w:pPr>
              <w:jc w:val="center"/>
              <w:rPr>
                <w:rFonts w:ascii="宋体" w:hAnsi="宋体"/>
                <w:sz w:val="24"/>
                <w:szCs w:val="24"/>
              </w:rPr>
            </w:pPr>
          </w:p>
        </w:tc>
        <w:tc>
          <w:tcPr>
            <w:tcW w:w="1431" w:type="dxa"/>
            <w:vAlign w:val="center"/>
          </w:tcPr>
          <w:p>
            <w:pPr>
              <w:jc w:val="center"/>
              <w:rPr>
                <w:rFonts w:ascii="宋体" w:hAnsi="宋体"/>
                <w:sz w:val="24"/>
                <w:szCs w:val="24"/>
              </w:rPr>
            </w:pPr>
          </w:p>
        </w:tc>
        <w:tc>
          <w:tcPr>
            <w:tcW w:w="1046" w:type="dxa"/>
            <w:vAlign w:val="center"/>
          </w:tcPr>
          <w:p>
            <w:pPr>
              <w:jc w:val="center"/>
              <w:rPr>
                <w:rFonts w:ascii="宋体" w:hAnsi="宋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6" w:hRule="atLeast"/>
          <w:jc w:val="center"/>
        </w:trPr>
        <w:tc>
          <w:tcPr>
            <w:tcW w:w="937" w:type="dxa"/>
            <w:vAlign w:val="center"/>
          </w:tcPr>
          <w:p>
            <w:pPr>
              <w:jc w:val="center"/>
              <w:rPr>
                <w:rFonts w:ascii="宋体" w:hAnsi="宋体"/>
                <w:sz w:val="24"/>
                <w:szCs w:val="24"/>
              </w:rPr>
            </w:pPr>
          </w:p>
        </w:tc>
        <w:tc>
          <w:tcPr>
            <w:tcW w:w="1276" w:type="dxa"/>
            <w:vAlign w:val="center"/>
          </w:tcPr>
          <w:p>
            <w:pPr>
              <w:jc w:val="center"/>
              <w:rPr>
                <w:rFonts w:ascii="宋体" w:hAnsi="宋体"/>
                <w:sz w:val="24"/>
                <w:szCs w:val="24"/>
              </w:rPr>
            </w:pPr>
          </w:p>
        </w:tc>
        <w:tc>
          <w:tcPr>
            <w:tcW w:w="1336" w:type="dxa"/>
            <w:vAlign w:val="center"/>
          </w:tcPr>
          <w:p>
            <w:pPr>
              <w:jc w:val="center"/>
              <w:rPr>
                <w:rFonts w:ascii="宋体" w:hAnsi="宋体"/>
                <w:sz w:val="24"/>
                <w:szCs w:val="24"/>
              </w:rPr>
            </w:pPr>
          </w:p>
        </w:tc>
        <w:tc>
          <w:tcPr>
            <w:tcW w:w="1455" w:type="dxa"/>
            <w:vAlign w:val="center"/>
          </w:tcPr>
          <w:p>
            <w:pPr>
              <w:jc w:val="center"/>
              <w:rPr>
                <w:rFonts w:ascii="宋体" w:hAnsi="宋体"/>
                <w:sz w:val="24"/>
                <w:szCs w:val="24"/>
              </w:rPr>
            </w:pPr>
          </w:p>
        </w:tc>
        <w:tc>
          <w:tcPr>
            <w:tcW w:w="1417" w:type="dxa"/>
            <w:vAlign w:val="center"/>
          </w:tcPr>
          <w:p>
            <w:pPr>
              <w:jc w:val="center"/>
              <w:rPr>
                <w:rFonts w:ascii="宋体" w:hAnsi="宋体"/>
                <w:sz w:val="24"/>
                <w:szCs w:val="24"/>
              </w:rPr>
            </w:pPr>
          </w:p>
        </w:tc>
        <w:tc>
          <w:tcPr>
            <w:tcW w:w="1431" w:type="dxa"/>
            <w:vAlign w:val="center"/>
          </w:tcPr>
          <w:p>
            <w:pPr>
              <w:jc w:val="center"/>
              <w:rPr>
                <w:rFonts w:ascii="宋体" w:hAnsi="宋体"/>
                <w:sz w:val="24"/>
                <w:szCs w:val="24"/>
              </w:rPr>
            </w:pPr>
          </w:p>
        </w:tc>
        <w:tc>
          <w:tcPr>
            <w:tcW w:w="1046" w:type="dxa"/>
            <w:vAlign w:val="center"/>
          </w:tcPr>
          <w:p>
            <w:pPr>
              <w:jc w:val="center"/>
              <w:rPr>
                <w:rFonts w:ascii="宋体" w:hAnsi="宋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6" w:hRule="atLeast"/>
          <w:jc w:val="center"/>
        </w:trPr>
        <w:tc>
          <w:tcPr>
            <w:tcW w:w="937" w:type="dxa"/>
            <w:vAlign w:val="center"/>
          </w:tcPr>
          <w:p>
            <w:pPr>
              <w:jc w:val="center"/>
              <w:rPr>
                <w:rFonts w:ascii="宋体" w:hAnsi="宋体"/>
                <w:sz w:val="24"/>
                <w:szCs w:val="24"/>
              </w:rPr>
            </w:pPr>
          </w:p>
        </w:tc>
        <w:tc>
          <w:tcPr>
            <w:tcW w:w="1276" w:type="dxa"/>
            <w:vAlign w:val="center"/>
          </w:tcPr>
          <w:p>
            <w:pPr>
              <w:jc w:val="center"/>
              <w:rPr>
                <w:rFonts w:ascii="宋体" w:hAnsi="宋体"/>
                <w:sz w:val="24"/>
                <w:szCs w:val="24"/>
              </w:rPr>
            </w:pPr>
          </w:p>
        </w:tc>
        <w:tc>
          <w:tcPr>
            <w:tcW w:w="1336" w:type="dxa"/>
            <w:vAlign w:val="center"/>
          </w:tcPr>
          <w:p>
            <w:pPr>
              <w:jc w:val="center"/>
              <w:rPr>
                <w:rFonts w:ascii="宋体" w:hAnsi="宋体"/>
                <w:sz w:val="24"/>
                <w:szCs w:val="24"/>
              </w:rPr>
            </w:pPr>
          </w:p>
        </w:tc>
        <w:tc>
          <w:tcPr>
            <w:tcW w:w="1455" w:type="dxa"/>
            <w:vAlign w:val="center"/>
          </w:tcPr>
          <w:p>
            <w:pPr>
              <w:jc w:val="center"/>
              <w:rPr>
                <w:rFonts w:ascii="宋体" w:hAnsi="宋体"/>
                <w:sz w:val="24"/>
                <w:szCs w:val="24"/>
              </w:rPr>
            </w:pPr>
          </w:p>
        </w:tc>
        <w:tc>
          <w:tcPr>
            <w:tcW w:w="1417" w:type="dxa"/>
            <w:vAlign w:val="center"/>
          </w:tcPr>
          <w:p>
            <w:pPr>
              <w:jc w:val="center"/>
              <w:rPr>
                <w:rFonts w:ascii="宋体" w:hAnsi="宋体"/>
                <w:sz w:val="24"/>
                <w:szCs w:val="24"/>
              </w:rPr>
            </w:pPr>
          </w:p>
        </w:tc>
        <w:tc>
          <w:tcPr>
            <w:tcW w:w="1431" w:type="dxa"/>
            <w:vAlign w:val="center"/>
          </w:tcPr>
          <w:p>
            <w:pPr>
              <w:jc w:val="center"/>
              <w:rPr>
                <w:rFonts w:ascii="宋体" w:hAnsi="宋体"/>
                <w:sz w:val="24"/>
                <w:szCs w:val="24"/>
              </w:rPr>
            </w:pPr>
          </w:p>
        </w:tc>
        <w:tc>
          <w:tcPr>
            <w:tcW w:w="1046" w:type="dxa"/>
            <w:vAlign w:val="center"/>
          </w:tcPr>
          <w:p>
            <w:pPr>
              <w:jc w:val="center"/>
              <w:rPr>
                <w:rFonts w:ascii="宋体" w:hAnsi="宋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6" w:hRule="atLeast"/>
          <w:jc w:val="center"/>
        </w:trPr>
        <w:tc>
          <w:tcPr>
            <w:tcW w:w="937" w:type="dxa"/>
            <w:vAlign w:val="center"/>
          </w:tcPr>
          <w:p>
            <w:pPr>
              <w:jc w:val="center"/>
              <w:rPr>
                <w:rFonts w:ascii="宋体" w:hAnsi="宋体"/>
                <w:sz w:val="24"/>
                <w:szCs w:val="24"/>
              </w:rPr>
            </w:pPr>
          </w:p>
        </w:tc>
        <w:tc>
          <w:tcPr>
            <w:tcW w:w="1276" w:type="dxa"/>
            <w:vAlign w:val="center"/>
          </w:tcPr>
          <w:p>
            <w:pPr>
              <w:jc w:val="center"/>
              <w:rPr>
                <w:rFonts w:ascii="宋体" w:hAnsi="宋体"/>
                <w:sz w:val="24"/>
                <w:szCs w:val="24"/>
              </w:rPr>
            </w:pPr>
          </w:p>
        </w:tc>
        <w:tc>
          <w:tcPr>
            <w:tcW w:w="1336" w:type="dxa"/>
            <w:vAlign w:val="center"/>
          </w:tcPr>
          <w:p>
            <w:pPr>
              <w:jc w:val="center"/>
              <w:rPr>
                <w:rFonts w:ascii="宋体" w:hAnsi="宋体"/>
                <w:sz w:val="24"/>
                <w:szCs w:val="24"/>
              </w:rPr>
            </w:pPr>
          </w:p>
        </w:tc>
        <w:tc>
          <w:tcPr>
            <w:tcW w:w="1455" w:type="dxa"/>
            <w:vAlign w:val="center"/>
          </w:tcPr>
          <w:p>
            <w:pPr>
              <w:jc w:val="center"/>
              <w:rPr>
                <w:rFonts w:ascii="宋体" w:hAnsi="宋体"/>
                <w:sz w:val="24"/>
                <w:szCs w:val="24"/>
              </w:rPr>
            </w:pPr>
          </w:p>
        </w:tc>
        <w:tc>
          <w:tcPr>
            <w:tcW w:w="1417" w:type="dxa"/>
            <w:vAlign w:val="center"/>
          </w:tcPr>
          <w:p>
            <w:pPr>
              <w:jc w:val="center"/>
              <w:rPr>
                <w:rFonts w:ascii="宋体" w:hAnsi="宋体"/>
                <w:sz w:val="24"/>
                <w:szCs w:val="24"/>
              </w:rPr>
            </w:pPr>
          </w:p>
        </w:tc>
        <w:tc>
          <w:tcPr>
            <w:tcW w:w="1431" w:type="dxa"/>
            <w:vAlign w:val="center"/>
          </w:tcPr>
          <w:p>
            <w:pPr>
              <w:jc w:val="center"/>
              <w:rPr>
                <w:rFonts w:ascii="宋体" w:hAnsi="宋体"/>
                <w:sz w:val="24"/>
                <w:szCs w:val="24"/>
              </w:rPr>
            </w:pPr>
          </w:p>
        </w:tc>
        <w:tc>
          <w:tcPr>
            <w:tcW w:w="1046" w:type="dxa"/>
            <w:vAlign w:val="center"/>
          </w:tcPr>
          <w:p>
            <w:pPr>
              <w:jc w:val="center"/>
              <w:rPr>
                <w:rFonts w:ascii="宋体" w:hAnsi="宋体"/>
                <w:sz w:val="24"/>
                <w:szCs w:val="24"/>
              </w:rPr>
            </w:pPr>
          </w:p>
        </w:tc>
      </w:tr>
    </w:tbl>
    <w:p>
      <w:pPr>
        <w:spacing w:line="360" w:lineRule="auto"/>
        <w:jc w:val="left"/>
        <w:rPr>
          <w:rFonts w:ascii="宋体" w:hAnsi="宋体"/>
          <w:sz w:val="24"/>
          <w:szCs w:val="24"/>
        </w:rPr>
      </w:pPr>
    </w:p>
    <w:p>
      <w:pPr>
        <w:spacing w:line="360" w:lineRule="auto"/>
        <w:jc w:val="left"/>
        <w:rPr>
          <w:rFonts w:ascii="宋体" w:hAnsi="宋体"/>
          <w:sz w:val="24"/>
          <w:szCs w:val="24"/>
        </w:rPr>
      </w:pPr>
    </w:p>
    <w:p>
      <w:pPr>
        <w:spacing w:line="360" w:lineRule="auto"/>
        <w:jc w:val="left"/>
        <w:rPr>
          <w:rFonts w:ascii="宋体"/>
          <w:sz w:val="24"/>
          <w:szCs w:val="24"/>
        </w:rPr>
      </w:pPr>
      <w:r>
        <w:rPr>
          <w:rFonts w:hint="eastAsia" w:ascii="宋体" w:hAnsi="宋体"/>
          <w:sz w:val="24"/>
          <w:szCs w:val="24"/>
        </w:rPr>
        <w:t>备注：</w:t>
      </w:r>
    </w:p>
    <w:p>
      <w:pPr>
        <w:spacing w:line="360" w:lineRule="auto"/>
        <w:rPr>
          <w:rFonts w:ascii="宋体" w:hAnsi="宋体"/>
          <w:sz w:val="24"/>
          <w:szCs w:val="24"/>
        </w:rPr>
      </w:pPr>
      <w:r>
        <w:rPr>
          <w:rFonts w:ascii="宋体" w:hAnsi="宋体"/>
          <w:sz w:val="24"/>
          <w:szCs w:val="24"/>
        </w:rPr>
        <w:t>1</w:t>
      </w:r>
      <w:r>
        <w:rPr>
          <w:rFonts w:hint="eastAsia" w:ascii="宋体" w:hAnsi="宋体"/>
          <w:sz w:val="24"/>
          <w:szCs w:val="24"/>
        </w:rPr>
        <w:t>、本表后须附业绩的证明资料（中标通知书和合同复印件）</w:t>
      </w:r>
    </w:p>
    <w:p>
      <w:pPr>
        <w:spacing w:line="360" w:lineRule="auto"/>
        <w:jc w:val="left"/>
        <w:rPr>
          <w:rFonts w:ascii="宋体"/>
          <w:sz w:val="24"/>
          <w:szCs w:val="24"/>
          <w:u w:val="single"/>
        </w:rPr>
      </w:pPr>
      <w:r>
        <w:rPr>
          <w:rFonts w:ascii="宋体" w:hAnsi="宋体"/>
          <w:sz w:val="24"/>
          <w:szCs w:val="24"/>
        </w:rPr>
        <w:t>2</w:t>
      </w:r>
      <w:r>
        <w:rPr>
          <w:rFonts w:hint="eastAsia" w:ascii="宋体" w:hAnsi="宋体"/>
          <w:sz w:val="24"/>
          <w:szCs w:val="24"/>
        </w:rPr>
        <w:t>、具体年份要求：</w:t>
      </w:r>
      <w:r>
        <w:rPr>
          <w:rFonts w:ascii="宋体" w:hAnsi="宋体"/>
          <w:sz w:val="24"/>
          <w:szCs w:val="24"/>
          <w:u w:val="single"/>
        </w:rPr>
        <w:t xml:space="preserve"> 201</w:t>
      </w:r>
      <w:r>
        <w:rPr>
          <w:rFonts w:hint="eastAsia" w:ascii="宋体" w:hAnsi="宋体"/>
          <w:sz w:val="24"/>
          <w:szCs w:val="24"/>
          <w:u w:val="single"/>
        </w:rPr>
        <w:t>9年1月1日--至今</w:t>
      </w:r>
    </w:p>
    <w:p>
      <w:pPr>
        <w:widowControl/>
        <w:spacing w:line="360" w:lineRule="auto"/>
        <w:jc w:val="left"/>
        <w:rPr>
          <w:rFonts w:ascii="宋体" w:hAnsi="宋体"/>
          <w:sz w:val="24"/>
          <w:szCs w:val="24"/>
        </w:rPr>
      </w:pPr>
      <w:r>
        <w:rPr>
          <w:rFonts w:ascii="宋体" w:hAnsi="宋体"/>
          <w:sz w:val="24"/>
          <w:szCs w:val="24"/>
        </w:rPr>
        <w:br w:type="page"/>
      </w:r>
    </w:p>
    <w:p>
      <w:pPr>
        <w:tabs>
          <w:tab w:val="center" w:pos="4832"/>
          <w:tab w:val="left" w:pos="7140"/>
        </w:tabs>
        <w:spacing w:line="360" w:lineRule="auto"/>
        <w:jc w:val="center"/>
        <w:outlineLvl w:val="1"/>
        <w:rPr>
          <w:rFonts w:ascii="宋体" w:hAnsi="宋体"/>
          <w:b/>
          <w:bCs/>
          <w:sz w:val="24"/>
          <w:szCs w:val="24"/>
        </w:rPr>
      </w:pPr>
      <w:bookmarkStart w:id="118" w:name="_Toc38446480"/>
      <w:bookmarkStart w:id="119" w:name="_Toc507586175"/>
      <w:bookmarkStart w:id="120" w:name="_Toc103717604"/>
      <w:bookmarkStart w:id="121" w:name="_Toc104243933"/>
      <w:bookmarkStart w:id="122" w:name="_Toc533503191"/>
      <w:r>
        <w:rPr>
          <w:rFonts w:hint="eastAsia" w:ascii="宋体" w:hAnsi="宋体"/>
          <w:b/>
          <w:sz w:val="24"/>
          <w:szCs w:val="24"/>
        </w:rPr>
        <w:t>八、</w:t>
      </w:r>
      <w:r>
        <w:rPr>
          <w:rFonts w:hint="eastAsia" w:ascii="宋体" w:hAnsi="宋体"/>
          <w:b/>
          <w:bCs/>
          <w:sz w:val="24"/>
          <w:szCs w:val="24"/>
        </w:rPr>
        <w:t>拟派项目负责人简历表</w:t>
      </w:r>
      <w:bookmarkEnd w:id="118"/>
      <w:bookmarkEnd w:id="119"/>
      <w:bookmarkEnd w:id="120"/>
      <w:bookmarkEnd w:id="121"/>
      <w:bookmarkEnd w:id="122"/>
    </w:p>
    <w:tbl>
      <w:tblPr>
        <w:tblStyle w:val="38"/>
        <w:tblW w:w="925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80"/>
        <w:gridCol w:w="2798"/>
        <w:gridCol w:w="1934"/>
        <w:gridCol w:w="26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880" w:type="dxa"/>
            <w:vAlign w:val="center"/>
          </w:tcPr>
          <w:p>
            <w:pPr>
              <w:spacing w:line="360" w:lineRule="auto"/>
              <w:jc w:val="center"/>
              <w:rPr>
                <w:rFonts w:ascii="宋体" w:hAnsi="宋体"/>
                <w:sz w:val="24"/>
                <w:szCs w:val="24"/>
              </w:rPr>
            </w:pPr>
            <w:r>
              <w:rPr>
                <w:rFonts w:hint="eastAsia" w:ascii="宋体" w:hAnsi="宋体"/>
                <w:sz w:val="24"/>
                <w:szCs w:val="24"/>
              </w:rPr>
              <w:t>姓名</w:t>
            </w:r>
          </w:p>
        </w:tc>
        <w:tc>
          <w:tcPr>
            <w:tcW w:w="2798" w:type="dxa"/>
            <w:vAlign w:val="center"/>
          </w:tcPr>
          <w:p>
            <w:pPr>
              <w:spacing w:line="360" w:lineRule="auto"/>
              <w:jc w:val="center"/>
              <w:rPr>
                <w:rFonts w:ascii="宋体" w:hAnsi="宋体"/>
                <w:sz w:val="24"/>
                <w:szCs w:val="24"/>
              </w:rPr>
            </w:pPr>
          </w:p>
        </w:tc>
        <w:tc>
          <w:tcPr>
            <w:tcW w:w="1934" w:type="dxa"/>
            <w:vAlign w:val="center"/>
          </w:tcPr>
          <w:p>
            <w:pPr>
              <w:spacing w:line="360" w:lineRule="auto"/>
              <w:jc w:val="center"/>
              <w:rPr>
                <w:rFonts w:ascii="宋体" w:hAnsi="宋体"/>
                <w:sz w:val="24"/>
                <w:szCs w:val="24"/>
              </w:rPr>
            </w:pPr>
            <w:r>
              <w:rPr>
                <w:rFonts w:hint="eastAsia" w:ascii="宋体" w:hAnsi="宋体"/>
                <w:sz w:val="24"/>
                <w:szCs w:val="24"/>
              </w:rPr>
              <w:t>联系方式</w:t>
            </w:r>
          </w:p>
        </w:tc>
        <w:tc>
          <w:tcPr>
            <w:tcW w:w="2640" w:type="dxa"/>
            <w:vAlign w:val="center"/>
          </w:tcPr>
          <w:p>
            <w:pPr>
              <w:spacing w:line="360" w:lineRule="auto"/>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880" w:type="dxa"/>
            <w:vAlign w:val="center"/>
          </w:tcPr>
          <w:p>
            <w:pPr>
              <w:spacing w:line="360" w:lineRule="auto"/>
              <w:jc w:val="center"/>
              <w:rPr>
                <w:rFonts w:ascii="宋体" w:hAnsi="宋体"/>
                <w:sz w:val="24"/>
                <w:szCs w:val="24"/>
              </w:rPr>
            </w:pPr>
            <w:r>
              <w:rPr>
                <w:rFonts w:hint="eastAsia" w:ascii="宋体" w:hAnsi="宋体"/>
                <w:sz w:val="24"/>
                <w:szCs w:val="24"/>
              </w:rPr>
              <w:t>职称</w:t>
            </w:r>
          </w:p>
        </w:tc>
        <w:tc>
          <w:tcPr>
            <w:tcW w:w="2798" w:type="dxa"/>
            <w:vAlign w:val="center"/>
          </w:tcPr>
          <w:p>
            <w:pPr>
              <w:spacing w:line="360" w:lineRule="auto"/>
              <w:jc w:val="center"/>
              <w:rPr>
                <w:rFonts w:ascii="宋体" w:hAnsi="宋体"/>
                <w:sz w:val="24"/>
                <w:szCs w:val="24"/>
              </w:rPr>
            </w:pPr>
          </w:p>
        </w:tc>
        <w:tc>
          <w:tcPr>
            <w:tcW w:w="1934" w:type="dxa"/>
            <w:vAlign w:val="center"/>
          </w:tcPr>
          <w:p>
            <w:pPr>
              <w:spacing w:line="360" w:lineRule="auto"/>
              <w:jc w:val="center"/>
              <w:rPr>
                <w:rFonts w:ascii="宋体" w:hAnsi="宋体"/>
                <w:sz w:val="24"/>
                <w:szCs w:val="24"/>
              </w:rPr>
            </w:pPr>
            <w:r>
              <w:rPr>
                <w:rFonts w:hint="eastAsia" w:ascii="宋体" w:hAnsi="宋体" w:eastAsia="宋体" w:cs="宋体"/>
                <w:sz w:val="24"/>
                <w:szCs w:val="24"/>
              </w:rPr>
              <w:t>学历</w:t>
            </w:r>
          </w:p>
        </w:tc>
        <w:tc>
          <w:tcPr>
            <w:tcW w:w="2640" w:type="dxa"/>
            <w:vAlign w:val="center"/>
          </w:tcPr>
          <w:p>
            <w:pPr>
              <w:spacing w:line="360" w:lineRule="auto"/>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880" w:type="dxa"/>
            <w:vAlign w:val="center"/>
          </w:tcPr>
          <w:p>
            <w:pPr>
              <w:spacing w:line="360" w:lineRule="auto"/>
              <w:jc w:val="center"/>
              <w:rPr>
                <w:rFonts w:ascii="宋体" w:hAnsi="宋体"/>
                <w:sz w:val="24"/>
                <w:szCs w:val="24"/>
              </w:rPr>
            </w:pPr>
            <w:r>
              <w:rPr>
                <w:rFonts w:hint="eastAsia" w:ascii="宋体" w:hAnsi="宋体"/>
                <w:sz w:val="24"/>
                <w:szCs w:val="24"/>
              </w:rPr>
              <w:t>专业</w:t>
            </w:r>
          </w:p>
        </w:tc>
        <w:tc>
          <w:tcPr>
            <w:tcW w:w="2798" w:type="dxa"/>
            <w:vAlign w:val="center"/>
          </w:tcPr>
          <w:p>
            <w:pPr>
              <w:spacing w:line="360" w:lineRule="auto"/>
              <w:jc w:val="center"/>
              <w:rPr>
                <w:rFonts w:ascii="宋体" w:hAnsi="宋体"/>
                <w:sz w:val="24"/>
                <w:szCs w:val="24"/>
              </w:rPr>
            </w:pPr>
          </w:p>
        </w:tc>
        <w:tc>
          <w:tcPr>
            <w:tcW w:w="1934" w:type="dxa"/>
            <w:vAlign w:val="center"/>
          </w:tcPr>
          <w:p>
            <w:pPr>
              <w:spacing w:line="360" w:lineRule="auto"/>
              <w:jc w:val="center"/>
              <w:rPr>
                <w:rFonts w:ascii="宋体" w:hAnsi="宋体"/>
                <w:sz w:val="24"/>
                <w:szCs w:val="24"/>
              </w:rPr>
            </w:pPr>
            <w:r>
              <w:rPr>
                <w:rFonts w:hint="eastAsia" w:ascii="宋体" w:hAnsi="宋体"/>
                <w:sz w:val="24"/>
                <w:szCs w:val="24"/>
              </w:rPr>
              <w:t>毕业学校</w:t>
            </w:r>
          </w:p>
        </w:tc>
        <w:tc>
          <w:tcPr>
            <w:tcW w:w="2640" w:type="dxa"/>
            <w:vAlign w:val="center"/>
          </w:tcPr>
          <w:p>
            <w:pPr>
              <w:spacing w:line="360" w:lineRule="auto"/>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880" w:type="dxa"/>
            <w:vAlign w:val="center"/>
          </w:tcPr>
          <w:p>
            <w:pPr>
              <w:spacing w:line="360" w:lineRule="auto"/>
              <w:jc w:val="center"/>
              <w:rPr>
                <w:rFonts w:ascii="宋体" w:hAnsi="宋体"/>
                <w:sz w:val="24"/>
                <w:szCs w:val="24"/>
              </w:rPr>
            </w:pPr>
            <w:r>
              <w:rPr>
                <w:rFonts w:hint="eastAsia" w:ascii="宋体" w:hAnsi="宋体"/>
                <w:sz w:val="24"/>
                <w:szCs w:val="24"/>
              </w:rPr>
              <w:t>身份证号码</w:t>
            </w:r>
          </w:p>
        </w:tc>
        <w:tc>
          <w:tcPr>
            <w:tcW w:w="2798" w:type="dxa"/>
            <w:vAlign w:val="center"/>
          </w:tcPr>
          <w:p>
            <w:pPr>
              <w:spacing w:line="360" w:lineRule="auto"/>
              <w:jc w:val="center"/>
              <w:rPr>
                <w:rFonts w:ascii="宋体" w:hAnsi="宋体"/>
                <w:sz w:val="24"/>
                <w:szCs w:val="24"/>
              </w:rPr>
            </w:pPr>
          </w:p>
        </w:tc>
        <w:tc>
          <w:tcPr>
            <w:tcW w:w="1934" w:type="dxa"/>
            <w:vAlign w:val="center"/>
          </w:tcPr>
          <w:p>
            <w:pPr>
              <w:spacing w:line="360" w:lineRule="auto"/>
              <w:jc w:val="center"/>
              <w:rPr>
                <w:rFonts w:ascii="宋体" w:hAnsi="宋体"/>
                <w:sz w:val="24"/>
                <w:szCs w:val="24"/>
              </w:rPr>
            </w:pPr>
            <w:r>
              <w:rPr>
                <w:rFonts w:hint="eastAsia" w:ascii="宋体" w:hAnsi="宋体"/>
                <w:sz w:val="24"/>
                <w:szCs w:val="24"/>
              </w:rPr>
              <w:t>职务</w:t>
            </w:r>
          </w:p>
        </w:tc>
        <w:tc>
          <w:tcPr>
            <w:tcW w:w="2640" w:type="dxa"/>
            <w:vAlign w:val="center"/>
          </w:tcPr>
          <w:p>
            <w:pPr>
              <w:spacing w:line="360" w:lineRule="auto"/>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9" w:hRule="atLeast"/>
          <w:jc w:val="center"/>
        </w:trPr>
        <w:tc>
          <w:tcPr>
            <w:tcW w:w="1880" w:type="dxa"/>
            <w:vAlign w:val="center"/>
          </w:tcPr>
          <w:p>
            <w:pPr>
              <w:spacing w:line="360" w:lineRule="auto"/>
              <w:jc w:val="center"/>
              <w:rPr>
                <w:rFonts w:ascii="宋体" w:hAnsi="宋体"/>
                <w:sz w:val="24"/>
                <w:szCs w:val="24"/>
              </w:rPr>
            </w:pPr>
            <w:r>
              <w:rPr>
                <w:rFonts w:hint="eastAsia" w:ascii="宋体" w:hAnsi="宋体"/>
                <w:sz w:val="24"/>
                <w:szCs w:val="24"/>
              </w:rPr>
              <w:t>主要经历</w:t>
            </w:r>
          </w:p>
        </w:tc>
        <w:tc>
          <w:tcPr>
            <w:tcW w:w="7372" w:type="dxa"/>
            <w:gridSpan w:val="3"/>
            <w:vAlign w:val="center"/>
          </w:tcPr>
          <w:p>
            <w:pPr>
              <w:spacing w:line="360" w:lineRule="auto"/>
              <w:jc w:val="center"/>
              <w:rPr>
                <w:rFonts w:ascii="宋体" w:hAnsi="宋体"/>
                <w:sz w:val="24"/>
                <w:szCs w:val="24"/>
              </w:rPr>
            </w:pPr>
          </w:p>
        </w:tc>
      </w:tr>
    </w:tbl>
    <w:p>
      <w:pPr>
        <w:spacing w:line="360" w:lineRule="auto"/>
        <w:rPr>
          <w:rFonts w:ascii="宋体"/>
          <w:sz w:val="24"/>
          <w:szCs w:val="24"/>
        </w:rPr>
      </w:pPr>
      <w:r>
        <w:rPr>
          <w:rFonts w:hint="eastAsia" w:ascii="宋体"/>
          <w:bCs/>
          <w:sz w:val="24"/>
          <w:szCs w:val="24"/>
        </w:rPr>
        <w:t>备注：</w:t>
      </w:r>
      <w:r>
        <w:rPr>
          <w:rFonts w:hint="eastAsia" w:ascii="宋体" w:hAnsi="宋体"/>
          <w:sz w:val="24"/>
          <w:szCs w:val="24"/>
        </w:rPr>
        <w:t>本表后需附项目负责人</w:t>
      </w:r>
      <w:r>
        <w:rPr>
          <w:rFonts w:hint="eastAsia" w:ascii="宋体" w:hAnsi="宋体" w:eastAsia="宋体" w:cs="Times New Roman"/>
          <w:sz w:val="24"/>
          <w:szCs w:val="24"/>
        </w:rPr>
        <w:t>身份证、毕业证和社保机构出具的开标前6个月内任意1个月供应商为其缴纳的社保证明等</w:t>
      </w:r>
      <w:r>
        <w:rPr>
          <w:rFonts w:hint="eastAsia" w:ascii="宋体"/>
          <w:sz w:val="24"/>
          <w:szCs w:val="24"/>
        </w:rPr>
        <w:t>相关</w:t>
      </w:r>
      <w:r>
        <w:rPr>
          <w:rFonts w:hint="eastAsia" w:ascii="宋体"/>
          <w:bCs/>
          <w:sz w:val="24"/>
          <w:szCs w:val="24"/>
        </w:rPr>
        <w:t>材料</w:t>
      </w:r>
      <w:r>
        <w:rPr>
          <w:rFonts w:hint="eastAsia" w:ascii="宋体"/>
          <w:sz w:val="24"/>
          <w:szCs w:val="24"/>
        </w:rPr>
        <w:t>。</w:t>
      </w:r>
    </w:p>
    <w:p>
      <w:pPr>
        <w:pStyle w:val="7"/>
      </w:pPr>
    </w:p>
    <w:p>
      <w:pPr>
        <w:pStyle w:val="7"/>
      </w:pPr>
    </w:p>
    <w:p>
      <w:pPr>
        <w:tabs>
          <w:tab w:val="center" w:pos="4832"/>
          <w:tab w:val="left" w:pos="7140"/>
        </w:tabs>
        <w:spacing w:line="360" w:lineRule="auto"/>
        <w:jc w:val="center"/>
        <w:outlineLvl w:val="1"/>
        <w:rPr>
          <w:rFonts w:ascii="宋体" w:hAnsi="宋体"/>
          <w:b/>
          <w:bCs/>
          <w:sz w:val="24"/>
          <w:szCs w:val="24"/>
        </w:rPr>
      </w:pPr>
      <w:bookmarkStart w:id="123" w:name="_Toc507586176"/>
      <w:r>
        <w:rPr>
          <w:rFonts w:ascii="宋体" w:hAnsi="宋体"/>
          <w:b/>
          <w:bCs/>
          <w:sz w:val="24"/>
          <w:szCs w:val="24"/>
        </w:rPr>
        <w:br w:type="page"/>
      </w:r>
      <w:bookmarkStart w:id="124" w:name="_Toc533503192"/>
      <w:bookmarkStart w:id="125" w:name="_Toc38446481"/>
      <w:bookmarkStart w:id="126" w:name="_Toc104243934"/>
      <w:bookmarkStart w:id="127" w:name="_Toc103717605"/>
      <w:r>
        <w:rPr>
          <w:rFonts w:hint="eastAsia" w:ascii="宋体" w:hAnsi="宋体"/>
          <w:b/>
          <w:bCs/>
          <w:sz w:val="24"/>
          <w:szCs w:val="24"/>
        </w:rPr>
        <w:t>九、</w:t>
      </w:r>
      <w:bookmarkEnd w:id="123"/>
      <w:bookmarkEnd w:id="124"/>
      <w:bookmarkEnd w:id="125"/>
      <w:r>
        <w:rPr>
          <w:rFonts w:hint="eastAsia" w:ascii="宋体" w:hAnsi="宋体"/>
          <w:b/>
          <w:bCs/>
          <w:sz w:val="24"/>
          <w:szCs w:val="24"/>
        </w:rPr>
        <w:t>拟派本项目服务人员情况表</w:t>
      </w:r>
      <w:bookmarkEnd w:id="126"/>
      <w:bookmarkEnd w:id="127"/>
      <w:r>
        <w:rPr>
          <w:rFonts w:hint="eastAsia" w:ascii="宋体" w:hAnsi="宋体"/>
          <w:b/>
          <w:bCs/>
          <w:sz w:val="24"/>
          <w:szCs w:val="24"/>
        </w:rPr>
        <w:t>（项目团队能力）</w:t>
      </w:r>
    </w:p>
    <w:p>
      <w:pPr>
        <w:spacing w:line="360" w:lineRule="auto"/>
        <w:rPr>
          <w:rFonts w:ascii="宋体" w:hAnsi="宋体"/>
          <w:sz w:val="24"/>
          <w:szCs w:val="24"/>
        </w:rPr>
      </w:pPr>
    </w:p>
    <w:tbl>
      <w:tblPr>
        <w:tblStyle w:val="38"/>
        <w:tblW w:w="849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1515"/>
        <w:gridCol w:w="2108"/>
        <w:gridCol w:w="1554"/>
        <w:gridCol w:w="1223"/>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atLeast"/>
          <w:jc w:val="center"/>
        </w:trPr>
        <w:tc>
          <w:tcPr>
            <w:tcW w:w="959" w:type="dxa"/>
            <w:vAlign w:val="center"/>
          </w:tcPr>
          <w:p>
            <w:pPr>
              <w:spacing w:line="360" w:lineRule="auto"/>
              <w:jc w:val="center"/>
              <w:rPr>
                <w:rFonts w:ascii="宋体" w:hAnsi="宋体"/>
                <w:sz w:val="24"/>
                <w:szCs w:val="24"/>
              </w:rPr>
            </w:pPr>
            <w:r>
              <w:rPr>
                <w:rFonts w:hint="eastAsia" w:ascii="宋体" w:hAnsi="宋体"/>
                <w:sz w:val="24"/>
                <w:szCs w:val="24"/>
              </w:rPr>
              <w:t>序号</w:t>
            </w:r>
          </w:p>
        </w:tc>
        <w:tc>
          <w:tcPr>
            <w:tcW w:w="1515" w:type="dxa"/>
            <w:vAlign w:val="center"/>
          </w:tcPr>
          <w:p>
            <w:pPr>
              <w:spacing w:line="360" w:lineRule="auto"/>
              <w:jc w:val="center"/>
              <w:rPr>
                <w:rFonts w:ascii="宋体" w:hAnsi="宋体"/>
                <w:sz w:val="24"/>
                <w:szCs w:val="24"/>
              </w:rPr>
            </w:pPr>
            <w:r>
              <w:rPr>
                <w:rFonts w:hint="eastAsia" w:ascii="宋体" w:hAnsi="宋体"/>
                <w:sz w:val="24"/>
                <w:szCs w:val="24"/>
              </w:rPr>
              <w:t>姓名</w:t>
            </w:r>
          </w:p>
        </w:tc>
        <w:tc>
          <w:tcPr>
            <w:tcW w:w="2108" w:type="dxa"/>
            <w:vAlign w:val="center"/>
          </w:tcPr>
          <w:p>
            <w:pPr>
              <w:spacing w:line="360" w:lineRule="auto"/>
              <w:jc w:val="center"/>
              <w:rPr>
                <w:rFonts w:ascii="宋体" w:hAnsi="宋体"/>
                <w:sz w:val="24"/>
                <w:szCs w:val="24"/>
              </w:rPr>
            </w:pPr>
            <w:r>
              <w:rPr>
                <w:rFonts w:hint="eastAsia" w:ascii="宋体" w:hAnsi="宋体"/>
                <w:sz w:val="24"/>
                <w:szCs w:val="24"/>
              </w:rPr>
              <w:t>拟担任岗位</w:t>
            </w:r>
          </w:p>
        </w:tc>
        <w:tc>
          <w:tcPr>
            <w:tcW w:w="1554" w:type="dxa"/>
            <w:vAlign w:val="center"/>
          </w:tcPr>
          <w:p>
            <w:pPr>
              <w:spacing w:line="360" w:lineRule="auto"/>
              <w:jc w:val="center"/>
              <w:rPr>
                <w:rFonts w:ascii="宋体" w:hAnsi="宋体"/>
                <w:sz w:val="24"/>
                <w:szCs w:val="24"/>
              </w:rPr>
            </w:pPr>
            <w:r>
              <w:rPr>
                <w:rFonts w:hint="eastAsia" w:ascii="宋体" w:hAnsi="宋体"/>
                <w:sz w:val="24"/>
                <w:szCs w:val="24"/>
              </w:rPr>
              <w:t>学历</w:t>
            </w:r>
          </w:p>
        </w:tc>
        <w:tc>
          <w:tcPr>
            <w:tcW w:w="1223" w:type="dxa"/>
            <w:vAlign w:val="center"/>
          </w:tcPr>
          <w:p>
            <w:pPr>
              <w:spacing w:line="360" w:lineRule="auto"/>
              <w:jc w:val="center"/>
              <w:rPr>
                <w:rFonts w:ascii="宋体" w:hAnsi="宋体"/>
                <w:sz w:val="24"/>
                <w:szCs w:val="24"/>
              </w:rPr>
            </w:pPr>
            <w:r>
              <w:rPr>
                <w:rFonts w:hint="eastAsia" w:ascii="宋体" w:hAnsi="宋体"/>
                <w:sz w:val="24"/>
                <w:szCs w:val="24"/>
              </w:rPr>
              <w:t>职称</w:t>
            </w:r>
          </w:p>
        </w:tc>
        <w:tc>
          <w:tcPr>
            <w:tcW w:w="1134" w:type="dxa"/>
            <w:vAlign w:val="center"/>
          </w:tcPr>
          <w:p>
            <w:pPr>
              <w:spacing w:line="360" w:lineRule="auto"/>
              <w:jc w:val="center"/>
              <w:rPr>
                <w:rFonts w:ascii="宋体" w:hAnsi="宋体"/>
                <w:sz w:val="24"/>
                <w:szCs w:val="24"/>
              </w:rPr>
            </w:pPr>
            <w:r>
              <w:rPr>
                <w:rFonts w:hint="eastAsia" w:ascii="宋体" w:hAnsi="宋体"/>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9" w:hRule="atLeast"/>
          <w:jc w:val="center"/>
        </w:trPr>
        <w:tc>
          <w:tcPr>
            <w:tcW w:w="959" w:type="dxa"/>
            <w:vAlign w:val="center"/>
          </w:tcPr>
          <w:p>
            <w:pPr>
              <w:spacing w:line="360" w:lineRule="auto"/>
              <w:jc w:val="center"/>
              <w:rPr>
                <w:rFonts w:ascii="宋体" w:hAnsi="宋体"/>
                <w:sz w:val="24"/>
                <w:szCs w:val="24"/>
              </w:rPr>
            </w:pPr>
          </w:p>
        </w:tc>
        <w:tc>
          <w:tcPr>
            <w:tcW w:w="1515" w:type="dxa"/>
            <w:vAlign w:val="center"/>
          </w:tcPr>
          <w:p>
            <w:pPr>
              <w:spacing w:line="360" w:lineRule="auto"/>
              <w:jc w:val="center"/>
              <w:rPr>
                <w:rFonts w:ascii="宋体" w:hAnsi="宋体"/>
                <w:sz w:val="24"/>
                <w:szCs w:val="24"/>
              </w:rPr>
            </w:pPr>
          </w:p>
        </w:tc>
        <w:tc>
          <w:tcPr>
            <w:tcW w:w="2108" w:type="dxa"/>
            <w:vAlign w:val="center"/>
          </w:tcPr>
          <w:p>
            <w:pPr>
              <w:spacing w:line="360" w:lineRule="auto"/>
              <w:jc w:val="center"/>
              <w:rPr>
                <w:rFonts w:ascii="宋体" w:hAnsi="宋体"/>
                <w:sz w:val="24"/>
                <w:szCs w:val="24"/>
              </w:rPr>
            </w:pPr>
          </w:p>
        </w:tc>
        <w:tc>
          <w:tcPr>
            <w:tcW w:w="1554" w:type="dxa"/>
            <w:vAlign w:val="center"/>
          </w:tcPr>
          <w:p>
            <w:pPr>
              <w:spacing w:line="360" w:lineRule="auto"/>
              <w:jc w:val="center"/>
              <w:rPr>
                <w:rFonts w:ascii="宋体" w:hAnsi="宋体"/>
                <w:sz w:val="24"/>
                <w:szCs w:val="24"/>
              </w:rPr>
            </w:pPr>
          </w:p>
        </w:tc>
        <w:tc>
          <w:tcPr>
            <w:tcW w:w="1223" w:type="dxa"/>
            <w:vAlign w:val="center"/>
          </w:tcPr>
          <w:p>
            <w:pPr>
              <w:spacing w:line="360" w:lineRule="auto"/>
              <w:jc w:val="center"/>
              <w:rPr>
                <w:rFonts w:ascii="宋体" w:hAnsi="宋体"/>
                <w:sz w:val="24"/>
                <w:szCs w:val="24"/>
              </w:rPr>
            </w:pPr>
          </w:p>
        </w:tc>
        <w:tc>
          <w:tcPr>
            <w:tcW w:w="1134" w:type="dxa"/>
            <w:vAlign w:val="center"/>
          </w:tcPr>
          <w:p>
            <w:pPr>
              <w:spacing w:line="360" w:lineRule="auto"/>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9" w:hRule="atLeast"/>
          <w:jc w:val="center"/>
        </w:trPr>
        <w:tc>
          <w:tcPr>
            <w:tcW w:w="959" w:type="dxa"/>
            <w:vAlign w:val="center"/>
          </w:tcPr>
          <w:p>
            <w:pPr>
              <w:spacing w:line="360" w:lineRule="auto"/>
              <w:jc w:val="center"/>
              <w:rPr>
                <w:rFonts w:ascii="宋体" w:hAnsi="宋体"/>
                <w:sz w:val="24"/>
                <w:szCs w:val="24"/>
              </w:rPr>
            </w:pPr>
          </w:p>
        </w:tc>
        <w:tc>
          <w:tcPr>
            <w:tcW w:w="1515" w:type="dxa"/>
            <w:vAlign w:val="center"/>
          </w:tcPr>
          <w:p>
            <w:pPr>
              <w:spacing w:line="360" w:lineRule="auto"/>
              <w:jc w:val="center"/>
              <w:rPr>
                <w:rFonts w:ascii="宋体" w:hAnsi="宋体"/>
                <w:sz w:val="24"/>
                <w:szCs w:val="24"/>
              </w:rPr>
            </w:pPr>
          </w:p>
        </w:tc>
        <w:tc>
          <w:tcPr>
            <w:tcW w:w="2108" w:type="dxa"/>
            <w:vAlign w:val="center"/>
          </w:tcPr>
          <w:p>
            <w:pPr>
              <w:spacing w:line="360" w:lineRule="auto"/>
              <w:jc w:val="center"/>
              <w:rPr>
                <w:rFonts w:ascii="宋体" w:hAnsi="宋体"/>
                <w:sz w:val="24"/>
                <w:szCs w:val="24"/>
              </w:rPr>
            </w:pPr>
          </w:p>
        </w:tc>
        <w:tc>
          <w:tcPr>
            <w:tcW w:w="1554" w:type="dxa"/>
            <w:vAlign w:val="center"/>
          </w:tcPr>
          <w:p>
            <w:pPr>
              <w:spacing w:line="360" w:lineRule="auto"/>
              <w:jc w:val="center"/>
              <w:rPr>
                <w:rFonts w:ascii="宋体" w:hAnsi="宋体"/>
                <w:sz w:val="24"/>
                <w:szCs w:val="24"/>
              </w:rPr>
            </w:pPr>
          </w:p>
        </w:tc>
        <w:tc>
          <w:tcPr>
            <w:tcW w:w="1223" w:type="dxa"/>
            <w:vAlign w:val="center"/>
          </w:tcPr>
          <w:p>
            <w:pPr>
              <w:spacing w:line="360" w:lineRule="auto"/>
              <w:jc w:val="center"/>
              <w:rPr>
                <w:rFonts w:ascii="宋体" w:hAnsi="宋体"/>
                <w:sz w:val="24"/>
                <w:szCs w:val="24"/>
              </w:rPr>
            </w:pPr>
          </w:p>
        </w:tc>
        <w:tc>
          <w:tcPr>
            <w:tcW w:w="1134" w:type="dxa"/>
            <w:vAlign w:val="center"/>
          </w:tcPr>
          <w:p>
            <w:pPr>
              <w:spacing w:line="360" w:lineRule="auto"/>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9" w:hRule="atLeast"/>
          <w:jc w:val="center"/>
        </w:trPr>
        <w:tc>
          <w:tcPr>
            <w:tcW w:w="959" w:type="dxa"/>
            <w:vAlign w:val="center"/>
          </w:tcPr>
          <w:p>
            <w:pPr>
              <w:spacing w:line="360" w:lineRule="auto"/>
              <w:jc w:val="center"/>
              <w:rPr>
                <w:rFonts w:ascii="宋体" w:hAnsi="宋体"/>
                <w:sz w:val="24"/>
                <w:szCs w:val="24"/>
              </w:rPr>
            </w:pPr>
          </w:p>
        </w:tc>
        <w:tc>
          <w:tcPr>
            <w:tcW w:w="1515" w:type="dxa"/>
            <w:vAlign w:val="center"/>
          </w:tcPr>
          <w:p>
            <w:pPr>
              <w:spacing w:line="360" w:lineRule="auto"/>
              <w:jc w:val="center"/>
              <w:rPr>
                <w:rFonts w:ascii="宋体" w:hAnsi="宋体"/>
                <w:sz w:val="24"/>
                <w:szCs w:val="24"/>
              </w:rPr>
            </w:pPr>
          </w:p>
        </w:tc>
        <w:tc>
          <w:tcPr>
            <w:tcW w:w="2108" w:type="dxa"/>
            <w:vAlign w:val="center"/>
          </w:tcPr>
          <w:p>
            <w:pPr>
              <w:spacing w:line="360" w:lineRule="auto"/>
              <w:jc w:val="center"/>
              <w:rPr>
                <w:rFonts w:ascii="宋体" w:hAnsi="宋体"/>
                <w:sz w:val="24"/>
                <w:szCs w:val="24"/>
              </w:rPr>
            </w:pPr>
          </w:p>
        </w:tc>
        <w:tc>
          <w:tcPr>
            <w:tcW w:w="1554" w:type="dxa"/>
            <w:vAlign w:val="center"/>
          </w:tcPr>
          <w:p>
            <w:pPr>
              <w:spacing w:line="360" w:lineRule="auto"/>
              <w:jc w:val="center"/>
              <w:rPr>
                <w:rFonts w:ascii="宋体" w:hAnsi="宋体"/>
                <w:sz w:val="24"/>
                <w:szCs w:val="24"/>
              </w:rPr>
            </w:pPr>
          </w:p>
        </w:tc>
        <w:tc>
          <w:tcPr>
            <w:tcW w:w="1223" w:type="dxa"/>
            <w:vAlign w:val="center"/>
          </w:tcPr>
          <w:p>
            <w:pPr>
              <w:spacing w:line="360" w:lineRule="auto"/>
              <w:jc w:val="center"/>
              <w:rPr>
                <w:rFonts w:ascii="宋体" w:hAnsi="宋体"/>
                <w:sz w:val="24"/>
                <w:szCs w:val="24"/>
              </w:rPr>
            </w:pPr>
          </w:p>
        </w:tc>
        <w:tc>
          <w:tcPr>
            <w:tcW w:w="1134" w:type="dxa"/>
            <w:vAlign w:val="center"/>
          </w:tcPr>
          <w:p>
            <w:pPr>
              <w:spacing w:line="360" w:lineRule="auto"/>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9" w:hRule="atLeast"/>
          <w:jc w:val="center"/>
        </w:trPr>
        <w:tc>
          <w:tcPr>
            <w:tcW w:w="959" w:type="dxa"/>
            <w:vAlign w:val="center"/>
          </w:tcPr>
          <w:p>
            <w:pPr>
              <w:spacing w:line="360" w:lineRule="auto"/>
              <w:jc w:val="center"/>
              <w:rPr>
                <w:rFonts w:ascii="宋体" w:hAnsi="宋体"/>
                <w:sz w:val="24"/>
                <w:szCs w:val="24"/>
              </w:rPr>
            </w:pPr>
          </w:p>
        </w:tc>
        <w:tc>
          <w:tcPr>
            <w:tcW w:w="1515" w:type="dxa"/>
            <w:vAlign w:val="center"/>
          </w:tcPr>
          <w:p>
            <w:pPr>
              <w:spacing w:line="360" w:lineRule="auto"/>
              <w:jc w:val="center"/>
              <w:rPr>
                <w:rFonts w:ascii="宋体" w:hAnsi="宋体"/>
                <w:sz w:val="24"/>
                <w:szCs w:val="24"/>
              </w:rPr>
            </w:pPr>
          </w:p>
        </w:tc>
        <w:tc>
          <w:tcPr>
            <w:tcW w:w="2108" w:type="dxa"/>
            <w:vAlign w:val="center"/>
          </w:tcPr>
          <w:p>
            <w:pPr>
              <w:spacing w:line="360" w:lineRule="auto"/>
              <w:jc w:val="center"/>
              <w:rPr>
                <w:rFonts w:ascii="宋体" w:hAnsi="宋体"/>
                <w:sz w:val="24"/>
                <w:szCs w:val="24"/>
              </w:rPr>
            </w:pPr>
          </w:p>
        </w:tc>
        <w:tc>
          <w:tcPr>
            <w:tcW w:w="1554" w:type="dxa"/>
            <w:vAlign w:val="center"/>
          </w:tcPr>
          <w:p>
            <w:pPr>
              <w:spacing w:line="360" w:lineRule="auto"/>
              <w:jc w:val="center"/>
              <w:rPr>
                <w:rFonts w:ascii="宋体" w:hAnsi="宋体"/>
                <w:sz w:val="24"/>
                <w:szCs w:val="24"/>
              </w:rPr>
            </w:pPr>
          </w:p>
        </w:tc>
        <w:tc>
          <w:tcPr>
            <w:tcW w:w="1223" w:type="dxa"/>
            <w:vAlign w:val="center"/>
          </w:tcPr>
          <w:p>
            <w:pPr>
              <w:spacing w:line="360" w:lineRule="auto"/>
              <w:jc w:val="center"/>
              <w:rPr>
                <w:rFonts w:ascii="宋体" w:hAnsi="宋体"/>
                <w:sz w:val="24"/>
                <w:szCs w:val="24"/>
              </w:rPr>
            </w:pPr>
          </w:p>
        </w:tc>
        <w:tc>
          <w:tcPr>
            <w:tcW w:w="1134" w:type="dxa"/>
            <w:vAlign w:val="center"/>
          </w:tcPr>
          <w:p>
            <w:pPr>
              <w:spacing w:line="360" w:lineRule="auto"/>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9" w:hRule="atLeast"/>
          <w:jc w:val="center"/>
        </w:trPr>
        <w:tc>
          <w:tcPr>
            <w:tcW w:w="959" w:type="dxa"/>
            <w:vAlign w:val="center"/>
          </w:tcPr>
          <w:p>
            <w:pPr>
              <w:spacing w:line="360" w:lineRule="auto"/>
              <w:jc w:val="center"/>
              <w:rPr>
                <w:rFonts w:ascii="宋体" w:hAnsi="宋体"/>
                <w:sz w:val="24"/>
                <w:szCs w:val="24"/>
              </w:rPr>
            </w:pPr>
          </w:p>
        </w:tc>
        <w:tc>
          <w:tcPr>
            <w:tcW w:w="1515" w:type="dxa"/>
            <w:vAlign w:val="center"/>
          </w:tcPr>
          <w:p>
            <w:pPr>
              <w:spacing w:line="360" w:lineRule="auto"/>
              <w:jc w:val="center"/>
              <w:rPr>
                <w:rFonts w:ascii="宋体" w:hAnsi="宋体"/>
                <w:sz w:val="24"/>
                <w:szCs w:val="24"/>
              </w:rPr>
            </w:pPr>
          </w:p>
        </w:tc>
        <w:tc>
          <w:tcPr>
            <w:tcW w:w="2108" w:type="dxa"/>
            <w:vAlign w:val="center"/>
          </w:tcPr>
          <w:p>
            <w:pPr>
              <w:spacing w:line="360" w:lineRule="auto"/>
              <w:jc w:val="center"/>
              <w:rPr>
                <w:rFonts w:ascii="宋体" w:hAnsi="宋体"/>
                <w:sz w:val="24"/>
                <w:szCs w:val="24"/>
              </w:rPr>
            </w:pPr>
          </w:p>
        </w:tc>
        <w:tc>
          <w:tcPr>
            <w:tcW w:w="1554" w:type="dxa"/>
            <w:vAlign w:val="center"/>
          </w:tcPr>
          <w:p>
            <w:pPr>
              <w:spacing w:line="360" w:lineRule="auto"/>
              <w:jc w:val="center"/>
              <w:rPr>
                <w:rFonts w:ascii="宋体" w:hAnsi="宋体"/>
                <w:sz w:val="24"/>
                <w:szCs w:val="24"/>
              </w:rPr>
            </w:pPr>
          </w:p>
        </w:tc>
        <w:tc>
          <w:tcPr>
            <w:tcW w:w="1223" w:type="dxa"/>
            <w:vAlign w:val="center"/>
          </w:tcPr>
          <w:p>
            <w:pPr>
              <w:spacing w:line="360" w:lineRule="auto"/>
              <w:jc w:val="center"/>
              <w:rPr>
                <w:rFonts w:ascii="宋体" w:hAnsi="宋体"/>
                <w:sz w:val="24"/>
                <w:szCs w:val="24"/>
              </w:rPr>
            </w:pPr>
          </w:p>
        </w:tc>
        <w:tc>
          <w:tcPr>
            <w:tcW w:w="1134" w:type="dxa"/>
            <w:vAlign w:val="center"/>
          </w:tcPr>
          <w:p>
            <w:pPr>
              <w:spacing w:line="360" w:lineRule="auto"/>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9" w:hRule="atLeast"/>
          <w:jc w:val="center"/>
        </w:trPr>
        <w:tc>
          <w:tcPr>
            <w:tcW w:w="959" w:type="dxa"/>
            <w:vAlign w:val="center"/>
          </w:tcPr>
          <w:p>
            <w:pPr>
              <w:spacing w:line="360" w:lineRule="auto"/>
              <w:jc w:val="center"/>
              <w:rPr>
                <w:rFonts w:ascii="宋体" w:hAnsi="宋体"/>
                <w:sz w:val="24"/>
                <w:szCs w:val="24"/>
              </w:rPr>
            </w:pPr>
          </w:p>
        </w:tc>
        <w:tc>
          <w:tcPr>
            <w:tcW w:w="1515" w:type="dxa"/>
            <w:vAlign w:val="center"/>
          </w:tcPr>
          <w:p>
            <w:pPr>
              <w:spacing w:line="360" w:lineRule="auto"/>
              <w:jc w:val="center"/>
              <w:rPr>
                <w:rFonts w:ascii="宋体" w:hAnsi="宋体"/>
                <w:sz w:val="24"/>
                <w:szCs w:val="24"/>
              </w:rPr>
            </w:pPr>
          </w:p>
        </w:tc>
        <w:tc>
          <w:tcPr>
            <w:tcW w:w="2108" w:type="dxa"/>
            <w:vAlign w:val="center"/>
          </w:tcPr>
          <w:p>
            <w:pPr>
              <w:spacing w:line="360" w:lineRule="auto"/>
              <w:jc w:val="center"/>
              <w:rPr>
                <w:rFonts w:ascii="宋体" w:hAnsi="宋体"/>
                <w:sz w:val="24"/>
                <w:szCs w:val="24"/>
              </w:rPr>
            </w:pPr>
          </w:p>
        </w:tc>
        <w:tc>
          <w:tcPr>
            <w:tcW w:w="1554" w:type="dxa"/>
            <w:vAlign w:val="center"/>
          </w:tcPr>
          <w:p>
            <w:pPr>
              <w:spacing w:line="360" w:lineRule="auto"/>
              <w:jc w:val="center"/>
              <w:rPr>
                <w:rFonts w:ascii="宋体" w:hAnsi="宋体"/>
                <w:sz w:val="24"/>
                <w:szCs w:val="24"/>
              </w:rPr>
            </w:pPr>
          </w:p>
        </w:tc>
        <w:tc>
          <w:tcPr>
            <w:tcW w:w="1223" w:type="dxa"/>
            <w:vAlign w:val="center"/>
          </w:tcPr>
          <w:p>
            <w:pPr>
              <w:spacing w:line="360" w:lineRule="auto"/>
              <w:jc w:val="center"/>
              <w:rPr>
                <w:rFonts w:ascii="宋体" w:hAnsi="宋体"/>
                <w:sz w:val="24"/>
                <w:szCs w:val="24"/>
              </w:rPr>
            </w:pPr>
          </w:p>
        </w:tc>
        <w:tc>
          <w:tcPr>
            <w:tcW w:w="1134" w:type="dxa"/>
            <w:vAlign w:val="center"/>
          </w:tcPr>
          <w:p>
            <w:pPr>
              <w:spacing w:line="360" w:lineRule="auto"/>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9" w:hRule="atLeast"/>
          <w:jc w:val="center"/>
        </w:trPr>
        <w:tc>
          <w:tcPr>
            <w:tcW w:w="959" w:type="dxa"/>
            <w:vAlign w:val="center"/>
          </w:tcPr>
          <w:p>
            <w:pPr>
              <w:spacing w:line="360" w:lineRule="auto"/>
              <w:jc w:val="center"/>
              <w:rPr>
                <w:rFonts w:ascii="宋体" w:hAnsi="宋体"/>
                <w:sz w:val="24"/>
                <w:szCs w:val="24"/>
              </w:rPr>
            </w:pPr>
          </w:p>
        </w:tc>
        <w:tc>
          <w:tcPr>
            <w:tcW w:w="1515" w:type="dxa"/>
            <w:vAlign w:val="center"/>
          </w:tcPr>
          <w:p>
            <w:pPr>
              <w:spacing w:line="360" w:lineRule="auto"/>
              <w:jc w:val="center"/>
              <w:rPr>
                <w:rFonts w:ascii="宋体" w:hAnsi="宋体"/>
                <w:sz w:val="24"/>
                <w:szCs w:val="24"/>
              </w:rPr>
            </w:pPr>
          </w:p>
        </w:tc>
        <w:tc>
          <w:tcPr>
            <w:tcW w:w="2108" w:type="dxa"/>
            <w:vAlign w:val="center"/>
          </w:tcPr>
          <w:p>
            <w:pPr>
              <w:spacing w:line="360" w:lineRule="auto"/>
              <w:jc w:val="center"/>
              <w:rPr>
                <w:rFonts w:ascii="宋体" w:hAnsi="宋体"/>
                <w:sz w:val="24"/>
                <w:szCs w:val="24"/>
              </w:rPr>
            </w:pPr>
          </w:p>
        </w:tc>
        <w:tc>
          <w:tcPr>
            <w:tcW w:w="1554" w:type="dxa"/>
            <w:vAlign w:val="center"/>
          </w:tcPr>
          <w:p>
            <w:pPr>
              <w:spacing w:line="360" w:lineRule="auto"/>
              <w:jc w:val="center"/>
              <w:rPr>
                <w:rFonts w:ascii="宋体" w:hAnsi="宋体"/>
                <w:sz w:val="24"/>
                <w:szCs w:val="24"/>
              </w:rPr>
            </w:pPr>
          </w:p>
        </w:tc>
        <w:tc>
          <w:tcPr>
            <w:tcW w:w="1223" w:type="dxa"/>
            <w:vAlign w:val="center"/>
          </w:tcPr>
          <w:p>
            <w:pPr>
              <w:spacing w:line="360" w:lineRule="auto"/>
              <w:jc w:val="center"/>
              <w:rPr>
                <w:rFonts w:ascii="宋体" w:hAnsi="宋体"/>
                <w:sz w:val="24"/>
                <w:szCs w:val="24"/>
              </w:rPr>
            </w:pPr>
          </w:p>
        </w:tc>
        <w:tc>
          <w:tcPr>
            <w:tcW w:w="1134" w:type="dxa"/>
            <w:vAlign w:val="center"/>
          </w:tcPr>
          <w:p>
            <w:pPr>
              <w:spacing w:line="360" w:lineRule="auto"/>
              <w:jc w:val="center"/>
              <w:rPr>
                <w:rFonts w:ascii="宋体" w:hAnsi="宋体"/>
                <w:sz w:val="24"/>
                <w:szCs w:val="24"/>
              </w:rPr>
            </w:pPr>
          </w:p>
        </w:tc>
      </w:tr>
    </w:tbl>
    <w:p>
      <w:pPr>
        <w:spacing w:line="360" w:lineRule="auto"/>
        <w:rPr>
          <w:rFonts w:ascii="宋体"/>
          <w:sz w:val="24"/>
          <w:szCs w:val="24"/>
        </w:rPr>
      </w:pPr>
      <w:r>
        <w:rPr>
          <w:rFonts w:hint="eastAsia" w:ascii="宋体"/>
          <w:bCs/>
          <w:sz w:val="24"/>
          <w:szCs w:val="24"/>
        </w:rPr>
        <w:t>备注：</w:t>
      </w:r>
      <w:r>
        <w:rPr>
          <w:rFonts w:hint="eastAsia" w:ascii="宋体" w:hAnsi="宋体"/>
          <w:sz w:val="24"/>
          <w:szCs w:val="24"/>
        </w:rPr>
        <w:t>拟派本项目服务人员由供应商自行确定，但应能够满足本项目的基本需求；</w:t>
      </w:r>
      <w:r>
        <w:rPr>
          <w:rFonts w:hint="eastAsia" w:ascii="宋体"/>
          <w:sz w:val="24"/>
          <w:szCs w:val="24"/>
        </w:rPr>
        <w:t>服务人员须持有相关证书，并提供</w:t>
      </w:r>
      <w:r>
        <w:rPr>
          <w:rFonts w:hint="eastAsia" w:ascii="宋体" w:hAnsi="宋体" w:eastAsia="宋体" w:cs="Times New Roman"/>
          <w:sz w:val="24"/>
          <w:szCs w:val="24"/>
        </w:rPr>
        <w:t>社保机构出具的开标前6个月内任意1个月供应商为其缴纳的社保证明等</w:t>
      </w:r>
      <w:r>
        <w:rPr>
          <w:rFonts w:hint="eastAsia" w:ascii="宋体"/>
          <w:sz w:val="24"/>
          <w:szCs w:val="24"/>
        </w:rPr>
        <w:t>相关</w:t>
      </w:r>
      <w:r>
        <w:rPr>
          <w:rFonts w:hint="eastAsia" w:ascii="宋体"/>
          <w:bCs/>
          <w:sz w:val="24"/>
          <w:szCs w:val="24"/>
        </w:rPr>
        <w:t>材料</w:t>
      </w:r>
    </w:p>
    <w:p>
      <w:pPr>
        <w:tabs>
          <w:tab w:val="center" w:pos="4832"/>
          <w:tab w:val="left" w:pos="7140"/>
        </w:tabs>
        <w:spacing w:line="360" w:lineRule="auto"/>
        <w:jc w:val="center"/>
        <w:outlineLvl w:val="1"/>
        <w:rPr>
          <w:rFonts w:ascii="宋体"/>
          <w:b/>
          <w:sz w:val="24"/>
          <w:szCs w:val="24"/>
        </w:rPr>
      </w:pPr>
      <w:r>
        <w:rPr>
          <w:rFonts w:ascii="宋体"/>
          <w:sz w:val="24"/>
          <w:szCs w:val="24"/>
        </w:rPr>
        <w:br w:type="page"/>
      </w:r>
      <w:bookmarkStart w:id="128" w:name="_Toc104243935"/>
      <w:bookmarkStart w:id="129" w:name="_Toc533503193"/>
      <w:bookmarkStart w:id="130" w:name="_Toc103717606"/>
      <w:bookmarkStart w:id="131" w:name="_Toc38446482"/>
      <w:bookmarkStart w:id="132" w:name="_Toc507586177"/>
      <w:r>
        <w:rPr>
          <w:rFonts w:hint="eastAsia" w:ascii="宋体" w:hAnsi="宋体"/>
          <w:b/>
          <w:bCs/>
          <w:sz w:val="24"/>
          <w:szCs w:val="24"/>
        </w:rPr>
        <w:t>十、服务方案</w:t>
      </w:r>
      <w:bookmarkEnd w:id="128"/>
      <w:bookmarkEnd w:id="129"/>
      <w:bookmarkEnd w:id="130"/>
      <w:bookmarkEnd w:id="131"/>
      <w:bookmarkEnd w:id="132"/>
    </w:p>
    <w:p>
      <w:pPr>
        <w:spacing w:line="360" w:lineRule="auto"/>
        <w:ind w:firstLine="480" w:firstLineChars="200"/>
        <w:rPr>
          <w:rFonts w:ascii="宋体" w:hAnsi="宋体"/>
          <w:sz w:val="24"/>
          <w:szCs w:val="24"/>
        </w:rPr>
      </w:pPr>
      <w:r>
        <w:rPr>
          <w:rFonts w:hint="eastAsia" w:ascii="宋体" w:hAnsi="宋体"/>
          <w:bCs/>
          <w:sz w:val="24"/>
          <w:szCs w:val="24"/>
        </w:rPr>
        <w:t>供应商须提交拟完成本项目的服务方案，服务方案的格式和内容由供应商根据本项目的具体情况</w:t>
      </w:r>
      <w:r>
        <w:rPr>
          <w:rFonts w:hint="eastAsia" w:ascii="宋体" w:hAnsi="宋体"/>
          <w:sz w:val="24"/>
          <w:szCs w:val="24"/>
        </w:rPr>
        <w:t>自行拟定。</w:t>
      </w:r>
    </w:p>
    <w:p>
      <w:pPr>
        <w:pStyle w:val="2"/>
        <w:ind w:firstLine="480"/>
        <w:rPr>
          <w:rFonts w:ascii="宋体" w:hAnsi="宋体"/>
          <w:bCs/>
          <w:szCs w:val="24"/>
        </w:rPr>
      </w:pPr>
      <w:r>
        <w:rPr>
          <w:rFonts w:hint="eastAsia" w:ascii="宋体" w:hAnsi="宋体"/>
          <w:szCs w:val="24"/>
        </w:rPr>
        <w:t>注：主要内容应包含：</w:t>
      </w:r>
      <w:r>
        <w:rPr>
          <w:rFonts w:hint="eastAsia" w:ascii="宋体" w:hAnsi="宋体" w:cs="宋体"/>
          <w:szCs w:val="24"/>
          <w:lang w:bidi="ar"/>
        </w:rPr>
        <w:t>技术服务内容响应、需求理解分析、项目建设方案、项目管理方案、</w:t>
      </w:r>
      <w:r>
        <w:rPr>
          <w:rFonts w:hint="eastAsia" w:ascii="宋体" w:hAnsi="宋体" w:cs="宋体"/>
          <w:szCs w:val="24"/>
        </w:rPr>
        <w:t>安全服务方案、项目服务质量保障、</w:t>
      </w:r>
      <w:r>
        <w:rPr>
          <w:rFonts w:hint="eastAsia" w:cs="宋体"/>
          <w:szCs w:val="24"/>
        </w:rPr>
        <w:t>应急预案、</w:t>
      </w:r>
      <w:r>
        <w:rPr>
          <w:rFonts w:hint="eastAsia" w:ascii="宋体" w:hAnsi="宋体" w:cs="宋体"/>
          <w:szCs w:val="24"/>
          <w:lang w:bidi="ar"/>
        </w:rPr>
        <w:t>培训服务方案、服务响应能力、</w:t>
      </w:r>
    </w:p>
    <w:p>
      <w:pPr>
        <w:widowControl/>
        <w:spacing w:line="360" w:lineRule="auto"/>
        <w:jc w:val="left"/>
        <w:rPr>
          <w:rFonts w:ascii="宋体" w:hAnsi="宋体" w:eastAsia="宋体"/>
          <w:bCs/>
          <w:sz w:val="24"/>
          <w:szCs w:val="24"/>
        </w:rPr>
      </w:pPr>
      <w:r>
        <w:rPr>
          <w:rFonts w:hint="eastAsia" w:ascii="宋体" w:hAnsi="宋体" w:eastAsia="宋体" w:cs="宋体"/>
          <w:kern w:val="0"/>
          <w:sz w:val="24"/>
          <w:szCs w:val="24"/>
          <w:lang w:bidi="ar"/>
        </w:rPr>
        <w:t>售后服务等</w:t>
      </w:r>
    </w:p>
    <w:p>
      <w:pPr>
        <w:widowControl/>
        <w:jc w:val="left"/>
        <w:rPr>
          <w:rFonts w:ascii="仿宋_GB2312" w:hAnsi="宋体" w:eastAsia="仿宋_GB2312" w:cs="宋体"/>
          <w:kern w:val="0"/>
          <w:sz w:val="32"/>
          <w:szCs w:val="32"/>
          <w:lang w:val="zh-CN"/>
        </w:rPr>
      </w:pPr>
      <w:bookmarkStart w:id="133" w:name="_Toc533503194"/>
      <w:bookmarkStart w:id="134" w:name="_Toc507586178"/>
      <w:bookmarkStart w:id="135" w:name="_Toc38446484"/>
    </w:p>
    <w:p>
      <w:pPr>
        <w:spacing w:line="560" w:lineRule="exact"/>
        <w:jc w:val="center"/>
        <w:outlineLvl w:val="1"/>
        <w:rPr>
          <w:rFonts w:ascii="宋体" w:hAnsi="宋体"/>
          <w:b/>
          <w:sz w:val="24"/>
          <w:szCs w:val="24"/>
        </w:rPr>
      </w:pPr>
      <w:bookmarkStart w:id="136" w:name="_Toc103717607"/>
      <w:bookmarkStart w:id="137" w:name="_Toc104243936"/>
      <w:r>
        <w:rPr>
          <w:rFonts w:hint="eastAsia" w:ascii="宋体" w:hAnsi="宋体"/>
          <w:b/>
          <w:sz w:val="24"/>
          <w:szCs w:val="24"/>
        </w:rPr>
        <w:t>十一、其他需要提交的资料</w:t>
      </w:r>
      <w:bookmarkEnd w:id="133"/>
      <w:bookmarkEnd w:id="134"/>
      <w:bookmarkEnd w:id="135"/>
      <w:bookmarkEnd w:id="136"/>
      <w:bookmarkEnd w:id="137"/>
    </w:p>
    <w:p>
      <w:pPr>
        <w:spacing w:line="360" w:lineRule="auto"/>
        <w:ind w:firstLine="480" w:firstLineChars="200"/>
        <w:jc w:val="center"/>
      </w:pPr>
      <w:r>
        <w:rPr>
          <w:rFonts w:hint="eastAsia" w:ascii="宋体" w:hAnsi="宋体"/>
          <w:sz w:val="24"/>
          <w:szCs w:val="24"/>
        </w:rPr>
        <w:t>根据</w:t>
      </w:r>
      <w:r>
        <w:rPr>
          <w:rFonts w:hint="eastAsia" w:ascii="宋体" w:hAnsi="宋体"/>
          <w:sz w:val="24"/>
          <w:szCs w:val="24"/>
          <w:lang w:eastAsia="zh-CN"/>
        </w:rPr>
        <w:t>竞争性磋商文件</w:t>
      </w:r>
      <w:r>
        <w:rPr>
          <w:rFonts w:hint="eastAsia" w:ascii="宋体" w:hAnsi="宋体"/>
          <w:sz w:val="24"/>
          <w:szCs w:val="24"/>
        </w:rPr>
        <w:t>的要求和供应商认为需要提供的资料</w:t>
      </w:r>
    </w:p>
    <w:p>
      <w:pPr>
        <w:widowControl/>
        <w:jc w:val="left"/>
      </w:pPr>
      <w:r>
        <w:br w:type="page"/>
      </w:r>
    </w:p>
    <w:p>
      <w:pPr>
        <w:spacing w:line="440" w:lineRule="exact"/>
        <w:jc w:val="center"/>
        <w:outlineLvl w:val="0"/>
        <w:rPr>
          <w:rFonts w:ascii="宋体" w:hAnsi="宋体" w:cs="宋体"/>
          <w:b/>
          <w:sz w:val="24"/>
          <w:szCs w:val="24"/>
        </w:rPr>
      </w:pPr>
      <w:bookmarkStart w:id="138" w:name="_Toc60925660"/>
      <w:bookmarkStart w:id="139" w:name="_Toc103717608"/>
      <w:bookmarkStart w:id="140" w:name="_Toc104243937"/>
      <w:bookmarkStart w:id="141" w:name="_Toc77455658"/>
      <w:r>
        <w:rPr>
          <w:rFonts w:hint="eastAsia" w:ascii="宋体" w:hAnsi="宋体" w:cs="宋体"/>
          <w:b/>
          <w:sz w:val="24"/>
          <w:szCs w:val="24"/>
        </w:rPr>
        <w:t>第六章</w:t>
      </w:r>
      <w:r>
        <w:rPr>
          <w:rFonts w:ascii="宋体" w:hAnsi="宋体" w:cs="宋体"/>
          <w:b/>
          <w:sz w:val="24"/>
          <w:szCs w:val="24"/>
        </w:rPr>
        <w:t xml:space="preserve"> </w:t>
      </w:r>
      <w:r>
        <w:rPr>
          <w:rFonts w:hint="eastAsia" w:ascii="宋体" w:hAnsi="宋体" w:cs="宋体"/>
          <w:b/>
          <w:sz w:val="24"/>
          <w:szCs w:val="24"/>
        </w:rPr>
        <w:t>补充条款</w:t>
      </w:r>
      <w:bookmarkEnd w:id="138"/>
      <w:bookmarkEnd w:id="139"/>
      <w:bookmarkEnd w:id="140"/>
      <w:bookmarkEnd w:id="141"/>
    </w:p>
    <w:p/>
    <w:p/>
    <w:p>
      <w:pPr>
        <w:widowControl/>
        <w:jc w:val="left"/>
      </w:pPr>
    </w:p>
    <w:p>
      <w:pPr>
        <w:widowControl/>
        <w:jc w:val="left"/>
      </w:pPr>
    </w:p>
    <w:p/>
    <w:sectPr>
      <w:headerReference r:id="rId8" w:type="default"/>
      <w:footerReference r:id="rId9" w:type="default"/>
      <w:pgSz w:w="11906" w:h="16838"/>
      <w:pgMar w:top="1134" w:right="1418" w:bottom="1134" w:left="1418" w:header="851" w:footer="992" w:gutter="0"/>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
    <w:altName w:val="Times New Roman"/>
    <w:panose1 w:val="00000000000000000000"/>
    <w:charset w:val="00"/>
    <w:family w:val="auto"/>
    <w:pitch w:val="default"/>
    <w:sig w:usb0="00000000" w:usb1="00000000" w:usb2="00000000" w:usb3="00000000" w:csb0="00000001" w:csb1="00000000"/>
  </w:font>
  <w:font w:name="??">
    <w:altName w:val="Times New Roman"/>
    <w:panose1 w:val="00000000000000000000"/>
    <w:charset w:val="00"/>
    <w:family w:val="roman"/>
    <w:pitch w:val="default"/>
    <w:sig w:usb0="00000000" w:usb1="00000000" w:usb2="00000000" w:usb3="00000000" w:csb0="00000001"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2FF" w:usb1="400004FF" w:usb2="00000000" w:usb3="00000000" w:csb0="2000019F" w:csb1="00000000"/>
  </w:font>
  <w:font w:name="monospace">
    <w:altName w:val="Courier New"/>
    <w:panose1 w:val="00000000000000000000"/>
    <w:charset w:val="00"/>
    <w:family w:val="auto"/>
    <w:pitch w:val="default"/>
    <w:sig w:usb0="00000000" w:usb1="00000000" w:usb2="00000000" w:usb3="00000000" w:csb0="00040001" w:csb1="00000000"/>
  </w:font>
  <w:font w:name="Trebuchet MS">
    <w:panose1 w:val="020B0603020202020204"/>
    <w:charset w:val="00"/>
    <w:family w:val="swiss"/>
    <w:pitch w:val="default"/>
    <w:sig w:usb0="00000687" w:usb1="00000000" w:usb2="00000000" w:usb3="00000000" w:csb0="2000009F" w:csb1="00000000"/>
  </w:font>
  <w:font w:name="方正仿宋简体">
    <w:altName w:val="宋体"/>
    <w:panose1 w:val="00000000000000000000"/>
    <w:charset w:val="86"/>
    <w:family w:val="auto"/>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仿宋_GB2312">
    <w:altName w:val="仿宋"/>
    <w:panose1 w:val="02010609030101010101"/>
    <w:charset w:val="86"/>
    <w:family w:val="modern"/>
    <w:pitch w:val="default"/>
    <w:sig w:usb0="00000000" w:usb1="00000000" w:usb2="00000010" w:usb3="00000000" w:csb0="00040000" w:csb1="00000000"/>
  </w:font>
  <w:font w:name="Verdana">
    <w:panose1 w:val="020B0604030504040204"/>
    <w:charset w:val="00"/>
    <w:family w:val="swiss"/>
    <w:pitch w:val="default"/>
    <w:sig w:usb0="A10006FF" w:usb1="4000205B" w:usb2="00000010" w:usb3="00000000" w:csb0="2000019F" w:csb1="00000000"/>
  </w:font>
  <w:font w:name="微软雅黑">
    <w:panose1 w:val="020B0503020204020204"/>
    <w:charset w:val="86"/>
    <w:family w:val="swiss"/>
    <w:pitch w:val="default"/>
    <w:sig w:usb0="80000287" w:usb1="28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ind w:right="90"/>
      <w:jc w:val="right"/>
    </w:pPr>
  </w:p>
  <w:p>
    <w:pPr>
      <w:pStyle w:val="2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framePr w:wrap="around" w:vAnchor="text" w:hAnchor="margin" w:xAlign="center" w:y="1"/>
      <w:rPr>
        <w:rStyle w:val="42"/>
      </w:rPr>
    </w:pPr>
    <w:r>
      <w:rPr>
        <w:rStyle w:val="42"/>
      </w:rPr>
      <w:fldChar w:fldCharType="begin"/>
    </w:r>
    <w:r>
      <w:rPr>
        <w:rStyle w:val="42"/>
      </w:rPr>
      <w:instrText xml:space="preserve">PAGE  </w:instrText>
    </w:r>
    <w:r>
      <w:rPr>
        <w:rStyle w:val="42"/>
      </w:rPr>
      <w:fldChar w:fldCharType="separate"/>
    </w:r>
    <w:r>
      <w:rPr>
        <w:rStyle w:val="42"/>
      </w:rPr>
      <w:t>68</w:t>
    </w:r>
    <w:r>
      <w:rPr>
        <w:rStyle w:val="42"/>
      </w:rPr>
      <w:fldChar w:fldCharType="end"/>
    </w:r>
  </w:p>
  <w:p>
    <w:pPr>
      <w:pStyle w:val="2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ind w:right="360"/>
      <w:jc w:val="center"/>
      <w:rPr>
        <w:rFonts w:ascii="宋体" w:hAnsi="宋体"/>
        <w:sz w:val="21"/>
        <w:szCs w:val="30"/>
      </w:rPr>
    </w:pPr>
    <w:r>
      <w:rPr>
        <w:rFonts w:ascii="宋体" w:hAnsi="宋体"/>
        <w:sz w:val="21"/>
        <w:szCs w:val="30"/>
      </w:rPr>
      <w:fldChar w:fldCharType="begin"/>
    </w:r>
    <w:r>
      <w:rPr>
        <w:rFonts w:ascii="宋体" w:hAnsi="宋体"/>
        <w:sz w:val="21"/>
        <w:szCs w:val="30"/>
      </w:rPr>
      <w:instrText xml:space="preserve">PAGE   \* MERGEFORMAT</w:instrText>
    </w:r>
    <w:r>
      <w:rPr>
        <w:rFonts w:ascii="宋体" w:hAnsi="宋体"/>
        <w:sz w:val="21"/>
        <w:szCs w:val="30"/>
      </w:rPr>
      <w:fldChar w:fldCharType="separate"/>
    </w:r>
    <w:r>
      <w:rPr>
        <w:rFonts w:ascii="宋体" w:hAnsi="宋体"/>
        <w:sz w:val="21"/>
        <w:szCs w:val="30"/>
        <w:lang w:val="zh-CN"/>
      </w:rPr>
      <w:t>40</w:t>
    </w:r>
    <w:r>
      <w:rPr>
        <w:rFonts w:ascii="宋体" w:hAnsi="宋体"/>
        <w:sz w:val="21"/>
        <w:szCs w:val="30"/>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sz w:val="11"/>
      </w:rPr>
      <w:id w:val="-367532114"/>
    </w:sdtPr>
    <w:sdtEndPr>
      <w:rPr>
        <w:rFonts w:asciiTheme="minorEastAsia" w:hAnsiTheme="minorEastAsia" w:eastAsiaTheme="minorEastAsia"/>
        <w:sz w:val="21"/>
        <w:szCs w:val="30"/>
      </w:rPr>
    </w:sdtEndPr>
    <w:sdtContent>
      <w:p>
        <w:pPr>
          <w:pStyle w:val="22"/>
          <w:ind w:right="360"/>
          <w:jc w:val="center"/>
          <w:rPr>
            <w:rFonts w:asciiTheme="minorEastAsia" w:hAnsiTheme="minorEastAsia" w:eastAsiaTheme="minorEastAsia"/>
            <w:sz w:val="21"/>
            <w:szCs w:val="30"/>
          </w:rPr>
        </w:pPr>
        <w:r>
          <w:rPr>
            <w:rFonts w:asciiTheme="minorEastAsia" w:hAnsiTheme="minorEastAsia" w:eastAsiaTheme="minorEastAsia"/>
            <w:sz w:val="21"/>
            <w:szCs w:val="30"/>
          </w:rPr>
          <w:fldChar w:fldCharType="begin"/>
        </w:r>
        <w:r>
          <w:rPr>
            <w:rFonts w:asciiTheme="minorEastAsia" w:hAnsiTheme="minorEastAsia" w:eastAsiaTheme="minorEastAsia"/>
            <w:sz w:val="21"/>
            <w:szCs w:val="30"/>
          </w:rPr>
          <w:instrText xml:space="preserve">PAGE   \* MERGEFORMAT</w:instrText>
        </w:r>
        <w:r>
          <w:rPr>
            <w:rFonts w:asciiTheme="minorEastAsia" w:hAnsiTheme="minorEastAsia" w:eastAsiaTheme="minorEastAsia"/>
            <w:sz w:val="21"/>
            <w:szCs w:val="30"/>
          </w:rPr>
          <w:fldChar w:fldCharType="separate"/>
        </w:r>
        <w:r>
          <w:rPr>
            <w:rFonts w:asciiTheme="minorEastAsia" w:hAnsiTheme="minorEastAsia" w:eastAsiaTheme="minorEastAsia"/>
            <w:sz w:val="21"/>
            <w:szCs w:val="30"/>
            <w:lang w:val="zh-CN"/>
          </w:rPr>
          <w:t>48</w:t>
        </w:r>
        <w:r>
          <w:rPr>
            <w:rFonts w:asciiTheme="minorEastAsia" w:hAnsiTheme="minorEastAsia" w:eastAsiaTheme="minorEastAsia"/>
            <w:sz w:val="21"/>
            <w:szCs w:val="30"/>
          </w:rPr>
          <w:fldChar w:fldCharType="end"/>
        </w:r>
      </w:p>
    </w:sdtContent>
  </w:sdt>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Bdr>
        <w:bottom w:val="none" w:color="auto" w:sz="0" w:space="0"/>
      </w:pBdr>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Bdr>
        <w:bottom w:val="none" w:color="auto" w:sz="0" w:space="0"/>
      </w:pBdr>
      <w:jc w:val="both"/>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Bdr>
        <w:bottom w:val="none" w:color="auto" w:sz="0" w:space="0"/>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29B8499"/>
    <w:multiLevelType w:val="singleLevel"/>
    <w:tmpl w:val="829B8499"/>
    <w:lvl w:ilvl="0" w:tentative="0">
      <w:start w:val="1"/>
      <w:numFmt w:val="decimal"/>
      <w:lvlText w:val="%1."/>
      <w:lvlJc w:val="left"/>
      <w:pPr>
        <w:tabs>
          <w:tab w:val="left" w:pos="312"/>
        </w:tabs>
      </w:pPr>
      <w:rPr>
        <w:rFonts w:hint="default"/>
        <w:b w:val="0"/>
        <w:bCs w:val="0"/>
      </w:rPr>
    </w:lvl>
  </w:abstractNum>
  <w:abstractNum w:abstractNumId="1">
    <w:nsid w:val="85E9F8C7"/>
    <w:multiLevelType w:val="multilevel"/>
    <w:tmpl w:val="85E9F8C7"/>
    <w:lvl w:ilvl="0" w:tentative="0">
      <w:start w:val="1"/>
      <w:numFmt w:val="decimal"/>
      <w:suff w:val="nothing"/>
      <w:lvlText w:val="%1、"/>
      <w:lvlJc w:val="left"/>
      <w:pPr>
        <w:ind w:left="0" w:firstLine="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
    <w:nsid w:val="AE28EBD0"/>
    <w:multiLevelType w:val="singleLevel"/>
    <w:tmpl w:val="AE28EBD0"/>
    <w:lvl w:ilvl="0" w:tentative="0">
      <w:start w:val="1"/>
      <w:numFmt w:val="decimal"/>
      <w:lvlText w:val="%1."/>
      <w:lvlJc w:val="left"/>
      <w:pPr>
        <w:tabs>
          <w:tab w:val="left" w:pos="312"/>
        </w:tabs>
      </w:pPr>
      <w:rPr>
        <w:rFonts w:hint="default"/>
        <w:b w:val="0"/>
        <w:bCs w:val="0"/>
      </w:rPr>
    </w:lvl>
  </w:abstractNum>
  <w:abstractNum w:abstractNumId="3">
    <w:nsid w:val="CE04AE1D"/>
    <w:multiLevelType w:val="singleLevel"/>
    <w:tmpl w:val="CE04AE1D"/>
    <w:lvl w:ilvl="0" w:tentative="0">
      <w:start w:val="1"/>
      <w:numFmt w:val="decimal"/>
      <w:lvlText w:val="%1."/>
      <w:lvlJc w:val="left"/>
      <w:pPr>
        <w:tabs>
          <w:tab w:val="left" w:pos="312"/>
        </w:tabs>
      </w:pPr>
      <w:rPr>
        <w:rFonts w:hint="default"/>
        <w:b w:val="0"/>
        <w:bCs w:val="0"/>
      </w:rPr>
    </w:lvl>
  </w:abstractNum>
  <w:abstractNum w:abstractNumId="4">
    <w:nsid w:val="EECA4A31"/>
    <w:multiLevelType w:val="singleLevel"/>
    <w:tmpl w:val="EECA4A31"/>
    <w:lvl w:ilvl="0" w:tentative="0">
      <w:start w:val="1"/>
      <w:numFmt w:val="decimal"/>
      <w:lvlText w:val="%1."/>
      <w:lvlJc w:val="left"/>
      <w:pPr>
        <w:tabs>
          <w:tab w:val="left" w:pos="312"/>
        </w:tabs>
      </w:pPr>
      <w:rPr>
        <w:rFonts w:hint="default"/>
        <w:b w:val="0"/>
        <w:bCs w:val="0"/>
      </w:rPr>
    </w:lvl>
  </w:abstractNum>
  <w:abstractNum w:abstractNumId="5">
    <w:nsid w:val="F101B6F3"/>
    <w:multiLevelType w:val="multilevel"/>
    <w:tmpl w:val="F101B6F3"/>
    <w:lvl w:ilvl="0" w:tentative="0">
      <w:start w:val="1"/>
      <w:numFmt w:val="decimal"/>
      <w:suff w:val="nothing"/>
      <w:lvlText w:val="（%1）"/>
      <w:lvlJc w:val="left"/>
      <w:pPr>
        <w:ind w:left="0" w:firstLine="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6">
    <w:nsid w:val="1CA25424"/>
    <w:multiLevelType w:val="singleLevel"/>
    <w:tmpl w:val="1CA25424"/>
    <w:lvl w:ilvl="0" w:tentative="0">
      <w:start w:val="1"/>
      <w:numFmt w:val="decimal"/>
      <w:lvlText w:val="%1."/>
      <w:lvlJc w:val="left"/>
      <w:pPr>
        <w:tabs>
          <w:tab w:val="left" w:pos="312"/>
        </w:tabs>
      </w:pPr>
      <w:rPr>
        <w:rFonts w:hint="default" w:ascii="Times New Roman" w:hAnsi="Times New Roman" w:cs="Times New Roman"/>
        <w:b w:val="0"/>
        <w:bCs w:val="0"/>
      </w:rPr>
    </w:lvl>
  </w:abstractNum>
  <w:abstractNum w:abstractNumId="7">
    <w:nsid w:val="2F4A75BA"/>
    <w:multiLevelType w:val="multilevel"/>
    <w:tmpl w:val="2F4A75BA"/>
    <w:lvl w:ilvl="0" w:tentative="0">
      <w:start w:val="1"/>
      <w:numFmt w:val="decimal"/>
      <w:suff w:val="nothing"/>
      <w:lvlText w:val="（%1）"/>
      <w:lvlJc w:val="left"/>
      <w:pPr>
        <w:ind w:left="0" w:firstLine="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8">
    <w:nsid w:val="31DA0DF6"/>
    <w:multiLevelType w:val="singleLevel"/>
    <w:tmpl w:val="31DA0DF6"/>
    <w:lvl w:ilvl="0" w:tentative="0">
      <w:start w:val="1"/>
      <w:numFmt w:val="decimal"/>
      <w:suff w:val="nothing"/>
      <w:lvlText w:val="%1、"/>
      <w:lvlJc w:val="left"/>
    </w:lvl>
  </w:abstractNum>
  <w:abstractNum w:abstractNumId="9">
    <w:nsid w:val="3B541229"/>
    <w:multiLevelType w:val="singleLevel"/>
    <w:tmpl w:val="3B541229"/>
    <w:lvl w:ilvl="0" w:tentative="0">
      <w:start w:val="1"/>
      <w:numFmt w:val="decimal"/>
      <w:lvlText w:val="%1."/>
      <w:lvlJc w:val="left"/>
      <w:pPr>
        <w:tabs>
          <w:tab w:val="left" w:pos="312"/>
        </w:tabs>
      </w:pPr>
    </w:lvl>
  </w:abstractNum>
  <w:abstractNum w:abstractNumId="10">
    <w:nsid w:val="4E217A1C"/>
    <w:multiLevelType w:val="singleLevel"/>
    <w:tmpl w:val="4E217A1C"/>
    <w:lvl w:ilvl="0" w:tentative="0">
      <w:start w:val="1"/>
      <w:numFmt w:val="decimal"/>
      <w:suff w:val="nothing"/>
      <w:lvlText w:val="（%1）"/>
      <w:lvlJc w:val="left"/>
      <w:rPr>
        <w:rFonts w:hint="default"/>
        <w:b w:val="0"/>
        <w:bCs w:val="0"/>
        <w:sz w:val="20"/>
        <w:szCs w:val="20"/>
      </w:rPr>
    </w:lvl>
  </w:abstractNum>
  <w:abstractNum w:abstractNumId="11">
    <w:nsid w:val="58A56851"/>
    <w:multiLevelType w:val="multilevel"/>
    <w:tmpl w:val="58A56851"/>
    <w:lvl w:ilvl="0" w:tentative="0">
      <w:start w:val="3"/>
      <w:numFmt w:val="decimal"/>
      <w:lvlText w:val="%1"/>
      <w:lvlJc w:val="left"/>
      <w:pPr>
        <w:ind w:left="360" w:hanging="360"/>
      </w:pPr>
      <w:rPr>
        <w:rFonts w:hint="default" w:hAnsi="宋体"/>
      </w:rPr>
    </w:lvl>
    <w:lvl w:ilvl="1" w:tentative="0">
      <w:start w:val="1"/>
      <w:numFmt w:val="decimal"/>
      <w:lvlText w:val="%1.%2"/>
      <w:lvlJc w:val="left"/>
      <w:pPr>
        <w:ind w:left="1069" w:hanging="360"/>
      </w:pPr>
      <w:rPr>
        <w:rFonts w:hint="default" w:hAnsi="宋体"/>
      </w:rPr>
    </w:lvl>
    <w:lvl w:ilvl="2" w:tentative="0">
      <w:start w:val="1"/>
      <w:numFmt w:val="decimal"/>
      <w:lvlText w:val="%1.%2.%3"/>
      <w:lvlJc w:val="left"/>
      <w:pPr>
        <w:ind w:left="1680" w:hanging="720"/>
      </w:pPr>
      <w:rPr>
        <w:rFonts w:hint="default" w:hAnsi="宋体"/>
      </w:rPr>
    </w:lvl>
    <w:lvl w:ilvl="3" w:tentative="0">
      <w:start w:val="1"/>
      <w:numFmt w:val="decimal"/>
      <w:lvlText w:val="%1.%2.%3.%4"/>
      <w:lvlJc w:val="left"/>
      <w:pPr>
        <w:ind w:left="2520" w:hanging="1080"/>
      </w:pPr>
      <w:rPr>
        <w:rFonts w:hint="default" w:hAnsi="宋体"/>
      </w:rPr>
    </w:lvl>
    <w:lvl w:ilvl="4" w:tentative="0">
      <w:start w:val="1"/>
      <w:numFmt w:val="decimal"/>
      <w:lvlText w:val="%1.%2.%3.%4.%5"/>
      <w:lvlJc w:val="left"/>
      <w:pPr>
        <w:ind w:left="3000" w:hanging="1080"/>
      </w:pPr>
      <w:rPr>
        <w:rFonts w:hint="default" w:hAnsi="宋体"/>
      </w:rPr>
    </w:lvl>
    <w:lvl w:ilvl="5" w:tentative="0">
      <w:start w:val="1"/>
      <w:numFmt w:val="decimal"/>
      <w:lvlText w:val="%1.%2.%3.%4.%5.%6"/>
      <w:lvlJc w:val="left"/>
      <w:pPr>
        <w:ind w:left="3840" w:hanging="1440"/>
      </w:pPr>
      <w:rPr>
        <w:rFonts w:hint="default" w:hAnsi="宋体"/>
      </w:rPr>
    </w:lvl>
    <w:lvl w:ilvl="6" w:tentative="0">
      <w:start w:val="1"/>
      <w:numFmt w:val="decimal"/>
      <w:lvlText w:val="%1.%2.%3.%4.%5.%6.%7"/>
      <w:lvlJc w:val="left"/>
      <w:pPr>
        <w:ind w:left="4680" w:hanging="1800"/>
      </w:pPr>
      <w:rPr>
        <w:rFonts w:hint="default" w:hAnsi="宋体"/>
      </w:rPr>
    </w:lvl>
    <w:lvl w:ilvl="7" w:tentative="0">
      <w:start w:val="1"/>
      <w:numFmt w:val="decimal"/>
      <w:lvlText w:val="%1.%2.%3.%4.%5.%6.%7.%8"/>
      <w:lvlJc w:val="left"/>
      <w:pPr>
        <w:ind w:left="5160" w:hanging="1800"/>
      </w:pPr>
      <w:rPr>
        <w:rFonts w:hint="default" w:hAnsi="宋体"/>
      </w:rPr>
    </w:lvl>
    <w:lvl w:ilvl="8" w:tentative="0">
      <w:start w:val="1"/>
      <w:numFmt w:val="decimal"/>
      <w:lvlText w:val="%1.%2.%3.%4.%5.%6.%7.%8.%9"/>
      <w:lvlJc w:val="left"/>
      <w:pPr>
        <w:ind w:left="6000" w:hanging="2160"/>
      </w:pPr>
      <w:rPr>
        <w:rFonts w:hint="default" w:hAnsi="宋体"/>
      </w:rPr>
    </w:lvl>
  </w:abstractNum>
  <w:abstractNum w:abstractNumId="12">
    <w:nsid w:val="597E6A21"/>
    <w:multiLevelType w:val="singleLevel"/>
    <w:tmpl w:val="597E6A21"/>
    <w:lvl w:ilvl="0" w:tentative="0">
      <w:start w:val="2"/>
      <w:numFmt w:val="chineseCounting"/>
      <w:suff w:val="nothing"/>
      <w:lvlText w:val="（%1）"/>
      <w:lvlJc w:val="left"/>
      <w:rPr>
        <w:rFonts w:hint="eastAsia"/>
      </w:rPr>
    </w:lvl>
  </w:abstractNum>
  <w:abstractNum w:abstractNumId="13">
    <w:nsid w:val="67840C14"/>
    <w:multiLevelType w:val="multilevel"/>
    <w:tmpl w:val="67840C14"/>
    <w:lvl w:ilvl="0" w:tentative="0">
      <w:start w:val="1"/>
      <w:numFmt w:val="decimal"/>
      <w:suff w:val="nothing"/>
      <w:lvlText w:val="（%1）"/>
      <w:lvlJc w:val="left"/>
      <w:pPr>
        <w:ind w:left="0" w:firstLine="0"/>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8"/>
  </w:num>
  <w:num w:numId="2">
    <w:abstractNumId w:val="11"/>
  </w:num>
  <w:num w:numId="3">
    <w:abstractNumId w:val="12"/>
  </w:num>
  <w:num w:numId="4">
    <w:abstractNumId w:val="9"/>
  </w:num>
  <w:num w:numId="5">
    <w:abstractNumId w:val="10"/>
  </w:num>
  <w:num w:numId="6">
    <w:abstractNumId w:val="1"/>
  </w:num>
  <w:num w:numId="7">
    <w:abstractNumId w:val="13"/>
  </w:num>
  <w:num w:numId="8">
    <w:abstractNumId w:val="5"/>
  </w:num>
  <w:num w:numId="9">
    <w:abstractNumId w:val="7"/>
  </w:num>
  <w:num w:numId="10">
    <w:abstractNumId w:val="3"/>
  </w:num>
  <w:num w:numId="11">
    <w:abstractNumId w:val="4"/>
  </w:num>
  <w:num w:numId="12">
    <w:abstractNumId w:val="6"/>
  </w:num>
  <w:num w:numId="13">
    <w:abstractNumId w:val="0"/>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Q4MmRkMjVhMjFjZDdkY2M4NjM0Y2IyZjc3ZjE2MWUifQ=="/>
  </w:docVars>
  <w:rsids>
    <w:rsidRoot w:val="00101AA4"/>
    <w:rsid w:val="000002B4"/>
    <w:rsid w:val="00001340"/>
    <w:rsid w:val="00002143"/>
    <w:rsid w:val="00004DAA"/>
    <w:rsid w:val="00006BD9"/>
    <w:rsid w:val="00007BA8"/>
    <w:rsid w:val="000104D6"/>
    <w:rsid w:val="00010CE2"/>
    <w:rsid w:val="00012108"/>
    <w:rsid w:val="00012E01"/>
    <w:rsid w:val="00014F7D"/>
    <w:rsid w:val="000162FE"/>
    <w:rsid w:val="00020411"/>
    <w:rsid w:val="0002386B"/>
    <w:rsid w:val="0002405E"/>
    <w:rsid w:val="000244CA"/>
    <w:rsid w:val="0002545E"/>
    <w:rsid w:val="00027B5D"/>
    <w:rsid w:val="00030171"/>
    <w:rsid w:val="00033566"/>
    <w:rsid w:val="00033852"/>
    <w:rsid w:val="000343A0"/>
    <w:rsid w:val="000347EB"/>
    <w:rsid w:val="00036B12"/>
    <w:rsid w:val="000400E8"/>
    <w:rsid w:val="00044B32"/>
    <w:rsid w:val="00046152"/>
    <w:rsid w:val="0005003E"/>
    <w:rsid w:val="00054F47"/>
    <w:rsid w:val="0005551C"/>
    <w:rsid w:val="000557EC"/>
    <w:rsid w:val="000604DE"/>
    <w:rsid w:val="0006199F"/>
    <w:rsid w:val="00063256"/>
    <w:rsid w:val="000641A9"/>
    <w:rsid w:val="000653CD"/>
    <w:rsid w:val="000661C0"/>
    <w:rsid w:val="00070AF5"/>
    <w:rsid w:val="00070BFE"/>
    <w:rsid w:val="0007362D"/>
    <w:rsid w:val="00073D96"/>
    <w:rsid w:val="000762D4"/>
    <w:rsid w:val="00077DB3"/>
    <w:rsid w:val="0008025F"/>
    <w:rsid w:val="00080E16"/>
    <w:rsid w:val="00081908"/>
    <w:rsid w:val="000829F2"/>
    <w:rsid w:val="00082FC4"/>
    <w:rsid w:val="00086C89"/>
    <w:rsid w:val="0009014D"/>
    <w:rsid w:val="000904A3"/>
    <w:rsid w:val="00090F37"/>
    <w:rsid w:val="000916AB"/>
    <w:rsid w:val="000923E8"/>
    <w:rsid w:val="000946D4"/>
    <w:rsid w:val="00094989"/>
    <w:rsid w:val="00097E0B"/>
    <w:rsid w:val="000A0272"/>
    <w:rsid w:val="000A02F9"/>
    <w:rsid w:val="000A1ECD"/>
    <w:rsid w:val="000A32B9"/>
    <w:rsid w:val="000A3552"/>
    <w:rsid w:val="000A452A"/>
    <w:rsid w:val="000A737C"/>
    <w:rsid w:val="000B210F"/>
    <w:rsid w:val="000B318F"/>
    <w:rsid w:val="000B331B"/>
    <w:rsid w:val="000B4C6A"/>
    <w:rsid w:val="000B7470"/>
    <w:rsid w:val="000B7C76"/>
    <w:rsid w:val="000C364C"/>
    <w:rsid w:val="000C3FDE"/>
    <w:rsid w:val="000D171A"/>
    <w:rsid w:val="000D5DA0"/>
    <w:rsid w:val="000D7CE7"/>
    <w:rsid w:val="000E2D54"/>
    <w:rsid w:val="000E40A6"/>
    <w:rsid w:val="000E5B9C"/>
    <w:rsid w:val="000E7461"/>
    <w:rsid w:val="000F186E"/>
    <w:rsid w:val="000F56EE"/>
    <w:rsid w:val="00100D44"/>
    <w:rsid w:val="00101AA4"/>
    <w:rsid w:val="00102AB6"/>
    <w:rsid w:val="00104F86"/>
    <w:rsid w:val="001063D0"/>
    <w:rsid w:val="0010650C"/>
    <w:rsid w:val="00106BA4"/>
    <w:rsid w:val="001076CB"/>
    <w:rsid w:val="00111383"/>
    <w:rsid w:val="001145B2"/>
    <w:rsid w:val="00115901"/>
    <w:rsid w:val="00115A4B"/>
    <w:rsid w:val="001167FB"/>
    <w:rsid w:val="0011725D"/>
    <w:rsid w:val="00121DF5"/>
    <w:rsid w:val="001223C4"/>
    <w:rsid w:val="0012671F"/>
    <w:rsid w:val="00127B38"/>
    <w:rsid w:val="00127C9A"/>
    <w:rsid w:val="0013312B"/>
    <w:rsid w:val="00134210"/>
    <w:rsid w:val="00134F82"/>
    <w:rsid w:val="00142BB8"/>
    <w:rsid w:val="00143169"/>
    <w:rsid w:val="0014554F"/>
    <w:rsid w:val="00146E26"/>
    <w:rsid w:val="001543A3"/>
    <w:rsid w:val="00154884"/>
    <w:rsid w:val="00156F55"/>
    <w:rsid w:val="001575BE"/>
    <w:rsid w:val="00157673"/>
    <w:rsid w:val="0015794E"/>
    <w:rsid w:val="00160311"/>
    <w:rsid w:val="00161961"/>
    <w:rsid w:val="00162DD4"/>
    <w:rsid w:val="001652C6"/>
    <w:rsid w:val="0016644B"/>
    <w:rsid w:val="00170A17"/>
    <w:rsid w:val="00171110"/>
    <w:rsid w:val="00172AA0"/>
    <w:rsid w:val="001733AF"/>
    <w:rsid w:val="00176FAD"/>
    <w:rsid w:val="0017733A"/>
    <w:rsid w:val="00181200"/>
    <w:rsid w:val="00192868"/>
    <w:rsid w:val="001930FC"/>
    <w:rsid w:val="00193402"/>
    <w:rsid w:val="00194DD8"/>
    <w:rsid w:val="00197628"/>
    <w:rsid w:val="001A1D16"/>
    <w:rsid w:val="001A2117"/>
    <w:rsid w:val="001A45DD"/>
    <w:rsid w:val="001A4E5A"/>
    <w:rsid w:val="001A4E90"/>
    <w:rsid w:val="001A71AF"/>
    <w:rsid w:val="001B1372"/>
    <w:rsid w:val="001B1748"/>
    <w:rsid w:val="001B5A4C"/>
    <w:rsid w:val="001C15DD"/>
    <w:rsid w:val="001C4134"/>
    <w:rsid w:val="001D4B73"/>
    <w:rsid w:val="001D50A5"/>
    <w:rsid w:val="001E288B"/>
    <w:rsid w:val="001E33A7"/>
    <w:rsid w:val="001E3D69"/>
    <w:rsid w:val="001E4755"/>
    <w:rsid w:val="001E6E8F"/>
    <w:rsid w:val="001E794E"/>
    <w:rsid w:val="001F0F6C"/>
    <w:rsid w:val="001F1E80"/>
    <w:rsid w:val="001F292C"/>
    <w:rsid w:val="001F3A08"/>
    <w:rsid w:val="001F610A"/>
    <w:rsid w:val="001F79E8"/>
    <w:rsid w:val="00200BA8"/>
    <w:rsid w:val="0020240F"/>
    <w:rsid w:val="002055DD"/>
    <w:rsid w:val="00205968"/>
    <w:rsid w:val="00205DF6"/>
    <w:rsid w:val="00205F22"/>
    <w:rsid w:val="002065CE"/>
    <w:rsid w:val="0021020D"/>
    <w:rsid w:val="0021147C"/>
    <w:rsid w:val="00214257"/>
    <w:rsid w:val="00214392"/>
    <w:rsid w:val="00215BA5"/>
    <w:rsid w:val="00215F58"/>
    <w:rsid w:val="00217E00"/>
    <w:rsid w:val="0022016C"/>
    <w:rsid w:val="0022177D"/>
    <w:rsid w:val="002224AE"/>
    <w:rsid w:val="00223931"/>
    <w:rsid w:val="002246D6"/>
    <w:rsid w:val="00226DEC"/>
    <w:rsid w:val="0023151C"/>
    <w:rsid w:val="0023323E"/>
    <w:rsid w:val="00236A48"/>
    <w:rsid w:val="00236D43"/>
    <w:rsid w:val="00240D63"/>
    <w:rsid w:val="00243861"/>
    <w:rsid w:val="002472C0"/>
    <w:rsid w:val="002508FA"/>
    <w:rsid w:val="00253DC3"/>
    <w:rsid w:val="002541CE"/>
    <w:rsid w:val="00255C6B"/>
    <w:rsid w:val="0025723D"/>
    <w:rsid w:val="00257F22"/>
    <w:rsid w:val="002604A7"/>
    <w:rsid w:val="00260910"/>
    <w:rsid w:val="00262A6E"/>
    <w:rsid w:val="00263141"/>
    <w:rsid w:val="00266F04"/>
    <w:rsid w:val="0027779A"/>
    <w:rsid w:val="00280F38"/>
    <w:rsid w:val="00283C54"/>
    <w:rsid w:val="00285885"/>
    <w:rsid w:val="00285ABC"/>
    <w:rsid w:val="002967DA"/>
    <w:rsid w:val="002A6197"/>
    <w:rsid w:val="002A7CE2"/>
    <w:rsid w:val="002B0041"/>
    <w:rsid w:val="002B01D0"/>
    <w:rsid w:val="002B3DBF"/>
    <w:rsid w:val="002B77E1"/>
    <w:rsid w:val="002C02A1"/>
    <w:rsid w:val="002C2DD2"/>
    <w:rsid w:val="002C7FCF"/>
    <w:rsid w:val="002D280B"/>
    <w:rsid w:val="002D3439"/>
    <w:rsid w:val="002D635D"/>
    <w:rsid w:val="002D6591"/>
    <w:rsid w:val="002D6CF2"/>
    <w:rsid w:val="002E1B79"/>
    <w:rsid w:val="002E25BC"/>
    <w:rsid w:val="002E29B4"/>
    <w:rsid w:val="002E5AAD"/>
    <w:rsid w:val="002F10F5"/>
    <w:rsid w:val="002F2283"/>
    <w:rsid w:val="002F640F"/>
    <w:rsid w:val="002F7FD1"/>
    <w:rsid w:val="00300C92"/>
    <w:rsid w:val="003017E3"/>
    <w:rsid w:val="00301FBF"/>
    <w:rsid w:val="00304A1A"/>
    <w:rsid w:val="00304D2D"/>
    <w:rsid w:val="00305EE3"/>
    <w:rsid w:val="0030747A"/>
    <w:rsid w:val="00313F13"/>
    <w:rsid w:val="00315623"/>
    <w:rsid w:val="00315D4B"/>
    <w:rsid w:val="00315D59"/>
    <w:rsid w:val="003160D4"/>
    <w:rsid w:val="00316DBA"/>
    <w:rsid w:val="00317D34"/>
    <w:rsid w:val="00321036"/>
    <w:rsid w:val="00323AFC"/>
    <w:rsid w:val="00326152"/>
    <w:rsid w:val="00331C14"/>
    <w:rsid w:val="0033231B"/>
    <w:rsid w:val="00332D2E"/>
    <w:rsid w:val="00333E01"/>
    <w:rsid w:val="00336EED"/>
    <w:rsid w:val="00344BCD"/>
    <w:rsid w:val="00347E66"/>
    <w:rsid w:val="0035118C"/>
    <w:rsid w:val="003537E4"/>
    <w:rsid w:val="0035581F"/>
    <w:rsid w:val="00357E91"/>
    <w:rsid w:val="00360D30"/>
    <w:rsid w:val="00361C9D"/>
    <w:rsid w:val="00363991"/>
    <w:rsid w:val="00364473"/>
    <w:rsid w:val="003646E5"/>
    <w:rsid w:val="00366F29"/>
    <w:rsid w:val="00367BA8"/>
    <w:rsid w:val="00370F25"/>
    <w:rsid w:val="00373602"/>
    <w:rsid w:val="00373826"/>
    <w:rsid w:val="00373AD1"/>
    <w:rsid w:val="00376E83"/>
    <w:rsid w:val="00390A3C"/>
    <w:rsid w:val="003A28C5"/>
    <w:rsid w:val="003A5B50"/>
    <w:rsid w:val="003A6107"/>
    <w:rsid w:val="003A7427"/>
    <w:rsid w:val="003B0D63"/>
    <w:rsid w:val="003B70AD"/>
    <w:rsid w:val="003B7226"/>
    <w:rsid w:val="003C0B9E"/>
    <w:rsid w:val="003C1C17"/>
    <w:rsid w:val="003C21E8"/>
    <w:rsid w:val="003C558B"/>
    <w:rsid w:val="003D01BB"/>
    <w:rsid w:val="003D05EA"/>
    <w:rsid w:val="003D281A"/>
    <w:rsid w:val="003D3CCB"/>
    <w:rsid w:val="003D4211"/>
    <w:rsid w:val="003E11F4"/>
    <w:rsid w:val="003E4065"/>
    <w:rsid w:val="003E4A7A"/>
    <w:rsid w:val="003F08DC"/>
    <w:rsid w:val="003F3849"/>
    <w:rsid w:val="003F4611"/>
    <w:rsid w:val="003F59D7"/>
    <w:rsid w:val="0040310D"/>
    <w:rsid w:val="00404253"/>
    <w:rsid w:val="00407128"/>
    <w:rsid w:val="004079CE"/>
    <w:rsid w:val="004220B6"/>
    <w:rsid w:val="00423980"/>
    <w:rsid w:val="0042662D"/>
    <w:rsid w:val="004270EF"/>
    <w:rsid w:val="00427533"/>
    <w:rsid w:val="00432C0C"/>
    <w:rsid w:val="00433EED"/>
    <w:rsid w:val="0044198C"/>
    <w:rsid w:val="00443888"/>
    <w:rsid w:val="004449F3"/>
    <w:rsid w:val="00444EE1"/>
    <w:rsid w:val="00445872"/>
    <w:rsid w:val="0044799D"/>
    <w:rsid w:val="0045091A"/>
    <w:rsid w:val="00452BB8"/>
    <w:rsid w:val="00455196"/>
    <w:rsid w:val="004639BC"/>
    <w:rsid w:val="004640C1"/>
    <w:rsid w:val="00464725"/>
    <w:rsid w:val="00464BAE"/>
    <w:rsid w:val="004660B0"/>
    <w:rsid w:val="004676CB"/>
    <w:rsid w:val="004704FB"/>
    <w:rsid w:val="0048512D"/>
    <w:rsid w:val="004A010F"/>
    <w:rsid w:val="004A01F6"/>
    <w:rsid w:val="004A1F5D"/>
    <w:rsid w:val="004A3D6D"/>
    <w:rsid w:val="004A4981"/>
    <w:rsid w:val="004A5190"/>
    <w:rsid w:val="004A5376"/>
    <w:rsid w:val="004A6517"/>
    <w:rsid w:val="004A68AF"/>
    <w:rsid w:val="004A7D7E"/>
    <w:rsid w:val="004B029E"/>
    <w:rsid w:val="004B0537"/>
    <w:rsid w:val="004B2B81"/>
    <w:rsid w:val="004B7BC5"/>
    <w:rsid w:val="004B7DE5"/>
    <w:rsid w:val="004C1AE6"/>
    <w:rsid w:val="004C297B"/>
    <w:rsid w:val="004C3CF9"/>
    <w:rsid w:val="004C6BAD"/>
    <w:rsid w:val="004D0E18"/>
    <w:rsid w:val="004D11B3"/>
    <w:rsid w:val="004D3C30"/>
    <w:rsid w:val="004D5AE9"/>
    <w:rsid w:val="004D5C23"/>
    <w:rsid w:val="004D5F63"/>
    <w:rsid w:val="004D75D5"/>
    <w:rsid w:val="004E0230"/>
    <w:rsid w:val="004E2088"/>
    <w:rsid w:val="004E419C"/>
    <w:rsid w:val="004E56D8"/>
    <w:rsid w:val="004E606C"/>
    <w:rsid w:val="004E76F6"/>
    <w:rsid w:val="004E7786"/>
    <w:rsid w:val="004E7E9B"/>
    <w:rsid w:val="004F0D23"/>
    <w:rsid w:val="00501303"/>
    <w:rsid w:val="00502FD7"/>
    <w:rsid w:val="0050507E"/>
    <w:rsid w:val="00507DCF"/>
    <w:rsid w:val="00511664"/>
    <w:rsid w:val="00520FE8"/>
    <w:rsid w:val="00522DEB"/>
    <w:rsid w:val="0052394D"/>
    <w:rsid w:val="00524F86"/>
    <w:rsid w:val="00526F0E"/>
    <w:rsid w:val="005271EF"/>
    <w:rsid w:val="00527A46"/>
    <w:rsid w:val="005307A5"/>
    <w:rsid w:val="0053132A"/>
    <w:rsid w:val="00536952"/>
    <w:rsid w:val="005369FB"/>
    <w:rsid w:val="00537638"/>
    <w:rsid w:val="0054181E"/>
    <w:rsid w:val="00541AC4"/>
    <w:rsid w:val="00541FB5"/>
    <w:rsid w:val="00547B34"/>
    <w:rsid w:val="00550E48"/>
    <w:rsid w:val="0055435D"/>
    <w:rsid w:val="005574D7"/>
    <w:rsid w:val="00560740"/>
    <w:rsid w:val="005627EE"/>
    <w:rsid w:val="00562B2E"/>
    <w:rsid w:val="005646D2"/>
    <w:rsid w:val="00566F28"/>
    <w:rsid w:val="00570015"/>
    <w:rsid w:val="00573EAA"/>
    <w:rsid w:val="00576ADE"/>
    <w:rsid w:val="00577ECB"/>
    <w:rsid w:val="00577FFA"/>
    <w:rsid w:val="0058012A"/>
    <w:rsid w:val="00582F95"/>
    <w:rsid w:val="005832D2"/>
    <w:rsid w:val="00586658"/>
    <w:rsid w:val="005879D1"/>
    <w:rsid w:val="0059145C"/>
    <w:rsid w:val="00594BE3"/>
    <w:rsid w:val="005958F0"/>
    <w:rsid w:val="00596BA7"/>
    <w:rsid w:val="005A215C"/>
    <w:rsid w:val="005A6326"/>
    <w:rsid w:val="005A69CA"/>
    <w:rsid w:val="005A770A"/>
    <w:rsid w:val="005C0F0F"/>
    <w:rsid w:val="005C53A8"/>
    <w:rsid w:val="005C55F7"/>
    <w:rsid w:val="005C6A14"/>
    <w:rsid w:val="005D2A28"/>
    <w:rsid w:val="005D3846"/>
    <w:rsid w:val="005D5695"/>
    <w:rsid w:val="005D651D"/>
    <w:rsid w:val="005D6F56"/>
    <w:rsid w:val="005E012A"/>
    <w:rsid w:val="005E22B8"/>
    <w:rsid w:val="005E28BD"/>
    <w:rsid w:val="005E3C18"/>
    <w:rsid w:val="005E617A"/>
    <w:rsid w:val="005F3159"/>
    <w:rsid w:val="005F3701"/>
    <w:rsid w:val="005F437E"/>
    <w:rsid w:val="005F4DCF"/>
    <w:rsid w:val="005F6E37"/>
    <w:rsid w:val="005F7CCF"/>
    <w:rsid w:val="0060072E"/>
    <w:rsid w:val="0060086F"/>
    <w:rsid w:val="00600C9C"/>
    <w:rsid w:val="00601507"/>
    <w:rsid w:val="00601E72"/>
    <w:rsid w:val="006053D2"/>
    <w:rsid w:val="00606716"/>
    <w:rsid w:val="00607BD4"/>
    <w:rsid w:val="006109B7"/>
    <w:rsid w:val="0061147C"/>
    <w:rsid w:val="00614490"/>
    <w:rsid w:val="0061632F"/>
    <w:rsid w:val="00616341"/>
    <w:rsid w:val="00617E79"/>
    <w:rsid w:val="00617EC4"/>
    <w:rsid w:val="00622699"/>
    <w:rsid w:val="00624E16"/>
    <w:rsid w:val="00630AAC"/>
    <w:rsid w:val="006314C2"/>
    <w:rsid w:val="00631C5A"/>
    <w:rsid w:val="0063569B"/>
    <w:rsid w:val="00635CE4"/>
    <w:rsid w:val="0063610A"/>
    <w:rsid w:val="006367D4"/>
    <w:rsid w:val="00644CAA"/>
    <w:rsid w:val="0064722F"/>
    <w:rsid w:val="00647D58"/>
    <w:rsid w:val="00650F27"/>
    <w:rsid w:val="00651977"/>
    <w:rsid w:val="006523BD"/>
    <w:rsid w:val="00652A1B"/>
    <w:rsid w:val="00652A7E"/>
    <w:rsid w:val="00652A9D"/>
    <w:rsid w:val="006546EA"/>
    <w:rsid w:val="00654D73"/>
    <w:rsid w:val="00655FCC"/>
    <w:rsid w:val="006568E0"/>
    <w:rsid w:val="00656C08"/>
    <w:rsid w:val="00657AD0"/>
    <w:rsid w:val="0066102E"/>
    <w:rsid w:val="00661E10"/>
    <w:rsid w:val="00664BD0"/>
    <w:rsid w:val="0066520F"/>
    <w:rsid w:val="006654E8"/>
    <w:rsid w:val="0066681E"/>
    <w:rsid w:val="00666A31"/>
    <w:rsid w:val="00670008"/>
    <w:rsid w:val="00670790"/>
    <w:rsid w:val="0067272A"/>
    <w:rsid w:val="006728AB"/>
    <w:rsid w:val="00672F73"/>
    <w:rsid w:val="00673798"/>
    <w:rsid w:val="00674559"/>
    <w:rsid w:val="00674A1B"/>
    <w:rsid w:val="006804BB"/>
    <w:rsid w:val="00691232"/>
    <w:rsid w:val="006932B7"/>
    <w:rsid w:val="00693DA7"/>
    <w:rsid w:val="00694538"/>
    <w:rsid w:val="006956A0"/>
    <w:rsid w:val="00695DD7"/>
    <w:rsid w:val="0069732C"/>
    <w:rsid w:val="0069791E"/>
    <w:rsid w:val="006A1784"/>
    <w:rsid w:val="006A3811"/>
    <w:rsid w:val="006A4AC4"/>
    <w:rsid w:val="006A72C3"/>
    <w:rsid w:val="006B014A"/>
    <w:rsid w:val="006B14EC"/>
    <w:rsid w:val="006B2DDD"/>
    <w:rsid w:val="006B56D9"/>
    <w:rsid w:val="006B6739"/>
    <w:rsid w:val="006B72B0"/>
    <w:rsid w:val="006B72D9"/>
    <w:rsid w:val="006B7760"/>
    <w:rsid w:val="006C06C9"/>
    <w:rsid w:val="006C08F0"/>
    <w:rsid w:val="006C214D"/>
    <w:rsid w:val="006C3250"/>
    <w:rsid w:val="006C551A"/>
    <w:rsid w:val="006C5A93"/>
    <w:rsid w:val="006D0395"/>
    <w:rsid w:val="006D21CC"/>
    <w:rsid w:val="006D3A5D"/>
    <w:rsid w:val="006D5419"/>
    <w:rsid w:val="006D541A"/>
    <w:rsid w:val="006D54D4"/>
    <w:rsid w:val="006D747B"/>
    <w:rsid w:val="006E249F"/>
    <w:rsid w:val="006E344D"/>
    <w:rsid w:val="006E51CF"/>
    <w:rsid w:val="006F07AB"/>
    <w:rsid w:val="006F2A4E"/>
    <w:rsid w:val="006F3AF3"/>
    <w:rsid w:val="006F5509"/>
    <w:rsid w:val="006F6DB0"/>
    <w:rsid w:val="006F7BBE"/>
    <w:rsid w:val="00700939"/>
    <w:rsid w:val="00703743"/>
    <w:rsid w:val="00704AEC"/>
    <w:rsid w:val="00704C14"/>
    <w:rsid w:val="00705A54"/>
    <w:rsid w:val="00707DD7"/>
    <w:rsid w:val="007104B7"/>
    <w:rsid w:val="00711806"/>
    <w:rsid w:val="00711DFE"/>
    <w:rsid w:val="00712834"/>
    <w:rsid w:val="007128C2"/>
    <w:rsid w:val="007137F1"/>
    <w:rsid w:val="007138D7"/>
    <w:rsid w:val="007156D2"/>
    <w:rsid w:val="007171D2"/>
    <w:rsid w:val="0072037A"/>
    <w:rsid w:val="0072685D"/>
    <w:rsid w:val="00731CAD"/>
    <w:rsid w:val="00737F44"/>
    <w:rsid w:val="00742828"/>
    <w:rsid w:val="00743DB2"/>
    <w:rsid w:val="00747623"/>
    <w:rsid w:val="00750F56"/>
    <w:rsid w:val="0075151D"/>
    <w:rsid w:val="0075182A"/>
    <w:rsid w:val="00751E8B"/>
    <w:rsid w:val="00752409"/>
    <w:rsid w:val="007555F9"/>
    <w:rsid w:val="00756E59"/>
    <w:rsid w:val="0076194F"/>
    <w:rsid w:val="00767044"/>
    <w:rsid w:val="00767A9C"/>
    <w:rsid w:val="007706A6"/>
    <w:rsid w:val="00770A62"/>
    <w:rsid w:val="00775831"/>
    <w:rsid w:val="007758AC"/>
    <w:rsid w:val="00775DEA"/>
    <w:rsid w:val="00775E04"/>
    <w:rsid w:val="00777B6C"/>
    <w:rsid w:val="0078033B"/>
    <w:rsid w:val="00781F52"/>
    <w:rsid w:val="00782548"/>
    <w:rsid w:val="00782584"/>
    <w:rsid w:val="00784173"/>
    <w:rsid w:val="00786AAF"/>
    <w:rsid w:val="00787D19"/>
    <w:rsid w:val="00792D00"/>
    <w:rsid w:val="007930FA"/>
    <w:rsid w:val="007952C7"/>
    <w:rsid w:val="00796034"/>
    <w:rsid w:val="007A0C42"/>
    <w:rsid w:val="007A0E43"/>
    <w:rsid w:val="007A1947"/>
    <w:rsid w:val="007A237A"/>
    <w:rsid w:val="007A3B2A"/>
    <w:rsid w:val="007A5319"/>
    <w:rsid w:val="007A7C18"/>
    <w:rsid w:val="007A7EF1"/>
    <w:rsid w:val="007B1C79"/>
    <w:rsid w:val="007B2A84"/>
    <w:rsid w:val="007C4912"/>
    <w:rsid w:val="007C66D2"/>
    <w:rsid w:val="007C6BBF"/>
    <w:rsid w:val="007C708D"/>
    <w:rsid w:val="007D1C55"/>
    <w:rsid w:val="007D3CF4"/>
    <w:rsid w:val="007D3DC6"/>
    <w:rsid w:val="007D4455"/>
    <w:rsid w:val="007D62D7"/>
    <w:rsid w:val="007D68A5"/>
    <w:rsid w:val="007E7421"/>
    <w:rsid w:val="007F314D"/>
    <w:rsid w:val="007F6C55"/>
    <w:rsid w:val="008012FC"/>
    <w:rsid w:val="00801D44"/>
    <w:rsid w:val="00801FFA"/>
    <w:rsid w:val="00802115"/>
    <w:rsid w:val="008036B7"/>
    <w:rsid w:val="00804D5D"/>
    <w:rsid w:val="0080672E"/>
    <w:rsid w:val="008067AA"/>
    <w:rsid w:val="008068DA"/>
    <w:rsid w:val="008068EC"/>
    <w:rsid w:val="00807795"/>
    <w:rsid w:val="00813D04"/>
    <w:rsid w:val="0081414C"/>
    <w:rsid w:val="00816A53"/>
    <w:rsid w:val="00820914"/>
    <w:rsid w:val="008247D9"/>
    <w:rsid w:val="00825A15"/>
    <w:rsid w:val="00825F46"/>
    <w:rsid w:val="00825FAA"/>
    <w:rsid w:val="00826C3A"/>
    <w:rsid w:val="00830296"/>
    <w:rsid w:val="0083223D"/>
    <w:rsid w:val="008330C9"/>
    <w:rsid w:val="00834A61"/>
    <w:rsid w:val="00835F52"/>
    <w:rsid w:val="00840117"/>
    <w:rsid w:val="00843C8F"/>
    <w:rsid w:val="00844290"/>
    <w:rsid w:val="008443B1"/>
    <w:rsid w:val="00844507"/>
    <w:rsid w:val="0084490D"/>
    <w:rsid w:val="00844A00"/>
    <w:rsid w:val="00846F1B"/>
    <w:rsid w:val="00851DD7"/>
    <w:rsid w:val="00851E55"/>
    <w:rsid w:val="008526D9"/>
    <w:rsid w:val="00854E30"/>
    <w:rsid w:val="00857654"/>
    <w:rsid w:val="00857B62"/>
    <w:rsid w:val="008618C1"/>
    <w:rsid w:val="00862EBB"/>
    <w:rsid w:val="008631DD"/>
    <w:rsid w:val="00864330"/>
    <w:rsid w:val="008703DB"/>
    <w:rsid w:val="00872CE4"/>
    <w:rsid w:val="0087459C"/>
    <w:rsid w:val="00877E4D"/>
    <w:rsid w:val="00880D74"/>
    <w:rsid w:val="00880ED3"/>
    <w:rsid w:val="00881BAB"/>
    <w:rsid w:val="00881D84"/>
    <w:rsid w:val="00883470"/>
    <w:rsid w:val="00884BA6"/>
    <w:rsid w:val="008858F6"/>
    <w:rsid w:val="00890712"/>
    <w:rsid w:val="00892BDA"/>
    <w:rsid w:val="00892DE8"/>
    <w:rsid w:val="008A072E"/>
    <w:rsid w:val="008A2A70"/>
    <w:rsid w:val="008A3A9E"/>
    <w:rsid w:val="008A4942"/>
    <w:rsid w:val="008A4B8E"/>
    <w:rsid w:val="008A53DE"/>
    <w:rsid w:val="008A561B"/>
    <w:rsid w:val="008A6628"/>
    <w:rsid w:val="008B01C2"/>
    <w:rsid w:val="008B029B"/>
    <w:rsid w:val="008B1D39"/>
    <w:rsid w:val="008B5573"/>
    <w:rsid w:val="008C24AF"/>
    <w:rsid w:val="008C5641"/>
    <w:rsid w:val="008C6135"/>
    <w:rsid w:val="008D0766"/>
    <w:rsid w:val="008D4521"/>
    <w:rsid w:val="008D4BDD"/>
    <w:rsid w:val="008D5387"/>
    <w:rsid w:val="008D60F8"/>
    <w:rsid w:val="008D7591"/>
    <w:rsid w:val="008E1EA1"/>
    <w:rsid w:val="008E337E"/>
    <w:rsid w:val="008E47C0"/>
    <w:rsid w:val="008E6003"/>
    <w:rsid w:val="008E69FC"/>
    <w:rsid w:val="008E6AAE"/>
    <w:rsid w:val="008F1D6D"/>
    <w:rsid w:val="008F52D0"/>
    <w:rsid w:val="008F6AA2"/>
    <w:rsid w:val="00900116"/>
    <w:rsid w:val="009055EE"/>
    <w:rsid w:val="00905A28"/>
    <w:rsid w:val="00910B36"/>
    <w:rsid w:val="00910FF9"/>
    <w:rsid w:val="00913858"/>
    <w:rsid w:val="00914849"/>
    <w:rsid w:val="009166AD"/>
    <w:rsid w:val="0091776B"/>
    <w:rsid w:val="00917C51"/>
    <w:rsid w:val="009209E8"/>
    <w:rsid w:val="009211B4"/>
    <w:rsid w:val="00922373"/>
    <w:rsid w:val="00922592"/>
    <w:rsid w:val="00923C4A"/>
    <w:rsid w:val="009259D5"/>
    <w:rsid w:val="00925B9C"/>
    <w:rsid w:val="0092653E"/>
    <w:rsid w:val="00926CDD"/>
    <w:rsid w:val="00926EE7"/>
    <w:rsid w:val="009278C5"/>
    <w:rsid w:val="0093107D"/>
    <w:rsid w:val="009324FE"/>
    <w:rsid w:val="00933150"/>
    <w:rsid w:val="00933165"/>
    <w:rsid w:val="0093334D"/>
    <w:rsid w:val="00934B57"/>
    <w:rsid w:val="00935236"/>
    <w:rsid w:val="00935307"/>
    <w:rsid w:val="0094041C"/>
    <w:rsid w:val="0094055B"/>
    <w:rsid w:val="00941545"/>
    <w:rsid w:val="009435A6"/>
    <w:rsid w:val="009437A7"/>
    <w:rsid w:val="00946789"/>
    <w:rsid w:val="00950163"/>
    <w:rsid w:val="009546B7"/>
    <w:rsid w:val="00955047"/>
    <w:rsid w:val="00955238"/>
    <w:rsid w:val="009558DD"/>
    <w:rsid w:val="009613A3"/>
    <w:rsid w:val="0096147D"/>
    <w:rsid w:val="0096479F"/>
    <w:rsid w:val="00965552"/>
    <w:rsid w:val="0096574A"/>
    <w:rsid w:val="0096617A"/>
    <w:rsid w:val="00967429"/>
    <w:rsid w:val="00967C5A"/>
    <w:rsid w:val="009700E7"/>
    <w:rsid w:val="009701A2"/>
    <w:rsid w:val="00971FF1"/>
    <w:rsid w:val="00974013"/>
    <w:rsid w:val="00975775"/>
    <w:rsid w:val="00977D99"/>
    <w:rsid w:val="00981749"/>
    <w:rsid w:val="00982C79"/>
    <w:rsid w:val="00983E4E"/>
    <w:rsid w:val="009840B0"/>
    <w:rsid w:val="00984531"/>
    <w:rsid w:val="0098659E"/>
    <w:rsid w:val="009869E5"/>
    <w:rsid w:val="00991F92"/>
    <w:rsid w:val="0099239A"/>
    <w:rsid w:val="00992683"/>
    <w:rsid w:val="009930AE"/>
    <w:rsid w:val="00994368"/>
    <w:rsid w:val="009960AD"/>
    <w:rsid w:val="00997017"/>
    <w:rsid w:val="009A089A"/>
    <w:rsid w:val="009A1ABA"/>
    <w:rsid w:val="009A456E"/>
    <w:rsid w:val="009A6799"/>
    <w:rsid w:val="009A693B"/>
    <w:rsid w:val="009A7284"/>
    <w:rsid w:val="009A75CB"/>
    <w:rsid w:val="009B074B"/>
    <w:rsid w:val="009B0A3E"/>
    <w:rsid w:val="009B72EB"/>
    <w:rsid w:val="009B792F"/>
    <w:rsid w:val="009C4BB9"/>
    <w:rsid w:val="009C4C50"/>
    <w:rsid w:val="009C7D0A"/>
    <w:rsid w:val="009C7FD8"/>
    <w:rsid w:val="009D05BF"/>
    <w:rsid w:val="009D2432"/>
    <w:rsid w:val="009D245C"/>
    <w:rsid w:val="009E36F0"/>
    <w:rsid w:val="009F064F"/>
    <w:rsid w:val="009F11C8"/>
    <w:rsid w:val="009F15EF"/>
    <w:rsid w:val="009F24D1"/>
    <w:rsid w:val="009F3D47"/>
    <w:rsid w:val="009F4563"/>
    <w:rsid w:val="009F487E"/>
    <w:rsid w:val="00A01EFD"/>
    <w:rsid w:val="00A03288"/>
    <w:rsid w:val="00A039D2"/>
    <w:rsid w:val="00A04B51"/>
    <w:rsid w:val="00A05781"/>
    <w:rsid w:val="00A068B7"/>
    <w:rsid w:val="00A069FC"/>
    <w:rsid w:val="00A0749F"/>
    <w:rsid w:val="00A17158"/>
    <w:rsid w:val="00A1785D"/>
    <w:rsid w:val="00A2031C"/>
    <w:rsid w:val="00A20856"/>
    <w:rsid w:val="00A2140F"/>
    <w:rsid w:val="00A24145"/>
    <w:rsid w:val="00A24411"/>
    <w:rsid w:val="00A252A2"/>
    <w:rsid w:val="00A319A4"/>
    <w:rsid w:val="00A320D2"/>
    <w:rsid w:val="00A32455"/>
    <w:rsid w:val="00A32D75"/>
    <w:rsid w:val="00A33EC9"/>
    <w:rsid w:val="00A377F1"/>
    <w:rsid w:val="00A40087"/>
    <w:rsid w:val="00A40483"/>
    <w:rsid w:val="00A41CA5"/>
    <w:rsid w:val="00A426D2"/>
    <w:rsid w:val="00A46BC3"/>
    <w:rsid w:val="00A51A47"/>
    <w:rsid w:val="00A5296E"/>
    <w:rsid w:val="00A5323E"/>
    <w:rsid w:val="00A5538A"/>
    <w:rsid w:val="00A5692F"/>
    <w:rsid w:val="00A57C84"/>
    <w:rsid w:val="00A6358C"/>
    <w:rsid w:val="00A63DE3"/>
    <w:rsid w:val="00A641EB"/>
    <w:rsid w:val="00A648D2"/>
    <w:rsid w:val="00A648FB"/>
    <w:rsid w:val="00A665B8"/>
    <w:rsid w:val="00A67621"/>
    <w:rsid w:val="00A70DE0"/>
    <w:rsid w:val="00A81B56"/>
    <w:rsid w:val="00A83F70"/>
    <w:rsid w:val="00A841E3"/>
    <w:rsid w:val="00A86E53"/>
    <w:rsid w:val="00A920ED"/>
    <w:rsid w:val="00A92497"/>
    <w:rsid w:val="00A94B95"/>
    <w:rsid w:val="00A95164"/>
    <w:rsid w:val="00A969C3"/>
    <w:rsid w:val="00A97447"/>
    <w:rsid w:val="00AA0C7F"/>
    <w:rsid w:val="00AA1E25"/>
    <w:rsid w:val="00AA58D6"/>
    <w:rsid w:val="00AA65EF"/>
    <w:rsid w:val="00AA6837"/>
    <w:rsid w:val="00AB07FC"/>
    <w:rsid w:val="00AB0BCB"/>
    <w:rsid w:val="00AB1B7A"/>
    <w:rsid w:val="00AB490B"/>
    <w:rsid w:val="00AB50A1"/>
    <w:rsid w:val="00AB63EC"/>
    <w:rsid w:val="00AB706C"/>
    <w:rsid w:val="00AB7635"/>
    <w:rsid w:val="00AB7D40"/>
    <w:rsid w:val="00AC0195"/>
    <w:rsid w:val="00AC169A"/>
    <w:rsid w:val="00AC17BD"/>
    <w:rsid w:val="00AC2064"/>
    <w:rsid w:val="00AC627A"/>
    <w:rsid w:val="00AC7076"/>
    <w:rsid w:val="00AD0219"/>
    <w:rsid w:val="00AD0858"/>
    <w:rsid w:val="00AD159E"/>
    <w:rsid w:val="00AD25AF"/>
    <w:rsid w:val="00AD3FA3"/>
    <w:rsid w:val="00AD5B00"/>
    <w:rsid w:val="00AE0905"/>
    <w:rsid w:val="00AE2F7F"/>
    <w:rsid w:val="00AF35AE"/>
    <w:rsid w:val="00AF394B"/>
    <w:rsid w:val="00AF6C87"/>
    <w:rsid w:val="00AF7196"/>
    <w:rsid w:val="00B001EA"/>
    <w:rsid w:val="00B006E0"/>
    <w:rsid w:val="00B0365E"/>
    <w:rsid w:val="00B03D5C"/>
    <w:rsid w:val="00B11E1C"/>
    <w:rsid w:val="00B12CAE"/>
    <w:rsid w:val="00B12DA9"/>
    <w:rsid w:val="00B1771E"/>
    <w:rsid w:val="00B20979"/>
    <w:rsid w:val="00B20B9D"/>
    <w:rsid w:val="00B20CA6"/>
    <w:rsid w:val="00B21830"/>
    <w:rsid w:val="00B24130"/>
    <w:rsid w:val="00B24BED"/>
    <w:rsid w:val="00B259B3"/>
    <w:rsid w:val="00B3066F"/>
    <w:rsid w:val="00B31572"/>
    <w:rsid w:val="00B32FDE"/>
    <w:rsid w:val="00B3485C"/>
    <w:rsid w:val="00B3551C"/>
    <w:rsid w:val="00B41CC5"/>
    <w:rsid w:val="00B4456E"/>
    <w:rsid w:val="00B455A2"/>
    <w:rsid w:val="00B5121C"/>
    <w:rsid w:val="00B51AF1"/>
    <w:rsid w:val="00B55DD4"/>
    <w:rsid w:val="00B60D21"/>
    <w:rsid w:val="00B61DB0"/>
    <w:rsid w:val="00B628A3"/>
    <w:rsid w:val="00B635C3"/>
    <w:rsid w:val="00B64E0D"/>
    <w:rsid w:val="00B65DD7"/>
    <w:rsid w:val="00B66B82"/>
    <w:rsid w:val="00B67C8D"/>
    <w:rsid w:val="00B70546"/>
    <w:rsid w:val="00B71A77"/>
    <w:rsid w:val="00B746DE"/>
    <w:rsid w:val="00B761D0"/>
    <w:rsid w:val="00B76B5B"/>
    <w:rsid w:val="00B76F09"/>
    <w:rsid w:val="00B770A1"/>
    <w:rsid w:val="00B826E5"/>
    <w:rsid w:val="00B836E8"/>
    <w:rsid w:val="00B83FBC"/>
    <w:rsid w:val="00B841A4"/>
    <w:rsid w:val="00B871DD"/>
    <w:rsid w:val="00B87B57"/>
    <w:rsid w:val="00B93135"/>
    <w:rsid w:val="00B9774B"/>
    <w:rsid w:val="00BA1954"/>
    <w:rsid w:val="00BA376F"/>
    <w:rsid w:val="00BA5F64"/>
    <w:rsid w:val="00BB33FD"/>
    <w:rsid w:val="00BB33FE"/>
    <w:rsid w:val="00BB5C5F"/>
    <w:rsid w:val="00BB612A"/>
    <w:rsid w:val="00BB627A"/>
    <w:rsid w:val="00BC193E"/>
    <w:rsid w:val="00BC4F1B"/>
    <w:rsid w:val="00BC6F1B"/>
    <w:rsid w:val="00BC753E"/>
    <w:rsid w:val="00BC7668"/>
    <w:rsid w:val="00BC7E29"/>
    <w:rsid w:val="00BD1D60"/>
    <w:rsid w:val="00BD1FA5"/>
    <w:rsid w:val="00BD2812"/>
    <w:rsid w:val="00BD6949"/>
    <w:rsid w:val="00BE4B8D"/>
    <w:rsid w:val="00BE5EB9"/>
    <w:rsid w:val="00BE73E9"/>
    <w:rsid w:val="00BF0B2C"/>
    <w:rsid w:val="00BF0C97"/>
    <w:rsid w:val="00BF28EC"/>
    <w:rsid w:val="00BF51F6"/>
    <w:rsid w:val="00BF682C"/>
    <w:rsid w:val="00BF7476"/>
    <w:rsid w:val="00C02D9A"/>
    <w:rsid w:val="00C06808"/>
    <w:rsid w:val="00C077D3"/>
    <w:rsid w:val="00C10EEC"/>
    <w:rsid w:val="00C12240"/>
    <w:rsid w:val="00C138B2"/>
    <w:rsid w:val="00C13F57"/>
    <w:rsid w:val="00C17074"/>
    <w:rsid w:val="00C1758E"/>
    <w:rsid w:val="00C21672"/>
    <w:rsid w:val="00C21ACC"/>
    <w:rsid w:val="00C22755"/>
    <w:rsid w:val="00C31F14"/>
    <w:rsid w:val="00C34E9B"/>
    <w:rsid w:val="00C34FE2"/>
    <w:rsid w:val="00C36041"/>
    <w:rsid w:val="00C36B8D"/>
    <w:rsid w:val="00C402C9"/>
    <w:rsid w:val="00C406A0"/>
    <w:rsid w:val="00C41C1D"/>
    <w:rsid w:val="00C421A0"/>
    <w:rsid w:val="00C439B2"/>
    <w:rsid w:val="00C44001"/>
    <w:rsid w:val="00C4439D"/>
    <w:rsid w:val="00C45F5C"/>
    <w:rsid w:val="00C466A2"/>
    <w:rsid w:val="00C46AF0"/>
    <w:rsid w:val="00C479FE"/>
    <w:rsid w:val="00C47EB3"/>
    <w:rsid w:val="00C50B1D"/>
    <w:rsid w:val="00C53ADD"/>
    <w:rsid w:val="00C56178"/>
    <w:rsid w:val="00C562B0"/>
    <w:rsid w:val="00C56DD1"/>
    <w:rsid w:val="00C57D52"/>
    <w:rsid w:val="00C603C1"/>
    <w:rsid w:val="00C62E07"/>
    <w:rsid w:val="00C63C53"/>
    <w:rsid w:val="00C70B15"/>
    <w:rsid w:val="00C70F4F"/>
    <w:rsid w:val="00C7603F"/>
    <w:rsid w:val="00C80ECD"/>
    <w:rsid w:val="00C8206E"/>
    <w:rsid w:val="00C83BA2"/>
    <w:rsid w:val="00C840F2"/>
    <w:rsid w:val="00C8538F"/>
    <w:rsid w:val="00C9122B"/>
    <w:rsid w:val="00C93D82"/>
    <w:rsid w:val="00C94904"/>
    <w:rsid w:val="00C9683B"/>
    <w:rsid w:val="00CA0EF6"/>
    <w:rsid w:val="00CA31DB"/>
    <w:rsid w:val="00CA4361"/>
    <w:rsid w:val="00CA4621"/>
    <w:rsid w:val="00CB21A0"/>
    <w:rsid w:val="00CB26B0"/>
    <w:rsid w:val="00CB2ACC"/>
    <w:rsid w:val="00CC0A81"/>
    <w:rsid w:val="00CC2EA3"/>
    <w:rsid w:val="00CC41D4"/>
    <w:rsid w:val="00CD2724"/>
    <w:rsid w:val="00CD33AB"/>
    <w:rsid w:val="00CD4A09"/>
    <w:rsid w:val="00CD5E71"/>
    <w:rsid w:val="00CD6B61"/>
    <w:rsid w:val="00CF08A4"/>
    <w:rsid w:val="00CF0C7B"/>
    <w:rsid w:val="00CF1C70"/>
    <w:rsid w:val="00CF291C"/>
    <w:rsid w:val="00CF4B54"/>
    <w:rsid w:val="00D02613"/>
    <w:rsid w:val="00D060F5"/>
    <w:rsid w:val="00D06613"/>
    <w:rsid w:val="00D119E0"/>
    <w:rsid w:val="00D1210A"/>
    <w:rsid w:val="00D12679"/>
    <w:rsid w:val="00D13574"/>
    <w:rsid w:val="00D13FCC"/>
    <w:rsid w:val="00D149B3"/>
    <w:rsid w:val="00D14E0D"/>
    <w:rsid w:val="00D15B9A"/>
    <w:rsid w:val="00D15D80"/>
    <w:rsid w:val="00D17D8C"/>
    <w:rsid w:val="00D21BE7"/>
    <w:rsid w:val="00D26793"/>
    <w:rsid w:val="00D27953"/>
    <w:rsid w:val="00D334C0"/>
    <w:rsid w:val="00D36619"/>
    <w:rsid w:val="00D3707C"/>
    <w:rsid w:val="00D450F4"/>
    <w:rsid w:val="00D45431"/>
    <w:rsid w:val="00D50440"/>
    <w:rsid w:val="00D505AC"/>
    <w:rsid w:val="00D50730"/>
    <w:rsid w:val="00D50E97"/>
    <w:rsid w:val="00D539DF"/>
    <w:rsid w:val="00D53B3B"/>
    <w:rsid w:val="00D542EE"/>
    <w:rsid w:val="00D54F3E"/>
    <w:rsid w:val="00D5615D"/>
    <w:rsid w:val="00D577AF"/>
    <w:rsid w:val="00D57932"/>
    <w:rsid w:val="00D65F39"/>
    <w:rsid w:val="00D664CF"/>
    <w:rsid w:val="00D67757"/>
    <w:rsid w:val="00D72D71"/>
    <w:rsid w:val="00D7654E"/>
    <w:rsid w:val="00D76D8D"/>
    <w:rsid w:val="00D83166"/>
    <w:rsid w:val="00D8329A"/>
    <w:rsid w:val="00D85475"/>
    <w:rsid w:val="00D86304"/>
    <w:rsid w:val="00D87DC8"/>
    <w:rsid w:val="00D9044D"/>
    <w:rsid w:val="00D90F3B"/>
    <w:rsid w:val="00D94EB2"/>
    <w:rsid w:val="00D96521"/>
    <w:rsid w:val="00DA2563"/>
    <w:rsid w:val="00DA318F"/>
    <w:rsid w:val="00DA380B"/>
    <w:rsid w:val="00DA5364"/>
    <w:rsid w:val="00DB160F"/>
    <w:rsid w:val="00DB2F65"/>
    <w:rsid w:val="00DB50E6"/>
    <w:rsid w:val="00DB5B28"/>
    <w:rsid w:val="00DB7459"/>
    <w:rsid w:val="00DC2BD1"/>
    <w:rsid w:val="00DC32BC"/>
    <w:rsid w:val="00DC3C54"/>
    <w:rsid w:val="00DC499D"/>
    <w:rsid w:val="00DC7034"/>
    <w:rsid w:val="00DC770C"/>
    <w:rsid w:val="00DD3685"/>
    <w:rsid w:val="00DD5A57"/>
    <w:rsid w:val="00DD5B1D"/>
    <w:rsid w:val="00DE664E"/>
    <w:rsid w:val="00DE6FEA"/>
    <w:rsid w:val="00DF29E0"/>
    <w:rsid w:val="00E00DF4"/>
    <w:rsid w:val="00E0178C"/>
    <w:rsid w:val="00E0297A"/>
    <w:rsid w:val="00E05CD7"/>
    <w:rsid w:val="00E07002"/>
    <w:rsid w:val="00E121FC"/>
    <w:rsid w:val="00E14149"/>
    <w:rsid w:val="00E155EB"/>
    <w:rsid w:val="00E17B8A"/>
    <w:rsid w:val="00E27F9E"/>
    <w:rsid w:val="00E311A1"/>
    <w:rsid w:val="00E34833"/>
    <w:rsid w:val="00E34FF9"/>
    <w:rsid w:val="00E3576F"/>
    <w:rsid w:val="00E36E35"/>
    <w:rsid w:val="00E40272"/>
    <w:rsid w:val="00E413FB"/>
    <w:rsid w:val="00E41690"/>
    <w:rsid w:val="00E41A56"/>
    <w:rsid w:val="00E41F24"/>
    <w:rsid w:val="00E4229F"/>
    <w:rsid w:val="00E42A20"/>
    <w:rsid w:val="00E4570B"/>
    <w:rsid w:val="00E45AB6"/>
    <w:rsid w:val="00E50150"/>
    <w:rsid w:val="00E501D3"/>
    <w:rsid w:val="00E53FDA"/>
    <w:rsid w:val="00E56EAE"/>
    <w:rsid w:val="00E57FEB"/>
    <w:rsid w:val="00E62EE1"/>
    <w:rsid w:val="00E656AA"/>
    <w:rsid w:val="00E6785B"/>
    <w:rsid w:val="00E67BB4"/>
    <w:rsid w:val="00E702E4"/>
    <w:rsid w:val="00E705A5"/>
    <w:rsid w:val="00E71356"/>
    <w:rsid w:val="00E713BE"/>
    <w:rsid w:val="00E715AA"/>
    <w:rsid w:val="00E718FA"/>
    <w:rsid w:val="00E73C64"/>
    <w:rsid w:val="00E761CC"/>
    <w:rsid w:val="00E76A25"/>
    <w:rsid w:val="00E82AFE"/>
    <w:rsid w:val="00E8351B"/>
    <w:rsid w:val="00E8434D"/>
    <w:rsid w:val="00E847F7"/>
    <w:rsid w:val="00E84BDF"/>
    <w:rsid w:val="00E86E6A"/>
    <w:rsid w:val="00E87230"/>
    <w:rsid w:val="00E872AD"/>
    <w:rsid w:val="00E87666"/>
    <w:rsid w:val="00E9078D"/>
    <w:rsid w:val="00E90C38"/>
    <w:rsid w:val="00E912E2"/>
    <w:rsid w:val="00E92B97"/>
    <w:rsid w:val="00E92E6C"/>
    <w:rsid w:val="00E94407"/>
    <w:rsid w:val="00E964E5"/>
    <w:rsid w:val="00E96D5C"/>
    <w:rsid w:val="00EA076E"/>
    <w:rsid w:val="00EA75E3"/>
    <w:rsid w:val="00EB19B3"/>
    <w:rsid w:val="00EB312C"/>
    <w:rsid w:val="00EC012F"/>
    <w:rsid w:val="00EC22AB"/>
    <w:rsid w:val="00EC767D"/>
    <w:rsid w:val="00ED4D77"/>
    <w:rsid w:val="00ED7DB6"/>
    <w:rsid w:val="00EE07E6"/>
    <w:rsid w:val="00EE1040"/>
    <w:rsid w:val="00EE2F7B"/>
    <w:rsid w:val="00EE35B9"/>
    <w:rsid w:val="00EE4888"/>
    <w:rsid w:val="00EE7991"/>
    <w:rsid w:val="00EF0DD2"/>
    <w:rsid w:val="00EF3196"/>
    <w:rsid w:val="00EF4BD4"/>
    <w:rsid w:val="00F00A1D"/>
    <w:rsid w:val="00F00D73"/>
    <w:rsid w:val="00F011EE"/>
    <w:rsid w:val="00F0325A"/>
    <w:rsid w:val="00F0641E"/>
    <w:rsid w:val="00F077F5"/>
    <w:rsid w:val="00F101CF"/>
    <w:rsid w:val="00F10359"/>
    <w:rsid w:val="00F11AEB"/>
    <w:rsid w:val="00F11CB6"/>
    <w:rsid w:val="00F141A0"/>
    <w:rsid w:val="00F1438C"/>
    <w:rsid w:val="00F202C6"/>
    <w:rsid w:val="00F21F0C"/>
    <w:rsid w:val="00F22CC8"/>
    <w:rsid w:val="00F2452B"/>
    <w:rsid w:val="00F27F0C"/>
    <w:rsid w:val="00F31749"/>
    <w:rsid w:val="00F3403B"/>
    <w:rsid w:val="00F360D6"/>
    <w:rsid w:val="00F37DC2"/>
    <w:rsid w:val="00F41097"/>
    <w:rsid w:val="00F4197F"/>
    <w:rsid w:val="00F42929"/>
    <w:rsid w:val="00F42B8A"/>
    <w:rsid w:val="00F44D8C"/>
    <w:rsid w:val="00F45130"/>
    <w:rsid w:val="00F47920"/>
    <w:rsid w:val="00F50035"/>
    <w:rsid w:val="00F518BA"/>
    <w:rsid w:val="00F52661"/>
    <w:rsid w:val="00F5283D"/>
    <w:rsid w:val="00F52D03"/>
    <w:rsid w:val="00F536DA"/>
    <w:rsid w:val="00F555A6"/>
    <w:rsid w:val="00F57796"/>
    <w:rsid w:val="00F61283"/>
    <w:rsid w:val="00F63A6B"/>
    <w:rsid w:val="00F65CFD"/>
    <w:rsid w:val="00F6738F"/>
    <w:rsid w:val="00F72E4D"/>
    <w:rsid w:val="00F73D80"/>
    <w:rsid w:val="00F7596E"/>
    <w:rsid w:val="00F81D99"/>
    <w:rsid w:val="00F847FF"/>
    <w:rsid w:val="00F85A84"/>
    <w:rsid w:val="00F86294"/>
    <w:rsid w:val="00F903DC"/>
    <w:rsid w:val="00F91FB7"/>
    <w:rsid w:val="00F943F8"/>
    <w:rsid w:val="00F94DA0"/>
    <w:rsid w:val="00F95020"/>
    <w:rsid w:val="00F95580"/>
    <w:rsid w:val="00FA6BE0"/>
    <w:rsid w:val="00FA72A6"/>
    <w:rsid w:val="00FB0163"/>
    <w:rsid w:val="00FB1EB5"/>
    <w:rsid w:val="00FB2B09"/>
    <w:rsid w:val="00FB3DE9"/>
    <w:rsid w:val="00FB5187"/>
    <w:rsid w:val="00FB5939"/>
    <w:rsid w:val="00FB5C0D"/>
    <w:rsid w:val="00FB5EA4"/>
    <w:rsid w:val="00FC3E48"/>
    <w:rsid w:val="00FC44AA"/>
    <w:rsid w:val="00FC4CF3"/>
    <w:rsid w:val="00FC6F7D"/>
    <w:rsid w:val="00FD026D"/>
    <w:rsid w:val="00FD0E95"/>
    <w:rsid w:val="00FD28D5"/>
    <w:rsid w:val="00FD2BC5"/>
    <w:rsid w:val="00FD3D53"/>
    <w:rsid w:val="00FE0791"/>
    <w:rsid w:val="00FE2F34"/>
    <w:rsid w:val="00FE3038"/>
    <w:rsid w:val="00FE3D42"/>
    <w:rsid w:val="00FE5094"/>
    <w:rsid w:val="00FF2345"/>
    <w:rsid w:val="00FF2520"/>
    <w:rsid w:val="00FF2E08"/>
    <w:rsid w:val="00FF4215"/>
    <w:rsid w:val="00FF4B81"/>
    <w:rsid w:val="00FF4C85"/>
    <w:rsid w:val="00FF63F7"/>
    <w:rsid w:val="00FF7BA0"/>
    <w:rsid w:val="019239B4"/>
    <w:rsid w:val="01C401C9"/>
    <w:rsid w:val="02BF3353"/>
    <w:rsid w:val="02C170CB"/>
    <w:rsid w:val="02C80459"/>
    <w:rsid w:val="02F4124E"/>
    <w:rsid w:val="04673F33"/>
    <w:rsid w:val="04826D2E"/>
    <w:rsid w:val="05A218FD"/>
    <w:rsid w:val="05CD222A"/>
    <w:rsid w:val="0618544D"/>
    <w:rsid w:val="06AB431A"/>
    <w:rsid w:val="06C00186"/>
    <w:rsid w:val="06FF3D78"/>
    <w:rsid w:val="08274A60"/>
    <w:rsid w:val="083B791F"/>
    <w:rsid w:val="08624EAC"/>
    <w:rsid w:val="089B03BE"/>
    <w:rsid w:val="09197B3E"/>
    <w:rsid w:val="093525C0"/>
    <w:rsid w:val="098D7D07"/>
    <w:rsid w:val="09BA4874"/>
    <w:rsid w:val="09C33728"/>
    <w:rsid w:val="0A5E78F5"/>
    <w:rsid w:val="0AB614DF"/>
    <w:rsid w:val="0BB66B83"/>
    <w:rsid w:val="0BB73761"/>
    <w:rsid w:val="0C3923C8"/>
    <w:rsid w:val="0C497D73"/>
    <w:rsid w:val="0C8C24F7"/>
    <w:rsid w:val="0D186481"/>
    <w:rsid w:val="0DF91E0E"/>
    <w:rsid w:val="0E347BBB"/>
    <w:rsid w:val="0E3C619F"/>
    <w:rsid w:val="0E6A2921"/>
    <w:rsid w:val="0E9272B5"/>
    <w:rsid w:val="0EC341CA"/>
    <w:rsid w:val="0ECF2B91"/>
    <w:rsid w:val="0F490B74"/>
    <w:rsid w:val="0F4E7C06"/>
    <w:rsid w:val="0F5576A6"/>
    <w:rsid w:val="0F75161B"/>
    <w:rsid w:val="0FF22FB9"/>
    <w:rsid w:val="10BD35C7"/>
    <w:rsid w:val="118A0FD0"/>
    <w:rsid w:val="11DC5CCF"/>
    <w:rsid w:val="11F70C71"/>
    <w:rsid w:val="121C5199"/>
    <w:rsid w:val="128F3808"/>
    <w:rsid w:val="12CF75E2"/>
    <w:rsid w:val="131462C7"/>
    <w:rsid w:val="133E02C4"/>
    <w:rsid w:val="13445B41"/>
    <w:rsid w:val="139B0DEE"/>
    <w:rsid w:val="13A23D92"/>
    <w:rsid w:val="13F84916"/>
    <w:rsid w:val="14642A47"/>
    <w:rsid w:val="149C4F74"/>
    <w:rsid w:val="14E47444"/>
    <w:rsid w:val="15175270"/>
    <w:rsid w:val="151948F4"/>
    <w:rsid w:val="15875690"/>
    <w:rsid w:val="15C251DC"/>
    <w:rsid w:val="160A7825"/>
    <w:rsid w:val="168510F5"/>
    <w:rsid w:val="16B0772A"/>
    <w:rsid w:val="175224D1"/>
    <w:rsid w:val="17935082"/>
    <w:rsid w:val="183A374F"/>
    <w:rsid w:val="18DE1A86"/>
    <w:rsid w:val="19043F59"/>
    <w:rsid w:val="19351120"/>
    <w:rsid w:val="19F3005A"/>
    <w:rsid w:val="1A610FBE"/>
    <w:rsid w:val="1AF1477C"/>
    <w:rsid w:val="1B634CE6"/>
    <w:rsid w:val="1B8F0552"/>
    <w:rsid w:val="1BD10986"/>
    <w:rsid w:val="1BD664C1"/>
    <w:rsid w:val="1D2027D7"/>
    <w:rsid w:val="1DC9304B"/>
    <w:rsid w:val="1DFC5003"/>
    <w:rsid w:val="1E2F362A"/>
    <w:rsid w:val="1E42335E"/>
    <w:rsid w:val="1EA51D2D"/>
    <w:rsid w:val="1EAF7D54"/>
    <w:rsid w:val="1F1D3483"/>
    <w:rsid w:val="1F3031B6"/>
    <w:rsid w:val="1FB42039"/>
    <w:rsid w:val="20646A1B"/>
    <w:rsid w:val="21026FD8"/>
    <w:rsid w:val="211704C9"/>
    <w:rsid w:val="21BC51D5"/>
    <w:rsid w:val="21E9221E"/>
    <w:rsid w:val="22050284"/>
    <w:rsid w:val="2376267A"/>
    <w:rsid w:val="238F6834"/>
    <w:rsid w:val="23A203FB"/>
    <w:rsid w:val="23FC43CB"/>
    <w:rsid w:val="241F37F9"/>
    <w:rsid w:val="249F0062"/>
    <w:rsid w:val="2513003B"/>
    <w:rsid w:val="25276E09"/>
    <w:rsid w:val="252E6649"/>
    <w:rsid w:val="253634F0"/>
    <w:rsid w:val="254C6870"/>
    <w:rsid w:val="2577623D"/>
    <w:rsid w:val="25950E63"/>
    <w:rsid w:val="25B33D6D"/>
    <w:rsid w:val="261C7BFC"/>
    <w:rsid w:val="26FB054E"/>
    <w:rsid w:val="27535154"/>
    <w:rsid w:val="27541D8F"/>
    <w:rsid w:val="27934C2A"/>
    <w:rsid w:val="27A72484"/>
    <w:rsid w:val="27D112AE"/>
    <w:rsid w:val="28092E82"/>
    <w:rsid w:val="285831A2"/>
    <w:rsid w:val="28D771B3"/>
    <w:rsid w:val="2A1150F0"/>
    <w:rsid w:val="2B1C4F36"/>
    <w:rsid w:val="2B9B40FB"/>
    <w:rsid w:val="2C931228"/>
    <w:rsid w:val="2D0E022B"/>
    <w:rsid w:val="2DB61DC2"/>
    <w:rsid w:val="2E0160AC"/>
    <w:rsid w:val="2E0203E6"/>
    <w:rsid w:val="2E222864"/>
    <w:rsid w:val="2F4862FA"/>
    <w:rsid w:val="2FC46C7B"/>
    <w:rsid w:val="316867E0"/>
    <w:rsid w:val="328417CF"/>
    <w:rsid w:val="32916000"/>
    <w:rsid w:val="32C24615"/>
    <w:rsid w:val="331C3D26"/>
    <w:rsid w:val="332561EC"/>
    <w:rsid w:val="33D3739F"/>
    <w:rsid w:val="340B78F6"/>
    <w:rsid w:val="34401C96"/>
    <w:rsid w:val="346C2A8B"/>
    <w:rsid w:val="34F03EEA"/>
    <w:rsid w:val="351E0F07"/>
    <w:rsid w:val="35CC153D"/>
    <w:rsid w:val="36AD0447"/>
    <w:rsid w:val="37C8447C"/>
    <w:rsid w:val="37DC1CD5"/>
    <w:rsid w:val="386901D1"/>
    <w:rsid w:val="38795776"/>
    <w:rsid w:val="387D7F06"/>
    <w:rsid w:val="387E0FDF"/>
    <w:rsid w:val="391D7DB8"/>
    <w:rsid w:val="39206C68"/>
    <w:rsid w:val="39494966"/>
    <w:rsid w:val="39B0341A"/>
    <w:rsid w:val="39CF77D3"/>
    <w:rsid w:val="3A7E0A06"/>
    <w:rsid w:val="3A972710"/>
    <w:rsid w:val="3A9C6148"/>
    <w:rsid w:val="3AAF1923"/>
    <w:rsid w:val="3B404329"/>
    <w:rsid w:val="3C6109FB"/>
    <w:rsid w:val="3CDE6407"/>
    <w:rsid w:val="3D65451B"/>
    <w:rsid w:val="3F543E53"/>
    <w:rsid w:val="3F9F1F66"/>
    <w:rsid w:val="3FE756BB"/>
    <w:rsid w:val="40D45C40"/>
    <w:rsid w:val="40F57964"/>
    <w:rsid w:val="41393CF5"/>
    <w:rsid w:val="416A2E22"/>
    <w:rsid w:val="41764D08"/>
    <w:rsid w:val="41B91FC2"/>
    <w:rsid w:val="42DC0DDB"/>
    <w:rsid w:val="42DE7866"/>
    <w:rsid w:val="43525542"/>
    <w:rsid w:val="43F33173"/>
    <w:rsid w:val="441B2477"/>
    <w:rsid w:val="44480AD1"/>
    <w:rsid w:val="44550E45"/>
    <w:rsid w:val="44CC6850"/>
    <w:rsid w:val="44D90D2D"/>
    <w:rsid w:val="4656787E"/>
    <w:rsid w:val="466A4950"/>
    <w:rsid w:val="46BF2EEE"/>
    <w:rsid w:val="4740699E"/>
    <w:rsid w:val="47D215BA"/>
    <w:rsid w:val="47E776CF"/>
    <w:rsid w:val="480D7C89"/>
    <w:rsid w:val="4813258B"/>
    <w:rsid w:val="489205F8"/>
    <w:rsid w:val="490364C8"/>
    <w:rsid w:val="49283DEE"/>
    <w:rsid w:val="4944592C"/>
    <w:rsid w:val="49663AF5"/>
    <w:rsid w:val="49FE715C"/>
    <w:rsid w:val="49FF361D"/>
    <w:rsid w:val="4A3D5434"/>
    <w:rsid w:val="4A7C4015"/>
    <w:rsid w:val="4AC46D25"/>
    <w:rsid w:val="4ADA20A4"/>
    <w:rsid w:val="4AE859BB"/>
    <w:rsid w:val="4B49547C"/>
    <w:rsid w:val="4BE84ADE"/>
    <w:rsid w:val="4BEA35E2"/>
    <w:rsid w:val="4BF47196"/>
    <w:rsid w:val="4C8F5111"/>
    <w:rsid w:val="4C945639"/>
    <w:rsid w:val="4CA867C7"/>
    <w:rsid w:val="4CAC7A71"/>
    <w:rsid w:val="4D48031A"/>
    <w:rsid w:val="4DCA0CD7"/>
    <w:rsid w:val="4E6F2738"/>
    <w:rsid w:val="4E822DD2"/>
    <w:rsid w:val="4EB765FC"/>
    <w:rsid w:val="4ED34C77"/>
    <w:rsid w:val="4EF574D2"/>
    <w:rsid w:val="4FC41575"/>
    <w:rsid w:val="4FD55530"/>
    <w:rsid w:val="500D6A78"/>
    <w:rsid w:val="50783615"/>
    <w:rsid w:val="525010DE"/>
    <w:rsid w:val="52C94FD2"/>
    <w:rsid w:val="531E4716"/>
    <w:rsid w:val="533E1EBC"/>
    <w:rsid w:val="53B355D7"/>
    <w:rsid w:val="53C41B44"/>
    <w:rsid w:val="53D224B3"/>
    <w:rsid w:val="53F33750"/>
    <w:rsid w:val="544E765F"/>
    <w:rsid w:val="549459BA"/>
    <w:rsid w:val="54962B89"/>
    <w:rsid w:val="54DC2EBD"/>
    <w:rsid w:val="555D2250"/>
    <w:rsid w:val="55774994"/>
    <w:rsid w:val="55F10BEA"/>
    <w:rsid w:val="561C4D71"/>
    <w:rsid w:val="569171CD"/>
    <w:rsid w:val="57F30C49"/>
    <w:rsid w:val="58C54444"/>
    <w:rsid w:val="59914276"/>
    <w:rsid w:val="5A3F4D46"/>
    <w:rsid w:val="5A443ABB"/>
    <w:rsid w:val="5A647BDD"/>
    <w:rsid w:val="5A9F0C15"/>
    <w:rsid w:val="5B08393C"/>
    <w:rsid w:val="5B2647E8"/>
    <w:rsid w:val="5BF77D2D"/>
    <w:rsid w:val="5C4A4BB0"/>
    <w:rsid w:val="5C78171D"/>
    <w:rsid w:val="5D2C38E4"/>
    <w:rsid w:val="5DA10969"/>
    <w:rsid w:val="5DFB2D6D"/>
    <w:rsid w:val="5E015742"/>
    <w:rsid w:val="5E451AD3"/>
    <w:rsid w:val="5E4F72F6"/>
    <w:rsid w:val="5E765DF7"/>
    <w:rsid w:val="5E993BCD"/>
    <w:rsid w:val="5EA26F25"/>
    <w:rsid w:val="5EB822A5"/>
    <w:rsid w:val="5ECA7822"/>
    <w:rsid w:val="5F2A342A"/>
    <w:rsid w:val="5F532457"/>
    <w:rsid w:val="5F795ED8"/>
    <w:rsid w:val="600339F4"/>
    <w:rsid w:val="61235266"/>
    <w:rsid w:val="61447E20"/>
    <w:rsid w:val="61BD7BD2"/>
    <w:rsid w:val="628F56D7"/>
    <w:rsid w:val="633640E0"/>
    <w:rsid w:val="634638C2"/>
    <w:rsid w:val="63586D06"/>
    <w:rsid w:val="639524C4"/>
    <w:rsid w:val="64267CB1"/>
    <w:rsid w:val="654467A1"/>
    <w:rsid w:val="65CD26B4"/>
    <w:rsid w:val="6619507C"/>
    <w:rsid w:val="663A6307"/>
    <w:rsid w:val="677D30E0"/>
    <w:rsid w:val="67F24A7A"/>
    <w:rsid w:val="684A6297"/>
    <w:rsid w:val="686F09A9"/>
    <w:rsid w:val="69132EFA"/>
    <w:rsid w:val="69146C72"/>
    <w:rsid w:val="696E1C4C"/>
    <w:rsid w:val="69EC54F9"/>
    <w:rsid w:val="6A3128FB"/>
    <w:rsid w:val="6A59195E"/>
    <w:rsid w:val="6B1E16E2"/>
    <w:rsid w:val="6B6A46EC"/>
    <w:rsid w:val="6B7B77ED"/>
    <w:rsid w:val="6B894FAA"/>
    <w:rsid w:val="6C164AAF"/>
    <w:rsid w:val="6C6D0B73"/>
    <w:rsid w:val="6DAA1953"/>
    <w:rsid w:val="6DCC7B1B"/>
    <w:rsid w:val="6DD01ED5"/>
    <w:rsid w:val="6E4B7D17"/>
    <w:rsid w:val="6E916298"/>
    <w:rsid w:val="6EA84809"/>
    <w:rsid w:val="6EF041DC"/>
    <w:rsid w:val="6F4B3B49"/>
    <w:rsid w:val="7004359C"/>
    <w:rsid w:val="7037434E"/>
    <w:rsid w:val="70A1528F"/>
    <w:rsid w:val="71883D59"/>
    <w:rsid w:val="71F72C8D"/>
    <w:rsid w:val="72BA11D4"/>
    <w:rsid w:val="73711C7B"/>
    <w:rsid w:val="7443665D"/>
    <w:rsid w:val="75317F36"/>
    <w:rsid w:val="7547419D"/>
    <w:rsid w:val="75E31EA6"/>
    <w:rsid w:val="76C45833"/>
    <w:rsid w:val="76FA1255"/>
    <w:rsid w:val="789E22CF"/>
    <w:rsid w:val="79116D2A"/>
    <w:rsid w:val="794A3E9B"/>
    <w:rsid w:val="79D96301"/>
    <w:rsid w:val="79F44681"/>
    <w:rsid w:val="7A4D3D91"/>
    <w:rsid w:val="7ABA34D9"/>
    <w:rsid w:val="7B080339"/>
    <w:rsid w:val="7BD754B6"/>
    <w:rsid w:val="7C5800A1"/>
    <w:rsid w:val="7C8E10F3"/>
    <w:rsid w:val="7CA57EB5"/>
    <w:rsid w:val="7CC47148"/>
    <w:rsid w:val="7CC70839"/>
    <w:rsid w:val="7D2D1C58"/>
    <w:rsid w:val="7D6C452F"/>
    <w:rsid w:val="7D80447E"/>
    <w:rsid w:val="7DFD7BEC"/>
    <w:rsid w:val="7E2117BD"/>
    <w:rsid w:val="7E2D29F3"/>
    <w:rsid w:val="7E3D1997"/>
    <w:rsid w:val="7E4253D3"/>
    <w:rsid w:val="7ED31194"/>
    <w:rsid w:val="7EFB1398"/>
    <w:rsid w:val="7FC406C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9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nhideWhenUsed="0" w:uiPriority="0" w:semiHidden="0" w:name="index 1"/>
    <w:lsdException w:uiPriority="99" w:name="index 2"/>
    <w:lsdException w:uiPriority="99" w:name="index 3"/>
    <w:lsdException w:uiPriority="99" w:name="index 4"/>
    <w:lsdException w:uiPriority="99" w:name="index 5"/>
    <w:lsdException w:qFormat="1"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qFormat="1" w:unhideWhenUsed="0" w:uiPriority="0" w:semiHidden="0" w:name="table of figures"/>
    <w:lsdException w:uiPriority="99" w:name="envelope address"/>
    <w:lsdException w:uiPriority="99" w:name="envelope return"/>
    <w:lsdException w:qFormat="1" w:unhideWhenUsed="0" w:uiPriority="0" w:name="footnote reference"/>
    <w:lsdException w:qFormat="1" w:unhideWhenUsed="0"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qFormat="1" w:uiPriority="99" w:semiHidden="0" w:name="table of authorities"/>
    <w:lsdException w:uiPriority="99" w:name="macro"/>
    <w:lsdException w:uiPriority="99" w:name="toa heading"/>
    <w:lsdException w:uiPriority="99" w:name="List"/>
    <w:lsdException w:uiPriority="99" w:name="List Bullet"/>
    <w:lsdException w:qFormat="1" w:unhideWhenUsed="0" w:uiPriority="99" w:semiHidden="0"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qFormat="1" w:unhideWhenUsed="0" w:uiPriority="99" w:semiHidden="0"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iPriority="99" w:semiHidden="0" w:name="Body Text First Indent"/>
    <w:lsdException w:uiPriority="99" w:name="Body Text First Indent 2"/>
    <w:lsdException w:uiPriority="99" w:name="Note Heading"/>
    <w:lsdException w:uiPriority="99" w:name="Body Text 2"/>
    <w:lsdException w:uiPriority="99" w:name="Body Text 3"/>
    <w:lsdException w:qFormat="1" w:unhideWhenUsed="0" w:uiPriority="99" w:semiHidden="0" w:name="Body Text Indent 2"/>
    <w:lsdException w:qFormat="1" w:unhideWhenUsed="0" w:uiPriority="99" w:semiHidden="0" w:name="Body Text Indent 3"/>
    <w:lsdException w:uiPriority="99"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qFormat="1" w:unhideWhenUsed="0" w:uiPriority="99" w:semiHidden="0" w:name="HTML Acronym"/>
    <w:lsdException w:uiPriority="99" w:name="HTML Address"/>
    <w:lsdException w:qFormat="1" w:unhideWhenUsed="0" w:uiPriority="99" w:semiHidden="0" w:name="HTML Cite"/>
    <w:lsdException w:qFormat="1" w:unhideWhenUsed="0" w:uiPriority="99" w:semiHidden="0" w:name="HTML Code"/>
    <w:lsdException w:qFormat="1" w:unhideWhenUsed="0" w:uiPriority="99" w:semiHidden="0" w:name="HTML Definition"/>
    <w:lsdException w:qFormat="1" w:unhideWhenUsed="0" w:uiPriority="99" w:semiHidden="0" w:name="HTML Keyboard"/>
    <w:lsdException w:uiPriority="99" w:name="HTML Preformatted"/>
    <w:lsdException w:qFormat="1" w:unhideWhenUsed="0" w:uiPriority="99" w:semiHidden="0" w:name="HTML Sample"/>
    <w:lsdException w:uiPriority="99" w:name="HTML Typewriter"/>
    <w:lsdException w:qFormat="1" w:unhideWhenUsed="0" w:uiPriority="99" w:semiHidden="0"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link w:val="55"/>
    <w:qFormat/>
    <w:uiPriority w:val="9"/>
    <w:pPr>
      <w:keepNext/>
      <w:widowControl/>
      <w:spacing w:before="340" w:after="330" w:line="576" w:lineRule="auto"/>
      <w:jc w:val="center"/>
      <w:outlineLvl w:val="0"/>
    </w:pPr>
    <w:rPr>
      <w:rFonts w:ascii="???" w:hAnsi="???" w:eastAsia="宋体" w:cs="Arial"/>
      <w:b/>
      <w:bCs/>
      <w:color w:val="020000"/>
      <w:kern w:val="36"/>
      <w:sz w:val="44"/>
      <w:szCs w:val="44"/>
    </w:rPr>
  </w:style>
  <w:style w:type="paragraph" w:styleId="4">
    <w:name w:val="heading 2"/>
    <w:basedOn w:val="1"/>
    <w:next w:val="1"/>
    <w:link w:val="57"/>
    <w:qFormat/>
    <w:uiPriority w:val="0"/>
    <w:pPr>
      <w:keepNext/>
      <w:widowControl/>
      <w:spacing w:before="260" w:after="260" w:line="412" w:lineRule="auto"/>
      <w:outlineLvl w:val="1"/>
    </w:pPr>
    <w:rPr>
      <w:rFonts w:ascii="???" w:hAnsi="???" w:eastAsia="宋体" w:cs="Arial"/>
      <w:b/>
      <w:bCs/>
      <w:color w:val="020000"/>
      <w:kern w:val="0"/>
      <w:sz w:val="32"/>
      <w:szCs w:val="32"/>
    </w:rPr>
  </w:style>
  <w:style w:type="paragraph" w:styleId="5">
    <w:name w:val="heading 3"/>
    <w:basedOn w:val="1"/>
    <w:next w:val="6"/>
    <w:link w:val="56"/>
    <w:qFormat/>
    <w:uiPriority w:val="99"/>
    <w:pPr>
      <w:keepNext/>
      <w:widowControl/>
      <w:spacing w:before="260" w:after="260" w:line="412" w:lineRule="auto"/>
      <w:outlineLvl w:val="2"/>
    </w:pPr>
    <w:rPr>
      <w:rFonts w:ascii="??" w:hAnsi="??" w:eastAsia="宋体" w:cs="Arial"/>
      <w:b/>
      <w:bCs/>
      <w:color w:val="000000"/>
      <w:kern w:val="0"/>
      <w:sz w:val="32"/>
      <w:szCs w:val="32"/>
    </w:rPr>
  </w:style>
  <w:style w:type="character" w:default="1" w:styleId="40">
    <w:name w:val="Default Paragraph Font"/>
    <w:semiHidden/>
    <w:unhideWhenUsed/>
    <w:qFormat/>
    <w:uiPriority w:val="1"/>
  </w:style>
  <w:style w:type="table" w:default="1" w:styleId="38">
    <w:name w:val="Normal Table"/>
    <w:semiHidden/>
    <w:unhideWhenUsed/>
    <w:qFormat/>
    <w:uiPriority w:val="99"/>
    <w:tblPr>
      <w:tblCellMar>
        <w:top w:w="0" w:type="dxa"/>
        <w:left w:w="108" w:type="dxa"/>
        <w:bottom w:w="0" w:type="dxa"/>
        <w:right w:w="108" w:type="dxa"/>
      </w:tblCellMar>
    </w:tblPr>
  </w:style>
  <w:style w:type="paragraph" w:styleId="2">
    <w:name w:val="Normal Indent"/>
    <w:basedOn w:val="1"/>
    <w:link w:val="108"/>
    <w:qFormat/>
    <w:uiPriority w:val="0"/>
    <w:pPr>
      <w:ind w:firstLine="420" w:firstLineChars="200"/>
    </w:pPr>
    <w:rPr>
      <w:rFonts w:ascii="Times New Roman" w:hAnsi="Times New Roman" w:eastAsia="宋体" w:cs="Times New Roman"/>
      <w:kern w:val="0"/>
      <w:sz w:val="24"/>
      <w:szCs w:val="20"/>
    </w:rPr>
  </w:style>
  <w:style w:type="paragraph" w:customStyle="1" w:styleId="6">
    <w:name w:val="方案正文"/>
    <w:basedOn w:val="7"/>
    <w:qFormat/>
    <w:uiPriority w:val="0"/>
    <w:pPr>
      <w:spacing w:after="0"/>
      <w:ind w:firstLine="560" w:firstLineChars="200"/>
      <w:jc w:val="left"/>
    </w:pPr>
    <w:rPr>
      <w:rFonts w:ascii="Arial" w:hAnsi="Arial" w:eastAsia="仿宋" w:cs="宋体"/>
      <w:sz w:val="28"/>
      <w:szCs w:val="21"/>
    </w:rPr>
  </w:style>
  <w:style w:type="paragraph" w:styleId="7">
    <w:name w:val="Body Text"/>
    <w:basedOn w:val="1"/>
    <w:next w:val="1"/>
    <w:link w:val="210"/>
    <w:qFormat/>
    <w:uiPriority w:val="99"/>
    <w:pPr>
      <w:spacing w:after="120"/>
    </w:pPr>
    <w:rPr>
      <w:rFonts w:ascii="Calibri" w:hAnsi="Calibri" w:eastAsia="宋体" w:cs="Times New Roman"/>
      <w:kern w:val="0"/>
      <w:sz w:val="24"/>
      <w:szCs w:val="20"/>
    </w:rPr>
  </w:style>
  <w:style w:type="paragraph" w:styleId="8">
    <w:name w:val="toc 7"/>
    <w:basedOn w:val="1"/>
    <w:next w:val="1"/>
    <w:qFormat/>
    <w:uiPriority w:val="0"/>
    <w:pPr>
      <w:ind w:left="2520" w:leftChars="1200"/>
    </w:pPr>
    <w:rPr>
      <w:rFonts w:ascii="Times New Roman" w:hAnsi="Times New Roman" w:eastAsia="宋体" w:cs="Times New Roman"/>
      <w:szCs w:val="24"/>
    </w:rPr>
  </w:style>
  <w:style w:type="paragraph" w:styleId="9">
    <w:name w:val="table of authorities"/>
    <w:basedOn w:val="1"/>
    <w:next w:val="1"/>
    <w:unhideWhenUsed/>
    <w:qFormat/>
    <w:uiPriority w:val="99"/>
    <w:pPr>
      <w:ind w:left="420" w:leftChars="200"/>
    </w:pPr>
  </w:style>
  <w:style w:type="paragraph" w:styleId="10">
    <w:name w:val="List Number"/>
    <w:basedOn w:val="1"/>
    <w:qFormat/>
    <w:uiPriority w:val="99"/>
    <w:pPr>
      <w:widowControl/>
      <w:spacing w:before="100" w:beforeAutospacing="1" w:after="100" w:afterAutospacing="1"/>
      <w:jc w:val="left"/>
    </w:pPr>
    <w:rPr>
      <w:rFonts w:ascii="宋体" w:hAnsi="宋体" w:eastAsia="宋体" w:cs="宋体"/>
      <w:kern w:val="0"/>
      <w:sz w:val="24"/>
      <w:szCs w:val="24"/>
    </w:rPr>
  </w:style>
  <w:style w:type="paragraph" w:styleId="11">
    <w:name w:val="Document Map"/>
    <w:basedOn w:val="1"/>
    <w:link w:val="126"/>
    <w:qFormat/>
    <w:uiPriority w:val="0"/>
    <w:rPr>
      <w:rFonts w:ascii="宋体" w:hAnsi="Calibri" w:eastAsia="宋体" w:cs="Times New Roman"/>
      <w:kern w:val="0"/>
      <w:sz w:val="18"/>
      <w:szCs w:val="20"/>
    </w:rPr>
  </w:style>
  <w:style w:type="paragraph" w:styleId="12">
    <w:name w:val="annotation text"/>
    <w:basedOn w:val="1"/>
    <w:link w:val="154"/>
    <w:qFormat/>
    <w:uiPriority w:val="99"/>
    <w:pPr>
      <w:jc w:val="left"/>
    </w:pPr>
  </w:style>
  <w:style w:type="paragraph" w:styleId="13">
    <w:name w:val="index 6"/>
    <w:basedOn w:val="1"/>
    <w:next w:val="1"/>
    <w:semiHidden/>
    <w:unhideWhenUsed/>
    <w:qFormat/>
    <w:uiPriority w:val="99"/>
    <w:pPr>
      <w:spacing w:beforeAutospacing="1" w:afterAutospacing="1"/>
      <w:ind w:left="1000" w:leftChars="1000"/>
    </w:pPr>
    <w:rPr>
      <w:rFonts w:ascii="Calibri" w:hAnsi="Calibri" w:eastAsia="宋体" w:cs="Times New Roman"/>
      <w:szCs w:val="21"/>
    </w:rPr>
  </w:style>
  <w:style w:type="paragraph" w:styleId="14">
    <w:name w:val="Body Text Indent"/>
    <w:basedOn w:val="1"/>
    <w:link w:val="60"/>
    <w:qFormat/>
    <w:uiPriority w:val="0"/>
    <w:pPr>
      <w:widowControl/>
      <w:spacing w:after="120"/>
      <w:ind w:left="420"/>
    </w:pPr>
    <w:rPr>
      <w:rFonts w:ascii="??" w:hAnsi="??" w:eastAsia="宋体" w:cs="Arial"/>
      <w:kern w:val="0"/>
      <w:sz w:val="24"/>
      <w:szCs w:val="24"/>
    </w:rPr>
  </w:style>
  <w:style w:type="paragraph" w:styleId="15">
    <w:name w:val="toc 5"/>
    <w:basedOn w:val="1"/>
    <w:next w:val="1"/>
    <w:qFormat/>
    <w:uiPriority w:val="0"/>
    <w:pPr>
      <w:ind w:left="1680" w:leftChars="800"/>
    </w:pPr>
    <w:rPr>
      <w:rFonts w:ascii="Times New Roman" w:hAnsi="Times New Roman" w:eastAsia="宋体" w:cs="Times New Roman"/>
      <w:szCs w:val="24"/>
    </w:rPr>
  </w:style>
  <w:style w:type="paragraph" w:styleId="16">
    <w:name w:val="toc 3"/>
    <w:basedOn w:val="1"/>
    <w:next w:val="1"/>
    <w:qFormat/>
    <w:uiPriority w:val="39"/>
    <w:pPr>
      <w:ind w:left="840" w:leftChars="400"/>
    </w:pPr>
    <w:rPr>
      <w:rFonts w:ascii="Times New Roman" w:hAnsi="Times New Roman" w:eastAsia="宋体" w:cs="Times New Roman"/>
      <w:szCs w:val="24"/>
    </w:rPr>
  </w:style>
  <w:style w:type="paragraph" w:styleId="17">
    <w:name w:val="Plain Text"/>
    <w:basedOn w:val="1"/>
    <w:link w:val="190"/>
    <w:qFormat/>
    <w:uiPriority w:val="0"/>
    <w:rPr>
      <w:rFonts w:ascii="宋体" w:hAnsi="Courier New" w:eastAsia="宋体"/>
      <w:szCs w:val="21"/>
    </w:rPr>
  </w:style>
  <w:style w:type="paragraph" w:styleId="18">
    <w:name w:val="toc 8"/>
    <w:basedOn w:val="1"/>
    <w:next w:val="1"/>
    <w:qFormat/>
    <w:uiPriority w:val="0"/>
    <w:pPr>
      <w:ind w:left="2940" w:leftChars="1400"/>
    </w:pPr>
    <w:rPr>
      <w:rFonts w:ascii="Times New Roman" w:hAnsi="Times New Roman" w:eastAsia="宋体" w:cs="Times New Roman"/>
      <w:szCs w:val="24"/>
    </w:rPr>
  </w:style>
  <w:style w:type="paragraph" w:styleId="19">
    <w:name w:val="Date"/>
    <w:basedOn w:val="1"/>
    <w:next w:val="1"/>
    <w:link w:val="149"/>
    <w:qFormat/>
    <w:uiPriority w:val="0"/>
    <w:rPr>
      <w:szCs w:val="21"/>
    </w:rPr>
  </w:style>
  <w:style w:type="paragraph" w:styleId="20">
    <w:name w:val="Body Text Indent 2"/>
    <w:basedOn w:val="1"/>
    <w:link w:val="122"/>
    <w:qFormat/>
    <w:uiPriority w:val="99"/>
    <w:pPr>
      <w:spacing w:before="100" w:beforeAutospacing="1" w:after="100" w:afterAutospacing="1" w:line="360" w:lineRule="auto"/>
      <w:ind w:firstLine="420"/>
    </w:pPr>
    <w:rPr>
      <w:rFonts w:ascii="宋体" w:hAnsi="Calibri" w:eastAsia="宋体" w:cs="Times New Roman"/>
      <w:kern w:val="0"/>
      <w:sz w:val="24"/>
      <w:szCs w:val="20"/>
    </w:rPr>
  </w:style>
  <w:style w:type="paragraph" w:styleId="21">
    <w:name w:val="Balloon Text"/>
    <w:basedOn w:val="1"/>
    <w:link w:val="72"/>
    <w:qFormat/>
    <w:uiPriority w:val="99"/>
    <w:rPr>
      <w:rFonts w:ascii="Calibri" w:hAnsi="Calibri" w:eastAsia="宋体" w:cs="Times New Roman"/>
      <w:sz w:val="18"/>
      <w:szCs w:val="18"/>
    </w:rPr>
  </w:style>
  <w:style w:type="paragraph" w:styleId="22">
    <w:name w:val="footer"/>
    <w:basedOn w:val="1"/>
    <w:link w:val="59"/>
    <w:qFormat/>
    <w:uiPriority w:val="99"/>
    <w:pPr>
      <w:tabs>
        <w:tab w:val="center" w:pos="4153"/>
        <w:tab w:val="right" w:pos="8306"/>
      </w:tabs>
      <w:snapToGrid w:val="0"/>
      <w:jc w:val="left"/>
    </w:pPr>
    <w:rPr>
      <w:rFonts w:ascii="Calibri" w:hAnsi="Calibri" w:eastAsia="宋体" w:cs="Times New Roman"/>
      <w:sz w:val="18"/>
      <w:szCs w:val="18"/>
    </w:rPr>
  </w:style>
  <w:style w:type="paragraph" w:styleId="23">
    <w:name w:val="header"/>
    <w:basedOn w:val="1"/>
    <w:link w:val="58"/>
    <w:qFormat/>
    <w:uiPriority w:val="99"/>
    <w:pPr>
      <w:pBdr>
        <w:bottom w:val="single" w:color="auto" w:sz="6" w:space="1"/>
      </w:pBdr>
      <w:tabs>
        <w:tab w:val="center" w:pos="4153"/>
        <w:tab w:val="right" w:pos="8306"/>
      </w:tabs>
      <w:snapToGrid w:val="0"/>
      <w:jc w:val="center"/>
    </w:pPr>
    <w:rPr>
      <w:rFonts w:ascii="Calibri" w:hAnsi="Calibri" w:eastAsia="宋体" w:cs="Times New Roman"/>
      <w:sz w:val="18"/>
      <w:szCs w:val="18"/>
    </w:rPr>
  </w:style>
  <w:style w:type="paragraph" w:styleId="24">
    <w:name w:val="toc 1"/>
    <w:basedOn w:val="1"/>
    <w:next w:val="1"/>
    <w:qFormat/>
    <w:uiPriority w:val="39"/>
    <w:rPr>
      <w:rFonts w:ascii="Times New Roman" w:hAnsi="Times New Roman" w:eastAsia="宋体" w:cs="Times New Roman"/>
      <w:szCs w:val="24"/>
    </w:rPr>
  </w:style>
  <w:style w:type="paragraph" w:styleId="25">
    <w:name w:val="toc 4"/>
    <w:basedOn w:val="1"/>
    <w:next w:val="1"/>
    <w:qFormat/>
    <w:uiPriority w:val="0"/>
    <w:pPr>
      <w:ind w:left="1260" w:leftChars="600"/>
    </w:pPr>
    <w:rPr>
      <w:rFonts w:ascii="Times New Roman" w:hAnsi="Times New Roman" w:eastAsia="宋体" w:cs="Times New Roman"/>
      <w:szCs w:val="24"/>
    </w:rPr>
  </w:style>
  <w:style w:type="paragraph" w:styleId="26">
    <w:name w:val="footnote text"/>
    <w:basedOn w:val="1"/>
    <w:link w:val="166"/>
    <w:semiHidden/>
    <w:qFormat/>
    <w:uiPriority w:val="0"/>
    <w:pPr>
      <w:snapToGrid w:val="0"/>
      <w:jc w:val="left"/>
    </w:pPr>
    <w:rPr>
      <w:rFonts w:ascii="Times New Roman" w:hAnsi="Times New Roman" w:eastAsia="宋体" w:cs="Times New Roman"/>
      <w:sz w:val="18"/>
      <w:szCs w:val="18"/>
    </w:rPr>
  </w:style>
  <w:style w:type="paragraph" w:styleId="27">
    <w:name w:val="toc 6"/>
    <w:basedOn w:val="1"/>
    <w:next w:val="1"/>
    <w:qFormat/>
    <w:uiPriority w:val="0"/>
    <w:pPr>
      <w:ind w:left="2100" w:leftChars="1000"/>
    </w:pPr>
    <w:rPr>
      <w:rFonts w:ascii="Times New Roman" w:hAnsi="Times New Roman" w:eastAsia="宋体" w:cs="Times New Roman"/>
      <w:szCs w:val="24"/>
    </w:rPr>
  </w:style>
  <w:style w:type="paragraph" w:styleId="28">
    <w:name w:val="Body Text Indent 3"/>
    <w:basedOn w:val="1"/>
    <w:link w:val="124"/>
    <w:qFormat/>
    <w:uiPriority w:val="99"/>
    <w:pPr>
      <w:spacing w:line="440" w:lineRule="exact"/>
      <w:ind w:firstLine="412" w:firstLineChars="200"/>
    </w:pPr>
    <w:rPr>
      <w:rFonts w:ascii="宋体" w:hAnsi="Calibri" w:eastAsia="宋体" w:cs="Times New Roman"/>
      <w:kern w:val="0"/>
      <w:sz w:val="20"/>
      <w:szCs w:val="20"/>
    </w:rPr>
  </w:style>
  <w:style w:type="paragraph" w:styleId="29">
    <w:name w:val="table of figures"/>
    <w:basedOn w:val="1"/>
    <w:next w:val="1"/>
    <w:qFormat/>
    <w:uiPriority w:val="0"/>
    <w:pPr>
      <w:ind w:left="200" w:leftChars="200" w:hanging="200" w:hangingChars="200"/>
    </w:pPr>
    <w:rPr>
      <w:rFonts w:ascii="Times New Roman" w:hAnsi="Times New Roman" w:eastAsia="宋体" w:cs="Times New Roman"/>
      <w:szCs w:val="20"/>
    </w:rPr>
  </w:style>
  <w:style w:type="paragraph" w:styleId="30">
    <w:name w:val="toc 2"/>
    <w:basedOn w:val="1"/>
    <w:next w:val="1"/>
    <w:qFormat/>
    <w:uiPriority w:val="39"/>
    <w:pPr>
      <w:ind w:left="420" w:leftChars="200"/>
    </w:pPr>
    <w:rPr>
      <w:rFonts w:ascii="Times New Roman" w:hAnsi="Times New Roman" w:eastAsia="宋体" w:cs="Times New Roman"/>
      <w:szCs w:val="24"/>
    </w:rPr>
  </w:style>
  <w:style w:type="paragraph" w:styleId="31">
    <w:name w:val="toc 9"/>
    <w:basedOn w:val="1"/>
    <w:next w:val="1"/>
    <w:qFormat/>
    <w:uiPriority w:val="0"/>
    <w:pPr>
      <w:ind w:left="3360" w:leftChars="1600"/>
    </w:pPr>
    <w:rPr>
      <w:rFonts w:ascii="Times New Roman" w:hAnsi="Times New Roman" w:eastAsia="宋体" w:cs="Times New Roman"/>
      <w:szCs w:val="24"/>
    </w:rPr>
  </w:style>
  <w:style w:type="paragraph" w:styleId="32">
    <w:name w:val="List Continue 2"/>
    <w:basedOn w:val="1"/>
    <w:qFormat/>
    <w:uiPriority w:val="99"/>
    <w:pPr>
      <w:spacing w:after="120"/>
      <w:ind w:left="840" w:leftChars="400"/>
    </w:pPr>
    <w:rPr>
      <w:rFonts w:ascii="Times New Roman" w:hAnsi="Times New Roman" w:eastAsia="宋体" w:cs="Times New Roman"/>
      <w:szCs w:val="24"/>
    </w:rPr>
  </w:style>
  <w:style w:type="paragraph" w:styleId="33">
    <w:name w:val="Normal (Web)"/>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styleId="34">
    <w:name w:val="index 1"/>
    <w:basedOn w:val="1"/>
    <w:next w:val="1"/>
    <w:qFormat/>
    <w:uiPriority w:val="0"/>
    <w:pPr>
      <w:adjustRightInd w:val="0"/>
      <w:snapToGrid w:val="0"/>
      <w:spacing w:line="300" w:lineRule="exact"/>
    </w:pPr>
    <w:rPr>
      <w:rFonts w:ascii="宋体" w:hAnsi="宋体" w:eastAsia="宋体" w:cs="Times New Roman"/>
      <w:bCs/>
      <w:sz w:val="20"/>
      <w:szCs w:val="21"/>
    </w:rPr>
  </w:style>
  <w:style w:type="paragraph" w:styleId="35">
    <w:name w:val="Title"/>
    <w:basedOn w:val="1"/>
    <w:next w:val="1"/>
    <w:link w:val="152"/>
    <w:qFormat/>
    <w:uiPriority w:val="0"/>
    <w:pPr>
      <w:spacing w:before="240" w:after="60"/>
      <w:jc w:val="center"/>
      <w:outlineLvl w:val="0"/>
    </w:pPr>
    <w:rPr>
      <w:rFonts w:ascii="Cambria" w:hAnsi="Cambria" w:cs="Times New Roman"/>
      <w:b/>
      <w:bCs/>
      <w:sz w:val="32"/>
      <w:szCs w:val="32"/>
    </w:rPr>
  </w:style>
  <w:style w:type="paragraph" w:styleId="36">
    <w:name w:val="annotation subject"/>
    <w:basedOn w:val="12"/>
    <w:next w:val="12"/>
    <w:link w:val="159"/>
    <w:qFormat/>
    <w:uiPriority w:val="0"/>
    <w:rPr>
      <w:b/>
      <w:bCs/>
    </w:rPr>
  </w:style>
  <w:style w:type="paragraph" w:styleId="37">
    <w:name w:val="Body Text First Indent"/>
    <w:basedOn w:val="7"/>
    <w:link w:val="200"/>
    <w:unhideWhenUsed/>
    <w:qFormat/>
    <w:uiPriority w:val="99"/>
    <w:pPr>
      <w:ind w:firstLine="420" w:firstLineChars="100"/>
    </w:pPr>
    <w:rPr>
      <w:rFonts w:asciiTheme="minorHAnsi" w:hAnsiTheme="minorHAnsi" w:eastAsiaTheme="minorEastAsia" w:cstheme="minorBidi"/>
      <w:kern w:val="2"/>
      <w:sz w:val="21"/>
      <w:szCs w:val="22"/>
    </w:rPr>
  </w:style>
  <w:style w:type="table" w:styleId="39">
    <w:name w:val="Table Grid"/>
    <w:basedOn w:val="38"/>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41">
    <w:name w:val="Strong"/>
    <w:basedOn w:val="40"/>
    <w:qFormat/>
    <w:uiPriority w:val="22"/>
    <w:rPr>
      <w:rFonts w:cs="Times New Roman"/>
      <w:b/>
    </w:rPr>
  </w:style>
  <w:style w:type="character" w:styleId="42">
    <w:name w:val="page number"/>
    <w:basedOn w:val="40"/>
    <w:qFormat/>
    <w:uiPriority w:val="0"/>
    <w:rPr>
      <w:rFonts w:cs="Times New Roman"/>
    </w:rPr>
  </w:style>
  <w:style w:type="character" w:styleId="43">
    <w:name w:val="FollowedHyperlink"/>
    <w:basedOn w:val="40"/>
    <w:qFormat/>
    <w:uiPriority w:val="99"/>
    <w:rPr>
      <w:rFonts w:cs="Times New Roman"/>
      <w:color w:val="555555"/>
      <w:u w:val="none"/>
    </w:rPr>
  </w:style>
  <w:style w:type="character" w:styleId="44">
    <w:name w:val="Emphasis"/>
    <w:basedOn w:val="40"/>
    <w:qFormat/>
    <w:uiPriority w:val="0"/>
    <w:rPr>
      <w:rFonts w:cs="Times New Roman"/>
      <w:i/>
    </w:rPr>
  </w:style>
  <w:style w:type="character" w:styleId="45">
    <w:name w:val="HTML Definition"/>
    <w:basedOn w:val="40"/>
    <w:qFormat/>
    <w:uiPriority w:val="99"/>
    <w:rPr>
      <w:rFonts w:cs="Times New Roman"/>
    </w:rPr>
  </w:style>
  <w:style w:type="character" w:styleId="46">
    <w:name w:val="HTML Acronym"/>
    <w:basedOn w:val="40"/>
    <w:qFormat/>
    <w:uiPriority w:val="99"/>
    <w:rPr>
      <w:rFonts w:cs="Times New Roman"/>
    </w:rPr>
  </w:style>
  <w:style w:type="character" w:styleId="47">
    <w:name w:val="HTML Variable"/>
    <w:basedOn w:val="40"/>
    <w:qFormat/>
    <w:uiPriority w:val="99"/>
    <w:rPr>
      <w:rFonts w:cs="Times New Roman"/>
    </w:rPr>
  </w:style>
  <w:style w:type="character" w:styleId="48">
    <w:name w:val="Hyperlink"/>
    <w:basedOn w:val="40"/>
    <w:qFormat/>
    <w:uiPriority w:val="99"/>
    <w:rPr>
      <w:rFonts w:cs="Times New Roman"/>
      <w:color w:val="555555"/>
      <w:u w:val="none"/>
    </w:rPr>
  </w:style>
  <w:style w:type="character" w:styleId="49">
    <w:name w:val="HTML Code"/>
    <w:basedOn w:val="40"/>
    <w:qFormat/>
    <w:uiPriority w:val="99"/>
    <w:rPr>
      <w:rFonts w:ascii="monospace" w:hAnsi="monospace" w:cs="Times New Roman"/>
      <w:sz w:val="24"/>
    </w:rPr>
  </w:style>
  <w:style w:type="character" w:styleId="50">
    <w:name w:val="annotation reference"/>
    <w:qFormat/>
    <w:uiPriority w:val="99"/>
    <w:rPr>
      <w:sz w:val="21"/>
      <w:szCs w:val="21"/>
    </w:rPr>
  </w:style>
  <w:style w:type="character" w:styleId="51">
    <w:name w:val="HTML Cite"/>
    <w:basedOn w:val="40"/>
    <w:qFormat/>
    <w:uiPriority w:val="99"/>
    <w:rPr>
      <w:rFonts w:cs="Times New Roman"/>
    </w:rPr>
  </w:style>
  <w:style w:type="character" w:styleId="52">
    <w:name w:val="footnote reference"/>
    <w:semiHidden/>
    <w:qFormat/>
    <w:uiPriority w:val="0"/>
    <w:rPr>
      <w:vertAlign w:val="superscript"/>
    </w:rPr>
  </w:style>
  <w:style w:type="character" w:styleId="53">
    <w:name w:val="HTML Keyboard"/>
    <w:basedOn w:val="40"/>
    <w:qFormat/>
    <w:uiPriority w:val="99"/>
    <w:rPr>
      <w:rFonts w:ascii="monospace" w:hAnsi="monospace" w:cs="Times New Roman"/>
      <w:sz w:val="24"/>
    </w:rPr>
  </w:style>
  <w:style w:type="character" w:styleId="54">
    <w:name w:val="HTML Sample"/>
    <w:basedOn w:val="40"/>
    <w:qFormat/>
    <w:uiPriority w:val="99"/>
    <w:rPr>
      <w:rFonts w:ascii="monospace" w:hAnsi="monospace" w:cs="Times New Roman"/>
      <w:sz w:val="24"/>
    </w:rPr>
  </w:style>
  <w:style w:type="character" w:customStyle="1" w:styleId="55">
    <w:name w:val="标题 1 字符"/>
    <w:basedOn w:val="40"/>
    <w:link w:val="3"/>
    <w:qFormat/>
    <w:uiPriority w:val="9"/>
    <w:rPr>
      <w:rFonts w:ascii="???" w:hAnsi="???" w:eastAsia="宋体" w:cs="Arial"/>
      <w:b/>
      <w:bCs/>
      <w:color w:val="020000"/>
      <w:kern w:val="36"/>
      <w:sz w:val="44"/>
      <w:szCs w:val="44"/>
    </w:rPr>
  </w:style>
  <w:style w:type="character" w:customStyle="1" w:styleId="56">
    <w:name w:val="标题 3 字符"/>
    <w:basedOn w:val="40"/>
    <w:link w:val="5"/>
    <w:qFormat/>
    <w:uiPriority w:val="0"/>
    <w:rPr>
      <w:rFonts w:ascii="??" w:hAnsi="??" w:eastAsia="宋体" w:cs="Arial"/>
      <w:b/>
      <w:bCs/>
      <w:color w:val="000000"/>
      <w:kern w:val="0"/>
      <w:sz w:val="32"/>
      <w:szCs w:val="32"/>
    </w:rPr>
  </w:style>
  <w:style w:type="character" w:customStyle="1" w:styleId="57">
    <w:name w:val="标题 2 字符"/>
    <w:basedOn w:val="40"/>
    <w:link w:val="4"/>
    <w:qFormat/>
    <w:uiPriority w:val="99"/>
    <w:rPr>
      <w:rFonts w:ascii="???" w:hAnsi="???" w:eastAsia="宋体" w:cs="Arial"/>
      <w:b/>
      <w:bCs/>
      <w:color w:val="020000"/>
      <w:kern w:val="0"/>
      <w:sz w:val="32"/>
      <w:szCs w:val="32"/>
    </w:rPr>
  </w:style>
  <w:style w:type="character" w:customStyle="1" w:styleId="58">
    <w:name w:val="页眉 字符"/>
    <w:basedOn w:val="40"/>
    <w:link w:val="23"/>
    <w:qFormat/>
    <w:uiPriority w:val="99"/>
    <w:rPr>
      <w:rFonts w:ascii="Calibri" w:hAnsi="Calibri" w:eastAsia="宋体" w:cs="Times New Roman"/>
      <w:sz w:val="18"/>
      <w:szCs w:val="18"/>
    </w:rPr>
  </w:style>
  <w:style w:type="character" w:customStyle="1" w:styleId="59">
    <w:name w:val="页脚 字符"/>
    <w:basedOn w:val="40"/>
    <w:link w:val="22"/>
    <w:qFormat/>
    <w:uiPriority w:val="99"/>
    <w:rPr>
      <w:rFonts w:ascii="Calibri" w:hAnsi="Calibri" w:eastAsia="宋体" w:cs="Times New Roman"/>
      <w:sz w:val="18"/>
      <w:szCs w:val="18"/>
    </w:rPr>
  </w:style>
  <w:style w:type="character" w:customStyle="1" w:styleId="60">
    <w:name w:val="正文文本缩进 字符"/>
    <w:basedOn w:val="40"/>
    <w:link w:val="14"/>
    <w:qFormat/>
    <w:uiPriority w:val="0"/>
    <w:rPr>
      <w:rFonts w:ascii="??" w:hAnsi="??" w:eastAsia="宋体" w:cs="Arial"/>
      <w:kern w:val="0"/>
      <w:sz w:val="24"/>
      <w:szCs w:val="24"/>
    </w:rPr>
  </w:style>
  <w:style w:type="paragraph" w:customStyle="1" w:styleId="61">
    <w:name w:val="列出段落1"/>
    <w:basedOn w:val="1"/>
    <w:qFormat/>
    <w:uiPriority w:val="34"/>
    <w:pPr>
      <w:ind w:firstLine="420" w:firstLineChars="200"/>
    </w:pPr>
    <w:rPr>
      <w:rFonts w:ascii="Calibri" w:hAnsi="Calibri" w:eastAsia="宋体" w:cs="Times New Roman"/>
    </w:rPr>
  </w:style>
  <w:style w:type="character" w:customStyle="1" w:styleId="62">
    <w:name w:val="标题 2 Char Char"/>
    <w:qFormat/>
    <w:uiPriority w:val="99"/>
    <w:rPr>
      <w:rFonts w:ascii="Arial" w:hAnsi="Arial" w:eastAsia="黑体"/>
      <w:b/>
      <w:kern w:val="2"/>
      <w:sz w:val="32"/>
      <w:lang w:val="en-US" w:eastAsia="zh-CN"/>
    </w:rPr>
  </w:style>
  <w:style w:type="character" w:customStyle="1" w:styleId="63">
    <w:name w:val="2charchar"/>
    <w:basedOn w:val="40"/>
    <w:qFormat/>
    <w:uiPriority w:val="99"/>
    <w:rPr>
      <w:rFonts w:cs="Times New Roman"/>
    </w:rPr>
  </w:style>
  <w:style w:type="paragraph" w:customStyle="1" w:styleId="64">
    <w:name w:val="表格文字"/>
    <w:basedOn w:val="1"/>
    <w:qFormat/>
    <w:uiPriority w:val="99"/>
    <w:pPr>
      <w:adjustRightInd w:val="0"/>
      <w:spacing w:line="420" w:lineRule="atLeast"/>
      <w:jc w:val="left"/>
    </w:pPr>
    <w:rPr>
      <w:rFonts w:ascii="Times New Roman" w:hAnsi="Times New Roman" w:eastAsia="宋体" w:cs="Times New Roman"/>
      <w:kern w:val="0"/>
      <w:szCs w:val="20"/>
    </w:rPr>
  </w:style>
  <w:style w:type="paragraph" w:customStyle="1" w:styleId="65">
    <w:name w:val="z-窗体顶端1"/>
    <w:basedOn w:val="1"/>
    <w:next w:val="1"/>
    <w:link w:val="66"/>
    <w:semiHidden/>
    <w:qFormat/>
    <w:uiPriority w:val="99"/>
    <w:pPr>
      <w:widowControl/>
      <w:pBdr>
        <w:bottom w:val="single" w:color="auto" w:sz="6" w:space="1"/>
      </w:pBdr>
      <w:jc w:val="center"/>
    </w:pPr>
    <w:rPr>
      <w:rFonts w:ascii="Arial" w:hAnsi="Arial" w:eastAsia="宋体" w:cs="Arial"/>
      <w:vanish/>
      <w:kern w:val="0"/>
      <w:sz w:val="16"/>
      <w:szCs w:val="16"/>
    </w:rPr>
  </w:style>
  <w:style w:type="character" w:customStyle="1" w:styleId="66">
    <w:name w:val="z-窗体顶端 Char"/>
    <w:basedOn w:val="40"/>
    <w:link w:val="65"/>
    <w:semiHidden/>
    <w:qFormat/>
    <w:uiPriority w:val="99"/>
    <w:rPr>
      <w:rFonts w:ascii="Arial" w:hAnsi="Arial" w:eastAsia="宋体" w:cs="Arial"/>
      <w:vanish/>
      <w:kern w:val="0"/>
      <w:sz w:val="16"/>
      <w:szCs w:val="16"/>
    </w:rPr>
  </w:style>
  <w:style w:type="paragraph" w:customStyle="1" w:styleId="67">
    <w:name w:val="z-窗体底端1"/>
    <w:basedOn w:val="1"/>
    <w:next w:val="1"/>
    <w:link w:val="68"/>
    <w:semiHidden/>
    <w:qFormat/>
    <w:uiPriority w:val="99"/>
    <w:pPr>
      <w:widowControl/>
      <w:pBdr>
        <w:top w:val="single" w:color="auto" w:sz="6" w:space="1"/>
      </w:pBdr>
      <w:jc w:val="center"/>
    </w:pPr>
    <w:rPr>
      <w:rFonts w:ascii="Arial" w:hAnsi="Arial" w:eastAsia="宋体" w:cs="Arial"/>
      <w:vanish/>
      <w:kern w:val="0"/>
      <w:sz w:val="16"/>
      <w:szCs w:val="16"/>
    </w:rPr>
  </w:style>
  <w:style w:type="character" w:customStyle="1" w:styleId="68">
    <w:name w:val="z-窗体底端 Char"/>
    <w:basedOn w:val="40"/>
    <w:link w:val="67"/>
    <w:semiHidden/>
    <w:qFormat/>
    <w:uiPriority w:val="99"/>
    <w:rPr>
      <w:rFonts w:ascii="Arial" w:hAnsi="Arial" w:eastAsia="宋体" w:cs="Arial"/>
      <w:vanish/>
      <w:kern w:val="0"/>
      <w:sz w:val="16"/>
      <w:szCs w:val="16"/>
    </w:rPr>
  </w:style>
  <w:style w:type="paragraph" w:customStyle="1" w:styleId="69">
    <w:name w:val="hu正文"/>
    <w:basedOn w:val="1"/>
    <w:link w:val="70"/>
    <w:qFormat/>
    <w:uiPriority w:val="99"/>
    <w:pPr>
      <w:spacing w:before="156" w:after="156" w:line="300" w:lineRule="auto"/>
      <w:ind w:firstLine="480" w:firstLineChars="200"/>
    </w:pPr>
    <w:rPr>
      <w:rFonts w:ascii="Times New Roman" w:hAnsi="Times New Roman" w:eastAsia="宋体" w:cs="Times New Roman"/>
      <w:kern w:val="0"/>
      <w:sz w:val="24"/>
      <w:szCs w:val="20"/>
    </w:rPr>
  </w:style>
  <w:style w:type="character" w:customStyle="1" w:styleId="70">
    <w:name w:val="hu正文 Char"/>
    <w:link w:val="69"/>
    <w:qFormat/>
    <w:locked/>
    <w:uiPriority w:val="99"/>
    <w:rPr>
      <w:rFonts w:ascii="Times New Roman" w:hAnsi="Times New Roman" w:eastAsia="宋体" w:cs="Times New Roman"/>
      <w:kern w:val="0"/>
      <w:sz w:val="24"/>
      <w:szCs w:val="20"/>
    </w:rPr>
  </w:style>
  <w:style w:type="paragraph" w:customStyle="1" w:styleId="71">
    <w:name w:val="无间隔1"/>
    <w:qFormat/>
    <w:uiPriority w:val="99"/>
    <w:pPr>
      <w:widowControl w:val="0"/>
      <w:jc w:val="both"/>
    </w:pPr>
    <w:rPr>
      <w:rFonts w:ascii="Calibri" w:hAnsi="Calibri" w:eastAsia="宋体" w:cs="Times New Roman"/>
      <w:kern w:val="2"/>
      <w:sz w:val="21"/>
      <w:szCs w:val="22"/>
      <w:lang w:val="en-US" w:eastAsia="zh-CN" w:bidi="ar-SA"/>
    </w:rPr>
  </w:style>
  <w:style w:type="character" w:customStyle="1" w:styleId="72">
    <w:name w:val="批注框文本 字符"/>
    <w:basedOn w:val="40"/>
    <w:link w:val="21"/>
    <w:qFormat/>
    <w:uiPriority w:val="99"/>
    <w:rPr>
      <w:rFonts w:ascii="Calibri" w:hAnsi="Calibri" w:eastAsia="宋体" w:cs="Times New Roman"/>
      <w:sz w:val="18"/>
      <w:szCs w:val="18"/>
    </w:rPr>
  </w:style>
  <w:style w:type="character" w:customStyle="1" w:styleId="73">
    <w:name w:val="ui-bz-bg-hover1"/>
    <w:basedOn w:val="40"/>
    <w:qFormat/>
    <w:uiPriority w:val="99"/>
    <w:rPr>
      <w:rFonts w:cs="Times New Roman"/>
    </w:rPr>
  </w:style>
  <w:style w:type="character" w:customStyle="1" w:styleId="74">
    <w:name w:val="批注框文本 Char1"/>
    <w:qFormat/>
    <w:uiPriority w:val="99"/>
    <w:rPr>
      <w:rFonts w:ascii="Times New Roman" w:hAnsi="Times New Roman" w:eastAsia="宋体"/>
      <w:sz w:val="18"/>
    </w:rPr>
  </w:style>
  <w:style w:type="character" w:customStyle="1" w:styleId="75">
    <w:name w:val="bds_nopic"/>
    <w:basedOn w:val="40"/>
    <w:qFormat/>
    <w:uiPriority w:val="99"/>
    <w:rPr>
      <w:rFonts w:cs="Times New Roman"/>
    </w:rPr>
  </w:style>
  <w:style w:type="character" w:customStyle="1" w:styleId="76">
    <w:name w:val="tip12"/>
    <w:qFormat/>
    <w:uiPriority w:val="99"/>
    <w:rPr>
      <w:vanish/>
      <w:color w:val="FF0000"/>
      <w:sz w:val="18"/>
    </w:rPr>
  </w:style>
  <w:style w:type="character" w:customStyle="1" w:styleId="77">
    <w:name w:val="Body Text Indent 3 Char"/>
    <w:qFormat/>
    <w:locked/>
    <w:uiPriority w:val="99"/>
    <w:rPr>
      <w:rFonts w:ascii="宋体" w:eastAsia="宋体"/>
    </w:rPr>
  </w:style>
  <w:style w:type="character" w:customStyle="1" w:styleId="78">
    <w:name w:val="HTML Markup"/>
    <w:qFormat/>
    <w:uiPriority w:val="99"/>
    <w:rPr>
      <w:vanish/>
      <w:color w:val="FF0000"/>
    </w:rPr>
  </w:style>
  <w:style w:type="character" w:customStyle="1" w:styleId="79">
    <w:name w:val="tip7"/>
    <w:qFormat/>
    <w:uiPriority w:val="99"/>
    <w:rPr>
      <w:vanish/>
      <w:color w:val="FF0000"/>
      <w:sz w:val="18"/>
    </w:rPr>
  </w:style>
  <w:style w:type="character" w:customStyle="1" w:styleId="80">
    <w:name w:val="f-star"/>
    <w:qFormat/>
    <w:uiPriority w:val="99"/>
    <w:rPr>
      <w:color w:val="999999"/>
      <w:sz w:val="21"/>
    </w:rPr>
  </w:style>
  <w:style w:type="character" w:customStyle="1" w:styleId="81">
    <w:name w:val="Document Map Char1"/>
    <w:qFormat/>
    <w:uiPriority w:val="99"/>
    <w:rPr>
      <w:rFonts w:ascii="Times New Roman" w:hAnsi="Times New Roman"/>
      <w:kern w:val="2"/>
      <w:sz w:val="2"/>
    </w:rPr>
  </w:style>
  <w:style w:type="character" w:customStyle="1" w:styleId="82">
    <w:name w:val="my-class2"/>
    <w:basedOn w:val="40"/>
    <w:qFormat/>
    <w:uiPriority w:val="99"/>
    <w:rPr>
      <w:rFonts w:cs="Times New Roman"/>
    </w:rPr>
  </w:style>
  <w:style w:type="character" w:customStyle="1" w:styleId="83">
    <w:name w:val="no52"/>
    <w:basedOn w:val="40"/>
    <w:qFormat/>
    <w:uiPriority w:val="99"/>
    <w:rPr>
      <w:rFonts w:cs="Times New Roman"/>
    </w:rPr>
  </w:style>
  <w:style w:type="character" w:customStyle="1" w:styleId="84">
    <w:name w:val="no4"/>
    <w:basedOn w:val="40"/>
    <w:qFormat/>
    <w:uiPriority w:val="99"/>
    <w:rPr>
      <w:rFonts w:cs="Times New Roman"/>
    </w:rPr>
  </w:style>
  <w:style w:type="character" w:customStyle="1" w:styleId="85">
    <w:name w:val="my-notice"/>
    <w:basedOn w:val="40"/>
    <w:qFormat/>
    <w:uiPriority w:val="99"/>
    <w:rPr>
      <w:rFonts w:cs="Times New Roman"/>
    </w:rPr>
  </w:style>
  <w:style w:type="character" w:customStyle="1" w:styleId="86">
    <w:name w:val="ico-jiang"/>
    <w:basedOn w:val="40"/>
    <w:qFormat/>
    <w:uiPriority w:val="99"/>
    <w:rPr>
      <w:rFonts w:cs="Times New Roman"/>
    </w:rPr>
  </w:style>
  <w:style w:type="character" w:customStyle="1" w:styleId="87">
    <w:name w:val="ico-jiang2"/>
    <w:basedOn w:val="40"/>
    <w:qFormat/>
    <w:uiPriority w:val="99"/>
    <w:rPr>
      <w:rFonts w:cs="Times New Roman"/>
    </w:rPr>
  </w:style>
  <w:style w:type="character" w:customStyle="1" w:styleId="88">
    <w:name w:val="bds_more1"/>
    <w:qFormat/>
    <w:uiPriority w:val="99"/>
    <w:rPr>
      <w:rFonts w:ascii="宋体" w:hAnsi="宋体" w:eastAsia="宋体"/>
    </w:rPr>
  </w:style>
  <w:style w:type="character" w:customStyle="1" w:styleId="89">
    <w:name w:val="Body Text Indent 2 Char"/>
    <w:qFormat/>
    <w:locked/>
    <w:uiPriority w:val="99"/>
    <w:rPr>
      <w:rFonts w:ascii="宋体" w:eastAsia="宋体"/>
      <w:sz w:val="24"/>
    </w:rPr>
  </w:style>
  <w:style w:type="character" w:customStyle="1" w:styleId="90">
    <w:name w:val="org_name"/>
    <w:basedOn w:val="40"/>
    <w:qFormat/>
    <w:uiPriority w:val="99"/>
    <w:rPr>
      <w:rFonts w:cs="Times New Roman"/>
    </w:rPr>
  </w:style>
  <w:style w:type="character" w:customStyle="1" w:styleId="91">
    <w:name w:val="org_name2"/>
    <w:basedOn w:val="40"/>
    <w:qFormat/>
    <w:uiPriority w:val="99"/>
    <w:rPr>
      <w:rFonts w:cs="Times New Roman"/>
    </w:rPr>
  </w:style>
  <w:style w:type="character" w:customStyle="1" w:styleId="92">
    <w:name w:val="tip10"/>
    <w:qFormat/>
    <w:uiPriority w:val="99"/>
    <w:rPr>
      <w:vanish/>
      <w:color w:val="FF0000"/>
      <w:sz w:val="18"/>
    </w:rPr>
  </w:style>
  <w:style w:type="character" w:customStyle="1" w:styleId="93">
    <w:name w:val="orange"/>
    <w:qFormat/>
    <w:uiPriority w:val="99"/>
    <w:rPr>
      <w:color w:val="3FB58F"/>
    </w:rPr>
  </w:style>
  <w:style w:type="character" w:customStyle="1" w:styleId="94">
    <w:name w:val="bds_more"/>
    <w:basedOn w:val="40"/>
    <w:qFormat/>
    <w:uiPriority w:val="99"/>
    <w:rPr>
      <w:rFonts w:cs="Times New Roman"/>
    </w:rPr>
  </w:style>
  <w:style w:type="character" w:customStyle="1" w:styleId="95">
    <w:name w:val="t-tag"/>
    <w:qFormat/>
    <w:uiPriority w:val="99"/>
    <w:rPr>
      <w:color w:val="FFFFFF"/>
      <w:sz w:val="18"/>
      <w:shd w:val="clear" w:color="auto" w:fill="FE8833"/>
    </w:rPr>
  </w:style>
  <w:style w:type="character" w:customStyle="1" w:styleId="96">
    <w:name w:val="top-icon"/>
    <w:basedOn w:val="40"/>
    <w:qFormat/>
    <w:uiPriority w:val="99"/>
    <w:rPr>
      <w:rFonts w:cs="Times New Roman"/>
    </w:rPr>
  </w:style>
  <w:style w:type="character" w:customStyle="1" w:styleId="97">
    <w:name w:val="Body Text Char"/>
    <w:qFormat/>
    <w:locked/>
    <w:uiPriority w:val="99"/>
    <w:rPr>
      <w:sz w:val="24"/>
    </w:rPr>
  </w:style>
  <w:style w:type="character" w:customStyle="1" w:styleId="98">
    <w:name w:val="no72"/>
    <w:basedOn w:val="40"/>
    <w:qFormat/>
    <w:uiPriority w:val="99"/>
    <w:rPr>
      <w:rFonts w:cs="Times New Roman"/>
    </w:rPr>
  </w:style>
  <w:style w:type="character" w:customStyle="1" w:styleId="99">
    <w:name w:val="bds_nopic2"/>
    <w:basedOn w:val="40"/>
    <w:qFormat/>
    <w:uiPriority w:val="99"/>
    <w:rPr>
      <w:rFonts w:cs="Times New Roman"/>
    </w:rPr>
  </w:style>
  <w:style w:type="character" w:customStyle="1" w:styleId="100">
    <w:name w:val="Document Map Char"/>
    <w:qFormat/>
    <w:uiPriority w:val="99"/>
    <w:rPr>
      <w:rFonts w:ascii="宋体"/>
      <w:sz w:val="18"/>
    </w:rPr>
  </w:style>
  <w:style w:type="character" w:customStyle="1" w:styleId="101">
    <w:name w:val="no6"/>
    <w:basedOn w:val="40"/>
    <w:qFormat/>
    <w:uiPriority w:val="99"/>
    <w:rPr>
      <w:rFonts w:cs="Times New Roman"/>
    </w:rPr>
  </w:style>
  <w:style w:type="character" w:customStyle="1" w:styleId="102">
    <w:name w:val="tip"/>
    <w:qFormat/>
    <w:uiPriority w:val="99"/>
    <w:rPr>
      <w:vanish/>
      <w:color w:val="FF0000"/>
      <w:sz w:val="18"/>
    </w:rPr>
  </w:style>
  <w:style w:type="character" w:customStyle="1" w:styleId="103">
    <w:name w:val="apple-converted-space"/>
    <w:basedOn w:val="40"/>
    <w:qFormat/>
    <w:uiPriority w:val="99"/>
    <w:rPr>
      <w:rFonts w:cs="Times New Roman"/>
    </w:rPr>
  </w:style>
  <w:style w:type="character" w:customStyle="1" w:styleId="104">
    <w:name w:val="bds_more2"/>
    <w:basedOn w:val="40"/>
    <w:qFormat/>
    <w:uiPriority w:val="99"/>
    <w:rPr>
      <w:rFonts w:cs="Times New Roman"/>
    </w:rPr>
  </w:style>
  <w:style w:type="character" w:customStyle="1" w:styleId="105">
    <w:name w:val="my-class"/>
    <w:basedOn w:val="40"/>
    <w:qFormat/>
    <w:uiPriority w:val="99"/>
    <w:rPr>
      <w:rFonts w:cs="Times New Roman"/>
    </w:rPr>
  </w:style>
  <w:style w:type="character" w:customStyle="1" w:styleId="106">
    <w:name w:val="ui-bz-bg-hover"/>
    <w:qFormat/>
    <w:uiPriority w:val="99"/>
    <w:rPr>
      <w:shd w:val="clear" w:color="auto" w:fill="000000"/>
    </w:rPr>
  </w:style>
  <w:style w:type="character" w:customStyle="1" w:styleId="107">
    <w:name w:val="no7"/>
    <w:basedOn w:val="40"/>
    <w:qFormat/>
    <w:uiPriority w:val="99"/>
    <w:rPr>
      <w:rFonts w:cs="Times New Roman"/>
    </w:rPr>
  </w:style>
  <w:style w:type="character" w:customStyle="1" w:styleId="108">
    <w:name w:val="正文缩进 字符"/>
    <w:link w:val="2"/>
    <w:qFormat/>
    <w:locked/>
    <w:uiPriority w:val="99"/>
    <w:rPr>
      <w:rFonts w:ascii="Times New Roman" w:hAnsi="Times New Roman" w:eastAsia="宋体" w:cs="Times New Roman"/>
      <w:kern w:val="0"/>
      <w:sz w:val="24"/>
      <w:szCs w:val="20"/>
    </w:rPr>
  </w:style>
  <w:style w:type="character" w:customStyle="1" w:styleId="109">
    <w:name w:val="ico-jiang1"/>
    <w:basedOn w:val="40"/>
    <w:qFormat/>
    <w:uiPriority w:val="99"/>
    <w:rPr>
      <w:rFonts w:cs="Times New Roman"/>
    </w:rPr>
  </w:style>
  <w:style w:type="character" w:customStyle="1" w:styleId="110">
    <w:name w:val="no62"/>
    <w:basedOn w:val="40"/>
    <w:qFormat/>
    <w:uiPriority w:val="99"/>
    <w:rPr>
      <w:rFonts w:cs="Times New Roman"/>
    </w:rPr>
  </w:style>
  <w:style w:type="character" w:customStyle="1" w:styleId="111">
    <w:name w:val="orange5"/>
    <w:qFormat/>
    <w:uiPriority w:val="99"/>
    <w:rPr>
      <w:color w:val="3FB58F"/>
    </w:rPr>
  </w:style>
  <w:style w:type="character" w:customStyle="1" w:styleId="112">
    <w:name w:val="bds_more4"/>
    <w:basedOn w:val="40"/>
    <w:qFormat/>
    <w:uiPriority w:val="99"/>
    <w:rPr>
      <w:rFonts w:cs="Times New Roman"/>
    </w:rPr>
  </w:style>
  <w:style w:type="character" w:customStyle="1" w:styleId="113">
    <w:name w:val="no5"/>
    <w:basedOn w:val="40"/>
    <w:qFormat/>
    <w:uiPriority w:val="99"/>
    <w:rPr>
      <w:rFonts w:cs="Times New Roman"/>
    </w:rPr>
  </w:style>
  <w:style w:type="character" w:customStyle="1" w:styleId="114">
    <w:name w:val="bds_more3"/>
    <w:basedOn w:val="40"/>
    <w:qFormat/>
    <w:uiPriority w:val="99"/>
    <w:rPr>
      <w:rFonts w:cs="Times New Roman"/>
    </w:rPr>
  </w:style>
  <w:style w:type="character" w:customStyle="1" w:styleId="115">
    <w:name w:val="no42"/>
    <w:basedOn w:val="40"/>
    <w:qFormat/>
    <w:uiPriority w:val="99"/>
    <w:rPr>
      <w:rFonts w:cs="Times New Roman"/>
    </w:rPr>
  </w:style>
  <w:style w:type="character" w:customStyle="1" w:styleId="116">
    <w:name w:val="bds_nopic1"/>
    <w:basedOn w:val="40"/>
    <w:qFormat/>
    <w:uiPriority w:val="99"/>
    <w:rPr>
      <w:rFonts w:cs="Times New Roman"/>
    </w:rPr>
  </w:style>
  <w:style w:type="character" w:customStyle="1" w:styleId="117">
    <w:name w:val="my-notice1"/>
    <w:basedOn w:val="40"/>
    <w:qFormat/>
    <w:uiPriority w:val="99"/>
    <w:rPr>
      <w:rFonts w:cs="Times New Roman"/>
    </w:rPr>
  </w:style>
  <w:style w:type="character" w:customStyle="1" w:styleId="118">
    <w:name w:val="orange6"/>
    <w:qFormat/>
    <w:uiPriority w:val="99"/>
    <w:rPr>
      <w:color w:val="3FB58F"/>
    </w:rPr>
  </w:style>
  <w:style w:type="character" w:customStyle="1" w:styleId="119">
    <w:name w:val="Document Map Char2"/>
    <w:qFormat/>
    <w:locked/>
    <w:uiPriority w:val="99"/>
    <w:rPr>
      <w:rFonts w:ascii="宋体"/>
      <w:sz w:val="18"/>
    </w:rPr>
  </w:style>
  <w:style w:type="character" w:customStyle="1" w:styleId="120">
    <w:name w:val="ico-jiang3"/>
    <w:basedOn w:val="40"/>
    <w:qFormat/>
    <w:uiPriority w:val="99"/>
    <w:rPr>
      <w:rFonts w:cs="Times New Roman"/>
    </w:rPr>
  </w:style>
  <w:style w:type="character" w:customStyle="1" w:styleId="121">
    <w:name w:val="tip13"/>
    <w:qFormat/>
    <w:uiPriority w:val="99"/>
    <w:rPr>
      <w:vanish/>
      <w:color w:val="FF0000"/>
      <w:sz w:val="18"/>
    </w:rPr>
  </w:style>
  <w:style w:type="character" w:customStyle="1" w:styleId="122">
    <w:name w:val="正文文本缩进 2 字符"/>
    <w:basedOn w:val="40"/>
    <w:link w:val="20"/>
    <w:qFormat/>
    <w:uiPriority w:val="99"/>
    <w:rPr>
      <w:rFonts w:ascii="宋体" w:hAnsi="Calibri" w:eastAsia="宋体" w:cs="Times New Roman"/>
      <w:kern w:val="0"/>
      <w:sz w:val="24"/>
      <w:szCs w:val="20"/>
    </w:rPr>
  </w:style>
  <w:style w:type="character" w:customStyle="1" w:styleId="123">
    <w:name w:val="Body Text Indent 2 Char1"/>
    <w:basedOn w:val="40"/>
    <w:semiHidden/>
    <w:qFormat/>
    <w:locked/>
    <w:uiPriority w:val="99"/>
    <w:rPr>
      <w:rFonts w:cs="Times New Roman"/>
    </w:rPr>
  </w:style>
  <w:style w:type="character" w:customStyle="1" w:styleId="124">
    <w:name w:val="正文文本缩进 3 字符"/>
    <w:basedOn w:val="40"/>
    <w:link w:val="28"/>
    <w:qFormat/>
    <w:uiPriority w:val="99"/>
    <w:rPr>
      <w:rFonts w:ascii="宋体" w:hAnsi="Calibri" w:eastAsia="宋体" w:cs="Times New Roman"/>
      <w:kern w:val="0"/>
      <w:sz w:val="20"/>
      <w:szCs w:val="20"/>
    </w:rPr>
  </w:style>
  <w:style w:type="character" w:customStyle="1" w:styleId="125">
    <w:name w:val="Body Text Indent 3 Char1"/>
    <w:basedOn w:val="40"/>
    <w:semiHidden/>
    <w:qFormat/>
    <w:locked/>
    <w:uiPriority w:val="99"/>
    <w:rPr>
      <w:rFonts w:cs="Times New Roman"/>
      <w:sz w:val="16"/>
      <w:szCs w:val="16"/>
    </w:rPr>
  </w:style>
  <w:style w:type="character" w:customStyle="1" w:styleId="126">
    <w:name w:val="文档结构图 字符"/>
    <w:basedOn w:val="40"/>
    <w:link w:val="11"/>
    <w:qFormat/>
    <w:uiPriority w:val="99"/>
    <w:rPr>
      <w:rFonts w:ascii="宋体" w:hAnsi="Calibri" w:eastAsia="宋体" w:cs="Times New Roman"/>
      <w:kern w:val="0"/>
      <w:sz w:val="18"/>
      <w:szCs w:val="20"/>
    </w:rPr>
  </w:style>
  <w:style w:type="character" w:customStyle="1" w:styleId="127">
    <w:name w:val="Document Map Char3"/>
    <w:basedOn w:val="40"/>
    <w:semiHidden/>
    <w:qFormat/>
    <w:locked/>
    <w:uiPriority w:val="99"/>
    <w:rPr>
      <w:rFonts w:ascii="Times New Roman" w:hAnsi="Times New Roman" w:cs="Times New Roman"/>
      <w:sz w:val="2"/>
    </w:rPr>
  </w:style>
  <w:style w:type="paragraph" w:customStyle="1" w:styleId="128">
    <w:name w:val="_Style 1"/>
    <w:basedOn w:val="1"/>
    <w:qFormat/>
    <w:uiPriority w:val="99"/>
    <w:pPr>
      <w:ind w:firstLine="420" w:firstLineChars="200"/>
    </w:pPr>
    <w:rPr>
      <w:rFonts w:ascii="Times New Roman" w:hAnsi="Times New Roman" w:eastAsia="宋体" w:cs="Times New Roman"/>
      <w:szCs w:val="24"/>
    </w:rPr>
  </w:style>
  <w:style w:type="character" w:customStyle="1" w:styleId="129">
    <w:name w:val="正文文本 Char"/>
    <w:basedOn w:val="40"/>
    <w:qFormat/>
    <w:uiPriority w:val="99"/>
    <w:rPr>
      <w:rFonts w:ascii="Calibri" w:hAnsi="Calibri" w:eastAsia="宋体" w:cs="Times New Roman"/>
      <w:kern w:val="0"/>
      <w:sz w:val="24"/>
      <w:szCs w:val="20"/>
    </w:rPr>
  </w:style>
  <w:style w:type="character" w:customStyle="1" w:styleId="130">
    <w:name w:val="Body Text Char1"/>
    <w:basedOn w:val="40"/>
    <w:semiHidden/>
    <w:qFormat/>
    <w:locked/>
    <w:uiPriority w:val="99"/>
    <w:rPr>
      <w:rFonts w:cs="Times New Roman"/>
    </w:rPr>
  </w:style>
  <w:style w:type="paragraph" w:customStyle="1" w:styleId="131">
    <w:name w:val="_Style 21"/>
    <w:basedOn w:val="1"/>
    <w:qFormat/>
    <w:uiPriority w:val="99"/>
    <w:rPr>
      <w:rFonts w:ascii="Times New Roman" w:hAnsi="Times New Roman" w:eastAsia="宋体" w:cs="Times New Roman"/>
      <w:szCs w:val="20"/>
    </w:rPr>
  </w:style>
  <w:style w:type="paragraph" w:customStyle="1" w:styleId="132">
    <w:name w:val="p0"/>
    <w:basedOn w:val="1"/>
    <w:qFormat/>
    <w:uiPriority w:val="99"/>
    <w:pPr>
      <w:widowControl/>
    </w:pPr>
    <w:rPr>
      <w:rFonts w:ascii="Times New Roman" w:hAnsi="Times New Roman" w:eastAsia="宋体" w:cs="Times New Roman"/>
      <w:kern w:val="0"/>
      <w:szCs w:val="21"/>
    </w:rPr>
  </w:style>
  <w:style w:type="paragraph" w:customStyle="1" w:styleId="133">
    <w:name w:val="xl37"/>
    <w:basedOn w:val="1"/>
    <w:qFormat/>
    <w:uiPriority w:val="0"/>
    <w:pPr>
      <w:widowControl/>
      <w:pBdr>
        <w:left w:val="single" w:color="auto" w:sz="8" w:space="0"/>
        <w:right w:val="single" w:color="auto" w:sz="4" w:space="0"/>
      </w:pBdr>
      <w:spacing w:before="100" w:beforeAutospacing="1" w:after="100" w:afterAutospacing="1"/>
      <w:jc w:val="center"/>
      <w:textAlignment w:val="center"/>
    </w:pPr>
    <w:rPr>
      <w:rFonts w:ascii="宋体" w:hAnsi="宋体" w:eastAsia="宋体" w:cs="Times New Roman"/>
      <w:kern w:val="0"/>
      <w:sz w:val="18"/>
      <w:szCs w:val="18"/>
    </w:rPr>
  </w:style>
  <w:style w:type="paragraph" w:customStyle="1" w:styleId="134">
    <w:name w:val="xl25"/>
    <w:basedOn w:val="1"/>
    <w:qFormat/>
    <w:uiPriority w:val="99"/>
    <w:pPr>
      <w:widowControl/>
      <w:spacing w:before="100" w:beforeAutospacing="1" w:after="100" w:afterAutospacing="1"/>
      <w:textAlignment w:val="center"/>
    </w:pPr>
    <w:rPr>
      <w:rFonts w:ascii="宋体" w:hAnsi="宋体" w:eastAsia="宋体" w:cs="Times New Roman"/>
      <w:kern w:val="0"/>
      <w:sz w:val="18"/>
      <w:szCs w:val="18"/>
    </w:rPr>
  </w:style>
  <w:style w:type="paragraph" w:customStyle="1" w:styleId="135">
    <w:name w:val="样式 样式 样式 样式 内容 + 首行缩进:  2 字符18 + 首行缩进:  5.71 厘米 + 首行缩进:  8.04 厘米..."/>
    <w:basedOn w:val="1"/>
    <w:qFormat/>
    <w:uiPriority w:val="99"/>
    <w:pPr>
      <w:widowControl/>
      <w:spacing w:line="360" w:lineRule="auto"/>
      <w:ind w:firstLine="425" w:firstLineChars="177"/>
      <w:jc w:val="left"/>
    </w:pPr>
    <w:rPr>
      <w:rFonts w:ascii="Trebuchet MS" w:hAnsi="Trebuchet MS" w:eastAsia="宋体" w:cs="Times New Roman"/>
      <w:color w:val="404040"/>
      <w:kern w:val="0"/>
      <w:sz w:val="24"/>
      <w:szCs w:val="20"/>
      <w:lang w:eastAsia="en-US"/>
    </w:rPr>
  </w:style>
  <w:style w:type="paragraph" w:customStyle="1" w:styleId="136">
    <w:name w:val="无间隔11"/>
    <w:qFormat/>
    <w:uiPriority w:val="99"/>
    <w:pPr>
      <w:widowControl w:val="0"/>
      <w:spacing w:line="360" w:lineRule="auto"/>
      <w:jc w:val="center"/>
    </w:pPr>
    <w:rPr>
      <w:rFonts w:ascii="Times New Roman" w:hAnsi="Times New Roman" w:eastAsia="宋体" w:cs="Times New Roman"/>
      <w:b/>
      <w:color w:val="000000"/>
      <w:kern w:val="2"/>
      <w:sz w:val="21"/>
      <w:szCs w:val="21"/>
      <w:lang w:val="zh-CN" w:eastAsia="zh-CN" w:bidi="ar-SA"/>
    </w:rPr>
  </w:style>
  <w:style w:type="paragraph" w:customStyle="1" w:styleId="137">
    <w:name w:val="列出段落11"/>
    <w:basedOn w:val="1"/>
    <w:qFormat/>
    <w:uiPriority w:val="99"/>
    <w:pPr>
      <w:ind w:firstLine="420" w:firstLineChars="200"/>
    </w:pPr>
    <w:rPr>
      <w:rFonts w:ascii="Times New Roman" w:hAnsi="Times New Roman" w:eastAsia="宋体" w:cs="Times New Roman"/>
      <w:szCs w:val="24"/>
    </w:rPr>
  </w:style>
  <w:style w:type="paragraph" w:customStyle="1" w:styleId="138">
    <w:name w:val="_Style 2"/>
    <w:basedOn w:val="1"/>
    <w:qFormat/>
    <w:uiPriority w:val="99"/>
    <w:pPr>
      <w:ind w:firstLine="420" w:firstLineChars="200"/>
    </w:pPr>
    <w:rPr>
      <w:rFonts w:ascii="Calibri" w:hAnsi="Calibri" w:eastAsia="宋体" w:cs="Times New Roman"/>
    </w:rPr>
  </w:style>
  <w:style w:type="paragraph" w:customStyle="1" w:styleId="139">
    <w:name w:val="txt14"/>
    <w:basedOn w:val="1"/>
    <w:qFormat/>
    <w:uiPriority w:val="99"/>
    <w:pPr>
      <w:widowControl/>
      <w:spacing w:before="100" w:beforeAutospacing="1" w:after="100" w:afterAutospacing="1"/>
      <w:jc w:val="left"/>
    </w:pPr>
    <w:rPr>
      <w:rFonts w:ascii="宋体" w:hAnsi="宋体" w:eastAsia="宋体" w:cs="Times New Roman"/>
      <w:color w:val="000000"/>
      <w:kern w:val="0"/>
      <w:szCs w:val="21"/>
    </w:rPr>
  </w:style>
  <w:style w:type="paragraph" w:customStyle="1" w:styleId="140">
    <w:name w:val="_Style 11"/>
    <w:basedOn w:val="1"/>
    <w:qFormat/>
    <w:uiPriority w:val="99"/>
    <w:rPr>
      <w:rFonts w:ascii="Times New Roman" w:hAnsi="Times New Roman" w:eastAsia="宋体" w:cs="Times New Roman"/>
      <w:szCs w:val="24"/>
    </w:rPr>
  </w:style>
  <w:style w:type="paragraph" w:customStyle="1" w:styleId="141">
    <w:name w:val="Char"/>
    <w:basedOn w:val="1"/>
    <w:qFormat/>
    <w:uiPriority w:val="99"/>
    <w:rPr>
      <w:rFonts w:ascii="Times New Roman" w:hAnsi="Times New Roman" w:eastAsia="宋体" w:cs="Times New Roman"/>
      <w:szCs w:val="21"/>
    </w:rPr>
  </w:style>
  <w:style w:type="paragraph" w:customStyle="1" w:styleId="142">
    <w:name w:val="列出段落12"/>
    <w:basedOn w:val="1"/>
    <w:qFormat/>
    <w:uiPriority w:val="99"/>
    <w:pPr>
      <w:ind w:firstLine="420" w:firstLineChars="200"/>
    </w:pPr>
    <w:rPr>
      <w:rFonts w:ascii="Times New Roman" w:hAnsi="Times New Roman" w:eastAsia="宋体" w:cs="Times New Roman"/>
      <w:szCs w:val="24"/>
    </w:rPr>
  </w:style>
  <w:style w:type="paragraph" w:customStyle="1" w:styleId="143">
    <w:name w:val="列出段落2"/>
    <w:basedOn w:val="1"/>
    <w:qFormat/>
    <w:uiPriority w:val="99"/>
    <w:pPr>
      <w:ind w:firstLine="420" w:firstLineChars="200"/>
    </w:pPr>
    <w:rPr>
      <w:rFonts w:ascii="Times New Roman" w:hAnsi="Times New Roman" w:eastAsia="宋体" w:cs="Times New Roman"/>
      <w:szCs w:val="24"/>
    </w:rPr>
  </w:style>
  <w:style w:type="paragraph" w:customStyle="1" w:styleId="144">
    <w:name w:val="TOC 标题1"/>
    <w:basedOn w:val="3"/>
    <w:next w:val="1"/>
    <w:qFormat/>
    <w:uiPriority w:val="39"/>
    <w:pPr>
      <w:keepLines/>
      <w:spacing w:before="480" w:after="0" w:line="276" w:lineRule="auto"/>
      <w:jc w:val="left"/>
      <w:outlineLvl w:val="9"/>
    </w:pPr>
    <w:rPr>
      <w:rFonts w:ascii="Cambria" w:hAnsi="Cambria" w:cs="Times New Roman"/>
      <w:color w:val="365F91"/>
      <w:kern w:val="0"/>
      <w:sz w:val="28"/>
      <w:szCs w:val="28"/>
    </w:rPr>
  </w:style>
  <w:style w:type="paragraph" w:customStyle="1" w:styleId="145">
    <w:name w:val="正文文本缩进 31"/>
    <w:basedOn w:val="1"/>
    <w:qFormat/>
    <w:uiPriority w:val="99"/>
    <w:pPr>
      <w:spacing w:line="440" w:lineRule="exact"/>
      <w:ind w:firstLine="412" w:firstLineChars="200"/>
    </w:pPr>
    <w:rPr>
      <w:rFonts w:ascii="宋体" w:hAnsi="宋体" w:eastAsia="宋体" w:cs="Times New Roman"/>
      <w:kern w:val="0"/>
      <w:sz w:val="20"/>
      <w:szCs w:val="20"/>
    </w:rPr>
  </w:style>
  <w:style w:type="character" w:customStyle="1" w:styleId="146">
    <w:name w:val="font41"/>
    <w:qFormat/>
    <w:uiPriority w:val="99"/>
    <w:rPr>
      <w:rFonts w:hint="eastAsia" w:ascii="宋体" w:hAnsi="宋体" w:eastAsia="宋体" w:cs="宋体"/>
      <w:b/>
      <w:color w:val="000000"/>
      <w:sz w:val="22"/>
      <w:szCs w:val="22"/>
      <w:u w:val="none"/>
    </w:rPr>
  </w:style>
  <w:style w:type="character" w:customStyle="1" w:styleId="147">
    <w:name w:val="font81"/>
    <w:qFormat/>
    <w:uiPriority w:val="99"/>
    <w:rPr>
      <w:rFonts w:hint="eastAsia" w:ascii="宋体" w:hAnsi="宋体" w:eastAsia="宋体" w:cs="宋体"/>
      <w:b/>
      <w:color w:val="000000"/>
      <w:sz w:val="22"/>
      <w:szCs w:val="22"/>
      <w:u w:val="none"/>
    </w:rPr>
  </w:style>
  <w:style w:type="character" w:customStyle="1" w:styleId="148">
    <w:name w:val="font21"/>
    <w:qFormat/>
    <w:uiPriority w:val="0"/>
    <w:rPr>
      <w:rFonts w:hint="eastAsia" w:ascii="宋体" w:hAnsi="宋体" w:eastAsia="宋体" w:cs="宋体"/>
      <w:color w:val="000000"/>
      <w:sz w:val="18"/>
      <w:szCs w:val="18"/>
      <w:u w:val="none"/>
    </w:rPr>
  </w:style>
  <w:style w:type="character" w:customStyle="1" w:styleId="149">
    <w:name w:val="日期 字符"/>
    <w:link w:val="19"/>
    <w:qFormat/>
    <w:uiPriority w:val="0"/>
    <w:rPr>
      <w:szCs w:val="21"/>
    </w:rPr>
  </w:style>
  <w:style w:type="character" w:customStyle="1" w:styleId="150">
    <w:name w:val="font01"/>
    <w:qFormat/>
    <w:uiPriority w:val="99"/>
    <w:rPr>
      <w:rFonts w:hint="eastAsia" w:ascii="宋体" w:hAnsi="宋体" w:eastAsia="宋体" w:cs="宋体"/>
      <w:color w:val="000000"/>
      <w:sz w:val="22"/>
      <w:szCs w:val="22"/>
      <w:u w:val="none"/>
    </w:rPr>
  </w:style>
  <w:style w:type="character" w:customStyle="1" w:styleId="151">
    <w:name w:val="Char Char1"/>
    <w:qFormat/>
    <w:uiPriority w:val="0"/>
    <w:rPr>
      <w:rFonts w:eastAsia="宋体"/>
      <w:kern w:val="2"/>
      <w:sz w:val="18"/>
      <w:szCs w:val="18"/>
      <w:lang w:val="en-US" w:eastAsia="zh-CN" w:bidi="ar-SA"/>
    </w:rPr>
  </w:style>
  <w:style w:type="character" w:customStyle="1" w:styleId="152">
    <w:name w:val="标题 字符"/>
    <w:link w:val="35"/>
    <w:qFormat/>
    <w:uiPriority w:val="0"/>
    <w:rPr>
      <w:rFonts w:ascii="Cambria" w:hAnsi="Cambria" w:cs="Times New Roman"/>
      <w:b/>
      <w:bCs/>
      <w:sz w:val="32"/>
      <w:szCs w:val="32"/>
    </w:rPr>
  </w:style>
  <w:style w:type="character" w:customStyle="1" w:styleId="153">
    <w:name w:val="hei141"/>
    <w:qFormat/>
    <w:uiPriority w:val="0"/>
    <w:rPr>
      <w:rFonts w:hint="eastAsia" w:ascii="宋体" w:hAnsi="宋体" w:eastAsia="宋体"/>
      <w:color w:val="000000"/>
      <w:sz w:val="19"/>
      <w:szCs w:val="19"/>
      <w:u w:val="none"/>
    </w:rPr>
  </w:style>
  <w:style w:type="character" w:customStyle="1" w:styleId="154">
    <w:name w:val="批注文字 字符"/>
    <w:link w:val="12"/>
    <w:qFormat/>
    <w:uiPriority w:val="99"/>
  </w:style>
  <w:style w:type="character" w:customStyle="1" w:styleId="155">
    <w:name w:val="apple-style-span"/>
    <w:basedOn w:val="40"/>
    <w:qFormat/>
    <w:uiPriority w:val="0"/>
  </w:style>
  <w:style w:type="character" w:customStyle="1" w:styleId="156">
    <w:name w:val="param-value"/>
    <w:qFormat/>
    <w:uiPriority w:val="99"/>
    <w:rPr>
      <w:rFonts w:cs="Times New Roman"/>
    </w:rPr>
  </w:style>
  <w:style w:type="character" w:customStyle="1" w:styleId="157">
    <w:name w:val="font61"/>
    <w:qFormat/>
    <w:uiPriority w:val="0"/>
    <w:rPr>
      <w:rFonts w:hint="eastAsia" w:ascii="宋体" w:hAnsi="宋体" w:eastAsia="宋体" w:cs="宋体"/>
      <w:color w:val="000000"/>
      <w:sz w:val="22"/>
      <w:szCs w:val="22"/>
      <w:u w:val="none"/>
    </w:rPr>
  </w:style>
  <w:style w:type="character" w:customStyle="1" w:styleId="158">
    <w:name w:val="font11"/>
    <w:qFormat/>
    <w:uiPriority w:val="0"/>
    <w:rPr>
      <w:rFonts w:hint="eastAsia" w:ascii="宋体" w:hAnsi="宋体" w:eastAsia="宋体" w:cs="宋体"/>
      <w:color w:val="FF0000"/>
      <w:sz w:val="22"/>
      <w:szCs w:val="22"/>
      <w:u w:val="none"/>
    </w:rPr>
  </w:style>
  <w:style w:type="character" w:customStyle="1" w:styleId="159">
    <w:name w:val="批注主题 字符"/>
    <w:link w:val="36"/>
    <w:qFormat/>
    <w:uiPriority w:val="0"/>
    <w:rPr>
      <w:b/>
      <w:bCs/>
    </w:rPr>
  </w:style>
  <w:style w:type="character" w:customStyle="1" w:styleId="160">
    <w:name w:val="批注文字 Char1"/>
    <w:basedOn w:val="40"/>
    <w:semiHidden/>
    <w:qFormat/>
    <w:uiPriority w:val="99"/>
  </w:style>
  <w:style w:type="paragraph" w:customStyle="1" w:styleId="161">
    <w:name w:val="内文"/>
    <w:basedOn w:val="1"/>
    <w:qFormat/>
    <w:uiPriority w:val="0"/>
    <w:pPr>
      <w:spacing w:line="500" w:lineRule="exact"/>
      <w:ind w:firstLine="560" w:firstLineChars="200"/>
    </w:pPr>
    <w:rPr>
      <w:rFonts w:ascii="方正仿宋简体" w:hAnsi="宋体" w:eastAsia="方正仿宋简体" w:cs="Times New Roman"/>
      <w:sz w:val="28"/>
      <w:szCs w:val="28"/>
    </w:rPr>
  </w:style>
  <w:style w:type="character" w:customStyle="1" w:styleId="162">
    <w:name w:val="批注主题 Char1"/>
    <w:basedOn w:val="160"/>
    <w:semiHidden/>
    <w:qFormat/>
    <w:uiPriority w:val="99"/>
    <w:rPr>
      <w:b/>
      <w:bCs/>
    </w:rPr>
  </w:style>
  <w:style w:type="paragraph" w:customStyle="1" w:styleId="163">
    <w:name w:val="reader-word-layer reader-word-s1-17"/>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164">
    <w:name w:val="日期 Char1"/>
    <w:basedOn w:val="40"/>
    <w:semiHidden/>
    <w:qFormat/>
    <w:uiPriority w:val="99"/>
  </w:style>
  <w:style w:type="paragraph" w:customStyle="1" w:styleId="165">
    <w:name w:val="reader-word-layer reader-word-s1-14"/>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166">
    <w:name w:val="脚注文本 字符"/>
    <w:basedOn w:val="40"/>
    <w:link w:val="26"/>
    <w:semiHidden/>
    <w:qFormat/>
    <w:uiPriority w:val="0"/>
    <w:rPr>
      <w:rFonts w:ascii="Times New Roman" w:hAnsi="Times New Roman" w:eastAsia="宋体" w:cs="Times New Roman"/>
      <w:sz w:val="18"/>
      <w:szCs w:val="18"/>
    </w:rPr>
  </w:style>
  <w:style w:type="paragraph" w:customStyle="1" w:styleId="167">
    <w:name w:val="reader-word-layer reader-word-s1-16"/>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68">
    <w:name w:val="reader-word-layer reader-word-s1-15"/>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169">
    <w:name w:val="标题 Char1"/>
    <w:basedOn w:val="40"/>
    <w:qFormat/>
    <w:uiPriority w:val="10"/>
    <w:rPr>
      <w:rFonts w:eastAsia="宋体" w:asciiTheme="majorHAnsi" w:hAnsiTheme="majorHAnsi" w:cstheme="majorBidi"/>
      <w:b/>
      <w:bCs/>
      <w:sz w:val="32"/>
      <w:szCs w:val="32"/>
    </w:rPr>
  </w:style>
  <w:style w:type="paragraph" w:customStyle="1" w:styleId="170">
    <w:name w:val="本文正文"/>
    <w:basedOn w:val="1"/>
    <w:qFormat/>
    <w:uiPriority w:val="0"/>
    <w:pPr>
      <w:widowControl/>
      <w:spacing w:line="480" w:lineRule="exact"/>
      <w:ind w:firstLine="200" w:firstLineChars="200"/>
      <w:jc w:val="left"/>
    </w:pPr>
    <w:rPr>
      <w:rFonts w:ascii="宋体" w:hAnsi="宋体" w:eastAsia="宋体" w:cs="Times New Roman"/>
      <w:kern w:val="0"/>
      <w:sz w:val="24"/>
      <w:szCs w:val="24"/>
    </w:rPr>
  </w:style>
  <w:style w:type="paragraph" w:customStyle="1" w:styleId="171">
    <w:name w:val="reader-word-layer reader-word-s1-18"/>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72">
    <w:name w:val="Char Char Char1 Char Char Char Char"/>
    <w:basedOn w:val="1"/>
    <w:qFormat/>
    <w:uiPriority w:val="99"/>
    <w:pPr>
      <w:spacing w:line="300" w:lineRule="auto"/>
    </w:pPr>
    <w:rPr>
      <w:rFonts w:ascii="Tahoma" w:hAnsi="Tahoma" w:eastAsia="宋体" w:cs="Times New Roman"/>
      <w:sz w:val="24"/>
      <w:szCs w:val="24"/>
    </w:rPr>
  </w:style>
  <w:style w:type="paragraph" w:customStyle="1" w:styleId="173">
    <w:name w:val="Default"/>
    <w:qFormat/>
    <w:uiPriority w:val="0"/>
    <w:pPr>
      <w:widowControl w:val="0"/>
      <w:autoSpaceDE w:val="0"/>
      <w:autoSpaceDN w:val="0"/>
      <w:adjustRightInd w:val="0"/>
      <w:jc w:val="both"/>
    </w:pPr>
    <w:rPr>
      <w:rFonts w:ascii="黑体" w:hAnsi="黑体" w:eastAsia="宋体" w:cs="黑体"/>
      <w:color w:val="000000"/>
      <w:sz w:val="24"/>
      <w:szCs w:val="24"/>
      <w:lang w:val="en-US" w:eastAsia="zh-CN" w:bidi="ar-SA"/>
    </w:rPr>
  </w:style>
  <w:style w:type="paragraph" w:customStyle="1" w:styleId="174">
    <w:name w:val="List Paragraph1"/>
    <w:basedOn w:val="1"/>
    <w:qFormat/>
    <w:uiPriority w:val="0"/>
    <w:pPr>
      <w:ind w:firstLine="420" w:firstLineChars="200"/>
    </w:pPr>
    <w:rPr>
      <w:rFonts w:ascii="Times New Roman" w:hAnsi="Times New Roman" w:eastAsia="宋体" w:cs="Times New Roman"/>
      <w:szCs w:val="24"/>
    </w:rPr>
  </w:style>
  <w:style w:type="paragraph" w:customStyle="1" w:styleId="175">
    <w:name w:val="reader-word-layer reader-word-s1-11"/>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76">
    <w:name w:val="reader-word-layer reader-word-s1-19"/>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77">
    <w:name w:val="reader-word-layer reader-word-s1-10"/>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78">
    <w:name w:val="Char Char4"/>
    <w:basedOn w:val="1"/>
    <w:qFormat/>
    <w:uiPriority w:val="0"/>
    <w:pPr>
      <w:widowControl/>
      <w:spacing w:after="160" w:line="240" w:lineRule="exact"/>
      <w:jc w:val="left"/>
    </w:pPr>
    <w:rPr>
      <w:rFonts w:ascii="Times New Roman" w:hAnsi="Times New Roman" w:eastAsia="宋体" w:cs="Times New Roman"/>
      <w:szCs w:val="24"/>
    </w:rPr>
  </w:style>
  <w:style w:type="paragraph" w:customStyle="1" w:styleId="179">
    <w:name w:val="reader-word-layer"/>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80">
    <w:name w:val="Char Char4 Char Char"/>
    <w:basedOn w:val="1"/>
    <w:qFormat/>
    <w:uiPriority w:val="0"/>
    <w:pPr>
      <w:widowControl/>
      <w:spacing w:after="160" w:line="240" w:lineRule="exact"/>
      <w:jc w:val="left"/>
    </w:pPr>
    <w:rPr>
      <w:rFonts w:ascii="Times New Roman" w:hAnsi="Times New Roman" w:eastAsia="宋体" w:cs="Times New Roman"/>
      <w:szCs w:val="24"/>
    </w:rPr>
  </w:style>
  <w:style w:type="paragraph" w:customStyle="1" w:styleId="181">
    <w:name w:val="列出段落3"/>
    <w:basedOn w:val="1"/>
    <w:qFormat/>
    <w:uiPriority w:val="0"/>
    <w:pPr>
      <w:ind w:firstLine="420" w:firstLineChars="200"/>
    </w:pPr>
    <w:rPr>
      <w:rFonts w:ascii="Times New Roman" w:hAnsi="Times New Roman" w:eastAsia="宋体" w:cs="Times New Roman"/>
      <w:szCs w:val="24"/>
    </w:rPr>
  </w:style>
  <w:style w:type="character" w:customStyle="1" w:styleId="182">
    <w:name w:val="Char Char12"/>
    <w:qFormat/>
    <w:uiPriority w:val="0"/>
    <w:rPr>
      <w:rFonts w:eastAsia="宋体"/>
      <w:kern w:val="2"/>
      <w:sz w:val="18"/>
      <w:szCs w:val="18"/>
      <w:lang w:val="en-US" w:eastAsia="zh-CN" w:bidi="ar-SA"/>
    </w:rPr>
  </w:style>
  <w:style w:type="paragraph" w:customStyle="1" w:styleId="183">
    <w:name w:val="Char Char42"/>
    <w:basedOn w:val="1"/>
    <w:qFormat/>
    <w:uiPriority w:val="0"/>
    <w:pPr>
      <w:widowControl/>
      <w:spacing w:after="160" w:line="240" w:lineRule="exact"/>
      <w:jc w:val="left"/>
    </w:pPr>
    <w:rPr>
      <w:rFonts w:ascii="Times New Roman" w:hAnsi="Times New Roman" w:eastAsia="宋体" w:cs="Times New Roman"/>
      <w:szCs w:val="24"/>
    </w:rPr>
  </w:style>
  <w:style w:type="paragraph" w:customStyle="1" w:styleId="184">
    <w:name w:val="Char Char4 Char Char2"/>
    <w:basedOn w:val="1"/>
    <w:qFormat/>
    <w:uiPriority w:val="0"/>
    <w:pPr>
      <w:widowControl/>
      <w:spacing w:after="160" w:line="240" w:lineRule="exact"/>
      <w:jc w:val="left"/>
    </w:pPr>
    <w:rPr>
      <w:rFonts w:ascii="Times New Roman" w:hAnsi="Times New Roman" w:eastAsia="宋体" w:cs="Times New Roman"/>
      <w:szCs w:val="24"/>
    </w:rPr>
  </w:style>
  <w:style w:type="paragraph" w:customStyle="1" w:styleId="185">
    <w:name w:val="列出段落4"/>
    <w:basedOn w:val="1"/>
    <w:qFormat/>
    <w:uiPriority w:val="0"/>
    <w:pPr>
      <w:ind w:firstLine="420" w:firstLineChars="200"/>
    </w:pPr>
    <w:rPr>
      <w:rFonts w:ascii="Times New Roman" w:hAnsi="Times New Roman" w:eastAsia="宋体" w:cs="Times New Roman"/>
      <w:szCs w:val="24"/>
    </w:rPr>
  </w:style>
  <w:style w:type="character" w:customStyle="1" w:styleId="186">
    <w:name w:val="Char Char11"/>
    <w:qFormat/>
    <w:uiPriority w:val="0"/>
    <w:rPr>
      <w:rFonts w:eastAsia="宋体"/>
      <w:kern w:val="2"/>
      <w:sz w:val="18"/>
      <w:szCs w:val="18"/>
      <w:lang w:val="en-US" w:eastAsia="zh-CN" w:bidi="ar-SA"/>
    </w:rPr>
  </w:style>
  <w:style w:type="paragraph" w:customStyle="1" w:styleId="187">
    <w:name w:val="Char Char41"/>
    <w:basedOn w:val="1"/>
    <w:qFormat/>
    <w:uiPriority w:val="0"/>
    <w:pPr>
      <w:widowControl/>
      <w:spacing w:after="160" w:line="240" w:lineRule="exact"/>
      <w:jc w:val="left"/>
    </w:pPr>
    <w:rPr>
      <w:rFonts w:ascii="Times New Roman" w:hAnsi="Times New Roman" w:eastAsia="宋体" w:cs="Times New Roman"/>
      <w:szCs w:val="24"/>
    </w:rPr>
  </w:style>
  <w:style w:type="paragraph" w:customStyle="1" w:styleId="188">
    <w:name w:val="Char Char4 Char Char1"/>
    <w:basedOn w:val="1"/>
    <w:qFormat/>
    <w:uiPriority w:val="0"/>
    <w:pPr>
      <w:widowControl/>
      <w:spacing w:after="160" w:line="240" w:lineRule="exact"/>
      <w:jc w:val="left"/>
    </w:pPr>
    <w:rPr>
      <w:rFonts w:ascii="Times New Roman" w:hAnsi="Times New Roman" w:eastAsia="宋体" w:cs="Times New Roman"/>
      <w:szCs w:val="24"/>
    </w:rPr>
  </w:style>
  <w:style w:type="paragraph" w:customStyle="1" w:styleId="189">
    <w:name w:val="列出段落5"/>
    <w:basedOn w:val="1"/>
    <w:qFormat/>
    <w:uiPriority w:val="0"/>
    <w:pPr>
      <w:ind w:firstLine="420" w:firstLineChars="200"/>
    </w:pPr>
    <w:rPr>
      <w:rFonts w:ascii="Times New Roman" w:hAnsi="Times New Roman" w:eastAsia="宋体" w:cs="Times New Roman"/>
      <w:szCs w:val="24"/>
    </w:rPr>
  </w:style>
  <w:style w:type="character" w:customStyle="1" w:styleId="190">
    <w:name w:val="纯文本 字符"/>
    <w:link w:val="17"/>
    <w:qFormat/>
    <w:uiPriority w:val="0"/>
    <w:rPr>
      <w:rFonts w:ascii="宋体" w:hAnsi="Courier New" w:eastAsia="宋体"/>
      <w:szCs w:val="21"/>
    </w:rPr>
  </w:style>
  <w:style w:type="character" w:customStyle="1" w:styleId="191">
    <w:name w:val="纯文本 Char1"/>
    <w:basedOn w:val="40"/>
    <w:semiHidden/>
    <w:qFormat/>
    <w:uiPriority w:val="99"/>
    <w:rPr>
      <w:rFonts w:ascii="宋体" w:hAnsi="Courier New" w:eastAsia="宋体" w:cs="Courier New"/>
      <w:szCs w:val="21"/>
    </w:rPr>
  </w:style>
  <w:style w:type="paragraph" w:customStyle="1" w:styleId="192">
    <w:name w:val="缺省文本"/>
    <w:qFormat/>
    <w:uiPriority w:val="0"/>
    <w:pPr>
      <w:widowControl w:val="0"/>
      <w:autoSpaceDE w:val="0"/>
      <w:autoSpaceDN w:val="0"/>
      <w:adjustRightInd w:val="0"/>
    </w:pPr>
    <w:rPr>
      <w:rFonts w:ascii="Times New Roman" w:hAnsi="Times New Roman" w:eastAsia="宋体" w:cs="Times New Roman"/>
      <w:color w:val="000000"/>
      <w:szCs w:val="24"/>
      <w:lang w:val="en-US" w:eastAsia="zh-CN" w:bidi="ar-SA"/>
    </w:rPr>
  </w:style>
  <w:style w:type="paragraph" w:customStyle="1" w:styleId="193">
    <w:name w:val="Default Tex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194">
    <w:name w:val="样式4"/>
    <w:basedOn w:val="1"/>
    <w:qFormat/>
    <w:uiPriority w:val="0"/>
    <w:pPr>
      <w:adjustRightInd w:val="0"/>
      <w:spacing w:line="480" w:lineRule="auto"/>
      <w:textAlignment w:val="baseline"/>
    </w:pPr>
    <w:rPr>
      <w:rFonts w:ascii="Times New Roman" w:hAnsi="Times New Roman" w:eastAsia="黑体" w:cs="Times New Roman"/>
      <w:spacing w:val="10"/>
      <w:kern w:val="28"/>
      <w:sz w:val="48"/>
      <w:szCs w:val="20"/>
    </w:rPr>
  </w:style>
  <w:style w:type="paragraph" w:customStyle="1" w:styleId="195">
    <w:name w:val="正文缩进2格"/>
    <w:basedOn w:val="1"/>
    <w:link w:val="196"/>
    <w:qFormat/>
    <w:uiPriority w:val="0"/>
    <w:pPr>
      <w:spacing w:line="600" w:lineRule="exact"/>
      <w:ind w:firstLine="639" w:firstLineChars="206"/>
    </w:pPr>
    <w:rPr>
      <w:rFonts w:ascii="仿宋_GB2312" w:hAnsi="宋体" w:eastAsia="仿宋_GB2312" w:cs="Times New Roman"/>
      <w:sz w:val="31"/>
      <w:szCs w:val="28"/>
    </w:rPr>
  </w:style>
  <w:style w:type="character" w:customStyle="1" w:styleId="196">
    <w:name w:val="正文缩进2格 Char"/>
    <w:link w:val="195"/>
    <w:qFormat/>
    <w:uiPriority w:val="0"/>
    <w:rPr>
      <w:rFonts w:ascii="仿宋_GB2312" w:hAnsi="宋体" w:eastAsia="仿宋_GB2312" w:cs="Times New Roman"/>
      <w:sz w:val="31"/>
      <w:szCs w:val="28"/>
    </w:rPr>
  </w:style>
  <w:style w:type="paragraph" w:customStyle="1" w:styleId="197">
    <w:name w:val="文件抬头"/>
    <w:qFormat/>
    <w:uiPriority w:val="0"/>
    <w:pPr>
      <w:widowControl w:val="0"/>
      <w:jc w:val="both"/>
    </w:pPr>
    <w:rPr>
      <w:rFonts w:ascii="Calibri" w:hAnsi="Calibri" w:eastAsia="仿宋_GB2312" w:cs="Times New Roman"/>
      <w:kern w:val="2"/>
      <w:sz w:val="32"/>
      <w:szCs w:val="21"/>
      <w:lang w:val="en-US" w:eastAsia="zh-CN" w:bidi="ar-SA"/>
    </w:rPr>
  </w:style>
  <w:style w:type="paragraph" w:styleId="198">
    <w:name w:val="List Paragraph"/>
    <w:basedOn w:val="1"/>
    <w:qFormat/>
    <w:uiPriority w:val="34"/>
    <w:pPr>
      <w:ind w:firstLine="420" w:firstLineChars="200"/>
    </w:pPr>
  </w:style>
  <w:style w:type="paragraph" w:customStyle="1" w:styleId="199">
    <w:name w:val="普通正文"/>
    <w:basedOn w:val="1"/>
    <w:qFormat/>
    <w:uiPriority w:val="0"/>
    <w:pPr>
      <w:adjustRightInd w:val="0"/>
      <w:spacing w:before="120" w:after="120" w:line="360" w:lineRule="auto"/>
      <w:ind w:left="50" w:leftChars="50" w:right="50" w:rightChars="50" w:firstLine="480" w:firstLineChars="200"/>
      <w:jc w:val="left"/>
      <w:textAlignment w:val="baseline"/>
    </w:pPr>
    <w:rPr>
      <w:rFonts w:ascii="Arial" w:hAnsi="Arial" w:eastAsia="宋体" w:cs="Times New Roman"/>
      <w:kern w:val="0"/>
      <w:sz w:val="24"/>
      <w:szCs w:val="24"/>
    </w:rPr>
  </w:style>
  <w:style w:type="character" w:customStyle="1" w:styleId="200">
    <w:name w:val="正文文本首行缩进 字符"/>
    <w:basedOn w:val="129"/>
    <w:link w:val="37"/>
    <w:qFormat/>
    <w:uiPriority w:val="99"/>
    <w:rPr>
      <w:rFonts w:asciiTheme="minorHAnsi" w:hAnsiTheme="minorHAnsi" w:eastAsiaTheme="minorEastAsia" w:cstheme="minorBidi"/>
      <w:kern w:val="2"/>
      <w:sz w:val="21"/>
      <w:szCs w:val="22"/>
    </w:rPr>
  </w:style>
  <w:style w:type="paragraph" w:customStyle="1" w:styleId="201">
    <w:name w:val="Table Paragraph"/>
    <w:basedOn w:val="1"/>
    <w:qFormat/>
    <w:uiPriority w:val="1"/>
    <w:pPr>
      <w:autoSpaceDE w:val="0"/>
      <w:autoSpaceDN w:val="0"/>
      <w:jc w:val="left"/>
    </w:pPr>
    <w:rPr>
      <w:rFonts w:ascii="宋体" w:hAnsi="宋体" w:eastAsia="宋体" w:cs="宋体"/>
      <w:kern w:val="0"/>
      <w:sz w:val="22"/>
    </w:rPr>
  </w:style>
  <w:style w:type="paragraph" w:customStyle="1" w:styleId="202">
    <w:name w:val="标书正文"/>
    <w:basedOn w:val="1"/>
    <w:qFormat/>
    <w:uiPriority w:val="0"/>
    <w:pPr>
      <w:spacing w:line="560" w:lineRule="exact"/>
      <w:ind w:firstLine="723" w:firstLineChars="200"/>
      <w:jc w:val="center"/>
    </w:pPr>
    <w:rPr>
      <w:rFonts w:ascii="仿宋_GB2312" w:hAnsi="Times New Roman" w:eastAsia="仿宋_GB2312" w:cs="Times New Roman"/>
      <w:b/>
      <w:sz w:val="36"/>
      <w:szCs w:val="20"/>
    </w:rPr>
  </w:style>
  <w:style w:type="paragraph" w:customStyle="1" w:styleId="203">
    <w:name w:val="表格"/>
    <w:qFormat/>
    <w:uiPriority w:val="0"/>
    <w:pPr>
      <w:adjustRightInd w:val="0"/>
      <w:snapToGrid w:val="0"/>
      <w:spacing w:before="20" w:after="20"/>
      <w:jc w:val="center"/>
      <w:textAlignment w:val="baseline"/>
    </w:pPr>
    <w:rPr>
      <w:rFonts w:ascii="Arial" w:hAnsi="Arial" w:eastAsia="宋体" w:cs="Times New Roman"/>
      <w:snapToGrid w:val="0"/>
      <w:sz w:val="21"/>
      <w:lang w:val="en-US" w:eastAsia="zh-CN" w:bidi="ar-SA"/>
    </w:rPr>
  </w:style>
  <w:style w:type="paragraph" w:customStyle="1" w:styleId="204">
    <w:name w:val="Normal_6"/>
    <w:qFormat/>
    <w:uiPriority w:val="0"/>
    <w:rPr>
      <w:rFonts w:ascii="宋体" w:hAnsi="宋体" w:eastAsia="宋体" w:cs="Times New Roman"/>
      <w:sz w:val="24"/>
      <w:szCs w:val="24"/>
      <w:lang w:val="en-US" w:eastAsia="zh-CN" w:bidi="ar-SA"/>
    </w:rPr>
  </w:style>
  <w:style w:type="paragraph" w:customStyle="1" w:styleId="205">
    <w:name w:val="样式  + 首行缩进:  2 字符"/>
    <w:basedOn w:val="1"/>
    <w:qFormat/>
    <w:uiPriority w:val="0"/>
    <w:pPr>
      <w:adjustRightInd w:val="0"/>
      <w:spacing w:line="360" w:lineRule="auto"/>
      <w:ind w:firstLine="524" w:firstLineChars="200"/>
    </w:pPr>
    <w:rPr>
      <w:rFonts w:ascii="宋体" w:hAnsi="宋体"/>
      <w:snapToGrid w:val="0"/>
      <w:spacing w:val="11"/>
      <w:kern w:val="0"/>
      <w:sz w:val="24"/>
      <w:szCs w:val="24"/>
    </w:rPr>
  </w:style>
  <w:style w:type="paragraph" w:customStyle="1" w:styleId="206">
    <w:name w:val="正文（深信服科技）"/>
    <w:qFormat/>
    <w:uiPriority w:val="0"/>
    <w:pPr>
      <w:adjustRightInd w:val="0"/>
      <w:snapToGrid w:val="0"/>
      <w:spacing w:line="360" w:lineRule="auto"/>
      <w:ind w:firstLine="480" w:firstLineChars="200"/>
      <w:jc w:val="both"/>
    </w:pPr>
    <w:rPr>
      <w:rFonts w:ascii="Times New Roman" w:hAnsi="Times New Roman" w:eastAsia="宋体" w:cs="Times New Roman"/>
      <w:sz w:val="24"/>
      <w:szCs w:val="21"/>
      <w:lang w:val="en-US" w:eastAsia="zh-CN" w:bidi="ar-SA"/>
    </w:rPr>
  </w:style>
  <w:style w:type="paragraph" w:customStyle="1" w:styleId="207">
    <w:name w:val="段"/>
    <w:qFormat/>
    <w:uiPriority w:val="0"/>
    <w:pPr>
      <w:autoSpaceDE w:val="0"/>
      <w:autoSpaceDN w:val="0"/>
      <w:spacing w:line="360" w:lineRule="auto"/>
      <w:ind w:firstLine="200" w:firstLineChars="200"/>
      <w:jc w:val="both"/>
    </w:pPr>
    <w:rPr>
      <w:rFonts w:ascii="宋体" w:hAnsi="Verdana" w:eastAsia="宋体" w:cs="Times New Roman"/>
      <w:kern w:val="2"/>
      <w:sz w:val="21"/>
      <w:szCs w:val="24"/>
      <w:lang w:val="en-US" w:eastAsia="zh-CN" w:bidi="ar-SA"/>
    </w:rPr>
  </w:style>
  <w:style w:type="paragraph" w:customStyle="1" w:styleId="208">
    <w:name w:val="正文1"/>
    <w:basedOn w:val="1"/>
    <w:qFormat/>
    <w:uiPriority w:val="0"/>
    <w:pPr>
      <w:spacing w:line="480" w:lineRule="exact"/>
      <w:ind w:firstLine="480" w:firstLineChars="200"/>
    </w:pPr>
    <w:rPr>
      <w:rFonts w:ascii="宋体"/>
      <w:sz w:val="24"/>
    </w:rPr>
  </w:style>
  <w:style w:type="paragraph" w:customStyle="1" w:styleId="209">
    <w:name w:val="正文首行缩进1"/>
    <w:basedOn w:val="7"/>
    <w:hidden/>
    <w:qFormat/>
    <w:uiPriority w:val="0"/>
    <w:pPr>
      <w:spacing w:beforeAutospacing="1"/>
      <w:ind w:firstLine="420" w:firstLineChars="100"/>
    </w:pPr>
    <w:rPr>
      <w:kern w:val="2"/>
      <w:sz w:val="21"/>
      <w:szCs w:val="21"/>
    </w:rPr>
  </w:style>
  <w:style w:type="character" w:customStyle="1" w:styleId="210">
    <w:name w:val="正文文本 字符"/>
    <w:basedOn w:val="40"/>
    <w:link w:val="7"/>
    <w:qFormat/>
    <w:uiPriority w:val="0"/>
    <w:rPr>
      <w:rFonts w:hint="default" w:ascii="Calibri" w:hAnsi="Calibri" w:eastAsia="宋体" w:cs="Times New Roman"/>
      <w:kern w:val="2"/>
      <w:sz w:val="21"/>
      <w:szCs w:val="21"/>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1.xml"/><Relationship Id="rId13" Type="http://schemas.openxmlformats.org/officeDocument/2006/relationships/numbering" Target="numbering.xml"/><Relationship Id="rId12" Type="http://schemas.openxmlformats.org/officeDocument/2006/relationships/image" Target="media/image2.png"/><Relationship Id="rId11" Type="http://schemas.openxmlformats.org/officeDocument/2006/relationships/image" Target="media/image1.png"/><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8E2685-1C30-4D14-BD80-1CE278607478}">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57</Pages>
  <Words>32693</Words>
  <Characters>34279</Characters>
  <Lines>273</Lines>
  <Paragraphs>76</Paragraphs>
  <TotalTime>12</TotalTime>
  <ScaleCrop>false</ScaleCrop>
  <LinksUpToDate>false</LinksUpToDate>
  <CharactersWithSpaces>35433</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2022-03-22T02:27:00Z</dcterms:created>
  <dc:creator>Administrator</dc:creator>
  <cp:lastModifiedBy>Evolution</cp:lastModifiedBy>
  <cp:lastPrinted>2022-10-03T07:49:00Z</cp:lastPrinted>
  <dcterms:modified xsi:type="dcterms:W3CDTF">2022-10-10T09:16:31Z</dcterms:modified>
  <cp:revision>55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51B9C6DF4AB64D3F96178374FA68D7AC</vt:lpwstr>
  </property>
</Properties>
</file>