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360" w:lineRule="auto"/>
        <w:jc w:val="center"/>
        <w:rPr>
          <w:rFonts w:hint="eastAsia" w:ascii="宋体" w:hAnsi="宋体" w:cs="宋体"/>
          <w:b/>
          <w:bCs/>
          <w:color w:val="auto"/>
          <w:sz w:val="52"/>
          <w:szCs w:val="52"/>
          <w:highlight w:val="none"/>
        </w:rPr>
      </w:pPr>
    </w:p>
    <w:p>
      <w:pPr>
        <w:pStyle w:val="23"/>
        <w:tabs>
          <w:tab w:val="left" w:pos="7952"/>
        </w:tabs>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rPr>
        <w:t>轮台县农业农村局项目竣工决算编制</w:t>
      </w:r>
    </w:p>
    <w:p>
      <w:pPr>
        <w:pStyle w:val="23"/>
        <w:spacing w:line="360" w:lineRule="auto"/>
        <w:jc w:val="center"/>
        <w:rPr>
          <w:rFonts w:hint="eastAsia" w:ascii="宋体" w:hAnsi="宋体" w:cs="宋体"/>
          <w:b/>
          <w:bCs/>
          <w:color w:val="auto"/>
          <w:highlight w:val="none"/>
        </w:rPr>
      </w:pPr>
    </w:p>
    <w:p>
      <w:pPr>
        <w:pStyle w:val="23"/>
        <w:spacing w:line="360" w:lineRule="auto"/>
        <w:jc w:val="center"/>
        <w:rPr>
          <w:rFonts w:hint="eastAsia" w:ascii="宋体" w:hAnsi="宋体" w:cs="宋体"/>
          <w:b/>
          <w:bCs/>
          <w:color w:val="auto"/>
          <w:highlight w:val="none"/>
        </w:rPr>
      </w:pPr>
    </w:p>
    <w:p>
      <w:pPr>
        <w:pStyle w:val="23"/>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23"/>
        <w:spacing w:line="360" w:lineRule="auto"/>
        <w:jc w:val="center"/>
        <w:rPr>
          <w:rFonts w:hint="eastAsia" w:ascii="宋体" w:hAnsi="宋体" w:cs="宋体"/>
          <w:b/>
          <w:bCs/>
          <w:color w:val="auto"/>
          <w:sz w:val="36"/>
          <w:szCs w:val="36"/>
          <w:highlight w:val="none"/>
        </w:rPr>
      </w:pPr>
    </w:p>
    <w:p>
      <w:pPr>
        <w:pStyle w:val="23"/>
        <w:spacing w:line="360" w:lineRule="auto"/>
        <w:jc w:val="center"/>
        <w:rPr>
          <w:rFonts w:hint="eastAsia" w:ascii="宋体" w:hAnsi="宋体" w:cs="宋体"/>
          <w:b/>
          <w:bCs/>
          <w:color w:val="auto"/>
          <w:sz w:val="32"/>
          <w:szCs w:val="32"/>
          <w:highlight w:val="none"/>
        </w:rPr>
      </w:pPr>
    </w:p>
    <w:p>
      <w:pPr>
        <w:pStyle w:val="23"/>
        <w:spacing w:line="360" w:lineRule="auto"/>
        <w:jc w:val="both"/>
        <w:rPr>
          <w:rFonts w:hint="eastAsia" w:ascii="宋体" w:hAnsi="宋体" w:cs="宋体"/>
          <w:b/>
          <w:bCs/>
          <w:color w:val="auto"/>
          <w:sz w:val="32"/>
          <w:szCs w:val="32"/>
          <w:highlight w:val="none"/>
        </w:rPr>
      </w:pPr>
    </w:p>
    <w:p>
      <w:pPr>
        <w:pStyle w:val="23"/>
        <w:spacing w:line="360" w:lineRule="auto"/>
        <w:jc w:val="center"/>
        <w:rPr>
          <w:rFonts w:hint="eastAsia" w:ascii="宋体" w:hAnsi="宋体" w:cs="宋体"/>
          <w:b/>
          <w:bCs/>
          <w:color w:val="auto"/>
          <w:sz w:val="32"/>
          <w:szCs w:val="32"/>
          <w:highlight w:val="none"/>
        </w:rPr>
      </w:pPr>
    </w:p>
    <w:p>
      <w:pPr>
        <w:pStyle w:val="8"/>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采购人：轮台县农业农村局</w:t>
      </w:r>
    </w:p>
    <w:p>
      <w:pPr>
        <w:pStyle w:val="8"/>
        <w:spacing w:line="360" w:lineRule="auto"/>
        <w:ind w:firstLine="643" w:firstLineChars="200"/>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rPr>
        <w:t>采购编号：</w:t>
      </w:r>
      <w:r>
        <w:rPr>
          <w:rFonts w:hint="eastAsia" w:ascii="宋体" w:hAnsi="宋体" w:cs="宋体"/>
          <w:b/>
          <w:color w:val="auto"/>
          <w:sz w:val="32"/>
          <w:szCs w:val="32"/>
          <w:highlight w:val="none"/>
          <w:lang w:val="en-US" w:eastAsia="zh-CN"/>
        </w:rPr>
        <w:t>XJAHZFCG-2022-011</w:t>
      </w:r>
    </w:p>
    <w:p>
      <w:pPr>
        <w:pStyle w:val="8"/>
        <w:spacing w:line="360" w:lineRule="auto"/>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采购代理机构：新疆安航工程项目管理有限公司</w:t>
      </w:r>
    </w:p>
    <w:p>
      <w:pPr>
        <w:pStyle w:val="8"/>
        <w:spacing w:line="360" w:lineRule="auto"/>
        <w:ind w:firstLine="643" w:firstLineChars="200"/>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日期： 二○二二年</w:t>
      </w:r>
      <w:r>
        <w:rPr>
          <w:rFonts w:hint="eastAsia" w:ascii="宋体" w:hAnsi="宋体" w:cs="宋体"/>
          <w:b/>
          <w:color w:val="auto"/>
          <w:sz w:val="32"/>
          <w:szCs w:val="32"/>
          <w:highlight w:val="none"/>
          <w:lang w:eastAsia="zh-CN"/>
        </w:rPr>
        <w:t>十</w:t>
      </w:r>
      <w:r>
        <w:rPr>
          <w:rFonts w:hint="eastAsia" w:ascii="宋体" w:hAnsi="宋体" w:cs="宋体"/>
          <w:b/>
          <w:color w:val="auto"/>
          <w:sz w:val="32"/>
          <w:szCs w:val="32"/>
          <w:highlight w:val="none"/>
        </w:rPr>
        <w:t>月</w:t>
      </w:r>
    </w:p>
    <w:p>
      <w:pPr>
        <w:spacing w:line="520" w:lineRule="exact"/>
        <w:jc w:val="center"/>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p>
    <w:p>
      <w:pPr>
        <w:spacing w:line="520" w:lineRule="exact"/>
        <w:jc w:val="center"/>
        <w:rPr>
          <w:rFonts w:hint="eastAsia" w:ascii="宋体" w:hAnsi="宋体" w:cs="宋体"/>
          <w:b/>
          <w:color w:val="auto"/>
          <w:sz w:val="32"/>
          <w:szCs w:val="32"/>
          <w:highlight w:val="none"/>
        </w:rPr>
      </w:pPr>
    </w:p>
    <w:p>
      <w:pPr>
        <w:spacing w:line="520" w:lineRule="exact"/>
        <w:rPr>
          <w:rFonts w:hint="eastAsia" w:ascii="宋体" w:hAnsi="宋体" w:cs="宋体"/>
          <w:b/>
          <w:color w:val="auto"/>
          <w:sz w:val="32"/>
          <w:szCs w:val="32"/>
          <w:highlight w:val="none"/>
        </w:rPr>
      </w:pPr>
    </w:p>
    <w:p>
      <w:pPr>
        <w:pStyle w:val="2"/>
        <w:numPr>
          <w:ilvl w:val="0"/>
          <w:numId w:val="0"/>
        </w:numPr>
        <w:ind w:leftChars="0"/>
        <w:rPr>
          <w:rFonts w:hint="eastAsia"/>
        </w:rPr>
      </w:pPr>
    </w:p>
    <w:p>
      <w:pPr>
        <w:rPr>
          <w:rFonts w:hint="eastAsia" w:ascii="宋体" w:hAnsi="宋体" w:cs="宋体"/>
          <w:b/>
          <w:color w:val="auto"/>
          <w:sz w:val="32"/>
          <w:szCs w:val="32"/>
          <w:highlight w:val="none"/>
        </w:rPr>
      </w:pPr>
    </w:p>
    <w:p>
      <w:pPr>
        <w:pStyle w:val="2"/>
        <w:numPr>
          <w:ilvl w:val="0"/>
          <w:numId w:val="0"/>
        </w:numPr>
        <w:ind w:leftChars="0"/>
        <w:rPr>
          <w:rFonts w:hint="eastAsia"/>
        </w:rPr>
      </w:pPr>
    </w:p>
    <w:p>
      <w:pPr>
        <w:spacing w:line="520" w:lineRule="exact"/>
        <w:jc w:val="center"/>
        <w:rPr>
          <w:rFonts w:hint="eastAsia"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目 录</w:t>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"1-2" \h \u </w:instrText>
      </w:r>
      <w:r>
        <w:rPr>
          <w:rFonts w:hint="eastAsia" w:ascii="宋体" w:hAnsi="宋体" w:cs="宋体"/>
          <w:b/>
          <w:bCs/>
          <w:color w:val="auto"/>
          <w:sz w:val="28"/>
          <w:szCs w:val="28"/>
          <w:highlight w:val="none"/>
        </w:rPr>
        <w:fldChar w:fldCharType="separate"/>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_Toc30457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 xml:space="preserve">第一章 </w:t>
      </w:r>
      <w:r>
        <w:rPr>
          <w:rStyle w:val="22"/>
          <w:rFonts w:hint="default" w:ascii="宋体" w:hAnsi="宋体" w:eastAsia="宋体" w:cs="宋体"/>
          <w:b/>
          <w:bCs/>
          <w:color w:val="auto"/>
          <w:sz w:val="28"/>
          <w:szCs w:val="28"/>
          <w:highlight w:val="none"/>
        </w:rPr>
        <w:t>竞争性磋商公告</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_Toc30457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1</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_Toc17188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第二章 供应商须知</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_Toc17188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1</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_Toc20444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第三章 服务标准及要求</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_Toc20444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37</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_Toc19116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第四章 合同范本</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_Toc19116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38</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_Toc32575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4"/>
          <w:highlight w:val="none"/>
        </w:rPr>
        <w:t>第五章 主要响应文件的格式及其内容</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_Toc32575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39</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_Toc6629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附件1</w:t>
      </w:r>
      <w:r>
        <w:rPr>
          <w:rFonts w:hint="eastAsia" w:ascii="宋体" w:hAnsi="宋体" w:cs="宋体"/>
          <w:b/>
          <w:color w:val="auto"/>
          <w:sz w:val="28"/>
          <w:szCs w:val="40"/>
          <w:highlight w:val="none"/>
        </w:rPr>
        <w:t>:</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_Toc18361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投 标 函</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_Toc18361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62</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3"/>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_Toc18057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附件2</w:t>
      </w:r>
      <w:r>
        <w:rPr>
          <w:rFonts w:hint="eastAsia" w:ascii="宋体" w:hAnsi="宋体" w:cs="宋体"/>
          <w:b/>
          <w:color w:val="auto"/>
          <w:sz w:val="28"/>
          <w:szCs w:val="40"/>
          <w:highlight w:val="none"/>
        </w:rPr>
        <w:t>:</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_Toc8165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28"/>
          <w:highlight w:val="none"/>
        </w:rPr>
        <w:t>法定代表人资格证明</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_Toc8165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64</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_Toc1629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授权委托书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65</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outlineLvl w:val="0"/>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_Toc24450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附件3:</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_Toc16855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报价一览表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65</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_Toc10628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附件4:</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_Toc13575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供应商概况表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_Toc13575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67</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_Toc24396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附件5:</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_Toc21508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无重大违法记录的书面声明</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_Toc21508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68</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_Toc19830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附件6:</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_Toc958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企业202</w:t>
      </w:r>
      <w:r>
        <w:rPr>
          <w:rFonts w:hint="eastAsia" w:ascii="宋体" w:hAnsi="宋体" w:cs="宋体"/>
          <w:b/>
          <w:color w:val="auto"/>
          <w:sz w:val="28"/>
          <w:szCs w:val="40"/>
          <w:highlight w:val="none"/>
          <w:lang w:val="en-US" w:eastAsia="zh-CN"/>
        </w:rPr>
        <w:t>1</w:t>
      </w:r>
      <w:r>
        <w:rPr>
          <w:rFonts w:hint="eastAsia" w:ascii="宋体" w:hAnsi="宋体" w:cs="宋体"/>
          <w:b/>
          <w:color w:val="auto"/>
          <w:sz w:val="28"/>
          <w:szCs w:val="40"/>
          <w:highlight w:val="none"/>
        </w:rPr>
        <w:t>年财务审计报告</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_Toc958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69</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_Toc15551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附件7:</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_Toc29474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“重法纪、讲诚信”承诺书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_Toc29474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70</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_Toc3317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附件8:</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_Toc9462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反商业贿赂承诺书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_Toc9462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72</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_Toc5939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附件9:</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_Toc4526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商务条款偏离表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_Toc4526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73</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_Toc28375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附件10:</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_Toc28929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技术规格偏离表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_Toc28929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74</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_Toc24389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附件11:</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_Toc12578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近三年同类项目业绩表................................7</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t>5</w:t>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_Toc13500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附件12:</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_Toc4298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拟派项目负责人简历表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_Toc4298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76</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_Toc4287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附件13:</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_Toc14959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拟派本项目技术人员配置情况表</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_Toc14959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77</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24"/>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_Toc13542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附件14:</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_Toc19593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技术支持及服务承诺书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_Toc19593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78</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40"/>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_Toc12421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附件15:</w:t>
      </w:r>
      <w:r>
        <w:rPr>
          <w:rFonts w:hint="eastAsia" w:ascii="宋体" w:hAnsi="宋体" w:cs="宋体"/>
          <w:b/>
          <w:color w:val="auto"/>
          <w:sz w:val="28"/>
          <w:szCs w:val="40"/>
          <w:highlight w:val="none"/>
        </w:rPr>
        <w:fldChar w:fldCharType="end"/>
      </w: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_Toc19155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服务方案</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65</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pStyle w:val="18"/>
        <w:tabs>
          <w:tab w:val="right" w:leader="dot" w:pos="9072"/>
        </w:tabs>
        <w:spacing w:line="500" w:lineRule="exact"/>
        <w:rPr>
          <w:rFonts w:hint="eastAsia" w:ascii="宋体" w:hAnsi="宋体" w:cs="宋体"/>
          <w:b/>
          <w:color w:val="auto"/>
          <w:sz w:val="28"/>
          <w:szCs w:val="40"/>
          <w:highlight w:val="none"/>
        </w:rPr>
      </w:pPr>
      <w:r>
        <w:rPr>
          <w:rFonts w:hint="eastAsia" w:ascii="宋体" w:hAnsi="宋体" w:cs="宋体"/>
          <w:b/>
          <w:color w:val="auto"/>
          <w:sz w:val="28"/>
          <w:szCs w:val="40"/>
          <w:highlight w:val="none"/>
        </w:rPr>
        <w:fldChar w:fldCharType="begin"/>
      </w:r>
      <w:r>
        <w:rPr>
          <w:rFonts w:hint="eastAsia" w:ascii="宋体" w:hAnsi="宋体" w:cs="宋体"/>
          <w:b/>
          <w:color w:val="auto"/>
          <w:sz w:val="28"/>
          <w:szCs w:val="40"/>
          <w:highlight w:val="none"/>
        </w:rPr>
        <w:instrText xml:space="preserve"> HYPERLINK \l _Toc5206 </w:instrText>
      </w:r>
      <w:r>
        <w:rPr>
          <w:rFonts w:hint="eastAsia" w:ascii="宋体" w:hAnsi="宋体" w:cs="宋体"/>
          <w:b/>
          <w:color w:val="auto"/>
          <w:sz w:val="28"/>
          <w:szCs w:val="40"/>
          <w:highlight w:val="none"/>
        </w:rPr>
        <w:fldChar w:fldCharType="separate"/>
      </w:r>
      <w:r>
        <w:rPr>
          <w:rFonts w:hint="eastAsia" w:ascii="宋体" w:hAnsi="宋体" w:cs="宋体"/>
          <w:b/>
          <w:color w:val="auto"/>
          <w:sz w:val="28"/>
          <w:szCs w:val="40"/>
          <w:highlight w:val="none"/>
        </w:rPr>
        <w:t>附件16:不参与围标串标承诺书</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65</w:t>
      </w:r>
      <w:r>
        <w:rPr>
          <w:rFonts w:hint="eastAsia" w:ascii="宋体" w:hAnsi="宋体" w:cs="宋体"/>
          <w:b/>
          <w:color w:val="auto"/>
          <w:sz w:val="28"/>
          <w:szCs w:val="24"/>
          <w:highlight w:val="none"/>
        </w:rPr>
        <w:fldChar w:fldCharType="end"/>
      </w:r>
    </w:p>
    <w:p>
      <w:pPr>
        <w:pStyle w:val="18"/>
        <w:tabs>
          <w:tab w:val="right" w:leader="dot" w:pos="9072"/>
        </w:tabs>
        <w:spacing w:line="500" w:lineRule="exact"/>
        <w:rPr>
          <w:rFonts w:hint="eastAsia" w:ascii="宋体" w:hAnsi="宋体" w:cs="宋体"/>
          <w:color w:val="auto"/>
          <w:highlight w:val="none"/>
        </w:rPr>
      </w:pPr>
      <w:r>
        <w:rPr>
          <w:rFonts w:hint="eastAsia" w:ascii="宋体" w:hAnsi="宋体" w:cs="宋体"/>
          <w:b/>
          <w:color w:val="auto"/>
          <w:sz w:val="28"/>
          <w:szCs w:val="28"/>
          <w:highlight w:val="none"/>
        </w:rPr>
        <w:t>附件17要求提供的其它材料以及供应商认为需要提交的材料</w:t>
      </w:r>
      <w:r>
        <w:rPr>
          <w:rFonts w:hint="eastAsia" w:ascii="宋体" w:hAnsi="宋体" w:cs="宋体"/>
          <w:b/>
          <w:color w:val="auto"/>
          <w:sz w:val="28"/>
          <w:szCs w:val="24"/>
          <w:highlight w:val="none"/>
        </w:rPr>
        <w:tab/>
      </w:r>
      <w:r>
        <w:rPr>
          <w:rFonts w:hint="eastAsia" w:ascii="宋体" w:hAnsi="宋体" w:cs="宋体"/>
          <w:b/>
          <w:color w:val="auto"/>
          <w:sz w:val="28"/>
          <w:szCs w:val="24"/>
          <w:highlight w:val="none"/>
        </w:rPr>
        <w:fldChar w:fldCharType="begin"/>
      </w:r>
      <w:r>
        <w:rPr>
          <w:rFonts w:hint="eastAsia" w:ascii="宋体" w:hAnsi="宋体" w:cs="宋体"/>
          <w:b/>
          <w:color w:val="auto"/>
          <w:sz w:val="28"/>
          <w:szCs w:val="24"/>
          <w:highlight w:val="none"/>
        </w:rPr>
        <w:instrText xml:space="preserve"> PAGEREF _Toc1629 \h </w:instrText>
      </w:r>
      <w:r>
        <w:rPr>
          <w:rFonts w:hint="eastAsia" w:ascii="宋体" w:hAnsi="宋体" w:cs="宋体"/>
          <w:b/>
          <w:color w:val="auto"/>
          <w:sz w:val="28"/>
          <w:szCs w:val="24"/>
          <w:highlight w:val="none"/>
        </w:rPr>
        <w:fldChar w:fldCharType="separate"/>
      </w:r>
      <w:r>
        <w:rPr>
          <w:rFonts w:hint="eastAsia" w:ascii="宋体" w:hAnsi="宋体" w:cs="宋体"/>
          <w:b/>
          <w:color w:val="auto"/>
          <w:sz w:val="28"/>
          <w:szCs w:val="24"/>
          <w:highlight w:val="none"/>
        </w:rPr>
        <w:t>65</w:t>
      </w:r>
      <w:r>
        <w:rPr>
          <w:rFonts w:hint="eastAsia" w:ascii="宋体" w:hAnsi="宋体" w:cs="宋体"/>
          <w:b/>
          <w:color w:val="auto"/>
          <w:sz w:val="28"/>
          <w:szCs w:val="24"/>
          <w:highlight w:val="none"/>
        </w:rPr>
        <w:fldChar w:fldCharType="end"/>
      </w:r>
      <w:r>
        <w:rPr>
          <w:rFonts w:hint="eastAsia" w:ascii="宋体" w:hAnsi="宋体" w:cs="宋体"/>
          <w:b/>
          <w:color w:val="auto"/>
          <w:sz w:val="28"/>
          <w:szCs w:val="40"/>
          <w:highlight w:val="none"/>
        </w:rPr>
        <w:fldChar w:fldCharType="end"/>
      </w:r>
    </w:p>
    <w:p>
      <w:pPr>
        <w:spacing w:line="360" w:lineRule="auto"/>
        <w:jc w:val="center"/>
        <w:rPr>
          <w:rFonts w:hint="eastAsia" w:ascii="宋体" w:hAnsi="宋体" w:cs="宋体"/>
          <w:bCs/>
          <w:color w:val="auto"/>
          <w:szCs w:val="28"/>
          <w:highlight w:val="none"/>
        </w:rPr>
      </w:pPr>
      <w:r>
        <w:rPr>
          <w:rFonts w:hint="eastAsia" w:ascii="宋体" w:hAnsi="宋体" w:cs="宋体"/>
          <w:bCs/>
          <w:color w:val="auto"/>
          <w:szCs w:val="28"/>
          <w:highlight w:val="none"/>
        </w:rPr>
        <w:fldChar w:fldCharType="end"/>
      </w:r>
      <w:r>
        <w:rPr>
          <w:rFonts w:hint="eastAsia" w:ascii="宋体" w:hAnsi="宋体" w:cs="宋体"/>
          <w:b/>
          <w:color w:val="auto"/>
          <w:sz w:val="32"/>
          <w:szCs w:val="32"/>
          <w:highlight w:val="none"/>
        </w:rPr>
        <w:br w:type="page"/>
      </w:r>
      <w:bookmarkStart w:id="0" w:name="_Toc8757"/>
      <w:bookmarkStart w:id="1" w:name="_Toc8184"/>
      <w:bookmarkStart w:id="2" w:name="_Toc24631"/>
      <w:bookmarkStart w:id="3" w:name="_Toc7471"/>
      <w:bookmarkStart w:id="4" w:name="_Toc26663"/>
    </w:p>
    <w:p>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44"/>
          <w:szCs w:val="44"/>
          <w:highlight w:val="none"/>
        </w:rPr>
        <w:t>特 别 提 示</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各供应商：</w:t>
      </w: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在参与本次采购项目投标时，请按竞争性磋商文件中规定的可能导致无效投标、废标、黑体字要求的内容逐条响应,若不响应将导致投标失败。</w:t>
      </w:r>
    </w:p>
    <w:bookmarkEnd w:id="0"/>
    <w:bookmarkEnd w:id="1"/>
    <w:bookmarkEnd w:id="2"/>
    <w:bookmarkEnd w:id="3"/>
    <w:bookmarkEnd w:id="4"/>
    <w:p>
      <w:pPr>
        <w:rPr>
          <w:rFonts w:hint="eastAsia" w:ascii="宋体" w:hAnsi="宋体" w:cs="宋体"/>
          <w:b/>
          <w:bCs/>
          <w:color w:val="auto"/>
          <w:sz w:val="32"/>
          <w:szCs w:val="21"/>
          <w:highlight w:val="none"/>
        </w:rPr>
        <w:sectPr>
          <w:headerReference r:id="rId4" w:type="first"/>
          <w:footerReference r:id="rId6" w:type="first"/>
          <w:headerReference r:id="rId3" w:type="default"/>
          <w:footerReference r:id="rId5" w:type="default"/>
          <w:pgSz w:w="11906" w:h="16838"/>
          <w:pgMar w:top="1418" w:right="1417" w:bottom="1418" w:left="1417" w:header="851" w:footer="992" w:gutter="0"/>
          <w:pgNumType w:start="1"/>
          <w:cols w:space="720" w:num="1"/>
          <w:docGrid w:type="lines" w:linePitch="312" w:charSpace="0"/>
        </w:sectPr>
      </w:pPr>
      <w:bookmarkStart w:id="5" w:name="_Toc22470"/>
      <w:bookmarkStart w:id="6" w:name="_Toc16329"/>
      <w:bookmarkStart w:id="7" w:name="_Toc3329"/>
      <w:bookmarkStart w:id="8" w:name="_Toc10095"/>
      <w:bookmarkStart w:id="9" w:name="_Toc30457"/>
    </w:p>
    <w:p>
      <w:pPr>
        <w:jc w:val="center"/>
        <w:rPr>
          <w:rFonts w:ascii="宋体" w:hAnsi="宋体" w:cs="宋体"/>
          <w:b/>
          <w:bCs/>
          <w:color w:val="auto"/>
          <w:sz w:val="32"/>
          <w:szCs w:val="21"/>
          <w:highlight w:val="none"/>
        </w:rPr>
      </w:pPr>
      <w:r>
        <w:rPr>
          <w:rFonts w:hint="eastAsia" w:ascii="宋体" w:hAnsi="宋体" w:cs="宋体"/>
          <w:b/>
          <w:bCs/>
          <w:color w:val="auto"/>
          <w:sz w:val="36"/>
          <w:szCs w:val="22"/>
          <w:highlight w:val="none"/>
        </w:rPr>
        <w:t xml:space="preserve">第一章 </w:t>
      </w:r>
      <w:bookmarkEnd w:id="5"/>
      <w:bookmarkEnd w:id="6"/>
      <w:bookmarkEnd w:id="7"/>
      <w:bookmarkEnd w:id="8"/>
      <w:bookmarkEnd w:id="9"/>
      <w:r>
        <w:rPr>
          <w:rFonts w:hint="eastAsia" w:ascii="宋体" w:hAnsi="宋体" w:cs="宋体"/>
          <w:b/>
          <w:bCs/>
          <w:color w:val="auto"/>
          <w:sz w:val="36"/>
          <w:szCs w:val="22"/>
          <w:highlight w:val="none"/>
        </w:rPr>
        <w:t>竞争性磋商公告</w:t>
      </w:r>
      <w:bookmarkStart w:id="10" w:name="_Toc3183"/>
      <w:bookmarkStart w:id="11" w:name="_Toc28183"/>
      <w:bookmarkStart w:id="12" w:name="_Toc31575"/>
      <w:bookmarkStart w:id="13" w:name="_Toc21191"/>
      <w:bookmarkStart w:id="14" w:name="_Toc17188"/>
    </w:p>
    <w:p>
      <w:pPr>
        <w:pStyle w:val="7"/>
        <w:widowControl w:val="0"/>
        <w:spacing w:line="360" w:lineRule="auto"/>
        <w:ind w:firstLine="484" w:firstLineChars="200"/>
        <w:rPr>
          <w:color w:val="auto"/>
          <w:sz w:val="24"/>
          <w:szCs w:val="24"/>
          <w:highlight w:val="none"/>
        </w:rPr>
      </w:pPr>
      <w:r>
        <w:rPr>
          <w:rFonts w:hint="eastAsia"/>
          <w:color w:val="auto"/>
          <w:sz w:val="24"/>
          <w:szCs w:val="24"/>
          <w:highlight w:val="none"/>
        </w:rPr>
        <w:t>受轮台县农业农村局的委托，新疆安航工程项目管理有限公司现对</w:t>
      </w:r>
      <w:r>
        <w:rPr>
          <w:rFonts w:hint="eastAsia"/>
          <w:color w:val="auto"/>
          <w:sz w:val="24"/>
          <w:szCs w:val="24"/>
          <w:highlight w:val="none"/>
          <w:lang w:eastAsia="zh-CN"/>
        </w:rPr>
        <w:t>轮台县农业农村局项目竣工决算编制</w:t>
      </w:r>
      <w:r>
        <w:rPr>
          <w:rFonts w:hint="eastAsia"/>
          <w:color w:val="auto"/>
          <w:sz w:val="24"/>
          <w:szCs w:val="24"/>
          <w:highlight w:val="none"/>
        </w:rPr>
        <w:t>以竞争性磋商的方式组织采购，欢迎符合条件的供应商参加投标。</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一、项目基本情况</w:t>
      </w:r>
    </w:p>
    <w:p>
      <w:pPr>
        <w:pStyle w:val="7"/>
        <w:widowControl w:val="0"/>
        <w:spacing w:line="360" w:lineRule="auto"/>
        <w:ind w:left="1773" w:leftChars="266" w:hanging="1210" w:hangingChars="500"/>
        <w:rPr>
          <w:rFonts w:hint="eastAsia"/>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轮台县农业农村局项目竣工决算编制</w:t>
      </w:r>
    </w:p>
    <w:p>
      <w:pPr>
        <w:pStyle w:val="7"/>
        <w:widowControl w:val="0"/>
        <w:spacing w:line="360" w:lineRule="auto"/>
        <w:ind w:firstLine="484" w:firstLineChars="200"/>
        <w:rPr>
          <w:rFonts w:hint="eastAsia"/>
          <w:color w:val="auto"/>
          <w:sz w:val="24"/>
          <w:szCs w:val="24"/>
          <w:highlight w:val="none"/>
        </w:rPr>
      </w:pPr>
      <w:r>
        <w:rPr>
          <w:rFonts w:hint="eastAsia"/>
          <w:color w:val="auto"/>
          <w:sz w:val="24"/>
          <w:szCs w:val="24"/>
          <w:highlight w:val="none"/>
        </w:rPr>
        <w:t>建设地址：轮台县</w:t>
      </w:r>
    </w:p>
    <w:p>
      <w:pPr>
        <w:pStyle w:val="7"/>
        <w:widowControl w:val="0"/>
        <w:spacing w:line="360" w:lineRule="auto"/>
        <w:ind w:firstLine="484" w:firstLineChars="200"/>
        <w:rPr>
          <w:color w:val="auto"/>
          <w:sz w:val="24"/>
          <w:szCs w:val="24"/>
          <w:highlight w:val="none"/>
        </w:rPr>
      </w:pPr>
      <w:r>
        <w:rPr>
          <w:rFonts w:hint="eastAsia"/>
          <w:color w:val="auto"/>
          <w:sz w:val="24"/>
          <w:szCs w:val="24"/>
          <w:highlight w:val="none"/>
        </w:rPr>
        <w:t>预算金额：</w:t>
      </w:r>
      <w:r>
        <w:rPr>
          <w:rFonts w:hint="eastAsia"/>
          <w:color w:val="auto"/>
          <w:sz w:val="24"/>
          <w:szCs w:val="24"/>
          <w:highlight w:val="none"/>
          <w:lang w:val="en-US" w:eastAsia="zh-CN"/>
        </w:rPr>
        <w:t>65.41</w:t>
      </w:r>
      <w:r>
        <w:rPr>
          <w:rFonts w:hint="eastAsia"/>
          <w:color w:val="auto"/>
          <w:sz w:val="24"/>
          <w:szCs w:val="24"/>
          <w:highlight w:val="none"/>
        </w:rPr>
        <w:t>万元</w:t>
      </w:r>
    </w:p>
    <w:p>
      <w:pPr>
        <w:spacing w:line="360" w:lineRule="auto"/>
        <w:ind w:firstLine="484" w:firstLineChars="200"/>
        <w:rPr>
          <w:rFonts w:hint="eastAsia"/>
          <w:color w:val="auto"/>
          <w:sz w:val="24"/>
          <w:szCs w:val="24"/>
          <w:highlight w:val="none"/>
        </w:rPr>
      </w:pPr>
      <w:r>
        <w:rPr>
          <w:rFonts w:hint="eastAsia"/>
          <w:color w:val="auto"/>
          <w:sz w:val="24"/>
          <w:szCs w:val="24"/>
          <w:highlight w:val="none"/>
        </w:rPr>
        <w:t>服务内容：对2021年人居环境整治建设项目(一期)、2022年人居环境整治建设项目(二期)、2022年乡村振兴环境整治项目(二期)三个项目进行竣工决算，依据工程结算成果文件和财务资料编制竣工决算。</w:t>
      </w:r>
    </w:p>
    <w:p>
      <w:pPr>
        <w:spacing w:line="360" w:lineRule="auto"/>
        <w:ind w:firstLine="484" w:firstLineChars="200"/>
        <w:rPr>
          <w:color w:val="auto"/>
          <w:sz w:val="24"/>
          <w:szCs w:val="24"/>
          <w:highlight w:val="none"/>
        </w:rPr>
      </w:pPr>
      <w:r>
        <w:rPr>
          <w:rFonts w:hint="eastAsia"/>
          <w:color w:val="auto"/>
          <w:sz w:val="24"/>
          <w:szCs w:val="24"/>
          <w:highlight w:val="none"/>
        </w:rPr>
        <w:t>服务周期：</w:t>
      </w:r>
      <w:r>
        <w:rPr>
          <w:rFonts w:hint="eastAsia" w:ascii="宋体" w:hAnsi="宋体" w:cs="宋体"/>
          <w:color w:val="auto"/>
          <w:sz w:val="24"/>
          <w:szCs w:val="24"/>
          <w:highlight w:val="none"/>
        </w:rPr>
        <w:t>自签订合同之日开始实施，</w:t>
      </w:r>
      <w:r>
        <w:rPr>
          <w:rFonts w:hint="eastAsia" w:ascii="宋体" w:hAnsi="宋体" w:cs="宋体"/>
          <w:color w:val="auto"/>
          <w:sz w:val="24"/>
          <w:szCs w:val="24"/>
          <w:highlight w:val="none"/>
          <w:lang w:val="en-US" w:eastAsia="zh-CN"/>
        </w:rPr>
        <w:t>120个工作日内</w:t>
      </w:r>
      <w:r>
        <w:rPr>
          <w:rFonts w:hint="eastAsia" w:ascii="宋体" w:hAnsi="宋体" w:cs="宋体"/>
          <w:color w:val="auto"/>
          <w:sz w:val="24"/>
          <w:szCs w:val="24"/>
          <w:highlight w:val="none"/>
        </w:rPr>
        <w:t>。</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（1）符合《中华人民共和国政府采购法》第二十二条的相关规定；</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（2）有效的营业执照；三年内无违法违规等不良记录；具有良好的社会和商业信誉及履约能力；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（3）具有履行合同所必须的设备和专业技术能力；</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（4）供应商须具有良好的信誉，未被 “信用中国”、 “中国政府采购网”列入失信被执行人、重大税收违法案件当事人名单、政府采购严重违法失信行为记录名单（时间设置为投标截止日前20天内）；</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（5）单位负责人为同一人或者存在直接控股、管理关系的不同供应商，不得参加同一合同项下的政府采购活动； </w:t>
      </w:r>
      <w:bookmarkStart w:id="253" w:name="_GoBack"/>
      <w:bookmarkEnd w:id="253"/>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（6）符合国家有关法律法规的规定；</w:t>
      </w:r>
    </w:p>
    <w:p>
      <w:pPr>
        <w:spacing w:line="360" w:lineRule="auto"/>
        <w:ind w:firstLine="484" w:firstLineChars="200"/>
        <w:rPr>
          <w:color w:val="auto"/>
          <w:sz w:val="24"/>
          <w:szCs w:val="24"/>
          <w:highlight w:val="none"/>
        </w:rPr>
      </w:pPr>
      <w:r>
        <w:rPr>
          <w:rFonts w:hint="eastAsia" w:ascii="宋体" w:hAnsi="宋体" w:cs="宋体"/>
          <w:color w:val="auto"/>
          <w:sz w:val="24"/>
          <w:szCs w:val="24"/>
          <w:highlight w:val="none"/>
        </w:rPr>
        <w:t>（7）为充分保证完善的售后服务，本项目不接受联合体投标。</w:t>
      </w:r>
    </w:p>
    <w:p>
      <w:pPr>
        <w:spacing w:line="360" w:lineRule="auto"/>
        <w:ind w:firstLine="242" w:firstLineChars="100"/>
        <w:rPr>
          <w:rFonts w:ascii="宋体" w:hAnsi="宋体" w:cs="宋体"/>
          <w:color w:val="auto"/>
          <w:sz w:val="24"/>
          <w:szCs w:val="24"/>
          <w:highlight w:val="none"/>
        </w:rPr>
      </w:pPr>
      <w:r>
        <w:rPr>
          <w:rFonts w:hint="eastAsia" w:ascii="宋体" w:hAnsi="宋体" w:cs="宋体"/>
          <w:color w:val="auto"/>
          <w:sz w:val="24"/>
          <w:szCs w:val="24"/>
          <w:highlight w:val="none"/>
        </w:rPr>
        <w:t>三、获取竞争性磋商文件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获取采购文件方式：供应商登陆政采云平台在线申请获取采购文件（进入“项目采购”应用，在获取采购文件菜单中选择项目，申请获取采购文件）。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同时将以下资质证明材料上传至新疆政府采购网上报名：</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1、营业执照副本扫描件；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2、法人授权委托书原件或具有同等法律效力的证明材料及被授权人《居民身份证》。</w:t>
      </w:r>
    </w:p>
    <w:p>
      <w:pPr>
        <w:spacing w:line="360" w:lineRule="auto"/>
        <w:ind w:firstLine="484"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3、通过“信用中国”、“中国政府采购网”渠道查询的加盖公章的主体信用记</w:t>
      </w:r>
      <w:r>
        <w:rPr>
          <w:rFonts w:hint="eastAsia" w:ascii="宋体" w:hAnsi="宋体" w:cs="宋体"/>
          <w:color w:val="000000" w:themeColor="text1"/>
          <w:sz w:val="24"/>
          <w:szCs w:val="24"/>
          <w:highlight w:val="none"/>
          <w14:textFill>
            <w14:solidFill>
              <w14:schemeClr w14:val="tx1"/>
            </w14:solidFill>
          </w14:textFill>
        </w:rPr>
        <w:t>录网页截图。（时间设置为投标截止日前20天内）</w:t>
      </w:r>
    </w:p>
    <w:p>
      <w:pPr>
        <w:spacing w:line="360" w:lineRule="auto"/>
        <w:ind w:firstLine="484" w:firstLineChars="200"/>
        <w:rPr>
          <w:rFonts w:hint="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投标保证金缴纳及确认时间：凡拟参加本次招标项目的供应商，必须在2022年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 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11:00</w:t>
      </w:r>
      <w:r>
        <w:rPr>
          <w:rFonts w:hint="eastAsia" w:ascii="宋体" w:hAnsi="宋体" w:cs="宋体"/>
          <w:color w:val="000000" w:themeColor="text1"/>
          <w:sz w:val="24"/>
          <w:szCs w:val="24"/>
          <w:highlight w:val="none"/>
          <w14:textFill>
            <w14:solidFill>
              <w14:schemeClr w14:val="tx1"/>
            </w14:solidFill>
          </w14:textFill>
        </w:rPr>
        <w:t>时（北京时间）前将投标保证金汇入指定账户。投标保证金汇款凭证上用途栏应注明本项目招标项目名称[标准格式：</w:t>
      </w:r>
      <w:r>
        <w:rPr>
          <w:rFonts w:hint="eastAsia"/>
          <w:color w:val="000000" w:themeColor="text1"/>
          <w:sz w:val="24"/>
          <w:szCs w:val="24"/>
          <w:highlight w:val="none"/>
          <w:u w:val="single"/>
          <w:lang w:eastAsia="zh-CN"/>
          <w14:textFill>
            <w14:solidFill>
              <w14:schemeClr w14:val="tx1"/>
            </w14:solidFill>
          </w14:textFill>
        </w:rPr>
        <w:t>轮台县农业农村局项目竣工决算编制</w:t>
      </w:r>
      <w:r>
        <w:rPr>
          <w:rFonts w:hint="eastAsia"/>
          <w:color w:val="000000" w:themeColor="text1"/>
          <w:sz w:val="24"/>
          <w:szCs w:val="24"/>
          <w:highlight w:val="none"/>
          <w:u w:val="single"/>
          <w14:textFill>
            <w14:solidFill>
              <w14:schemeClr w14:val="tx1"/>
            </w14:solidFill>
          </w14:textFill>
        </w:rPr>
        <w:t>投标保证金</w:t>
      </w:r>
      <w:r>
        <w:rPr>
          <w:rFonts w:hint="eastAsia" w:ascii="宋体" w:hAnsi="宋体" w:cs="宋体"/>
          <w:color w:val="000000" w:themeColor="text1"/>
          <w:sz w:val="24"/>
          <w:szCs w:val="24"/>
          <w:highlight w:val="none"/>
          <w14:textFill>
            <w14:solidFill>
              <w14:schemeClr w14:val="tx1"/>
            </w14:solidFill>
          </w14:textFill>
        </w:rPr>
        <w:t>]或采购编号：</w:t>
      </w:r>
      <w:r>
        <w:rPr>
          <w:rFonts w:hint="eastAsia" w:ascii="宋体" w:hAnsi="宋体" w:cs="宋体"/>
          <w:color w:val="000000" w:themeColor="text1"/>
          <w:sz w:val="24"/>
          <w:szCs w:val="24"/>
          <w:highlight w:val="none"/>
          <w:lang w:val="en-US" w:eastAsia="zh-CN"/>
          <w14:textFill>
            <w14:solidFill>
              <w14:schemeClr w14:val="tx1"/>
            </w14:solidFill>
          </w14:textFill>
        </w:rPr>
        <w:t>XJAHZFCG-2022-011</w:t>
      </w:r>
      <w:r>
        <w:rPr>
          <w:rFonts w:hint="eastAsia" w:ascii="宋体" w:hAnsi="宋体" w:cs="宋体"/>
          <w:color w:val="000000" w:themeColor="text1"/>
          <w:sz w:val="24"/>
          <w:szCs w:val="24"/>
          <w:highlight w:val="none"/>
          <w14:textFill>
            <w14:solidFill>
              <w14:schemeClr w14:val="tx1"/>
            </w14:solidFill>
          </w14:textFill>
        </w:rPr>
        <w:t>。否则，届时其投标将被拒绝。</w:t>
      </w:r>
    </w:p>
    <w:p>
      <w:pPr>
        <w:spacing w:line="360" w:lineRule="auto"/>
        <w:ind w:firstLine="484"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售价：0元</w:t>
      </w:r>
    </w:p>
    <w:p>
      <w:pPr>
        <w:autoSpaceDE w:val="0"/>
        <w:autoSpaceDN w:val="0"/>
        <w:adjustRightInd w:val="0"/>
        <w:snapToGrid w:val="0"/>
        <w:spacing w:line="500" w:lineRule="exact"/>
        <w:rPr>
          <w:rFonts w:hint="eastAsia" w:ascii="宋体" w:hAnsi="宋体" w:cs="宋体"/>
          <w:color w:val="000000" w:themeColor="text1"/>
          <w:kern w:val="0"/>
          <w:sz w:val="24"/>
          <w:szCs w:val="24"/>
          <w:highlight w:val="none"/>
          <w14:textFill>
            <w14:solidFill>
              <w14:schemeClr w14:val="tx1"/>
            </w14:solidFill>
          </w14:textFill>
        </w:rPr>
      </w:pPr>
      <w:bookmarkStart w:id="15" w:name="_Toc28359005"/>
      <w:bookmarkStart w:id="16" w:name="_Toc28359082"/>
      <w:bookmarkStart w:id="17" w:name="_Toc35393624"/>
      <w:bookmarkStart w:id="18" w:name="_Toc35393793"/>
      <w:r>
        <w:rPr>
          <w:rFonts w:hint="eastAsia" w:ascii="宋体" w:hAnsi="宋体" w:cs="宋体"/>
          <w:color w:val="000000" w:themeColor="text1"/>
          <w:sz w:val="24"/>
          <w:szCs w:val="24"/>
          <w:highlight w:val="none"/>
          <w14:textFill>
            <w14:solidFill>
              <w14:schemeClr w14:val="tx1"/>
            </w14:solidFill>
          </w14:textFill>
        </w:rPr>
        <w:t>四、</w:t>
      </w:r>
      <w:bookmarkEnd w:id="15"/>
      <w:bookmarkEnd w:id="16"/>
      <w:bookmarkEnd w:id="17"/>
      <w:bookmarkEnd w:id="18"/>
      <w:r>
        <w:rPr>
          <w:rFonts w:hint="eastAsia" w:ascii="宋体" w:hAnsi="宋体" w:cs="宋体"/>
          <w:color w:val="000000" w:themeColor="text1"/>
          <w:kern w:val="0"/>
          <w:sz w:val="24"/>
          <w:szCs w:val="24"/>
          <w:highlight w:val="none"/>
          <w14:textFill>
            <w14:solidFill>
              <w14:schemeClr w14:val="tx1"/>
            </w14:solidFill>
          </w14:textFill>
        </w:rPr>
        <w:t>取获招标文件时间：20</w:t>
      </w:r>
      <w:r>
        <w:rPr>
          <w:rFonts w:hint="eastAsia" w:cs="宋体"/>
          <w:color w:val="000000" w:themeColor="text1"/>
          <w:kern w:val="0"/>
          <w:sz w:val="24"/>
          <w:szCs w:val="24"/>
          <w:highlight w:val="none"/>
          <w14:textFill>
            <w14:solidFill>
              <w14:schemeClr w14:val="tx1"/>
            </w14:solidFill>
          </w14:textFill>
        </w:rPr>
        <w:t>22</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09</w:t>
      </w:r>
      <w:r>
        <w:rPr>
          <w:rFonts w:hint="eastAsia" w:ascii="宋体" w:hAnsi="宋体" w:cs="宋体"/>
          <w:color w:val="000000" w:themeColor="text1"/>
          <w:kern w:val="0"/>
          <w:sz w:val="24"/>
          <w:szCs w:val="24"/>
          <w:highlight w:val="none"/>
          <w14:textFill>
            <w14:solidFill>
              <w14:schemeClr w14:val="tx1"/>
            </w14:solidFill>
          </w14:textFill>
        </w:rPr>
        <w:t>日起至</w:t>
      </w:r>
      <w:r>
        <w:rPr>
          <w:rFonts w:hint="eastAsia" w:cs="宋体"/>
          <w:color w:val="000000" w:themeColor="text1"/>
          <w:kern w:val="0"/>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202</w:t>
      </w:r>
      <w:r>
        <w:rPr>
          <w:rFonts w:hint="eastAsia"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14</w:t>
      </w:r>
      <w:r>
        <w:rPr>
          <w:rFonts w:hint="eastAsia" w:ascii="宋体" w:hAnsi="宋体" w:cs="宋体"/>
          <w:color w:val="000000" w:themeColor="text1"/>
          <w:kern w:val="0"/>
          <w:sz w:val="24"/>
          <w:szCs w:val="24"/>
          <w:highlight w:val="none"/>
          <w14:textFill>
            <w14:solidFill>
              <w14:schemeClr w14:val="tx1"/>
            </w14:solidFill>
          </w14:textFill>
        </w:rPr>
        <w:t>日止。（工作日10：00-</w:t>
      </w:r>
      <w:r>
        <w:rPr>
          <w:rFonts w:hint="eastAsia" w:ascii="宋体" w:hAnsi="宋体" w:cs="宋体"/>
          <w:color w:val="000000" w:themeColor="text1"/>
          <w:kern w:val="0"/>
          <w:sz w:val="24"/>
          <w:szCs w:val="24"/>
          <w:highlight w:val="none"/>
          <w:lang w:val="en-US" w:eastAsia="zh-CN"/>
          <w14:textFill>
            <w14:solidFill>
              <w14:schemeClr w14:val="tx1"/>
            </w14:solidFill>
          </w14:textFill>
        </w:rPr>
        <w:t>14:00</w:t>
      </w:r>
      <w:r>
        <w:rPr>
          <w:rFonts w:hint="eastAsia" w:ascii="宋体" w:hAnsi="宋体" w:cs="宋体"/>
          <w:color w:val="000000" w:themeColor="text1"/>
          <w:kern w:val="0"/>
          <w:sz w:val="24"/>
          <w:szCs w:val="24"/>
          <w:highlight w:val="none"/>
          <w14:textFill>
            <w14:solidFill>
              <w14:schemeClr w14:val="tx1"/>
            </w14:solidFill>
          </w14:textFill>
        </w:rPr>
        <w:t>，16：00-</w:t>
      </w:r>
      <w:r>
        <w:rPr>
          <w:rFonts w:hint="eastAsia" w:ascii="宋体" w:hAnsi="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cs="宋体"/>
          <w:color w:val="000000" w:themeColor="text1"/>
          <w:kern w:val="0"/>
          <w:sz w:val="24"/>
          <w:szCs w:val="24"/>
          <w:highlight w:val="none"/>
          <w14:textFill>
            <w14:solidFill>
              <w14:schemeClr w14:val="tx1"/>
            </w14:solidFill>
          </w14:textFill>
        </w:rPr>
        <w:t>：00）</w:t>
      </w:r>
    </w:p>
    <w:p>
      <w:pPr>
        <w:autoSpaceDE w:val="0"/>
        <w:autoSpaceDN w:val="0"/>
        <w:adjustRightInd w:val="0"/>
        <w:snapToGrid w:val="0"/>
        <w:spacing w:line="500" w:lineRule="exact"/>
        <w:ind w:firstLine="484"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投标文件递交截止时间及开标时间：2022年</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14:textFill>
            <w14:solidFill>
              <w14:schemeClr w14:val="tx1"/>
            </w14:solidFill>
          </w14:textFill>
        </w:rPr>
        <w:t xml:space="preserve">月 </w:t>
      </w:r>
      <w:r>
        <w:rPr>
          <w:rFonts w:hint="eastAsia" w:ascii="宋体" w:hAnsi="宋体" w:cs="宋体"/>
          <w:color w:val="000000" w:themeColor="text1"/>
          <w:kern w:val="0"/>
          <w:sz w:val="24"/>
          <w:szCs w:val="24"/>
          <w:highlight w:val="none"/>
          <w:lang w:val="en-US" w:eastAsia="zh-CN"/>
          <w14:textFill>
            <w14:solidFill>
              <w14:schemeClr w14:val="tx1"/>
            </w14:solidFill>
          </w14:textFill>
        </w:rPr>
        <w:t>19</w:t>
      </w:r>
      <w:r>
        <w:rPr>
          <w:rFonts w:hint="eastAsia" w:ascii="宋体" w:hAnsi="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themeColor="text1"/>
          <w:kern w:val="0"/>
          <w:sz w:val="24"/>
          <w:szCs w:val="24"/>
          <w:highlight w:val="none"/>
          <w:lang w:val="en-US" w:eastAsia="zh-CN"/>
          <w14:textFill>
            <w14:solidFill>
              <w14:schemeClr w14:val="tx1"/>
            </w14:solidFill>
          </w14:textFill>
        </w:rPr>
        <w:t>上午11</w:t>
      </w:r>
      <w:r>
        <w:rPr>
          <w:rFonts w:hint="eastAsia" w:ascii="宋体" w:hAnsi="宋体" w:cs="宋体"/>
          <w:color w:val="000000" w:themeColor="text1"/>
          <w:kern w:val="0"/>
          <w:sz w:val="24"/>
          <w:szCs w:val="24"/>
          <w:highlight w:val="none"/>
          <w14:textFill>
            <w14:solidFill>
              <w14:schemeClr w14:val="tx1"/>
            </w14:solidFill>
          </w14:textFill>
        </w:rPr>
        <w:t>时00分(北京时间)，若逾期，届时其投标将被拒绝。</w:t>
      </w:r>
    </w:p>
    <w:p>
      <w:pPr>
        <w:numPr>
          <w:ilvl w:val="0"/>
          <w:numId w:val="4"/>
        </w:num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开标地点：轮台县农业农村局三楼会议室。</w:t>
      </w:r>
    </w:p>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公告期限 </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pPr>
        <w:spacing w:line="360" w:lineRule="auto"/>
        <w:ind w:firstLine="363"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六、相关信息发布：本次招标公告新疆政府采购网（http://www.ccgp.gov.cn/）。</w:t>
      </w:r>
    </w:p>
    <w:p>
      <w:pPr>
        <w:spacing w:line="360" w:lineRule="auto"/>
        <w:ind w:firstLine="242" w:firstLineChars="100"/>
        <w:rPr>
          <w:rFonts w:ascii="宋体" w:hAnsi="宋体" w:cs="宋体"/>
          <w:color w:val="auto"/>
          <w:sz w:val="24"/>
          <w:szCs w:val="24"/>
          <w:highlight w:val="none"/>
        </w:rPr>
      </w:pPr>
      <w:r>
        <w:rPr>
          <w:rFonts w:hint="eastAsia" w:ascii="宋体" w:hAnsi="宋体" w:cs="宋体"/>
          <w:color w:val="auto"/>
          <w:sz w:val="24"/>
          <w:szCs w:val="24"/>
          <w:highlight w:val="none"/>
        </w:rPr>
        <w:t>七、方式联系</w:t>
      </w:r>
    </w:p>
    <w:p>
      <w:pPr>
        <w:adjustRightInd w:val="0"/>
        <w:snapToGrid w:val="0"/>
        <w:spacing w:line="360" w:lineRule="auto"/>
        <w:ind w:firstLine="484"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1.采购人信息                    </w:t>
      </w:r>
    </w:p>
    <w:p>
      <w:pPr>
        <w:pStyle w:val="15"/>
        <w:adjustRightInd w:val="0"/>
        <w:snapToGrid w:val="0"/>
        <w:spacing w:line="360" w:lineRule="auto"/>
        <w:ind w:left="563" w:leftChars="266"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名 称：轮台县农业农村局        </w:t>
      </w:r>
    </w:p>
    <w:p>
      <w:pPr>
        <w:pStyle w:val="15"/>
        <w:adjustRightInd w:val="0"/>
        <w:snapToGrid w:val="0"/>
        <w:spacing w:line="360" w:lineRule="auto"/>
        <w:ind w:left="0" w:firstLine="484"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 司马义</w:t>
      </w:r>
    </w:p>
    <w:p>
      <w:pPr>
        <w:pStyle w:val="15"/>
        <w:adjustRightInd w:val="0"/>
        <w:snapToGrid w:val="0"/>
        <w:spacing w:line="360" w:lineRule="auto"/>
        <w:ind w:left="0" w:firstLine="484" w:firstLineChars="200"/>
        <w:jc w:val="left"/>
        <w:rPr>
          <w:rStyle w:val="24"/>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rPr>
        <w:t xml:space="preserve">联系电话 ：15899014333          </w:t>
      </w:r>
    </w:p>
    <w:p>
      <w:pPr>
        <w:adjustRightInd w:val="0"/>
        <w:snapToGrid w:val="0"/>
        <w:spacing w:line="360" w:lineRule="auto"/>
        <w:ind w:firstLine="484" w:firstLineChars="200"/>
        <w:jc w:val="left"/>
        <w:rPr>
          <w:rFonts w:hint="eastAsia" w:ascii="宋体" w:hAnsi="宋体" w:cs="宋体"/>
          <w:color w:val="auto"/>
          <w:sz w:val="24"/>
          <w:szCs w:val="24"/>
          <w:highlight w:val="none"/>
        </w:rPr>
      </w:pPr>
    </w:p>
    <w:p>
      <w:pPr>
        <w:adjustRightInd w:val="0"/>
        <w:snapToGrid w:val="0"/>
        <w:spacing w:line="360" w:lineRule="auto"/>
        <w:ind w:firstLine="484"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pPr>
        <w:pStyle w:val="15"/>
        <w:adjustRightInd w:val="0"/>
        <w:snapToGrid w:val="0"/>
        <w:spacing w:line="360" w:lineRule="auto"/>
        <w:ind w:left="563" w:leftChars="266"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名 称：新疆安航工程项目管理有限公司</w:t>
      </w:r>
    </w:p>
    <w:p>
      <w:pPr>
        <w:pStyle w:val="15"/>
        <w:adjustRightInd w:val="0"/>
        <w:snapToGrid w:val="0"/>
        <w:spacing w:line="360" w:lineRule="auto"/>
        <w:ind w:left="0" w:firstLine="484"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张硕</w:t>
      </w:r>
    </w:p>
    <w:p>
      <w:pPr>
        <w:pStyle w:val="15"/>
        <w:adjustRightInd w:val="0"/>
        <w:snapToGrid w:val="0"/>
        <w:spacing w:line="360" w:lineRule="auto"/>
        <w:ind w:left="0" w:firstLine="484" w:firstLineChars="200"/>
        <w:jc w:val="center"/>
        <w:rPr>
          <w:rStyle w:val="24"/>
          <w:rFonts w:hint="eastAsia" w:ascii="宋体" w:hAnsi="宋体" w:eastAsia="宋体" w:cs="宋体"/>
          <w:b/>
          <w:bCs/>
          <w:color w:val="auto"/>
          <w:sz w:val="32"/>
          <w:szCs w:val="32"/>
          <w:highlight w:val="none"/>
        </w:rPr>
      </w:pPr>
      <w:r>
        <w:rPr>
          <w:rFonts w:hint="eastAsia" w:ascii="宋体" w:hAnsi="宋体" w:cs="宋体"/>
          <w:color w:val="auto"/>
          <w:sz w:val="24"/>
          <w:szCs w:val="24"/>
          <w:highlight w:val="none"/>
        </w:rPr>
        <w:t xml:space="preserve">联系电话：13667522055  </w:t>
      </w:r>
      <w:r>
        <w:rPr>
          <w:rStyle w:val="24"/>
          <w:rFonts w:hint="eastAsia" w:ascii="宋体" w:hAnsi="宋体" w:eastAsia="宋体" w:cs="宋体"/>
          <w:b/>
          <w:bCs/>
          <w:color w:val="auto"/>
          <w:sz w:val="24"/>
          <w:szCs w:val="24"/>
          <w:highlight w:val="none"/>
        </w:rPr>
        <w:br w:type="page"/>
      </w:r>
      <w:r>
        <w:rPr>
          <w:rStyle w:val="24"/>
          <w:rFonts w:hint="eastAsia" w:ascii="宋体" w:hAnsi="宋体" w:eastAsia="宋体" w:cs="宋体"/>
          <w:b/>
          <w:bCs/>
          <w:color w:val="auto"/>
          <w:sz w:val="32"/>
          <w:szCs w:val="32"/>
          <w:highlight w:val="none"/>
        </w:rPr>
        <w:t>第二章 供应商须知</w:t>
      </w:r>
      <w:bookmarkEnd w:id="10"/>
      <w:bookmarkEnd w:id="11"/>
      <w:bookmarkEnd w:id="12"/>
      <w:bookmarkEnd w:id="13"/>
      <w:r>
        <w:rPr>
          <w:rStyle w:val="24"/>
          <w:rFonts w:hint="eastAsia" w:ascii="宋体" w:hAnsi="宋体" w:eastAsia="宋体" w:cs="宋体"/>
          <w:b/>
          <w:bCs/>
          <w:color w:val="auto"/>
          <w:sz w:val="32"/>
          <w:szCs w:val="32"/>
          <w:highlight w:val="none"/>
        </w:rPr>
        <w:t>前附表</w:t>
      </w:r>
    </w:p>
    <w:p>
      <w:pPr>
        <w:pStyle w:val="9"/>
        <w:ind w:left="850"/>
        <w:rPr>
          <w:rFonts w:hint="eastAsia"/>
          <w:color w:val="auto"/>
          <w:highlight w:val="none"/>
        </w:rPr>
      </w:pPr>
    </w:p>
    <w:bookmarkEnd w:id="14"/>
    <w:tbl>
      <w:tblPr>
        <w:tblStyle w:val="19"/>
        <w:tblW w:w="10295" w:type="dxa"/>
        <w:jc w:val="center"/>
        <w:tblLayout w:type="fixed"/>
        <w:tblCellMar>
          <w:top w:w="0" w:type="dxa"/>
          <w:left w:w="108" w:type="dxa"/>
          <w:bottom w:w="0" w:type="dxa"/>
          <w:right w:w="108" w:type="dxa"/>
        </w:tblCellMar>
      </w:tblPr>
      <w:tblGrid>
        <w:gridCol w:w="1080"/>
        <w:gridCol w:w="2005"/>
        <w:gridCol w:w="7210"/>
      </w:tblGrid>
      <w:tr>
        <w:tblPrEx>
          <w:tblCellMar>
            <w:top w:w="0" w:type="dxa"/>
            <w:left w:w="108" w:type="dxa"/>
            <w:bottom w:w="0" w:type="dxa"/>
            <w:right w:w="108" w:type="dxa"/>
          </w:tblCellMar>
        </w:tblPrEx>
        <w:trPr>
          <w:trHeight w:val="30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条款名称</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tblPrEx>
          <w:tblCellMar>
            <w:top w:w="0" w:type="dxa"/>
            <w:left w:w="108" w:type="dxa"/>
            <w:bottom w:w="0" w:type="dxa"/>
            <w:right w:w="108" w:type="dxa"/>
          </w:tblCellMar>
        </w:tblPrEx>
        <w:trPr>
          <w:trHeight w:val="12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采购人</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名称：轮台县农业农村局</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地址：轮台县</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 司马义</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联系方式： 15899014333</w:t>
            </w:r>
          </w:p>
        </w:tc>
      </w:tr>
      <w:tr>
        <w:tblPrEx>
          <w:tblCellMar>
            <w:top w:w="0" w:type="dxa"/>
            <w:left w:w="108" w:type="dxa"/>
            <w:bottom w:w="0" w:type="dxa"/>
            <w:right w:w="108" w:type="dxa"/>
          </w:tblCellMar>
        </w:tblPrEx>
        <w:trPr>
          <w:trHeight w:val="75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采购代理机构</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名称：新疆安航工程项目管理有限公司</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地址：库尔勒市豪景大厦 </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eastAsia="zh-CN"/>
              </w:rPr>
              <w:t>张硕</w:t>
            </w:r>
            <w:r>
              <w:rPr>
                <w:rFonts w:hint="eastAsia" w:ascii="黑体" w:hAnsi="黑体" w:eastAsia="黑体" w:cs="黑体"/>
                <w:color w:val="auto"/>
                <w:sz w:val="24"/>
                <w:szCs w:val="24"/>
                <w:highlight w:val="none"/>
              </w:rPr>
              <w:t xml:space="preserve">    </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联系方式：13667522055</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轮台县农业农村局项目竣工决算编制</w:t>
            </w:r>
          </w:p>
        </w:tc>
      </w:tr>
      <w:tr>
        <w:tblPrEx>
          <w:tblCellMar>
            <w:top w:w="0" w:type="dxa"/>
            <w:left w:w="108" w:type="dxa"/>
            <w:bottom w:w="0" w:type="dxa"/>
            <w:right w:w="108" w:type="dxa"/>
          </w:tblCellMar>
        </w:tblPrEx>
        <w:trPr>
          <w:trHeight w:val="36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项目地点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轮台县</w:t>
            </w:r>
          </w:p>
        </w:tc>
      </w:tr>
      <w:tr>
        <w:tblPrEx>
          <w:tblCellMar>
            <w:top w:w="0" w:type="dxa"/>
            <w:left w:w="108" w:type="dxa"/>
            <w:bottom w:w="0" w:type="dxa"/>
            <w:right w:w="108" w:type="dxa"/>
          </w:tblCellMar>
        </w:tblPrEx>
        <w:trPr>
          <w:trHeight w:val="69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资金来源</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预算金额：</w:t>
            </w:r>
            <w:r>
              <w:rPr>
                <w:rFonts w:hint="eastAsia" w:ascii="黑体" w:hAnsi="黑体" w:eastAsia="黑体" w:cs="黑体"/>
                <w:color w:val="auto"/>
                <w:sz w:val="24"/>
                <w:szCs w:val="24"/>
                <w:highlight w:val="none"/>
                <w:lang w:val="en-US" w:eastAsia="zh-CN"/>
              </w:rPr>
              <w:t>65.41</w:t>
            </w:r>
            <w:r>
              <w:rPr>
                <w:rFonts w:hint="eastAsia" w:ascii="黑体" w:hAnsi="黑体" w:eastAsia="黑体" w:cs="黑体"/>
                <w:color w:val="auto"/>
                <w:sz w:val="24"/>
                <w:szCs w:val="24"/>
                <w:highlight w:val="none"/>
              </w:rPr>
              <w:t>万元</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资金来源：财政资金</w:t>
            </w:r>
          </w:p>
        </w:tc>
      </w:tr>
      <w:tr>
        <w:tblPrEx>
          <w:tblCellMar>
            <w:top w:w="0" w:type="dxa"/>
            <w:left w:w="108" w:type="dxa"/>
            <w:bottom w:w="0" w:type="dxa"/>
            <w:right w:w="108" w:type="dxa"/>
          </w:tblCellMar>
        </w:tblPrEx>
        <w:trPr>
          <w:trHeight w:val="28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出资比例</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100%</w:t>
            </w:r>
          </w:p>
        </w:tc>
      </w:tr>
      <w:tr>
        <w:tblPrEx>
          <w:tblCellMar>
            <w:top w:w="0" w:type="dxa"/>
            <w:left w:w="108" w:type="dxa"/>
            <w:bottom w:w="0" w:type="dxa"/>
            <w:right w:w="108" w:type="dxa"/>
          </w:tblCellMar>
        </w:tblPrEx>
        <w:trPr>
          <w:trHeight w:val="38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资金落实情况</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已落实</w:t>
            </w:r>
          </w:p>
        </w:tc>
      </w:tr>
      <w:tr>
        <w:tblPrEx>
          <w:tblCellMar>
            <w:top w:w="0" w:type="dxa"/>
            <w:left w:w="108" w:type="dxa"/>
            <w:bottom w:w="0" w:type="dxa"/>
            <w:right w:w="108" w:type="dxa"/>
          </w:tblCellMar>
        </w:tblPrEx>
        <w:trPr>
          <w:trHeight w:val="67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内容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对2021年人居环境整治建设项目(一期)、2022年人居环境整治建设项目(二期)、2022年乡村振兴环境整治项目(二期)三个项目进行竣工决算，依据工程结算成果文件和财务资料编制竣工决算。</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服务期限</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自签订合同之日开始实施，</w:t>
            </w:r>
            <w:r>
              <w:rPr>
                <w:rFonts w:hint="eastAsia" w:ascii="黑体" w:hAnsi="黑体" w:eastAsia="黑体" w:cs="黑体"/>
                <w:color w:val="000000" w:themeColor="text1"/>
                <w:sz w:val="24"/>
                <w:szCs w:val="24"/>
                <w:highlight w:val="none"/>
                <w:lang w:val="en-US" w:eastAsia="zh-CN"/>
                <w14:textFill>
                  <w14:solidFill>
                    <w14:schemeClr w14:val="tx1"/>
                  </w14:solidFill>
                </w14:textFill>
              </w:rPr>
              <w:t>120个工作日内</w:t>
            </w:r>
            <w:r>
              <w:rPr>
                <w:rFonts w:hint="eastAsia" w:ascii="黑体" w:hAnsi="黑体" w:eastAsia="黑体" w:cs="黑体"/>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41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质量要求</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w:t>
            </w:r>
          </w:p>
        </w:tc>
      </w:tr>
      <w:tr>
        <w:tblPrEx>
          <w:tblCellMar>
            <w:top w:w="0" w:type="dxa"/>
            <w:left w:w="108" w:type="dxa"/>
            <w:bottom w:w="0" w:type="dxa"/>
            <w:right w:w="108" w:type="dxa"/>
          </w:tblCellMar>
        </w:tblPrEx>
        <w:trPr>
          <w:trHeight w:val="42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付款方式</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以合同签订内容为准</w:t>
            </w:r>
          </w:p>
        </w:tc>
      </w:tr>
      <w:tr>
        <w:tblPrEx>
          <w:tblCellMar>
            <w:top w:w="0" w:type="dxa"/>
            <w:left w:w="108" w:type="dxa"/>
            <w:bottom w:w="0" w:type="dxa"/>
            <w:right w:w="108" w:type="dxa"/>
          </w:tblCellMar>
        </w:tblPrEx>
        <w:trPr>
          <w:trHeight w:val="36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履约保证金</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pStyle w:val="5"/>
              <w:adjustRightInd w:val="0"/>
              <w:snapToGrid w:val="0"/>
              <w:spacing w:line="240" w:lineRule="auto"/>
              <w:ind w:firstLine="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无</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现场踏勘</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不组织</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A8"/>
            </w:r>
            <w:r>
              <w:rPr>
                <w:rFonts w:hint="eastAsia" w:ascii="黑体" w:hAnsi="黑体" w:eastAsia="黑体" w:cs="黑体"/>
                <w:color w:val="auto"/>
                <w:sz w:val="24"/>
                <w:szCs w:val="24"/>
                <w:highlight w:val="none"/>
              </w:rPr>
              <w:t>组织</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响应文件</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有效期</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提交响应文件的截止之日起90天</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报价</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报价包含本合同承揽事项所需的一切</w:t>
            </w:r>
            <w:r>
              <w:rPr>
                <w:rFonts w:hint="eastAsia" w:ascii="黑体" w:hAnsi="黑体" w:eastAsia="黑体" w:cs="黑体"/>
                <w:color w:val="auto"/>
                <w:sz w:val="24"/>
                <w:szCs w:val="24"/>
                <w:highlight w:val="none"/>
              </w:rPr>
              <w:t>费用</w:t>
            </w:r>
            <w:r>
              <w:rPr>
                <w:rFonts w:hint="eastAsia" w:ascii="黑体" w:hAnsi="黑体" w:eastAsia="黑体" w:cs="黑体"/>
                <w:color w:val="auto"/>
                <w:sz w:val="24"/>
                <w:szCs w:val="24"/>
                <w:highlight w:val="none"/>
                <w:lang w:val="zh-CN"/>
              </w:rPr>
              <w:t>（人工费、材料费、差旅费、设备费和其他费用以及本项目产生的所有税费）</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8"/>
                <w:szCs w:val="28"/>
                <w:highlight w:val="none"/>
              </w:rPr>
            </w:pPr>
            <w:r>
              <w:rPr>
                <w:rFonts w:hint="eastAsia" w:ascii="宋体" w:hAnsi="宋体" w:cs="宋体"/>
                <w:b/>
                <w:bCs/>
                <w:color w:val="auto"/>
                <w:sz w:val="24"/>
                <w:szCs w:val="24"/>
                <w:highlight w:val="none"/>
              </w:rPr>
              <w:t>低于成本价不正当 竞争预防措施 （实质性要求）</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评标委员会认为投标人的报价明显低于其他通过符 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投标人书面说明应当签字确认或者加盖公章，否则无 效。书面说明的签字确认，投标人为法人的，由其法定代表人/主要负责人或者授权代表签字确认；投标人为其他组织的，由其主要负责人或者授权代表签字确认；投标人为自然人的，由其本人或者授权代表签字确认。 </w:t>
            </w:r>
          </w:p>
          <w:p>
            <w:pPr>
              <w:adjustRightInd w:val="0"/>
              <w:snapToGrid w:val="0"/>
              <w:spacing w:line="240" w:lineRule="auto"/>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rPr>
              <w:t>投标人提供书面说明后，评标委员会应当结合采购项 目采购需求、专业实际情况、投标人财务状况报告、与其 他投标人比较情况等就投标人书面说明进行审查评价。投 标人拒绝或者变相拒绝提供有效书面说明或者书面说明不能证明其报价合理性的，评标委员会应当将其投标文件作 为无效处理。</w:t>
            </w:r>
          </w:p>
        </w:tc>
      </w:tr>
      <w:tr>
        <w:tblPrEx>
          <w:tblCellMar>
            <w:top w:w="0" w:type="dxa"/>
            <w:left w:w="108" w:type="dxa"/>
            <w:bottom w:w="0" w:type="dxa"/>
            <w:right w:w="108" w:type="dxa"/>
          </w:tblCellMar>
        </w:tblPrEx>
        <w:trPr>
          <w:trHeight w:val="145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报价方式</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本次竞争性磋商采用两轮报价评定成交方式；</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第一轮磋商结束后</w:t>
            </w:r>
          </w:p>
          <w:p>
            <w:pPr>
              <w:adjustRightInd w:val="0"/>
              <w:snapToGrid w:val="0"/>
              <w:spacing w:line="240" w:lineRule="auto"/>
              <w:rPr>
                <w:rFonts w:hint="eastAsia" w:ascii="黑体" w:hAnsi="黑体" w:eastAsia="黑体" w:cs="黑体"/>
                <w:b/>
                <w:bCs/>
                <w:color w:val="auto"/>
                <w:sz w:val="24"/>
                <w:szCs w:val="24"/>
                <w:highlight w:val="none"/>
              </w:rPr>
            </w:pPr>
            <w:r>
              <w:rPr>
                <w:rFonts w:hint="eastAsia" w:ascii="黑体" w:hAnsi="黑体" w:eastAsia="黑体" w:cs="黑体"/>
                <w:color w:val="auto"/>
                <w:sz w:val="24"/>
                <w:szCs w:val="24"/>
                <w:highlight w:val="none"/>
              </w:rPr>
              <w:t>所有合格的供应商按照要求做出最终一轮报价，时间为30分钟，若供应商在规定的时间内未按要求对最终一轮做出报价的，视为放弃本次投标，为无效供应商。</w:t>
            </w:r>
          </w:p>
        </w:tc>
      </w:tr>
      <w:tr>
        <w:tblPrEx>
          <w:tblCellMar>
            <w:top w:w="0" w:type="dxa"/>
            <w:left w:w="108" w:type="dxa"/>
            <w:bottom w:w="0" w:type="dxa"/>
            <w:right w:w="108" w:type="dxa"/>
          </w:tblCellMar>
        </w:tblPrEx>
        <w:trPr>
          <w:trHeight w:val="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是否接受</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联合体投标</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不接受</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A8"/>
            </w:r>
            <w:r>
              <w:rPr>
                <w:rFonts w:hint="eastAsia" w:ascii="黑体" w:hAnsi="黑体" w:eastAsia="黑体" w:cs="黑体"/>
                <w:color w:val="auto"/>
                <w:sz w:val="24"/>
                <w:szCs w:val="24"/>
                <w:highlight w:val="none"/>
              </w:rPr>
              <w:t>接受</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开标前准备</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1、本项目实行网上投标，采用电子投标文件。若供应商参与投标，自行承担投标一切费用。</w:t>
            </w:r>
          </w:p>
          <w:p>
            <w:pPr>
              <w:spacing w:line="24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供应商</w:t>
            </w:r>
          </w:p>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资格条件</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本项目基本资格要求：</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（1）具有有效的企业法人营业执照，且营业范围满足本项目需求；</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（2）法定代表人身份证或授权委托书及代理人身份证；</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（3）未被“信用中国”（www.creditchina.gov.cn）、中国政府采购网（www.ccgp.gov.cn）列入失信被执行人、重大税收违法案件当事人名单、政府采购严重违法失信行为记录名单；</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（4）依法注册、具有合法资格，并在法律上、财务上与采购人和采购代理机构不发生关系；</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（5）单位负责人为同一人或者存在直接控股、管理关系的不同供应商，不得参加同一合同项下的政府采购活动； </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（6）符合国家有关法律法规的规定；</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（7）为充分保证完善的售后服务，本项目不接受联合体投标</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招标文件获取方式</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供应商登陆政采云平台https://www.zcygov.cn/在线申请获取采购文件（进入“项目采购”应用，在获取采购文件菜单中选择项目，申请获取采购文件）。</w:t>
            </w:r>
          </w:p>
        </w:tc>
      </w:tr>
      <w:tr>
        <w:tblPrEx>
          <w:tblCellMar>
            <w:top w:w="0" w:type="dxa"/>
            <w:left w:w="108" w:type="dxa"/>
            <w:bottom w:w="0" w:type="dxa"/>
            <w:right w:w="108" w:type="dxa"/>
          </w:tblCellMar>
        </w:tblPrEx>
        <w:trPr>
          <w:trHeight w:val="71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投标文件递交</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overflowPunct w:val="0"/>
              <w:spacing w:line="240" w:lineRule="auto"/>
              <w:jc w:val="lef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电子投标文件递交：投标人应于</w:t>
            </w:r>
            <w:r>
              <w:rPr>
                <w:rFonts w:hint="eastAsia" w:ascii="黑体" w:hAnsi="黑体" w:eastAsia="黑体" w:cs="黑体"/>
                <w:color w:val="000000" w:themeColor="text1"/>
                <w:sz w:val="24"/>
                <w:szCs w:val="24"/>
                <w:highlight w:val="none"/>
                <w:lang w:val="en-US" w:eastAsia="zh-CN"/>
                <w14:textFill>
                  <w14:solidFill>
                    <w14:schemeClr w14:val="tx1"/>
                  </w14:solidFill>
                </w14:textFill>
              </w:rPr>
              <w:t>2022年10月19日11:00</w:t>
            </w:r>
            <w:r>
              <w:rPr>
                <w:rFonts w:hint="eastAsia" w:ascii="黑体" w:hAnsi="黑体" w:eastAsia="黑体" w:cs="黑体"/>
                <w:color w:val="000000" w:themeColor="text1"/>
                <w:sz w:val="24"/>
                <w:szCs w:val="24"/>
                <w:highlight w:val="none"/>
                <w14:textFill>
                  <w14:solidFill>
                    <w14:schemeClr w14:val="tx1"/>
                  </w14:solidFill>
                </w14:textFill>
              </w:rPr>
              <w:t>时之前将电子投标文件上传到“政采云”平台。应按照本项目</w:t>
            </w:r>
            <w:r>
              <w:rPr>
                <w:rFonts w:hint="eastAsia" w:ascii="黑体" w:hAnsi="黑体" w:eastAsia="黑体" w:cs="黑体"/>
                <w:color w:val="auto"/>
                <w:sz w:val="24"/>
                <w:szCs w:val="24"/>
                <w:highlight w:val="none"/>
              </w:rPr>
              <w:t>招标文件和政采云平台的要求编制、加密传输投标文件。供应商在使用系统进行投标的过程中遇到涉及平台使用的任何问题，可致电政采云平台技术支持热线咨询，联系方式：400-881-7190。</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（2）投标现场无需递交投标文件，中标单位公示完之后需提供：</w:t>
            </w:r>
          </w:p>
          <w:p>
            <w:pPr>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纸质版投标文件：正本一份、副本</w:t>
            </w:r>
            <w:r>
              <w:rPr>
                <w:rFonts w:hint="eastAsia" w:ascii="黑体" w:hAnsi="黑体" w:eastAsia="黑体" w:cs="黑体"/>
                <w:color w:val="auto"/>
                <w:sz w:val="24"/>
                <w:szCs w:val="24"/>
                <w:highlight w:val="none"/>
                <w:lang w:val="en-US" w:eastAsia="zh-CN"/>
              </w:rPr>
              <w:t>叁</w:t>
            </w:r>
            <w:r>
              <w:rPr>
                <w:rFonts w:hint="eastAsia" w:ascii="黑体" w:hAnsi="黑体" w:eastAsia="黑体" w:cs="黑体"/>
                <w:color w:val="auto"/>
                <w:sz w:val="24"/>
                <w:szCs w:val="24"/>
                <w:highlight w:val="none"/>
              </w:rPr>
              <w:t>份。</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投标文件电子版：以光盘为介质的投标文件电子版4份。</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投标文件解密时间</w:t>
            </w:r>
          </w:p>
          <w:p>
            <w:pPr>
              <w:adjustRightInd w:val="0"/>
              <w:snapToGrid w:val="0"/>
              <w:spacing w:line="240" w:lineRule="auto"/>
              <w:jc w:val="center"/>
              <w:rPr>
                <w:rFonts w:hint="eastAsia" w:ascii="宋体" w:hAnsi="宋体" w:cs="宋体"/>
                <w:b/>
                <w:bCs/>
                <w:color w:val="auto"/>
                <w:sz w:val="24"/>
                <w:szCs w:val="24"/>
                <w:highlight w:val="none"/>
              </w:rPr>
            </w:pP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投标文件解密时间为30分钟，供应商可以登录“政采云”平台，用“项目采购-开标评标”功能进行解密投标文件。若供应商在招标代理现场规定的时间内未按时解密的，视为投标文件撤回。</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是否允许递交</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备选投标方案</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不允许</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A8"/>
            </w:r>
            <w:r>
              <w:rPr>
                <w:rFonts w:hint="eastAsia" w:ascii="黑体" w:hAnsi="黑体" w:eastAsia="黑体" w:cs="黑体"/>
                <w:color w:val="auto"/>
                <w:sz w:val="24"/>
                <w:szCs w:val="24"/>
                <w:highlight w:val="none"/>
              </w:rPr>
              <w:t>允许</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签字和（或）</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盖章要求</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bCs/>
                <w:color w:val="auto"/>
                <w:sz w:val="24"/>
                <w:szCs w:val="24"/>
                <w:highlight w:val="none"/>
              </w:rPr>
              <w:t>招标文件指定的投标文件里应该加盖企业公章、法人章的和企业法定代表人或其委托代理人签字的，必须履行，否则视为无效文件。</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说明</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本竞争性磋商文件技术指标是作为功能性说明，不论任何情况，供应商在投标时必须达到或优于竞争性磋商文件要求。</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28</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评标办法</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综合评分法</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29</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投标保证金</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投标保证金金额：</w:t>
            </w:r>
            <w:r>
              <w:rPr>
                <w:rFonts w:hint="eastAsia" w:ascii="黑体" w:hAnsi="黑体" w:eastAsia="黑体" w:cs="黑体"/>
                <w:b w:val="0"/>
                <w:bCs w:val="0"/>
                <w:color w:val="auto"/>
                <w:sz w:val="24"/>
                <w:szCs w:val="24"/>
                <w:highlight w:val="none"/>
                <w:lang w:val="en-US" w:eastAsia="zh-CN"/>
              </w:rPr>
              <w:t>1</w:t>
            </w:r>
            <w:r>
              <w:rPr>
                <w:rFonts w:hint="eastAsia" w:ascii="黑体" w:hAnsi="黑体" w:eastAsia="黑体" w:cs="黑体"/>
                <w:b w:val="0"/>
                <w:bCs w:val="0"/>
                <w:color w:val="auto"/>
                <w:sz w:val="24"/>
                <w:szCs w:val="24"/>
                <w:highlight w:val="none"/>
              </w:rPr>
              <w:t>0000元（</w:t>
            </w:r>
            <w:r>
              <w:rPr>
                <w:rFonts w:hint="eastAsia" w:ascii="黑体" w:hAnsi="黑体" w:eastAsia="黑体" w:cs="黑体"/>
                <w:b w:val="0"/>
                <w:bCs w:val="0"/>
                <w:color w:val="auto"/>
                <w:sz w:val="24"/>
                <w:szCs w:val="24"/>
                <w:highlight w:val="none"/>
                <w:lang w:val="en-US" w:eastAsia="zh-CN"/>
              </w:rPr>
              <w:t>壹</w:t>
            </w:r>
            <w:r>
              <w:rPr>
                <w:rFonts w:hint="eastAsia" w:ascii="黑体" w:hAnsi="黑体" w:eastAsia="黑体" w:cs="黑体"/>
                <w:b w:val="0"/>
                <w:bCs w:val="0"/>
                <w:color w:val="auto"/>
                <w:sz w:val="24"/>
                <w:szCs w:val="24"/>
                <w:highlight w:val="none"/>
              </w:rPr>
              <w:t>万元整）</w:t>
            </w:r>
          </w:p>
          <w:p>
            <w:pPr>
              <w:adjustRightInd w:val="0"/>
              <w:snapToGrid w:val="0"/>
              <w:spacing w:line="240" w:lineRule="auto"/>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rPr>
              <w:t>投标保证金的形式：由供应商以支票、汇票、本票、保函等非现金形式缴纳或提交保证金</w:t>
            </w:r>
            <w:r>
              <w:rPr>
                <w:rFonts w:hint="eastAsia" w:ascii="黑体" w:hAnsi="黑体" w:eastAsia="黑体" w:cs="黑体"/>
                <w:b w:val="0"/>
                <w:bCs w:val="0"/>
                <w:color w:val="auto"/>
                <w:sz w:val="24"/>
                <w:szCs w:val="24"/>
                <w:highlight w:val="none"/>
                <w:lang w:eastAsia="zh-CN"/>
              </w:rPr>
              <w:t>。</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采购代理机构的开户银行及账号如下：</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开户单位：新疆安航工程项目管理有限公司巴州分公司</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开户银行：中国工商银行股份有限公司轮台支行，</w:t>
            </w:r>
          </w:p>
          <w:p>
            <w:pPr>
              <w:adjustRightInd w:val="0"/>
              <w:snapToGrid w:val="0"/>
              <w:spacing w:line="240" w:lineRule="auto"/>
              <w:rPr>
                <w:rFonts w:hint="eastAsia" w:ascii="黑体" w:hAnsi="黑体" w:eastAsia="黑体" w:cs="黑体"/>
                <w:b w:val="0"/>
                <w:bCs w:val="0"/>
                <w:color w:val="auto"/>
                <w:sz w:val="24"/>
                <w:szCs w:val="24"/>
                <w:highlight w:val="none"/>
                <w:u w:val="single"/>
              </w:rPr>
            </w:pPr>
            <w:r>
              <w:rPr>
                <w:rFonts w:hint="eastAsia" w:ascii="黑体" w:hAnsi="黑体" w:eastAsia="黑体" w:cs="黑体"/>
                <w:b w:val="0"/>
                <w:bCs w:val="0"/>
                <w:color w:val="auto"/>
                <w:sz w:val="24"/>
                <w:szCs w:val="24"/>
                <w:highlight w:val="none"/>
              </w:rPr>
              <w:t>提交投标保证金账号为：</w:t>
            </w:r>
            <w:r>
              <w:rPr>
                <w:rFonts w:hint="eastAsia" w:ascii="黑体" w:hAnsi="黑体" w:eastAsia="黑体" w:cs="黑体"/>
                <w:b w:val="0"/>
                <w:bCs w:val="0"/>
                <w:color w:val="auto"/>
                <w:sz w:val="24"/>
                <w:szCs w:val="24"/>
                <w:highlight w:val="none"/>
                <w:u w:val="single"/>
              </w:rPr>
              <w:t>3010 0271 0920 0110 770</w:t>
            </w:r>
          </w:p>
          <w:p>
            <w:pPr>
              <w:adjustRightInd w:val="0"/>
              <w:snapToGrid w:val="0"/>
              <w:spacing w:line="24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投标保证金的递交截止时间同开标时间（以银行记录确认到账为准）。未按以上要求递交投标保证金及提供保证金交纳凭证或收据的视为无效，采购人将拒绝其投标。</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b w:val="0"/>
                <w:bCs w:val="0"/>
                <w:color w:val="auto"/>
                <w:sz w:val="24"/>
                <w:szCs w:val="24"/>
                <w:highlight w:val="none"/>
              </w:rPr>
              <w:t>投标保证金格式：</w:t>
            </w:r>
            <w:r>
              <w:rPr>
                <w:rFonts w:hint="eastAsia" w:ascii="黑体" w:hAnsi="黑体" w:eastAsia="黑体" w:cs="黑体"/>
                <w:b w:val="0"/>
                <w:bCs w:val="0"/>
                <w:color w:val="auto"/>
                <w:sz w:val="24"/>
                <w:szCs w:val="24"/>
                <w:highlight w:val="none"/>
                <w:lang w:eastAsia="zh-CN"/>
              </w:rPr>
              <w:t>轮台县农业农村局项目竣工决算编制项目</w:t>
            </w:r>
            <w:r>
              <w:rPr>
                <w:rFonts w:hint="eastAsia" w:ascii="黑体" w:hAnsi="黑体" w:eastAsia="黑体" w:cs="黑体"/>
                <w:b w:val="0"/>
                <w:bCs w:val="0"/>
                <w:color w:val="auto"/>
                <w:sz w:val="24"/>
                <w:szCs w:val="24"/>
                <w:highlight w:val="none"/>
              </w:rPr>
              <w:t>投标保证金</w:t>
            </w:r>
          </w:p>
        </w:tc>
      </w:tr>
      <w:tr>
        <w:tblPrEx>
          <w:tblCellMar>
            <w:top w:w="0" w:type="dxa"/>
            <w:left w:w="108" w:type="dxa"/>
            <w:bottom w:w="0" w:type="dxa"/>
            <w:right w:w="108" w:type="dxa"/>
          </w:tblCellMar>
        </w:tblPrEx>
        <w:trPr>
          <w:trHeight w:val="127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递交截止时间（开标时间）及地点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auto"/>
                <w:sz w:val="24"/>
                <w:szCs w:val="24"/>
                <w:highlight w:val="none"/>
              </w:rPr>
              <w:t>时</w:t>
            </w:r>
            <w:r>
              <w:rPr>
                <w:rFonts w:hint="eastAsia" w:ascii="黑体" w:hAnsi="黑体" w:eastAsia="黑体" w:cs="黑体"/>
                <w:color w:val="000000" w:themeColor="text1"/>
                <w:sz w:val="24"/>
                <w:szCs w:val="24"/>
                <w:highlight w:val="none"/>
                <w14:textFill>
                  <w14:solidFill>
                    <w14:schemeClr w14:val="tx1"/>
                  </w14:solidFill>
                </w14:textFill>
              </w:rPr>
              <w:t>间：2022年</w:t>
            </w:r>
            <w:r>
              <w:rPr>
                <w:rFonts w:hint="eastAsia" w:ascii="黑体" w:hAnsi="黑体" w:eastAsia="黑体" w:cs="黑体"/>
                <w:color w:val="000000" w:themeColor="text1"/>
                <w:sz w:val="24"/>
                <w:szCs w:val="24"/>
                <w:highlight w:val="none"/>
                <w:lang w:val="en-US" w:eastAsia="zh-CN"/>
                <w14:textFill>
                  <w14:solidFill>
                    <w14:schemeClr w14:val="tx1"/>
                  </w14:solidFill>
                </w14:textFill>
              </w:rPr>
              <w:t>10</w:t>
            </w:r>
            <w:r>
              <w:rPr>
                <w:rFonts w:hint="eastAsia" w:ascii="黑体" w:hAnsi="黑体" w:eastAsia="黑体" w:cs="黑体"/>
                <w:color w:val="000000" w:themeColor="text1"/>
                <w:sz w:val="24"/>
                <w:szCs w:val="24"/>
                <w:highlight w:val="none"/>
                <w14:textFill>
                  <w14:solidFill>
                    <w14:schemeClr w14:val="tx1"/>
                  </w14:solidFill>
                </w14:textFill>
              </w:rPr>
              <w:t>月</w:t>
            </w:r>
            <w:r>
              <w:rPr>
                <w:rFonts w:hint="eastAsia" w:ascii="黑体" w:hAnsi="黑体" w:eastAsia="黑体" w:cs="黑体"/>
                <w:color w:val="000000" w:themeColor="text1"/>
                <w:sz w:val="24"/>
                <w:szCs w:val="24"/>
                <w:highlight w:val="none"/>
                <w:lang w:val="en-US" w:eastAsia="zh-CN"/>
                <w14:textFill>
                  <w14:solidFill>
                    <w14:schemeClr w14:val="tx1"/>
                  </w14:solidFill>
                </w14:textFill>
              </w:rPr>
              <w:t>19</w:t>
            </w:r>
            <w:r>
              <w:rPr>
                <w:rFonts w:hint="eastAsia" w:ascii="黑体" w:hAnsi="黑体" w:eastAsia="黑体" w:cs="黑体"/>
                <w:color w:val="000000" w:themeColor="text1"/>
                <w:sz w:val="24"/>
                <w:szCs w:val="24"/>
                <w:highlight w:val="none"/>
                <w14:textFill>
                  <w14:solidFill>
                    <w14:schemeClr w14:val="tx1"/>
                  </w14:solidFill>
                </w14:textFill>
              </w:rPr>
              <w:t>日1</w:t>
            </w:r>
            <w:r>
              <w:rPr>
                <w:rFonts w:hint="eastAsia" w:ascii="黑体" w:hAnsi="黑体" w:eastAsia="黑体" w:cs="黑体"/>
                <w:color w:val="000000" w:themeColor="text1"/>
                <w:sz w:val="24"/>
                <w:szCs w:val="24"/>
                <w:highlight w:val="none"/>
                <w:lang w:val="en-US" w:eastAsia="zh-CN"/>
                <w14:textFill>
                  <w14:solidFill>
                    <w14:schemeClr w14:val="tx1"/>
                  </w14:solidFill>
                </w14:textFill>
              </w:rPr>
              <w:t>1</w:t>
            </w:r>
            <w:r>
              <w:rPr>
                <w:rFonts w:hint="eastAsia" w:ascii="黑体" w:hAnsi="黑体" w:eastAsia="黑体" w:cs="黑体"/>
                <w:color w:val="000000" w:themeColor="text1"/>
                <w:sz w:val="24"/>
                <w:szCs w:val="24"/>
                <w:highlight w:val="none"/>
                <w14:textFill>
                  <w14:solidFill>
                    <w14:schemeClr w14:val="tx1"/>
                  </w14:solidFill>
                </w14:textFill>
              </w:rPr>
              <w:t>时00分</w:t>
            </w:r>
          </w:p>
          <w:p>
            <w:pPr>
              <w:adjustRightInd w:val="0"/>
              <w:snapToGrid w:val="0"/>
              <w:spacing w:line="240" w:lineRule="auto"/>
              <w:rPr>
                <w:rFonts w:hint="eastAsia" w:ascii="黑体" w:hAnsi="黑体" w:eastAsia="黑体" w:cs="黑体"/>
                <w:color w:val="auto"/>
                <w:highlight w:val="none"/>
                <w:lang w:eastAsia="zh-CN"/>
              </w:rPr>
            </w:pPr>
            <w:r>
              <w:rPr>
                <w:rFonts w:hint="eastAsia" w:ascii="黑体" w:hAnsi="黑体" w:eastAsia="黑体" w:cs="黑体"/>
                <w:color w:val="auto"/>
                <w:sz w:val="24"/>
                <w:szCs w:val="24"/>
                <w:highlight w:val="none"/>
              </w:rPr>
              <w:t>地点：</w:t>
            </w:r>
            <w:r>
              <w:rPr>
                <w:rFonts w:hint="eastAsia" w:ascii="黑体" w:hAnsi="黑体" w:eastAsia="黑体" w:cs="黑体"/>
                <w:b w:val="0"/>
                <w:bCs w:val="0"/>
                <w:color w:val="auto"/>
                <w:sz w:val="24"/>
                <w:szCs w:val="24"/>
                <w:highlight w:val="none"/>
                <w:lang w:eastAsia="zh-CN"/>
              </w:rPr>
              <w:t>轮台县农业农村局三楼会议室</w:t>
            </w:r>
          </w:p>
        </w:tc>
      </w:tr>
      <w:tr>
        <w:tblPrEx>
          <w:tblCellMar>
            <w:top w:w="0" w:type="dxa"/>
            <w:left w:w="108" w:type="dxa"/>
            <w:bottom w:w="0" w:type="dxa"/>
            <w:right w:w="108" w:type="dxa"/>
          </w:tblCellMar>
        </w:tblPrEx>
        <w:trPr>
          <w:trHeight w:val="44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31</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最高限价</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pacing w:val="1"/>
                <w:sz w:val="24"/>
                <w:szCs w:val="24"/>
                <w:highlight w:val="none"/>
              </w:rPr>
              <w:t>最高限价：</w:t>
            </w:r>
            <w:r>
              <w:rPr>
                <w:rFonts w:hint="eastAsia" w:ascii="黑体" w:hAnsi="黑体" w:eastAsia="黑体" w:cs="黑体"/>
                <w:b w:val="0"/>
                <w:bCs/>
                <w:color w:val="auto"/>
                <w:spacing w:val="1"/>
                <w:sz w:val="24"/>
                <w:szCs w:val="24"/>
                <w:highlight w:val="none"/>
                <w:lang w:val="en-US" w:eastAsia="zh-CN"/>
              </w:rPr>
              <w:t>65.41</w:t>
            </w:r>
            <w:r>
              <w:rPr>
                <w:rFonts w:hint="eastAsia" w:ascii="黑体" w:hAnsi="黑体" w:eastAsia="黑体" w:cs="黑体"/>
                <w:b w:val="0"/>
                <w:bCs/>
                <w:color w:val="auto"/>
                <w:spacing w:val="1"/>
                <w:sz w:val="24"/>
                <w:szCs w:val="24"/>
                <w:highlight w:val="none"/>
              </w:rPr>
              <w:t xml:space="preserve">万元    </w:t>
            </w:r>
            <w:r>
              <w:rPr>
                <w:rFonts w:hint="eastAsia" w:ascii="黑体" w:hAnsi="黑体" w:eastAsia="黑体" w:cs="黑体"/>
                <w:b w:val="0"/>
                <w:bCs/>
                <w:color w:val="auto"/>
                <w:sz w:val="24"/>
                <w:szCs w:val="24"/>
                <w:highlight w:val="none"/>
              </w:rPr>
              <w:t xml:space="preserve">  </w:t>
            </w:r>
          </w:p>
          <w:p>
            <w:pPr>
              <w:adjustRightInd w:val="0"/>
              <w:snapToGrid w:val="0"/>
              <w:spacing w:line="240" w:lineRule="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(报价不得等于或高于最高限价金额，否则将按无效投标处理)</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32</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代理服务费和场地费</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由中标（成交）单位支付，代理服务费收取标准参照国计委计价格[2002]1980号文执行。</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33</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提出质疑的时间</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1、对竞争性磋商文件提出质疑的，应当在获取竞争性磋商文件或者竞争性磋商公告期限届满之日起7个工作日内提出。</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2、供应商认为竞争性磋商文件、采购过程、中标或者成交结果使自己的权益受到损害的，可以在知道或者应知其权益受到损害之日起7个工作日内，以书面形式向采购人、采购代理机构提出质疑。</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34</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备注</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1、竞争性磋商文件中所有偏离表，若有偏离,请将具体偏离条款在“偏离”一栏中详细说明；若无偏离，请在“偏离”一栏中标注“无”字样。如不填写将视为不响应竞争性磋商文件要求；</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2、本次招标各供应商投标时以人民币报价。</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解释权</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构成本竞争性磋商文件的各个组成文件应互为解释，互为说明；如有不明确或不一致，构成合同文件组成内容，以合同文件约定内容为准，且以专用合同条款约定的合同文件优先顺序解释；除竞争性磋商文件中有特别规定外，仅适用于招标投标阶段的规定，按竞争性磋商公告、供应商须知、服务标准及要求、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36</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知识产权</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如因此导致采购人损失的，供应商须承担全部赔偿责任。</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2.供应商如欲在项目实施过程中采用自有知识成果，须在响应文件中声明，并提供相关知识产权证明文件。使用该知识成果后，供应商须提供开发接口和开发手册等技术文档。</w:t>
            </w:r>
          </w:p>
        </w:tc>
      </w:tr>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37</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政府采购</w:t>
            </w:r>
          </w:p>
          <w:p>
            <w:pPr>
              <w:adjustRightInd w:val="0"/>
              <w:snapToGrid w:val="0"/>
              <w:spacing w:line="24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政策支持</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促进中小企业发展政策：根据《政府采购促进中小企业发展暂行办法》规定，本项目供应商为小型或微型企业且报价产品为小型或微型企业生产的，将对该报价产品的评标报价给予6%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3.残疾人福利性单位视同小型、微型企业。不重复享受政策。</w:t>
            </w:r>
          </w:p>
          <w:p>
            <w:pPr>
              <w:adjustRightInd w:val="0"/>
              <w:snapToGrid w:val="0"/>
              <w:spacing w:line="24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列入财政部会同国务院有关部门发布的节能产品、环境标志产品品目服务标准及要求，供应商应当提供国家确定的认证机构出具的、处于有效期之内的节能产品、环境标志产品认证证书。</w:t>
            </w:r>
          </w:p>
        </w:tc>
      </w:tr>
      <w:tr>
        <w:tblPrEx>
          <w:tblCellMar>
            <w:top w:w="0" w:type="dxa"/>
            <w:left w:w="108" w:type="dxa"/>
            <w:bottom w:w="0" w:type="dxa"/>
            <w:right w:w="108" w:type="dxa"/>
          </w:tblCellMar>
        </w:tblPrEx>
        <w:trPr>
          <w:trHeight w:val="31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38</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专家组成</w:t>
            </w:r>
          </w:p>
        </w:tc>
        <w:tc>
          <w:tcPr>
            <w:tcW w:w="7210" w:type="dxa"/>
            <w:tcBorders>
              <w:top w:val="single" w:color="auto" w:sz="4" w:space="0"/>
              <w:left w:val="single" w:color="auto" w:sz="4" w:space="0"/>
              <w:bottom w:val="single" w:color="auto" w:sz="4" w:space="0"/>
              <w:right w:val="single" w:color="auto" w:sz="4" w:space="0"/>
            </w:tcBorders>
            <w:noWrap w:val="0"/>
            <w:vAlign w:val="center"/>
          </w:tcPr>
          <w:p>
            <w:pPr>
              <w:pStyle w:val="17"/>
              <w:adjustRightInd w:val="0"/>
              <w:spacing w:line="240" w:lineRule="auto"/>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招标采购单位依法组建专家小组共__</w:t>
            </w:r>
            <w:r>
              <w:rPr>
                <w:rFonts w:hint="eastAsia" w:ascii="黑体" w:hAnsi="黑体" w:eastAsia="黑体" w:cs="黑体"/>
                <w:bCs/>
                <w:color w:val="auto"/>
                <w:sz w:val="24"/>
                <w:szCs w:val="24"/>
                <w:highlight w:val="none"/>
                <w:u w:val="single"/>
              </w:rPr>
              <w:t xml:space="preserve">5 </w:t>
            </w:r>
            <w:r>
              <w:rPr>
                <w:rFonts w:hint="eastAsia" w:ascii="黑体" w:hAnsi="黑体" w:eastAsia="黑体" w:cs="黑体"/>
                <w:bCs/>
                <w:color w:val="auto"/>
                <w:sz w:val="24"/>
                <w:szCs w:val="24"/>
                <w:highlight w:val="none"/>
              </w:rPr>
              <w:t>人组成，其中采购人代表  1  人和政采云评标专家库中抽取专家评委</w:t>
            </w:r>
            <w:r>
              <w:rPr>
                <w:rFonts w:hint="eastAsia" w:ascii="黑体" w:hAnsi="黑体" w:eastAsia="黑体" w:cs="黑体"/>
                <w:bCs/>
                <w:color w:val="auto"/>
                <w:sz w:val="24"/>
                <w:szCs w:val="24"/>
                <w:highlight w:val="none"/>
                <w:u w:val="single"/>
              </w:rPr>
              <w:t xml:space="preserve"> 4 </w:t>
            </w:r>
            <w:r>
              <w:rPr>
                <w:rFonts w:hint="eastAsia" w:ascii="黑体" w:hAnsi="黑体" w:eastAsia="黑体" w:cs="黑体"/>
                <w:bCs/>
                <w:color w:val="auto"/>
                <w:sz w:val="24"/>
                <w:szCs w:val="24"/>
                <w:highlight w:val="none"/>
              </w:rPr>
              <w:t>人。</w:t>
            </w:r>
          </w:p>
          <w:p>
            <w:pPr>
              <w:pStyle w:val="17"/>
              <w:adjustRightInd w:val="0"/>
              <w:spacing w:line="240" w:lineRule="auto"/>
              <w:rPr>
                <w:rFonts w:hint="eastAsia" w:ascii="黑体" w:hAnsi="黑体" w:eastAsia="黑体" w:cs="黑体"/>
                <w:b/>
                <w:color w:val="auto"/>
                <w:sz w:val="24"/>
                <w:szCs w:val="24"/>
                <w:highlight w:val="none"/>
              </w:rPr>
            </w:pPr>
            <w:r>
              <w:rPr>
                <w:rFonts w:hint="eastAsia" w:ascii="黑体" w:hAnsi="黑体" w:eastAsia="黑体" w:cs="黑体"/>
                <w:bCs/>
                <w:color w:val="auto"/>
                <w:sz w:val="24"/>
                <w:szCs w:val="24"/>
                <w:highlight w:val="none"/>
              </w:rPr>
              <w:t>小组确定方式：从巴州政府采购专家库中随机抽取确定。</w:t>
            </w:r>
          </w:p>
        </w:tc>
      </w:tr>
    </w:tbl>
    <w:p>
      <w:pPr>
        <w:pStyle w:val="23"/>
        <w:spacing w:line="360" w:lineRule="auto"/>
        <w:jc w:val="center"/>
        <w:rPr>
          <w:rStyle w:val="26"/>
          <w:rFonts w:hint="eastAsia" w:ascii="宋体" w:hAnsi="宋体" w:cs="宋体"/>
          <w:color w:val="auto"/>
          <w:sz w:val="28"/>
          <w:szCs w:val="28"/>
          <w:highlight w:val="none"/>
        </w:rPr>
      </w:pPr>
      <w:r>
        <w:rPr>
          <w:rStyle w:val="25"/>
          <w:rFonts w:hint="eastAsia" w:ascii="宋体" w:hAnsi="宋体" w:cs="宋体"/>
          <w:color w:val="auto"/>
          <w:highlight w:val="none"/>
        </w:rPr>
        <w:br w:type="page"/>
      </w:r>
      <w:r>
        <w:rPr>
          <w:rStyle w:val="25"/>
          <w:rFonts w:hint="eastAsia" w:ascii="宋体" w:hAnsi="宋体" w:cs="宋体"/>
          <w:color w:val="auto"/>
          <w:sz w:val="32"/>
          <w:szCs w:val="32"/>
          <w:highlight w:val="none"/>
        </w:rPr>
        <w:t>供应商须知正文部分</w:t>
      </w:r>
    </w:p>
    <w:p>
      <w:pPr>
        <w:numPr>
          <w:ilvl w:val="0"/>
          <w:numId w:val="7"/>
        </w:numPr>
        <w:jc w:val="center"/>
        <w:rPr>
          <w:rFonts w:hint="eastAsia" w:ascii="宋体" w:hAnsi="宋体" w:cs="宋体"/>
          <w:b/>
          <w:bCs/>
          <w:color w:val="auto"/>
          <w:sz w:val="28"/>
          <w:szCs w:val="28"/>
          <w:highlight w:val="none"/>
        </w:rPr>
      </w:pPr>
      <w:bookmarkStart w:id="19" w:name="_Toc7140"/>
      <w:bookmarkStart w:id="20" w:name="_Toc23291"/>
      <w:bookmarkStart w:id="21" w:name="_Toc15356"/>
      <w:bookmarkStart w:id="22" w:name="_Toc1706"/>
      <w:bookmarkStart w:id="23" w:name="_Toc19272"/>
      <w:bookmarkStart w:id="24" w:name="_Toc21821"/>
      <w:bookmarkStart w:id="25" w:name="_Toc18439"/>
      <w:bookmarkStart w:id="26" w:name="_Toc6529"/>
      <w:bookmarkStart w:id="27" w:name="_Toc27410"/>
      <w:bookmarkStart w:id="28" w:name="_Toc12052"/>
      <w:r>
        <w:rPr>
          <w:rFonts w:hint="eastAsia" w:ascii="宋体" w:hAnsi="宋体" w:cs="宋体"/>
          <w:b/>
          <w:bCs/>
          <w:color w:val="auto"/>
          <w:sz w:val="28"/>
          <w:szCs w:val="28"/>
          <w:highlight w:val="none"/>
        </w:rPr>
        <w:t>总  则</w:t>
      </w:r>
      <w:bookmarkEnd w:id="19"/>
      <w:bookmarkEnd w:id="20"/>
      <w:bookmarkEnd w:id="21"/>
      <w:bookmarkEnd w:id="22"/>
      <w:bookmarkEnd w:id="23"/>
      <w:bookmarkEnd w:id="24"/>
      <w:bookmarkEnd w:id="25"/>
      <w:bookmarkEnd w:id="26"/>
      <w:bookmarkEnd w:id="27"/>
      <w:bookmarkEnd w:id="28"/>
    </w:p>
    <w:p>
      <w:pPr>
        <w:spacing w:line="360" w:lineRule="auto"/>
        <w:rPr>
          <w:rFonts w:hint="eastAsia" w:ascii="宋体" w:hAnsi="宋体" w:cs="宋体"/>
          <w:b/>
          <w:bCs/>
          <w:color w:val="auto"/>
          <w:sz w:val="28"/>
          <w:szCs w:val="28"/>
          <w:highlight w:val="none"/>
        </w:rPr>
      </w:pPr>
      <w:bookmarkStart w:id="29" w:name="_Toc2677"/>
      <w:bookmarkStart w:id="30" w:name="_Toc20661"/>
      <w:bookmarkStart w:id="31" w:name="_Toc15894"/>
      <w:r>
        <w:rPr>
          <w:rFonts w:hint="eastAsia" w:ascii="宋体" w:hAnsi="宋体" w:cs="宋体"/>
          <w:b/>
          <w:bCs/>
          <w:color w:val="auto"/>
          <w:sz w:val="28"/>
          <w:szCs w:val="28"/>
          <w:highlight w:val="none"/>
        </w:rPr>
        <w:t>1  合格的供应商</w:t>
      </w:r>
      <w:bookmarkEnd w:id="29"/>
      <w:bookmarkEnd w:id="30"/>
      <w:bookmarkEnd w:id="31"/>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供应商参加政府采购活动应当具备下列条件：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（一）具有独立承担民事责任的能力；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（二）具有履行合同所必需的设备和专业技术能力；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（三）有依法缴纳税收和社会保障资金的良好记录；</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（四）参加政府采购活动前三年内，在经营活动中没有重大违法记录；</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（五）法律、行政法规规定的其他条件。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凡参加投标的供应商必须具有履行本竞争性磋商文件规定的有关要求的能力，信誉良好。</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 若采购人员及相关人员与供应商有下列利害关系之一的，应当回避：</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参加采购活动前3年内与供应商存在劳动关系；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参加采购活动前3年内担任供应商的董事、监事；</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参加采购活动前3年内是供应商的控股股东或者实际控制人；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 与供应商的法定代表人或者负责人有夫妻、直系血亲、三代以内旁系血亲或者近姻亲关系；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 与供应商有其他可能影响政府采购活动公平、公正进行的关系。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采购人或者采购代理机构有下列情形之一的，属于以不合理的条件对供应商实行差别待遇或者歧视待遇：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就同一采购项目向供应商提供有差别的项目信息；</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设定的资格、技术、商务条件与采购项目的具体特点和实际需要不相适应或者与合同履行无关；</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1.4.3 采购需求中的技术、服务等要求指向特定供应商、特定产品；</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1.4.4 以特定行政区域或者特定行业的业绩、奖项作为中标和成交条件；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1.4.5 对供应商采取不同的资格审查或者评审标准；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1.4.6 限定或者指定特定的专利、商标、品牌或者供应商；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1.4.7 非法限定供应商的所有制形式、组织形式或者所在地；</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1.4.8 以其他不合理条件限制或者排斥潜在供应商。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有下列情形之一的，视为供应商串通投标，其投标无效：</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1.5.1不同供应商的响应文件由同一单位或者个人编制；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1.5.2不同供应商委托同一单位或者个人办理投标事宜；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1.5.3不同供应商的响应文件载明的项目管理成员或者联系人员为同一人；</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1.5.4不同供应商的响应文件异常一致或者报价呈规律性差异；</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1.5.5不同供应商的响应文件相互混装；</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1.5.6不同供应商的投标保证金从同一单位或者个人的账户转出。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供应商在本次采购活动中，必须遵循《中华人民共和国政府采购法实施条例》等相关法令、法规的规定。</w:t>
      </w:r>
    </w:p>
    <w:p>
      <w:pPr>
        <w:spacing w:line="360" w:lineRule="auto"/>
        <w:rPr>
          <w:rFonts w:hint="eastAsia" w:ascii="宋体" w:hAnsi="宋体" w:cs="宋体"/>
          <w:b/>
          <w:bCs/>
          <w:color w:val="auto"/>
          <w:sz w:val="28"/>
          <w:szCs w:val="28"/>
          <w:highlight w:val="none"/>
        </w:rPr>
      </w:pPr>
      <w:bookmarkStart w:id="32" w:name="_Toc13508"/>
      <w:bookmarkStart w:id="33" w:name="_Toc21361"/>
      <w:bookmarkStart w:id="34" w:name="_Toc21311"/>
      <w:r>
        <w:rPr>
          <w:rFonts w:hint="eastAsia" w:ascii="宋体" w:hAnsi="宋体" w:cs="宋体"/>
          <w:b/>
          <w:bCs/>
          <w:color w:val="auto"/>
          <w:sz w:val="28"/>
          <w:szCs w:val="28"/>
          <w:highlight w:val="none"/>
        </w:rPr>
        <w:t>2  定义</w:t>
      </w:r>
      <w:bookmarkEnd w:id="32"/>
      <w:bookmarkEnd w:id="33"/>
      <w:bookmarkEnd w:id="34"/>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2.1“采购人”系指依法进行政府采购的国家机关、事业单位、团体组织。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2.2“采购代理机构”系指具备一定条件，经政府有关部门批准而依法拥有政府采购代理资格的社会中介机构。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2.3“供应商”系指参加政府采购市场的合法供应</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"https://baike.baidu.com/item/%E4%B8%BB%E4%BD%93/2888766" \t "https://baike.baidu.com/item/%E6%94%BF%E5%BA%9C%E9%87%87%E8%B4%AD%E4%BE%9B%E5%BA%94%E5%95%86/_blank"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主体</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，具体是指向采购人提供货物、工程或者服务的法人、其他组织或者</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"https://baike.baidu.com/item/%E8%87%AA%E7%84%B6%E4%BA%BA/1465" \t "https://baike.baidu.com/item/%E6%94%BF%E5%BA%9C%E9%87%87%E8%B4%AD%E4%BE%9B%E5%BA%94%E5%95%86/_blank"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自然人</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2.4“采购”是指以合同方式有偿取得服务、货物和工程的行为，包括购买、租赁、委托、雇用等。</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“服务”是指除货物和工程以外的其他政府采购对象，包括政府自身需要的服务和政府向社会公众提供的公共服务。</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 “竞争性磋商文件”系指由采购人向供应商发出的本采购项目的全部文件（包括修改文件、补充文件、答疑纪要、各种通知和附件等）。</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 “响应文件”系指供应商根据竞争性磋商文件提交的所有文件。</w:t>
      </w:r>
    </w:p>
    <w:p>
      <w:pPr>
        <w:spacing w:line="360" w:lineRule="auto"/>
        <w:rPr>
          <w:rFonts w:hint="eastAsia" w:ascii="宋体" w:hAnsi="宋体" w:cs="宋体"/>
          <w:b/>
          <w:bCs/>
          <w:color w:val="auto"/>
          <w:sz w:val="28"/>
          <w:szCs w:val="28"/>
          <w:highlight w:val="none"/>
        </w:rPr>
      </w:pPr>
      <w:bookmarkStart w:id="35" w:name="_Toc8374"/>
      <w:bookmarkStart w:id="36" w:name="_Toc28507"/>
      <w:bookmarkStart w:id="37" w:name="_Toc9762"/>
      <w:r>
        <w:rPr>
          <w:rFonts w:hint="eastAsia" w:ascii="宋体" w:hAnsi="宋体" w:cs="宋体"/>
          <w:b/>
          <w:bCs/>
          <w:color w:val="auto"/>
          <w:sz w:val="28"/>
          <w:szCs w:val="28"/>
          <w:highlight w:val="none"/>
        </w:rPr>
        <w:t>3  文件费用:0元。</w:t>
      </w:r>
      <w:bookmarkEnd w:id="35"/>
      <w:bookmarkEnd w:id="36"/>
      <w:bookmarkEnd w:id="37"/>
    </w:p>
    <w:p>
      <w:pPr>
        <w:spacing w:line="360" w:lineRule="auto"/>
        <w:rPr>
          <w:rFonts w:hint="eastAsia" w:ascii="宋体" w:hAnsi="宋体" w:cs="宋体"/>
          <w:b/>
          <w:bCs/>
          <w:color w:val="auto"/>
          <w:sz w:val="28"/>
          <w:szCs w:val="28"/>
          <w:highlight w:val="none"/>
        </w:rPr>
      </w:pPr>
      <w:bookmarkStart w:id="38" w:name="_Toc26674"/>
      <w:bookmarkStart w:id="39" w:name="_Toc12273"/>
      <w:bookmarkStart w:id="40" w:name="_Toc9236"/>
      <w:r>
        <w:rPr>
          <w:rFonts w:hint="eastAsia" w:ascii="宋体" w:hAnsi="宋体" w:cs="宋体"/>
          <w:b/>
          <w:bCs/>
          <w:color w:val="auto"/>
          <w:sz w:val="28"/>
          <w:szCs w:val="28"/>
          <w:highlight w:val="none"/>
        </w:rPr>
        <w:t xml:space="preserve">4  </w:t>
      </w:r>
      <w:bookmarkEnd w:id="38"/>
      <w:bookmarkEnd w:id="39"/>
      <w:bookmarkEnd w:id="40"/>
      <w:r>
        <w:rPr>
          <w:rFonts w:hint="eastAsia" w:ascii="宋体" w:hAnsi="宋体" w:cs="宋体"/>
          <w:b/>
          <w:bCs/>
          <w:color w:val="auto"/>
          <w:sz w:val="28"/>
          <w:szCs w:val="28"/>
          <w:highlight w:val="none"/>
        </w:rPr>
        <w:t>服务内容</w:t>
      </w:r>
    </w:p>
    <w:p>
      <w:pPr>
        <w:spacing w:line="360" w:lineRule="auto"/>
        <w:ind w:left="563" w:leftChars="266"/>
        <w:rPr>
          <w:rFonts w:hint="eastAsia" w:ascii="宋体" w:hAnsi="宋体" w:cs="宋体"/>
          <w:color w:val="auto"/>
          <w:sz w:val="24"/>
          <w:szCs w:val="24"/>
          <w:highlight w:val="none"/>
        </w:rPr>
      </w:pPr>
      <w:r>
        <w:rPr>
          <w:rFonts w:hint="eastAsia" w:ascii="宋体" w:hAnsi="宋体" w:cs="宋体"/>
          <w:color w:val="auto"/>
          <w:sz w:val="24"/>
          <w:szCs w:val="24"/>
          <w:highlight w:val="none"/>
        </w:rPr>
        <w:t>4.1 内容： （具体内容详见招标文件）。</w:t>
      </w:r>
    </w:p>
    <w:p>
      <w:pPr>
        <w:spacing w:line="360" w:lineRule="auto"/>
        <w:ind w:left="563" w:leftChars="266"/>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b/>
          <w:bCs/>
          <w:color w:val="auto"/>
          <w:sz w:val="24"/>
          <w:szCs w:val="24"/>
          <w:highlight w:val="none"/>
        </w:rPr>
        <w:t>采购项目服务标准及要求</w:t>
      </w:r>
      <w:r>
        <w:rPr>
          <w:rFonts w:hint="eastAsia" w:ascii="宋体" w:hAnsi="宋体" w:cs="宋体"/>
          <w:color w:val="auto"/>
          <w:sz w:val="24"/>
          <w:szCs w:val="24"/>
          <w:highlight w:val="none"/>
        </w:rPr>
        <w:t>详见第三章；</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 在采购活动中的标准按国家现行规定（国际标准、国家标准、部标或行业标准）执行。</w:t>
      </w:r>
    </w:p>
    <w:p>
      <w:pPr>
        <w:spacing w:line="360" w:lineRule="auto"/>
        <w:rPr>
          <w:rFonts w:hint="eastAsia" w:ascii="宋体" w:hAnsi="宋体" w:cs="宋体"/>
          <w:b/>
          <w:bCs/>
          <w:color w:val="auto"/>
          <w:sz w:val="28"/>
          <w:szCs w:val="28"/>
          <w:highlight w:val="none"/>
        </w:rPr>
      </w:pPr>
      <w:bookmarkStart w:id="41" w:name="_Toc2891"/>
      <w:bookmarkStart w:id="42" w:name="_Toc13918"/>
      <w:bookmarkStart w:id="43" w:name="_Toc30414"/>
      <w:r>
        <w:rPr>
          <w:rFonts w:hint="eastAsia" w:ascii="宋体" w:hAnsi="宋体" w:cs="宋体"/>
          <w:b/>
          <w:bCs/>
          <w:color w:val="auto"/>
          <w:sz w:val="28"/>
          <w:szCs w:val="28"/>
          <w:highlight w:val="none"/>
        </w:rPr>
        <w:t>5  有关说明</w:t>
      </w:r>
      <w:bookmarkEnd w:id="41"/>
      <w:bookmarkEnd w:id="42"/>
      <w:bookmarkEnd w:id="43"/>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 规范要求和实际需要的内容，在竞争性磋商文件中有漏项，务请在响应文件中指出，并提供解决方案作实质性响应。</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 供应商根据招标文件载明的标的采购项目实际情况，拟在中标后将中标项目的非主体、非关键性工作交由他人完成的，应当在投标文件中载明。</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 供应商应提供该项目技术支持和服务承诺书。</w:t>
      </w:r>
    </w:p>
    <w:p>
      <w:pPr>
        <w:spacing w:line="360" w:lineRule="auto"/>
        <w:jc w:val="center"/>
        <w:rPr>
          <w:rFonts w:hint="eastAsia" w:ascii="宋体" w:hAnsi="宋体" w:cs="宋体"/>
          <w:b/>
          <w:bCs/>
          <w:color w:val="auto"/>
          <w:sz w:val="28"/>
          <w:szCs w:val="28"/>
          <w:highlight w:val="none"/>
        </w:rPr>
      </w:pPr>
      <w:bookmarkStart w:id="44" w:name="_Toc18640"/>
      <w:bookmarkStart w:id="45" w:name="_Toc17382"/>
      <w:bookmarkStart w:id="46" w:name="_Toc4128"/>
      <w:bookmarkStart w:id="47" w:name="_Toc6626"/>
      <w:r>
        <w:rPr>
          <w:rFonts w:hint="eastAsia" w:ascii="宋体" w:hAnsi="宋体" w:cs="宋体"/>
          <w:b/>
          <w:bCs/>
          <w:color w:val="auto"/>
          <w:sz w:val="28"/>
          <w:szCs w:val="28"/>
          <w:highlight w:val="none"/>
        </w:rPr>
        <w:t>二、</w:t>
      </w:r>
      <w:bookmarkEnd w:id="44"/>
      <w:bookmarkEnd w:id="45"/>
      <w:bookmarkEnd w:id="46"/>
      <w:bookmarkEnd w:id="47"/>
      <w:r>
        <w:rPr>
          <w:rFonts w:hint="eastAsia" w:ascii="宋体" w:hAnsi="宋体" w:cs="宋体"/>
          <w:b/>
          <w:bCs/>
          <w:color w:val="auto"/>
          <w:sz w:val="28"/>
          <w:szCs w:val="28"/>
          <w:highlight w:val="none"/>
        </w:rPr>
        <w:t>竞争性磋商文件</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6  竞争性磋商文件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 竞争性磋商文件用以阐明所需服务采购程序和商务合同主要条款，包括：</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第一章 竞争性磋商公告</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第二章 供应商须知</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供应商须知前附表</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供应商须知正文部分</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第三章 服务标准及要求</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第四章 合同范本</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第五章 主要响应文件的格式及其内容  </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附件1:投标函</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附件2:法定代表人资格证明及授权委托书</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附件3:报价一览表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附件4:供应商概况表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附件5:无重大违法记录的书面声明</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附件6:企业202</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年财务审计报告</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附件7:“重法纪、讲诚信”承诺书</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附件8:反商业贿赂承诺书</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附件9:商务条款偏离表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附件10:技术规格偏离表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附件11:近三年同类项目业绩表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附件12:拟派项目负责人简历表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附件13:拟派本项目技术人员配置情况表</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附件14:技术支持及服务承诺书</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附件15:服务方案</w:t>
      </w:r>
    </w:p>
    <w:p>
      <w:pPr>
        <w:spacing w:line="360" w:lineRule="auto"/>
        <w:ind w:firstLine="1410"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附件16:不参与围标串标承诺书</w:t>
      </w:r>
    </w:p>
    <w:p>
      <w:pPr>
        <w:adjustRightInd w:val="0"/>
        <w:snapToGrid w:val="0"/>
        <w:spacing w:line="360" w:lineRule="auto"/>
        <w:ind w:firstLine="1300" w:firstLineChars="500"/>
        <w:jc w:val="left"/>
        <w:rPr>
          <w:rFonts w:hint="eastAsia" w:ascii="宋体" w:hAnsi="宋体" w:cs="宋体"/>
          <w:b/>
          <w:bCs/>
          <w:snapToGrid w:val="0"/>
          <w:color w:val="auto"/>
          <w:spacing w:val="-11"/>
          <w:kern w:val="0"/>
          <w:sz w:val="28"/>
          <w:szCs w:val="28"/>
          <w:highlight w:val="none"/>
        </w:rPr>
      </w:pPr>
      <w:r>
        <w:rPr>
          <w:rFonts w:hint="eastAsia" w:ascii="宋体" w:hAnsi="宋体" w:cs="宋体"/>
          <w:b/>
          <w:bCs/>
          <w:snapToGrid w:val="0"/>
          <w:color w:val="auto"/>
          <w:spacing w:val="-11"/>
          <w:kern w:val="0"/>
          <w:sz w:val="28"/>
          <w:szCs w:val="28"/>
          <w:highlight w:val="none"/>
        </w:rPr>
        <w:t>附件17：要求提供的其它材料以及供应商认为需要提交的材料</w:t>
      </w:r>
    </w:p>
    <w:p>
      <w:pPr>
        <w:spacing w:line="360" w:lineRule="auto"/>
        <w:ind w:firstLine="564"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6.2 </w:t>
      </w:r>
      <w:r>
        <w:rPr>
          <w:rFonts w:hint="eastAsia" w:ascii="宋体" w:hAnsi="宋体" w:cs="宋体"/>
          <w:color w:val="auto"/>
          <w:sz w:val="24"/>
          <w:szCs w:val="24"/>
          <w:highlight w:val="none"/>
        </w:rPr>
        <w:t>供应商应认真阅读竞争性磋商文件中所有的事项、格式、条款和规范等要求。如果没有按照竞争性磋商文件要求提交全部资料或者响应文件没有对竞争性磋商文件做出实质性响应，其响应文件可能被拒绝。</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  竞争性磋商文件的澄清</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 采购人或者采购代理机构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澄清或者修改的内容可能影响响应文件编制的，采购人或者采购代理机构应当在投标截止时间至少3日前，以书面形式通知所有获取竞争性磋商文件的潜在供应商；不足3日的，采购人或者采购代理机构可顺延提交响应文件的截止时间。</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8  竞争性磋商文件的修改</w:t>
      </w:r>
    </w:p>
    <w:p>
      <w:pPr>
        <w:spacing w:line="360" w:lineRule="auto"/>
        <w:ind w:firstLine="484" w:firstLineChars="200"/>
        <w:rPr>
          <w:rFonts w:hint="eastAsia" w:ascii="宋体" w:hAnsi="宋体" w:cs="宋体"/>
          <w:color w:val="auto"/>
          <w:sz w:val="24"/>
          <w:szCs w:val="24"/>
          <w:highlight w:val="none"/>
        </w:rPr>
      </w:pPr>
      <w:bookmarkStart w:id="48" w:name="_Toc13169"/>
      <w:bookmarkStart w:id="49" w:name="_Toc8777"/>
      <w:bookmarkStart w:id="50" w:name="_Toc7406"/>
      <w:bookmarkStart w:id="51" w:name="_Toc29841"/>
      <w:bookmarkStart w:id="52" w:name="_Toc4805"/>
      <w:bookmarkStart w:id="53" w:name="_Toc4140"/>
      <w:r>
        <w:rPr>
          <w:rFonts w:hint="eastAsia" w:ascii="宋体" w:hAnsi="宋体" w:cs="宋体"/>
          <w:color w:val="auto"/>
          <w:sz w:val="24"/>
          <w:szCs w:val="24"/>
          <w:highlight w:val="none"/>
        </w:rPr>
        <w:t>8.1 采购人可以视采购具体情况，延长投标截止时间和开标时间，但至少应当在竞争性磋商文件要求提交响应文件的截止时间3日前，将变更时间书面通知所有竞争性磋商文件收受人，并在财政部门指定的政府采购信息发布媒体上发布变更公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 竞争性磋商文件的修改将以书面通知所有竞争性磋商文件收受人，并对供应商具有约束力。</w:t>
      </w:r>
    </w:p>
    <w:p>
      <w:pPr>
        <w:spacing w:line="360" w:lineRule="auto"/>
        <w:jc w:val="center"/>
        <w:rPr>
          <w:rFonts w:hint="eastAsia" w:ascii="宋体" w:hAnsi="宋体" w:cs="宋体"/>
          <w:color w:val="auto"/>
          <w:sz w:val="28"/>
          <w:szCs w:val="28"/>
          <w:highlight w:val="none"/>
        </w:rPr>
      </w:pPr>
      <w:bookmarkStart w:id="54" w:name="_Toc5967"/>
      <w:bookmarkStart w:id="55" w:name="_Toc32526"/>
      <w:bookmarkStart w:id="56" w:name="_Toc3540"/>
      <w:bookmarkStart w:id="57" w:name="_Toc26361"/>
      <w:r>
        <w:rPr>
          <w:rFonts w:hint="eastAsia" w:ascii="宋体" w:hAnsi="宋体" w:cs="宋体"/>
          <w:b/>
          <w:bCs/>
          <w:color w:val="auto"/>
          <w:sz w:val="28"/>
          <w:szCs w:val="28"/>
          <w:highlight w:val="none"/>
        </w:rPr>
        <w:t xml:space="preserve">三、 </w:t>
      </w:r>
      <w:bookmarkEnd w:id="48"/>
      <w:bookmarkEnd w:id="49"/>
      <w:bookmarkEnd w:id="50"/>
      <w:bookmarkEnd w:id="51"/>
      <w:bookmarkEnd w:id="52"/>
      <w:bookmarkEnd w:id="53"/>
      <w:r>
        <w:rPr>
          <w:rFonts w:hint="eastAsia" w:ascii="宋体" w:hAnsi="宋体" w:cs="宋体"/>
          <w:b/>
          <w:bCs/>
          <w:color w:val="auto"/>
          <w:sz w:val="28"/>
          <w:szCs w:val="28"/>
          <w:highlight w:val="none"/>
        </w:rPr>
        <w:t>响应文件的编制</w:t>
      </w:r>
      <w:bookmarkEnd w:id="54"/>
      <w:bookmarkEnd w:id="55"/>
      <w:bookmarkEnd w:id="56"/>
      <w:bookmarkEnd w:id="57"/>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9  响应文件的编写</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供应商应仔细阅读竞争性磋商文件,了解竞争性磋商文件的要求。在充分理解竞争性磋商文件、技术规范及标准、项目采购需求、合同文本（主要内容）后编制响应文件。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响应文件中需要分别对资格审查要求、符合性审查要求、开标一览表、响应文件逐一关联响应。</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10  响应文件的语言及计量单位</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 响应文件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 响应文件中所使用的计量单位除竞争性磋商文件中有特殊规定外，一律使用法定计量单位。</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11  响应文件构成</w:t>
      </w:r>
    </w:p>
    <w:p>
      <w:pPr>
        <w:spacing w:line="360" w:lineRule="auto"/>
        <w:ind w:firstLine="564"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供应商编写的响应文件应按下列顺序及内容提供:</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（1）投标函（详见附件1）；</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（2）法定代表人资格证明及授权委托书（详见附件2）；</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（3）报价一览表（详见附件3）；</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（4）供应商概况表（详见附件4）；</w:t>
      </w:r>
    </w:p>
    <w:p>
      <w:pPr>
        <w:spacing w:line="360" w:lineRule="auto"/>
        <w:ind w:firstLine="1128" w:firstLineChars="4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① 营业执照，开户行许可证</w:t>
      </w:r>
    </w:p>
    <w:p>
      <w:pPr>
        <w:spacing w:line="360" w:lineRule="auto"/>
        <w:ind w:firstLine="1128" w:firstLineChars="4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② “信用中国”、“中国政府采购网”查询截图</w:t>
      </w:r>
    </w:p>
    <w:p>
      <w:pPr>
        <w:spacing w:line="360" w:lineRule="auto"/>
        <w:ind w:firstLine="1128" w:firstLineChars="4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③ 投标保证金汇款回执截图</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（5）无重大违法记录的书面声明（详见附件5）；</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（6）企业202</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年财务审计报告（详见附件6）；</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（7）“重法纪、讲诚信”承诺书（详见附件7）；</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（8）反商业贿赂承诺书（详见附件8）；</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（9）商务条款偏离表（详见附件9）；</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（10）技术规格偏离表（详见附件10）；</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（11）近三年同类项目业绩表（详见附件11）；</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（12）拟派项目负责人简历表（详见附件12）；</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（13）拟派本项目技术人员配置情况表（详见附件13）</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（14）技术支持及服务承诺书（详见附件14）；</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（15）服务方案（详见附件15）； </w:t>
      </w:r>
    </w:p>
    <w:p>
      <w:pPr>
        <w:pStyle w:val="17"/>
        <w:spacing w:line="480" w:lineRule="exact"/>
        <w:ind w:firstLine="564" w:firstLineChars="200"/>
        <w:jc w:val="both"/>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（16）</w:t>
      </w:r>
      <w:r>
        <w:rPr>
          <w:rFonts w:hint="eastAsia" w:ascii="宋体" w:hAnsi="宋体" w:eastAsia="宋体" w:cs="宋体"/>
          <w:b/>
          <w:color w:val="auto"/>
          <w:sz w:val="28"/>
          <w:szCs w:val="28"/>
          <w:highlight w:val="none"/>
        </w:rPr>
        <w:t>不参与围标串标承诺书</w:t>
      </w:r>
      <w:r>
        <w:rPr>
          <w:rFonts w:hint="eastAsia" w:ascii="宋体" w:hAnsi="宋体" w:eastAsia="宋体" w:cs="宋体"/>
          <w:b/>
          <w:bCs/>
          <w:color w:val="auto"/>
          <w:sz w:val="28"/>
          <w:szCs w:val="28"/>
          <w:highlight w:val="none"/>
        </w:rPr>
        <w:t>（详见附件16）</w:t>
      </w:r>
    </w:p>
    <w:p>
      <w:pPr>
        <w:spacing w:line="360" w:lineRule="auto"/>
        <w:ind w:firstLine="564"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（17）要求提供的其它材料以及供应商认为需要提交的材料。（详见附件17）</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12  响应文件的格式</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竞争性磋商文件附件及竞争性磋商文件各章节提供了一部分用于编制响应文件时必要的格式，供应商应按此格式编制响应文件。</w:t>
      </w:r>
    </w:p>
    <w:p>
      <w:pPr>
        <w:spacing w:line="360" w:lineRule="auto"/>
        <w:ind w:firstLine="484" w:firstLineChars="200"/>
        <w:rPr>
          <w:rFonts w:hint="eastAsia" w:ascii="宋体" w:hAnsi="宋体" w:cs="宋体"/>
          <w:color w:val="auto"/>
          <w:sz w:val="28"/>
          <w:szCs w:val="28"/>
          <w:highlight w:val="none"/>
        </w:rPr>
      </w:pPr>
      <w:r>
        <w:rPr>
          <w:rFonts w:hint="eastAsia" w:ascii="宋体" w:hAnsi="宋体" w:cs="宋体"/>
          <w:color w:val="auto"/>
          <w:sz w:val="24"/>
          <w:szCs w:val="24"/>
          <w:highlight w:val="none"/>
        </w:rPr>
        <w:t>12.2 竞争性磋商文件中未提供格式的部分由供应商自行编制。</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13  报价</w:t>
      </w:r>
    </w:p>
    <w:p>
      <w:pPr>
        <w:spacing w:line="360" w:lineRule="auto"/>
        <w:ind w:firstLine="564" w:firstLineChars="200"/>
        <w:rPr>
          <w:rFonts w:hint="eastAsia" w:ascii="宋体" w:hAnsi="宋体" w:cs="宋体"/>
          <w:b/>
          <w:bCs/>
          <w:color w:val="auto"/>
          <w:sz w:val="24"/>
          <w:szCs w:val="24"/>
          <w:highlight w:val="none"/>
        </w:rPr>
      </w:pPr>
      <w:r>
        <w:rPr>
          <w:rFonts w:hint="eastAsia" w:ascii="宋体" w:hAnsi="宋体" w:cs="宋体"/>
          <w:color w:val="auto"/>
          <w:sz w:val="28"/>
          <w:szCs w:val="28"/>
          <w:highlight w:val="none"/>
        </w:rPr>
        <w:t xml:space="preserve">13.1 </w:t>
      </w:r>
      <w:r>
        <w:rPr>
          <w:rFonts w:hint="eastAsia" w:ascii="宋体" w:hAnsi="宋体" w:cs="宋体"/>
          <w:color w:val="auto"/>
          <w:sz w:val="24"/>
          <w:szCs w:val="24"/>
          <w:highlight w:val="none"/>
        </w:rPr>
        <w:t>除本竞争性磋商文件另有规定外，</w:t>
      </w:r>
      <w:r>
        <w:rPr>
          <w:rFonts w:hint="eastAsia" w:ascii="宋体" w:hAnsi="宋体" w:cs="宋体"/>
          <w:b/>
          <w:bCs/>
          <w:color w:val="auto"/>
          <w:sz w:val="24"/>
          <w:szCs w:val="24"/>
          <w:highlight w:val="none"/>
        </w:rPr>
        <w:t>供应商应按竞争性磋商文件所附相应的报价一览表格式标明报价等内容。报价以人民币报价。</w:t>
      </w:r>
    </w:p>
    <w:p>
      <w:pPr>
        <w:spacing w:line="360" w:lineRule="auto"/>
        <w:ind w:firstLine="564" w:firstLineChars="200"/>
        <w:rPr>
          <w:rFonts w:hint="eastAsia" w:ascii="宋体" w:hAnsi="宋体" w:cs="宋体"/>
          <w:color w:val="auto"/>
          <w:sz w:val="24"/>
          <w:szCs w:val="24"/>
          <w:highlight w:val="none"/>
        </w:rPr>
      </w:pPr>
      <w:r>
        <w:rPr>
          <w:rFonts w:hint="eastAsia" w:ascii="宋体" w:hAnsi="宋体" w:cs="宋体"/>
          <w:color w:val="auto"/>
          <w:sz w:val="28"/>
          <w:szCs w:val="28"/>
          <w:highlight w:val="none"/>
        </w:rPr>
        <w:t xml:space="preserve">13.2 </w:t>
      </w:r>
      <w:r>
        <w:rPr>
          <w:rFonts w:hint="eastAsia" w:ascii="宋体" w:hAnsi="宋体" w:cs="宋体"/>
          <w:color w:val="auto"/>
          <w:sz w:val="24"/>
          <w:szCs w:val="24"/>
          <w:highlight w:val="none"/>
        </w:rPr>
        <w:t>任何有选择性的报价将不予接受。</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供应商须充分注意并重视第三章“服务标准及要求”的内容，并严格按该章的有关内容做出实质性响应。</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 供应商可按竞争性磋商文件第三章“服务标准及要求”的内容进行报价，报价应包含税金及本项目所产生的全部费用，且报价不得等于或高于最高限价金额，否则将按无效投标处理。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 供应商的报价在中标后的合同实施期间应保持不变，即不因市场价格或政策性价格的调整而增减。</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14  证明供应商合格的资格证明文件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按照供应商须知前附表规定，供应商应提交竞争性磋商文件所要求的资格证明文件。</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15  证明符合竞争性磋商文件规定的文件</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供应商应逐条对竞争性磋商文件要求的内容做出实质性响应，认真填写竞争性磋商文件所附的“商务条款偏离表”、“技术规格偏离表”。</w:t>
      </w:r>
      <w:r>
        <w:rPr>
          <w:rFonts w:hint="eastAsia" w:ascii="宋体" w:hAnsi="宋体" w:cs="宋体"/>
          <w:b/>
          <w:bCs/>
          <w:color w:val="auto"/>
          <w:sz w:val="24"/>
          <w:szCs w:val="24"/>
          <w:highlight w:val="none"/>
        </w:rPr>
        <w:t>若有偏离,请将具体偏离条款在“偏离”一栏中详细说明；若无偏离，请在“偏离”一栏中标注“无”字样。如不填写将视为不响应竞争性磋商文件要求。</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16  响应文件的有效期</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16.1 </w:t>
      </w:r>
      <w:r>
        <w:rPr>
          <w:rFonts w:hint="eastAsia" w:ascii="宋体" w:hAnsi="宋体" w:cs="宋体"/>
          <w:b/>
          <w:bCs/>
          <w:color w:val="auto"/>
          <w:sz w:val="24"/>
          <w:szCs w:val="24"/>
          <w:highlight w:val="none"/>
        </w:rPr>
        <w:t>响应文件有效期：提交响应文件的截止之日起90天。</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 在特殊情况下, 在原响应文件有效期届满之前，采购人可与供应商协商延长响应文件的有效期，并经供应商确认。</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17  响应文件的格式要求及签署</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响应文件的格式应清楚工整，未实质性响应竞争性磋商文件、字迹潦草、表达不清、未按要求填写或可能导致非唯一理解的响应文件将按无效投标处理。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响应文件应由供应商法定代表人或委托代理人在规定签章处逐一签署及加盖供应商的公章。</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18  投标保证金</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 投标保证金金额为前附表要求金额，各供应商必须在投标截止时间前提交。</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18.2 投标保证金用于保护本次招标免受供应商的违规、违约行为而引起的风险。</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 发生以下情况投标保证金不予退还：</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18.3.1 如果供应商在投标有效期内撤回响应文件的；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18.3.2 中标供应商有下列情形之一的，投标保证金不予退还；情节严重的，由财政部门将其列入不良行为记录名单，在一至三年内禁止参加政府采购活动，并予以通报：</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（一）中标后无正当理由不与采购人签订合同的；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（二）未经采购人同意将中标项目转让给他人，或者将中标项目分包给他人的；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（三）拒绝履行合同义务的。</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18.3.3 如果中标供应商放弃中标项目的；无正当理由不与采购人签订合同的；在签订合同时向采购人提出附加条件或者更改合同实质性内容的。</w:t>
      </w:r>
      <w:bookmarkStart w:id="58" w:name="_Toc5423"/>
      <w:bookmarkStart w:id="59" w:name="_Toc167"/>
      <w:bookmarkStart w:id="60" w:name="_Toc20192"/>
    </w:p>
    <w:p>
      <w:pPr>
        <w:spacing w:line="360" w:lineRule="auto"/>
        <w:jc w:val="center"/>
        <w:rPr>
          <w:rFonts w:hint="eastAsia" w:ascii="宋体" w:hAnsi="宋体" w:cs="宋体"/>
          <w:b/>
          <w:bCs/>
          <w:color w:val="auto"/>
          <w:sz w:val="28"/>
          <w:szCs w:val="28"/>
          <w:highlight w:val="none"/>
        </w:rPr>
      </w:pPr>
      <w:bookmarkStart w:id="61" w:name="_Toc20072"/>
      <w:bookmarkStart w:id="62" w:name="_Toc28814"/>
      <w:bookmarkStart w:id="63" w:name="_Toc19171"/>
      <w:bookmarkStart w:id="64" w:name="_Toc5633"/>
      <w:bookmarkStart w:id="65" w:name="_Toc30175"/>
      <w:bookmarkStart w:id="66" w:name="_Toc10478"/>
      <w:bookmarkStart w:id="67" w:name="_Toc15133"/>
      <w:r>
        <w:rPr>
          <w:rFonts w:hint="eastAsia" w:ascii="宋体" w:hAnsi="宋体" w:cs="宋体"/>
          <w:b/>
          <w:bCs/>
          <w:color w:val="auto"/>
          <w:sz w:val="28"/>
          <w:szCs w:val="28"/>
          <w:highlight w:val="none"/>
        </w:rPr>
        <w:t>四、 响应文件的提交</w:t>
      </w:r>
      <w:bookmarkEnd w:id="58"/>
      <w:bookmarkEnd w:id="59"/>
      <w:bookmarkEnd w:id="60"/>
      <w:bookmarkEnd w:id="61"/>
      <w:bookmarkEnd w:id="62"/>
      <w:bookmarkEnd w:id="63"/>
      <w:bookmarkEnd w:id="64"/>
      <w:bookmarkEnd w:id="65"/>
      <w:bookmarkEnd w:id="66"/>
      <w:bookmarkEnd w:id="67"/>
    </w:p>
    <w:p>
      <w:pPr>
        <w:spacing w:line="360" w:lineRule="auto"/>
        <w:jc w:val="left"/>
        <w:rPr>
          <w:rFonts w:hint="eastAsia" w:ascii="宋体" w:hAnsi="宋体" w:cs="宋体"/>
          <w:color w:val="auto"/>
          <w:sz w:val="24"/>
          <w:szCs w:val="24"/>
          <w:highlight w:val="none"/>
        </w:rPr>
      </w:pPr>
      <w:r>
        <w:rPr>
          <w:rFonts w:hint="eastAsia" w:ascii="宋体" w:hAnsi="宋体" w:cs="宋体"/>
          <w:b/>
          <w:bCs/>
          <w:color w:val="auto"/>
          <w:sz w:val="28"/>
          <w:szCs w:val="28"/>
          <w:highlight w:val="none"/>
        </w:rPr>
        <w:t xml:space="preserve">19   </w:t>
      </w:r>
      <w:r>
        <w:rPr>
          <w:rFonts w:hint="eastAsia" w:ascii="宋体" w:hAnsi="宋体" w:cs="宋体"/>
          <w:color w:val="auto"/>
          <w:sz w:val="24"/>
          <w:szCs w:val="24"/>
          <w:highlight w:val="none"/>
        </w:rPr>
        <w:t>响应文件的组成（投标现场无需递交投标文件，中标单位公示完之后需提供）:</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纸质版投标文件：一式伍份，其中正本壹份，副本</w:t>
      </w:r>
      <w:r>
        <w:rPr>
          <w:rFonts w:hint="eastAsia" w:ascii="宋体" w:hAnsi="宋体" w:cs="宋体"/>
          <w:color w:val="auto"/>
          <w:sz w:val="24"/>
          <w:szCs w:val="24"/>
          <w:highlight w:val="none"/>
          <w:lang w:eastAsia="zh-CN"/>
        </w:rPr>
        <w:t>叁</w:t>
      </w:r>
      <w:r>
        <w:rPr>
          <w:rFonts w:hint="eastAsia" w:ascii="宋体" w:hAnsi="宋体" w:cs="宋体"/>
          <w:color w:val="auto"/>
          <w:sz w:val="24"/>
          <w:szCs w:val="24"/>
          <w:highlight w:val="none"/>
        </w:rPr>
        <w:t>份，需编制目录及页码，在每一份响应文件上要明确注明“正本”或“副本”字样，如正、副本之间有差异，以正本为准。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投标文件电子版：以光盘为介质投标文件的电子版五份。</w:t>
      </w:r>
    </w:p>
    <w:p>
      <w:pPr>
        <w:spacing w:line="360" w:lineRule="auto"/>
        <w:ind w:firstLine="726"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响应文件提交的截止时间</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19.1供应商必须在竞争性磋商文件要求提交响应文件的截止时间前提交。</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在竞争性磋商文件要求提交响应文件的截止时间之后上传的响应文件，为无效响应文件，采购人将不予接收。</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20  响应文件的修改和撤回</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20.2 供应商根据竞争性磋商文件载明采购项目的实际情况，拟在中标后将中标项目的非主体、非关键性工作交由他人完成的，应当在响应文件中载明。</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20.3 投标截止时间后不得修改响应文件。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20.4 供应商不得在投标有效期内撤销响应文件，否则采购人将不予退还其投标保证金。</w:t>
      </w:r>
      <w:bookmarkStart w:id="68" w:name="_Toc26952"/>
      <w:bookmarkStart w:id="69" w:name="_Toc14795"/>
      <w:bookmarkStart w:id="70" w:name="_Toc10256"/>
    </w:p>
    <w:p>
      <w:pPr>
        <w:spacing w:line="360" w:lineRule="auto"/>
        <w:jc w:val="center"/>
        <w:rPr>
          <w:rFonts w:hint="eastAsia" w:ascii="宋体" w:hAnsi="宋体" w:cs="宋体"/>
          <w:b/>
          <w:bCs/>
          <w:color w:val="auto"/>
          <w:sz w:val="28"/>
          <w:szCs w:val="28"/>
          <w:highlight w:val="none"/>
        </w:rPr>
      </w:pPr>
      <w:bookmarkStart w:id="71" w:name="_Toc24323"/>
      <w:bookmarkStart w:id="72" w:name="_Toc18583"/>
      <w:bookmarkStart w:id="73" w:name="_Toc30259"/>
      <w:bookmarkStart w:id="74" w:name="_Toc8730"/>
      <w:bookmarkStart w:id="75" w:name="_Toc21719"/>
      <w:bookmarkStart w:id="76" w:name="_Toc11186"/>
      <w:bookmarkStart w:id="77" w:name="_Toc25534"/>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五、开   标</w:t>
      </w:r>
      <w:bookmarkEnd w:id="68"/>
      <w:bookmarkEnd w:id="69"/>
      <w:bookmarkEnd w:id="70"/>
      <w:bookmarkEnd w:id="71"/>
      <w:bookmarkEnd w:id="72"/>
      <w:bookmarkEnd w:id="73"/>
      <w:bookmarkEnd w:id="74"/>
      <w:bookmarkEnd w:id="75"/>
      <w:bookmarkEnd w:id="76"/>
      <w:bookmarkEnd w:id="77"/>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21  开标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开标时间为竞争性磋商文件中提交响应文件的截止时间；开标地点为竞争性磋商文件中预先确定的地点。</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采购代理机构主持，采购人、供应商和有关方面代表参加。投标供应商不足3家的，不得开标。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竞争性磋商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21.3.1采购人和采购代理机构将按规定的磋商时间和地点组织开标并邀请所有投标供应商代表参加。监督部门将视情况派代表到现场进行监督。投标供应商不足3家的，不得开标。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 开标时，采购代理机构主持介绍项目基本情况并宣布有关纪律和磋商程序。由投标供应商或其推选的代表检查响应文件的密封情况。首次报价不予公开。</w:t>
      </w:r>
    </w:p>
    <w:p>
      <w:pPr>
        <w:pStyle w:val="5"/>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21.3.3 采购人代表及采购代理机构依据法律法规和竞争性磋商文件中规定的内容，对投标供应商的资格进行审查。未通过资格审查的投标供应商不进入详细评审，其投标将被拒绝。</w:t>
      </w:r>
    </w:p>
    <w:p>
      <w:pPr>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21.3.4 采购人或采购代理机构将对磋商过程进行记录，由参加开标的供应商代表和相关工作人员签字确认，并存档备查。</w:t>
      </w:r>
    </w:p>
    <w:p>
      <w:pPr>
        <w:pStyle w:val="5"/>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21.3.5 投标供应商代表对磋商过程和磋商记录有疑义，以及认为采购人、采购代理机构相关工作人员有需要回避的情形的，应当场提出询问或者回避申请。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 响应文件报价出现前后不一致的，除竞争性磋商文件另有规定外，按照下列规定修正：</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21.4.1响应文件中开标一览表（报价一览表）内容与响应文件中相应内容不一致的，以开标一览表（报价一览表）为准；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21.4.2大写金额和小写金额不一致的，以大写金额为准；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21.4.3单价金额小数点或者百分比有明显错位的，以开标一览表（报价一览表）的总价为准，并修改单价；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21.4.4总价金额与按单价汇总金额不一致的，以单价金额计算结果为准。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21.4.5对不同文字文本响应文件的解释发生异议的，以中文文本为准。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21.5 对未按照本竞争性磋商文件要求进行投标及资格审查不合格的供应商，其响应文件将按无效投标处理。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 供应商之间不得相互串通报价，不得妨碍其他供应商的公平竞争，不得损害采购人或者其他供应商的合法权益。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 供应商不得向采购人、评标委员会成员行贿或者采取其他不正当手段谋取中标。</w:t>
      </w:r>
    </w:p>
    <w:p>
      <w:pPr>
        <w:spacing w:line="360" w:lineRule="auto"/>
        <w:jc w:val="center"/>
        <w:rPr>
          <w:rFonts w:hint="eastAsia" w:ascii="宋体" w:hAnsi="宋体" w:cs="宋体"/>
          <w:b/>
          <w:bCs/>
          <w:color w:val="auto"/>
          <w:sz w:val="28"/>
          <w:szCs w:val="28"/>
          <w:highlight w:val="none"/>
        </w:rPr>
      </w:pPr>
      <w:bookmarkStart w:id="78" w:name="_Toc4557"/>
      <w:bookmarkStart w:id="79" w:name="_Toc17564"/>
      <w:bookmarkStart w:id="80" w:name="_Toc29037"/>
      <w:bookmarkStart w:id="81" w:name="_Toc6415"/>
      <w:bookmarkStart w:id="82" w:name="_Toc12203"/>
      <w:bookmarkStart w:id="83" w:name="_Toc16195"/>
      <w:bookmarkStart w:id="84" w:name="_Toc16901"/>
      <w:bookmarkStart w:id="85" w:name="_Toc24841"/>
      <w:bookmarkStart w:id="86" w:name="_Toc32611"/>
      <w:bookmarkStart w:id="87" w:name="_Toc27665"/>
      <w:r>
        <w:rPr>
          <w:rFonts w:hint="eastAsia" w:ascii="宋体" w:hAnsi="宋体" w:cs="宋体"/>
          <w:b/>
          <w:bCs/>
          <w:color w:val="auto"/>
          <w:sz w:val="28"/>
          <w:szCs w:val="28"/>
          <w:highlight w:val="none"/>
        </w:rPr>
        <w:t>六、 评标、定标</w:t>
      </w:r>
      <w:bookmarkEnd w:id="78"/>
      <w:bookmarkEnd w:id="79"/>
      <w:bookmarkEnd w:id="80"/>
      <w:bookmarkEnd w:id="81"/>
      <w:bookmarkEnd w:id="82"/>
      <w:bookmarkEnd w:id="83"/>
      <w:bookmarkEnd w:id="84"/>
      <w:bookmarkEnd w:id="85"/>
      <w:bookmarkEnd w:id="86"/>
      <w:bookmarkEnd w:id="87"/>
    </w:p>
    <w:p>
      <w:pPr>
        <w:spacing w:line="360" w:lineRule="auto"/>
        <w:rPr>
          <w:rFonts w:hint="eastAsia" w:ascii="宋体" w:hAnsi="宋体" w:cs="宋体"/>
          <w:b/>
          <w:bCs/>
          <w:color w:val="auto"/>
          <w:sz w:val="28"/>
          <w:szCs w:val="28"/>
          <w:highlight w:val="none"/>
        </w:rPr>
      </w:pPr>
      <w:bookmarkStart w:id="88" w:name="OLE_LINK1"/>
      <w:r>
        <w:rPr>
          <w:rFonts w:hint="eastAsia" w:ascii="宋体" w:hAnsi="宋体" w:cs="宋体"/>
          <w:b/>
          <w:bCs/>
          <w:color w:val="auto"/>
          <w:sz w:val="28"/>
          <w:szCs w:val="28"/>
          <w:highlight w:val="none"/>
        </w:rPr>
        <w:t>22  评标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22.1评标委员会</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22.1.1 评标委员会由采购人代表和评审专家组成，成员人数应当为3人以上单数，其中评审专家不得少于成员总数的三分之二。 </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22.1.2 评审专家对本单位的采购项目只能作为采购人代表参与评标，采购代理机构工作人员不得参加由本机构代理的政府采购项目的评标。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22.1.3 采购人就竞争性磋商文件征询过意见的专家，不得再作为评标专家参加评标。采购代理机构工作人员不得参加由本机构代理的政府采购项目的评标。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22.1.4 采购人委托代表参加评标委员会，向采购代理机构出具授权函，采购人代表不得担任评标委员会主任委员。</w:t>
      </w:r>
    </w:p>
    <w:p>
      <w:pPr>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采购人委派的评标人员进入评标现场不得超过2人，其他无关人员不得进入评标现场。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22.1.5 评标委员会成员由采购代理在评审专家库中，通过随机方式抽取评标专家，评标委员会成员名单在评标结果公告前应当保密。 </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22.1.6 评标委员会成员应认真执行相关法规规定，同时维护采购人与供应商的合法权益。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22.1.7 评标的依据为竞争性磋商文件和响应文件。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22.1.6 评标中评标委员会成员若发生意见分歧，通过书面表决形式，以少数服从多数为原则决定。</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评标纪律</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22.2.1 要严格遵守评审时间，主动出具身份证明，遵守评审工作纪律和评审回避的相关规定。</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22.2.2 在评审工作开始前，将手机等通讯工具或相关电子设备交由采购人或采购代理机构统一保管，拒不上交的，采购人或采购代理机构可以拒绝其参加评审工作并向财政部门报告。</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22.2.3 评审委员会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22.2.4 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 评标委员会负责具体评标事务，并独立履行下列职责：</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22.3.1 审查、评价响应文件是否符合竞争性磋商文件的商务、技术等实质性要求；</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22.3.2 要求供应商对响应文件有关事项作出澄清或者说明；</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22.3.3 对响应文件进行比较和评价；</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22.3.4 确定中标候选人名单，以及根据采购人委托直接确定中标人；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22.3.5 向采购人、采购代理机构或者有关部门报告评标中发现的违法行为。</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 评标委员会成员应当履行下列义务： </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22.4.1 遵纪守法，客观、公正、廉洁地履行职责；</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22.4.2 按照竞争性磋商文件规定的评标方法和评标标准进行评标，对评审意见承担个人责任；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22.4.3 对评标过程和结果，以及供应商的商业秘密保密；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22.4.4 参与评标报告的起草；</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22.4.5 配合财政部门的投诉处理工作；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22.4.6 配合采购人答复投标供应商提出的质疑。</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25  评标原则</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 评审专家应当严格遵守评审工作纪律,按照客观、公正、审慎的原则,根据竞争性磋商文件规定的评审程序、评审方法和评审标准进行独立评审。评审专家发现竞争性磋商文件内容违反国家有关强制性规定或者竞争性磋商文件存在歧义、重大缺陷导致评审工作无法进行时,应当停止评审并向采购人或者采购代理机构书面说明情况。</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23"/>
        <w:spacing w:line="360" w:lineRule="auto"/>
        <w:jc w:val="both"/>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26 详细评审 </w:t>
      </w:r>
    </w:p>
    <w:p>
      <w:pPr>
        <w:tabs>
          <w:tab w:val="left" w:pos="567"/>
        </w:tabs>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26.1 首次报价</w:t>
      </w:r>
    </w:p>
    <w:p>
      <w:pPr>
        <w:tabs>
          <w:tab w:val="left" w:pos="567"/>
        </w:tabs>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供应商的首次报价于提交首次响应文件截止时间开启，本环节由采购代理机构主持，采购人、供应商和有关方面代表参加。</w:t>
      </w:r>
    </w:p>
    <w:p>
      <w:pPr>
        <w:tabs>
          <w:tab w:val="left" w:pos="567"/>
        </w:tabs>
        <w:snapToGrid w:val="0"/>
        <w:spacing w:line="360" w:lineRule="auto"/>
        <w:ind w:firstLine="564" w:firstLineChars="200"/>
        <w:rPr>
          <w:rFonts w:hint="eastAsia" w:ascii="宋体" w:hAnsi="宋体" w:cs="宋体"/>
          <w:b/>
          <w:color w:val="auto"/>
          <w:sz w:val="28"/>
          <w:szCs w:val="28"/>
          <w:highlight w:val="none"/>
          <w:lang w:eastAsia="zh-TW"/>
        </w:rPr>
      </w:pPr>
      <w:r>
        <w:rPr>
          <w:rFonts w:hint="eastAsia" w:ascii="宋体" w:hAnsi="宋体" w:cs="宋体"/>
          <w:b/>
          <w:color w:val="auto"/>
          <w:sz w:val="28"/>
          <w:szCs w:val="28"/>
          <w:highlight w:val="none"/>
        </w:rPr>
        <w:t>26.2 磋商小组</w:t>
      </w:r>
    </w:p>
    <w:p>
      <w:pPr>
        <w:tabs>
          <w:tab w:val="left" w:pos="567"/>
        </w:tabs>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本次磋商按照规定依法组建磋商小组。</w:t>
      </w:r>
    </w:p>
    <w:p>
      <w:pPr>
        <w:tabs>
          <w:tab w:val="left" w:pos="567"/>
        </w:tabs>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所有成员集中对响应文件进行审查，与每个供应商分别进行先商务技术条件后价格的磋商，本次磋商采用一轮磋商，两次报价形式进行（含首轮公开唱标）。磋商小组也可视实际情况确定磋商轮次（报价最多不超过3轮），并提交评审报告及推荐成交供应商。</w:t>
      </w:r>
    </w:p>
    <w:p>
      <w:pPr>
        <w:tabs>
          <w:tab w:val="left" w:pos="567"/>
        </w:tabs>
        <w:snapToGrid w:val="0"/>
        <w:spacing w:line="360" w:lineRule="auto"/>
        <w:ind w:firstLine="484"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磋商小组名单在磋商结果确定前严格保密。</w:t>
      </w:r>
    </w:p>
    <w:p>
      <w:pPr>
        <w:tabs>
          <w:tab w:val="left" w:pos="567"/>
        </w:tabs>
        <w:snapToGrid w:val="0"/>
        <w:spacing w:line="360" w:lineRule="auto"/>
        <w:ind w:firstLine="564" w:firstLineChars="200"/>
        <w:rPr>
          <w:rFonts w:hint="eastAsia" w:ascii="宋体" w:hAnsi="宋体" w:cs="宋体"/>
          <w:color w:val="auto"/>
          <w:highlight w:val="none"/>
          <w:lang w:eastAsia="zh-TW"/>
        </w:rPr>
      </w:pPr>
      <w:r>
        <w:rPr>
          <w:rFonts w:hint="eastAsia" w:ascii="宋体" w:hAnsi="宋体" w:cs="宋体"/>
          <w:b/>
          <w:color w:val="auto"/>
          <w:sz w:val="28"/>
          <w:szCs w:val="28"/>
          <w:highlight w:val="none"/>
        </w:rPr>
        <w:t>26.3 评审程序</w:t>
      </w:r>
    </w:p>
    <w:p>
      <w:pPr>
        <w:tabs>
          <w:tab w:val="left" w:pos="567"/>
        </w:tabs>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26.3.1 磋商小组确认磋商文件</w:t>
      </w:r>
    </w:p>
    <w:p>
      <w:pPr>
        <w:tabs>
          <w:tab w:val="left" w:pos="567"/>
        </w:tabs>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26.3.2 资格、符合性审查</w:t>
      </w:r>
    </w:p>
    <w:p>
      <w:pPr>
        <w:snapToGrid w:val="0"/>
        <w:spacing w:line="360" w:lineRule="auto"/>
        <w:ind w:firstLine="484" w:firstLineChars="200"/>
        <w:rPr>
          <w:rFonts w:hint="eastAsia" w:ascii="宋体" w:hAnsi="宋体" w:cs="宋体"/>
          <w:b/>
          <w:color w:val="auto"/>
          <w:sz w:val="24"/>
          <w:szCs w:val="24"/>
          <w:highlight w:val="none"/>
        </w:rPr>
      </w:pPr>
      <w:r>
        <w:rPr>
          <w:rFonts w:hint="eastAsia" w:ascii="宋体" w:hAnsi="宋体" w:cs="宋体"/>
          <w:bCs/>
          <w:color w:val="auto"/>
          <w:sz w:val="24"/>
          <w:szCs w:val="24"/>
          <w:highlight w:val="none"/>
        </w:rPr>
        <w:t>磋商小组对每个供应商的响应文件进行</w:t>
      </w:r>
      <w:r>
        <w:rPr>
          <w:rFonts w:hint="eastAsia" w:ascii="宋体" w:hAnsi="宋体" w:cs="宋体"/>
          <w:color w:val="auto"/>
          <w:kern w:val="0"/>
          <w:sz w:val="24"/>
          <w:szCs w:val="24"/>
          <w:highlight w:val="none"/>
        </w:rPr>
        <w:t>评审和比较</w:t>
      </w:r>
      <w:r>
        <w:rPr>
          <w:rFonts w:hint="eastAsia" w:ascii="宋体" w:hAnsi="宋体" w:cs="宋体"/>
          <w:bCs/>
          <w:color w:val="auto"/>
          <w:sz w:val="24"/>
          <w:szCs w:val="24"/>
          <w:highlight w:val="none"/>
        </w:rPr>
        <w:t>。审查响应文件是否对磋商文件的资格及实质性条款作出响应。对审查不通过的供应商，其响应文件作无效处理。</w:t>
      </w:r>
    </w:p>
    <w:p>
      <w:pPr>
        <w:tabs>
          <w:tab w:val="left" w:pos="567"/>
        </w:tabs>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26.4 磋商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26.5.1 磋商文件未发生实质性变动的：</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磋商小组没有对磋商文件作实质性变动增加新的需求，后一轮报价不得高于前一轮报价，否则将按响应无效处理。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26.5.2 磋商文件发生实质性变动的：</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（1）书面通知变更内容</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经采购人代表确认后，由磋商小组以询标函方式通知所有供应商。对磋商文件作出的实质性变动是磋商文件的有效组成部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（2）磋商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（3）重新提交响应文件（含报价）</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若供应商未按《询标函》的要求对相关问题进行响应的，视为非实质性响应磋商文件。</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除非在磋商中磋商小组调整或修改采购需求内容，否则采购人不接受高于前面轮次磋商报价的最终报价。</w:t>
      </w:r>
    </w:p>
    <w:p>
      <w:pPr>
        <w:snapToGrid w:val="0"/>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26.5.3 综合评分法评审步骤</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经磋商确定最终采购需求和提交最后</w:t>
      </w:r>
      <w:r>
        <w:rPr>
          <w:rFonts w:hint="eastAsia" w:ascii="宋体" w:hAnsi="宋体" w:cs="宋体"/>
          <w:color w:val="auto"/>
          <w:sz w:val="24"/>
          <w:szCs w:val="24"/>
          <w:highlight w:val="none"/>
        </w:rPr>
        <w:t>报价的供应商后，由磋商小组采用综合评分法对提交最后报价的供应商的响应文件和最后报价进行综合评分。</w:t>
      </w:r>
      <w:r>
        <w:rPr>
          <w:rFonts w:hint="eastAsia" w:ascii="宋体" w:hAnsi="宋体" w:cs="宋体"/>
          <w:b/>
          <w:color w:val="auto"/>
          <w:sz w:val="24"/>
          <w:szCs w:val="24"/>
          <w:highlight w:val="none"/>
        </w:rPr>
        <w:t>先进行资格、符合性审查，再进行技术、商务及价格的详细评审。</w:t>
      </w:r>
      <w:r>
        <w:rPr>
          <w:rFonts w:hint="eastAsia" w:ascii="宋体" w:hAnsi="宋体" w:cs="宋体"/>
          <w:color w:val="auto"/>
          <w:sz w:val="24"/>
          <w:szCs w:val="24"/>
          <w:highlight w:val="none"/>
        </w:rPr>
        <w:t>只有通过资格、符合性审查的供应商才能进入下一步的详细评审。</w:t>
      </w:r>
    </w:p>
    <w:p>
      <w:pPr>
        <w:numPr>
          <w:ilvl w:val="1"/>
          <w:numId w:val="8"/>
        </w:numPr>
        <w:spacing w:line="360" w:lineRule="auto"/>
        <w:ind w:left="748" w:hanging="28"/>
        <w:rPr>
          <w:rFonts w:hint="eastAsia" w:ascii="宋体" w:hAnsi="宋体" w:cs="宋体"/>
          <w:color w:val="auto"/>
          <w:sz w:val="24"/>
          <w:szCs w:val="24"/>
          <w:highlight w:val="none"/>
        </w:rPr>
      </w:pPr>
      <w:r>
        <w:rPr>
          <w:rFonts w:hint="eastAsia" w:ascii="宋体" w:hAnsi="宋体" w:cs="宋体"/>
          <w:color w:val="auto"/>
          <w:sz w:val="24"/>
          <w:szCs w:val="24"/>
          <w:highlight w:val="none"/>
        </w:rPr>
        <w:t>资格、符合性审查表（详见附表一）</w:t>
      </w:r>
    </w:p>
    <w:p>
      <w:pPr>
        <w:numPr>
          <w:ilvl w:val="1"/>
          <w:numId w:val="8"/>
        </w:numPr>
        <w:spacing w:line="360" w:lineRule="auto"/>
        <w:ind w:left="748" w:hanging="28"/>
        <w:rPr>
          <w:rFonts w:hint="eastAsia" w:ascii="宋体" w:hAnsi="宋体" w:cs="宋体"/>
          <w:color w:val="auto"/>
          <w:sz w:val="24"/>
          <w:szCs w:val="24"/>
          <w:highlight w:val="none"/>
        </w:rPr>
      </w:pPr>
      <w:r>
        <w:rPr>
          <w:rFonts w:hint="eastAsia" w:ascii="宋体" w:hAnsi="宋体" w:cs="宋体"/>
          <w:color w:val="auto"/>
          <w:sz w:val="24"/>
          <w:szCs w:val="24"/>
          <w:highlight w:val="none"/>
        </w:rPr>
        <w:t>商务、技术评审表（详见附表二）</w:t>
      </w:r>
    </w:p>
    <w:p>
      <w:pPr>
        <w:numPr>
          <w:ilvl w:val="1"/>
          <w:numId w:val="8"/>
        </w:numPr>
        <w:spacing w:line="360" w:lineRule="auto"/>
        <w:ind w:left="748" w:hanging="28"/>
        <w:rPr>
          <w:rFonts w:hint="eastAsia" w:ascii="宋体" w:hAnsi="宋体" w:cs="宋体"/>
          <w:color w:val="auto"/>
          <w:sz w:val="24"/>
          <w:szCs w:val="24"/>
          <w:highlight w:val="none"/>
        </w:rPr>
      </w:pPr>
      <w:r>
        <w:rPr>
          <w:rFonts w:hint="eastAsia" w:ascii="宋体" w:hAnsi="宋体" w:cs="宋体"/>
          <w:color w:val="auto"/>
          <w:sz w:val="24"/>
          <w:szCs w:val="24"/>
          <w:highlight w:val="none"/>
        </w:rPr>
        <w:t>价格评审</w:t>
      </w:r>
    </w:p>
    <w:p>
      <w:pPr>
        <w:snapToGrid w:val="0"/>
        <w:spacing w:line="360" w:lineRule="auto"/>
        <w:ind w:firstLine="484"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磋商小组按磋商文件中规定的评审方法和标准，对资格、符合性审查合格的响应文件进行商务和技术评估，综合比较与评价。技术、商务、价格部分分值分配如下：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515"/>
        <w:gridCol w:w="18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评分项目</w:t>
            </w:r>
          </w:p>
        </w:tc>
        <w:tc>
          <w:tcPr>
            <w:tcW w:w="2515" w:type="dxa"/>
            <w:noWrap w:val="0"/>
            <w:vAlign w:val="center"/>
          </w:tcPr>
          <w:p>
            <w:pPr>
              <w:autoSpaceDE w:val="0"/>
              <w:autoSpaceDN w:val="0"/>
              <w:adjustRightInd w:val="0"/>
              <w:jc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商务、技术评分</w:t>
            </w:r>
          </w:p>
        </w:tc>
        <w:tc>
          <w:tcPr>
            <w:tcW w:w="1850" w:type="dxa"/>
            <w:noWrap w:val="0"/>
            <w:vAlign w:val="center"/>
          </w:tcPr>
          <w:p>
            <w:pPr>
              <w:autoSpaceDE w:val="0"/>
              <w:autoSpaceDN w:val="0"/>
              <w:adjustRightInd w:val="0"/>
              <w:ind w:left="15" w:leftChars="-51" w:hanging="123" w:hangingChars="51"/>
              <w:jc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价格评分</w:t>
            </w:r>
          </w:p>
        </w:tc>
        <w:tc>
          <w:tcPr>
            <w:tcW w:w="1600" w:type="dxa"/>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分值</w:t>
            </w:r>
          </w:p>
        </w:tc>
        <w:tc>
          <w:tcPr>
            <w:tcW w:w="2515" w:type="dxa"/>
            <w:noWrap w:val="0"/>
            <w:vAlign w:val="center"/>
          </w:tcPr>
          <w:p>
            <w:pPr>
              <w:autoSpaceDE w:val="0"/>
              <w:autoSpaceDN w:val="0"/>
              <w:adjustRightInd w:val="0"/>
              <w:jc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8</w:t>
            </w:r>
            <w:r>
              <w:rPr>
                <w:rFonts w:hint="eastAsia" w:ascii="宋体" w:hAnsi="宋体" w:cs="宋体"/>
                <w:b/>
                <w:color w:val="000000" w:themeColor="text1"/>
                <w:kern w:val="0"/>
                <w:sz w:val="24"/>
                <w:szCs w:val="24"/>
                <w:highlight w:val="none"/>
                <w14:textFill>
                  <w14:solidFill>
                    <w14:schemeClr w14:val="tx1"/>
                  </w14:solidFill>
                </w14:textFill>
              </w:rPr>
              <w:t>0分</w:t>
            </w:r>
          </w:p>
        </w:tc>
        <w:tc>
          <w:tcPr>
            <w:tcW w:w="1850" w:type="dxa"/>
            <w:noWrap w:val="0"/>
            <w:vAlign w:val="center"/>
          </w:tcPr>
          <w:p>
            <w:pPr>
              <w:autoSpaceDE w:val="0"/>
              <w:autoSpaceDN w:val="0"/>
              <w:adjustRightInd w:val="0"/>
              <w:jc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2</w:t>
            </w:r>
            <w:r>
              <w:rPr>
                <w:rFonts w:hint="eastAsia" w:ascii="宋体" w:hAnsi="宋体" w:cs="宋体"/>
                <w:b/>
                <w:color w:val="000000" w:themeColor="text1"/>
                <w:kern w:val="0"/>
                <w:sz w:val="24"/>
                <w:szCs w:val="24"/>
                <w:highlight w:val="none"/>
                <w14:textFill>
                  <w14:solidFill>
                    <w14:schemeClr w14:val="tx1"/>
                  </w14:solidFill>
                </w14:textFill>
              </w:rPr>
              <w:t>0分</w:t>
            </w:r>
          </w:p>
        </w:tc>
        <w:tc>
          <w:tcPr>
            <w:tcW w:w="1600" w:type="dxa"/>
            <w:noWrap w:val="0"/>
            <w:vAlign w:val="center"/>
          </w:tcPr>
          <w:p>
            <w:pPr>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100分</w:t>
            </w:r>
          </w:p>
        </w:tc>
      </w:tr>
    </w:tbl>
    <w:p>
      <w:pPr>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具体打分标准如下：</w:t>
      </w:r>
    </w:p>
    <w:p>
      <w:pPr>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bCs/>
          <w:color w:val="auto"/>
          <w:sz w:val="28"/>
          <w:szCs w:val="28"/>
          <w:highlight w:val="none"/>
        </w:rPr>
        <w:t>商务、技术评分</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磋商小组分别对各供应商的商务、技术响应文件中的各项内容进行评议比较，详细对比其商务、技术方案等各种因素方面是否满足磋商文件的要求。在商务、技术评审表的相应项各自记名打分。</w:t>
      </w:r>
    </w:p>
    <w:p>
      <w:pPr>
        <w:snapToGrid w:val="0"/>
        <w:spacing w:line="360" w:lineRule="auto"/>
        <w:ind w:firstLine="564"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（2）商务、技术得分统计</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将所有磋商小组的商务、技术评分的算术平均值即为每个有效供应商的技术得分（四舍五入后，精确到0.01）。</w:t>
      </w:r>
    </w:p>
    <w:p>
      <w:pPr>
        <w:spacing w:line="360" w:lineRule="auto"/>
        <w:ind w:firstLine="564" w:firstLineChars="200"/>
        <w:rPr>
          <w:rFonts w:hint="eastAsia" w:ascii="宋体" w:hAnsi="宋体" w:cs="宋体"/>
          <w:color w:val="auto"/>
          <w:sz w:val="28"/>
          <w:szCs w:val="28"/>
          <w:highlight w:val="none"/>
        </w:rPr>
      </w:pPr>
      <w:r>
        <w:rPr>
          <w:rFonts w:hint="eastAsia" w:ascii="宋体" w:hAnsi="宋体" w:cs="宋体"/>
          <w:b/>
          <w:color w:val="auto"/>
          <w:sz w:val="28"/>
          <w:szCs w:val="28"/>
          <w:highlight w:val="none"/>
        </w:rPr>
        <w:t>（3）价格核准和评分</w:t>
      </w:r>
    </w:p>
    <w:p>
      <w:pPr>
        <w:pStyle w:val="27"/>
        <w:snapToGrid w:val="0"/>
        <w:spacing w:line="360" w:lineRule="auto"/>
        <w:ind w:firstLine="567"/>
        <w:rPr>
          <w:rFonts w:hint="eastAsia" w:ascii="宋体" w:hAnsi="宋体" w:cs="宋体"/>
          <w:b/>
          <w:color w:val="auto"/>
          <w:sz w:val="28"/>
          <w:szCs w:val="28"/>
          <w:highlight w:val="none"/>
        </w:rPr>
      </w:pPr>
      <w:r>
        <w:rPr>
          <w:rFonts w:hint="eastAsia" w:ascii="宋体" w:hAnsi="宋体" w:cs="宋体"/>
          <w:b/>
          <w:color w:val="auto"/>
          <w:sz w:val="28"/>
          <w:szCs w:val="28"/>
          <w:highlight w:val="none"/>
        </w:rPr>
        <w:t>A、价格的核准</w:t>
      </w:r>
    </w:p>
    <w:p>
      <w:pPr>
        <w:snapToGrid w:val="0"/>
        <w:spacing w:line="360" w:lineRule="auto"/>
        <w:ind w:firstLine="473"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3"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磋商小组先对入围供应商的最后报价进行复核，审查其是否有计算上的错误，修正错误的原则如下</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按上述修正错误的方法调整后的最后报价，对供应商具有约束力。如果供应商不接受修正后的价格，则其响应文件作无效处理。</w:t>
      </w:r>
    </w:p>
    <w:p>
      <w:pPr>
        <w:pStyle w:val="27"/>
        <w:tabs>
          <w:tab w:val="left" w:pos="426"/>
        </w:tabs>
        <w:snapToGrid w:val="0"/>
        <w:spacing w:line="360" w:lineRule="auto"/>
        <w:ind w:left="-2" w:leftChars="-1" w:firstLine="498" w:firstLineChars="177"/>
        <w:rPr>
          <w:rFonts w:hint="eastAsia" w:ascii="宋体" w:hAnsi="宋体" w:cs="宋体"/>
          <w:b/>
          <w:color w:val="auto"/>
          <w:sz w:val="28"/>
          <w:szCs w:val="28"/>
          <w:highlight w:val="none"/>
        </w:rPr>
      </w:pPr>
      <w:r>
        <w:rPr>
          <w:rFonts w:hint="eastAsia" w:ascii="宋体" w:hAnsi="宋体" w:cs="宋体"/>
          <w:b/>
          <w:color w:val="auto"/>
          <w:sz w:val="28"/>
          <w:szCs w:val="28"/>
          <w:highlight w:val="none"/>
        </w:rPr>
        <w:t>B、政策价格扣除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1）小型和微型企业产品价格扣除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b)《政府采购促进中小企业发展暂行办法》所称中小企业（含中型、小型、微型企业，下同）应当同时符合以下条件：</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①符合中小企业划分标准；</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②提供本企业制造的货物、承担的工程或者服务，或者提供其他中小企业制造的货物。本项所称货物不包括使用大型企业注册商标的货物。</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③参加政府采购活动的中小企业应当提供《中小企业声明函》</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2）监狱企业产品价格扣除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a）监狱企业视同小型、微型企业，按上述1.的a)条款享受评审中价格扣除。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c）监狱企业参加政府采购活动时，应当提供由省级以上监狱管理局、戒毒管理局（含新疆生产建设兵团）出具的属于监狱企业的证明文件，否则不予认可。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4" w:firstLineChars="200"/>
        <w:rPr>
          <w:rFonts w:hint="eastAsia" w:ascii="宋体" w:hAnsi="宋体" w:cs="宋体"/>
          <w:b/>
          <w:bCs/>
          <w:color w:val="auto"/>
          <w:sz w:val="24"/>
          <w:szCs w:val="24"/>
          <w:highlight w:val="none"/>
        </w:rPr>
      </w:pPr>
      <w:r>
        <w:rPr>
          <w:rFonts w:hint="eastAsia" w:ascii="宋体" w:hAnsi="宋体" w:cs="宋体"/>
          <w:bCs/>
          <w:color w:val="auto"/>
          <w:sz w:val="24"/>
          <w:szCs w:val="24"/>
          <w:highlight w:val="none"/>
        </w:rPr>
        <w:t>3）残疾人福利性单位产品价格扣除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a）残疾人福利性单位视同小型、微型企业，按上述1.的a)条款享受评审中价格扣除。</w:t>
      </w:r>
    </w:p>
    <w:p>
      <w:pPr>
        <w:tabs>
          <w:tab w:val="left" w:pos="1050"/>
        </w:tabs>
        <w:spacing w:line="360" w:lineRule="auto"/>
        <w:ind w:firstLine="484"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484" w:firstLineChars="200"/>
        <w:rPr>
          <w:rFonts w:hint="eastAsia" w:ascii="宋体" w:hAnsi="宋体" w:cs="宋体"/>
          <w:bCs/>
          <w:color w:val="auto"/>
          <w:sz w:val="28"/>
          <w:szCs w:val="28"/>
          <w:highlight w:val="none"/>
        </w:rPr>
      </w:pPr>
      <w:r>
        <w:rPr>
          <w:rFonts w:hint="eastAsia" w:ascii="宋体" w:hAnsi="宋体" w:cs="宋体"/>
          <w:bCs/>
          <w:color w:val="auto"/>
          <w:sz w:val="24"/>
          <w:szCs w:val="24"/>
          <w:highlight w:val="none"/>
        </w:rPr>
        <w:t>4）供应商同时为小型、微型企业、监狱企业和残疾人福利性单位任两种或以上情况的，评审中只享受一次价格扣除。不重复进行价格扣除。</w:t>
      </w:r>
    </w:p>
    <w:p>
      <w:pPr>
        <w:pStyle w:val="27"/>
        <w:snapToGrid w:val="0"/>
        <w:spacing w:line="240" w:lineRule="auto"/>
        <w:ind w:firstLine="567"/>
        <w:rPr>
          <w:rFonts w:hint="eastAsia" w:ascii="宋体" w:hAnsi="宋体" w:cs="宋体"/>
          <w:b/>
          <w:color w:val="auto"/>
          <w:sz w:val="28"/>
          <w:szCs w:val="28"/>
          <w:highlight w:val="none"/>
        </w:rPr>
      </w:pPr>
      <w:r>
        <w:rPr>
          <w:rFonts w:hint="eastAsia" w:ascii="宋体" w:hAnsi="宋体" w:cs="宋体"/>
          <w:b/>
          <w:color w:val="auto"/>
          <w:sz w:val="28"/>
          <w:szCs w:val="28"/>
          <w:highlight w:val="none"/>
        </w:rPr>
        <w:t>C、价格评分</w:t>
      </w:r>
    </w:p>
    <w:p>
      <w:pPr>
        <w:snapToGrid w:val="0"/>
        <w:spacing w:line="240" w:lineRule="auto"/>
        <w:ind w:firstLine="473"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w:t>
      </w:r>
      <w:r>
        <w:rPr>
          <w:rFonts w:hint="eastAsia" w:ascii="宋体" w:hAnsi="宋体" w:cs="宋体"/>
          <w:color w:val="000000" w:themeColor="text1"/>
          <w:sz w:val="24"/>
          <w:szCs w:val="24"/>
          <w:highlight w:val="none"/>
          <w14:textFill>
            <w14:solidFill>
              <w14:schemeClr w14:val="tx1"/>
            </w14:solidFill>
          </w14:textFill>
        </w:rPr>
        <w:t>为满分。其他供应商的价格分统一按照下列公式计算：</w:t>
      </w:r>
    </w:p>
    <w:p>
      <w:pPr>
        <w:adjustRightInd w:val="0"/>
        <w:snapToGrid w:val="0"/>
        <w:spacing w:line="240" w:lineRule="auto"/>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评标价格分数=（评标基准价/投标报价）×价格权重（</w:t>
      </w:r>
      <w:r>
        <w:rPr>
          <w:rFonts w:hint="eastAsia" w:ascii="宋体" w:hAnsi="宋体" w:cs="宋体"/>
          <w:b/>
          <w:color w:val="000000" w:themeColor="text1"/>
          <w:sz w:val="24"/>
          <w:szCs w:val="24"/>
          <w:highlight w:val="none"/>
          <w:lang w:val="en-US" w:eastAsia="zh-CN"/>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0%）×100 （注：实质性响应招标文件要求且价格最低的投标报价为评标基准价）</w:t>
      </w:r>
    </w:p>
    <w:p>
      <w:pPr>
        <w:adjustRightInd w:val="0"/>
        <w:snapToGrid w:val="0"/>
        <w:spacing w:line="360" w:lineRule="auto"/>
        <w:outlineLvl w:val="2"/>
        <w:rPr>
          <w:rFonts w:hint="eastAsia" w:ascii="宋体" w:hAnsi="宋体" w:cs="宋体"/>
          <w:b/>
          <w:color w:val="000000" w:themeColor="text1"/>
          <w:sz w:val="28"/>
          <w:szCs w:val="28"/>
          <w:highlight w:val="none"/>
          <w14:textFill>
            <w14:solidFill>
              <w14:schemeClr w14:val="tx1"/>
            </w14:solidFill>
          </w14:textFill>
        </w:rPr>
      </w:pPr>
    </w:p>
    <w:p>
      <w:pPr>
        <w:adjustRightInd w:val="0"/>
        <w:snapToGrid w:val="0"/>
        <w:spacing w:line="360" w:lineRule="auto"/>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附表一：</w:t>
      </w:r>
    </w:p>
    <w:p>
      <w:pPr>
        <w:adjustRightInd w:val="0"/>
        <w:snapToGrid w:val="0"/>
        <w:spacing w:line="360" w:lineRule="auto"/>
        <w:jc w:val="center"/>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资格、审查表</w:t>
      </w:r>
    </w:p>
    <w:tbl>
      <w:tblPr>
        <w:tblStyle w:val="19"/>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序号</w:t>
            </w:r>
          </w:p>
        </w:tc>
        <w:tc>
          <w:tcPr>
            <w:tcW w:w="7083" w:type="dxa"/>
            <w:noWrap w:val="0"/>
            <w:vAlign w:val="center"/>
          </w:tcPr>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w:t>
            </w:r>
          </w:p>
        </w:tc>
        <w:tc>
          <w:tcPr>
            <w:tcW w:w="7083" w:type="dxa"/>
            <w:noWrap w:val="0"/>
            <w:vAlign w:val="center"/>
          </w:tcPr>
          <w:p>
            <w:pPr>
              <w:rPr>
                <w:rFonts w:hint="eastAsia" w:ascii="宋体" w:hAnsi="宋体" w:cs="宋体"/>
                <w:color w:val="auto"/>
                <w:sz w:val="28"/>
                <w:szCs w:val="28"/>
                <w:highlight w:val="none"/>
              </w:rPr>
            </w:pPr>
            <w:r>
              <w:rPr>
                <w:rFonts w:hint="eastAsia" w:ascii="宋体" w:hAnsi="宋体" w:cs="宋体"/>
                <w:sz w:val="24"/>
                <w:szCs w:val="24"/>
              </w:rPr>
              <w:t>提供有效期内且年检合格的具有相应经营范围的营业执照正本或副本复印件加盖公章；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w:t>
            </w:r>
          </w:p>
        </w:tc>
        <w:tc>
          <w:tcPr>
            <w:tcW w:w="7083" w:type="dxa"/>
            <w:noWrap w:val="0"/>
            <w:vAlign w:val="center"/>
          </w:tcPr>
          <w:p>
            <w:pPr>
              <w:rPr>
                <w:rFonts w:hint="eastAsia" w:ascii="宋体" w:hAnsi="宋体" w:cs="宋体"/>
                <w:sz w:val="24"/>
                <w:szCs w:val="24"/>
                <w:lang w:val="en-US" w:eastAsia="zh-CN"/>
              </w:rPr>
            </w:pPr>
            <w:r>
              <w:rPr>
                <w:rFonts w:hint="eastAsia" w:ascii="宋体" w:hAnsi="宋体" w:cs="宋体"/>
                <w:sz w:val="24"/>
                <w:szCs w:val="24"/>
              </w:rPr>
              <w:t>法定代表人或被授权委托人身份证复印件加盖公章；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w:t>
            </w:r>
          </w:p>
        </w:tc>
        <w:tc>
          <w:tcPr>
            <w:tcW w:w="7083" w:type="dxa"/>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rPr>
              <w:t>投标保证金</w:t>
            </w:r>
            <w:r>
              <w:rPr>
                <w:rFonts w:hint="eastAsia" w:ascii="宋体" w:hAnsi="宋体" w:cs="宋体"/>
                <w:sz w:val="24"/>
                <w:szCs w:val="24"/>
                <w:lang w:val="en-US" w:eastAsia="zh-CN"/>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4</w:t>
            </w:r>
          </w:p>
        </w:tc>
        <w:tc>
          <w:tcPr>
            <w:tcW w:w="7083" w:type="dxa"/>
            <w:noWrap w:val="0"/>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rPr>
              <w:t>投标人不存在不良信用记录的（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Pr>
                <w:rFonts w:hint="eastAsia" w:ascii="宋体" w:hAnsi="宋体" w:cs="宋体"/>
                <w:sz w:val="24"/>
                <w:szCs w:val="24"/>
                <w:lang w:eastAsia="zh-CN"/>
              </w:rPr>
              <w:t>（</w:t>
            </w:r>
            <w:r>
              <w:rPr>
                <w:rFonts w:hint="eastAsia" w:ascii="宋体" w:hAnsi="宋体" w:cs="宋体"/>
                <w:sz w:val="24"/>
                <w:szCs w:val="24"/>
                <w:lang w:val="en-US" w:eastAsia="zh-CN"/>
              </w:rPr>
              <w:t>备注：开标前20日内截图有效</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5</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8"/>
                <w:szCs w:val="28"/>
                <w:highlight w:val="none"/>
                <w:lang w:val="zh-CN" w:eastAsia="zh-CN" w:bidi="ar-SA"/>
              </w:rPr>
            </w:pPr>
            <w:r>
              <w:rPr>
                <w:rFonts w:hint="eastAsia" w:ascii="宋体" w:hAnsi="宋体" w:cs="宋体"/>
                <w:kern w:val="0"/>
                <w:szCs w:val="21"/>
                <w:lang w:bidi="ar"/>
              </w:rPr>
              <w:t>投标报价</w:t>
            </w:r>
            <w:r>
              <w:rPr>
                <w:rFonts w:hint="eastAsia" w:ascii="宋体" w:hAnsi="宋体" w:cs="宋体"/>
                <w:kern w:val="0"/>
                <w:szCs w:val="21"/>
                <w:lang w:val="en-US" w:eastAsia="zh-CN" w:bidi="ar"/>
              </w:rPr>
              <w:t>是否</w:t>
            </w:r>
            <w:r>
              <w:rPr>
                <w:rFonts w:hint="eastAsia" w:ascii="宋体" w:hAnsi="宋体" w:cs="宋体"/>
                <w:kern w:val="0"/>
                <w:szCs w:val="21"/>
                <w:lang w:bidi="ar"/>
              </w:rPr>
              <w:t>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8"/>
                <w:szCs w:val="28"/>
                <w:highlight w:val="none"/>
                <w:lang w:val="zh-CN" w:eastAsia="zh-CN" w:bidi="ar-SA"/>
              </w:rPr>
            </w:pPr>
            <w:r>
              <w:rPr>
                <w:rFonts w:hint="eastAsia" w:ascii="宋体" w:hAnsi="宋体" w:cs="宋体"/>
                <w:kern w:val="0"/>
                <w:szCs w:val="21"/>
                <w:lang w:bidi="ar"/>
              </w:rPr>
              <w:t>评标委员会共同确定有实质上不响应招标文件要求的；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eastAsia="宋体" w:cs="宋体"/>
                <w:color w:val="auto"/>
                <w:sz w:val="28"/>
                <w:szCs w:val="28"/>
                <w:highlight w:val="none"/>
                <w:lang w:val="en-US" w:eastAsia="zh-CN"/>
              </w:rPr>
            </w:pPr>
            <w:bookmarkStart w:id="89" w:name="_Toc13173"/>
            <w:bookmarkStart w:id="90" w:name="_Toc26085"/>
            <w:bookmarkStart w:id="91" w:name="_Toc6957"/>
            <w:r>
              <w:rPr>
                <w:rFonts w:hint="eastAsia" w:ascii="宋体" w:hAnsi="宋体" w:cs="宋体"/>
                <w:color w:val="auto"/>
                <w:sz w:val="28"/>
                <w:szCs w:val="28"/>
                <w:highlight w:val="none"/>
                <w:lang w:val="en-US" w:eastAsia="zh-CN"/>
              </w:rPr>
              <w:t>7</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8"/>
                <w:szCs w:val="28"/>
                <w:highlight w:val="none"/>
                <w:lang w:val="zh-CN" w:eastAsia="zh-CN" w:bidi="ar-SA"/>
              </w:rPr>
            </w:pPr>
            <w:r>
              <w:rPr>
                <w:rFonts w:hint="eastAsia" w:ascii="宋体" w:hAnsi="宋体" w:cs="宋体"/>
                <w:kern w:val="0"/>
                <w:szCs w:val="21"/>
                <w:lang w:bidi="ar"/>
              </w:rPr>
              <w:t>投标文件没有投标单位法定代表人或其授权代表签字（章）和加盖投标单位公章的（投标文件正本的印章和签字不能为复印件）；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8</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8"/>
                <w:szCs w:val="28"/>
                <w:highlight w:val="none"/>
                <w:lang w:val="zh-CN" w:eastAsia="zh-CN" w:bidi="ar-SA"/>
              </w:rPr>
            </w:pPr>
            <w:r>
              <w:rPr>
                <w:rFonts w:hint="eastAsia" w:ascii="宋体" w:hAnsi="宋体" w:cs="宋体"/>
                <w:kern w:val="0"/>
                <w:szCs w:val="21"/>
                <w:lang w:val="en-US" w:eastAsia="zh-CN" w:bidi="ar"/>
              </w:rPr>
              <w:t>服务期限</w:t>
            </w:r>
            <w:r>
              <w:rPr>
                <w:rFonts w:hint="eastAsia" w:ascii="宋体" w:hAnsi="宋体" w:cs="宋体"/>
                <w:kern w:val="0"/>
                <w:szCs w:val="21"/>
                <w:lang w:bidi="ar"/>
              </w:rPr>
              <w:t>超过招标文件规定期限的；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9</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4"/>
                <w:szCs w:val="21"/>
                <w:lang w:val="en-US" w:eastAsia="zh-CN" w:bidi="ar"/>
              </w:rPr>
            </w:pPr>
            <w:r>
              <w:rPr>
                <w:rFonts w:hint="eastAsia" w:ascii="宋体" w:hAnsi="宋体" w:cs="宋体"/>
                <w:kern w:val="0"/>
                <w:szCs w:val="21"/>
                <w:lang w:bidi="ar"/>
              </w:rPr>
              <w:t>投标文件附有采购人不能接受条件的；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10</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4"/>
                <w:szCs w:val="21"/>
                <w:lang w:val="en-US" w:eastAsia="zh-CN" w:bidi="ar"/>
              </w:rPr>
            </w:pPr>
            <w:r>
              <w:rPr>
                <w:rFonts w:hint="eastAsia" w:ascii="宋体" w:hAnsi="宋体" w:cs="宋体"/>
                <w:kern w:val="0"/>
                <w:szCs w:val="21"/>
                <w:lang w:bidi="ar"/>
              </w:rPr>
              <w:t>不满足招标文件实质性要求的其他情形。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24" w:type="dxa"/>
            <w:noWrap w:val="0"/>
            <w:vAlign w:val="center"/>
          </w:tcPr>
          <w:p>
            <w:pPr>
              <w:jc w:val="center"/>
              <w:rPr>
                <w:rFonts w:hint="default"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11</w:t>
            </w:r>
          </w:p>
        </w:tc>
        <w:tc>
          <w:tcPr>
            <w:tcW w:w="7083" w:type="dxa"/>
            <w:noWrap w:val="0"/>
            <w:vAlign w:val="center"/>
          </w:tcPr>
          <w:p>
            <w:pPr>
              <w:pStyle w:val="28"/>
              <w:spacing w:line="240" w:lineRule="auto"/>
              <w:ind w:firstLine="0" w:firstLineChars="0"/>
              <w:rPr>
                <w:rFonts w:hint="eastAsia" w:ascii="宋体" w:hAnsi="宋体" w:eastAsia="宋体" w:cs="宋体"/>
                <w:color w:val="auto"/>
                <w:kern w:val="0"/>
                <w:sz w:val="24"/>
                <w:szCs w:val="21"/>
                <w:lang w:val="zh-CN" w:eastAsia="zh-CN" w:bidi="ar"/>
              </w:rPr>
            </w:pPr>
            <w:r>
              <w:rPr>
                <w:rFonts w:hint="eastAsia" w:ascii="宋体" w:hAnsi="宋体" w:cs="宋体"/>
                <w:kern w:val="0"/>
                <w:szCs w:val="21"/>
                <w:lang w:bidi="ar"/>
              </w:rPr>
              <w:t>不符合法律法规的其他情形</w:t>
            </w:r>
          </w:p>
        </w:tc>
      </w:tr>
    </w:tbl>
    <w:p>
      <w:pPr>
        <w:spacing w:line="312" w:lineRule="auto"/>
        <w:ind w:firstLine="564" w:firstLineChars="2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备注：如有一项未通过，评标委员会将认定整个响应文件未响应竞争性磋商文件而予以废标处理。</w:t>
      </w:r>
    </w:p>
    <w:p>
      <w:pPr>
        <w:spacing w:line="360" w:lineRule="auto"/>
        <w:rPr>
          <w:rFonts w:hint="eastAsia" w:ascii="宋体" w:hAnsi="宋体" w:cs="宋体"/>
          <w:b/>
          <w:bCs/>
          <w:color w:val="auto"/>
          <w:sz w:val="28"/>
          <w:szCs w:val="28"/>
          <w:highlight w:val="none"/>
        </w:rPr>
      </w:pPr>
    </w:p>
    <w:p>
      <w:pPr>
        <w:pStyle w:val="2"/>
        <w:numPr>
          <w:ilvl w:val="0"/>
          <w:numId w:val="0"/>
        </w:numPr>
        <w:ind w:leftChars="0"/>
        <w:rPr>
          <w:rFonts w:hint="eastAsia" w:ascii="宋体" w:hAnsi="宋体" w:cs="宋体"/>
          <w:color w:val="auto"/>
          <w:sz w:val="24"/>
          <w:szCs w:val="24"/>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附表二：</w:t>
      </w:r>
      <w:bookmarkEnd w:id="89"/>
      <w:bookmarkEnd w:id="90"/>
      <w:bookmarkEnd w:id="91"/>
    </w:p>
    <w:tbl>
      <w:tblPr>
        <w:tblStyle w:val="40"/>
        <w:tblpPr w:leftFromText="180" w:rightFromText="180" w:vertAnchor="text" w:horzAnchor="page" w:tblpX="1091" w:tblpY="6"/>
        <w:tblOverlap w:val="never"/>
        <w:tblW w:w="102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467"/>
        <w:gridCol w:w="7260"/>
        <w:gridCol w:w="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69" w:type="dxa"/>
            <w:vAlign w:val="top"/>
          </w:tcPr>
          <w:p>
            <w:pPr>
              <w:spacing w:before="231" w:line="240" w:lineRule="auto"/>
              <w:ind w:left="205"/>
              <w:rPr>
                <w:rFonts w:ascii="宋体" w:hAnsi="宋体" w:eastAsia="宋体" w:cs="宋体"/>
                <w:sz w:val="23"/>
                <w:szCs w:val="23"/>
              </w:rPr>
            </w:pPr>
            <w:r>
              <w:rPr>
                <w:rFonts w:ascii="宋体" w:hAnsi="宋体" w:eastAsia="宋体" w:cs="宋体"/>
                <w:spacing w:val="5"/>
                <w:position w:val="6"/>
                <w:sz w:val="23"/>
                <w:szCs w:val="23"/>
              </w:rPr>
              <w:t>价</w:t>
            </w:r>
            <w:r>
              <w:rPr>
                <w:rFonts w:ascii="宋体" w:hAnsi="宋体" w:eastAsia="宋体" w:cs="宋体"/>
                <w:spacing w:val="4"/>
                <w:position w:val="6"/>
                <w:sz w:val="23"/>
                <w:szCs w:val="23"/>
              </w:rPr>
              <w:t>格</w:t>
            </w:r>
          </w:p>
          <w:p>
            <w:pPr>
              <w:spacing w:line="240" w:lineRule="auto"/>
              <w:ind w:left="207"/>
              <w:rPr>
                <w:rFonts w:ascii="宋体" w:hAnsi="宋体" w:eastAsia="宋体" w:cs="宋体"/>
                <w:sz w:val="23"/>
                <w:szCs w:val="23"/>
              </w:rPr>
            </w:pPr>
            <w:r>
              <w:rPr>
                <w:rFonts w:ascii="宋体" w:hAnsi="宋体" w:eastAsia="宋体" w:cs="宋体"/>
                <w:spacing w:val="4"/>
                <w:sz w:val="23"/>
                <w:szCs w:val="23"/>
              </w:rPr>
              <w:t>部</w:t>
            </w:r>
            <w:r>
              <w:rPr>
                <w:rFonts w:ascii="宋体" w:hAnsi="宋体" w:eastAsia="宋体" w:cs="宋体"/>
                <w:spacing w:val="3"/>
                <w:sz w:val="23"/>
                <w:szCs w:val="23"/>
              </w:rPr>
              <w:t>分</w:t>
            </w:r>
          </w:p>
        </w:tc>
        <w:tc>
          <w:tcPr>
            <w:tcW w:w="1467" w:type="dxa"/>
            <w:vAlign w:val="top"/>
          </w:tcPr>
          <w:p>
            <w:pPr>
              <w:spacing w:before="231" w:line="240" w:lineRule="auto"/>
              <w:ind w:left="331"/>
              <w:jc w:val="center"/>
              <w:rPr>
                <w:rFonts w:ascii="宋体" w:hAnsi="宋体" w:eastAsia="宋体" w:cs="宋体"/>
                <w:sz w:val="23"/>
                <w:szCs w:val="23"/>
              </w:rPr>
            </w:pPr>
            <w:r>
              <w:rPr>
                <w:rFonts w:ascii="宋体" w:hAnsi="宋体" w:eastAsia="宋体" w:cs="宋体"/>
                <w:spacing w:val="8"/>
                <w:position w:val="6"/>
                <w:sz w:val="23"/>
                <w:szCs w:val="23"/>
              </w:rPr>
              <w:t>报价得分</w:t>
            </w:r>
          </w:p>
          <w:p>
            <w:pPr>
              <w:spacing w:line="240" w:lineRule="auto"/>
              <w:ind w:left="466"/>
              <w:jc w:val="center"/>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20 分)</w:t>
            </w:r>
          </w:p>
        </w:tc>
        <w:tc>
          <w:tcPr>
            <w:tcW w:w="7260" w:type="dxa"/>
            <w:vAlign w:val="top"/>
          </w:tcPr>
          <w:p>
            <w:pPr>
              <w:spacing w:before="73" w:line="240" w:lineRule="auto"/>
              <w:ind w:left="113" w:right="91"/>
              <w:rPr>
                <w:rFonts w:ascii="宋体" w:hAnsi="宋体" w:eastAsia="宋体" w:cs="宋体"/>
                <w:sz w:val="23"/>
                <w:szCs w:val="23"/>
              </w:rPr>
            </w:pPr>
            <w:r>
              <w:rPr>
                <w:rFonts w:ascii="宋体" w:hAnsi="宋体" w:eastAsia="宋体" w:cs="宋体"/>
                <w:spacing w:val="16"/>
                <w:sz w:val="23"/>
                <w:szCs w:val="23"/>
              </w:rPr>
              <w:t>满</w:t>
            </w:r>
            <w:r>
              <w:rPr>
                <w:rFonts w:ascii="宋体" w:hAnsi="宋体" w:eastAsia="宋体" w:cs="宋体"/>
                <w:spacing w:val="8"/>
                <w:sz w:val="23"/>
                <w:szCs w:val="23"/>
              </w:rPr>
              <w:t>足磋商文件要求且最后报价最低的供应商的价格为磋商基准价。</w:t>
            </w:r>
            <w:r>
              <w:rPr>
                <w:rFonts w:ascii="宋体" w:hAnsi="宋体" w:eastAsia="宋体" w:cs="宋体"/>
                <w:sz w:val="23"/>
                <w:szCs w:val="23"/>
              </w:rPr>
              <w:t xml:space="preserve"> </w:t>
            </w:r>
            <w:r>
              <w:rPr>
                <w:rFonts w:ascii="宋体" w:hAnsi="宋体" w:eastAsia="宋体" w:cs="宋体"/>
                <w:spacing w:val="6"/>
                <w:sz w:val="23"/>
                <w:szCs w:val="23"/>
              </w:rPr>
              <w:t>基准价为</w:t>
            </w:r>
            <w:r>
              <w:rPr>
                <w:rFonts w:ascii="宋体" w:hAnsi="宋体" w:eastAsia="宋体" w:cs="宋体"/>
                <w:spacing w:val="4"/>
                <w:sz w:val="23"/>
                <w:szCs w:val="23"/>
              </w:rPr>
              <w:t xml:space="preserve"> </w:t>
            </w:r>
            <w:r>
              <w:rPr>
                <w:rFonts w:ascii="宋体" w:hAnsi="宋体" w:eastAsia="宋体" w:cs="宋体"/>
                <w:spacing w:val="3"/>
                <w:sz w:val="23"/>
                <w:szCs w:val="23"/>
              </w:rPr>
              <w:t>20 分。磋商报价得分＝ (评标基准价/最终磋商报价) ×</w:t>
            </w:r>
            <w:r>
              <w:rPr>
                <w:rFonts w:ascii="宋体" w:hAnsi="宋体" w:eastAsia="宋体" w:cs="宋体"/>
                <w:sz w:val="23"/>
                <w:szCs w:val="23"/>
              </w:rPr>
              <w:t xml:space="preserve"> </w:t>
            </w:r>
            <w:r>
              <w:rPr>
                <w:rFonts w:ascii="宋体" w:hAnsi="宋体" w:eastAsia="宋体" w:cs="宋体"/>
                <w:spacing w:val="12"/>
                <w:sz w:val="23"/>
                <w:szCs w:val="23"/>
              </w:rPr>
              <w:t>20</w:t>
            </w:r>
            <w:r>
              <w:rPr>
                <w:rFonts w:ascii="宋体" w:hAnsi="宋体" w:eastAsia="宋体" w:cs="宋体"/>
                <w:spacing w:val="7"/>
                <w:sz w:val="23"/>
                <w:szCs w:val="23"/>
              </w:rPr>
              <w:t>%</w:t>
            </w:r>
            <w:r>
              <w:rPr>
                <w:rFonts w:ascii="宋体" w:hAnsi="宋体" w:eastAsia="宋体" w:cs="宋体"/>
                <w:spacing w:val="6"/>
                <w:sz w:val="23"/>
                <w:szCs w:val="23"/>
              </w:rPr>
              <w:t>×100 (小数点后保留 2 位小数) 。</w:t>
            </w:r>
          </w:p>
        </w:tc>
        <w:tc>
          <w:tcPr>
            <w:tcW w:w="613" w:type="dxa"/>
            <w:vAlign w:val="top"/>
          </w:tcPr>
          <w:p>
            <w:pPr>
              <w:spacing w:line="240" w:lineRule="auto"/>
              <w:rPr>
                <w:rFonts w:ascii="Arial"/>
                <w:sz w:val="21"/>
              </w:rPr>
            </w:pPr>
          </w:p>
          <w:p>
            <w:pPr>
              <w:spacing w:before="74" w:line="240" w:lineRule="auto"/>
              <w:ind w:left="190"/>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tabs>
                <w:tab w:val="left" w:pos="330"/>
              </w:tabs>
              <w:spacing w:before="75" w:line="240" w:lineRule="auto"/>
              <w:ind w:left="206" w:right="70" w:hanging="83"/>
              <w:rPr>
                <w:rFonts w:ascii="宋体" w:hAnsi="宋体" w:eastAsia="宋体" w:cs="宋体"/>
                <w:sz w:val="23"/>
                <w:szCs w:val="23"/>
              </w:rPr>
            </w:pPr>
            <w:r>
              <w:rPr>
                <w:rFonts w:ascii="宋体" w:hAnsi="宋体" w:eastAsia="宋体" w:cs="宋体"/>
                <w:spacing w:val="-9"/>
                <w:sz w:val="23"/>
                <w:szCs w:val="23"/>
              </w:rPr>
              <w:t>技</w:t>
            </w:r>
            <w:r>
              <w:rPr>
                <w:rFonts w:ascii="宋体" w:hAnsi="宋体" w:eastAsia="宋体" w:cs="宋体"/>
                <w:spacing w:val="-6"/>
                <w:sz w:val="23"/>
                <w:szCs w:val="23"/>
              </w:rPr>
              <w:t>术、</w:t>
            </w:r>
            <w:r>
              <w:rPr>
                <w:rFonts w:ascii="宋体" w:hAnsi="宋体" w:eastAsia="宋体" w:cs="宋体"/>
                <w:sz w:val="23"/>
                <w:szCs w:val="23"/>
              </w:rPr>
              <w:t xml:space="preserve"> </w:t>
            </w:r>
            <w:r>
              <w:rPr>
                <w:rFonts w:ascii="宋体" w:hAnsi="宋体" w:eastAsia="宋体" w:cs="宋体"/>
                <w:spacing w:val="4"/>
                <w:sz w:val="23"/>
                <w:szCs w:val="23"/>
              </w:rPr>
              <w:t>商</w:t>
            </w:r>
            <w:r>
              <w:rPr>
                <w:rFonts w:ascii="宋体" w:hAnsi="宋体" w:eastAsia="宋体" w:cs="宋体"/>
                <w:spacing w:val="3"/>
                <w:sz w:val="23"/>
                <w:szCs w:val="23"/>
              </w:rPr>
              <w:t>务</w:t>
            </w:r>
            <w:r>
              <w:rPr>
                <w:rFonts w:ascii="宋体" w:hAnsi="宋体" w:eastAsia="宋体" w:cs="宋体"/>
                <w:sz w:val="23"/>
                <w:szCs w:val="23"/>
              </w:rPr>
              <w:t xml:space="preserve"> </w:t>
            </w:r>
            <w:r>
              <w:rPr>
                <w:rFonts w:ascii="宋体" w:hAnsi="宋体" w:eastAsia="宋体" w:cs="宋体"/>
                <w:spacing w:val="4"/>
                <w:sz w:val="23"/>
                <w:szCs w:val="23"/>
              </w:rPr>
              <w:t>部</w:t>
            </w:r>
            <w:r>
              <w:rPr>
                <w:rFonts w:ascii="宋体" w:hAnsi="宋体" w:eastAsia="宋体" w:cs="宋体"/>
                <w:spacing w:val="3"/>
                <w:sz w:val="23"/>
                <w:szCs w:val="23"/>
              </w:rPr>
              <w:t>分</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
                <w:sz w:val="23"/>
                <w:szCs w:val="23"/>
              </w:rPr>
              <w:t>(</w:t>
            </w:r>
            <w:r>
              <w:rPr>
                <w:rFonts w:ascii="宋体" w:hAnsi="宋体" w:eastAsia="宋体" w:cs="宋体"/>
                <w:sz w:val="23"/>
                <w:szCs w:val="23"/>
              </w:rPr>
              <w:t xml:space="preserve">80 </w:t>
            </w:r>
            <w:r>
              <w:rPr>
                <w:rFonts w:ascii="宋体" w:hAnsi="宋体" w:eastAsia="宋体" w:cs="宋体"/>
                <w:spacing w:val="-2"/>
                <w:sz w:val="23"/>
                <w:szCs w:val="23"/>
              </w:rPr>
              <w:t>分</w:t>
            </w:r>
            <w:r>
              <w:rPr>
                <w:rFonts w:ascii="宋体" w:hAnsi="宋体" w:eastAsia="宋体" w:cs="宋体"/>
                <w:spacing w:val="-1"/>
                <w:sz w:val="23"/>
                <w:szCs w:val="23"/>
              </w:rPr>
              <w:t>)</w:t>
            </w:r>
          </w:p>
        </w:tc>
        <w:tc>
          <w:tcPr>
            <w:tcW w:w="1467" w:type="dxa"/>
            <w:vMerge w:val="restart"/>
            <w:tcBorders>
              <w:bottom w:val="nil"/>
            </w:tcBorders>
            <w:vAlign w:val="top"/>
          </w:tcPr>
          <w:p>
            <w:pPr>
              <w:spacing w:line="240" w:lineRule="auto"/>
              <w:jc w:val="center"/>
              <w:rPr>
                <w:rFonts w:ascii="Arial"/>
                <w:sz w:val="21"/>
              </w:rPr>
            </w:pPr>
          </w:p>
          <w:p>
            <w:pPr>
              <w:spacing w:line="240" w:lineRule="auto"/>
              <w:jc w:val="center"/>
              <w:rPr>
                <w:rFonts w:ascii="Arial"/>
                <w:sz w:val="21"/>
              </w:rPr>
            </w:pPr>
          </w:p>
          <w:p>
            <w:pPr>
              <w:spacing w:line="240" w:lineRule="auto"/>
              <w:jc w:val="center"/>
              <w:rPr>
                <w:rFonts w:ascii="Arial"/>
                <w:sz w:val="21"/>
              </w:rPr>
            </w:pPr>
          </w:p>
          <w:p>
            <w:pPr>
              <w:spacing w:line="240" w:lineRule="auto"/>
              <w:jc w:val="center"/>
              <w:rPr>
                <w:rFonts w:ascii="Arial"/>
                <w:sz w:val="21"/>
              </w:rPr>
            </w:pPr>
          </w:p>
          <w:p>
            <w:pPr>
              <w:spacing w:line="240" w:lineRule="auto"/>
              <w:jc w:val="center"/>
              <w:rPr>
                <w:rFonts w:ascii="Arial"/>
                <w:sz w:val="21"/>
              </w:rPr>
            </w:pPr>
          </w:p>
          <w:p>
            <w:pPr>
              <w:spacing w:line="240" w:lineRule="auto"/>
              <w:jc w:val="center"/>
              <w:rPr>
                <w:rFonts w:ascii="Arial"/>
                <w:sz w:val="21"/>
              </w:rPr>
            </w:pPr>
          </w:p>
          <w:p>
            <w:pPr>
              <w:spacing w:line="240" w:lineRule="auto"/>
              <w:jc w:val="center"/>
              <w:rPr>
                <w:rFonts w:ascii="Arial"/>
                <w:sz w:val="21"/>
              </w:rPr>
            </w:pPr>
          </w:p>
          <w:p>
            <w:pPr>
              <w:spacing w:line="240" w:lineRule="auto"/>
              <w:jc w:val="center"/>
              <w:rPr>
                <w:rFonts w:ascii="Arial"/>
                <w:sz w:val="21"/>
              </w:rPr>
            </w:pPr>
          </w:p>
          <w:p>
            <w:pPr>
              <w:spacing w:before="75" w:line="240" w:lineRule="auto"/>
              <w:ind w:left="316" w:right="319" w:firstLine="23"/>
              <w:jc w:val="center"/>
              <w:rPr>
                <w:rFonts w:ascii="宋体" w:hAnsi="宋体" w:eastAsia="宋体" w:cs="宋体"/>
                <w:sz w:val="23"/>
                <w:szCs w:val="23"/>
              </w:rPr>
            </w:pPr>
            <w:r>
              <w:rPr>
                <w:rFonts w:ascii="宋体" w:hAnsi="宋体" w:eastAsia="宋体" w:cs="宋体"/>
                <w:spacing w:val="6"/>
                <w:sz w:val="23"/>
                <w:szCs w:val="23"/>
              </w:rPr>
              <w:t>实施方案</w:t>
            </w:r>
            <w:r>
              <w:rPr>
                <w:rFonts w:ascii="宋体" w:hAnsi="宋体" w:eastAsia="宋体" w:cs="宋体"/>
                <w:sz w:val="23"/>
                <w:szCs w:val="23"/>
              </w:rPr>
              <w:t xml:space="preserve"> </w:t>
            </w:r>
            <w:r>
              <w:rPr>
                <w:rFonts w:ascii="宋体" w:hAnsi="宋体" w:eastAsia="宋体" w:cs="宋体"/>
                <w:spacing w:val="13"/>
                <w:sz w:val="23"/>
                <w:szCs w:val="23"/>
              </w:rPr>
              <w:t>(</w:t>
            </w:r>
            <w:r>
              <w:rPr>
                <w:rFonts w:ascii="宋体" w:hAnsi="宋体" w:eastAsia="宋体" w:cs="宋体"/>
                <w:spacing w:val="9"/>
                <w:sz w:val="23"/>
                <w:szCs w:val="23"/>
              </w:rPr>
              <w:t>45 分)</w:t>
            </w:r>
          </w:p>
        </w:tc>
        <w:tc>
          <w:tcPr>
            <w:tcW w:w="7260" w:type="dxa"/>
            <w:vAlign w:val="top"/>
          </w:tcPr>
          <w:p>
            <w:pPr>
              <w:spacing w:before="51" w:line="240" w:lineRule="auto"/>
              <w:ind w:left="113" w:right="101" w:hanging="1"/>
              <w:rPr>
                <w:rFonts w:ascii="宋体" w:hAnsi="宋体" w:eastAsia="宋体" w:cs="宋体"/>
                <w:sz w:val="23"/>
                <w:szCs w:val="23"/>
              </w:rPr>
            </w:pPr>
            <w:r>
              <w:rPr>
                <w:rFonts w:ascii="宋体" w:hAnsi="宋体" w:eastAsia="宋体" w:cs="宋体"/>
                <w:spacing w:val="8"/>
                <w:sz w:val="23"/>
                <w:szCs w:val="23"/>
              </w:rPr>
              <w:t>对提交的竣工决算审计工作计划是否清晰明确、时间安排是否充</w:t>
            </w:r>
            <w:r>
              <w:rPr>
                <w:rFonts w:ascii="宋体" w:hAnsi="宋体" w:eastAsia="宋体" w:cs="宋体"/>
                <w:spacing w:val="7"/>
                <w:sz w:val="23"/>
                <w:szCs w:val="23"/>
              </w:rPr>
              <w:t>分</w:t>
            </w:r>
            <w:r>
              <w:rPr>
                <w:rFonts w:ascii="宋体" w:hAnsi="宋体" w:eastAsia="宋体" w:cs="宋体"/>
                <w:sz w:val="23"/>
                <w:szCs w:val="23"/>
              </w:rPr>
              <w:t xml:space="preserve"> </w:t>
            </w:r>
            <w:r>
              <w:rPr>
                <w:rFonts w:ascii="宋体" w:hAnsi="宋体" w:eastAsia="宋体" w:cs="宋体"/>
                <w:spacing w:val="6"/>
                <w:sz w:val="23"/>
                <w:szCs w:val="23"/>
              </w:rPr>
              <w:t>合理进行</w:t>
            </w:r>
            <w:r>
              <w:rPr>
                <w:rFonts w:ascii="宋体" w:hAnsi="宋体" w:eastAsia="宋体" w:cs="宋体"/>
                <w:spacing w:val="3"/>
                <w:sz w:val="23"/>
                <w:szCs w:val="23"/>
              </w:rPr>
              <w:t>评价。每有一处缺陷扣 3 分，扣完为止。</w:t>
            </w:r>
          </w:p>
        </w:tc>
        <w:tc>
          <w:tcPr>
            <w:tcW w:w="613" w:type="dxa"/>
            <w:vAlign w:val="top"/>
          </w:tcPr>
          <w:p>
            <w:pPr>
              <w:spacing w:before="248" w:line="240" w:lineRule="auto"/>
              <w:ind w:left="249"/>
              <w:rPr>
                <w:rFonts w:ascii="宋体" w:hAnsi="宋体" w:eastAsia="宋体" w:cs="宋体"/>
                <w:sz w:val="23"/>
                <w:szCs w:val="23"/>
              </w:rPr>
            </w:pPr>
            <w:r>
              <w:rPr>
                <w:rFonts w:ascii="宋体" w:hAnsi="宋体" w:eastAsia="宋体" w:cs="宋体"/>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69" w:type="dxa"/>
            <w:vMerge w:val="continue"/>
            <w:tcBorders>
              <w:top w:val="nil"/>
              <w:bottom w:val="nil"/>
            </w:tcBorders>
            <w:vAlign w:val="top"/>
          </w:tcPr>
          <w:p>
            <w:pPr>
              <w:spacing w:line="240" w:lineRule="auto"/>
              <w:rPr>
                <w:rFonts w:ascii="Arial"/>
                <w:sz w:val="21"/>
              </w:rPr>
            </w:pPr>
          </w:p>
        </w:tc>
        <w:tc>
          <w:tcPr>
            <w:tcW w:w="1467" w:type="dxa"/>
            <w:vMerge w:val="continue"/>
            <w:tcBorders>
              <w:top w:val="nil"/>
              <w:bottom w:val="nil"/>
            </w:tcBorders>
            <w:vAlign w:val="top"/>
          </w:tcPr>
          <w:p>
            <w:pPr>
              <w:spacing w:line="240" w:lineRule="auto"/>
              <w:jc w:val="center"/>
              <w:rPr>
                <w:rFonts w:ascii="Arial"/>
                <w:sz w:val="21"/>
              </w:rPr>
            </w:pPr>
          </w:p>
        </w:tc>
        <w:tc>
          <w:tcPr>
            <w:tcW w:w="7260" w:type="dxa"/>
            <w:vAlign w:val="top"/>
          </w:tcPr>
          <w:p>
            <w:pPr>
              <w:spacing w:before="53" w:line="240" w:lineRule="auto"/>
              <w:ind w:left="118" w:right="101" w:hanging="4"/>
              <w:rPr>
                <w:rFonts w:ascii="宋体" w:hAnsi="宋体" w:eastAsia="宋体" w:cs="宋体"/>
                <w:sz w:val="23"/>
                <w:szCs w:val="23"/>
              </w:rPr>
            </w:pPr>
            <w:r>
              <w:rPr>
                <w:rFonts w:ascii="宋体" w:hAnsi="宋体" w:eastAsia="宋体" w:cs="宋体"/>
                <w:spacing w:val="8"/>
                <w:sz w:val="23"/>
                <w:szCs w:val="23"/>
              </w:rPr>
              <w:t>提供针对本次项目的决算审计实施方案，要求内容完整合理，贴</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4"/>
                <w:sz w:val="23"/>
                <w:szCs w:val="23"/>
              </w:rPr>
              <w:t>实</w:t>
            </w:r>
            <w:r>
              <w:rPr>
                <w:rFonts w:ascii="宋体" w:hAnsi="宋体" w:eastAsia="宋体" w:cs="宋体"/>
                <w:spacing w:val="2"/>
                <w:sz w:val="23"/>
                <w:szCs w:val="23"/>
              </w:rPr>
              <w:t>际，具有很强的可操作性。满分 24 分。</w:t>
            </w:r>
          </w:p>
          <w:p>
            <w:pPr>
              <w:spacing w:line="240" w:lineRule="auto"/>
              <w:ind w:left="112" w:right="101"/>
              <w:rPr>
                <w:rFonts w:ascii="宋体" w:hAnsi="宋体" w:eastAsia="宋体" w:cs="宋体"/>
                <w:sz w:val="23"/>
                <w:szCs w:val="23"/>
              </w:rPr>
            </w:pPr>
            <w:r>
              <w:rPr>
                <w:rFonts w:ascii="宋体" w:hAnsi="宋体" w:eastAsia="宋体" w:cs="宋体"/>
                <w:spacing w:val="8"/>
                <w:sz w:val="23"/>
                <w:szCs w:val="23"/>
              </w:rPr>
              <w:t>评委根据方案中具体方案、步骤、质量管理措施、人员管理、岗</w:t>
            </w:r>
            <w:r>
              <w:rPr>
                <w:rFonts w:ascii="宋体" w:hAnsi="宋体" w:eastAsia="宋体" w:cs="宋体"/>
                <w:spacing w:val="7"/>
                <w:sz w:val="23"/>
                <w:szCs w:val="23"/>
              </w:rPr>
              <w:t>位</w:t>
            </w:r>
            <w:r>
              <w:rPr>
                <w:rFonts w:ascii="宋体" w:hAnsi="宋体" w:eastAsia="宋体" w:cs="宋体"/>
                <w:sz w:val="23"/>
                <w:szCs w:val="23"/>
              </w:rPr>
              <w:t xml:space="preserve"> </w:t>
            </w:r>
            <w:r>
              <w:rPr>
                <w:rFonts w:ascii="宋体" w:hAnsi="宋体" w:eastAsia="宋体" w:cs="宋体"/>
                <w:spacing w:val="8"/>
                <w:sz w:val="23"/>
                <w:szCs w:val="23"/>
              </w:rPr>
              <w:t>职责及分工、复核审核、汇总上报、服务能力等进行综合评定，</w:t>
            </w:r>
            <w:r>
              <w:rPr>
                <w:rFonts w:ascii="宋体" w:hAnsi="宋体" w:eastAsia="宋体" w:cs="宋体"/>
                <w:spacing w:val="7"/>
                <w:sz w:val="23"/>
                <w:szCs w:val="23"/>
              </w:rPr>
              <w:t>每</w:t>
            </w:r>
            <w:r>
              <w:rPr>
                <w:rFonts w:ascii="宋体" w:hAnsi="宋体" w:eastAsia="宋体" w:cs="宋体"/>
                <w:sz w:val="23"/>
                <w:szCs w:val="23"/>
              </w:rPr>
              <w:t xml:space="preserve"> </w:t>
            </w:r>
            <w:r>
              <w:rPr>
                <w:rFonts w:ascii="宋体" w:hAnsi="宋体" w:eastAsia="宋体" w:cs="宋体"/>
                <w:spacing w:val="11"/>
                <w:sz w:val="23"/>
                <w:szCs w:val="23"/>
              </w:rPr>
              <w:t>存</w:t>
            </w:r>
            <w:r>
              <w:rPr>
                <w:rFonts w:ascii="宋体" w:hAnsi="宋体" w:eastAsia="宋体" w:cs="宋体"/>
                <w:spacing w:val="8"/>
                <w:sz w:val="23"/>
                <w:szCs w:val="23"/>
              </w:rPr>
              <w:t>在一处缺陷扣4 分，扣完为止。</w:t>
            </w:r>
          </w:p>
        </w:tc>
        <w:tc>
          <w:tcPr>
            <w:tcW w:w="613" w:type="dxa"/>
            <w:vAlign w:val="top"/>
          </w:tcPr>
          <w:p>
            <w:pPr>
              <w:spacing w:line="240" w:lineRule="auto"/>
              <w:rPr>
                <w:rFonts w:ascii="Arial"/>
                <w:sz w:val="21"/>
              </w:rPr>
            </w:pPr>
          </w:p>
          <w:p>
            <w:pPr>
              <w:spacing w:line="240" w:lineRule="auto"/>
              <w:rPr>
                <w:rFonts w:ascii="Arial"/>
                <w:sz w:val="21"/>
              </w:rPr>
            </w:pPr>
          </w:p>
          <w:p>
            <w:pPr>
              <w:spacing w:before="75" w:line="240" w:lineRule="auto"/>
              <w:ind w:left="190"/>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69" w:type="dxa"/>
            <w:vMerge w:val="continue"/>
            <w:tcBorders>
              <w:top w:val="nil"/>
              <w:bottom w:val="nil"/>
            </w:tcBorders>
            <w:vAlign w:val="top"/>
          </w:tcPr>
          <w:p>
            <w:pPr>
              <w:spacing w:line="240" w:lineRule="auto"/>
              <w:rPr>
                <w:rFonts w:ascii="Arial"/>
                <w:sz w:val="21"/>
              </w:rPr>
            </w:pPr>
          </w:p>
        </w:tc>
        <w:tc>
          <w:tcPr>
            <w:tcW w:w="1467" w:type="dxa"/>
            <w:vMerge w:val="continue"/>
            <w:tcBorders>
              <w:top w:val="nil"/>
              <w:bottom w:val="nil"/>
            </w:tcBorders>
            <w:vAlign w:val="top"/>
          </w:tcPr>
          <w:p>
            <w:pPr>
              <w:spacing w:line="240" w:lineRule="auto"/>
              <w:jc w:val="center"/>
              <w:rPr>
                <w:rFonts w:ascii="Arial"/>
                <w:sz w:val="21"/>
              </w:rPr>
            </w:pPr>
          </w:p>
        </w:tc>
        <w:tc>
          <w:tcPr>
            <w:tcW w:w="7260" w:type="dxa"/>
            <w:vAlign w:val="top"/>
          </w:tcPr>
          <w:p>
            <w:pPr>
              <w:spacing w:before="52" w:line="240" w:lineRule="auto"/>
              <w:ind w:left="114" w:right="21" w:firstLine="4"/>
              <w:rPr>
                <w:rFonts w:ascii="宋体" w:hAnsi="宋体" w:eastAsia="宋体" w:cs="宋体"/>
                <w:sz w:val="23"/>
                <w:szCs w:val="23"/>
              </w:rPr>
            </w:pPr>
            <w:r>
              <w:rPr>
                <w:rFonts w:hint="eastAsia" w:ascii="宋体" w:hAnsi="宋体" w:eastAsia="宋体" w:cs="宋体"/>
                <w:color w:val="auto"/>
                <w:sz w:val="21"/>
                <w:szCs w:val="21"/>
                <w:highlight w:val="none"/>
                <w:vertAlign w:val="baseline"/>
                <w:lang w:val="en-US" w:eastAsia="zh-Hans"/>
              </w:rPr>
              <w:t>具备严格对质量管理制度</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对质量管理制度对科学性</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合理性</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可实施性以及对工作成果的质量进行综合打分</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分值为</w:t>
            </w: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Hans"/>
              </w:rPr>
              <w:t>分</w:t>
            </w:r>
            <w:r>
              <w:rPr>
                <w:rFonts w:ascii="宋体" w:hAnsi="宋体" w:eastAsia="宋体" w:cs="宋体"/>
                <w:spacing w:val="-1"/>
                <w:sz w:val="23"/>
                <w:szCs w:val="23"/>
              </w:rPr>
              <w:t>，</w:t>
            </w:r>
            <w:r>
              <w:rPr>
                <w:rFonts w:hint="eastAsia" w:ascii="宋体" w:hAnsi="宋体" w:eastAsia="宋体" w:cs="宋体"/>
                <w:spacing w:val="-1"/>
                <w:sz w:val="23"/>
                <w:szCs w:val="23"/>
                <w:lang w:eastAsia="zh-CN"/>
              </w:rPr>
              <w:t>不提供</w:t>
            </w:r>
            <w:r>
              <w:rPr>
                <w:rFonts w:ascii="宋体" w:hAnsi="宋体" w:eastAsia="宋体" w:cs="宋体"/>
                <w:spacing w:val="-1"/>
                <w:sz w:val="23"/>
                <w:szCs w:val="23"/>
              </w:rPr>
              <w:t>不得分。</w:t>
            </w:r>
          </w:p>
        </w:tc>
        <w:tc>
          <w:tcPr>
            <w:tcW w:w="613" w:type="dxa"/>
            <w:vAlign w:val="top"/>
          </w:tcPr>
          <w:p>
            <w:pPr>
              <w:spacing w:line="240" w:lineRule="auto"/>
              <w:rPr>
                <w:rFonts w:ascii="Arial"/>
                <w:sz w:val="21"/>
              </w:rPr>
            </w:pPr>
          </w:p>
          <w:p>
            <w:pPr>
              <w:spacing w:before="75" w:line="240" w:lineRule="auto"/>
              <w:ind w:left="252"/>
              <w:rPr>
                <w:rFonts w:ascii="宋体" w:hAnsi="宋体" w:eastAsia="宋体" w:cs="宋体"/>
                <w:sz w:val="23"/>
                <w:szCs w:val="23"/>
              </w:rPr>
            </w:pPr>
            <w:r>
              <w:rPr>
                <w:rFonts w:ascii="宋体" w:hAnsi="宋体" w:eastAsia="宋体" w:cs="宋体"/>
                <w:sz w:val="23"/>
                <w:szCs w:val="23"/>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69" w:type="dxa"/>
            <w:vMerge w:val="continue"/>
            <w:tcBorders>
              <w:top w:val="nil"/>
              <w:bottom w:val="nil"/>
            </w:tcBorders>
            <w:vAlign w:val="top"/>
          </w:tcPr>
          <w:p>
            <w:pPr>
              <w:spacing w:line="240" w:lineRule="auto"/>
              <w:rPr>
                <w:rFonts w:ascii="Arial"/>
                <w:sz w:val="21"/>
              </w:rPr>
            </w:pPr>
          </w:p>
        </w:tc>
        <w:tc>
          <w:tcPr>
            <w:tcW w:w="1467" w:type="dxa"/>
            <w:vMerge w:val="continue"/>
            <w:tcBorders>
              <w:top w:val="nil"/>
              <w:bottom w:val="nil"/>
            </w:tcBorders>
            <w:vAlign w:val="top"/>
          </w:tcPr>
          <w:p>
            <w:pPr>
              <w:spacing w:line="240" w:lineRule="auto"/>
              <w:jc w:val="center"/>
              <w:rPr>
                <w:rFonts w:ascii="Arial"/>
                <w:sz w:val="21"/>
              </w:rPr>
            </w:pPr>
          </w:p>
        </w:tc>
        <w:tc>
          <w:tcPr>
            <w:tcW w:w="7260" w:type="dxa"/>
            <w:vAlign w:val="top"/>
          </w:tcPr>
          <w:p>
            <w:pPr>
              <w:spacing w:before="55" w:line="240" w:lineRule="auto"/>
              <w:ind w:left="114" w:right="101" w:firstLine="4"/>
              <w:rPr>
                <w:rFonts w:ascii="宋体" w:hAnsi="宋体" w:eastAsia="宋体" w:cs="宋体"/>
                <w:sz w:val="23"/>
                <w:szCs w:val="23"/>
              </w:rPr>
            </w:pPr>
            <w:r>
              <w:rPr>
                <w:rFonts w:hint="eastAsia" w:ascii="宋体" w:hAnsi="宋体" w:eastAsia="宋体" w:cs="宋体"/>
                <w:color w:val="auto"/>
                <w:sz w:val="21"/>
                <w:szCs w:val="21"/>
                <w:highlight w:val="none"/>
                <w:vertAlign w:val="baseline"/>
                <w:lang w:val="en-US" w:eastAsia="zh-Hans"/>
              </w:rPr>
              <w:t>风险控制及人员管理制度</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对风险把控的流程及程度</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人员的选择</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岗位分配专业及执业道德培训</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考核</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奖惩机制的科学性合理性</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可实施性</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确保风险系数</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确保人员稳定</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工作积极</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爱岗敬业</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作风严谨</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独立客观公正综合打分</w:t>
            </w:r>
            <w:r>
              <w:rPr>
                <w:rFonts w:hint="default" w:ascii="宋体" w:hAnsi="宋体" w:eastAsia="宋体" w:cs="宋体"/>
                <w:color w:val="auto"/>
                <w:sz w:val="21"/>
                <w:szCs w:val="21"/>
                <w:highlight w:val="none"/>
                <w:vertAlign w:val="baseline"/>
                <w:lang w:eastAsia="zh-Hans"/>
              </w:rPr>
              <w:t>，</w:t>
            </w:r>
            <w:r>
              <w:rPr>
                <w:rFonts w:hint="eastAsia" w:ascii="宋体" w:hAnsi="宋体" w:eastAsia="宋体" w:cs="宋体"/>
                <w:color w:val="auto"/>
                <w:sz w:val="21"/>
                <w:szCs w:val="21"/>
                <w:highlight w:val="none"/>
                <w:vertAlign w:val="baseline"/>
                <w:lang w:val="en-US" w:eastAsia="zh-Hans"/>
              </w:rPr>
              <w:t>分值为</w:t>
            </w:r>
            <w:r>
              <w:rPr>
                <w:rFonts w:hint="eastAsia" w:ascii="宋体" w:hAnsi="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vertAlign w:val="baseline"/>
                <w:lang w:val="en-US" w:eastAsia="zh-Hans"/>
              </w:rPr>
              <w:t>分</w:t>
            </w:r>
          </w:p>
        </w:tc>
        <w:tc>
          <w:tcPr>
            <w:tcW w:w="613" w:type="dxa"/>
            <w:vAlign w:val="top"/>
          </w:tcPr>
          <w:p>
            <w:pPr>
              <w:spacing w:line="240" w:lineRule="auto"/>
              <w:rPr>
                <w:rFonts w:ascii="Arial"/>
                <w:sz w:val="21"/>
              </w:rPr>
            </w:pPr>
          </w:p>
          <w:p>
            <w:pPr>
              <w:spacing w:before="75" w:line="240" w:lineRule="auto"/>
              <w:ind w:left="249"/>
              <w:rPr>
                <w:rFonts w:ascii="宋体" w:hAnsi="宋体" w:eastAsia="宋体" w:cs="宋体"/>
                <w:sz w:val="23"/>
                <w:szCs w:val="23"/>
              </w:rPr>
            </w:pPr>
            <w:r>
              <w:rPr>
                <w:rFonts w:ascii="宋体" w:hAnsi="宋体" w:eastAsia="宋体" w:cs="宋体"/>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9" w:type="dxa"/>
            <w:vMerge w:val="continue"/>
            <w:tcBorders>
              <w:top w:val="nil"/>
              <w:bottom w:val="nil"/>
            </w:tcBorders>
            <w:vAlign w:val="top"/>
          </w:tcPr>
          <w:p>
            <w:pPr>
              <w:spacing w:line="240" w:lineRule="auto"/>
              <w:rPr>
                <w:rFonts w:ascii="Arial"/>
                <w:sz w:val="21"/>
              </w:rPr>
            </w:pPr>
          </w:p>
        </w:tc>
        <w:tc>
          <w:tcPr>
            <w:tcW w:w="1467" w:type="dxa"/>
            <w:vMerge w:val="continue"/>
            <w:tcBorders>
              <w:top w:val="nil"/>
            </w:tcBorders>
            <w:vAlign w:val="top"/>
          </w:tcPr>
          <w:p>
            <w:pPr>
              <w:spacing w:line="240" w:lineRule="auto"/>
              <w:jc w:val="center"/>
              <w:rPr>
                <w:rFonts w:ascii="Arial"/>
                <w:sz w:val="21"/>
              </w:rPr>
            </w:pPr>
          </w:p>
        </w:tc>
        <w:tc>
          <w:tcPr>
            <w:tcW w:w="7260" w:type="dxa"/>
            <w:vAlign w:val="top"/>
          </w:tcPr>
          <w:p>
            <w:pPr>
              <w:spacing w:before="54" w:line="240" w:lineRule="auto"/>
              <w:ind w:left="142" w:right="40" w:hanging="29"/>
              <w:rPr>
                <w:rFonts w:ascii="宋体" w:hAnsi="宋体" w:eastAsia="宋体" w:cs="宋体"/>
                <w:sz w:val="23"/>
                <w:szCs w:val="23"/>
              </w:rPr>
            </w:pPr>
            <w:r>
              <w:rPr>
                <w:rFonts w:ascii="宋体" w:hAnsi="宋体" w:eastAsia="宋体" w:cs="宋体"/>
                <w:spacing w:val="-2"/>
                <w:sz w:val="23"/>
                <w:szCs w:val="23"/>
              </w:rPr>
              <w:t>应急预案：若遇到突发事件的应急处理方案；内容</w:t>
            </w:r>
            <w:r>
              <w:rPr>
                <w:rFonts w:ascii="宋体" w:hAnsi="宋体" w:eastAsia="宋体" w:cs="宋体"/>
                <w:spacing w:val="-1"/>
                <w:sz w:val="23"/>
                <w:szCs w:val="23"/>
              </w:rPr>
              <w:t>详尽完整得 4 分，</w:t>
            </w:r>
            <w:r>
              <w:rPr>
                <w:rFonts w:ascii="宋体" w:hAnsi="宋体" w:eastAsia="宋体" w:cs="宋体"/>
                <w:sz w:val="23"/>
                <w:szCs w:val="23"/>
              </w:rPr>
              <w:t xml:space="preserve"> </w:t>
            </w:r>
            <w:r>
              <w:rPr>
                <w:rFonts w:ascii="宋体" w:hAnsi="宋体" w:eastAsia="宋体" w:cs="宋体"/>
                <w:spacing w:val="-1"/>
                <w:sz w:val="23"/>
                <w:szCs w:val="23"/>
              </w:rPr>
              <w:t>内容存在</w:t>
            </w:r>
            <w:r>
              <w:rPr>
                <w:rFonts w:ascii="宋体" w:hAnsi="宋体" w:eastAsia="宋体" w:cs="宋体"/>
                <w:sz w:val="23"/>
                <w:szCs w:val="23"/>
              </w:rPr>
              <w:t>缺陷得 2 分，其余不得分。</w:t>
            </w:r>
          </w:p>
        </w:tc>
        <w:tc>
          <w:tcPr>
            <w:tcW w:w="613" w:type="dxa"/>
            <w:vAlign w:val="top"/>
          </w:tcPr>
          <w:p>
            <w:pPr>
              <w:spacing w:before="251" w:line="240" w:lineRule="auto"/>
              <w:ind w:left="247"/>
              <w:rPr>
                <w:rFonts w:ascii="宋体" w:hAnsi="宋体" w:eastAsia="宋体" w:cs="宋体"/>
                <w:sz w:val="23"/>
                <w:szCs w:val="23"/>
              </w:rPr>
            </w:pPr>
            <w:r>
              <w:rPr>
                <w:rFonts w:ascii="宋体" w:hAnsi="宋体" w:eastAsia="宋体" w:cs="宋体"/>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69" w:type="dxa"/>
            <w:vMerge w:val="continue"/>
            <w:tcBorders>
              <w:top w:val="nil"/>
              <w:bottom w:val="nil"/>
            </w:tcBorders>
            <w:vAlign w:val="top"/>
          </w:tcPr>
          <w:p>
            <w:pPr>
              <w:spacing w:line="240" w:lineRule="auto"/>
              <w:rPr>
                <w:rFonts w:ascii="Arial"/>
                <w:sz w:val="21"/>
              </w:rPr>
            </w:pPr>
          </w:p>
        </w:tc>
        <w:tc>
          <w:tcPr>
            <w:tcW w:w="1467" w:type="dxa"/>
            <w:vMerge w:val="restart"/>
            <w:tcBorders>
              <w:bottom w:val="nil"/>
            </w:tcBorders>
            <w:vAlign w:val="top"/>
          </w:tcPr>
          <w:p>
            <w:pPr>
              <w:spacing w:line="240" w:lineRule="auto"/>
              <w:jc w:val="center"/>
              <w:rPr>
                <w:rFonts w:ascii="Arial"/>
                <w:sz w:val="21"/>
              </w:rPr>
            </w:pPr>
          </w:p>
          <w:p>
            <w:pPr>
              <w:spacing w:line="240" w:lineRule="auto"/>
              <w:jc w:val="center"/>
              <w:rPr>
                <w:rFonts w:ascii="Arial"/>
                <w:sz w:val="21"/>
              </w:rPr>
            </w:pPr>
          </w:p>
          <w:p>
            <w:pPr>
              <w:spacing w:before="74" w:line="240" w:lineRule="auto"/>
              <w:ind w:left="121" w:right="31" w:firstLine="96"/>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目团队负</w:t>
            </w:r>
            <w:r>
              <w:rPr>
                <w:rFonts w:ascii="宋体" w:hAnsi="宋体" w:eastAsia="宋体" w:cs="宋体"/>
                <w:spacing w:val="-6"/>
                <w:sz w:val="23"/>
                <w:szCs w:val="23"/>
              </w:rPr>
              <w:t>责人</w:t>
            </w:r>
            <w:r>
              <w:rPr>
                <w:rFonts w:ascii="宋体" w:hAnsi="宋体" w:eastAsia="宋体" w:cs="宋体"/>
                <w:spacing w:val="-4"/>
                <w:sz w:val="23"/>
                <w:szCs w:val="23"/>
              </w:rPr>
              <w:t xml:space="preserve"> </w:t>
            </w:r>
            <w:r>
              <w:rPr>
                <w:rFonts w:ascii="宋体" w:hAnsi="宋体" w:eastAsia="宋体" w:cs="宋体"/>
                <w:spacing w:val="-3"/>
                <w:sz w:val="23"/>
                <w:szCs w:val="23"/>
              </w:rPr>
              <w:t>(10 分)</w:t>
            </w:r>
          </w:p>
        </w:tc>
        <w:tc>
          <w:tcPr>
            <w:tcW w:w="7260" w:type="dxa"/>
            <w:vAlign w:val="top"/>
          </w:tcPr>
          <w:p>
            <w:pPr>
              <w:spacing w:before="56" w:line="240" w:lineRule="auto"/>
              <w:ind w:left="114" w:right="40" w:firstLine="8"/>
              <w:rPr>
                <w:rFonts w:ascii="宋体" w:hAnsi="宋体" w:eastAsia="宋体" w:cs="宋体"/>
                <w:sz w:val="23"/>
                <w:szCs w:val="23"/>
              </w:rPr>
            </w:pPr>
            <w:r>
              <w:rPr>
                <w:rFonts w:ascii="宋体" w:hAnsi="宋体" w:eastAsia="宋体" w:cs="宋体"/>
                <w:spacing w:val="6"/>
                <w:sz w:val="23"/>
                <w:szCs w:val="23"/>
              </w:rPr>
              <w:t>负责人具</w:t>
            </w:r>
            <w:r>
              <w:rPr>
                <w:rFonts w:ascii="宋体" w:hAnsi="宋体" w:eastAsia="宋体" w:cs="宋体"/>
                <w:spacing w:val="3"/>
                <w:sz w:val="23"/>
                <w:szCs w:val="23"/>
              </w:rPr>
              <w:t>有高级职称或高级会计师职称得 4 分，中级</w:t>
            </w:r>
            <w:r>
              <w:rPr>
                <w:rFonts w:ascii="宋体" w:hAnsi="宋体" w:eastAsia="宋体" w:cs="宋体"/>
                <w:spacing w:val="-2"/>
                <w:sz w:val="23"/>
                <w:szCs w:val="23"/>
              </w:rPr>
              <w:t>职称或中级会计师职称得 2 分。注：须</w:t>
            </w:r>
            <w:r>
              <w:rPr>
                <w:rFonts w:ascii="宋体" w:hAnsi="宋体" w:eastAsia="宋体" w:cs="宋体"/>
                <w:spacing w:val="-1"/>
                <w:sz w:val="23"/>
                <w:szCs w:val="23"/>
              </w:rPr>
              <w:t>提供相关证明材料，</w:t>
            </w:r>
            <w:r>
              <w:rPr>
                <w:rFonts w:ascii="宋体" w:hAnsi="宋体" w:eastAsia="宋体" w:cs="宋体"/>
                <w:sz w:val="23"/>
                <w:szCs w:val="23"/>
              </w:rPr>
              <w:t xml:space="preserve"> </w:t>
            </w:r>
            <w:r>
              <w:rPr>
                <w:rFonts w:ascii="宋体" w:hAnsi="宋体" w:eastAsia="宋体" w:cs="宋体"/>
                <w:spacing w:val="7"/>
                <w:sz w:val="23"/>
                <w:szCs w:val="23"/>
              </w:rPr>
              <w:t>如证书复印件。</w:t>
            </w:r>
          </w:p>
        </w:tc>
        <w:tc>
          <w:tcPr>
            <w:tcW w:w="613" w:type="dxa"/>
            <w:vAlign w:val="top"/>
          </w:tcPr>
          <w:p>
            <w:pPr>
              <w:spacing w:line="240" w:lineRule="auto"/>
              <w:rPr>
                <w:rFonts w:ascii="Arial"/>
                <w:sz w:val="21"/>
              </w:rPr>
            </w:pPr>
          </w:p>
          <w:p>
            <w:pPr>
              <w:spacing w:before="75" w:line="240" w:lineRule="auto"/>
              <w:ind w:left="247"/>
              <w:rPr>
                <w:rFonts w:ascii="宋体" w:hAnsi="宋体" w:eastAsia="宋体" w:cs="宋体"/>
                <w:sz w:val="23"/>
                <w:szCs w:val="23"/>
              </w:rPr>
            </w:pPr>
            <w:r>
              <w:rPr>
                <w:rFonts w:ascii="宋体" w:hAnsi="宋体" w:eastAsia="宋体" w:cs="宋体"/>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69" w:type="dxa"/>
            <w:vMerge w:val="continue"/>
            <w:tcBorders>
              <w:top w:val="nil"/>
              <w:bottom w:val="nil"/>
            </w:tcBorders>
            <w:vAlign w:val="top"/>
          </w:tcPr>
          <w:p>
            <w:pPr>
              <w:spacing w:line="240" w:lineRule="auto"/>
              <w:rPr>
                <w:rFonts w:ascii="Arial"/>
                <w:sz w:val="21"/>
              </w:rPr>
            </w:pPr>
          </w:p>
        </w:tc>
        <w:tc>
          <w:tcPr>
            <w:tcW w:w="1467" w:type="dxa"/>
            <w:vMerge w:val="continue"/>
            <w:tcBorders>
              <w:top w:val="nil"/>
            </w:tcBorders>
            <w:vAlign w:val="top"/>
          </w:tcPr>
          <w:p>
            <w:pPr>
              <w:spacing w:line="240" w:lineRule="auto"/>
              <w:jc w:val="center"/>
              <w:rPr>
                <w:rFonts w:ascii="Arial"/>
                <w:sz w:val="21"/>
              </w:rPr>
            </w:pPr>
          </w:p>
        </w:tc>
        <w:tc>
          <w:tcPr>
            <w:tcW w:w="7260" w:type="dxa"/>
            <w:vAlign w:val="top"/>
          </w:tcPr>
          <w:p>
            <w:pPr>
              <w:spacing w:before="56" w:line="240" w:lineRule="auto"/>
              <w:ind w:left="114" w:right="101"/>
              <w:rPr>
                <w:rFonts w:ascii="宋体" w:hAnsi="宋体" w:eastAsia="宋体" w:cs="宋体"/>
                <w:sz w:val="23"/>
                <w:szCs w:val="23"/>
              </w:rPr>
            </w:pPr>
            <w:r>
              <w:rPr>
                <w:rFonts w:ascii="宋体" w:hAnsi="宋体" w:eastAsia="宋体" w:cs="宋体"/>
                <w:spacing w:val="-6"/>
                <w:sz w:val="23"/>
                <w:szCs w:val="23"/>
              </w:rPr>
              <w:t>提</w:t>
            </w:r>
            <w:r>
              <w:rPr>
                <w:rFonts w:ascii="宋体" w:hAnsi="宋体" w:eastAsia="宋体" w:cs="宋体"/>
                <w:spacing w:val="-5"/>
                <w:sz w:val="23"/>
                <w:szCs w:val="23"/>
              </w:rPr>
              <w:t>供</w:t>
            </w:r>
            <w:r>
              <w:rPr>
                <w:rFonts w:ascii="宋体" w:hAnsi="宋体" w:eastAsia="宋体" w:cs="宋体"/>
                <w:spacing w:val="-3"/>
                <w:sz w:val="23"/>
                <w:szCs w:val="23"/>
              </w:rPr>
              <w:t>近三年(2019 年 1 月 1 日至今)项目负责人的同类项目业绩，每</w:t>
            </w:r>
            <w:r>
              <w:rPr>
                <w:rFonts w:ascii="宋体" w:hAnsi="宋体" w:eastAsia="宋体" w:cs="宋体"/>
                <w:sz w:val="23"/>
                <w:szCs w:val="23"/>
              </w:rPr>
              <w:t xml:space="preserve"> </w:t>
            </w:r>
            <w:r>
              <w:rPr>
                <w:rFonts w:ascii="宋体" w:hAnsi="宋体" w:eastAsia="宋体" w:cs="宋体"/>
                <w:spacing w:val="6"/>
                <w:sz w:val="23"/>
                <w:szCs w:val="23"/>
              </w:rPr>
              <w:t>提供一项加</w:t>
            </w:r>
            <w:r>
              <w:rPr>
                <w:rFonts w:ascii="宋体" w:hAnsi="宋体" w:eastAsia="宋体" w:cs="宋体"/>
                <w:spacing w:val="3"/>
                <w:sz w:val="23"/>
                <w:szCs w:val="23"/>
              </w:rPr>
              <w:t xml:space="preserve"> 2 分，最多6 分 (必须附合同证明或审定报告复印件，</w:t>
            </w:r>
            <w:r>
              <w:rPr>
                <w:rFonts w:ascii="宋体" w:hAnsi="宋体" w:eastAsia="宋体" w:cs="宋体"/>
                <w:sz w:val="23"/>
                <w:szCs w:val="23"/>
              </w:rPr>
              <w:t xml:space="preserve"> </w:t>
            </w:r>
            <w:r>
              <w:rPr>
                <w:rFonts w:ascii="宋体" w:hAnsi="宋体" w:eastAsia="宋体" w:cs="宋体"/>
                <w:spacing w:val="16"/>
                <w:sz w:val="23"/>
                <w:szCs w:val="23"/>
              </w:rPr>
              <w:t>需</w:t>
            </w:r>
            <w:r>
              <w:rPr>
                <w:rFonts w:ascii="宋体" w:hAnsi="宋体" w:eastAsia="宋体" w:cs="宋体"/>
                <w:spacing w:val="9"/>
                <w:sz w:val="23"/>
                <w:szCs w:val="23"/>
              </w:rPr>
              <w:t>体</w:t>
            </w:r>
            <w:r>
              <w:rPr>
                <w:rFonts w:ascii="宋体" w:hAnsi="宋体" w:eastAsia="宋体" w:cs="宋体"/>
                <w:spacing w:val="8"/>
                <w:sz w:val="23"/>
                <w:szCs w:val="23"/>
              </w:rPr>
              <w:t>现负责人姓名，否则不得分)</w:t>
            </w:r>
          </w:p>
        </w:tc>
        <w:tc>
          <w:tcPr>
            <w:tcW w:w="613" w:type="dxa"/>
            <w:vAlign w:val="top"/>
          </w:tcPr>
          <w:p>
            <w:pPr>
              <w:spacing w:line="240" w:lineRule="auto"/>
              <w:rPr>
                <w:rFonts w:ascii="Arial"/>
                <w:sz w:val="21"/>
              </w:rPr>
            </w:pPr>
          </w:p>
          <w:p>
            <w:pPr>
              <w:spacing w:before="75" w:line="240" w:lineRule="auto"/>
              <w:ind w:left="249"/>
              <w:rPr>
                <w:rFonts w:ascii="宋体" w:hAnsi="宋体" w:eastAsia="宋体" w:cs="宋体"/>
                <w:sz w:val="23"/>
                <w:szCs w:val="23"/>
              </w:rPr>
            </w:pPr>
            <w:r>
              <w:rPr>
                <w:rFonts w:ascii="宋体" w:hAnsi="宋体" w:eastAsia="宋体" w:cs="宋体"/>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69" w:type="dxa"/>
            <w:vMerge w:val="continue"/>
            <w:tcBorders>
              <w:top w:val="nil"/>
              <w:bottom w:val="nil"/>
            </w:tcBorders>
            <w:vAlign w:val="top"/>
          </w:tcPr>
          <w:p>
            <w:pPr>
              <w:spacing w:line="240" w:lineRule="auto"/>
              <w:rPr>
                <w:rFonts w:ascii="Arial"/>
                <w:sz w:val="21"/>
              </w:rPr>
            </w:pPr>
          </w:p>
        </w:tc>
        <w:tc>
          <w:tcPr>
            <w:tcW w:w="1467" w:type="dxa"/>
            <w:vAlign w:val="top"/>
          </w:tcPr>
          <w:p>
            <w:pPr>
              <w:spacing w:line="240" w:lineRule="auto"/>
              <w:jc w:val="center"/>
              <w:rPr>
                <w:rFonts w:ascii="Arial"/>
                <w:sz w:val="21"/>
              </w:rPr>
            </w:pPr>
          </w:p>
          <w:p>
            <w:pPr>
              <w:spacing w:before="75" w:line="240" w:lineRule="auto"/>
              <w:ind w:left="253" w:right="209" w:hanging="36"/>
              <w:jc w:val="center"/>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目团队成</w:t>
            </w:r>
            <w:r>
              <w:rPr>
                <w:rFonts w:ascii="宋体" w:hAnsi="宋体" w:eastAsia="宋体" w:cs="宋体"/>
                <w:spacing w:val="-9"/>
                <w:sz w:val="23"/>
                <w:szCs w:val="23"/>
              </w:rPr>
              <w:t>员</w:t>
            </w:r>
            <w:r>
              <w:rPr>
                <w:rFonts w:ascii="宋体" w:hAnsi="宋体" w:eastAsia="宋体" w:cs="宋体"/>
                <w:spacing w:val="-5"/>
                <w:sz w:val="23"/>
                <w:szCs w:val="23"/>
              </w:rPr>
              <w:t xml:space="preserve"> (9 分)</w:t>
            </w:r>
          </w:p>
        </w:tc>
        <w:tc>
          <w:tcPr>
            <w:tcW w:w="7260" w:type="dxa"/>
            <w:vAlign w:val="top"/>
          </w:tcPr>
          <w:p>
            <w:pPr>
              <w:spacing w:before="53" w:line="240" w:lineRule="auto"/>
              <w:ind w:left="113" w:right="21" w:firstLine="21"/>
              <w:rPr>
                <w:rFonts w:ascii="宋体" w:hAnsi="宋体" w:eastAsia="宋体" w:cs="宋体"/>
                <w:sz w:val="23"/>
                <w:szCs w:val="23"/>
              </w:rPr>
            </w:pPr>
            <w:r>
              <w:rPr>
                <w:rFonts w:ascii="宋体" w:hAnsi="宋体" w:eastAsia="宋体" w:cs="宋体"/>
                <w:spacing w:val="4"/>
                <w:sz w:val="23"/>
                <w:szCs w:val="23"/>
              </w:rPr>
              <w:t>团队成员 (除项</w:t>
            </w:r>
            <w:r>
              <w:rPr>
                <w:rFonts w:ascii="宋体" w:hAnsi="宋体" w:eastAsia="宋体" w:cs="宋体"/>
                <w:spacing w:val="2"/>
                <w:sz w:val="23"/>
                <w:szCs w:val="23"/>
              </w:rPr>
              <w:t>目负责人外) 具有：1 名注册会计师和 1 名注册造</w:t>
            </w:r>
            <w:r>
              <w:rPr>
                <w:rFonts w:ascii="宋体" w:hAnsi="宋体" w:eastAsia="宋体" w:cs="宋体"/>
                <w:sz w:val="23"/>
                <w:szCs w:val="23"/>
              </w:rPr>
              <w:t xml:space="preserve"> </w:t>
            </w:r>
            <w:r>
              <w:rPr>
                <w:rFonts w:ascii="宋体" w:hAnsi="宋体" w:eastAsia="宋体" w:cs="宋体"/>
                <w:spacing w:val="-2"/>
                <w:sz w:val="23"/>
                <w:szCs w:val="23"/>
              </w:rPr>
              <w:t>价</w:t>
            </w:r>
            <w:r>
              <w:rPr>
                <w:rFonts w:ascii="宋体" w:hAnsi="宋体" w:eastAsia="宋体" w:cs="宋体"/>
                <w:spacing w:val="-1"/>
                <w:sz w:val="23"/>
                <w:szCs w:val="23"/>
              </w:rPr>
              <w:t>师；2 名及以上会计师人员；2 名造价工程师；全部满足得 9 分。</w:t>
            </w:r>
            <w:r>
              <w:rPr>
                <w:rFonts w:ascii="宋体" w:hAnsi="宋体" w:eastAsia="宋体" w:cs="宋体"/>
                <w:sz w:val="23"/>
                <w:szCs w:val="23"/>
              </w:rPr>
              <w:t xml:space="preserve"> </w:t>
            </w:r>
            <w:r>
              <w:rPr>
                <w:rFonts w:ascii="宋体" w:hAnsi="宋体" w:eastAsia="宋体" w:cs="宋体"/>
                <w:spacing w:val="6"/>
                <w:sz w:val="23"/>
                <w:szCs w:val="23"/>
              </w:rPr>
              <w:t>每有一项不满足</w:t>
            </w:r>
            <w:r>
              <w:rPr>
                <w:rFonts w:ascii="宋体" w:hAnsi="宋体" w:eastAsia="宋体" w:cs="宋体"/>
                <w:spacing w:val="4"/>
                <w:sz w:val="23"/>
                <w:szCs w:val="23"/>
              </w:rPr>
              <w:t>扣</w:t>
            </w:r>
            <w:r>
              <w:rPr>
                <w:rFonts w:ascii="宋体" w:hAnsi="宋体" w:eastAsia="宋体" w:cs="宋体"/>
                <w:spacing w:val="3"/>
                <w:sz w:val="23"/>
                <w:szCs w:val="23"/>
              </w:rPr>
              <w:t xml:space="preserve"> 3 分，扣完为止。注：须提供相关证明材料，如</w:t>
            </w:r>
            <w:r>
              <w:rPr>
                <w:rFonts w:ascii="宋体" w:hAnsi="宋体" w:eastAsia="宋体" w:cs="宋体"/>
                <w:sz w:val="23"/>
                <w:szCs w:val="23"/>
              </w:rPr>
              <w:t xml:space="preserve"> </w:t>
            </w:r>
            <w:r>
              <w:rPr>
                <w:rFonts w:ascii="宋体" w:hAnsi="宋体" w:eastAsia="宋体" w:cs="宋体"/>
                <w:spacing w:val="10"/>
                <w:sz w:val="23"/>
                <w:szCs w:val="23"/>
              </w:rPr>
              <w:t>证</w:t>
            </w:r>
            <w:r>
              <w:rPr>
                <w:rFonts w:ascii="宋体" w:hAnsi="宋体" w:eastAsia="宋体" w:cs="宋体"/>
                <w:spacing w:val="6"/>
                <w:sz w:val="23"/>
                <w:szCs w:val="23"/>
              </w:rPr>
              <w:t>书复印件。</w:t>
            </w:r>
          </w:p>
        </w:tc>
        <w:tc>
          <w:tcPr>
            <w:tcW w:w="613" w:type="dxa"/>
            <w:vAlign w:val="top"/>
          </w:tcPr>
          <w:p>
            <w:pPr>
              <w:spacing w:line="240" w:lineRule="auto"/>
              <w:rPr>
                <w:rFonts w:ascii="Arial"/>
                <w:sz w:val="21"/>
              </w:rPr>
            </w:pPr>
          </w:p>
          <w:p>
            <w:pPr>
              <w:spacing w:line="240" w:lineRule="auto"/>
              <w:rPr>
                <w:rFonts w:ascii="Arial"/>
                <w:sz w:val="21"/>
              </w:rPr>
            </w:pPr>
          </w:p>
          <w:p>
            <w:pPr>
              <w:spacing w:before="75" w:line="240" w:lineRule="auto"/>
              <w:ind w:left="248"/>
              <w:rPr>
                <w:rFonts w:ascii="宋体" w:hAnsi="宋体" w:eastAsia="宋体" w:cs="宋体"/>
                <w:sz w:val="23"/>
                <w:szCs w:val="23"/>
              </w:rPr>
            </w:pPr>
            <w:r>
              <w:rPr>
                <w:rFonts w:ascii="宋体" w:hAnsi="宋体" w:eastAsia="宋体" w:cs="宋体"/>
                <w:sz w:val="23"/>
                <w:szCs w:val="23"/>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69" w:type="dxa"/>
            <w:vMerge w:val="continue"/>
            <w:tcBorders>
              <w:top w:val="nil"/>
              <w:bottom w:val="nil"/>
            </w:tcBorders>
            <w:vAlign w:val="top"/>
          </w:tcPr>
          <w:p>
            <w:pPr>
              <w:spacing w:line="240" w:lineRule="auto"/>
              <w:rPr>
                <w:rFonts w:ascii="Arial"/>
                <w:sz w:val="21"/>
              </w:rPr>
            </w:pPr>
          </w:p>
        </w:tc>
        <w:tc>
          <w:tcPr>
            <w:tcW w:w="1467" w:type="dxa"/>
            <w:vAlign w:val="top"/>
          </w:tcPr>
          <w:p>
            <w:pPr>
              <w:spacing w:before="54" w:line="240" w:lineRule="auto"/>
              <w:ind w:left="333"/>
              <w:jc w:val="center"/>
              <w:rPr>
                <w:rFonts w:ascii="宋体" w:hAnsi="宋体" w:eastAsia="宋体" w:cs="宋体"/>
                <w:sz w:val="23"/>
                <w:szCs w:val="23"/>
              </w:rPr>
            </w:pPr>
            <w:r>
              <w:rPr>
                <w:rFonts w:ascii="宋体" w:hAnsi="宋体" w:eastAsia="宋体" w:cs="宋体"/>
                <w:spacing w:val="9"/>
                <w:position w:val="5"/>
                <w:sz w:val="23"/>
                <w:szCs w:val="23"/>
              </w:rPr>
              <w:t>服</w:t>
            </w:r>
            <w:r>
              <w:rPr>
                <w:rFonts w:ascii="宋体" w:hAnsi="宋体" w:eastAsia="宋体" w:cs="宋体"/>
                <w:spacing w:val="7"/>
                <w:position w:val="5"/>
                <w:sz w:val="23"/>
                <w:szCs w:val="23"/>
              </w:rPr>
              <w:t>务承诺</w:t>
            </w:r>
          </w:p>
          <w:p>
            <w:pPr>
              <w:spacing w:line="240" w:lineRule="auto"/>
              <w:ind w:left="376"/>
              <w:jc w:val="center"/>
              <w:rPr>
                <w:rFonts w:ascii="宋体" w:hAnsi="宋体" w:eastAsia="宋体" w:cs="宋体"/>
                <w:sz w:val="23"/>
                <w:szCs w:val="23"/>
              </w:rPr>
            </w:pPr>
            <w:r>
              <w:rPr>
                <w:rFonts w:ascii="宋体" w:hAnsi="宋体" w:eastAsia="宋体" w:cs="宋体"/>
                <w:spacing w:val="13"/>
                <w:sz w:val="23"/>
                <w:szCs w:val="23"/>
              </w:rPr>
              <w:t>(6 分</w:t>
            </w:r>
            <w:r>
              <w:rPr>
                <w:rFonts w:ascii="宋体" w:hAnsi="宋体" w:eastAsia="宋体" w:cs="宋体"/>
                <w:spacing w:val="12"/>
                <w:sz w:val="23"/>
                <w:szCs w:val="23"/>
              </w:rPr>
              <w:t>)</w:t>
            </w:r>
          </w:p>
        </w:tc>
        <w:tc>
          <w:tcPr>
            <w:tcW w:w="7260" w:type="dxa"/>
            <w:vAlign w:val="top"/>
          </w:tcPr>
          <w:p>
            <w:pPr>
              <w:spacing w:before="54" w:line="240" w:lineRule="auto"/>
              <w:ind w:left="114" w:right="91" w:firstLine="2"/>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8"/>
                <w:sz w:val="23"/>
                <w:szCs w:val="23"/>
              </w:rPr>
              <w:t>目履行过程中若出现问题，无条件执行甲方提出的合理化方案，</w:t>
            </w:r>
            <w:r>
              <w:rPr>
                <w:rFonts w:ascii="宋体" w:hAnsi="宋体" w:eastAsia="宋体" w:cs="宋体"/>
                <w:sz w:val="23"/>
                <w:szCs w:val="23"/>
              </w:rPr>
              <w:t xml:space="preserve"> </w:t>
            </w:r>
            <w:r>
              <w:rPr>
                <w:rFonts w:ascii="宋体" w:hAnsi="宋体" w:eastAsia="宋体" w:cs="宋体"/>
                <w:spacing w:val="4"/>
                <w:sz w:val="23"/>
                <w:szCs w:val="23"/>
              </w:rPr>
              <w:t>保质保量的完成项目审计工作。提供承诺函得 6 分，否则不得分。</w:t>
            </w:r>
          </w:p>
        </w:tc>
        <w:tc>
          <w:tcPr>
            <w:tcW w:w="613" w:type="dxa"/>
            <w:vAlign w:val="top"/>
          </w:tcPr>
          <w:p>
            <w:pPr>
              <w:spacing w:before="253" w:line="240" w:lineRule="auto"/>
              <w:ind w:left="249"/>
              <w:rPr>
                <w:rFonts w:ascii="宋体" w:hAnsi="宋体" w:eastAsia="宋体" w:cs="宋体"/>
                <w:sz w:val="23"/>
                <w:szCs w:val="23"/>
              </w:rPr>
            </w:pPr>
            <w:r>
              <w:rPr>
                <w:rFonts w:ascii="宋体" w:hAnsi="宋体" w:eastAsia="宋体" w:cs="宋体"/>
                <w:sz w:val="23"/>
                <w:szCs w:val="23"/>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69" w:type="dxa"/>
            <w:vMerge w:val="continue"/>
            <w:tcBorders>
              <w:top w:val="nil"/>
            </w:tcBorders>
            <w:vAlign w:val="top"/>
          </w:tcPr>
          <w:p>
            <w:pPr>
              <w:spacing w:line="240" w:lineRule="auto"/>
              <w:rPr>
                <w:rFonts w:ascii="Arial"/>
                <w:sz w:val="21"/>
              </w:rPr>
            </w:pPr>
          </w:p>
        </w:tc>
        <w:tc>
          <w:tcPr>
            <w:tcW w:w="1467" w:type="dxa"/>
            <w:vAlign w:val="top"/>
          </w:tcPr>
          <w:p>
            <w:pPr>
              <w:spacing w:before="75" w:line="240" w:lineRule="auto"/>
              <w:ind w:right="319"/>
              <w:jc w:val="center"/>
              <w:rPr>
                <w:rFonts w:ascii="宋体" w:hAnsi="宋体" w:eastAsia="宋体" w:cs="宋体"/>
                <w:sz w:val="23"/>
                <w:szCs w:val="23"/>
              </w:rPr>
            </w:pPr>
            <w:r>
              <w:rPr>
                <w:rFonts w:ascii="宋体" w:hAnsi="宋体" w:eastAsia="宋体" w:cs="宋体"/>
                <w:spacing w:val="6"/>
                <w:sz w:val="23"/>
                <w:szCs w:val="23"/>
              </w:rPr>
              <w:t>业</w:t>
            </w:r>
            <w:r>
              <w:rPr>
                <w:rFonts w:ascii="宋体" w:hAnsi="宋体" w:eastAsia="宋体" w:cs="宋体"/>
                <w:spacing w:val="5"/>
                <w:sz w:val="23"/>
                <w:szCs w:val="23"/>
              </w:rPr>
              <w:t>绩</w:t>
            </w:r>
          </w:p>
          <w:p>
            <w:pPr>
              <w:spacing w:before="75" w:line="240" w:lineRule="auto"/>
              <w:ind w:right="319"/>
              <w:jc w:val="center"/>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9"/>
                <w:sz w:val="23"/>
                <w:szCs w:val="23"/>
              </w:rPr>
              <w:t>10</w:t>
            </w:r>
            <w:r>
              <w:rPr>
                <w:rFonts w:hint="eastAsia" w:ascii="宋体" w:hAnsi="宋体" w:eastAsia="宋体" w:cs="宋体"/>
                <w:spacing w:val="9"/>
                <w:sz w:val="23"/>
                <w:szCs w:val="23"/>
                <w:lang w:eastAsia="zh-CN"/>
              </w:rPr>
              <w:t>分</w:t>
            </w:r>
            <w:r>
              <w:rPr>
                <w:rFonts w:ascii="宋体" w:hAnsi="宋体" w:eastAsia="宋体" w:cs="宋体"/>
                <w:spacing w:val="9"/>
                <w:sz w:val="23"/>
                <w:szCs w:val="23"/>
              </w:rPr>
              <w:t>)</w:t>
            </w:r>
          </w:p>
        </w:tc>
        <w:tc>
          <w:tcPr>
            <w:tcW w:w="7260" w:type="dxa"/>
            <w:vAlign w:val="top"/>
          </w:tcPr>
          <w:p>
            <w:pPr>
              <w:spacing w:before="53" w:line="240" w:lineRule="auto"/>
              <w:ind w:left="112" w:right="42" w:firstLine="3"/>
              <w:rPr>
                <w:rFonts w:ascii="宋体" w:hAnsi="宋体" w:eastAsia="宋体" w:cs="宋体"/>
                <w:sz w:val="23"/>
                <w:szCs w:val="23"/>
              </w:rPr>
            </w:pPr>
            <w:r>
              <w:rPr>
                <w:rFonts w:hint="eastAsia" w:ascii="宋体" w:hAnsi="宋体" w:eastAsia="宋体" w:cs="宋体"/>
                <w:color w:val="auto"/>
                <w:sz w:val="21"/>
                <w:szCs w:val="21"/>
                <w:highlight w:val="none"/>
                <w:vertAlign w:val="baseline"/>
                <w:lang w:val="en-US" w:eastAsia="zh-Hans"/>
              </w:rPr>
              <w:t>提供</w:t>
            </w:r>
            <w:r>
              <w:rPr>
                <w:rFonts w:hint="default" w:ascii="宋体" w:hAnsi="宋体" w:eastAsia="宋体" w:cs="宋体"/>
                <w:color w:val="auto"/>
                <w:sz w:val="21"/>
                <w:szCs w:val="21"/>
                <w:highlight w:val="none"/>
                <w:vertAlign w:val="baseline"/>
                <w:lang w:eastAsia="zh-Hans"/>
              </w:rPr>
              <w:t>3</w:t>
            </w:r>
            <w:r>
              <w:rPr>
                <w:rFonts w:hint="eastAsia" w:ascii="宋体" w:hAnsi="宋体" w:eastAsia="宋体" w:cs="宋体"/>
                <w:color w:val="auto"/>
                <w:sz w:val="21"/>
                <w:szCs w:val="21"/>
                <w:highlight w:val="none"/>
                <w:vertAlign w:val="baseline"/>
                <w:lang w:val="en-US" w:eastAsia="zh-Hans"/>
              </w:rPr>
              <w:t>年内的工作业绩证明材料。每提供一份得</w:t>
            </w: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Hans"/>
              </w:rPr>
              <w:t>分，满分为</w:t>
            </w:r>
            <w:r>
              <w:rPr>
                <w:rFonts w:hint="eastAsia" w:ascii="宋体" w:hAnsi="宋体" w:eastAsia="宋体" w:cs="宋体"/>
                <w:color w:val="auto"/>
                <w:sz w:val="21"/>
                <w:szCs w:val="21"/>
                <w:highlight w:val="none"/>
                <w:vertAlign w:val="baseline"/>
                <w:lang w:val="en-US" w:eastAsia="zh-CN"/>
              </w:rPr>
              <w:t>1</w:t>
            </w:r>
            <w:r>
              <w:rPr>
                <w:rFonts w:hint="default" w:ascii="宋体" w:hAnsi="宋体" w:eastAsia="宋体" w:cs="宋体"/>
                <w:color w:val="auto"/>
                <w:sz w:val="21"/>
                <w:szCs w:val="21"/>
                <w:highlight w:val="none"/>
                <w:vertAlign w:val="baseline"/>
                <w:lang w:eastAsia="zh-CN"/>
              </w:rPr>
              <w:t>0</w:t>
            </w:r>
            <w:r>
              <w:rPr>
                <w:rFonts w:hint="eastAsia" w:ascii="宋体" w:hAnsi="宋体" w:eastAsia="宋体" w:cs="宋体"/>
                <w:color w:val="auto"/>
                <w:sz w:val="21"/>
                <w:szCs w:val="21"/>
                <w:highlight w:val="none"/>
                <w:vertAlign w:val="baseline"/>
                <w:lang w:val="en-US" w:eastAsia="zh-Hans"/>
              </w:rPr>
              <w:t>分；未提供不得分；</w:t>
            </w:r>
          </w:p>
        </w:tc>
        <w:tc>
          <w:tcPr>
            <w:tcW w:w="613" w:type="dxa"/>
            <w:vAlign w:val="top"/>
          </w:tcPr>
          <w:p>
            <w:pPr>
              <w:spacing w:line="240" w:lineRule="auto"/>
              <w:rPr>
                <w:rFonts w:ascii="Arial"/>
                <w:sz w:val="21"/>
              </w:rPr>
            </w:pPr>
          </w:p>
          <w:p>
            <w:pPr>
              <w:spacing w:line="240" w:lineRule="auto"/>
              <w:rPr>
                <w:rFonts w:ascii="Arial"/>
                <w:sz w:val="21"/>
              </w:rPr>
            </w:pPr>
          </w:p>
          <w:p>
            <w:pPr>
              <w:spacing w:before="75" w:line="240" w:lineRule="auto"/>
              <w:ind w:left="205"/>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r>
    </w:tbl>
    <w:p>
      <w:pPr>
        <w:spacing w:line="240" w:lineRule="auto"/>
      </w:pPr>
    </w:p>
    <w:p>
      <w:pPr>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Hans"/>
        </w:rPr>
        <w:t>备注</w:t>
      </w:r>
      <w:r>
        <w:rPr>
          <w:rFonts w:hint="default" w:ascii="宋体" w:hAnsi="宋体" w:eastAsia="宋体" w:cs="宋体"/>
          <w:color w:val="auto"/>
          <w:sz w:val="24"/>
          <w:szCs w:val="24"/>
          <w:highlight w:val="none"/>
          <w:lang w:eastAsia="zh-Hans"/>
        </w:rPr>
        <w:t>1</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须提供上述人员职称证书原件或复印件、身份证原件或复印件及外部证明材料（如加盖有关部门印章的投保单或社会保险参保人员证明，或单位代缴个人所得税税单等）否则无效，不得分。</w:t>
      </w:r>
    </w:p>
    <w:p>
      <w:pPr>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default"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备注</w:t>
      </w:r>
      <w:r>
        <w:rPr>
          <w:rFonts w:hint="default" w:ascii="宋体" w:hAnsi="宋体" w:eastAsia="宋体" w:cs="宋体"/>
          <w:color w:val="auto"/>
          <w:sz w:val="24"/>
          <w:szCs w:val="24"/>
          <w:highlight w:val="none"/>
          <w:lang w:eastAsia="zh-Hans"/>
        </w:rPr>
        <w:t>2</w:t>
      </w:r>
      <w:r>
        <w:rPr>
          <w:rFonts w:hint="eastAsia" w:ascii="宋体" w:hAnsi="宋体" w:eastAsia="宋体" w:cs="宋体"/>
          <w:color w:val="auto"/>
          <w:sz w:val="24"/>
          <w:szCs w:val="24"/>
          <w:highlight w:val="none"/>
          <w:lang w:val="en-US" w:eastAsia="zh-Hans"/>
        </w:rPr>
        <w:t>.须提供包含合同首页、标的及金额所在页、合同签字盖章页；评审依据：证明材料正本须提供业绩合同书原件的彩色扫描件，否则不予认定）。</w:t>
      </w:r>
    </w:p>
    <w:p>
      <w:pPr>
        <w:pStyle w:val="2"/>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lang w:eastAsia="zh-Hans"/>
        </w:rPr>
      </w:pPr>
      <w:r>
        <w:rPr>
          <w:rFonts w:hint="default" w:ascii="宋体" w:hAnsi="宋体" w:eastAsia="宋体" w:cs="宋体"/>
          <w:color w:val="auto"/>
          <w:sz w:val="24"/>
          <w:szCs w:val="24"/>
          <w:highlight w:val="none"/>
          <w:lang w:eastAsia="zh-CN"/>
        </w:rPr>
        <w:t xml:space="preserve">   </w:t>
      </w:r>
    </w:p>
    <w:p>
      <w:pPr>
        <w:spacing w:line="360" w:lineRule="auto"/>
        <w:ind w:firstLine="484" w:firstLineChars="200"/>
        <w:rPr>
          <w:rFonts w:hint="eastAsia" w:ascii="宋体" w:hAnsi="宋体" w:cs="宋体"/>
          <w:color w:val="auto"/>
          <w:sz w:val="24"/>
          <w:szCs w:val="24"/>
          <w:highlight w:val="none"/>
        </w:rPr>
      </w:pP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25.6 供应商在评标过程中，所进行的力图影响评标结果的不符合招标规则的活动，可能导致其被取消中标资格。</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25.7 与竞争性磋商文件有重大偏离的响应文件将被拒绝。</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26  中标供应商的确认</w:t>
      </w:r>
    </w:p>
    <w:bookmarkEnd w:id="88"/>
    <w:p>
      <w:pPr>
        <w:spacing w:line="360" w:lineRule="auto"/>
        <w:ind w:firstLine="484" w:firstLineChars="200"/>
        <w:rPr>
          <w:rFonts w:hint="eastAsia" w:ascii="宋体" w:hAnsi="宋体" w:cs="宋体"/>
          <w:color w:val="auto"/>
          <w:sz w:val="24"/>
          <w:szCs w:val="24"/>
          <w:highlight w:val="none"/>
        </w:rPr>
      </w:pPr>
      <w:bookmarkStart w:id="92" w:name="_Toc20139"/>
      <w:bookmarkStart w:id="93" w:name="_Toc18253"/>
      <w:bookmarkStart w:id="94" w:name="_Toc9748"/>
      <w:r>
        <w:rPr>
          <w:rFonts w:hint="eastAsia" w:ascii="宋体" w:hAnsi="宋体" w:cs="宋体"/>
          <w:color w:val="auto"/>
          <w:sz w:val="24"/>
          <w:szCs w:val="24"/>
          <w:highlight w:val="none"/>
        </w:rPr>
        <w:t>26.1 评标委员会推荐得分最高的为第一中标候选人。采购人应当接受评标委员会推荐的中标候选人，不得在评标委员会推荐的中标候选人之外确定中标人。评标委员会无义务向供应商进行任何有关评标的解释工作。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 采购人应当确定排名第一的中标候选人为中标供应商。排名第一的中标候选人放弃中标、因不可抗力提出不能履行合同，采购人可以确定排名第二的中标候选人为中标供应商,或重新招标。</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26.3 在确定中标供应商前，采购人不得与投标供应商就投标价格、投标方案等实质性内容进行磋商。</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27 中标通知</w:t>
      </w:r>
    </w:p>
    <w:p>
      <w:pPr>
        <w:spacing w:line="360" w:lineRule="auto"/>
        <w:ind w:firstLine="484" w:firstLineChars="200"/>
        <w:rPr>
          <w:rFonts w:hint="eastAsia" w:ascii="宋体" w:hAnsi="宋体" w:cs="宋体"/>
          <w:color w:val="auto"/>
          <w:sz w:val="24"/>
          <w:szCs w:val="24"/>
          <w:highlight w:val="none"/>
        </w:rPr>
      </w:pPr>
      <w:bookmarkStart w:id="95" w:name="_Toc16205"/>
      <w:bookmarkStart w:id="96" w:name="_Toc3169"/>
      <w:bookmarkStart w:id="97" w:name="_Toc13637"/>
      <w:bookmarkStart w:id="98" w:name="_Toc30172"/>
      <w:r>
        <w:rPr>
          <w:rFonts w:hint="eastAsia" w:ascii="宋体" w:hAnsi="宋体" w:cs="宋体"/>
          <w:color w:val="auto"/>
          <w:sz w:val="24"/>
          <w:szCs w:val="24"/>
          <w:highlight w:val="none"/>
        </w:rPr>
        <w:t>27.1 采购人或者采购代理机构应当自中标供应商确定之日起2个工作日内，发出中标通知书，并在省级以上人民政府财政部门指定的媒体上公告中标结果。</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27.2</w:t>
      </w:r>
      <w:r>
        <w:rPr>
          <w:rFonts w:hint="eastAsia" w:ascii="宋体" w:hAnsi="宋体" w:cs="宋体"/>
          <w:b/>
          <w:bCs/>
          <w:color w:val="auto"/>
          <w:sz w:val="24"/>
          <w:szCs w:val="24"/>
          <w:highlight w:val="none"/>
        </w:rPr>
        <w:t xml:space="preserve"> </w:t>
      </w:r>
      <w:bookmarkEnd w:id="95"/>
      <w:bookmarkEnd w:id="96"/>
      <w:bookmarkEnd w:id="97"/>
      <w:bookmarkEnd w:id="98"/>
      <w:r>
        <w:rPr>
          <w:rFonts w:hint="eastAsia" w:ascii="宋体" w:hAnsi="宋体" w:cs="宋体"/>
          <w:color w:val="auto"/>
          <w:sz w:val="24"/>
          <w:szCs w:val="24"/>
          <w:highlight w:val="none"/>
        </w:rPr>
        <w:t>中标通知书对采购人和中标供应商均具有法律效力。中标通知书发出后，采购人改变中标结果的，或者中标供应商放弃中标项目的，应当依法承担法律责任。</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28  拒绝投标的权力</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采购人有权在定标前拒绝任何有不正当行为或扰乱正常采购工作的供应商，由此对供应商造成的损失不负任何责任，同时对此也不做任何解释。</w:t>
      </w: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七、 授予合同</w:t>
      </w:r>
      <w:bookmarkEnd w:id="92"/>
      <w:bookmarkEnd w:id="93"/>
      <w:bookmarkEnd w:id="94"/>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29  签订商务合同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 采购人与中标供应商应当在中标通知书发出之日起30日内，按照竞争性磋商文件确定的事项签订政府采购合同。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 中标合同不得转让。经采购人同意，中标供应商可以依法采取分包方式履行合同。政府采购合同分包履行的，中标供应商就采购项目和分包项目向采购人负责，分包供应商就分包项目承担责任。</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29.3中标供应商拒绝与采购人签订合同的，采购人可以按照评审报告推荐的中标候选人名单排序，确定下一候选人为中标供应商，也可以重新开展政府采购活动。</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 政府采购合同的双方当事人不得擅自变更、中止或者终止合同。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pPr>
        <w:spacing w:line="36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30  商务合同的组成</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 下列文件均为商务合同不可分割的组成部分：</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30.1.1 中标通知书；</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30.1.2 中标供应商的响应文件；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30.1.3 供应商澄清、说明或补正文件；</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30.1.4 竞争性磋商文件。</w:t>
      </w:r>
    </w:p>
    <w:p>
      <w:pPr>
        <w:spacing w:line="360" w:lineRule="auto"/>
        <w:jc w:val="center"/>
        <w:rPr>
          <w:rFonts w:hint="eastAsia" w:ascii="宋体" w:hAnsi="宋体" w:cs="宋体"/>
          <w:color w:val="auto"/>
          <w:sz w:val="28"/>
          <w:szCs w:val="28"/>
          <w:highlight w:val="none"/>
        </w:rPr>
      </w:pPr>
      <w:bookmarkStart w:id="99" w:name="_Toc7458"/>
      <w:bookmarkStart w:id="100" w:name="_Toc9177"/>
      <w:bookmarkStart w:id="101" w:name="_Toc21514"/>
      <w:bookmarkStart w:id="102" w:name="_Toc3090"/>
      <w:bookmarkStart w:id="103" w:name="_Toc26655"/>
      <w:bookmarkStart w:id="104" w:name="_Toc17298"/>
      <w:bookmarkStart w:id="105" w:name="_Toc23890"/>
      <w:bookmarkStart w:id="106" w:name="_Toc26147"/>
      <w:bookmarkStart w:id="107" w:name="_Toc24734"/>
      <w:bookmarkStart w:id="108" w:name="_Toc10488"/>
      <w:r>
        <w:rPr>
          <w:rFonts w:hint="eastAsia" w:ascii="宋体" w:hAnsi="宋体" w:cs="宋体"/>
          <w:color w:val="auto"/>
          <w:sz w:val="28"/>
          <w:szCs w:val="28"/>
          <w:highlight w:val="none"/>
        </w:rPr>
        <w:t>八、采购人的权利</w:t>
      </w:r>
      <w:bookmarkEnd w:id="99"/>
      <w:bookmarkEnd w:id="100"/>
      <w:bookmarkEnd w:id="101"/>
      <w:bookmarkEnd w:id="102"/>
      <w:bookmarkEnd w:id="103"/>
      <w:bookmarkEnd w:id="104"/>
      <w:bookmarkEnd w:id="105"/>
      <w:bookmarkEnd w:id="106"/>
      <w:bookmarkEnd w:id="107"/>
      <w:bookmarkEnd w:id="108"/>
    </w:p>
    <w:p>
      <w:pPr>
        <w:spacing w:line="360" w:lineRule="auto"/>
        <w:rPr>
          <w:rFonts w:hint="eastAsia" w:ascii="宋体" w:hAnsi="宋体" w:cs="宋体"/>
          <w:color w:val="auto"/>
          <w:sz w:val="24"/>
          <w:szCs w:val="24"/>
          <w:highlight w:val="none"/>
        </w:rPr>
      </w:pPr>
      <w:bookmarkStart w:id="109" w:name="_Toc16744"/>
      <w:bookmarkStart w:id="110" w:name="_Toc13678"/>
      <w:bookmarkStart w:id="111" w:name="_Toc31453"/>
      <w:bookmarkStart w:id="112" w:name="_Toc31334"/>
      <w:bookmarkStart w:id="113" w:name="_Toc27177"/>
      <w:bookmarkStart w:id="114" w:name="_Toc23715"/>
      <w:bookmarkStart w:id="115" w:name="_Toc2769"/>
      <w:bookmarkStart w:id="116" w:name="_Toc23616"/>
      <w:bookmarkStart w:id="117" w:name="_Toc13025"/>
      <w:bookmarkStart w:id="118" w:name="_Toc31555"/>
      <w:r>
        <w:rPr>
          <w:rFonts w:hint="eastAsia" w:ascii="宋体" w:hAnsi="宋体" w:cs="宋体"/>
          <w:color w:val="auto"/>
          <w:sz w:val="24"/>
          <w:szCs w:val="24"/>
          <w:highlight w:val="none"/>
        </w:rPr>
        <w:t>31  政府采购合同履行中，采购人需追加与合同标的相同的服务、工程或者货物的，在不改变合同其他条款的前提下，可以与供应商协商签订补充合同，但所有补充合同的采购金额不得超过原合同采购金额的百分之十。</w:t>
      </w:r>
    </w:p>
    <w:p>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九、其他事项</w:t>
      </w:r>
      <w:bookmarkEnd w:id="109"/>
      <w:bookmarkEnd w:id="110"/>
      <w:bookmarkEnd w:id="111"/>
      <w:bookmarkEnd w:id="112"/>
      <w:bookmarkEnd w:id="113"/>
      <w:bookmarkEnd w:id="114"/>
      <w:bookmarkEnd w:id="115"/>
      <w:bookmarkEnd w:id="116"/>
      <w:bookmarkEnd w:id="117"/>
      <w:bookmarkEnd w:id="118"/>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  采购代理服务费</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b/>
          <w:bCs/>
          <w:color w:val="auto"/>
          <w:sz w:val="24"/>
          <w:szCs w:val="24"/>
          <w:highlight w:val="none"/>
        </w:rPr>
        <w:t>由中标单位支付，收取标准参照国计委计价格[2002]1980号文执行。</w:t>
      </w:r>
    </w:p>
    <w:p>
      <w:pPr>
        <w:spacing w:line="360" w:lineRule="auto"/>
        <w:ind w:firstLine="484"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 采购代理服务费的计算基数是</w:t>
      </w:r>
      <w:r>
        <w:rPr>
          <w:rFonts w:hint="eastAsia" w:ascii="宋体" w:hAnsi="宋体" w:cs="宋体"/>
          <w:b/>
          <w:bCs/>
          <w:color w:val="auto"/>
          <w:sz w:val="24"/>
          <w:szCs w:val="24"/>
          <w:highlight w:val="none"/>
          <w:u w:val="single"/>
        </w:rPr>
        <w:t>中标通知书中载明的中标总金额</w:t>
      </w:r>
      <w:r>
        <w:rPr>
          <w:rFonts w:hint="eastAsia" w:ascii="宋体" w:hAnsi="宋体" w:cs="宋体"/>
          <w:color w:val="auto"/>
          <w:sz w:val="24"/>
          <w:szCs w:val="24"/>
          <w:highlight w:val="none"/>
        </w:rPr>
        <w:t>。</w:t>
      </w:r>
    </w:p>
    <w:p>
      <w:pPr>
        <w:spacing w:line="360" w:lineRule="auto"/>
        <w:rPr>
          <w:rFonts w:hint="eastAsia" w:eastAsia="宋体"/>
          <w:color w:val="auto"/>
          <w:sz w:val="28"/>
          <w:szCs w:val="28"/>
          <w:highlight w:val="none"/>
          <w:lang w:eastAsia="zh-CN"/>
        </w:rPr>
      </w:pPr>
      <w:r>
        <w:rPr>
          <w:rFonts w:hint="eastAsia" w:ascii="宋体" w:hAnsi="宋体" w:cs="宋体"/>
          <w:color w:val="auto"/>
          <w:sz w:val="24"/>
          <w:szCs w:val="24"/>
          <w:highlight w:val="none"/>
        </w:rPr>
        <w:t>33  本竞争性磋商文件是根据《中华人民共和国政府采购法》、《中华人民共和国政府采</w:t>
      </w:r>
      <w:r>
        <w:rPr>
          <w:rFonts w:hint="eastAsia" w:eastAsia="宋体"/>
          <w:color w:val="auto"/>
          <w:sz w:val="28"/>
          <w:szCs w:val="28"/>
          <w:highlight w:val="none"/>
          <w:lang w:eastAsia="zh-CN"/>
        </w:rPr>
        <w:t>购法实施条例》的规定编制，解释权属采购代理机构。</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34  参与本次采购的供应商应当有商务、技术人员对评标委员会提出的商务、技术问题进行答疑。</w:t>
      </w:r>
    </w:p>
    <w:p>
      <w:pPr>
        <w:spacing w:line="360" w:lineRule="auto"/>
        <w:rPr>
          <w:rFonts w:hint="eastAsia" w:eastAsia="宋体"/>
          <w:color w:val="auto"/>
          <w:sz w:val="28"/>
          <w:szCs w:val="28"/>
          <w:highlight w:val="none"/>
          <w:lang w:eastAsia="zh-CN"/>
        </w:rPr>
        <w:sectPr>
          <w:headerReference r:id="rId8" w:type="first"/>
          <w:footerReference r:id="rId10" w:type="first"/>
          <w:headerReference r:id="rId7" w:type="default"/>
          <w:footerReference r:id="rId9" w:type="default"/>
          <w:pgSz w:w="11906" w:h="16838"/>
          <w:pgMar w:top="1417" w:right="1417" w:bottom="1381" w:left="1417" w:header="851" w:footer="850" w:gutter="0"/>
          <w:pgNumType w:start="1"/>
          <w:cols w:space="720" w:num="1"/>
          <w:titlePg/>
          <w:docGrid w:type="linesAndChars" w:linePitch="312" w:charSpace="530"/>
        </w:sectPr>
      </w:pPr>
      <w:bookmarkStart w:id="119" w:name="_Toc20444"/>
      <w:bookmarkStart w:id="120" w:name="_Toc17267"/>
      <w:bookmarkStart w:id="121" w:name="_Toc26511"/>
      <w:bookmarkStart w:id="122" w:name="_Toc29261"/>
    </w:p>
    <w:bookmarkEnd w:id="119"/>
    <w:bookmarkEnd w:id="120"/>
    <w:bookmarkEnd w:id="121"/>
    <w:bookmarkEnd w:id="122"/>
    <w:p>
      <w:pPr>
        <w:spacing w:line="360" w:lineRule="auto"/>
        <w:rPr>
          <w:rFonts w:hint="eastAsia" w:eastAsia="宋体"/>
          <w:color w:val="auto"/>
          <w:sz w:val="28"/>
          <w:szCs w:val="28"/>
          <w:highlight w:val="none"/>
          <w:lang w:eastAsia="zh-CN"/>
        </w:rPr>
      </w:pPr>
      <w:bookmarkStart w:id="123" w:name="_Toc21863"/>
      <w:bookmarkStart w:id="124" w:name="_Toc16938559"/>
      <w:bookmarkStart w:id="125" w:name="_Toc513029243"/>
      <w:bookmarkStart w:id="126" w:name="_Toc20823315"/>
      <w:bookmarkStart w:id="127" w:name="_Toc22740"/>
      <w:bookmarkStart w:id="128" w:name="_Toc27564"/>
      <w:bookmarkStart w:id="129" w:name="_Toc5864"/>
      <w:r>
        <w:rPr>
          <w:rFonts w:hint="eastAsia" w:eastAsia="宋体"/>
          <w:color w:val="auto"/>
          <w:sz w:val="28"/>
          <w:szCs w:val="28"/>
          <w:highlight w:val="none"/>
          <w:lang w:eastAsia="zh-CN"/>
        </w:rPr>
        <w:t>服务标准及要求</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工程名称：轮台县农业农村局项目竣工决算编制项目</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建设地点：轮台县</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建设规模：轮台县农业农村局项目竣工决算编制项目</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二、服务标准</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 xml:space="preserve">服务质量标准：详见投标须知 </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 xml:space="preserve">服务期限：详见投标须知  </w:t>
      </w:r>
    </w:p>
    <w:p>
      <w:pPr>
        <w:spacing w:line="360" w:lineRule="auto"/>
        <w:rPr>
          <w:rFonts w:hint="default" w:eastAsia="宋体"/>
          <w:color w:val="auto"/>
          <w:sz w:val="28"/>
          <w:szCs w:val="28"/>
          <w:highlight w:val="none"/>
          <w:lang w:val="en-US" w:eastAsia="zh-Hans"/>
        </w:rPr>
      </w:pPr>
      <w:r>
        <w:rPr>
          <w:rFonts w:hint="eastAsia" w:eastAsia="宋体"/>
          <w:color w:val="auto"/>
          <w:sz w:val="28"/>
          <w:szCs w:val="28"/>
          <w:highlight w:val="none"/>
          <w:lang w:eastAsia="zh-CN"/>
        </w:rPr>
        <w:t>三、</w:t>
      </w:r>
      <w:r>
        <w:rPr>
          <w:rFonts w:hint="eastAsia" w:eastAsia="宋体"/>
          <w:color w:val="auto"/>
          <w:sz w:val="28"/>
          <w:szCs w:val="28"/>
          <w:highlight w:val="none"/>
          <w:lang w:val="en-US" w:eastAsia="zh-Hans"/>
        </w:rPr>
        <w:t>服务内容</w:t>
      </w:r>
    </w:p>
    <w:p>
      <w:pPr>
        <w:spacing w:line="360" w:lineRule="auto"/>
        <w:rPr>
          <w:rFonts w:hint="eastAsia" w:eastAsia="宋体"/>
          <w:color w:val="auto"/>
          <w:sz w:val="28"/>
          <w:szCs w:val="28"/>
          <w:highlight w:val="none"/>
          <w:lang w:eastAsia="zh-CN"/>
        </w:rPr>
      </w:pPr>
      <w:r>
        <w:rPr>
          <w:rFonts w:hint="eastAsia" w:eastAsia="宋体"/>
          <w:color w:val="auto"/>
          <w:sz w:val="28"/>
          <w:szCs w:val="28"/>
          <w:highlight w:val="none"/>
          <w:lang w:eastAsia="zh-CN"/>
        </w:rPr>
        <w:t>对2021年人居环境整治建设项目(一期)、2022年人居环境整治建设项目(二期)、2022年乡村振兴环境整治项目(二期)三个项目进行竣工决算，依据工程结算成果文件和财务资料编制竣工决算。</w:t>
      </w:r>
    </w:p>
    <w:p>
      <w:pPr>
        <w:spacing w:line="360" w:lineRule="auto"/>
        <w:rPr>
          <w:rFonts w:hint="default" w:eastAsia="宋体"/>
          <w:color w:val="auto"/>
          <w:sz w:val="28"/>
          <w:szCs w:val="28"/>
          <w:highlight w:val="none"/>
          <w:lang w:val="en-US" w:eastAsia="zh-Hans"/>
        </w:rPr>
      </w:pPr>
      <w:r>
        <w:rPr>
          <w:rFonts w:hint="eastAsia" w:eastAsia="宋体"/>
          <w:color w:val="auto"/>
          <w:sz w:val="28"/>
          <w:szCs w:val="28"/>
          <w:highlight w:val="none"/>
          <w:lang w:val="en-US" w:eastAsia="zh-Hans"/>
        </w:rPr>
        <w:t>四</w:t>
      </w:r>
      <w:r>
        <w:rPr>
          <w:rFonts w:hint="default" w:eastAsia="宋体"/>
          <w:color w:val="auto"/>
          <w:sz w:val="28"/>
          <w:szCs w:val="28"/>
          <w:highlight w:val="none"/>
          <w:lang w:val="en-US" w:eastAsia="zh-Hans"/>
        </w:rPr>
        <w:t>、工作要求</w:t>
      </w:r>
    </w:p>
    <w:p>
      <w:pPr>
        <w:spacing w:line="360" w:lineRule="auto"/>
        <w:rPr>
          <w:rFonts w:hint="default" w:eastAsia="宋体"/>
          <w:color w:val="auto"/>
          <w:sz w:val="28"/>
          <w:szCs w:val="28"/>
          <w:highlight w:val="none"/>
          <w:lang w:val="en-US" w:eastAsia="zh-Hans"/>
        </w:rPr>
      </w:pPr>
      <w:r>
        <w:rPr>
          <w:rFonts w:hint="default" w:eastAsia="宋体"/>
          <w:color w:val="auto"/>
          <w:sz w:val="28"/>
          <w:szCs w:val="28"/>
          <w:highlight w:val="none"/>
          <w:lang w:val="en-US" w:eastAsia="zh-Hans"/>
        </w:rPr>
        <w:t>1.在接受</w:t>
      </w:r>
      <w:r>
        <w:rPr>
          <w:rFonts w:hint="eastAsia" w:eastAsia="宋体"/>
          <w:color w:val="auto"/>
          <w:sz w:val="28"/>
          <w:szCs w:val="28"/>
          <w:highlight w:val="none"/>
          <w:lang w:val="en-US" w:eastAsia="zh-Hans"/>
        </w:rPr>
        <w:t>工作</w:t>
      </w:r>
      <w:r>
        <w:rPr>
          <w:rFonts w:hint="default" w:eastAsia="宋体"/>
          <w:color w:val="auto"/>
          <w:sz w:val="28"/>
          <w:szCs w:val="28"/>
          <w:highlight w:val="none"/>
          <w:lang w:val="en-US" w:eastAsia="zh-Hans"/>
        </w:rPr>
        <w:t>任务后，</w:t>
      </w:r>
      <w:r>
        <w:rPr>
          <w:rFonts w:hint="eastAsia" w:eastAsia="宋体"/>
          <w:color w:val="auto"/>
          <w:sz w:val="28"/>
          <w:szCs w:val="28"/>
          <w:highlight w:val="none"/>
          <w:lang w:val="en-US" w:eastAsia="zh-Hans"/>
        </w:rPr>
        <w:t>承接</w:t>
      </w:r>
      <w:r>
        <w:rPr>
          <w:rFonts w:hint="default" w:eastAsia="宋体"/>
          <w:color w:val="auto"/>
          <w:sz w:val="28"/>
          <w:szCs w:val="28"/>
          <w:highlight w:val="none"/>
          <w:lang w:val="en-US" w:eastAsia="zh-Hans"/>
        </w:rPr>
        <w:t>机构应当确定项目负责人，成立</w:t>
      </w:r>
      <w:r>
        <w:rPr>
          <w:rFonts w:hint="eastAsia" w:eastAsia="宋体"/>
          <w:color w:val="auto"/>
          <w:sz w:val="28"/>
          <w:szCs w:val="28"/>
          <w:highlight w:val="none"/>
          <w:lang w:val="en-US" w:eastAsia="zh-Hans"/>
        </w:rPr>
        <w:t>工作</w:t>
      </w:r>
      <w:r>
        <w:rPr>
          <w:rFonts w:hint="default" w:eastAsia="宋体"/>
          <w:color w:val="auto"/>
          <w:sz w:val="28"/>
          <w:szCs w:val="28"/>
          <w:highlight w:val="none"/>
          <w:lang w:val="en-US" w:eastAsia="zh-Hans"/>
        </w:rPr>
        <w:t>小组，制定工作方案，定期反馈工作进度，在规定时限内提交报告。项目负责人应当具有相关执业/职业资格,小组人员应当熟悉国家、</w:t>
      </w:r>
      <w:r>
        <w:rPr>
          <w:rFonts w:hint="eastAsia" w:eastAsia="宋体"/>
          <w:color w:val="auto"/>
          <w:sz w:val="28"/>
          <w:szCs w:val="28"/>
          <w:highlight w:val="none"/>
          <w:lang w:val="en-US" w:eastAsia="zh-Hans"/>
        </w:rPr>
        <w:t>新疆维吾尔自治区</w:t>
      </w:r>
      <w:r>
        <w:rPr>
          <w:rFonts w:hint="default" w:eastAsia="宋体"/>
          <w:color w:val="auto"/>
          <w:sz w:val="28"/>
          <w:szCs w:val="28"/>
          <w:highlight w:val="none"/>
          <w:lang w:val="en-US" w:eastAsia="zh-Hans"/>
        </w:rPr>
        <w:t>及相关行业有关的政策法规、技术标准规范，小组应配备一定数量的具有中高级专业技术职称的人员。</w:t>
      </w:r>
    </w:p>
    <w:p>
      <w:pPr>
        <w:spacing w:line="360" w:lineRule="auto"/>
        <w:rPr>
          <w:rFonts w:hint="default" w:eastAsia="宋体"/>
          <w:color w:val="auto"/>
          <w:sz w:val="28"/>
          <w:szCs w:val="28"/>
          <w:highlight w:val="none"/>
          <w:lang w:val="en-US" w:eastAsia="zh-Hans"/>
        </w:rPr>
      </w:pPr>
      <w:r>
        <w:rPr>
          <w:rFonts w:hint="default" w:eastAsia="宋体"/>
          <w:color w:val="auto"/>
          <w:sz w:val="28"/>
          <w:szCs w:val="28"/>
          <w:highlight w:val="none"/>
          <w:lang w:val="en-US" w:eastAsia="zh-Hans"/>
        </w:rPr>
        <w:t>2.</w:t>
      </w:r>
      <w:r>
        <w:rPr>
          <w:rFonts w:hint="eastAsia" w:eastAsia="宋体"/>
          <w:color w:val="auto"/>
          <w:sz w:val="28"/>
          <w:szCs w:val="28"/>
          <w:highlight w:val="none"/>
          <w:lang w:val="en-US" w:eastAsia="zh-Hans"/>
        </w:rPr>
        <w:t>决算</w:t>
      </w:r>
      <w:r>
        <w:rPr>
          <w:rFonts w:hint="default" w:eastAsia="宋体"/>
          <w:color w:val="auto"/>
          <w:sz w:val="28"/>
          <w:szCs w:val="28"/>
          <w:highlight w:val="none"/>
          <w:lang w:val="en-US" w:eastAsia="zh-Hans"/>
        </w:rPr>
        <w:t>报告的内容包括:标题、目录、正文、附件等。报告应当加盖机构公章及项目负责人的执业专用章，</w:t>
      </w:r>
      <w:r>
        <w:rPr>
          <w:rFonts w:hint="eastAsia" w:eastAsia="宋体"/>
          <w:color w:val="auto"/>
          <w:sz w:val="28"/>
          <w:szCs w:val="28"/>
          <w:highlight w:val="none"/>
          <w:lang w:val="en-US" w:eastAsia="zh-Hans"/>
        </w:rPr>
        <w:t>项目</w:t>
      </w:r>
      <w:r>
        <w:rPr>
          <w:rFonts w:hint="default" w:eastAsia="宋体"/>
          <w:color w:val="auto"/>
          <w:sz w:val="28"/>
          <w:szCs w:val="28"/>
          <w:highlight w:val="none"/>
          <w:lang w:val="en-US" w:eastAsia="zh-Hans"/>
        </w:rPr>
        <w:t>成果应符合国家及</w:t>
      </w:r>
      <w:r>
        <w:rPr>
          <w:rFonts w:hint="eastAsia" w:eastAsia="宋体"/>
          <w:color w:val="auto"/>
          <w:sz w:val="28"/>
          <w:szCs w:val="28"/>
          <w:highlight w:val="none"/>
          <w:lang w:val="en-US" w:eastAsia="zh-Hans"/>
        </w:rPr>
        <w:t>新疆维吾尔自治区</w:t>
      </w:r>
      <w:r>
        <w:rPr>
          <w:rFonts w:hint="default" w:eastAsia="宋体"/>
          <w:color w:val="auto"/>
          <w:sz w:val="28"/>
          <w:szCs w:val="28"/>
          <w:highlight w:val="none"/>
          <w:lang w:val="en-US" w:eastAsia="zh-Hans"/>
        </w:rPr>
        <w:t>的相关规定。</w:t>
      </w:r>
    </w:p>
    <w:p>
      <w:pPr>
        <w:spacing w:line="360" w:lineRule="auto"/>
        <w:rPr>
          <w:rFonts w:hint="default" w:eastAsia="宋体"/>
          <w:color w:val="auto"/>
          <w:sz w:val="28"/>
          <w:szCs w:val="28"/>
          <w:highlight w:val="none"/>
          <w:lang w:val="en-US" w:eastAsia="zh-Hans"/>
        </w:rPr>
      </w:pPr>
      <w:r>
        <w:rPr>
          <w:rFonts w:hint="default" w:eastAsia="宋体"/>
          <w:color w:val="auto"/>
          <w:sz w:val="28"/>
          <w:szCs w:val="28"/>
          <w:highlight w:val="none"/>
          <w:lang w:val="en-US" w:eastAsia="zh-Hans"/>
        </w:rPr>
        <w:t>3.项目工作完成时限依据项目委托内容确定。决算审核完成时限一般不应超过</w:t>
      </w:r>
      <w:r>
        <w:rPr>
          <w:rFonts w:hint="default" w:eastAsia="宋体"/>
          <w:color w:val="auto"/>
          <w:sz w:val="28"/>
          <w:szCs w:val="28"/>
          <w:highlight w:val="none"/>
          <w:lang w:eastAsia="zh-Hans"/>
        </w:rPr>
        <w:t>90</w:t>
      </w:r>
      <w:r>
        <w:rPr>
          <w:rFonts w:hint="default" w:eastAsia="宋体"/>
          <w:color w:val="auto"/>
          <w:sz w:val="28"/>
          <w:szCs w:val="28"/>
          <w:highlight w:val="none"/>
          <w:lang w:val="en-US" w:eastAsia="zh-Hans"/>
        </w:rPr>
        <w:t>个工作日。</w:t>
      </w:r>
    </w:p>
    <w:p>
      <w:pPr>
        <w:spacing w:line="360" w:lineRule="auto"/>
        <w:rPr>
          <w:rFonts w:hint="default" w:eastAsia="宋体"/>
          <w:color w:val="auto"/>
          <w:sz w:val="28"/>
          <w:szCs w:val="28"/>
          <w:highlight w:val="none"/>
          <w:lang w:val="en-US" w:eastAsia="zh-Hans"/>
        </w:rPr>
      </w:pPr>
      <w:r>
        <w:rPr>
          <w:rFonts w:hint="default" w:eastAsia="宋体"/>
          <w:color w:val="auto"/>
          <w:sz w:val="28"/>
          <w:szCs w:val="28"/>
          <w:highlight w:val="none"/>
          <w:lang w:val="en-US" w:eastAsia="zh-Hans"/>
        </w:rPr>
        <w:t>4.中介机构应具有完善的内部管理机制以及高水平专家支持团队，保证独立、公正、客观、科学地开展评估工作，提高评估工作水平和质量。</w:t>
      </w:r>
    </w:p>
    <w:bookmarkEnd w:id="123"/>
    <w:bookmarkEnd w:id="124"/>
    <w:bookmarkEnd w:id="125"/>
    <w:bookmarkEnd w:id="126"/>
    <w:bookmarkEnd w:id="127"/>
    <w:bookmarkEnd w:id="128"/>
    <w:bookmarkEnd w:id="129"/>
    <w:p>
      <w:pPr>
        <w:pStyle w:val="39"/>
        <w:spacing w:before="6460" w:after="600"/>
        <w:jc w:val="center"/>
        <w:rPr>
          <w:lang w:eastAsia="zh-CN"/>
        </w:rPr>
      </w:pPr>
      <w:bookmarkStart w:id="130" w:name="_Toc24907"/>
      <w:bookmarkStart w:id="131" w:name="_Toc24689"/>
      <w:bookmarkStart w:id="132" w:name="_Toc19036"/>
      <w:bookmarkStart w:id="133" w:name="_Toc7855"/>
      <w:bookmarkStart w:id="134" w:name="_Toc1668"/>
      <w:bookmarkStart w:id="135" w:name="_Toc16272"/>
      <w:bookmarkStart w:id="136" w:name="_Toc20911"/>
      <w:bookmarkStart w:id="137" w:name="_Toc28246"/>
      <w:bookmarkStart w:id="138" w:name="_Toc32575"/>
      <w:bookmarkStart w:id="139" w:name="_Toc16706"/>
    </w:p>
    <w:p>
      <w:pPr>
        <w:pStyle w:val="39"/>
        <w:spacing w:before="6460" w:after="600"/>
        <w:ind w:firstLine="1610" w:firstLineChars="200"/>
        <w:jc w:val="both"/>
        <w:rPr>
          <w:lang w:eastAsia="zh-CN"/>
        </w:rPr>
      </w:pPr>
      <w:r>
        <w:rPr>
          <w:lang w:eastAsia="zh-CN"/>
        </w:rPr>
        <w:t>建设项目竣工决算</w:t>
      </w:r>
    </w:p>
    <w:p>
      <w:pPr>
        <w:pStyle w:val="39"/>
        <w:spacing w:before="0" w:after="0"/>
        <w:rPr>
          <w:sz w:val="32"/>
          <w:szCs w:val="32"/>
          <w:lang w:eastAsia="zh-CN"/>
        </w:rPr>
      </w:pPr>
      <w:r>
        <w:rPr>
          <w:lang w:eastAsia="zh-CN"/>
        </w:rPr>
        <w:t>审计合同</w:t>
      </w:r>
      <w:r>
        <w:rPr>
          <w:rFonts w:hint="eastAsia"/>
          <w:sz w:val="32"/>
          <w:szCs w:val="32"/>
          <w:lang w:eastAsia="zh-CN"/>
        </w:rPr>
        <w:t>（</w:t>
      </w:r>
      <w:r>
        <w:rPr>
          <w:rFonts w:hint="eastAsia"/>
          <w:sz w:val="32"/>
          <w:szCs w:val="32"/>
          <w:lang w:val="en-US" w:eastAsia="zh-CN"/>
        </w:rPr>
        <w:t>范本</w:t>
      </w:r>
      <w:r>
        <w:rPr>
          <w:rFonts w:hint="eastAsia"/>
          <w:sz w:val="32"/>
          <w:szCs w:val="32"/>
          <w:lang w:eastAsia="zh-CN"/>
        </w:rPr>
        <w:t>）</w:t>
      </w:r>
    </w:p>
    <w:p>
      <w:pPr>
        <w:pStyle w:val="39"/>
        <w:spacing w:before="0" w:after="0"/>
        <w:rPr>
          <w:lang w:eastAsia="zh-CN"/>
        </w:rPr>
      </w:pPr>
    </w:p>
    <w:p>
      <w:pPr>
        <w:pStyle w:val="39"/>
        <w:spacing w:before="0" w:after="0"/>
        <w:rPr>
          <w:lang w:eastAsia="zh-CN"/>
        </w:rPr>
      </w:pPr>
    </w:p>
    <w:p>
      <w:pPr>
        <w:pStyle w:val="39"/>
        <w:spacing w:before="0" w:after="0"/>
        <w:rPr>
          <w:rFonts w:hint="eastAsia"/>
          <w:lang w:eastAsia="zh-CN"/>
        </w:rPr>
      </w:pPr>
    </w:p>
    <w:p>
      <w:pPr>
        <w:spacing w:line="360" w:lineRule="auto"/>
        <w:jc w:val="center"/>
        <w:rPr>
          <w:rFonts w:hint="eastAsia" w:ascii="宋体" w:hAnsi="宋体" w:eastAsia="宋体"/>
          <w:sz w:val="44"/>
          <w:szCs w:val="44"/>
          <w:lang w:val="en-US" w:eastAsia="zh-CN"/>
        </w:rPr>
      </w:pPr>
      <w:bookmarkStart w:id="140" w:name="bookmark0"/>
      <w:bookmarkStart w:id="141" w:name="bookmark2"/>
      <w:bookmarkStart w:id="142" w:name="bookmark1"/>
      <w:r>
        <w:rPr>
          <w:rFonts w:hint="eastAsia" w:ascii="宋体" w:hAnsi="宋体" w:eastAsia="宋体" w:cs="宋体"/>
          <w:sz w:val="44"/>
          <w:szCs w:val="44"/>
          <w:lang w:eastAsia="zh-CN"/>
        </w:rPr>
        <w:t>委托方（甲方）</w:t>
      </w:r>
      <w:r>
        <w:rPr>
          <w:rFonts w:ascii="宋体" w:hAnsi="宋体" w:eastAsia="宋体"/>
          <w:sz w:val="44"/>
          <w:szCs w:val="44"/>
          <w:lang w:eastAsia="zh-CN"/>
        </w:rPr>
        <w:t>:</w:t>
      </w:r>
      <w:bookmarkEnd w:id="140"/>
      <w:bookmarkEnd w:id="141"/>
      <w:bookmarkEnd w:id="142"/>
      <w:bookmarkStart w:id="143" w:name="bookmark4"/>
      <w:bookmarkStart w:id="144" w:name="bookmark3"/>
      <w:bookmarkStart w:id="145" w:name="bookmark5"/>
    </w:p>
    <w:p>
      <w:pPr>
        <w:spacing w:line="360" w:lineRule="auto"/>
        <w:jc w:val="center"/>
        <w:rPr>
          <w:rFonts w:ascii="宋体" w:hAnsi="宋体" w:eastAsia="宋体"/>
          <w:sz w:val="44"/>
          <w:szCs w:val="44"/>
          <w:lang w:eastAsia="zh-CN"/>
        </w:rPr>
      </w:pPr>
      <w:r>
        <w:rPr>
          <w:rFonts w:hint="eastAsia" w:ascii="宋体" w:hAnsi="宋体" w:eastAsia="宋体" w:cs="宋体"/>
          <w:sz w:val="44"/>
          <w:szCs w:val="44"/>
          <w:lang w:eastAsia="zh-CN"/>
        </w:rPr>
        <w:t>受托方（乙方）</w:t>
      </w:r>
      <w:r>
        <w:rPr>
          <w:rFonts w:ascii="宋体" w:hAnsi="宋体" w:eastAsia="宋体"/>
          <w:sz w:val="44"/>
          <w:szCs w:val="44"/>
          <w:lang w:eastAsia="zh-CN"/>
        </w:rPr>
        <w:t>:</w:t>
      </w:r>
      <w:bookmarkEnd w:id="143"/>
      <w:bookmarkEnd w:id="144"/>
      <w:bookmarkEnd w:id="145"/>
    </w:p>
    <w:p>
      <w:pPr>
        <w:pStyle w:val="2"/>
        <w:numPr>
          <w:ilvl w:val="0"/>
          <w:numId w:val="0"/>
        </w:numPr>
        <w:ind w:leftChars="0"/>
        <w:rPr>
          <w:lang w:eastAsia="zh-CN"/>
        </w:rPr>
      </w:pPr>
    </w:p>
    <w:p>
      <w:pPr>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br w:type="page"/>
      </w:r>
    </w:p>
    <w:p>
      <w:pPr>
        <w:pStyle w:val="32"/>
        <w:spacing w:line="800" w:lineRule="exact"/>
        <w:jc w:val="left"/>
        <w:rPr>
          <w:rFonts w:hint="eastAsia" w:ascii="Calibri" w:eastAsia="宋体"/>
          <w:b/>
          <w:bCs/>
          <w:smallCaps/>
          <w:color w:val="auto"/>
          <w:kern w:val="2"/>
          <w:sz w:val="24"/>
          <w:szCs w:val="24"/>
          <w:highlight w:val="none"/>
          <w:lang w:eastAsia="zh-CN"/>
        </w:rPr>
      </w:pPr>
      <w:r>
        <w:rPr>
          <w:rFonts w:hint="eastAsia" w:ascii="Calibri" w:eastAsia="宋体"/>
          <w:b/>
          <w:bCs/>
          <w:smallCaps/>
          <w:color w:val="auto"/>
          <w:kern w:val="2"/>
          <w:sz w:val="24"/>
          <w:szCs w:val="24"/>
          <w:highlight w:val="none"/>
        </w:rPr>
        <w:t>甲方:</w:t>
      </w:r>
      <w:r>
        <w:rPr>
          <w:rFonts w:hint="eastAsia"/>
          <w:b/>
          <w:bCs/>
          <w:smallCaps/>
          <w:color w:val="auto"/>
          <w:kern w:val="2"/>
          <w:sz w:val="24"/>
          <w:szCs w:val="24"/>
          <w:highlight w:val="none"/>
          <w:lang w:val="en-US" w:eastAsia="zh-CN"/>
        </w:rPr>
        <w:t xml:space="preserve"> </w:t>
      </w:r>
    </w:p>
    <w:p>
      <w:pPr>
        <w:pStyle w:val="32"/>
        <w:spacing w:line="800" w:lineRule="exact"/>
        <w:jc w:val="left"/>
        <w:rPr>
          <w:rFonts w:hint="eastAsia" w:ascii="Calibri" w:eastAsia="宋体"/>
          <w:b/>
          <w:bCs/>
          <w:smallCaps/>
          <w:color w:val="auto"/>
          <w:kern w:val="2"/>
          <w:sz w:val="24"/>
          <w:szCs w:val="24"/>
          <w:highlight w:val="none"/>
          <w:lang w:eastAsia="zh-CN"/>
        </w:rPr>
      </w:pPr>
      <w:r>
        <w:rPr>
          <w:rFonts w:hint="eastAsia" w:ascii="Calibri" w:eastAsia="宋体"/>
          <w:b/>
          <w:bCs/>
          <w:smallCaps/>
          <w:color w:val="auto"/>
          <w:kern w:val="2"/>
          <w:sz w:val="24"/>
          <w:szCs w:val="24"/>
          <w:highlight w:val="none"/>
        </w:rPr>
        <w:t>乙方:</w:t>
      </w:r>
      <w:r>
        <w:rPr>
          <w:rFonts w:hint="eastAsia"/>
          <w:b/>
          <w:bCs/>
          <w:smallCaps/>
          <w:color w:val="auto"/>
          <w:kern w:val="2"/>
          <w:sz w:val="24"/>
          <w:szCs w:val="24"/>
          <w:highlight w:val="none"/>
          <w:lang w:val="en-US" w:eastAsia="zh-CN"/>
        </w:rPr>
        <w:t xml:space="preserve"> </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兹甲乙双方经过平等协商，在真实、充分地表达各自意愿的</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基础上，根据《中华人民共和国合同法》的规定，就甲方委托乙</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方进行相关工程项目的审计咨询服务达成如下条款，</w:t>
      </w:r>
      <w:r>
        <w:rPr>
          <w:rFonts w:hint="eastAsia" w:ascii="Calibri" w:eastAsia="宋体"/>
          <w:b/>
          <w:bCs/>
          <w:smallCaps/>
          <w:color w:val="auto"/>
          <w:kern w:val="2"/>
          <w:sz w:val="24"/>
          <w:szCs w:val="24"/>
          <w:highlight w:val="none"/>
        </w:rPr>
        <w:tab/>
      </w:r>
      <w:r>
        <w:rPr>
          <w:rFonts w:hint="eastAsia" w:ascii="Calibri" w:eastAsia="宋体"/>
          <w:b/>
          <w:bCs/>
          <w:smallCaps/>
          <w:color w:val="auto"/>
          <w:kern w:val="2"/>
          <w:sz w:val="24"/>
          <w:szCs w:val="24"/>
          <w:highlight w:val="none"/>
        </w:rPr>
        <w:t>并由双方共同恪守。</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一、业务范围与审计目标</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乙方接受甲方委托，对甲方</w:t>
      </w:r>
      <w:r>
        <w:rPr>
          <w:rFonts w:hint="eastAsia"/>
          <w:b/>
          <w:bCs/>
          <w:smallCaps/>
          <w:color w:val="auto"/>
          <w:kern w:val="2"/>
          <w:sz w:val="24"/>
          <w:szCs w:val="24"/>
          <w:highlight w:val="none"/>
          <w:lang w:eastAsia="zh-CN"/>
        </w:rPr>
        <w:t>轮台县农业农村局项目竣工决算编制</w:t>
      </w:r>
      <w:r>
        <w:rPr>
          <w:rFonts w:hint="eastAsia" w:ascii="Calibri" w:eastAsia="宋体"/>
          <w:b/>
          <w:bCs/>
          <w:smallCaps/>
          <w:color w:val="auto"/>
          <w:kern w:val="2"/>
          <w:sz w:val="24"/>
          <w:szCs w:val="24"/>
          <w:highlight w:val="none"/>
        </w:rPr>
        <w:t>项目进行审计。</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乙方将根据财政部《会计师事务所从事基本建设工程预算、结算、决算审核暂行办法》，对甲方提供的建设项目的工程及财务资料进行审核。通过执行审计工作 ，编制财务决算报表，出具财务决算审计报告。</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二、甲方的责任与义务</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(一)甲方的责任</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1.根据《中华人民共和国会计法》及《基本建设单位财务 管理制度》，甲方及甲方负责人有责任保证会计资料的真实性和 完整性。因此，甲方管理层有责任妥善保存和提供会计记录，这 些记录必须真实、完整地反映甲方的财务状况及财务收支情况。</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w:t>
      </w:r>
      <w:r>
        <w:rPr>
          <w:rFonts w:hint="eastAsia" w:ascii="Calibri" w:eastAsia="宋体"/>
          <w:b/>
          <w:bCs/>
          <w:smallCaps/>
          <w:color w:val="auto"/>
          <w:kern w:val="2"/>
          <w:sz w:val="24"/>
          <w:szCs w:val="24"/>
          <w:highlight w:val="none"/>
        </w:rPr>
        <w:tab/>
      </w:r>
      <w:r>
        <w:rPr>
          <w:rFonts w:hint="eastAsia" w:ascii="Calibri" w:eastAsia="宋体"/>
          <w:b/>
          <w:bCs/>
          <w:smallCaps/>
          <w:color w:val="auto"/>
          <w:kern w:val="2"/>
          <w:sz w:val="24"/>
          <w:szCs w:val="24"/>
          <w:highlight w:val="none"/>
        </w:rPr>
        <w:t>按照相关会计制度的规定编制财务报表是甲方管理层的责任，这种责任包括：(1)设计、实施和维护与财务报表编制相关的内部控制，以使财务报表不存在由于舞弊或错误而导致的重 大错报；⑵选择和运用恰当的会计政策；(3)做出合理的会计估计。</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(二)甲方的义务</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1.及时为乙方的审计工作提供其所要求的全部会计资料和其他有关资料，并保证所提供资料的真实性和完整性。</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2.确保乙方不受限制地接触与审计有关的记录、文件和所需的其他信息。</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3.甲方管理层对其做出的与审计有关的声明予以书面确认。</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4.为乙方派出的有关工作人员提供必要的工作条件和协助。</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5.按本约定书的约定及时足额支付审计费用。</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三、乙方的责任与义务</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（一）乙方的贵任</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1.乙方的责任是在实施审计工作的基础上对甲方建设项目竣工决算情况发表审计意见。乙方按照中国注册会计师审计准则 （以下简称审计准则）的规定进行审计。审计准则要求注册会计师 遵守职业道德规范，计划和实施审计工作，以对会计报表是否存 在重大错报获取合理保证。</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审计工作涉及实施审计程序，以获取财务报表金额和披露的审计证据。选择的审计程序取决于乙方的判断，包括对由于舞弊或错报导致的财务报表重大错报风险的评估。在进行风险评估时，乙方考虑与财务报表编制相关的内部控制，以设计恰当的会计程序，但目的并非对内部控制的有效性发表意见。</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3.乙方需要合理计划和实施审计工作，以使乙方能够获取充分、适当的审计证据，为甲方财务报表是否不存在重大错报获 取合理保证。</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4.乙方有责任在审计报告中指明所发现的甲方在某重大方 面没有遵守《基本建设单位财务管理制度》编制财务报表且未按 乙方的建议进行调整的事项。</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5.由于测试的性质和审计的其他固有限制，以及内部控制的固有局限性，不可避免地存在着某些重大错报在审计后可能仍然未被乙方发现的风险。</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6.乙方的审计不能减轻甲方及甲方管理层的责任。</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(二)乙方的义务</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1.按照约定时间完成审计工作，出具审计报告。</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 (4)监管机构对乙方进行行政处罚(包括监管机构处罚前的调查、 停征)以及乙方对此提起行政复议。</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四、审计收费及支付方式</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1.根据XXXX，审计费按人民币***元(¥****)收取。</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2.支付方式</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签订合同后，甲方支付合同金额的50%，收到乙方审计报告沟通</w:t>
      </w:r>
    </w:p>
    <w:p>
      <w:pPr>
        <w:pStyle w:val="32"/>
        <w:spacing w:line="800" w:lineRule="exact"/>
        <w:jc w:val="left"/>
        <w:rPr>
          <w:rFonts w:hint="eastAsia" w:ascii="Calibri" w:eastAsia="宋体"/>
          <w:b/>
          <w:bCs/>
          <w:smallCaps/>
          <w:color w:val="FF0000"/>
          <w:kern w:val="2"/>
          <w:sz w:val="24"/>
          <w:szCs w:val="24"/>
          <w:highlight w:val="none"/>
        </w:rPr>
      </w:pPr>
      <w:r>
        <w:rPr>
          <w:rFonts w:hint="eastAsia" w:ascii="Calibri" w:eastAsia="宋体"/>
          <w:b/>
          <w:bCs/>
          <w:smallCaps/>
          <w:color w:val="auto"/>
          <w:kern w:val="2"/>
          <w:sz w:val="24"/>
          <w:szCs w:val="24"/>
          <w:highlight w:val="none"/>
        </w:rPr>
        <w:t>意见稿后，支付合同金额的40%，收到乙方正式审计报告后，支付合同金额的10%，</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五、审计报告和审计报告的使用</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1.乙方按照《中国注册会计师审计准则》的有关规定出具工程竣工财务决算审计报告。</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2.乙方向甲方致送审计报告一式四份。</w:t>
      </w:r>
      <w:r>
        <w:rPr>
          <w:rFonts w:hint="eastAsia" w:ascii="Calibri" w:eastAsia="宋体"/>
          <w:b/>
          <w:bCs/>
          <w:smallCaps/>
          <w:color w:val="auto"/>
          <w:kern w:val="2"/>
          <w:sz w:val="24"/>
          <w:szCs w:val="24"/>
          <w:highlight w:val="none"/>
        </w:rPr>
        <w:tab/>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六、适用法律和争议解决</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1.本业务合同适用中华人民共和国法律，并依据中华人民共和国法律解释。</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2.本合同履行地为乙方出具审计报告所在地，因本合同所引起的或与本合同有关的任何纠纷或争议（包括关于本合同条款的存在、效力或终止，或无效之后果），双方选择以下第1种解决方式：</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（l）向有管辖权的人民法院提起诉讼；</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（2）提交仲裁委员会仲裁。</w:t>
      </w:r>
    </w:p>
    <w:p>
      <w:pPr>
        <w:pStyle w:val="32"/>
        <w:spacing w:line="800" w:lineRule="exact"/>
        <w:jc w:val="left"/>
        <w:rPr>
          <w:rFonts w:hint="eastAsia" w:ascii="Calibri" w:eastAsia="宋体"/>
          <w:b/>
          <w:bCs/>
          <w:smallCaps/>
          <w:color w:val="auto"/>
          <w:kern w:val="2"/>
          <w:sz w:val="24"/>
          <w:szCs w:val="24"/>
          <w:highlight w:val="none"/>
        </w:rPr>
      </w:pP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 xml:space="preserve">委托方：（盖章）                    受托方：（盖章） </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法定代表人/负责人                  法定代表人/负责人</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或授权代表：                       或授权代表：</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电话：                             电话：</w:t>
      </w:r>
    </w:p>
    <w:p>
      <w:pPr>
        <w:pStyle w:val="32"/>
        <w:spacing w:line="800" w:lineRule="exact"/>
        <w:jc w:val="left"/>
        <w:rPr>
          <w:rFonts w:hint="eastAsia" w:ascii="Calibri" w:eastAsia="宋体"/>
          <w:b/>
          <w:bCs/>
          <w:smallCaps/>
          <w:color w:val="auto"/>
          <w:kern w:val="2"/>
          <w:sz w:val="24"/>
          <w:szCs w:val="24"/>
          <w:highlight w:val="none"/>
        </w:rPr>
      </w:pPr>
      <w:r>
        <w:rPr>
          <w:rFonts w:hint="eastAsia" w:ascii="Calibri" w:eastAsia="宋体"/>
          <w:b/>
          <w:bCs/>
          <w:smallCaps/>
          <w:color w:val="auto"/>
          <w:kern w:val="2"/>
          <w:sz w:val="24"/>
          <w:szCs w:val="24"/>
          <w:highlight w:val="none"/>
        </w:rPr>
        <w:t>地址：                             地址：</w:t>
      </w:r>
    </w:p>
    <w:p>
      <w:pPr>
        <w:spacing w:line="360" w:lineRule="auto"/>
        <w:ind w:firstLine="735" w:firstLineChars="300"/>
        <w:rPr>
          <w:bCs/>
          <w:color w:val="auto"/>
          <w:highlight w:val="yellow"/>
          <w:u w:val="single"/>
        </w:rPr>
      </w:pPr>
      <w:r>
        <w:rPr>
          <w:rFonts w:hint="eastAsia" w:ascii="Calibri" w:eastAsia="宋体"/>
          <w:b/>
          <w:bCs/>
          <w:smallCaps/>
          <w:color w:val="auto"/>
          <w:kern w:val="2"/>
          <w:sz w:val="24"/>
          <w:szCs w:val="24"/>
          <w:highlight w:val="none"/>
        </w:rPr>
        <w:t xml:space="preserve">    年    月   日                     年   月   日</w:t>
      </w:r>
      <w:r>
        <w:rPr>
          <w:rFonts w:hint="eastAsia" w:ascii="宋体" w:hAnsi="宋体"/>
          <w:color w:val="auto"/>
          <w:sz w:val="16"/>
          <w:szCs w:val="16"/>
          <w:highlight w:val="yellow"/>
        </w:rPr>
        <w:br w:type="page"/>
      </w:r>
      <w:bookmarkEnd w:id="130"/>
      <w:bookmarkEnd w:id="131"/>
      <w:bookmarkEnd w:id="132"/>
      <w:bookmarkEnd w:id="133"/>
      <w:bookmarkEnd w:id="134"/>
    </w:p>
    <w:p>
      <w:pPr>
        <w:numPr>
          <w:ilvl w:val="0"/>
          <w:numId w:val="9"/>
        </w:numPr>
        <w:spacing w:line="360" w:lineRule="auto"/>
        <w:jc w:val="center"/>
        <w:outlineLvl w:val="0"/>
        <w:rPr>
          <w:rFonts w:hint="eastAsia"/>
          <w:color w:val="auto"/>
          <w:highlight w:val="none"/>
        </w:rPr>
      </w:pPr>
      <w:r>
        <w:rPr>
          <w:rStyle w:val="24"/>
          <w:rFonts w:hint="eastAsia" w:ascii="宋体" w:hAnsi="宋体" w:eastAsia="宋体" w:cs="宋体"/>
          <w:b/>
          <w:bCs/>
          <w:color w:val="auto"/>
          <w:sz w:val="32"/>
          <w:szCs w:val="32"/>
          <w:highlight w:val="none"/>
        </w:rPr>
        <w:t>主要响应文件的格式及其内容</w:t>
      </w:r>
      <w:bookmarkEnd w:id="135"/>
      <w:bookmarkEnd w:id="136"/>
      <w:bookmarkEnd w:id="137"/>
      <w:bookmarkEnd w:id="138"/>
      <w:bookmarkEnd w:id="139"/>
    </w:p>
    <w:p>
      <w:pPr>
        <w:pStyle w:val="9"/>
        <w:ind w:left="864"/>
        <w:jc w:val="center"/>
        <w:rPr>
          <w:rFonts w:hint="eastAsia"/>
          <w:color w:val="auto"/>
          <w:highlight w:val="none"/>
        </w:rPr>
      </w:pPr>
      <w:r>
        <w:rPr>
          <w:rStyle w:val="24"/>
          <w:rFonts w:hint="eastAsia" w:ascii="宋体" w:hAnsi="宋体" w:eastAsia="宋体" w:cs="宋体"/>
          <w:b/>
          <w:bCs/>
          <w:color w:val="auto"/>
          <w:sz w:val="32"/>
          <w:szCs w:val="32"/>
          <w:highlight w:val="none"/>
        </w:rPr>
        <w:t>目录</w:t>
      </w:r>
    </w:p>
    <w:p>
      <w:pPr>
        <w:pStyle w:val="23"/>
        <w:spacing w:line="480" w:lineRule="exact"/>
        <w:ind w:hanging="23"/>
        <w:jc w:val="center"/>
        <w:rPr>
          <w:rFonts w:hint="eastAsia" w:ascii="宋体" w:hAnsi="宋体" w:cs="宋体"/>
          <w:b/>
          <w:color w:val="auto"/>
          <w:sz w:val="28"/>
          <w:szCs w:val="28"/>
          <w:highlight w:val="none"/>
        </w:rPr>
      </w:pP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二、法定代表人资格证明及授权委托书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三、报价一览表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四、供应商概况表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五、无重大违法记录的书面声明</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六、企业202</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年财务审计报告</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七、“重法纪、讲诚信”承诺书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八、反商业贿赂承诺书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九、商务条款偏离表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十、技术规格偏离表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十一、近三年同类项目业绩表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十二、拟派项目负责人简历表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十三、拟派本项目技术人员配置情况表</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十四、技术支持及服务承诺书</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十五、服务方案</w:t>
      </w:r>
    </w:p>
    <w:p>
      <w:pPr>
        <w:spacing w:line="360" w:lineRule="auto"/>
        <w:ind w:firstLine="1425" w:firstLineChars="5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十六、不参与围标串标承诺书</w:t>
      </w:r>
    </w:p>
    <w:p>
      <w:pPr>
        <w:adjustRightInd w:val="0"/>
        <w:snapToGrid w:val="0"/>
        <w:spacing w:line="360" w:lineRule="auto"/>
        <w:ind w:firstLine="1315" w:firstLineChars="500"/>
        <w:jc w:val="left"/>
        <w:rPr>
          <w:rFonts w:hint="eastAsia" w:ascii="宋体" w:hAnsi="宋体" w:cs="宋体"/>
          <w:b/>
          <w:bCs/>
          <w:snapToGrid w:val="0"/>
          <w:color w:val="auto"/>
          <w:spacing w:val="-11"/>
          <w:kern w:val="0"/>
          <w:sz w:val="28"/>
          <w:szCs w:val="28"/>
          <w:highlight w:val="none"/>
        </w:rPr>
      </w:pPr>
      <w:r>
        <w:rPr>
          <w:rFonts w:hint="eastAsia" w:ascii="宋体" w:hAnsi="宋体" w:cs="宋体"/>
          <w:b/>
          <w:bCs/>
          <w:snapToGrid w:val="0"/>
          <w:color w:val="auto"/>
          <w:spacing w:val="-11"/>
          <w:kern w:val="0"/>
          <w:sz w:val="28"/>
          <w:szCs w:val="28"/>
          <w:highlight w:val="none"/>
        </w:rPr>
        <w:t>十七、要求提供的其它材料以及供应商认为需要提交的材料</w:t>
      </w:r>
    </w:p>
    <w:p>
      <w:pPr>
        <w:pStyle w:val="23"/>
        <w:spacing w:line="480" w:lineRule="exact"/>
        <w:jc w:val="center"/>
        <w:rPr>
          <w:rFonts w:hint="eastAsia" w:ascii="宋体" w:hAnsi="宋体" w:cs="宋体"/>
          <w:b/>
          <w:color w:val="auto"/>
          <w:sz w:val="28"/>
          <w:szCs w:val="28"/>
          <w:highlight w:val="none"/>
        </w:rPr>
      </w:pPr>
    </w:p>
    <w:p>
      <w:pPr>
        <w:pStyle w:val="23"/>
        <w:spacing w:line="480" w:lineRule="exact"/>
        <w:jc w:val="center"/>
        <w:rPr>
          <w:rFonts w:hint="eastAsia" w:ascii="宋体" w:hAnsi="宋体" w:cs="宋体"/>
          <w:b/>
          <w:color w:val="auto"/>
          <w:sz w:val="28"/>
          <w:szCs w:val="28"/>
          <w:highlight w:val="none"/>
        </w:rPr>
      </w:pPr>
    </w:p>
    <w:p>
      <w:pPr>
        <w:pStyle w:val="23"/>
        <w:spacing w:line="480" w:lineRule="exact"/>
        <w:jc w:val="center"/>
        <w:rPr>
          <w:rFonts w:hint="eastAsia" w:ascii="宋体" w:hAnsi="宋体" w:cs="宋体"/>
          <w:b/>
          <w:color w:val="auto"/>
          <w:sz w:val="28"/>
          <w:szCs w:val="28"/>
          <w:highlight w:val="none"/>
        </w:rPr>
      </w:pPr>
    </w:p>
    <w:p>
      <w:pPr>
        <w:pStyle w:val="23"/>
        <w:spacing w:line="480" w:lineRule="exact"/>
        <w:jc w:val="center"/>
        <w:rPr>
          <w:rFonts w:hint="eastAsia" w:ascii="宋体" w:hAnsi="宋体" w:cs="宋体"/>
          <w:b/>
          <w:color w:val="auto"/>
          <w:sz w:val="28"/>
          <w:szCs w:val="28"/>
          <w:highlight w:val="none"/>
        </w:rPr>
      </w:pPr>
    </w:p>
    <w:p>
      <w:pPr>
        <w:jc w:val="center"/>
        <w:rPr>
          <w:rFonts w:hint="eastAsia" w:ascii="宋体" w:hAnsi="宋体" w:cs="宋体"/>
          <w:b/>
          <w:bCs/>
          <w:color w:val="auto"/>
          <w:sz w:val="20"/>
          <w:szCs w:val="56"/>
          <w:highlight w:val="none"/>
        </w:rPr>
      </w:pPr>
      <w:bookmarkStart w:id="146" w:name="_Toc25249"/>
      <w:bookmarkStart w:id="147" w:name="_Toc8708"/>
      <w:bookmarkStart w:id="148" w:name="_Toc21730"/>
      <w:bookmarkStart w:id="149" w:name="_Toc20332"/>
      <w:bookmarkStart w:id="150" w:name="_Toc5923"/>
      <w:bookmarkStart w:id="151" w:name="_Toc18213"/>
      <w:bookmarkStart w:id="152" w:name="_Toc30405"/>
      <w:bookmarkStart w:id="153" w:name="_Toc10519"/>
      <w:bookmarkStart w:id="154" w:name="_Toc5678"/>
      <w:r>
        <w:rPr>
          <w:rFonts w:hint="eastAsia" w:ascii="宋体" w:hAnsi="宋体" w:cs="宋体"/>
          <w:b/>
          <w:bCs/>
          <w:color w:val="auto"/>
          <w:sz w:val="56"/>
          <w:szCs w:val="56"/>
          <w:highlight w:val="none"/>
        </w:rPr>
        <w:t>（项目名称）</w:t>
      </w:r>
      <w:bookmarkEnd w:id="146"/>
      <w:bookmarkEnd w:id="147"/>
      <w:bookmarkEnd w:id="148"/>
      <w:bookmarkEnd w:id="149"/>
      <w:bookmarkEnd w:id="150"/>
      <w:bookmarkEnd w:id="151"/>
      <w:bookmarkEnd w:id="152"/>
      <w:bookmarkEnd w:id="153"/>
      <w:bookmarkEnd w:id="154"/>
    </w:p>
    <w:p>
      <w:pPr>
        <w:pStyle w:val="23"/>
        <w:spacing w:line="480" w:lineRule="exact"/>
        <w:jc w:val="center"/>
        <w:rPr>
          <w:rFonts w:hint="eastAsia" w:ascii="宋体" w:hAnsi="宋体" w:cs="宋体"/>
          <w:b/>
          <w:color w:val="auto"/>
          <w:sz w:val="40"/>
          <w:szCs w:val="40"/>
          <w:highlight w:val="none"/>
        </w:rPr>
      </w:pPr>
    </w:p>
    <w:p>
      <w:pPr>
        <w:pStyle w:val="23"/>
        <w:spacing w:line="480" w:lineRule="exact"/>
        <w:jc w:val="both"/>
        <w:rPr>
          <w:rFonts w:hint="eastAsia" w:ascii="宋体" w:hAnsi="宋体" w:cs="宋体"/>
          <w:b/>
          <w:color w:val="auto"/>
          <w:sz w:val="40"/>
          <w:szCs w:val="40"/>
          <w:highlight w:val="none"/>
        </w:rPr>
      </w:pPr>
    </w:p>
    <w:p>
      <w:pPr>
        <w:pStyle w:val="23"/>
        <w:spacing w:line="360" w:lineRule="auto"/>
        <w:jc w:val="both"/>
        <w:rPr>
          <w:rFonts w:hint="eastAsia" w:ascii="宋体" w:hAnsi="宋体" w:cs="宋体"/>
          <w:b/>
          <w:bCs/>
          <w:color w:val="auto"/>
          <w:sz w:val="28"/>
          <w:szCs w:val="28"/>
          <w:highlight w:val="none"/>
        </w:rPr>
      </w:pPr>
    </w:p>
    <w:p>
      <w:pPr>
        <w:pStyle w:val="23"/>
        <w:spacing w:line="720" w:lineRule="auto"/>
        <w:jc w:val="center"/>
        <w:outlineLvl w:val="0"/>
        <w:rPr>
          <w:rFonts w:hint="eastAsia" w:ascii="宋体" w:hAnsi="宋体" w:cs="宋体"/>
          <w:color w:val="auto"/>
          <w:sz w:val="72"/>
          <w:szCs w:val="72"/>
          <w:highlight w:val="none"/>
        </w:rPr>
      </w:pPr>
      <w:r>
        <w:rPr>
          <w:rFonts w:hint="eastAsia" w:ascii="宋体" w:hAnsi="宋体" w:cs="宋体"/>
          <w:b/>
          <w:color w:val="auto"/>
          <w:sz w:val="72"/>
          <w:szCs w:val="72"/>
          <w:highlight w:val="none"/>
        </w:rPr>
        <w:t>响应文件</w:t>
      </w:r>
    </w:p>
    <w:p>
      <w:pPr>
        <w:pStyle w:val="23"/>
        <w:spacing w:line="480" w:lineRule="exact"/>
        <w:jc w:val="both"/>
        <w:rPr>
          <w:rFonts w:hint="eastAsia" w:ascii="宋体" w:hAnsi="宋体" w:cs="宋体"/>
          <w:color w:val="auto"/>
          <w:sz w:val="28"/>
          <w:szCs w:val="28"/>
          <w:highlight w:val="none"/>
        </w:rPr>
      </w:pPr>
    </w:p>
    <w:p>
      <w:pPr>
        <w:pStyle w:val="23"/>
        <w:spacing w:line="480" w:lineRule="exact"/>
        <w:ind w:firstLine="567"/>
        <w:jc w:val="both"/>
        <w:rPr>
          <w:rFonts w:hint="eastAsia" w:ascii="宋体" w:hAnsi="宋体" w:cs="宋体"/>
          <w:color w:val="auto"/>
          <w:sz w:val="28"/>
          <w:szCs w:val="28"/>
          <w:highlight w:val="none"/>
        </w:rPr>
      </w:pPr>
    </w:p>
    <w:p>
      <w:pPr>
        <w:pStyle w:val="23"/>
        <w:spacing w:line="480" w:lineRule="exact"/>
        <w:ind w:firstLine="567"/>
        <w:jc w:val="both"/>
        <w:rPr>
          <w:rFonts w:hint="eastAsia" w:ascii="宋体" w:hAnsi="宋体" w:cs="宋体"/>
          <w:color w:val="auto"/>
          <w:sz w:val="28"/>
          <w:szCs w:val="28"/>
          <w:highlight w:val="none"/>
        </w:rPr>
      </w:pPr>
    </w:p>
    <w:p>
      <w:pPr>
        <w:pStyle w:val="23"/>
        <w:spacing w:line="480" w:lineRule="exact"/>
        <w:ind w:firstLine="567"/>
        <w:jc w:val="both"/>
        <w:rPr>
          <w:rFonts w:hint="eastAsia" w:ascii="宋体" w:hAnsi="宋体" w:cs="宋体"/>
          <w:color w:val="auto"/>
          <w:sz w:val="28"/>
          <w:szCs w:val="28"/>
          <w:highlight w:val="none"/>
        </w:rPr>
      </w:pPr>
    </w:p>
    <w:p>
      <w:pPr>
        <w:pStyle w:val="23"/>
        <w:spacing w:line="480" w:lineRule="exact"/>
        <w:jc w:val="both"/>
        <w:rPr>
          <w:rFonts w:hint="eastAsia" w:ascii="宋体" w:hAnsi="宋体" w:cs="宋体"/>
          <w:color w:val="auto"/>
          <w:sz w:val="28"/>
          <w:szCs w:val="28"/>
          <w:highlight w:val="none"/>
        </w:rPr>
      </w:pPr>
    </w:p>
    <w:p>
      <w:pPr>
        <w:pStyle w:val="23"/>
        <w:spacing w:line="480" w:lineRule="exact"/>
        <w:ind w:firstLine="1336" w:firstLineChars="469"/>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注明“在     年   月   日   时   分前不准启封”</w:t>
      </w:r>
    </w:p>
    <w:p>
      <w:pPr>
        <w:pStyle w:val="23"/>
        <w:spacing w:line="480" w:lineRule="exact"/>
        <w:jc w:val="both"/>
        <w:rPr>
          <w:rFonts w:hint="eastAsia" w:ascii="宋体" w:hAnsi="宋体" w:cs="宋体"/>
          <w:color w:val="auto"/>
          <w:sz w:val="28"/>
          <w:szCs w:val="28"/>
          <w:highlight w:val="none"/>
        </w:rPr>
      </w:pPr>
    </w:p>
    <w:p>
      <w:pPr>
        <w:pStyle w:val="23"/>
        <w:spacing w:line="480" w:lineRule="exact"/>
        <w:jc w:val="both"/>
        <w:rPr>
          <w:rFonts w:hint="eastAsia" w:ascii="宋体" w:hAnsi="宋体" w:cs="宋体"/>
          <w:color w:val="auto"/>
          <w:sz w:val="28"/>
          <w:szCs w:val="28"/>
          <w:highlight w:val="none"/>
        </w:rPr>
      </w:pPr>
    </w:p>
    <w:p>
      <w:pPr>
        <w:pStyle w:val="23"/>
        <w:spacing w:line="480" w:lineRule="exact"/>
        <w:jc w:val="both"/>
        <w:rPr>
          <w:rFonts w:hint="eastAsia" w:ascii="宋体" w:hAnsi="宋体" w:cs="宋体"/>
          <w:color w:val="auto"/>
          <w:sz w:val="28"/>
          <w:szCs w:val="28"/>
          <w:highlight w:val="none"/>
        </w:rPr>
      </w:pPr>
    </w:p>
    <w:p>
      <w:pPr>
        <w:pStyle w:val="23"/>
        <w:spacing w:line="480" w:lineRule="exact"/>
        <w:jc w:val="both"/>
        <w:rPr>
          <w:rFonts w:hint="eastAsia" w:ascii="宋体" w:hAnsi="宋体" w:cs="宋体"/>
          <w:color w:val="auto"/>
          <w:sz w:val="28"/>
          <w:szCs w:val="28"/>
          <w:highlight w:val="none"/>
        </w:rPr>
      </w:pPr>
    </w:p>
    <w:p>
      <w:pPr>
        <w:pStyle w:val="23"/>
        <w:spacing w:line="360" w:lineRule="auto"/>
        <w:jc w:val="both"/>
        <w:rPr>
          <w:rFonts w:hint="eastAsia" w:ascii="宋体" w:hAnsi="宋体" w:cs="宋体"/>
          <w:b/>
          <w:bCs/>
          <w:color w:val="auto"/>
          <w:sz w:val="32"/>
          <w:szCs w:val="32"/>
          <w:highlight w:val="none"/>
        </w:rPr>
      </w:pPr>
      <w:bookmarkStart w:id="155" w:name="_Toc29140"/>
      <w:bookmarkStart w:id="156" w:name="_Toc10223"/>
      <w:r>
        <w:rPr>
          <w:rFonts w:hint="eastAsia" w:ascii="宋体" w:hAnsi="宋体" w:cs="宋体"/>
          <w:b/>
          <w:bCs/>
          <w:color w:val="auto"/>
          <w:sz w:val="32"/>
          <w:szCs w:val="32"/>
          <w:highlight w:val="none"/>
        </w:rPr>
        <w:t>供应商名称（盖章）：</w:t>
      </w:r>
    </w:p>
    <w:p>
      <w:pPr>
        <w:pStyle w:val="23"/>
        <w:spacing w:line="360" w:lineRule="auto"/>
        <w:ind w:firstLine="567"/>
        <w:jc w:val="both"/>
        <w:rPr>
          <w:rFonts w:hint="eastAsia" w:ascii="宋体" w:hAnsi="宋体" w:cs="宋体"/>
          <w:b/>
          <w:bCs/>
          <w:color w:val="auto"/>
          <w:sz w:val="32"/>
          <w:szCs w:val="32"/>
          <w:highlight w:val="none"/>
        </w:rPr>
      </w:pPr>
    </w:p>
    <w:p>
      <w:pPr>
        <w:pStyle w:val="23"/>
        <w:spacing w:line="360" w:lineRule="auto"/>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法定代表人或委托代理人（签字或盖章）：</w:t>
      </w:r>
    </w:p>
    <w:p>
      <w:pPr>
        <w:pStyle w:val="23"/>
        <w:spacing w:line="360" w:lineRule="auto"/>
        <w:jc w:val="both"/>
        <w:rPr>
          <w:rFonts w:hint="eastAsia" w:ascii="宋体" w:hAnsi="宋体" w:cs="宋体"/>
          <w:b/>
          <w:bCs/>
          <w:color w:val="auto"/>
          <w:sz w:val="32"/>
          <w:szCs w:val="32"/>
          <w:highlight w:val="none"/>
        </w:rPr>
      </w:pPr>
    </w:p>
    <w:p>
      <w:pPr>
        <w:pStyle w:val="23"/>
        <w:spacing w:line="360" w:lineRule="auto"/>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供应商地址：         </w:t>
      </w:r>
    </w:p>
    <w:p>
      <w:pPr>
        <w:pStyle w:val="23"/>
        <w:spacing w:line="360" w:lineRule="auto"/>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pPr>
        <w:pStyle w:val="23"/>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日期：     年   月   日</w:t>
      </w:r>
      <w:bookmarkStart w:id="157" w:name="_Toc6629"/>
    </w:p>
    <w:p>
      <w:pPr>
        <w:pStyle w:val="23"/>
        <w:spacing w:line="360" w:lineRule="auto"/>
        <w:rPr>
          <w:rFonts w:hint="eastAsia" w:ascii="宋体" w:hAnsi="宋体" w:cs="宋体"/>
          <w:b/>
          <w:bCs/>
          <w:color w:val="auto"/>
          <w:sz w:val="32"/>
          <w:szCs w:val="21"/>
          <w:highlight w:val="none"/>
        </w:rPr>
      </w:pPr>
      <w:r>
        <w:rPr>
          <w:rFonts w:hint="eastAsia" w:ascii="宋体" w:hAnsi="宋体" w:cs="宋体"/>
          <w:b/>
          <w:bCs/>
          <w:color w:val="auto"/>
          <w:sz w:val="32"/>
          <w:szCs w:val="32"/>
          <w:highlight w:val="none"/>
        </w:rPr>
        <w:t>附件1</w:t>
      </w:r>
      <w:bookmarkEnd w:id="155"/>
      <w:bookmarkEnd w:id="156"/>
      <w:r>
        <w:rPr>
          <w:rFonts w:hint="eastAsia" w:ascii="宋体" w:hAnsi="宋体" w:cs="宋体"/>
          <w:b/>
          <w:color w:val="auto"/>
          <w:sz w:val="32"/>
          <w:szCs w:val="32"/>
          <w:highlight w:val="none"/>
        </w:rPr>
        <w:t>:</w:t>
      </w:r>
      <w:bookmarkEnd w:id="157"/>
    </w:p>
    <w:p>
      <w:pPr>
        <w:pStyle w:val="3"/>
        <w:keepNext w:val="0"/>
        <w:rPr>
          <w:rFonts w:hint="eastAsia" w:ascii="宋体" w:hAnsi="宋体" w:eastAsia="宋体" w:cs="宋体"/>
          <w:b/>
          <w:bCs/>
          <w:color w:val="auto"/>
          <w:sz w:val="32"/>
          <w:szCs w:val="21"/>
          <w:highlight w:val="none"/>
        </w:rPr>
      </w:pPr>
      <w:bookmarkStart w:id="158" w:name="_Toc18361"/>
      <w:r>
        <w:rPr>
          <w:rFonts w:hint="eastAsia" w:ascii="宋体" w:hAnsi="宋体" w:eastAsia="宋体" w:cs="宋体"/>
          <w:b/>
          <w:bCs/>
          <w:color w:val="auto"/>
          <w:sz w:val="32"/>
          <w:szCs w:val="21"/>
          <w:highlight w:val="none"/>
        </w:rPr>
        <w:t>投 标 函</w:t>
      </w:r>
      <w:bookmarkEnd w:id="158"/>
    </w:p>
    <w:p>
      <w:pP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我公司收到贵单位</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竞争性磋商文件，经认真研究，我们决定参加本项目投标。</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1.按照竞争性磋商文件中的一切要求，我方完全接受竞争性磋商文件的规定和要求愿以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，完成上述项目的所有工作。</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2.如果我们的响应文件被接受，我们将履行竞争性磋商文件中规定的每一项要求，按期、按质、按量完成交货和完工任务。</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3.我们同意按竞争性磋商文件的规定，本响应文件的有效期为投标截止时间后</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天。</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4.我们愿意提供采购人在竞争性磋商文件中要求的所有资料。</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5.我们认为采购人有选择或拒绝任何供应商中标的权力。我们理解，最低报价不是中标的唯一条件。</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6.我们愿按合同法履行自己的全部责任。</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7.我方愿意遵守竞争性磋商文件中规定的收费标准，承付采购代理服务费。</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8.该项投标在投标截止时间后的投标有效期内保持有效，不作任何更改和变动。</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9.我们同意按竞争性磋商文件规定，交纳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）的投标保证金。</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10.所有有关本响应文件的函电，请按下列地址联系：</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 系 人：</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p>
      <w:pPr>
        <w:ind w:firstLine="49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电子邮箱：</w:t>
      </w:r>
    </w:p>
    <w:p>
      <w:pPr>
        <w:rPr>
          <w:rFonts w:hint="eastAsia" w:ascii="宋体" w:hAnsi="宋体" w:cs="宋体"/>
          <w:color w:val="auto"/>
          <w:sz w:val="24"/>
          <w:szCs w:val="24"/>
          <w:highlight w:val="none"/>
        </w:rPr>
      </w:pP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供应商名称（盖章）：</w:t>
      </w:r>
    </w:p>
    <w:p>
      <w:pPr>
        <w:rPr>
          <w:rFonts w:hint="eastAsia" w:ascii="宋体" w:hAnsi="宋体" w:cs="宋体"/>
          <w:color w:val="auto"/>
          <w:sz w:val="24"/>
          <w:szCs w:val="24"/>
          <w:highlight w:val="none"/>
        </w:rPr>
      </w:pPr>
    </w:p>
    <w:p>
      <w:pPr>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法定代表人或委托代理人（签字或盖章）：</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jc w:val="right"/>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日期：     年   月   日</w:t>
      </w:r>
    </w:p>
    <w:p>
      <w:pPr>
        <w:pStyle w:val="3"/>
        <w:keepNext w:val="0"/>
        <w:jc w:val="both"/>
        <w:rPr>
          <w:rFonts w:hint="eastAsia" w:ascii="宋体" w:hAnsi="宋体" w:eastAsia="宋体" w:cs="宋体"/>
          <w:b/>
          <w:bCs/>
          <w:color w:val="auto"/>
          <w:kern w:val="2"/>
          <w:sz w:val="32"/>
          <w:szCs w:val="21"/>
          <w:highlight w:val="none"/>
        </w:rPr>
      </w:pPr>
      <w:bookmarkStart w:id="159" w:name="_Toc4872"/>
      <w:bookmarkStart w:id="160" w:name="_Toc4412"/>
      <w:bookmarkStart w:id="161" w:name="_Toc18057"/>
      <w:r>
        <w:rPr>
          <w:rFonts w:hint="eastAsia" w:ascii="宋体" w:hAnsi="宋体" w:eastAsia="宋体" w:cs="宋体"/>
          <w:b/>
          <w:bCs/>
          <w:color w:val="auto"/>
          <w:kern w:val="2"/>
          <w:sz w:val="32"/>
          <w:szCs w:val="21"/>
          <w:highlight w:val="none"/>
        </w:rPr>
        <w:br w:type="page"/>
      </w:r>
      <w:r>
        <w:rPr>
          <w:rFonts w:hint="eastAsia" w:ascii="宋体" w:hAnsi="宋体" w:eastAsia="宋体" w:cs="宋体"/>
          <w:b/>
          <w:bCs/>
          <w:color w:val="auto"/>
          <w:kern w:val="2"/>
          <w:sz w:val="32"/>
          <w:szCs w:val="32"/>
          <w:highlight w:val="none"/>
        </w:rPr>
        <w:t>附件2</w:t>
      </w:r>
      <w:bookmarkEnd w:id="159"/>
      <w:bookmarkEnd w:id="160"/>
      <w:r>
        <w:rPr>
          <w:rFonts w:hint="eastAsia" w:ascii="宋体" w:hAnsi="宋体" w:eastAsia="宋体" w:cs="宋体"/>
          <w:b/>
          <w:color w:val="auto"/>
          <w:sz w:val="32"/>
          <w:szCs w:val="32"/>
          <w:highlight w:val="none"/>
        </w:rPr>
        <w:t>:</w:t>
      </w:r>
      <w:bookmarkEnd w:id="161"/>
    </w:p>
    <w:p>
      <w:pPr>
        <w:pStyle w:val="3"/>
        <w:keepNext w:val="0"/>
        <w:rPr>
          <w:rFonts w:hint="eastAsia" w:ascii="宋体" w:hAnsi="宋体" w:eastAsia="宋体" w:cs="宋体"/>
          <w:b/>
          <w:bCs/>
          <w:color w:val="auto"/>
          <w:kern w:val="2"/>
          <w:sz w:val="32"/>
          <w:szCs w:val="21"/>
          <w:highlight w:val="none"/>
        </w:rPr>
      </w:pPr>
      <w:bookmarkStart w:id="162" w:name="_Toc8165"/>
      <w:r>
        <w:rPr>
          <w:rFonts w:hint="eastAsia" w:ascii="宋体" w:hAnsi="宋体" w:eastAsia="宋体" w:cs="宋体"/>
          <w:b/>
          <w:bCs/>
          <w:color w:val="auto"/>
          <w:kern w:val="2"/>
          <w:sz w:val="32"/>
          <w:szCs w:val="21"/>
          <w:highlight w:val="none"/>
        </w:rPr>
        <w:t>法定代表人</w:t>
      </w:r>
      <w:bookmarkEnd w:id="162"/>
      <w:r>
        <w:rPr>
          <w:rFonts w:hint="eastAsia" w:ascii="宋体" w:hAnsi="宋体" w:eastAsia="宋体" w:cs="宋体"/>
          <w:b/>
          <w:bCs/>
          <w:color w:val="auto"/>
          <w:sz w:val="30"/>
          <w:szCs w:val="30"/>
          <w:highlight w:val="none"/>
        </w:rPr>
        <w:t>身份证明书</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单位名称：                                            </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地    址：            </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姓    名：        性别：      年龄：       职务：                            </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的法定代表人。</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特此证明。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noWrap w:val="0"/>
            <w:vAlign w:val="center"/>
          </w:tcPr>
          <w:p>
            <w:pPr>
              <w:rPr>
                <w:rFonts w:hint="eastAsia" w:ascii="宋体" w:hAnsi="宋体" w:cs="宋体"/>
                <w:color w:val="auto"/>
                <w:szCs w:val="28"/>
                <w:highlight w:val="none"/>
              </w:rPr>
            </w:pPr>
            <w:r>
              <w:rPr>
                <w:rFonts w:hint="eastAsia" w:ascii="宋体" w:hAnsi="宋体" w:cs="宋体"/>
                <w:color w:val="auto"/>
                <w:sz w:val="28"/>
                <w:szCs w:val="28"/>
                <w:highlight w:val="none"/>
              </w:rPr>
              <w:t>法定代表人身份证（正面）</w:t>
            </w:r>
          </w:p>
        </w:tc>
        <w:tc>
          <w:tcPr>
            <w:tcW w:w="3439" w:type="dxa"/>
            <w:noWrap w:val="0"/>
            <w:vAlign w:val="center"/>
          </w:tcPr>
          <w:p>
            <w:pPr>
              <w:rPr>
                <w:rFonts w:hint="eastAsia" w:ascii="宋体" w:hAnsi="宋体" w:cs="宋体"/>
                <w:color w:val="auto"/>
                <w:sz w:val="28"/>
                <w:szCs w:val="24"/>
                <w:highlight w:val="none"/>
              </w:rPr>
            </w:pPr>
            <w:r>
              <w:rPr>
                <w:rFonts w:hint="eastAsia" w:ascii="宋体" w:hAnsi="宋体" w:cs="宋体"/>
                <w:color w:val="auto"/>
                <w:sz w:val="28"/>
                <w:szCs w:val="24"/>
                <w:highlight w:val="none"/>
              </w:rPr>
              <w:t>法定代表人身份证（背面）</w:t>
            </w:r>
          </w:p>
        </w:tc>
      </w:tr>
    </w:tbl>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5"/>
        <w:spacing w:line="312" w:lineRule="auto"/>
        <w:ind w:left="0" w:firstLine="0" w:firstLineChars="0"/>
        <w:rPr>
          <w:rFonts w:hint="eastAsia" w:ascii="宋体" w:hAnsi="宋体" w:cs="宋体"/>
          <w:color w:val="auto"/>
          <w:sz w:val="28"/>
          <w:szCs w:val="28"/>
          <w:highlight w:val="none"/>
        </w:rPr>
      </w:pPr>
    </w:p>
    <w:p>
      <w:pPr>
        <w:pStyle w:val="10"/>
        <w:ind w:left="838" w:firstLine="570" w:firstLineChars="200"/>
        <w:jc w:val="center"/>
        <w:rPr>
          <w:rFonts w:hint="eastAsia" w:ascii="宋体" w:hAnsi="宋体" w:eastAsia="宋体" w:cs="宋体"/>
          <w:color w:val="auto"/>
          <w:highlight w:val="none"/>
        </w:rPr>
      </w:pPr>
      <w:r>
        <w:rPr>
          <w:rFonts w:hint="eastAsia" w:ascii="宋体" w:hAnsi="宋体" w:eastAsia="宋体" w:cs="宋体"/>
          <w:color w:val="auto"/>
          <w:szCs w:val="28"/>
          <w:highlight w:val="none"/>
        </w:rPr>
        <w:t xml:space="preserve">            </w:t>
      </w:r>
      <w:r>
        <w:rPr>
          <w:rFonts w:hint="eastAsia" w:ascii="宋体" w:hAnsi="宋体" w:eastAsia="宋体" w:cs="宋体"/>
          <w:color w:val="auto"/>
          <w:highlight w:val="none"/>
        </w:rPr>
        <w:t>供应商名称（盖章）：</w:t>
      </w:r>
    </w:p>
    <w:p>
      <w:pPr>
        <w:pStyle w:val="10"/>
        <w:ind w:left="838" w:firstLine="570" w:firstLineChars="200"/>
        <w:jc w:val="right"/>
        <w:rPr>
          <w:rFonts w:hint="eastAsia" w:ascii="宋体" w:hAnsi="宋体" w:eastAsia="宋体" w:cs="宋体"/>
          <w:bCs/>
          <w:color w:val="auto"/>
          <w:highlight w:val="none"/>
        </w:rPr>
      </w:pPr>
    </w:p>
    <w:p>
      <w:pPr>
        <w:pStyle w:val="23"/>
        <w:wordWrap w:val="0"/>
        <w:spacing w:line="360" w:lineRule="auto"/>
        <w:ind w:firstLine="567"/>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pStyle w:val="23"/>
        <w:wordWrap w:val="0"/>
        <w:spacing w:line="360" w:lineRule="auto"/>
        <w:ind w:firstLine="567"/>
        <w:jc w:val="right"/>
        <w:rPr>
          <w:rFonts w:hint="eastAsia" w:ascii="宋体" w:hAnsi="宋体" w:cs="宋体"/>
          <w:b/>
          <w:bCs/>
          <w:color w:val="auto"/>
          <w:sz w:val="28"/>
          <w:szCs w:val="28"/>
          <w:highlight w:val="none"/>
        </w:rPr>
      </w:pPr>
      <w:r>
        <w:rPr>
          <w:rFonts w:hint="eastAsia" w:ascii="宋体" w:hAnsi="宋体" w:cs="宋体"/>
          <w:color w:val="auto"/>
          <w:sz w:val="28"/>
          <w:szCs w:val="28"/>
          <w:highlight w:val="none"/>
        </w:rPr>
        <w:t xml:space="preserve"> 日期：     年   月   日</w:t>
      </w:r>
    </w:p>
    <w:p>
      <w:pPr>
        <w:pStyle w:val="34"/>
        <w:spacing w:line="312" w:lineRule="auto"/>
        <w:jc w:val="right"/>
        <w:rPr>
          <w:rFonts w:hint="eastAsia" w:ascii="宋体" w:hAnsi="宋体" w:cs="宋体"/>
          <w:color w:val="auto"/>
          <w:sz w:val="28"/>
          <w:szCs w:val="28"/>
          <w:highlight w:val="none"/>
        </w:rPr>
      </w:pPr>
    </w:p>
    <w:p>
      <w:pPr>
        <w:pStyle w:val="2"/>
        <w:keepNext w:val="0"/>
        <w:numPr>
          <w:ilvl w:val="0"/>
          <w:numId w:val="0"/>
        </w:numPr>
        <w:jc w:val="center"/>
        <w:rPr>
          <w:rFonts w:hint="eastAsia" w:ascii="宋体" w:hAnsi="宋体" w:cs="宋体"/>
          <w:color w:val="auto"/>
          <w:sz w:val="30"/>
          <w:szCs w:val="30"/>
          <w:highlight w:val="none"/>
        </w:rPr>
      </w:pPr>
      <w:bookmarkStart w:id="163" w:name="_Toc1629"/>
      <w:r>
        <w:rPr>
          <w:rStyle w:val="24"/>
          <w:rFonts w:hint="eastAsia" w:ascii="宋体" w:hAnsi="宋体" w:eastAsia="宋体" w:cs="宋体"/>
          <w:color w:val="auto"/>
          <w:sz w:val="32"/>
          <w:szCs w:val="28"/>
          <w:highlight w:val="none"/>
        </w:rPr>
        <w:br w:type="page"/>
      </w:r>
      <w:r>
        <w:rPr>
          <w:rStyle w:val="24"/>
          <w:rFonts w:hint="eastAsia" w:ascii="宋体" w:hAnsi="宋体" w:eastAsia="宋体" w:cs="宋体"/>
          <w:color w:val="auto"/>
          <w:sz w:val="32"/>
          <w:szCs w:val="28"/>
          <w:highlight w:val="none"/>
        </w:rPr>
        <w:t>授权委托书</w:t>
      </w:r>
      <w:bookmarkEnd w:id="163"/>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本授权委托书声明：我</w:t>
      </w:r>
      <w:r>
        <w:rPr>
          <w:rFonts w:hint="eastAsia" w:ascii="宋体" w:hAnsi="宋体" w:cs="宋体"/>
          <w:color w:val="auto"/>
          <w:sz w:val="28"/>
          <w:szCs w:val="24"/>
          <w:highlight w:val="none"/>
          <w:u w:val="single"/>
        </w:rPr>
        <w:t xml:space="preserve"> （姓名） </w:t>
      </w:r>
      <w:r>
        <w:rPr>
          <w:rFonts w:hint="eastAsia" w:ascii="宋体" w:hAnsi="宋体" w:cs="宋体"/>
          <w:color w:val="auto"/>
          <w:sz w:val="28"/>
          <w:szCs w:val="24"/>
          <w:highlight w:val="none"/>
        </w:rPr>
        <w:t>系</w:t>
      </w:r>
      <w:r>
        <w:rPr>
          <w:rFonts w:hint="eastAsia" w:ascii="宋体" w:hAnsi="宋体" w:cs="宋体"/>
          <w:color w:val="auto"/>
          <w:sz w:val="28"/>
          <w:szCs w:val="24"/>
          <w:highlight w:val="none"/>
          <w:u w:val="single"/>
        </w:rPr>
        <w:t xml:space="preserve"> （供应商名称） </w:t>
      </w:r>
      <w:r>
        <w:rPr>
          <w:rFonts w:hint="eastAsia" w:ascii="宋体" w:hAnsi="宋体" w:cs="宋体"/>
          <w:color w:val="auto"/>
          <w:sz w:val="28"/>
          <w:szCs w:val="24"/>
          <w:highlight w:val="none"/>
        </w:rPr>
        <w:t>的法定代表人，现授权委托</w:t>
      </w:r>
      <w:r>
        <w:rPr>
          <w:rFonts w:hint="eastAsia" w:ascii="宋体" w:hAnsi="宋体" w:cs="宋体"/>
          <w:color w:val="auto"/>
          <w:sz w:val="28"/>
          <w:szCs w:val="24"/>
          <w:highlight w:val="none"/>
          <w:u w:val="single"/>
        </w:rPr>
        <w:t xml:space="preserve"> （供应商名称） </w:t>
      </w:r>
      <w:r>
        <w:rPr>
          <w:rFonts w:hint="eastAsia" w:ascii="宋体" w:hAnsi="宋体" w:cs="宋体"/>
          <w:color w:val="auto"/>
          <w:sz w:val="28"/>
          <w:szCs w:val="24"/>
          <w:highlight w:val="none"/>
        </w:rPr>
        <w:t xml:space="preserve">的 </w:t>
      </w:r>
      <w:r>
        <w:rPr>
          <w:rFonts w:hint="eastAsia" w:ascii="宋体" w:hAnsi="宋体" w:cs="宋体"/>
          <w:color w:val="auto"/>
          <w:sz w:val="28"/>
          <w:szCs w:val="24"/>
          <w:highlight w:val="none"/>
          <w:u w:val="single"/>
        </w:rPr>
        <w:t xml:space="preserve"> （姓名、身份证号） </w:t>
      </w:r>
      <w:r>
        <w:rPr>
          <w:rFonts w:hint="eastAsia" w:ascii="宋体" w:hAnsi="宋体" w:cs="宋体"/>
          <w:color w:val="auto"/>
          <w:sz w:val="28"/>
          <w:szCs w:val="24"/>
          <w:highlight w:val="none"/>
        </w:rPr>
        <w:t>我公司代理人，以本公司的名义参加</w:t>
      </w:r>
      <w:r>
        <w:rPr>
          <w:rFonts w:hint="eastAsia" w:ascii="宋体" w:hAnsi="宋体" w:cs="宋体"/>
          <w:color w:val="auto"/>
          <w:sz w:val="28"/>
          <w:szCs w:val="24"/>
          <w:highlight w:val="none"/>
          <w:u w:val="single"/>
        </w:rPr>
        <w:t xml:space="preserve"> （项目名称） </w:t>
      </w:r>
      <w:r>
        <w:rPr>
          <w:rFonts w:hint="eastAsia" w:ascii="宋体" w:hAnsi="宋体" w:cs="宋体"/>
          <w:color w:val="auto"/>
          <w:sz w:val="28"/>
          <w:szCs w:val="24"/>
          <w:highlight w:val="none"/>
        </w:rPr>
        <w:t>的投标活动。</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代理人在处理投标的过程中所签署的一切文件和处理与之有关的一切事务，我均予以承认。</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授权期限:</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年</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月</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日至</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年</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月</w:t>
      </w:r>
      <w:r>
        <w:rPr>
          <w:rFonts w:hint="eastAsia" w:ascii="宋体" w:hAnsi="宋体" w:cs="宋体"/>
          <w:color w:val="auto"/>
          <w:sz w:val="28"/>
          <w:szCs w:val="24"/>
          <w:highlight w:val="none"/>
          <w:u w:val="single"/>
        </w:rPr>
        <w:t xml:space="preserve">   </w:t>
      </w:r>
      <w:r>
        <w:rPr>
          <w:rFonts w:hint="eastAsia" w:ascii="宋体" w:hAnsi="宋体" w:cs="宋体"/>
          <w:color w:val="auto"/>
          <w:sz w:val="28"/>
          <w:szCs w:val="24"/>
          <w:highlight w:val="none"/>
        </w:rPr>
        <w:t>日</w:t>
      </w:r>
    </w:p>
    <w:p>
      <w:pPr>
        <w:ind w:firstLine="570" w:firstLineChars="200"/>
        <w:rPr>
          <w:rFonts w:hint="eastAsia" w:ascii="宋体" w:hAnsi="宋体" w:cs="宋体"/>
          <w:color w:val="auto"/>
          <w:sz w:val="28"/>
          <w:szCs w:val="24"/>
          <w:highlight w:val="none"/>
        </w:rPr>
      </w:pPr>
      <w:bookmarkStart w:id="164" w:name="_Toc23318"/>
      <w:bookmarkStart w:id="165" w:name="_Toc6017"/>
      <w:r>
        <w:rPr>
          <w:rFonts w:hint="eastAsia" w:ascii="宋体" w:hAnsi="宋体" w:cs="宋体"/>
          <w:color w:val="auto"/>
          <w:sz w:val="28"/>
          <w:szCs w:val="24"/>
          <w:highlight w:val="none"/>
        </w:rPr>
        <w:t>委托代理人无转委权。特此委托。</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委托代理人：            性  别：</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身份证号码：            电  话：</w:t>
      </w:r>
    </w:p>
    <w:p>
      <w:pPr>
        <w:ind w:firstLine="570" w:firstLineChars="200"/>
        <w:rPr>
          <w:rFonts w:hint="eastAsia" w:ascii="宋体" w:hAnsi="宋体" w:cs="宋体"/>
          <w:color w:val="auto"/>
          <w:sz w:val="28"/>
          <w:szCs w:val="24"/>
          <w:highlight w:val="none"/>
        </w:rPr>
      </w:pPr>
      <w:r>
        <w:rPr>
          <w:rFonts w:hint="eastAsia" w:ascii="宋体" w:hAnsi="宋体" w:cs="宋体"/>
          <w:color w:val="auto"/>
          <w:sz w:val="28"/>
          <w:szCs w:val="24"/>
          <w:highlight w:val="none"/>
        </w:rPr>
        <w:t xml:space="preserve">部  门：                职  务：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法定代表人身份证（正面）</w:t>
            </w:r>
          </w:p>
        </w:tc>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委托代理人身份证（正面）</w:t>
            </w:r>
          </w:p>
        </w:tc>
        <w:tc>
          <w:tcPr>
            <w:tcW w:w="3402"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委托代理人身份证（背面）</w:t>
            </w:r>
          </w:p>
        </w:tc>
      </w:tr>
    </w:tbl>
    <w:p>
      <w:pPr>
        <w:spacing w:line="60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bookmarkStart w:id="166" w:name="_Toc24450"/>
    </w:p>
    <w:p>
      <w:pPr>
        <w:rPr>
          <w:rStyle w:val="24"/>
          <w:rFonts w:hint="eastAsia" w:ascii="宋体" w:hAnsi="宋体" w:eastAsia="宋体" w:cs="宋体"/>
          <w:color w:val="auto"/>
          <w:szCs w:val="28"/>
          <w:highlight w:val="none"/>
        </w:rPr>
      </w:pPr>
      <w:r>
        <w:rPr>
          <w:rFonts w:hint="eastAsia" w:ascii="宋体" w:hAnsi="宋体" w:cs="宋体"/>
          <w:color w:val="auto"/>
          <w:sz w:val="28"/>
          <w:szCs w:val="28"/>
          <w:highlight w:val="none"/>
        </w:rPr>
        <w:br w:type="page"/>
      </w:r>
      <w:r>
        <w:rPr>
          <w:rStyle w:val="24"/>
          <w:rFonts w:hint="eastAsia" w:ascii="宋体" w:hAnsi="宋体" w:eastAsia="宋体" w:cs="宋体"/>
          <w:b/>
          <w:bCs/>
          <w:color w:val="auto"/>
          <w:szCs w:val="28"/>
          <w:highlight w:val="none"/>
        </w:rPr>
        <w:t>附件3</w:t>
      </w:r>
      <w:bookmarkEnd w:id="164"/>
      <w:bookmarkEnd w:id="165"/>
      <w:r>
        <w:rPr>
          <w:rFonts w:hint="eastAsia" w:ascii="宋体" w:hAnsi="宋体" w:cs="宋体"/>
          <w:b/>
          <w:bCs/>
          <w:color w:val="auto"/>
          <w:szCs w:val="28"/>
          <w:highlight w:val="none"/>
        </w:rPr>
        <w:t>:</w:t>
      </w:r>
      <w:bookmarkEnd w:id="166"/>
    </w:p>
    <w:p>
      <w:pPr>
        <w:pStyle w:val="2"/>
        <w:keepNext w:val="0"/>
        <w:numPr>
          <w:ilvl w:val="0"/>
          <w:numId w:val="0"/>
        </w:numPr>
        <w:jc w:val="center"/>
        <w:rPr>
          <w:rStyle w:val="24"/>
          <w:rFonts w:hint="eastAsia" w:ascii="宋体" w:hAnsi="宋体" w:eastAsia="宋体" w:cs="宋体"/>
          <w:color w:val="auto"/>
          <w:sz w:val="32"/>
          <w:szCs w:val="28"/>
          <w:highlight w:val="none"/>
        </w:rPr>
      </w:pPr>
      <w:r>
        <w:rPr>
          <w:rStyle w:val="24"/>
          <w:rFonts w:hint="eastAsia" w:ascii="宋体" w:hAnsi="宋体" w:eastAsia="宋体" w:cs="宋体"/>
          <w:color w:val="auto"/>
          <w:sz w:val="32"/>
          <w:szCs w:val="28"/>
          <w:highlight w:val="none"/>
        </w:rPr>
        <w:t>报价一览表</w:t>
      </w:r>
    </w:p>
    <w:tbl>
      <w:tblPr>
        <w:tblStyle w:val="19"/>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jc w:val="center"/>
              <w:rPr>
                <w:rFonts w:hint="eastAsia" w:ascii="宋体" w:hAnsi="宋体" w:cs="宋体"/>
                <w:color w:val="auto"/>
                <w:sz w:val="28"/>
                <w:szCs w:val="28"/>
                <w:highlight w:val="none"/>
              </w:rPr>
            </w:pPr>
            <w:bookmarkStart w:id="167" w:name="_Toc14063"/>
            <w:bookmarkStart w:id="168" w:name="_Toc3980"/>
            <w:r>
              <w:rPr>
                <w:rFonts w:hint="eastAsia" w:ascii="宋体" w:hAnsi="宋体" w:cs="宋体"/>
                <w:color w:val="auto"/>
                <w:sz w:val="28"/>
                <w:szCs w:val="28"/>
                <w:highlight w:val="none"/>
              </w:rPr>
              <w:t>供应商名称</w:t>
            </w:r>
          </w:p>
        </w:tc>
        <w:tc>
          <w:tcPr>
            <w:tcW w:w="6493" w:type="dxa"/>
            <w:tcBorders>
              <w:bottom w:val="single" w:color="auto" w:sz="4" w:space="0"/>
            </w:tcBorders>
            <w:noWrap w:val="0"/>
            <w:vAlign w:val="center"/>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tc>
        <w:tc>
          <w:tcPr>
            <w:tcW w:w="6493" w:type="dxa"/>
            <w:tcBorders>
              <w:bottom w:val="single" w:color="auto" w:sz="4" w:space="0"/>
            </w:tcBorders>
            <w:noWrap w:val="0"/>
            <w:vAlign w:val="center"/>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报价</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（元）</w:t>
            </w:r>
          </w:p>
        </w:tc>
        <w:tc>
          <w:tcPr>
            <w:tcW w:w="649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小写：</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服务期限</w:t>
            </w:r>
          </w:p>
        </w:tc>
        <w:tc>
          <w:tcPr>
            <w:tcW w:w="6493" w:type="dxa"/>
            <w:noWrap w:val="0"/>
            <w:vAlign w:val="center"/>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    注</w:t>
            </w:r>
          </w:p>
        </w:tc>
        <w:tc>
          <w:tcPr>
            <w:tcW w:w="6493" w:type="dxa"/>
            <w:noWrap w:val="0"/>
            <w:vAlign w:val="center"/>
          </w:tcPr>
          <w:p>
            <w:pPr>
              <w:rPr>
                <w:rFonts w:hint="eastAsia" w:ascii="宋体" w:hAnsi="宋体" w:cs="宋体"/>
                <w:color w:val="auto"/>
                <w:sz w:val="28"/>
                <w:szCs w:val="28"/>
                <w:highlight w:val="none"/>
              </w:rPr>
            </w:pPr>
            <w:r>
              <w:rPr>
                <w:rFonts w:hint="eastAsia" w:ascii="宋体" w:hAnsi="宋体" w:cs="宋体"/>
                <w:color w:val="auto"/>
                <w:sz w:val="28"/>
                <w:szCs w:val="28"/>
                <w:highlight w:val="none"/>
                <w:lang w:val="zh-CN"/>
              </w:rPr>
              <w:t>报价包含本合同承揽事项所需的一切</w:t>
            </w:r>
            <w:r>
              <w:rPr>
                <w:rFonts w:hint="eastAsia" w:ascii="宋体" w:hAnsi="宋体" w:cs="宋体"/>
                <w:color w:val="auto"/>
                <w:sz w:val="28"/>
                <w:szCs w:val="28"/>
                <w:highlight w:val="none"/>
              </w:rPr>
              <w:t>费用</w:t>
            </w:r>
            <w:r>
              <w:rPr>
                <w:rFonts w:hint="eastAsia" w:ascii="宋体" w:hAnsi="宋体" w:cs="宋体"/>
                <w:color w:val="auto"/>
                <w:sz w:val="28"/>
                <w:szCs w:val="28"/>
                <w:highlight w:val="none"/>
                <w:lang w:val="zh-CN"/>
              </w:rPr>
              <w:t>（人工费、材料费、差旅费、委托第三方事项产生的所有设备费和其他费用以及本项目产生的所有税费）</w:t>
            </w:r>
          </w:p>
        </w:tc>
      </w:tr>
    </w:tbl>
    <w:p>
      <w:pPr>
        <w:jc w:val="left"/>
        <w:rPr>
          <w:rFonts w:hint="eastAsia" w:ascii="宋体" w:hAnsi="宋体" w:cs="宋体"/>
          <w:b/>
          <w:bCs/>
          <w:color w:val="auto"/>
          <w:sz w:val="28"/>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5"/>
        <w:ind w:firstLine="0"/>
        <w:jc w:val="right"/>
        <w:rPr>
          <w:rFonts w:hint="eastAsia" w:ascii="宋体" w:hAnsi="宋体" w:cs="宋体"/>
          <w:color w:val="auto"/>
          <w:highlight w:val="none"/>
        </w:rPr>
      </w:pPr>
    </w:p>
    <w:p>
      <w:pPr>
        <w:spacing w:line="600" w:lineRule="auto"/>
        <w:rPr>
          <w:rStyle w:val="24"/>
          <w:rFonts w:hint="eastAsia" w:ascii="宋体" w:hAnsi="宋体" w:eastAsia="宋体" w:cs="宋体"/>
          <w:color w:val="auto"/>
          <w:sz w:val="32"/>
          <w:szCs w:val="28"/>
          <w:highlight w:val="none"/>
        </w:rPr>
      </w:pPr>
      <w:bookmarkStart w:id="169" w:name="_Toc22327"/>
      <w:r>
        <w:rPr>
          <w:rStyle w:val="24"/>
          <w:rFonts w:hint="eastAsia" w:ascii="宋体" w:hAnsi="宋体" w:eastAsia="宋体" w:cs="宋体"/>
          <w:color w:val="auto"/>
          <w:sz w:val="32"/>
          <w:szCs w:val="28"/>
          <w:highlight w:val="none"/>
        </w:rPr>
        <w:br w:type="page"/>
      </w:r>
      <w:bookmarkEnd w:id="167"/>
      <w:bookmarkEnd w:id="168"/>
      <w:bookmarkEnd w:id="169"/>
      <w:bookmarkStart w:id="170" w:name="_Toc10628"/>
      <w:bookmarkStart w:id="171" w:name="_Toc22472"/>
      <w:bookmarkStart w:id="172" w:name="_Toc8623"/>
      <w:bookmarkStart w:id="173" w:name="_Toc7675"/>
      <w:bookmarkStart w:id="174" w:name="_Toc21598"/>
      <w:r>
        <w:rPr>
          <w:rStyle w:val="24"/>
          <w:rFonts w:hint="eastAsia" w:ascii="宋体" w:hAnsi="宋体" w:eastAsia="宋体" w:cs="宋体"/>
          <w:b/>
          <w:bCs/>
          <w:color w:val="auto"/>
          <w:sz w:val="32"/>
          <w:szCs w:val="28"/>
          <w:highlight w:val="none"/>
        </w:rPr>
        <w:t>附件4:</w:t>
      </w:r>
      <w:bookmarkEnd w:id="170"/>
      <w:bookmarkEnd w:id="171"/>
      <w:bookmarkEnd w:id="172"/>
    </w:p>
    <w:p>
      <w:pPr>
        <w:pStyle w:val="2"/>
        <w:keepNext w:val="0"/>
        <w:numPr>
          <w:ilvl w:val="0"/>
          <w:numId w:val="0"/>
        </w:numPr>
        <w:jc w:val="center"/>
        <w:rPr>
          <w:rStyle w:val="24"/>
          <w:rFonts w:hint="eastAsia" w:ascii="宋体" w:hAnsi="宋体" w:eastAsia="宋体" w:cs="宋体"/>
          <w:color w:val="auto"/>
          <w:sz w:val="32"/>
          <w:szCs w:val="28"/>
          <w:highlight w:val="none"/>
        </w:rPr>
      </w:pPr>
      <w:bookmarkStart w:id="175" w:name="_Toc11446"/>
      <w:bookmarkStart w:id="176" w:name="_Toc25246"/>
      <w:bookmarkStart w:id="177" w:name="_Toc13575"/>
      <w:r>
        <w:rPr>
          <w:rStyle w:val="24"/>
          <w:rFonts w:hint="eastAsia" w:ascii="宋体" w:hAnsi="宋体" w:eastAsia="宋体" w:cs="宋体"/>
          <w:color w:val="auto"/>
          <w:sz w:val="32"/>
          <w:szCs w:val="28"/>
          <w:highlight w:val="none"/>
        </w:rPr>
        <w:t>供应商概况表</w:t>
      </w:r>
      <w:bookmarkEnd w:id="175"/>
      <w:bookmarkEnd w:id="176"/>
      <w:bookmarkEnd w:id="17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980"/>
        <w:gridCol w:w="146"/>
        <w:gridCol w:w="893"/>
        <w:gridCol w:w="917"/>
        <w:gridCol w:w="459"/>
        <w:gridCol w:w="341"/>
        <w:gridCol w:w="1176"/>
        <w:gridCol w:w="147"/>
        <w:gridCol w:w="57"/>
        <w:gridCol w:w="686"/>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7471" w:type="dxa"/>
            <w:gridSpan w:val="11"/>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7471" w:type="dxa"/>
            <w:gridSpan w:val="11"/>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restart"/>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26" w:type="dxa"/>
            <w:gridSpan w:val="2"/>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610" w:type="dxa"/>
            <w:gridSpan w:val="4"/>
            <w:noWrap w:val="0"/>
            <w:vAlign w:val="center"/>
          </w:tcPr>
          <w:p>
            <w:pPr>
              <w:pStyle w:val="35"/>
              <w:topLinePunct/>
              <w:jc w:val="center"/>
              <w:rPr>
                <w:rFonts w:hint="eastAsia" w:ascii="宋体" w:hAnsi="宋体" w:cs="宋体"/>
                <w:color w:val="auto"/>
                <w:sz w:val="24"/>
                <w:szCs w:val="24"/>
                <w:highlight w:val="none"/>
              </w:rPr>
            </w:pPr>
          </w:p>
        </w:tc>
        <w:tc>
          <w:tcPr>
            <w:tcW w:w="1380" w:type="dxa"/>
            <w:gridSpan w:val="3"/>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tc>
        <w:tc>
          <w:tcPr>
            <w:tcW w:w="2355" w:type="dxa"/>
            <w:gridSpan w:val="2"/>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vMerge w:val="continue"/>
            <w:noWrap w:val="0"/>
            <w:vAlign w:val="center"/>
          </w:tcPr>
          <w:p>
            <w:pPr>
              <w:rPr>
                <w:rFonts w:hint="eastAsia" w:ascii="宋体" w:hAnsi="宋体" w:cs="宋体"/>
                <w:color w:val="auto"/>
                <w:sz w:val="24"/>
                <w:szCs w:val="24"/>
                <w:highlight w:val="none"/>
              </w:rPr>
            </w:pPr>
          </w:p>
        </w:tc>
        <w:tc>
          <w:tcPr>
            <w:tcW w:w="1126" w:type="dxa"/>
            <w:gridSpan w:val="2"/>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tc>
        <w:tc>
          <w:tcPr>
            <w:tcW w:w="2610" w:type="dxa"/>
            <w:gridSpan w:val="4"/>
            <w:noWrap w:val="0"/>
            <w:vAlign w:val="center"/>
          </w:tcPr>
          <w:p>
            <w:pPr>
              <w:pStyle w:val="35"/>
              <w:topLinePunct/>
              <w:jc w:val="center"/>
              <w:rPr>
                <w:rFonts w:hint="eastAsia" w:ascii="宋体" w:hAnsi="宋体" w:cs="宋体"/>
                <w:color w:val="auto"/>
                <w:sz w:val="24"/>
                <w:szCs w:val="24"/>
                <w:highlight w:val="none"/>
              </w:rPr>
            </w:pPr>
          </w:p>
        </w:tc>
        <w:tc>
          <w:tcPr>
            <w:tcW w:w="1380" w:type="dxa"/>
            <w:gridSpan w:val="3"/>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p>
        </w:tc>
        <w:tc>
          <w:tcPr>
            <w:tcW w:w="2355" w:type="dxa"/>
            <w:gridSpan w:val="2"/>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主管部门</w:t>
            </w:r>
          </w:p>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（如有）</w:t>
            </w:r>
          </w:p>
        </w:tc>
        <w:tc>
          <w:tcPr>
            <w:tcW w:w="7471" w:type="dxa"/>
            <w:gridSpan w:val="11"/>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980"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39" w:type="dxa"/>
            <w:gridSpan w:val="2"/>
            <w:noWrap w:val="0"/>
            <w:vAlign w:val="center"/>
          </w:tcPr>
          <w:p>
            <w:pPr>
              <w:pStyle w:val="35"/>
              <w:topLinePunct/>
              <w:jc w:val="center"/>
              <w:rPr>
                <w:rFonts w:hint="eastAsia" w:ascii="宋体" w:hAnsi="宋体" w:cs="宋体"/>
                <w:color w:val="auto"/>
                <w:sz w:val="24"/>
                <w:szCs w:val="24"/>
                <w:highlight w:val="none"/>
              </w:rPr>
            </w:pPr>
          </w:p>
        </w:tc>
        <w:tc>
          <w:tcPr>
            <w:tcW w:w="1376" w:type="dxa"/>
            <w:gridSpan w:val="2"/>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517" w:type="dxa"/>
            <w:gridSpan w:val="2"/>
            <w:noWrap w:val="0"/>
            <w:vAlign w:val="center"/>
          </w:tcPr>
          <w:p>
            <w:pPr>
              <w:pStyle w:val="35"/>
              <w:topLinePunct/>
              <w:jc w:val="center"/>
              <w:rPr>
                <w:rFonts w:hint="eastAsia" w:ascii="宋体" w:hAnsi="宋体" w:cs="宋体"/>
                <w:color w:val="auto"/>
                <w:sz w:val="24"/>
                <w:szCs w:val="24"/>
                <w:highlight w:val="none"/>
              </w:rPr>
            </w:pPr>
          </w:p>
        </w:tc>
        <w:tc>
          <w:tcPr>
            <w:tcW w:w="890" w:type="dxa"/>
            <w:gridSpan w:val="3"/>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669" w:type="dxa"/>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980"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39" w:type="dxa"/>
            <w:gridSpan w:val="2"/>
            <w:noWrap w:val="0"/>
            <w:vAlign w:val="center"/>
          </w:tcPr>
          <w:p>
            <w:pPr>
              <w:pStyle w:val="35"/>
              <w:topLinePunct/>
              <w:jc w:val="center"/>
              <w:rPr>
                <w:rFonts w:hint="eastAsia" w:ascii="宋体" w:hAnsi="宋体" w:cs="宋体"/>
                <w:color w:val="auto"/>
                <w:sz w:val="24"/>
                <w:szCs w:val="24"/>
                <w:highlight w:val="none"/>
              </w:rPr>
            </w:pPr>
          </w:p>
        </w:tc>
        <w:tc>
          <w:tcPr>
            <w:tcW w:w="1376" w:type="dxa"/>
            <w:gridSpan w:val="2"/>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517" w:type="dxa"/>
            <w:gridSpan w:val="2"/>
            <w:noWrap w:val="0"/>
            <w:vAlign w:val="center"/>
          </w:tcPr>
          <w:p>
            <w:pPr>
              <w:pStyle w:val="35"/>
              <w:topLinePunct/>
              <w:jc w:val="center"/>
              <w:rPr>
                <w:rFonts w:hint="eastAsia" w:ascii="宋体" w:hAnsi="宋体" w:cs="宋体"/>
                <w:color w:val="auto"/>
                <w:sz w:val="24"/>
                <w:szCs w:val="24"/>
                <w:highlight w:val="none"/>
              </w:rPr>
            </w:pPr>
          </w:p>
        </w:tc>
        <w:tc>
          <w:tcPr>
            <w:tcW w:w="890" w:type="dxa"/>
            <w:gridSpan w:val="3"/>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669" w:type="dxa"/>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2019" w:type="dxa"/>
            <w:gridSpan w:val="3"/>
            <w:noWrap w:val="0"/>
            <w:vAlign w:val="center"/>
          </w:tcPr>
          <w:p>
            <w:pPr>
              <w:pStyle w:val="35"/>
              <w:topLinePunct/>
              <w:jc w:val="center"/>
              <w:rPr>
                <w:rFonts w:hint="eastAsia" w:ascii="宋体" w:hAnsi="宋体" w:cs="宋体"/>
                <w:color w:val="auto"/>
                <w:sz w:val="24"/>
                <w:szCs w:val="24"/>
                <w:highlight w:val="none"/>
              </w:rPr>
            </w:pPr>
          </w:p>
        </w:tc>
        <w:tc>
          <w:tcPr>
            <w:tcW w:w="5452" w:type="dxa"/>
            <w:gridSpan w:val="8"/>
            <w:noWrap w:val="0"/>
            <w:vAlign w:val="center"/>
          </w:tcPr>
          <w:p>
            <w:pPr>
              <w:pStyle w:val="35"/>
              <w:topLinePunct/>
              <w:ind w:firstLine="122" w:firstLine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725" w:type="dxa"/>
            <w:vMerge w:val="restart"/>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2019" w:type="dxa"/>
            <w:gridSpan w:val="3"/>
            <w:vMerge w:val="restart"/>
            <w:noWrap w:val="0"/>
            <w:vAlign w:val="center"/>
          </w:tcPr>
          <w:p>
            <w:pPr>
              <w:pStyle w:val="35"/>
              <w:topLinePunct/>
              <w:rPr>
                <w:rFonts w:hint="eastAsia" w:ascii="宋体" w:hAnsi="宋体" w:cs="宋体"/>
                <w:color w:val="auto"/>
                <w:sz w:val="24"/>
                <w:szCs w:val="24"/>
                <w:highlight w:val="none"/>
              </w:rPr>
            </w:pPr>
          </w:p>
        </w:tc>
        <w:tc>
          <w:tcPr>
            <w:tcW w:w="917" w:type="dxa"/>
            <w:vMerge w:val="restart"/>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其中</w:t>
            </w:r>
          </w:p>
        </w:tc>
        <w:tc>
          <w:tcPr>
            <w:tcW w:w="2123" w:type="dxa"/>
            <w:gridSpan w:val="4"/>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2412" w:type="dxa"/>
            <w:gridSpan w:val="3"/>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725" w:type="dxa"/>
            <w:vMerge w:val="continue"/>
            <w:noWrap w:val="0"/>
            <w:vAlign w:val="center"/>
          </w:tcPr>
          <w:p>
            <w:pPr>
              <w:pStyle w:val="35"/>
              <w:topLinePunct/>
              <w:jc w:val="center"/>
              <w:rPr>
                <w:rFonts w:hint="eastAsia" w:ascii="宋体" w:hAnsi="宋体" w:cs="宋体"/>
                <w:color w:val="auto"/>
                <w:sz w:val="24"/>
                <w:szCs w:val="24"/>
                <w:highlight w:val="none"/>
              </w:rPr>
            </w:pPr>
          </w:p>
        </w:tc>
        <w:tc>
          <w:tcPr>
            <w:tcW w:w="2019" w:type="dxa"/>
            <w:gridSpan w:val="3"/>
            <w:vMerge w:val="continue"/>
            <w:noWrap w:val="0"/>
            <w:vAlign w:val="center"/>
          </w:tcPr>
          <w:p>
            <w:pPr>
              <w:pStyle w:val="35"/>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2412" w:type="dxa"/>
            <w:gridSpan w:val="3"/>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2019" w:type="dxa"/>
            <w:gridSpan w:val="3"/>
            <w:noWrap w:val="0"/>
            <w:vAlign w:val="center"/>
          </w:tcPr>
          <w:p>
            <w:pPr>
              <w:pStyle w:val="35"/>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2412" w:type="dxa"/>
            <w:gridSpan w:val="3"/>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2019" w:type="dxa"/>
            <w:gridSpan w:val="3"/>
            <w:noWrap w:val="0"/>
            <w:vAlign w:val="center"/>
          </w:tcPr>
          <w:p>
            <w:pPr>
              <w:pStyle w:val="35"/>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初级职称人员</w:t>
            </w:r>
          </w:p>
        </w:tc>
        <w:tc>
          <w:tcPr>
            <w:tcW w:w="2412" w:type="dxa"/>
            <w:gridSpan w:val="3"/>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25" w:type="dxa"/>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tc>
        <w:tc>
          <w:tcPr>
            <w:tcW w:w="2019" w:type="dxa"/>
            <w:gridSpan w:val="3"/>
            <w:noWrap w:val="0"/>
            <w:vAlign w:val="center"/>
          </w:tcPr>
          <w:p>
            <w:pPr>
              <w:pStyle w:val="35"/>
              <w:topLinePunct/>
              <w:jc w:val="center"/>
              <w:rPr>
                <w:rFonts w:hint="eastAsia" w:ascii="宋体" w:hAnsi="宋体" w:cs="宋体"/>
                <w:color w:val="auto"/>
                <w:sz w:val="24"/>
                <w:szCs w:val="24"/>
                <w:highlight w:val="none"/>
              </w:rPr>
            </w:pPr>
          </w:p>
        </w:tc>
        <w:tc>
          <w:tcPr>
            <w:tcW w:w="917" w:type="dxa"/>
            <w:vMerge w:val="continue"/>
            <w:noWrap w:val="0"/>
            <w:vAlign w:val="center"/>
          </w:tcPr>
          <w:p>
            <w:pPr>
              <w:rPr>
                <w:rFonts w:hint="eastAsia" w:ascii="宋体" w:hAnsi="宋体" w:cs="宋体"/>
                <w:color w:val="auto"/>
                <w:sz w:val="24"/>
                <w:szCs w:val="24"/>
                <w:highlight w:val="none"/>
              </w:rPr>
            </w:pPr>
          </w:p>
        </w:tc>
        <w:tc>
          <w:tcPr>
            <w:tcW w:w="2123" w:type="dxa"/>
            <w:gridSpan w:val="4"/>
            <w:noWrap w:val="0"/>
            <w:vAlign w:val="center"/>
          </w:tcPr>
          <w:p>
            <w:pPr>
              <w:pStyle w:val="35"/>
              <w:topLinePun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技工</w:t>
            </w:r>
          </w:p>
        </w:tc>
        <w:tc>
          <w:tcPr>
            <w:tcW w:w="2412" w:type="dxa"/>
            <w:gridSpan w:val="3"/>
            <w:noWrap w:val="0"/>
            <w:vAlign w:val="center"/>
          </w:tcPr>
          <w:p>
            <w:pPr>
              <w:pStyle w:val="35"/>
              <w:topLinePunct/>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9196" w:type="dxa"/>
            <w:gridSpan w:val="12"/>
            <w:noWrap w:val="0"/>
            <w:vAlign w:val="center"/>
          </w:tcPr>
          <w:p>
            <w:pPr>
              <w:pStyle w:val="35"/>
              <w:topLinePunct/>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单位概括（组织结构）等</w:t>
            </w:r>
          </w:p>
          <w:p>
            <w:pPr>
              <w:pStyle w:val="36"/>
              <w:adjustRightInd w:val="0"/>
              <w:snapToGrid w:val="0"/>
              <w:spacing w:before="100" w:after="10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组织机构框图（包括机构、领导成员、主要技术人员数量等情况）</w:t>
            </w:r>
          </w:p>
          <w:p>
            <w:pPr>
              <w:pStyle w:val="35"/>
              <w:topLinePunct/>
              <w:jc w:val="left"/>
              <w:rPr>
                <w:rFonts w:hint="eastAsia" w:ascii="宋体" w:hAnsi="宋体" w:cs="宋体"/>
                <w:color w:val="auto"/>
                <w:sz w:val="24"/>
                <w:szCs w:val="24"/>
                <w:highlight w:val="none"/>
              </w:rPr>
            </w:pPr>
          </w:p>
          <w:p>
            <w:pPr>
              <w:pStyle w:val="10"/>
              <w:ind w:left="838" w:firstLine="245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供应商名称（盖章）：</w:t>
            </w:r>
          </w:p>
          <w:p>
            <w:pPr>
              <w:pStyle w:val="10"/>
              <w:ind w:left="838" w:firstLine="490" w:firstLineChars="200"/>
              <w:jc w:val="right"/>
              <w:rPr>
                <w:rFonts w:hint="eastAsia" w:ascii="宋体" w:hAnsi="宋体" w:eastAsia="宋体" w:cs="宋体"/>
                <w:bCs/>
                <w:color w:val="auto"/>
                <w:sz w:val="24"/>
                <w:szCs w:val="24"/>
                <w:highlight w:val="none"/>
              </w:rPr>
            </w:pPr>
          </w:p>
          <w:p>
            <w:pPr>
              <w:pStyle w:val="10"/>
              <w:ind w:left="838" w:firstLine="490" w:firstLineChars="2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法定代表人或委托代理人（签字或盖章）：</w:t>
            </w:r>
          </w:p>
          <w:p>
            <w:pPr>
              <w:pStyle w:val="23"/>
              <w:wordWrap w:val="0"/>
              <w:spacing w:line="360" w:lineRule="auto"/>
              <w:ind w:firstLine="567"/>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7"/>
              <w:wordWrap w:val="0"/>
              <w:snapToGrid w:val="0"/>
              <w:spacing w:line="360" w:lineRule="auto"/>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 xml:space="preserve">日期：     </w:t>
            </w:r>
            <w:r>
              <w:rPr>
                <w:rFonts w:hint="eastAsia" w:hAnsi="宋体" w:cs="宋体"/>
                <w:color w:val="auto"/>
                <w:sz w:val="24"/>
                <w:szCs w:val="24"/>
                <w:highlight w:val="none"/>
              </w:rPr>
              <w:t>年</w:t>
            </w:r>
            <w:r>
              <w:rPr>
                <w:rFonts w:hint="eastAsia" w:hAnsi="宋体" w:cs="宋体"/>
                <w:color w:val="auto"/>
                <w:sz w:val="24"/>
                <w:szCs w:val="24"/>
                <w:highlight w:val="none"/>
                <w:lang w:eastAsia="zh-CN"/>
              </w:rPr>
              <w:t xml:space="preserve">   </w:t>
            </w:r>
            <w:r>
              <w:rPr>
                <w:rFonts w:hint="eastAsia" w:hAnsi="宋体" w:cs="宋体"/>
                <w:color w:val="auto"/>
                <w:sz w:val="24"/>
                <w:szCs w:val="24"/>
                <w:highlight w:val="none"/>
              </w:rPr>
              <w:t>月</w:t>
            </w:r>
            <w:r>
              <w:rPr>
                <w:rFonts w:hint="eastAsia" w:hAnsi="宋体" w:cs="宋体"/>
                <w:color w:val="auto"/>
                <w:sz w:val="24"/>
                <w:szCs w:val="24"/>
                <w:highlight w:val="none"/>
                <w:lang w:eastAsia="zh-CN"/>
              </w:rPr>
              <w:t xml:space="preserve">   </w:t>
            </w:r>
            <w:r>
              <w:rPr>
                <w:rFonts w:hint="eastAsia" w:hAnsi="宋体" w:cs="宋体"/>
                <w:color w:val="auto"/>
                <w:sz w:val="24"/>
                <w:szCs w:val="24"/>
                <w:highlight w:val="none"/>
              </w:rPr>
              <w:t>日</w:t>
            </w:r>
          </w:p>
        </w:tc>
      </w:tr>
    </w:tbl>
    <w:p>
      <w:pPr>
        <w:rPr>
          <w:rStyle w:val="24"/>
          <w:rFonts w:hint="eastAsia" w:ascii="宋体" w:hAnsi="宋体" w:eastAsia="宋体" w:cs="宋体"/>
          <w:color w:val="auto"/>
          <w:sz w:val="32"/>
          <w:szCs w:val="28"/>
          <w:highlight w:val="none"/>
        </w:rPr>
      </w:pPr>
      <w:bookmarkStart w:id="178" w:name="_Toc20796"/>
      <w:bookmarkStart w:id="179" w:name="_Toc24396"/>
      <w:bookmarkStart w:id="180" w:name="_Toc24382"/>
      <w:r>
        <w:rPr>
          <w:rStyle w:val="24"/>
          <w:rFonts w:hint="eastAsia" w:ascii="宋体" w:hAnsi="宋体" w:eastAsia="宋体" w:cs="宋体"/>
          <w:color w:val="auto"/>
          <w:sz w:val="32"/>
          <w:szCs w:val="28"/>
          <w:highlight w:val="none"/>
        </w:rPr>
        <w:br w:type="page"/>
      </w:r>
    </w:p>
    <w:p>
      <w:pPr>
        <w:pStyle w:val="2"/>
        <w:keepNext w:val="0"/>
        <w:numPr>
          <w:ilvl w:val="0"/>
          <w:numId w:val="0"/>
        </w:numPr>
        <w:jc w:val="left"/>
        <w:rPr>
          <w:rStyle w:val="24"/>
          <w:rFonts w:hint="eastAsia" w:ascii="宋体" w:hAnsi="宋体" w:eastAsia="宋体" w:cs="宋体"/>
          <w:color w:val="auto"/>
          <w:sz w:val="32"/>
          <w:szCs w:val="28"/>
          <w:highlight w:val="none"/>
        </w:rPr>
      </w:pPr>
      <w:r>
        <w:rPr>
          <w:rStyle w:val="24"/>
          <w:rFonts w:hint="eastAsia" w:ascii="宋体" w:hAnsi="宋体" w:eastAsia="宋体" w:cs="宋体"/>
          <w:color w:val="auto"/>
          <w:sz w:val="32"/>
          <w:szCs w:val="28"/>
          <w:highlight w:val="none"/>
        </w:rPr>
        <w:t>附件5:</w:t>
      </w:r>
      <w:bookmarkEnd w:id="178"/>
      <w:bookmarkEnd w:id="179"/>
      <w:bookmarkEnd w:id="180"/>
    </w:p>
    <w:p>
      <w:pPr>
        <w:pStyle w:val="2"/>
        <w:keepNext w:val="0"/>
        <w:numPr>
          <w:ilvl w:val="0"/>
          <w:numId w:val="0"/>
        </w:numPr>
        <w:jc w:val="center"/>
        <w:rPr>
          <w:rStyle w:val="24"/>
          <w:rFonts w:hint="eastAsia" w:ascii="宋体" w:hAnsi="宋体" w:eastAsia="宋体" w:cs="宋体"/>
          <w:color w:val="auto"/>
          <w:sz w:val="32"/>
          <w:szCs w:val="28"/>
          <w:highlight w:val="none"/>
        </w:rPr>
      </w:pPr>
      <w:bookmarkStart w:id="181" w:name="_Toc18062"/>
      <w:bookmarkStart w:id="182" w:name="_Toc21508"/>
      <w:bookmarkStart w:id="183" w:name="_Toc9319"/>
      <w:r>
        <w:rPr>
          <w:rStyle w:val="24"/>
          <w:rFonts w:hint="eastAsia" w:ascii="宋体" w:hAnsi="宋体" w:eastAsia="宋体" w:cs="宋体"/>
          <w:color w:val="auto"/>
          <w:sz w:val="32"/>
          <w:szCs w:val="28"/>
          <w:highlight w:val="none"/>
        </w:rPr>
        <w:t>无重大违法记录的书面声明</w:t>
      </w:r>
      <w:bookmarkEnd w:id="181"/>
      <w:bookmarkEnd w:id="182"/>
      <w:bookmarkEnd w:id="183"/>
    </w:p>
    <w:p>
      <w:pPr>
        <w:spacing w:line="360" w:lineRule="auto"/>
        <w:ind w:firstLine="57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供应商应当提供参加政府采购活动前3年内在经营活动中没有重大违法记录的书面声明。</w:t>
      </w:r>
    </w:p>
    <w:p>
      <w:pPr>
        <w:pStyle w:val="23"/>
        <w:spacing w:line="288" w:lineRule="auto"/>
        <w:jc w:val="both"/>
        <w:rPr>
          <w:rStyle w:val="25"/>
          <w:rFonts w:hint="eastAsia" w:ascii="宋体" w:hAnsi="宋体" w:cs="宋体"/>
          <w:color w:val="auto"/>
          <w:sz w:val="28"/>
          <w:szCs w:val="28"/>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bookmarkStart w:id="184" w:name="_Toc11389"/>
      <w:bookmarkStart w:id="185" w:name="_Toc25306"/>
      <w:bookmarkStart w:id="186" w:name="_Toc19830"/>
      <w:r>
        <w:rPr>
          <w:rStyle w:val="24"/>
          <w:rFonts w:hint="eastAsia" w:ascii="宋体" w:hAnsi="宋体" w:eastAsia="宋体" w:cs="宋体"/>
          <w:color w:val="auto"/>
          <w:sz w:val="32"/>
          <w:szCs w:val="28"/>
          <w:highlight w:val="none"/>
        </w:rPr>
        <w:br w:type="page"/>
      </w:r>
      <w:r>
        <w:rPr>
          <w:rStyle w:val="24"/>
          <w:rFonts w:hint="eastAsia" w:ascii="宋体" w:hAnsi="宋体" w:eastAsia="宋体" w:cs="宋体"/>
          <w:color w:val="auto"/>
          <w:sz w:val="32"/>
          <w:szCs w:val="28"/>
          <w:highlight w:val="none"/>
        </w:rPr>
        <w:t>附件6:</w:t>
      </w:r>
      <w:bookmarkEnd w:id="184"/>
      <w:bookmarkEnd w:id="185"/>
      <w:bookmarkEnd w:id="186"/>
    </w:p>
    <w:p>
      <w:pPr>
        <w:pStyle w:val="2"/>
        <w:keepNext w:val="0"/>
        <w:numPr>
          <w:ilvl w:val="0"/>
          <w:numId w:val="0"/>
        </w:numPr>
        <w:jc w:val="center"/>
        <w:rPr>
          <w:rStyle w:val="24"/>
          <w:rFonts w:hint="eastAsia" w:ascii="宋体" w:hAnsi="宋体" w:eastAsia="宋体" w:cs="宋体"/>
          <w:color w:val="auto"/>
          <w:sz w:val="32"/>
          <w:szCs w:val="28"/>
          <w:highlight w:val="none"/>
        </w:rPr>
      </w:pPr>
      <w:bookmarkStart w:id="187" w:name="_Toc13176"/>
      <w:bookmarkStart w:id="188" w:name="_Toc958"/>
      <w:bookmarkStart w:id="189" w:name="_Toc27231"/>
      <w:r>
        <w:rPr>
          <w:rStyle w:val="24"/>
          <w:rFonts w:hint="eastAsia" w:ascii="宋体" w:hAnsi="宋体" w:eastAsia="宋体" w:cs="宋体"/>
          <w:color w:val="auto"/>
          <w:sz w:val="32"/>
          <w:szCs w:val="28"/>
          <w:highlight w:val="none"/>
        </w:rPr>
        <w:t>企业202</w:t>
      </w:r>
      <w:r>
        <w:rPr>
          <w:rStyle w:val="24"/>
          <w:rFonts w:hint="eastAsia" w:ascii="宋体" w:hAnsi="宋体" w:cs="宋体"/>
          <w:color w:val="auto"/>
          <w:sz w:val="32"/>
          <w:szCs w:val="28"/>
          <w:highlight w:val="none"/>
          <w:lang w:val="en-US" w:eastAsia="zh-CN"/>
        </w:rPr>
        <w:t>1</w:t>
      </w:r>
      <w:r>
        <w:rPr>
          <w:rStyle w:val="24"/>
          <w:rFonts w:hint="eastAsia" w:ascii="宋体" w:hAnsi="宋体" w:eastAsia="宋体" w:cs="宋体"/>
          <w:color w:val="auto"/>
          <w:sz w:val="32"/>
          <w:szCs w:val="28"/>
          <w:highlight w:val="none"/>
        </w:rPr>
        <w:t>年财务审计报告</w:t>
      </w:r>
      <w:bookmarkEnd w:id="187"/>
      <w:bookmarkEnd w:id="188"/>
      <w:bookmarkEnd w:id="189"/>
    </w:p>
    <w:p>
      <w:pPr>
        <w:spacing w:line="360" w:lineRule="auto"/>
        <w:ind w:firstLine="57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提供</w:t>
      </w:r>
      <w:r>
        <w:rPr>
          <w:rStyle w:val="25"/>
          <w:rFonts w:hint="eastAsia" w:ascii="宋体" w:hAnsi="宋体" w:cs="宋体"/>
          <w:b w:val="0"/>
          <w:bCs/>
          <w:color w:val="auto"/>
          <w:sz w:val="28"/>
          <w:szCs w:val="28"/>
          <w:highlight w:val="none"/>
        </w:rPr>
        <w:t>202</w:t>
      </w:r>
      <w:r>
        <w:rPr>
          <w:rStyle w:val="25"/>
          <w:rFonts w:hint="eastAsia" w:ascii="宋体" w:hAnsi="宋体" w:cs="宋体"/>
          <w:b w:val="0"/>
          <w:bCs/>
          <w:color w:val="auto"/>
          <w:sz w:val="28"/>
          <w:szCs w:val="28"/>
          <w:highlight w:val="none"/>
          <w:lang w:val="en-US" w:eastAsia="zh-CN"/>
        </w:rPr>
        <w:t>1</w:t>
      </w:r>
      <w:r>
        <w:rPr>
          <w:rFonts w:hint="eastAsia" w:ascii="宋体" w:hAnsi="宋体" w:cs="宋体"/>
          <w:color w:val="auto"/>
          <w:kern w:val="0"/>
          <w:sz w:val="28"/>
          <w:szCs w:val="28"/>
          <w:highlight w:val="none"/>
        </w:rPr>
        <w:t>年度内经会计事务所或审计机构审计的财务会计报表，包括资产负债表、利润表、现金流量表和财务情况说明书。</w:t>
      </w:r>
    </w:p>
    <w:p>
      <w:pPr>
        <w:pStyle w:val="2"/>
        <w:keepNext w:val="0"/>
        <w:numPr>
          <w:ilvl w:val="0"/>
          <w:numId w:val="0"/>
        </w:numPr>
        <w:jc w:val="left"/>
        <w:rPr>
          <w:rStyle w:val="24"/>
          <w:rFonts w:hint="eastAsia" w:ascii="宋体" w:hAnsi="宋体" w:eastAsia="宋体" w:cs="宋体"/>
          <w:color w:val="auto"/>
          <w:sz w:val="32"/>
          <w:szCs w:val="28"/>
          <w:highlight w:val="none"/>
        </w:rPr>
      </w:pPr>
      <w:bookmarkStart w:id="190" w:name="_Toc15551"/>
      <w:bookmarkStart w:id="191" w:name="_Toc3838"/>
      <w:bookmarkStart w:id="192" w:name="_Toc2823"/>
      <w:r>
        <w:rPr>
          <w:rStyle w:val="24"/>
          <w:rFonts w:hint="eastAsia" w:ascii="宋体" w:hAnsi="宋体" w:eastAsia="宋体" w:cs="宋体"/>
          <w:color w:val="auto"/>
          <w:sz w:val="32"/>
          <w:szCs w:val="28"/>
          <w:highlight w:val="none"/>
        </w:rPr>
        <w:br w:type="page"/>
      </w:r>
      <w:r>
        <w:rPr>
          <w:rStyle w:val="24"/>
          <w:rFonts w:hint="eastAsia" w:ascii="宋体" w:hAnsi="宋体" w:eastAsia="宋体" w:cs="宋体"/>
          <w:color w:val="auto"/>
          <w:sz w:val="32"/>
          <w:szCs w:val="28"/>
          <w:highlight w:val="none"/>
        </w:rPr>
        <w:t>附件7:</w:t>
      </w:r>
      <w:bookmarkEnd w:id="190"/>
      <w:bookmarkEnd w:id="191"/>
      <w:bookmarkEnd w:id="192"/>
    </w:p>
    <w:p>
      <w:pPr>
        <w:pStyle w:val="2"/>
        <w:keepNext w:val="0"/>
        <w:numPr>
          <w:ilvl w:val="0"/>
          <w:numId w:val="0"/>
        </w:numPr>
        <w:jc w:val="center"/>
        <w:rPr>
          <w:rStyle w:val="24"/>
          <w:rFonts w:hint="eastAsia" w:ascii="宋体" w:hAnsi="宋体" w:eastAsia="宋体" w:cs="宋体"/>
          <w:color w:val="auto"/>
          <w:sz w:val="32"/>
          <w:szCs w:val="28"/>
          <w:highlight w:val="none"/>
        </w:rPr>
      </w:pPr>
      <w:bookmarkStart w:id="193" w:name="_Toc122"/>
      <w:bookmarkStart w:id="194" w:name="_Toc29474"/>
      <w:bookmarkStart w:id="195" w:name="_Toc24088"/>
      <w:r>
        <w:rPr>
          <w:rStyle w:val="24"/>
          <w:rFonts w:hint="eastAsia" w:ascii="宋体" w:hAnsi="宋体" w:eastAsia="宋体" w:cs="宋体"/>
          <w:color w:val="auto"/>
          <w:sz w:val="32"/>
          <w:szCs w:val="28"/>
          <w:highlight w:val="none"/>
        </w:rPr>
        <w:t>“重法纪、讲诚信”承诺书</w:t>
      </w:r>
      <w:bookmarkEnd w:id="193"/>
      <w:bookmarkEnd w:id="194"/>
      <w:bookmarkEnd w:id="195"/>
    </w:p>
    <w:p>
      <w:pPr>
        <w:rPr>
          <w:rFonts w:hint="eastAsia" w:ascii="宋体" w:hAnsi="宋体" w:cs="宋体"/>
          <w:color w:val="auto"/>
          <w:sz w:val="28"/>
          <w:szCs w:val="28"/>
          <w:highlight w:val="none"/>
        </w:rPr>
      </w:pPr>
      <w:r>
        <w:rPr>
          <w:rFonts w:hint="eastAsia" w:ascii="宋体" w:hAnsi="宋体" w:cs="宋体"/>
          <w:color w:val="auto"/>
          <w:sz w:val="28"/>
          <w:szCs w:val="28"/>
          <w:highlight w:val="none"/>
          <w:u w:val="single"/>
          <w:lang w:val="zh-CN"/>
        </w:rPr>
        <w:t>（采购人名称）</w:t>
      </w:r>
      <w:r>
        <w:rPr>
          <w:rFonts w:hint="eastAsia" w:ascii="宋体" w:hAnsi="宋体" w:cs="宋体"/>
          <w:color w:val="auto"/>
          <w:sz w:val="28"/>
          <w:szCs w:val="28"/>
          <w:highlight w:val="none"/>
        </w:rPr>
        <w:t xml:space="preserve"> ：</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为积极配合防范和遏制招投标活动中不公平竞争和违规违纪行为的发生， 确保招标工作公平、公正、公开、有序进行，我公司在参与贵公司</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采购活动中， 保证自觉遵守《中华人民共和国政府采购法》、《中华人民共和国政府采购法实施条例》 等国家法律法规以及廉洁自律有关规章制度，并向贵公司承诺如下事项：</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1.不以任何形式通过社会上的“代理”、“中介”、“掮客”等采取不正当手段谋取中标；</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2.不以任何形式打着领导及其亲友旗号或冒充领导及其亲友等采取不正当手段谋取中标；</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不以任何名义向参与采购活动、评标工作的有关人员赠送回扣、红包、礼金、购物卡、有价证券、贵重物品和好处费、感谢费等；不以任何名义向参与采购活动、评标工作的有关人员提供高消费宴请及娱乐活动；</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4.不以任何名义为参与采购活动、评标工作的有关人员报销应由参与采购活动、评标工作的有关人员支付的任何费用；</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5.不以谋取非正当利益为目的，与参与采购活动、评标工作的有关人员就业务问题进行私下商谈或者达成利益默契；</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6.不以任何名义接受或暗示为参与采购活动、评标工作的有关人员装修住房、婚丧嫁娶以及境内外旅游等提供方便；</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7.不与采购人、采购代理机构工作人员串通投标，损害国家利益、企业利益以及他人的合法利益；</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8.不以任何方式与其他供应商相互串通投标，不排挤其他供应商，不损害采购人或其他供应商的合法权益；</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9.不采取捏造事实或者提供虚假投诉材料，恶意投诉、诋毁、排挤其他供应商；</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10.参与采购活动时不以任何形式提供任何虚假信息或证明文件。</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贵单位既可根据国家有关单位的判决、裁定等有效文书认定我公司是否违反承诺，也有权通过对贵公司相关人员的调查来认定我公司是否违反承诺。如违反以上承诺，我公司自愿接受贵公司依据有关规定对我公司的处理（包括但不限于实施市场禁入、取消投、中标资格以及终止合同等），给贵公司造成损失的，予以赔偿。</w:t>
      </w:r>
    </w:p>
    <w:p>
      <w:pPr>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本承诺函为我公司应答此次采购项目正式文件的附件，与其他响应文件具有同等法律效力，经我公司盖章后立即生效。</w: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rPr>
          <w:rFonts w:hint="eastAsia" w:ascii="宋体" w:hAnsi="宋体" w:cs="宋体"/>
          <w:color w:val="auto"/>
          <w:sz w:val="28"/>
          <w:szCs w:val="28"/>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bookmarkStart w:id="196" w:name="_Toc30133"/>
      <w:bookmarkStart w:id="197" w:name="_Toc24465"/>
      <w:bookmarkStart w:id="198" w:name="_Toc3317"/>
      <w:r>
        <w:rPr>
          <w:rStyle w:val="24"/>
          <w:rFonts w:hint="eastAsia" w:ascii="宋体" w:hAnsi="宋体" w:eastAsia="宋体" w:cs="宋体"/>
          <w:color w:val="auto"/>
          <w:sz w:val="32"/>
          <w:szCs w:val="28"/>
          <w:highlight w:val="none"/>
        </w:rPr>
        <w:br w:type="page"/>
      </w:r>
      <w:r>
        <w:rPr>
          <w:rStyle w:val="24"/>
          <w:rFonts w:hint="eastAsia" w:ascii="宋体" w:hAnsi="宋体" w:eastAsia="宋体" w:cs="宋体"/>
          <w:color w:val="auto"/>
          <w:sz w:val="32"/>
          <w:szCs w:val="28"/>
          <w:highlight w:val="none"/>
        </w:rPr>
        <w:t>附件8:</w:t>
      </w:r>
      <w:bookmarkEnd w:id="196"/>
      <w:bookmarkEnd w:id="197"/>
      <w:bookmarkEnd w:id="198"/>
    </w:p>
    <w:p>
      <w:pPr>
        <w:pStyle w:val="2"/>
        <w:keepNext w:val="0"/>
        <w:numPr>
          <w:ilvl w:val="0"/>
          <w:numId w:val="0"/>
        </w:numPr>
        <w:jc w:val="center"/>
        <w:rPr>
          <w:rStyle w:val="24"/>
          <w:rFonts w:hint="eastAsia" w:ascii="宋体" w:hAnsi="宋体" w:eastAsia="宋体" w:cs="宋体"/>
          <w:color w:val="auto"/>
          <w:sz w:val="32"/>
          <w:szCs w:val="28"/>
          <w:highlight w:val="none"/>
        </w:rPr>
      </w:pPr>
      <w:bookmarkStart w:id="199" w:name="_Toc9462"/>
      <w:bookmarkStart w:id="200" w:name="_Toc11427"/>
      <w:bookmarkStart w:id="201" w:name="_Toc10393"/>
      <w:r>
        <w:rPr>
          <w:rStyle w:val="24"/>
          <w:rFonts w:hint="eastAsia" w:ascii="宋体" w:hAnsi="宋体" w:eastAsia="宋体" w:cs="宋体"/>
          <w:color w:val="auto"/>
          <w:sz w:val="32"/>
          <w:szCs w:val="28"/>
          <w:highlight w:val="none"/>
        </w:rPr>
        <w:t>反商业贿赂承诺书</w:t>
      </w:r>
      <w:bookmarkEnd w:id="199"/>
      <w:bookmarkEnd w:id="200"/>
      <w:bookmarkEnd w:id="201"/>
    </w:p>
    <w:p>
      <w:pPr>
        <w:adjustRightInd w:val="0"/>
        <w:snapToGrid w:val="0"/>
        <w:spacing w:line="360" w:lineRule="auto"/>
        <w:ind w:firstLine="570" w:firstLineChars="200"/>
        <w:jc w:val="left"/>
        <w:rPr>
          <w:rFonts w:hint="eastAsia" w:ascii="宋体" w:hAnsi="宋体" w:cs="宋体"/>
          <w:color w:val="auto"/>
          <w:sz w:val="28"/>
          <w:szCs w:val="28"/>
          <w:highlight w:val="none"/>
        </w:rPr>
      </w:pP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为了从源头上防治腐败，杜绝商业贿赂行为的发生，更好地配合采购代理机构的工作，我们供应商承诺如下：</w:t>
      </w: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1、不以各种名义给采购代理工作人员借或送现金、有价证券及物品。</w:t>
      </w: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2、不以个人名义邀请采购代理工作人员参与考察旅游活动和宴请活动。</w:t>
      </w:r>
    </w:p>
    <w:p>
      <w:pPr>
        <w:adjustRightInd w:val="0"/>
        <w:snapToGrid w:val="0"/>
        <w:spacing w:line="360" w:lineRule="auto"/>
        <w:ind w:firstLine="57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3、不发生与采购事项有关的其他违规违纪行为。</w:t>
      </w:r>
    </w:p>
    <w:p>
      <w:pPr>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4、如违反其中一项，同意将我公司列入政府采购黑名单并终止投标资格，今后不得参与我市政府采购活动，触犯法律由司法部门处理。</w:t>
      </w:r>
    </w:p>
    <w:p>
      <w:pPr>
        <w:adjustRightInd w:val="0"/>
        <w:snapToGrid w:val="0"/>
        <w:spacing w:line="440" w:lineRule="exact"/>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wordWrap w:val="0"/>
        <w:spacing w:line="600" w:lineRule="auto"/>
        <w:jc w:val="right"/>
        <w:rPr>
          <w:rFonts w:hint="eastAsia" w:ascii="宋体" w:hAnsi="宋体" w:cs="宋体"/>
          <w:color w:val="auto"/>
          <w:sz w:val="28"/>
          <w:szCs w:val="28"/>
          <w:highlight w:val="none"/>
        </w:rPr>
        <w:sectPr>
          <w:headerReference r:id="rId11" w:type="default"/>
          <w:footerReference r:id="rId12" w:type="default"/>
          <w:pgSz w:w="11906" w:h="16838"/>
          <w:pgMar w:top="1417" w:right="1417" w:bottom="1417" w:left="1417" w:header="851" w:footer="850" w:gutter="0"/>
          <w:cols w:space="720" w:num="1"/>
          <w:titlePg/>
          <w:docGrid w:type="linesAndChars" w:linePitch="312" w:charSpace="1228"/>
        </w:sectPr>
      </w:pPr>
      <w:r>
        <w:rPr>
          <w:rFonts w:hint="eastAsia" w:ascii="宋体" w:hAnsi="宋体" w:cs="宋体"/>
          <w:color w:val="auto"/>
          <w:sz w:val="28"/>
          <w:szCs w:val="28"/>
          <w:highlight w:val="none"/>
        </w:rPr>
        <w:t>日期：     年   月</w:t>
      </w:r>
      <w:bookmarkEnd w:id="173"/>
      <w:bookmarkEnd w:id="174"/>
      <w:bookmarkStart w:id="202" w:name="_Toc22473"/>
      <w:bookmarkStart w:id="203" w:name="_Toc5939"/>
      <w:bookmarkStart w:id="204" w:name="_Toc15866"/>
      <w:r>
        <w:rPr>
          <w:rFonts w:hint="eastAsia" w:ascii="宋体" w:hAnsi="宋体" w:cs="宋体"/>
          <w:color w:val="auto"/>
          <w:sz w:val="28"/>
          <w:szCs w:val="28"/>
          <w:highlight w:val="none"/>
        </w:rPr>
        <w:t xml:space="preserve">   日</w:t>
      </w:r>
    </w:p>
    <w:p>
      <w:pPr>
        <w:spacing w:line="600" w:lineRule="auto"/>
        <w:rPr>
          <w:rStyle w:val="24"/>
          <w:rFonts w:hint="eastAsia" w:ascii="宋体" w:hAnsi="宋体" w:eastAsia="宋体" w:cs="宋体"/>
          <w:b/>
          <w:bCs/>
          <w:color w:val="auto"/>
          <w:sz w:val="32"/>
          <w:szCs w:val="28"/>
          <w:highlight w:val="none"/>
        </w:rPr>
      </w:pPr>
      <w:r>
        <w:rPr>
          <w:rStyle w:val="24"/>
          <w:rFonts w:hint="eastAsia" w:ascii="宋体" w:hAnsi="宋体" w:eastAsia="宋体" w:cs="宋体"/>
          <w:b/>
          <w:bCs/>
          <w:color w:val="auto"/>
          <w:sz w:val="32"/>
          <w:szCs w:val="28"/>
          <w:highlight w:val="none"/>
        </w:rPr>
        <w:t>附件9:</w:t>
      </w:r>
      <w:bookmarkEnd w:id="202"/>
      <w:bookmarkEnd w:id="203"/>
      <w:bookmarkEnd w:id="204"/>
    </w:p>
    <w:p>
      <w:pPr>
        <w:pStyle w:val="2"/>
        <w:keepNext w:val="0"/>
        <w:numPr>
          <w:ilvl w:val="0"/>
          <w:numId w:val="0"/>
        </w:numPr>
        <w:jc w:val="center"/>
        <w:rPr>
          <w:rStyle w:val="24"/>
          <w:rFonts w:hint="eastAsia" w:ascii="宋体" w:hAnsi="宋体" w:eastAsia="宋体" w:cs="宋体"/>
          <w:color w:val="auto"/>
          <w:sz w:val="32"/>
          <w:szCs w:val="28"/>
          <w:highlight w:val="none"/>
        </w:rPr>
      </w:pPr>
      <w:bookmarkStart w:id="205" w:name="_Toc4526"/>
      <w:bookmarkStart w:id="206" w:name="_Toc6467"/>
      <w:bookmarkStart w:id="207" w:name="_Toc13267"/>
      <w:r>
        <w:rPr>
          <w:rStyle w:val="24"/>
          <w:rFonts w:hint="eastAsia" w:ascii="宋体" w:hAnsi="宋体" w:eastAsia="宋体" w:cs="宋体"/>
          <w:color w:val="auto"/>
          <w:sz w:val="32"/>
          <w:szCs w:val="28"/>
          <w:highlight w:val="none"/>
        </w:rPr>
        <w:t>商务条款偏离表</w:t>
      </w:r>
      <w:bookmarkEnd w:id="205"/>
      <w:bookmarkEnd w:id="206"/>
      <w:bookmarkEnd w:id="207"/>
    </w:p>
    <w:p>
      <w:pPr>
        <w:pStyle w:val="23"/>
        <w:spacing w:line="480" w:lineRule="exact"/>
        <w:ind w:firstLine="122" w:firstLineChars="43"/>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r>
        <w:rPr>
          <w:rFonts w:hint="eastAsia" w:ascii="宋体" w:hAnsi="宋体" w:cs="宋体"/>
          <w:color w:val="auto"/>
          <w:kern w:val="2"/>
          <w:sz w:val="28"/>
          <w:szCs w:val="28"/>
          <w:highlight w:val="none"/>
        </w:rPr>
        <w:t xml:space="preserve"> 　</w:t>
      </w:r>
      <w:r>
        <w:rPr>
          <w:rFonts w:hint="eastAsia" w:ascii="宋体" w:hAnsi="宋体" w:cs="宋体"/>
          <w:color w:val="auto"/>
          <w:sz w:val="28"/>
          <w:szCs w:val="28"/>
          <w:highlight w:val="none"/>
        </w:rPr>
        <w:t xml:space="preserve">　　　　　                                                                  </w:t>
      </w:r>
    </w:p>
    <w:tbl>
      <w:tblPr>
        <w:tblStyle w:val="19"/>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73"/>
        <w:gridCol w:w="2336"/>
        <w:gridCol w:w="2257"/>
        <w:gridCol w:w="1432"/>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5"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1773"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竞争性磋商文件条目号</w:t>
            </w:r>
          </w:p>
        </w:tc>
        <w:tc>
          <w:tcPr>
            <w:tcW w:w="2336"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竞争性磋商文件的商务条款</w:t>
            </w:r>
          </w:p>
        </w:tc>
        <w:tc>
          <w:tcPr>
            <w:tcW w:w="2257"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响应文件的商务条款</w:t>
            </w:r>
          </w:p>
        </w:tc>
        <w:tc>
          <w:tcPr>
            <w:tcW w:w="1432"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偏离</w:t>
            </w:r>
          </w:p>
        </w:tc>
        <w:tc>
          <w:tcPr>
            <w:tcW w:w="1164"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 w:type="dxa"/>
            <w:noWrap w:val="0"/>
            <w:vAlign w:val="top"/>
          </w:tcPr>
          <w:p>
            <w:pPr>
              <w:rPr>
                <w:rFonts w:hint="eastAsia" w:ascii="宋体" w:hAnsi="宋体" w:cs="宋体"/>
                <w:color w:val="auto"/>
                <w:sz w:val="28"/>
                <w:szCs w:val="28"/>
                <w:highlight w:val="none"/>
              </w:rPr>
            </w:pP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5" w:type="dxa"/>
            <w:noWrap w:val="0"/>
            <w:vAlign w:val="top"/>
          </w:tcPr>
          <w:p>
            <w:pPr>
              <w:rPr>
                <w:rFonts w:hint="eastAsia" w:ascii="宋体" w:hAnsi="宋体" w:cs="宋体"/>
                <w:color w:val="auto"/>
                <w:sz w:val="28"/>
                <w:szCs w:val="28"/>
                <w:highlight w:val="none"/>
              </w:rPr>
            </w:pPr>
            <w:r>
              <w:rPr>
                <w:rFonts w:hint="eastAsia" w:ascii="宋体" w:hAnsi="宋体" w:cs="宋体"/>
                <w:color w:val="auto"/>
                <w:sz w:val="28"/>
                <w:szCs w:val="28"/>
                <w:highlight w:val="none"/>
              </w:rPr>
              <w:t>...</w:t>
            </w:r>
          </w:p>
        </w:tc>
        <w:tc>
          <w:tcPr>
            <w:tcW w:w="1773" w:type="dxa"/>
            <w:noWrap w:val="0"/>
            <w:vAlign w:val="top"/>
          </w:tcPr>
          <w:p>
            <w:pPr>
              <w:rPr>
                <w:rFonts w:hint="eastAsia" w:ascii="宋体" w:hAnsi="宋体" w:cs="宋体"/>
                <w:color w:val="auto"/>
                <w:sz w:val="28"/>
                <w:szCs w:val="28"/>
                <w:highlight w:val="none"/>
              </w:rPr>
            </w:pPr>
          </w:p>
        </w:tc>
        <w:tc>
          <w:tcPr>
            <w:tcW w:w="2336" w:type="dxa"/>
            <w:noWrap w:val="0"/>
            <w:vAlign w:val="top"/>
          </w:tcPr>
          <w:p>
            <w:pPr>
              <w:rPr>
                <w:rFonts w:hint="eastAsia" w:ascii="宋体" w:hAnsi="宋体" w:cs="宋体"/>
                <w:color w:val="auto"/>
                <w:sz w:val="28"/>
                <w:szCs w:val="28"/>
                <w:highlight w:val="none"/>
              </w:rPr>
            </w:pPr>
          </w:p>
        </w:tc>
        <w:tc>
          <w:tcPr>
            <w:tcW w:w="2257" w:type="dxa"/>
            <w:noWrap w:val="0"/>
            <w:vAlign w:val="top"/>
          </w:tcPr>
          <w:p>
            <w:pPr>
              <w:rPr>
                <w:rFonts w:hint="eastAsia" w:ascii="宋体" w:hAnsi="宋体" w:cs="宋体"/>
                <w:color w:val="auto"/>
                <w:sz w:val="28"/>
                <w:szCs w:val="28"/>
                <w:highlight w:val="none"/>
              </w:rPr>
            </w:pPr>
          </w:p>
        </w:tc>
        <w:tc>
          <w:tcPr>
            <w:tcW w:w="1432" w:type="dxa"/>
            <w:noWrap w:val="0"/>
            <w:vAlign w:val="top"/>
          </w:tcPr>
          <w:p>
            <w:pPr>
              <w:rPr>
                <w:rFonts w:hint="eastAsia" w:ascii="宋体" w:hAnsi="宋体" w:cs="宋体"/>
                <w:color w:val="auto"/>
                <w:sz w:val="28"/>
                <w:szCs w:val="28"/>
                <w:highlight w:val="none"/>
              </w:rPr>
            </w:pPr>
          </w:p>
        </w:tc>
        <w:tc>
          <w:tcPr>
            <w:tcW w:w="1164" w:type="dxa"/>
            <w:noWrap w:val="0"/>
            <w:vAlign w:val="top"/>
          </w:tcPr>
          <w:p>
            <w:pPr>
              <w:rPr>
                <w:rFonts w:hint="eastAsia" w:ascii="宋体" w:hAnsi="宋体" w:cs="宋体"/>
                <w:color w:val="auto"/>
                <w:sz w:val="28"/>
                <w:szCs w:val="28"/>
                <w:highlight w:val="none"/>
              </w:rPr>
            </w:pPr>
          </w:p>
        </w:tc>
      </w:tr>
    </w:tbl>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注:若有偏离,请将具体偏离条款在“偏离”一栏中详细说明;若无偏离,请在“偏离”一栏中标注“无”字样。</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供应商名称（盖章）：</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bookmarkStart w:id="208" w:name="_Toc5781"/>
      <w:bookmarkStart w:id="209" w:name="_Toc28375"/>
      <w:bookmarkStart w:id="210" w:name="_Toc2824"/>
    </w:p>
    <w:p>
      <w:pPr>
        <w:spacing w:line="600" w:lineRule="auto"/>
        <w:rPr>
          <w:rStyle w:val="24"/>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4"/>
          <w:rFonts w:hint="eastAsia" w:ascii="宋体" w:hAnsi="宋体" w:eastAsia="宋体" w:cs="宋体"/>
          <w:b/>
          <w:bCs/>
          <w:color w:val="auto"/>
          <w:sz w:val="32"/>
          <w:szCs w:val="28"/>
          <w:highlight w:val="none"/>
        </w:rPr>
        <w:t>附件10:</w:t>
      </w:r>
      <w:bookmarkEnd w:id="208"/>
      <w:bookmarkEnd w:id="209"/>
      <w:bookmarkEnd w:id="210"/>
    </w:p>
    <w:p>
      <w:pPr>
        <w:pStyle w:val="2"/>
        <w:keepNext w:val="0"/>
        <w:numPr>
          <w:ilvl w:val="0"/>
          <w:numId w:val="0"/>
        </w:numPr>
        <w:jc w:val="center"/>
        <w:rPr>
          <w:rStyle w:val="24"/>
          <w:rFonts w:hint="eastAsia" w:ascii="宋体" w:hAnsi="宋体" w:eastAsia="宋体" w:cs="宋体"/>
          <w:color w:val="auto"/>
          <w:sz w:val="32"/>
          <w:szCs w:val="28"/>
          <w:highlight w:val="none"/>
        </w:rPr>
      </w:pPr>
      <w:bookmarkStart w:id="211" w:name="_Toc8429"/>
      <w:bookmarkStart w:id="212" w:name="_Toc8532"/>
      <w:bookmarkStart w:id="213" w:name="_Toc28929"/>
      <w:r>
        <w:rPr>
          <w:rStyle w:val="24"/>
          <w:rFonts w:hint="eastAsia" w:ascii="宋体" w:hAnsi="宋体" w:eastAsia="宋体" w:cs="宋体"/>
          <w:color w:val="auto"/>
          <w:sz w:val="32"/>
          <w:szCs w:val="28"/>
          <w:highlight w:val="none"/>
        </w:rPr>
        <w:t>技术规格偏离表</w:t>
      </w:r>
      <w:bookmarkEnd w:id="211"/>
      <w:bookmarkEnd w:id="212"/>
      <w:bookmarkEnd w:id="213"/>
    </w:p>
    <w:p>
      <w:pPr>
        <w:pStyle w:val="23"/>
        <w:spacing w:line="480" w:lineRule="exact"/>
        <w:ind w:firstLine="57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项目名称：　　　　　　　　　　　　                                                        </w:t>
      </w:r>
    </w:p>
    <w:tbl>
      <w:tblPr>
        <w:tblStyle w:val="19"/>
        <w:tblW w:w="8758"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29"/>
        <w:gridCol w:w="1809"/>
        <w:gridCol w:w="1278"/>
        <w:gridCol w:w="123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0"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2529"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竞争性磋商文件条目号</w:t>
            </w:r>
          </w:p>
        </w:tc>
        <w:tc>
          <w:tcPr>
            <w:tcW w:w="1809"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竞争性磋商文件的技术条款</w:t>
            </w:r>
          </w:p>
        </w:tc>
        <w:tc>
          <w:tcPr>
            <w:tcW w:w="1278"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响应文件的技术条款</w:t>
            </w:r>
          </w:p>
        </w:tc>
        <w:tc>
          <w:tcPr>
            <w:tcW w:w="1235"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偏离</w:t>
            </w:r>
          </w:p>
        </w:tc>
        <w:tc>
          <w:tcPr>
            <w:tcW w:w="1057"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50" w:type="dxa"/>
            <w:noWrap w:val="0"/>
            <w:vAlign w:val="top"/>
          </w:tcPr>
          <w:p>
            <w:pPr>
              <w:pStyle w:val="23"/>
              <w:spacing w:line="480" w:lineRule="exact"/>
              <w:rPr>
                <w:rFonts w:hint="eastAsia" w:ascii="宋体" w:hAnsi="宋体" w:cs="宋体"/>
                <w:color w:val="auto"/>
                <w:sz w:val="28"/>
                <w:szCs w:val="28"/>
                <w:highlight w:val="none"/>
              </w:rPr>
            </w:pPr>
          </w:p>
        </w:tc>
        <w:tc>
          <w:tcPr>
            <w:tcW w:w="2529" w:type="dxa"/>
            <w:noWrap w:val="0"/>
            <w:vAlign w:val="top"/>
          </w:tcPr>
          <w:p>
            <w:pPr>
              <w:pStyle w:val="23"/>
              <w:spacing w:line="480" w:lineRule="exact"/>
              <w:rPr>
                <w:rFonts w:hint="eastAsia" w:ascii="宋体" w:hAnsi="宋体" w:cs="宋体"/>
                <w:color w:val="auto"/>
                <w:sz w:val="28"/>
                <w:szCs w:val="28"/>
                <w:highlight w:val="none"/>
              </w:rPr>
            </w:pPr>
          </w:p>
        </w:tc>
        <w:tc>
          <w:tcPr>
            <w:tcW w:w="1809" w:type="dxa"/>
            <w:noWrap w:val="0"/>
            <w:vAlign w:val="top"/>
          </w:tcPr>
          <w:p>
            <w:pPr>
              <w:spacing w:line="480" w:lineRule="exact"/>
              <w:jc w:val="left"/>
              <w:rPr>
                <w:rFonts w:hint="eastAsia" w:ascii="宋体" w:hAnsi="宋体" w:cs="宋体"/>
                <w:color w:val="auto"/>
                <w:kern w:val="0"/>
                <w:sz w:val="28"/>
                <w:szCs w:val="28"/>
                <w:highlight w:val="none"/>
              </w:rPr>
            </w:pPr>
          </w:p>
          <w:p>
            <w:pPr>
              <w:pStyle w:val="23"/>
              <w:spacing w:line="480" w:lineRule="exact"/>
              <w:rPr>
                <w:rFonts w:hint="eastAsia" w:ascii="宋体" w:hAnsi="宋体" w:cs="宋体"/>
                <w:color w:val="auto"/>
                <w:sz w:val="28"/>
                <w:szCs w:val="28"/>
                <w:highlight w:val="none"/>
              </w:rPr>
            </w:pPr>
          </w:p>
        </w:tc>
        <w:tc>
          <w:tcPr>
            <w:tcW w:w="1278" w:type="dxa"/>
            <w:noWrap w:val="0"/>
            <w:vAlign w:val="top"/>
          </w:tcPr>
          <w:p>
            <w:pPr>
              <w:pStyle w:val="23"/>
              <w:spacing w:line="480" w:lineRule="exact"/>
              <w:rPr>
                <w:rFonts w:hint="eastAsia" w:ascii="宋体" w:hAnsi="宋体" w:cs="宋体"/>
                <w:color w:val="auto"/>
                <w:sz w:val="28"/>
                <w:szCs w:val="28"/>
                <w:highlight w:val="none"/>
              </w:rPr>
            </w:pPr>
          </w:p>
        </w:tc>
        <w:tc>
          <w:tcPr>
            <w:tcW w:w="1235" w:type="dxa"/>
            <w:noWrap w:val="0"/>
            <w:vAlign w:val="top"/>
          </w:tcPr>
          <w:p>
            <w:pPr>
              <w:pStyle w:val="23"/>
              <w:spacing w:line="480" w:lineRule="exact"/>
              <w:rPr>
                <w:rFonts w:hint="eastAsia" w:ascii="宋体" w:hAnsi="宋体" w:cs="宋体"/>
                <w:color w:val="auto"/>
                <w:sz w:val="28"/>
                <w:szCs w:val="28"/>
                <w:highlight w:val="none"/>
              </w:rPr>
            </w:pPr>
          </w:p>
        </w:tc>
        <w:tc>
          <w:tcPr>
            <w:tcW w:w="1057" w:type="dxa"/>
            <w:noWrap w:val="0"/>
            <w:vAlign w:val="top"/>
          </w:tcPr>
          <w:p>
            <w:pPr>
              <w:pStyle w:val="23"/>
              <w:spacing w:line="48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50" w:type="dxa"/>
            <w:noWrap w:val="0"/>
            <w:vAlign w:val="top"/>
          </w:tcPr>
          <w:p>
            <w:pPr>
              <w:pStyle w:val="23"/>
              <w:spacing w:line="480" w:lineRule="exact"/>
              <w:rPr>
                <w:rFonts w:hint="eastAsia" w:ascii="宋体" w:hAnsi="宋体" w:cs="宋体"/>
                <w:color w:val="auto"/>
                <w:sz w:val="28"/>
                <w:szCs w:val="28"/>
                <w:highlight w:val="none"/>
              </w:rPr>
            </w:pPr>
          </w:p>
        </w:tc>
        <w:tc>
          <w:tcPr>
            <w:tcW w:w="2529" w:type="dxa"/>
            <w:noWrap w:val="0"/>
            <w:vAlign w:val="top"/>
          </w:tcPr>
          <w:p>
            <w:pPr>
              <w:pStyle w:val="23"/>
              <w:spacing w:line="480" w:lineRule="exact"/>
              <w:rPr>
                <w:rFonts w:hint="eastAsia" w:ascii="宋体" w:hAnsi="宋体" w:cs="宋体"/>
                <w:color w:val="auto"/>
                <w:sz w:val="28"/>
                <w:szCs w:val="28"/>
                <w:highlight w:val="none"/>
              </w:rPr>
            </w:pPr>
          </w:p>
        </w:tc>
        <w:tc>
          <w:tcPr>
            <w:tcW w:w="1809" w:type="dxa"/>
            <w:noWrap w:val="0"/>
            <w:vAlign w:val="top"/>
          </w:tcPr>
          <w:p>
            <w:pPr>
              <w:spacing w:line="480" w:lineRule="exact"/>
              <w:jc w:val="left"/>
              <w:rPr>
                <w:rFonts w:hint="eastAsia" w:ascii="宋体" w:hAnsi="宋体" w:cs="宋体"/>
                <w:color w:val="auto"/>
                <w:kern w:val="0"/>
                <w:sz w:val="28"/>
                <w:szCs w:val="28"/>
                <w:highlight w:val="none"/>
              </w:rPr>
            </w:pPr>
          </w:p>
          <w:p>
            <w:pPr>
              <w:pStyle w:val="23"/>
              <w:spacing w:line="480" w:lineRule="exact"/>
              <w:rPr>
                <w:rFonts w:hint="eastAsia" w:ascii="宋体" w:hAnsi="宋体" w:cs="宋体"/>
                <w:color w:val="auto"/>
                <w:sz w:val="28"/>
                <w:szCs w:val="28"/>
                <w:highlight w:val="none"/>
              </w:rPr>
            </w:pPr>
          </w:p>
        </w:tc>
        <w:tc>
          <w:tcPr>
            <w:tcW w:w="1278" w:type="dxa"/>
            <w:noWrap w:val="0"/>
            <w:vAlign w:val="top"/>
          </w:tcPr>
          <w:p>
            <w:pPr>
              <w:pStyle w:val="23"/>
              <w:spacing w:line="480" w:lineRule="exact"/>
              <w:rPr>
                <w:rFonts w:hint="eastAsia" w:ascii="宋体" w:hAnsi="宋体" w:cs="宋体"/>
                <w:color w:val="auto"/>
                <w:sz w:val="28"/>
                <w:szCs w:val="28"/>
                <w:highlight w:val="none"/>
              </w:rPr>
            </w:pPr>
          </w:p>
        </w:tc>
        <w:tc>
          <w:tcPr>
            <w:tcW w:w="1235" w:type="dxa"/>
            <w:noWrap w:val="0"/>
            <w:vAlign w:val="top"/>
          </w:tcPr>
          <w:p>
            <w:pPr>
              <w:pStyle w:val="23"/>
              <w:spacing w:line="480" w:lineRule="exact"/>
              <w:rPr>
                <w:rFonts w:hint="eastAsia" w:ascii="宋体" w:hAnsi="宋体" w:cs="宋体"/>
                <w:color w:val="auto"/>
                <w:sz w:val="28"/>
                <w:szCs w:val="28"/>
                <w:highlight w:val="none"/>
              </w:rPr>
            </w:pPr>
          </w:p>
        </w:tc>
        <w:tc>
          <w:tcPr>
            <w:tcW w:w="1057" w:type="dxa"/>
            <w:noWrap w:val="0"/>
            <w:vAlign w:val="top"/>
          </w:tcPr>
          <w:p>
            <w:pPr>
              <w:pStyle w:val="23"/>
              <w:spacing w:line="480" w:lineRule="exact"/>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 w:type="dxa"/>
            <w:noWrap w:val="0"/>
            <w:vAlign w:val="top"/>
          </w:tcPr>
          <w:p>
            <w:pPr>
              <w:pStyle w:val="23"/>
              <w:spacing w:line="480" w:lineRule="exact"/>
              <w:rPr>
                <w:rFonts w:hint="eastAsia" w:ascii="宋体" w:hAnsi="宋体" w:cs="宋体"/>
                <w:color w:val="auto"/>
                <w:sz w:val="28"/>
                <w:szCs w:val="28"/>
                <w:highlight w:val="none"/>
              </w:rPr>
            </w:pPr>
          </w:p>
        </w:tc>
        <w:tc>
          <w:tcPr>
            <w:tcW w:w="2529" w:type="dxa"/>
            <w:noWrap w:val="0"/>
            <w:vAlign w:val="top"/>
          </w:tcPr>
          <w:p>
            <w:pPr>
              <w:pStyle w:val="23"/>
              <w:spacing w:line="480" w:lineRule="exact"/>
              <w:rPr>
                <w:rFonts w:hint="eastAsia" w:ascii="宋体" w:hAnsi="宋体" w:cs="宋体"/>
                <w:color w:val="auto"/>
                <w:sz w:val="28"/>
                <w:szCs w:val="28"/>
                <w:highlight w:val="none"/>
              </w:rPr>
            </w:pPr>
          </w:p>
        </w:tc>
        <w:tc>
          <w:tcPr>
            <w:tcW w:w="1809" w:type="dxa"/>
            <w:noWrap w:val="0"/>
            <w:vAlign w:val="top"/>
          </w:tcPr>
          <w:p>
            <w:pPr>
              <w:spacing w:line="480" w:lineRule="exact"/>
              <w:jc w:val="left"/>
              <w:rPr>
                <w:rFonts w:hint="eastAsia" w:ascii="宋体" w:hAnsi="宋体" w:cs="宋体"/>
                <w:color w:val="auto"/>
                <w:kern w:val="0"/>
                <w:sz w:val="28"/>
                <w:szCs w:val="28"/>
                <w:highlight w:val="none"/>
              </w:rPr>
            </w:pPr>
          </w:p>
          <w:p>
            <w:pPr>
              <w:pStyle w:val="23"/>
              <w:spacing w:line="480" w:lineRule="exact"/>
              <w:rPr>
                <w:rFonts w:hint="eastAsia" w:ascii="宋体" w:hAnsi="宋体" w:cs="宋体"/>
                <w:color w:val="auto"/>
                <w:sz w:val="28"/>
                <w:szCs w:val="28"/>
                <w:highlight w:val="none"/>
              </w:rPr>
            </w:pPr>
          </w:p>
        </w:tc>
        <w:tc>
          <w:tcPr>
            <w:tcW w:w="1278" w:type="dxa"/>
            <w:noWrap w:val="0"/>
            <w:vAlign w:val="top"/>
          </w:tcPr>
          <w:p>
            <w:pPr>
              <w:pStyle w:val="23"/>
              <w:spacing w:line="480" w:lineRule="exact"/>
              <w:rPr>
                <w:rFonts w:hint="eastAsia" w:ascii="宋体" w:hAnsi="宋体" w:cs="宋体"/>
                <w:color w:val="auto"/>
                <w:sz w:val="28"/>
                <w:szCs w:val="28"/>
                <w:highlight w:val="none"/>
              </w:rPr>
            </w:pPr>
          </w:p>
        </w:tc>
        <w:tc>
          <w:tcPr>
            <w:tcW w:w="1235" w:type="dxa"/>
            <w:noWrap w:val="0"/>
            <w:vAlign w:val="top"/>
          </w:tcPr>
          <w:p>
            <w:pPr>
              <w:pStyle w:val="23"/>
              <w:spacing w:line="480" w:lineRule="exact"/>
              <w:rPr>
                <w:rFonts w:hint="eastAsia" w:ascii="宋体" w:hAnsi="宋体" w:cs="宋体"/>
                <w:color w:val="auto"/>
                <w:sz w:val="28"/>
                <w:szCs w:val="28"/>
                <w:highlight w:val="none"/>
              </w:rPr>
            </w:pPr>
          </w:p>
        </w:tc>
        <w:tc>
          <w:tcPr>
            <w:tcW w:w="1057" w:type="dxa"/>
            <w:noWrap w:val="0"/>
            <w:vAlign w:val="top"/>
          </w:tcPr>
          <w:p>
            <w:pPr>
              <w:pStyle w:val="23"/>
              <w:spacing w:line="480" w:lineRule="exact"/>
              <w:rPr>
                <w:rFonts w:hint="eastAsia" w:ascii="宋体" w:hAnsi="宋体" w:cs="宋体"/>
                <w:color w:val="auto"/>
                <w:sz w:val="28"/>
                <w:szCs w:val="28"/>
                <w:highlight w:val="none"/>
              </w:rPr>
            </w:pPr>
          </w:p>
        </w:tc>
      </w:tr>
    </w:tbl>
    <w:p>
      <w:pPr>
        <w:spacing w:line="360" w:lineRule="auto"/>
        <w:rPr>
          <w:rFonts w:hint="eastAsia" w:ascii="宋体" w:hAnsi="宋体" w:cs="宋体"/>
          <w:color w:val="auto"/>
          <w:sz w:val="28"/>
          <w:szCs w:val="28"/>
          <w:highlight w:val="none"/>
        </w:rPr>
      </w:pPr>
      <w:bookmarkStart w:id="214" w:name="_Toc32067"/>
      <w:bookmarkStart w:id="215" w:name="_Toc19858"/>
      <w:r>
        <w:rPr>
          <w:rFonts w:hint="eastAsia" w:ascii="宋体" w:hAnsi="宋体" w:cs="宋体"/>
          <w:color w:val="auto"/>
          <w:sz w:val="28"/>
          <w:szCs w:val="28"/>
          <w:highlight w:val="none"/>
        </w:rPr>
        <w:t>注:若有偏离,请将具体偏离条款在“偏离”一栏中详细说明;若无偏离,请在“偏离”一栏中标注“无”字样。</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供应商名称（盖章）：</w:t>
      </w:r>
    </w:p>
    <w:p>
      <w:pPr>
        <w:spacing w:line="60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pStyle w:val="2"/>
        <w:keepNext w:val="0"/>
        <w:numPr>
          <w:ilvl w:val="0"/>
          <w:numId w:val="0"/>
        </w:numPr>
        <w:jc w:val="left"/>
        <w:rPr>
          <w:rFonts w:hint="eastAsia" w:ascii="宋体" w:hAnsi="宋体" w:cs="宋体"/>
          <w:color w:val="auto"/>
          <w:sz w:val="28"/>
          <w:szCs w:val="28"/>
          <w:highlight w:val="none"/>
        </w:rPr>
        <w:sectPr>
          <w:headerReference r:id="rId14" w:type="first"/>
          <w:footerReference r:id="rId16" w:type="first"/>
          <w:headerReference r:id="rId13" w:type="default"/>
          <w:footerReference r:id="rId15" w:type="default"/>
          <w:pgSz w:w="11906" w:h="16838"/>
          <w:pgMar w:top="1417" w:right="1417" w:bottom="1417" w:left="1417" w:header="851" w:footer="850" w:gutter="0"/>
          <w:cols w:space="720" w:num="1"/>
          <w:titlePg/>
          <w:docGrid w:type="linesAndChars" w:linePitch="312" w:charSpace="1228"/>
        </w:sectPr>
      </w:pPr>
      <w:r>
        <w:rPr>
          <w:rFonts w:hint="eastAsia" w:ascii="宋体" w:hAnsi="宋体" w:cs="宋体"/>
          <w:color w:val="auto"/>
          <w:sz w:val="28"/>
          <w:szCs w:val="28"/>
          <w:highlight w:val="none"/>
        </w:rPr>
        <w:t>日期：     年   月   日</w:t>
      </w:r>
      <w:bookmarkEnd w:id="214"/>
      <w:bookmarkEnd w:id="215"/>
      <w:bookmarkStart w:id="216" w:name="_Toc10091"/>
      <w:bookmarkStart w:id="217" w:name="_Toc6379"/>
      <w:bookmarkStart w:id="218" w:name="_Toc24389"/>
    </w:p>
    <w:p>
      <w:pPr>
        <w:pStyle w:val="2"/>
        <w:keepNext w:val="0"/>
        <w:numPr>
          <w:ilvl w:val="0"/>
          <w:numId w:val="0"/>
        </w:numPr>
        <w:jc w:val="left"/>
        <w:rPr>
          <w:rStyle w:val="24"/>
          <w:rFonts w:hint="eastAsia" w:ascii="宋体" w:hAnsi="宋体" w:eastAsia="宋体" w:cs="宋体"/>
          <w:color w:val="auto"/>
          <w:sz w:val="32"/>
          <w:szCs w:val="28"/>
          <w:highlight w:val="none"/>
        </w:rPr>
      </w:pPr>
      <w:r>
        <w:rPr>
          <w:rStyle w:val="24"/>
          <w:rFonts w:hint="eastAsia" w:ascii="宋体" w:hAnsi="宋体" w:eastAsia="宋体" w:cs="宋体"/>
          <w:color w:val="auto"/>
          <w:sz w:val="32"/>
          <w:szCs w:val="28"/>
          <w:highlight w:val="none"/>
        </w:rPr>
        <w:t>附件11:</w:t>
      </w:r>
      <w:bookmarkEnd w:id="216"/>
      <w:bookmarkEnd w:id="217"/>
      <w:bookmarkEnd w:id="218"/>
    </w:p>
    <w:p>
      <w:pPr>
        <w:pStyle w:val="2"/>
        <w:keepNext w:val="0"/>
        <w:numPr>
          <w:ilvl w:val="0"/>
          <w:numId w:val="0"/>
        </w:numPr>
        <w:jc w:val="center"/>
        <w:rPr>
          <w:rStyle w:val="24"/>
          <w:rFonts w:hint="eastAsia" w:ascii="宋体" w:hAnsi="宋体" w:eastAsia="宋体" w:cs="宋体"/>
          <w:color w:val="auto"/>
          <w:sz w:val="32"/>
          <w:szCs w:val="28"/>
          <w:highlight w:val="none"/>
        </w:rPr>
      </w:pPr>
      <w:r>
        <w:rPr>
          <w:rStyle w:val="24"/>
          <w:rFonts w:hint="eastAsia" w:ascii="宋体" w:hAnsi="宋体" w:eastAsia="宋体" w:cs="宋体"/>
          <w:color w:val="auto"/>
          <w:sz w:val="32"/>
          <w:szCs w:val="28"/>
          <w:highlight w:val="none"/>
        </w:rPr>
        <w:t>近三年同类项目业绩表</w:t>
      </w:r>
    </w:p>
    <w:tbl>
      <w:tblPr>
        <w:tblStyle w:val="19"/>
        <w:tblW w:w="496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35"/>
        <w:gridCol w:w="1795"/>
        <w:gridCol w:w="1751"/>
        <w:gridCol w:w="1352"/>
        <w:gridCol w:w="1746"/>
        <w:gridCol w:w="16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序号</w:t>
            </w:r>
          </w:p>
        </w:tc>
        <w:tc>
          <w:tcPr>
            <w:tcW w:w="983"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tc>
        <w:tc>
          <w:tcPr>
            <w:tcW w:w="959"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完成时间</w:t>
            </w:r>
          </w:p>
        </w:tc>
        <w:tc>
          <w:tcPr>
            <w:tcW w:w="741"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合同金额</w:t>
            </w:r>
          </w:p>
        </w:tc>
        <w:tc>
          <w:tcPr>
            <w:tcW w:w="957" w:type="pct"/>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采购人名称</w:t>
            </w: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bottom w:val="single" w:color="auto" w:sz="4" w:space="0"/>
            </w:tcBorders>
            <w:noWrap w:val="0"/>
            <w:vAlign w:val="center"/>
          </w:tcPr>
          <w:p>
            <w:pPr>
              <w:jc w:val="center"/>
              <w:rPr>
                <w:rFonts w:hint="eastAsia" w:ascii="宋体" w:hAnsi="宋体" w:cs="宋体"/>
                <w:bCs/>
                <w:color w:val="auto"/>
                <w:sz w:val="28"/>
                <w:szCs w:val="28"/>
                <w:highlight w:val="none"/>
              </w:rPr>
            </w:pP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457" w:type="pct"/>
            <w:tcBorders>
              <w:top w:val="single" w:color="auto" w:sz="4" w:space="0"/>
            </w:tcBorders>
            <w:noWrap w:val="0"/>
            <w:vAlign w:val="center"/>
          </w:tcPr>
          <w:p>
            <w:pPr>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w:t>
            </w:r>
          </w:p>
        </w:tc>
        <w:tc>
          <w:tcPr>
            <w:tcW w:w="983" w:type="pct"/>
            <w:noWrap w:val="0"/>
            <w:vAlign w:val="center"/>
          </w:tcPr>
          <w:p>
            <w:pPr>
              <w:jc w:val="center"/>
              <w:rPr>
                <w:rFonts w:hint="eastAsia" w:ascii="宋体" w:hAnsi="宋体" w:cs="宋体"/>
                <w:bCs/>
                <w:color w:val="auto"/>
                <w:sz w:val="28"/>
                <w:szCs w:val="28"/>
                <w:highlight w:val="none"/>
              </w:rPr>
            </w:pPr>
          </w:p>
        </w:tc>
        <w:tc>
          <w:tcPr>
            <w:tcW w:w="959" w:type="pct"/>
            <w:noWrap w:val="0"/>
            <w:vAlign w:val="center"/>
          </w:tcPr>
          <w:p>
            <w:pPr>
              <w:jc w:val="center"/>
              <w:rPr>
                <w:rFonts w:hint="eastAsia" w:ascii="宋体" w:hAnsi="宋体" w:cs="宋体"/>
                <w:bCs/>
                <w:color w:val="auto"/>
                <w:sz w:val="28"/>
                <w:szCs w:val="28"/>
                <w:highlight w:val="none"/>
              </w:rPr>
            </w:pPr>
          </w:p>
        </w:tc>
        <w:tc>
          <w:tcPr>
            <w:tcW w:w="741" w:type="pct"/>
            <w:noWrap w:val="0"/>
            <w:vAlign w:val="center"/>
          </w:tcPr>
          <w:p>
            <w:pPr>
              <w:jc w:val="center"/>
              <w:rPr>
                <w:rFonts w:hint="eastAsia" w:ascii="宋体" w:hAnsi="宋体" w:cs="宋体"/>
                <w:bCs/>
                <w:color w:val="auto"/>
                <w:sz w:val="28"/>
                <w:szCs w:val="28"/>
                <w:highlight w:val="none"/>
              </w:rPr>
            </w:pPr>
          </w:p>
        </w:tc>
        <w:tc>
          <w:tcPr>
            <w:tcW w:w="957" w:type="pct"/>
            <w:noWrap w:val="0"/>
            <w:vAlign w:val="center"/>
          </w:tcPr>
          <w:p>
            <w:pPr>
              <w:jc w:val="center"/>
              <w:rPr>
                <w:rFonts w:hint="eastAsia" w:ascii="宋体" w:hAnsi="宋体" w:cs="宋体"/>
                <w:bCs/>
                <w:color w:val="auto"/>
                <w:sz w:val="28"/>
                <w:szCs w:val="28"/>
                <w:highlight w:val="none"/>
              </w:rPr>
            </w:pPr>
          </w:p>
        </w:tc>
        <w:tc>
          <w:tcPr>
            <w:tcW w:w="901" w:type="pct"/>
            <w:tcBorders>
              <w:left w:val="single" w:color="auto" w:sz="4" w:space="0"/>
            </w:tcBorders>
            <w:noWrap w:val="0"/>
            <w:vAlign w:val="center"/>
          </w:tcPr>
          <w:p>
            <w:pPr>
              <w:jc w:val="center"/>
              <w:rPr>
                <w:rFonts w:hint="eastAsia" w:ascii="宋体" w:hAnsi="宋体" w:cs="宋体"/>
                <w:bCs/>
                <w:color w:val="auto"/>
                <w:sz w:val="28"/>
                <w:szCs w:val="28"/>
                <w:highlight w:val="none"/>
              </w:rPr>
            </w:pPr>
          </w:p>
        </w:tc>
      </w:tr>
    </w:tbl>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注：1、所提供的业绩应提供其采购人的联系方式及业绩证明材料（否则其业绩不予认可）。</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2、附业绩证明资料（如成交通知书/中标通知书或合同复印件）</w:t>
      </w:r>
    </w:p>
    <w:p>
      <w:pPr>
        <w:spacing w:line="500" w:lineRule="exact"/>
        <w:rPr>
          <w:rFonts w:hint="eastAsia" w:ascii="宋体" w:hAnsi="宋体" w:cs="宋体"/>
          <w:b/>
          <w:bCs/>
          <w:color w:val="auto"/>
          <w:sz w:val="28"/>
          <w:szCs w:val="28"/>
          <w:highlight w:val="none"/>
        </w:rPr>
      </w:pPr>
    </w:p>
    <w:p>
      <w:pPr>
        <w:spacing w:line="500" w:lineRule="exact"/>
        <w:rPr>
          <w:rFonts w:hint="eastAsia" w:ascii="宋体" w:hAnsi="宋体" w:cs="宋体"/>
          <w:b/>
          <w:bCs/>
          <w:color w:val="auto"/>
          <w:sz w:val="28"/>
          <w:szCs w:val="28"/>
          <w:highlight w:val="none"/>
        </w:rPr>
      </w:pPr>
    </w:p>
    <w:p>
      <w:pPr>
        <w:pStyle w:val="10"/>
        <w:ind w:firstLine="0"/>
        <w:jc w:val="center"/>
        <w:rPr>
          <w:rFonts w:hint="eastAsia" w:ascii="宋体" w:hAnsi="宋体" w:eastAsia="宋体" w:cs="宋体"/>
          <w:bCs/>
          <w:color w:val="auto"/>
          <w:highlight w:val="none"/>
        </w:rPr>
      </w:pPr>
      <w:r>
        <w:rPr>
          <w:rFonts w:hint="eastAsia" w:ascii="宋体" w:hAnsi="宋体" w:eastAsia="宋体" w:cs="宋体"/>
          <w:bCs/>
          <w:color w:val="auto"/>
          <w:highlight w:val="none"/>
        </w:rPr>
        <w:t xml:space="preserve">      供应商名称（盖章）：</w:t>
      </w:r>
    </w:p>
    <w:p>
      <w:pPr>
        <w:pStyle w:val="10"/>
        <w:ind w:left="838" w:firstLine="570" w:firstLineChars="200"/>
        <w:jc w:val="right"/>
        <w:rPr>
          <w:rFonts w:hint="eastAsia" w:ascii="宋体" w:hAnsi="宋体" w:eastAsia="宋体" w:cs="宋体"/>
          <w:bCs/>
          <w:color w:val="auto"/>
          <w:highlight w:val="none"/>
        </w:rPr>
      </w:pPr>
    </w:p>
    <w:p>
      <w:pPr>
        <w:pStyle w:val="10"/>
        <w:ind w:left="838" w:firstLine="57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法定代表人或委托代理人（签字或盖章）：</w:t>
      </w:r>
    </w:p>
    <w:p>
      <w:pPr>
        <w:pStyle w:val="23"/>
        <w:wordWrap w:val="0"/>
        <w:spacing w:line="360" w:lineRule="auto"/>
        <w:ind w:firstLine="567"/>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500" w:lineRule="exact"/>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日期：     年   月   日</w:t>
      </w:r>
      <w:bookmarkStart w:id="219" w:name="_Toc27572"/>
      <w:bookmarkStart w:id="220" w:name="_Toc13500"/>
      <w:bookmarkStart w:id="221" w:name="_Toc597"/>
    </w:p>
    <w:p>
      <w:pPr>
        <w:spacing w:line="500" w:lineRule="exact"/>
        <w:rPr>
          <w:rStyle w:val="24"/>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4"/>
          <w:rFonts w:hint="eastAsia" w:ascii="宋体" w:hAnsi="宋体" w:eastAsia="宋体" w:cs="宋体"/>
          <w:b/>
          <w:bCs/>
          <w:color w:val="auto"/>
          <w:sz w:val="32"/>
          <w:szCs w:val="28"/>
          <w:highlight w:val="none"/>
        </w:rPr>
        <w:t>附件12:</w:t>
      </w:r>
      <w:bookmarkEnd w:id="219"/>
      <w:bookmarkEnd w:id="220"/>
      <w:bookmarkEnd w:id="221"/>
    </w:p>
    <w:p>
      <w:pPr>
        <w:pStyle w:val="2"/>
        <w:keepNext w:val="0"/>
        <w:numPr>
          <w:ilvl w:val="0"/>
          <w:numId w:val="0"/>
        </w:numPr>
        <w:jc w:val="center"/>
        <w:rPr>
          <w:rStyle w:val="24"/>
          <w:rFonts w:hint="eastAsia" w:ascii="宋体" w:hAnsi="宋体" w:eastAsia="宋体" w:cs="宋体"/>
          <w:color w:val="auto"/>
          <w:sz w:val="32"/>
          <w:szCs w:val="28"/>
          <w:highlight w:val="none"/>
        </w:rPr>
      </w:pPr>
      <w:bookmarkStart w:id="222" w:name="_Toc15132"/>
      <w:bookmarkStart w:id="223" w:name="_Toc4298"/>
      <w:r>
        <w:rPr>
          <w:rStyle w:val="24"/>
          <w:rFonts w:hint="eastAsia" w:ascii="宋体" w:hAnsi="宋体" w:eastAsia="宋体" w:cs="宋体"/>
          <w:color w:val="auto"/>
          <w:sz w:val="32"/>
          <w:szCs w:val="28"/>
          <w:highlight w:val="none"/>
        </w:rPr>
        <w:t>拟派项目负责人简历表</w:t>
      </w:r>
      <w:bookmarkEnd w:id="222"/>
      <w:bookmarkEnd w:id="223"/>
    </w:p>
    <w:tbl>
      <w:tblPr>
        <w:tblStyle w:val="19"/>
        <w:tblW w:w="487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313"/>
        <w:gridCol w:w="972"/>
        <w:gridCol w:w="905"/>
        <w:gridCol w:w="375"/>
        <w:gridCol w:w="1367"/>
        <w:gridCol w:w="297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姓名</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性别</w:t>
            </w:r>
          </w:p>
        </w:tc>
        <w:tc>
          <w:tcPr>
            <w:tcW w:w="754"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年龄</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职务</w:t>
            </w:r>
          </w:p>
        </w:tc>
        <w:tc>
          <w:tcPr>
            <w:tcW w:w="710"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拟在本项目担任职务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执业资格证</w:t>
            </w:r>
          </w:p>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或注册证书</w:t>
            </w:r>
          </w:p>
        </w:tc>
        <w:tc>
          <w:tcPr>
            <w:tcW w:w="146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u w:val="singl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证书编号</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52" w:type="pct"/>
            <w:gridSpan w:val="3"/>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参加工作时间</w:t>
            </w:r>
          </w:p>
        </w:tc>
        <w:tc>
          <w:tcPr>
            <w:tcW w:w="70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2396"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从事本专业工作时间</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年份</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参加过的</w:t>
            </w:r>
          </w:p>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服务内容</w:t>
            </w: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担任职务</w:t>
            </w: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15"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962" w:type="pct"/>
            <w:gridSpan w:val="2"/>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1641"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c>
          <w:tcPr>
            <w:tcW w:w="643" w:type="pct"/>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800"/>
              </w:tabs>
              <w:jc w:val="center"/>
              <w:rPr>
                <w:rFonts w:hint="eastAsia" w:ascii="宋体" w:hAnsi="宋体" w:cs="宋体"/>
                <w:color w:val="auto"/>
                <w:sz w:val="28"/>
                <w:szCs w:val="28"/>
                <w:highlight w:val="none"/>
              </w:rPr>
            </w:pPr>
          </w:p>
        </w:tc>
      </w:tr>
    </w:tbl>
    <w:p>
      <w:pPr>
        <w:spacing w:line="360" w:lineRule="auto"/>
        <w:jc w:val="left"/>
        <w:rPr>
          <w:rStyle w:val="25"/>
          <w:rFonts w:hint="eastAsia" w:ascii="宋体" w:hAnsi="宋体" w:cs="宋体"/>
          <w:color w:val="auto"/>
          <w:sz w:val="28"/>
          <w:szCs w:val="28"/>
          <w:highlight w:val="none"/>
        </w:rPr>
      </w:pPr>
      <w:bookmarkStart w:id="224" w:name="_Toc27273"/>
      <w:bookmarkStart w:id="225" w:name="_Toc25963"/>
      <w:bookmarkStart w:id="226" w:name="_Toc23652"/>
      <w:r>
        <w:rPr>
          <w:rStyle w:val="25"/>
          <w:rFonts w:hint="eastAsia" w:ascii="宋体" w:hAnsi="宋体" w:cs="宋体"/>
          <w:color w:val="auto"/>
          <w:sz w:val="28"/>
          <w:szCs w:val="28"/>
          <w:highlight w:val="none"/>
        </w:rPr>
        <w:t>附项目负责人相关资料、业绩证明资料复印件（如成交通知书/中标通知书或合同复印件），作为本表的附件。</w:t>
      </w:r>
    </w:p>
    <w:bookmarkEnd w:id="224"/>
    <w:bookmarkEnd w:id="225"/>
    <w:bookmarkEnd w:id="226"/>
    <w:p>
      <w:pPr>
        <w:pStyle w:val="10"/>
        <w:ind w:firstLine="0"/>
        <w:jc w:val="center"/>
        <w:rPr>
          <w:rFonts w:hint="eastAsia" w:ascii="宋体" w:hAnsi="宋体" w:eastAsia="宋体" w:cs="宋体"/>
          <w:bCs/>
          <w:color w:val="auto"/>
          <w:highlight w:val="none"/>
        </w:rPr>
      </w:pPr>
      <w:r>
        <w:rPr>
          <w:rFonts w:hint="eastAsia" w:ascii="宋体" w:hAnsi="宋体" w:eastAsia="宋体" w:cs="宋体"/>
          <w:bCs/>
          <w:color w:val="auto"/>
          <w:highlight w:val="none"/>
        </w:rPr>
        <w:t xml:space="preserve">         供应商名称（盖章）：</w:t>
      </w:r>
    </w:p>
    <w:p>
      <w:pPr>
        <w:pStyle w:val="10"/>
        <w:ind w:left="838" w:firstLine="57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法定代表人或委托代理人（签字或盖章）：</w:t>
      </w:r>
    </w:p>
    <w:p>
      <w:pPr>
        <w:pStyle w:val="23"/>
        <w:wordWrap w:val="0"/>
        <w:spacing w:line="360" w:lineRule="auto"/>
        <w:ind w:firstLine="567"/>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日期：     年   月   日</w:t>
      </w:r>
      <w:bookmarkStart w:id="227" w:name="_Toc4287"/>
      <w:bookmarkStart w:id="228" w:name="_Toc26982"/>
      <w:bookmarkStart w:id="229" w:name="_Toc6788"/>
    </w:p>
    <w:p>
      <w:pPr>
        <w:spacing w:line="360" w:lineRule="auto"/>
        <w:rPr>
          <w:rStyle w:val="24"/>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4"/>
          <w:rFonts w:hint="eastAsia" w:ascii="宋体" w:hAnsi="宋体" w:eastAsia="宋体" w:cs="宋体"/>
          <w:b/>
          <w:bCs/>
          <w:color w:val="auto"/>
          <w:sz w:val="32"/>
          <w:szCs w:val="28"/>
          <w:highlight w:val="none"/>
        </w:rPr>
        <w:t>附件13:</w:t>
      </w:r>
      <w:bookmarkEnd w:id="227"/>
      <w:bookmarkEnd w:id="228"/>
      <w:bookmarkEnd w:id="229"/>
    </w:p>
    <w:p>
      <w:pPr>
        <w:pStyle w:val="2"/>
        <w:keepNext w:val="0"/>
        <w:numPr>
          <w:ilvl w:val="0"/>
          <w:numId w:val="0"/>
        </w:numPr>
        <w:jc w:val="center"/>
        <w:rPr>
          <w:rStyle w:val="24"/>
          <w:rFonts w:hint="eastAsia" w:ascii="宋体" w:hAnsi="宋体" w:eastAsia="宋体" w:cs="宋体"/>
          <w:color w:val="auto"/>
          <w:sz w:val="32"/>
          <w:szCs w:val="28"/>
          <w:highlight w:val="none"/>
        </w:rPr>
      </w:pPr>
      <w:bookmarkStart w:id="230" w:name="_Toc14959"/>
      <w:bookmarkStart w:id="231" w:name="_Toc445"/>
      <w:bookmarkStart w:id="232" w:name="_Toc2396"/>
      <w:r>
        <w:rPr>
          <w:rStyle w:val="24"/>
          <w:rFonts w:hint="eastAsia" w:ascii="宋体" w:hAnsi="宋体" w:eastAsia="宋体" w:cs="宋体"/>
          <w:color w:val="auto"/>
          <w:sz w:val="32"/>
          <w:szCs w:val="28"/>
          <w:highlight w:val="none"/>
        </w:rPr>
        <w:t>拟派本项目技术人员配置情况表</w:t>
      </w:r>
      <w:bookmarkEnd w:id="230"/>
      <w:bookmarkEnd w:id="231"/>
      <w:bookmarkEnd w:id="232"/>
    </w:p>
    <w:tbl>
      <w:tblPr>
        <w:tblStyle w:val="1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91"/>
        <w:gridCol w:w="941"/>
        <w:gridCol w:w="1473"/>
        <w:gridCol w:w="1145"/>
        <w:gridCol w:w="1105"/>
        <w:gridCol w:w="886"/>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59" w:type="dxa"/>
            <w:tcBorders>
              <w:top w:val="single" w:color="auto" w:sz="8" w:space="0"/>
              <w:lef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职务</w:t>
            </w:r>
          </w:p>
        </w:tc>
        <w:tc>
          <w:tcPr>
            <w:tcW w:w="1091" w:type="dxa"/>
            <w:tcBorders>
              <w:top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姓名</w:t>
            </w:r>
          </w:p>
        </w:tc>
        <w:tc>
          <w:tcPr>
            <w:tcW w:w="941" w:type="dxa"/>
            <w:tcBorders>
              <w:top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职称</w:t>
            </w:r>
          </w:p>
        </w:tc>
        <w:tc>
          <w:tcPr>
            <w:tcW w:w="1473"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证书名称</w:t>
            </w:r>
          </w:p>
        </w:tc>
        <w:tc>
          <w:tcPr>
            <w:tcW w:w="1145"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级别</w:t>
            </w:r>
          </w:p>
        </w:tc>
        <w:tc>
          <w:tcPr>
            <w:tcW w:w="1105"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证号</w:t>
            </w:r>
          </w:p>
        </w:tc>
        <w:tc>
          <w:tcPr>
            <w:tcW w:w="886"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专业</w:t>
            </w:r>
          </w:p>
        </w:tc>
        <w:tc>
          <w:tcPr>
            <w:tcW w:w="886" w:type="dxa"/>
            <w:tcBorders>
              <w:top w:val="single" w:color="auto" w:sz="8" w:space="0"/>
              <w:right w:val="single" w:color="auto" w:sz="8" w:space="0"/>
            </w:tcBorders>
            <w:noWrap w:val="0"/>
            <w:vAlign w:val="center"/>
          </w:tcPr>
          <w:p>
            <w:pPr>
              <w:spacing w:line="44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rPr>
                <w:rFonts w:hint="eastAsia" w:ascii="宋体" w:hAnsi="宋体" w:eastAsia="宋体" w:cs="宋体"/>
                <w:b/>
                <w:bCs/>
                <w:color w:val="auto"/>
                <w:szCs w:val="28"/>
                <w:highlight w:val="none"/>
              </w:rPr>
            </w:pPr>
            <w:bookmarkStart w:id="233" w:name="_Toc20197"/>
            <w:r>
              <w:rPr>
                <w:rFonts w:hint="eastAsia" w:ascii="宋体" w:hAnsi="宋体" w:eastAsia="宋体" w:cs="宋体"/>
                <w:b/>
                <w:bCs/>
                <w:color w:val="auto"/>
                <w:szCs w:val="28"/>
                <w:highlight w:val="none"/>
              </w:rPr>
              <w:t>一、总部人员</w:t>
            </w:r>
            <w:bookmarkEnd w:id="2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bookmarkStart w:id="234" w:name="_Toc13981"/>
            <w:r>
              <w:rPr>
                <w:rFonts w:hint="eastAsia" w:ascii="宋体" w:hAnsi="宋体" w:eastAsia="宋体" w:cs="宋体"/>
                <w:b/>
                <w:bCs/>
                <w:color w:val="auto"/>
                <w:szCs w:val="28"/>
                <w:highlight w:val="none"/>
              </w:rPr>
              <w:t>......</w:t>
            </w:r>
            <w:bookmarkEnd w:id="234"/>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rPr>
                <w:rFonts w:hint="eastAsia" w:ascii="宋体" w:hAnsi="宋体" w:eastAsia="宋体" w:cs="宋体"/>
                <w:b/>
                <w:bCs/>
                <w:color w:val="auto"/>
                <w:szCs w:val="28"/>
                <w:highlight w:val="none"/>
              </w:rPr>
            </w:pPr>
            <w:bookmarkStart w:id="235" w:name="_Toc16970"/>
            <w:r>
              <w:rPr>
                <w:rFonts w:hint="eastAsia" w:ascii="宋体" w:hAnsi="宋体" w:eastAsia="宋体" w:cs="宋体"/>
                <w:b/>
                <w:bCs/>
                <w:color w:val="auto"/>
                <w:szCs w:val="28"/>
                <w:highlight w:val="none"/>
              </w:rPr>
              <w:t>二、现场人员</w:t>
            </w:r>
            <w:bookmarkEnd w:id="2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b/>
                <w:bCs/>
                <w:color w:val="auto"/>
                <w:kern w:val="2"/>
                <w:szCs w:val="28"/>
                <w:highlight w:val="none"/>
              </w:rPr>
            </w:pPr>
            <w:bookmarkStart w:id="236" w:name="_Toc26284"/>
            <w:r>
              <w:rPr>
                <w:rFonts w:hint="eastAsia" w:ascii="宋体" w:hAnsi="宋体" w:eastAsia="宋体" w:cs="宋体"/>
                <w:b/>
                <w:bCs/>
                <w:color w:val="auto"/>
                <w:szCs w:val="28"/>
                <w:highlight w:val="none"/>
              </w:rPr>
              <w:t>项目负责人</w:t>
            </w:r>
            <w:bookmarkEnd w:id="236"/>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15"/>
              <w:ind w:left="572" w:hanging="572"/>
              <w:jc w:val="center"/>
              <w:rPr>
                <w:rFonts w:hint="eastAsia" w:ascii="宋体" w:hAnsi="宋体" w:cs="宋体"/>
                <w:color w:val="auto"/>
                <w:sz w:val="28"/>
                <w:szCs w:val="28"/>
                <w:highlight w:val="none"/>
                <w:lang w:bidi="ar"/>
              </w:rPr>
            </w:pPr>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tcBorders>
              <w:left w:val="single" w:color="auto" w:sz="8" w:space="0"/>
            </w:tcBorders>
            <w:noWrap w:val="0"/>
            <w:vAlign w:val="center"/>
          </w:tcPr>
          <w:p>
            <w:pPr>
              <w:pStyle w:val="3"/>
              <w:keepNext w:val="0"/>
              <w:rPr>
                <w:rFonts w:hint="eastAsia" w:ascii="宋体" w:hAnsi="宋体" w:eastAsia="宋体" w:cs="宋体"/>
                <w:color w:val="auto"/>
                <w:szCs w:val="28"/>
                <w:highlight w:val="none"/>
              </w:rPr>
            </w:pPr>
            <w:bookmarkStart w:id="237" w:name="_Toc2551"/>
            <w:r>
              <w:rPr>
                <w:rFonts w:hint="eastAsia" w:ascii="宋体" w:hAnsi="宋体" w:eastAsia="宋体" w:cs="宋体"/>
                <w:color w:val="auto"/>
                <w:szCs w:val="28"/>
                <w:highlight w:val="none"/>
              </w:rPr>
              <w:t>......</w:t>
            </w:r>
            <w:bookmarkEnd w:id="237"/>
          </w:p>
        </w:tc>
        <w:tc>
          <w:tcPr>
            <w:tcW w:w="1091" w:type="dxa"/>
            <w:noWrap w:val="0"/>
            <w:vAlign w:val="center"/>
          </w:tcPr>
          <w:p>
            <w:pPr>
              <w:pStyle w:val="3"/>
              <w:keepNext w:val="0"/>
              <w:rPr>
                <w:rFonts w:hint="eastAsia" w:ascii="宋体" w:hAnsi="宋体" w:eastAsia="宋体" w:cs="宋体"/>
                <w:b/>
                <w:bCs/>
                <w:color w:val="auto"/>
                <w:szCs w:val="28"/>
                <w:highlight w:val="none"/>
              </w:rPr>
            </w:pPr>
          </w:p>
        </w:tc>
        <w:tc>
          <w:tcPr>
            <w:tcW w:w="941" w:type="dxa"/>
            <w:noWrap w:val="0"/>
            <w:vAlign w:val="center"/>
          </w:tcPr>
          <w:p>
            <w:pPr>
              <w:pStyle w:val="3"/>
              <w:keepNext w:val="0"/>
              <w:rPr>
                <w:rFonts w:hint="eastAsia" w:ascii="宋体" w:hAnsi="宋体" w:eastAsia="宋体" w:cs="宋体"/>
                <w:b/>
                <w:bCs/>
                <w:color w:val="auto"/>
                <w:szCs w:val="28"/>
                <w:highlight w:val="none"/>
              </w:rPr>
            </w:pPr>
          </w:p>
        </w:tc>
        <w:tc>
          <w:tcPr>
            <w:tcW w:w="1473" w:type="dxa"/>
            <w:noWrap w:val="0"/>
            <w:vAlign w:val="center"/>
          </w:tcPr>
          <w:p>
            <w:pPr>
              <w:pStyle w:val="3"/>
              <w:keepNext w:val="0"/>
              <w:rPr>
                <w:rFonts w:hint="eastAsia" w:ascii="宋体" w:hAnsi="宋体" w:eastAsia="宋体" w:cs="宋体"/>
                <w:b/>
                <w:bCs/>
                <w:color w:val="auto"/>
                <w:szCs w:val="28"/>
                <w:highlight w:val="none"/>
              </w:rPr>
            </w:pPr>
          </w:p>
        </w:tc>
        <w:tc>
          <w:tcPr>
            <w:tcW w:w="1145" w:type="dxa"/>
            <w:noWrap w:val="0"/>
            <w:vAlign w:val="center"/>
          </w:tcPr>
          <w:p>
            <w:pPr>
              <w:pStyle w:val="3"/>
              <w:keepNext w:val="0"/>
              <w:rPr>
                <w:rFonts w:hint="eastAsia" w:ascii="宋体" w:hAnsi="宋体" w:eastAsia="宋体" w:cs="宋体"/>
                <w:b/>
                <w:bCs/>
                <w:color w:val="auto"/>
                <w:szCs w:val="28"/>
                <w:highlight w:val="none"/>
              </w:rPr>
            </w:pPr>
          </w:p>
        </w:tc>
        <w:tc>
          <w:tcPr>
            <w:tcW w:w="1105" w:type="dxa"/>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c>
          <w:tcPr>
            <w:tcW w:w="886" w:type="dxa"/>
            <w:tcBorders>
              <w:right w:val="single" w:color="auto" w:sz="8" w:space="0"/>
            </w:tcBorders>
            <w:noWrap w:val="0"/>
            <w:vAlign w:val="center"/>
          </w:tcPr>
          <w:p>
            <w:pPr>
              <w:pStyle w:val="3"/>
              <w:keepNext w:val="0"/>
              <w:rPr>
                <w:rFonts w:hint="eastAsia" w:ascii="宋体" w:hAnsi="宋体" w:eastAsia="宋体" w:cs="宋体"/>
                <w:b/>
                <w:bCs/>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6" w:type="dxa"/>
            <w:gridSpan w:val="8"/>
            <w:tcBorders>
              <w:left w:val="single" w:color="auto" w:sz="8" w:space="0"/>
              <w:right w:val="single" w:color="auto" w:sz="8" w:space="0"/>
            </w:tcBorders>
            <w:noWrap w:val="0"/>
            <w:vAlign w:val="center"/>
          </w:tcPr>
          <w:p>
            <w:pPr>
              <w:pStyle w:val="3"/>
              <w:keepNext w:val="0"/>
              <w:jc w:val="both"/>
              <w:rPr>
                <w:rStyle w:val="25"/>
                <w:rFonts w:hint="eastAsia" w:ascii="宋体" w:hAnsi="宋体" w:eastAsia="宋体" w:cs="宋体"/>
                <w:color w:val="auto"/>
                <w:sz w:val="28"/>
                <w:szCs w:val="28"/>
                <w:highlight w:val="none"/>
              </w:rPr>
            </w:pPr>
            <w:bookmarkStart w:id="238" w:name="_Toc18266"/>
            <w:bookmarkStart w:id="239" w:name="_Toc4089"/>
            <w:bookmarkStart w:id="240" w:name="_Toc27757"/>
            <w:bookmarkStart w:id="241" w:name="_Toc4716"/>
            <w:bookmarkStart w:id="242" w:name="_Toc31409"/>
            <w:r>
              <w:rPr>
                <w:rFonts w:hint="eastAsia" w:ascii="宋体" w:hAnsi="宋体" w:eastAsia="宋体" w:cs="宋体"/>
                <w:b/>
                <w:bCs/>
                <w:color w:val="auto"/>
                <w:szCs w:val="28"/>
                <w:highlight w:val="none"/>
              </w:rPr>
              <w:t>注：未做说明的人员资料由供应商自行考虑提供并附相关资料。</w:t>
            </w:r>
            <w:bookmarkEnd w:id="238"/>
            <w:bookmarkEnd w:id="239"/>
            <w:bookmarkEnd w:id="240"/>
            <w:bookmarkEnd w:id="241"/>
            <w:r>
              <w:rPr>
                <w:rFonts w:hint="eastAsia" w:ascii="宋体" w:hAnsi="宋体" w:eastAsia="宋体" w:cs="宋体"/>
                <w:b/>
                <w:bCs/>
                <w:color w:val="auto"/>
                <w:szCs w:val="28"/>
                <w:highlight w:val="none"/>
              </w:rPr>
              <w:t>所提供的资料均附于本表后，作为本表的附件。</w:t>
            </w:r>
            <w:bookmarkEnd w:id="242"/>
          </w:p>
        </w:tc>
      </w:tr>
    </w:tbl>
    <w:p>
      <w:pPr>
        <w:pStyle w:val="10"/>
        <w:ind w:firstLine="0"/>
        <w:jc w:val="center"/>
        <w:rPr>
          <w:rFonts w:hint="eastAsia" w:ascii="宋体" w:hAnsi="宋体" w:cs="宋体"/>
          <w:color w:val="auto"/>
          <w:sz w:val="28"/>
          <w:szCs w:val="28"/>
          <w:highlight w:val="none"/>
        </w:rPr>
      </w:pPr>
      <w:r>
        <w:rPr>
          <w:rFonts w:hint="eastAsia" w:ascii="宋体" w:hAnsi="宋体" w:eastAsia="宋体" w:cs="宋体"/>
          <w:bCs/>
          <w:color w:val="auto"/>
          <w:highlight w:val="none"/>
        </w:rPr>
        <w:t xml:space="preserve">        </w:t>
      </w:r>
      <w:bookmarkStart w:id="243" w:name="_Toc13542"/>
      <w:bookmarkStart w:id="244" w:name="_Toc7251"/>
      <w:bookmarkStart w:id="245" w:name="_Toc2493"/>
      <w:r>
        <w:rPr>
          <w:rFonts w:hint="eastAsia" w:ascii="宋体" w:hAnsi="宋体" w:cs="宋体"/>
          <w:color w:val="auto"/>
          <w:sz w:val="28"/>
          <w:szCs w:val="28"/>
          <w:highlight w:val="none"/>
        </w:rPr>
        <w:t xml:space="preserve">         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spacing w:line="600" w:lineRule="auto"/>
        <w:rPr>
          <w:rStyle w:val="24"/>
          <w:rFonts w:hint="eastAsia" w:ascii="宋体" w:hAnsi="宋体" w:eastAsia="宋体" w:cs="宋体"/>
          <w:color w:val="auto"/>
          <w:sz w:val="32"/>
          <w:szCs w:val="28"/>
          <w:highlight w:val="none"/>
        </w:rPr>
      </w:pPr>
      <w:r>
        <w:rPr>
          <w:rFonts w:hint="eastAsia" w:ascii="宋体" w:hAnsi="宋体" w:cs="宋体"/>
          <w:color w:val="auto"/>
          <w:sz w:val="28"/>
          <w:szCs w:val="28"/>
          <w:highlight w:val="none"/>
        </w:rPr>
        <w:br w:type="page"/>
      </w:r>
      <w:r>
        <w:rPr>
          <w:rStyle w:val="24"/>
          <w:rFonts w:hint="eastAsia" w:ascii="宋体" w:hAnsi="宋体" w:eastAsia="宋体" w:cs="宋体"/>
          <w:b/>
          <w:bCs/>
          <w:color w:val="auto"/>
          <w:sz w:val="32"/>
          <w:szCs w:val="28"/>
          <w:highlight w:val="none"/>
        </w:rPr>
        <w:t>附件14:</w:t>
      </w:r>
      <w:bookmarkEnd w:id="243"/>
      <w:bookmarkEnd w:id="244"/>
      <w:bookmarkEnd w:id="245"/>
    </w:p>
    <w:p>
      <w:pPr>
        <w:pStyle w:val="2"/>
        <w:keepNext w:val="0"/>
        <w:numPr>
          <w:ilvl w:val="0"/>
          <w:numId w:val="0"/>
        </w:numPr>
        <w:jc w:val="center"/>
        <w:rPr>
          <w:rStyle w:val="24"/>
          <w:rFonts w:hint="eastAsia" w:ascii="宋体" w:hAnsi="宋体" w:eastAsia="宋体" w:cs="宋体"/>
          <w:color w:val="auto"/>
          <w:sz w:val="32"/>
          <w:szCs w:val="28"/>
          <w:highlight w:val="none"/>
        </w:rPr>
      </w:pPr>
      <w:bookmarkStart w:id="246" w:name="_Toc19593"/>
      <w:bookmarkStart w:id="247" w:name="_Toc24019"/>
      <w:bookmarkStart w:id="248" w:name="_Toc25373"/>
      <w:r>
        <w:rPr>
          <w:rStyle w:val="24"/>
          <w:rFonts w:hint="eastAsia" w:ascii="宋体" w:hAnsi="宋体" w:eastAsia="宋体" w:cs="宋体"/>
          <w:color w:val="auto"/>
          <w:sz w:val="32"/>
          <w:szCs w:val="28"/>
          <w:highlight w:val="none"/>
        </w:rPr>
        <w:t>技术支持及服务承诺书</w:t>
      </w:r>
      <w:bookmarkEnd w:id="246"/>
      <w:bookmarkEnd w:id="247"/>
      <w:bookmarkEnd w:id="248"/>
    </w:p>
    <w:p>
      <w:pPr>
        <w:spacing w:line="360" w:lineRule="auto"/>
        <w:rPr>
          <w:rFonts w:hint="eastAsia" w:ascii="宋体" w:hAnsi="宋体" w:cs="宋体"/>
          <w:color w:val="auto"/>
          <w:sz w:val="28"/>
          <w:szCs w:val="24"/>
          <w:highlight w:val="none"/>
          <w:u w:val="single"/>
        </w:rPr>
      </w:pPr>
      <w:r>
        <w:rPr>
          <w:rFonts w:hint="eastAsia" w:ascii="宋体" w:hAnsi="宋体" w:cs="宋体"/>
          <w:color w:val="auto"/>
          <w:sz w:val="28"/>
          <w:szCs w:val="24"/>
          <w:highlight w:val="none"/>
          <w:u w:val="single"/>
          <w:lang w:val="zh-CN"/>
        </w:rPr>
        <w:t>（采购人名称）</w:t>
      </w:r>
      <w:r>
        <w:rPr>
          <w:rFonts w:hint="eastAsia" w:ascii="宋体" w:hAnsi="宋体" w:cs="宋体"/>
          <w:color w:val="auto"/>
          <w:sz w:val="28"/>
          <w:szCs w:val="24"/>
          <w:highlight w:val="none"/>
        </w:rPr>
        <w:t>：</w:t>
      </w:r>
    </w:p>
    <w:p>
      <w:pPr>
        <w:spacing w:line="360" w:lineRule="auto"/>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　　我公司</w:t>
      </w:r>
      <w:r>
        <w:rPr>
          <w:rFonts w:hint="eastAsia" w:ascii="宋体" w:hAnsi="宋体" w:cs="宋体"/>
          <w:bCs/>
          <w:color w:val="auto"/>
          <w:sz w:val="28"/>
          <w:szCs w:val="28"/>
          <w:highlight w:val="none"/>
          <w:u w:val="single"/>
        </w:rPr>
        <w:t xml:space="preserve">  （供应商名称）  </w:t>
      </w:r>
      <w:r>
        <w:rPr>
          <w:rFonts w:hint="eastAsia" w:ascii="宋体" w:hAnsi="宋体" w:cs="宋体"/>
          <w:bCs/>
          <w:color w:val="auto"/>
          <w:sz w:val="28"/>
          <w:szCs w:val="28"/>
          <w:highlight w:val="none"/>
        </w:rPr>
        <w:t>对</w:t>
      </w:r>
      <w:r>
        <w:rPr>
          <w:rFonts w:hint="eastAsia" w:ascii="宋体" w:hAnsi="宋体" w:cs="宋体"/>
          <w:color w:val="auto"/>
          <w:sz w:val="28"/>
          <w:szCs w:val="28"/>
          <w:highlight w:val="none"/>
          <w:u w:val="single"/>
        </w:rPr>
        <w:t xml:space="preserve">  （项目名称）  </w:t>
      </w:r>
      <w:r>
        <w:rPr>
          <w:rFonts w:hint="eastAsia" w:ascii="宋体" w:hAnsi="宋体" w:cs="宋体"/>
          <w:bCs/>
          <w:color w:val="auto"/>
          <w:sz w:val="28"/>
          <w:szCs w:val="28"/>
          <w:highlight w:val="none"/>
        </w:rPr>
        <w:t>竞争性磋商文件中有关服务内容、服务期限、投标有效期、付款方式、服务标准及要求</w:t>
      </w:r>
    </w:p>
    <w:p>
      <w:pPr>
        <w:spacing w:line="360" w:lineRule="auto"/>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、废标条件、承诺和采购人不能接受的条件等实质性内容完全响应。如我公司能在本次招标中中标，我公司郑重承诺如下：</w:t>
      </w:r>
    </w:p>
    <w:tbl>
      <w:tblPr>
        <w:tblStyle w:val="19"/>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797"/>
        <w:gridCol w:w="255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序号</w:t>
            </w:r>
          </w:p>
        </w:tc>
        <w:tc>
          <w:tcPr>
            <w:tcW w:w="3797"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内容</w:t>
            </w:r>
          </w:p>
        </w:tc>
        <w:tc>
          <w:tcPr>
            <w:tcW w:w="2550" w:type="dxa"/>
            <w:noWrap w:val="0"/>
            <w:vAlign w:val="center"/>
          </w:tcPr>
          <w:p>
            <w:pPr>
              <w:tabs>
                <w:tab w:val="center" w:pos="1130"/>
                <w:tab w:val="right" w:pos="2140"/>
              </w:tabs>
              <w:spacing w:line="500" w:lineRule="exact"/>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t>承诺</w:t>
            </w:r>
            <w:r>
              <w:rPr>
                <w:rFonts w:hint="eastAsia" w:ascii="宋体" w:hAnsi="宋体" w:cs="宋体"/>
                <w:bCs/>
                <w:color w:val="auto"/>
                <w:sz w:val="28"/>
                <w:szCs w:val="28"/>
                <w:highlight w:val="none"/>
              </w:rPr>
              <w:tab/>
            </w:r>
          </w:p>
        </w:tc>
        <w:tc>
          <w:tcPr>
            <w:tcW w:w="1561"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１</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tabs>
                <w:tab w:val="center" w:pos="1130"/>
                <w:tab w:val="right" w:pos="2140"/>
              </w:tabs>
              <w:spacing w:line="500" w:lineRule="exact"/>
              <w:jc w:val="left"/>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２</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３</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４</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５</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8</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9</w:t>
            </w:r>
          </w:p>
        </w:tc>
        <w:tc>
          <w:tcPr>
            <w:tcW w:w="3797" w:type="dxa"/>
            <w:noWrap w:val="0"/>
            <w:vAlign w:val="center"/>
          </w:tcPr>
          <w:p>
            <w:pPr>
              <w:spacing w:line="500" w:lineRule="exact"/>
              <w:jc w:val="center"/>
              <w:rPr>
                <w:rFonts w:hint="eastAsia" w:ascii="宋体" w:hAnsi="宋体" w:cs="宋体"/>
                <w:bCs/>
                <w:color w:val="auto"/>
                <w:sz w:val="28"/>
                <w:szCs w:val="28"/>
                <w:highlight w:val="none"/>
              </w:rPr>
            </w:pP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10</w:t>
            </w:r>
          </w:p>
        </w:tc>
        <w:tc>
          <w:tcPr>
            <w:tcW w:w="3797" w:type="dxa"/>
            <w:noWrap w:val="0"/>
            <w:vAlign w:val="center"/>
          </w:tcPr>
          <w:p>
            <w:pPr>
              <w:spacing w:line="5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w:t>
            </w:r>
          </w:p>
        </w:tc>
        <w:tc>
          <w:tcPr>
            <w:tcW w:w="2550" w:type="dxa"/>
            <w:noWrap w:val="0"/>
            <w:vAlign w:val="center"/>
          </w:tcPr>
          <w:p>
            <w:pPr>
              <w:spacing w:line="500" w:lineRule="exact"/>
              <w:jc w:val="center"/>
              <w:rPr>
                <w:rFonts w:hint="eastAsia" w:ascii="宋体" w:hAnsi="宋体" w:cs="宋体"/>
                <w:bCs/>
                <w:color w:val="auto"/>
                <w:sz w:val="28"/>
                <w:szCs w:val="28"/>
                <w:highlight w:val="none"/>
              </w:rPr>
            </w:pPr>
          </w:p>
        </w:tc>
        <w:tc>
          <w:tcPr>
            <w:tcW w:w="1561" w:type="dxa"/>
            <w:noWrap w:val="0"/>
            <w:vAlign w:val="center"/>
          </w:tcPr>
          <w:p>
            <w:pPr>
              <w:spacing w:line="500" w:lineRule="exact"/>
              <w:jc w:val="center"/>
              <w:rPr>
                <w:rFonts w:hint="eastAsia" w:ascii="宋体" w:hAnsi="宋体" w:cs="宋体"/>
                <w:bCs/>
                <w:color w:val="auto"/>
                <w:sz w:val="28"/>
                <w:szCs w:val="28"/>
                <w:highlight w:val="none"/>
              </w:rPr>
            </w:pPr>
          </w:p>
        </w:tc>
      </w:tr>
    </w:tbl>
    <w:p>
      <w:pPr>
        <w:spacing w:line="360" w:lineRule="auto"/>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本承诺函为我公司应答此次采购项目正式文件的附件，与其他响应文件具有同等法律效力，经我公司盖章后立即生效。</w:t>
      </w:r>
    </w:p>
    <w:p>
      <w:pPr>
        <w:spacing w:line="360" w:lineRule="auto"/>
        <w:rPr>
          <w:rFonts w:hint="eastAsia" w:ascii="宋体" w:hAnsi="宋体" w:cs="宋体"/>
          <w:bCs/>
          <w:color w:val="auto"/>
          <w:sz w:val="28"/>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bookmarkStart w:id="249" w:name="_Toc28079"/>
      <w:bookmarkStart w:id="250" w:name="_Toc12421"/>
      <w:bookmarkStart w:id="251" w:name="_Toc12791"/>
    </w:p>
    <w:p>
      <w:pPr>
        <w:spacing w:line="600" w:lineRule="auto"/>
        <w:rPr>
          <w:rStyle w:val="24"/>
          <w:rFonts w:hint="eastAsia" w:ascii="宋体" w:hAnsi="宋体" w:eastAsia="宋体" w:cs="宋体"/>
          <w:b/>
          <w:color w:val="auto"/>
          <w:sz w:val="32"/>
          <w:szCs w:val="28"/>
          <w:highlight w:val="none"/>
        </w:rPr>
      </w:pPr>
      <w:r>
        <w:rPr>
          <w:rFonts w:hint="eastAsia" w:ascii="宋体" w:hAnsi="宋体" w:cs="宋体"/>
          <w:color w:val="auto"/>
          <w:sz w:val="28"/>
          <w:szCs w:val="28"/>
          <w:highlight w:val="none"/>
        </w:rPr>
        <w:br w:type="page"/>
      </w:r>
      <w:r>
        <w:rPr>
          <w:rStyle w:val="24"/>
          <w:rFonts w:hint="eastAsia" w:ascii="宋体" w:hAnsi="宋体" w:eastAsia="宋体" w:cs="宋体"/>
          <w:b/>
          <w:color w:val="auto"/>
          <w:sz w:val="32"/>
          <w:szCs w:val="28"/>
          <w:highlight w:val="none"/>
        </w:rPr>
        <w:t>附件15:</w:t>
      </w:r>
      <w:bookmarkEnd w:id="249"/>
      <w:bookmarkEnd w:id="250"/>
      <w:bookmarkEnd w:id="251"/>
    </w:p>
    <w:p>
      <w:pPr>
        <w:pStyle w:val="2"/>
        <w:keepNext w:val="0"/>
        <w:numPr>
          <w:ilvl w:val="0"/>
          <w:numId w:val="0"/>
        </w:numPr>
        <w:jc w:val="center"/>
        <w:rPr>
          <w:rStyle w:val="24"/>
          <w:rFonts w:hint="eastAsia" w:ascii="宋体" w:hAnsi="宋体" w:eastAsia="宋体" w:cs="宋体"/>
          <w:color w:val="auto"/>
          <w:sz w:val="32"/>
          <w:szCs w:val="28"/>
          <w:highlight w:val="none"/>
        </w:rPr>
      </w:pPr>
      <w:r>
        <w:rPr>
          <w:rStyle w:val="24"/>
          <w:rFonts w:hint="eastAsia" w:ascii="宋体" w:hAnsi="宋体" w:eastAsia="宋体" w:cs="宋体"/>
          <w:color w:val="auto"/>
          <w:sz w:val="32"/>
          <w:szCs w:val="28"/>
          <w:highlight w:val="none"/>
        </w:rPr>
        <w:t>服务方案</w:t>
      </w:r>
    </w:p>
    <w:p>
      <w:pPr>
        <w:pStyle w:val="2"/>
        <w:keepNext w:val="0"/>
        <w:numPr>
          <w:ilvl w:val="0"/>
          <w:numId w:val="0"/>
        </w:numPr>
        <w:jc w:val="left"/>
        <w:rPr>
          <w:rStyle w:val="24"/>
          <w:rFonts w:hint="eastAsia" w:ascii="宋体" w:hAnsi="宋体" w:eastAsia="宋体" w:cs="宋体"/>
          <w:color w:val="auto"/>
          <w:sz w:val="32"/>
          <w:szCs w:val="28"/>
          <w:highlight w:val="none"/>
        </w:rPr>
      </w:pPr>
      <w:bookmarkStart w:id="252" w:name="_Toc5206"/>
      <w:r>
        <w:rPr>
          <w:rStyle w:val="24"/>
          <w:rFonts w:hint="eastAsia" w:ascii="宋体" w:hAnsi="宋体" w:eastAsia="宋体" w:cs="宋体"/>
          <w:color w:val="auto"/>
          <w:sz w:val="32"/>
          <w:szCs w:val="28"/>
          <w:highlight w:val="none"/>
        </w:rPr>
        <w:br w:type="page"/>
      </w:r>
      <w:r>
        <w:rPr>
          <w:rStyle w:val="24"/>
          <w:rFonts w:hint="eastAsia" w:ascii="宋体" w:hAnsi="宋体" w:eastAsia="宋体" w:cs="宋体"/>
          <w:color w:val="auto"/>
          <w:sz w:val="32"/>
          <w:szCs w:val="28"/>
          <w:highlight w:val="none"/>
        </w:rPr>
        <w:t>附件16:</w:t>
      </w:r>
      <w:bookmarkEnd w:id="252"/>
    </w:p>
    <w:p>
      <w:pPr>
        <w:pStyle w:val="17"/>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不参与围标串标承诺书</w:t>
      </w: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本人作为经授权经授权投标人代表，清楚知晓我单位本项目活动，对以下事项作出承诺：</w:t>
      </w:r>
    </w:p>
    <w:p>
      <w:pPr>
        <w:spacing w:line="360" w:lineRule="auto"/>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一、我单位和我本人遵循公开、公平、公正、诚实守信的原则，依法依规参与本项目竞标。</w:t>
      </w:r>
    </w:p>
    <w:p>
      <w:pPr>
        <w:spacing w:line="360" w:lineRule="auto"/>
        <w:ind w:firstLine="57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二、我单位和我本人在本项目活动中，未参与围标串标。</w:t>
      </w:r>
    </w:p>
    <w:p>
      <w:pPr>
        <w:spacing w:line="360" w:lineRule="auto"/>
        <w:ind w:firstLine="570" w:firstLineChars="200"/>
        <w:rPr>
          <w:rFonts w:hint="eastAsia" w:ascii="宋体" w:hAnsi="宋体" w:cs="宋体"/>
          <w:color w:val="auto"/>
          <w:sz w:val="24"/>
          <w:szCs w:val="24"/>
          <w:highlight w:val="none"/>
        </w:rPr>
      </w:pPr>
      <w:r>
        <w:rPr>
          <w:rFonts w:hint="eastAsia" w:ascii="宋体" w:hAnsi="宋体" w:cs="宋体"/>
          <w:color w:val="auto"/>
          <w:sz w:val="28"/>
          <w:szCs w:val="28"/>
          <w:highlight w:val="none"/>
        </w:rPr>
        <w:t>三、我单位如被查实在本项目活动中存在围标串标行为的，递交响应文件行为作为实施串通投标违法行为的关键环节，本人承担直接责任人员法律责任，接受相应行政处罚和失信惩戒</w:t>
      </w:r>
      <w:r>
        <w:rPr>
          <w:rFonts w:hint="eastAsia" w:ascii="宋体" w:hAnsi="宋体" w:cs="宋体"/>
          <w:color w:val="auto"/>
          <w:sz w:val="24"/>
          <w:szCs w:val="24"/>
          <w:highlight w:val="none"/>
        </w:rPr>
        <w:t>。</w:t>
      </w:r>
    </w:p>
    <w:p>
      <w:pPr>
        <w:pStyle w:val="2"/>
        <w:keepNext w:val="0"/>
        <w:numPr>
          <w:ilvl w:val="0"/>
          <w:numId w:val="0"/>
        </w:numPr>
        <w:jc w:val="left"/>
        <w:rPr>
          <w:rStyle w:val="24"/>
          <w:rFonts w:hint="eastAsia" w:ascii="宋体" w:hAnsi="宋体" w:eastAsia="宋体" w:cs="宋体"/>
          <w:color w:val="auto"/>
          <w:sz w:val="32"/>
          <w:szCs w:val="28"/>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p>
    <w:p>
      <w:pPr>
        <w:spacing w:line="600" w:lineRule="auto"/>
        <w:jc w:val="center"/>
        <w:rPr>
          <w:rFonts w:hint="eastAsia" w:ascii="宋体" w:hAnsi="宋体" w:cs="宋体"/>
          <w:color w:val="auto"/>
          <w:sz w:val="28"/>
          <w:szCs w:val="28"/>
          <w:highlight w:val="none"/>
        </w:rPr>
      </w:pPr>
      <w:r>
        <w:rPr>
          <w:rFonts w:hint="eastAsia" w:ascii="宋体" w:hAnsi="宋体" w:cs="宋体"/>
          <w:bCs/>
          <w:color w:val="auto"/>
          <w:highlight w:val="none"/>
        </w:rPr>
        <w:t xml:space="preserve">          </w:t>
      </w:r>
      <w:r>
        <w:rPr>
          <w:rFonts w:hint="eastAsia" w:ascii="宋体" w:hAnsi="宋体" w:cs="宋体"/>
          <w:color w:val="auto"/>
          <w:sz w:val="28"/>
          <w:szCs w:val="28"/>
          <w:highlight w:val="none"/>
        </w:rPr>
        <w:t>供应商名称（盖章）：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法定代表人或委托代理人（签字或盖章）：</w:t>
      </w:r>
    </w:p>
    <w:p>
      <w:pPr>
        <w:spacing w:line="60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2"/>
        <w:keepNext w:val="0"/>
        <w:numPr>
          <w:ilvl w:val="0"/>
          <w:numId w:val="0"/>
        </w:numPr>
        <w:jc w:val="left"/>
        <w:rPr>
          <w:rStyle w:val="24"/>
          <w:rFonts w:hint="eastAsia" w:ascii="宋体" w:hAnsi="宋体" w:eastAsia="宋体" w:cs="宋体"/>
          <w:color w:val="auto"/>
          <w:sz w:val="32"/>
          <w:szCs w:val="28"/>
          <w:highlight w:val="none"/>
        </w:rPr>
      </w:pPr>
    </w:p>
    <w:p>
      <w:pPr>
        <w:rPr>
          <w:rFonts w:hint="eastAsia" w:ascii="宋体" w:hAnsi="宋体" w:cs="宋体"/>
          <w:color w:val="auto"/>
          <w:highlight w:val="none"/>
        </w:rPr>
      </w:pPr>
    </w:p>
    <w:p>
      <w:pPr>
        <w:pStyle w:val="2"/>
        <w:keepNext w:val="0"/>
        <w:numPr>
          <w:ilvl w:val="0"/>
          <w:numId w:val="0"/>
        </w:numPr>
        <w:jc w:val="left"/>
        <w:rPr>
          <w:rStyle w:val="24"/>
          <w:rFonts w:hint="eastAsia" w:ascii="宋体" w:hAnsi="宋体" w:eastAsia="宋体" w:cs="宋体"/>
          <w:color w:val="auto"/>
          <w:sz w:val="32"/>
          <w:szCs w:val="28"/>
          <w:highlight w:val="none"/>
        </w:rPr>
      </w:pPr>
    </w:p>
    <w:p>
      <w:pPr>
        <w:pStyle w:val="2"/>
        <w:keepNext w:val="0"/>
        <w:numPr>
          <w:ilvl w:val="0"/>
          <w:numId w:val="0"/>
        </w:numPr>
        <w:rPr>
          <w:rStyle w:val="24"/>
          <w:rFonts w:hint="eastAsia" w:ascii="宋体" w:hAnsi="宋体" w:eastAsia="宋体" w:cs="宋体"/>
          <w:color w:val="auto"/>
          <w:sz w:val="32"/>
          <w:szCs w:val="28"/>
          <w:highlight w:val="none"/>
        </w:rPr>
        <w:sectPr>
          <w:headerReference r:id="rId18" w:type="first"/>
          <w:footerReference r:id="rId20" w:type="first"/>
          <w:headerReference r:id="rId17" w:type="default"/>
          <w:footerReference r:id="rId19" w:type="default"/>
          <w:pgSz w:w="11906" w:h="16838"/>
          <w:pgMar w:top="1417" w:right="1417" w:bottom="1417" w:left="1417" w:header="851" w:footer="850" w:gutter="0"/>
          <w:cols w:space="720" w:num="1"/>
          <w:titlePg/>
          <w:docGrid w:type="linesAndChars" w:linePitch="312" w:charSpace="1228"/>
        </w:sectPr>
      </w:pPr>
    </w:p>
    <w:p>
      <w:pPr>
        <w:pStyle w:val="2"/>
        <w:keepNext w:val="0"/>
        <w:numPr>
          <w:ilvl w:val="0"/>
          <w:numId w:val="0"/>
        </w:numPr>
        <w:jc w:val="left"/>
        <w:rPr>
          <w:rStyle w:val="24"/>
          <w:rFonts w:hint="eastAsia" w:ascii="宋体" w:hAnsi="宋体" w:eastAsia="宋体" w:cs="宋体"/>
          <w:color w:val="auto"/>
          <w:sz w:val="32"/>
          <w:szCs w:val="28"/>
          <w:highlight w:val="none"/>
        </w:rPr>
      </w:pPr>
      <w:r>
        <w:rPr>
          <w:rStyle w:val="24"/>
          <w:rFonts w:hint="eastAsia" w:ascii="宋体" w:hAnsi="宋体" w:eastAsia="宋体" w:cs="宋体"/>
          <w:color w:val="auto"/>
          <w:sz w:val="32"/>
          <w:szCs w:val="28"/>
          <w:highlight w:val="none"/>
        </w:rPr>
        <w:t>附件17:</w:t>
      </w:r>
    </w:p>
    <w:p>
      <w:pPr>
        <w:pStyle w:val="17"/>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要求提供的其它材料以及供应商认为需要提交的材料</w:t>
      </w:r>
    </w:p>
    <w:p>
      <w:pPr>
        <w:rPr>
          <w:rFonts w:hint="eastAsia"/>
          <w:b/>
          <w:bCs/>
          <w:color w:val="auto"/>
          <w:highlight w:val="none"/>
        </w:rPr>
      </w:pPr>
    </w:p>
    <w:p/>
    <w:sectPr>
      <w:pgSz w:w="11906" w:h="16838"/>
      <w:pgMar w:top="1417" w:right="1417" w:bottom="1417" w:left="1417" w:header="851" w:footer="850" w:gutter="0"/>
      <w:cols w:space="720" w:num="1"/>
      <w:titlePg/>
      <w:docGrid w:type="linesAndChars" w:linePitch="312"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DQiFbh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dashDotStroked" w:color="auto" w:sz="24" w:space="1"/>
      </w:pBdr>
      <w:jc w:val="both"/>
    </w:pPr>
  </w:p>
  <w:p>
    <w:pPr>
      <w:pStyle w:val="11"/>
      <w:jc w:val="right"/>
    </w:pPr>
    <w:r>
      <w:rPr>
        <w:rFonts w:hint="eastAsia" w:ascii="仿宋" w:hAnsi="仿宋" w:eastAsia="仿宋" w:cs="仿宋"/>
        <w:b/>
        <w:bCs/>
      </w:rPr>
      <w:t>新疆华域建设工程项目管理咨询有限公司编制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AmCZnt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p>
    <w:pPr>
      <w:pStyle w:val="11"/>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B0dtzp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- 71 -</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KkUuzQAAAAAwEAAA8AAAAAAAAAAQAgAAAAIgAAAGRycy9kb3ducmV2&#10;LnhtbFBLAQIUABQAAAAIAIdO4kBe7pssywEAAJcDAAAOAAAAAAAAAAEAIAAAAB8BAABkcnMvZTJv&#10;RG9jLnhtbFBLBQYAAAAABgAGAFkBAABcBQAAAAA=&#10;">
              <v:fill on="f" focussize="0,0"/>
              <v:stroke on="f"/>
              <v:imagedata o:title=""/>
              <o:lock v:ext="edit" aspectratio="f"/>
              <v:textbox inset="0mm,0mm,0mm,0mm" style="mso-fit-shape-to-text:t;">
                <w:txbxContent>
                  <w:p>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- 71 -</w:t>
                    </w:r>
                    <w:r>
                      <w:rPr>
                        <w:rFonts w:hint="eastAsia"/>
                        <w:sz w:val="18"/>
                      </w:rPr>
                      <w:fldChar w:fldCharType="end"/>
                    </w:r>
                    <w:r>
                      <w:rPr>
                        <w:rFonts w:hint="eastAsia"/>
                        <w:sz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fnrAa9cBAACjAwAADgAAAAAAAAAB&#10;ACAAAAAjAQAAZHJzL2Uyb0RvYy54bWxQSwUGAAAAAAYABgBZAQAAbA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TN3Q5tcBAAChAwAADgAAAAAAAAAB&#10;ACAAAAAjAQAAZHJzL2Uyb0RvYy54bWxQSwUGAAAAAAYABgBZAQAAbAU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DKCgb0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1"/>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AEIMX31gEAAKEDAAAOAAAAAAAAAAEA&#10;IAAAACMBAABkcnMvZTJvRG9jLnhtbFBLBQYAAAAABgAGAFkBAABrBQ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ascii="宋体" w:hAnsi="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tabs>
        <w:tab w:val="left" w:pos="1795"/>
        <w:tab w:val="clear" w:pos="4153"/>
      </w:tabs>
      <w:jc w:val="both"/>
      <w:rPr>
        <w:rFonts w:hint="eastAsia" w:ascii="宋体" w:hAnsi="宋体" w:cs="宋体"/>
      </w:rPr>
    </w:pPr>
    <w:r>
      <w:rPr>
        <w:rFonts w:hint="eastAsia" w:ascii="宋体" w:hAnsi="宋体" w:cs="宋体"/>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tabs>
        <w:tab w:val="left" w:pos="6976"/>
        <w:tab w:val="clear" w:pos="4153"/>
      </w:tabs>
      <w:jc w:val="both"/>
      <w:rPr>
        <w:rFonts w:hint="eastAsia" w:ascii="宋体" w:hAnsi="宋体" w:cs="宋体"/>
      </w:rPr>
    </w:pPr>
    <w:r>
      <w:rPr>
        <w:rFonts w:hint="eastAsia" w:ascii="宋体" w:hAnsi="宋体" w:cs="宋体"/>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9C6A3"/>
    <w:multiLevelType w:val="singleLevel"/>
    <w:tmpl w:val="9469C6A3"/>
    <w:lvl w:ilvl="0" w:tentative="0">
      <w:start w:val="1"/>
      <w:numFmt w:val="chineseCounting"/>
      <w:suff w:val="space"/>
      <w:lvlText w:val="%1、"/>
      <w:lvlJc w:val="left"/>
      <w:rPr>
        <w:rFonts w:hint="eastAsia"/>
      </w:rPr>
    </w:lvl>
  </w:abstractNum>
  <w:abstractNum w:abstractNumId="1">
    <w:nsid w:val="ADC30349"/>
    <w:multiLevelType w:val="singleLevel"/>
    <w:tmpl w:val="ADC30349"/>
    <w:lvl w:ilvl="0" w:tentative="0">
      <w:start w:val="1"/>
      <w:numFmt w:val="bullet"/>
      <w:pStyle w:val="6"/>
      <w:lvlText w:val=""/>
      <w:lvlJc w:val="left"/>
      <w:pPr>
        <w:tabs>
          <w:tab w:val="left" w:pos="360"/>
        </w:tabs>
        <w:ind w:left="360" w:hanging="360"/>
      </w:pPr>
      <w:rPr>
        <w:rFonts w:hint="default" w:ascii="Wingdings" w:hAnsi="Wingdings"/>
      </w:rPr>
    </w:lvl>
  </w:abstractNum>
  <w:abstractNum w:abstractNumId="2">
    <w:nsid w:val="E4A6FF03"/>
    <w:multiLevelType w:val="singleLevel"/>
    <w:tmpl w:val="E4A6FF03"/>
    <w:lvl w:ilvl="0" w:tentative="0">
      <w:start w:val="5"/>
      <w:numFmt w:val="chineseCounting"/>
      <w:suff w:val="nothing"/>
      <w:lvlText w:val="%1、"/>
      <w:lvlJc w:val="left"/>
      <w:rPr>
        <w:rFonts w:hint="eastAsia"/>
      </w:rPr>
    </w:lvl>
  </w:abstractNum>
  <w:abstractNum w:abstractNumId="3">
    <w:nsid w:val="00000003"/>
    <w:multiLevelType w:val="singleLevel"/>
    <w:tmpl w:val="00000003"/>
    <w:lvl w:ilvl="0" w:tentative="0">
      <w:start w:val="1"/>
      <w:numFmt w:val="upperLetter"/>
      <w:pStyle w:val="2"/>
      <w:lvlText w:val="%1."/>
      <w:lvlJc w:val="left"/>
      <w:pPr>
        <w:tabs>
          <w:tab w:val="left" w:pos="330"/>
        </w:tabs>
        <w:ind w:left="330" w:hanging="330"/>
      </w:pPr>
    </w:lvl>
  </w:abstractNum>
  <w:abstractNum w:abstractNumId="4">
    <w:nsid w:val="00000009"/>
    <w:multiLevelType w:val="multilevel"/>
    <w:tmpl w:val="00000009"/>
    <w:lvl w:ilvl="0" w:tentative="0">
      <w:start w:val="1"/>
      <w:numFmt w:val="upperLetter"/>
      <w:pStyle w:val="4"/>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5">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1627A7B"/>
    <w:multiLevelType w:val="singleLevel"/>
    <w:tmpl w:val="31627A7B"/>
    <w:lvl w:ilvl="0" w:tentative="0">
      <w:start w:val="1"/>
      <w:numFmt w:val="decimal"/>
      <w:suff w:val="nothing"/>
      <w:lvlText w:val="%1、"/>
      <w:lvlJc w:val="left"/>
    </w:lvl>
  </w:abstractNum>
  <w:abstractNum w:abstractNumId="7">
    <w:nsid w:val="464B27E8"/>
    <w:multiLevelType w:val="singleLevel"/>
    <w:tmpl w:val="464B27E8"/>
    <w:lvl w:ilvl="0" w:tentative="0">
      <w:start w:val="1"/>
      <w:numFmt w:val="decimal"/>
      <w:suff w:val="nothing"/>
      <w:lvlText w:val="（%1）"/>
      <w:lvlJc w:val="left"/>
    </w:lvl>
  </w:abstractNum>
  <w:abstractNum w:abstractNumId="8">
    <w:nsid w:val="73F20339"/>
    <w:multiLevelType w:val="singleLevel"/>
    <w:tmpl w:val="73F20339"/>
    <w:lvl w:ilvl="0" w:tentative="0">
      <w:start w:val="3"/>
      <w:numFmt w:val="chineseCounting"/>
      <w:suff w:val="space"/>
      <w:lvlText w:val="第%1章"/>
      <w:lvlJc w:val="left"/>
      <w:rPr>
        <w:rFonts w:hint="eastAsia"/>
        <w:b/>
        <w:bCs/>
        <w:sz w:val="32"/>
        <w:szCs w:val="32"/>
      </w:rPr>
    </w:lvl>
  </w:abstractNum>
  <w:num w:numId="1">
    <w:abstractNumId w:val="3"/>
  </w:num>
  <w:num w:numId="2">
    <w:abstractNumId w:val="4"/>
  </w:num>
  <w:num w:numId="3">
    <w:abstractNumId w:val="1"/>
  </w:num>
  <w:num w:numId="4">
    <w:abstractNumId w:val="2"/>
  </w:num>
  <w:num w:numId="5">
    <w:abstractNumId w:val="6"/>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MmRmYzlkMTA3ZTI4YjUwNjBiNDg4ZTliYmI0OGUifQ=="/>
  </w:docVars>
  <w:rsids>
    <w:rsidRoot w:val="6A781B51"/>
    <w:rsid w:val="029B745B"/>
    <w:rsid w:val="04777B1E"/>
    <w:rsid w:val="0BC24A6D"/>
    <w:rsid w:val="0EF346A9"/>
    <w:rsid w:val="112B4775"/>
    <w:rsid w:val="114B543E"/>
    <w:rsid w:val="11F445C2"/>
    <w:rsid w:val="20C809B5"/>
    <w:rsid w:val="24A7153A"/>
    <w:rsid w:val="292C2452"/>
    <w:rsid w:val="2D972170"/>
    <w:rsid w:val="32053C49"/>
    <w:rsid w:val="39000993"/>
    <w:rsid w:val="42A15CD6"/>
    <w:rsid w:val="42C42CFC"/>
    <w:rsid w:val="45BD4A8F"/>
    <w:rsid w:val="461B60BF"/>
    <w:rsid w:val="466034FC"/>
    <w:rsid w:val="46C364C9"/>
    <w:rsid w:val="46C92517"/>
    <w:rsid w:val="4AFFFFCA"/>
    <w:rsid w:val="504809C7"/>
    <w:rsid w:val="52E3185F"/>
    <w:rsid w:val="534530AA"/>
    <w:rsid w:val="53702278"/>
    <w:rsid w:val="55E53DA1"/>
    <w:rsid w:val="59422DCA"/>
    <w:rsid w:val="5B6036B7"/>
    <w:rsid w:val="5C46681D"/>
    <w:rsid w:val="5DC12509"/>
    <w:rsid w:val="5FED519F"/>
    <w:rsid w:val="6A781B51"/>
    <w:rsid w:val="6B28036E"/>
    <w:rsid w:val="6BCA1E41"/>
    <w:rsid w:val="6EF7654F"/>
    <w:rsid w:val="726624C8"/>
    <w:rsid w:val="75855716"/>
    <w:rsid w:val="78CF6F68"/>
    <w:rsid w:val="79110BC4"/>
    <w:rsid w:val="79E453E8"/>
    <w:rsid w:val="7A152727"/>
    <w:rsid w:val="7A6F59EC"/>
    <w:rsid w:val="7AF987AF"/>
    <w:rsid w:val="7C0B002A"/>
    <w:rsid w:val="7C6626F5"/>
    <w:rsid w:val="FCDBA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jc w:val="center"/>
      <w:outlineLvl w:val="0"/>
    </w:pPr>
    <w:rPr>
      <w:rFonts w:ascii="仿宋_GB2312" w:eastAsia="仿宋_GB2312"/>
      <w:kern w:val="0"/>
      <w:sz w:val="28"/>
    </w:rPr>
  </w:style>
  <w:style w:type="paragraph" w:styleId="2">
    <w:name w:val="heading 2"/>
    <w:basedOn w:val="1"/>
    <w:next w:val="1"/>
    <w:link w:val="26"/>
    <w:qFormat/>
    <w:uiPriority w:val="99"/>
    <w:pPr>
      <w:keepNext/>
      <w:numPr>
        <w:ilvl w:val="0"/>
        <w:numId w:val="1"/>
      </w:numPr>
      <w:tabs>
        <w:tab w:val="left" w:pos="420"/>
        <w:tab w:val="clear" w:pos="330"/>
      </w:tabs>
      <w:spacing w:line="360" w:lineRule="auto"/>
      <w:outlineLvl w:val="1"/>
    </w:pPr>
    <w:rPr>
      <w:b/>
      <w:sz w:val="24"/>
      <w:szCs w:val="24"/>
    </w:rPr>
  </w:style>
  <w:style w:type="paragraph" w:styleId="4">
    <w:name w:val="heading 3"/>
    <w:basedOn w:val="1"/>
    <w:next w:val="1"/>
    <w:qFormat/>
    <w:uiPriority w:val="99"/>
    <w:pPr>
      <w:keepNext/>
      <w:numPr>
        <w:ilvl w:val="0"/>
        <w:numId w:val="2"/>
      </w:numPr>
      <w:tabs>
        <w:tab w:val="left" w:pos="468"/>
      </w:tabs>
      <w:outlineLvl w:val="2"/>
    </w:pPr>
    <w:rPr>
      <w:b/>
      <w:bCs/>
      <w:sz w:val="28"/>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List Bullet"/>
    <w:basedOn w:val="1"/>
    <w:next w:val="7"/>
    <w:qFormat/>
    <w:uiPriority w:val="0"/>
    <w:pPr>
      <w:numPr>
        <w:ilvl w:val="0"/>
        <w:numId w:val="3"/>
      </w:numPr>
    </w:pPr>
  </w:style>
  <w:style w:type="paragraph" w:styleId="7">
    <w:name w:val="Normal (Web)"/>
    <w:basedOn w:val="1"/>
    <w:next w:val="1"/>
    <w:qFormat/>
    <w:uiPriority w:val="99"/>
    <w:pPr>
      <w:widowControl/>
      <w:jc w:val="left"/>
    </w:pPr>
    <w:rPr>
      <w:rFonts w:ascii="宋体" w:hAnsi="宋体" w:cs="宋体"/>
      <w:kern w:val="0"/>
      <w:sz w:val="24"/>
      <w:szCs w:val="24"/>
    </w:rPr>
  </w:style>
  <w:style w:type="paragraph" w:styleId="8">
    <w:name w:val="Body Text"/>
    <w:basedOn w:val="1"/>
    <w:next w:val="1"/>
    <w:qFormat/>
    <w:uiPriority w:val="0"/>
    <w:pPr>
      <w:spacing w:after="120" w:afterLines="0"/>
    </w:pPr>
  </w:style>
  <w:style w:type="paragraph" w:styleId="9">
    <w:name w:val="toc 3"/>
    <w:basedOn w:val="1"/>
    <w:next w:val="1"/>
    <w:qFormat/>
    <w:uiPriority w:val="39"/>
    <w:pPr>
      <w:ind w:left="840" w:leftChars="400"/>
    </w:pPr>
  </w:style>
  <w:style w:type="paragraph" w:styleId="10">
    <w:name w:val="Body Text Indent 2"/>
    <w:basedOn w:val="1"/>
    <w:qFormat/>
    <w:uiPriority w:val="0"/>
    <w:pPr>
      <w:spacing w:line="360" w:lineRule="auto"/>
      <w:ind w:firstLine="555"/>
    </w:pPr>
    <w:rPr>
      <w:rFonts w:ascii="仿宋_GB2312" w:eastAsia="仿宋_GB2312"/>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Subtitle"/>
    <w:basedOn w:val="1"/>
    <w:next w:val="1"/>
    <w:link w:val="33"/>
    <w:qFormat/>
    <w:uiPriority w:val="11"/>
    <w:pPr>
      <w:wordWrap w:val="0"/>
      <w:spacing w:after="60"/>
      <w:ind w:left="1024" w:firstLine="18"/>
      <w:jc w:val="center"/>
    </w:pPr>
    <w:rPr>
      <w:rFonts w:ascii="Calibri" w:hAnsi="Calibri" w:eastAsia="宋体" w:cs="Times New Roman"/>
      <w:sz w:val="21"/>
      <w:szCs w:val="22"/>
      <w:lang w:val="en-US" w:eastAsia="zh-CN" w:bidi="ar-SA"/>
    </w:rPr>
  </w:style>
  <w:style w:type="paragraph" w:styleId="15">
    <w:name w:val="List"/>
    <w:basedOn w:val="1"/>
    <w:next w:val="16"/>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6">
    <w:name w:val="Body Text Indent 3"/>
    <w:basedOn w:val="1"/>
    <w:next w:val="6"/>
    <w:qFormat/>
    <w:uiPriority w:val="0"/>
    <w:pPr>
      <w:spacing w:after="120"/>
      <w:ind w:left="420" w:leftChars="200"/>
    </w:pPr>
    <w:rPr>
      <w:sz w:val="16"/>
      <w:szCs w:val="16"/>
    </w:rPr>
  </w:style>
  <w:style w:type="paragraph" w:styleId="17">
    <w:name w:val="footnote text"/>
    <w:basedOn w:val="1"/>
    <w:qFormat/>
    <w:uiPriority w:val="0"/>
    <w:pPr>
      <w:snapToGrid w:val="0"/>
      <w:jc w:val="left"/>
    </w:pPr>
    <w:rPr>
      <w:rFonts w:eastAsia="楷体_GB2312"/>
      <w:sz w:val="18"/>
      <w:szCs w:val="18"/>
    </w:rPr>
  </w:style>
  <w:style w:type="paragraph" w:styleId="18">
    <w:name w:val="toc 2"/>
    <w:basedOn w:val="1"/>
    <w:next w:val="1"/>
    <w:qFormat/>
    <w:uiPriority w:val="39"/>
    <w:pPr>
      <w:ind w:left="420" w:left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rFonts w:hint="eastAsia" w:ascii="微软雅黑" w:hAnsi="微软雅黑" w:eastAsia="微软雅黑" w:cs="微软雅黑"/>
      <w:color w:val="02396F"/>
      <w:u w:val="single"/>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标题 1 字符"/>
    <w:link w:val="3"/>
    <w:qFormat/>
    <w:uiPriority w:val="0"/>
    <w:rPr>
      <w:rFonts w:ascii="仿宋_GB2312" w:eastAsia="仿宋_GB2312"/>
      <w:kern w:val="0"/>
      <w:sz w:val="28"/>
    </w:rPr>
  </w:style>
  <w:style w:type="character" w:customStyle="1" w:styleId="25">
    <w:name w:val="标题 2 字符"/>
    <w:qFormat/>
    <w:uiPriority w:val="99"/>
    <w:rPr>
      <w:b/>
      <w:kern w:val="2"/>
      <w:sz w:val="24"/>
      <w:szCs w:val="24"/>
    </w:rPr>
  </w:style>
  <w:style w:type="character" w:customStyle="1" w:styleId="26">
    <w:name w:val="标题 2 字符1"/>
    <w:link w:val="2"/>
    <w:qFormat/>
    <w:uiPriority w:val="0"/>
    <w:rPr>
      <w:b/>
      <w:sz w:val="24"/>
      <w:szCs w:val="24"/>
    </w:rPr>
  </w:style>
  <w:style w:type="paragraph" w:styleId="27">
    <w:name w:val="List Paragraph"/>
    <w:basedOn w:val="1"/>
    <w:qFormat/>
    <w:uiPriority w:val="0"/>
    <w:pPr>
      <w:ind w:firstLine="420" w:firstLineChars="200"/>
    </w:pPr>
    <w:rPr>
      <w:szCs w:val="24"/>
    </w:rPr>
  </w:style>
  <w:style w:type="paragraph" w:customStyle="1" w:styleId="28">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29">
    <w:name w:val="正文文字2"/>
    <w:basedOn w:val="8"/>
    <w:qFormat/>
    <w:uiPriority w:val="0"/>
    <w:pPr>
      <w:adjustRightInd w:val="0"/>
      <w:spacing w:after="60" w:line="360" w:lineRule="atLeast"/>
      <w:ind w:left="72" w:leftChars="30" w:right="72" w:rightChars="30"/>
      <w:jc w:val="center"/>
      <w:textAlignment w:val="baseline"/>
    </w:pPr>
    <w:rPr>
      <w:rFonts w:ascii="Arial" w:hAnsi="Times New Roman" w:eastAsia="黑体" w:cs="Arial"/>
      <w:kern w:val="0"/>
    </w:rPr>
  </w:style>
  <w:style w:type="paragraph" w:customStyle="1" w:styleId="3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1">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32">
    <w:name w:val="p0"/>
    <w:basedOn w:val="1"/>
    <w:qFormat/>
    <w:uiPriority w:val="0"/>
    <w:pPr>
      <w:widowControl/>
    </w:pPr>
    <w:rPr>
      <w:rFonts w:ascii="Calibri" w:hAnsi="Calibri" w:cs="宋体"/>
      <w:kern w:val="0"/>
      <w:szCs w:val="21"/>
    </w:rPr>
  </w:style>
  <w:style w:type="character" w:customStyle="1" w:styleId="33">
    <w:name w:val="副标题 字符"/>
    <w:link w:val="14"/>
    <w:qFormat/>
    <w:uiPriority w:val="11"/>
    <w:rPr>
      <w:rFonts w:ascii="Calibri" w:hAnsi="Calibri" w:eastAsia="宋体" w:cs="Times New Roman"/>
      <w:sz w:val="21"/>
      <w:szCs w:val="22"/>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纯文本1 New New New New New New New New"/>
    <w:basedOn w:val="1"/>
    <w:qFormat/>
    <w:uiPriority w:val="0"/>
    <w:pPr>
      <w:widowControl w:val="0"/>
      <w:suppressAutoHyphens/>
    </w:pPr>
    <w:rPr>
      <w:rFonts w:ascii="宋体"/>
      <w:kern w:val="2"/>
      <w:szCs w:val="20"/>
      <w:lang w:eastAsia="ar-SA"/>
    </w:rPr>
  </w:style>
  <w:style w:type="paragraph" w:customStyle="1" w:styleId="38">
    <w:name w:val="正文文本1"/>
    <w:basedOn w:val="1"/>
    <w:qFormat/>
    <w:uiPriority w:val="0"/>
    <w:pPr>
      <w:spacing w:line="480" w:lineRule="auto"/>
      <w:ind w:firstLine="400"/>
    </w:pPr>
    <w:rPr>
      <w:rFonts w:ascii="宋体" w:hAnsi="宋体" w:eastAsia="宋体" w:cs="宋体"/>
      <w:sz w:val="44"/>
      <w:szCs w:val="44"/>
    </w:rPr>
  </w:style>
  <w:style w:type="paragraph" w:customStyle="1" w:styleId="39">
    <w:name w:val="正文文本 (2)"/>
    <w:basedOn w:val="1"/>
    <w:qFormat/>
    <w:uiPriority w:val="0"/>
    <w:pPr>
      <w:spacing w:before="3230" w:after="300"/>
      <w:jc w:val="center"/>
    </w:pPr>
    <w:rPr>
      <w:rFonts w:ascii="宋体" w:hAnsi="宋体" w:eastAsia="宋体" w:cs="宋体"/>
      <w:sz w:val="80"/>
      <w:szCs w:val="80"/>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23649</Words>
  <Characters>24946</Characters>
  <Lines>0</Lines>
  <Paragraphs>0</Paragraphs>
  <TotalTime>16</TotalTime>
  <ScaleCrop>false</ScaleCrop>
  <LinksUpToDate>false</LinksUpToDate>
  <CharactersWithSpaces>26572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2022-08-01T20:37:00Z</dcterms:created>
  <dc:creator>卡布奇诺</dc:creator>
  <cp:lastModifiedBy>卡布奇诺</cp:lastModifiedBy>
  <dcterms:modified xsi:type="dcterms:W3CDTF">2022-10-09T02:50:42Z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BA4D0A45A8364106A888D69BF22DF52D</vt:lpwstr>
  </property>
</Properties>
</file>