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pPr>
      <w:bookmarkStart w:id="0" w:name="_Toc13057"/>
      <w:bookmarkStart w:id="1" w:name="_Toc31645"/>
      <w:bookmarkStart w:id="2" w:name="_Toc17321"/>
      <w:bookmarkStart w:id="3" w:name="_Toc13297"/>
      <w:bookmarkStart w:id="4" w:name="_Toc16093"/>
      <w:bookmarkStart w:id="5" w:name="_Toc29241"/>
      <w:bookmarkStart w:id="6" w:name="_Toc27286"/>
      <w:bookmarkStart w:id="7" w:name="_Toc22083"/>
      <w:bookmarkStart w:id="8" w:name="_Toc4177"/>
      <w:bookmarkStart w:id="9" w:name="_Toc31636"/>
      <w:bookmarkStart w:id="10" w:name="_Toc11880"/>
      <w:bookmarkStart w:id="11" w:name="_Toc1934"/>
      <w:bookmarkStart w:id="12" w:name="_Toc3501"/>
      <w:bookmarkStart w:id="13" w:name="_Toc12442"/>
      <w:bookmarkStart w:id="14" w:name="_Toc7971"/>
      <w:bookmarkStart w:id="15" w:name="_Toc216582826"/>
      <w:bookmarkStart w:id="16" w:name="_Toc219175639"/>
      <w:bookmarkStart w:id="17" w:name="_Toc515647832"/>
      <w:bookmarkStart w:id="18" w:name="_Toc32647"/>
      <w:bookmarkStart w:id="19" w:name="_Toc218935355"/>
      <w:bookmarkStart w:id="20" w:name="_Toc507399907"/>
    </w:p>
    <w:p>
      <w:pPr>
        <w:spacing w:line="240" w:lineRule="atLeast"/>
        <w:jc w:val="center"/>
        <w:rPr>
          <w:rFonts w:hint="eastAsia" w:ascii="宋体" w:hAnsi="宋体" w:eastAsia="宋体" w:cs="宋体"/>
          <w:b/>
          <w:color w:val="auto"/>
          <w:kern w:val="44"/>
          <w:sz w:val="56"/>
          <w:szCs w:val="36"/>
          <w:highlight w:val="none"/>
          <w:lang w:eastAsia="zh-CN"/>
        </w:rPr>
      </w:pPr>
      <w:r>
        <w:rPr>
          <w:rFonts w:hint="eastAsia" w:ascii="宋体" w:hAnsi="宋体" w:cs="宋体"/>
          <w:b/>
          <w:color w:val="auto"/>
          <w:kern w:val="44"/>
          <w:sz w:val="56"/>
          <w:szCs w:val="36"/>
          <w:highlight w:val="none"/>
          <w:lang w:eastAsia="zh-CN"/>
        </w:rPr>
        <w:t>喀什地区第一人民医院大孔径CT及核磁设备采购项目</w:t>
      </w:r>
    </w:p>
    <w:p>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outlineLvl w:val="9"/>
        <w:rPr>
          <w:rFonts w:hint="eastAsia" w:ascii="宋体" w:hAnsi="宋体" w:eastAsia="宋体" w:cs="宋体"/>
          <w:b/>
          <w:bCs w:val="0"/>
          <w:color w:val="auto"/>
          <w:sz w:val="16"/>
          <w:szCs w:val="16"/>
          <w:highlight w:val="none"/>
          <w:u w:val="none"/>
          <w:lang w:eastAsia="zh-CN"/>
        </w:rPr>
      </w:pPr>
      <w:r>
        <w:rPr>
          <w:rFonts w:hint="eastAsia" w:ascii="宋体" w:hAnsi="宋体" w:eastAsia="宋体" w:cs="宋体"/>
          <w:b/>
          <w:bCs w:val="0"/>
          <w:color w:val="auto"/>
          <w:kern w:val="44"/>
          <w:sz w:val="32"/>
          <w:szCs w:val="20"/>
          <w:highlight w:val="none"/>
          <w:u w:val="none"/>
          <w:lang w:eastAsia="zh-CN"/>
        </w:rPr>
        <w:t>（</w:t>
      </w:r>
      <w:r>
        <w:rPr>
          <w:rFonts w:hint="eastAsia" w:ascii="宋体" w:hAnsi="宋体" w:eastAsia="宋体" w:cs="宋体"/>
          <w:b/>
          <w:bCs w:val="0"/>
          <w:color w:val="auto"/>
          <w:kern w:val="44"/>
          <w:sz w:val="32"/>
          <w:szCs w:val="20"/>
          <w:highlight w:val="none"/>
          <w:u w:val="none"/>
          <w:lang w:val="en-US" w:eastAsia="zh-CN"/>
        </w:rPr>
        <w:t>第一包、第二包</w:t>
      </w:r>
      <w:r>
        <w:rPr>
          <w:rFonts w:hint="eastAsia" w:ascii="宋体" w:hAnsi="宋体" w:eastAsia="宋体" w:cs="宋体"/>
          <w:b/>
          <w:bCs w:val="0"/>
          <w:color w:val="auto"/>
          <w:kern w:val="44"/>
          <w:sz w:val="32"/>
          <w:szCs w:val="20"/>
          <w:highlight w:val="none"/>
          <w:u w:val="none"/>
          <w:lang w:eastAsia="zh-CN"/>
        </w:rPr>
        <w:t>）</w:t>
      </w:r>
    </w:p>
    <w:p>
      <w:pPr>
        <w:pStyle w:val="3"/>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spacing w:line="240" w:lineRule="atLeast"/>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招 标 文 件</w:t>
      </w:r>
    </w:p>
    <w:p>
      <w:pPr>
        <w:outlineLvl w:val="9"/>
        <w:rPr>
          <w:rFonts w:hint="eastAsia"/>
        </w:rPr>
      </w:pPr>
    </w:p>
    <w:p>
      <w:pPr>
        <w:outlineLvl w:val="9"/>
        <w:rPr>
          <w:rFonts w:hint="eastAsia"/>
        </w:rPr>
      </w:pPr>
    </w:p>
    <w:p>
      <w:pPr>
        <w:outlineLvl w:val="9"/>
        <w:rPr>
          <w:rFonts w:hint="eastAsia"/>
        </w:rPr>
      </w:pPr>
    </w:p>
    <w:p>
      <w:pPr>
        <w:spacing w:line="360" w:lineRule="auto"/>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ZJ(GK)-22041</w:t>
      </w:r>
    </w:p>
    <w:p>
      <w:pPr>
        <w:spacing w:line="240" w:lineRule="atLeast"/>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lang w:val="en-US" w:eastAsia="zh-CN"/>
        </w:rPr>
        <w:t xml:space="preserve">    喀什地区第一人民医院       </w:t>
      </w:r>
      <w:r>
        <w:rPr>
          <w:rFonts w:hint="eastAsia" w:ascii="宋体" w:hAnsi="宋体" w:eastAsia="宋体" w:cs="宋体"/>
          <w:b/>
          <w:color w:val="auto"/>
          <w:sz w:val="28"/>
          <w:szCs w:val="28"/>
          <w:highlight w:val="none"/>
        </w:rPr>
        <w:t xml:space="preserve">    </w:t>
      </w:r>
    </w:p>
    <w:p>
      <w:pPr>
        <w:ind w:firstLine="1120" w:firstLineChars="4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丁芸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360" w:lineRule="auto"/>
        <w:ind w:firstLine="1120" w:firstLineChars="4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0998-2962911</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p>
    <w:p>
      <w:pPr>
        <w:pStyle w:val="3"/>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spacing w:line="240" w:lineRule="atLeast"/>
        <w:ind w:firstLine="1120" w:firstLineChars="400"/>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eastAsia="zh-CN"/>
        </w:rPr>
        <w:t>中经国际招标集团有限公司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eastAsia="zh-CN"/>
        </w:rPr>
        <w:t>王丽娟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1120" w:firstLineChars="4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eastAsia="zh-CN"/>
        </w:rPr>
        <w:t>15099650569</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jc w:val="center"/>
        <w:rPr>
          <w:rFonts w:hint="eastAsia" w:ascii="宋体" w:hAnsi="宋体" w:eastAsia="宋体" w:cs="宋体"/>
          <w:b/>
          <w:bCs/>
          <w:color w:val="auto"/>
          <w:sz w:val="32"/>
          <w:szCs w:val="40"/>
          <w:highlight w:val="none"/>
        </w:rPr>
      </w:pPr>
    </w:p>
    <w:p>
      <w:pPr>
        <w:spacing w:line="240" w:lineRule="atLeast"/>
        <w:jc w:val="center"/>
        <w:rPr>
          <w:rFonts w:hint="eastAsia" w:ascii="宋体" w:hAnsi="宋体" w:eastAsia="宋体" w:cs="宋体"/>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日期：202</w:t>
      </w: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11</w:t>
      </w:r>
      <w:r>
        <w:rPr>
          <w:rFonts w:hint="eastAsia" w:ascii="宋体" w:hAnsi="宋体" w:eastAsia="宋体" w:cs="宋体"/>
          <w:b/>
          <w:color w:val="auto"/>
          <w:sz w:val="28"/>
          <w:szCs w:val="28"/>
          <w:highlight w:val="none"/>
          <w:lang w:val="en-US" w:eastAsia="zh-CN"/>
        </w:rPr>
        <w:t>月</w:t>
      </w:r>
    </w:p>
    <w:p>
      <w:pPr>
        <w:ind w:firstLine="3534" w:firstLineChars="1100"/>
        <w:jc w:val="both"/>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目   录</w:t>
      </w:r>
    </w:p>
    <w:p>
      <w:pPr>
        <w:pStyle w:val="18"/>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_Toc10011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第1章</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_Toc10011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_Toc16941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一   总 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_Toc16941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_Toc24538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二   招标文件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_Toc24538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_Toc16144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三   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_Toc16144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_Toc30835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四   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_Toc30835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_Toc14463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五   开标及评标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_Toc14463 \h </w:instrText>
      </w:r>
      <w:r>
        <w:rPr>
          <w:rFonts w:hint="eastAsia" w:ascii="宋体" w:hAnsi="宋体" w:eastAsia="宋体" w:cs="宋体"/>
          <w:sz w:val="21"/>
          <w:szCs w:val="21"/>
        </w:rPr>
        <w:fldChar w:fldCharType="separate"/>
      </w:r>
      <w:r>
        <w:rPr>
          <w:rFonts w:hint="eastAsia" w:ascii="宋体" w:hAnsi="宋体" w:eastAsia="宋体" w:cs="宋体"/>
          <w:sz w:val="21"/>
          <w:szCs w:val="21"/>
        </w:rPr>
        <w:t>9</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_Toc29726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六   确定中标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_Toc29726 \h </w:instrText>
      </w:r>
      <w:r>
        <w:rPr>
          <w:rFonts w:hint="eastAsia" w:ascii="宋体" w:hAnsi="宋体" w:eastAsia="宋体" w:cs="宋体"/>
          <w:sz w:val="21"/>
          <w:szCs w:val="21"/>
        </w:rPr>
        <w:fldChar w:fldCharType="separate"/>
      </w:r>
      <w:r>
        <w:rPr>
          <w:rFonts w:hint="eastAsia" w:ascii="宋体" w:hAnsi="宋体" w:eastAsia="宋体" w:cs="宋体"/>
          <w:sz w:val="21"/>
          <w:szCs w:val="21"/>
        </w:rPr>
        <w:t>14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8"/>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_Toc9566 </w:instrText>
      </w:r>
      <w:r>
        <w:rPr>
          <w:rFonts w:hint="eastAsia" w:ascii="宋体" w:hAnsi="宋体" w:eastAsia="宋体" w:cs="宋体"/>
          <w:kern w:val="2"/>
          <w:sz w:val="21"/>
          <w:szCs w:val="21"/>
          <w:highlight w:val="none"/>
        </w:rPr>
        <w:fldChar w:fldCharType="separate"/>
      </w:r>
      <w:r>
        <w:rPr>
          <w:rFonts w:hint="eastAsia" w:ascii="宋体" w:hAnsi="宋体" w:eastAsia="宋体" w:cs="宋体"/>
          <w:bCs/>
          <w:kern w:val="0"/>
          <w:sz w:val="21"/>
          <w:szCs w:val="21"/>
          <w:highlight w:val="none"/>
          <w:lang w:val="en-US" w:eastAsia="zh-CN" w:bidi="ar-SA"/>
        </w:rPr>
        <w:t>第2章  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_Toc9566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_Toc22049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第一部分 开标一览表及资格证明文件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_Toc22049 \h </w:instrText>
      </w:r>
      <w:r>
        <w:rPr>
          <w:rFonts w:hint="eastAsia" w:ascii="宋体" w:hAnsi="宋体" w:eastAsia="宋体" w:cs="宋体"/>
          <w:sz w:val="21"/>
          <w:szCs w:val="21"/>
        </w:rPr>
        <w:fldChar w:fldCharType="separate"/>
      </w:r>
      <w:r>
        <w:rPr>
          <w:rFonts w:hint="eastAsia" w:ascii="宋体" w:hAnsi="宋体" w:eastAsia="宋体" w:cs="宋体"/>
          <w:sz w:val="21"/>
          <w:szCs w:val="21"/>
        </w:rPr>
        <w:t>20</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_Toc6718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1.开标一览表；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_Toc6718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_Toc13224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具有有效的营业执照</w:t>
      </w:r>
      <w:r>
        <w:rPr>
          <w:rFonts w:hint="eastAsia" w:ascii="宋体" w:hAnsi="宋体" w:eastAsia="宋体" w:cs="宋体"/>
          <w:sz w:val="21"/>
          <w:szCs w:val="21"/>
          <w:highlight w:val="none"/>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_Toc13224 \h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_Toc15195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3.法定代表人资格证明及授权书、被授权人身份证(法定代表人投标需提供法定代表人身份证)；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_Toc15195 \h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_Toc22750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提供《医疗器械生产许可证》或《医疗器械经营许可证》及医疗器械注册证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_Toc22750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_Toc4400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5.提供近两年内任意一年的财务审计报告；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_Toc4400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_Toc27031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6.依法缴纳近六个月内任意一个月社会保险的凭据；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_Toc27031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_Toc126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7.税务部门出具的近六个月内任意一个月的完税证明；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_Toc126 \h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_Toc12000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_Toc12000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_Toc4137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9.参与政府采购活动前3年内未被列入失信、重大税收违法案件、财政部门禁止参加政府采购活动的承诺书；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_Toc4137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_Toc5617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10.提供针对本次项目的《反商业贿赂承诺书》；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_Toc5617 \h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_Toc31456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11.缴纳投标保证金的有效凭证；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_Toc31456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_Toc20397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12.银行开户许可证复印件或银行基本账户信息(包含：银行账号及开户行名称）；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_Toc20397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_Toc21284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13.供应商可提供有利于投标的其他资格证明材料。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_Toc21284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_Toc23831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第二部分  商务及技术文件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_Toc23831 \h </w:instrText>
      </w:r>
      <w:r>
        <w:rPr>
          <w:rFonts w:hint="eastAsia" w:ascii="宋体" w:hAnsi="宋体" w:eastAsia="宋体" w:cs="宋体"/>
          <w:sz w:val="21"/>
          <w:szCs w:val="21"/>
        </w:rPr>
        <w:fldChar w:fldCharType="separate"/>
      </w:r>
      <w:r>
        <w:rPr>
          <w:rFonts w:hint="eastAsia" w:ascii="宋体" w:hAnsi="宋体" w:eastAsia="宋体" w:cs="宋体"/>
          <w:sz w:val="21"/>
          <w:szCs w:val="21"/>
        </w:rPr>
        <w:t>27</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_Toc29802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1.投标书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_Toc29802 \h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_Toc30813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2.投标分项报价表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_Toc30813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_Toc4717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备品备件设备分项报价表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_Toc4717 \h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_Toc32744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3.货物说明一览表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_Toc32744 \h </w:instrText>
      </w:r>
      <w:r>
        <w:rPr>
          <w:rFonts w:hint="eastAsia" w:ascii="宋体" w:hAnsi="宋体" w:eastAsia="宋体" w:cs="宋体"/>
          <w:sz w:val="21"/>
          <w:szCs w:val="21"/>
        </w:rPr>
        <w:fldChar w:fldCharType="separate"/>
      </w:r>
      <w:r>
        <w:rPr>
          <w:rFonts w:hint="eastAsia" w:ascii="宋体" w:hAnsi="宋体" w:eastAsia="宋体" w:cs="宋体"/>
          <w:sz w:val="21"/>
          <w:szCs w:val="21"/>
        </w:rPr>
        <w:t>31</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_Toc27737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4.技术规格偏离表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_Toc27737 \h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_Toc20565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5.商务条款偏离表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_Toc20565 \h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_Toc26724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6-1中小企业声明函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_Toc26724 \h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_Toc21599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6-2 残疾人福利性单位声明函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_Toc21599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_Toc13155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7.供应商关联单位的说明（格式自拟）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_Toc13155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_Toc12074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8.供应商可提供有利于投标的其他证明材料（具体要求详见项目要求和综合评分表中的技术部分）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_Toc12074 \h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_Toc29345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lang w:val="en-US" w:eastAsia="zh-CN"/>
        </w:rPr>
        <w:t>9.投标文件格式范本</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_Toc29345 \h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8"/>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_Toc25446 </w:instrText>
      </w:r>
      <w:r>
        <w:rPr>
          <w:rFonts w:hint="eastAsia" w:ascii="宋体" w:hAnsi="宋体" w:eastAsia="宋体" w:cs="宋体"/>
          <w:kern w:val="2"/>
          <w:sz w:val="21"/>
          <w:szCs w:val="21"/>
          <w:highlight w:val="none"/>
        </w:rPr>
        <w:fldChar w:fldCharType="separate"/>
      </w:r>
      <w:r>
        <w:rPr>
          <w:rFonts w:hint="eastAsia" w:ascii="宋体" w:hAnsi="宋体" w:eastAsia="宋体" w:cs="宋体"/>
          <w:bCs/>
          <w:kern w:val="0"/>
          <w:sz w:val="21"/>
          <w:szCs w:val="21"/>
          <w:highlight w:val="none"/>
          <w:lang w:val="en-US" w:eastAsia="zh-CN" w:bidi="ar-SA"/>
        </w:rPr>
        <w:t>第3章  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_Toc25446 \h </w:instrText>
      </w:r>
      <w:r>
        <w:rPr>
          <w:rFonts w:hint="eastAsia" w:ascii="宋体" w:hAnsi="宋体" w:eastAsia="宋体" w:cs="宋体"/>
          <w:sz w:val="21"/>
          <w:szCs w:val="21"/>
        </w:rPr>
        <w:fldChar w:fldCharType="separate"/>
      </w:r>
      <w:r>
        <w:rPr>
          <w:rFonts w:hint="eastAsia" w:ascii="宋体" w:hAnsi="宋体" w:eastAsia="宋体" w:cs="宋体"/>
          <w:sz w:val="21"/>
          <w:szCs w:val="21"/>
        </w:rPr>
        <w:t>38</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8"/>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_Toc21013 </w:instrText>
      </w:r>
      <w:r>
        <w:rPr>
          <w:rFonts w:hint="eastAsia" w:ascii="宋体" w:hAnsi="宋体" w:eastAsia="宋体" w:cs="宋体"/>
          <w:kern w:val="2"/>
          <w:sz w:val="21"/>
          <w:szCs w:val="21"/>
          <w:highlight w:val="none"/>
        </w:rPr>
        <w:fldChar w:fldCharType="separate"/>
      </w:r>
      <w:r>
        <w:rPr>
          <w:rFonts w:hint="eastAsia" w:ascii="宋体" w:hAnsi="宋体" w:eastAsia="宋体" w:cs="宋体"/>
          <w:bCs/>
          <w:kern w:val="0"/>
          <w:sz w:val="21"/>
          <w:szCs w:val="21"/>
          <w:highlight w:val="none"/>
          <w:lang w:val="en-US" w:eastAsia="zh-CN" w:bidi="ar-SA"/>
        </w:rPr>
        <w:t>第4章  供应商须知资料表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_Toc21013 \h </w:instrText>
      </w:r>
      <w:r>
        <w:rPr>
          <w:rFonts w:hint="eastAsia" w:ascii="宋体" w:hAnsi="宋体" w:eastAsia="宋体" w:cs="宋体"/>
          <w:sz w:val="21"/>
          <w:szCs w:val="21"/>
        </w:rPr>
        <w:fldChar w:fldCharType="separate"/>
      </w:r>
      <w:r>
        <w:rPr>
          <w:rFonts w:hint="eastAsia" w:ascii="宋体" w:hAnsi="宋体" w:eastAsia="宋体" w:cs="宋体"/>
          <w:sz w:val="21"/>
          <w:szCs w:val="21"/>
        </w:rPr>
        <w:t>42</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8"/>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_Toc18718 </w:instrText>
      </w:r>
      <w:r>
        <w:rPr>
          <w:rFonts w:hint="eastAsia" w:ascii="宋体" w:hAnsi="宋体" w:eastAsia="宋体" w:cs="宋体"/>
          <w:kern w:val="2"/>
          <w:sz w:val="21"/>
          <w:szCs w:val="21"/>
          <w:highlight w:val="none"/>
        </w:rPr>
        <w:fldChar w:fldCharType="separate"/>
      </w:r>
      <w:r>
        <w:rPr>
          <w:rFonts w:hint="eastAsia" w:ascii="宋体" w:hAnsi="宋体" w:eastAsia="宋体" w:cs="宋体"/>
          <w:bCs/>
          <w:kern w:val="0"/>
          <w:sz w:val="21"/>
          <w:szCs w:val="21"/>
          <w:highlight w:val="none"/>
          <w:lang w:val="en-US" w:eastAsia="zh-CN" w:bidi="ar-SA"/>
        </w:rPr>
        <w:t>第5章  货物内容及项目要求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_Toc18718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_Toc28720 </w:instrText>
      </w:r>
      <w:r>
        <w:rPr>
          <w:rFonts w:hint="eastAsia" w:ascii="宋体" w:hAnsi="宋体" w:eastAsia="宋体" w:cs="宋体"/>
          <w:kern w:val="2"/>
          <w:sz w:val="21"/>
          <w:szCs w:val="21"/>
          <w:highlight w:val="none"/>
        </w:rPr>
        <w:fldChar w:fldCharType="separate"/>
      </w:r>
      <w:r>
        <w:rPr>
          <w:rFonts w:hint="eastAsia" w:ascii="宋体" w:hAnsi="宋体" w:eastAsia="宋体" w:cs="宋体"/>
          <w:bCs/>
          <w:i w:val="0"/>
          <w:caps w:val="0"/>
          <w:spacing w:val="0"/>
          <w:w w:val="100"/>
          <w:kern w:val="0"/>
          <w:sz w:val="21"/>
          <w:szCs w:val="21"/>
          <w:highlight w:val="none"/>
          <w:lang w:val="en-US" w:eastAsia="zh-CN" w:bidi="ar-SA"/>
        </w:rPr>
        <w:t>一、货物需求：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_Toc28720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_Toc5671 </w:instrText>
      </w:r>
      <w:r>
        <w:rPr>
          <w:rFonts w:hint="eastAsia" w:ascii="宋体" w:hAnsi="宋体" w:eastAsia="宋体" w:cs="宋体"/>
          <w:kern w:val="2"/>
          <w:sz w:val="21"/>
          <w:szCs w:val="21"/>
          <w:highlight w:val="none"/>
        </w:rPr>
        <w:fldChar w:fldCharType="separate"/>
      </w:r>
      <w:r>
        <w:rPr>
          <w:rFonts w:hint="eastAsia" w:ascii="宋体" w:hAnsi="宋体" w:eastAsia="宋体" w:cs="宋体"/>
          <w:bCs/>
          <w:i w:val="0"/>
          <w:caps w:val="0"/>
          <w:spacing w:val="0"/>
          <w:w w:val="100"/>
          <w:sz w:val="21"/>
          <w:szCs w:val="21"/>
          <w:highlight w:val="none"/>
          <w:lang w:val="en-US" w:eastAsia="zh-CN"/>
        </w:rPr>
        <w:t>第一包：大孔径CT模拟定位机（国产）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_Toc5671 \h </w:instrText>
      </w:r>
      <w:r>
        <w:rPr>
          <w:rFonts w:hint="eastAsia" w:ascii="宋体" w:hAnsi="宋体" w:eastAsia="宋体" w:cs="宋体"/>
          <w:sz w:val="21"/>
          <w:szCs w:val="21"/>
        </w:rPr>
        <w:fldChar w:fldCharType="separate"/>
      </w:r>
      <w:r>
        <w:rPr>
          <w:rFonts w:hint="eastAsia" w:ascii="宋体" w:hAnsi="宋体" w:eastAsia="宋体" w:cs="宋体"/>
          <w:sz w:val="21"/>
          <w:szCs w:val="21"/>
        </w:rPr>
        <w:t>47</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_Toc23450 </w:instrText>
      </w:r>
      <w:r>
        <w:rPr>
          <w:rFonts w:hint="eastAsia" w:ascii="宋体" w:hAnsi="宋体" w:eastAsia="宋体" w:cs="宋体"/>
          <w:kern w:val="2"/>
          <w:sz w:val="21"/>
          <w:szCs w:val="21"/>
          <w:highlight w:val="none"/>
        </w:rPr>
        <w:fldChar w:fldCharType="separate"/>
      </w:r>
      <w:r>
        <w:rPr>
          <w:rFonts w:hint="eastAsia" w:ascii="宋体" w:hAnsi="宋体" w:eastAsia="宋体" w:cs="宋体"/>
          <w:bCs/>
          <w:i w:val="0"/>
          <w:caps w:val="0"/>
          <w:spacing w:val="0"/>
          <w:w w:val="100"/>
          <w:kern w:val="2"/>
          <w:sz w:val="21"/>
          <w:szCs w:val="21"/>
          <w:highlight w:val="none"/>
          <w:lang w:val="en-US" w:eastAsia="zh-CN" w:bidi="ar-SA"/>
        </w:rPr>
        <w:t>第二包：1.5T核磁设备（国产）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_Toc23450 \h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_Toc13966 </w:instrText>
      </w:r>
      <w:r>
        <w:rPr>
          <w:rFonts w:hint="eastAsia" w:ascii="宋体" w:hAnsi="宋体" w:eastAsia="宋体" w:cs="宋体"/>
          <w:kern w:val="2"/>
          <w:sz w:val="21"/>
          <w:szCs w:val="21"/>
          <w:highlight w:val="none"/>
        </w:rPr>
        <w:fldChar w:fldCharType="separate"/>
      </w:r>
      <w:r>
        <w:rPr>
          <w:rFonts w:hint="eastAsia" w:ascii="宋体" w:hAnsi="宋体" w:eastAsia="宋体" w:cs="宋体"/>
          <w:bCs/>
          <w:i w:val="0"/>
          <w:caps w:val="0"/>
          <w:spacing w:val="0"/>
          <w:w w:val="100"/>
          <w:kern w:val="0"/>
          <w:sz w:val="21"/>
          <w:szCs w:val="21"/>
          <w:highlight w:val="none"/>
          <w:lang w:val="en-US" w:eastAsia="zh-CN" w:bidi="ar-SA"/>
        </w:rPr>
        <w:t>二、项目要求：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_Toc13966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_Toc18114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lang w:val="en-US" w:eastAsia="zh-CN"/>
        </w:rPr>
        <w:t>（一）所招产品的质量要求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_Toc18114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_Toc5075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lang w:val="en-US" w:eastAsia="zh-CN"/>
        </w:rPr>
        <w:t>（二）项目交货期和质保期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_Toc5075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_Toc15496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lang w:val="en-US" w:eastAsia="zh-CN"/>
        </w:rPr>
        <w:t>（三）付款方式和交货地点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_Toc15496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_Toc14306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lang w:val="en-US" w:eastAsia="zh-CN"/>
        </w:rPr>
        <w:t>（四）售后服务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_Toc14306 \h </w:instrText>
      </w:r>
      <w:r>
        <w:rPr>
          <w:rFonts w:hint="eastAsia" w:ascii="宋体" w:hAnsi="宋体" w:eastAsia="宋体" w:cs="宋体"/>
          <w:sz w:val="21"/>
          <w:szCs w:val="21"/>
        </w:rPr>
        <w:fldChar w:fldCharType="separate"/>
      </w:r>
      <w:r>
        <w:rPr>
          <w:rFonts w:hint="eastAsia" w:ascii="宋体" w:hAnsi="宋体" w:eastAsia="宋体" w:cs="宋体"/>
          <w:sz w:val="21"/>
          <w:szCs w:val="21"/>
        </w:rPr>
        <w:t>74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_Toc13783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lang w:val="en-US" w:eastAsia="zh-CN"/>
        </w:rPr>
        <w:t>（五）实施方案及培训方案</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_Toc13783 \h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_Toc15005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lang w:val="en-US" w:eastAsia="zh-CN"/>
        </w:rPr>
        <w:t>（六）验收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_Toc15005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2"/>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_Toc1100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lang w:val="en-US" w:eastAsia="zh-CN"/>
        </w:rPr>
        <w:t>（七）其他要求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_Toc1100 \h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8"/>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_Toc25445 </w:instrText>
      </w:r>
      <w:r>
        <w:rPr>
          <w:rFonts w:hint="eastAsia" w:ascii="宋体" w:hAnsi="宋体" w:eastAsia="宋体" w:cs="宋体"/>
          <w:kern w:val="2"/>
          <w:sz w:val="21"/>
          <w:szCs w:val="21"/>
          <w:highlight w:val="none"/>
        </w:rPr>
        <w:fldChar w:fldCharType="separate"/>
      </w:r>
      <w:r>
        <w:rPr>
          <w:rFonts w:hint="eastAsia" w:ascii="宋体" w:hAnsi="宋体" w:eastAsia="宋体" w:cs="宋体"/>
          <w:bCs/>
          <w:kern w:val="0"/>
          <w:sz w:val="21"/>
          <w:szCs w:val="21"/>
          <w:highlight w:val="none"/>
          <w:lang w:val="en-US" w:eastAsia="zh-CN" w:bidi="ar-SA"/>
        </w:rPr>
        <w:t>第6章  评标方法和标准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_Toc25445 \h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_Toc1305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初步评审—资格性审查表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_Toc1305 \h </w:instrText>
      </w:r>
      <w:r>
        <w:rPr>
          <w:rFonts w:hint="eastAsia" w:ascii="宋体" w:hAnsi="宋体" w:eastAsia="宋体" w:cs="宋体"/>
          <w:sz w:val="21"/>
          <w:szCs w:val="21"/>
        </w:rPr>
        <w:fldChar w:fldCharType="separate"/>
      </w:r>
      <w:r>
        <w:rPr>
          <w:rFonts w:hint="eastAsia" w:ascii="宋体" w:hAnsi="宋体" w:eastAsia="宋体" w:cs="宋体"/>
          <w:sz w:val="21"/>
          <w:szCs w:val="21"/>
        </w:rPr>
        <w:t>83</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_Toc18611 </w:instrText>
      </w:r>
      <w:r>
        <w:rPr>
          <w:rFonts w:hint="eastAsia" w:ascii="宋体" w:hAnsi="宋体" w:eastAsia="宋体" w:cs="宋体"/>
          <w:kern w:val="2"/>
          <w:sz w:val="21"/>
          <w:szCs w:val="21"/>
          <w:highlight w:val="none"/>
        </w:rPr>
        <w:fldChar w:fldCharType="separate"/>
      </w:r>
      <w:r>
        <w:rPr>
          <w:rFonts w:hint="eastAsia" w:ascii="宋体" w:hAnsi="宋体" w:eastAsia="宋体" w:cs="宋体"/>
          <w:sz w:val="21"/>
          <w:szCs w:val="21"/>
          <w:highlight w:val="none"/>
        </w:rPr>
        <w:t>初步评审—符合性审查表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_Toc18611 \h </w:instrText>
      </w:r>
      <w:r>
        <w:rPr>
          <w:rFonts w:hint="eastAsia" w:ascii="宋体" w:hAnsi="宋体" w:eastAsia="宋体" w:cs="宋体"/>
          <w:sz w:val="21"/>
          <w:szCs w:val="21"/>
        </w:rPr>
        <w:fldChar w:fldCharType="separate"/>
      </w:r>
      <w:r>
        <w:rPr>
          <w:rFonts w:hint="eastAsia" w:ascii="宋体" w:hAnsi="宋体" w:eastAsia="宋体" w:cs="宋体"/>
          <w:sz w:val="21"/>
          <w:szCs w:val="21"/>
        </w:rPr>
        <w:t>84</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_Toc4785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highlight w:val="none"/>
        </w:rPr>
        <w:t>综合评分表</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第一包</w:t>
      </w:r>
      <w:r>
        <w:rPr>
          <w:rFonts w:hint="eastAsia" w:ascii="宋体" w:hAnsi="宋体" w:eastAsia="宋体" w:cs="宋体"/>
          <w:bCs/>
          <w:sz w:val="21"/>
          <w:szCs w:val="21"/>
          <w:highlight w:val="none"/>
          <w:lang w:eastAsia="zh-CN"/>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_Toc4785 \h </w:instrText>
      </w:r>
      <w:r>
        <w:rPr>
          <w:rFonts w:hint="eastAsia" w:ascii="宋体" w:hAnsi="宋体" w:eastAsia="宋体" w:cs="宋体"/>
          <w:sz w:val="21"/>
          <w:szCs w:val="21"/>
        </w:rPr>
        <w:fldChar w:fldCharType="separate"/>
      </w:r>
      <w:r>
        <w:rPr>
          <w:rFonts w:hint="eastAsia" w:ascii="宋体" w:hAnsi="宋体" w:eastAsia="宋体" w:cs="宋体"/>
          <w:sz w:val="21"/>
          <w:szCs w:val="21"/>
        </w:rPr>
        <w:t>87</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20"/>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_Toc2438 </w:instrText>
      </w:r>
      <w:r>
        <w:rPr>
          <w:rFonts w:hint="eastAsia" w:ascii="宋体" w:hAnsi="宋体" w:eastAsia="宋体" w:cs="宋体"/>
          <w:kern w:val="2"/>
          <w:sz w:val="21"/>
          <w:szCs w:val="21"/>
          <w:highlight w:val="none"/>
        </w:rPr>
        <w:fldChar w:fldCharType="separate"/>
      </w:r>
      <w:r>
        <w:rPr>
          <w:rFonts w:hint="eastAsia" w:ascii="宋体" w:hAnsi="宋体" w:eastAsia="宋体" w:cs="宋体"/>
          <w:bCs/>
          <w:sz w:val="21"/>
          <w:szCs w:val="21"/>
          <w:highlight w:val="none"/>
        </w:rPr>
        <w:t>综合评分表</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第二包</w:t>
      </w:r>
      <w:r>
        <w:rPr>
          <w:rFonts w:hint="eastAsia" w:ascii="宋体" w:hAnsi="宋体" w:eastAsia="宋体" w:cs="宋体"/>
          <w:bCs/>
          <w:sz w:val="21"/>
          <w:szCs w:val="21"/>
          <w:highlight w:val="none"/>
          <w:lang w:eastAsia="zh-CN"/>
        </w:rPr>
        <w:t>）</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_Toc2438 \h </w:instrText>
      </w:r>
      <w:r>
        <w:rPr>
          <w:rFonts w:hint="eastAsia" w:ascii="宋体" w:hAnsi="宋体" w:eastAsia="宋体" w:cs="宋体"/>
          <w:sz w:val="21"/>
          <w:szCs w:val="21"/>
        </w:rPr>
        <w:fldChar w:fldCharType="separate"/>
      </w:r>
      <w:r>
        <w:rPr>
          <w:rFonts w:hint="eastAsia" w:ascii="宋体" w:hAnsi="宋体" w:eastAsia="宋体" w:cs="宋体"/>
          <w:sz w:val="21"/>
          <w:szCs w:val="21"/>
        </w:rPr>
        <w:t>89</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18"/>
        <w:keepNext w:val="0"/>
        <w:keepLines w:val="0"/>
        <w:pageBreakBefore w:val="0"/>
        <w:widowControl w:val="0"/>
        <w:tabs>
          <w:tab w:val="right" w:leader="dot" w:pos="8312"/>
        </w:tabs>
        <w:kinsoku/>
        <w:wordWrap/>
        <w:overflowPunct/>
        <w:topLinePunct w:val="0"/>
        <w:bidi w:val="0"/>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rPr>
        <w:fldChar w:fldCharType="begin"/>
      </w:r>
      <w:r>
        <w:rPr>
          <w:rFonts w:hint="eastAsia" w:ascii="宋体" w:hAnsi="宋体" w:eastAsia="宋体" w:cs="宋体"/>
          <w:kern w:val="2"/>
          <w:sz w:val="21"/>
          <w:szCs w:val="21"/>
          <w:highlight w:val="none"/>
        </w:rPr>
        <w:instrText xml:space="preserve"> HYPERLINK \l _Toc11529 </w:instrText>
      </w:r>
      <w:r>
        <w:rPr>
          <w:rFonts w:hint="eastAsia" w:ascii="宋体" w:hAnsi="宋体" w:eastAsia="宋体" w:cs="宋体"/>
          <w:kern w:val="2"/>
          <w:sz w:val="21"/>
          <w:szCs w:val="21"/>
          <w:highlight w:val="none"/>
        </w:rPr>
        <w:fldChar w:fldCharType="separate"/>
      </w:r>
      <w:r>
        <w:rPr>
          <w:rFonts w:hint="eastAsia" w:ascii="宋体" w:hAnsi="宋体" w:eastAsia="宋体" w:cs="宋体"/>
          <w:bCs/>
          <w:kern w:val="0"/>
          <w:sz w:val="21"/>
          <w:szCs w:val="21"/>
          <w:highlight w:val="none"/>
          <w:lang w:val="en-US" w:eastAsia="zh-CN" w:bidi="ar-SA"/>
        </w:rPr>
        <w:t>第7章  政府采购合同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_Toc11529 \h </w:instrText>
      </w:r>
      <w:r>
        <w:rPr>
          <w:rFonts w:hint="eastAsia" w:ascii="宋体" w:hAnsi="宋体" w:eastAsia="宋体" w:cs="宋体"/>
          <w:sz w:val="21"/>
          <w:szCs w:val="21"/>
        </w:rPr>
        <w:fldChar w:fldCharType="separate"/>
      </w:r>
      <w:r>
        <w:rPr>
          <w:rFonts w:hint="eastAsia" w:ascii="宋体" w:hAnsi="宋体" w:eastAsia="宋体" w:cs="宋体"/>
          <w:sz w:val="21"/>
          <w:szCs w:val="21"/>
        </w:rPr>
        <w:t>92</w:t>
      </w:r>
      <w:r>
        <w:rPr>
          <w:rFonts w:hint="eastAsia" w:ascii="宋体" w:hAnsi="宋体" w:eastAsia="宋体" w:cs="宋体"/>
          <w:sz w:val="21"/>
          <w:szCs w:val="21"/>
        </w:rPr>
        <w:fldChar w:fldCharType="end"/>
      </w:r>
      <w:r>
        <w:rPr>
          <w:rFonts w:hint="eastAsia" w:ascii="宋体" w:hAnsi="宋体" w:eastAsia="宋体" w:cs="宋体"/>
          <w:color w:val="auto"/>
          <w:kern w:val="2"/>
          <w:sz w:val="21"/>
          <w:szCs w:val="21"/>
          <w:highlight w:val="none"/>
        </w:rPr>
        <w:fldChar w:fldCharType="end"/>
      </w:r>
    </w:p>
    <w:p>
      <w:pPr>
        <w:pStyle w:val="3"/>
        <w:keepNext w:val="0"/>
        <w:keepLines w:val="0"/>
        <w:pageBreakBefore w:val="0"/>
        <w:widowControl w:val="0"/>
        <w:kinsoku/>
        <w:wordWrap/>
        <w:overflowPunct/>
        <w:topLinePunct w:val="0"/>
        <w:bidi w:val="0"/>
        <w:snapToGrid/>
        <w:spacing w:line="320" w:lineRule="exact"/>
        <w:ind w:firstLine="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fldChar w:fldCharType="end"/>
      </w:r>
      <w:bookmarkStart w:id="21" w:name="_Toc22782"/>
      <w:bookmarkStart w:id="22" w:name="_Toc8627"/>
      <w:bookmarkStart w:id="23" w:name="_Toc17230"/>
      <w:bookmarkStart w:id="24" w:name="_Toc216582804"/>
      <w:bookmarkStart w:id="25" w:name="_Toc11115"/>
      <w:bookmarkStart w:id="26" w:name="_Toc25253"/>
      <w:bookmarkStart w:id="27" w:name="_Toc16548"/>
      <w:bookmarkStart w:id="28" w:name="_Toc1148"/>
      <w:bookmarkStart w:id="29" w:name="_Toc515647798"/>
      <w:r>
        <w:rPr>
          <w:rFonts w:hint="eastAsia" w:ascii="宋体" w:hAnsi="宋体" w:eastAsia="宋体" w:cs="宋体"/>
          <w:color w:val="auto"/>
          <w:highlight w:val="none"/>
        </w:rPr>
        <w:t xml:space="preserve">      </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color w:val="auto"/>
          <w:sz w:val="44"/>
          <w:szCs w:val="44"/>
          <w:highlight w:val="none"/>
        </w:rPr>
        <w:t>招 标 文 件</w:t>
      </w:r>
    </w:p>
    <w:p>
      <w:pPr>
        <w:spacing w:line="360" w:lineRule="auto"/>
        <w:outlineLvl w:val="9"/>
        <w:rPr>
          <w:rFonts w:hint="eastAsia" w:ascii="宋体" w:hAnsi="宋体" w:eastAsia="宋体" w:cs="宋体"/>
          <w:b/>
          <w:color w:val="auto"/>
          <w:sz w:val="40"/>
          <w:szCs w:val="40"/>
          <w:highlight w:val="none"/>
        </w:rPr>
      </w:pPr>
    </w:p>
    <w:p>
      <w:pPr>
        <w:spacing w:line="360" w:lineRule="auto"/>
        <w:jc w:val="center"/>
        <w:outlineLvl w:val="9"/>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color w:val="auto"/>
          <w:sz w:val="40"/>
          <w:szCs w:val="40"/>
          <w:highlight w:val="none"/>
          <w:lang w:eastAsia="zh-CN"/>
        </w:rPr>
        <w:t>ZJ(GK)-22041</w:t>
      </w:r>
    </w:p>
    <w:p>
      <w:pPr>
        <w:spacing w:line="240" w:lineRule="atLeast"/>
        <w:jc w:val="center"/>
        <w:outlineLvl w:val="9"/>
        <w:rPr>
          <w:rFonts w:hint="eastAsia" w:ascii="宋体" w:hAnsi="宋体" w:eastAsia="宋体" w:cs="宋体"/>
          <w:b/>
          <w:color w:val="auto"/>
          <w:sz w:val="32"/>
          <w:highlight w:val="none"/>
        </w:rPr>
      </w:pPr>
    </w:p>
    <w:p>
      <w:pPr>
        <w:spacing w:line="240" w:lineRule="atLeast"/>
        <w:jc w:val="center"/>
        <w:outlineLvl w:val="9"/>
        <w:rPr>
          <w:rFonts w:hint="eastAsia" w:ascii="宋体" w:hAnsi="宋体" w:eastAsia="宋体" w:cs="宋体"/>
          <w:b/>
          <w:color w:val="auto"/>
          <w:sz w:val="32"/>
          <w:highlight w:val="none"/>
        </w:rPr>
      </w:pPr>
    </w:p>
    <w:p>
      <w:pPr>
        <w:pStyle w:val="3"/>
        <w:ind w:firstLine="0"/>
        <w:jc w:val="cente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 xml:space="preserve">第 </w:t>
      </w:r>
      <w:r>
        <w:rPr>
          <w:rFonts w:hint="eastAsia" w:hAnsi="宋体" w:cs="宋体"/>
          <w:b/>
          <w:color w:val="auto"/>
          <w:sz w:val="44"/>
          <w:szCs w:val="36"/>
          <w:highlight w:val="none"/>
          <w:lang w:val="en-US" w:eastAsia="zh-CN"/>
        </w:rPr>
        <w:t>一</w:t>
      </w:r>
      <w:r>
        <w:rPr>
          <w:rFonts w:hint="eastAsia" w:ascii="宋体" w:hAnsi="宋体" w:eastAsia="宋体" w:cs="宋体"/>
          <w:b/>
          <w:color w:val="auto"/>
          <w:sz w:val="44"/>
          <w:szCs w:val="36"/>
          <w:highlight w:val="none"/>
        </w:rPr>
        <w:t xml:space="preserve"> 册</w:t>
      </w:r>
    </w:p>
    <w:p>
      <w:pP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pPr>
        <w:pStyle w:val="3"/>
        <w:ind w:firstLine="0"/>
        <w:jc w:val="center"/>
        <w:outlineLvl w:val="0"/>
        <w:rPr>
          <w:rFonts w:hint="eastAsia" w:ascii="宋体" w:hAnsi="宋体" w:eastAsia="宋体" w:cs="宋体"/>
          <w:color w:val="auto"/>
          <w:sz w:val="32"/>
          <w:szCs w:val="32"/>
          <w:highlight w:val="none"/>
        </w:rPr>
      </w:pPr>
      <w:bookmarkStart w:id="30" w:name="_Toc10011"/>
      <w:r>
        <w:rPr>
          <w:rFonts w:hint="eastAsia" w:ascii="宋体" w:hAnsi="宋体" w:eastAsia="宋体" w:cs="宋体"/>
          <w:b/>
          <w:bCs/>
          <w:color w:val="auto"/>
          <w:sz w:val="32"/>
          <w:szCs w:val="32"/>
          <w:highlight w:val="none"/>
        </w:rPr>
        <w:t>第1章</w:t>
      </w:r>
      <w:bookmarkStart w:id="31" w:name="_Toc515647756"/>
      <w:r>
        <w:rPr>
          <w:rFonts w:hint="eastAsia"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p>
    <w:p>
      <w:pPr>
        <w:pStyle w:val="6"/>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32" w:name="_Toc216582805"/>
      <w:bookmarkStart w:id="33" w:name="_Toc520356143"/>
      <w:bookmarkStart w:id="34" w:name="_Toc515647757"/>
      <w:bookmarkStart w:id="35" w:name="_Toc21015"/>
      <w:bookmarkStart w:id="36" w:name="_Toc11227"/>
      <w:bookmarkStart w:id="37" w:name="_Toc21215"/>
      <w:bookmarkStart w:id="38" w:name="_Toc16941"/>
      <w:r>
        <w:rPr>
          <w:rFonts w:hint="eastAsia" w:ascii="宋体" w:hAnsi="宋体" w:eastAsia="宋体" w:cs="宋体"/>
          <w:color w:val="auto"/>
          <w:sz w:val="24"/>
          <w:szCs w:val="24"/>
          <w:highlight w:val="none"/>
        </w:rPr>
        <w:t xml:space="preserve">一   </w:t>
      </w:r>
      <w:bookmarkEnd w:id="32"/>
      <w:bookmarkEnd w:id="33"/>
      <w:bookmarkEnd w:id="34"/>
      <w:r>
        <w:rPr>
          <w:rFonts w:hint="eastAsia" w:ascii="宋体" w:hAnsi="宋体" w:eastAsia="宋体" w:cs="宋体"/>
          <w:color w:val="auto"/>
          <w:sz w:val="24"/>
          <w:szCs w:val="24"/>
          <w:highlight w:val="none"/>
        </w:rPr>
        <w:t>总 则</w:t>
      </w:r>
      <w:bookmarkEnd w:id="35"/>
      <w:bookmarkEnd w:id="36"/>
      <w:bookmarkEnd w:id="37"/>
      <w:bookmarkEnd w:id="38"/>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9" w:name="_Toc29554"/>
      <w:bookmarkStart w:id="40" w:name="_Toc12861"/>
      <w:bookmarkStart w:id="41" w:name="_Toc32623"/>
      <w:bookmarkStart w:id="42" w:name="_Toc11808"/>
      <w:bookmarkStart w:id="43" w:name="_Toc32189"/>
      <w:bookmarkStart w:id="44" w:name="_Toc515647758"/>
      <w:bookmarkStart w:id="45" w:name="_Toc333"/>
      <w:bookmarkStart w:id="46" w:name="_Toc520356144"/>
      <w:bookmarkStart w:id="47" w:name="_Toc31685"/>
      <w:bookmarkStart w:id="48" w:name="_Toc23985"/>
      <w:bookmarkStart w:id="49" w:name="_Toc28967"/>
      <w:bookmarkStart w:id="50" w:name="_Toc4880"/>
      <w:bookmarkStart w:id="51" w:name="_Toc5164"/>
      <w:bookmarkStart w:id="52" w:name="_Toc15043"/>
      <w:bookmarkStart w:id="53" w:name="_Toc23381"/>
      <w:bookmarkStart w:id="54" w:name="_Toc16228"/>
      <w:bookmarkStart w:id="55" w:name="_Toc18135"/>
      <w:bookmarkStart w:id="56" w:name="_Toc18221"/>
      <w:bookmarkStart w:id="57" w:name="_Toc32697"/>
      <w:bookmarkStart w:id="58" w:name="_Toc12038"/>
      <w:bookmarkStart w:id="59" w:name="_Toc32450"/>
      <w:bookmarkStart w:id="60" w:name="_Toc32742"/>
      <w:bookmarkStart w:id="61" w:name="_Toc10006"/>
      <w:bookmarkStart w:id="62" w:name="_Toc20513"/>
      <w:bookmarkStart w:id="63" w:name="_Toc30123"/>
      <w:r>
        <w:rPr>
          <w:rFonts w:hint="eastAsia" w:ascii="宋体" w:hAnsi="宋体" w:eastAsia="宋体" w:cs="宋体"/>
          <w:b/>
          <w:bCs/>
          <w:color w:val="auto"/>
          <w:sz w:val="24"/>
          <w:szCs w:val="24"/>
          <w:highlight w:val="none"/>
          <w:u w:val="none"/>
        </w:rPr>
        <w:t>采购人、采购代理机构及</w:t>
      </w:r>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bCs/>
          <w:color w:val="auto"/>
          <w:sz w:val="24"/>
          <w:szCs w:val="24"/>
          <w:highlight w:val="none"/>
          <w:u w:val="none"/>
          <w:lang w:eastAsia="zh-CN"/>
        </w:rPr>
        <w:t>供应商</w:t>
      </w:r>
      <w:bookmarkEnd w:id="51"/>
      <w:bookmarkEnd w:id="52"/>
      <w:bookmarkEnd w:id="53"/>
      <w:bookmarkEnd w:id="54"/>
      <w:bookmarkEnd w:id="55"/>
      <w:bookmarkEnd w:id="56"/>
      <w:bookmarkEnd w:id="57"/>
      <w:bookmarkEnd w:id="58"/>
      <w:bookmarkEnd w:id="59"/>
      <w:bookmarkEnd w:id="60"/>
      <w:bookmarkEnd w:id="61"/>
      <w:bookmarkEnd w:id="62"/>
      <w:bookmarkEnd w:id="63"/>
    </w:p>
    <w:p>
      <w:pPr>
        <w:pageBreakBefore w:val="0"/>
        <w:widowControl w:val="0"/>
        <w:numPr>
          <w:ilvl w:val="0"/>
          <w:numId w:val="0"/>
        </w:numPr>
        <w:tabs>
          <w:tab w:val="left" w:pos="0"/>
        </w:tabs>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采购人：是指依法开展政府采购活动的国家机关、事业单位、团体组织。</w:t>
      </w:r>
    </w:p>
    <w:p>
      <w:pPr>
        <w:pageBreakBefore w:val="0"/>
        <w:widowControl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tabs>
          <w:tab w:val="left" w:pos="0"/>
        </w:tabs>
        <w:kinsoku/>
        <w:wordWrap/>
        <w:overflowPunct/>
        <w:topLinePunct w:val="0"/>
        <w:bidi w:val="0"/>
        <w:spacing w:line="360" w:lineRule="exact"/>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numPr>
          <w:ilvl w:val="0"/>
          <w:numId w:val="0"/>
        </w:numPr>
        <w:kinsoku/>
        <w:wordWrap/>
        <w:overflowPunct/>
        <w:topLinePunct w:val="0"/>
        <w:bidi w:val="0"/>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及其投标货物须满足以下条件：</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在中华人民共和国境内注册，能够独立承担民事责任，有生产或供应能力的本国供应商。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以采购代理机构认可的方式获得了本项目的招标文件。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pPr>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中写明专门面向中小企业采购的，如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为非中小企业且所投产品为非中小企业产品，其投标将被认定为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中允许联合体投标，对联合体规定如下：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两个以上供应商可以组成一个投标联合体，以一个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的身份投标。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的特殊要求，联合体中至少应当有一方符合相关规定。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联合体各方应签订共同投标协议，明确约定联合体各方承担的工作和相应的责任，并将共同投标协议连同作为投标文件第一部分的内容提交。</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4" w:name="_Toc515647759"/>
      <w:bookmarkStart w:id="65" w:name="_Toc4816"/>
      <w:bookmarkStart w:id="66" w:name="_Toc5286"/>
      <w:bookmarkStart w:id="67" w:name="_Toc30940"/>
      <w:bookmarkStart w:id="68" w:name="_Toc12139"/>
      <w:bookmarkStart w:id="69" w:name="_Toc28008"/>
      <w:bookmarkStart w:id="70" w:name="_Toc13065"/>
      <w:bookmarkStart w:id="71" w:name="_Toc27814"/>
      <w:bookmarkStart w:id="72" w:name="_Toc65"/>
      <w:bookmarkStart w:id="73" w:name="_Toc4311"/>
      <w:bookmarkStart w:id="74" w:name="_Toc1760"/>
      <w:bookmarkStart w:id="75" w:name="_Toc21286"/>
      <w:bookmarkStart w:id="76" w:name="_Toc10189"/>
      <w:bookmarkStart w:id="77" w:name="_Toc28511"/>
      <w:bookmarkStart w:id="78" w:name="_Toc13272"/>
      <w:bookmarkStart w:id="79" w:name="_Toc2185"/>
      <w:bookmarkStart w:id="80" w:name="_Toc10699"/>
      <w:bookmarkStart w:id="81" w:name="_Toc21944"/>
      <w:bookmarkStart w:id="82" w:name="_Toc4016"/>
      <w:bookmarkStart w:id="83" w:name="_Toc11068"/>
      <w:bookmarkStart w:id="84" w:name="_Toc18986"/>
      <w:bookmarkStart w:id="85" w:name="_Toc7800"/>
      <w:bookmarkStart w:id="86" w:name="_Toc1403"/>
      <w:bookmarkStart w:id="87" w:name="_Toc19970"/>
      <w:r>
        <w:rPr>
          <w:rFonts w:hint="eastAsia" w:ascii="宋体" w:hAnsi="宋体" w:eastAsia="宋体" w:cs="宋体"/>
          <w:b/>
          <w:bCs/>
          <w:color w:val="auto"/>
          <w:sz w:val="24"/>
          <w:szCs w:val="24"/>
          <w:highlight w:val="none"/>
          <w:u w:val="none"/>
        </w:rPr>
        <w:t>资金来源</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8" w:name="_Toc17966"/>
      <w:bookmarkStart w:id="89" w:name="_Toc30650"/>
      <w:bookmarkStart w:id="90" w:name="_Toc20799"/>
      <w:bookmarkStart w:id="91" w:name="_Toc12188"/>
      <w:bookmarkStart w:id="92" w:name="_Toc2542"/>
      <w:bookmarkStart w:id="93" w:name="_Toc515647760"/>
      <w:bookmarkStart w:id="94" w:name="_Toc20044"/>
      <w:bookmarkStart w:id="95" w:name="_Toc22731"/>
      <w:bookmarkStart w:id="96" w:name="_Toc1479"/>
      <w:bookmarkStart w:id="97" w:name="_Toc903"/>
      <w:bookmarkStart w:id="98" w:name="_Toc15518"/>
      <w:bookmarkStart w:id="99" w:name="_Toc29504"/>
      <w:bookmarkStart w:id="100" w:name="_Toc6389"/>
      <w:bookmarkStart w:id="101" w:name="_Toc20526"/>
      <w:bookmarkStart w:id="102" w:name="_Toc27044"/>
      <w:bookmarkStart w:id="103" w:name="_Toc520356145"/>
      <w:bookmarkStart w:id="104" w:name="_Toc5207"/>
      <w:bookmarkStart w:id="105" w:name="_Toc30708"/>
      <w:bookmarkStart w:id="106" w:name="_Toc15936"/>
      <w:bookmarkStart w:id="107" w:name="_Toc144"/>
      <w:bookmarkStart w:id="108" w:name="_Toc14612"/>
      <w:bookmarkStart w:id="109" w:name="_Toc29481"/>
      <w:bookmarkStart w:id="110" w:name="_Toc6415"/>
      <w:bookmarkStart w:id="111" w:name="_Toc26559"/>
      <w:bookmarkStart w:id="112" w:name="_Toc10963"/>
      <w:r>
        <w:rPr>
          <w:rFonts w:hint="eastAsia" w:ascii="宋体" w:hAnsi="宋体" w:eastAsia="宋体" w:cs="宋体"/>
          <w:b/>
          <w:bCs/>
          <w:color w:val="auto"/>
          <w:sz w:val="24"/>
          <w:szCs w:val="24"/>
          <w:highlight w:val="none"/>
          <w:u w:val="none"/>
        </w:rPr>
        <w:t>投标费用</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应承担所有与准备和参加投标有关的费用。</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13" w:name="_Toc25242"/>
      <w:bookmarkStart w:id="114" w:name="_Toc5853"/>
      <w:bookmarkStart w:id="115" w:name="_Toc1198"/>
      <w:bookmarkStart w:id="116" w:name="_Toc6759"/>
      <w:bookmarkStart w:id="117" w:name="_Toc4463"/>
      <w:bookmarkStart w:id="118" w:name="_Toc29011"/>
      <w:bookmarkStart w:id="119" w:name="_Toc27687"/>
      <w:bookmarkStart w:id="120" w:name="_Toc6116"/>
      <w:bookmarkStart w:id="121" w:name="_Toc13524"/>
      <w:bookmarkStart w:id="122" w:name="_Toc602"/>
      <w:bookmarkStart w:id="123" w:name="_Toc17308"/>
      <w:bookmarkStart w:id="124" w:name="_Toc16751"/>
      <w:bookmarkStart w:id="125" w:name="_Toc1847"/>
      <w:bookmarkStart w:id="126" w:name="_Toc12920"/>
      <w:bookmarkStart w:id="127" w:name="_Toc11355"/>
      <w:bookmarkStart w:id="128" w:name="_Toc16328"/>
      <w:bookmarkStart w:id="129" w:name="_Toc30706"/>
      <w:bookmarkStart w:id="130" w:name="_Toc24881"/>
      <w:bookmarkStart w:id="131" w:name="_Toc2839"/>
      <w:bookmarkStart w:id="132" w:name="_Toc515647761"/>
      <w:bookmarkStart w:id="133" w:name="_Toc11505"/>
      <w:bookmarkStart w:id="134" w:name="_Toc15600"/>
      <w:bookmarkStart w:id="135" w:name="_Toc7511"/>
      <w:bookmarkStart w:id="136" w:name="_Toc21641"/>
      <w:r>
        <w:rPr>
          <w:rFonts w:hint="eastAsia" w:ascii="宋体" w:hAnsi="宋体" w:eastAsia="宋体" w:cs="宋体"/>
          <w:b/>
          <w:bCs/>
          <w:color w:val="auto"/>
          <w:sz w:val="24"/>
          <w:szCs w:val="24"/>
          <w:highlight w:val="none"/>
          <w:u w:val="none"/>
        </w:rPr>
        <w:t>适用法律</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、评标委员会的相关行为均受《中华人民共和国政府采购法》、《中华人民共和国政府采购法实施条例》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中华人民共和国财政部令第87号--政府采购货物和货物招标投标管理办法</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Style w:val="6"/>
        <w:pageBreakBefore w:val="0"/>
        <w:widowControl w:val="0"/>
        <w:kinsoku/>
        <w:wordWrap/>
        <w:overflowPunct/>
        <w:topLinePunct w:val="0"/>
        <w:bidi w:val="0"/>
        <w:spacing w:before="0" w:line="360" w:lineRule="exact"/>
        <w:ind w:left="0" w:leftChars="0"/>
        <w:textAlignment w:val="auto"/>
        <w:rPr>
          <w:rFonts w:hint="eastAsia" w:ascii="宋体" w:hAnsi="宋体" w:eastAsia="宋体" w:cs="宋体"/>
          <w:color w:val="auto"/>
          <w:sz w:val="24"/>
          <w:szCs w:val="24"/>
          <w:highlight w:val="none"/>
        </w:rPr>
      </w:pPr>
      <w:bookmarkStart w:id="137" w:name="_Toc216582806"/>
      <w:bookmarkStart w:id="138" w:name="_Toc6385"/>
      <w:bookmarkStart w:id="139" w:name="_Toc520356146"/>
      <w:bookmarkStart w:id="140" w:name="_Toc21566"/>
      <w:bookmarkStart w:id="141" w:name="_Toc4365"/>
      <w:bookmarkStart w:id="142" w:name="_Toc515647762"/>
      <w:bookmarkStart w:id="143" w:name="_Toc24538"/>
      <w:r>
        <w:rPr>
          <w:rFonts w:hint="eastAsia" w:ascii="宋体" w:hAnsi="宋体" w:eastAsia="宋体" w:cs="宋体"/>
          <w:color w:val="auto"/>
          <w:sz w:val="24"/>
          <w:szCs w:val="24"/>
          <w:highlight w:val="none"/>
        </w:rPr>
        <w:t>二   招标文件</w:t>
      </w:r>
      <w:bookmarkEnd w:id="137"/>
      <w:bookmarkEnd w:id="138"/>
      <w:bookmarkEnd w:id="139"/>
      <w:bookmarkEnd w:id="140"/>
      <w:bookmarkEnd w:id="141"/>
      <w:bookmarkEnd w:id="142"/>
      <w:bookmarkEnd w:id="143"/>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44" w:name="_Toc27186"/>
      <w:bookmarkStart w:id="145" w:name="_Toc520356147"/>
      <w:bookmarkStart w:id="146" w:name="_Toc17343"/>
      <w:bookmarkStart w:id="147" w:name="_Toc14084"/>
      <w:bookmarkStart w:id="148" w:name="_Toc7177"/>
      <w:bookmarkStart w:id="149" w:name="_Toc3468"/>
      <w:bookmarkStart w:id="150" w:name="_Toc30857"/>
      <w:bookmarkStart w:id="151" w:name="_Toc30280"/>
      <w:bookmarkStart w:id="152" w:name="_Toc12831"/>
      <w:bookmarkStart w:id="153" w:name="_Toc24971"/>
      <w:bookmarkStart w:id="154" w:name="_Toc21275"/>
      <w:bookmarkStart w:id="155" w:name="_Toc8513"/>
      <w:bookmarkStart w:id="156" w:name="_Toc1044"/>
      <w:bookmarkStart w:id="157" w:name="_Toc15203"/>
      <w:bookmarkStart w:id="158" w:name="_Toc27237"/>
      <w:bookmarkStart w:id="159" w:name="_Toc31526"/>
      <w:bookmarkStart w:id="160" w:name="_Toc25743"/>
      <w:bookmarkStart w:id="161" w:name="_Toc5479"/>
      <w:bookmarkStart w:id="162" w:name="_Toc5875"/>
      <w:bookmarkStart w:id="163" w:name="_Toc31428"/>
      <w:bookmarkStart w:id="164" w:name="_Toc18213"/>
      <w:bookmarkStart w:id="165" w:name="_Toc515647763"/>
      <w:bookmarkStart w:id="166" w:name="_Toc18714"/>
      <w:bookmarkStart w:id="167" w:name="_Toc21734"/>
      <w:bookmarkStart w:id="168" w:name="_Toc29550"/>
      <w:r>
        <w:rPr>
          <w:rFonts w:hint="eastAsia" w:ascii="宋体" w:hAnsi="宋体" w:eastAsia="宋体" w:cs="宋体"/>
          <w:b/>
          <w:bCs/>
          <w:color w:val="auto"/>
          <w:sz w:val="24"/>
          <w:szCs w:val="24"/>
          <w:highlight w:val="none"/>
          <w:u w:val="none"/>
        </w:rPr>
        <w:t>招标文件构成</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招标文件分为三册共7章，内容如下：</w:t>
      </w:r>
    </w:p>
    <w:p>
      <w:pPr>
        <w:pageBreakBefore w:val="0"/>
        <w:widowControl w:val="0"/>
        <w:kinsoku/>
        <w:wordWrap/>
        <w:overflowPunct/>
        <w:topLinePunct w:val="0"/>
        <w:bidi w:val="0"/>
        <w:spacing w:line="360" w:lineRule="exact"/>
        <w:ind w:left="0" w:leftChars="0"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pPr>
        <w:pageBreakBefore w:val="0"/>
        <w:widowControl w:val="0"/>
        <w:tabs>
          <w:tab w:val="left" w:pos="0"/>
        </w:tabs>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2投标文件格式</w:t>
      </w:r>
    </w:p>
    <w:p>
      <w:pPr>
        <w:pageBreakBefore w:val="0"/>
        <w:widowControl w:val="0"/>
        <w:kinsoku/>
        <w:wordWrap/>
        <w:overflowPunct/>
        <w:topLinePunct w:val="0"/>
        <w:bidi w:val="0"/>
        <w:spacing w:line="360" w:lineRule="exact"/>
        <w:ind w:left="0" w:leftChars="0"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投标邀请</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 xml:space="preserve">内容及项目要求 </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评标方法和标准</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pPr>
        <w:pageBreakBefore w:val="0"/>
        <w:widowControl w:val="0"/>
        <w:kinsoku/>
        <w:wordWrap/>
        <w:overflowPunct/>
        <w:topLinePunct w:val="0"/>
        <w:bidi w:val="0"/>
        <w:spacing w:line="360" w:lineRule="exact"/>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政府采购合同格式</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应认真阅读招标文件所有的事项、格式、条款和技术规范等。如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69" w:name="_Toc520356148"/>
      <w:bookmarkStart w:id="170" w:name="_Toc515904805"/>
      <w:bookmarkStart w:id="171" w:name="_Toc25866"/>
      <w:bookmarkStart w:id="172" w:name="_Toc32213"/>
      <w:bookmarkStart w:id="173" w:name="_Toc16717"/>
      <w:bookmarkStart w:id="174" w:name="_Toc10213"/>
      <w:bookmarkStart w:id="175" w:name="_Toc21165"/>
      <w:bookmarkStart w:id="176" w:name="_Toc1117"/>
      <w:bookmarkStart w:id="177" w:name="_Toc27465"/>
      <w:bookmarkStart w:id="178" w:name="_Toc19275"/>
      <w:bookmarkStart w:id="179" w:name="_Toc20604"/>
      <w:bookmarkStart w:id="180" w:name="_Toc9232"/>
      <w:bookmarkStart w:id="181" w:name="_Toc19468"/>
      <w:bookmarkStart w:id="182" w:name="_Toc13020"/>
      <w:bookmarkStart w:id="183" w:name="_Toc20995"/>
      <w:bookmarkStart w:id="184" w:name="_Toc10034"/>
      <w:bookmarkStart w:id="185" w:name="_Toc12813"/>
      <w:bookmarkStart w:id="186" w:name="_Toc5991"/>
      <w:bookmarkStart w:id="187" w:name="_Toc20825"/>
      <w:bookmarkStart w:id="188" w:name="_Toc20556"/>
      <w:bookmarkStart w:id="189" w:name="_Toc26044"/>
      <w:bookmarkStart w:id="190" w:name="_Toc20202"/>
      <w:bookmarkStart w:id="191" w:name="_Toc21098"/>
      <w:bookmarkStart w:id="192" w:name="_Toc24457"/>
      <w:bookmarkStart w:id="193" w:name="_Toc28731"/>
      <w:r>
        <w:rPr>
          <w:rFonts w:hint="eastAsia" w:ascii="宋体" w:hAnsi="宋体" w:eastAsia="宋体" w:cs="宋体"/>
          <w:b/>
          <w:bCs/>
          <w:color w:val="auto"/>
          <w:sz w:val="24"/>
          <w:szCs w:val="24"/>
          <w:highlight w:val="none"/>
          <w:u w:val="none"/>
        </w:rPr>
        <w:t>招标文件的澄清</w:t>
      </w:r>
      <w:bookmarkEnd w:id="169"/>
      <w:bookmarkEnd w:id="170"/>
      <w:r>
        <w:rPr>
          <w:rFonts w:hint="eastAsia" w:ascii="宋体" w:hAnsi="宋体" w:eastAsia="宋体" w:cs="宋体"/>
          <w:b/>
          <w:bCs/>
          <w:color w:val="auto"/>
          <w:sz w:val="24"/>
          <w:szCs w:val="24"/>
          <w:highlight w:val="none"/>
          <w:u w:val="none"/>
        </w:rPr>
        <w:t>与修改</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pStyle w:val="3"/>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，均应在投标截止期十五日前，以书面形式将澄清要求通知采购人或采购代理机构。</w:t>
      </w:r>
    </w:p>
    <w:p>
      <w:pPr>
        <w:pStyle w:val="3"/>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bookmarkStart w:id="194" w:name="_Toc520356149"/>
      <w:bookmarkStart w:id="195" w:name="_Ref467378678"/>
      <w:bookmarkStart w:id="196" w:name="_Toc515904806"/>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提出的澄清问题时对招标文件进行澄清或修改。采购代理机构将以发布澄清（更正）公告的方式，澄清或修改招标文件，澄清或修改内容作为招标文件的组成部分。</w:t>
      </w:r>
    </w:p>
    <w:p>
      <w:pPr>
        <w:pStyle w:val="3"/>
        <w:pageBreakBefore w:val="0"/>
        <w:widowControl w:val="0"/>
        <w:kinsoku/>
        <w:wordWrap/>
        <w:overflowPunct/>
        <w:topLinePunct w:val="0"/>
        <w:bidi w:val="0"/>
        <w:spacing w:line="360" w:lineRule="exact"/>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在收到上述通知后，应及时向采购代理机构回函确认。</w:t>
      </w:r>
    </w:p>
    <w:bookmarkEnd w:id="194"/>
    <w:bookmarkEnd w:id="195"/>
    <w:bookmarkEnd w:id="196"/>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197" w:name="_Toc24028"/>
      <w:bookmarkStart w:id="198" w:name="_Toc14569"/>
      <w:bookmarkStart w:id="199" w:name="_Toc978"/>
      <w:bookmarkStart w:id="200" w:name="_Toc22107"/>
      <w:bookmarkStart w:id="201" w:name="_Toc21187"/>
      <w:bookmarkStart w:id="202" w:name="_Toc25635"/>
      <w:bookmarkStart w:id="203" w:name="_Toc10823"/>
      <w:bookmarkStart w:id="204" w:name="_Toc7919"/>
      <w:bookmarkStart w:id="205" w:name="_Toc30435"/>
      <w:bookmarkStart w:id="206" w:name="_Toc517"/>
      <w:bookmarkStart w:id="207" w:name="_Toc11433"/>
      <w:bookmarkStart w:id="208" w:name="_Toc7468"/>
      <w:bookmarkStart w:id="209" w:name="_Toc14901"/>
      <w:bookmarkStart w:id="210" w:name="_Toc11943"/>
      <w:bookmarkStart w:id="211" w:name="_Toc28126"/>
      <w:bookmarkStart w:id="212" w:name="_Toc25224"/>
      <w:bookmarkStart w:id="213" w:name="_Toc1073"/>
      <w:bookmarkStart w:id="214" w:name="_Toc5103"/>
      <w:bookmarkStart w:id="215" w:name="_Toc6936"/>
      <w:bookmarkStart w:id="216" w:name="_Toc27811"/>
      <w:bookmarkStart w:id="217" w:name="_Toc11082"/>
      <w:bookmarkStart w:id="218" w:name="_Toc32714"/>
      <w:bookmarkStart w:id="219" w:name="_Toc9080"/>
      <w:r>
        <w:rPr>
          <w:rFonts w:hint="eastAsia" w:ascii="宋体" w:hAnsi="宋体" w:eastAsia="宋体" w:cs="宋体"/>
          <w:b/>
          <w:bCs/>
          <w:color w:val="auto"/>
          <w:sz w:val="24"/>
          <w:szCs w:val="24"/>
          <w:highlight w:val="none"/>
          <w:u w:val="none"/>
        </w:rPr>
        <w:t>投标截止时间的顺延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准备投标时有足够的时间对招标文件的澄清或者修改部分进行研究，采购人将依法决定是否顺延投标截止时间。</w:t>
      </w:r>
      <w:bookmarkStart w:id="220" w:name="_Toc516367020"/>
      <w:bookmarkStart w:id="221" w:name="_Toc30808"/>
      <w:bookmarkStart w:id="222" w:name="_Toc216582807"/>
      <w:bookmarkStart w:id="223" w:name="_Toc515647766"/>
      <w:bookmarkStart w:id="224" w:name="_Toc520356150"/>
      <w:bookmarkStart w:id="225" w:name="_Toc7636"/>
    </w:p>
    <w:p>
      <w:pPr>
        <w:pageBreakBefore w:val="0"/>
        <w:widowControl w:val="0"/>
        <w:tabs>
          <w:tab w:val="left" w:pos="900"/>
        </w:tabs>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6"/>
        <w:pageBreakBefore w:val="0"/>
        <w:widowControl w:val="0"/>
        <w:tabs>
          <w:tab w:val="left" w:pos="900"/>
        </w:tabs>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226" w:name="_Toc29522"/>
      <w:bookmarkStart w:id="227" w:name="_Toc16144"/>
      <w:r>
        <w:rPr>
          <w:rFonts w:hint="eastAsia" w:ascii="宋体" w:hAnsi="宋体" w:eastAsia="宋体" w:cs="宋体"/>
          <w:color w:val="auto"/>
          <w:sz w:val="24"/>
          <w:szCs w:val="24"/>
          <w:highlight w:val="none"/>
        </w:rPr>
        <w:t>三   投标文件</w:t>
      </w:r>
      <w:bookmarkEnd w:id="220"/>
      <w:r>
        <w:rPr>
          <w:rFonts w:hint="eastAsia" w:ascii="宋体" w:hAnsi="宋体" w:eastAsia="宋体" w:cs="宋体"/>
          <w:color w:val="auto"/>
          <w:sz w:val="24"/>
          <w:szCs w:val="24"/>
          <w:highlight w:val="none"/>
        </w:rPr>
        <w:t>的编制</w:t>
      </w:r>
      <w:bookmarkEnd w:id="221"/>
      <w:bookmarkEnd w:id="222"/>
      <w:bookmarkEnd w:id="223"/>
      <w:bookmarkEnd w:id="224"/>
      <w:bookmarkEnd w:id="225"/>
      <w:bookmarkEnd w:id="226"/>
      <w:bookmarkEnd w:id="227"/>
    </w:p>
    <w:p>
      <w:pPr>
        <w:pStyle w:val="3"/>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228" w:name="_Toc5025"/>
      <w:bookmarkStart w:id="229" w:name="_Toc14086"/>
      <w:bookmarkStart w:id="230" w:name="_Toc27241"/>
      <w:bookmarkStart w:id="231" w:name="_Toc7120"/>
      <w:bookmarkStart w:id="232" w:name="_Toc20486"/>
      <w:bookmarkStart w:id="233" w:name="_Toc29965"/>
      <w:bookmarkStart w:id="234" w:name="_Toc2539"/>
      <w:bookmarkStart w:id="235" w:name="_Toc15642"/>
      <w:bookmarkStart w:id="236" w:name="_Toc3553"/>
      <w:bookmarkStart w:id="237" w:name="_Toc9591"/>
      <w:bookmarkStart w:id="238" w:name="_Toc10810"/>
      <w:bookmarkStart w:id="239" w:name="_Toc28980"/>
      <w:bookmarkStart w:id="240" w:name="_Toc516367021"/>
      <w:bookmarkStart w:id="241" w:name="_Toc9725"/>
      <w:bookmarkStart w:id="242" w:name="_Toc1632"/>
      <w:bookmarkStart w:id="243" w:name="_Toc10748"/>
      <w:bookmarkStart w:id="244" w:name="_Toc2129"/>
      <w:bookmarkStart w:id="245" w:name="_Toc14739"/>
      <w:bookmarkStart w:id="246" w:name="_Toc32487"/>
      <w:bookmarkStart w:id="247" w:name="_Toc7786"/>
      <w:bookmarkStart w:id="248" w:name="_Toc515647767"/>
      <w:bookmarkStart w:id="249" w:name="_Toc13375"/>
      <w:bookmarkStart w:id="250" w:name="_Toc30652"/>
      <w:bookmarkStart w:id="251" w:name="_Toc520356151"/>
      <w:bookmarkStart w:id="252" w:name="_Toc16526"/>
      <w:bookmarkStart w:id="253" w:name="_Toc22860"/>
      <w:r>
        <w:rPr>
          <w:rFonts w:hint="eastAsia" w:ascii="宋体" w:hAnsi="宋体" w:eastAsia="宋体" w:cs="宋体"/>
          <w:b/>
          <w:bCs/>
          <w:color w:val="auto"/>
          <w:sz w:val="24"/>
          <w:szCs w:val="24"/>
          <w:highlight w:val="none"/>
          <w:u w:val="none"/>
        </w:rPr>
        <w:t>投标范围及投标文件中标准和计量单位的使用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可对招标文件其中某一个或几个分包服务进行投标，除非在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应当对所投分包招标文件中“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除招标文件中有特殊要求外，投标文件中所使用的计量单位，应采用中华人民共和国法定计量单位。</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254" w:name="_Toc516367022"/>
      <w:bookmarkStart w:id="255" w:name="_Ref467306195"/>
      <w:bookmarkStart w:id="256" w:name="_Ref467306676"/>
      <w:bookmarkStart w:id="257" w:name="_Toc25596"/>
      <w:bookmarkStart w:id="258" w:name="_Toc22958"/>
      <w:bookmarkStart w:id="259" w:name="_Toc14489"/>
      <w:bookmarkStart w:id="260" w:name="_Toc515647768"/>
      <w:bookmarkStart w:id="261" w:name="_Toc23523"/>
      <w:bookmarkStart w:id="262" w:name="_Toc24338"/>
      <w:bookmarkStart w:id="263" w:name="_Toc10364"/>
      <w:bookmarkStart w:id="264" w:name="_Toc9418"/>
      <w:bookmarkStart w:id="265" w:name="_Toc13425"/>
      <w:bookmarkStart w:id="266" w:name="_Toc10992"/>
      <w:bookmarkStart w:id="267" w:name="_Toc12220"/>
      <w:bookmarkStart w:id="268" w:name="_Toc28307"/>
      <w:bookmarkStart w:id="269" w:name="_Toc16016"/>
      <w:bookmarkStart w:id="270" w:name="_Toc6152"/>
      <w:bookmarkStart w:id="271" w:name="_Toc258"/>
      <w:bookmarkStart w:id="272" w:name="_Toc15740"/>
      <w:bookmarkStart w:id="273" w:name="_Toc19870"/>
      <w:bookmarkStart w:id="274" w:name="_Toc18673"/>
      <w:bookmarkStart w:id="275" w:name="_Toc11888"/>
      <w:bookmarkStart w:id="276" w:name="_Toc23291"/>
      <w:bookmarkStart w:id="277" w:name="_Toc22417"/>
      <w:bookmarkStart w:id="278" w:name="_Toc520356152"/>
      <w:bookmarkStart w:id="279" w:name="_Toc29634"/>
      <w:bookmarkStart w:id="280" w:name="_Toc22897"/>
      <w:bookmarkStart w:id="281" w:name="_Toc20101"/>
      <w:r>
        <w:rPr>
          <w:rFonts w:hint="eastAsia" w:ascii="宋体" w:hAnsi="宋体" w:eastAsia="宋体" w:cs="宋体"/>
          <w:b/>
          <w:bCs/>
          <w:color w:val="auto"/>
          <w:sz w:val="24"/>
          <w:szCs w:val="24"/>
          <w:highlight w:val="none"/>
          <w:u w:val="none"/>
        </w:rPr>
        <w:t>投标文件</w:t>
      </w:r>
      <w:bookmarkEnd w:id="254"/>
      <w:bookmarkEnd w:id="255"/>
      <w:bookmarkEnd w:id="256"/>
      <w:r>
        <w:rPr>
          <w:rFonts w:hint="eastAsia" w:ascii="宋体" w:hAnsi="宋体" w:eastAsia="宋体" w:cs="宋体"/>
          <w:b/>
          <w:bCs/>
          <w:color w:val="auto"/>
          <w:sz w:val="24"/>
          <w:szCs w:val="24"/>
          <w:highlight w:val="none"/>
          <w:u w:val="none"/>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ageBreakBefore w:val="0"/>
        <w:widowControl w:val="0"/>
        <w:tabs>
          <w:tab w:val="left" w:pos="900"/>
          <w:tab w:val="left" w:pos="5580"/>
        </w:tabs>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u w:val="single"/>
        </w:rPr>
      </w:pPr>
      <w:bookmarkStart w:id="282" w:name="_Ref467052588"/>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应完整地按招标文件提供的投标文件格式及要求</w:t>
      </w:r>
      <w:r>
        <w:rPr>
          <w:rFonts w:hint="eastAsia" w:ascii="宋体" w:hAnsi="宋体" w:eastAsia="宋体" w:cs="宋体"/>
          <w:color w:val="auto"/>
          <w:sz w:val="24"/>
          <w:szCs w:val="24"/>
          <w:highlight w:val="none"/>
          <w:u w:val="single"/>
          <w:lang w:eastAsia="zh-CN"/>
        </w:rPr>
        <w:t>编</w:t>
      </w:r>
      <w:r>
        <w:rPr>
          <w:rFonts w:hint="eastAsia" w:ascii="宋体" w:hAnsi="宋体" w:eastAsia="宋体" w:cs="宋体"/>
          <w:color w:val="auto"/>
          <w:sz w:val="24"/>
          <w:szCs w:val="24"/>
          <w:highlight w:val="none"/>
          <w:u w:val="single"/>
        </w:rPr>
        <w:t>写投标文件，投标文件应包括“开标一览表及资格证明文件”和“商务及技术文件”两部分，两部分合成一册，</w:t>
      </w:r>
      <w:r>
        <w:rPr>
          <w:rFonts w:hint="eastAsia" w:ascii="宋体" w:hAnsi="宋体" w:eastAsia="宋体" w:cs="宋体"/>
          <w:color w:val="auto"/>
          <w:sz w:val="24"/>
          <w:szCs w:val="24"/>
          <w:highlight w:val="none"/>
          <w:u w:val="single"/>
          <w:lang w:eastAsia="zh-CN"/>
        </w:rPr>
        <w:t>上传至政采云平台</w:t>
      </w:r>
      <w:r>
        <w:rPr>
          <w:rFonts w:hint="eastAsia" w:ascii="宋体" w:hAnsi="宋体" w:eastAsia="宋体" w:cs="宋体"/>
          <w:color w:val="auto"/>
          <w:sz w:val="24"/>
          <w:szCs w:val="24"/>
          <w:highlight w:val="none"/>
          <w:u w:val="singl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w:t>
      </w:r>
      <w:bookmarkEnd w:id="282"/>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lang w:eastAsia="zh-CN"/>
        </w:rPr>
      </w:pPr>
      <w:bookmarkStart w:id="283" w:name="_Toc22195"/>
      <w:bookmarkStart w:id="284" w:name="_Toc10379"/>
      <w:bookmarkStart w:id="285" w:name="_Toc17150"/>
      <w:bookmarkStart w:id="286" w:name="_Toc6978"/>
      <w:bookmarkStart w:id="287" w:name="_Toc516367023"/>
      <w:bookmarkStart w:id="288" w:name="_Toc15151"/>
      <w:bookmarkStart w:id="289" w:name="_Toc14035"/>
      <w:bookmarkStart w:id="290" w:name="_Toc17715"/>
      <w:bookmarkStart w:id="291" w:name="_Toc12338"/>
      <w:bookmarkStart w:id="292" w:name="_Toc520356153"/>
      <w:bookmarkStart w:id="293" w:name="_Toc10584"/>
      <w:bookmarkStart w:id="294" w:name="_Toc515647769"/>
      <w:bookmarkStart w:id="295" w:name="_Toc30354"/>
      <w:bookmarkStart w:id="296" w:name="_Toc2056"/>
      <w:bookmarkStart w:id="297" w:name="_Toc12121"/>
      <w:bookmarkStart w:id="298" w:name="_Toc4601"/>
      <w:bookmarkStart w:id="299" w:name="_Toc1845"/>
      <w:bookmarkStart w:id="300" w:name="_Toc1879"/>
      <w:bookmarkStart w:id="301" w:name="_Toc23028"/>
      <w:bookmarkStart w:id="302" w:name="_Toc18045"/>
      <w:bookmarkStart w:id="303" w:name="_Toc20752"/>
      <w:bookmarkStart w:id="304" w:name="_Toc28678"/>
      <w:bookmarkStart w:id="305" w:name="_Toc26648"/>
      <w:bookmarkStart w:id="306" w:name="_Toc3745"/>
      <w:bookmarkStart w:id="307" w:name="_Toc10487"/>
      <w:bookmarkStart w:id="308" w:name="_Toc2503"/>
      <w:r>
        <w:rPr>
          <w:rFonts w:hint="eastAsia" w:ascii="宋体" w:hAnsi="宋体" w:eastAsia="宋体" w:cs="宋体"/>
          <w:b/>
          <w:bCs/>
          <w:color w:val="auto"/>
          <w:sz w:val="24"/>
          <w:szCs w:val="24"/>
          <w:highlight w:val="none"/>
          <w:u w:val="none"/>
        </w:rPr>
        <w:t>证明投标的的合格性和符合招标文件规定的技术文件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rFonts w:hint="eastAsia" w:ascii="宋体" w:hAnsi="宋体" w:eastAsia="宋体" w:cs="宋体"/>
          <w:b/>
          <w:bCs/>
          <w:color w:val="auto"/>
          <w:sz w:val="24"/>
          <w:szCs w:val="24"/>
          <w:highlight w:val="none"/>
          <w:u w:val="none"/>
          <w:lang w:eastAsia="zh-CN"/>
        </w:rPr>
        <w:t>。</w:t>
      </w:r>
      <w:bookmarkEnd w:id="299"/>
      <w:bookmarkEnd w:id="300"/>
      <w:bookmarkEnd w:id="301"/>
      <w:bookmarkEnd w:id="302"/>
      <w:bookmarkEnd w:id="303"/>
      <w:bookmarkEnd w:id="304"/>
      <w:bookmarkEnd w:id="305"/>
      <w:bookmarkEnd w:id="306"/>
      <w:bookmarkEnd w:id="307"/>
      <w:bookmarkEnd w:id="30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应提交证明文件，证明其投标内容符合招标文件规定。该证明文件是投标文件的一部分。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09"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309"/>
      <w:r>
        <w:rPr>
          <w:rFonts w:hint="eastAsia" w:ascii="宋体" w:hAnsi="宋体" w:eastAsia="宋体" w:cs="宋体"/>
          <w:color w:val="auto"/>
          <w:sz w:val="24"/>
          <w:szCs w:val="24"/>
          <w:highlight w:val="none"/>
        </w:rPr>
        <w:t>它包括：</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设备主要技术指标的详细说明；</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货物从买方开始使用至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文件规定的保质期内正常、连续地使用所必须的备件和专用工具清单，包括备件和专用工具的货源及现行价格；</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对照招标文件技术规格，逐条说明所提供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及伴随的工程和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已对招标文件的技术规格做出了实质性的响应，或申明与技术规格条文的偏差和例外。</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10" w:name="_Toc26145"/>
      <w:bookmarkStart w:id="311" w:name="_Toc11160"/>
      <w:bookmarkStart w:id="312" w:name="_Toc5144"/>
      <w:bookmarkStart w:id="313" w:name="_Toc29220"/>
      <w:bookmarkStart w:id="314" w:name="_Toc23400"/>
      <w:bookmarkStart w:id="315" w:name="_Toc23231"/>
      <w:bookmarkStart w:id="316" w:name="_Toc25641"/>
      <w:bookmarkStart w:id="317" w:name="_Toc21396"/>
      <w:bookmarkStart w:id="318" w:name="_Toc515647770"/>
      <w:bookmarkStart w:id="319" w:name="_Toc301"/>
      <w:bookmarkStart w:id="320" w:name="_Toc30467"/>
      <w:bookmarkStart w:id="321" w:name="_Toc2248"/>
      <w:bookmarkStart w:id="322" w:name="_Toc28480"/>
      <w:bookmarkStart w:id="323" w:name="_Toc25256"/>
      <w:bookmarkStart w:id="324" w:name="_Toc30792"/>
      <w:bookmarkStart w:id="325" w:name="_Toc520356155"/>
      <w:bookmarkStart w:id="326" w:name="_Toc24468"/>
      <w:bookmarkStart w:id="327" w:name="_Toc7731"/>
      <w:bookmarkStart w:id="328" w:name="_Toc3868"/>
      <w:bookmarkStart w:id="329" w:name="_Toc30447"/>
      <w:bookmarkStart w:id="330" w:name="_Toc15670"/>
      <w:bookmarkStart w:id="331" w:name="_Toc25118"/>
      <w:bookmarkStart w:id="332" w:name="_Toc5930"/>
      <w:bookmarkStart w:id="333" w:name="_Toc29204"/>
      <w:bookmarkStart w:id="334" w:name="_Toc24261"/>
      <w:r>
        <w:rPr>
          <w:rFonts w:hint="eastAsia" w:ascii="宋体" w:hAnsi="宋体" w:eastAsia="宋体" w:cs="宋体"/>
          <w:b/>
          <w:bCs/>
          <w:color w:val="auto"/>
          <w:sz w:val="24"/>
          <w:szCs w:val="24"/>
          <w:highlight w:val="none"/>
          <w:u w:val="none"/>
        </w:rPr>
        <w:t>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所有投标均以人民币报价。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应在投标分项报价表上标明投标相关</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的单价（如适用）和总价，并由法定代表人或其授权代表签署。</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投标分项报价表上的价格应按下列方式填写；</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只能有一个投标报价。采购人不接受具有附加条件的报价。</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35" w:name="_Toc25003"/>
      <w:bookmarkStart w:id="336" w:name="_Toc21776"/>
      <w:bookmarkStart w:id="337" w:name="_Toc21719"/>
      <w:bookmarkStart w:id="338" w:name="_Toc23666"/>
      <w:bookmarkStart w:id="339" w:name="_Toc520356156"/>
      <w:bookmarkStart w:id="340" w:name="_Ref467306513"/>
      <w:bookmarkStart w:id="341" w:name="_Toc1683"/>
      <w:bookmarkStart w:id="342" w:name="_Toc515647771"/>
      <w:bookmarkStart w:id="343" w:name="_Toc15349"/>
      <w:bookmarkStart w:id="344" w:name="_Toc30071"/>
      <w:bookmarkStart w:id="345" w:name="_Toc24283"/>
      <w:bookmarkStart w:id="346" w:name="_Toc23784"/>
      <w:bookmarkStart w:id="347" w:name="_Toc10329"/>
      <w:bookmarkStart w:id="348" w:name="_Toc12465"/>
      <w:bookmarkStart w:id="349" w:name="_Toc28149"/>
      <w:bookmarkStart w:id="350" w:name="_Toc3670"/>
      <w:bookmarkStart w:id="351" w:name="_Toc13612"/>
      <w:bookmarkStart w:id="352" w:name="_Toc5648"/>
      <w:bookmarkStart w:id="353" w:name="_Toc28730"/>
      <w:bookmarkStart w:id="354" w:name="_Toc22618"/>
      <w:bookmarkStart w:id="355" w:name="_Toc18556"/>
      <w:bookmarkStart w:id="356" w:name="_Toc30245"/>
      <w:bookmarkStart w:id="357" w:name="_Toc11514"/>
      <w:bookmarkStart w:id="358" w:name="_Toc14189"/>
      <w:bookmarkStart w:id="359" w:name="_Toc17788"/>
      <w:bookmarkStart w:id="360" w:name="_Toc28513"/>
      <w:r>
        <w:rPr>
          <w:rFonts w:hint="eastAsia" w:ascii="宋体" w:hAnsi="宋体" w:eastAsia="宋体" w:cs="宋体"/>
          <w:b/>
          <w:bCs/>
          <w:color w:val="auto"/>
          <w:sz w:val="24"/>
          <w:szCs w:val="24"/>
          <w:highlight w:val="none"/>
          <w:u w:val="none"/>
        </w:rPr>
        <w:t>投标保证金</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61"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中规定的投标保证金</w:t>
      </w:r>
      <w:bookmarkEnd w:id="361"/>
      <w:r>
        <w:rPr>
          <w:rFonts w:hint="eastAsia" w:ascii="宋体" w:hAnsi="宋体" w:eastAsia="宋体" w:cs="宋体"/>
          <w:color w:val="auto"/>
          <w:sz w:val="24"/>
          <w:szCs w:val="24"/>
          <w:highlight w:val="none"/>
        </w:rPr>
        <w:t>，并作为其投标的一部分。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存在下列情形的，投标保证金不予退还：</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（1）在投标有效期内，撤销投标的；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pPr>
        <w:pStyle w:val="13"/>
        <w:pageBreakBefore w:val="0"/>
        <w:widowControl w:val="0"/>
        <w:tabs>
          <w:tab w:val="left" w:pos="2240"/>
        </w:tabs>
        <w:kinsoku/>
        <w:wordWrap/>
        <w:overflowPunct/>
        <w:topLinePunct w:val="0"/>
        <w:bidi w:val="0"/>
        <w:spacing w:line="360" w:lineRule="exact"/>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bookmarkStart w:id="362"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362"/>
      <w:r>
        <w:rPr>
          <w:rFonts w:hint="eastAsia" w:ascii="宋体" w:hAnsi="宋体" w:eastAsia="宋体" w:cs="宋体"/>
          <w:color w:val="auto"/>
          <w:sz w:val="24"/>
          <w:szCs w:val="24"/>
          <w:highlight w:val="none"/>
        </w:rPr>
        <w:t>政府采购信用担保试点范围内的项目，接受符合财政部门规定的政府采购投标担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原件。</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未及时提交支票或支票不符合银行委托收款要求（如污损、折叠、胶装等），导致投标保证金不能按时进入指定账户的，将按照招标文件的第22.2条相关规定处理。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联合体投标的，可以由联合体中的一方或者共同提交投标保证金。以一方名义提交投标保证金的，对联合体各方均具有约束力。</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投标保证金的退还</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中标人应在与采购人签订合同之日起5个工作日内，及时联系保证金收受机构办理投标保证金无息退还手续。</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的投标保证金将在中标通知书发出之日暨中标结果公告公布之日起5个工作日内无息退还。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应及时联系保证金收受机构办理退还投标保证金手续。</w:t>
      </w:r>
    </w:p>
    <w:p>
      <w:pPr>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不予退回。</w:t>
      </w:r>
    </w:p>
    <w:p>
      <w:pPr>
        <w:pageBreakBefore w:val="0"/>
        <w:widowControl w:val="0"/>
        <w:kinsoku/>
        <w:wordWrap/>
        <w:overflowPunct/>
        <w:topLinePunct w:val="0"/>
        <w:bidi w:val="0"/>
        <w:spacing w:line="360" w:lineRule="exact"/>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自身原因导致无法及时退还的，采购人或采购代理机构将不承担相应责任。</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63" w:name="_Toc11132"/>
      <w:bookmarkStart w:id="364" w:name="_Toc23657"/>
      <w:bookmarkStart w:id="365" w:name="_Toc13507"/>
      <w:bookmarkStart w:id="366" w:name="_Toc4526"/>
      <w:bookmarkStart w:id="367" w:name="_Toc27562"/>
      <w:bookmarkStart w:id="368" w:name="_Toc12947"/>
      <w:bookmarkStart w:id="369" w:name="_Toc3015"/>
      <w:bookmarkStart w:id="370" w:name="_Toc27999"/>
      <w:bookmarkStart w:id="371" w:name="_Toc520356157"/>
      <w:bookmarkStart w:id="372" w:name="_Toc32569"/>
      <w:bookmarkStart w:id="373" w:name="_Toc7349"/>
      <w:bookmarkStart w:id="374" w:name="_Toc32477"/>
      <w:bookmarkStart w:id="375" w:name="_Toc1255"/>
      <w:bookmarkStart w:id="376" w:name="_Toc19152"/>
      <w:bookmarkStart w:id="377" w:name="_Toc31637"/>
      <w:bookmarkStart w:id="378" w:name="_Toc31306"/>
      <w:bookmarkStart w:id="379" w:name="_Toc30519"/>
      <w:bookmarkStart w:id="380" w:name="_Toc25261"/>
      <w:bookmarkStart w:id="381" w:name="_Toc28650"/>
      <w:bookmarkStart w:id="382" w:name="_Toc17927"/>
      <w:bookmarkStart w:id="383" w:name="_Toc19931"/>
      <w:bookmarkStart w:id="384" w:name="_Toc1719"/>
      <w:bookmarkStart w:id="385" w:name="_Toc1865"/>
      <w:bookmarkStart w:id="386" w:name="_Toc515647772"/>
      <w:bookmarkStart w:id="387" w:name="_Toc23590"/>
      <w:r>
        <w:rPr>
          <w:rFonts w:hint="eastAsia" w:ascii="宋体" w:hAnsi="宋体" w:eastAsia="宋体" w:cs="宋体"/>
          <w:b/>
          <w:bCs/>
          <w:color w:val="auto"/>
          <w:sz w:val="24"/>
          <w:szCs w:val="24"/>
          <w:highlight w:val="none"/>
          <w:u w:val="none"/>
        </w:rPr>
        <w:t>投标有效期</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为保证有充分时间签订合同，采购人或采购代理机构可根据实际情况，在原投标有效期截止之前，要求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延长投标文件的有效期。接受该要求的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将不会被要求和允许修正其投标，且本须知中有关投标保证金的要求须在延长的有效期内继续有效。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可以拒绝延长投标有效期的要求，其投标保证金将及时无息退还。上述要求和答复都应以书面形式提交。</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388" w:name="_Toc520356158"/>
      <w:bookmarkStart w:id="389" w:name="_Toc3558"/>
      <w:bookmarkStart w:id="390" w:name="_Toc4425"/>
      <w:bookmarkStart w:id="391" w:name="_Toc30127"/>
      <w:bookmarkStart w:id="392" w:name="_Toc515647773"/>
      <w:bookmarkStart w:id="393" w:name="_Toc17074"/>
      <w:bookmarkStart w:id="394" w:name="_Toc10391"/>
      <w:bookmarkStart w:id="395" w:name="_Toc24787"/>
      <w:bookmarkStart w:id="396" w:name="_Toc493"/>
      <w:bookmarkStart w:id="397" w:name="_Toc9672"/>
      <w:bookmarkStart w:id="398" w:name="_Toc6286"/>
      <w:bookmarkStart w:id="399" w:name="_Toc29619"/>
      <w:bookmarkStart w:id="400" w:name="_Toc16503"/>
      <w:bookmarkStart w:id="401" w:name="_Toc928"/>
      <w:bookmarkStart w:id="402" w:name="_Toc12276"/>
      <w:bookmarkStart w:id="403" w:name="_Toc1080"/>
      <w:bookmarkStart w:id="404" w:name="_Toc18546"/>
      <w:bookmarkStart w:id="405" w:name="_Toc5874"/>
      <w:bookmarkStart w:id="406" w:name="_Toc398"/>
      <w:bookmarkStart w:id="407" w:name="_Toc11669"/>
      <w:bookmarkStart w:id="408" w:name="_Toc12495"/>
      <w:r>
        <w:rPr>
          <w:rFonts w:hint="eastAsia" w:ascii="宋体" w:hAnsi="宋体" w:eastAsia="宋体" w:cs="宋体"/>
          <w:b/>
          <w:bCs/>
          <w:color w:val="auto"/>
          <w:sz w:val="24"/>
          <w:szCs w:val="24"/>
          <w:highlight w:val="none"/>
          <w:u w:val="none"/>
        </w:rPr>
        <w:t>投标文件的签署</w:t>
      </w:r>
      <w:bookmarkEnd w:id="388"/>
      <w:r>
        <w:rPr>
          <w:rFonts w:hint="eastAsia" w:ascii="宋体" w:hAnsi="宋体" w:eastAsia="宋体" w:cs="宋体"/>
          <w:b/>
          <w:bCs/>
          <w:color w:val="auto"/>
          <w:sz w:val="24"/>
          <w:szCs w:val="24"/>
          <w:highlight w:val="none"/>
          <w:u w:val="none"/>
        </w:rPr>
        <w:t>及规定</w:t>
      </w:r>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auto"/>
          <w:sz w:val="24"/>
          <w:szCs w:val="24"/>
          <w:highlight w:val="none"/>
          <w:u w:val="none"/>
          <w:lang w:val="en-US" w:eastAsia="zh-CN"/>
        </w:rPr>
        <w:t>后期邮寄的投标文件</w:t>
      </w:r>
      <w:r>
        <w:rPr>
          <w:rFonts w:hint="eastAsia" w:ascii="宋体" w:hAnsi="宋体" w:eastAsia="宋体" w:cs="宋体"/>
          <w:b/>
          <w:bCs/>
          <w:color w:val="auto"/>
          <w:sz w:val="24"/>
          <w:szCs w:val="24"/>
          <w:highlight w:val="none"/>
          <w:u w:val="none"/>
          <w:lang w:eastAsia="zh-CN"/>
        </w:rPr>
        <w:t>）</w:t>
      </w:r>
      <w:bookmarkEnd w:id="401"/>
      <w:bookmarkEnd w:id="402"/>
      <w:bookmarkEnd w:id="403"/>
      <w:bookmarkEnd w:id="404"/>
      <w:bookmarkEnd w:id="405"/>
      <w:bookmarkEnd w:id="406"/>
      <w:bookmarkEnd w:id="407"/>
      <w:bookmarkEnd w:id="408"/>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供应商应按供应商须知资料表中的规定，准备和递交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报价一览表”。</w:t>
      </w:r>
    </w:p>
    <w:p>
      <w:pPr>
        <w:pageBreakBefore w:val="0"/>
        <w:shd w:val="clear"/>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的正本需打印或用不褪色墨水书写，并由供应商的法定代表人或经其正式委托代理人按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上签字或盖章并加盖单位印章。委托代理人须持有书面的“法定代表人授权委托书”，并将其附在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进行了修改，则应由供应商的法定代表人或其委托代理人在每一修改处签字。</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的副本可采用正本的复印件。</w:t>
      </w:r>
    </w:p>
    <w:p>
      <w:pPr>
        <w:keepNext w:val="0"/>
        <w:keepLines w:val="0"/>
        <w:pageBreakBefore w:val="0"/>
        <w:widowControl w:val="0"/>
        <w:shd w:val="clear"/>
        <w:kinsoku/>
        <w:wordWrap/>
        <w:overflowPunct/>
        <w:topLinePunct w:val="0"/>
        <w:autoSpaceDE/>
        <w:autoSpaceDN/>
        <w:bidi w:val="0"/>
        <w:adjustRightInd/>
        <w:snapToGrid/>
        <w:spacing w:line="360" w:lineRule="exact"/>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因字迹潦草、表达不清或装订不当所引起的后果由供应商负责。</w:t>
      </w:r>
      <w:bookmarkStart w:id="409" w:name="_Toc16865"/>
      <w:bookmarkStart w:id="410" w:name="_Toc216582808"/>
      <w:bookmarkStart w:id="411" w:name="_Toc520356159"/>
      <w:bookmarkStart w:id="412" w:name="_Toc515647774"/>
      <w:bookmarkStart w:id="413" w:name="_Toc11179"/>
    </w:p>
    <w:p>
      <w:pPr>
        <w:pStyle w:val="19"/>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6"/>
        <w:pageBreakBefore w:val="0"/>
        <w:shd w:val="clear"/>
        <w:kinsoku/>
        <w:wordWrap/>
        <w:overflowPunct/>
        <w:topLinePunct w:val="0"/>
        <w:bidi w:val="0"/>
        <w:spacing w:before="0" w:line="360" w:lineRule="exact"/>
        <w:ind w:hanging="540"/>
        <w:rPr>
          <w:rFonts w:hint="eastAsia" w:ascii="宋体" w:hAnsi="宋体" w:eastAsia="宋体" w:cs="宋体"/>
          <w:color w:val="auto"/>
          <w:sz w:val="24"/>
          <w:szCs w:val="24"/>
          <w:highlight w:val="none"/>
        </w:rPr>
      </w:pPr>
      <w:bookmarkStart w:id="414" w:name="_Toc30935"/>
      <w:bookmarkStart w:id="415" w:name="_Toc25125"/>
      <w:bookmarkStart w:id="416" w:name="_Toc30835"/>
      <w:r>
        <w:rPr>
          <w:rFonts w:hint="eastAsia" w:ascii="宋体" w:hAnsi="宋体" w:eastAsia="宋体" w:cs="宋体"/>
          <w:color w:val="auto"/>
          <w:sz w:val="24"/>
          <w:szCs w:val="24"/>
          <w:highlight w:val="none"/>
        </w:rPr>
        <w:t>四   投标文件的递交</w:t>
      </w:r>
      <w:bookmarkEnd w:id="409"/>
      <w:bookmarkEnd w:id="410"/>
      <w:bookmarkEnd w:id="411"/>
      <w:bookmarkEnd w:id="412"/>
      <w:bookmarkEnd w:id="413"/>
      <w:bookmarkEnd w:id="414"/>
      <w:bookmarkEnd w:id="415"/>
      <w:bookmarkEnd w:id="416"/>
    </w:p>
    <w:p>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17" w:name="_Toc7981"/>
      <w:bookmarkStart w:id="418" w:name="_Toc10627"/>
      <w:bookmarkStart w:id="419" w:name="_Toc20231"/>
      <w:bookmarkStart w:id="420" w:name="_Toc14788"/>
      <w:bookmarkStart w:id="421" w:name="_Toc17407"/>
      <w:bookmarkStart w:id="422" w:name="_Toc17213"/>
      <w:bookmarkStart w:id="423" w:name="_Toc16276"/>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的密封和标记</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color w:val="auto"/>
          <w:sz w:val="24"/>
          <w:szCs w:val="24"/>
          <w:highlight w:val="none"/>
          <w:u w:val="none"/>
          <w:lang w:val="en-US" w:eastAsia="zh-CN"/>
        </w:rPr>
        <w:t>后期邮寄的投标文件</w:t>
      </w:r>
      <w:r>
        <w:rPr>
          <w:rFonts w:hint="eastAsia" w:ascii="宋体" w:hAnsi="宋体" w:eastAsia="宋体" w:cs="宋体"/>
          <w:b/>
          <w:bCs/>
          <w:color w:val="auto"/>
          <w:sz w:val="24"/>
          <w:szCs w:val="24"/>
          <w:highlight w:val="none"/>
          <w:u w:val="none"/>
          <w:lang w:eastAsia="zh-CN"/>
        </w:rPr>
        <w:t>）</w:t>
      </w:r>
      <w:bookmarkEnd w:id="417"/>
      <w:bookmarkEnd w:id="418"/>
      <w:bookmarkEnd w:id="419"/>
      <w:bookmarkEnd w:id="420"/>
      <w:bookmarkEnd w:id="421"/>
      <w:bookmarkEnd w:id="422"/>
      <w:bookmarkEnd w:id="423"/>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为方便开启，供应商应将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第一部分和第二部分的内容合并装订成一册，密封提交，并在封皮正面标明“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”字样。</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如果供应商未按上述要求标记的，将承担相应的后果。</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24" w:name="_Toc9344"/>
      <w:bookmarkStart w:id="425" w:name="_Toc6130"/>
      <w:bookmarkStart w:id="426" w:name="_Toc28578"/>
      <w:bookmarkStart w:id="427" w:name="_Toc15282"/>
      <w:bookmarkStart w:id="428" w:name="_Toc22224"/>
      <w:bookmarkStart w:id="429" w:name="_Toc30469"/>
      <w:bookmarkStart w:id="430" w:name="_Toc5284"/>
      <w:r>
        <w:rPr>
          <w:rFonts w:hint="eastAsia" w:ascii="宋体" w:hAnsi="宋体" w:eastAsia="宋体" w:cs="宋体"/>
          <w:b/>
          <w:bCs/>
          <w:color w:val="auto"/>
          <w:sz w:val="24"/>
          <w:szCs w:val="24"/>
          <w:highlight w:val="none"/>
          <w:u w:val="none"/>
          <w:lang w:val="en-US" w:eastAsia="zh-CN"/>
        </w:rPr>
        <w:t>投标</w:t>
      </w:r>
      <w:r>
        <w:rPr>
          <w:rFonts w:hint="eastAsia" w:ascii="宋体" w:hAnsi="宋体" w:eastAsia="宋体" w:cs="宋体"/>
          <w:b/>
          <w:bCs/>
          <w:color w:val="auto"/>
          <w:sz w:val="24"/>
          <w:szCs w:val="24"/>
          <w:highlight w:val="none"/>
          <w:u w:val="none"/>
        </w:rPr>
        <w:t>截止</w:t>
      </w:r>
      <w:bookmarkEnd w:id="424"/>
      <w:bookmarkEnd w:id="425"/>
      <w:bookmarkEnd w:id="426"/>
      <w:bookmarkEnd w:id="427"/>
      <w:bookmarkEnd w:id="428"/>
      <w:bookmarkEnd w:id="429"/>
      <w:bookmarkEnd w:id="430"/>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供应商应在供应商须知资料表中规定的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公告中规定的地点。</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截止时间。在此情况下，采购人、采购代理机构和供应商受</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截止时间制约的所有权利和义务均应延长至新的截止时间。</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31" w:name="_Toc31990"/>
      <w:bookmarkStart w:id="432" w:name="_Toc29733"/>
      <w:bookmarkStart w:id="433" w:name="_Toc17439"/>
      <w:bookmarkStart w:id="434" w:name="_Toc10568"/>
      <w:bookmarkStart w:id="435" w:name="_Toc12806"/>
      <w:bookmarkStart w:id="436" w:name="_Toc32019"/>
      <w:bookmarkStart w:id="437" w:name="_Toc23351"/>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的接收、修改与撤回</w:t>
      </w:r>
      <w:bookmarkEnd w:id="431"/>
      <w:bookmarkEnd w:id="432"/>
      <w:bookmarkEnd w:id="433"/>
      <w:bookmarkEnd w:id="434"/>
      <w:bookmarkEnd w:id="435"/>
      <w:bookmarkEnd w:id="436"/>
      <w:bookmarkEnd w:id="437"/>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的，采购人和采购代理机构将拒绝接收。</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以后，如果供应商要进行修改或撤回</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，供应商对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截止期之后，采购人和采购代理机构不接受供应商主动对其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pPr>
        <w:pageBreakBefore w:val="0"/>
        <w:shd w:val="clear"/>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宋体" w:hAnsi="宋体" w:eastAsia="宋体" w:cs="宋体"/>
          <w:color w:val="auto"/>
          <w:sz w:val="24"/>
          <w:szCs w:val="24"/>
          <w:highlight w:val="none"/>
        </w:rPr>
      </w:pPr>
      <w:bookmarkStart w:id="438" w:name="_Toc7470"/>
      <w:bookmarkStart w:id="439" w:name="_Toc12436"/>
      <w:bookmarkStart w:id="440" w:name="_Toc216582809"/>
      <w:bookmarkStart w:id="441" w:name="_Toc28398"/>
      <w:bookmarkStart w:id="442" w:name="_Toc520356163"/>
      <w:bookmarkStart w:id="443" w:name="_Toc515647778"/>
    </w:p>
    <w:p>
      <w:pPr>
        <w:pStyle w:val="6"/>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444" w:name="_Toc14463"/>
      <w:r>
        <w:rPr>
          <w:rFonts w:hint="eastAsia" w:ascii="宋体" w:hAnsi="宋体" w:eastAsia="宋体" w:cs="宋体"/>
          <w:color w:val="auto"/>
          <w:sz w:val="24"/>
          <w:szCs w:val="24"/>
          <w:highlight w:val="none"/>
        </w:rPr>
        <w:t>五   开标及评标</w:t>
      </w:r>
      <w:bookmarkEnd w:id="438"/>
      <w:bookmarkEnd w:id="439"/>
      <w:bookmarkEnd w:id="440"/>
      <w:bookmarkEnd w:id="441"/>
      <w:bookmarkEnd w:id="442"/>
      <w:bookmarkEnd w:id="443"/>
      <w:bookmarkEnd w:id="444"/>
    </w:p>
    <w:p>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45" w:name="_Toc10388"/>
      <w:bookmarkStart w:id="446" w:name="_Toc1738"/>
      <w:bookmarkStart w:id="447" w:name="_Toc28057"/>
      <w:bookmarkStart w:id="448" w:name="_Toc4771"/>
      <w:bookmarkStart w:id="449" w:name="_Toc63"/>
      <w:bookmarkStart w:id="450" w:name="_Toc515647779"/>
      <w:bookmarkStart w:id="451" w:name="_Toc9474"/>
      <w:bookmarkStart w:id="452" w:name="_Toc21418"/>
      <w:bookmarkStart w:id="453" w:name="_Toc11726"/>
      <w:bookmarkStart w:id="454" w:name="_Toc32409"/>
      <w:bookmarkStart w:id="455" w:name="_Toc2886"/>
      <w:bookmarkStart w:id="456" w:name="_Toc10415"/>
      <w:bookmarkStart w:id="457" w:name="_Toc520356164"/>
      <w:bookmarkStart w:id="458" w:name="_Toc24922"/>
      <w:bookmarkStart w:id="459" w:name="_Toc23772"/>
      <w:bookmarkStart w:id="460" w:name="_Toc4776"/>
      <w:bookmarkStart w:id="461" w:name="_Toc9432"/>
      <w:bookmarkStart w:id="462" w:name="_Toc7186"/>
      <w:bookmarkStart w:id="463" w:name="_Toc15223"/>
      <w:bookmarkStart w:id="464" w:name="_Toc10643"/>
      <w:bookmarkStart w:id="465" w:name="_Toc23987"/>
      <w:bookmarkStart w:id="466" w:name="_Toc11144"/>
      <w:bookmarkStart w:id="467" w:name="_Toc4385"/>
      <w:bookmarkStart w:id="468" w:name="_Toc25345"/>
      <w:bookmarkStart w:id="469" w:name="_Toc520356165"/>
      <w:bookmarkStart w:id="470" w:name="_Toc26266"/>
      <w:bookmarkStart w:id="471" w:name="_Toc18228"/>
      <w:bookmarkStart w:id="472" w:name="_Toc3080"/>
      <w:bookmarkStart w:id="473" w:name="_Toc21667"/>
      <w:bookmarkStart w:id="474" w:name="_Toc22792"/>
      <w:bookmarkStart w:id="475" w:name="_Toc2316"/>
      <w:bookmarkStart w:id="476" w:name="_Toc18233"/>
      <w:bookmarkStart w:id="477" w:name="_Toc16864"/>
      <w:bookmarkStart w:id="478" w:name="_Toc5052"/>
      <w:bookmarkStart w:id="479" w:name="_Toc10550"/>
      <w:bookmarkStart w:id="480" w:name="_Toc515647780"/>
      <w:bookmarkStart w:id="481" w:name="_Toc4063"/>
      <w:bookmarkStart w:id="482" w:name="_Toc21372"/>
      <w:bookmarkStart w:id="483" w:name="_Toc10746"/>
      <w:bookmarkStart w:id="484" w:name="_Toc19296"/>
      <w:bookmarkStart w:id="485" w:name="_Toc28586"/>
      <w:bookmarkStart w:id="486" w:name="_Toc22770"/>
      <w:r>
        <w:rPr>
          <w:rFonts w:hint="eastAsia" w:ascii="宋体" w:hAnsi="宋体" w:eastAsia="宋体" w:cs="宋体"/>
          <w:b/>
          <w:bCs/>
          <w:color w:val="auto"/>
          <w:sz w:val="24"/>
          <w:szCs w:val="24"/>
          <w:highlight w:val="none"/>
          <w:u w:val="none"/>
        </w:rPr>
        <w:t>开标</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rPr>
        <w:t>采购人和采购代理机构将按</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须知资料表中规定的开标时间和地点组织公开开标并邀请所有</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代表参加。</w:t>
      </w:r>
    </w:p>
    <w:p>
      <w:pPr>
        <w:keepNext w:val="0"/>
        <w:keepLines w:val="0"/>
        <w:pageBreakBefore w:val="0"/>
        <w:widowControl w:val="0"/>
        <w:shd w:val="clear" w:color="auto" w:fill="auto"/>
        <w:kinsoku/>
        <w:wordWrap/>
        <w:overflowPunct/>
        <w:topLinePunct w:val="0"/>
        <w:bidi w:val="0"/>
        <w:snapToGrid/>
        <w:spacing w:line="360" w:lineRule="exact"/>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不足3家的，不得开标。</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color w:val="auto"/>
          <w:sz w:val="24"/>
          <w:szCs w:val="24"/>
          <w:highlight w:val="none"/>
          <w:lang w:val="en-US" w:eastAsia="zh-CN"/>
        </w:rPr>
        <w:t>供应商按照</w:t>
      </w:r>
      <w:r>
        <w:rPr>
          <w:rFonts w:hint="eastAsia" w:ascii="宋体" w:hAnsi="宋体" w:eastAsia="宋体" w:cs="宋体"/>
          <w:color w:val="auto"/>
          <w:sz w:val="24"/>
          <w:szCs w:val="24"/>
          <w:highlight w:val="none"/>
        </w:rPr>
        <w:t>须知资料表中规定的开标时间和地点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在规定时间内上传投标文件</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18.3   </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在规定时间内对投标文件进行</w:t>
      </w:r>
      <w:r>
        <w:rPr>
          <w:rFonts w:hint="eastAsia" w:ascii="宋体" w:hAnsi="宋体" w:eastAsia="宋体" w:cs="宋体"/>
          <w:b/>
          <w:bCs/>
          <w:color w:val="auto"/>
          <w:sz w:val="24"/>
          <w:szCs w:val="24"/>
          <w:highlight w:val="none"/>
          <w:lang w:val="en-US" w:eastAsia="zh-CN"/>
        </w:rPr>
        <w:t>解密，时长为30分钟</w:t>
      </w:r>
      <w:r>
        <w:rPr>
          <w:rFonts w:hint="eastAsia" w:ascii="宋体" w:hAnsi="宋体" w:eastAsia="宋体" w:cs="宋体"/>
          <w:color w:val="auto"/>
          <w:sz w:val="24"/>
          <w:szCs w:val="24"/>
          <w:highlight w:val="none"/>
          <w:lang w:val="en-US" w:eastAsia="zh-CN"/>
        </w:rPr>
        <w:t>。</w:t>
      </w:r>
    </w:p>
    <w:p>
      <w:pPr>
        <w:keepNext w:val="0"/>
        <w:keepLines w:val="0"/>
        <w:pageBreakBefore w:val="0"/>
        <w:widowControl w:val="0"/>
        <w:shd w:val="clear" w:color="auto" w:fill="auto"/>
        <w:kinsoku/>
        <w:wordWrap/>
        <w:overflowPunct/>
        <w:topLinePunct w:val="0"/>
        <w:bidi w:val="0"/>
        <w:snapToGrid/>
        <w:spacing w:line="360" w:lineRule="exact"/>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18.4   由</w:t>
      </w: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开启开标记录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在政采云平台对报价进行签字确认</w:t>
      </w:r>
      <w:r>
        <w:rPr>
          <w:rFonts w:hint="eastAsia" w:ascii="宋体" w:hAnsi="宋体" w:eastAsia="宋体" w:cs="宋体"/>
          <w:color w:val="auto"/>
          <w:sz w:val="24"/>
          <w:szCs w:val="24"/>
          <w:highlight w:val="none"/>
        </w:rPr>
        <w:t>。</w:t>
      </w:r>
    </w:p>
    <w:bookmarkEnd w:id="469"/>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lang w:eastAsia="zh-CN"/>
        </w:rPr>
      </w:pPr>
      <w:bookmarkStart w:id="487" w:name="_Toc1687"/>
      <w:bookmarkStart w:id="488" w:name="_Toc24046"/>
      <w:bookmarkStart w:id="489" w:name="_Toc8356"/>
      <w:bookmarkStart w:id="490" w:name="_Toc22980"/>
      <w:bookmarkStart w:id="491" w:name="_Toc11617"/>
      <w:bookmarkStart w:id="492" w:name="_Toc24244"/>
      <w:bookmarkStart w:id="493" w:name="_Toc29922"/>
      <w:r>
        <w:rPr>
          <w:rFonts w:hint="eastAsia" w:ascii="宋体" w:hAnsi="宋体" w:eastAsia="宋体" w:cs="宋体"/>
          <w:b/>
          <w:bCs/>
          <w:color w:val="auto"/>
          <w:sz w:val="24"/>
          <w:szCs w:val="24"/>
          <w:highlight w:val="none"/>
          <w:u w:val="none"/>
          <w:lang w:eastAsia="zh-CN"/>
        </w:rPr>
        <w:t>资格审查及组建评标委员会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采购人或采购代理机构依据法律法规和招标文件中规定的内容，对供应商及其服务的资格进行审查，本项目审查内容如下：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（1）</w:t>
      </w:r>
      <w:r>
        <w:rPr>
          <w:rFonts w:hint="eastAsia" w:ascii="宋体" w:hAnsi="宋体" w:cs="宋体"/>
          <w:b/>
          <w:bCs/>
          <w:i w:val="0"/>
          <w:caps w:val="0"/>
          <w:color w:val="auto"/>
          <w:spacing w:val="0"/>
          <w:w w:val="100"/>
          <w:sz w:val="24"/>
          <w:szCs w:val="24"/>
          <w:highlight w:val="none"/>
          <w:lang w:val="en-US" w:eastAsia="zh-CN"/>
        </w:rPr>
        <w:t>具有有效的营业执照</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（3）</w:t>
      </w:r>
      <w:r>
        <w:rPr>
          <w:rFonts w:hint="eastAsia" w:ascii="宋体" w:hAnsi="宋体" w:cs="宋体"/>
          <w:b/>
          <w:bCs/>
          <w:i w:val="0"/>
          <w:caps w:val="0"/>
          <w:color w:val="auto"/>
          <w:spacing w:val="0"/>
          <w:w w:val="100"/>
          <w:sz w:val="24"/>
          <w:szCs w:val="24"/>
          <w:highlight w:val="none"/>
          <w:lang w:val="en-US" w:eastAsia="zh-CN"/>
        </w:rPr>
        <w:t>提供《医疗器械生产许可证》或《医疗器械经营许可证》及医疗器械注册证</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4</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提供近两年内任意一年的财务审计报告</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5</w:t>
      </w:r>
      <w:r>
        <w:rPr>
          <w:rFonts w:hint="eastAsia" w:ascii="宋体" w:hAnsi="宋体" w:eastAsia="宋体" w:cs="宋体"/>
          <w:b/>
          <w:bCs/>
          <w:i w:val="0"/>
          <w:caps w:val="0"/>
          <w:color w:val="auto"/>
          <w:spacing w:val="0"/>
          <w:w w:val="100"/>
          <w:sz w:val="24"/>
          <w:szCs w:val="24"/>
          <w:highlight w:val="none"/>
          <w:lang w:val="en-US" w:eastAsia="zh-CN"/>
        </w:rPr>
        <w:t>）依法缴纳近六个月内任意一个月社会保险的凭据；</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6</w:t>
      </w:r>
      <w:r>
        <w:rPr>
          <w:rFonts w:hint="eastAsia" w:ascii="宋体" w:hAnsi="宋体" w:eastAsia="宋体" w:cs="宋体"/>
          <w:b/>
          <w:bCs/>
          <w:i w:val="0"/>
          <w:caps w:val="0"/>
          <w:color w:val="auto"/>
          <w:spacing w:val="0"/>
          <w:w w:val="100"/>
          <w:sz w:val="24"/>
          <w:szCs w:val="24"/>
          <w:highlight w:val="none"/>
          <w:lang w:val="en-US" w:eastAsia="zh-CN"/>
        </w:rPr>
        <w:t>）税务部门出具的近六个月内任意一个月的完税证明；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8</w:t>
      </w:r>
      <w:r>
        <w:rPr>
          <w:rFonts w:hint="eastAsia" w:ascii="宋体" w:hAnsi="宋体" w:eastAsia="宋体" w:cs="宋体"/>
          <w:b/>
          <w:bCs/>
          <w:i w:val="0"/>
          <w:caps w:val="0"/>
          <w:color w:val="auto"/>
          <w:spacing w:val="0"/>
          <w:w w:val="100"/>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9</w:t>
      </w:r>
      <w:r>
        <w:rPr>
          <w:rFonts w:hint="eastAsia" w:ascii="宋体" w:hAnsi="宋体" w:eastAsia="宋体" w:cs="宋体"/>
          <w:b/>
          <w:bCs/>
          <w:i w:val="0"/>
          <w:caps w:val="0"/>
          <w:color w:val="auto"/>
          <w:spacing w:val="0"/>
          <w:w w:val="100"/>
          <w:sz w:val="24"/>
          <w:szCs w:val="24"/>
          <w:highlight w:val="none"/>
          <w:lang w:val="en-US" w:eastAsia="zh-CN"/>
        </w:rPr>
        <w:t>）提供针对本次项目的《反商业贿赂承诺书》</w:t>
      </w:r>
      <w:r>
        <w:rPr>
          <w:rFonts w:hint="eastAsia" w:ascii="宋体" w:hAnsi="宋体" w:eastAsia="宋体" w:cs="宋体"/>
          <w:b/>
          <w:bCs/>
          <w:i w:val="0"/>
          <w:caps w:val="0"/>
          <w:color w:val="auto"/>
          <w:spacing w:val="0"/>
          <w:w w:val="100"/>
          <w:sz w:val="24"/>
          <w:szCs w:val="24"/>
          <w:highlight w:val="none"/>
          <w:lang w:eastAsia="zh-CN"/>
        </w:rPr>
        <w:t>；</w:t>
      </w:r>
    </w:p>
    <w:p>
      <w:pPr>
        <w:pStyle w:val="19"/>
        <w:pageBreakBefore w:val="0"/>
        <w:kinsoku/>
        <w:wordWrap/>
        <w:overflowPunct/>
        <w:topLinePunct w:val="0"/>
        <w:bidi w:val="0"/>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10</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kern w:val="2"/>
          <w:sz w:val="24"/>
          <w:szCs w:val="24"/>
          <w:highlight w:val="none"/>
          <w:lang w:val="en-US" w:eastAsia="zh-CN" w:bidi="ar-SA"/>
        </w:rPr>
        <w:t>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宋体" w:hAnsi="宋体" w:eastAsia="宋体" w:cs="宋体"/>
          <w:b/>
          <w:bCs/>
          <w:i w:val="0"/>
          <w:caps w:val="0"/>
          <w:color w:val="auto"/>
          <w:spacing w:val="0"/>
          <w:w w:val="100"/>
          <w:sz w:val="24"/>
          <w:szCs w:val="24"/>
          <w:highlight w:val="none"/>
          <w:lang w:eastAsia="zh-CN"/>
        </w:rPr>
        <w:t>。</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上述资质开标现场能够通过官方网络查证的，均视为合格供应商。</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未通过资格审查的供应商不进入评标；通过资格审查的供应商少于不足三家的，不得评标。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采购人或采购代理机构将在开标前1个工作日至投标截止后1小时的期间内查询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3"/>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pPr>
        <w:pStyle w:val="3"/>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在本招标文件规定的查询时间之后，网站信息发生的任何变更均不再作为评标依据。</w:t>
      </w:r>
    </w:p>
    <w:p>
      <w:pPr>
        <w:pStyle w:val="3"/>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按照《中华人民共和国政府采购法》、《中华人民共和国政府采购法实施条例》</w:t>
      </w:r>
      <w:r>
        <w:rPr>
          <w:rFonts w:hint="eastAsia" w:ascii="宋体" w:hAnsi="宋体" w:eastAsia="宋体" w:cs="宋体"/>
          <w:color w:val="auto"/>
          <w:sz w:val="24"/>
          <w:szCs w:val="24"/>
          <w:highlight w:val="none"/>
          <w:lang w:eastAsia="zh-CN"/>
        </w:rPr>
        <w:t>、《政府采购货物和服务招标投标管理办法》财政部令第87号</w:t>
      </w:r>
      <w:r>
        <w:rPr>
          <w:rFonts w:hint="eastAsia" w:ascii="宋体" w:hAnsi="宋体" w:eastAsia="宋体" w:cs="宋体"/>
          <w:color w:val="auto"/>
          <w:sz w:val="24"/>
          <w:szCs w:val="24"/>
          <w:highlight w:val="none"/>
        </w:rPr>
        <w:t>及本项目本级和上级财政部门的有关规定依法</w:t>
      </w:r>
      <w:bookmarkStart w:id="494" w:name="_Toc520356166"/>
      <w:r>
        <w:rPr>
          <w:rFonts w:hint="eastAsia" w:ascii="宋体" w:hAnsi="宋体" w:eastAsia="宋体" w:cs="宋体"/>
          <w:color w:val="auto"/>
          <w:sz w:val="24"/>
          <w:szCs w:val="24"/>
          <w:highlight w:val="none"/>
          <w:lang w:eastAsia="zh-CN"/>
        </w:rPr>
        <w:t>在</w:t>
      </w:r>
      <w:r>
        <w:rPr>
          <w:rFonts w:hint="eastAsia" w:ascii="宋体" w:hAnsi="宋体" w:eastAsia="宋体" w:cs="宋体"/>
          <w:b/>
          <w:bCs/>
          <w:color w:val="auto"/>
          <w:sz w:val="24"/>
          <w:szCs w:val="24"/>
          <w:highlight w:val="none"/>
          <w:lang w:eastAsia="zh-CN"/>
        </w:rPr>
        <w:t>政采云平台上随机抽取</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名</w:t>
      </w:r>
      <w:r>
        <w:rPr>
          <w:rFonts w:hint="eastAsia" w:ascii="宋体" w:hAnsi="宋体" w:eastAsia="宋体" w:cs="宋体"/>
          <w:b/>
          <w:bCs/>
          <w:color w:val="auto"/>
          <w:sz w:val="24"/>
          <w:szCs w:val="24"/>
          <w:highlight w:val="none"/>
          <w:lang w:eastAsia="zh-CN"/>
        </w:rPr>
        <w:t>专家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采购单位</w:t>
      </w:r>
      <w:r>
        <w:rPr>
          <w:rFonts w:hint="eastAsia" w:ascii="宋体" w:hAnsi="宋体" w:eastAsia="宋体" w:cs="宋体"/>
          <w:b/>
          <w:bCs/>
          <w:color w:val="auto"/>
          <w:sz w:val="24"/>
          <w:szCs w:val="24"/>
          <w:highlight w:val="none"/>
        </w:rPr>
        <w:t>委托</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名业主专家，共计</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名评标委员会成员</w:t>
      </w:r>
      <w:r>
        <w:rPr>
          <w:rFonts w:hint="eastAsia" w:ascii="宋体" w:hAnsi="宋体" w:eastAsia="宋体" w:cs="宋体"/>
          <w:color w:val="auto"/>
          <w:sz w:val="24"/>
          <w:szCs w:val="24"/>
          <w:highlight w:val="none"/>
        </w:rPr>
        <w:t>负责评标工作。</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495" w:name="_Toc28479"/>
      <w:bookmarkStart w:id="496" w:name="_Toc22021"/>
      <w:bookmarkStart w:id="497" w:name="_Toc3936"/>
      <w:bookmarkStart w:id="498" w:name="_Toc13892"/>
      <w:bookmarkStart w:id="499" w:name="_Toc827"/>
      <w:bookmarkStart w:id="500" w:name="_Toc19949"/>
      <w:bookmarkStart w:id="501" w:name="_Toc14028"/>
      <w:bookmarkStart w:id="502" w:name="_Toc2400"/>
      <w:bookmarkStart w:id="503" w:name="_Toc4663"/>
      <w:bookmarkStart w:id="504" w:name="_Toc515647781"/>
      <w:bookmarkStart w:id="505" w:name="_Toc4062"/>
      <w:bookmarkStart w:id="506" w:name="_Toc22736"/>
      <w:bookmarkStart w:id="507" w:name="_Toc14377"/>
      <w:bookmarkStart w:id="508" w:name="_Toc32378"/>
      <w:bookmarkStart w:id="509" w:name="_Toc27593"/>
      <w:bookmarkStart w:id="510" w:name="_Toc10009"/>
      <w:bookmarkStart w:id="511" w:name="_Toc21876"/>
      <w:bookmarkStart w:id="512" w:name="_Toc8432"/>
      <w:bookmarkStart w:id="513" w:name="_Toc22009"/>
      <w:bookmarkStart w:id="514" w:name="_Toc22105"/>
      <w:bookmarkStart w:id="515" w:name="_Toc31534"/>
      <w:bookmarkStart w:id="516" w:name="_Toc13448"/>
      <w:bookmarkStart w:id="517" w:name="_Toc23246"/>
      <w:bookmarkStart w:id="518" w:name="_Toc19094"/>
      <w:r>
        <w:rPr>
          <w:rFonts w:hint="eastAsia" w:ascii="宋体" w:hAnsi="宋体" w:eastAsia="宋体" w:cs="宋体"/>
          <w:b/>
          <w:bCs/>
          <w:color w:val="auto"/>
          <w:sz w:val="24"/>
          <w:szCs w:val="24"/>
          <w:highlight w:val="none"/>
          <w:u w:val="none"/>
        </w:rPr>
        <w:t>投标文件</w:t>
      </w:r>
      <w:bookmarkEnd w:id="494"/>
      <w:r>
        <w:rPr>
          <w:rFonts w:hint="eastAsia" w:ascii="宋体" w:hAnsi="宋体" w:eastAsia="宋体" w:cs="宋体"/>
          <w:b/>
          <w:bCs/>
          <w:color w:val="auto"/>
          <w:sz w:val="24"/>
          <w:szCs w:val="24"/>
          <w:highlight w:val="none"/>
          <w:u w:val="none"/>
        </w:rPr>
        <w:t>符合性审查与澄清</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19" w:name="_Hlt522424701"/>
      <w:bookmarkEnd w:id="519"/>
      <w:bookmarkStart w:id="520" w:name="_Toc52035616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（二）大写金额和小写金额不一致的，</w:t>
      </w:r>
      <w:r>
        <w:rPr>
          <w:rFonts w:hint="eastAsia" w:ascii="宋体" w:hAnsi="宋体" w:eastAsia="宋体" w:cs="宋体"/>
          <w:b/>
          <w:bCs/>
          <w:color w:val="auto"/>
          <w:sz w:val="24"/>
          <w:szCs w:val="24"/>
          <w:highlight w:val="none"/>
        </w:rPr>
        <w:t>以大写金额为准</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1020" w:leftChars="0" w:hanging="1020" w:hangingChars="4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21" w:name="_Toc21138"/>
      <w:bookmarkStart w:id="522" w:name="_Toc16070"/>
      <w:bookmarkStart w:id="523" w:name="_Toc7973"/>
      <w:bookmarkStart w:id="524" w:name="_Toc9469"/>
      <w:bookmarkStart w:id="525" w:name="_Toc6364"/>
      <w:bookmarkStart w:id="526" w:name="_Toc18062"/>
      <w:bookmarkStart w:id="527" w:name="_Toc10498"/>
      <w:bookmarkStart w:id="528" w:name="_Toc6538"/>
      <w:bookmarkStart w:id="529" w:name="_Toc19042"/>
      <w:bookmarkStart w:id="530" w:name="_Toc5106"/>
      <w:bookmarkStart w:id="531" w:name="_Toc14269"/>
      <w:bookmarkStart w:id="532" w:name="_Toc630"/>
      <w:bookmarkStart w:id="533" w:name="_Toc21796"/>
      <w:bookmarkStart w:id="534" w:name="_Toc1633"/>
      <w:bookmarkStart w:id="535" w:name="_Toc22"/>
      <w:bookmarkStart w:id="536" w:name="_Toc21482"/>
      <w:bookmarkStart w:id="537" w:name="_Toc515647782"/>
      <w:bookmarkStart w:id="538" w:name="_Toc14487"/>
      <w:bookmarkStart w:id="539" w:name="_Toc27571"/>
      <w:bookmarkStart w:id="540" w:name="_Toc11608"/>
      <w:bookmarkStart w:id="541" w:name="_Toc12161"/>
      <w:bookmarkStart w:id="542" w:name="_Toc19833"/>
      <w:bookmarkStart w:id="543" w:name="_Toc10143"/>
      <w:bookmarkStart w:id="544" w:name="_Toc29292"/>
      <w:r>
        <w:rPr>
          <w:rFonts w:hint="eastAsia" w:ascii="宋体" w:hAnsi="宋体" w:eastAsia="宋体" w:cs="宋体"/>
          <w:b/>
          <w:bCs/>
          <w:color w:val="auto"/>
          <w:sz w:val="24"/>
          <w:szCs w:val="24"/>
          <w:highlight w:val="none"/>
          <w:u w:val="none"/>
        </w:rPr>
        <w:t>投标偏离</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545" w:name="_Toc515647783"/>
      <w:bookmarkStart w:id="546" w:name="_Toc6092"/>
      <w:bookmarkStart w:id="547" w:name="_Toc4950"/>
      <w:r>
        <w:rPr>
          <w:rFonts w:hint="eastAsia" w:ascii="宋体" w:hAnsi="宋体" w:eastAsia="宋体" w:cs="宋体"/>
          <w:color w:val="auto"/>
          <w:sz w:val="24"/>
          <w:szCs w:val="24"/>
          <w:highlight w:val="none"/>
          <w:lang w:eastAsia="zh-CN"/>
        </w:rPr>
        <w:t>本项目接受偏离，投标供应商提供参数中出现正偏离加分、负偏离扣</w:t>
      </w:r>
      <w:r>
        <w:rPr>
          <w:rFonts w:hint="eastAsia" w:ascii="宋体" w:hAnsi="宋体" w:eastAsia="宋体" w:cs="宋体"/>
          <w:color w:val="auto"/>
          <w:sz w:val="24"/>
          <w:szCs w:val="24"/>
          <w:highlight w:val="none"/>
          <w:lang w:val="en-US" w:eastAsia="zh-CN"/>
        </w:rPr>
        <w:t>分。</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48" w:name="_Toc4727"/>
      <w:bookmarkStart w:id="549" w:name="_Toc7356"/>
      <w:bookmarkStart w:id="550" w:name="_Toc9594"/>
      <w:bookmarkStart w:id="551" w:name="_Toc31472"/>
      <w:bookmarkStart w:id="552" w:name="_Toc13696"/>
      <w:bookmarkStart w:id="553" w:name="_Toc11798"/>
      <w:bookmarkStart w:id="554" w:name="_Toc23335"/>
      <w:bookmarkStart w:id="555" w:name="_Toc28742"/>
      <w:bookmarkStart w:id="556" w:name="_Toc8973"/>
      <w:bookmarkStart w:id="557" w:name="_Toc1257"/>
      <w:bookmarkStart w:id="558" w:name="_Toc8254"/>
      <w:bookmarkStart w:id="559" w:name="_Toc665"/>
      <w:bookmarkStart w:id="560" w:name="_Toc18096"/>
      <w:bookmarkStart w:id="561" w:name="_Toc1222"/>
      <w:bookmarkStart w:id="562" w:name="_Toc550"/>
      <w:bookmarkStart w:id="563" w:name="_Toc6153"/>
      <w:bookmarkStart w:id="564" w:name="_Toc23010"/>
      <w:bookmarkStart w:id="565" w:name="_Toc12294"/>
      <w:bookmarkStart w:id="566" w:name="_Toc23565"/>
      <w:bookmarkStart w:id="567" w:name="_Toc3363"/>
      <w:bookmarkStart w:id="568" w:name="_Toc26299"/>
      <w:r>
        <w:rPr>
          <w:rFonts w:hint="eastAsia" w:ascii="宋体" w:hAnsi="宋体" w:eastAsia="宋体" w:cs="宋体"/>
          <w:b/>
          <w:bCs/>
          <w:color w:val="auto"/>
          <w:sz w:val="24"/>
          <w:szCs w:val="24"/>
          <w:highlight w:val="none"/>
          <w:u w:val="none"/>
        </w:rPr>
        <w:t>投标</w:t>
      </w:r>
      <w:bookmarkEnd w:id="545"/>
      <w:r>
        <w:rPr>
          <w:rFonts w:hint="eastAsia" w:ascii="宋体" w:hAnsi="宋体" w:eastAsia="宋体" w:cs="宋体"/>
          <w:b/>
          <w:bCs/>
          <w:color w:val="auto"/>
          <w:sz w:val="24"/>
          <w:szCs w:val="24"/>
          <w:highlight w:val="none"/>
          <w:u w:val="none"/>
        </w:rPr>
        <w:t>无效</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520"/>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69" w:name="_Toc22941"/>
      <w:bookmarkStart w:id="570" w:name="_Toc16915"/>
      <w:bookmarkStart w:id="571" w:name="_Toc9523"/>
      <w:bookmarkStart w:id="572" w:name="_Toc24349"/>
      <w:bookmarkStart w:id="573" w:name="_Toc4328"/>
      <w:bookmarkStart w:id="574" w:name="_Toc13652"/>
      <w:bookmarkStart w:id="575" w:name="_Toc19116"/>
      <w:bookmarkStart w:id="576" w:name="_Toc22981"/>
      <w:bookmarkStart w:id="577" w:name="_Toc515647784"/>
      <w:bookmarkStart w:id="578" w:name="_Toc25837"/>
      <w:bookmarkStart w:id="579" w:name="_Toc13566"/>
      <w:bookmarkStart w:id="580" w:name="_Toc2833"/>
      <w:bookmarkStart w:id="581" w:name="_Toc22267"/>
      <w:bookmarkStart w:id="582" w:name="_Toc24169"/>
      <w:bookmarkStart w:id="583" w:name="_Toc7560"/>
      <w:bookmarkStart w:id="584" w:name="_Toc29015"/>
      <w:bookmarkStart w:id="585" w:name="_Toc20639"/>
      <w:bookmarkStart w:id="586" w:name="_Toc3877"/>
      <w:bookmarkStart w:id="587" w:name="_Toc20498"/>
      <w:bookmarkStart w:id="588" w:name="_Toc13922"/>
      <w:bookmarkStart w:id="589" w:name="_Toc22753"/>
      <w:r>
        <w:rPr>
          <w:rFonts w:hint="eastAsia" w:ascii="宋体" w:hAnsi="宋体" w:eastAsia="宋体" w:cs="宋体"/>
          <w:b/>
          <w:bCs/>
          <w:color w:val="auto"/>
          <w:sz w:val="24"/>
          <w:szCs w:val="24"/>
          <w:highlight w:val="none"/>
          <w:u w:val="none"/>
        </w:rPr>
        <w:t>比较与评价</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pPr>
        <w:pStyle w:val="13"/>
        <w:pageBreakBefore w:val="0"/>
        <w:widowControl w:val="0"/>
        <w:kinsoku/>
        <w:wordWrap/>
        <w:overflowPunct/>
        <w:topLinePunct w:val="0"/>
        <w:bidi w:val="0"/>
        <w:spacing w:line="36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3"/>
        <w:pageBreakBefore w:val="0"/>
        <w:widowControl w:val="0"/>
        <w:kinsoku/>
        <w:wordWrap/>
        <w:overflowPunct/>
        <w:topLinePunct w:val="0"/>
        <w:bidi w:val="0"/>
        <w:spacing w:line="36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3"/>
        <w:pageBreakBefore w:val="0"/>
        <w:widowControl w:val="0"/>
        <w:kinsoku/>
        <w:wordWrap/>
        <w:overflowPunct/>
        <w:topLinePunct w:val="0"/>
        <w:bidi w:val="0"/>
        <w:spacing w:line="36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说明：</w:t>
      </w:r>
      <w:r>
        <w:rPr>
          <w:rFonts w:hint="eastAsia" w:ascii="宋体" w:hAnsi="宋体" w:eastAsia="宋体" w:cs="宋体"/>
          <w:b/>
          <w:bCs/>
          <w:color w:val="auto"/>
          <w:sz w:val="24"/>
          <w:szCs w:val="24"/>
          <w:highlight w:val="none"/>
        </w:rPr>
        <w:t>本项目第一包</w:t>
      </w:r>
      <w:r>
        <w:rPr>
          <w:rFonts w:hint="eastAsia" w:ascii="宋体" w:hAnsi="宋体" w:eastAsia="宋体" w:cs="宋体"/>
          <w:b/>
          <w:bCs/>
          <w:color w:val="auto"/>
          <w:sz w:val="24"/>
          <w:szCs w:val="24"/>
          <w:highlight w:val="none"/>
          <w:lang w:eastAsia="zh-CN"/>
        </w:rPr>
        <w:t>：大孔径CT模拟定位机（</w:t>
      </w:r>
      <w:r>
        <w:rPr>
          <w:rFonts w:hint="eastAsia" w:ascii="宋体" w:hAnsi="宋体" w:eastAsia="宋体" w:cs="宋体"/>
          <w:b/>
          <w:bCs/>
          <w:color w:val="auto"/>
          <w:sz w:val="24"/>
          <w:szCs w:val="24"/>
          <w:highlight w:val="none"/>
          <w:lang w:val="en-US" w:eastAsia="zh-CN"/>
        </w:rPr>
        <w:t>1套、国产</w:t>
      </w:r>
      <w:r>
        <w:rPr>
          <w:rFonts w:hint="eastAsia" w:ascii="宋体" w:hAnsi="宋体" w:eastAsia="宋体" w:cs="宋体"/>
          <w:b/>
          <w:bCs/>
          <w:color w:val="auto"/>
          <w:sz w:val="24"/>
          <w:szCs w:val="24"/>
          <w:highlight w:val="none"/>
          <w:lang w:eastAsia="zh-CN"/>
        </w:rPr>
        <w:t>）；</w:t>
      </w:r>
    </w:p>
    <w:p>
      <w:pPr>
        <w:pStyle w:val="13"/>
        <w:pageBreakBefore w:val="0"/>
        <w:widowControl w:val="0"/>
        <w:kinsoku/>
        <w:wordWrap/>
        <w:overflowPunct/>
        <w:topLinePunct w:val="0"/>
        <w:bidi w:val="0"/>
        <w:spacing w:line="360" w:lineRule="exact"/>
        <w:ind w:firstLine="1446" w:firstLineChars="6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第二包</w:t>
      </w:r>
      <w:r>
        <w:rPr>
          <w:rFonts w:hint="eastAsia" w:ascii="宋体" w:hAnsi="宋体" w:eastAsia="宋体" w:cs="宋体"/>
          <w:b/>
          <w:bCs/>
          <w:color w:val="auto"/>
          <w:sz w:val="24"/>
          <w:szCs w:val="24"/>
          <w:highlight w:val="none"/>
          <w:lang w:eastAsia="zh-CN"/>
        </w:rPr>
        <w:t>：1.5T核磁设备（</w:t>
      </w:r>
      <w:r>
        <w:rPr>
          <w:rFonts w:hint="eastAsia" w:ascii="宋体" w:hAnsi="宋体" w:eastAsia="宋体" w:cs="宋体"/>
          <w:b/>
          <w:bCs/>
          <w:color w:val="auto"/>
          <w:sz w:val="24"/>
          <w:szCs w:val="24"/>
          <w:highlight w:val="none"/>
          <w:lang w:val="en-US" w:eastAsia="zh-CN"/>
        </w:rPr>
        <w:t>1套、国产</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采用综合评分法</w:t>
      </w:r>
      <w:r>
        <w:rPr>
          <w:rFonts w:hint="eastAsia" w:ascii="宋体" w:hAnsi="宋体" w:eastAsia="宋体" w:cs="宋体"/>
          <w:b/>
          <w:bCs/>
          <w:color w:val="auto"/>
          <w:sz w:val="24"/>
          <w:szCs w:val="24"/>
          <w:highlight w:val="none"/>
          <w:lang w:eastAsia="zh-CN"/>
        </w:rPr>
        <w:t>：</w:t>
      </w:r>
    </w:p>
    <w:p>
      <w:pPr>
        <w:pStyle w:val="19"/>
        <w:keepNext w:val="0"/>
        <w:keepLines w:val="0"/>
        <w:pageBreakBefore w:val="0"/>
        <w:kinsoku/>
        <w:wordWrap/>
        <w:overflowPunct/>
        <w:topLinePunct w:val="0"/>
        <w:autoSpaceDE/>
        <w:autoSpaceDN/>
        <w:bidi w:val="0"/>
        <w:adjustRightInd/>
        <w:spacing w:line="360" w:lineRule="exact"/>
        <w:ind w:firstLine="482" w:firstLineChars="200"/>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第一包</w:t>
      </w:r>
      <w:r>
        <w:rPr>
          <w:rFonts w:hint="eastAsia" w:ascii="宋体" w:hAnsi="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sz w:val="24"/>
          <w:szCs w:val="24"/>
          <w:highlight w:val="none"/>
          <w:lang w:val="en-US" w:eastAsia="zh-CN"/>
        </w:rPr>
        <w:t>价格占30%，商务占6%，技术占64%</w:t>
      </w:r>
      <w:r>
        <w:rPr>
          <w:rFonts w:hint="eastAsia" w:ascii="宋体" w:hAnsi="宋体" w:cs="宋体"/>
          <w:b/>
          <w:bCs/>
          <w:i w:val="0"/>
          <w:caps w:val="0"/>
          <w:color w:val="auto"/>
          <w:spacing w:val="0"/>
          <w:w w:val="100"/>
          <w:sz w:val="24"/>
          <w:szCs w:val="24"/>
          <w:highlight w:val="none"/>
          <w:lang w:val="en-US" w:eastAsia="zh-CN"/>
        </w:rPr>
        <w:t>；</w:t>
      </w:r>
    </w:p>
    <w:p>
      <w:pPr>
        <w:pStyle w:val="19"/>
        <w:keepNext w:val="0"/>
        <w:keepLines w:val="0"/>
        <w:pageBreakBefore w:val="0"/>
        <w:kinsoku/>
        <w:wordWrap/>
        <w:overflowPunct/>
        <w:topLinePunct w:val="0"/>
        <w:autoSpaceDE/>
        <w:autoSpaceDN/>
        <w:bidi w:val="0"/>
        <w:adjustRightInd/>
        <w:spacing w:line="360" w:lineRule="exact"/>
        <w:ind w:firstLine="482" w:firstLineChars="200"/>
        <w:rPr>
          <w:rFonts w:hint="eastAsia" w:ascii="宋体" w:hAnsi="宋体" w:eastAsia="宋体" w:cs="宋体"/>
          <w:b/>
          <w:bCs/>
          <w:i w:val="0"/>
          <w:caps w:val="0"/>
          <w:color w:val="auto"/>
          <w:spacing w:val="0"/>
          <w:w w:val="100"/>
          <w:sz w:val="24"/>
          <w:szCs w:val="24"/>
          <w:highlight w:val="green"/>
          <w:lang w:val="en-US" w:eastAsia="zh-CN"/>
        </w:rPr>
      </w:pPr>
      <w:r>
        <w:rPr>
          <w:rFonts w:hint="eastAsia" w:ascii="宋体" w:hAnsi="宋体" w:eastAsia="宋体" w:cs="宋体"/>
          <w:b/>
          <w:bCs/>
          <w:i w:val="0"/>
          <w:caps w:val="0"/>
          <w:color w:val="auto"/>
          <w:spacing w:val="0"/>
          <w:w w:val="100"/>
          <w:sz w:val="24"/>
          <w:szCs w:val="24"/>
          <w:highlight w:val="none"/>
          <w:lang w:val="en-US" w:eastAsia="zh-CN"/>
        </w:rPr>
        <w:t>第二包</w:t>
      </w:r>
      <w:r>
        <w:rPr>
          <w:rFonts w:hint="eastAsia" w:ascii="宋体" w:hAnsi="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sz w:val="24"/>
          <w:szCs w:val="24"/>
          <w:highlight w:val="none"/>
          <w:lang w:val="en-US" w:eastAsia="zh-CN"/>
        </w:rPr>
        <w:t>价格占30%，商务占</w:t>
      </w:r>
      <w:r>
        <w:rPr>
          <w:rFonts w:hint="eastAsia" w:ascii="宋体" w:hAnsi="宋体" w:cs="宋体"/>
          <w:b/>
          <w:bCs/>
          <w:i w:val="0"/>
          <w:caps w:val="0"/>
          <w:color w:val="auto"/>
          <w:spacing w:val="0"/>
          <w:w w:val="100"/>
          <w:sz w:val="24"/>
          <w:szCs w:val="24"/>
          <w:highlight w:val="none"/>
          <w:lang w:val="en-US" w:eastAsia="zh-CN"/>
        </w:rPr>
        <w:t>11</w:t>
      </w:r>
      <w:r>
        <w:rPr>
          <w:rFonts w:hint="eastAsia" w:ascii="宋体" w:hAnsi="宋体" w:eastAsia="宋体" w:cs="宋体"/>
          <w:b/>
          <w:bCs/>
          <w:i w:val="0"/>
          <w:caps w:val="0"/>
          <w:color w:val="auto"/>
          <w:spacing w:val="0"/>
          <w:w w:val="100"/>
          <w:sz w:val="24"/>
          <w:szCs w:val="24"/>
          <w:highlight w:val="none"/>
          <w:lang w:val="en-US" w:eastAsia="zh-CN"/>
        </w:rPr>
        <w:t>%，技术占</w:t>
      </w:r>
      <w:r>
        <w:rPr>
          <w:rFonts w:hint="eastAsia" w:ascii="宋体" w:hAnsi="宋体" w:cs="宋体"/>
          <w:b/>
          <w:bCs/>
          <w:i w:val="0"/>
          <w:caps w:val="0"/>
          <w:color w:val="auto"/>
          <w:spacing w:val="0"/>
          <w:w w:val="100"/>
          <w:sz w:val="24"/>
          <w:szCs w:val="24"/>
          <w:highlight w:val="none"/>
          <w:lang w:val="en-US" w:eastAsia="zh-CN"/>
        </w:rPr>
        <w:t>59</w:t>
      </w:r>
      <w:r>
        <w:rPr>
          <w:rFonts w:hint="eastAsia" w:ascii="宋体" w:hAnsi="宋体" w:eastAsia="宋体" w:cs="宋体"/>
          <w:b/>
          <w:bCs/>
          <w:i w:val="0"/>
          <w:caps w:val="0"/>
          <w:color w:val="auto"/>
          <w:spacing w:val="0"/>
          <w:w w:val="100"/>
          <w:sz w:val="24"/>
          <w:szCs w:val="24"/>
          <w:highlight w:val="none"/>
          <w:lang w:val="en-US" w:eastAsia="zh-CN"/>
        </w:rPr>
        <w:t>%。</w:t>
      </w:r>
    </w:p>
    <w:p>
      <w:pPr>
        <w:pStyle w:val="13"/>
        <w:pageBreakBefore w:val="0"/>
        <w:widowControl w:val="0"/>
        <w:kinsoku/>
        <w:wordWrap/>
        <w:overflowPunct/>
        <w:topLinePunct w:val="0"/>
        <w:bidi w:val="0"/>
        <w:spacing w:line="360" w:lineRule="exact"/>
        <w:ind w:left="480" w:hanging="482" w:hanging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23.3   本项目不专门面向中小企业采购。根据《政府采购促进中小企业发展管理办法》（财库[2020]46号）、《财政部司法部关于政府采购支持监狱企业发展有关问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kern w:val="2"/>
          <w:sz w:val="24"/>
          <w:szCs w:val="24"/>
          <w:highlight w:val="none"/>
          <w:u w:val="single"/>
          <w:lang w:val="en-US" w:eastAsia="zh-CN" w:bidi="ar-SA"/>
        </w:rPr>
        <w:t xml:space="preserve">  10  %</w:t>
      </w:r>
      <w:r>
        <w:rPr>
          <w:rFonts w:hint="eastAsia" w:ascii="宋体" w:hAnsi="宋体" w:eastAsia="宋体" w:cs="宋体"/>
          <w:b/>
          <w:bCs/>
          <w:color w:val="auto"/>
          <w:kern w:val="2"/>
          <w:sz w:val="24"/>
          <w:szCs w:val="24"/>
          <w:highlight w:val="none"/>
          <w:lang w:val="en-US" w:eastAsia="zh-CN" w:bidi="ar-SA"/>
        </w:rPr>
        <w:t>后参与评审。对于同时属于小型、微型及小微企业、监狱企业或残疾人福利性单位的，不重复进行报价扣除。具体办法详见招标文件第6章。</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590" w:name="_Toc27067"/>
      <w:bookmarkStart w:id="591" w:name="_Toc28349"/>
      <w:bookmarkStart w:id="592" w:name="_Toc20227"/>
      <w:bookmarkStart w:id="593" w:name="_Toc31084"/>
      <w:bookmarkStart w:id="594" w:name="_Toc17798"/>
      <w:bookmarkStart w:id="595" w:name="_Toc14038"/>
      <w:bookmarkStart w:id="596" w:name="_Toc14346"/>
      <w:bookmarkStart w:id="597" w:name="_Toc29851"/>
      <w:bookmarkStart w:id="598" w:name="_Toc7858"/>
      <w:bookmarkStart w:id="599" w:name="_Toc1505"/>
      <w:bookmarkStart w:id="600" w:name="_Toc30004"/>
      <w:bookmarkStart w:id="601" w:name="_Toc6053"/>
      <w:bookmarkStart w:id="602" w:name="_Toc294"/>
      <w:bookmarkStart w:id="603" w:name="_Toc515647785"/>
      <w:bookmarkStart w:id="604" w:name="_Toc7770"/>
      <w:bookmarkStart w:id="605" w:name="_Toc29970"/>
      <w:bookmarkStart w:id="606" w:name="_Toc23302"/>
      <w:bookmarkStart w:id="607" w:name="_Toc9378"/>
      <w:bookmarkStart w:id="608" w:name="_Toc30532"/>
      <w:bookmarkStart w:id="609" w:name="_Toc29567"/>
      <w:bookmarkStart w:id="610" w:name="_Toc26540"/>
      <w:bookmarkStart w:id="611" w:name="_Toc19218"/>
      <w:bookmarkStart w:id="612" w:name="_Toc20064"/>
      <w:bookmarkStart w:id="613" w:name="_Toc16371"/>
      <w:r>
        <w:rPr>
          <w:rFonts w:hint="eastAsia" w:ascii="宋体" w:hAnsi="宋体" w:eastAsia="宋体" w:cs="宋体"/>
          <w:b/>
          <w:bCs/>
          <w:color w:val="auto"/>
          <w:sz w:val="24"/>
          <w:szCs w:val="24"/>
          <w:highlight w:val="none"/>
          <w:u w:val="none"/>
        </w:rPr>
        <w:t>废标</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pageBreakBefore w:val="0"/>
        <w:widowControl w:val="0"/>
        <w:kinsoku/>
        <w:wordWrap/>
        <w:overflowPunct/>
        <w:topLinePunct w:val="0"/>
        <w:bidi w:val="0"/>
        <w:spacing w:line="360" w:lineRule="exact"/>
        <w:ind w:left="60" w:leftChars="0" w:hanging="60" w:hangingChars="25"/>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（1）符合专业条件的供应商或者对招标文件做实质性响应的供应商不足三家；</w:t>
      </w:r>
    </w:p>
    <w:p>
      <w:pPr>
        <w:pageBreakBefore w:val="0"/>
        <w:widowControl w:val="0"/>
        <w:kinsoku/>
        <w:wordWrap/>
        <w:overflowPunct/>
        <w:topLinePunct w:val="0"/>
        <w:bidi w:val="0"/>
        <w:spacing w:line="360" w:lineRule="exact"/>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14" w:name="_Toc10983"/>
      <w:bookmarkStart w:id="615" w:name="_Toc29646"/>
      <w:bookmarkStart w:id="616" w:name="_Toc515647786"/>
      <w:bookmarkStart w:id="617" w:name="_Toc5328"/>
      <w:bookmarkStart w:id="618" w:name="_Toc10657"/>
      <w:bookmarkStart w:id="619" w:name="_Toc21380"/>
      <w:bookmarkStart w:id="620" w:name="_Toc11460"/>
      <w:bookmarkStart w:id="621" w:name="_Toc24972"/>
      <w:bookmarkStart w:id="622" w:name="_Toc9864"/>
      <w:bookmarkStart w:id="623" w:name="_Toc11422"/>
      <w:bookmarkStart w:id="624" w:name="_Toc7638"/>
      <w:bookmarkStart w:id="625" w:name="_Toc1531"/>
      <w:bookmarkStart w:id="626" w:name="_Toc11370"/>
      <w:bookmarkStart w:id="627" w:name="_Toc3431"/>
      <w:bookmarkStart w:id="628" w:name="_Toc31289"/>
      <w:bookmarkStart w:id="629" w:name="_Toc3793"/>
      <w:bookmarkStart w:id="630" w:name="_Toc19453"/>
      <w:bookmarkStart w:id="631" w:name="_Toc30848"/>
      <w:bookmarkStart w:id="632" w:name="_Toc29790"/>
      <w:bookmarkStart w:id="633" w:name="_Toc25775"/>
      <w:bookmarkStart w:id="634" w:name="_Toc27604"/>
      <w:bookmarkStart w:id="635" w:name="_Toc23725"/>
      <w:bookmarkStart w:id="636" w:name="_Toc5674"/>
      <w:bookmarkStart w:id="637" w:name="_Toc21697"/>
      <w:bookmarkStart w:id="638" w:name="_Toc520356169"/>
      <w:r>
        <w:rPr>
          <w:rFonts w:hint="eastAsia" w:ascii="宋体" w:hAnsi="宋体" w:eastAsia="宋体" w:cs="宋体"/>
          <w:b/>
          <w:bCs/>
          <w:color w:val="auto"/>
          <w:sz w:val="24"/>
          <w:szCs w:val="24"/>
          <w:highlight w:val="none"/>
          <w:u w:val="none"/>
        </w:rPr>
        <w:t>保密原则</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pPr>
        <w:pageBreakBefore w:val="0"/>
        <w:widowControl w:val="0"/>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6"/>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639" w:name="_Toc515647787"/>
      <w:bookmarkStart w:id="640" w:name="_Toc29726"/>
      <w:bookmarkStart w:id="641" w:name="_Toc23904"/>
      <w:bookmarkStart w:id="642" w:name="_Toc216582810"/>
      <w:bookmarkStart w:id="643" w:name="_Toc12143"/>
      <w:bookmarkStart w:id="644" w:name="_Toc31410"/>
      <w:r>
        <w:rPr>
          <w:rFonts w:hint="eastAsia" w:ascii="宋体" w:hAnsi="宋体" w:eastAsia="宋体" w:cs="宋体"/>
          <w:color w:val="auto"/>
          <w:sz w:val="24"/>
          <w:szCs w:val="24"/>
          <w:highlight w:val="none"/>
        </w:rPr>
        <w:t xml:space="preserve">六   </w:t>
      </w:r>
      <w:bookmarkEnd w:id="638"/>
      <w:r>
        <w:rPr>
          <w:rFonts w:hint="eastAsia" w:ascii="宋体" w:hAnsi="宋体" w:eastAsia="宋体" w:cs="宋体"/>
          <w:color w:val="auto"/>
          <w:sz w:val="24"/>
          <w:szCs w:val="24"/>
          <w:highlight w:val="none"/>
        </w:rPr>
        <w:t>确定中标</w:t>
      </w:r>
      <w:bookmarkEnd w:id="639"/>
      <w:bookmarkEnd w:id="640"/>
      <w:bookmarkEnd w:id="641"/>
      <w:bookmarkEnd w:id="642"/>
      <w:bookmarkEnd w:id="643"/>
      <w:bookmarkEnd w:id="644"/>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lang w:val="en-US" w:eastAsia="zh-CN"/>
        </w:rPr>
      </w:pPr>
      <w:bookmarkStart w:id="645" w:name="_Toc22054"/>
      <w:bookmarkStart w:id="646" w:name="_Toc20762"/>
      <w:bookmarkStart w:id="647" w:name="_Toc14800"/>
      <w:bookmarkStart w:id="648" w:name="_Toc13936"/>
      <w:bookmarkStart w:id="649" w:name="_Toc28179"/>
      <w:bookmarkStart w:id="650" w:name="_Toc23617"/>
      <w:bookmarkStart w:id="651" w:name="_Toc520356170"/>
      <w:bookmarkStart w:id="652" w:name="_Toc24864"/>
      <w:bookmarkStart w:id="653" w:name="_Toc22284"/>
      <w:bookmarkStart w:id="654" w:name="_Toc24833"/>
      <w:bookmarkStart w:id="655" w:name="_Ref467307010"/>
      <w:bookmarkStart w:id="656" w:name="_Toc30510"/>
      <w:bookmarkStart w:id="657" w:name="_Toc6381"/>
      <w:bookmarkStart w:id="658" w:name="_Toc29156"/>
      <w:bookmarkStart w:id="659" w:name="_Toc20061"/>
      <w:bookmarkStart w:id="660" w:name="_Toc24563"/>
      <w:bookmarkStart w:id="661" w:name="_Toc6985"/>
      <w:bookmarkStart w:id="662" w:name="_Toc32024"/>
      <w:bookmarkStart w:id="663" w:name="_Toc154"/>
      <w:bookmarkStart w:id="664" w:name="_Toc27501"/>
      <w:bookmarkStart w:id="665" w:name="_Toc31710"/>
      <w:bookmarkStart w:id="666" w:name="_Toc515647788"/>
      <w:bookmarkStart w:id="667" w:name="_Toc23762"/>
      <w:bookmarkStart w:id="668" w:name="_Toc12168"/>
      <w:bookmarkStart w:id="669" w:name="_Toc20672"/>
      <w:r>
        <w:rPr>
          <w:rFonts w:hint="eastAsia" w:ascii="宋体" w:hAnsi="宋体" w:eastAsia="宋体" w:cs="宋体"/>
          <w:b/>
          <w:bCs/>
          <w:color w:val="auto"/>
          <w:sz w:val="24"/>
          <w:szCs w:val="24"/>
          <w:highlight w:val="none"/>
          <w:u w:val="none"/>
          <w:lang w:val="en-US" w:eastAsia="zh-CN"/>
        </w:rPr>
        <w:t>中标候选人的确定原则及标准</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按下列方法进行排序，确定投标候选人：</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bookmarkStart w:id="670" w:name="_Toc515647789"/>
      <w:bookmarkStart w:id="671" w:name="_Toc520356171"/>
      <w:r>
        <w:rPr>
          <w:rFonts w:hint="eastAsia" w:ascii="宋体" w:hAnsi="宋体" w:eastAsia="宋体" w:cs="宋体"/>
          <w:color w:val="auto"/>
          <w:sz w:val="24"/>
          <w:szCs w:val="24"/>
          <w:highlight w:val="none"/>
        </w:rPr>
        <w:t>（1）采用最低评标价法的，除了算术修正和落实政府采购政策需进行的价格扣除外，不对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本项目采用综合评分法，</w:t>
      </w:r>
    </w:p>
    <w:p>
      <w:pPr>
        <w:keepNext w:val="0"/>
        <w:keepLines w:val="0"/>
        <w:pageBreakBefore w:val="0"/>
        <w:widowControl w:val="0"/>
        <w:kinsoku/>
        <w:wordWrap/>
        <w:overflowPunct/>
        <w:topLinePunct w:val="0"/>
        <w:autoSpaceDE/>
        <w:autoSpaceDN/>
        <w:bidi w:val="0"/>
        <w:adjustRightInd/>
        <w:snapToGrid w:val="0"/>
        <w:spacing w:line="360" w:lineRule="exact"/>
        <w:ind w:firstLine="482" w:firstLineChars="200"/>
        <w:jc w:val="lef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第一包：价格占30%，商务占6%，技术占64%；</w:t>
      </w:r>
    </w:p>
    <w:p>
      <w:pPr>
        <w:pStyle w:val="19"/>
        <w:keepNext w:val="0"/>
        <w:keepLines w:val="0"/>
        <w:pageBreakBefore w:val="0"/>
        <w:kinsoku/>
        <w:wordWrap/>
        <w:overflowPunct/>
        <w:topLinePunct w:val="0"/>
        <w:autoSpaceDE/>
        <w:autoSpaceDN/>
        <w:bidi w:val="0"/>
        <w:adjustRightInd/>
        <w:spacing w:line="360" w:lineRule="exact"/>
        <w:ind w:firstLine="482" w:firstLineChars="200"/>
        <w:rPr>
          <w:rFonts w:hint="eastAsia" w:ascii="宋体" w:hAnsi="宋体" w:eastAsia="宋体" w:cs="宋体"/>
          <w:b/>
          <w:bCs/>
          <w:i w:val="0"/>
          <w:caps w:val="0"/>
          <w:color w:val="auto"/>
          <w:spacing w:val="0"/>
          <w:w w:val="100"/>
          <w:sz w:val="24"/>
          <w:szCs w:val="24"/>
          <w:highlight w:val="green"/>
          <w:lang w:val="en-US" w:eastAsia="zh-CN"/>
        </w:rPr>
      </w:pPr>
      <w:r>
        <w:rPr>
          <w:rFonts w:hint="eastAsia" w:ascii="宋体" w:hAnsi="宋体" w:eastAsia="宋体" w:cs="宋体"/>
          <w:b/>
          <w:bCs/>
          <w:i w:val="0"/>
          <w:caps w:val="0"/>
          <w:color w:val="auto"/>
          <w:spacing w:val="0"/>
          <w:w w:val="100"/>
          <w:kern w:val="2"/>
          <w:sz w:val="24"/>
          <w:szCs w:val="24"/>
          <w:highlight w:val="none"/>
          <w:lang w:val="en-US" w:eastAsia="zh-CN" w:bidi="ar-SA"/>
        </w:rPr>
        <w:t>第二包：价格占30%，商务占11%，技术占59%。</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72" w:name="_Toc17933"/>
      <w:bookmarkStart w:id="673" w:name="_Toc15604"/>
      <w:bookmarkStart w:id="674" w:name="_Toc29803"/>
      <w:bookmarkStart w:id="675" w:name="_Toc17164"/>
      <w:bookmarkStart w:id="676" w:name="_Toc12678"/>
      <w:bookmarkStart w:id="677" w:name="_Toc721"/>
      <w:bookmarkStart w:id="678" w:name="_Toc11247"/>
      <w:bookmarkStart w:id="679" w:name="_Toc16846"/>
      <w:bookmarkStart w:id="680" w:name="_Toc24948"/>
      <w:bookmarkStart w:id="681" w:name="_Toc976"/>
      <w:bookmarkStart w:id="682" w:name="_Toc1644"/>
      <w:bookmarkStart w:id="683" w:name="_Toc27172"/>
      <w:bookmarkStart w:id="684" w:name="_Toc21913"/>
      <w:bookmarkStart w:id="685" w:name="_Toc28294"/>
      <w:bookmarkStart w:id="686" w:name="_Toc30756"/>
      <w:bookmarkStart w:id="687" w:name="_Toc2803"/>
      <w:bookmarkStart w:id="688" w:name="_Toc22117"/>
      <w:bookmarkStart w:id="689" w:name="_Toc15364"/>
      <w:bookmarkStart w:id="690" w:name="_Toc25274"/>
      <w:bookmarkStart w:id="691" w:name="_Toc3720"/>
      <w:bookmarkStart w:id="692" w:name="_Toc14558"/>
      <w:bookmarkStart w:id="693" w:name="_Toc28287"/>
      <w:bookmarkStart w:id="694" w:name="_Toc12016"/>
      <w:bookmarkStart w:id="695" w:name="_Toc21306"/>
      <w:r>
        <w:rPr>
          <w:rFonts w:hint="eastAsia" w:ascii="宋体" w:hAnsi="宋体" w:eastAsia="宋体" w:cs="宋体"/>
          <w:b/>
          <w:bCs/>
          <w:color w:val="auto"/>
          <w:sz w:val="24"/>
          <w:szCs w:val="24"/>
          <w:highlight w:val="none"/>
          <w:u w:val="none"/>
        </w:rPr>
        <w:t>确定</w:t>
      </w:r>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候选人和</w:t>
      </w:r>
      <w:bookmarkEnd w:id="672"/>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人</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bookmarkEnd w:id="670"/>
    <w:bookmarkEnd w:id="671"/>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696" w:name="_Toc3328"/>
      <w:bookmarkStart w:id="697" w:name="_Toc28562"/>
      <w:bookmarkStart w:id="698" w:name="_Toc32455"/>
      <w:bookmarkStart w:id="699" w:name="_Toc2533"/>
      <w:bookmarkStart w:id="700" w:name="_Toc21208"/>
      <w:bookmarkStart w:id="701" w:name="_Toc45"/>
      <w:bookmarkStart w:id="702" w:name="_Toc12164"/>
      <w:bookmarkStart w:id="703" w:name="_Toc18980"/>
      <w:bookmarkStart w:id="704" w:name="_Toc18821"/>
      <w:bookmarkStart w:id="705" w:name="_Toc9640"/>
      <w:bookmarkStart w:id="706" w:name="_Toc8389"/>
      <w:bookmarkStart w:id="707" w:name="_Toc7156"/>
      <w:bookmarkStart w:id="708" w:name="_Toc20705"/>
      <w:bookmarkStart w:id="709" w:name="_Toc9701"/>
      <w:bookmarkStart w:id="710" w:name="_Toc19007"/>
      <w:bookmarkStart w:id="711" w:name="_Toc21618"/>
      <w:bookmarkStart w:id="712" w:name="_Toc15500"/>
      <w:bookmarkStart w:id="713" w:name="_Toc9561"/>
      <w:bookmarkStart w:id="714" w:name="_Toc5507"/>
      <w:bookmarkStart w:id="715" w:name="_Toc515647790"/>
      <w:bookmarkStart w:id="716" w:name="_Toc20001"/>
      <w:bookmarkStart w:id="717" w:name="_Toc17591"/>
      <w:bookmarkStart w:id="718" w:name="_Toc6340"/>
      <w:bookmarkStart w:id="719" w:name="_Toc31043"/>
      <w:r>
        <w:rPr>
          <w:rFonts w:hint="eastAsia" w:ascii="宋体" w:hAnsi="宋体" w:eastAsia="宋体" w:cs="宋体"/>
          <w:b/>
          <w:bCs/>
          <w:color w:val="auto"/>
          <w:sz w:val="24"/>
          <w:szCs w:val="24"/>
          <w:highlight w:val="none"/>
          <w:u w:val="none"/>
        </w:rPr>
        <w:t>采购任务取消</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不承担任何责任。</w:t>
      </w:r>
      <w:bookmarkStart w:id="720" w:name="_Toc520356174"/>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721" w:name="_Toc6360"/>
      <w:bookmarkStart w:id="722" w:name="_Toc27996"/>
      <w:bookmarkStart w:id="723" w:name="_Toc8140"/>
      <w:bookmarkStart w:id="724" w:name="_Toc12348"/>
      <w:bookmarkStart w:id="725" w:name="_Toc14221"/>
      <w:bookmarkStart w:id="726" w:name="_Toc20363"/>
      <w:bookmarkStart w:id="727" w:name="_Toc8834"/>
      <w:bookmarkStart w:id="728" w:name="_Toc1676"/>
      <w:bookmarkStart w:id="729" w:name="_Toc21583"/>
      <w:bookmarkStart w:id="730" w:name="_Toc515"/>
      <w:bookmarkStart w:id="731" w:name="_Toc4099"/>
      <w:bookmarkStart w:id="732" w:name="_Toc137"/>
      <w:bookmarkStart w:id="733" w:name="_Toc8636"/>
      <w:bookmarkStart w:id="734" w:name="_Toc5820"/>
      <w:bookmarkStart w:id="735" w:name="_Toc30149"/>
      <w:bookmarkStart w:id="736" w:name="_Toc1818"/>
      <w:bookmarkStart w:id="737" w:name="_Toc31099"/>
      <w:bookmarkStart w:id="738" w:name="_Toc515647791"/>
      <w:bookmarkStart w:id="739" w:name="_Toc1178"/>
      <w:bookmarkStart w:id="740" w:name="_Toc30170"/>
      <w:bookmarkStart w:id="741" w:name="_Toc17202"/>
      <w:bookmarkStart w:id="742" w:name="_Toc30931"/>
      <w:bookmarkStart w:id="743" w:name="_Toc19938"/>
      <w:bookmarkStart w:id="744" w:name="_Toc25281"/>
      <w:r>
        <w:rPr>
          <w:rFonts w:hint="eastAsia" w:ascii="宋体" w:hAnsi="宋体" w:eastAsia="宋体" w:cs="宋体"/>
          <w:b/>
          <w:bCs/>
          <w:color w:val="auto"/>
          <w:sz w:val="24"/>
          <w:szCs w:val="24"/>
          <w:highlight w:val="none"/>
          <w:u w:val="none"/>
        </w:rPr>
        <w:t>中标通知书</w:t>
      </w:r>
      <w:bookmarkEnd w:id="720"/>
      <w:r>
        <w:rPr>
          <w:rFonts w:hint="eastAsia" w:ascii="宋体" w:hAnsi="宋体" w:eastAsia="宋体" w:cs="宋体"/>
          <w:b/>
          <w:bCs/>
          <w:color w:val="auto"/>
          <w:sz w:val="24"/>
          <w:szCs w:val="24"/>
          <w:highlight w:val="none"/>
          <w:u w:val="none"/>
        </w:rPr>
        <w:t>和招标结果通知书</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未通过的原因；采用综合评分法评审的，还将告知未中标人本人的评审得分和排序。</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745" w:name="_Toc7584"/>
      <w:bookmarkStart w:id="746" w:name="_Toc13210"/>
      <w:bookmarkStart w:id="747" w:name="_Ref467306978"/>
      <w:bookmarkStart w:id="748" w:name="_Ref467307204"/>
      <w:bookmarkStart w:id="749" w:name="_Toc29255"/>
      <w:bookmarkStart w:id="750" w:name="_Toc3557"/>
      <w:bookmarkStart w:id="751" w:name="_Toc6885"/>
      <w:bookmarkStart w:id="752" w:name="_Toc30068"/>
      <w:bookmarkStart w:id="753" w:name="_Toc830"/>
      <w:bookmarkStart w:id="754" w:name="_Toc15018"/>
      <w:bookmarkStart w:id="755" w:name="_Toc14551"/>
      <w:bookmarkStart w:id="756" w:name="_Toc3183"/>
      <w:bookmarkStart w:id="757" w:name="_Toc1386"/>
      <w:bookmarkStart w:id="758" w:name="_Toc4466"/>
      <w:bookmarkStart w:id="759" w:name="_Toc14896"/>
      <w:bookmarkStart w:id="760" w:name="_Toc515647792"/>
      <w:bookmarkStart w:id="761" w:name="_Toc520356175"/>
      <w:bookmarkStart w:id="762" w:name="_Toc14773"/>
      <w:bookmarkStart w:id="763" w:name="_Toc24666"/>
      <w:bookmarkStart w:id="764" w:name="_Ref467307062"/>
      <w:bookmarkStart w:id="765" w:name="_Toc26465"/>
      <w:bookmarkStart w:id="766" w:name="_Toc26598"/>
      <w:bookmarkStart w:id="767" w:name="_Toc790"/>
      <w:bookmarkStart w:id="768" w:name="_Ref467306377"/>
      <w:bookmarkStart w:id="769" w:name="_Toc14106"/>
      <w:bookmarkStart w:id="770" w:name="_Toc7779"/>
      <w:bookmarkStart w:id="771" w:name="_Toc7891"/>
      <w:bookmarkStart w:id="772" w:name="_Toc13873"/>
      <w:bookmarkStart w:id="773" w:name="_Toc29299"/>
      <w:r>
        <w:rPr>
          <w:rFonts w:hint="eastAsia" w:ascii="宋体" w:hAnsi="宋体" w:eastAsia="宋体" w:cs="宋体"/>
          <w:b/>
          <w:bCs/>
          <w:color w:val="auto"/>
          <w:sz w:val="24"/>
          <w:szCs w:val="24"/>
          <w:highlight w:val="none"/>
          <w:u w:val="none"/>
        </w:rPr>
        <w:t>签订合同</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774" w:name="_Ref467306425"/>
      <w:bookmarkStart w:id="775" w:name="_Ref467307090"/>
      <w:bookmarkStart w:id="776" w:name="_Toc520356176"/>
      <w:r>
        <w:rPr>
          <w:rFonts w:hint="eastAsia" w:ascii="宋体" w:hAnsi="宋体" w:eastAsia="宋体" w:cs="宋体"/>
          <w:color w:val="auto"/>
          <w:sz w:val="24"/>
          <w:szCs w:val="24"/>
          <w:highlight w:val="none"/>
        </w:rPr>
        <w:t>招标文件、中标人的投标文件及其澄清文件等，均为签订合同的依据。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777" w:name="_Toc8801"/>
      <w:bookmarkStart w:id="778" w:name="_Toc9394"/>
      <w:bookmarkStart w:id="779" w:name="_Toc11471"/>
      <w:bookmarkStart w:id="780" w:name="_Toc26902"/>
      <w:bookmarkStart w:id="781" w:name="_Toc11467"/>
      <w:bookmarkStart w:id="782" w:name="_Toc21692"/>
      <w:bookmarkStart w:id="783" w:name="_Toc14080"/>
      <w:bookmarkStart w:id="784" w:name="_Toc22555"/>
      <w:bookmarkStart w:id="785" w:name="_Toc20414"/>
      <w:bookmarkStart w:id="786" w:name="_Toc10991"/>
      <w:bookmarkStart w:id="787" w:name="_Toc28788"/>
      <w:bookmarkStart w:id="788" w:name="_Toc20555"/>
      <w:bookmarkStart w:id="789" w:name="_Toc515647793"/>
      <w:bookmarkStart w:id="790" w:name="_Toc32530"/>
      <w:bookmarkStart w:id="791" w:name="_Toc9468"/>
      <w:bookmarkStart w:id="792" w:name="_Toc4460"/>
      <w:bookmarkStart w:id="793" w:name="_Toc4849"/>
      <w:bookmarkStart w:id="794" w:name="_Toc11387"/>
      <w:bookmarkStart w:id="795" w:name="_Toc13252"/>
      <w:bookmarkStart w:id="796" w:name="_Toc17960"/>
      <w:bookmarkStart w:id="797" w:name="_Toc16092"/>
      <w:bookmarkStart w:id="798" w:name="_Toc32131"/>
      <w:bookmarkStart w:id="799" w:name="_Toc23943"/>
      <w:bookmarkStart w:id="800" w:name="_Toc8189"/>
      <w:r>
        <w:rPr>
          <w:rFonts w:hint="eastAsia" w:ascii="宋体" w:hAnsi="宋体" w:eastAsia="宋体" w:cs="宋体"/>
          <w:b/>
          <w:bCs/>
          <w:color w:val="auto"/>
          <w:sz w:val="24"/>
          <w:szCs w:val="24"/>
          <w:highlight w:val="none"/>
          <w:u w:val="none"/>
        </w:rPr>
        <w:t>履约保证金</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开户行银行保函。</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01" w:name="_Toc9142"/>
      <w:bookmarkStart w:id="802" w:name="_Toc26497"/>
      <w:bookmarkStart w:id="803" w:name="_Toc1144"/>
      <w:bookmarkStart w:id="804" w:name="_Toc13043"/>
      <w:bookmarkStart w:id="805" w:name="_Toc25385"/>
      <w:bookmarkStart w:id="806" w:name="_Toc18861"/>
      <w:bookmarkStart w:id="807" w:name="_Toc29408"/>
      <w:bookmarkStart w:id="808" w:name="_Toc9967"/>
      <w:bookmarkStart w:id="809" w:name="_Toc20540"/>
      <w:bookmarkStart w:id="810" w:name="_Toc17462"/>
      <w:bookmarkStart w:id="811" w:name="_Toc515647794"/>
      <w:bookmarkStart w:id="812" w:name="_Toc21835"/>
      <w:bookmarkStart w:id="813" w:name="_Toc8906"/>
      <w:bookmarkStart w:id="814" w:name="_Toc21246"/>
      <w:bookmarkStart w:id="815" w:name="_Toc14040"/>
      <w:bookmarkStart w:id="816" w:name="_Toc14539"/>
      <w:bookmarkStart w:id="817" w:name="_Toc3090"/>
      <w:bookmarkStart w:id="818" w:name="_Toc15314"/>
      <w:bookmarkStart w:id="819" w:name="_Toc17827"/>
      <w:bookmarkStart w:id="820" w:name="_Toc9993"/>
      <w:bookmarkStart w:id="821" w:name="_Toc24979"/>
      <w:bookmarkStart w:id="822" w:name="_Toc15752"/>
      <w:bookmarkStart w:id="823" w:name="_Toc13048"/>
      <w:bookmarkStart w:id="824" w:name="_Toc16406"/>
      <w:r>
        <w:rPr>
          <w:rFonts w:hint="eastAsia" w:ascii="宋体" w:hAnsi="宋体" w:eastAsia="宋体" w:cs="宋体"/>
          <w:b/>
          <w:bCs/>
          <w:color w:val="auto"/>
          <w:sz w:val="24"/>
          <w:szCs w:val="24"/>
          <w:highlight w:val="none"/>
          <w:u w:val="none"/>
        </w:rPr>
        <w:t>中标服务费</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25" w:name="_Toc24525"/>
      <w:bookmarkStart w:id="826" w:name="_Toc7158"/>
      <w:bookmarkStart w:id="827" w:name="_Toc20843"/>
      <w:bookmarkStart w:id="828" w:name="_Toc3584"/>
      <w:bookmarkStart w:id="829" w:name="_Toc365"/>
      <w:bookmarkStart w:id="830" w:name="_Toc16900"/>
      <w:bookmarkStart w:id="831" w:name="_Toc515647795"/>
      <w:bookmarkStart w:id="832" w:name="_Toc19992"/>
      <w:bookmarkStart w:id="833" w:name="_Toc14969"/>
      <w:bookmarkStart w:id="834" w:name="_Toc31379"/>
      <w:bookmarkStart w:id="835" w:name="_Toc7265"/>
      <w:bookmarkStart w:id="836" w:name="_Toc3053"/>
      <w:bookmarkStart w:id="837" w:name="_Toc7049"/>
      <w:bookmarkStart w:id="838" w:name="_Toc29584"/>
      <w:bookmarkStart w:id="839" w:name="_Toc9493"/>
      <w:bookmarkStart w:id="840" w:name="_Toc8477"/>
      <w:bookmarkStart w:id="841" w:name="_Toc22291"/>
      <w:bookmarkStart w:id="842" w:name="_Toc6923"/>
      <w:bookmarkStart w:id="843" w:name="_Toc25076"/>
      <w:bookmarkStart w:id="844" w:name="_Toc28372"/>
      <w:bookmarkStart w:id="845" w:name="_Toc10747"/>
      <w:bookmarkStart w:id="846" w:name="_Toc23330"/>
      <w:bookmarkStart w:id="847" w:name="_Toc4947"/>
      <w:bookmarkStart w:id="848" w:name="_Toc10756"/>
      <w:r>
        <w:rPr>
          <w:rFonts w:hint="eastAsia" w:ascii="宋体" w:hAnsi="宋体" w:eastAsia="宋体" w:cs="宋体"/>
          <w:b/>
          <w:bCs/>
          <w:color w:val="auto"/>
          <w:sz w:val="24"/>
          <w:szCs w:val="24"/>
          <w:highlight w:val="none"/>
          <w:u w:val="none"/>
        </w:rPr>
        <w:t>政府采购信用担保</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49" w:name="_Toc12158"/>
      <w:bookmarkStart w:id="850" w:name="_Toc3713"/>
      <w:bookmarkStart w:id="851" w:name="_Toc6509"/>
      <w:bookmarkStart w:id="852" w:name="_Toc22607"/>
      <w:bookmarkStart w:id="853" w:name="_Toc25791"/>
      <w:bookmarkStart w:id="854" w:name="_Toc2133"/>
      <w:bookmarkStart w:id="855" w:name="_Toc3616"/>
      <w:bookmarkStart w:id="856" w:name="_Toc11707"/>
      <w:bookmarkStart w:id="857" w:name="_Toc32379"/>
      <w:bookmarkStart w:id="858" w:name="_Toc27009"/>
      <w:bookmarkStart w:id="859" w:name="_Toc22695"/>
      <w:bookmarkStart w:id="860" w:name="_Toc5262"/>
      <w:bookmarkStart w:id="861" w:name="_Toc31178"/>
      <w:bookmarkStart w:id="862" w:name="_Toc19297"/>
      <w:bookmarkStart w:id="863" w:name="_Toc23999"/>
      <w:bookmarkStart w:id="864" w:name="_Toc29108"/>
      <w:bookmarkStart w:id="865" w:name="_Toc5750"/>
      <w:bookmarkStart w:id="866" w:name="_Toc515647796"/>
      <w:bookmarkStart w:id="867" w:name="_Toc31425"/>
      <w:bookmarkStart w:id="868" w:name="_Toc11552"/>
      <w:bookmarkStart w:id="869" w:name="_Toc3656"/>
      <w:bookmarkStart w:id="870" w:name="_Toc11013"/>
      <w:bookmarkStart w:id="871" w:name="_Toc23161"/>
      <w:bookmarkStart w:id="872" w:name="_Toc22315"/>
      <w:r>
        <w:rPr>
          <w:rFonts w:hint="eastAsia" w:ascii="宋体" w:hAnsi="宋体" w:eastAsia="宋体" w:cs="宋体"/>
          <w:b/>
          <w:bCs/>
          <w:color w:val="auto"/>
          <w:sz w:val="24"/>
          <w:szCs w:val="24"/>
          <w:highlight w:val="none"/>
          <w:u w:val="none"/>
        </w:rPr>
        <w:t>廉洁自律规定</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73" w:name="_Toc25480"/>
      <w:bookmarkStart w:id="874" w:name="_Toc19338"/>
      <w:bookmarkStart w:id="875" w:name="_Toc27260"/>
      <w:bookmarkStart w:id="876" w:name="_Toc3319"/>
      <w:bookmarkStart w:id="877" w:name="_Toc20945"/>
      <w:bookmarkStart w:id="878" w:name="_Toc5448"/>
      <w:bookmarkStart w:id="879" w:name="_Toc17682"/>
      <w:bookmarkStart w:id="880" w:name="_Toc11586"/>
      <w:bookmarkStart w:id="881" w:name="_Toc15644"/>
      <w:bookmarkStart w:id="882" w:name="_Toc4757"/>
      <w:bookmarkStart w:id="883" w:name="_Toc27794"/>
      <w:bookmarkStart w:id="884" w:name="_Toc9773"/>
      <w:bookmarkStart w:id="885" w:name="_Toc23695"/>
      <w:bookmarkStart w:id="886" w:name="_Toc23126"/>
      <w:bookmarkStart w:id="887" w:name="_Toc6587"/>
      <w:bookmarkStart w:id="888" w:name="_Toc17929"/>
      <w:bookmarkStart w:id="889" w:name="_Toc19757"/>
      <w:bookmarkStart w:id="890" w:name="_Toc29018"/>
      <w:bookmarkStart w:id="891" w:name="_Toc4826"/>
      <w:bookmarkStart w:id="892" w:name="_Toc30009"/>
      <w:bookmarkStart w:id="893" w:name="_Toc17079"/>
      <w:bookmarkStart w:id="894" w:name="_Toc12422"/>
      <w:bookmarkStart w:id="895" w:name="_Toc5069"/>
      <w:bookmarkStart w:id="896" w:name="_Toc515647797"/>
      <w:r>
        <w:rPr>
          <w:rFonts w:hint="eastAsia" w:ascii="宋体" w:hAnsi="宋体" w:eastAsia="宋体" w:cs="宋体"/>
          <w:b/>
          <w:bCs/>
          <w:color w:val="auto"/>
          <w:sz w:val="24"/>
          <w:szCs w:val="24"/>
          <w:highlight w:val="none"/>
          <w:u w:val="none"/>
        </w:rPr>
        <w:t>人员回避</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pPr>
        <w:pStyle w:val="2"/>
        <w:pageBreakBefore w:val="0"/>
        <w:widowControl w:val="0"/>
        <w:numPr>
          <w:ilvl w:val="0"/>
          <w:numId w:val="4"/>
        </w:numPr>
        <w:kinsoku/>
        <w:wordWrap/>
        <w:overflowPunct/>
        <w:topLinePunct w:val="0"/>
        <w:bidi w:val="0"/>
        <w:spacing w:before="0" w:after="0" w:line="360" w:lineRule="exact"/>
        <w:ind w:left="0" w:leftChars="0"/>
        <w:textAlignment w:val="auto"/>
        <w:rPr>
          <w:rFonts w:hint="eastAsia" w:ascii="宋体" w:hAnsi="宋体" w:eastAsia="宋体" w:cs="宋体"/>
          <w:b/>
          <w:bCs/>
          <w:color w:val="auto"/>
          <w:sz w:val="24"/>
          <w:szCs w:val="24"/>
          <w:highlight w:val="none"/>
          <w:u w:val="none"/>
        </w:rPr>
      </w:pPr>
      <w:bookmarkStart w:id="897" w:name="_Toc12880"/>
      <w:bookmarkStart w:id="898" w:name="_Toc30943"/>
      <w:bookmarkStart w:id="899" w:name="_Toc8352"/>
      <w:bookmarkStart w:id="900" w:name="_Toc21797"/>
      <w:bookmarkStart w:id="901" w:name="_Toc6634"/>
      <w:bookmarkStart w:id="902" w:name="_Toc7870"/>
      <w:bookmarkStart w:id="903" w:name="_Toc25174"/>
      <w:bookmarkStart w:id="904" w:name="_Toc16436"/>
      <w:bookmarkStart w:id="905" w:name="_Toc14457"/>
      <w:bookmarkStart w:id="906" w:name="_Toc21912"/>
      <w:bookmarkStart w:id="907" w:name="_Toc12470"/>
      <w:bookmarkStart w:id="908" w:name="_Toc21048"/>
      <w:bookmarkStart w:id="909" w:name="_Toc6387"/>
      <w:bookmarkStart w:id="910" w:name="_Toc12727"/>
      <w:bookmarkStart w:id="911" w:name="_Toc27328"/>
      <w:bookmarkStart w:id="912" w:name="_Toc1324"/>
      <w:bookmarkStart w:id="913" w:name="_Toc22831"/>
      <w:bookmarkStart w:id="914" w:name="_Toc15630"/>
      <w:bookmarkStart w:id="915" w:name="_Toc1162"/>
      <w:bookmarkStart w:id="916" w:name="_Toc27421"/>
      <w:r>
        <w:rPr>
          <w:rFonts w:hint="eastAsia" w:ascii="宋体" w:hAnsi="宋体" w:eastAsia="宋体" w:cs="宋体"/>
          <w:b/>
          <w:bCs/>
          <w:color w:val="auto"/>
          <w:sz w:val="24"/>
          <w:szCs w:val="24"/>
          <w:highlight w:val="none"/>
          <w:u w:val="none"/>
        </w:rPr>
        <w:t>质疑与接收</w:t>
      </w:r>
      <w:bookmarkEnd w:id="25"/>
      <w:bookmarkEnd w:id="26"/>
      <w:bookmarkEnd w:id="27"/>
      <w:bookmarkEnd w:id="28"/>
      <w:bookmarkEnd w:id="29"/>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36"/>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36"/>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36"/>
        <w:pageBreakBefore w:val="0"/>
        <w:widowControl w:val="0"/>
        <w:kinsoku/>
        <w:wordWrap/>
        <w:overflowPunct/>
        <w:topLinePunct w:val="0"/>
        <w:bidi w:val="0"/>
        <w:spacing w:line="360" w:lineRule="exact"/>
        <w:ind w:left="0" w:leftChars="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（六）答复质疑的日期。</w:t>
      </w:r>
    </w:p>
    <w:p>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917" w:name="_Toc11297"/>
      <w:bookmarkStart w:id="918" w:name="_Toc9437"/>
      <w:bookmarkStart w:id="919" w:name="_Toc16553"/>
      <w:bookmarkStart w:id="920" w:name="_Toc18518"/>
      <w:bookmarkStart w:id="921" w:name="_Toc30093"/>
      <w:bookmarkStart w:id="922" w:name="_Toc2072"/>
      <w:bookmarkStart w:id="923" w:name="_Toc23411"/>
      <w:bookmarkStart w:id="924" w:name="_Toc1819"/>
      <w:bookmarkStart w:id="925" w:name="_Toc8353"/>
      <w:bookmarkStart w:id="926" w:name="_Toc27601"/>
      <w:bookmarkStart w:id="927" w:name="_Toc27146"/>
      <w:bookmarkStart w:id="928" w:name="_Toc22908"/>
      <w:bookmarkStart w:id="929" w:name="_Toc12088"/>
      <w:bookmarkStart w:id="930" w:name="_Toc28709"/>
      <w:bookmarkStart w:id="931" w:name="_Toc3696"/>
      <w:bookmarkStart w:id="932" w:name="_Toc25636"/>
      <w:bookmarkStart w:id="933" w:name="_Toc30855"/>
      <w:bookmarkStart w:id="934" w:name="_Toc2799"/>
      <w:bookmarkStart w:id="935" w:name="_Toc2500"/>
      <w:bookmarkStart w:id="936" w:name="_Toc30512"/>
      <w:bookmarkStart w:id="937" w:name="_Toc1369"/>
      <w:bookmarkStart w:id="938" w:name="_Toc13021"/>
      <w:bookmarkStart w:id="939" w:name="_Toc20727"/>
      <w:bookmarkStart w:id="940" w:name="_Toc3646"/>
      <w:bookmarkStart w:id="941" w:name="_Toc6493"/>
      <w:r>
        <w:rPr>
          <w:rFonts w:hint="eastAsia" w:ascii="宋体" w:hAnsi="宋体" w:eastAsia="宋体" w:cs="宋体"/>
          <w:b/>
          <w:bCs/>
          <w:color w:val="auto"/>
          <w:sz w:val="24"/>
          <w:szCs w:val="24"/>
          <w:highlight w:val="none"/>
        </w:rPr>
        <w:t>质疑函范本</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Style w:val="3"/>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5"/>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宋体" w:hAnsi="宋体" w:eastAsia="宋体" w:cs="宋体"/>
          <w:b/>
          <w:bCs/>
          <w:color w:val="auto"/>
          <w:sz w:val="32"/>
          <w:szCs w:val="32"/>
          <w:highlight w:val="none"/>
        </w:rPr>
      </w:pPr>
      <w:bookmarkStart w:id="942" w:name="_Toc3574"/>
      <w:bookmarkStart w:id="943" w:name="_Toc515647802"/>
      <w:bookmarkStart w:id="944" w:name="_Toc216582812"/>
      <w:bookmarkStart w:id="945" w:name="_Toc728"/>
      <w:bookmarkStart w:id="946" w:name="_Toc702"/>
      <w:bookmarkStart w:id="947" w:name="_Toc29770"/>
      <w:bookmarkStart w:id="948" w:name="_Toc9566"/>
      <w:r>
        <w:rPr>
          <w:rFonts w:hint="eastAsia" w:ascii="宋体" w:hAnsi="宋体" w:eastAsia="宋体" w:cs="宋体"/>
          <w:b/>
          <w:bCs/>
          <w:color w:val="auto"/>
          <w:kern w:val="0"/>
          <w:sz w:val="32"/>
          <w:szCs w:val="32"/>
          <w:highlight w:val="none"/>
          <w:lang w:val="en-US" w:eastAsia="zh-CN" w:bidi="ar-SA"/>
        </w:rPr>
        <w:t>第2章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投标文件格式</w:t>
      </w:r>
      <w:bookmarkEnd w:id="942"/>
      <w:bookmarkEnd w:id="943"/>
      <w:bookmarkEnd w:id="944"/>
      <w:bookmarkEnd w:id="945"/>
      <w:bookmarkEnd w:id="946"/>
      <w:bookmarkEnd w:id="947"/>
      <w:bookmarkEnd w:id="948"/>
    </w:p>
    <w:p>
      <w:pPr>
        <w:pStyle w:val="6"/>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949" w:name="_Toc22572"/>
      <w:bookmarkStart w:id="950" w:name="_Toc515647803"/>
      <w:bookmarkStart w:id="951" w:name="_Toc18694"/>
      <w:bookmarkStart w:id="952" w:name="_Toc18974"/>
      <w:bookmarkStart w:id="953" w:name="_Toc22049"/>
      <w:bookmarkStart w:id="954" w:name="_Toc32123"/>
      <w:bookmarkStart w:id="955" w:name="_Toc32079"/>
      <w:bookmarkStart w:id="956" w:name="_Toc515647804"/>
      <w:bookmarkStart w:id="957" w:name="_Toc16750"/>
      <w:bookmarkStart w:id="958" w:name="_Toc13595"/>
      <w:bookmarkStart w:id="959" w:name="_Toc11138"/>
      <w:bookmarkStart w:id="960" w:name="_Toc30524"/>
      <w:bookmarkStart w:id="961" w:name="_Toc14118"/>
      <w:bookmarkStart w:id="962" w:name="_Toc3620"/>
      <w:bookmarkStart w:id="963" w:name="_Toc16568"/>
      <w:bookmarkStart w:id="964" w:name="_Toc21614"/>
      <w:bookmarkStart w:id="965" w:name="_Toc29091"/>
      <w:bookmarkStart w:id="966" w:name="_Toc522"/>
      <w:bookmarkStart w:id="967" w:name="_Toc30630"/>
      <w:bookmarkStart w:id="968" w:name="_Toc480942349"/>
      <w:bookmarkStart w:id="969" w:name="_Ref467988698"/>
      <w:bookmarkStart w:id="970" w:name="_Toc520356217"/>
      <w:bookmarkStart w:id="971" w:name="_Toc216582813"/>
      <w:r>
        <w:rPr>
          <w:rFonts w:hint="eastAsia" w:ascii="宋体" w:hAnsi="宋体" w:eastAsia="宋体" w:cs="宋体"/>
          <w:color w:val="auto"/>
          <w:sz w:val="24"/>
          <w:szCs w:val="24"/>
          <w:highlight w:val="none"/>
        </w:rPr>
        <w:t>第一部分 开标一览表及资格证明文件</w:t>
      </w:r>
      <w:bookmarkEnd w:id="949"/>
      <w:bookmarkEnd w:id="950"/>
      <w:bookmarkEnd w:id="951"/>
      <w:bookmarkEnd w:id="952"/>
      <w:bookmarkEnd w:id="953"/>
      <w:bookmarkEnd w:id="954"/>
      <w:bookmarkEnd w:id="955"/>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开标一览表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具有有效的营业执照</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法定代表人资格证明及授权书、被授权人身份证(法定代表人投标需提供法定代表人身份证)；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lang w:eastAsia="zh-CN"/>
        </w:rPr>
        <w:t>提供《医疗器械生产许可证》或《医疗器械经营许可证》及医疗器械注册证</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提供近两年内任意一年的财务审计报告</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依法缴纳近六个月内任意一个月社会保险的凭据；</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税务部门出具的近六个月内任意一个月的完税证明；</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提供针对本次项目的《反商业贿赂承诺书》；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缴纳投标保证金的有效凭证</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kern w:val="0"/>
          <w:sz w:val="24"/>
          <w:szCs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供应商应注意以下事项：①本项目要求各投标供应商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956"/>
    <w:bookmarkEnd w:id="957"/>
    <w:bookmarkEnd w:id="958"/>
    <w:bookmarkEnd w:id="959"/>
    <w:bookmarkEnd w:id="960"/>
    <w:bookmarkEnd w:id="961"/>
    <w:bookmarkEnd w:id="962"/>
    <w:bookmarkEnd w:id="963"/>
    <w:bookmarkEnd w:id="964"/>
    <w:bookmarkEnd w:id="965"/>
    <w:bookmarkEnd w:id="966"/>
    <w:bookmarkEnd w:id="967"/>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72" w:name="_Toc6718"/>
      <w:r>
        <w:rPr>
          <w:rFonts w:hint="eastAsia" w:ascii="宋体" w:hAnsi="宋体" w:eastAsia="宋体" w:cs="宋体"/>
          <w:color w:val="auto"/>
          <w:sz w:val="28"/>
          <w:szCs w:val="28"/>
          <w:highlight w:val="none"/>
        </w:rPr>
        <w:t>1.开标一览表；</w:t>
      </w:r>
      <w:bookmarkEnd w:id="972"/>
    </w:p>
    <w:p>
      <w:pPr>
        <w:pStyle w:val="3"/>
        <w:tabs>
          <w:tab w:val="left" w:pos="5580"/>
        </w:tabs>
        <w:spacing w:line="400" w:lineRule="exact"/>
        <w:ind w:left="1080" w:leftChars="257" w:hanging="540"/>
        <w:jc w:val="center"/>
        <w:rPr>
          <w:rFonts w:hint="eastAsia" w:ascii="宋体" w:hAnsi="宋体" w:eastAsia="宋体" w:cs="宋体"/>
          <w:color w:val="auto"/>
          <w:highlight w:val="none"/>
        </w:rPr>
      </w:pPr>
      <w:bookmarkStart w:id="973" w:name="_Hlt520356241"/>
      <w:bookmarkEnd w:id="973"/>
      <w:bookmarkStart w:id="974" w:name="_Toc494296984"/>
      <w:r>
        <w:rPr>
          <w:rFonts w:hint="eastAsia" w:ascii="宋体" w:hAnsi="宋体" w:eastAsia="宋体" w:cs="宋体"/>
          <w:b/>
          <w:color w:val="auto"/>
          <w:highlight w:val="none"/>
        </w:rPr>
        <w:t>开标一览表</w:t>
      </w:r>
      <w:bookmarkEnd w:id="974"/>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color w:val="auto"/>
          <w:sz w:val="24"/>
          <w:highlight w:val="none"/>
        </w:rPr>
        <w:t>元</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color w:val="auto"/>
          <w:sz w:val="24"/>
          <w:highlight w:val="none"/>
          <w:lang w:val="en-US" w:eastAsia="zh-CN"/>
        </w:rPr>
        <w:t>包号：</w:t>
      </w:r>
    </w:p>
    <w:tbl>
      <w:tblPr>
        <w:tblStyle w:val="25"/>
        <w:tblW w:w="50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388"/>
        <w:gridCol w:w="1388"/>
        <w:gridCol w:w="1388"/>
        <w:gridCol w:w="1388"/>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投标总价</w:t>
            </w: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交货期</w:t>
            </w: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交货地点</w:t>
            </w:r>
          </w:p>
        </w:tc>
        <w:tc>
          <w:tcPr>
            <w:tcW w:w="83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大写：</w:t>
            </w:r>
          </w:p>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自签订合同之日起60天内送货安装并调试完毕。</w:t>
            </w:r>
          </w:p>
        </w:tc>
        <w:tc>
          <w:tcPr>
            <w:tcW w:w="833"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喀什地区第一人民医院指定地点。</w:t>
            </w:r>
          </w:p>
        </w:tc>
        <w:tc>
          <w:tcPr>
            <w:tcW w:w="834" w:type="pct"/>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按采购需求进行质保（须生产厂家提供原厂质保承诺）。</w:t>
            </w:r>
          </w:p>
        </w:tc>
      </w:tr>
    </w:tbl>
    <w:p>
      <w:pPr>
        <w:pStyle w:val="13"/>
        <w:tabs>
          <w:tab w:val="left" w:pos="5580"/>
        </w:tabs>
        <w:spacing w:line="400" w:lineRule="exact"/>
        <w:ind w:left="1080" w:leftChars="257" w:hanging="540"/>
        <w:rPr>
          <w:rFonts w:hint="eastAsia" w:ascii="宋体" w:hAnsi="宋体" w:eastAsia="宋体" w:cs="宋体"/>
          <w:color w:val="auto"/>
          <w:sz w:val="24"/>
          <w:highlight w:val="none"/>
        </w:rPr>
      </w:pPr>
    </w:p>
    <w:p>
      <w:pPr>
        <w:pStyle w:val="13"/>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3"/>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rPr>
        <w:t>(签字):</w:t>
      </w:r>
      <w:r>
        <w:rPr>
          <w:rFonts w:hint="eastAsia" w:ascii="宋体" w:hAnsi="宋体" w:eastAsia="宋体" w:cs="宋体"/>
          <w:color w:val="auto"/>
          <w:sz w:val="24"/>
          <w:highlight w:val="none"/>
          <w:u w:val="single"/>
        </w:rPr>
        <w:tab/>
      </w:r>
    </w:p>
    <w:p>
      <w:pPr>
        <w:pStyle w:val="13"/>
        <w:tabs>
          <w:tab w:val="left" w:pos="5580"/>
        </w:tabs>
        <w:spacing w:line="400" w:lineRule="exact"/>
        <w:ind w:left="1080" w:leftChars="257" w:hanging="540"/>
        <w:rPr>
          <w:rFonts w:hint="eastAsia" w:ascii="宋体" w:hAnsi="宋体" w:eastAsia="宋体" w:cs="宋体"/>
          <w:color w:val="auto"/>
          <w:sz w:val="24"/>
          <w:highlight w:val="none"/>
        </w:rPr>
      </w:pPr>
    </w:p>
    <w:p>
      <w:pPr>
        <w:pStyle w:val="13"/>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hAnsi="宋体" w:cs="宋体"/>
          <w:color w:val="auto"/>
          <w:sz w:val="24"/>
          <w:highlight w:val="none"/>
          <w:lang w:eastAsia="zh-CN"/>
        </w:rPr>
        <w:t>：</w:t>
      </w:r>
      <w:r>
        <w:rPr>
          <w:rFonts w:hint="eastAsia" w:ascii="宋体" w:hAnsi="宋体" w:eastAsia="宋体" w:cs="宋体"/>
          <w:color w:val="auto"/>
          <w:sz w:val="24"/>
          <w:highlight w:val="none"/>
        </w:rPr>
        <w:t>1</w:t>
      </w:r>
      <w:r>
        <w:rPr>
          <w:rFonts w:hint="eastAsia" w:hAnsi="宋体" w:cs="宋体"/>
          <w:color w:val="auto"/>
          <w:sz w:val="24"/>
          <w:highlight w:val="none"/>
          <w:lang w:val="en-US" w:eastAsia="zh-CN"/>
        </w:rPr>
        <w:t>.</w:t>
      </w:r>
      <w:r>
        <w:rPr>
          <w:rFonts w:hint="eastAsia" w:ascii="宋体" w:hAnsi="宋体" w:eastAsia="宋体" w:cs="宋体"/>
          <w:color w:val="auto"/>
          <w:sz w:val="24"/>
          <w:highlight w:val="none"/>
        </w:rPr>
        <w:t>此表应按供应商须知的规定装订密封。</w:t>
      </w:r>
    </w:p>
    <w:p>
      <w:pPr>
        <w:pStyle w:val="13"/>
        <w:tabs>
          <w:tab w:val="left" w:pos="5580"/>
        </w:tabs>
        <w:spacing w:line="4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hAnsi="宋体" w:cs="宋体"/>
          <w:color w:val="auto"/>
          <w:sz w:val="24"/>
          <w:highlight w:val="none"/>
          <w:lang w:val="en-US" w:eastAsia="zh-CN"/>
        </w:rPr>
        <w:t>.</w:t>
      </w:r>
      <w:r>
        <w:rPr>
          <w:rFonts w:hint="eastAsia" w:ascii="宋体" w:hAnsi="宋体" w:eastAsia="宋体" w:cs="宋体"/>
          <w:color w:val="auto"/>
          <w:sz w:val="24"/>
          <w:highlight w:val="none"/>
        </w:rPr>
        <w:t>此表中，投标总价应和投标分项报价表的总价相一致。</w:t>
      </w:r>
    </w:p>
    <w:p>
      <w:pPr>
        <w:pStyle w:val="13"/>
        <w:tabs>
          <w:tab w:val="left" w:pos="5580"/>
        </w:tabs>
        <w:spacing w:line="400" w:lineRule="exact"/>
        <w:ind w:firstLine="480" w:firstLineChars="200"/>
        <w:rPr>
          <w:rFonts w:hint="default" w:hAnsi="宋体" w:cs="宋体"/>
          <w:color w:val="auto"/>
          <w:sz w:val="24"/>
          <w:highlight w:val="none"/>
          <w:lang w:val="en-US" w:eastAsia="zh-CN"/>
        </w:rPr>
      </w:pPr>
      <w:r>
        <w:rPr>
          <w:rFonts w:hint="eastAsia" w:ascii="宋体" w:hAnsi="宋体" w:eastAsia="宋体" w:cs="宋体"/>
          <w:color w:val="auto"/>
          <w:sz w:val="24"/>
          <w:highlight w:val="none"/>
        </w:rPr>
        <w:t>3</w:t>
      </w:r>
      <w:r>
        <w:rPr>
          <w:rFonts w:hint="eastAsia" w:hAnsi="宋体" w:cs="宋体"/>
          <w:color w:val="auto"/>
          <w:sz w:val="24"/>
          <w:highlight w:val="none"/>
          <w:lang w:val="en-US" w:eastAsia="zh-CN"/>
        </w:rPr>
        <w:t>.投标总价为“投标分项报价表”中单价的合计金额。</w:t>
      </w:r>
    </w:p>
    <w:p>
      <w:pPr>
        <w:pStyle w:val="13"/>
        <w:tabs>
          <w:tab w:val="left" w:pos="5580"/>
        </w:tabs>
        <w:spacing w:line="400" w:lineRule="exact"/>
        <w:ind w:firstLine="480" w:firstLineChars="200"/>
        <w:rPr>
          <w:rFonts w:hint="eastAsia" w:ascii="宋体" w:hAnsi="宋体" w:eastAsia="宋体" w:cs="宋体"/>
          <w:color w:val="auto"/>
          <w:sz w:val="24"/>
          <w:highlight w:val="none"/>
        </w:rPr>
      </w:pPr>
      <w:r>
        <w:rPr>
          <w:rFonts w:hint="eastAsia" w:hAnsi="宋体" w:cs="宋体"/>
          <w:color w:val="auto"/>
          <w:sz w:val="24"/>
          <w:highlight w:val="none"/>
          <w:lang w:val="en-US" w:eastAsia="zh-CN"/>
        </w:rPr>
        <w:t>4.</w:t>
      </w:r>
      <w:r>
        <w:rPr>
          <w:rFonts w:hint="eastAsia" w:ascii="宋体" w:hAnsi="宋体" w:eastAsia="宋体" w:cs="宋体"/>
          <w:color w:val="auto"/>
          <w:sz w:val="24"/>
          <w:highlight w:val="none"/>
        </w:rPr>
        <w:t>投标</w:t>
      </w:r>
      <w:r>
        <w:rPr>
          <w:rFonts w:hint="eastAsia" w:hAnsi="宋体" w:cs="宋体"/>
          <w:color w:val="auto"/>
          <w:sz w:val="24"/>
          <w:highlight w:val="none"/>
          <w:lang w:val="en-US" w:eastAsia="zh-CN"/>
        </w:rPr>
        <w:t>供应</w:t>
      </w:r>
      <w:r>
        <w:rPr>
          <w:rFonts w:hint="eastAsia" w:ascii="宋体" w:hAnsi="宋体" w:eastAsia="宋体" w:cs="宋体"/>
          <w:color w:val="auto"/>
          <w:sz w:val="24"/>
          <w:highlight w:val="none"/>
        </w:rPr>
        <w:t>商报价时</w:t>
      </w:r>
      <w:r>
        <w:rPr>
          <w:rFonts w:hint="eastAsia" w:hAnsi="宋体" w:cs="宋体"/>
          <w:color w:val="auto"/>
          <w:sz w:val="24"/>
          <w:highlight w:val="none"/>
          <w:lang w:val="en-US" w:eastAsia="zh-CN"/>
        </w:rPr>
        <w:t>须</w:t>
      </w:r>
      <w:r>
        <w:rPr>
          <w:rFonts w:hint="eastAsia" w:ascii="宋体" w:hAnsi="宋体" w:eastAsia="宋体" w:cs="宋体"/>
          <w:color w:val="auto"/>
          <w:sz w:val="24"/>
          <w:highlight w:val="none"/>
        </w:rPr>
        <w:t>包含税费等一切与本次项目相关的费用。</w:t>
      </w: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75" w:name="_Toc13224"/>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具有有效的营业执照</w:t>
      </w:r>
      <w:r>
        <w:rPr>
          <w:rFonts w:hint="eastAsia" w:ascii="宋体" w:hAnsi="宋体" w:eastAsia="宋体" w:cs="宋体"/>
          <w:color w:val="auto"/>
          <w:sz w:val="28"/>
          <w:szCs w:val="28"/>
          <w:highlight w:val="none"/>
        </w:rPr>
        <w:t>；</w:t>
      </w:r>
      <w:bookmarkEnd w:id="975"/>
    </w:p>
    <w:p>
      <w:pPr>
        <w:pStyle w:val="13"/>
        <w:tabs>
          <w:tab w:val="left" w:pos="5580"/>
        </w:tabs>
        <w:spacing w:line="240" w:lineRule="atLeast"/>
        <w:jc w:val="center"/>
        <w:rPr>
          <w:rFonts w:hint="eastAsia" w:ascii="宋体" w:hAnsi="宋体" w:eastAsia="宋体" w:cs="宋体"/>
          <w:b/>
          <w:color w:val="auto"/>
          <w:sz w:val="24"/>
          <w:highlight w:val="none"/>
        </w:rPr>
      </w:pPr>
    </w:p>
    <w:p>
      <w:pPr>
        <w:pStyle w:val="13"/>
        <w:tabs>
          <w:tab w:val="left" w:pos="5580"/>
        </w:tabs>
        <w:spacing w:line="240" w:lineRule="atLeast"/>
        <w:jc w:val="center"/>
        <w:rPr>
          <w:rFonts w:hint="eastAsia" w:ascii="宋体" w:hAnsi="宋体" w:eastAsia="宋体" w:cs="宋体"/>
          <w:b/>
          <w:color w:val="auto"/>
          <w:sz w:val="24"/>
          <w:highlight w:val="none"/>
        </w:rPr>
      </w:pPr>
    </w:p>
    <w:p>
      <w:pPr>
        <w:pStyle w:val="13"/>
        <w:tabs>
          <w:tab w:val="left" w:pos="5580"/>
        </w:tabs>
        <w:spacing w:line="240" w:lineRule="atLeast"/>
        <w:jc w:val="center"/>
        <w:rPr>
          <w:rFonts w:hint="eastAsia" w:ascii="宋体" w:hAnsi="宋体" w:eastAsia="宋体" w:cs="宋体"/>
          <w:b/>
          <w:color w:val="auto"/>
          <w:sz w:val="24"/>
          <w:highlight w:val="none"/>
        </w:rPr>
      </w:pPr>
    </w:p>
    <w:p>
      <w:pPr>
        <w:pStyle w:val="13"/>
        <w:tabs>
          <w:tab w:val="left" w:pos="5580"/>
        </w:tabs>
        <w:spacing w:line="240" w:lineRule="atLeast"/>
        <w:rPr>
          <w:rFonts w:hint="eastAsia" w:ascii="宋体" w:hAnsi="宋体" w:eastAsia="宋体" w:cs="宋体"/>
          <w:b/>
          <w:color w:val="auto"/>
          <w:sz w:val="24"/>
          <w:highlight w:val="none"/>
        </w:rPr>
      </w:pPr>
    </w:p>
    <w:p>
      <w:pPr>
        <w:rPr>
          <w:rFonts w:hint="eastAsia" w:ascii="宋体" w:hAnsi="宋体" w:eastAsia="宋体" w:cs="宋体"/>
          <w:color w:val="auto"/>
          <w:sz w:val="28"/>
          <w:szCs w:val="28"/>
          <w:highlight w:val="none"/>
          <w:lang w:val="en-US" w:eastAsia="zh-CN"/>
        </w:rPr>
      </w:pPr>
      <w:bookmarkStart w:id="976" w:name="_Toc15195"/>
      <w:r>
        <w:rPr>
          <w:rFonts w:hint="eastAsia" w:ascii="宋体" w:hAnsi="宋体" w:eastAsia="宋体" w:cs="宋体"/>
          <w:color w:val="auto"/>
          <w:sz w:val="28"/>
          <w:szCs w:val="28"/>
          <w:highlight w:val="none"/>
          <w:lang w:val="en-US" w:eastAsia="zh-CN"/>
        </w:rPr>
        <w:br w:type="page"/>
      </w: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3.法定代表人资格证明及授权书、被授权人身份证(法定代表人投标需提供法定代表人身份证)；</w:t>
      </w:r>
      <w:bookmarkEnd w:id="976"/>
    </w:p>
    <w:p>
      <w:pPr>
        <w:adjustRightInd w:val="0"/>
        <w:snapToGrid w:val="0"/>
        <w:spacing w:before="240" w:beforeLines="100" w:after="240" w:afterLines="100"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（一）法定代表人身份证明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具有有效的营业执照</w:t>
      </w:r>
      <w:r>
        <w:rPr>
          <w:rFonts w:hint="eastAsia" w:ascii="宋体" w:hAnsi="宋体" w:eastAsia="宋体" w:cs="宋体"/>
          <w:color w:val="auto"/>
          <w:sz w:val="24"/>
          <w:szCs w:val="24"/>
          <w:highlight w:val="none"/>
        </w:rPr>
        <w:t>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经济性质：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法定代表人为企业事业单位、国家机关、社会团体的主要行政负责人。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提供身份证正反面。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内容必须填写真实、清楚、涂改无效，不得转让。</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将此证明书原件提交采购代理机构作为投标文件附件。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(为避免废标，请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务必提供本附件)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3"/>
                            </w:pPr>
                          </w:p>
                          <w:p>
                            <w:pPr>
                              <w:pStyle w:val="3"/>
                            </w:pPr>
                          </w:p>
                          <w:p>
                            <w:pPr>
                              <w:pStyle w:val="3"/>
                            </w:pPr>
                          </w:p>
                          <w:p>
                            <w:pPr>
                              <w:pStyle w:val="3"/>
                            </w:pPr>
                          </w:p>
                        </w:txbxContent>
                      </wps:txbx>
                      <wps:bodyPr wrap="square"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3"/>
                      </w:pPr>
                    </w:p>
                    <w:p>
                      <w:pPr>
                        <w:pStyle w:val="3"/>
                      </w:pPr>
                    </w:p>
                    <w:p>
                      <w:pPr>
                        <w:pStyle w:val="3"/>
                      </w:pPr>
                    </w:p>
                    <w:p>
                      <w:pPr>
                        <w:pStyle w:val="3"/>
                      </w:pPr>
                    </w:p>
                  </w:txbxContent>
                </v:textbox>
              </v:roundrect>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right="246" w:firstLine="784" w:firstLineChars="327"/>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日期：</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3"/>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说明：1.提供有效的</w:t>
      </w:r>
      <w:r>
        <w:rPr>
          <w:rFonts w:hint="eastAsia" w:hAnsi="宋体" w:cs="宋体"/>
          <w:color w:val="auto"/>
          <w:sz w:val="24"/>
          <w:highlight w:val="none"/>
          <w:lang w:eastAsia="zh-CN"/>
        </w:rPr>
        <w:t>具有有效的营业执照</w:t>
      </w:r>
      <w:r>
        <w:rPr>
          <w:rFonts w:hint="eastAsia" w:ascii="宋体" w:hAnsi="宋体" w:eastAsia="宋体" w:cs="宋体"/>
          <w:color w:val="auto"/>
          <w:sz w:val="24"/>
          <w:highlight w:val="none"/>
        </w:rPr>
        <w:t>等证明文件复印件，复印件上应加盖本单位</w:t>
      </w:r>
      <w:r>
        <w:rPr>
          <w:rFonts w:hint="eastAsia" w:ascii="宋体" w:hAnsi="宋体" w:eastAsia="宋体" w:cs="宋体"/>
          <w:color w:val="auto"/>
          <w:sz w:val="24"/>
          <w:highlight w:val="none"/>
          <w:lang w:eastAsia="zh-CN"/>
        </w:rPr>
        <w:t>鲜</w:t>
      </w:r>
      <w:r>
        <w:rPr>
          <w:rFonts w:hint="eastAsia" w:ascii="宋体" w:hAnsi="宋体" w:eastAsia="宋体" w:cs="宋体"/>
          <w:color w:val="auto"/>
          <w:sz w:val="24"/>
          <w:highlight w:val="none"/>
        </w:rPr>
        <w:t>章。</w:t>
      </w:r>
    </w:p>
    <w:p>
      <w:pPr>
        <w:pStyle w:val="13"/>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供应商为自然人的，应提供身份证明的复印件。</w:t>
      </w:r>
    </w:p>
    <w:p>
      <w:pPr>
        <w:pStyle w:val="13"/>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3.联合体投标应提供联合体各方满足以上要求的证明文件。</w:t>
      </w:r>
      <w:bookmarkStart w:id="977" w:name="_Toc16640"/>
      <w:bookmarkStart w:id="978" w:name="_Toc515647807"/>
      <w:bookmarkStart w:id="979" w:name="_Toc21867"/>
      <w:bookmarkStart w:id="980" w:name="_Toc22472"/>
      <w:bookmarkStart w:id="981" w:name="_Toc1083"/>
      <w:bookmarkStart w:id="982" w:name="_Toc13107"/>
      <w:bookmarkStart w:id="983" w:name="_Toc6829"/>
      <w:bookmarkStart w:id="984" w:name="_Toc5436"/>
    </w:p>
    <w:p>
      <w:pPr>
        <w:rPr>
          <w:rFonts w:hint="eastAsia" w:ascii="宋体" w:hAnsi="宋体" w:eastAsia="宋体" w:cs="宋体"/>
          <w:b/>
          <w:bCs/>
          <w:color w:val="auto"/>
          <w:sz w:val="24"/>
          <w:highlight w:val="none"/>
        </w:rPr>
      </w:pPr>
      <w:bookmarkStart w:id="985" w:name="_Toc24769"/>
      <w:bookmarkStart w:id="986" w:name="_Toc32380"/>
      <w:bookmarkStart w:id="987" w:name="_Toc6179"/>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977"/>
    <w:bookmarkEnd w:id="978"/>
    <w:bookmarkEnd w:id="979"/>
    <w:bookmarkEnd w:id="980"/>
    <w:bookmarkEnd w:id="981"/>
    <w:bookmarkEnd w:id="982"/>
    <w:bookmarkEnd w:id="983"/>
    <w:bookmarkEnd w:id="984"/>
    <w:bookmarkEnd w:id="985"/>
    <w:bookmarkEnd w:id="986"/>
    <w:bookmarkEnd w:id="987"/>
    <w:p>
      <w:pPr>
        <w:spacing w:line="360" w:lineRule="auto"/>
        <w:jc w:val="center"/>
        <w:rPr>
          <w:rFonts w:hint="eastAsia" w:ascii="宋体" w:hAnsi="宋体" w:eastAsia="宋体" w:cs="宋体"/>
          <w:b/>
          <w:bCs/>
          <w:color w:val="auto"/>
          <w:sz w:val="24"/>
          <w:szCs w:val="24"/>
          <w:highlight w:val="none"/>
          <w:u w:val="single"/>
        </w:rPr>
      </w:pPr>
      <w:bookmarkStart w:id="988" w:name="_Toc7039"/>
      <w:bookmarkStart w:id="989" w:name="_Toc32520"/>
      <w:bookmarkStart w:id="990" w:name="_Toc515647808"/>
      <w:r>
        <w:rPr>
          <w:rFonts w:hint="eastAsia" w:ascii="宋体" w:hAnsi="宋体" w:eastAsia="宋体" w:cs="宋体"/>
          <w:b/>
          <w:bCs/>
          <w:color w:val="auto"/>
          <w:sz w:val="24"/>
          <w:szCs w:val="24"/>
          <w:highlight w:val="none"/>
        </w:rPr>
        <w:t>（二）法定代表人授权委托书</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w:t>
      </w:r>
      <w:r>
        <w:rPr>
          <w:rFonts w:hint="eastAsia" w:ascii="宋体" w:hAnsi="宋体" w:eastAsia="宋体" w:cs="宋体"/>
          <w:i w:val="0"/>
          <w:iCs w:val="0"/>
          <w:color w:val="auto"/>
          <w:sz w:val="24"/>
          <w:szCs w:val="24"/>
          <w:highlight w:val="none"/>
        </w:rPr>
        <w:t>授权书声明：注册于</w:t>
      </w:r>
      <w:r>
        <w:rPr>
          <w:rFonts w:hint="eastAsia" w:ascii="宋体" w:hAnsi="宋体" w:eastAsia="宋体" w:cs="宋体"/>
          <w:i w:val="0"/>
          <w:iCs w:val="0"/>
          <w:color w:val="auto"/>
          <w:sz w:val="24"/>
          <w:szCs w:val="24"/>
          <w:highlight w:val="none"/>
          <w:u w:val="single"/>
        </w:rPr>
        <w:t>（国家或地区的名称）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eastAsia="zh-CN"/>
        </w:rPr>
        <w:t>供应商</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法人代表姓名、职务</w:t>
      </w:r>
      <w:r>
        <w:rPr>
          <w:rFonts w:hint="eastAsia" w:ascii="宋体" w:hAnsi="宋体" w:eastAsia="宋体" w:cs="宋体"/>
          <w:i w:val="0"/>
          <w:iCs w:val="0"/>
          <w:color w:val="auto"/>
          <w:sz w:val="24"/>
          <w:szCs w:val="24"/>
          <w:highlight w:val="none"/>
        </w:rPr>
        <w:t>）代表我单位授权（</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被授权人的姓名、职务</w:t>
      </w:r>
      <w:r>
        <w:rPr>
          <w:rFonts w:hint="eastAsia" w:ascii="宋体" w:hAnsi="宋体" w:eastAsia="宋体" w:cs="宋体"/>
          <w:i w:val="0"/>
          <w:iCs w:val="0"/>
          <w:color w:val="auto"/>
          <w:sz w:val="24"/>
          <w:szCs w:val="24"/>
          <w:highlight w:val="none"/>
        </w:rPr>
        <w:t>）为我单位的合法代理人，就（</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）的投标，以我单位名义处理一切与之有关的事</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pPr>
        <w:pStyle w:val="13"/>
        <w:tabs>
          <w:tab w:val="left" w:pos="5580"/>
        </w:tabs>
        <w:spacing w:line="360" w:lineRule="exac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pPr>
        <w:pStyle w:val="13"/>
        <w:tabs>
          <w:tab w:val="left" w:pos="5580"/>
        </w:tabs>
        <w:spacing w:line="240" w:lineRule="atLeas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wps:txbx>
                      <wps:bodyPr wrap="square" upright="1"/>
                    </wps:wsp>
                  </a:graphicData>
                </a:graphic>
              </wp:anchor>
            </w:drawing>
          </mc:Choice>
          <mc:Fallback>
            <w:pict>
              <v:roundrect id="自选图形 5" o:spid="_x0000_s1026" o:spt="2" style="position:absolute;left:0pt;margin-left:239.3pt;margin-top:13.2pt;height:76.3pt;width:195.15pt;z-index:251662336;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0c2TzMCAAByBAAADgAAAGRycy9lMm9Eb2MueG1s&#10;rVRLjhMxEN0jcQfLe9KdaJLJtNKZBSFsEIwYOIDjT7eRf9hOurNjhzgDO5ZzB7jNSHALyk6T+cAi&#10;CxKpU25XPdd7r5z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BZ+42wAAAAoBAAAPAAAAAAAAAAEAIAAAACIAAABkcnMvZG93bnJl&#10;di54bWxQSwECFAAUAAAACACHTuJAc0c2TzMCAAByBAAADgAAAAAAAAABACAAAAAqAQAAZHJzL2Uy&#10;b0RvYy54bWxQSwUGAAAAAAYABgBZAQAAzw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29"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2336;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NoQO1gAAAAgBAAAPAAAAAAAAAAEAIAAAACIAAABkcnMvZG93bnJldi54bWxQSwECFAAUAAAA&#10;CACHTuJA7Cj0kykCAABVBAAADgAAAAAAAAABACAAAAAlAQAAZHJzL2Uyb0RvYy54bWxQSwUGAAAA&#10;AAYABgBZAQAAw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0"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7" o:spid="_x0000_s1026" o:spt="2" style="position:absolute;left:0pt;margin-left:237.65pt;margin-top:7.6pt;height:73.65pt;width:199.65pt;z-index:251662336;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DRWe2wAAAAoBAAAPAAAAAAAAAAEAIAAAACIAAABkcnMvZG93bnJldi54&#10;bWxQSwECFAAUAAAACACHTuJAJRqzWzACAAByBAAADgAAAAAAAAABACAAAAAqAQAAZHJzL2Uyb0Rv&#10;Yy54bWxQSwUGAAAAAAYABgBZAQAAzA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2336"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自选图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8" o:spid="_x0000_s1026" o:spt="2" style="position:absolute;left:0pt;margin-left:-0.85pt;margin-top:2.35pt;height:80.7pt;width:201.2pt;z-index:25166233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C3vYAAAACAEAAA8AAAAAAAAAAQAgAAAAIgAAAGRycy9kb3ducmV2&#10;LnhtbFBLAQIUABQAAAAIAIdO4kAhpKCcNQIAAHMEAAAOAAAAAAAAAAEAIAAAACcBAABkcnMvZTJv&#10;RG9jLnhtbFBLBQYAAAAABgAGAFkBAADO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1"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注：提供身份证正反面。</w:t>
      </w:r>
    </w:p>
    <w:p>
      <w:pPr>
        <w:pStyle w:val="13"/>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3"/>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身份证号码：______________________________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13"/>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 xml:space="preserve"> </w:t>
      </w:r>
      <w:bookmarkEnd w:id="988"/>
      <w:bookmarkEnd w:id="989"/>
      <w:bookmarkEnd w:id="990"/>
    </w:p>
    <w:p>
      <w:pPr>
        <w:pStyle w:val="13"/>
        <w:tabs>
          <w:tab w:val="left" w:pos="5580"/>
        </w:tabs>
        <w:spacing w:line="400" w:lineRule="exact"/>
        <w:ind w:left="1079" w:leftChars="257" w:hanging="539"/>
        <w:rPr>
          <w:rFonts w:hint="eastAsia" w:ascii="宋体" w:hAnsi="宋体" w:eastAsia="宋体" w:cs="宋体"/>
          <w:color w:val="auto"/>
          <w:sz w:val="24"/>
          <w:highlight w:val="none"/>
        </w:rPr>
      </w:pPr>
    </w:p>
    <w:p>
      <w:pPr>
        <w:pStyle w:val="13"/>
        <w:tabs>
          <w:tab w:val="left" w:pos="5580"/>
        </w:tabs>
        <w:spacing w:line="400" w:lineRule="exact"/>
        <w:ind w:left="1079" w:leftChars="257" w:hanging="539"/>
        <w:rPr>
          <w:rFonts w:hint="eastAsia" w:ascii="宋体" w:hAnsi="宋体" w:eastAsia="宋体" w:cs="宋体"/>
          <w:color w:val="auto"/>
          <w:sz w:val="24"/>
          <w:highlight w:val="none"/>
        </w:rPr>
      </w:pPr>
    </w:p>
    <w:p>
      <w:pPr>
        <w:pStyle w:val="13"/>
        <w:tabs>
          <w:tab w:val="left" w:pos="5580"/>
        </w:tabs>
        <w:spacing w:line="400" w:lineRule="exact"/>
        <w:ind w:left="1079" w:leftChars="257" w:hanging="539"/>
        <w:rPr>
          <w:rFonts w:hint="eastAsia" w:ascii="宋体" w:hAnsi="宋体" w:eastAsia="宋体" w:cs="宋体"/>
          <w:color w:val="auto"/>
          <w:sz w:val="24"/>
          <w:highlight w:val="none"/>
        </w:rPr>
      </w:pPr>
    </w:p>
    <w:p>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rPr>
        <w:br w:type="page"/>
      </w: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991" w:name="_Toc22750"/>
      <w:r>
        <w:rPr>
          <w:rFonts w:hint="eastAsia" w:ascii="宋体" w:hAnsi="宋体" w:eastAsia="宋体" w:cs="宋体"/>
          <w:color w:val="auto"/>
          <w:sz w:val="28"/>
          <w:szCs w:val="28"/>
          <w:highlight w:val="none"/>
          <w:lang w:val="en-US" w:eastAsia="zh-CN"/>
        </w:rPr>
        <w:t>4.提供《医疗器械生产许可证》或《医疗器械经营许可证》及医疗器械注册证；</w:t>
      </w:r>
      <w:bookmarkEnd w:id="991"/>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2" w:name="_Toc4400"/>
      <w:r>
        <w:rPr>
          <w:rFonts w:hint="eastAsia" w:ascii="宋体" w:hAnsi="宋体" w:eastAsia="宋体" w:cs="宋体"/>
          <w:color w:val="auto"/>
          <w:sz w:val="28"/>
          <w:szCs w:val="28"/>
          <w:highlight w:val="none"/>
          <w:lang w:val="en-US" w:eastAsia="zh-CN"/>
        </w:rPr>
        <w:t>5.提供近两年内任意一年的财务审计报告；</w:t>
      </w:r>
      <w:bookmarkEnd w:id="992"/>
    </w:p>
    <w:p>
      <w:pPr>
        <w:pStyle w:val="11"/>
        <w:spacing w:line="400" w:lineRule="exact"/>
        <w:ind w:firstLine="0" w:firstLineChars="0"/>
        <w:rPr>
          <w:rFonts w:hint="eastAsia" w:ascii="宋体" w:hAnsi="宋体" w:eastAsia="宋体" w:cs="宋体"/>
          <w:b/>
          <w:color w:val="auto"/>
          <w:kern w:val="0"/>
          <w:szCs w:val="20"/>
          <w:highlight w:val="none"/>
        </w:rPr>
      </w:pPr>
    </w:p>
    <w:p>
      <w:pPr>
        <w:pStyle w:val="11"/>
        <w:spacing w:line="400" w:lineRule="exact"/>
        <w:ind w:firstLine="0" w:firstLineChars="0"/>
        <w:rPr>
          <w:rFonts w:hint="eastAsia" w:ascii="宋体" w:hAnsi="宋体" w:eastAsia="宋体" w:cs="宋体"/>
          <w:b/>
          <w:color w:val="auto"/>
          <w:kern w:val="0"/>
          <w:szCs w:val="20"/>
          <w:highlight w:val="none"/>
        </w:rPr>
      </w:pPr>
    </w:p>
    <w:p>
      <w:pPr>
        <w:pStyle w:val="3"/>
        <w:rPr>
          <w:rFonts w:hint="eastAsia" w:ascii="宋体" w:hAnsi="宋体" w:eastAsia="宋体" w:cs="宋体"/>
          <w:b/>
          <w:color w:val="auto"/>
          <w:kern w:val="0"/>
          <w:szCs w:val="20"/>
          <w:highlight w:val="none"/>
        </w:rPr>
      </w:pPr>
    </w:p>
    <w:p>
      <w:pPr>
        <w:pStyle w:val="4"/>
        <w:rPr>
          <w:rFonts w:hint="eastAsia"/>
        </w:rPr>
      </w:pPr>
    </w:p>
    <w:p>
      <w:pPr>
        <w:pStyle w:val="3"/>
        <w:ind w:left="0" w:leftChars="0" w:firstLine="0" w:firstLineChars="0"/>
        <w:rPr>
          <w:rFonts w:hint="eastAsia" w:ascii="宋体" w:hAnsi="宋体" w:eastAsia="宋体" w:cs="宋体"/>
          <w:b/>
          <w:color w:val="auto"/>
          <w:kern w:val="0"/>
          <w:szCs w:val="20"/>
          <w:highlight w:val="none"/>
        </w:rPr>
      </w:pPr>
    </w:p>
    <w:p>
      <w:pPr>
        <w:pStyle w:val="4"/>
        <w:rPr>
          <w:rFonts w:hint="eastAsia"/>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3" w:name="_Toc27031"/>
      <w:r>
        <w:rPr>
          <w:rFonts w:hint="eastAsia" w:ascii="宋体" w:hAnsi="宋体" w:eastAsia="宋体" w:cs="宋体"/>
          <w:color w:val="auto"/>
          <w:sz w:val="28"/>
          <w:szCs w:val="28"/>
          <w:highlight w:val="none"/>
          <w:lang w:val="en-US" w:eastAsia="zh-CN"/>
        </w:rPr>
        <w:t>6.依法缴纳近六个月内任意一个月社会保险的凭据；</w:t>
      </w:r>
      <w:bookmarkEnd w:id="993"/>
    </w:p>
    <w:p>
      <w:pPr>
        <w:pStyle w:val="3"/>
        <w:ind w:left="0" w:leftChars="0" w:firstLine="0" w:firstLineChars="0"/>
        <w:rPr>
          <w:rFonts w:hint="eastAsia"/>
        </w:rPr>
      </w:pPr>
    </w:p>
    <w:p>
      <w:pPr>
        <w:pStyle w:val="3"/>
        <w:rPr>
          <w:rFonts w:hint="eastAsia"/>
        </w:rPr>
      </w:pPr>
    </w:p>
    <w:p>
      <w:pPr>
        <w:pStyle w:val="11"/>
        <w:widowControl w:val="0"/>
        <w:numPr>
          <w:ilvl w:val="0"/>
          <w:numId w:val="0"/>
        </w:numPr>
        <w:spacing w:line="400" w:lineRule="exact"/>
        <w:jc w:val="both"/>
        <w:rPr>
          <w:rFonts w:hint="eastAsia" w:ascii="宋体" w:hAnsi="宋体" w:eastAsia="宋体" w:cs="宋体"/>
          <w:b/>
          <w:color w:val="auto"/>
          <w:kern w:val="0"/>
          <w:szCs w:val="20"/>
          <w:highlight w:val="none"/>
        </w:rPr>
      </w:pPr>
    </w:p>
    <w:p>
      <w:pPr>
        <w:pStyle w:val="3"/>
        <w:rPr>
          <w:rFonts w:hint="eastAsia" w:ascii="宋体" w:hAnsi="宋体" w:eastAsia="宋体" w:cs="宋体"/>
          <w:b/>
          <w:color w:val="auto"/>
          <w:kern w:val="0"/>
          <w:szCs w:val="20"/>
          <w:highlight w:val="none"/>
        </w:rPr>
      </w:pPr>
    </w:p>
    <w:p>
      <w:pPr>
        <w:pStyle w:val="4"/>
        <w:rPr>
          <w:rFonts w:hint="eastAsia" w:ascii="宋体" w:hAnsi="宋体" w:eastAsia="宋体" w:cs="宋体"/>
          <w:b/>
          <w:color w:val="auto"/>
          <w:kern w:val="0"/>
          <w:szCs w:val="20"/>
          <w:highlight w:val="none"/>
        </w:rPr>
      </w:pPr>
    </w:p>
    <w:p>
      <w:pPr>
        <w:rPr>
          <w:rFonts w:hint="eastAsia"/>
        </w:rPr>
      </w:pPr>
    </w:p>
    <w:p>
      <w:pPr>
        <w:pStyle w:val="3"/>
        <w:rPr>
          <w:rFonts w:hint="eastAsia"/>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4" w:name="_Toc126"/>
      <w:r>
        <w:rPr>
          <w:rFonts w:hint="eastAsia" w:ascii="宋体" w:hAnsi="宋体" w:eastAsia="宋体" w:cs="宋体"/>
          <w:color w:val="auto"/>
          <w:sz w:val="28"/>
          <w:szCs w:val="28"/>
          <w:highlight w:val="none"/>
          <w:lang w:val="en-US" w:eastAsia="zh-CN"/>
        </w:rPr>
        <w:t>7.税务部门出具的近六个月内任意一个月的完税证明；</w:t>
      </w:r>
      <w:bookmarkEnd w:id="994"/>
    </w:p>
    <w:p>
      <w:pPr>
        <w:pStyle w:val="13"/>
        <w:tabs>
          <w:tab w:val="left" w:pos="5580"/>
        </w:tabs>
        <w:spacing w:line="400" w:lineRule="exact"/>
        <w:rPr>
          <w:rFonts w:hint="eastAsia" w:ascii="宋体" w:hAnsi="宋体" w:eastAsia="宋体" w:cs="宋体"/>
          <w:b/>
          <w:color w:val="auto"/>
          <w:kern w:val="0"/>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995" w:name="_Toc12000"/>
      <w:r>
        <w:rPr>
          <w:rFonts w:hint="eastAsia" w:ascii="宋体" w:hAnsi="宋体" w:eastAsia="宋体" w:cs="宋体"/>
          <w:color w:val="auto"/>
          <w:sz w:val="28"/>
          <w:szCs w:val="28"/>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bookmarkEnd w:id="995"/>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996" w:name="_Toc4137"/>
      <w:r>
        <w:rPr>
          <w:rFonts w:hint="eastAsia" w:ascii="宋体" w:hAnsi="宋体" w:eastAsia="宋体" w:cs="宋体"/>
          <w:color w:val="auto"/>
          <w:sz w:val="28"/>
          <w:szCs w:val="28"/>
          <w:highlight w:val="none"/>
          <w:lang w:val="en-US" w:eastAsia="zh-CN"/>
        </w:rPr>
        <w:t>9.参与政府采购活动前3年内未被列入失信、重大税收违法案件、财政部门禁止参加政府采购活动的承诺书；</w:t>
      </w:r>
      <w:bookmarkEnd w:id="996"/>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7" w:name="_Toc5617"/>
      <w:r>
        <w:rPr>
          <w:rFonts w:hint="eastAsia" w:ascii="宋体" w:hAnsi="宋体" w:eastAsia="宋体" w:cs="宋体"/>
          <w:color w:val="auto"/>
          <w:sz w:val="28"/>
          <w:szCs w:val="28"/>
          <w:highlight w:val="none"/>
          <w:lang w:val="en-US" w:eastAsia="zh-CN"/>
        </w:rPr>
        <w:t>10.提供针对本次项目的《反商业贿赂承诺书》；</w:t>
      </w:r>
      <w:bookmarkEnd w:id="997"/>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pStyle w:val="13"/>
        <w:tabs>
          <w:tab w:val="left" w:pos="5580"/>
        </w:tabs>
        <w:spacing w:line="400" w:lineRule="exact"/>
        <w:rPr>
          <w:rFonts w:hint="eastAsia" w:ascii="宋体" w:hAnsi="宋体" w:eastAsia="宋体" w:cs="宋体"/>
          <w:b/>
          <w:color w:val="auto"/>
          <w:kern w:val="0"/>
          <w:sz w:val="24"/>
          <w:highlight w:val="none"/>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8" w:name="_Toc31456"/>
      <w:r>
        <w:rPr>
          <w:rFonts w:hint="eastAsia" w:ascii="宋体" w:hAnsi="宋体" w:eastAsia="宋体" w:cs="宋体"/>
          <w:color w:val="auto"/>
          <w:sz w:val="28"/>
          <w:szCs w:val="28"/>
          <w:highlight w:val="none"/>
          <w:lang w:val="en-US" w:eastAsia="zh-CN"/>
        </w:rPr>
        <w:t>11.缴纳投标保证金的有效凭证；</w:t>
      </w:r>
      <w:bookmarkEnd w:id="998"/>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w:t>
      </w:r>
      <w:r>
        <w:rPr>
          <w:rFonts w:hint="eastAsia" w:ascii="宋体" w:hAnsi="宋体" w:cs="宋体"/>
          <w:b/>
          <w:bCs/>
          <w:i w:val="0"/>
          <w:caps w:val="0"/>
          <w:color w:val="auto"/>
          <w:spacing w:val="0"/>
          <w:w w:val="100"/>
          <w:sz w:val="24"/>
          <w:highlight w:val="none"/>
          <w:lang w:eastAsia="zh-CN"/>
        </w:rPr>
        <w:t>：</w:t>
      </w:r>
      <w:r>
        <w:rPr>
          <w:rFonts w:hint="eastAsia" w:ascii="宋体" w:hAnsi="宋体" w:eastAsia="宋体" w:cs="宋体"/>
          <w:b/>
          <w:bCs/>
          <w:i w:val="0"/>
          <w:caps w:val="0"/>
          <w:color w:val="auto"/>
          <w:spacing w:val="0"/>
          <w:w w:val="100"/>
          <w:sz w:val="24"/>
          <w:highlight w:val="none"/>
          <w:lang w:val="en-US" w:eastAsia="zh-CN"/>
        </w:rPr>
        <w:t>本项目以缴纳投标保证金的有效凭证复印件加盖公章为准</w:t>
      </w:r>
      <w:r>
        <w:rPr>
          <w:rFonts w:hint="eastAsia" w:ascii="宋体" w:hAnsi="宋体" w:eastAsia="宋体" w:cs="宋体"/>
          <w:b/>
          <w:bCs/>
          <w:i w:val="0"/>
          <w:caps w:val="0"/>
          <w:color w:val="auto"/>
          <w:spacing w:val="0"/>
          <w:w w:val="100"/>
          <w:sz w:val="24"/>
          <w:highlight w:val="none"/>
        </w:rPr>
        <w:t>。）</w:t>
      </w:r>
    </w:p>
    <w:tbl>
      <w:tblPr>
        <w:tblStyle w:val="25"/>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缴纳投标保证金的有效凭证</w:t>
            </w:r>
            <w:r>
              <w:rPr>
                <w:rFonts w:hint="eastAsia" w:ascii="宋体" w:hAnsi="宋体" w:eastAsia="宋体" w:cs="宋体"/>
                <w:b w:val="0"/>
                <w:i w:val="0"/>
                <w:caps w:val="0"/>
                <w:color w:val="auto"/>
                <w:spacing w:val="0"/>
                <w:w w:val="100"/>
                <w:sz w:val="24"/>
                <w:highlight w:val="none"/>
              </w:rPr>
              <w:t>复印件</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银行转账回执单或保函</w:t>
            </w:r>
            <w:r>
              <w:rPr>
                <w:rFonts w:hint="eastAsia" w:ascii="宋体" w:hAnsi="宋体" w:eastAsia="宋体" w:cs="宋体"/>
                <w:b w:val="0"/>
                <w:i w:val="0"/>
                <w:caps w:val="0"/>
                <w:color w:val="auto"/>
                <w:spacing w:val="0"/>
                <w:w w:val="100"/>
                <w:sz w:val="24"/>
                <w:highlight w:val="none"/>
                <w:lang w:eastAsia="zh-CN"/>
              </w:rPr>
              <w:t>）</w:t>
            </w:r>
          </w:p>
        </w:tc>
      </w:tr>
    </w:tbl>
    <w:p>
      <w:pPr>
        <w:pStyle w:val="13"/>
        <w:tabs>
          <w:tab w:val="left" w:pos="5580"/>
        </w:tabs>
        <w:spacing w:line="400" w:lineRule="exact"/>
        <w:outlineLvl w:val="9"/>
        <w:rPr>
          <w:rFonts w:hint="eastAsia" w:ascii="宋体" w:hAnsi="宋体" w:eastAsia="宋体" w:cs="宋体"/>
          <w:b/>
          <w:color w:val="auto"/>
          <w:kern w:val="0"/>
          <w:sz w:val="24"/>
          <w:highlight w:val="none"/>
          <w:lang w:eastAsia="zh-CN"/>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3"/>
        <w:tabs>
          <w:tab w:val="left" w:pos="5580"/>
        </w:tabs>
        <w:spacing w:line="400" w:lineRule="exact"/>
        <w:outlineLvl w:val="9"/>
        <w:rPr>
          <w:rFonts w:hint="eastAsia" w:ascii="宋体" w:hAnsi="宋体" w:eastAsia="宋体" w:cs="宋体"/>
          <w:b/>
          <w:color w:val="auto"/>
          <w:kern w:val="0"/>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bookmarkStart w:id="999" w:name="_Toc20397"/>
      <w:bookmarkStart w:id="1000" w:name="_Toc515647816"/>
      <w:bookmarkStart w:id="1001" w:name="_Toc22967"/>
      <w:bookmarkStart w:id="1002" w:name="_Toc30653"/>
      <w:bookmarkStart w:id="1003" w:name="_Toc15346"/>
      <w:bookmarkStart w:id="1004" w:name="_Toc18263"/>
      <w:bookmarkStart w:id="1005" w:name="_Toc11180"/>
      <w:r>
        <w:rPr>
          <w:rFonts w:hint="eastAsia" w:ascii="宋体" w:hAnsi="宋体" w:eastAsia="宋体" w:cs="宋体"/>
          <w:color w:val="auto"/>
          <w:sz w:val="28"/>
          <w:szCs w:val="28"/>
          <w:highlight w:val="none"/>
          <w:lang w:val="en-US" w:eastAsia="zh-CN"/>
        </w:rPr>
        <w:t>12.银行开户许可证复印件或银行基本账户信息(包含：银行账号及开户行名称）；</w:t>
      </w:r>
      <w:bookmarkEnd w:id="999"/>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06" w:name="_Toc21284"/>
      <w:r>
        <w:rPr>
          <w:rFonts w:hint="eastAsia" w:ascii="宋体" w:hAnsi="宋体" w:eastAsia="宋体" w:cs="宋体"/>
          <w:color w:val="auto"/>
          <w:sz w:val="28"/>
          <w:szCs w:val="28"/>
          <w:highlight w:val="none"/>
          <w:lang w:val="en-US" w:eastAsia="zh-CN"/>
        </w:rPr>
        <w:t>13.供应商可提供有利于投标的其他资格证明材料。</w:t>
      </w:r>
      <w:bookmarkEnd w:id="1006"/>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before="0" w:line="240" w:lineRule="atLeast"/>
        <w:ind w:left="1080" w:leftChars="257" w:hanging="540"/>
        <w:outlineLvl w:val="9"/>
        <w:rPr>
          <w:rFonts w:hint="eastAsia" w:ascii="宋体" w:hAnsi="宋体" w:eastAsia="宋体" w:cs="宋体"/>
          <w:color w:val="auto"/>
          <w:sz w:val="28"/>
          <w:highlight w:val="none"/>
        </w:rPr>
      </w:pPr>
    </w:p>
    <w:p>
      <w:pPr>
        <w:spacing w:before="0" w:line="240" w:lineRule="atLeast"/>
        <w:ind w:left="1080" w:leftChars="257" w:hanging="540"/>
        <w:outlineLvl w:val="9"/>
        <w:rPr>
          <w:rFonts w:hint="eastAsia" w:ascii="宋体" w:hAnsi="宋体" w:eastAsia="宋体" w:cs="宋体"/>
          <w:color w:val="auto"/>
          <w:sz w:val="28"/>
          <w:highlight w:val="none"/>
        </w:rPr>
      </w:pPr>
    </w:p>
    <w:p>
      <w:pPr>
        <w:pStyle w:val="6"/>
        <w:spacing w:before="0" w:line="240" w:lineRule="atLeast"/>
        <w:ind w:left="1080" w:leftChars="257" w:hanging="540"/>
        <w:rPr>
          <w:rFonts w:hint="eastAsia" w:ascii="宋体" w:hAnsi="宋体" w:eastAsia="宋体" w:cs="宋体"/>
          <w:color w:val="auto"/>
          <w:sz w:val="28"/>
          <w:highlight w:val="none"/>
        </w:rPr>
      </w:pPr>
      <w:bookmarkStart w:id="1007" w:name="_Toc23831"/>
      <w:r>
        <w:rPr>
          <w:rFonts w:hint="eastAsia" w:ascii="宋体" w:hAnsi="宋体" w:eastAsia="宋体" w:cs="宋体"/>
          <w:color w:val="auto"/>
          <w:sz w:val="28"/>
          <w:highlight w:val="none"/>
        </w:rPr>
        <w:t>第二部分  商务及技术文件</w:t>
      </w:r>
      <w:bookmarkEnd w:id="1007"/>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 w:val="24"/>
          <w:szCs w:val="24"/>
          <w:highlight w:val="none"/>
          <w:lang w:val="en-US" w:eastAsia="zh-CN"/>
        </w:rPr>
      </w:pP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bookmarkStart w:id="1008" w:name="_Toc515647817"/>
      <w:bookmarkStart w:id="1009" w:name="_Toc2041"/>
      <w:bookmarkStart w:id="1010" w:name="_Toc14915"/>
      <w:r>
        <w:rPr>
          <w:rFonts w:hint="eastAsia" w:ascii="宋体" w:hAnsi="宋体" w:cs="宋体"/>
          <w:color w:val="auto"/>
          <w:kern w:val="0"/>
          <w:sz w:val="28"/>
          <w:szCs w:val="28"/>
          <w:highlight w:val="none"/>
          <w:lang w:val="en-US" w:eastAsia="zh-CN"/>
        </w:rPr>
        <w:t>1.投标书</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2.投标分项报价表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3.货物说明一览表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4.技术规格偏离表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5.商务条款偏离表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6-1中小企业声明函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6-2 残疾人福利性单位声明函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7.供应商关联单位的说明（格式自拟）</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8.供应商可提供有利于投标的其他证明材料（具体要求详见项目要求和综合评分表中的技术部分）</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9.投标文件格式范本</w:t>
      </w:r>
    </w:p>
    <w:p>
      <w:pPr>
        <w:spacing w:line="360" w:lineRule="auto"/>
        <w:rPr>
          <w:rFonts w:hint="eastAsia" w:ascii="宋体" w:hAnsi="宋体" w:eastAsia="宋体" w:cs="宋体"/>
          <w:b/>
          <w:bCs/>
          <w:color w:val="auto"/>
          <w:highlight w:val="none"/>
        </w:rPr>
      </w:pPr>
    </w:p>
    <w:p>
      <w:pPr>
        <w:pStyle w:val="3"/>
        <w:rPr>
          <w:rFonts w:hint="eastAsia" w:ascii="宋体" w:hAnsi="宋体" w:eastAsia="宋体" w:cs="宋体"/>
          <w:b/>
          <w:bCs/>
          <w:color w:val="auto"/>
          <w:highlight w:val="none"/>
        </w:rPr>
      </w:pPr>
    </w:p>
    <w:p>
      <w:pPr>
        <w:pStyle w:val="3"/>
        <w:rPr>
          <w:rFonts w:hint="eastAsia" w:ascii="宋体" w:hAnsi="宋体" w:eastAsia="宋体" w:cs="宋体"/>
          <w:b/>
          <w:bCs/>
          <w:color w:val="auto"/>
          <w:highlight w:val="none"/>
        </w:rPr>
      </w:pPr>
    </w:p>
    <w:p>
      <w:pPr>
        <w:pStyle w:val="3"/>
        <w:rPr>
          <w:rFonts w:hint="eastAsia" w:ascii="宋体" w:hAnsi="宋体" w:eastAsia="宋体" w:cs="宋体"/>
          <w:b/>
          <w:bCs/>
          <w:color w:val="auto"/>
          <w:highlight w:val="none"/>
        </w:rPr>
      </w:pPr>
    </w:p>
    <w:p>
      <w:pPr>
        <w:pStyle w:val="3"/>
        <w:rPr>
          <w:rFonts w:hint="eastAsia" w:ascii="宋体" w:hAnsi="宋体" w:eastAsia="宋体" w:cs="宋体"/>
          <w:b/>
          <w:bCs/>
          <w:color w:val="auto"/>
          <w:highlight w:val="none"/>
        </w:rPr>
      </w:pPr>
    </w:p>
    <w:p>
      <w:pPr>
        <w:pStyle w:val="3"/>
        <w:rPr>
          <w:rFonts w:hint="eastAsia" w:ascii="宋体" w:hAnsi="宋体" w:eastAsia="宋体" w:cs="宋体"/>
          <w:b/>
          <w:bCs/>
          <w:color w:val="auto"/>
          <w:highlight w:val="none"/>
        </w:rPr>
      </w:pPr>
    </w:p>
    <w:p>
      <w:pPr>
        <w:pStyle w:val="3"/>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pStyle w:val="13"/>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1011" w:name="_Toc29625"/>
      <w:bookmarkStart w:id="1012" w:name="_Toc25918"/>
      <w:bookmarkStart w:id="1013" w:name="_Toc21772"/>
      <w:bookmarkStart w:id="1014" w:name="_Toc30408"/>
      <w:r>
        <w:rPr>
          <w:rFonts w:hint="eastAsia" w:ascii="宋体" w:hAnsi="宋体" w:eastAsia="宋体" w:cs="宋体"/>
          <w:b/>
          <w:bCs/>
          <w:color w:val="auto"/>
          <w:sz w:val="24"/>
          <w:szCs w:val="24"/>
          <w:highlight w:val="none"/>
        </w:rPr>
        <w:br w:type="page"/>
      </w:r>
    </w:p>
    <w:bookmarkEnd w:id="1008"/>
    <w:bookmarkEnd w:id="1009"/>
    <w:bookmarkEnd w:id="1010"/>
    <w:bookmarkEnd w:id="1011"/>
    <w:bookmarkEnd w:id="1012"/>
    <w:bookmarkEnd w:id="1013"/>
    <w:bookmarkEnd w:id="1014"/>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15" w:name="_Toc29802"/>
      <w:r>
        <w:rPr>
          <w:rFonts w:hint="eastAsia" w:ascii="宋体" w:hAnsi="宋体" w:eastAsia="宋体" w:cs="宋体"/>
          <w:color w:val="auto"/>
          <w:sz w:val="28"/>
          <w:szCs w:val="28"/>
          <w:highlight w:val="none"/>
          <w:lang w:val="en-US" w:eastAsia="zh-CN"/>
        </w:rPr>
        <w:t>1.投标书</w:t>
      </w:r>
      <w:bookmarkEnd w:id="1015"/>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3"/>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）提交下述文件正本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份及电子文档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3"/>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3"/>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3"/>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bookmarkStart w:id="1016" w:name="_Toc23473"/>
      <w:bookmarkStart w:id="1017" w:name="_Toc1266"/>
      <w:bookmarkStart w:id="1018" w:name="_Toc30947"/>
      <w:bookmarkStart w:id="1019" w:name="_Toc14219"/>
      <w:bookmarkStart w:id="1020" w:name="_Toc6738"/>
      <w:bookmarkStart w:id="1021" w:name="_Toc19819"/>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bookmarkEnd w:id="1016"/>
    <w:bookmarkEnd w:id="1017"/>
    <w:bookmarkEnd w:id="1018"/>
    <w:bookmarkEnd w:id="1019"/>
    <w:bookmarkEnd w:id="1020"/>
    <w:bookmarkEnd w:id="1021"/>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22" w:name="_Toc30813"/>
      <w:bookmarkStart w:id="1023" w:name="_Toc22563"/>
      <w:bookmarkStart w:id="1024" w:name="_Toc216582817"/>
      <w:bookmarkStart w:id="1025" w:name="_Toc515647820"/>
      <w:bookmarkStart w:id="1026" w:name="_Toc28959"/>
      <w:r>
        <w:rPr>
          <w:rFonts w:hint="eastAsia" w:ascii="宋体" w:hAnsi="宋体" w:eastAsia="宋体" w:cs="宋体"/>
          <w:color w:val="auto"/>
          <w:sz w:val="28"/>
          <w:szCs w:val="28"/>
          <w:highlight w:val="none"/>
          <w:lang w:val="en-US" w:eastAsia="zh-CN"/>
        </w:rPr>
        <w:t>2.投标分项报价表</w:t>
      </w:r>
      <w:bookmarkEnd w:id="1022"/>
    </w:p>
    <w:p>
      <w:pPr>
        <w:pStyle w:val="13"/>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包号：</w:t>
      </w:r>
    </w:p>
    <w:tbl>
      <w:tblPr>
        <w:tblStyle w:val="25"/>
        <w:tblW w:w="97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30"/>
        <w:gridCol w:w="1005"/>
        <w:gridCol w:w="990"/>
        <w:gridCol w:w="1155"/>
        <w:gridCol w:w="825"/>
        <w:gridCol w:w="735"/>
        <w:gridCol w:w="915"/>
        <w:gridCol w:w="810"/>
        <w:gridCol w:w="85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tc>
        <w:tc>
          <w:tcPr>
            <w:tcW w:w="93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00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1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供货厂商名称</w:t>
            </w:r>
          </w:p>
        </w:tc>
        <w:tc>
          <w:tcPr>
            <w:tcW w:w="82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73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91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810"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单价</w:t>
            </w:r>
          </w:p>
        </w:tc>
        <w:tc>
          <w:tcPr>
            <w:tcW w:w="85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合价</w:t>
            </w:r>
          </w:p>
        </w:tc>
        <w:tc>
          <w:tcPr>
            <w:tcW w:w="8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45"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5" w:type="dxa"/>
            <w:vAlign w:val="center"/>
          </w:tcPr>
          <w:p>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8</w:t>
            </w:r>
          </w:p>
        </w:tc>
        <w:tc>
          <w:tcPr>
            <w:tcW w:w="930" w:type="dxa"/>
            <w:vAlign w:val="center"/>
          </w:tcPr>
          <w:p>
            <w:pPr>
              <w:spacing w:line="360" w:lineRule="auto"/>
              <w:jc w:val="center"/>
              <w:rPr>
                <w:rFonts w:hint="eastAsia" w:ascii="宋体" w:hAnsi="宋体" w:eastAsia="宋体" w:cs="宋体"/>
                <w:color w:val="auto"/>
                <w:sz w:val="24"/>
                <w:highlight w:val="none"/>
              </w:rPr>
            </w:pPr>
          </w:p>
        </w:tc>
        <w:tc>
          <w:tcPr>
            <w:tcW w:w="1005" w:type="dxa"/>
            <w:vAlign w:val="center"/>
          </w:tcPr>
          <w:p>
            <w:pPr>
              <w:spacing w:line="360" w:lineRule="auto"/>
              <w:jc w:val="center"/>
              <w:rPr>
                <w:rFonts w:hint="eastAsia" w:ascii="宋体" w:hAnsi="宋体" w:eastAsia="宋体" w:cs="宋体"/>
                <w:color w:val="auto"/>
                <w:sz w:val="24"/>
                <w:highlight w:val="none"/>
              </w:rPr>
            </w:pPr>
          </w:p>
        </w:tc>
        <w:tc>
          <w:tcPr>
            <w:tcW w:w="990" w:type="dxa"/>
            <w:vAlign w:val="center"/>
          </w:tcPr>
          <w:p>
            <w:pPr>
              <w:spacing w:line="360" w:lineRule="auto"/>
              <w:jc w:val="center"/>
              <w:rPr>
                <w:rFonts w:hint="eastAsia" w:ascii="宋体" w:hAnsi="宋体" w:eastAsia="宋体" w:cs="宋体"/>
                <w:color w:val="auto"/>
                <w:sz w:val="24"/>
                <w:highlight w:val="none"/>
              </w:rPr>
            </w:pPr>
          </w:p>
        </w:tc>
        <w:tc>
          <w:tcPr>
            <w:tcW w:w="1155" w:type="dxa"/>
            <w:vAlign w:val="center"/>
          </w:tcPr>
          <w:p>
            <w:pPr>
              <w:spacing w:line="360" w:lineRule="auto"/>
              <w:jc w:val="center"/>
              <w:rPr>
                <w:rFonts w:hint="eastAsia" w:ascii="宋体" w:hAnsi="宋体" w:eastAsia="宋体" w:cs="宋体"/>
                <w:color w:val="auto"/>
                <w:sz w:val="24"/>
                <w:highlight w:val="none"/>
              </w:rPr>
            </w:pPr>
          </w:p>
        </w:tc>
        <w:tc>
          <w:tcPr>
            <w:tcW w:w="825" w:type="dxa"/>
            <w:vAlign w:val="center"/>
          </w:tcPr>
          <w:p>
            <w:pPr>
              <w:spacing w:line="360" w:lineRule="auto"/>
              <w:jc w:val="center"/>
              <w:rPr>
                <w:rFonts w:hint="eastAsia" w:ascii="宋体" w:hAnsi="宋体" w:eastAsia="宋体" w:cs="宋体"/>
                <w:color w:val="auto"/>
                <w:sz w:val="24"/>
                <w:highlight w:val="none"/>
              </w:rPr>
            </w:pPr>
          </w:p>
        </w:tc>
        <w:tc>
          <w:tcPr>
            <w:tcW w:w="735" w:type="dxa"/>
            <w:vAlign w:val="center"/>
          </w:tcPr>
          <w:p>
            <w:pPr>
              <w:spacing w:line="360" w:lineRule="auto"/>
              <w:jc w:val="center"/>
              <w:rPr>
                <w:rFonts w:hint="eastAsia" w:ascii="宋体" w:hAnsi="宋体" w:eastAsia="宋体" w:cs="宋体"/>
                <w:color w:val="auto"/>
                <w:sz w:val="24"/>
                <w:highlight w:val="none"/>
              </w:rPr>
            </w:pPr>
          </w:p>
        </w:tc>
        <w:tc>
          <w:tcPr>
            <w:tcW w:w="915" w:type="dxa"/>
            <w:vAlign w:val="center"/>
          </w:tcPr>
          <w:p>
            <w:pPr>
              <w:spacing w:line="360" w:lineRule="auto"/>
              <w:jc w:val="center"/>
              <w:rPr>
                <w:rFonts w:hint="eastAsia" w:ascii="宋体" w:hAnsi="宋体" w:eastAsia="宋体" w:cs="宋体"/>
                <w:color w:val="auto"/>
                <w:sz w:val="24"/>
                <w:highlight w:val="none"/>
              </w:rPr>
            </w:pPr>
          </w:p>
        </w:tc>
        <w:tc>
          <w:tcPr>
            <w:tcW w:w="810" w:type="dxa"/>
            <w:vAlign w:val="center"/>
          </w:tcPr>
          <w:p>
            <w:pPr>
              <w:spacing w:line="360" w:lineRule="auto"/>
              <w:jc w:val="center"/>
              <w:rPr>
                <w:rFonts w:hint="eastAsia" w:ascii="宋体" w:hAnsi="宋体" w:eastAsia="宋体" w:cs="宋体"/>
                <w:color w:val="auto"/>
                <w:sz w:val="24"/>
                <w:highlight w:val="none"/>
              </w:rPr>
            </w:pPr>
          </w:p>
        </w:tc>
        <w:tc>
          <w:tcPr>
            <w:tcW w:w="855" w:type="dxa"/>
            <w:vAlign w:val="center"/>
          </w:tcPr>
          <w:p>
            <w:pPr>
              <w:spacing w:line="360" w:lineRule="auto"/>
              <w:jc w:val="center"/>
              <w:rPr>
                <w:rFonts w:hint="eastAsia" w:ascii="宋体" w:hAnsi="宋体" w:eastAsia="宋体" w:cs="宋体"/>
                <w:color w:val="auto"/>
                <w:sz w:val="24"/>
                <w:highlight w:val="none"/>
              </w:rPr>
            </w:pPr>
          </w:p>
        </w:tc>
        <w:tc>
          <w:tcPr>
            <w:tcW w:w="873" w:type="dxa"/>
            <w:vAlign w:val="center"/>
          </w:tcPr>
          <w:p>
            <w:pPr>
              <w:spacing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65" w:type="dxa"/>
            <w:gridSpan w:val="1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总价（元）</w:t>
            </w:r>
          </w:p>
        </w:tc>
        <w:tc>
          <w:tcPr>
            <w:tcW w:w="873" w:type="dxa"/>
            <w:vAlign w:val="center"/>
          </w:tcPr>
          <w:p>
            <w:pPr>
              <w:spacing w:line="360" w:lineRule="auto"/>
              <w:rPr>
                <w:rFonts w:hint="eastAsia" w:ascii="宋体" w:hAnsi="宋体" w:eastAsia="宋体" w:cs="宋体"/>
                <w:color w:val="auto"/>
                <w:sz w:val="24"/>
                <w:highlight w:val="none"/>
              </w:rPr>
            </w:pPr>
          </w:p>
        </w:tc>
      </w:tr>
    </w:tbl>
    <w:p>
      <w:pPr>
        <w:pStyle w:val="13"/>
        <w:spacing w:line="400" w:lineRule="exact"/>
        <w:ind w:left="1080" w:leftChars="257" w:hanging="540"/>
        <w:rPr>
          <w:rFonts w:hint="eastAsia" w:ascii="宋体" w:hAnsi="宋体" w:eastAsia="宋体" w:cs="宋体"/>
          <w:color w:val="auto"/>
          <w:sz w:val="24"/>
          <w:szCs w:val="24"/>
          <w:highlight w:val="none"/>
        </w:rPr>
      </w:pPr>
    </w:p>
    <w:p>
      <w:pPr>
        <w:pStyle w:val="3"/>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填写一份该表。</w:t>
      </w:r>
    </w:p>
    <w:p>
      <w:pPr>
        <w:pStyle w:val="13"/>
        <w:spacing w:line="400" w:lineRule="exact"/>
        <w:ind w:left="1079" w:leftChars="428" w:hanging="180" w:hangingChars="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rPr>
          <w:rFonts w:hint="eastAsia" w:ascii="宋体" w:hAnsi="宋体" w:eastAsia="宋体" w:cs="宋体"/>
          <w:b/>
          <w:bCs/>
          <w:color w:val="auto"/>
          <w:sz w:val="28"/>
          <w:szCs w:val="28"/>
          <w:highlight w:val="none"/>
        </w:rPr>
      </w:pPr>
      <w:bookmarkStart w:id="1027" w:name="_Toc3096"/>
      <w:bookmarkStart w:id="1028" w:name="_Toc26185"/>
      <w:bookmarkStart w:id="1029" w:name="_Toc32439"/>
      <w:r>
        <w:rPr>
          <w:rFonts w:hint="eastAsia" w:ascii="宋体" w:hAnsi="宋体" w:eastAsia="宋体" w:cs="宋体"/>
          <w:b/>
          <w:bCs/>
          <w:color w:val="auto"/>
          <w:sz w:val="28"/>
          <w:szCs w:val="28"/>
          <w:highlight w:val="none"/>
        </w:rPr>
        <w:br w:type="page"/>
      </w: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30" w:name="_Toc27721"/>
      <w:bookmarkStart w:id="1031" w:name="_Toc16798"/>
      <w:bookmarkStart w:id="1032" w:name="_Toc13950"/>
      <w:bookmarkStart w:id="1033" w:name="_Toc4717"/>
      <w:bookmarkStart w:id="1034" w:name="_Toc28199"/>
      <w:bookmarkStart w:id="1035" w:name="_Toc10486"/>
      <w:bookmarkStart w:id="1036" w:name="_Toc29174"/>
      <w:bookmarkStart w:id="1037" w:name="_Toc27975"/>
      <w:bookmarkStart w:id="1038" w:name="_Toc6480"/>
      <w:bookmarkStart w:id="1039" w:name="_Toc30209"/>
      <w:r>
        <w:rPr>
          <w:rFonts w:hint="eastAsia" w:ascii="宋体" w:hAnsi="宋体" w:eastAsia="宋体" w:cs="宋体"/>
          <w:color w:val="auto"/>
          <w:sz w:val="28"/>
          <w:szCs w:val="28"/>
          <w:highlight w:val="none"/>
          <w:lang w:val="en-US" w:eastAsia="zh-CN"/>
        </w:rPr>
        <w:t>备品备件设备分项报价表</w:t>
      </w:r>
      <w:bookmarkEnd w:id="1030"/>
      <w:bookmarkEnd w:id="1031"/>
      <w:bookmarkEnd w:id="1032"/>
      <w:bookmarkEnd w:id="1033"/>
      <w:bookmarkEnd w:id="1034"/>
      <w:bookmarkEnd w:id="1035"/>
      <w:bookmarkEnd w:id="1036"/>
      <w:bookmarkEnd w:id="1037"/>
      <w:bookmarkEnd w:id="1038"/>
      <w:bookmarkEnd w:id="1039"/>
    </w:p>
    <w:tbl>
      <w:tblPr>
        <w:tblStyle w:val="25"/>
        <w:tblW w:w="9806"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794"/>
        <w:gridCol w:w="703"/>
        <w:gridCol w:w="805"/>
        <w:gridCol w:w="1249"/>
        <w:gridCol w:w="975"/>
        <w:gridCol w:w="543"/>
        <w:gridCol w:w="675"/>
        <w:gridCol w:w="732"/>
        <w:gridCol w:w="675"/>
        <w:gridCol w:w="656"/>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i w:val="0"/>
                <w:caps w:val="0"/>
                <w:color w:val="auto"/>
                <w:spacing w:val="0"/>
                <w:w w:val="100"/>
                <w:sz w:val="24"/>
                <w:szCs w:val="24"/>
                <w:highlight w:val="none"/>
                <w:lang w:val="en-US" w:eastAsia="zh-CN"/>
              </w:rPr>
              <w:t>制造商名称</w:t>
            </w: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合价</w:t>
            </w: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2" w:type="dxa"/>
            <w:vAlign w:val="center"/>
          </w:tcPr>
          <w:p>
            <w:pPr>
              <w:shd w:val="clear"/>
              <w:spacing w:line="360" w:lineRule="auto"/>
              <w:jc w:val="center"/>
              <w:rPr>
                <w:rFonts w:hint="eastAsia" w:ascii="宋体" w:hAnsi="宋体" w:eastAsia="宋体" w:cs="宋体"/>
                <w:color w:val="auto"/>
                <w:sz w:val="24"/>
                <w:szCs w:val="24"/>
                <w:highlight w:val="none"/>
              </w:rPr>
            </w:pPr>
          </w:p>
        </w:tc>
        <w:tc>
          <w:tcPr>
            <w:tcW w:w="8444" w:type="dxa"/>
            <w:gridSpan w:val="11"/>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restart"/>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质保期内免费设备</w:t>
            </w: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2" w:type="dxa"/>
            <w:vMerge w:val="continue"/>
            <w:vAlign w:val="center"/>
          </w:tcPr>
          <w:p>
            <w:pPr>
              <w:shd w:val="clear"/>
              <w:spacing w:line="360" w:lineRule="auto"/>
              <w:jc w:val="center"/>
              <w:rPr>
                <w:rFonts w:hint="eastAsia" w:ascii="宋体" w:hAnsi="宋体" w:eastAsia="宋体" w:cs="宋体"/>
                <w:color w:val="auto"/>
                <w:sz w:val="24"/>
                <w:szCs w:val="24"/>
                <w:highlight w:val="none"/>
              </w:rPr>
            </w:pPr>
          </w:p>
        </w:tc>
        <w:tc>
          <w:tcPr>
            <w:tcW w:w="794" w:type="dxa"/>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03" w:type="dxa"/>
            <w:vAlign w:val="center"/>
          </w:tcPr>
          <w:p>
            <w:pPr>
              <w:shd w:val="clear"/>
              <w:spacing w:line="360" w:lineRule="auto"/>
              <w:jc w:val="center"/>
              <w:rPr>
                <w:rFonts w:hint="eastAsia" w:ascii="宋体" w:hAnsi="宋体" w:eastAsia="宋体" w:cs="宋体"/>
                <w:color w:val="auto"/>
                <w:sz w:val="24"/>
                <w:szCs w:val="24"/>
                <w:highlight w:val="none"/>
              </w:rPr>
            </w:pPr>
          </w:p>
        </w:tc>
        <w:tc>
          <w:tcPr>
            <w:tcW w:w="805" w:type="dxa"/>
            <w:vAlign w:val="center"/>
          </w:tcPr>
          <w:p>
            <w:pPr>
              <w:shd w:val="clear"/>
              <w:spacing w:line="360" w:lineRule="auto"/>
              <w:jc w:val="center"/>
              <w:rPr>
                <w:rFonts w:hint="eastAsia" w:ascii="宋体" w:hAnsi="宋体" w:eastAsia="宋体" w:cs="宋体"/>
                <w:color w:val="auto"/>
                <w:sz w:val="24"/>
                <w:szCs w:val="24"/>
                <w:highlight w:val="none"/>
              </w:rPr>
            </w:pPr>
          </w:p>
        </w:tc>
        <w:tc>
          <w:tcPr>
            <w:tcW w:w="1249" w:type="dxa"/>
            <w:vAlign w:val="center"/>
          </w:tcPr>
          <w:p>
            <w:pPr>
              <w:shd w:val="clear"/>
              <w:spacing w:line="360" w:lineRule="auto"/>
              <w:jc w:val="center"/>
              <w:rPr>
                <w:rFonts w:hint="eastAsia" w:ascii="宋体" w:hAnsi="宋体" w:eastAsia="宋体" w:cs="宋体"/>
                <w:color w:val="auto"/>
                <w:sz w:val="24"/>
                <w:szCs w:val="24"/>
                <w:highlight w:val="none"/>
              </w:rPr>
            </w:pPr>
          </w:p>
        </w:tc>
        <w:tc>
          <w:tcPr>
            <w:tcW w:w="9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543"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732" w:type="dxa"/>
            <w:vAlign w:val="center"/>
          </w:tcPr>
          <w:p>
            <w:pPr>
              <w:shd w:val="clear"/>
              <w:spacing w:line="360" w:lineRule="auto"/>
              <w:jc w:val="center"/>
              <w:rPr>
                <w:rFonts w:hint="eastAsia" w:ascii="宋体" w:hAnsi="宋体" w:eastAsia="宋体" w:cs="宋体"/>
                <w:color w:val="auto"/>
                <w:sz w:val="24"/>
                <w:szCs w:val="24"/>
                <w:highlight w:val="none"/>
              </w:rPr>
            </w:pPr>
          </w:p>
        </w:tc>
        <w:tc>
          <w:tcPr>
            <w:tcW w:w="675" w:type="dxa"/>
            <w:vAlign w:val="center"/>
          </w:tcPr>
          <w:p>
            <w:pPr>
              <w:shd w:val="clear"/>
              <w:spacing w:line="360" w:lineRule="auto"/>
              <w:jc w:val="center"/>
              <w:rPr>
                <w:rFonts w:hint="eastAsia" w:ascii="宋体" w:hAnsi="宋体" w:eastAsia="宋体" w:cs="宋体"/>
                <w:color w:val="auto"/>
                <w:sz w:val="24"/>
                <w:szCs w:val="24"/>
                <w:highlight w:val="none"/>
              </w:rPr>
            </w:pPr>
          </w:p>
        </w:tc>
        <w:tc>
          <w:tcPr>
            <w:tcW w:w="656" w:type="dxa"/>
            <w:vAlign w:val="center"/>
          </w:tcPr>
          <w:p>
            <w:pPr>
              <w:shd w:val="clear"/>
              <w:spacing w:line="360" w:lineRule="auto"/>
              <w:jc w:val="center"/>
              <w:rPr>
                <w:rFonts w:hint="eastAsia" w:ascii="宋体" w:hAnsi="宋体" w:eastAsia="宋体" w:cs="宋体"/>
                <w:color w:val="auto"/>
                <w:sz w:val="24"/>
                <w:szCs w:val="24"/>
                <w:highlight w:val="none"/>
              </w:rPr>
            </w:pPr>
          </w:p>
        </w:tc>
        <w:tc>
          <w:tcPr>
            <w:tcW w:w="637" w:type="dxa"/>
            <w:vAlign w:val="center"/>
          </w:tcPr>
          <w:p>
            <w:pPr>
              <w:shd w:val="clea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9169" w:type="dxa"/>
            <w:gridSpan w:val="11"/>
            <w:vAlign w:val="center"/>
          </w:tcPr>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价（元）：</w:t>
            </w:r>
          </w:p>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（质保期外设备报价）</w:t>
            </w:r>
          </w:p>
        </w:tc>
        <w:tc>
          <w:tcPr>
            <w:tcW w:w="637" w:type="dxa"/>
            <w:vAlign w:val="center"/>
          </w:tcPr>
          <w:p>
            <w:pPr>
              <w:shd w:val="clear"/>
              <w:spacing w:line="360" w:lineRule="auto"/>
              <w:rPr>
                <w:rFonts w:hint="eastAsia" w:ascii="宋体" w:hAnsi="宋体" w:eastAsia="宋体" w:cs="宋体"/>
                <w:color w:val="auto"/>
                <w:sz w:val="24"/>
                <w:szCs w:val="24"/>
                <w:highlight w:val="none"/>
              </w:rPr>
            </w:pPr>
          </w:p>
        </w:tc>
      </w:tr>
    </w:tbl>
    <w:p>
      <w:pPr>
        <w:shd w:val="clear"/>
        <w:spacing w:line="360" w:lineRule="exact"/>
        <w:rPr>
          <w:rFonts w:hint="eastAsia" w:ascii="宋体" w:hAnsi="宋体" w:eastAsia="宋体" w:cs="宋体"/>
          <w:color w:val="auto"/>
          <w:sz w:val="24"/>
          <w:szCs w:val="24"/>
          <w:highlight w:val="none"/>
        </w:rPr>
      </w:pPr>
    </w:p>
    <w:p>
      <w:pPr>
        <w:pStyle w:val="3"/>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shd w:val="clear"/>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表格长度方向可做扩展根据需求可补充相关资料，但不可减少。</w:t>
      </w:r>
    </w:p>
    <w:p>
      <w:pPr>
        <w:shd w:val="clear"/>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备品备件设备分项报价仅供</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在设备发生故障情况下采用此报价，填写此表时请谨慎。备品备件分为两部分（1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质保期内免费的备品备件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质保期外备品备件报价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pStyle w:val="3"/>
        <w:shd w:val="clear"/>
        <w:spacing w:line="36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备品备件设备分项报价不合计于</w:t>
      </w:r>
      <w:r>
        <w:rPr>
          <w:rFonts w:hint="eastAsia" w:ascii="宋体" w:hAnsi="宋体" w:eastAsia="宋体" w:cs="宋体"/>
          <w:color w:val="auto"/>
          <w:kern w:val="2"/>
          <w:sz w:val="24"/>
          <w:szCs w:val="24"/>
          <w:highlight w:val="none"/>
          <w:lang w:eastAsia="zh-CN"/>
        </w:rPr>
        <w:t>投标报价表</w:t>
      </w:r>
      <w:r>
        <w:rPr>
          <w:rFonts w:hint="eastAsia" w:ascii="宋体" w:hAnsi="宋体" w:eastAsia="宋体" w:cs="宋体"/>
          <w:color w:val="auto"/>
          <w:kern w:val="2"/>
          <w:sz w:val="24"/>
          <w:szCs w:val="24"/>
          <w:highlight w:val="none"/>
        </w:rPr>
        <w:t>总价，单独名列即可。</w:t>
      </w:r>
    </w:p>
    <w:p>
      <w:pPr>
        <w:pStyle w:val="3"/>
        <w:shd w:val="clear"/>
        <w:spacing w:line="3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kern w:val="2"/>
          <w:sz w:val="24"/>
          <w:szCs w:val="24"/>
          <w:highlight w:val="none"/>
        </w:rPr>
        <w:t>4</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在设备维修和维护过程中，用来更换已经磨损，不能继续使用或损坏的零件和修复件。而为了缩短设备维修的停机维修时间，减少停机损失，供应质量优良的备件，可以保证修理质量和修理周期，提高设备的可靠性，有效率。备件管理工作的重点首先是满足关键设备对维修备件的需要，保证关键设备的正常运行，尽量减少停机损失。</w:t>
      </w:r>
    </w:p>
    <w:bookmarkEnd w:id="1027"/>
    <w:bookmarkEnd w:id="1028"/>
    <w:bookmarkEnd w:id="1029"/>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40" w:name="_Toc32744"/>
      <w:r>
        <w:rPr>
          <w:rFonts w:hint="eastAsia" w:ascii="宋体" w:hAnsi="宋体" w:eastAsia="宋体" w:cs="宋体"/>
          <w:color w:val="auto"/>
          <w:sz w:val="28"/>
          <w:szCs w:val="28"/>
          <w:highlight w:val="none"/>
          <w:lang w:val="en-US" w:eastAsia="zh-CN"/>
        </w:rPr>
        <w:t>3.货物说明一览表</w:t>
      </w:r>
      <w:bookmarkEnd w:id="1040"/>
    </w:p>
    <w:p>
      <w:pPr>
        <w:pStyle w:val="13"/>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包号：</w:t>
      </w:r>
      <w:r>
        <w:rPr>
          <w:rFonts w:hint="eastAsia" w:ascii="宋体" w:hAnsi="宋体" w:eastAsia="宋体" w:cs="宋体"/>
          <w:color w:val="auto"/>
          <w:sz w:val="24"/>
          <w:highlight w:val="none"/>
        </w:rPr>
        <w:t xml:space="preserve">                                  </w:t>
      </w:r>
    </w:p>
    <w:tbl>
      <w:tblPr>
        <w:tblStyle w:val="25"/>
        <w:tblW w:w="8823"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751"/>
        <w:gridCol w:w="1463"/>
        <w:gridCol w:w="1547"/>
        <w:gridCol w:w="1153"/>
        <w:gridCol w:w="119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42" w:type="dxa"/>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51" w:type="dxa"/>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名称</w:t>
            </w:r>
          </w:p>
        </w:tc>
        <w:tc>
          <w:tcPr>
            <w:tcW w:w="1463" w:type="dxa"/>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主要规格</w:t>
            </w:r>
          </w:p>
        </w:tc>
        <w:tc>
          <w:tcPr>
            <w:tcW w:w="1547" w:type="dxa"/>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1153" w:type="dxa"/>
          </w:tcPr>
          <w:p>
            <w:pPr>
              <w:pStyle w:val="13"/>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w:t>
            </w:r>
          </w:p>
        </w:tc>
        <w:tc>
          <w:tcPr>
            <w:tcW w:w="1195" w:type="dxa"/>
          </w:tcPr>
          <w:p>
            <w:pPr>
              <w:pStyle w:val="13"/>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交货地点</w:t>
            </w:r>
          </w:p>
        </w:tc>
        <w:tc>
          <w:tcPr>
            <w:tcW w:w="972" w:type="dxa"/>
          </w:tcPr>
          <w:p>
            <w:pPr>
              <w:pStyle w:val="13"/>
              <w:spacing w:line="3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42" w:type="dxa"/>
          </w:tcPr>
          <w:p>
            <w:pPr>
              <w:pStyle w:val="13"/>
              <w:spacing w:line="360" w:lineRule="exact"/>
              <w:ind w:left="1080" w:leftChars="257" w:hanging="540"/>
              <w:rPr>
                <w:rFonts w:hint="eastAsia" w:ascii="宋体" w:hAnsi="宋体" w:eastAsia="宋体" w:cs="宋体"/>
                <w:color w:val="auto"/>
                <w:sz w:val="24"/>
                <w:highlight w:val="none"/>
              </w:rPr>
            </w:pPr>
          </w:p>
        </w:tc>
        <w:tc>
          <w:tcPr>
            <w:tcW w:w="1751" w:type="dxa"/>
          </w:tcPr>
          <w:p>
            <w:pPr>
              <w:pStyle w:val="13"/>
              <w:spacing w:line="360" w:lineRule="exact"/>
              <w:ind w:left="1080" w:leftChars="257" w:hanging="540"/>
              <w:rPr>
                <w:rFonts w:hint="eastAsia" w:ascii="宋体" w:hAnsi="宋体" w:eastAsia="宋体" w:cs="宋体"/>
                <w:color w:val="auto"/>
                <w:sz w:val="24"/>
                <w:highlight w:val="none"/>
              </w:rPr>
            </w:pPr>
          </w:p>
        </w:tc>
        <w:tc>
          <w:tcPr>
            <w:tcW w:w="1463" w:type="dxa"/>
          </w:tcPr>
          <w:p>
            <w:pPr>
              <w:pStyle w:val="13"/>
              <w:spacing w:line="360" w:lineRule="exact"/>
              <w:ind w:left="1080" w:leftChars="257" w:hanging="540"/>
              <w:rPr>
                <w:rFonts w:hint="eastAsia" w:ascii="宋体" w:hAnsi="宋体" w:eastAsia="宋体" w:cs="宋体"/>
                <w:color w:val="auto"/>
                <w:sz w:val="24"/>
                <w:highlight w:val="none"/>
              </w:rPr>
            </w:pPr>
          </w:p>
        </w:tc>
        <w:tc>
          <w:tcPr>
            <w:tcW w:w="1547" w:type="dxa"/>
          </w:tcPr>
          <w:p>
            <w:pPr>
              <w:pStyle w:val="13"/>
              <w:spacing w:line="360" w:lineRule="exact"/>
              <w:ind w:left="1080" w:leftChars="257" w:hanging="540"/>
              <w:rPr>
                <w:rFonts w:hint="eastAsia" w:ascii="宋体" w:hAnsi="宋体" w:eastAsia="宋体" w:cs="宋体"/>
                <w:color w:val="auto"/>
                <w:sz w:val="24"/>
                <w:highlight w:val="none"/>
              </w:rPr>
            </w:pPr>
          </w:p>
        </w:tc>
        <w:tc>
          <w:tcPr>
            <w:tcW w:w="1153" w:type="dxa"/>
          </w:tcPr>
          <w:p>
            <w:pPr>
              <w:pStyle w:val="13"/>
              <w:spacing w:line="360" w:lineRule="exact"/>
              <w:ind w:left="1080" w:leftChars="257" w:hanging="540"/>
              <w:rPr>
                <w:rFonts w:hint="eastAsia" w:ascii="宋体" w:hAnsi="宋体" w:eastAsia="宋体" w:cs="宋体"/>
                <w:color w:val="auto"/>
                <w:sz w:val="24"/>
                <w:highlight w:val="none"/>
              </w:rPr>
            </w:pPr>
          </w:p>
        </w:tc>
        <w:tc>
          <w:tcPr>
            <w:tcW w:w="1195" w:type="dxa"/>
          </w:tcPr>
          <w:p>
            <w:pPr>
              <w:pStyle w:val="13"/>
              <w:spacing w:line="360" w:lineRule="exact"/>
              <w:ind w:left="1080" w:leftChars="257" w:hanging="540"/>
              <w:rPr>
                <w:rFonts w:hint="eastAsia" w:ascii="宋体" w:hAnsi="宋体" w:eastAsia="宋体" w:cs="宋体"/>
                <w:color w:val="auto"/>
                <w:sz w:val="24"/>
                <w:highlight w:val="none"/>
              </w:rPr>
            </w:pPr>
          </w:p>
        </w:tc>
        <w:tc>
          <w:tcPr>
            <w:tcW w:w="972" w:type="dxa"/>
          </w:tcPr>
          <w:p>
            <w:pPr>
              <w:pStyle w:val="13"/>
              <w:spacing w:line="360" w:lineRule="exact"/>
              <w:ind w:left="1080" w:leftChars="257" w:hanging="540"/>
              <w:rPr>
                <w:rFonts w:hint="eastAsia" w:ascii="宋体" w:hAnsi="宋体" w:eastAsia="宋体" w:cs="宋体"/>
                <w:color w:val="auto"/>
                <w:sz w:val="24"/>
                <w:highlight w:val="none"/>
              </w:rPr>
            </w:pPr>
          </w:p>
        </w:tc>
      </w:tr>
    </w:tbl>
    <w:p>
      <w:pPr>
        <w:pStyle w:val="13"/>
        <w:spacing w:line="360" w:lineRule="exact"/>
        <w:ind w:left="1080" w:leftChars="257" w:hanging="540"/>
        <w:rPr>
          <w:rFonts w:hint="eastAsia" w:ascii="宋体" w:hAnsi="宋体" w:eastAsia="宋体" w:cs="宋体"/>
          <w:color w:val="auto"/>
          <w:sz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3"/>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pStyle w:val="13"/>
        <w:spacing w:line="240" w:lineRule="atLeast"/>
        <w:rPr>
          <w:rFonts w:hint="eastAsia" w:ascii="宋体" w:hAnsi="宋体" w:eastAsia="宋体" w:cs="宋体"/>
          <w:b/>
          <w:bCs/>
          <w:color w:val="auto"/>
          <w:sz w:val="22"/>
          <w:szCs w:val="22"/>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41" w:name="_Toc27737"/>
      <w:r>
        <w:rPr>
          <w:rFonts w:hint="eastAsia" w:ascii="宋体" w:hAnsi="宋体" w:eastAsia="宋体" w:cs="宋体"/>
          <w:color w:val="auto"/>
          <w:sz w:val="28"/>
          <w:szCs w:val="28"/>
          <w:highlight w:val="none"/>
          <w:lang w:val="en-US" w:eastAsia="zh-CN"/>
        </w:rPr>
        <w:t>4.技术规格偏离表</w:t>
      </w:r>
      <w:bookmarkEnd w:id="1041"/>
    </w:p>
    <w:p>
      <w:pPr>
        <w:pStyle w:val="13"/>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 xml:space="preserve">   包号：</w:t>
      </w:r>
      <w:r>
        <w:rPr>
          <w:rFonts w:hint="eastAsia" w:ascii="宋体" w:hAnsi="宋体" w:eastAsia="宋体" w:cs="宋体"/>
          <w:color w:val="auto"/>
          <w:sz w:val="24"/>
          <w:szCs w:val="24"/>
          <w:highlight w:val="none"/>
        </w:rPr>
        <w:t xml:space="preserve">          </w:t>
      </w:r>
    </w:p>
    <w:tbl>
      <w:tblPr>
        <w:tblStyle w:val="25"/>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330"/>
        <w:gridCol w:w="2472"/>
        <w:gridCol w:w="1331"/>
        <w:gridCol w:w="1331"/>
        <w:gridCol w:w="950"/>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0"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2472" w:type="dxa"/>
            <w:vAlign w:val="center"/>
          </w:tcPr>
          <w:p>
            <w:pPr>
              <w:pStyle w:val="13"/>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331"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1331"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w:t>
            </w:r>
          </w:p>
        </w:tc>
        <w:tc>
          <w:tcPr>
            <w:tcW w:w="950"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951" w:type="dxa"/>
            <w:vAlign w:val="center"/>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5"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5"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472"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331"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951" w:type="dxa"/>
          </w:tcPr>
          <w:p>
            <w:pPr>
              <w:pStyle w:val="13"/>
              <w:spacing w:line="400" w:lineRule="exact"/>
              <w:ind w:left="1080" w:leftChars="257" w:hanging="540"/>
              <w:rPr>
                <w:rFonts w:hint="eastAsia" w:ascii="宋体" w:hAnsi="宋体" w:eastAsia="宋体" w:cs="宋体"/>
                <w:color w:val="auto"/>
                <w:sz w:val="24"/>
                <w:szCs w:val="24"/>
                <w:highlight w:val="none"/>
              </w:rPr>
            </w:pPr>
          </w:p>
        </w:tc>
      </w:tr>
    </w:tbl>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bookmarkEnd w:id="1023"/>
    <w:bookmarkEnd w:id="1024"/>
    <w:bookmarkEnd w:id="1025"/>
    <w:bookmarkEnd w:id="1026"/>
    <w:p>
      <w:pPr>
        <w:pStyle w:val="3"/>
        <w:spacing w:line="360" w:lineRule="exact"/>
        <w:ind w:firstLine="0"/>
        <w:rPr>
          <w:rFonts w:hint="eastAsia" w:ascii="宋体" w:hAnsi="宋体" w:eastAsia="宋体" w:cs="宋体"/>
          <w:color w:val="auto"/>
          <w:kern w:val="2"/>
          <w:sz w:val="24"/>
          <w:szCs w:val="24"/>
          <w:highlight w:val="none"/>
          <w:u w:val="single"/>
        </w:rPr>
      </w:pPr>
      <w:bookmarkStart w:id="1042" w:name="_Toc23"/>
      <w:bookmarkStart w:id="1043" w:name="_Toc216582818"/>
      <w:bookmarkStart w:id="1044" w:name="_Toc31439"/>
      <w:bookmarkStart w:id="1045" w:name="_Toc1980"/>
      <w:bookmarkStart w:id="1046" w:name="_Toc515647821"/>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8"/>
          <w:szCs w:val="28"/>
          <w:highlight w:val="none"/>
        </w:rPr>
      </w:pPr>
      <w:bookmarkStart w:id="1047" w:name="_Toc22109"/>
      <w:bookmarkStart w:id="1048" w:name="_Toc12914"/>
      <w:bookmarkStart w:id="1049" w:name="_Toc14887"/>
      <w:r>
        <w:rPr>
          <w:rFonts w:hint="eastAsia" w:ascii="宋体" w:hAnsi="宋体" w:eastAsia="宋体" w:cs="宋体"/>
          <w:color w:val="auto"/>
          <w:sz w:val="28"/>
          <w:szCs w:val="28"/>
          <w:highlight w:val="none"/>
        </w:rPr>
        <w:br w:type="page"/>
      </w:r>
    </w:p>
    <w:bookmarkEnd w:id="1042"/>
    <w:bookmarkEnd w:id="1043"/>
    <w:bookmarkEnd w:id="1044"/>
    <w:bookmarkEnd w:id="1045"/>
    <w:bookmarkEnd w:id="1046"/>
    <w:bookmarkEnd w:id="1047"/>
    <w:bookmarkEnd w:id="1048"/>
    <w:bookmarkEnd w:id="1049"/>
    <w:p>
      <w:pPr>
        <w:pStyle w:val="6"/>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rPr>
          <w:rFonts w:hint="eastAsia" w:ascii="宋体" w:hAnsi="宋体" w:eastAsia="宋体" w:cs="宋体"/>
          <w:color w:val="auto"/>
          <w:sz w:val="28"/>
          <w:szCs w:val="28"/>
          <w:highlight w:val="none"/>
          <w:lang w:val="en-US" w:eastAsia="zh-CN"/>
        </w:rPr>
      </w:pPr>
      <w:bookmarkStart w:id="1050" w:name="_Toc20565"/>
      <w:r>
        <w:rPr>
          <w:rFonts w:hint="eastAsia" w:ascii="宋体" w:hAnsi="宋体" w:eastAsia="宋体" w:cs="宋体"/>
          <w:color w:val="auto"/>
          <w:sz w:val="28"/>
          <w:szCs w:val="28"/>
          <w:highlight w:val="none"/>
          <w:lang w:val="en-US" w:eastAsia="zh-CN"/>
        </w:rPr>
        <w:t>5.商务条款偏离表</w:t>
      </w:r>
      <w:bookmarkEnd w:id="1050"/>
    </w:p>
    <w:p>
      <w:pPr>
        <w:pStyle w:val="13"/>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eastAsia="zh-CN"/>
        </w:rPr>
        <w:t>包号：</w:t>
      </w:r>
      <w:r>
        <w:rPr>
          <w:rFonts w:hint="eastAsia" w:ascii="宋体" w:hAnsi="宋体" w:eastAsia="宋体" w:cs="宋体"/>
          <w:color w:val="auto"/>
          <w:sz w:val="24"/>
          <w:szCs w:val="24"/>
          <w:highlight w:val="none"/>
        </w:rPr>
        <w:t xml:space="preserve">    </w:t>
      </w:r>
    </w:p>
    <w:tbl>
      <w:tblPr>
        <w:tblStyle w:val="25"/>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040" w:type="dxa"/>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2520" w:type="dxa"/>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520" w:type="dxa"/>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14" w:type="dxa"/>
          </w:tcPr>
          <w:p>
            <w:pPr>
              <w:pStyle w:val="13"/>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jc w:val="center"/>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jc w:val="center"/>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04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2520" w:type="dxa"/>
          </w:tcPr>
          <w:p>
            <w:pPr>
              <w:pStyle w:val="13"/>
              <w:spacing w:line="400" w:lineRule="exact"/>
              <w:ind w:left="1080" w:leftChars="257" w:hanging="540"/>
              <w:rPr>
                <w:rFonts w:hint="eastAsia" w:ascii="宋体" w:hAnsi="宋体" w:eastAsia="宋体" w:cs="宋体"/>
                <w:color w:val="auto"/>
                <w:sz w:val="24"/>
                <w:szCs w:val="24"/>
                <w:highlight w:val="none"/>
              </w:rPr>
            </w:pPr>
          </w:p>
        </w:tc>
        <w:tc>
          <w:tcPr>
            <w:tcW w:w="1014" w:type="dxa"/>
          </w:tcPr>
          <w:p>
            <w:pPr>
              <w:pStyle w:val="13"/>
              <w:spacing w:line="400" w:lineRule="exact"/>
              <w:ind w:left="1080" w:leftChars="257" w:hanging="540"/>
              <w:rPr>
                <w:rFonts w:hint="eastAsia" w:ascii="宋体" w:hAnsi="宋体" w:eastAsia="宋体" w:cs="宋体"/>
                <w:color w:val="auto"/>
                <w:sz w:val="24"/>
                <w:szCs w:val="24"/>
                <w:highlight w:val="none"/>
              </w:rPr>
            </w:pPr>
          </w:p>
        </w:tc>
      </w:tr>
    </w:tbl>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13"/>
        <w:spacing w:line="400" w:lineRule="exact"/>
        <w:ind w:left="1080" w:leftChars="257" w:hanging="540"/>
        <w:rPr>
          <w:rFonts w:hint="eastAsia" w:ascii="宋体" w:hAnsi="宋体" w:eastAsia="宋体" w:cs="宋体"/>
          <w:color w:val="auto"/>
          <w:sz w:val="24"/>
          <w:szCs w:val="24"/>
          <w:highlight w:val="none"/>
        </w:rPr>
      </w:pPr>
    </w:p>
    <w:p>
      <w:pPr>
        <w:pStyle w:val="3"/>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3"/>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3"/>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rPr>
      </w:pPr>
      <w:bookmarkStart w:id="1051" w:name="_Toc27043"/>
      <w:bookmarkStart w:id="1052" w:name="_Toc17820"/>
      <w:bookmarkStart w:id="1053" w:name="_Toc31694"/>
      <w:bookmarkStart w:id="1054" w:name="_Toc21312"/>
      <w:bookmarkStart w:id="1055" w:name="_Toc515647823"/>
      <w:bookmarkStart w:id="1056" w:name="_Toc10725"/>
      <w:bookmarkStart w:id="1057" w:name="_Toc25797"/>
      <w:r>
        <w:rPr>
          <w:rFonts w:hint="eastAsia" w:ascii="宋体" w:hAnsi="宋体" w:eastAsia="宋体" w:cs="宋体"/>
          <w:color w:val="auto"/>
          <w:sz w:val="24"/>
          <w:szCs w:val="24"/>
          <w:highlight w:val="none"/>
        </w:rPr>
        <w:br w:type="page"/>
      </w:r>
    </w:p>
    <w:bookmarkEnd w:id="1051"/>
    <w:bookmarkEnd w:id="1052"/>
    <w:bookmarkEnd w:id="1053"/>
    <w:bookmarkEnd w:id="1054"/>
    <w:bookmarkEnd w:id="1055"/>
    <w:bookmarkEnd w:id="1056"/>
    <w:bookmarkEnd w:id="1057"/>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58" w:name="_Toc26724"/>
      <w:bookmarkStart w:id="1059" w:name="_Toc10977"/>
      <w:bookmarkStart w:id="1060" w:name="_Toc515647824"/>
      <w:bookmarkStart w:id="1061" w:name="_Toc9687"/>
      <w:bookmarkStart w:id="1062" w:name="_Toc11343"/>
      <w:bookmarkStart w:id="1063" w:name="_Toc21610"/>
      <w:bookmarkStart w:id="1064" w:name="_Toc11803"/>
      <w:bookmarkStart w:id="1065" w:name="_Toc2709"/>
      <w:r>
        <w:rPr>
          <w:rFonts w:hint="eastAsia" w:ascii="宋体" w:hAnsi="宋体" w:eastAsia="宋体" w:cs="宋体"/>
          <w:color w:val="auto"/>
          <w:sz w:val="28"/>
          <w:szCs w:val="28"/>
          <w:highlight w:val="none"/>
          <w:lang w:val="en-US" w:eastAsia="zh-CN"/>
        </w:rPr>
        <w:t>6-1中小企业声明函</w:t>
      </w:r>
      <w:bookmarkEnd w:id="1058"/>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（单位名称）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的</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（项目名称）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采购活动，提供的货物全部由符合政策要求的中小企业制造。相关企业（含联合体中的中小企业、签订分包意向协议的中小企业）的具体情况如下：</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1.</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2.</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（标的名称）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（采购文件中明确的所属行业）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行业；制造商为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（企业名称）</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，从业人员</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人，营业收入为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万元，资产总额为</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万元，属于</w:t>
      </w:r>
      <w:r>
        <w:rPr>
          <w:rFonts w:hint="eastAsia" w:ascii="宋体" w:hAnsi="宋体" w:eastAsia="宋体" w:cs="宋体"/>
          <w:i w:val="0"/>
          <w:iCs w:val="0"/>
          <w:caps w:val="0"/>
          <w:color w:val="auto"/>
          <w:spacing w:val="0"/>
          <w:kern w:val="0"/>
          <w:sz w:val="24"/>
          <w:szCs w:val="24"/>
          <w:highlight w:val="none"/>
          <w:u w:val="single"/>
          <w:shd w:val="clear" w:color="auto" w:fill="FFFFFF"/>
          <w:lang w:val="en-US" w:eastAsia="zh-CN"/>
        </w:rPr>
        <w:t>     （中型企业、小型企业、微型企业）</w:t>
      </w: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以上企业，不属于大企业的分支机构，不存在控股股东为大企业的情形，也不存在与大企业的负责人为同一人的情形。</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本企业对上述声明内容的真实性负责。如有虚假，将依法承担相应责任。</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38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 </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企业名称（盖章）：</w:t>
      </w:r>
    </w:p>
    <w:p>
      <w:pPr>
        <w:keepNext w:val="0"/>
        <w:keepLines w:val="0"/>
        <w:widowControl/>
        <w:suppressLineNumbers w:val="0"/>
        <w:shd w:val="clear" w:color="auto" w:fill="auto"/>
        <w:spacing w:before="0" w:beforeAutospacing="1" w:after="0" w:afterAutospacing="1" w:line="348" w:lineRule="atLeast"/>
        <w:ind w:left="0" w:right="0" w:firstLine="4224"/>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rPr>
        <w:t>日 期：</w:t>
      </w:r>
    </w:p>
    <w:p>
      <w:pPr>
        <w:pStyle w:val="19"/>
        <w:keepNext w:val="0"/>
        <w:keepLines w:val="0"/>
        <w:pageBreakBefore w:val="0"/>
        <w:shd w:val="clear" w:color="auto" w:fill="auto"/>
        <w:kinsoku/>
        <w:wordWrap/>
        <w:overflowPunct/>
        <w:topLinePunct w:val="0"/>
        <w:autoSpaceDE/>
        <w:autoSpaceDN/>
        <w:bidi w:val="0"/>
        <w:adjustRightInd/>
        <w:spacing w:line="500" w:lineRule="exact"/>
        <w:textAlignment w:val="auto"/>
        <w:rPr>
          <w:rFonts w:hint="eastAsia" w:ascii="宋体" w:hAnsi="宋体" w:eastAsia="宋体" w:cs="宋体"/>
          <w:color w:val="auto"/>
          <w:sz w:val="24"/>
          <w:szCs w:val="24"/>
          <w:highlight w:val="none"/>
        </w:rPr>
      </w:pPr>
    </w:p>
    <w:p>
      <w:pP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sz w:val="24"/>
          <w:szCs w:val="24"/>
          <w:highlight w:val="none"/>
          <w:lang w:val="en-US" w:eastAsia="zh-CN"/>
        </w:rPr>
        <w:t>注：潜在投标企业属于中小微企业的，请在投标文件中提供“中小企业声明函”，如果未提供或提供虚假的“中小企业声明函”，投标企业将承担由此造成的一切不利后果。</w:t>
      </w:r>
    </w:p>
    <w:p>
      <w:pPr>
        <w:pStyle w:val="19"/>
        <w:rPr>
          <w:rFonts w:hint="eastAsia" w:ascii="宋体" w:hAnsi="宋体" w:eastAsia="宋体" w:cs="宋体"/>
          <w:b/>
          <w:bCs/>
          <w:color w:val="auto"/>
          <w:kern w:val="0"/>
          <w:sz w:val="21"/>
          <w:szCs w:val="21"/>
          <w:highlight w:val="none"/>
          <w:lang w:val="en-US" w:eastAsia="zh-CN"/>
        </w:rPr>
      </w:pPr>
    </w:p>
    <w:p>
      <w:pPr>
        <w:pStyle w:val="19"/>
        <w:rPr>
          <w:rFonts w:hint="eastAsia" w:ascii="宋体" w:hAnsi="宋体" w:eastAsia="宋体" w:cs="宋体"/>
          <w:b/>
          <w:bCs/>
          <w:color w:val="auto"/>
          <w:kern w:val="0"/>
          <w:sz w:val="21"/>
          <w:szCs w:val="21"/>
          <w:highlight w:val="none"/>
          <w:lang w:val="en-US" w:eastAsia="zh-CN"/>
        </w:rPr>
      </w:pPr>
    </w:p>
    <w:bookmarkEnd w:id="1059"/>
    <w:bookmarkEnd w:id="1060"/>
    <w:bookmarkEnd w:id="1061"/>
    <w:bookmarkEnd w:id="1062"/>
    <w:bookmarkEnd w:id="1063"/>
    <w:bookmarkEnd w:id="1064"/>
    <w:bookmarkEnd w:id="1065"/>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6" w:name="_Toc21599"/>
      <w:r>
        <w:rPr>
          <w:rFonts w:hint="eastAsia" w:ascii="宋体" w:hAnsi="宋体" w:eastAsia="宋体" w:cs="宋体"/>
          <w:color w:val="auto"/>
          <w:sz w:val="28"/>
          <w:szCs w:val="28"/>
          <w:highlight w:val="none"/>
          <w:lang w:val="en-US" w:eastAsia="zh-CN"/>
        </w:rPr>
        <w:t>6-2 残疾人福利性单位声明函</w:t>
      </w:r>
      <w:bookmarkEnd w:id="1066"/>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11"/>
        <w:spacing w:line="400" w:lineRule="exact"/>
        <w:ind w:firstLine="480"/>
        <w:rPr>
          <w:rFonts w:hint="eastAsia" w:ascii="宋体" w:hAnsi="宋体" w:eastAsia="宋体" w:cs="宋体"/>
          <w:color w:val="auto"/>
          <w:highlight w:val="none"/>
        </w:rPr>
      </w:pPr>
    </w:p>
    <w:p>
      <w:pPr>
        <w:pStyle w:val="11"/>
        <w:spacing w:line="400" w:lineRule="exact"/>
        <w:ind w:firstLine="480"/>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rPr>
          <w:rFonts w:hint="eastAsia"/>
        </w:rPr>
      </w:pPr>
    </w:p>
    <w:p>
      <w:pPr>
        <w:pStyle w:val="4"/>
        <w:rPr>
          <w:rFonts w:hint="eastAsia" w:ascii="宋体" w:hAnsi="宋体" w:eastAsia="宋体" w:cs="宋体"/>
          <w:color w:val="auto"/>
          <w:highlight w:val="none"/>
        </w:rPr>
      </w:pPr>
    </w:p>
    <w:p>
      <w:pPr>
        <w:rPr>
          <w:rFonts w:hint="eastAsia"/>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7" w:name="_Toc13155"/>
      <w:r>
        <w:rPr>
          <w:rFonts w:hint="eastAsia" w:ascii="宋体" w:hAnsi="宋体" w:eastAsia="宋体" w:cs="宋体"/>
          <w:color w:val="auto"/>
          <w:sz w:val="28"/>
          <w:szCs w:val="28"/>
          <w:highlight w:val="none"/>
          <w:lang w:val="en-US" w:eastAsia="zh-CN"/>
        </w:rPr>
        <w:t>7.供应商关联单位的说明（格式自拟）</w:t>
      </w:r>
      <w:bookmarkEnd w:id="1067"/>
    </w:p>
    <w:p>
      <w:pPr>
        <w:pStyle w:val="3"/>
        <w:spacing w:line="400" w:lineRule="exact"/>
        <w:jc w:val="center"/>
        <w:rPr>
          <w:rFonts w:hint="eastAsia" w:ascii="宋体" w:hAnsi="宋体" w:eastAsia="宋体" w:cs="宋体"/>
          <w:color w:val="auto"/>
          <w:szCs w:val="24"/>
          <w:highlight w:val="none"/>
        </w:rPr>
      </w:pPr>
    </w:p>
    <w:p>
      <w:pPr>
        <w:pStyle w:val="3"/>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3"/>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3"/>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（2）与供应商存在直接控股、管理关系的其他单位。</w:t>
      </w:r>
    </w:p>
    <w:p>
      <w:pPr>
        <w:pStyle w:val="4"/>
        <w:rPr>
          <w:rFonts w:hint="eastAsia" w:ascii="宋体" w:hAnsi="宋体" w:eastAsia="宋体" w:cs="宋体"/>
          <w:color w:val="auto"/>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19"/>
        <w:rPr>
          <w:rFonts w:hint="eastAsia" w:ascii="宋体" w:hAnsi="宋体" w:eastAsia="宋体" w:cs="宋体"/>
          <w:b/>
          <w:color w:val="auto"/>
          <w:kern w:val="0"/>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8" w:name="_Toc12074"/>
      <w:r>
        <w:rPr>
          <w:rFonts w:hint="eastAsia" w:ascii="宋体" w:hAnsi="宋体" w:eastAsia="宋体" w:cs="宋体"/>
          <w:color w:val="auto"/>
          <w:sz w:val="28"/>
          <w:szCs w:val="28"/>
          <w:highlight w:val="none"/>
          <w:lang w:val="en-US" w:eastAsia="zh-CN"/>
        </w:rPr>
        <w:t>8.供应商可提供有利于投标的其他证明材料（具体要求详见项目要求和综合评分表中的技术部分）</w:t>
      </w:r>
      <w:bookmarkEnd w:id="1068"/>
    </w:p>
    <w:p>
      <w:pPr>
        <w:pStyle w:val="3"/>
        <w:ind w:left="0" w:leftChars="0" w:firstLine="0" w:firstLineChars="0"/>
        <w:rPr>
          <w:rFonts w:hint="eastAsia" w:ascii="宋体" w:hAnsi="宋体" w:eastAsia="宋体" w:cs="宋体"/>
          <w:color w:val="auto"/>
          <w:sz w:val="24"/>
          <w:highlight w:val="none"/>
        </w:rPr>
      </w:pPr>
    </w:p>
    <w:p>
      <w:pPr>
        <w:pStyle w:val="4"/>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19"/>
        <w:rPr>
          <w:rFonts w:hint="eastAsia" w:ascii="宋体" w:hAnsi="宋体" w:eastAsia="宋体" w:cs="宋体"/>
          <w:color w:val="auto"/>
          <w:sz w:val="24"/>
          <w:highlight w:val="none"/>
        </w:rPr>
      </w:pPr>
    </w:p>
    <w:p>
      <w:pPr>
        <w:pStyle w:val="19"/>
        <w:rPr>
          <w:rFonts w:hint="eastAsia" w:ascii="宋体" w:hAnsi="宋体" w:eastAsia="宋体" w:cs="宋体"/>
          <w:color w:val="auto"/>
          <w:sz w:val="24"/>
          <w:highlight w:val="none"/>
        </w:rPr>
      </w:pPr>
    </w:p>
    <w:p>
      <w:pPr>
        <w:pStyle w:val="19"/>
        <w:rPr>
          <w:rFonts w:hint="eastAsia" w:ascii="宋体" w:hAnsi="宋体" w:eastAsia="宋体" w:cs="宋体"/>
          <w:color w:val="auto"/>
          <w:sz w:val="24"/>
          <w:highlight w:val="none"/>
        </w:rPr>
      </w:pPr>
    </w:p>
    <w:p>
      <w:pPr>
        <w:pStyle w:val="6"/>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69" w:name="_Toc29345"/>
      <w:r>
        <w:rPr>
          <w:rFonts w:hint="eastAsia" w:ascii="宋体" w:hAnsi="宋体" w:eastAsia="宋体" w:cs="宋体"/>
          <w:color w:val="auto"/>
          <w:sz w:val="28"/>
          <w:szCs w:val="28"/>
          <w:highlight w:val="none"/>
          <w:lang w:val="en-US" w:eastAsia="zh-CN"/>
        </w:rPr>
        <w:t>9.投标文件格式范本</w:t>
      </w:r>
      <w:bookmarkEnd w:id="1069"/>
    </w:p>
    <w:tbl>
      <w:tblPr>
        <w:tblStyle w:val="25"/>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（正本</w:t>
            </w:r>
            <w:r>
              <w:rPr>
                <w:rFonts w:hint="eastAsia" w:cs="宋体"/>
                <w:b/>
                <w:bCs/>
                <w:color w:val="auto"/>
                <w:sz w:val="28"/>
                <w:szCs w:val="28"/>
                <w:highlight w:val="none"/>
                <w:lang w:val="en-US" w:eastAsia="zh-CN"/>
              </w:rPr>
              <w:t>/</w:t>
            </w:r>
            <w:r>
              <w:rPr>
                <w:rFonts w:hint="eastAsia" w:ascii="宋体" w:hAnsi="宋体" w:eastAsia="宋体" w:cs="宋体"/>
                <w:b/>
                <w:bCs/>
                <w:color w:val="auto"/>
                <w:sz w:val="28"/>
                <w:szCs w:val="28"/>
                <w:highlight w:val="none"/>
              </w:rPr>
              <w:t>副本）</w:t>
            </w:r>
          </w:p>
          <w:p>
            <w:pPr>
              <w:pStyle w:val="9"/>
              <w:ind w:firstLine="4216" w:firstLineChars="1500"/>
              <w:rPr>
                <w:rFonts w:hint="eastAsia" w:ascii="宋体" w:hAnsi="宋体" w:eastAsia="宋体" w:cs="宋体"/>
                <w:b/>
                <w:bCs/>
                <w:color w:val="auto"/>
                <w:sz w:val="28"/>
                <w:szCs w:val="28"/>
                <w:highlight w:val="none"/>
              </w:rPr>
            </w:pPr>
          </w:p>
          <w:p>
            <w:pPr>
              <w:pStyle w:val="9"/>
              <w:ind w:firstLine="4216" w:firstLineChars="1500"/>
              <w:rPr>
                <w:rFonts w:hint="eastAsia" w:ascii="宋体" w:hAnsi="宋体" w:eastAsia="宋体" w:cs="宋体"/>
                <w:b/>
                <w:bCs/>
                <w:color w:val="auto"/>
                <w:sz w:val="28"/>
                <w:szCs w:val="28"/>
                <w:highlight w:val="none"/>
              </w:rPr>
            </w:pPr>
          </w:p>
          <w:p>
            <w:pPr>
              <w:pStyle w:val="9"/>
              <w:rPr>
                <w:rFonts w:hint="eastAsia" w:ascii="宋体" w:hAnsi="宋体" w:eastAsia="宋体" w:cs="宋体"/>
                <w:b/>
                <w:bCs/>
                <w:color w:val="auto"/>
                <w:sz w:val="28"/>
                <w:szCs w:val="28"/>
                <w:highlight w:val="none"/>
              </w:rPr>
            </w:pPr>
          </w:p>
          <w:p>
            <w:pPr>
              <w:pStyle w:val="9"/>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9"/>
              <w:jc w:val="center"/>
              <w:rPr>
                <w:rFonts w:hint="eastAsia" w:ascii="宋体" w:hAnsi="宋体" w:eastAsia="宋体" w:cs="宋体"/>
                <w:b/>
                <w:bCs/>
                <w:color w:val="auto"/>
                <w:sz w:val="21"/>
                <w:szCs w:val="21"/>
                <w:highlight w:val="none"/>
              </w:rPr>
            </w:pPr>
          </w:p>
          <w:p>
            <w:pPr>
              <w:rPr>
                <w:rFonts w:hint="eastAsia"/>
              </w:rPr>
            </w:pPr>
          </w:p>
          <w:p>
            <w:pPr>
              <w:pStyle w:val="9"/>
              <w:ind w:firstLine="2741" w:firstLineChars="1300"/>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编号 ＊＊＊      包号：＊＊＊</w:t>
            </w:r>
          </w:p>
          <w:p>
            <w:pPr>
              <w:pStyle w:val="9"/>
              <w:jc w:val="center"/>
              <w:rPr>
                <w:rFonts w:hint="eastAsia" w:ascii="宋体" w:hAnsi="宋体" w:eastAsia="宋体" w:cs="宋体"/>
                <w:b/>
                <w:bCs/>
                <w:color w:val="auto"/>
                <w:sz w:val="48"/>
                <w:highlight w:val="none"/>
              </w:rPr>
            </w:pPr>
          </w:p>
          <w:p>
            <w:pPr>
              <w:pStyle w:val="9"/>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3"/>
              <w:ind w:firstLine="0"/>
              <w:rPr>
                <w:rFonts w:hint="eastAsia" w:ascii="宋体" w:hAnsi="宋体" w:eastAsia="宋体" w:cs="宋体"/>
                <w:b/>
                <w:color w:val="auto"/>
                <w:sz w:val="32"/>
                <w:highlight w:val="none"/>
              </w:rPr>
            </w:pPr>
          </w:p>
          <w:p>
            <w:pPr>
              <w:pStyle w:val="3"/>
              <w:rPr>
                <w:rFonts w:hint="eastAsia" w:ascii="宋体" w:hAnsi="宋体" w:eastAsia="宋体" w:cs="宋体"/>
                <w:b/>
                <w:color w:val="auto"/>
                <w:sz w:val="32"/>
                <w:highlight w:val="none"/>
              </w:rPr>
            </w:pP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3"/>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注：在202</w:t>
            </w: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分</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spacing w:line="240" w:lineRule="atLeast"/>
        <w:jc w:val="cente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pStyle w:val="3"/>
        <w:outlineLvl w:val="9"/>
        <w:rPr>
          <w:rFonts w:hint="eastAsia" w:ascii="宋体" w:hAnsi="宋体" w:eastAsia="宋体" w:cs="宋体"/>
          <w:b/>
          <w:color w:val="auto"/>
          <w:sz w:val="44"/>
          <w:szCs w:val="44"/>
          <w:highlight w:val="none"/>
        </w:rPr>
      </w:pPr>
    </w:p>
    <w:p>
      <w:pPr>
        <w:pStyle w:val="4"/>
        <w:rPr>
          <w:rFonts w:hint="eastAsia"/>
        </w:rPr>
      </w:pPr>
    </w:p>
    <w:p>
      <w:pPr>
        <w:pStyle w:val="4"/>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rPr>
      </w:pPr>
    </w:p>
    <w:p>
      <w:pPr>
        <w:pStyle w:val="19"/>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1070" w:name="_Toc24900_WPSOffice_Level2"/>
    </w:p>
    <w:p>
      <w:pPr>
        <w:spacing w:line="360" w:lineRule="auto"/>
        <w:jc w:val="center"/>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bookmarkEnd w:id="1070"/>
      <w:r>
        <w:rPr>
          <w:rFonts w:hint="eastAsia" w:ascii="宋体" w:hAnsi="宋体" w:cs="宋体"/>
          <w:b/>
          <w:color w:val="auto"/>
          <w:sz w:val="40"/>
          <w:szCs w:val="40"/>
          <w:highlight w:val="none"/>
          <w:lang w:eastAsia="zh-CN"/>
        </w:rPr>
        <w:t>ZJ(GK)-22041</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3"/>
        <w:rPr>
          <w:rFonts w:hint="eastAsia" w:ascii="宋体" w:hAnsi="宋体" w:eastAsia="宋体" w:cs="宋体"/>
          <w:b/>
          <w:color w:val="auto"/>
          <w:sz w:val="44"/>
          <w:szCs w:val="36"/>
          <w:highlight w:val="none"/>
        </w:rPr>
      </w:pPr>
    </w:p>
    <w:p>
      <w:pPr>
        <w:pStyle w:val="4"/>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3"/>
        <w:rPr>
          <w:rFonts w:hint="eastAsia" w:ascii="宋体" w:hAnsi="宋体" w:eastAsia="宋体" w:cs="宋体"/>
          <w:b/>
          <w:color w:val="auto"/>
          <w:sz w:val="32"/>
          <w:highlight w:val="none"/>
        </w:rPr>
      </w:pPr>
    </w:p>
    <w:bookmarkEnd w:id="968"/>
    <w:bookmarkEnd w:id="969"/>
    <w:bookmarkEnd w:id="970"/>
    <w:bookmarkEnd w:id="971"/>
    <w:bookmarkEnd w:id="1000"/>
    <w:bookmarkEnd w:id="1001"/>
    <w:bookmarkEnd w:id="1002"/>
    <w:bookmarkEnd w:id="1003"/>
    <w:bookmarkEnd w:id="1004"/>
    <w:bookmarkEnd w:id="1005"/>
    <w:p>
      <w:pPr>
        <w:pStyle w:val="3"/>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Style w:val="37"/>
          <w:rFonts w:hint="eastAsia" w:ascii="宋体" w:hAnsi="宋体" w:eastAsia="宋体" w:cs="宋体"/>
          <w:color w:val="auto"/>
          <w:highlight w:val="none"/>
        </w:rPr>
      </w:pPr>
      <w:bookmarkStart w:id="1071" w:name="_Toc218935350"/>
      <w:bookmarkStart w:id="1072" w:name="_Toc29715"/>
      <w:bookmarkStart w:id="1073" w:name="_Toc515647829"/>
      <w:bookmarkStart w:id="1074" w:name="_Toc22081"/>
      <w:bookmarkStart w:id="1075" w:name="_Toc28765"/>
      <w:bookmarkStart w:id="1076" w:name="_Toc219175634"/>
      <w:bookmarkStart w:id="1077" w:name="_Toc16370"/>
      <w:bookmarkStart w:id="1078" w:name="_Toc507399902"/>
      <w:bookmarkStart w:id="1079" w:name="_Toc216582822"/>
      <w:r>
        <w:rPr>
          <w:rStyle w:val="37"/>
          <w:rFonts w:hint="eastAsia" w:ascii="宋体" w:hAnsi="宋体" w:eastAsia="宋体" w:cs="宋体"/>
          <w:color w:val="auto"/>
          <w:highlight w:val="none"/>
        </w:rPr>
        <w:br w:type="page"/>
      </w: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080" w:name="_Toc25446"/>
      <w:r>
        <w:rPr>
          <w:rFonts w:hint="eastAsia" w:ascii="宋体" w:hAnsi="宋体" w:eastAsia="宋体" w:cs="宋体"/>
          <w:b/>
          <w:bCs/>
          <w:color w:val="auto"/>
          <w:kern w:val="0"/>
          <w:sz w:val="32"/>
          <w:szCs w:val="32"/>
          <w:highlight w:val="none"/>
          <w:lang w:val="en-US" w:eastAsia="zh-CN" w:bidi="ar-SA"/>
        </w:rPr>
        <w:t>第3章</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投标邀请</w:t>
      </w:r>
      <w:bookmarkEnd w:id="1071"/>
      <w:bookmarkEnd w:id="1072"/>
      <w:bookmarkEnd w:id="1073"/>
      <w:bookmarkEnd w:id="1074"/>
      <w:bookmarkEnd w:id="1075"/>
      <w:bookmarkEnd w:id="1076"/>
      <w:bookmarkEnd w:id="1077"/>
      <w:bookmarkEnd w:id="1078"/>
      <w:bookmarkEnd w:id="1079"/>
      <w:bookmarkEnd w:id="1080"/>
      <w:bookmarkStart w:id="1081" w:name="_Toc31583"/>
      <w:bookmarkStart w:id="1082" w:name="_Toc10488"/>
      <w:bookmarkStart w:id="1083" w:name="_Toc515647830"/>
      <w:bookmarkStart w:id="1084" w:name="_Toc5272"/>
      <w:bookmarkStart w:id="1085" w:name="_Toc507399903"/>
      <w:bookmarkStart w:id="1086" w:name="_Toc216582823"/>
      <w:bookmarkStart w:id="1087" w:name="_Toc512937850"/>
    </w:p>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val="en-US" w:eastAsia="zh-CN"/>
        </w:rPr>
      </w:pPr>
      <w:bookmarkStart w:id="1088" w:name="_Toc29132"/>
      <w:r>
        <w:rPr>
          <w:rFonts w:hint="eastAsia" w:ascii="宋体" w:hAnsi="宋体" w:cs="宋体"/>
          <w:b/>
          <w:bCs/>
          <w:color w:val="auto"/>
          <w:sz w:val="32"/>
          <w:szCs w:val="32"/>
          <w:highlight w:val="none"/>
          <w:lang w:val="en-US" w:eastAsia="zh-CN"/>
        </w:rPr>
        <w:t>喀什地区第一人民医院大孔径CT及核磁设备采购项目</w:t>
      </w:r>
    </w:p>
    <w:p>
      <w:pPr>
        <w:keepNext w:val="0"/>
        <w:keepLines w:val="0"/>
        <w:pageBreakBefore w:val="0"/>
        <w:widowControl w:val="0"/>
        <w:tabs>
          <w:tab w:val="left" w:pos="0"/>
          <w:tab w:val="left" w:pos="3165"/>
          <w:tab w:val="center" w:pos="4153"/>
        </w:tabs>
        <w:kinsoku/>
        <w:wordWrap/>
        <w:overflowPunct/>
        <w:topLinePunct w:val="0"/>
        <w:autoSpaceDE/>
        <w:autoSpaceDN/>
        <w:bidi w:val="0"/>
        <w:adjustRightInd/>
        <w:snapToGrid/>
        <w:spacing w:before="0" w:after="0" w:line="480" w:lineRule="exact"/>
        <w:jc w:val="center"/>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u w:val="single"/>
          <w:lang w:val="en-US" w:eastAsia="zh-CN"/>
        </w:rPr>
        <w:t>喀什地区第一人民医院大孔径CT及核磁设备采购项目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2022年12月9日上午10点30分</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1089" w:name="_Toc35393621"/>
      <w:bookmarkStart w:id="1090" w:name="_Toc28359079"/>
      <w:bookmarkStart w:id="1091" w:name="_Toc35393790"/>
      <w:bookmarkStart w:id="1092" w:name="_Toc28217"/>
      <w:bookmarkStart w:id="1093" w:name="_Toc28359002"/>
      <w:bookmarkStart w:id="1094" w:name="_Hlk24379207"/>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1095" w:name="_Toc20970"/>
      <w:bookmarkStart w:id="1096" w:name="_Toc28253"/>
      <w:r>
        <w:rPr>
          <w:rFonts w:hint="eastAsia" w:ascii="宋体" w:hAnsi="宋体" w:eastAsia="宋体" w:cs="宋体"/>
          <w:b/>
          <w:bCs w:val="0"/>
          <w:color w:val="auto"/>
          <w:sz w:val="24"/>
          <w:szCs w:val="24"/>
          <w:highlight w:val="none"/>
        </w:rPr>
        <w:t>一、</w:t>
      </w:r>
      <w:bookmarkEnd w:id="1089"/>
      <w:bookmarkEnd w:id="1090"/>
      <w:bookmarkEnd w:id="1091"/>
      <w:bookmarkEnd w:id="1092"/>
      <w:bookmarkEnd w:id="1093"/>
      <w:r>
        <w:rPr>
          <w:rFonts w:hint="eastAsia" w:ascii="宋体" w:hAnsi="宋体" w:eastAsia="宋体" w:cs="宋体"/>
          <w:b/>
          <w:bCs w:val="0"/>
          <w:color w:val="auto"/>
          <w:sz w:val="24"/>
          <w:szCs w:val="24"/>
          <w:highlight w:val="none"/>
        </w:rPr>
        <w:t>项目基本情况</w:t>
      </w:r>
      <w:bookmarkEnd w:id="1095"/>
      <w:bookmarkEnd w:id="1096"/>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ZJ(GK)-220</w:t>
      </w:r>
      <w:r>
        <w:rPr>
          <w:rFonts w:hint="eastAsia" w:ascii="宋体" w:hAnsi="宋体" w:cs="宋体"/>
          <w:color w:val="auto"/>
          <w:sz w:val="24"/>
          <w:szCs w:val="24"/>
          <w:highlight w:val="none"/>
          <w:lang w:val="en-US" w:eastAsia="zh-CN"/>
        </w:rPr>
        <w:t>41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项目名称：</w:t>
      </w:r>
      <w:bookmarkEnd w:id="1094"/>
      <w:r>
        <w:rPr>
          <w:rFonts w:hint="eastAsia" w:ascii="宋体" w:hAnsi="宋体" w:cs="宋体"/>
          <w:color w:val="auto"/>
          <w:sz w:val="24"/>
          <w:szCs w:val="24"/>
          <w:highlight w:val="none"/>
          <w:lang w:val="en-US" w:eastAsia="zh-CN"/>
        </w:rPr>
        <w:t>喀什地区第一人民医院大孔径CT及核磁设备采购项目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总预算金额（元）：2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000000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最高限价（元）：2</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000000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第一包：大孔径CT模拟定位机（1套、国产）；预算金额：800万元；</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第二包：1.5T核磁设备（1套、国产）；预算金额：1</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00万元。</w:t>
      </w:r>
    </w:p>
    <w:p>
      <w:pPr>
        <w:keepNext w:val="0"/>
        <w:keepLines w:val="0"/>
        <w:pageBreakBefore w:val="0"/>
        <w:widowControl w:val="0"/>
        <w:kinsoku/>
        <w:wordWrap/>
        <w:overflowPunct/>
        <w:topLinePunct w:val="0"/>
        <w:autoSpaceDE/>
        <w:autoSpaceDN/>
        <w:bidi w:val="0"/>
        <w:adjustRightInd/>
        <w:snapToGrid/>
        <w:spacing w:line="480" w:lineRule="exact"/>
        <w:ind w:left="239" w:leftChars="114" w:firstLine="33" w:firstLineChars="14"/>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数量规格参数详见招标文件</w:t>
      </w:r>
      <w:r>
        <w:rPr>
          <w:rFonts w:hint="eastAsia" w:ascii="宋体" w:hAnsi="宋体" w:eastAsia="宋体" w:cs="宋体"/>
          <w:b w:val="0"/>
          <w:bCs w:val="0"/>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本项目不接受联合体投标。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color w:val="auto"/>
          <w:sz w:val="24"/>
          <w:szCs w:val="24"/>
          <w:highlight w:val="none"/>
        </w:rPr>
      </w:pPr>
      <w:bookmarkStart w:id="1097" w:name="_Toc35393622"/>
      <w:bookmarkStart w:id="1098" w:name="_Toc28359003"/>
      <w:bookmarkStart w:id="1099" w:name="_Toc1145"/>
      <w:bookmarkStart w:id="1100" w:name="_Toc13688"/>
      <w:bookmarkStart w:id="1101" w:name="_Toc28359080"/>
      <w:bookmarkStart w:id="1102" w:name="_Toc35393791"/>
      <w:bookmarkStart w:id="1103" w:name="_Toc29506"/>
      <w:bookmarkStart w:id="1104" w:name="_Toc19260"/>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1097"/>
      <w:bookmarkEnd w:id="1098"/>
      <w:bookmarkEnd w:id="1099"/>
      <w:bookmarkEnd w:id="1100"/>
      <w:bookmarkEnd w:id="1101"/>
      <w:bookmarkEnd w:id="1102"/>
      <w:bookmarkEnd w:id="1103"/>
      <w:bookmarkEnd w:id="1104"/>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bookmarkStart w:id="1105" w:name="_Toc27678"/>
      <w:bookmarkStart w:id="1106" w:name="_Toc35393792"/>
      <w:bookmarkStart w:id="1107" w:name="_Toc35393623"/>
      <w:bookmarkStart w:id="1108" w:name="_Toc32226"/>
      <w:bookmarkStart w:id="1109" w:name="_Toc28359004"/>
      <w:bookmarkStart w:id="1110" w:name="_Toc28359081"/>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具有有效的营业执照</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（2）法定代表人资格证明及授权书、被授权人身份证(法定代表人投标需提供法定代表人身份证)；</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提供近两年内任意一年的财务审计报告</w:t>
      </w:r>
      <w:r>
        <w:rPr>
          <w:rFonts w:hint="eastAsia" w:ascii="宋体" w:hAnsi="宋体" w:eastAsia="宋体" w:cs="宋体"/>
          <w:color w:val="auto"/>
          <w:sz w:val="24"/>
          <w:szCs w:val="24"/>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）依法缴纳近六个月内任意一个月社会保险的凭据；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）税务部门出具的近六个月内任意一个月的完税证明；</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）提供针对本次项目的《反商业贿赂承诺书》</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80" w:lineRule="exact"/>
        <w:ind w:left="42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提供《医疗器械生产许可证》或《医疗器械经营许可证》及医疗器械注册证</w:t>
      </w:r>
      <w:r>
        <w:rPr>
          <w:rFonts w:hint="eastAsia" w:ascii="宋体" w:hAnsi="宋体" w:eastAsia="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105"/>
      <w:bookmarkEnd w:id="1106"/>
      <w:bookmarkEnd w:id="1107"/>
      <w:bookmarkEnd w:id="1108"/>
      <w:bookmarkEnd w:id="1109"/>
      <w:bookmarkEnd w:id="1110"/>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2022年11月17日至2022年12月2日</w:t>
      </w:r>
      <w:r>
        <w:rPr>
          <w:rFonts w:hint="eastAsia" w:ascii="宋体" w:hAnsi="宋体" w:eastAsia="宋体" w:cs="宋体"/>
          <w:color w:val="auto"/>
          <w:sz w:val="24"/>
          <w:szCs w:val="24"/>
          <w:highlight w:val="none"/>
        </w:rPr>
        <w:t>，每天上午10:00至14:00，下午1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0至</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bookmarkStart w:id="1111" w:name="_Toc28359005"/>
      <w:bookmarkStart w:id="1112" w:name="_Toc28359082"/>
      <w:bookmarkStart w:id="1113" w:name="_Toc9047"/>
      <w:bookmarkStart w:id="1114" w:name="_Toc2422"/>
      <w:bookmarkStart w:id="1115" w:name="_Toc35393624"/>
      <w:bookmarkStart w:id="1116" w:name="_Toc2532"/>
      <w:bookmarkStart w:id="1117" w:name="_Toc35393793"/>
      <w:bookmarkStart w:id="1118" w:name="_Toc952"/>
      <w:r>
        <w:rPr>
          <w:rFonts w:hint="eastAsia" w:ascii="宋体" w:hAnsi="宋体" w:eastAsia="宋体" w:cs="宋体"/>
          <w:b/>
          <w:bCs w:val="0"/>
          <w:color w:val="auto"/>
          <w:sz w:val="24"/>
          <w:szCs w:val="24"/>
          <w:highlight w:val="none"/>
        </w:rPr>
        <w:t>四、提交投标文件</w:t>
      </w:r>
      <w:bookmarkEnd w:id="1111"/>
      <w:bookmarkEnd w:id="1112"/>
      <w:r>
        <w:rPr>
          <w:rFonts w:hint="eastAsia" w:ascii="宋体" w:hAnsi="宋体" w:eastAsia="宋体" w:cs="宋体"/>
          <w:b/>
          <w:bCs w:val="0"/>
          <w:color w:val="auto"/>
          <w:sz w:val="24"/>
          <w:szCs w:val="24"/>
          <w:highlight w:val="none"/>
        </w:rPr>
        <w:t>截止时间、开标时间和地点</w:t>
      </w:r>
      <w:bookmarkEnd w:id="1113"/>
      <w:bookmarkEnd w:id="1114"/>
      <w:bookmarkEnd w:id="1115"/>
      <w:bookmarkEnd w:id="1116"/>
      <w:bookmarkEnd w:id="1117"/>
      <w:bookmarkEnd w:id="1118"/>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提交投标文件截止</w:t>
      </w:r>
      <w:r>
        <w:rPr>
          <w:rFonts w:hint="eastAsia" w:ascii="宋体" w:hAnsi="宋体" w:eastAsia="宋体" w:cs="宋体"/>
          <w:color w:val="auto"/>
          <w:sz w:val="24"/>
          <w:szCs w:val="24"/>
          <w:highlight w:val="none"/>
        </w:rPr>
        <w:t>时间：</w:t>
      </w:r>
      <w:bookmarkStart w:id="1119" w:name="_Toc35393625"/>
      <w:bookmarkStart w:id="1120" w:name="_Toc28359084"/>
      <w:bookmarkStart w:id="1121" w:name="_Toc35393794"/>
      <w:bookmarkStart w:id="1122" w:name="_Toc28359007"/>
      <w:r>
        <w:rPr>
          <w:rFonts w:hint="eastAsia" w:ascii="宋体" w:hAnsi="宋体" w:cs="宋体"/>
          <w:color w:val="auto"/>
          <w:sz w:val="24"/>
          <w:szCs w:val="24"/>
          <w:highlight w:val="none"/>
          <w:lang w:eastAsia="zh-CN"/>
        </w:rPr>
        <w:t>2022年12月9日上午10点30分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地点：</w:t>
      </w:r>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w:t>
      </w:r>
      <w:r>
        <w:rPr>
          <w:rFonts w:hint="eastAsia" w:ascii="宋体" w:hAnsi="宋体" w:cs="宋体"/>
          <w:color w:val="auto"/>
          <w:sz w:val="24"/>
          <w:szCs w:val="24"/>
          <w:highlight w:val="none"/>
          <w:lang w:eastAsia="zh-CN"/>
        </w:rPr>
        <w:t>2022年12月9日上午10点30分</w:t>
      </w:r>
      <w:r>
        <w:rPr>
          <w:rFonts w:hint="eastAsia" w:ascii="宋体" w:hAnsi="宋体" w:eastAsia="宋体" w:cs="宋体"/>
          <w:color w:val="auto"/>
          <w:sz w:val="24"/>
          <w:szCs w:val="24"/>
          <w:highlight w:val="none"/>
          <w:lang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开标地点：</w:t>
      </w:r>
      <w:bookmarkStart w:id="1123" w:name="_Toc30400"/>
      <w:bookmarkStart w:id="1124" w:name="_Toc23672"/>
      <w:bookmarkStart w:id="1125" w:name="_Toc32108"/>
      <w:bookmarkStart w:id="1126" w:name="_Toc20863"/>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五、公告期限</w:t>
      </w:r>
      <w:bookmarkEnd w:id="1119"/>
      <w:bookmarkEnd w:id="1120"/>
      <w:bookmarkEnd w:id="1121"/>
      <w:bookmarkEnd w:id="1122"/>
      <w:bookmarkEnd w:id="1123"/>
      <w:bookmarkEnd w:id="1124"/>
      <w:bookmarkEnd w:id="1125"/>
      <w:bookmarkEnd w:id="1126"/>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firstLine="5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9"/>
        <w:rPr>
          <w:rFonts w:hint="eastAsia" w:ascii="宋体" w:hAnsi="宋体" w:eastAsia="宋体" w:cs="宋体"/>
          <w:b/>
          <w:bCs w:val="0"/>
          <w:color w:val="auto"/>
          <w:sz w:val="24"/>
          <w:szCs w:val="24"/>
          <w:highlight w:val="none"/>
        </w:rPr>
      </w:pPr>
      <w:bookmarkStart w:id="1127" w:name="_Toc35393626"/>
      <w:bookmarkStart w:id="1128" w:name="_Toc35393795"/>
      <w:bookmarkStart w:id="1129" w:name="_Toc647"/>
      <w:bookmarkStart w:id="1130" w:name="_Toc18258"/>
      <w:bookmarkStart w:id="1131" w:name="_Toc999"/>
      <w:bookmarkStart w:id="1132" w:name="_Toc13675"/>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1127"/>
      <w:bookmarkEnd w:id="1128"/>
      <w:bookmarkStart w:id="1133" w:name="_Toc28359085"/>
      <w:bookmarkStart w:id="1134" w:name="_Toc28359008"/>
      <w:bookmarkStart w:id="1135" w:name="_Toc35393796"/>
      <w:bookmarkStart w:id="1136" w:name="_Toc35393627"/>
      <w:r>
        <w:rPr>
          <w:rFonts w:hint="eastAsia" w:ascii="宋体" w:hAnsi="宋体" w:eastAsia="宋体" w:cs="宋体"/>
          <w:b/>
          <w:bCs w:val="0"/>
          <w:color w:val="auto"/>
          <w:sz w:val="24"/>
          <w:szCs w:val="24"/>
          <w:highlight w:val="none"/>
        </w:rPr>
        <w:t>对本次采购提出询问，请按以下方式联系。</w:t>
      </w:r>
      <w:bookmarkEnd w:id="1129"/>
      <w:bookmarkEnd w:id="1130"/>
      <w:bookmarkEnd w:id="1131"/>
      <w:bookmarkEnd w:id="1132"/>
      <w:bookmarkEnd w:id="1133"/>
      <w:bookmarkEnd w:id="1134"/>
      <w:bookmarkEnd w:id="1135"/>
      <w:bookmarkEnd w:id="1136"/>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bookmarkStart w:id="1137" w:name="_Toc28359010"/>
      <w:bookmarkStart w:id="1138" w:name="_Toc28359087"/>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称：喀什地区第一人民医院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址：喀什地区喀什市迎宾大道120号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人：丁芸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：0998-2962911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称：中经国际招标集团有限公司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址：喀什经济开发区深圳城3号楼12层1204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 系 人：王丽娟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w:t>
      </w:r>
      <w:r>
        <w:rPr>
          <w:rFonts w:hint="eastAsia" w:ascii="宋体" w:hAnsi="宋体" w:eastAsia="宋体" w:cs="宋体"/>
          <w:color w:val="auto"/>
          <w:kern w:val="0"/>
          <w:sz w:val="24"/>
          <w:szCs w:val="24"/>
          <w:highlight w:val="none"/>
          <w:lang w:val="en-US" w:eastAsia="zh-CN"/>
        </w:rPr>
        <w:t>电话</w:t>
      </w:r>
      <w:r>
        <w:rPr>
          <w:rFonts w:hint="eastAsia" w:ascii="宋体" w:hAnsi="宋体" w:eastAsia="宋体" w:cs="宋体"/>
          <w:color w:val="auto"/>
          <w:kern w:val="0"/>
          <w:sz w:val="24"/>
          <w:szCs w:val="24"/>
          <w:highlight w:val="none"/>
        </w:rPr>
        <w:t xml:space="preserve">：15099650569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3.同级政府采购监督管理部门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名    称：喀什地区财政局政府采购管理办公室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    址：喀什地区财政局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监督投诉电话：0998-2597200  　　　　　　　</w:t>
      </w:r>
    </w:p>
    <w:p>
      <w:pPr>
        <w:keepNext w:val="0"/>
        <w:keepLines w:val="0"/>
        <w:pageBreakBefore w:val="0"/>
        <w:widowControl w:val="0"/>
        <w:kinsoku/>
        <w:wordWrap/>
        <w:overflowPunct/>
        <w:topLinePunct w:val="0"/>
        <w:autoSpaceDE/>
        <w:autoSpaceDN/>
        <w:bidi w:val="0"/>
        <w:adjustRightInd/>
        <w:snapToGrid/>
        <w:spacing w:before="360" w:after="120" w:line="480" w:lineRule="exact"/>
        <w:jc w:val="left"/>
        <w:textAlignment w:val="auto"/>
        <w:outlineLvl w:val="9"/>
        <w:rPr>
          <w:rFonts w:hint="eastAsia" w:ascii="宋体" w:hAnsi="宋体" w:eastAsia="宋体" w:cs="宋体"/>
          <w:kern w:val="2"/>
          <w:sz w:val="24"/>
          <w:szCs w:val="24"/>
          <w:highlight w:val="none"/>
          <w:u w:val="singl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bookmarkEnd w:id="1137"/>
      <w:bookmarkEnd w:id="1138"/>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中经国际招标集团有限公司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rPr>
      </w:pPr>
    </w:p>
    <w:p>
      <w:pPr>
        <w:pStyle w:val="19"/>
        <w:rPr>
          <w:rFonts w:hint="eastAsia" w:ascii="宋体" w:hAnsi="宋体" w:eastAsia="宋体" w:cs="宋体"/>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5"/>
        <w:tabs>
          <w:tab w:val="left" w:pos="0"/>
        </w:tabs>
        <w:spacing w:before="0" w:after="0" w:line="240" w:lineRule="atLeast"/>
        <w:rPr>
          <w:rFonts w:hint="eastAsia" w:ascii="宋体" w:hAnsi="宋体" w:eastAsia="宋体" w:cs="宋体"/>
          <w:b/>
          <w:bCs/>
          <w:color w:val="auto"/>
          <w:szCs w:val="32"/>
          <w:highlight w:val="none"/>
        </w:rPr>
      </w:pPr>
      <w:bookmarkStart w:id="1139" w:name="_Toc21013"/>
      <w:r>
        <w:rPr>
          <w:rFonts w:hint="eastAsia" w:ascii="宋体" w:hAnsi="宋体" w:eastAsia="宋体" w:cs="宋体"/>
          <w:b/>
          <w:bCs/>
          <w:color w:val="auto"/>
          <w:kern w:val="0"/>
          <w:sz w:val="32"/>
          <w:szCs w:val="32"/>
          <w:highlight w:val="none"/>
          <w:lang w:val="en-US" w:eastAsia="zh-CN" w:bidi="ar-SA"/>
        </w:rPr>
        <w:t>第4章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供应商须知资料表</w:t>
      </w:r>
      <w:bookmarkEnd w:id="1081"/>
      <w:bookmarkEnd w:id="1082"/>
      <w:bookmarkEnd w:id="1083"/>
      <w:bookmarkEnd w:id="1084"/>
      <w:bookmarkEnd w:id="1085"/>
      <w:bookmarkEnd w:id="1086"/>
      <w:bookmarkEnd w:id="1087"/>
      <w:bookmarkEnd w:id="1088"/>
      <w:bookmarkEnd w:id="1139"/>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25"/>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78"/>
        <w:gridCol w:w="78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u w:val="single"/>
                <w:lang w:eastAsia="zh-CN"/>
              </w:rPr>
              <w:t>喀什地区第一人民医院　　</w:t>
            </w:r>
            <w:r>
              <w:rPr>
                <w:rFonts w:hint="eastAsia" w:ascii="宋体" w:hAnsi="宋体" w:eastAsia="宋体" w:cs="宋体"/>
                <w:color w:val="auto"/>
                <w:sz w:val="24"/>
                <w:szCs w:val="24"/>
                <w:highlight w:val="none"/>
                <w:u w:val="single"/>
              </w:rPr>
              <w:t>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丁芸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0998-2962911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u w:val="single"/>
                <w:lang w:eastAsia="zh-CN"/>
              </w:rPr>
              <w:t>中经国际招标集团有限公司</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喀什经济开发区深圳城3号楼12层1204</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业务联系人：</w:t>
            </w:r>
            <w:r>
              <w:rPr>
                <w:rFonts w:hint="eastAsia" w:ascii="宋体" w:hAnsi="宋体" w:eastAsia="宋体" w:cs="宋体"/>
                <w:color w:val="auto"/>
                <w:sz w:val="24"/>
                <w:szCs w:val="24"/>
                <w:highlight w:val="none"/>
                <w:u w:val="single"/>
                <w:lang w:eastAsia="zh-CN"/>
              </w:rPr>
              <w:t>王丽娟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 </w:t>
            </w:r>
            <w:r>
              <w:rPr>
                <w:rFonts w:hint="eastAsia" w:ascii="宋体" w:hAnsi="宋体" w:eastAsia="宋体" w:cs="宋体"/>
                <w:color w:val="auto"/>
                <w:sz w:val="24"/>
                <w:szCs w:val="24"/>
                <w:highlight w:val="none"/>
                <w:u w:val="single"/>
                <w:lang w:eastAsia="zh-CN"/>
              </w:rPr>
              <w:t>15099650569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7882" w:type="dxa"/>
            <w:vAlign w:val="center"/>
          </w:tcPr>
          <w:p>
            <w:pPr>
              <w:keepNext w:val="0"/>
              <w:keepLines w:val="0"/>
              <w:pageBreakBefore w:val="0"/>
              <w:widowControl/>
              <w:shd w:val="clea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合格供应商的其他资格要求：</w:t>
            </w:r>
            <w:r>
              <w:rPr>
                <w:rFonts w:hint="eastAsia" w:ascii="宋体" w:hAnsi="宋体" w:eastAsia="宋体" w:cs="宋体"/>
                <w:b/>
                <w:bCs/>
                <w:color w:val="auto"/>
                <w:sz w:val="24"/>
                <w:szCs w:val="24"/>
                <w:highlight w:val="none"/>
                <w:lang w:val="en-US" w:eastAsia="zh-CN"/>
              </w:rPr>
              <w:t>（须将以下资格证明材料附在投标文件中）</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（1）</w:t>
            </w:r>
            <w:r>
              <w:rPr>
                <w:rFonts w:hint="eastAsia" w:ascii="宋体" w:hAnsi="宋体" w:cs="宋体"/>
                <w:b/>
                <w:bCs/>
                <w:i w:val="0"/>
                <w:caps w:val="0"/>
                <w:color w:val="auto"/>
                <w:spacing w:val="0"/>
                <w:w w:val="100"/>
                <w:sz w:val="24"/>
                <w:szCs w:val="24"/>
                <w:highlight w:val="none"/>
                <w:lang w:val="en-US" w:eastAsia="zh-CN"/>
              </w:rPr>
              <w:t>具有有效的营业执照</w:t>
            </w:r>
            <w:r>
              <w:rPr>
                <w:rFonts w:hint="eastAsia" w:ascii="宋体" w:hAnsi="宋体" w:eastAsia="宋体" w:cs="宋体"/>
                <w:b/>
                <w:bCs/>
                <w:i w:val="0"/>
                <w:caps w:val="0"/>
                <w:color w:val="auto"/>
                <w:spacing w:val="0"/>
                <w:w w:val="100"/>
                <w:sz w:val="24"/>
                <w:szCs w:val="24"/>
                <w:highlight w:val="none"/>
                <w:lang w:val="en-US" w:eastAsia="zh-CN"/>
              </w:rPr>
              <w:t>；</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（2）法定代表人资格证明及授权书、被授权人身份证(法定代表人投标需提供法定代表人身份证)；</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（3）</w:t>
            </w:r>
            <w:r>
              <w:rPr>
                <w:rFonts w:hint="eastAsia" w:ascii="宋体" w:hAnsi="宋体" w:cs="宋体"/>
                <w:b/>
                <w:bCs/>
                <w:i w:val="0"/>
                <w:caps w:val="0"/>
                <w:color w:val="auto"/>
                <w:spacing w:val="0"/>
                <w:w w:val="100"/>
                <w:sz w:val="24"/>
                <w:szCs w:val="24"/>
                <w:highlight w:val="none"/>
                <w:lang w:val="en-US" w:eastAsia="zh-CN"/>
              </w:rPr>
              <w:t>提供《医疗器械生产许可证》或《医疗器械经营许可证》及医疗器械注册证</w:t>
            </w:r>
            <w:r>
              <w:rPr>
                <w:rFonts w:hint="eastAsia" w:ascii="宋体" w:hAnsi="宋体" w:eastAsia="宋体" w:cs="宋体"/>
                <w:b/>
                <w:bCs/>
                <w:i w:val="0"/>
                <w:caps w:val="0"/>
                <w:color w:val="auto"/>
                <w:spacing w:val="0"/>
                <w:w w:val="100"/>
                <w:sz w:val="24"/>
                <w:szCs w:val="24"/>
                <w:highlight w:val="none"/>
                <w:lang w:val="en-US" w:eastAsia="zh-CN"/>
              </w:rPr>
              <w:t>；</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（4）</w:t>
            </w:r>
            <w:r>
              <w:rPr>
                <w:rFonts w:hint="eastAsia" w:ascii="宋体" w:hAnsi="宋体" w:cs="宋体"/>
                <w:b/>
                <w:bCs/>
                <w:i w:val="0"/>
                <w:caps w:val="0"/>
                <w:color w:val="auto"/>
                <w:spacing w:val="0"/>
                <w:w w:val="100"/>
                <w:sz w:val="24"/>
                <w:szCs w:val="24"/>
                <w:highlight w:val="none"/>
                <w:lang w:val="en-US" w:eastAsia="zh-CN"/>
              </w:rPr>
              <w:t>提供近两年内任意一年的财务审计报告</w:t>
            </w:r>
            <w:r>
              <w:rPr>
                <w:rFonts w:hint="eastAsia" w:ascii="宋体" w:hAnsi="宋体" w:eastAsia="宋体" w:cs="宋体"/>
                <w:b/>
                <w:bCs/>
                <w:i w:val="0"/>
                <w:caps w:val="0"/>
                <w:color w:val="auto"/>
                <w:spacing w:val="0"/>
                <w:w w:val="100"/>
                <w:sz w:val="24"/>
                <w:szCs w:val="24"/>
                <w:highlight w:val="none"/>
                <w:lang w:val="en-US" w:eastAsia="zh-CN"/>
              </w:rPr>
              <w:t>；</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（5）依法缴纳近六个月内任意一个月社会保险的凭据；</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（6）税务部门出具的近六个月内任意一个月的完税证明；</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（8）参与政府采购活动前3年内未被列入失信、重大税收违法案件、财政部门禁止参加政府采购活动的承诺书；</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（9）提供针对本次项目的《反商业贿赂承诺书》；</w:t>
            </w:r>
          </w:p>
          <w:p>
            <w:pPr>
              <w:pStyle w:val="19"/>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（10）缴纳投标保证金的有效凭证。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税务部门出具的近六个月内任意一个月的完税证明”，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提示：上述资质开标现场能够通过官方网络查证的，均视为合格供应商。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firstLine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7882" w:type="dxa"/>
            <w:vAlign w:val="center"/>
          </w:tcPr>
          <w:p>
            <w:pPr>
              <w:pStyle w:val="13"/>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hAnsi="宋体" w:cs="宋体"/>
                <w:b/>
                <w:bCs/>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是否为专门面向中小企业采购：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（是、否）</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潜在投标企业属于中小微企业的，请在投标文件中提供“中小企业声明函”，如果未提供或提供虚假的“中小企业声明函”，投标企业将承担由此造成的一切不利后果。</w:t>
            </w:r>
            <w:r>
              <w:rPr>
                <w:rFonts w:hint="eastAsia" w:ascii="宋体" w:hAnsi="宋体" w:eastAsia="宋体" w:cs="宋体"/>
                <w:b/>
                <w:bCs/>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项目总预算金额：2</w:t>
            </w:r>
            <w:r>
              <w:rPr>
                <w:rFonts w:hint="eastAsia" w:ascii="宋体" w:hAnsi="宋体" w:cs="宋体"/>
                <w:b/>
                <w:bCs/>
                <w:color w:val="auto"/>
                <w:kern w:val="2"/>
                <w:sz w:val="24"/>
                <w:szCs w:val="24"/>
                <w:highlight w:val="none"/>
                <w:lang w:val="en-US" w:eastAsia="zh-CN" w:bidi="ar-SA"/>
              </w:rPr>
              <w:t>0</w:t>
            </w:r>
            <w:r>
              <w:rPr>
                <w:rFonts w:hint="eastAsia" w:ascii="宋体" w:hAnsi="宋体" w:eastAsia="宋体" w:cs="宋体"/>
                <w:b/>
                <w:bCs/>
                <w:color w:val="auto"/>
                <w:kern w:val="2"/>
                <w:sz w:val="24"/>
                <w:szCs w:val="24"/>
                <w:highlight w:val="none"/>
                <w:lang w:val="en-US" w:eastAsia="zh-CN" w:bidi="ar-SA"/>
              </w:rPr>
              <w:t>00</w:t>
            </w:r>
            <w:r>
              <w:rPr>
                <w:rFonts w:hint="eastAsia" w:ascii="宋体" w:hAnsi="宋体" w:eastAsia="宋体" w:cs="宋体"/>
                <w:b/>
                <w:bCs/>
                <w:color w:val="auto"/>
                <w:sz w:val="24"/>
                <w:szCs w:val="24"/>
                <w:highlight w:val="none"/>
                <w:lang w:val="en-US" w:eastAsia="zh-CN"/>
              </w:rPr>
              <w:t>万元</w:t>
            </w:r>
            <w:r>
              <w:rPr>
                <w:rFonts w:hint="eastAsia" w:ascii="宋体" w:hAnsi="宋体" w:cs="宋体"/>
                <w:b/>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第一包</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大孔径CT模拟定位机（1套、国产）</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预算金额：800万元；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第二包</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1.5T核磁设备（1套、国产）</w:t>
            </w:r>
            <w:r>
              <w:rPr>
                <w:rFonts w:hint="eastAsia" w:ascii="宋体" w:hAnsi="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SA"/>
              </w:rPr>
              <w:t>预算金额：1</w:t>
            </w: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00万元。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12.1</w:t>
            </w:r>
          </w:p>
        </w:tc>
        <w:tc>
          <w:tcPr>
            <w:tcW w:w="788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b w:val="0"/>
                <w:bCs w:val="0"/>
                <w:color w:val="auto"/>
                <w:sz w:val="24"/>
                <w:szCs w:val="24"/>
                <w:highlight w:val="none"/>
                <w:lang w:val="en-US" w:eastAsia="zh-CN"/>
              </w:rPr>
              <w:t>形式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电汇  □支票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对公转账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（以“保函”形式提交投标保证金的，投标文件须同时放保函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否则按无效投标保证金处理</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第一包：</w:t>
            </w: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60000</w:t>
            </w:r>
            <w:r>
              <w:rPr>
                <w:rFonts w:hint="eastAsia" w:ascii="宋体" w:hAnsi="宋体" w:eastAsia="宋体" w:cs="宋体"/>
                <w:b/>
                <w:bCs/>
                <w:color w:val="auto"/>
                <w:sz w:val="24"/>
                <w:szCs w:val="24"/>
                <w:highlight w:val="none"/>
              </w:rPr>
              <w:t>元（人民币</w:t>
            </w:r>
            <w:r>
              <w:rPr>
                <w:rFonts w:hint="eastAsia" w:ascii="宋体" w:hAnsi="宋体" w:cs="宋体"/>
                <w:b/>
                <w:bCs/>
                <w:color w:val="auto"/>
                <w:sz w:val="24"/>
                <w:szCs w:val="24"/>
                <w:highlight w:val="none"/>
                <w:lang w:val="en-US" w:eastAsia="zh-CN"/>
              </w:rPr>
              <w:t>壹拾陆万元整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第二包：</w:t>
            </w:r>
            <w:r>
              <w:rPr>
                <w:rFonts w:hint="eastAsia" w:ascii="宋体" w:hAnsi="宋体" w:eastAsia="宋体" w:cs="宋体"/>
                <w:b/>
                <w:bCs/>
                <w:color w:val="auto"/>
                <w:sz w:val="24"/>
                <w:szCs w:val="24"/>
                <w:highlight w:val="none"/>
              </w:rPr>
              <w:t>小写：¥</w:t>
            </w:r>
            <w:r>
              <w:rPr>
                <w:rFonts w:hint="eastAsia" w:ascii="宋体" w:hAnsi="宋体" w:cs="宋体"/>
                <w:b/>
                <w:bCs/>
                <w:color w:val="auto"/>
                <w:sz w:val="24"/>
                <w:szCs w:val="24"/>
                <w:highlight w:val="none"/>
                <w:lang w:val="en-US" w:eastAsia="zh-CN"/>
              </w:rPr>
              <w:t>240</w:t>
            </w:r>
            <w:r>
              <w:rPr>
                <w:rFonts w:hint="eastAsia" w:ascii="宋体" w:hAnsi="宋体" w:eastAsia="宋体" w:cs="宋体"/>
                <w:b/>
                <w:bCs/>
                <w:color w:val="auto"/>
                <w:sz w:val="24"/>
                <w:szCs w:val="24"/>
                <w:highlight w:val="none"/>
                <w:lang w:val="en-US" w:eastAsia="zh-CN"/>
              </w:rPr>
              <w:t>000</w:t>
            </w:r>
            <w:r>
              <w:rPr>
                <w:rFonts w:hint="eastAsia" w:ascii="宋体" w:hAnsi="宋体" w:eastAsia="宋体" w:cs="宋体"/>
                <w:b/>
                <w:bCs/>
                <w:color w:val="auto"/>
                <w:sz w:val="24"/>
                <w:szCs w:val="24"/>
                <w:highlight w:val="none"/>
              </w:rPr>
              <w:t>元（人民币</w:t>
            </w:r>
            <w:r>
              <w:rPr>
                <w:rFonts w:hint="eastAsia" w:ascii="宋体" w:hAnsi="宋体" w:cs="宋体"/>
                <w:b/>
                <w:bCs/>
                <w:color w:val="auto"/>
                <w:sz w:val="24"/>
                <w:szCs w:val="24"/>
                <w:highlight w:val="none"/>
                <w:lang w:val="en-US" w:eastAsia="zh-CN"/>
              </w:rPr>
              <w:t>贰拾肆万元整</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保证金收款人：</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单位名称：中经国际招标集团有限公司喀什分公司</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 户 行：乌鲁木齐银行喀什分行营业部</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号：0000020070110051349823（电汇时请在汇款备注栏注明项目名称及包号（如有），并注明是投标保证金，否则视为无效投标保证金）     </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   号：313894000405</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财务室联系人及联系方式：15099650569</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A:缴纳</w:t>
            </w:r>
            <w:r>
              <w:rPr>
                <w:rFonts w:hint="eastAsia" w:ascii="宋体" w:hAnsi="宋体" w:eastAsia="宋体" w:cs="宋体"/>
                <w:b w:val="0"/>
                <w:bCs w:val="0"/>
                <w:color w:val="auto"/>
                <w:sz w:val="24"/>
                <w:szCs w:val="24"/>
                <w:highlight w:val="none"/>
                <w:lang w:val="en-US" w:eastAsia="zh-CN"/>
              </w:rPr>
              <w:t>投标保证金</w:t>
            </w:r>
            <w:r>
              <w:rPr>
                <w:rFonts w:hint="eastAsia" w:ascii="宋体" w:hAnsi="宋体" w:eastAsia="宋体" w:cs="宋体"/>
                <w:b w:val="0"/>
                <w:bCs w:val="0"/>
                <w:color w:val="auto"/>
                <w:sz w:val="24"/>
                <w:szCs w:val="24"/>
                <w:highlight w:val="none"/>
              </w:rPr>
              <w:t>保证金要求：投标保证金必须在开标前交到</w:t>
            </w:r>
            <w:r>
              <w:rPr>
                <w:rFonts w:hint="eastAsia" w:ascii="宋体" w:hAnsi="宋体" w:eastAsia="宋体" w:cs="宋体"/>
                <w:b w:val="0"/>
                <w:bCs w:val="0"/>
                <w:color w:val="auto"/>
                <w:sz w:val="24"/>
                <w:szCs w:val="24"/>
                <w:highlight w:val="none"/>
                <w:lang w:eastAsia="zh-CN"/>
              </w:rPr>
              <w:t>中经国际招标集团有限公司喀什分公司</w:t>
            </w:r>
            <w:r>
              <w:rPr>
                <w:rFonts w:hint="eastAsia" w:ascii="宋体" w:hAnsi="宋体" w:eastAsia="宋体" w:cs="宋体"/>
                <w:b w:val="0"/>
                <w:bCs w:val="0"/>
                <w:color w:val="auto"/>
                <w:sz w:val="24"/>
                <w:szCs w:val="24"/>
                <w:highlight w:val="none"/>
              </w:rPr>
              <w:t>账户中。不接受现金、支票及任何个人、分公司汇款</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B：退</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保证金：（1）根据《中华人民共和国财政部令第87号--政府采购货物和货物招标投标管理办法》第三十八条</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在投标截止时间前撤回已提交的投标文件的，采购人或者采购代理机构应当自收到</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书面撤回通知之日起５个工作日内，退还已收取的投标保证金，但因</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"mailto:中标供应商的投标保证金在与采购单位签订合同后，把合同扫描件发送至邮箱2783389030@qq.com后，当日或次日即原账户退回。"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中标供应商的投标保证金在与采购单位签订合同后，把合同扫描件发送至邮箱2783389030@qq.com后，当日或次日即原账户退回。</w:t>
            </w:r>
            <w:r>
              <w:rPr>
                <w:rFonts w:hint="eastAsia" w:ascii="宋体" w:hAnsi="宋体" w:eastAsia="宋体" w:cs="宋体"/>
                <w:b w:val="0"/>
                <w:bCs w:val="0"/>
                <w:color w:val="auto"/>
                <w:sz w:val="24"/>
                <w:szCs w:val="24"/>
                <w:highlight w:val="none"/>
                <w:lang w:val="en-US"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7882" w:type="dxa"/>
            <w:vAlign w:val="center"/>
          </w:tcPr>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（8）各供应商</w:t>
            </w:r>
            <w:r>
              <w:rPr>
                <w:rFonts w:hint="eastAsia" w:ascii="宋体" w:hAnsi="宋体" w:eastAsia="宋体" w:cs="宋体"/>
                <w:b/>
                <w:bCs/>
                <w:color w:val="auto"/>
                <w:sz w:val="24"/>
                <w:szCs w:val="24"/>
                <w:highlight w:val="none"/>
              </w:rPr>
              <w:t>须在投标截止时间前完成在系统上递交电子</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投标供应商</w:t>
            </w:r>
            <w:r>
              <w:rPr>
                <w:rFonts w:hint="eastAsia" w:ascii="宋体" w:hAnsi="宋体" w:eastAsia="宋体" w:cs="宋体"/>
                <w:b/>
                <w:bCs/>
                <w:color w:val="auto"/>
                <w:sz w:val="24"/>
                <w:szCs w:val="24"/>
                <w:highlight w:val="none"/>
              </w:rPr>
              <w:t>的电子</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是经过CA证书加密后上传提交的，任何单位或个人均无法在投标截止时间(即开标时间)之前查看或篡改，不存在泄密风险。（严格按照政采云电子投标流程制作并上传电子</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各供应商在投标截止时间前将“投标文件”上传至政采云平台。投标文件包括“开标一览表表及资格证明文件”与“商务及技术文件”两部分合并成一册。投标文件应按照招标文件规定的格式填写、签署和盖章，并以PDF格式上传至政采云开评标平台（投标文件为正本扫描件）。</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（10）须供应商提供备份的投标文件,后缀为.bfbs。</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（11）解密时长为30分钟。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14.2</w:t>
            </w:r>
          </w:p>
        </w:tc>
        <w:tc>
          <w:tcPr>
            <w:tcW w:w="7882" w:type="dxa"/>
            <w:vAlign w:val="center"/>
          </w:tcPr>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所有投标供应商应在中标公告公示期结束后7个工作日内将纸质版投标文件邮寄至代理机构备案，纸质版投标文件</w:t>
            </w:r>
            <w:r>
              <w:rPr>
                <w:rFonts w:hint="eastAsia" w:ascii="宋体" w:hAnsi="宋体" w:eastAsia="宋体" w:cs="宋体"/>
                <w:b w:val="0"/>
                <w:bCs w:val="0"/>
                <w:color w:val="auto"/>
                <w:sz w:val="24"/>
                <w:szCs w:val="24"/>
                <w:highlight w:val="none"/>
              </w:rPr>
              <w:t>包括“</w:t>
            </w:r>
            <w:r>
              <w:rPr>
                <w:rFonts w:hint="eastAsia" w:ascii="宋体" w:hAnsi="宋体" w:eastAsia="宋体" w:cs="宋体"/>
                <w:b w:val="0"/>
                <w:bCs w:val="0"/>
                <w:color w:val="auto"/>
                <w:sz w:val="24"/>
                <w:szCs w:val="24"/>
                <w:highlight w:val="none"/>
                <w:lang w:val="en-US" w:eastAsia="zh-CN"/>
              </w:rPr>
              <w:t>开标一览表</w:t>
            </w:r>
            <w:r>
              <w:rPr>
                <w:rFonts w:hint="eastAsia" w:ascii="宋体" w:hAnsi="宋体" w:eastAsia="宋体" w:cs="宋体"/>
                <w:b w:val="0"/>
                <w:bCs w:val="0"/>
                <w:color w:val="auto"/>
                <w:sz w:val="24"/>
                <w:szCs w:val="24"/>
                <w:highlight w:val="none"/>
                <w:lang w:eastAsia="zh-CN"/>
              </w:rPr>
              <w:t>表</w:t>
            </w:r>
            <w:r>
              <w:rPr>
                <w:rFonts w:hint="eastAsia" w:ascii="宋体" w:hAnsi="宋体" w:eastAsia="宋体" w:cs="宋体"/>
                <w:b w:val="0"/>
                <w:bCs w:val="0"/>
                <w:color w:val="auto"/>
                <w:sz w:val="24"/>
                <w:szCs w:val="24"/>
                <w:highlight w:val="none"/>
              </w:rPr>
              <w:t>及资格证明文件”和“商务及技术文件”两部分，两部分合订成一册递交。</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递交数量：</w:t>
            </w:r>
            <w:r>
              <w:rPr>
                <w:rFonts w:hint="eastAsia" w:ascii="宋体" w:hAnsi="宋体" w:eastAsia="宋体" w:cs="宋体"/>
                <w:b w:val="0"/>
                <w:bCs w:val="0"/>
                <w:color w:val="auto"/>
                <w:sz w:val="24"/>
                <w:szCs w:val="24"/>
                <w:highlight w:val="none"/>
              </w:rPr>
              <w:t>正本：壹份、副本：</w:t>
            </w:r>
            <w:r>
              <w:rPr>
                <w:rFonts w:hint="eastAsia" w:ascii="宋体" w:hAnsi="宋体" w:eastAsia="宋体" w:cs="宋体"/>
                <w:b w:val="0"/>
                <w:bCs w:val="0"/>
                <w:color w:val="auto"/>
                <w:sz w:val="24"/>
                <w:szCs w:val="24"/>
                <w:highlight w:val="none"/>
                <w:lang w:val="en-US" w:eastAsia="zh-CN"/>
              </w:rPr>
              <w:t>贰份</w:t>
            </w:r>
            <w:r>
              <w:rPr>
                <w:rFonts w:hint="eastAsia" w:ascii="宋体" w:hAnsi="宋体" w:eastAsia="宋体" w:cs="宋体"/>
                <w:b w:val="0"/>
                <w:bCs w:val="0"/>
                <w:color w:val="auto"/>
                <w:sz w:val="24"/>
                <w:szCs w:val="24"/>
                <w:highlight w:val="none"/>
              </w:rPr>
              <w:t>；电子文档1份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以正本为准，副本可以是正本的复印件）</w:t>
            </w:r>
          </w:p>
          <w:p>
            <w:pPr>
              <w:keepNext w:val="0"/>
              <w:keepLines w:val="0"/>
              <w:pageBreakBefore w:val="0"/>
              <w:shd w:val="clea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bookmarkStart w:id="1140" w:name="_Toc14647"/>
            <w:r>
              <w:rPr>
                <w:rFonts w:hint="eastAsia" w:ascii="宋体" w:hAnsi="宋体" w:eastAsia="宋体" w:cs="宋体"/>
                <w:b w:val="0"/>
                <w:bCs w:val="0"/>
                <w:color w:val="auto"/>
                <w:sz w:val="24"/>
                <w:szCs w:val="24"/>
                <w:highlight w:val="none"/>
                <w:lang w:val="en-US" w:eastAsia="zh-CN"/>
              </w:rPr>
              <w:t>纸质投标文件</w:t>
            </w:r>
            <w:r>
              <w:rPr>
                <w:rFonts w:hint="eastAsia" w:ascii="宋体" w:hAnsi="宋体" w:eastAsia="宋体" w:cs="宋体"/>
                <w:b w:val="0"/>
                <w:bCs w:val="0"/>
                <w:color w:val="auto"/>
                <w:sz w:val="24"/>
                <w:szCs w:val="24"/>
                <w:highlight w:val="none"/>
              </w:rPr>
              <w:t>的签署及规定</w:t>
            </w:r>
            <w:r>
              <w:rPr>
                <w:rFonts w:hint="eastAsia" w:ascii="宋体" w:hAnsi="宋体" w:eastAsia="宋体" w:cs="宋体"/>
                <w:b w:val="0"/>
                <w:bCs w:val="0"/>
                <w:color w:val="auto"/>
                <w:sz w:val="24"/>
                <w:szCs w:val="24"/>
                <w:highlight w:val="none"/>
                <w:lang w:eastAsia="zh-CN"/>
              </w:rPr>
              <w:t>：</w:t>
            </w:r>
            <w:bookmarkEnd w:id="1140"/>
            <w:r>
              <w:rPr>
                <w:rFonts w:hint="eastAsia" w:ascii="宋体" w:hAnsi="宋体" w:eastAsia="宋体" w:cs="宋体"/>
                <w:b w:val="0"/>
                <w:bCs w:val="0"/>
                <w:color w:val="auto"/>
                <w:sz w:val="24"/>
                <w:szCs w:val="24"/>
                <w:highlight w:val="none"/>
                <w:lang w:val="en-US" w:eastAsia="zh-CN"/>
              </w:rPr>
              <w:t>投标文件</w:t>
            </w:r>
            <w:r>
              <w:rPr>
                <w:rFonts w:hint="eastAsia" w:ascii="宋体" w:hAnsi="宋体" w:eastAsia="宋体" w:cs="宋体"/>
                <w:b w:val="0"/>
                <w:bCs w:val="0"/>
                <w:color w:val="auto"/>
                <w:sz w:val="24"/>
                <w:szCs w:val="24"/>
                <w:highlight w:val="none"/>
              </w:rPr>
              <w:t>的正</w:t>
            </w:r>
            <w:r>
              <w:rPr>
                <w:rFonts w:hint="eastAsia" w:ascii="宋体" w:hAnsi="宋体" w:eastAsia="宋体" w:cs="宋体"/>
                <w:b w:val="0"/>
                <w:bCs w:val="0"/>
                <w:color w:val="auto"/>
                <w:sz w:val="24"/>
                <w:szCs w:val="24"/>
                <w:highlight w:val="none"/>
                <w:lang w:val="en-US" w:eastAsia="zh-CN"/>
              </w:rPr>
              <w:t>副本</w:t>
            </w:r>
            <w:r>
              <w:rPr>
                <w:rFonts w:hint="eastAsia" w:ascii="宋体" w:hAnsi="宋体" w:eastAsia="宋体" w:cs="宋体"/>
                <w:b w:val="0"/>
                <w:bCs w:val="0"/>
                <w:color w:val="auto"/>
                <w:sz w:val="24"/>
                <w:szCs w:val="24"/>
                <w:highlight w:val="none"/>
              </w:rPr>
              <w:t>需打印或用不褪色墨水书写，并由</w:t>
            </w:r>
            <w:r>
              <w:rPr>
                <w:rFonts w:hint="eastAsia" w:ascii="宋体" w:hAnsi="宋体" w:eastAsia="宋体" w:cs="宋体"/>
                <w:b w:val="0"/>
                <w:bCs w:val="0"/>
                <w:color w:val="auto"/>
                <w:sz w:val="24"/>
                <w:szCs w:val="24"/>
                <w:highlight w:val="none"/>
                <w:lang w:eastAsia="zh-CN"/>
              </w:rPr>
              <w:t>供应</w:t>
            </w:r>
            <w:r>
              <w:rPr>
                <w:rFonts w:hint="eastAsia" w:ascii="宋体" w:hAnsi="宋体" w:eastAsia="宋体" w:cs="宋体"/>
                <w:b w:val="0"/>
                <w:bCs w:val="0"/>
                <w:color w:val="auto"/>
                <w:sz w:val="24"/>
                <w:szCs w:val="24"/>
                <w:highlight w:val="none"/>
                <w:lang w:val="en-US" w:eastAsia="zh-CN"/>
              </w:rPr>
              <w:t>商的法定代表人或经其正式委托代理人按招标文件规定在投标文件上签字或盖章，并加盖单位印章。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cs="宋体"/>
                <w:b/>
                <w:bCs/>
                <w:color w:val="auto"/>
                <w:sz w:val="24"/>
                <w:szCs w:val="24"/>
                <w:highlight w:val="none"/>
                <w:u w:val="single"/>
                <w:lang w:eastAsia="zh-CN"/>
              </w:rPr>
              <w:t>2022年12月9日上午10点30分</w:t>
            </w:r>
            <w:r>
              <w:rPr>
                <w:rFonts w:hint="eastAsia" w:ascii="宋体" w:hAnsi="宋体" w:eastAsia="宋体" w:cs="宋体"/>
                <w:b/>
                <w:bCs/>
                <w:color w:val="auto"/>
                <w:sz w:val="24"/>
                <w:szCs w:val="24"/>
                <w:highlight w:val="none"/>
                <w:u w:val="singl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4"/>
                <w:szCs w:val="24"/>
                <w:highlight w:val="none"/>
                <w:u w:val="single"/>
                <w:lang w:eastAsia="zh-CN"/>
              </w:rPr>
            </w:pPr>
            <w:r>
              <w:rPr>
                <w:rFonts w:hint="eastAsia" w:ascii="宋体" w:hAnsi="宋体" w:eastAsia="宋体" w:cs="宋体"/>
                <w:color w:val="auto"/>
                <w:sz w:val="24"/>
                <w:szCs w:val="24"/>
                <w:highlight w:val="none"/>
              </w:rPr>
              <w:t>开标时间：</w:t>
            </w:r>
            <w:r>
              <w:rPr>
                <w:rFonts w:hint="eastAsia" w:ascii="宋体" w:hAnsi="宋体" w:cs="宋体"/>
                <w:b/>
                <w:bCs/>
                <w:color w:val="auto"/>
                <w:sz w:val="24"/>
                <w:szCs w:val="24"/>
                <w:highlight w:val="none"/>
                <w:u w:val="single"/>
                <w:lang w:eastAsia="zh-CN"/>
              </w:rPr>
              <w:t>2022年12月9日上午10点30分</w:t>
            </w:r>
            <w:r>
              <w:rPr>
                <w:rFonts w:hint="eastAsia" w:ascii="宋体" w:hAnsi="宋体" w:eastAsia="宋体" w:cs="宋体"/>
                <w:b/>
                <w:bCs/>
                <w:color w:val="auto"/>
                <w:sz w:val="24"/>
                <w:szCs w:val="24"/>
                <w:highlight w:val="none"/>
                <w:u w:val="single"/>
                <w:lang w:eastAsia="zh-CN"/>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kern w:val="0"/>
                <w:sz w:val="24"/>
                <w:szCs w:val="24"/>
                <w:highlight w:val="none"/>
                <w:u w:val="single"/>
                <w:lang w:eastAsia="zh-CN"/>
              </w:rPr>
              <w:t>政采云平台</w:t>
            </w:r>
            <w:r>
              <w:rPr>
                <w:rFonts w:hint="eastAsia" w:ascii="宋体" w:hAnsi="宋体" w:eastAsia="宋体" w:cs="宋体"/>
                <w:b/>
                <w:bCs/>
                <w:color w:val="auto"/>
                <w:sz w:val="24"/>
                <w:szCs w:val="24"/>
                <w:highlight w:val="none"/>
                <w:u w:val="single"/>
              </w:rPr>
              <w:t>（https://login.zcygov.cn/user-login/#/login）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10%　</w:t>
            </w:r>
            <w:r>
              <w:rPr>
                <w:rFonts w:hint="eastAsia" w:ascii="宋体" w:hAnsi="宋体" w:eastAsia="宋体" w:cs="宋体"/>
                <w:color w:val="auto"/>
                <w:sz w:val="24"/>
                <w:szCs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☑保函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电汇  □支票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zh-CN"/>
              </w:rPr>
              <w:t>根据《中华人民共和国财政部令第87号--政府采购货物和货物招标投标管理办法》第三十八条供应商在投标截止时间前撤回已提交的投标文件的，采购人或者采购代理机构应当自收到供应商书面撤回通知之日起５个工作日内，退还已收取的投标保证金，但因供应商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882" w:type="dxa"/>
            <w:vAlign w:val="center"/>
          </w:tcPr>
          <w:p>
            <w:pPr>
              <w:keepNext w:val="0"/>
              <w:keepLines w:val="0"/>
              <w:pageBreakBefore w:val="0"/>
              <w:kinsoku/>
              <w:wordWrap/>
              <w:overflowPunct/>
              <w:topLinePunct w:val="0"/>
              <w:autoSpaceDE/>
              <w:autoSpaceDN/>
              <w:bidi w:val="0"/>
              <w:adjustRightInd/>
              <w:spacing w:line="360" w:lineRule="exact"/>
              <w:ind w:left="90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中标服务费：根据发改价格[2015]299</w:t>
            </w:r>
            <w:r>
              <w:rPr>
                <w:rFonts w:hint="eastAsia" w:ascii="宋体" w:hAnsi="宋体" w:eastAsia="宋体" w:cs="宋体"/>
                <w:color w:val="auto"/>
                <w:sz w:val="24"/>
                <w:szCs w:val="24"/>
                <w:highlight w:val="none"/>
                <w:lang w:eastAsia="zh-CN"/>
              </w:rPr>
              <w:t>号文</w:t>
            </w:r>
            <w:r>
              <w:rPr>
                <w:rFonts w:hint="eastAsia" w:ascii="宋体" w:hAnsi="宋体" w:eastAsia="宋体" w:cs="宋体"/>
                <w:color w:val="auto"/>
                <w:sz w:val="24"/>
                <w:szCs w:val="24"/>
                <w:highlight w:val="none"/>
              </w:rPr>
              <w:t>：确定代理服务费按照中标</w:t>
            </w: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rPr>
              <w:t>的</w:t>
            </w: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%收</w:t>
            </w:r>
            <w:r>
              <w:rPr>
                <w:rFonts w:hint="eastAsia" w:ascii="宋体" w:hAnsi="宋体" w:eastAsia="宋体" w:cs="宋体"/>
                <w:color w:val="auto"/>
                <w:sz w:val="24"/>
                <w:szCs w:val="24"/>
                <w:highlight w:val="none"/>
              </w:rPr>
              <w:t>取。（由中标供应商领取中标通知书时</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支付形式：</w:t>
            </w:r>
            <w:r>
              <w:rPr>
                <w:rFonts w:hint="eastAsia" w:ascii="宋体" w:hAnsi="宋体" w:eastAsia="宋体" w:cs="宋体"/>
                <w:color w:val="auto"/>
                <w:sz w:val="24"/>
                <w:szCs w:val="24"/>
                <w:highlight w:val="none"/>
                <w:u w:val="single"/>
              </w:rPr>
              <w:t xml:space="preserve">  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37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7882"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r>
              <w:rPr>
                <w:rFonts w:hint="eastAsia" w:ascii="宋体" w:hAnsi="宋体" w:eastAsia="宋体" w:cs="宋体"/>
                <w:i/>
                <w:color w:val="auto"/>
                <w:sz w:val="24"/>
                <w:szCs w:val="24"/>
                <w:highlight w:val="none"/>
              </w:rPr>
              <w:t>（是、否）</w:t>
            </w:r>
          </w:p>
        </w:tc>
      </w:tr>
    </w:tbl>
    <w:p>
      <w:pPr>
        <w:spacing w:line="240" w:lineRule="atLeast"/>
        <w:ind w:left="1080" w:leftChars="257" w:hanging="540"/>
        <w:rPr>
          <w:rFonts w:hint="eastAsia" w:ascii="宋体" w:hAnsi="宋体" w:eastAsia="宋体" w:cs="宋体"/>
          <w:color w:val="auto"/>
          <w:sz w:val="24"/>
          <w:highlight w:val="none"/>
        </w:rPr>
        <w:sectPr>
          <w:headerReference r:id="rId4"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pStyle w:val="5"/>
        <w:tabs>
          <w:tab w:val="left" w:pos="0"/>
        </w:tabs>
        <w:spacing w:before="0" w:after="0" w:line="240" w:lineRule="atLeast"/>
        <w:rPr>
          <w:rFonts w:hint="eastAsia" w:ascii="宋体" w:hAnsi="宋体" w:eastAsia="宋体" w:cs="宋体"/>
          <w:b/>
          <w:bCs/>
          <w:color w:val="auto"/>
          <w:kern w:val="0"/>
          <w:sz w:val="32"/>
          <w:szCs w:val="32"/>
          <w:highlight w:val="none"/>
          <w:lang w:val="en-US" w:eastAsia="zh-CN" w:bidi="ar-SA"/>
        </w:rPr>
      </w:pPr>
      <w:bookmarkStart w:id="1141" w:name="_Toc15092"/>
      <w:bookmarkStart w:id="1142" w:name="_Toc27053"/>
      <w:bookmarkStart w:id="1143" w:name="_Toc18718"/>
      <w:bookmarkStart w:id="1144" w:name="_Toc512937852"/>
      <w:r>
        <w:rPr>
          <w:rFonts w:hint="eastAsia" w:ascii="宋体" w:hAnsi="宋体" w:eastAsia="宋体" w:cs="宋体"/>
          <w:b/>
          <w:bCs/>
          <w:color w:val="auto"/>
          <w:kern w:val="0"/>
          <w:sz w:val="32"/>
          <w:szCs w:val="32"/>
          <w:highlight w:val="none"/>
          <w:lang w:val="en-US" w:eastAsia="zh-CN" w:bidi="ar-SA"/>
        </w:rPr>
        <w:t>第5章  货物内容及项目要求</w:t>
      </w:r>
      <w:bookmarkEnd w:id="1141"/>
      <w:bookmarkEnd w:id="1142"/>
      <w:bookmarkEnd w:id="1143"/>
    </w:p>
    <w:bookmarkEnd w:id="1144"/>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1"/>
        <w:rPr>
          <w:rFonts w:hint="eastAsia" w:ascii="宋体" w:hAnsi="宋体" w:eastAsia="宋体" w:cs="宋体"/>
          <w:b/>
          <w:bCs/>
          <w:i w:val="0"/>
          <w:caps w:val="0"/>
          <w:color w:val="auto"/>
          <w:spacing w:val="0"/>
          <w:w w:val="100"/>
          <w:kern w:val="0"/>
          <w:sz w:val="28"/>
          <w:szCs w:val="28"/>
          <w:highlight w:val="none"/>
          <w:lang w:val="en-US" w:eastAsia="zh-CN" w:bidi="ar-SA"/>
        </w:rPr>
      </w:pPr>
      <w:bookmarkStart w:id="1145" w:name="_Toc4621"/>
      <w:bookmarkStart w:id="1146" w:name="_Toc12446"/>
      <w:bookmarkStart w:id="1147" w:name="_Toc6403"/>
      <w:bookmarkStart w:id="1148" w:name="_Toc28720"/>
      <w:r>
        <w:rPr>
          <w:rFonts w:hint="eastAsia" w:ascii="宋体" w:hAnsi="宋体" w:eastAsia="宋体" w:cs="宋体"/>
          <w:b/>
          <w:bCs/>
          <w:i w:val="0"/>
          <w:caps w:val="0"/>
          <w:color w:val="auto"/>
          <w:spacing w:val="0"/>
          <w:w w:val="100"/>
          <w:kern w:val="0"/>
          <w:sz w:val="28"/>
          <w:szCs w:val="28"/>
          <w:highlight w:val="none"/>
          <w:lang w:val="en-US" w:eastAsia="zh-CN" w:bidi="ar-SA"/>
        </w:rPr>
        <w:t>一、货物需求：</w:t>
      </w:r>
      <w:bookmarkEnd w:id="1145"/>
      <w:bookmarkEnd w:id="1146"/>
      <w:bookmarkEnd w:id="1147"/>
      <w:bookmarkEnd w:id="1148"/>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center"/>
        <w:textAlignment w:val="baseline"/>
        <w:outlineLvl w:val="1"/>
        <w:rPr>
          <w:rFonts w:hint="eastAsia" w:ascii="宋体" w:hAnsi="宋体" w:eastAsia="宋体" w:cs="宋体"/>
          <w:b/>
          <w:bCs/>
          <w:i w:val="0"/>
          <w:caps w:val="0"/>
          <w:strike/>
          <w:dstrike w:val="0"/>
          <w:color w:val="auto"/>
          <w:spacing w:val="0"/>
          <w:w w:val="100"/>
          <w:sz w:val="28"/>
          <w:szCs w:val="28"/>
          <w:highlight w:val="red"/>
          <w:lang w:val="en-US" w:eastAsia="zh-CN"/>
        </w:rPr>
      </w:pPr>
      <w:bookmarkStart w:id="1149" w:name="_Toc27066"/>
      <w:bookmarkStart w:id="1150" w:name="_Toc16105"/>
      <w:bookmarkStart w:id="1151" w:name="_Toc17505"/>
      <w:bookmarkStart w:id="1152" w:name="_Toc5671"/>
      <w:r>
        <w:rPr>
          <w:rFonts w:hint="eastAsia" w:ascii="宋体" w:hAnsi="宋体" w:eastAsia="宋体" w:cs="宋体"/>
          <w:b/>
          <w:bCs/>
          <w:i w:val="0"/>
          <w:caps w:val="0"/>
          <w:color w:val="auto"/>
          <w:spacing w:val="0"/>
          <w:w w:val="100"/>
          <w:sz w:val="28"/>
          <w:szCs w:val="28"/>
          <w:highlight w:val="none"/>
          <w:lang w:val="en-US" w:eastAsia="zh-CN"/>
        </w:rPr>
        <w:t>第一包：大孔径CT模拟定位机</w:t>
      </w:r>
      <w:bookmarkEnd w:id="1149"/>
      <w:bookmarkEnd w:id="1150"/>
      <w:bookmarkEnd w:id="1151"/>
      <w:r>
        <w:rPr>
          <w:rFonts w:hint="eastAsia" w:ascii="宋体" w:hAnsi="宋体" w:cs="宋体"/>
          <w:b/>
          <w:bCs/>
          <w:i w:val="0"/>
          <w:caps w:val="0"/>
          <w:color w:val="auto"/>
          <w:spacing w:val="0"/>
          <w:w w:val="100"/>
          <w:sz w:val="28"/>
          <w:szCs w:val="28"/>
          <w:highlight w:val="none"/>
          <w:lang w:val="en-US" w:eastAsia="zh-CN"/>
        </w:rPr>
        <w:t>（国产）</w:t>
      </w:r>
      <w:bookmarkEnd w:id="1152"/>
    </w:p>
    <w:tbl>
      <w:tblPr>
        <w:tblStyle w:val="25"/>
        <w:tblW w:w="4998" w:type="pct"/>
        <w:jc w:val="center"/>
        <w:tblLayout w:type="autofit"/>
        <w:tblCellMar>
          <w:top w:w="0" w:type="dxa"/>
          <w:left w:w="108" w:type="dxa"/>
          <w:bottom w:w="0" w:type="dxa"/>
          <w:right w:w="108" w:type="dxa"/>
        </w:tblCellMar>
      </w:tblPr>
      <w:tblGrid>
        <w:gridCol w:w="749"/>
        <w:gridCol w:w="2290"/>
        <w:gridCol w:w="1582"/>
        <w:gridCol w:w="1823"/>
        <w:gridCol w:w="2048"/>
      </w:tblGrid>
      <w:tr>
        <w:tblPrEx>
          <w:tblCellMar>
            <w:top w:w="0" w:type="dxa"/>
            <w:left w:w="108" w:type="dxa"/>
            <w:bottom w:w="0" w:type="dxa"/>
            <w:right w:w="108" w:type="dxa"/>
          </w:tblCellMar>
        </w:tblPrEx>
        <w:trPr>
          <w:trHeight w:val="629" w:hRule="atLeast"/>
          <w:jc w:val="center"/>
        </w:trPr>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34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控制价（万元）</w:t>
            </w:r>
          </w:p>
        </w:tc>
        <w:tc>
          <w:tcPr>
            <w:tcW w:w="1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国别</w:t>
            </w:r>
          </w:p>
        </w:tc>
      </w:tr>
      <w:tr>
        <w:tblPrEx>
          <w:tblCellMar>
            <w:top w:w="0" w:type="dxa"/>
            <w:left w:w="108" w:type="dxa"/>
            <w:bottom w:w="0" w:type="dxa"/>
            <w:right w:w="108" w:type="dxa"/>
          </w:tblCellMar>
        </w:tblPrEx>
        <w:trPr>
          <w:trHeight w:val="594" w:hRule="atLeast"/>
          <w:jc w:val="center"/>
        </w:trPr>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1</w:t>
            </w:r>
          </w:p>
        </w:tc>
        <w:tc>
          <w:tcPr>
            <w:tcW w:w="1348"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suppressLineNumbers w:val="0"/>
              <w:kinsoku/>
              <w:wordWrap/>
              <w:overflowPunct/>
              <w:topLinePunct w:val="0"/>
              <w:bidi w:val="0"/>
              <w:snapToGrid/>
              <w:spacing w:line="440" w:lineRule="exact"/>
              <w:ind w:left="0" w:firstLine="0" w:firstLineChars="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大孔径CT模拟定位机</w:t>
            </w:r>
          </w:p>
        </w:tc>
        <w:tc>
          <w:tcPr>
            <w:tcW w:w="931"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suppressLineNumbers w:val="0"/>
              <w:kinsoku/>
              <w:wordWrap/>
              <w:overflowPunct/>
              <w:topLinePunct w:val="0"/>
              <w:bidi w:val="0"/>
              <w:snapToGrid/>
              <w:spacing w:line="440" w:lineRule="exact"/>
              <w:ind w:left="0" w:firstLine="0" w:firstLineChars="0"/>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1套</w:t>
            </w:r>
          </w:p>
        </w:tc>
        <w:tc>
          <w:tcPr>
            <w:tcW w:w="10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440" w:lineRule="exact"/>
              <w:ind w:left="0" w:firstLine="0" w:firstLineChars="0"/>
              <w:jc w:val="center"/>
              <w:textAlignment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800</w:t>
            </w:r>
          </w:p>
        </w:tc>
        <w:tc>
          <w:tcPr>
            <w:tcW w:w="1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440" w:lineRule="exact"/>
              <w:ind w:left="0" w:firstLine="0" w:firstLineChars="0"/>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国产</w:t>
            </w:r>
          </w:p>
        </w:tc>
      </w:tr>
    </w:tbl>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4"/>
          <w:szCs w:val="24"/>
          <w:lang w:val="en-US" w:eastAsia="zh-CN"/>
        </w:rPr>
      </w:pPr>
      <w:bookmarkStart w:id="1153" w:name="_Toc20433"/>
      <w:bookmarkStart w:id="1154" w:name="_Toc13864"/>
      <w:bookmarkStart w:id="1155" w:name="_Toc7122"/>
      <w:bookmarkStart w:id="1156" w:name="_Toc14817"/>
      <w:bookmarkStart w:id="1157" w:name="_Toc2678"/>
    </w:p>
    <w:bookmarkEnd w:id="1153"/>
    <w:bookmarkEnd w:id="1154"/>
    <w:bookmarkEnd w:id="1155"/>
    <w:bookmarkEnd w:id="1156"/>
    <w:bookmarkEnd w:id="1157"/>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7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keepLines w:val="0"/>
              <w:pageBreakBefore w:val="0"/>
              <w:widowControl/>
              <w:kinsoku/>
              <w:wordWrap/>
              <w:overflowPunct/>
              <w:topLinePunct w:val="0"/>
              <w:autoSpaceDE/>
              <w:autoSpaceDN/>
              <w:bidi w:val="0"/>
              <w:adjustRightInd/>
              <w:spacing w:after="0" w:line="360" w:lineRule="exact"/>
              <w:jc w:val="both"/>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序号</w:t>
            </w: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158" w:name="_Toc16652"/>
            <w:bookmarkStart w:id="1159" w:name="_Toc21423"/>
            <w:bookmarkStart w:id="1160" w:name="_Toc899"/>
            <w:r>
              <w:rPr>
                <w:rFonts w:hint="eastAsia" w:ascii="宋体" w:hAnsi="宋体" w:eastAsia="宋体" w:cs="宋体"/>
                <w:b/>
                <w:color w:val="000000"/>
                <w:kern w:val="2"/>
                <w:sz w:val="24"/>
                <w:szCs w:val="24"/>
                <w:lang w:val="en-US" w:eastAsia="zh-CN" w:bidi="ar-SA"/>
              </w:rPr>
              <w:t>技术规格及招标要求</w:t>
            </w:r>
            <w:bookmarkEnd w:id="1158"/>
            <w:bookmarkEnd w:id="1159"/>
            <w:bookmarkEnd w:id="1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keepLines w:val="0"/>
              <w:pageBreakBefore w:val="0"/>
              <w:widowControl/>
              <w:numPr>
                <w:ilvl w:val="0"/>
                <w:numId w:val="5"/>
              </w:numPr>
              <w:kinsoku/>
              <w:wordWrap/>
              <w:overflowPunct/>
              <w:topLinePunct w:val="0"/>
              <w:autoSpaceDE/>
              <w:autoSpaceDN/>
              <w:bidi w:val="0"/>
              <w:adjustRightInd/>
              <w:spacing w:after="0" w:line="360" w:lineRule="exact"/>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161" w:name="_Toc12937"/>
            <w:bookmarkStart w:id="1162" w:name="_Toc18941"/>
            <w:bookmarkStart w:id="1163" w:name="_Toc7142"/>
            <w:r>
              <w:rPr>
                <w:rFonts w:hint="eastAsia" w:ascii="宋体" w:hAnsi="宋体" w:eastAsia="宋体" w:cs="宋体"/>
                <w:b/>
                <w:color w:val="000000"/>
                <w:kern w:val="2"/>
                <w:sz w:val="24"/>
                <w:szCs w:val="24"/>
                <w:lang w:val="en-US" w:eastAsia="zh-CN" w:bidi="ar-SA"/>
              </w:rPr>
              <w:t>设备概况</w:t>
            </w:r>
            <w:bookmarkEnd w:id="1161"/>
            <w:bookmarkEnd w:id="1162"/>
            <w:bookmarkEnd w:id="1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bCs/>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164" w:name="_Toc27348"/>
            <w:bookmarkStart w:id="1165" w:name="_Toc22837"/>
            <w:bookmarkStart w:id="1166" w:name="_Toc25293"/>
            <w:r>
              <w:rPr>
                <w:rFonts w:hint="eastAsia" w:ascii="宋体" w:hAnsi="宋体" w:eastAsia="宋体" w:cs="宋体"/>
                <w:bCs/>
                <w:color w:val="000000"/>
                <w:kern w:val="2"/>
                <w:sz w:val="24"/>
                <w:szCs w:val="24"/>
                <w:lang w:val="en-US" w:eastAsia="zh-CN" w:bidi="ar-SA"/>
              </w:rPr>
              <w:t>设备型号：放疗用大孔径多排螺旋CT模拟定位机</w:t>
            </w:r>
            <w:bookmarkEnd w:id="1164"/>
            <w:bookmarkEnd w:id="1165"/>
            <w:bookmarkEnd w:id="1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bCs/>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167" w:name="_Toc22347"/>
            <w:bookmarkStart w:id="1168" w:name="_Toc4141"/>
            <w:bookmarkStart w:id="1169" w:name="_Toc19423"/>
            <w:r>
              <w:rPr>
                <w:rFonts w:hint="eastAsia" w:ascii="宋体" w:hAnsi="宋体" w:eastAsia="宋体" w:cs="宋体"/>
                <w:bCs/>
                <w:color w:val="000000"/>
                <w:kern w:val="2"/>
                <w:sz w:val="24"/>
                <w:szCs w:val="24"/>
                <w:lang w:val="en-US" w:eastAsia="zh-CN" w:bidi="ar-SA"/>
              </w:rPr>
              <w:t>提供国家医疗器械注册证（NMPA）</w:t>
            </w:r>
            <w:bookmarkEnd w:id="1167"/>
            <w:bookmarkEnd w:id="1168"/>
            <w:bookmarkEnd w:id="1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bCs/>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170" w:name="_Toc10092"/>
            <w:bookmarkStart w:id="1171" w:name="_Toc24337"/>
            <w:bookmarkStart w:id="1172" w:name="_Toc22462"/>
            <w:r>
              <w:rPr>
                <w:rFonts w:hint="eastAsia" w:ascii="宋体" w:hAnsi="宋体" w:eastAsia="宋体" w:cs="宋体"/>
                <w:bCs/>
                <w:color w:val="000000"/>
                <w:kern w:val="2"/>
                <w:sz w:val="24"/>
                <w:szCs w:val="24"/>
                <w:lang w:val="en-US" w:eastAsia="zh-CN" w:bidi="ar-SA"/>
              </w:rPr>
              <w:t>本次招标的货物为医院所需的一套先进的放疗用大孔径多排螺旋CT模拟定位机。</w:t>
            </w:r>
            <w:bookmarkEnd w:id="1170"/>
            <w:bookmarkEnd w:id="1171"/>
            <w:bookmarkEnd w:id="1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keepLines w:val="0"/>
              <w:pageBreakBefore w:val="0"/>
              <w:widowControl/>
              <w:numPr>
                <w:ilvl w:val="0"/>
                <w:numId w:val="6"/>
              </w:numPr>
              <w:kinsoku/>
              <w:wordWrap/>
              <w:overflowPunct/>
              <w:topLinePunct w:val="0"/>
              <w:autoSpaceDE/>
              <w:autoSpaceDN/>
              <w:bidi w:val="0"/>
              <w:adjustRightInd/>
              <w:spacing w:after="0" w:line="360" w:lineRule="exact"/>
              <w:jc w:val="both"/>
              <w:textAlignment w:val="auto"/>
              <w:rPr>
                <w:rFonts w:hint="eastAsia" w:ascii="宋体" w:hAnsi="宋体" w:eastAsia="宋体" w:cs="宋体"/>
                <w:b/>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173" w:name="_Toc19190"/>
            <w:bookmarkStart w:id="1174" w:name="_Toc5486"/>
            <w:bookmarkStart w:id="1175" w:name="_Toc13134"/>
            <w:r>
              <w:rPr>
                <w:rFonts w:hint="eastAsia" w:ascii="宋体" w:hAnsi="宋体" w:eastAsia="宋体" w:cs="宋体"/>
                <w:b/>
                <w:bCs/>
                <w:color w:val="000000"/>
                <w:kern w:val="2"/>
                <w:sz w:val="24"/>
                <w:szCs w:val="24"/>
                <w:lang w:val="en-US" w:eastAsia="zh-CN" w:bidi="ar-SA"/>
              </w:rPr>
              <w:t>主要技术规格要求与配置</w:t>
            </w:r>
            <w:bookmarkEnd w:id="1173"/>
            <w:bookmarkEnd w:id="1174"/>
            <w:bookmarkEnd w:id="1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176" w:name="_Toc25288"/>
            <w:bookmarkStart w:id="1177" w:name="_Toc10687"/>
            <w:bookmarkStart w:id="1178" w:name="_Toc9037"/>
            <w:r>
              <w:rPr>
                <w:rFonts w:hint="eastAsia" w:ascii="宋体" w:hAnsi="宋体" w:eastAsia="宋体" w:cs="宋体"/>
                <w:b/>
                <w:bCs/>
                <w:color w:val="000000"/>
                <w:kern w:val="2"/>
                <w:sz w:val="24"/>
                <w:szCs w:val="24"/>
                <w:lang w:val="en-US" w:eastAsia="zh-CN" w:bidi="ar-SA"/>
              </w:rPr>
              <w:t>机架系统</w:t>
            </w:r>
            <w:bookmarkEnd w:id="1176"/>
            <w:bookmarkEnd w:id="1177"/>
            <w:bookmarkEnd w:id="1178"/>
            <w:r>
              <w:rPr>
                <w:rFonts w:hint="eastAsia" w:ascii="宋体" w:hAnsi="宋体" w:eastAsia="宋体" w:cs="宋体"/>
                <w:b/>
                <w:bCs/>
                <w:color w:val="000000"/>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179" w:name="_Toc17160"/>
            <w:bookmarkStart w:id="1180" w:name="_Toc22616"/>
            <w:bookmarkStart w:id="1181" w:name="_Toc9540"/>
            <w:r>
              <w:rPr>
                <w:rFonts w:hint="eastAsia" w:ascii="宋体" w:hAnsi="宋体" w:eastAsia="宋体" w:cs="宋体"/>
                <w:bCs/>
                <w:color w:val="000000"/>
                <w:kern w:val="2"/>
                <w:sz w:val="24"/>
                <w:szCs w:val="24"/>
                <w:lang w:val="en-US" w:eastAsia="zh-CN" w:bidi="ar-SA"/>
              </w:rPr>
              <w:t>滑环类型：低压滑环</w:t>
            </w:r>
            <w:bookmarkEnd w:id="1179"/>
            <w:bookmarkEnd w:id="1180"/>
            <w:bookmarkEnd w:id="1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182" w:name="_Toc10804"/>
            <w:bookmarkStart w:id="1183" w:name="_Toc11579"/>
            <w:bookmarkStart w:id="1184" w:name="_Toc30383"/>
            <w:r>
              <w:rPr>
                <w:rFonts w:hint="eastAsia" w:ascii="宋体" w:hAnsi="宋体" w:eastAsia="宋体" w:cs="宋体"/>
                <w:bCs/>
                <w:color w:val="000000"/>
                <w:kern w:val="2"/>
                <w:sz w:val="24"/>
                <w:szCs w:val="24"/>
                <w:lang w:val="en-US" w:eastAsia="zh-CN" w:bidi="ar-SA"/>
              </w:rPr>
              <w:t>机架孔径：≥850mm</w:t>
            </w:r>
            <w:bookmarkEnd w:id="1182"/>
            <w:bookmarkEnd w:id="1183"/>
            <w:bookmarkEnd w:id="1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185" w:name="_Toc31217"/>
            <w:bookmarkStart w:id="1186" w:name="_Toc15666"/>
            <w:bookmarkStart w:id="1187" w:name="_Toc8218"/>
            <w:r>
              <w:rPr>
                <w:rFonts w:hint="eastAsia" w:ascii="宋体" w:hAnsi="宋体" w:eastAsia="宋体" w:cs="宋体"/>
                <w:bCs/>
                <w:color w:val="000000"/>
                <w:kern w:val="2"/>
                <w:sz w:val="24"/>
                <w:szCs w:val="24"/>
                <w:lang w:val="en-US" w:eastAsia="zh-CN" w:bidi="ar-SA"/>
              </w:rPr>
              <w:t>焦点到探测器距离：≥1180mm</w:t>
            </w:r>
            <w:bookmarkEnd w:id="1185"/>
            <w:bookmarkEnd w:id="1186"/>
            <w:bookmarkEnd w:id="11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188" w:name="_Toc26929"/>
            <w:bookmarkStart w:id="1189" w:name="_Toc10609"/>
            <w:bookmarkStart w:id="1190" w:name="_Toc172"/>
            <w:r>
              <w:rPr>
                <w:rFonts w:hint="eastAsia" w:ascii="宋体" w:hAnsi="宋体" w:eastAsia="宋体" w:cs="宋体"/>
                <w:bCs/>
                <w:color w:val="000000"/>
                <w:kern w:val="2"/>
                <w:sz w:val="24"/>
                <w:szCs w:val="24"/>
                <w:lang w:val="en-US" w:eastAsia="zh-CN" w:bidi="ar-SA"/>
              </w:rPr>
              <w:t>扫描架倾角：≥±30°</w:t>
            </w:r>
            <w:bookmarkEnd w:id="1188"/>
            <w:bookmarkEnd w:id="1189"/>
            <w:bookmarkEnd w:id="1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191" w:name="_Toc20411"/>
            <w:bookmarkStart w:id="1192" w:name="_Toc18970"/>
            <w:bookmarkStart w:id="1193" w:name="_Toc15054"/>
            <w:r>
              <w:rPr>
                <w:rFonts w:hint="eastAsia" w:ascii="宋体" w:hAnsi="宋体" w:eastAsia="宋体" w:cs="宋体"/>
                <w:bCs/>
                <w:color w:val="000000"/>
                <w:kern w:val="2"/>
                <w:sz w:val="24"/>
                <w:szCs w:val="24"/>
                <w:lang w:val="en-US" w:eastAsia="zh-CN" w:bidi="ar-SA"/>
              </w:rPr>
              <w:t>每旋转360°采集：≥32层</w:t>
            </w:r>
            <w:bookmarkEnd w:id="1191"/>
            <w:bookmarkEnd w:id="1192"/>
            <w:bookmarkEnd w:id="1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194" w:name="_Toc2201"/>
            <w:bookmarkStart w:id="1195" w:name="_Toc22160"/>
            <w:bookmarkStart w:id="1196" w:name="_Toc7532"/>
            <w:r>
              <w:rPr>
                <w:rFonts w:hint="eastAsia" w:ascii="宋体" w:hAnsi="宋体" w:eastAsia="宋体" w:cs="宋体"/>
                <w:bCs/>
                <w:color w:val="000000"/>
                <w:kern w:val="2"/>
                <w:sz w:val="24"/>
                <w:szCs w:val="24"/>
                <w:lang w:val="en-US" w:eastAsia="zh-CN" w:bidi="ar-SA"/>
              </w:rPr>
              <w:t>冷却方式：油风冷或油水冷（如果采用油水冷方式，需提供两套水冷机组，注明品牌、型号，并负责安装、调试和整机相同保修期限）</w:t>
            </w:r>
            <w:bookmarkEnd w:id="1194"/>
            <w:bookmarkEnd w:id="1195"/>
            <w:bookmarkEnd w:id="11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197" w:name="_Toc19716"/>
            <w:bookmarkStart w:id="1198" w:name="_Toc14426"/>
            <w:bookmarkStart w:id="1199" w:name="_Toc5595"/>
            <w:r>
              <w:rPr>
                <w:rFonts w:hint="eastAsia" w:ascii="宋体" w:hAnsi="宋体" w:eastAsia="宋体" w:cs="宋体"/>
                <w:b/>
                <w:bCs/>
                <w:color w:val="000000"/>
                <w:kern w:val="2"/>
                <w:sz w:val="24"/>
                <w:szCs w:val="24"/>
                <w:lang w:val="en-US" w:eastAsia="zh-CN" w:bidi="ar-SA"/>
              </w:rPr>
              <w:t>高压发生器</w:t>
            </w:r>
            <w:bookmarkEnd w:id="1197"/>
            <w:bookmarkEnd w:id="1198"/>
            <w:bookmarkEnd w:id="1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高压发生器功率（非等效）：≥ 80kW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设计方式：对称式设计，将两套正负极的高压发生器放置于机架对称位置，减少额外配重。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正负级高压发生器质量相同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正负极高压发生器</w:t>
            </w:r>
            <w:r>
              <w:rPr>
                <w:rFonts w:hint="eastAsia" w:ascii="宋体" w:hAnsi="宋体" w:cs="宋体"/>
                <w:color w:val="000000"/>
                <w:kern w:val="0"/>
                <w:sz w:val="24"/>
                <w:szCs w:val="24"/>
                <w:lang w:val="en-US" w:eastAsia="zh-CN"/>
              </w:rPr>
              <w:t>平均</w:t>
            </w:r>
            <w:r>
              <w:rPr>
                <w:rFonts w:hint="eastAsia" w:ascii="宋体" w:hAnsi="宋体" w:eastAsia="宋体" w:cs="宋体"/>
                <w:color w:val="000000"/>
                <w:kern w:val="0"/>
                <w:sz w:val="24"/>
                <w:szCs w:val="24"/>
              </w:rPr>
              <w:t>分担高压发生器功率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最大管电流：≥660mA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最小管电流：≤20mA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管电流最小变量：≤1mA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pStyle w:val="79"/>
              <w:keepLines w:val="0"/>
              <w:pageBreakBefore w:val="0"/>
              <w:widowControl/>
              <w:kinsoku/>
              <w:wordWrap/>
              <w:overflowPunct/>
              <w:topLinePunct w:val="0"/>
              <w:autoSpaceDE/>
              <w:autoSpaceDN/>
              <w:bidi w:val="0"/>
              <w:adjustRightInd/>
              <w:spacing w:after="0" w:line="360" w:lineRule="exact"/>
              <w:ind w:left="0" w:firstLine="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bCs/>
                <w:color w:val="000000"/>
                <w:kern w:val="0"/>
                <w:sz w:val="24"/>
                <w:szCs w:val="24"/>
              </w:rPr>
              <w:t>最大管电压：≥140kV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200" w:name="_Toc31018"/>
            <w:bookmarkStart w:id="1201" w:name="_Toc24183"/>
            <w:bookmarkStart w:id="1202" w:name="_Toc21842"/>
            <w:r>
              <w:rPr>
                <w:rFonts w:hint="eastAsia" w:ascii="宋体" w:hAnsi="宋体" w:eastAsia="宋体" w:cs="宋体"/>
                <w:b/>
                <w:bCs/>
                <w:color w:val="000000"/>
                <w:kern w:val="2"/>
                <w:sz w:val="24"/>
                <w:szCs w:val="24"/>
                <w:lang w:val="en-US" w:eastAsia="zh-CN" w:bidi="ar-SA"/>
              </w:rPr>
              <w:t>球管</w:t>
            </w:r>
            <w:bookmarkEnd w:id="1200"/>
            <w:bookmarkEnd w:id="1201"/>
            <w:bookmarkEnd w:id="12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03" w:name="_Toc20768"/>
            <w:bookmarkStart w:id="1204" w:name="_Toc24299"/>
            <w:bookmarkStart w:id="1205" w:name="_Toc11165"/>
            <w:r>
              <w:rPr>
                <w:rFonts w:hint="eastAsia" w:ascii="宋体" w:hAnsi="宋体" w:eastAsia="宋体" w:cs="宋体"/>
                <w:bCs/>
                <w:color w:val="000000"/>
                <w:kern w:val="2"/>
                <w:sz w:val="24"/>
                <w:szCs w:val="24"/>
                <w:lang w:val="en-US" w:eastAsia="zh-CN" w:bidi="ar-SA"/>
              </w:rPr>
              <w:t>球管小焦点：≤0.5×1.0mm</w:t>
            </w:r>
            <w:bookmarkEnd w:id="1203"/>
            <w:bookmarkEnd w:id="1204"/>
            <w:bookmarkEnd w:id="12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06" w:name="_Toc21311"/>
            <w:bookmarkStart w:id="1207" w:name="_Toc22828"/>
            <w:bookmarkStart w:id="1208" w:name="_Toc12549"/>
            <w:r>
              <w:rPr>
                <w:rFonts w:hint="eastAsia" w:ascii="宋体" w:hAnsi="宋体" w:eastAsia="宋体" w:cs="宋体"/>
                <w:bCs/>
                <w:color w:val="000000"/>
                <w:kern w:val="2"/>
                <w:sz w:val="24"/>
                <w:szCs w:val="24"/>
                <w:lang w:val="en-US" w:eastAsia="zh-CN" w:bidi="ar-SA"/>
              </w:rPr>
              <w:t>球管大焦点：≤1.0×1.0mm</w:t>
            </w:r>
            <w:bookmarkEnd w:id="1206"/>
            <w:bookmarkEnd w:id="1207"/>
            <w:bookmarkEnd w:id="1208"/>
            <w:r>
              <w:rPr>
                <w:rFonts w:hint="eastAsia" w:ascii="宋体" w:hAnsi="宋体" w:eastAsia="宋体" w:cs="宋体"/>
                <w:bCs/>
                <w:color w:val="000000"/>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09" w:name="_Toc25420"/>
            <w:bookmarkStart w:id="1210" w:name="_Toc13225"/>
            <w:bookmarkStart w:id="1211" w:name="_Toc10929"/>
            <w:r>
              <w:rPr>
                <w:rFonts w:hint="eastAsia" w:ascii="宋体" w:hAnsi="宋体" w:eastAsia="宋体" w:cs="宋体"/>
                <w:bCs/>
                <w:color w:val="000000"/>
                <w:kern w:val="2"/>
                <w:sz w:val="24"/>
                <w:szCs w:val="24"/>
                <w:lang w:val="en-US" w:eastAsia="zh-CN" w:bidi="ar-SA"/>
              </w:rPr>
              <w:t>球管采用</w:t>
            </w:r>
            <w:r>
              <w:rPr>
                <w:rFonts w:hint="eastAsia" w:ascii="宋体" w:hAnsi="宋体" w:cs="宋体"/>
                <w:bCs/>
                <w:color w:val="000000"/>
                <w:kern w:val="2"/>
                <w:sz w:val="24"/>
                <w:szCs w:val="24"/>
                <w:lang w:val="en-US" w:eastAsia="zh-CN" w:bidi="ar-SA"/>
              </w:rPr>
              <w:t>液态</w:t>
            </w:r>
            <w:r>
              <w:rPr>
                <w:rFonts w:hint="eastAsia" w:ascii="宋体" w:hAnsi="宋体" w:eastAsia="宋体" w:cs="宋体"/>
                <w:bCs/>
                <w:color w:val="000000"/>
                <w:kern w:val="2"/>
                <w:sz w:val="24"/>
                <w:szCs w:val="24"/>
                <w:lang w:val="en-US" w:eastAsia="zh-CN" w:bidi="ar-SA"/>
              </w:rPr>
              <w:t>金属轴承技术</w:t>
            </w:r>
            <w:bookmarkEnd w:id="1209"/>
            <w:bookmarkEnd w:id="1210"/>
            <w:bookmarkEnd w:id="12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12" w:name="_Toc4763"/>
            <w:bookmarkStart w:id="1213" w:name="_Toc30640"/>
            <w:bookmarkStart w:id="1214" w:name="_Toc21546"/>
            <w:r>
              <w:rPr>
                <w:rFonts w:hint="eastAsia" w:ascii="宋体" w:hAnsi="宋体" w:eastAsia="宋体" w:cs="宋体"/>
                <w:bCs/>
                <w:color w:val="000000"/>
                <w:kern w:val="2"/>
                <w:sz w:val="24"/>
                <w:szCs w:val="24"/>
                <w:lang w:val="en-US" w:eastAsia="zh-CN" w:bidi="ar-SA"/>
              </w:rPr>
              <w:t>球管阳极热容量（非等效）：≥8MHU</w:t>
            </w:r>
            <w:bookmarkEnd w:id="1212"/>
            <w:bookmarkEnd w:id="1213"/>
            <w:bookmarkEnd w:id="12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15" w:name="_Toc15932"/>
            <w:bookmarkStart w:id="1216" w:name="_Toc1244"/>
            <w:bookmarkStart w:id="1217" w:name="_Toc5740"/>
            <w:r>
              <w:rPr>
                <w:rFonts w:hint="eastAsia" w:ascii="宋体" w:hAnsi="宋体" w:eastAsia="宋体" w:cs="宋体"/>
                <w:bCs/>
                <w:color w:val="000000"/>
                <w:kern w:val="2"/>
                <w:sz w:val="24"/>
                <w:szCs w:val="24"/>
                <w:lang w:val="en-US" w:eastAsia="zh-CN" w:bidi="ar-SA"/>
              </w:rPr>
              <w:t>最大阳极冷却率：≥1600kHU/min</w:t>
            </w:r>
            <w:bookmarkEnd w:id="1215"/>
            <w:bookmarkEnd w:id="1216"/>
            <w:bookmarkEnd w:id="1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18" w:name="_Toc23119"/>
            <w:bookmarkStart w:id="1219" w:name="_Toc18136"/>
            <w:bookmarkStart w:id="1220" w:name="_Toc2376"/>
            <w:r>
              <w:rPr>
                <w:rFonts w:hint="eastAsia" w:ascii="宋体" w:hAnsi="宋体" w:eastAsia="宋体" w:cs="宋体"/>
                <w:bCs/>
                <w:color w:val="000000"/>
                <w:kern w:val="2"/>
                <w:sz w:val="24"/>
                <w:szCs w:val="24"/>
                <w:lang w:val="en-US" w:eastAsia="zh-CN" w:bidi="ar-SA"/>
              </w:rPr>
              <w:t>球管阳极靶面直径：≥200mm</w:t>
            </w:r>
            <w:bookmarkEnd w:id="1218"/>
            <w:bookmarkEnd w:id="1219"/>
            <w:bookmarkEnd w:id="12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21" w:name="_Toc8696"/>
            <w:bookmarkStart w:id="1222" w:name="_Toc21755"/>
            <w:bookmarkStart w:id="1223" w:name="_Toc5819"/>
            <w:r>
              <w:rPr>
                <w:rFonts w:hint="eastAsia" w:ascii="宋体" w:hAnsi="宋体" w:eastAsia="宋体" w:cs="宋体"/>
                <w:bCs/>
                <w:color w:val="000000"/>
                <w:kern w:val="2"/>
                <w:sz w:val="24"/>
                <w:szCs w:val="24"/>
                <w:lang w:val="en-US" w:eastAsia="zh-CN" w:bidi="ar-SA"/>
              </w:rPr>
              <w:t>提供球管标准保修方案：保用时间≥1年</w:t>
            </w:r>
            <w:bookmarkEnd w:id="1221"/>
            <w:bookmarkEnd w:id="1222"/>
            <w:bookmarkEnd w:id="1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224" w:name="_Toc20857"/>
            <w:bookmarkStart w:id="1225" w:name="_Toc11119"/>
            <w:bookmarkStart w:id="1226" w:name="_Toc20507"/>
            <w:r>
              <w:rPr>
                <w:rFonts w:hint="eastAsia" w:ascii="宋体" w:hAnsi="宋体" w:eastAsia="宋体" w:cs="宋体"/>
                <w:b/>
                <w:bCs/>
                <w:color w:val="000000"/>
                <w:kern w:val="2"/>
                <w:sz w:val="24"/>
                <w:szCs w:val="24"/>
                <w:lang w:val="en-US" w:eastAsia="zh-CN" w:bidi="ar-SA"/>
              </w:rPr>
              <w:t>探测器</w:t>
            </w:r>
            <w:bookmarkEnd w:id="1224"/>
            <w:bookmarkEnd w:id="1225"/>
            <w:bookmarkEnd w:id="12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27" w:name="_Toc4467"/>
            <w:bookmarkStart w:id="1228" w:name="_Toc10562"/>
            <w:bookmarkStart w:id="1229" w:name="_Toc6124"/>
            <w:r>
              <w:rPr>
                <w:rFonts w:hint="eastAsia" w:ascii="宋体" w:hAnsi="宋体" w:eastAsia="宋体" w:cs="宋体"/>
                <w:bCs/>
                <w:color w:val="000000"/>
                <w:kern w:val="2"/>
                <w:sz w:val="24"/>
                <w:szCs w:val="24"/>
                <w:lang w:val="en-US" w:eastAsia="zh-CN" w:bidi="ar-SA"/>
              </w:rPr>
              <w:t>探测器材料：固态稀土陶瓷材料</w:t>
            </w:r>
            <w:bookmarkEnd w:id="1227"/>
            <w:bookmarkEnd w:id="1228"/>
            <w:bookmarkEnd w:id="12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30" w:name="_Toc8030"/>
            <w:bookmarkStart w:id="1231" w:name="_Toc23141"/>
            <w:bookmarkStart w:id="1232" w:name="_Toc16575"/>
            <w:r>
              <w:rPr>
                <w:rFonts w:hint="eastAsia" w:ascii="宋体" w:hAnsi="宋体" w:eastAsia="宋体" w:cs="宋体"/>
                <w:bCs/>
                <w:color w:val="000000"/>
                <w:kern w:val="2"/>
                <w:sz w:val="24"/>
                <w:szCs w:val="24"/>
                <w:lang w:val="en-US" w:eastAsia="zh-CN" w:bidi="ar-SA"/>
              </w:rPr>
              <w:t>每排探测器实际物理个数：≥800</w:t>
            </w:r>
            <w:bookmarkEnd w:id="1230"/>
            <w:bookmarkEnd w:id="1231"/>
            <w:bookmarkEnd w:id="12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33" w:name="_Toc8231"/>
            <w:bookmarkStart w:id="1234" w:name="_Toc27622"/>
            <w:bookmarkStart w:id="1235" w:name="_Toc491"/>
            <w:r>
              <w:rPr>
                <w:rFonts w:hint="eastAsia" w:ascii="宋体" w:hAnsi="宋体" w:eastAsia="宋体" w:cs="宋体"/>
                <w:bCs/>
                <w:color w:val="000000"/>
                <w:kern w:val="2"/>
                <w:sz w:val="24"/>
                <w:szCs w:val="24"/>
                <w:lang w:val="en-US" w:eastAsia="zh-CN" w:bidi="ar-SA"/>
              </w:rPr>
              <w:t>探测器物理宽度：≥24mm</w:t>
            </w:r>
            <w:bookmarkEnd w:id="1233"/>
            <w:bookmarkEnd w:id="1234"/>
            <w:bookmarkEnd w:id="12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36" w:name="_Toc7905"/>
            <w:bookmarkStart w:id="1237" w:name="_Toc15080"/>
            <w:bookmarkStart w:id="1238" w:name="_Toc30866"/>
            <w:r>
              <w:rPr>
                <w:rFonts w:hint="eastAsia" w:ascii="宋体" w:hAnsi="宋体" w:eastAsia="宋体" w:cs="宋体"/>
                <w:bCs/>
                <w:color w:val="000000"/>
                <w:kern w:val="2"/>
                <w:sz w:val="24"/>
                <w:szCs w:val="24"/>
                <w:lang w:val="en-US" w:eastAsia="zh-CN" w:bidi="ar-SA"/>
              </w:rPr>
              <w:t>探测器物理排数：≥24排</w:t>
            </w:r>
            <w:bookmarkEnd w:id="1236"/>
            <w:bookmarkEnd w:id="1237"/>
            <w:bookmarkEnd w:id="12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39" w:name="_Toc19488"/>
            <w:bookmarkStart w:id="1240" w:name="_Toc16181"/>
            <w:bookmarkStart w:id="1241" w:name="_Toc23902"/>
            <w:r>
              <w:rPr>
                <w:rFonts w:hint="eastAsia" w:ascii="宋体" w:hAnsi="宋体" w:eastAsia="宋体" w:cs="宋体"/>
                <w:bCs/>
                <w:color w:val="000000"/>
                <w:kern w:val="2"/>
                <w:sz w:val="24"/>
                <w:szCs w:val="24"/>
                <w:lang w:val="en-US" w:eastAsia="zh-CN" w:bidi="ar-SA"/>
              </w:rPr>
              <w:t>探测器采用非等宽技术</w:t>
            </w:r>
            <w:bookmarkEnd w:id="1239"/>
            <w:bookmarkEnd w:id="1240"/>
            <w:bookmarkEnd w:id="12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42" w:name="_Toc30740"/>
            <w:bookmarkStart w:id="1243" w:name="_Toc3807"/>
            <w:bookmarkStart w:id="1244" w:name="_Toc21708"/>
            <w:r>
              <w:rPr>
                <w:rFonts w:hint="eastAsia" w:ascii="宋体" w:hAnsi="宋体" w:eastAsia="宋体" w:cs="宋体"/>
                <w:bCs/>
                <w:color w:val="000000"/>
                <w:kern w:val="2"/>
                <w:sz w:val="24"/>
                <w:szCs w:val="24"/>
                <w:lang w:val="en-US" w:eastAsia="zh-CN" w:bidi="ar-SA"/>
              </w:rPr>
              <w:t>探测器非等宽技术中较宽探测器宽度：≥1.5mm</w:t>
            </w:r>
            <w:bookmarkEnd w:id="1242"/>
            <w:bookmarkEnd w:id="1243"/>
            <w:bookmarkEnd w:id="12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45" w:name="_Toc2357"/>
            <w:bookmarkStart w:id="1246" w:name="_Toc8862"/>
            <w:bookmarkStart w:id="1247" w:name="_Toc21214"/>
            <w:r>
              <w:rPr>
                <w:rFonts w:hint="eastAsia" w:ascii="宋体" w:hAnsi="宋体" w:eastAsia="宋体" w:cs="宋体"/>
                <w:bCs/>
                <w:color w:val="000000"/>
                <w:kern w:val="2"/>
                <w:sz w:val="24"/>
                <w:szCs w:val="24"/>
                <w:lang w:val="en-US" w:eastAsia="zh-CN" w:bidi="ar-SA"/>
              </w:rPr>
              <w:t>探测器非等宽技术中较窄探测器宽度：≤0.75mm</w:t>
            </w:r>
            <w:bookmarkEnd w:id="1245"/>
            <w:bookmarkEnd w:id="1246"/>
            <w:bookmarkEnd w:id="12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48" w:name="_Toc31090"/>
            <w:bookmarkStart w:id="1249" w:name="_Toc21977"/>
            <w:bookmarkStart w:id="1250" w:name="_Toc14177"/>
            <w:r>
              <w:rPr>
                <w:rFonts w:hint="eastAsia" w:ascii="宋体" w:hAnsi="宋体" w:eastAsia="宋体" w:cs="宋体"/>
                <w:bCs/>
                <w:color w:val="000000"/>
                <w:kern w:val="2"/>
                <w:sz w:val="24"/>
                <w:szCs w:val="24"/>
                <w:lang w:val="en-US" w:eastAsia="zh-CN" w:bidi="ar-SA"/>
              </w:rPr>
              <w:t>传输速度：≥2.5GB/s</w:t>
            </w:r>
            <w:bookmarkEnd w:id="1248"/>
            <w:bookmarkEnd w:id="1249"/>
            <w:bookmarkEnd w:id="12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251" w:name="_Toc2522"/>
            <w:bookmarkStart w:id="1252" w:name="_Toc10612"/>
            <w:bookmarkStart w:id="1253" w:name="_Toc31184"/>
            <w:r>
              <w:rPr>
                <w:rFonts w:hint="eastAsia" w:ascii="宋体" w:hAnsi="宋体" w:eastAsia="宋体" w:cs="宋体"/>
                <w:b/>
                <w:bCs/>
                <w:color w:val="000000"/>
                <w:kern w:val="2"/>
                <w:sz w:val="24"/>
                <w:szCs w:val="24"/>
                <w:lang w:val="en-US" w:eastAsia="zh-CN" w:bidi="ar-SA"/>
              </w:rPr>
              <w:t>扫描床系统</w:t>
            </w:r>
            <w:bookmarkEnd w:id="1251"/>
            <w:bookmarkEnd w:id="1252"/>
            <w:bookmarkEnd w:id="12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54" w:name="_Toc31916"/>
            <w:bookmarkStart w:id="1255" w:name="_Toc4498"/>
            <w:bookmarkStart w:id="1256" w:name="_Toc32228"/>
            <w:r>
              <w:rPr>
                <w:rFonts w:hint="eastAsia" w:ascii="宋体" w:hAnsi="宋体" w:eastAsia="宋体" w:cs="宋体"/>
                <w:bCs/>
                <w:color w:val="000000"/>
                <w:kern w:val="2"/>
                <w:sz w:val="24"/>
                <w:szCs w:val="24"/>
                <w:lang w:val="en-US" w:eastAsia="zh-CN" w:bidi="ar-SA"/>
              </w:rPr>
              <w:t>扫描床Z轴定位精度：≤±0.25mm</w:t>
            </w:r>
            <w:bookmarkEnd w:id="1254"/>
            <w:bookmarkEnd w:id="1255"/>
            <w:bookmarkEnd w:id="1256"/>
            <w:r>
              <w:rPr>
                <w:rFonts w:hint="eastAsia" w:ascii="宋体" w:hAnsi="宋体" w:eastAsia="宋体" w:cs="宋体"/>
                <w:bCs/>
                <w:color w:val="000000"/>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57" w:name="_Toc24613"/>
            <w:bookmarkStart w:id="1258" w:name="_Toc5912"/>
            <w:bookmarkStart w:id="1259" w:name="_Toc6164"/>
            <w:r>
              <w:rPr>
                <w:rFonts w:hint="eastAsia" w:ascii="宋体" w:hAnsi="宋体" w:eastAsia="宋体" w:cs="宋体"/>
                <w:bCs/>
                <w:color w:val="000000"/>
                <w:kern w:val="2"/>
                <w:sz w:val="24"/>
                <w:szCs w:val="24"/>
                <w:lang w:val="en-US" w:eastAsia="zh-CN" w:bidi="ar-SA"/>
              </w:rPr>
              <w:t>扫描床需满足AAPM-TG66标准并在白皮书中注明</w:t>
            </w:r>
            <w:bookmarkEnd w:id="1257"/>
            <w:bookmarkEnd w:id="1258"/>
            <w:bookmarkEnd w:id="1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60" w:name="_Toc20886"/>
            <w:bookmarkStart w:id="1261" w:name="_Toc31884"/>
            <w:bookmarkStart w:id="1262" w:name="_Toc20746"/>
            <w:r>
              <w:rPr>
                <w:rFonts w:hint="eastAsia" w:ascii="宋体" w:hAnsi="宋体" w:eastAsia="宋体" w:cs="宋体"/>
                <w:bCs/>
                <w:color w:val="000000"/>
                <w:kern w:val="2"/>
                <w:sz w:val="24"/>
                <w:szCs w:val="24"/>
                <w:lang w:val="en-US" w:eastAsia="zh-CN" w:bidi="ar-SA"/>
              </w:rPr>
              <w:t>扫描床垂直升降与床纵向运动必须全程实现分开操作</w:t>
            </w:r>
            <w:bookmarkEnd w:id="1260"/>
            <w:bookmarkEnd w:id="1261"/>
            <w:bookmarkEnd w:id="12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63" w:name="_Toc31105"/>
            <w:bookmarkStart w:id="1264" w:name="_Toc13368"/>
            <w:bookmarkStart w:id="1265" w:name="_Toc18874"/>
            <w:r>
              <w:rPr>
                <w:rFonts w:hint="eastAsia" w:ascii="宋体" w:hAnsi="宋体" w:eastAsia="宋体" w:cs="宋体"/>
                <w:bCs/>
                <w:color w:val="000000"/>
                <w:kern w:val="2"/>
                <w:sz w:val="24"/>
                <w:szCs w:val="24"/>
                <w:lang w:val="en-US" w:eastAsia="zh-CN" w:bidi="ar-SA"/>
              </w:rPr>
              <w:t>床面垂直运动范围（从地面算起）：最低≤580mm</w:t>
            </w:r>
            <w:bookmarkEnd w:id="1263"/>
            <w:bookmarkEnd w:id="1264"/>
            <w:bookmarkEnd w:id="12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66" w:name="_Toc341"/>
            <w:bookmarkStart w:id="1267" w:name="_Toc4121"/>
            <w:bookmarkStart w:id="1268" w:name="_Toc9068"/>
            <w:r>
              <w:rPr>
                <w:rFonts w:hint="eastAsia" w:ascii="宋体" w:hAnsi="宋体" w:eastAsia="宋体" w:cs="宋体"/>
                <w:bCs/>
                <w:color w:val="000000"/>
                <w:kern w:val="2"/>
                <w:sz w:val="24"/>
                <w:szCs w:val="24"/>
                <w:lang w:val="en-US" w:eastAsia="zh-CN" w:bidi="ar-SA"/>
              </w:rPr>
              <w:t>床面垂直运动范围（从地面算起）：最高≥1010mm</w:t>
            </w:r>
            <w:bookmarkEnd w:id="1266"/>
            <w:bookmarkEnd w:id="1267"/>
            <w:bookmarkEnd w:id="12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69" w:name="_Toc727"/>
            <w:bookmarkStart w:id="1270" w:name="_Toc13920"/>
            <w:bookmarkStart w:id="1271" w:name="_Toc13324"/>
            <w:r>
              <w:rPr>
                <w:rFonts w:hint="eastAsia" w:ascii="宋体" w:hAnsi="宋体" w:eastAsia="宋体" w:cs="宋体"/>
                <w:bCs/>
                <w:color w:val="000000"/>
                <w:kern w:val="2"/>
                <w:sz w:val="24"/>
                <w:szCs w:val="24"/>
                <w:lang w:val="en-US" w:eastAsia="zh-CN" w:bidi="ar-SA"/>
              </w:rPr>
              <w:t>床面垂直运动范围：≥440mm</w:t>
            </w:r>
            <w:bookmarkEnd w:id="1269"/>
            <w:bookmarkEnd w:id="1270"/>
            <w:bookmarkEnd w:id="12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72" w:name="_Toc6317"/>
            <w:bookmarkStart w:id="1273" w:name="_Toc2141"/>
            <w:bookmarkStart w:id="1274" w:name="_Toc20080"/>
            <w:r>
              <w:rPr>
                <w:rFonts w:hint="eastAsia" w:ascii="宋体" w:hAnsi="宋体" w:eastAsia="宋体" w:cs="宋体"/>
                <w:bCs/>
                <w:color w:val="000000"/>
                <w:kern w:val="2"/>
                <w:sz w:val="24"/>
                <w:szCs w:val="24"/>
                <w:lang w:val="en-US" w:eastAsia="zh-CN" w:bidi="ar-SA"/>
              </w:rPr>
              <w:t>最大载重量：</w:t>
            </w:r>
            <w:r>
              <w:rPr>
                <w:rFonts w:hint="eastAsia" w:ascii="宋体" w:hAnsi="宋体" w:eastAsia="宋体" w:cs="宋体"/>
                <w:bCs/>
                <w:color w:val="000000"/>
                <w:kern w:val="2"/>
                <w:sz w:val="24"/>
                <w:szCs w:val="24"/>
                <w:highlight w:val="none"/>
                <w:lang w:val="en-US" w:eastAsia="zh-CN" w:bidi="ar-SA"/>
              </w:rPr>
              <w:t>≥280kg</w:t>
            </w:r>
            <w:bookmarkEnd w:id="1272"/>
            <w:bookmarkEnd w:id="1273"/>
            <w:bookmarkEnd w:id="12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75" w:name="_Toc6219"/>
            <w:bookmarkStart w:id="1276" w:name="_Toc6983"/>
            <w:bookmarkStart w:id="1277" w:name="_Toc31482"/>
            <w:r>
              <w:rPr>
                <w:rFonts w:hint="eastAsia" w:ascii="宋体" w:hAnsi="宋体" w:eastAsia="宋体" w:cs="宋体"/>
                <w:bCs/>
                <w:color w:val="000000"/>
                <w:kern w:val="2"/>
                <w:sz w:val="24"/>
                <w:szCs w:val="24"/>
                <w:lang w:val="en-US" w:eastAsia="zh-CN" w:bidi="ar-SA"/>
              </w:rPr>
              <w:t>提供原厂放疗定位专用全碳纤维平床板</w:t>
            </w:r>
            <w:bookmarkEnd w:id="1275"/>
            <w:bookmarkEnd w:id="1276"/>
            <w:bookmarkEnd w:id="12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78" w:name="_Toc7752"/>
            <w:bookmarkStart w:id="1279" w:name="_Toc30101"/>
            <w:bookmarkStart w:id="1280" w:name="_Toc29732"/>
            <w:r>
              <w:rPr>
                <w:rFonts w:hint="eastAsia" w:ascii="宋体" w:hAnsi="宋体" w:eastAsia="宋体" w:cs="宋体"/>
                <w:bCs/>
                <w:color w:val="000000"/>
                <w:kern w:val="2"/>
                <w:sz w:val="24"/>
                <w:szCs w:val="24"/>
                <w:lang w:val="en-US" w:eastAsia="zh-CN" w:bidi="ar-SA"/>
              </w:rPr>
              <w:t>提供放疗专用扫描床系</w:t>
            </w:r>
            <w:r>
              <w:rPr>
                <w:rFonts w:hint="eastAsia" w:ascii="宋体" w:hAnsi="宋体" w:eastAsia="宋体" w:cs="宋体"/>
                <w:bCs/>
                <w:color w:val="000000"/>
                <w:kern w:val="2"/>
                <w:sz w:val="24"/>
                <w:szCs w:val="24"/>
                <w:shd w:val="clear"/>
                <w:lang w:val="en-US" w:eastAsia="zh-CN" w:bidi="ar-SA"/>
              </w:rPr>
              <w:t>统</w:t>
            </w:r>
            <w:r>
              <w:rPr>
                <w:rFonts w:hint="eastAsia" w:ascii="宋体" w:hAnsi="宋体" w:eastAsia="宋体" w:cs="宋体"/>
                <w:bCs/>
                <w:color w:val="000000"/>
                <w:kern w:val="2"/>
                <w:sz w:val="24"/>
                <w:szCs w:val="24"/>
                <w:highlight w:val="none"/>
                <w:shd w:val="clear"/>
                <w:lang w:val="en-US" w:eastAsia="zh-CN" w:bidi="ar-SA"/>
              </w:rPr>
              <w:t>，不能以“Z”字形放射诊断扫描床代替</w:t>
            </w:r>
            <w:r>
              <w:rPr>
                <w:rFonts w:hint="eastAsia" w:ascii="宋体" w:hAnsi="宋体" w:eastAsia="宋体" w:cs="宋体"/>
                <w:bCs/>
                <w:color w:val="000000"/>
                <w:kern w:val="2"/>
                <w:sz w:val="24"/>
                <w:szCs w:val="24"/>
                <w:shd w:val="clear"/>
                <w:lang w:val="en-US" w:eastAsia="zh-CN" w:bidi="ar-SA"/>
              </w:rPr>
              <w:t>。</w:t>
            </w:r>
            <w:bookmarkEnd w:id="1278"/>
            <w:bookmarkEnd w:id="1279"/>
            <w:bookmarkEnd w:id="12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281" w:name="_Toc10723"/>
            <w:bookmarkStart w:id="1282" w:name="_Toc26352"/>
            <w:bookmarkStart w:id="1283" w:name="_Toc12131"/>
            <w:r>
              <w:rPr>
                <w:rFonts w:hint="eastAsia" w:ascii="宋体" w:hAnsi="宋体" w:eastAsia="宋体" w:cs="宋体"/>
                <w:b/>
                <w:bCs/>
                <w:color w:val="000000"/>
                <w:kern w:val="2"/>
                <w:sz w:val="24"/>
                <w:szCs w:val="24"/>
                <w:lang w:val="en-US" w:eastAsia="zh-CN" w:bidi="ar-SA"/>
              </w:rPr>
              <w:t>扫描参数</w:t>
            </w:r>
            <w:bookmarkEnd w:id="1281"/>
            <w:bookmarkEnd w:id="1282"/>
            <w:bookmarkEnd w:id="12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84" w:name="_Toc30772"/>
            <w:bookmarkStart w:id="1285" w:name="_Toc27048"/>
            <w:bookmarkStart w:id="1286" w:name="_Toc3658"/>
            <w:r>
              <w:rPr>
                <w:rFonts w:hint="eastAsia" w:ascii="宋体" w:hAnsi="宋体" w:eastAsia="宋体" w:cs="宋体"/>
                <w:bCs/>
                <w:color w:val="000000"/>
                <w:kern w:val="2"/>
                <w:sz w:val="24"/>
                <w:szCs w:val="24"/>
                <w:lang w:val="en-US" w:eastAsia="zh-CN" w:bidi="ar-SA"/>
              </w:rPr>
              <w:t>定位像角度：90°，180°；</w:t>
            </w:r>
            <w:bookmarkEnd w:id="1284"/>
            <w:bookmarkEnd w:id="1285"/>
            <w:bookmarkEnd w:id="12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87" w:name="_Toc1271"/>
            <w:bookmarkStart w:id="1288" w:name="_Toc20827"/>
            <w:bookmarkStart w:id="1289" w:name="_Toc32330"/>
            <w:r>
              <w:rPr>
                <w:rFonts w:hint="eastAsia" w:ascii="宋体" w:hAnsi="宋体" w:eastAsia="宋体" w:cs="宋体"/>
                <w:bCs/>
                <w:color w:val="000000"/>
                <w:kern w:val="2"/>
                <w:sz w:val="24"/>
                <w:szCs w:val="24"/>
                <w:lang w:val="en-US" w:eastAsia="zh-CN" w:bidi="ar-SA"/>
              </w:rPr>
              <w:t>定位像长度：≥1800mm，</w:t>
            </w:r>
            <w:bookmarkEnd w:id="1287"/>
            <w:bookmarkEnd w:id="1288"/>
            <w:bookmarkEnd w:id="12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90" w:name="_Toc4482"/>
            <w:bookmarkStart w:id="1291" w:name="_Toc319"/>
            <w:bookmarkStart w:id="1292" w:name="_Toc6665"/>
            <w:r>
              <w:rPr>
                <w:rFonts w:hint="eastAsia" w:ascii="宋体" w:hAnsi="宋体" w:eastAsia="宋体" w:cs="宋体"/>
                <w:bCs/>
                <w:color w:val="000000"/>
                <w:kern w:val="2"/>
                <w:sz w:val="24"/>
                <w:szCs w:val="24"/>
                <w:lang w:val="en-US" w:eastAsia="zh-CN" w:bidi="ar-SA"/>
              </w:rPr>
              <w:t>定位像宽度：≥600mm</w:t>
            </w:r>
            <w:bookmarkEnd w:id="1290"/>
            <w:bookmarkEnd w:id="1291"/>
            <w:bookmarkEnd w:id="12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293" w:name="_Toc6195"/>
            <w:bookmarkStart w:id="1294" w:name="_Toc21035"/>
            <w:bookmarkStart w:id="1295" w:name="_Toc22779"/>
            <w:r>
              <w:rPr>
                <w:rFonts w:hint="eastAsia" w:ascii="宋体" w:hAnsi="宋体" w:eastAsia="宋体" w:cs="宋体"/>
                <w:bCs/>
                <w:color w:val="000000"/>
                <w:kern w:val="2"/>
                <w:sz w:val="24"/>
                <w:szCs w:val="24"/>
                <w:lang w:val="en-US" w:eastAsia="zh-CN" w:bidi="ar-SA"/>
              </w:rPr>
              <w:t>最大真实扫描视野(SFOV)：≥600mm</w:t>
            </w:r>
            <w:bookmarkEnd w:id="1293"/>
            <w:bookmarkEnd w:id="1294"/>
            <w:bookmarkEnd w:id="1295"/>
            <w:r>
              <w:rPr>
                <w:rFonts w:hint="eastAsia" w:ascii="宋体" w:hAnsi="宋体" w:eastAsia="宋体" w:cs="宋体"/>
                <w:bCs/>
                <w:color w:val="000000"/>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bCs/>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96" w:name="_Toc6190"/>
            <w:bookmarkStart w:id="1297" w:name="_Toc3901"/>
            <w:bookmarkStart w:id="1298" w:name="_Toc1926"/>
            <w:r>
              <w:rPr>
                <w:rFonts w:hint="eastAsia" w:ascii="宋体" w:hAnsi="宋体" w:eastAsia="宋体" w:cs="宋体"/>
                <w:bCs/>
                <w:color w:val="000000"/>
                <w:kern w:val="2"/>
                <w:sz w:val="24"/>
                <w:szCs w:val="24"/>
                <w:lang w:val="en-US" w:eastAsia="zh-CN" w:bidi="ar-SA"/>
              </w:rPr>
              <w:t>轴向扫描最大真实扫描视野(SFOV)：≥600mm</w:t>
            </w:r>
            <w:bookmarkEnd w:id="1296"/>
            <w:bookmarkEnd w:id="1297"/>
            <w:bookmarkEnd w:id="12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bCs/>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299" w:name="_Toc1820"/>
            <w:bookmarkStart w:id="1300" w:name="_Toc2399"/>
            <w:bookmarkStart w:id="1301" w:name="_Toc22089"/>
            <w:r>
              <w:rPr>
                <w:rFonts w:hint="eastAsia" w:ascii="宋体" w:hAnsi="宋体" w:eastAsia="宋体" w:cs="宋体"/>
                <w:bCs/>
                <w:color w:val="000000"/>
                <w:kern w:val="2"/>
                <w:sz w:val="24"/>
                <w:szCs w:val="24"/>
                <w:lang w:val="en-US" w:eastAsia="zh-CN" w:bidi="ar-SA"/>
              </w:rPr>
              <w:t>螺旋扫描最大真实扫描视野(SFOV)：≥600mm</w:t>
            </w:r>
            <w:bookmarkEnd w:id="1299"/>
            <w:bookmarkEnd w:id="1300"/>
            <w:bookmarkEnd w:id="13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02" w:name="_Toc6800"/>
            <w:bookmarkStart w:id="1303" w:name="_Toc17719"/>
            <w:bookmarkStart w:id="1304" w:name="_Toc9962"/>
            <w:r>
              <w:rPr>
                <w:rFonts w:hint="eastAsia" w:ascii="宋体" w:hAnsi="宋体" w:eastAsia="宋体" w:cs="宋体"/>
                <w:bCs/>
                <w:color w:val="000000"/>
                <w:kern w:val="2"/>
                <w:sz w:val="24"/>
                <w:szCs w:val="24"/>
                <w:lang w:val="en-US" w:eastAsia="zh-CN" w:bidi="ar-SA"/>
              </w:rPr>
              <w:t>最大显示（扩展）视野(EFOV)：≥700mm</w:t>
            </w:r>
            <w:bookmarkEnd w:id="1302"/>
            <w:bookmarkEnd w:id="1303"/>
            <w:bookmarkEnd w:id="13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05" w:name="_Toc9244"/>
            <w:bookmarkStart w:id="1306" w:name="_Toc962"/>
            <w:bookmarkStart w:id="1307" w:name="_Toc4729"/>
            <w:r>
              <w:rPr>
                <w:rFonts w:hint="eastAsia" w:ascii="宋体" w:hAnsi="宋体" w:eastAsia="宋体" w:cs="宋体"/>
                <w:bCs/>
                <w:color w:val="000000"/>
                <w:kern w:val="2"/>
                <w:sz w:val="24"/>
                <w:szCs w:val="24"/>
                <w:lang w:val="en-US" w:eastAsia="zh-CN" w:bidi="ar-SA"/>
              </w:rPr>
              <w:t>扫描时间：螺旋扫描≤0.44s/360°</w:t>
            </w:r>
            <w:bookmarkEnd w:id="1305"/>
            <w:bookmarkEnd w:id="1306"/>
            <w:bookmarkEnd w:id="13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08" w:name="_Toc6533"/>
            <w:bookmarkStart w:id="1309" w:name="_Toc28245"/>
            <w:bookmarkStart w:id="1310" w:name="_Toc1699"/>
            <w:r>
              <w:rPr>
                <w:rFonts w:hint="eastAsia" w:ascii="宋体" w:hAnsi="宋体" w:eastAsia="宋体" w:cs="宋体"/>
                <w:bCs/>
                <w:color w:val="000000"/>
                <w:kern w:val="2"/>
                <w:sz w:val="24"/>
                <w:szCs w:val="24"/>
                <w:lang w:val="en-US" w:eastAsia="zh-CN" w:bidi="ar-SA"/>
              </w:rPr>
              <w:t>最大单次连续螺旋扫描时间 ≥ 120s</w:t>
            </w:r>
            <w:bookmarkEnd w:id="1308"/>
            <w:bookmarkEnd w:id="1309"/>
            <w:bookmarkEnd w:id="13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11" w:name="_Toc16671"/>
            <w:bookmarkStart w:id="1312" w:name="_Toc22229"/>
            <w:bookmarkStart w:id="1313" w:name="_Toc16612"/>
            <w:r>
              <w:rPr>
                <w:rFonts w:hint="eastAsia" w:ascii="宋体" w:hAnsi="宋体" w:eastAsia="宋体" w:cs="宋体"/>
                <w:bCs/>
                <w:color w:val="000000"/>
                <w:kern w:val="2"/>
                <w:sz w:val="24"/>
                <w:szCs w:val="24"/>
                <w:lang w:val="en-US" w:eastAsia="zh-CN" w:bidi="ar-SA"/>
              </w:rPr>
              <w:t>最小扫描层厚 ≤ 0.6mm</w:t>
            </w:r>
            <w:bookmarkEnd w:id="1311"/>
            <w:bookmarkEnd w:id="1312"/>
            <w:bookmarkEnd w:id="13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14" w:name="_Toc14469"/>
            <w:bookmarkStart w:id="1315" w:name="_Toc23571"/>
            <w:bookmarkStart w:id="1316" w:name="_Toc20575"/>
            <w:r>
              <w:rPr>
                <w:rFonts w:hint="eastAsia" w:ascii="宋体" w:hAnsi="宋体" w:eastAsia="宋体" w:cs="宋体"/>
                <w:bCs/>
                <w:color w:val="000000"/>
                <w:kern w:val="2"/>
                <w:sz w:val="24"/>
                <w:szCs w:val="24"/>
                <w:lang w:val="en-US" w:eastAsia="zh-CN" w:bidi="ar-SA"/>
              </w:rPr>
              <w:t>轴向扫描最大层厚≥12mm</w:t>
            </w:r>
            <w:bookmarkEnd w:id="1314"/>
            <w:bookmarkEnd w:id="1315"/>
            <w:bookmarkEnd w:id="13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17" w:name="_Toc23140"/>
            <w:bookmarkStart w:id="1318" w:name="_Toc1936"/>
            <w:bookmarkStart w:id="1319" w:name="_Toc7780"/>
            <w:r>
              <w:rPr>
                <w:rFonts w:hint="eastAsia" w:ascii="宋体" w:hAnsi="宋体" w:eastAsia="宋体" w:cs="宋体"/>
                <w:bCs/>
                <w:color w:val="000000"/>
                <w:kern w:val="2"/>
                <w:sz w:val="24"/>
                <w:szCs w:val="24"/>
                <w:lang w:val="en-US" w:eastAsia="zh-CN" w:bidi="ar-SA"/>
              </w:rPr>
              <w:t>螺旋扫描最大层厚≥10mm</w:t>
            </w:r>
            <w:bookmarkEnd w:id="1317"/>
            <w:bookmarkEnd w:id="1318"/>
            <w:bookmarkEnd w:id="13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highlight w:val="none"/>
                <w:lang w:val="en-US" w:eastAsia="zh-CN" w:bidi="ar-SA"/>
              </w:rPr>
            </w:pPr>
            <w:bookmarkStart w:id="1320" w:name="_Toc9347"/>
            <w:bookmarkStart w:id="1321" w:name="_Toc1735"/>
            <w:bookmarkStart w:id="1322" w:name="_Toc32701"/>
            <w:r>
              <w:rPr>
                <w:rFonts w:hint="eastAsia" w:ascii="宋体" w:hAnsi="宋体" w:eastAsia="宋体" w:cs="宋体"/>
                <w:bCs/>
                <w:color w:val="000000"/>
                <w:kern w:val="2"/>
                <w:sz w:val="24"/>
                <w:szCs w:val="24"/>
                <w:highlight w:val="none"/>
                <w:lang w:val="en-US" w:eastAsia="zh-CN" w:bidi="ar-SA"/>
              </w:rPr>
              <w:t>最大连续轴向扫描范围 ≥18</w:t>
            </w:r>
            <w:r>
              <w:rPr>
                <w:rFonts w:hint="eastAsia" w:ascii="宋体" w:hAnsi="宋体" w:cs="宋体"/>
                <w:bCs/>
                <w:color w:val="000000"/>
                <w:kern w:val="2"/>
                <w:sz w:val="24"/>
                <w:szCs w:val="24"/>
                <w:highlight w:val="none"/>
                <w:lang w:val="en-US" w:eastAsia="zh-CN" w:bidi="ar-SA"/>
              </w:rPr>
              <w:t>00</w:t>
            </w:r>
            <w:r>
              <w:rPr>
                <w:rFonts w:hint="eastAsia" w:ascii="宋体" w:hAnsi="宋体" w:eastAsia="宋体" w:cs="宋体"/>
                <w:bCs/>
                <w:color w:val="000000"/>
                <w:kern w:val="2"/>
                <w:sz w:val="24"/>
                <w:szCs w:val="24"/>
                <w:highlight w:val="none"/>
                <w:lang w:val="en-US" w:eastAsia="zh-CN" w:bidi="ar-SA"/>
              </w:rPr>
              <w:t>mm</w:t>
            </w:r>
            <w:bookmarkEnd w:id="1320"/>
            <w:bookmarkEnd w:id="1321"/>
            <w:bookmarkEnd w:id="13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highlight w:val="none"/>
                <w:lang w:val="en-US" w:eastAsia="zh-CN" w:bidi="ar-SA"/>
              </w:rPr>
            </w:pPr>
            <w:bookmarkStart w:id="1323" w:name="_Toc16075"/>
            <w:bookmarkStart w:id="1324" w:name="_Toc25194"/>
            <w:bookmarkStart w:id="1325" w:name="_Toc7970"/>
            <w:r>
              <w:rPr>
                <w:rFonts w:hint="eastAsia" w:ascii="宋体" w:hAnsi="宋体" w:eastAsia="宋体" w:cs="宋体"/>
                <w:bCs/>
                <w:color w:val="000000"/>
                <w:kern w:val="2"/>
                <w:sz w:val="24"/>
                <w:szCs w:val="24"/>
                <w:highlight w:val="none"/>
                <w:lang w:val="en-US" w:eastAsia="zh-CN" w:bidi="ar-SA"/>
              </w:rPr>
              <w:t>最大连续螺旋扫描范围 ≥17</w:t>
            </w:r>
            <w:r>
              <w:rPr>
                <w:rFonts w:hint="eastAsia" w:ascii="宋体" w:hAnsi="宋体" w:cs="宋体"/>
                <w:bCs/>
                <w:color w:val="000000"/>
                <w:kern w:val="2"/>
                <w:sz w:val="24"/>
                <w:szCs w:val="24"/>
                <w:highlight w:val="none"/>
                <w:lang w:val="en-US" w:eastAsia="zh-CN" w:bidi="ar-SA"/>
              </w:rPr>
              <w:t>00</w:t>
            </w:r>
            <w:r>
              <w:rPr>
                <w:rFonts w:hint="eastAsia" w:ascii="宋体" w:hAnsi="宋体" w:eastAsia="宋体" w:cs="宋体"/>
                <w:bCs/>
                <w:color w:val="000000"/>
                <w:kern w:val="2"/>
                <w:sz w:val="24"/>
                <w:szCs w:val="24"/>
                <w:highlight w:val="none"/>
                <w:lang w:val="en-US" w:eastAsia="zh-CN" w:bidi="ar-SA"/>
              </w:rPr>
              <w:t>mm</w:t>
            </w:r>
            <w:bookmarkEnd w:id="1323"/>
            <w:bookmarkEnd w:id="1324"/>
            <w:bookmarkEnd w:id="13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highlight w:val="none"/>
                <w:lang w:val="en-US" w:eastAsia="zh-CN" w:bidi="ar-SA"/>
              </w:rPr>
            </w:pPr>
            <w:bookmarkStart w:id="1326" w:name="_Toc11202"/>
            <w:bookmarkStart w:id="1327" w:name="_Toc1446"/>
            <w:bookmarkStart w:id="1328" w:name="_Toc11126"/>
            <w:r>
              <w:rPr>
                <w:rFonts w:hint="eastAsia" w:ascii="宋体" w:hAnsi="宋体" w:eastAsia="宋体" w:cs="宋体"/>
                <w:bCs/>
                <w:color w:val="000000"/>
                <w:kern w:val="2"/>
                <w:sz w:val="24"/>
                <w:szCs w:val="24"/>
                <w:highlight w:val="none"/>
                <w:lang w:val="en-US" w:eastAsia="zh-CN" w:bidi="ar-SA"/>
              </w:rPr>
              <w:t>扫描</w:t>
            </w:r>
            <w:r>
              <w:rPr>
                <w:rFonts w:hint="eastAsia" w:ascii="宋体" w:hAnsi="宋体" w:cs="宋体"/>
                <w:bCs/>
                <w:color w:val="000000"/>
                <w:kern w:val="2"/>
                <w:sz w:val="24"/>
                <w:szCs w:val="24"/>
                <w:highlight w:val="none"/>
                <w:lang w:val="en-US" w:eastAsia="zh-CN" w:bidi="ar-SA"/>
              </w:rPr>
              <w:t>床面</w:t>
            </w:r>
            <w:r>
              <w:rPr>
                <w:rFonts w:hint="eastAsia" w:ascii="宋体" w:hAnsi="宋体" w:eastAsia="宋体" w:cs="宋体"/>
                <w:bCs/>
                <w:color w:val="000000"/>
                <w:kern w:val="2"/>
                <w:sz w:val="24"/>
                <w:szCs w:val="24"/>
                <w:highlight w:val="none"/>
                <w:lang w:val="en-US" w:eastAsia="zh-CN" w:bidi="ar-SA"/>
              </w:rPr>
              <w:t>最高位置距离地面：≥1000mm</w:t>
            </w:r>
            <w:bookmarkEnd w:id="1326"/>
            <w:bookmarkEnd w:id="1327"/>
            <w:bookmarkEnd w:id="13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29" w:name="_Toc14872"/>
            <w:bookmarkStart w:id="1330" w:name="_Toc23826"/>
            <w:bookmarkStart w:id="1331" w:name="_Toc17677"/>
            <w:r>
              <w:rPr>
                <w:rFonts w:hint="eastAsia" w:ascii="宋体" w:hAnsi="宋体" w:eastAsia="宋体" w:cs="宋体"/>
                <w:bCs/>
                <w:color w:val="000000"/>
                <w:kern w:val="2"/>
                <w:sz w:val="24"/>
                <w:szCs w:val="24"/>
                <w:lang w:val="en-US" w:eastAsia="zh-CN" w:bidi="ar-SA"/>
              </w:rPr>
              <w:t>最小螺距因子≤ 0.04</w:t>
            </w:r>
            <w:bookmarkEnd w:id="1329"/>
            <w:bookmarkEnd w:id="1330"/>
            <w:bookmarkEnd w:id="13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32" w:name="_Toc580"/>
            <w:bookmarkStart w:id="1333" w:name="_Toc10440"/>
            <w:bookmarkStart w:id="1334" w:name="_Toc13673"/>
            <w:r>
              <w:rPr>
                <w:rFonts w:hint="eastAsia" w:ascii="宋体" w:hAnsi="宋体" w:eastAsia="宋体" w:cs="宋体"/>
                <w:bCs/>
                <w:color w:val="000000"/>
                <w:kern w:val="2"/>
                <w:sz w:val="24"/>
                <w:szCs w:val="24"/>
                <w:lang w:val="en-US" w:eastAsia="zh-CN" w:bidi="ar-SA"/>
              </w:rPr>
              <w:t>最大螺距因子≥1.65</w:t>
            </w:r>
            <w:bookmarkEnd w:id="1332"/>
            <w:bookmarkEnd w:id="1333"/>
            <w:bookmarkEnd w:id="13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35" w:name="_Toc18347"/>
            <w:bookmarkStart w:id="1336" w:name="_Toc13341"/>
            <w:bookmarkStart w:id="1337" w:name="_Toc3559"/>
            <w:r>
              <w:rPr>
                <w:rFonts w:hint="eastAsia" w:ascii="宋体" w:hAnsi="宋体" w:eastAsia="宋体" w:cs="宋体"/>
                <w:bCs/>
                <w:color w:val="000000"/>
                <w:kern w:val="2"/>
                <w:sz w:val="24"/>
                <w:szCs w:val="24"/>
                <w:lang w:val="en-US" w:eastAsia="zh-CN" w:bidi="ar-SA"/>
              </w:rPr>
              <w:t>提供自动曝光控制功能，减少患者受照剂量</w:t>
            </w:r>
            <w:bookmarkEnd w:id="1335"/>
            <w:bookmarkEnd w:id="1336"/>
            <w:bookmarkEnd w:id="13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338" w:name="_Toc3013"/>
            <w:bookmarkStart w:id="1339" w:name="_Toc15623"/>
            <w:bookmarkStart w:id="1340" w:name="_Toc24248"/>
            <w:r>
              <w:rPr>
                <w:rFonts w:hint="eastAsia" w:ascii="宋体" w:hAnsi="宋体" w:eastAsia="宋体" w:cs="宋体"/>
                <w:b/>
                <w:bCs/>
                <w:color w:val="000000"/>
                <w:kern w:val="2"/>
                <w:sz w:val="24"/>
                <w:szCs w:val="24"/>
                <w:lang w:val="en-US" w:eastAsia="zh-CN" w:bidi="ar-SA"/>
              </w:rPr>
              <w:t>图像质量</w:t>
            </w:r>
            <w:bookmarkEnd w:id="1338"/>
            <w:bookmarkEnd w:id="1339"/>
            <w:bookmarkEnd w:id="13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41" w:name="_Toc24773"/>
            <w:bookmarkStart w:id="1342" w:name="_Toc34"/>
            <w:bookmarkStart w:id="1343" w:name="_Toc23379"/>
            <w:r>
              <w:rPr>
                <w:rFonts w:hint="eastAsia" w:ascii="宋体" w:hAnsi="宋体" w:eastAsia="宋体" w:cs="宋体"/>
                <w:bCs/>
                <w:color w:val="000000"/>
                <w:kern w:val="2"/>
                <w:sz w:val="24"/>
                <w:szCs w:val="24"/>
                <w:lang w:val="en-US" w:eastAsia="zh-CN" w:bidi="ar-SA"/>
              </w:rPr>
              <w:t>空间分辨率：≥16 lp/cm</w:t>
            </w:r>
            <w:bookmarkEnd w:id="1341"/>
            <w:bookmarkEnd w:id="1342"/>
            <w:bookmarkEnd w:id="13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44" w:name="_Toc10304"/>
            <w:bookmarkStart w:id="1345" w:name="_Toc4674"/>
            <w:bookmarkStart w:id="1346" w:name="_Toc13044"/>
            <w:r>
              <w:rPr>
                <w:rFonts w:hint="eastAsia" w:ascii="宋体" w:hAnsi="宋体" w:eastAsia="宋体" w:cs="宋体"/>
                <w:bCs/>
                <w:color w:val="000000"/>
                <w:kern w:val="2"/>
                <w:sz w:val="24"/>
                <w:szCs w:val="24"/>
                <w:lang w:val="en-US" w:eastAsia="zh-CN" w:bidi="ar-SA"/>
              </w:rPr>
              <w:t>低密度分辨率：≤4.0 mm @0.3%</w:t>
            </w:r>
            <w:bookmarkEnd w:id="1344"/>
            <w:bookmarkEnd w:id="1345"/>
            <w:bookmarkEnd w:id="13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47" w:name="_Toc31418"/>
            <w:bookmarkStart w:id="1348" w:name="_Toc27025"/>
            <w:bookmarkStart w:id="1349" w:name="_Toc28780"/>
            <w:r>
              <w:rPr>
                <w:rFonts w:hint="eastAsia" w:ascii="宋体" w:hAnsi="宋体" w:eastAsia="宋体" w:cs="宋体"/>
                <w:bCs/>
                <w:color w:val="000000"/>
                <w:kern w:val="2"/>
                <w:sz w:val="24"/>
                <w:szCs w:val="24"/>
                <w:lang w:val="en-US" w:eastAsia="zh-CN" w:bidi="ar-SA"/>
              </w:rPr>
              <w:t>噪声：≤0.27%</w:t>
            </w:r>
            <w:bookmarkEnd w:id="1347"/>
            <w:bookmarkEnd w:id="1348"/>
            <w:bookmarkEnd w:id="13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50" w:name="_Toc27528"/>
            <w:bookmarkStart w:id="1351" w:name="_Toc11039"/>
            <w:bookmarkStart w:id="1352" w:name="_Toc25532"/>
            <w:r>
              <w:rPr>
                <w:rFonts w:hint="eastAsia" w:ascii="宋体" w:hAnsi="宋体" w:eastAsia="宋体" w:cs="宋体"/>
                <w:bCs/>
                <w:color w:val="000000"/>
                <w:kern w:val="2"/>
                <w:sz w:val="24"/>
                <w:szCs w:val="24"/>
                <w:lang w:val="en-US" w:eastAsia="zh-CN" w:bidi="ar-SA"/>
              </w:rPr>
              <w:t>CT值范围：-1024 ～ +31743 HU (16-bit)</w:t>
            </w:r>
            <w:bookmarkEnd w:id="1350"/>
            <w:bookmarkEnd w:id="1351"/>
            <w:bookmarkEnd w:id="1352"/>
            <w:r>
              <w:rPr>
                <w:rFonts w:hint="eastAsia" w:ascii="宋体" w:hAnsi="宋体" w:eastAsia="宋体" w:cs="宋体"/>
                <w:color w:val="000000"/>
                <w:kern w:val="2"/>
                <w:sz w:val="24"/>
                <w:szCs w:val="24"/>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53" w:name="_Toc24458"/>
            <w:bookmarkStart w:id="1354" w:name="_Toc21595"/>
            <w:bookmarkStart w:id="1355" w:name="_Toc23635"/>
            <w:r>
              <w:rPr>
                <w:rFonts w:hint="eastAsia" w:ascii="宋体" w:hAnsi="宋体" w:eastAsia="宋体" w:cs="宋体"/>
                <w:bCs/>
                <w:color w:val="000000"/>
                <w:kern w:val="2"/>
                <w:sz w:val="24"/>
                <w:szCs w:val="24"/>
                <w:lang w:val="en-US" w:eastAsia="zh-CN" w:bidi="ar-SA"/>
              </w:rPr>
              <w:t>CT值</w:t>
            </w:r>
            <w:bookmarkEnd w:id="1353"/>
            <w:bookmarkEnd w:id="1354"/>
            <w:r>
              <w:rPr>
                <w:rFonts w:hint="eastAsia" w:ascii="宋体" w:hAnsi="宋体" w:eastAsia="宋体" w:cs="宋体"/>
                <w:bCs/>
                <w:color w:val="000000"/>
                <w:kern w:val="2"/>
                <w:sz w:val="24"/>
                <w:szCs w:val="24"/>
                <w:lang w:val="en-US" w:eastAsia="zh-CN" w:bidi="ar-SA"/>
              </w:rPr>
              <w:t>误差≤±4HU</w:t>
            </w:r>
            <w:bookmarkEnd w:id="13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356" w:name="_Toc18222"/>
            <w:bookmarkStart w:id="1357" w:name="_Toc594"/>
            <w:bookmarkStart w:id="1358" w:name="_Toc14143"/>
            <w:r>
              <w:rPr>
                <w:rFonts w:hint="eastAsia" w:ascii="宋体" w:hAnsi="宋体" w:eastAsia="宋体" w:cs="宋体"/>
                <w:b/>
                <w:bCs/>
                <w:color w:val="000000"/>
                <w:kern w:val="2"/>
                <w:sz w:val="24"/>
                <w:szCs w:val="24"/>
                <w:lang w:val="en-US" w:eastAsia="zh-CN" w:bidi="ar-SA"/>
              </w:rPr>
              <w:t>计算机系统</w:t>
            </w:r>
            <w:bookmarkEnd w:id="1356"/>
            <w:bookmarkEnd w:id="1357"/>
            <w:bookmarkEnd w:id="13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59" w:name="_Toc9859"/>
            <w:bookmarkStart w:id="1360" w:name="_Toc17209"/>
            <w:bookmarkStart w:id="1361" w:name="_Toc25645"/>
            <w:r>
              <w:rPr>
                <w:rFonts w:hint="eastAsia" w:ascii="宋体" w:hAnsi="宋体" w:eastAsia="宋体" w:cs="宋体"/>
                <w:bCs/>
                <w:color w:val="000000"/>
                <w:kern w:val="2"/>
                <w:sz w:val="24"/>
                <w:szCs w:val="24"/>
                <w:lang w:val="en-US" w:eastAsia="zh-CN" w:bidi="ar-SA"/>
              </w:rPr>
              <w:t>操作系统：Windows系统</w:t>
            </w:r>
            <w:bookmarkEnd w:id="1359"/>
            <w:bookmarkEnd w:id="1360"/>
            <w:bookmarkEnd w:id="13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62" w:name="_Toc20494"/>
            <w:bookmarkStart w:id="1363" w:name="_Toc14729"/>
            <w:bookmarkStart w:id="1364" w:name="_Toc8753"/>
            <w:r>
              <w:rPr>
                <w:rFonts w:hint="eastAsia" w:ascii="宋体" w:hAnsi="宋体" w:eastAsia="宋体" w:cs="宋体"/>
                <w:bCs/>
                <w:color w:val="000000"/>
                <w:kern w:val="2"/>
                <w:sz w:val="24"/>
                <w:szCs w:val="24"/>
                <w:lang w:val="en-US" w:eastAsia="zh-CN" w:bidi="ar-SA"/>
              </w:rPr>
              <w:t>处理器：四核≥3.6GHz</w:t>
            </w:r>
            <w:bookmarkEnd w:id="1362"/>
            <w:bookmarkEnd w:id="1363"/>
            <w:bookmarkEnd w:id="13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65" w:name="_Toc27443"/>
            <w:bookmarkStart w:id="1366" w:name="_Toc24593"/>
            <w:bookmarkStart w:id="1367" w:name="_Toc21018"/>
            <w:r>
              <w:rPr>
                <w:rFonts w:hint="eastAsia" w:ascii="宋体" w:hAnsi="宋体" w:eastAsia="宋体" w:cs="宋体"/>
                <w:bCs/>
                <w:color w:val="000000"/>
                <w:kern w:val="2"/>
                <w:sz w:val="24"/>
                <w:szCs w:val="24"/>
                <w:lang w:val="en-US" w:eastAsia="zh-CN" w:bidi="ar-SA"/>
              </w:rPr>
              <w:t>硬盘容量：≥480GB</w:t>
            </w:r>
            <w:bookmarkEnd w:id="1365"/>
            <w:bookmarkEnd w:id="1366"/>
            <w:bookmarkEnd w:id="13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68" w:name="_Toc23000"/>
            <w:bookmarkStart w:id="1369" w:name="_Toc6409"/>
            <w:bookmarkStart w:id="1370" w:name="_Toc25132"/>
            <w:r>
              <w:rPr>
                <w:rFonts w:hint="eastAsia" w:ascii="宋体" w:hAnsi="宋体" w:eastAsia="宋体" w:cs="宋体"/>
                <w:bCs/>
                <w:color w:val="000000"/>
                <w:kern w:val="2"/>
                <w:sz w:val="24"/>
                <w:szCs w:val="24"/>
                <w:lang w:val="en-US" w:eastAsia="zh-CN" w:bidi="ar-SA"/>
              </w:rPr>
              <w:t>内存：≥16GB</w:t>
            </w:r>
            <w:bookmarkEnd w:id="1368"/>
            <w:bookmarkEnd w:id="1369"/>
            <w:bookmarkEnd w:id="13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71" w:name="_Toc30873"/>
            <w:bookmarkStart w:id="1372" w:name="_Toc16569"/>
            <w:bookmarkStart w:id="1373" w:name="_Toc1318"/>
            <w:r>
              <w:rPr>
                <w:rFonts w:hint="eastAsia" w:ascii="宋体" w:hAnsi="宋体" w:eastAsia="宋体" w:cs="宋体"/>
                <w:bCs/>
                <w:color w:val="000000"/>
                <w:kern w:val="2"/>
                <w:sz w:val="24"/>
                <w:szCs w:val="24"/>
                <w:lang w:val="en-US" w:eastAsia="zh-CN" w:bidi="ar-SA"/>
              </w:rPr>
              <w:t>提供包含GPU芯片的控制台计算机，保证系统稳定性</w:t>
            </w:r>
            <w:bookmarkEnd w:id="1371"/>
            <w:bookmarkEnd w:id="1372"/>
            <w:bookmarkEnd w:id="13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74" w:name="_Toc17830"/>
            <w:bookmarkStart w:id="1375" w:name="_Toc9622"/>
            <w:bookmarkStart w:id="1376" w:name="_Toc1062"/>
            <w:r>
              <w:rPr>
                <w:rFonts w:hint="eastAsia" w:ascii="宋体" w:hAnsi="宋体" w:eastAsia="宋体" w:cs="宋体"/>
                <w:bCs/>
                <w:color w:val="000000"/>
                <w:kern w:val="2"/>
                <w:sz w:val="24"/>
                <w:szCs w:val="24"/>
                <w:lang w:val="en-US" w:eastAsia="zh-CN" w:bidi="ar-SA"/>
              </w:rPr>
              <w:t>支持中文字符显示和输入</w:t>
            </w:r>
            <w:bookmarkEnd w:id="1374"/>
            <w:bookmarkEnd w:id="1375"/>
            <w:bookmarkEnd w:id="13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77" w:name="_Toc1168"/>
            <w:bookmarkStart w:id="1378" w:name="_Toc16701"/>
            <w:bookmarkStart w:id="1379" w:name="_Toc13216"/>
            <w:r>
              <w:rPr>
                <w:rFonts w:hint="eastAsia" w:ascii="宋体" w:hAnsi="宋体" w:eastAsia="宋体" w:cs="宋体"/>
                <w:bCs/>
                <w:color w:val="000000"/>
                <w:kern w:val="2"/>
                <w:sz w:val="24"/>
                <w:szCs w:val="24"/>
                <w:lang w:val="en-US" w:eastAsia="zh-CN" w:bidi="ar-SA"/>
              </w:rPr>
              <w:t>支持中文字符导出到医院的HIS系统</w:t>
            </w:r>
            <w:bookmarkEnd w:id="1377"/>
            <w:bookmarkEnd w:id="1378"/>
            <w:bookmarkEnd w:id="13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80" w:name="_Toc21024"/>
            <w:bookmarkStart w:id="1381" w:name="_Toc27679"/>
            <w:bookmarkStart w:id="1382" w:name="_Toc22976"/>
            <w:r>
              <w:rPr>
                <w:rFonts w:hint="eastAsia" w:ascii="宋体" w:hAnsi="宋体" w:eastAsia="宋体" w:cs="宋体"/>
                <w:bCs/>
                <w:color w:val="000000"/>
                <w:kern w:val="2"/>
                <w:sz w:val="24"/>
                <w:szCs w:val="24"/>
                <w:lang w:val="en-US" w:eastAsia="zh-CN" w:bidi="ar-SA"/>
              </w:rPr>
              <w:t>图像系统处理计算机处理器：八核≥1.8GHz</w:t>
            </w:r>
            <w:bookmarkEnd w:id="1380"/>
            <w:bookmarkEnd w:id="1381"/>
            <w:bookmarkEnd w:id="13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83" w:name="_Toc24903"/>
            <w:bookmarkStart w:id="1384" w:name="_Toc10966"/>
            <w:bookmarkStart w:id="1385" w:name="_Toc230"/>
            <w:r>
              <w:rPr>
                <w:rFonts w:hint="eastAsia" w:ascii="宋体" w:hAnsi="宋体" w:eastAsia="宋体" w:cs="宋体"/>
                <w:bCs/>
                <w:color w:val="000000"/>
                <w:kern w:val="2"/>
                <w:sz w:val="24"/>
                <w:szCs w:val="24"/>
                <w:lang w:val="en-US" w:eastAsia="zh-CN" w:bidi="ar-SA"/>
              </w:rPr>
              <w:t>硬盘存储容量： ≥700,000幅512×512无压缩的图象</w:t>
            </w:r>
            <w:bookmarkEnd w:id="1383"/>
            <w:bookmarkEnd w:id="1384"/>
            <w:bookmarkEnd w:id="13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86" w:name="_Toc5504"/>
            <w:bookmarkStart w:id="1387" w:name="_Toc24462"/>
            <w:bookmarkStart w:id="1388" w:name="_Toc29273"/>
            <w:r>
              <w:rPr>
                <w:rFonts w:hint="eastAsia" w:ascii="宋体" w:hAnsi="宋体" w:eastAsia="宋体" w:cs="宋体"/>
                <w:bCs/>
                <w:color w:val="000000"/>
                <w:kern w:val="2"/>
                <w:sz w:val="24"/>
                <w:szCs w:val="24"/>
                <w:lang w:val="en-US" w:eastAsia="zh-CN" w:bidi="ar-SA"/>
              </w:rPr>
              <w:t>LCD彩色显示器：≥19″，分辨率≥1280X1024，2台，具备双屏显示功能</w:t>
            </w:r>
            <w:bookmarkEnd w:id="1386"/>
            <w:bookmarkEnd w:id="1387"/>
            <w:bookmarkEnd w:id="13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89" w:name="_Toc25940"/>
            <w:bookmarkStart w:id="1390" w:name="_Toc24184"/>
            <w:bookmarkStart w:id="1391" w:name="_Toc9582"/>
            <w:r>
              <w:rPr>
                <w:rFonts w:hint="eastAsia" w:ascii="宋体" w:hAnsi="宋体" w:eastAsia="宋体" w:cs="宋体"/>
                <w:bCs/>
                <w:color w:val="000000"/>
                <w:kern w:val="2"/>
                <w:sz w:val="24"/>
                <w:szCs w:val="24"/>
                <w:lang w:val="en-US" w:eastAsia="zh-CN" w:bidi="ar-SA"/>
              </w:rPr>
              <w:t>提供包含GPU芯片的图像系统处理计算机，保证图像重建稳定性</w:t>
            </w:r>
            <w:bookmarkEnd w:id="1389"/>
            <w:bookmarkEnd w:id="1390"/>
            <w:bookmarkEnd w:id="13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92" w:name="_Toc31133"/>
            <w:bookmarkStart w:id="1393" w:name="_Toc387"/>
            <w:bookmarkStart w:id="1394" w:name="_Toc15784"/>
            <w:r>
              <w:rPr>
                <w:rFonts w:hint="eastAsia" w:ascii="宋体" w:hAnsi="宋体" w:eastAsia="宋体" w:cs="宋体"/>
                <w:bCs/>
                <w:color w:val="000000"/>
                <w:kern w:val="2"/>
                <w:sz w:val="24"/>
                <w:szCs w:val="24"/>
                <w:lang w:val="en-US" w:eastAsia="zh-CN" w:bidi="ar-SA"/>
              </w:rPr>
              <w:t>重建矩阵：≥1024×1024</w:t>
            </w:r>
            <w:bookmarkEnd w:id="1392"/>
            <w:bookmarkEnd w:id="1393"/>
            <w:bookmarkEnd w:id="13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395" w:name="_Toc27490"/>
            <w:bookmarkStart w:id="1396" w:name="_Toc28861"/>
            <w:bookmarkStart w:id="1397" w:name="_Toc5816"/>
            <w:r>
              <w:rPr>
                <w:rFonts w:hint="eastAsia" w:ascii="宋体" w:hAnsi="宋体" w:eastAsia="宋体" w:cs="宋体"/>
                <w:bCs/>
                <w:color w:val="000000"/>
                <w:kern w:val="2"/>
                <w:sz w:val="24"/>
                <w:szCs w:val="24"/>
                <w:lang w:val="en-US" w:eastAsia="zh-CN" w:bidi="ar-SA"/>
              </w:rPr>
              <w:t>具备768×768 重建方式</w:t>
            </w:r>
            <w:bookmarkEnd w:id="1395"/>
            <w:bookmarkEnd w:id="1396"/>
            <w:bookmarkEnd w:id="13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398" w:name="_Toc30785"/>
            <w:bookmarkStart w:id="1399" w:name="_Toc32363"/>
            <w:bookmarkStart w:id="1400" w:name="_Toc7271"/>
            <w:r>
              <w:rPr>
                <w:rFonts w:hint="eastAsia" w:ascii="宋体" w:hAnsi="宋体" w:eastAsia="宋体" w:cs="宋体"/>
                <w:bCs/>
                <w:color w:val="000000"/>
                <w:kern w:val="2"/>
                <w:sz w:val="24"/>
                <w:szCs w:val="24"/>
                <w:lang w:val="en-US" w:eastAsia="zh-CN" w:bidi="ar-SA"/>
              </w:rPr>
              <w:t>显示矩阵：≥1024×1024</w:t>
            </w:r>
            <w:bookmarkEnd w:id="1398"/>
            <w:bookmarkEnd w:id="1399"/>
            <w:bookmarkEnd w:id="14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01" w:name="_Toc32717"/>
            <w:bookmarkStart w:id="1402" w:name="_Toc9807"/>
            <w:bookmarkStart w:id="1403" w:name="_Toc1889"/>
            <w:r>
              <w:rPr>
                <w:rFonts w:hint="eastAsia" w:ascii="宋体" w:hAnsi="宋体" w:eastAsia="宋体" w:cs="宋体"/>
                <w:color w:val="000000"/>
                <w:kern w:val="2"/>
                <w:sz w:val="24"/>
                <w:szCs w:val="24"/>
                <w:lang w:val="en-US" w:eastAsia="zh-CN" w:bidi="ar-SA"/>
              </w:rPr>
              <w:t>提供厂家最新微辐射影像重建算法，Philips提供iDose4，GE提供ASIR2，Siemens提供Safire, Canon提供AIDR 3D，其他厂家提供最新技术</w:t>
            </w:r>
            <w:bookmarkEnd w:id="1401"/>
            <w:bookmarkEnd w:id="1402"/>
            <w:bookmarkEnd w:id="14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04" w:name="_Toc4395"/>
            <w:bookmarkStart w:id="1405" w:name="_Toc5610"/>
            <w:bookmarkStart w:id="1406" w:name="_Toc21209"/>
            <w:r>
              <w:rPr>
                <w:rFonts w:hint="eastAsia" w:ascii="宋体" w:hAnsi="宋体" w:eastAsia="宋体" w:cs="宋体"/>
                <w:color w:val="000000"/>
                <w:kern w:val="2"/>
                <w:sz w:val="24"/>
                <w:szCs w:val="24"/>
                <w:lang w:val="en-US" w:eastAsia="zh-CN" w:bidi="ar-SA"/>
              </w:rPr>
              <w:t>该算法可实现低剂量成像</w:t>
            </w:r>
            <w:bookmarkEnd w:id="1404"/>
            <w:bookmarkEnd w:id="1405"/>
            <w:bookmarkEnd w:id="14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07" w:name="_Toc26514"/>
            <w:bookmarkStart w:id="1408" w:name="_Toc23821"/>
            <w:bookmarkStart w:id="1409" w:name="_Toc5563"/>
            <w:r>
              <w:rPr>
                <w:rFonts w:hint="eastAsia" w:ascii="宋体" w:hAnsi="宋体" w:eastAsia="宋体" w:cs="宋体"/>
                <w:color w:val="000000"/>
                <w:kern w:val="2"/>
                <w:sz w:val="24"/>
                <w:szCs w:val="24"/>
                <w:lang w:val="en-US" w:eastAsia="zh-CN" w:bidi="ar-SA"/>
              </w:rPr>
              <w:t>该算法可实现低造影剂剂量强化</w:t>
            </w:r>
            <w:bookmarkEnd w:id="1407"/>
            <w:bookmarkEnd w:id="1408"/>
            <w:bookmarkEnd w:id="14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10" w:name="_Toc22951"/>
            <w:bookmarkStart w:id="1411" w:name="_Toc30671"/>
            <w:bookmarkStart w:id="1412" w:name="_Toc3057"/>
            <w:r>
              <w:rPr>
                <w:rFonts w:hint="eastAsia" w:ascii="宋体" w:hAnsi="宋体" w:eastAsia="宋体" w:cs="宋体"/>
                <w:color w:val="000000"/>
                <w:kern w:val="2"/>
                <w:sz w:val="24"/>
                <w:szCs w:val="24"/>
                <w:lang w:val="en-US" w:eastAsia="zh-CN" w:bidi="ar-SA"/>
              </w:rPr>
              <w:t>具备降低噪声能力</w:t>
            </w:r>
            <w:bookmarkEnd w:id="1410"/>
            <w:bookmarkEnd w:id="1411"/>
            <w:bookmarkEnd w:id="14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13" w:name="_Toc13290"/>
            <w:bookmarkStart w:id="1414" w:name="_Toc29221"/>
            <w:bookmarkStart w:id="1415" w:name="_Toc8339"/>
            <w:r>
              <w:rPr>
                <w:rFonts w:hint="eastAsia" w:ascii="宋体" w:hAnsi="宋体" w:eastAsia="宋体" w:cs="宋体"/>
                <w:color w:val="000000"/>
                <w:kern w:val="2"/>
                <w:sz w:val="24"/>
                <w:szCs w:val="24"/>
                <w:lang w:val="en-US" w:eastAsia="zh-CN" w:bidi="ar-SA"/>
              </w:rPr>
              <w:t>具备去伪影功能</w:t>
            </w:r>
            <w:bookmarkEnd w:id="1413"/>
            <w:bookmarkEnd w:id="1414"/>
            <w:bookmarkEnd w:id="14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b/>
                <w:bCs/>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16" w:name="_Toc7677"/>
            <w:bookmarkStart w:id="1417" w:name="_Toc13329"/>
            <w:bookmarkStart w:id="1418" w:name="_Toc977"/>
            <w:r>
              <w:rPr>
                <w:rFonts w:hint="eastAsia" w:ascii="宋体" w:hAnsi="宋体" w:eastAsia="宋体" w:cs="宋体"/>
                <w:b/>
                <w:bCs/>
                <w:color w:val="000000"/>
                <w:kern w:val="2"/>
                <w:sz w:val="24"/>
                <w:szCs w:val="24"/>
                <w:lang w:val="en-US" w:eastAsia="zh-CN" w:bidi="ar-SA"/>
              </w:rPr>
              <w:t>提供智能化量体成像操作平台</w:t>
            </w:r>
            <w:bookmarkEnd w:id="1416"/>
            <w:bookmarkEnd w:id="1417"/>
            <w:bookmarkEnd w:id="14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19" w:name="_Toc8155"/>
            <w:bookmarkStart w:id="1420" w:name="_Toc6640"/>
            <w:bookmarkStart w:id="1421" w:name="_Toc26471"/>
            <w:r>
              <w:rPr>
                <w:rFonts w:hint="eastAsia" w:ascii="宋体" w:hAnsi="宋体" w:eastAsia="宋体" w:cs="宋体"/>
                <w:bCs/>
                <w:color w:val="000000"/>
                <w:kern w:val="2"/>
                <w:sz w:val="24"/>
                <w:szCs w:val="24"/>
                <w:lang w:val="en-US" w:eastAsia="zh-CN" w:bidi="ar-SA"/>
              </w:rPr>
              <w:t>要求该平台可综合考虑包括临床表现,身体状态(从婴儿到病态肥胖的成年人)、扫描区域、年龄、生理和解剖因素后优化CT扫描条件，保证图像质量和低剂量扫描。</w:t>
            </w:r>
            <w:bookmarkEnd w:id="1419"/>
            <w:bookmarkEnd w:id="1420"/>
            <w:bookmarkEnd w:id="14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22" w:name="_Toc18769"/>
            <w:bookmarkStart w:id="1423" w:name="_Toc25334"/>
            <w:bookmarkStart w:id="1424" w:name="_Toc23135"/>
            <w:r>
              <w:rPr>
                <w:rFonts w:hint="eastAsia" w:ascii="宋体" w:hAnsi="宋体" w:eastAsia="宋体" w:cs="宋体"/>
                <w:bCs/>
                <w:color w:val="000000"/>
                <w:kern w:val="2"/>
                <w:sz w:val="24"/>
                <w:szCs w:val="24"/>
                <w:lang w:val="en-US" w:eastAsia="zh-CN" w:bidi="ar-SA"/>
              </w:rPr>
              <w:t>要求该操作平台可实现曝光条件智能化管理。</w:t>
            </w:r>
            <w:bookmarkEnd w:id="1422"/>
            <w:bookmarkEnd w:id="1423"/>
            <w:bookmarkEnd w:id="14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25" w:name="_Toc7963"/>
            <w:bookmarkStart w:id="1426" w:name="_Toc19350"/>
            <w:bookmarkStart w:id="1427" w:name="_Toc24185"/>
            <w:r>
              <w:rPr>
                <w:rFonts w:hint="eastAsia" w:ascii="宋体" w:hAnsi="宋体" w:eastAsia="宋体" w:cs="宋体"/>
                <w:bCs/>
                <w:color w:val="000000"/>
                <w:kern w:val="2"/>
                <w:sz w:val="24"/>
                <w:szCs w:val="24"/>
                <w:lang w:val="en-US" w:eastAsia="zh-CN" w:bidi="ar-SA"/>
              </w:rPr>
              <w:t>要求该操作系统调整曝光条件时不改变KV值</w:t>
            </w:r>
            <w:bookmarkEnd w:id="1425"/>
            <w:bookmarkEnd w:id="1426"/>
            <w:bookmarkEnd w:id="14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3"/>
                <w:numId w:val="6"/>
              </w:numPr>
              <w:kinsoku/>
              <w:wordWrap/>
              <w:overflowPunct/>
              <w:topLinePunct w:val="0"/>
              <w:autoSpaceDE/>
              <w:autoSpaceDN/>
              <w:bidi w:val="0"/>
              <w:adjustRightInd/>
              <w:spacing w:after="0" w:line="360" w:lineRule="exact"/>
              <w:ind w:left="0" w:leftChars="0" w:firstLine="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28" w:name="_Toc27200"/>
            <w:bookmarkStart w:id="1429" w:name="_Toc26772"/>
            <w:bookmarkStart w:id="1430" w:name="_Toc17763"/>
            <w:r>
              <w:rPr>
                <w:rFonts w:hint="eastAsia" w:ascii="宋体" w:hAnsi="宋体" w:eastAsia="宋体" w:cs="宋体"/>
                <w:bCs/>
                <w:color w:val="000000"/>
                <w:kern w:val="2"/>
                <w:sz w:val="24"/>
                <w:szCs w:val="24"/>
                <w:lang w:val="en-US" w:eastAsia="zh-CN" w:bidi="ar-SA"/>
              </w:rPr>
              <w:t>要求该系统在降低辐射剂量的同时保证图像质量的优化和提升</w:t>
            </w:r>
            <w:bookmarkEnd w:id="1428"/>
            <w:bookmarkEnd w:id="1429"/>
            <w:bookmarkEnd w:id="14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shd w:val="clear" w:color="auto" w:fill="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31" w:name="_Toc13414"/>
            <w:bookmarkStart w:id="1432" w:name="_Toc4699"/>
            <w:bookmarkStart w:id="1433" w:name="_Toc6711"/>
            <w:r>
              <w:rPr>
                <w:rFonts w:hint="eastAsia" w:ascii="宋体" w:hAnsi="宋体" w:eastAsia="宋体" w:cs="宋体"/>
                <w:bCs/>
                <w:color w:val="000000"/>
                <w:kern w:val="2"/>
                <w:sz w:val="24"/>
                <w:szCs w:val="24"/>
                <w:lang w:val="en-US" w:eastAsia="zh-CN" w:bidi="ar-SA"/>
              </w:rPr>
              <w:t>重建速度：≥30幅/s</w:t>
            </w:r>
            <w:bookmarkEnd w:id="1431"/>
            <w:bookmarkEnd w:id="1432"/>
            <w:bookmarkEnd w:id="14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34" w:name="_Toc32206"/>
            <w:bookmarkStart w:id="1435" w:name="_Toc685"/>
            <w:bookmarkStart w:id="1436" w:name="_Toc1167"/>
            <w:r>
              <w:rPr>
                <w:rFonts w:hint="eastAsia" w:ascii="宋体" w:hAnsi="宋体" w:eastAsia="宋体" w:cs="宋体"/>
                <w:bCs/>
                <w:color w:val="000000"/>
                <w:kern w:val="2"/>
                <w:sz w:val="24"/>
                <w:szCs w:val="24"/>
                <w:lang w:val="en-US" w:eastAsia="zh-CN" w:bidi="ar-SA"/>
              </w:rPr>
              <w:t>一体化图像光盘存储系统</w:t>
            </w:r>
            <w:bookmarkEnd w:id="1434"/>
            <w:bookmarkEnd w:id="1435"/>
            <w:bookmarkEnd w:id="14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37" w:name="_Toc16768"/>
            <w:bookmarkStart w:id="1438" w:name="_Toc25899"/>
            <w:bookmarkStart w:id="1439" w:name="_Toc22262"/>
            <w:r>
              <w:rPr>
                <w:rFonts w:hint="eastAsia" w:ascii="宋体" w:hAnsi="宋体" w:eastAsia="宋体" w:cs="宋体"/>
                <w:bCs/>
                <w:color w:val="000000"/>
                <w:kern w:val="2"/>
                <w:sz w:val="24"/>
                <w:szCs w:val="24"/>
                <w:lang w:val="en-US" w:eastAsia="zh-CN" w:bidi="ar-SA"/>
              </w:rPr>
              <w:t>计算机同步处理能力：可实现在扫描状态下的图像实时同步重建并行处理图像</w:t>
            </w:r>
            <w:bookmarkEnd w:id="1437"/>
            <w:bookmarkEnd w:id="1438"/>
            <w:bookmarkEnd w:id="14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40" w:name="_Toc4148"/>
            <w:bookmarkStart w:id="1441" w:name="_Toc5629"/>
            <w:bookmarkStart w:id="1442" w:name="_Toc24526"/>
            <w:r>
              <w:rPr>
                <w:rFonts w:hint="eastAsia" w:ascii="宋体" w:hAnsi="宋体" w:eastAsia="宋体" w:cs="宋体"/>
                <w:bCs/>
                <w:color w:val="000000"/>
                <w:kern w:val="2"/>
                <w:sz w:val="24"/>
                <w:szCs w:val="24"/>
                <w:lang w:val="en-US" w:eastAsia="zh-CN" w:bidi="ar-SA"/>
              </w:rPr>
              <w:t>质控模体</w:t>
            </w:r>
            <w:bookmarkEnd w:id="1440"/>
            <w:bookmarkEnd w:id="1441"/>
            <w:bookmarkEnd w:id="14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43" w:name="_Toc31174"/>
            <w:bookmarkStart w:id="1444" w:name="_Toc26412"/>
            <w:bookmarkStart w:id="1445" w:name="_Toc5083"/>
            <w:r>
              <w:rPr>
                <w:rFonts w:hint="eastAsia" w:ascii="宋体" w:hAnsi="宋体" w:eastAsia="宋体" w:cs="宋体"/>
                <w:bCs/>
                <w:color w:val="000000"/>
                <w:kern w:val="2"/>
                <w:sz w:val="24"/>
                <w:szCs w:val="24"/>
                <w:lang w:val="en-US" w:eastAsia="zh-CN" w:bidi="ar-SA"/>
              </w:rPr>
              <w:t>提供原厂CT模拟定位设备校准专用模体</w:t>
            </w:r>
            <w:bookmarkEnd w:id="1443"/>
            <w:bookmarkEnd w:id="1444"/>
            <w:bookmarkEnd w:id="14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46" w:name="_Toc10168"/>
            <w:bookmarkStart w:id="1447" w:name="_Toc11496"/>
            <w:bookmarkStart w:id="1448" w:name="_Toc24863"/>
            <w:r>
              <w:rPr>
                <w:rFonts w:hint="eastAsia" w:ascii="宋体" w:hAnsi="宋体" w:eastAsia="宋体" w:cs="宋体"/>
                <w:bCs/>
                <w:color w:val="000000"/>
                <w:kern w:val="2"/>
                <w:sz w:val="24"/>
                <w:szCs w:val="24"/>
                <w:lang w:val="en-US" w:eastAsia="zh-CN" w:bidi="ar-SA"/>
              </w:rPr>
              <w:t>提供原厂CT模拟定位设备质控专用模体</w:t>
            </w:r>
            <w:bookmarkEnd w:id="1446"/>
            <w:bookmarkEnd w:id="1447"/>
            <w:bookmarkEnd w:id="14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49" w:name="_Toc10663"/>
            <w:bookmarkStart w:id="1450" w:name="_Toc8019"/>
            <w:bookmarkStart w:id="1451" w:name="_Toc21158"/>
            <w:r>
              <w:rPr>
                <w:rFonts w:hint="eastAsia" w:ascii="宋体" w:hAnsi="宋体" w:eastAsia="宋体" w:cs="宋体"/>
                <w:bCs/>
                <w:color w:val="000000"/>
                <w:kern w:val="2"/>
                <w:sz w:val="24"/>
                <w:szCs w:val="24"/>
                <w:lang w:val="en-US" w:eastAsia="zh-CN" w:bidi="ar-SA"/>
              </w:rPr>
              <w:t>模体需要分别针对头部、体部设计、物理参数</w:t>
            </w:r>
            <w:bookmarkEnd w:id="1449"/>
            <w:bookmarkEnd w:id="1450"/>
            <w:bookmarkEnd w:id="14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52" w:name="_Toc10311"/>
            <w:bookmarkStart w:id="1453" w:name="_Toc14291"/>
            <w:bookmarkStart w:id="1454" w:name="_Toc23890"/>
            <w:r>
              <w:rPr>
                <w:rFonts w:hint="eastAsia" w:ascii="宋体" w:hAnsi="宋体" w:eastAsia="宋体" w:cs="宋体"/>
                <w:color w:val="000000"/>
                <w:kern w:val="2"/>
                <w:sz w:val="24"/>
                <w:szCs w:val="24"/>
                <w:lang w:val="en-US" w:eastAsia="zh-CN" w:bidi="ar-SA"/>
              </w:rPr>
              <w:t>可校准CT值准确性</w:t>
            </w:r>
            <w:bookmarkEnd w:id="1452"/>
            <w:bookmarkEnd w:id="1453"/>
            <w:bookmarkEnd w:id="14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55" w:name="_Toc1525"/>
            <w:bookmarkStart w:id="1456" w:name="_Toc26045"/>
            <w:bookmarkStart w:id="1457" w:name="_Toc18782"/>
            <w:r>
              <w:rPr>
                <w:rFonts w:hint="eastAsia" w:ascii="宋体" w:hAnsi="宋体" w:eastAsia="宋体" w:cs="宋体"/>
                <w:bCs/>
                <w:color w:val="000000"/>
                <w:kern w:val="2"/>
                <w:sz w:val="24"/>
                <w:szCs w:val="24"/>
                <w:lang w:val="en-US" w:eastAsia="zh-CN" w:bidi="ar-SA"/>
              </w:rPr>
              <w:t>可测试CT影像质量</w:t>
            </w:r>
            <w:bookmarkEnd w:id="1455"/>
            <w:bookmarkEnd w:id="1456"/>
            <w:bookmarkEnd w:id="14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58" w:name="_Toc5569"/>
            <w:bookmarkStart w:id="1459" w:name="_Toc31147"/>
            <w:bookmarkStart w:id="1460" w:name="_Toc25008"/>
            <w:r>
              <w:rPr>
                <w:rFonts w:hint="eastAsia" w:ascii="宋体" w:hAnsi="宋体" w:eastAsia="宋体" w:cs="宋体"/>
                <w:bCs/>
                <w:color w:val="000000"/>
                <w:kern w:val="2"/>
                <w:sz w:val="24"/>
                <w:szCs w:val="24"/>
                <w:lang w:val="en-US" w:eastAsia="zh-CN" w:bidi="ar-SA"/>
              </w:rPr>
              <w:t>提供TG66模体</w:t>
            </w:r>
            <w:bookmarkEnd w:id="1458"/>
            <w:bookmarkEnd w:id="1459"/>
            <w:bookmarkEnd w:id="14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61" w:name="_Toc16115"/>
            <w:bookmarkStart w:id="1462" w:name="_Toc22772"/>
            <w:bookmarkStart w:id="1463" w:name="_Toc19956"/>
            <w:r>
              <w:rPr>
                <w:rFonts w:hint="eastAsia" w:ascii="宋体" w:hAnsi="宋体" w:eastAsia="宋体" w:cs="宋体"/>
                <w:bCs/>
                <w:color w:val="000000"/>
                <w:kern w:val="2"/>
                <w:sz w:val="24"/>
                <w:szCs w:val="24"/>
                <w:lang w:val="en-US" w:eastAsia="zh-CN" w:bidi="ar-SA"/>
              </w:rPr>
              <w:t>可校准内置激光灯和扫描平面一致性</w:t>
            </w:r>
            <w:bookmarkEnd w:id="1461"/>
            <w:bookmarkEnd w:id="1462"/>
            <w:bookmarkEnd w:id="14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64" w:name="_Toc8313"/>
            <w:bookmarkStart w:id="1465" w:name="_Toc31182"/>
            <w:bookmarkStart w:id="1466" w:name="_Toc32066"/>
            <w:r>
              <w:rPr>
                <w:rFonts w:hint="eastAsia" w:ascii="宋体" w:hAnsi="宋体" w:eastAsia="宋体" w:cs="宋体"/>
                <w:bCs/>
                <w:color w:val="000000"/>
                <w:kern w:val="2"/>
                <w:sz w:val="24"/>
                <w:szCs w:val="24"/>
                <w:lang w:val="en-US" w:eastAsia="zh-CN" w:bidi="ar-SA"/>
              </w:rPr>
              <w:t>可测试外部定位激光精度</w:t>
            </w:r>
            <w:bookmarkEnd w:id="1464"/>
            <w:bookmarkEnd w:id="1465"/>
            <w:bookmarkEnd w:id="14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67" w:name="_Toc20405"/>
            <w:bookmarkStart w:id="1468" w:name="_Toc32252"/>
            <w:bookmarkStart w:id="1469" w:name="_Toc9562"/>
            <w:r>
              <w:rPr>
                <w:rFonts w:hint="eastAsia" w:ascii="宋体" w:hAnsi="宋体" w:eastAsia="宋体" w:cs="宋体"/>
                <w:bCs/>
                <w:color w:val="000000"/>
                <w:kern w:val="2"/>
                <w:sz w:val="24"/>
                <w:szCs w:val="24"/>
                <w:lang w:val="en-US" w:eastAsia="zh-CN" w:bidi="ar-SA"/>
              </w:rPr>
              <w:t>可测试治疗床水平度</w:t>
            </w:r>
            <w:bookmarkEnd w:id="1467"/>
            <w:bookmarkEnd w:id="1468"/>
            <w:bookmarkEnd w:id="14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70" w:name="_Toc16692"/>
            <w:bookmarkStart w:id="1471" w:name="_Toc22994"/>
            <w:bookmarkStart w:id="1472" w:name="_Toc21225"/>
            <w:r>
              <w:rPr>
                <w:rFonts w:hint="eastAsia" w:ascii="宋体" w:hAnsi="宋体" w:eastAsia="宋体" w:cs="宋体"/>
                <w:bCs/>
                <w:color w:val="000000"/>
                <w:kern w:val="2"/>
                <w:sz w:val="24"/>
                <w:szCs w:val="24"/>
                <w:lang w:val="en-US" w:eastAsia="zh-CN" w:bidi="ar-SA"/>
              </w:rPr>
              <w:t>可测试治疗床扫描图像时的走位精度</w:t>
            </w:r>
            <w:bookmarkEnd w:id="1470"/>
            <w:bookmarkEnd w:id="1471"/>
            <w:bookmarkEnd w:id="14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bCs/>
                <w:color w:val="000000"/>
                <w:kern w:val="2"/>
                <w:sz w:val="24"/>
                <w:szCs w:val="24"/>
                <w:lang w:val="en-US" w:eastAsia="zh-CN" w:bidi="ar-SA"/>
              </w:rPr>
            </w:pPr>
            <w:bookmarkStart w:id="1473" w:name="_Toc1458"/>
            <w:bookmarkStart w:id="1474" w:name="_Toc32093"/>
            <w:bookmarkStart w:id="1475" w:name="_Toc29894"/>
            <w:r>
              <w:rPr>
                <w:rFonts w:hint="eastAsia" w:ascii="宋体" w:hAnsi="宋体" w:eastAsia="宋体" w:cs="宋体"/>
                <w:bCs/>
                <w:color w:val="000000"/>
                <w:kern w:val="2"/>
                <w:sz w:val="24"/>
                <w:szCs w:val="24"/>
                <w:lang w:val="en-US" w:eastAsia="zh-CN" w:bidi="ar-SA"/>
              </w:rPr>
              <w:t>提供原厂CT质控软件，并可自动生成检测报告</w:t>
            </w:r>
            <w:bookmarkEnd w:id="1473"/>
            <w:bookmarkEnd w:id="1474"/>
            <w:bookmarkEnd w:id="14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
                <w:color w:val="000000"/>
                <w:kern w:val="2"/>
                <w:sz w:val="24"/>
                <w:szCs w:val="24"/>
                <w:lang w:val="en-US" w:eastAsia="zh-CN" w:bidi="ar-SA"/>
              </w:rPr>
            </w:pPr>
            <w:bookmarkStart w:id="1476" w:name="_Toc10971"/>
            <w:bookmarkStart w:id="1477" w:name="_Toc30053"/>
            <w:bookmarkStart w:id="1478" w:name="_Toc8641"/>
            <w:r>
              <w:rPr>
                <w:rFonts w:hint="eastAsia" w:ascii="宋体" w:hAnsi="宋体" w:eastAsia="宋体" w:cs="宋体"/>
                <w:b/>
                <w:bCs/>
                <w:color w:val="000000"/>
                <w:kern w:val="2"/>
                <w:sz w:val="24"/>
                <w:szCs w:val="24"/>
                <w:lang w:val="en-US" w:eastAsia="zh-CN" w:bidi="ar-SA"/>
              </w:rPr>
              <w:t>其它应用软件</w:t>
            </w:r>
            <w:bookmarkEnd w:id="1476"/>
            <w:bookmarkEnd w:id="1477"/>
            <w:bookmarkEnd w:id="14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79" w:name="_Toc11384"/>
            <w:bookmarkStart w:id="1480" w:name="_Toc19526"/>
            <w:bookmarkStart w:id="1481" w:name="_Toc27765"/>
            <w:r>
              <w:rPr>
                <w:rFonts w:hint="eastAsia" w:ascii="宋体" w:hAnsi="宋体" w:eastAsia="宋体" w:cs="宋体"/>
                <w:bCs/>
                <w:color w:val="000000"/>
                <w:kern w:val="2"/>
                <w:sz w:val="24"/>
                <w:szCs w:val="24"/>
                <w:lang w:val="en-US" w:eastAsia="zh-CN" w:bidi="ar-SA"/>
              </w:rPr>
              <w:t>CTA</w:t>
            </w:r>
            <w:bookmarkEnd w:id="1479"/>
            <w:bookmarkEnd w:id="1480"/>
            <w:bookmarkEnd w:id="14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82" w:name="_Toc30171"/>
            <w:bookmarkStart w:id="1483" w:name="_Toc31658"/>
            <w:bookmarkStart w:id="1484" w:name="_Toc6405"/>
            <w:r>
              <w:rPr>
                <w:rFonts w:hint="eastAsia" w:ascii="宋体" w:hAnsi="宋体" w:eastAsia="宋体" w:cs="宋体"/>
                <w:bCs/>
                <w:color w:val="000000"/>
                <w:kern w:val="2"/>
                <w:sz w:val="24"/>
                <w:szCs w:val="24"/>
                <w:lang w:val="en-US" w:eastAsia="zh-CN" w:bidi="ar-SA"/>
              </w:rPr>
              <w:t>造影剂自动跟踪软件</w:t>
            </w:r>
            <w:bookmarkEnd w:id="1482"/>
            <w:bookmarkEnd w:id="1483"/>
            <w:bookmarkEnd w:id="14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85" w:name="_Toc13493"/>
            <w:bookmarkStart w:id="1486" w:name="_Toc31487"/>
            <w:bookmarkStart w:id="1487" w:name="_Toc16852"/>
            <w:r>
              <w:rPr>
                <w:rFonts w:hint="eastAsia" w:ascii="宋体" w:hAnsi="宋体" w:eastAsia="宋体" w:cs="宋体"/>
                <w:bCs/>
                <w:color w:val="000000"/>
                <w:kern w:val="2"/>
                <w:sz w:val="24"/>
                <w:szCs w:val="24"/>
                <w:lang w:val="en-US" w:eastAsia="zh-CN" w:bidi="ar-SA"/>
              </w:rPr>
              <w:t>实时三维软件</w:t>
            </w:r>
            <w:bookmarkEnd w:id="1485"/>
            <w:bookmarkEnd w:id="1486"/>
            <w:bookmarkEnd w:id="14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488" w:name="_Toc6068"/>
            <w:bookmarkStart w:id="1489" w:name="_Toc30550"/>
            <w:bookmarkStart w:id="1490" w:name="_Toc23819"/>
            <w:r>
              <w:rPr>
                <w:rFonts w:hint="eastAsia" w:ascii="宋体" w:hAnsi="宋体" w:eastAsia="宋体" w:cs="宋体"/>
                <w:bCs/>
                <w:color w:val="000000"/>
                <w:kern w:val="2"/>
                <w:sz w:val="24"/>
                <w:szCs w:val="24"/>
                <w:lang w:val="en-US" w:eastAsia="zh-CN" w:bidi="ar-SA"/>
              </w:rPr>
              <w:t>动态剂量调制</w:t>
            </w:r>
            <w:bookmarkEnd w:id="1488"/>
            <w:bookmarkEnd w:id="1489"/>
            <w:bookmarkEnd w:id="14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91" w:name="_Toc11852"/>
            <w:bookmarkStart w:id="1492" w:name="_Toc21690"/>
            <w:bookmarkStart w:id="1493" w:name="_Toc3372"/>
            <w:r>
              <w:rPr>
                <w:rFonts w:hint="eastAsia" w:ascii="宋体" w:hAnsi="宋体" w:eastAsia="宋体" w:cs="宋体"/>
                <w:bCs/>
                <w:color w:val="000000"/>
                <w:kern w:val="2"/>
                <w:sz w:val="24"/>
                <w:szCs w:val="24"/>
                <w:lang w:val="en-US" w:eastAsia="zh-CN" w:bidi="ar-SA"/>
              </w:rPr>
              <w:t>最大密度投影MIP</w:t>
            </w:r>
            <w:bookmarkEnd w:id="1491"/>
            <w:bookmarkEnd w:id="1492"/>
            <w:bookmarkEnd w:id="14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94" w:name="_Toc14063"/>
            <w:bookmarkStart w:id="1495" w:name="_Toc26224"/>
            <w:bookmarkStart w:id="1496" w:name="_Toc9281"/>
            <w:r>
              <w:rPr>
                <w:rFonts w:hint="eastAsia" w:ascii="宋体" w:hAnsi="宋体" w:eastAsia="宋体" w:cs="宋体"/>
                <w:bCs/>
                <w:color w:val="000000"/>
                <w:kern w:val="2"/>
                <w:sz w:val="24"/>
                <w:szCs w:val="24"/>
                <w:lang w:val="en-US" w:eastAsia="zh-CN" w:bidi="ar-SA"/>
              </w:rPr>
              <w:t>最小密度投影MinIP</w:t>
            </w:r>
            <w:bookmarkEnd w:id="1494"/>
            <w:bookmarkEnd w:id="1495"/>
            <w:bookmarkEnd w:id="14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497" w:name="_Toc5201"/>
            <w:bookmarkStart w:id="1498" w:name="_Toc6723"/>
            <w:bookmarkStart w:id="1499" w:name="_Toc23101"/>
            <w:r>
              <w:rPr>
                <w:rFonts w:hint="eastAsia" w:ascii="宋体" w:hAnsi="宋体" w:eastAsia="宋体" w:cs="宋体"/>
                <w:bCs/>
                <w:color w:val="000000"/>
                <w:kern w:val="2"/>
                <w:sz w:val="24"/>
                <w:szCs w:val="24"/>
                <w:lang w:val="en-US" w:eastAsia="zh-CN" w:bidi="ar-SA"/>
              </w:rPr>
              <w:t>多平面体积投影MPR</w:t>
            </w:r>
            <w:bookmarkEnd w:id="1497"/>
            <w:bookmarkEnd w:id="1498"/>
            <w:bookmarkEnd w:id="14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00" w:name="_Toc2646"/>
            <w:bookmarkStart w:id="1501" w:name="_Toc30570"/>
            <w:bookmarkStart w:id="1502" w:name="_Toc16538"/>
            <w:r>
              <w:rPr>
                <w:rFonts w:hint="eastAsia" w:ascii="宋体" w:hAnsi="宋体" w:eastAsia="宋体" w:cs="宋体"/>
                <w:bCs/>
                <w:color w:val="000000"/>
                <w:kern w:val="2"/>
                <w:sz w:val="24"/>
                <w:szCs w:val="24"/>
                <w:lang w:val="en-US" w:eastAsia="zh-CN" w:bidi="ar-SA"/>
              </w:rPr>
              <w:t>薄块浏览</w:t>
            </w:r>
            <w:bookmarkEnd w:id="1500"/>
            <w:bookmarkEnd w:id="1501"/>
            <w:bookmarkEnd w:id="15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03" w:name="_Toc7072"/>
            <w:bookmarkStart w:id="1504" w:name="_Toc30456"/>
            <w:bookmarkStart w:id="1505" w:name="_Toc12573"/>
            <w:r>
              <w:rPr>
                <w:rFonts w:hint="eastAsia" w:ascii="宋体" w:hAnsi="宋体" w:eastAsia="宋体" w:cs="宋体"/>
                <w:bCs/>
                <w:color w:val="000000"/>
                <w:kern w:val="2"/>
                <w:sz w:val="24"/>
                <w:szCs w:val="24"/>
                <w:lang w:val="en-US" w:eastAsia="zh-CN" w:bidi="ar-SA"/>
              </w:rPr>
              <w:t>多平面重建</w:t>
            </w:r>
            <w:bookmarkEnd w:id="1503"/>
            <w:bookmarkEnd w:id="1504"/>
            <w:bookmarkEnd w:id="15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06" w:name="_Toc7166"/>
            <w:bookmarkStart w:id="1507" w:name="_Toc20591"/>
            <w:bookmarkStart w:id="1508" w:name="_Toc30573"/>
            <w:r>
              <w:rPr>
                <w:rFonts w:hint="eastAsia" w:ascii="宋体" w:hAnsi="宋体" w:eastAsia="宋体" w:cs="宋体"/>
                <w:bCs/>
                <w:color w:val="000000"/>
                <w:kern w:val="2"/>
                <w:sz w:val="24"/>
                <w:szCs w:val="24"/>
                <w:lang w:val="en-US" w:eastAsia="zh-CN" w:bidi="ar-SA"/>
              </w:rPr>
              <w:t>智能循迹切割</w:t>
            </w:r>
            <w:bookmarkEnd w:id="1506"/>
            <w:bookmarkEnd w:id="1507"/>
            <w:bookmarkEnd w:id="15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09" w:name="_Toc4191"/>
            <w:bookmarkStart w:id="1510" w:name="_Toc1822"/>
            <w:bookmarkStart w:id="1511" w:name="_Toc13603"/>
            <w:r>
              <w:rPr>
                <w:rFonts w:hint="eastAsia" w:ascii="宋体" w:hAnsi="宋体" w:eastAsia="宋体" w:cs="宋体"/>
                <w:bCs/>
                <w:color w:val="000000"/>
                <w:kern w:val="2"/>
                <w:sz w:val="24"/>
                <w:szCs w:val="24"/>
                <w:lang w:val="en-US" w:eastAsia="zh-CN" w:bidi="ar-SA"/>
              </w:rPr>
              <w:t>自动层面相关显示</w:t>
            </w:r>
            <w:bookmarkEnd w:id="1509"/>
            <w:bookmarkEnd w:id="1510"/>
            <w:bookmarkEnd w:id="15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12" w:name="_Toc380"/>
            <w:bookmarkStart w:id="1513" w:name="_Toc11624"/>
            <w:bookmarkStart w:id="1514" w:name="_Toc9815"/>
            <w:r>
              <w:rPr>
                <w:rFonts w:hint="eastAsia" w:ascii="宋体" w:hAnsi="宋体" w:eastAsia="宋体" w:cs="宋体"/>
                <w:bCs/>
                <w:color w:val="000000"/>
                <w:kern w:val="2"/>
                <w:sz w:val="24"/>
                <w:szCs w:val="24"/>
                <w:lang w:val="en-US" w:eastAsia="zh-CN" w:bidi="ar-SA"/>
              </w:rPr>
              <w:t>图像智能优化显示软件</w:t>
            </w:r>
            <w:bookmarkEnd w:id="1512"/>
            <w:bookmarkEnd w:id="1513"/>
            <w:bookmarkEnd w:id="15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15" w:name="_Toc6133"/>
            <w:bookmarkStart w:id="1516" w:name="_Toc6478"/>
            <w:bookmarkStart w:id="1517" w:name="_Toc9649"/>
            <w:r>
              <w:rPr>
                <w:rFonts w:hint="eastAsia" w:ascii="宋体" w:hAnsi="宋体" w:eastAsia="宋体" w:cs="宋体"/>
                <w:bCs/>
                <w:color w:val="000000"/>
                <w:kern w:val="2"/>
                <w:sz w:val="24"/>
                <w:szCs w:val="24"/>
                <w:lang w:val="en-US" w:eastAsia="zh-CN" w:bidi="ar-SA"/>
              </w:rPr>
              <w:t>容积三维重建</w:t>
            </w:r>
            <w:bookmarkEnd w:id="1515"/>
            <w:bookmarkEnd w:id="1516"/>
            <w:bookmarkEnd w:id="15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18" w:name="_Toc4162"/>
            <w:bookmarkStart w:id="1519" w:name="_Toc19144"/>
            <w:bookmarkStart w:id="1520" w:name="_Toc14129"/>
            <w:r>
              <w:rPr>
                <w:rFonts w:hint="eastAsia" w:ascii="宋体" w:hAnsi="宋体" w:eastAsia="宋体" w:cs="宋体"/>
                <w:bCs/>
                <w:color w:val="000000"/>
                <w:kern w:val="2"/>
                <w:sz w:val="24"/>
                <w:szCs w:val="24"/>
                <w:lang w:val="en-US" w:eastAsia="zh-CN" w:bidi="ar-SA"/>
              </w:rPr>
              <w:t>婴幼儿专用扫描方案</w:t>
            </w:r>
            <w:bookmarkEnd w:id="1518"/>
            <w:bookmarkEnd w:id="1519"/>
            <w:bookmarkEnd w:id="15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21" w:name="_Toc12848"/>
            <w:bookmarkStart w:id="1522" w:name="_Toc29838"/>
            <w:bookmarkStart w:id="1523" w:name="_Toc32542"/>
            <w:r>
              <w:rPr>
                <w:rFonts w:hint="eastAsia" w:ascii="宋体" w:hAnsi="宋体" w:eastAsia="宋体" w:cs="宋体"/>
                <w:bCs/>
                <w:color w:val="000000"/>
                <w:kern w:val="2"/>
                <w:sz w:val="24"/>
                <w:szCs w:val="24"/>
                <w:lang w:val="en-US" w:eastAsia="zh-CN" w:bidi="ar-SA"/>
              </w:rPr>
              <w:t>肿瘤专用扫描方案</w:t>
            </w:r>
            <w:bookmarkEnd w:id="1521"/>
            <w:bookmarkEnd w:id="1522"/>
            <w:bookmarkEnd w:id="15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24" w:name="_Toc28870"/>
            <w:bookmarkStart w:id="1525" w:name="_Toc12792"/>
            <w:bookmarkStart w:id="1526" w:name="_Toc9067"/>
            <w:r>
              <w:rPr>
                <w:rFonts w:hint="eastAsia" w:ascii="宋体" w:hAnsi="宋体" w:eastAsia="宋体" w:cs="宋体"/>
                <w:bCs/>
                <w:color w:val="000000"/>
                <w:kern w:val="2"/>
                <w:sz w:val="24"/>
                <w:szCs w:val="24"/>
                <w:lang w:val="en-US" w:eastAsia="zh-CN" w:bidi="ar-SA"/>
              </w:rPr>
              <w:t>自动毫安选择功能</w:t>
            </w:r>
            <w:bookmarkEnd w:id="1524"/>
            <w:bookmarkEnd w:id="1525"/>
            <w:bookmarkEnd w:id="15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27" w:name="_Toc29939"/>
            <w:bookmarkStart w:id="1528" w:name="_Toc24223"/>
            <w:bookmarkStart w:id="1529" w:name="_Toc31092"/>
            <w:r>
              <w:rPr>
                <w:rFonts w:hint="eastAsia" w:ascii="宋体" w:hAnsi="宋体" w:eastAsia="宋体" w:cs="宋体"/>
                <w:bCs/>
                <w:color w:val="000000"/>
                <w:kern w:val="2"/>
                <w:sz w:val="24"/>
                <w:szCs w:val="24"/>
                <w:lang w:val="en-US" w:eastAsia="zh-CN" w:bidi="ar-SA"/>
              </w:rPr>
              <w:t>自动语音系统及双向语音传输</w:t>
            </w:r>
            <w:bookmarkEnd w:id="1527"/>
            <w:bookmarkEnd w:id="1528"/>
            <w:bookmarkEnd w:id="15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30" w:name="_Toc23018"/>
            <w:bookmarkStart w:id="1531" w:name="_Toc9970"/>
            <w:bookmarkStart w:id="1532" w:name="_Toc31920"/>
            <w:r>
              <w:rPr>
                <w:rFonts w:hint="eastAsia" w:ascii="宋体" w:hAnsi="宋体" w:eastAsia="宋体" w:cs="宋体"/>
                <w:bCs/>
                <w:color w:val="000000"/>
                <w:kern w:val="2"/>
                <w:sz w:val="24"/>
                <w:szCs w:val="24"/>
                <w:lang w:val="en-US" w:eastAsia="zh-CN" w:bidi="ar-SA"/>
              </w:rPr>
              <w:t>齿科软件</w:t>
            </w:r>
            <w:bookmarkEnd w:id="1530"/>
            <w:bookmarkEnd w:id="1531"/>
            <w:bookmarkEnd w:id="15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33" w:name="_Toc2463"/>
            <w:bookmarkStart w:id="1534" w:name="_Toc7591"/>
            <w:bookmarkStart w:id="1535" w:name="_Toc9834"/>
            <w:r>
              <w:rPr>
                <w:rFonts w:hint="eastAsia" w:ascii="宋体" w:hAnsi="宋体" w:eastAsia="宋体" w:cs="宋体"/>
                <w:bCs/>
                <w:color w:val="000000"/>
                <w:kern w:val="2"/>
                <w:sz w:val="24"/>
                <w:szCs w:val="24"/>
                <w:lang w:val="en-US" w:eastAsia="zh-CN" w:bidi="ar-SA"/>
              </w:rPr>
              <w:t>多任务并行处理功能</w:t>
            </w:r>
            <w:bookmarkEnd w:id="1533"/>
            <w:bookmarkEnd w:id="1534"/>
            <w:bookmarkEnd w:id="15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36" w:name="_Toc30298"/>
            <w:bookmarkStart w:id="1537" w:name="_Toc9881"/>
            <w:bookmarkStart w:id="1538" w:name="_Toc5009"/>
            <w:r>
              <w:rPr>
                <w:rFonts w:hint="eastAsia" w:ascii="宋体" w:hAnsi="宋体" w:eastAsia="宋体" w:cs="宋体"/>
                <w:bCs/>
                <w:color w:val="000000"/>
                <w:kern w:val="2"/>
                <w:sz w:val="24"/>
                <w:szCs w:val="24"/>
                <w:lang w:val="en-US" w:eastAsia="zh-CN" w:bidi="ar-SA"/>
              </w:rPr>
              <w:t>具备激光相机DICOM接口功能</w:t>
            </w:r>
            <w:bookmarkEnd w:id="1536"/>
            <w:bookmarkEnd w:id="1537"/>
            <w:bookmarkEnd w:id="15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color w:val="000000"/>
                <w:kern w:val="2"/>
                <w:sz w:val="24"/>
                <w:szCs w:val="24"/>
                <w:lang w:val="en-US" w:eastAsia="zh-CN" w:bidi="ar-SA"/>
              </w:rPr>
            </w:pPr>
            <w:bookmarkStart w:id="1539" w:name="_Toc14525"/>
            <w:bookmarkStart w:id="1540" w:name="_Toc19436"/>
            <w:bookmarkStart w:id="1541" w:name="_Toc21613"/>
            <w:r>
              <w:rPr>
                <w:rFonts w:hint="eastAsia" w:ascii="宋体" w:hAnsi="宋体" w:eastAsia="宋体" w:cs="宋体"/>
                <w:bCs/>
                <w:color w:val="000000"/>
                <w:kern w:val="2"/>
                <w:sz w:val="24"/>
                <w:szCs w:val="24"/>
                <w:lang w:val="en-US" w:eastAsia="zh-CN" w:bidi="ar-SA"/>
              </w:rPr>
              <w:t>自动照相技术</w:t>
            </w:r>
            <w:bookmarkEnd w:id="1539"/>
            <w:bookmarkEnd w:id="1540"/>
            <w:bookmarkEnd w:id="15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42" w:name="_Toc9477"/>
            <w:bookmarkStart w:id="1543" w:name="_Toc9972"/>
            <w:bookmarkStart w:id="1544" w:name="_Toc26042"/>
            <w:r>
              <w:rPr>
                <w:rFonts w:hint="eastAsia" w:ascii="宋体" w:hAnsi="宋体" w:eastAsia="宋体" w:cs="宋体"/>
                <w:b/>
                <w:bCs/>
                <w:color w:val="000000"/>
                <w:kern w:val="2"/>
                <w:sz w:val="24"/>
                <w:szCs w:val="24"/>
                <w:lang w:val="en-US" w:eastAsia="zh-CN" w:bidi="ar-SA"/>
              </w:rPr>
              <w:t>呼吸门控系统</w:t>
            </w:r>
            <w:bookmarkEnd w:id="1542"/>
            <w:bookmarkEnd w:id="1543"/>
            <w:bookmarkEnd w:id="15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45" w:name="_Toc12213"/>
            <w:bookmarkStart w:id="1546" w:name="_Toc11444"/>
            <w:bookmarkStart w:id="1547" w:name="_Toc13694"/>
            <w:r>
              <w:rPr>
                <w:rFonts w:hint="eastAsia" w:ascii="宋体" w:hAnsi="宋体" w:eastAsia="宋体" w:cs="宋体"/>
                <w:bCs/>
                <w:color w:val="000000"/>
                <w:kern w:val="2"/>
                <w:sz w:val="24"/>
                <w:szCs w:val="24"/>
                <w:lang w:val="en-US" w:eastAsia="zh-CN" w:bidi="ar-SA"/>
              </w:rPr>
              <w:t>提供原厂呼吸门控系统软硬件并注明厂家型号</w:t>
            </w:r>
            <w:bookmarkEnd w:id="1545"/>
            <w:bookmarkEnd w:id="1546"/>
            <w:bookmarkEnd w:id="15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48" w:name="_Toc26414"/>
            <w:bookmarkStart w:id="1549" w:name="_Toc5844"/>
            <w:bookmarkStart w:id="1550" w:name="_Toc4897"/>
            <w:r>
              <w:rPr>
                <w:rFonts w:hint="eastAsia" w:ascii="宋体" w:hAnsi="宋体" w:eastAsia="宋体" w:cs="宋体"/>
                <w:bCs/>
                <w:color w:val="000000"/>
                <w:kern w:val="2"/>
                <w:sz w:val="24"/>
                <w:szCs w:val="24"/>
                <w:lang w:val="en-US" w:eastAsia="zh-CN" w:bidi="ar-SA"/>
              </w:rPr>
              <w:t>采用红外线或腹压带体表监测的方式监测呼吸运动</w:t>
            </w:r>
            <w:bookmarkEnd w:id="1548"/>
            <w:bookmarkEnd w:id="1549"/>
            <w:bookmarkEnd w:id="15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51" w:name="_Toc17833"/>
            <w:bookmarkStart w:id="1552" w:name="_Toc11775"/>
            <w:bookmarkStart w:id="1553" w:name="_Toc30269"/>
            <w:r>
              <w:rPr>
                <w:rFonts w:hint="eastAsia" w:ascii="宋体" w:hAnsi="宋体" w:eastAsia="宋体" w:cs="宋体"/>
                <w:bCs/>
                <w:color w:val="000000"/>
                <w:kern w:val="2"/>
                <w:sz w:val="24"/>
                <w:szCs w:val="24"/>
                <w:lang w:val="en-US" w:eastAsia="zh-CN" w:bidi="ar-SA"/>
              </w:rPr>
              <w:t>配合CT机采集4D CT图像，支持前瞻式轴向扫描</w:t>
            </w:r>
            <w:bookmarkEnd w:id="1551"/>
            <w:bookmarkEnd w:id="1552"/>
            <w:bookmarkEnd w:id="15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54" w:name="_Toc4423"/>
            <w:bookmarkStart w:id="1555" w:name="_Toc27973"/>
            <w:bookmarkStart w:id="1556" w:name="_Toc18496"/>
            <w:r>
              <w:rPr>
                <w:rFonts w:hint="eastAsia" w:ascii="宋体" w:hAnsi="宋体" w:eastAsia="宋体" w:cs="宋体"/>
                <w:bCs/>
                <w:color w:val="000000"/>
                <w:kern w:val="2"/>
                <w:sz w:val="24"/>
                <w:szCs w:val="24"/>
                <w:lang w:val="en-US" w:eastAsia="zh-CN" w:bidi="ar-SA"/>
              </w:rPr>
              <w:t>配合CT机采集4D CT图像，支持前瞻式螺旋扫描方式</w:t>
            </w:r>
            <w:bookmarkEnd w:id="1554"/>
            <w:bookmarkEnd w:id="1555"/>
            <w:bookmarkEnd w:id="15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57" w:name="_Toc10849"/>
            <w:bookmarkStart w:id="1558" w:name="_Toc8457"/>
            <w:bookmarkStart w:id="1559" w:name="_Toc5178"/>
            <w:r>
              <w:rPr>
                <w:rFonts w:hint="eastAsia" w:ascii="宋体" w:hAnsi="宋体" w:eastAsia="宋体" w:cs="宋体"/>
                <w:bCs/>
                <w:color w:val="000000"/>
                <w:kern w:val="2"/>
                <w:sz w:val="24"/>
                <w:szCs w:val="24"/>
                <w:lang w:val="en-US" w:eastAsia="zh-CN" w:bidi="ar-SA"/>
              </w:rPr>
              <w:t>配合CT机采集4D CT图像，支持回顾式螺旋扫描方式</w:t>
            </w:r>
            <w:bookmarkEnd w:id="1557"/>
            <w:bookmarkEnd w:id="1558"/>
            <w:bookmarkEnd w:id="15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60" w:name="_Toc20783"/>
            <w:bookmarkStart w:id="1561" w:name="_Toc15207"/>
            <w:bookmarkStart w:id="1562" w:name="_Toc12356"/>
            <w:r>
              <w:rPr>
                <w:rFonts w:hint="eastAsia" w:ascii="宋体" w:hAnsi="宋体" w:eastAsia="宋体" w:cs="宋体"/>
                <w:bCs/>
                <w:color w:val="000000"/>
                <w:kern w:val="2"/>
                <w:sz w:val="24"/>
                <w:szCs w:val="24"/>
                <w:lang w:val="en-US" w:eastAsia="zh-CN" w:bidi="ar-SA"/>
              </w:rPr>
              <w:t>回顾式螺旋扫描必须能够提供基于时相及幅值的两种后处理重建方式</w:t>
            </w:r>
            <w:bookmarkEnd w:id="1560"/>
            <w:bookmarkEnd w:id="1561"/>
            <w:bookmarkEnd w:id="15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63" w:name="_Toc7414"/>
            <w:bookmarkStart w:id="1564" w:name="_Toc9026"/>
            <w:bookmarkStart w:id="1565" w:name="_Toc25773"/>
            <w:r>
              <w:rPr>
                <w:rFonts w:hint="eastAsia" w:ascii="宋体" w:hAnsi="宋体" w:eastAsia="宋体" w:cs="宋体"/>
                <w:bCs/>
                <w:color w:val="000000"/>
                <w:kern w:val="2"/>
                <w:sz w:val="24"/>
                <w:szCs w:val="24"/>
                <w:lang w:val="en-US" w:eastAsia="zh-CN" w:bidi="ar-SA"/>
              </w:rPr>
              <w:t>能编辑、添加、删除呼吸时相</w:t>
            </w:r>
            <w:bookmarkEnd w:id="1563"/>
            <w:bookmarkEnd w:id="1564"/>
            <w:bookmarkEnd w:id="15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66" w:name="_Toc30437"/>
            <w:bookmarkStart w:id="1567" w:name="_Toc4670"/>
            <w:bookmarkStart w:id="1568" w:name="_Toc7277"/>
            <w:r>
              <w:rPr>
                <w:rFonts w:hint="eastAsia" w:ascii="宋体" w:hAnsi="宋体" w:eastAsia="宋体" w:cs="宋体"/>
                <w:bCs/>
                <w:color w:val="000000"/>
                <w:kern w:val="2"/>
                <w:sz w:val="24"/>
                <w:szCs w:val="24"/>
                <w:lang w:val="en-US" w:eastAsia="zh-CN" w:bidi="ar-SA"/>
              </w:rPr>
              <w:t>上述4D CT图像和模拟定位数据可传输至配套的治疗计划系统进行相关放射治疗计划设计。</w:t>
            </w:r>
            <w:bookmarkEnd w:id="1566"/>
            <w:bookmarkEnd w:id="1567"/>
            <w:bookmarkEnd w:id="15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69" w:name="_Toc17511"/>
            <w:bookmarkStart w:id="1570" w:name="_Toc12377"/>
            <w:bookmarkStart w:id="1571" w:name="_Toc7417"/>
            <w:r>
              <w:rPr>
                <w:rFonts w:hint="eastAsia" w:ascii="宋体" w:hAnsi="宋体" w:eastAsia="宋体" w:cs="宋体"/>
                <w:bCs/>
                <w:kern w:val="2"/>
                <w:sz w:val="24"/>
                <w:szCs w:val="24"/>
                <w:lang w:val="en-US" w:eastAsia="zh-CN" w:bidi="ar-SA"/>
              </w:rPr>
              <w:t>放射治疗人工智能轮廓勾画软件(最新版本)</w:t>
            </w:r>
            <w:bookmarkEnd w:id="1569"/>
            <w:bookmarkEnd w:id="1570"/>
            <w:bookmarkEnd w:id="15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72" w:name="_Toc9987"/>
            <w:bookmarkStart w:id="1573" w:name="_Toc28951"/>
            <w:bookmarkStart w:id="1574" w:name="_Toc24823"/>
            <w:r>
              <w:rPr>
                <w:rFonts w:hint="eastAsia" w:ascii="宋体" w:hAnsi="宋体" w:eastAsia="宋体" w:cs="宋体"/>
                <w:bCs/>
                <w:kern w:val="2"/>
                <w:sz w:val="24"/>
                <w:szCs w:val="24"/>
                <w:lang w:val="en-US" w:eastAsia="zh-CN" w:bidi="ar-SA"/>
              </w:rPr>
              <w:t>操作系统：Ubuntu16.04</w:t>
            </w:r>
            <w:bookmarkEnd w:id="1572"/>
            <w:bookmarkEnd w:id="1573"/>
            <w:bookmarkEnd w:id="15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75" w:name="_Toc1848"/>
            <w:bookmarkStart w:id="1576" w:name="_Toc3172"/>
            <w:bookmarkStart w:id="1577" w:name="_Toc2304"/>
            <w:r>
              <w:rPr>
                <w:rFonts w:hint="eastAsia" w:ascii="宋体" w:hAnsi="宋体" w:eastAsia="宋体" w:cs="宋体"/>
                <w:bCs/>
                <w:kern w:val="2"/>
                <w:sz w:val="24"/>
                <w:szCs w:val="24"/>
                <w:lang w:val="en-US" w:eastAsia="zh-CN" w:bidi="ar-SA"/>
              </w:rPr>
              <w:t>中央处理器：Intel Core i7处理器1个，主频：≥2.6GHz</w:t>
            </w:r>
            <w:bookmarkEnd w:id="1575"/>
            <w:bookmarkEnd w:id="1576"/>
            <w:bookmarkEnd w:id="15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78" w:name="_Toc2867"/>
            <w:bookmarkStart w:id="1579" w:name="_Toc13394"/>
            <w:bookmarkStart w:id="1580" w:name="_Toc3723"/>
            <w:r>
              <w:rPr>
                <w:rFonts w:hint="eastAsia" w:ascii="宋体" w:hAnsi="宋体" w:eastAsia="宋体" w:cs="宋体"/>
                <w:bCs/>
                <w:kern w:val="2"/>
                <w:sz w:val="24"/>
                <w:szCs w:val="24"/>
                <w:lang w:val="en-US" w:eastAsia="zh-CN" w:bidi="ar-SA"/>
              </w:rPr>
              <w:t>服务器内存配置：≥32GB</w:t>
            </w:r>
            <w:bookmarkEnd w:id="1578"/>
            <w:bookmarkEnd w:id="1579"/>
            <w:bookmarkEnd w:id="15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81" w:name="_Toc17159"/>
            <w:bookmarkStart w:id="1582" w:name="_Toc5539"/>
            <w:bookmarkStart w:id="1583" w:name="_Toc21088"/>
            <w:r>
              <w:rPr>
                <w:rFonts w:hint="eastAsia" w:ascii="宋体" w:hAnsi="宋体" w:eastAsia="宋体" w:cs="宋体"/>
                <w:bCs/>
                <w:kern w:val="2"/>
                <w:sz w:val="24"/>
                <w:szCs w:val="24"/>
                <w:lang w:val="en-US" w:eastAsia="zh-CN" w:bidi="ar-SA"/>
              </w:rPr>
              <w:t>服务器固态硬盘在线存储可用空间：2个4TB硬盘</w:t>
            </w:r>
            <w:bookmarkEnd w:id="1581"/>
            <w:bookmarkEnd w:id="1582"/>
            <w:bookmarkEnd w:id="15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84" w:name="_Toc26285"/>
            <w:bookmarkStart w:id="1585" w:name="_Toc3948"/>
            <w:bookmarkStart w:id="1586" w:name="_Toc14679"/>
            <w:r>
              <w:rPr>
                <w:rFonts w:hint="eastAsia" w:ascii="宋体" w:hAnsi="宋体" w:eastAsia="宋体" w:cs="宋体"/>
                <w:bCs/>
                <w:kern w:val="2"/>
                <w:sz w:val="24"/>
                <w:szCs w:val="24"/>
                <w:lang w:val="en-US" w:eastAsia="zh-CN" w:bidi="ar-SA"/>
              </w:rPr>
              <w:t>显卡：8G  GPU显卡1个</w:t>
            </w:r>
            <w:bookmarkEnd w:id="1584"/>
            <w:bookmarkEnd w:id="1585"/>
            <w:bookmarkEnd w:id="15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87" w:name="_Toc21425"/>
            <w:bookmarkStart w:id="1588" w:name="_Toc28032"/>
            <w:bookmarkStart w:id="1589" w:name="_Toc287"/>
            <w:r>
              <w:rPr>
                <w:rFonts w:hint="eastAsia" w:ascii="宋体" w:hAnsi="宋体" w:eastAsia="宋体" w:cs="宋体"/>
                <w:bCs/>
                <w:kern w:val="2"/>
                <w:sz w:val="24"/>
                <w:szCs w:val="24"/>
                <w:lang w:val="en-US" w:eastAsia="zh-CN" w:bidi="ar-SA"/>
              </w:rPr>
              <w:t>≥10种常见轮廓勾画工具</w:t>
            </w:r>
            <w:bookmarkEnd w:id="1587"/>
            <w:bookmarkEnd w:id="1588"/>
            <w:bookmarkEnd w:id="15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90" w:name="_Toc20616"/>
            <w:bookmarkStart w:id="1591" w:name="_Toc10770"/>
            <w:bookmarkStart w:id="1592" w:name="_Toc6323"/>
            <w:r>
              <w:rPr>
                <w:rFonts w:hint="eastAsia" w:ascii="宋体" w:hAnsi="宋体" w:cs="宋体"/>
                <w:bCs/>
                <w:kern w:val="2"/>
                <w:sz w:val="24"/>
                <w:szCs w:val="24"/>
                <w:highlight w:val="none"/>
                <w:lang w:val="en-US" w:eastAsia="zh-CN" w:bidi="ar-SA"/>
              </w:rPr>
              <w:t>具备</w:t>
            </w:r>
            <w:r>
              <w:rPr>
                <w:rFonts w:hint="eastAsia" w:ascii="宋体" w:hAnsi="宋体" w:eastAsia="宋体" w:cs="宋体"/>
                <w:bCs/>
                <w:kern w:val="2"/>
                <w:sz w:val="24"/>
                <w:szCs w:val="24"/>
                <w:lang w:val="en-US" w:eastAsia="zh-CN" w:bidi="ar-SA"/>
              </w:rPr>
              <w:t>平扫和增强CT人工智能头颈OAR轮廓勾画工具</w:t>
            </w:r>
            <w:bookmarkEnd w:id="1590"/>
            <w:bookmarkEnd w:id="1591"/>
            <w:bookmarkEnd w:id="15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93" w:name="_Toc23526"/>
            <w:bookmarkStart w:id="1594" w:name="_Toc24622"/>
            <w:bookmarkStart w:id="1595" w:name="_Toc27905"/>
            <w:r>
              <w:rPr>
                <w:rFonts w:hint="eastAsia" w:ascii="宋体" w:hAnsi="宋体" w:cs="宋体"/>
                <w:bCs/>
                <w:kern w:val="2"/>
                <w:sz w:val="24"/>
                <w:szCs w:val="24"/>
                <w:highlight w:val="none"/>
                <w:lang w:val="en-US" w:eastAsia="zh-CN" w:bidi="ar-SA"/>
              </w:rPr>
              <w:t>具备</w:t>
            </w:r>
            <w:r>
              <w:rPr>
                <w:rFonts w:hint="eastAsia" w:ascii="宋体" w:hAnsi="宋体" w:eastAsia="宋体" w:cs="宋体"/>
                <w:bCs/>
                <w:kern w:val="2"/>
                <w:sz w:val="24"/>
                <w:szCs w:val="24"/>
                <w:lang w:val="en-US" w:eastAsia="zh-CN" w:bidi="ar-SA"/>
              </w:rPr>
              <w:t>平扫和增强CT人工智能胸腹OAR轮廓勾画工具</w:t>
            </w:r>
            <w:bookmarkEnd w:id="1593"/>
            <w:bookmarkEnd w:id="1594"/>
            <w:bookmarkEnd w:id="15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96" w:name="_Toc22053"/>
            <w:bookmarkStart w:id="1597" w:name="_Toc781"/>
            <w:bookmarkStart w:id="1598" w:name="_Toc28209"/>
            <w:r>
              <w:rPr>
                <w:rFonts w:hint="eastAsia" w:ascii="宋体" w:hAnsi="宋体" w:cs="宋体"/>
                <w:bCs/>
                <w:kern w:val="2"/>
                <w:sz w:val="24"/>
                <w:szCs w:val="24"/>
                <w:highlight w:val="none"/>
                <w:lang w:val="en-US" w:eastAsia="zh-CN" w:bidi="ar-SA"/>
              </w:rPr>
              <w:t>具备</w:t>
            </w:r>
            <w:r>
              <w:rPr>
                <w:rFonts w:hint="eastAsia" w:ascii="宋体" w:hAnsi="宋体" w:eastAsia="宋体" w:cs="宋体"/>
                <w:bCs/>
                <w:kern w:val="2"/>
                <w:sz w:val="24"/>
                <w:szCs w:val="24"/>
                <w:lang w:val="en-US" w:eastAsia="zh-CN" w:bidi="ar-SA"/>
              </w:rPr>
              <w:t>平扫和增强CT人工智能腹盆OAR轮廓勾画工具</w:t>
            </w:r>
            <w:bookmarkEnd w:id="1596"/>
            <w:bookmarkEnd w:id="1597"/>
            <w:bookmarkEnd w:id="15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color w:val="000000"/>
                <w:kern w:val="2"/>
                <w:sz w:val="24"/>
                <w:szCs w:val="24"/>
                <w:lang w:val="en-US" w:eastAsia="zh-CN" w:bidi="ar-SA"/>
              </w:rPr>
            </w:pPr>
            <w:bookmarkStart w:id="1599" w:name="_Toc6771"/>
            <w:bookmarkStart w:id="1600" w:name="_Toc22167"/>
            <w:bookmarkStart w:id="1601" w:name="_Toc7997"/>
            <w:r>
              <w:rPr>
                <w:rFonts w:hint="eastAsia" w:ascii="宋体" w:hAnsi="宋体" w:eastAsia="宋体" w:cs="宋体"/>
                <w:bCs/>
                <w:color w:val="000000"/>
                <w:kern w:val="2"/>
                <w:sz w:val="24"/>
                <w:szCs w:val="24"/>
                <w:lang w:val="en-US" w:eastAsia="zh-CN" w:bidi="ar-SA"/>
              </w:rPr>
              <w:t>提供主控台主机30分钟不间断电源</w:t>
            </w:r>
            <w:bookmarkEnd w:id="1599"/>
            <w:bookmarkEnd w:id="1600"/>
            <w:bookmarkEnd w:id="16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kern w:val="2"/>
                <w:sz w:val="24"/>
                <w:szCs w:val="24"/>
                <w:lang w:val="en-US" w:eastAsia="zh-CN" w:bidi="ar-SA"/>
              </w:rPr>
            </w:pPr>
            <w:bookmarkStart w:id="1602" w:name="_Toc30385"/>
            <w:bookmarkStart w:id="1603" w:name="_Toc21101"/>
            <w:bookmarkStart w:id="1604" w:name="_Toc19076"/>
            <w:r>
              <w:rPr>
                <w:rFonts w:hint="eastAsia" w:ascii="宋体" w:hAnsi="宋体" w:eastAsia="宋体" w:cs="宋体"/>
                <w:bCs/>
                <w:kern w:val="2"/>
                <w:sz w:val="24"/>
                <w:szCs w:val="24"/>
                <w:lang w:val="en-US" w:eastAsia="zh-CN" w:bidi="ar-SA"/>
              </w:rPr>
              <w:t>提供PDU</w:t>
            </w:r>
            <w:bookmarkEnd w:id="1602"/>
            <w:bookmarkEnd w:id="1603"/>
            <w:bookmarkEnd w:id="16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kern w:val="2"/>
                <w:sz w:val="24"/>
                <w:szCs w:val="24"/>
                <w:lang w:val="en-US" w:eastAsia="zh-CN" w:bidi="ar-SA"/>
              </w:rPr>
            </w:pPr>
            <w:bookmarkStart w:id="1605" w:name="_Toc27988"/>
            <w:bookmarkStart w:id="1606" w:name="_Toc4387"/>
            <w:bookmarkStart w:id="1607" w:name="_Toc198"/>
            <w:r>
              <w:rPr>
                <w:rFonts w:hint="eastAsia" w:ascii="宋体" w:hAnsi="宋体" w:eastAsia="宋体" w:cs="宋体"/>
                <w:bCs/>
                <w:kern w:val="2"/>
                <w:sz w:val="24"/>
                <w:szCs w:val="24"/>
                <w:lang w:val="en-US" w:eastAsia="zh-CN" w:bidi="ar-SA"/>
              </w:rPr>
              <w:t>提供整机保修</w:t>
            </w:r>
            <w:r>
              <w:rPr>
                <w:rFonts w:hint="eastAsia" w:ascii="宋体" w:hAnsi="宋体" w:cs="宋体"/>
                <w:bCs/>
                <w:kern w:val="2"/>
                <w:sz w:val="24"/>
                <w:szCs w:val="24"/>
                <w:highlight w:val="none"/>
                <w:lang w:val="en-US" w:eastAsia="zh-CN" w:bidi="ar-SA"/>
              </w:rPr>
              <w:t>两</w:t>
            </w:r>
            <w:r>
              <w:rPr>
                <w:rFonts w:hint="eastAsia" w:ascii="宋体" w:hAnsi="宋体" w:eastAsia="宋体" w:cs="宋体"/>
                <w:bCs/>
                <w:kern w:val="2"/>
                <w:sz w:val="24"/>
                <w:szCs w:val="24"/>
                <w:highlight w:val="none"/>
                <w:lang w:val="en-US" w:eastAsia="zh-CN" w:bidi="ar-SA"/>
              </w:rPr>
              <w:t>年</w:t>
            </w:r>
            <w:bookmarkEnd w:id="1605"/>
            <w:bookmarkEnd w:id="1606"/>
            <w:bookmarkEnd w:id="16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val="0"/>
              <w:kinsoku/>
              <w:wordWrap/>
              <w:overflowPunct/>
              <w:topLinePunct w:val="0"/>
              <w:autoSpaceDE/>
              <w:autoSpaceDN/>
              <w:bidi w:val="0"/>
              <w:adjustRightInd/>
              <w:snapToGrid w:val="0"/>
              <w:spacing w:after="0" w:line="360" w:lineRule="exact"/>
              <w:jc w:val="both"/>
              <w:textAlignment w:val="auto"/>
              <w:outlineLvl w:val="2"/>
              <w:rPr>
                <w:rFonts w:hint="eastAsia" w:ascii="宋体" w:hAnsi="宋体" w:eastAsia="宋体" w:cs="宋体"/>
                <w:bCs/>
                <w:kern w:val="2"/>
                <w:sz w:val="24"/>
                <w:szCs w:val="24"/>
                <w:lang w:val="en-US" w:eastAsia="zh-CN" w:bidi="ar-SA"/>
              </w:rPr>
            </w:pPr>
            <w:bookmarkStart w:id="1608" w:name="_Toc246"/>
            <w:bookmarkStart w:id="1609" w:name="_Toc20983"/>
            <w:bookmarkStart w:id="1610" w:name="_Toc30705"/>
            <w:r>
              <w:rPr>
                <w:rFonts w:hint="eastAsia" w:ascii="宋体" w:hAnsi="宋体" w:eastAsia="宋体" w:cs="宋体"/>
                <w:bCs/>
                <w:kern w:val="2"/>
                <w:sz w:val="24"/>
                <w:szCs w:val="24"/>
                <w:lang w:val="en-US" w:eastAsia="zh-CN" w:bidi="ar-SA"/>
              </w:rPr>
              <w:t>自动推注系统</w:t>
            </w:r>
            <w:bookmarkEnd w:id="1608"/>
            <w:bookmarkEnd w:id="1609"/>
            <w:bookmarkEnd w:id="16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激光定位系统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5个激光光源，3个及以上可移动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颜色：红色或绿色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激光类型：二极管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波长：635nm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输出功率：</w:t>
            </w:r>
            <w:r>
              <w:rPr>
                <w:rFonts w:hint="eastAsia" w:ascii="宋体" w:hAnsi="宋体" w:eastAsia="宋体" w:cs="宋体"/>
                <w:bCs/>
                <w:color w:val="000000"/>
                <w:kern w:val="2"/>
                <w:sz w:val="24"/>
                <w:szCs w:val="24"/>
                <w:lang w:val="en-US" w:eastAsia="zh-CN"/>
              </w:rPr>
              <w:t>≤</w:t>
            </w:r>
            <w:r>
              <w:rPr>
                <w:rFonts w:hint="eastAsia" w:ascii="宋体" w:hAnsi="宋体" w:eastAsia="宋体" w:cs="宋体"/>
                <w:bCs/>
                <w:color w:val="000000"/>
                <w:kern w:val="2"/>
                <w:sz w:val="24"/>
                <w:szCs w:val="24"/>
              </w:rPr>
              <w:t>1mV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激光等级：2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线宽：（4米距离内）≤0.5mm（可调焦）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线长：（4米距离处）≥4.0m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定位精度：±0.1mm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移动精度：±0.1mm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投射精度：4米处±0.5mm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投射范围≥8米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移动距离：</w:t>
            </w:r>
            <w:r>
              <w:rPr>
                <w:rFonts w:hint="eastAsia" w:ascii="宋体" w:hAnsi="宋体" w:eastAsia="宋体" w:cs="宋体"/>
                <w:bCs/>
                <w:color w:val="000000"/>
                <w:kern w:val="2"/>
                <w:sz w:val="24"/>
                <w:szCs w:val="24"/>
                <w:lang w:val="en-US" w:eastAsia="zh-CN"/>
              </w:rPr>
              <w:t>≥</w:t>
            </w:r>
            <w:r>
              <w:rPr>
                <w:rFonts w:hint="eastAsia" w:ascii="宋体" w:hAnsi="宋体" w:eastAsia="宋体" w:cs="宋体"/>
                <w:bCs/>
                <w:color w:val="000000"/>
                <w:kern w:val="2"/>
                <w:sz w:val="24"/>
                <w:szCs w:val="24"/>
              </w:rPr>
              <w:t>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lang w:eastAsia="zh-CN"/>
              </w:rPr>
            </w:pPr>
            <w:r>
              <w:rPr>
                <w:rFonts w:hint="eastAsia" w:ascii="宋体" w:hAnsi="宋体" w:eastAsia="宋体" w:cs="宋体"/>
                <w:bCs/>
                <w:color w:val="000000"/>
                <w:kern w:val="2"/>
                <w:sz w:val="24"/>
                <w:szCs w:val="24"/>
              </w:rPr>
              <w:t>激光灯移动速度：0.3-200mm/s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通讯控制：绝对线性编码器及双向通讯微处理器，可实时反馈实际位置与预置位置误差；保证定位精确度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无线控制平板电脑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故障自动保险功能：可移动激光灯只有在到达指定位置后才会被开启，避免出现错误标定。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发射窗口：激光定位系统均装备高度抛光，带有防反射涂层的坚固玻璃窗，不会因为材质过软产生散射；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2"/>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具有医疗器械注册证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rPr>
            </w:pPr>
            <w:r>
              <w:rPr>
                <w:rFonts w:hint="eastAsia" w:ascii="宋体" w:hAnsi="宋体" w:eastAsia="宋体" w:cs="宋体"/>
                <w:bCs/>
                <w:color w:val="000000"/>
                <w:kern w:val="2"/>
                <w:sz w:val="24"/>
                <w:szCs w:val="24"/>
              </w:rPr>
              <w:t>CT机房及控制室的改造装修（按照国家标准及使用需求）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pPr>
              <w:pStyle w:val="79"/>
              <w:keepLines w:val="0"/>
              <w:pageBreakBefore w:val="0"/>
              <w:widowControl/>
              <w:numPr>
                <w:ilvl w:val="1"/>
                <w:numId w:val="6"/>
              </w:numPr>
              <w:kinsoku/>
              <w:wordWrap/>
              <w:overflowPunct/>
              <w:topLinePunct w:val="0"/>
              <w:autoSpaceDE/>
              <w:autoSpaceDN/>
              <w:bidi w:val="0"/>
              <w:adjustRightInd/>
              <w:spacing w:after="0" w:line="360" w:lineRule="exact"/>
              <w:ind w:left="440" w:leftChars="0" w:hanging="440" w:firstLineChars="0"/>
              <w:contextualSpacing/>
              <w:jc w:val="both"/>
              <w:textAlignment w:val="auto"/>
              <w:rPr>
                <w:rFonts w:hint="eastAsia" w:ascii="宋体" w:hAnsi="宋体" w:eastAsia="宋体" w:cs="宋体"/>
                <w:color w:val="000000"/>
                <w:kern w:val="0"/>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kinsoku/>
              <w:wordWrap/>
              <w:overflowPunct/>
              <w:topLinePunct w:val="0"/>
              <w:autoSpaceDE/>
              <w:autoSpaceDN/>
              <w:bidi w:val="0"/>
              <w:adjustRightInd/>
              <w:spacing w:before="113" w:after="200" w:line="360" w:lineRule="exact"/>
              <w:jc w:val="both"/>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lang w:val="en-US" w:eastAsia="zh-CN"/>
              </w:rPr>
              <w:t>人员培训：三名相关人员，每人总时长1个月</w:t>
            </w:r>
          </w:p>
        </w:tc>
      </w:tr>
    </w:tbl>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left"/>
        <w:textAlignment w:val="baseline"/>
        <w:outlineLvl w:val="9"/>
        <w:rPr>
          <w:rFonts w:hint="eastAsia" w:ascii="宋体" w:hAnsi="宋体" w:cs="宋体"/>
          <w:b/>
          <w:bCs/>
          <w:i w:val="0"/>
          <w:caps w:val="0"/>
          <w:color w:val="auto"/>
          <w:spacing w:val="0"/>
          <w:w w:val="100"/>
          <w:sz w:val="24"/>
          <w:szCs w:val="24"/>
          <w:highlight w:val="none"/>
          <w:u w:val="none"/>
          <w:lang w:val="en-US" w:eastAsia="zh-CN"/>
        </w:rPr>
      </w:pPr>
    </w:p>
    <w:p>
      <w:pPr>
        <w:rPr>
          <w:rFonts w:hint="eastAsia" w:ascii="宋体" w:hAnsi="宋体" w:cs="宋体"/>
          <w:b/>
          <w:bCs/>
          <w:i w:val="0"/>
          <w:caps w:val="0"/>
          <w:color w:val="auto"/>
          <w:spacing w:val="0"/>
          <w:w w:val="100"/>
          <w:sz w:val="28"/>
          <w:szCs w:val="28"/>
          <w:highlight w:val="none"/>
          <w:lang w:val="en-US" w:eastAsia="zh-CN"/>
        </w:rPr>
      </w:pPr>
      <w:bookmarkStart w:id="1611" w:name="_Toc22578"/>
      <w:bookmarkStart w:id="1612" w:name="_Toc14630"/>
      <w:bookmarkStart w:id="1613" w:name="_Toc20948"/>
      <w:r>
        <w:rPr>
          <w:rFonts w:hint="eastAsia" w:ascii="宋体" w:hAnsi="宋体" w:cs="宋体"/>
          <w:b/>
          <w:bCs/>
          <w:i w:val="0"/>
          <w:caps w:val="0"/>
          <w:color w:val="auto"/>
          <w:spacing w:val="0"/>
          <w:w w:val="100"/>
          <w:sz w:val="28"/>
          <w:szCs w:val="28"/>
          <w:highlight w:val="none"/>
          <w:lang w:val="en-US" w:eastAsia="zh-CN"/>
        </w:rPr>
        <w:br w:type="page"/>
      </w:r>
    </w:p>
    <w:bookmarkEnd w:id="1611"/>
    <w:bookmarkEnd w:id="1612"/>
    <w:bookmarkEnd w:id="1613"/>
    <w:p>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center"/>
        <w:textAlignment w:val="baseline"/>
        <w:outlineLvl w:val="1"/>
        <w:rPr>
          <w:rFonts w:hint="eastAsia" w:ascii="宋体" w:hAnsi="宋体" w:eastAsia="宋体" w:cs="宋体"/>
          <w:b/>
          <w:bCs/>
          <w:i w:val="0"/>
          <w:caps w:val="0"/>
          <w:color w:val="auto"/>
          <w:spacing w:val="0"/>
          <w:w w:val="100"/>
          <w:kern w:val="2"/>
          <w:sz w:val="28"/>
          <w:szCs w:val="28"/>
          <w:highlight w:val="none"/>
          <w:lang w:val="en-US" w:eastAsia="zh-CN" w:bidi="ar-SA"/>
        </w:rPr>
      </w:pPr>
      <w:bookmarkStart w:id="1614" w:name="_Toc23450"/>
      <w:r>
        <w:rPr>
          <w:rFonts w:hint="eastAsia" w:ascii="宋体" w:hAnsi="宋体" w:eastAsia="宋体" w:cs="宋体"/>
          <w:b/>
          <w:bCs/>
          <w:i w:val="0"/>
          <w:caps w:val="0"/>
          <w:color w:val="auto"/>
          <w:spacing w:val="0"/>
          <w:w w:val="100"/>
          <w:kern w:val="2"/>
          <w:sz w:val="28"/>
          <w:szCs w:val="28"/>
          <w:highlight w:val="none"/>
          <w:lang w:val="en-US" w:eastAsia="zh-CN" w:bidi="ar-SA"/>
        </w:rPr>
        <w:t>第二包：1.5T核磁设备（国产）</w:t>
      </w:r>
      <w:bookmarkEnd w:id="1614"/>
    </w:p>
    <w:tbl>
      <w:tblPr>
        <w:tblStyle w:val="25"/>
        <w:tblW w:w="4998" w:type="pct"/>
        <w:jc w:val="center"/>
        <w:tblLayout w:type="autofit"/>
        <w:tblCellMar>
          <w:top w:w="0" w:type="dxa"/>
          <w:left w:w="108" w:type="dxa"/>
          <w:bottom w:w="0" w:type="dxa"/>
          <w:right w:w="108" w:type="dxa"/>
        </w:tblCellMar>
      </w:tblPr>
      <w:tblGrid>
        <w:gridCol w:w="749"/>
        <w:gridCol w:w="2290"/>
        <w:gridCol w:w="1582"/>
        <w:gridCol w:w="1823"/>
        <w:gridCol w:w="2048"/>
      </w:tblGrid>
      <w:tr>
        <w:tblPrEx>
          <w:tblCellMar>
            <w:top w:w="0" w:type="dxa"/>
            <w:left w:w="108" w:type="dxa"/>
            <w:bottom w:w="0" w:type="dxa"/>
            <w:right w:w="108" w:type="dxa"/>
          </w:tblCellMar>
        </w:tblPrEx>
        <w:trPr>
          <w:trHeight w:val="629" w:hRule="atLeast"/>
          <w:jc w:val="center"/>
        </w:trPr>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348"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控制价（万元）</w:t>
            </w:r>
          </w:p>
        </w:tc>
        <w:tc>
          <w:tcPr>
            <w:tcW w:w="1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国别</w:t>
            </w:r>
          </w:p>
        </w:tc>
      </w:tr>
      <w:tr>
        <w:tblPrEx>
          <w:tblCellMar>
            <w:top w:w="0" w:type="dxa"/>
            <w:left w:w="108" w:type="dxa"/>
            <w:bottom w:w="0" w:type="dxa"/>
            <w:right w:w="108" w:type="dxa"/>
          </w:tblCellMar>
        </w:tblPrEx>
        <w:trPr>
          <w:trHeight w:val="594" w:hRule="atLeast"/>
          <w:jc w:val="center"/>
        </w:trPr>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1</w:t>
            </w:r>
          </w:p>
        </w:tc>
        <w:tc>
          <w:tcPr>
            <w:tcW w:w="1348"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suppressLineNumbers w:val="0"/>
              <w:kinsoku/>
              <w:wordWrap/>
              <w:overflowPunct/>
              <w:topLinePunct w:val="0"/>
              <w:bidi w:val="0"/>
              <w:snapToGrid/>
              <w:spacing w:line="440" w:lineRule="exact"/>
              <w:ind w:left="0" w:firstLine="0" w:firstLineChars="0"/>
              <w:jc w:val="center"/>
              <w:textAlignment w:val="center"/>
              <w:rPr>
                <w:rFonts w:hint="eastAsia" w:ascii="宋体" w:hAnsi="宋体" w:eastAsia="宋体" w:cs="宋体"/>
                <w:b/>
                <w:bCs/>
                <w:i w:val="0"/>
                <w:iCs w:val="0"/>
                <w:color w:val="auto"/>
                <w:kern w:val="2"/>
                <w:sz w:val="24"/>
                <w:szCs w:val="24"/>
                <w:highlight w:val="none"/>
                <w:u w:val="none"/>
                <w:lang w:val="en-US" w:eastAsia="zh-CN" w:bidi="ar-SA"/>
              </w:rPr>
            </w:pPr>
            <w:r>
              <w:rPr>
                <w:rFonts w:hint="eastAsia" w:ascii="宋体" w:hAnsi="宋体" w:eastAsia="宋体" w:cs="宋体"/>
                <w:b/>
                <w:bCs/>
                <w:i w:val="0"/>
                <w:iCs w:val="0"/>
                <w:color w:val="auto"/>
                <w:kern w:val="2"/>
                <w:sz w:val="24"/>
                <w:szCs w:val="24"/>
                <w:highlight w:val="none"/>
                <w:u w:val="none"/>
                <w:lang w:val="en-US" w:eastAsia="zh-CN" w:bidi="ar-SA"/>
              </w:rPr>
              <w:t>1.5T核磁设备</w:t>
            </w:r>
          </w:p>
        </w:tc>
        <w:tc>
          <w:tcPr>
            <w:tcW w:w="931" w:type="pct"/>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firstLine="0" w:firstLineChars="0"/>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1</w:t>
            </w:r>
            <w:r>
              <w:rPr>
                <w:rFonts w:hint="eastAsia" w:ascii="宋体" w:hAnsi="宋体" w:eastAsia="宋体" w:cs="宋体"/>
                <w:b/>
                <w:bCs/>
                <w:color w:val="auto"/>
                <w:kern w:val="0"/>
                <w:sz w:val="24"/>
                <w:szCs w:val="24"/>
                <w:highlight w:val="none"/>
                <w:lang w:val="en-US" w:eastAsia="zh-CN"/>
              </w:rPr>
              <w:t>套</w:t>
            </w:r>
          </w:p>
        </w:tc>
        <w:tc>
          <w:tcPr>
            <w:tcW w:w="10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440" w:lineRule="exact"/>
              <w:ind w:left="0" w:firstLine="0" w:firstLineChars="0"/>
              <w:jc w:val="center"/>
              <w:textAlignment w:val="center"/>
              <w:rPr>
                <w:rFonts w:hint="default" w:ascii="宋体" w:hAnsi="宋体" w:eastAsia="宋体" w:cs="宋体"/>
                <w:b/>
                <w:bCs/>
                <w:i w:val="0"/>
                <w:iCs w:val="0"/>
                <w:color w:val="auto"/>
                <w:kern w:val="2"/>
                <w:sz w:val="24"/>
                <w:szCs w:val="24"/>
                <w:highlight w:val="none"/>
                <w:u w:val="none"/>
                <w:lang w:val="en-US" w:eastAsia="zh-CN" w:bidi="ar-SA"/>
              </w:rPr>
            </w:pPr>
            <w:r>
              <w:rPr>
                <w:rFonts w:hint="eastAsia" w:ascii="宋体" w:hAnsi="宋体" w:cs="宋体"/>
                <w:b/>
                <w:bCs/>
                <w:i w:val="0"/>
                <w:iCs w:val="0"/>
                <w:color w:val="auto"/>
                <w:kern w:val="2"/>
                <w:sz w:val="24"/>
                <w:szCs w:val="24"/>
                <w:highlight w:val="none"/>
                <w:u w:val="none"/>
                <w:lang w:val="en-US" w:eastAsia="zh-CN" w:bidi="ar-SA"/>
              </w:rPr>
              <w:t>1200</w:t>
            </w:r>
          </w:p>
        </w:tc>
        <w:tc>
          <w:tcPr>
            <w:tcW w:w="120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bidi w:val="0"/>
              <w:snapToGrid/>
              <w:spacing w:line="440" w:lineRule="exact"/>
              <w:ind w:left="0" w:firstLine="0" w:firstLineChars="0"/>
              <w:jc w:val="center"/>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国产</w:t>
            </w:r>
          </w:p>
        </w:tc>
      </w:tr>
    </w:tbl>
    <w:p>
      <w:pPr>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0" w:firstLineChars="0"/>
        <w:jc w:val="center"/>
        <w:textAlignment w:val="baseline"/>
        <w:outlineLvl w:val="9"/>
        <w:rPr>
          <w:rFonts w:hint="eastAsia" w:ascii="宋体" w:hAnsi="宋体" w:eastAsia="宋体" w:cs="宋体"/>
          <w:b/>
          <w:bCs/>
          <w:i w:val="0"/>
          <w:caps w:val="0"/>
          <w:color w:val="auto"/>
          <w:spacing w:val="0"/>
          <w:w w:val="100"/>
          <w:kern w:val="2"/>
          <w:sz w:val="28"/>
          <w:szCs w:val="28"/>
          <w:highlight w:val="none"/>
          <w:lang w:val="en-US" w:eastAsia="zh-CN" w:bidi="ar-SA"/>
        </w:rPr>
      </w:pP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76"/>
        <w:gridCol w:w="3116"/>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aps/>
                <w:sz w:val="24"/>
                <w:szCs w:val="24"/>
              </w:rPr>
            </w:pPr>
            <w:r>
              <w:rPr>
                <w:rFonts w:hint="eastAsia" w:ascii="宋体" w:hAnsi="宋体" w:eastAsia="宋体" w:cs="宋体"/>
                <w:b/>
                <w:caps/>
                <w:sz w:val="24"/>
                <w:szCs w:val="24"/>
              </w:rPr>
              <w:t>序号</w:t>
            </w:r>
          </w:p>
        </w:tc>
        <w:tc>
          <w:tcPr>
            <w:tcW w:w="4307" w:type="pct"/>
            <w:gridSpan w:val="2"/>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aps/>
                <w:sz w:val="24"/>
                <w:szCs w:val="24"/>
              </w:rPr>
            </w:pPr>
            <w:r>
              <w:rPr>
                <w:rFonts w:hint="eastAsia" w:ascii="宋体" w:hAnsi="宋体" w:eastAsia="宋体" w:cs="宋体"/>
                <w:b/>
                <w:color w:val="000000"/>
                <w:kern w:val="2"/>
                <w:sz w:val="24"/>
                <w:szCs w:val="24"/>
                <w:lang w:val="en-US" w:eastAsia="zh-CN" w:bidi="ar-SA"/>
              </w:rPr>
              <w:t>技术规格及招标要求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aps/>
                <w:sz w:val="24"/>
                <w:szCs w:val="24"/>
                <w:lang w:eastAsia="zh-CN"/>
              </w:rPr>
            </w:pPr>
            <w:r>
              <w:rPr>
                <w:rFonts w:hint="eastAsia" w:ascii="宋体" w:hAnsi="宋体" w:eastAsia="宋体" w:cs="宋体"/>
                <w:b/>
                <w:caps/>
                <w:sz w:val="24"/>
                <w:szCs w:val="24"/>
              </w:rPr>
              <w:t>1</w:t>
            </w:r>
            <w:r>
              <w:rPr>
                <w:rFonts w:hint="eastAsia" w:ascii="宋体" w:hAnsi="宋体" w:eastAsia="宋体" w:cs="宋体"/>
                <w:b/>
                <w:caps/>
                <w:sz w:val="24"/>
                <w:szCs w:val="24"/>
                <w:lang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aps/>
                <w:sz w:val="24"/>
                <w:szCs w:val="24"/>
              </w:rPr>
            </w:pPr>
            <w:r>
              <w:rPr>
                <w:rFonts w:hint="eastAsia" w:ascii="宋体" w:hAnsi="宋体" w:eastAsia="宋体" w:cs="宋体"/>
                <w:b/>
                <w:caps/>
                <w:sz w:val="24"/>
                <w:szCs w:val="24"/>
              </w:rPr>
              <w:t>总体要求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val="0"/>
                <w:bCs/>
                <w:sz w:val="24"/>
                <w:szCs w:val="24"/>
                <w:u w:val="none"/>
              </w:rPr>
              <w:t>1.1</w:t>
            </w:r>
          </w:p>
        </w:tc>
        <w:tc>
          <w:tcPr>
            <w:tcW w:w="4307" w:type="pct"/>
            <w:gridSpan w:val="2"/>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rPr>
              <w:t>为保证技术的先进性，投标机型为各公司已获得</w:t>
            </w:r>
            <w:r>
              <w:rPr>
                <w:rFonts w:hint="eastAsia" w:ascii="宋体" w:hAnsi="宋体" w:eastAsia="宋体" w:cs="宋体"/>
                <w:sz w:val="24"/>
                <w:szCs w:val="24"/>
                <w:lang w:val="en-US" w:eastAsia="zh-CN"/>
              </w:rPr>
              <w:t>NMPA</w:t>
            </w:r>
            <w:r>
              <w:rPr>
                <w:rFonts w:hint="eastAsia" w:ascii="宋体" w:hAnsi="宋体" w:eastAsia="宋体" w:cs="宋体"/>
                <w:sz w:val="24"/>
                <w:szCs w:val="24"/>
              </w:rPr>
              <w:t>的最高端1.5T磁共振机型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b/>
                <w:sz w:val="24"/>
                <w:szCs w:val="24"/>
              </w:rPr>
              <w:t>2</w:t>
            </w:r>
            <w:r>
              <w:rPr>
                <w:rFonts w:hint="eastAsia" w:ascii="宋体" w:hAnsi="宋体" w:eastAsia="宋体" w:cs="宋体"/>
                <w:b/>
                <w:sz w:val="24"/>
                <w:szCs w:val="24"/>
                <w:lang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磁体系统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磁体类型</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超导磁体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磁场强度</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屏蔽方式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主动屏蔽+抗外界电磁干扰屏蔽技术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匀场方式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主动+被动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动态匀场或高级高序匀场</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线性匀场时间</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≤0.1ms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5高斯线范围</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2.7.1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轴向</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≤4.0m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2.7.2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径向</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≤2.4m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磁场稳定度</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≤0.1ppm/h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磁场均匀度（请提供原版DATASHEET证明）</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注明测试方式和标准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2.9.1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10cm DSV</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≤0.008ppm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2.9.2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20cm DSV</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≤0.034ppm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2.9.3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30cm DSV</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≤0.10ppm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2.9.4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40cm DSV</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≤0.37ppm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2.9.5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45cm DSV</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≤0.9ppm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2.9.6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50cm DSV</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≤1.7ppm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2.10</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磁体重量（包括液氦）</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3500</w:t>
            </w:r>
            <w:r>
              <w:rPr>
                <w:rFonts w:hint="eastAsia" w:ascii="宋体" w:hAnsi="宋体" w:eastAsia="宋体" w:cs="宋体"/>
                <w:sz w:val="24"/>
                <w:szCs w:val="24"/>
                <w:lang w:eastAsia="zh-CN"/>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2.11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FF0000"/>
                <w:sz w:val="24"/>
                <w:szCs w:val="24"/>
              </w:rPr>
            </w:pPr>
            <w:r>
              <w:rPr>
                <w:rFonts w:hint="eastAsia" w:ascii="宋体" w:hAnsi="宋体" w:eastAsia="宋体" w:cs="宋体"/>
                <w:sz w:val="24"/>
                <w:szCs w:val="24"/>
              </w:rPr>
              <w:t>液氦消耗率</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≤0L/hr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sz w:val="24"/>
                <w:szCs w:val="24"/>
              </w:rPr>
              <w:t>*</w:t>
            </w:r>
            <w:r>
              <w:rPr>
                <w:rFonts w:hint="eastAsia" w:ascii="宋体" w:hAnsi="宋体" w:eastAsia="宋体" w:cs="宋体"/>
                <w:color w:val="000000"/>
                <w:sz w:val="24"/>
                <w:szCs w:val="24"/>
              </w:rPr>
              <w:t>2.12.1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液氦容量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2.12.2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使用期间无条件保障核磁液氦</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2.13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磁体内孔径</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2.14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提供磁体+检查室安全装置</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2.15</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磁体长度（不含外壳）</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sz w:val="24"/>
                <w:szCs w:val="24"/>
              </w:rPr>
              <w:t>≤162cm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7"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2.16</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无需失超管设计</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ascii="宋体" w:hAnsi="宋体" w:eastAsia="宋体" w:cs="宋体"/>
                <w:b/>
                <w:sz w:val="24"/>
                <w:szCs w:val="24"/>
                <w:lang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梯度系统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lang w:val="en-US" w:eastAsia="zh-CN"/>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 xml:space="preserve">最大梯度场强 </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≥33mT/m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lang w:val="en-US" w:eastAsia="zh-CN"/>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最大梯度切换率（非有效值）</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rPr>
              <w:t xml:space="preserve">≥120T/m/s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最短爬升时间</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≤0.275m</w:t>
            </w:r>
            <w:r>
              <w:rPr>
                <w:rFonts w:hint="eastAsia" w:ascii="宋体" w:hAnsi="宋体" w:eastAsia="宋体" w:cs="宋体"/>
                <w:b/>
                <w:sz w:val="24"/>
                <w:szCs w:val="24"/>
              </w:rPr>
              <w:t>s</w:t>
            </w:r>
            <w:r>
              <w:rPr>
                <w:rFonts w:hint="eastAsia" w:ascii="宋体" w:hAnsi="宋体" w:eastAsia="宋体" w:cs="宋体"/>
                <w:b/>
                <w:i/>
                <w:sz w:val="24"/>
                <w:szCs w:val="24"/>
              </w:rPr>
              <w:t xml:space="preserve"> </w:t>
            </w:r>
            <w:r>
              <w:rPr>
                <w:rFonts w:hint="eastAsia" w:ascii="宋体" w:hAnsi="宋体" w:eastAsia="宋体" w:cs="宋体"/>
                <w:sz w:val="24"/>
                <w:szCs w:val="24"/>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梯度工作方式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非共振式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具备硬件、软件降噪技术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梯度冷却</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水冷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梯度控制技术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全数字实时发射接收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工作周期</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9</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梯度降噪技术</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4.</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b/>
                <w:sz w:val="24"/>
                <w:szCs w:val="24"/>
              </w:rPr>
              <w:t>射频系统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9"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1</w:t>
            </w:r>
          </w:p>
        </w:tc>
        <w:tc>
          <w:tcPr>
            <w:tcW w:w="1834"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射频类型</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全数字实时控制系统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3"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射频发射功率</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≥18KW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3"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射频发射带宽</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≥720kHz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8"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独立射频采集通道数</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48或无限通道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p>
        </w:tc>
        <w:tc>
          <w:tcPr>
            <w:tcW w:w="1834"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用户可调节接收带宽技术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7"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并行采集技术平台</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5.</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 xml:space="preserve">射频接收线圈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所有线圈免调谐</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1"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5.2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所有线圈均有前置放大器</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5.3</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5.3.1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全神经线圈</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具备，≥30单元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5.3.2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头颈联合线圈</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具备，≥20单元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5.3.3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全脊柱线圈</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具备，≥18单元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5.3.4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体部大范围线圈</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具备，≥26单元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5.3.5</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膝关节专用线圈</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具备，≥16单元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1"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5.3.6</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乳腺专用线圈</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rPr>
            </w:pPr>
            <w:r>
              <w:rPr>
                <w:rFonts w:hint="eastAsia" w:ascii="宋体" w:hAnsi="宋体" w:eastAsia="宋体" w:cs="宋体"/>
                <w:sz w:val="24"/>
                <w:szCs w:val="24"/>
                <w:lang w:val="en-US" w:eastAsia="zh-CN"/>
              </w:rPr>
              <w:t>5.3.7</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多功能柔性线圈大、小各1个</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6"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5.3.8</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肩关节线圈</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6.</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计算机系统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CPU</w:t>
            </w:r>
            <w:r>
              <w:rPr>
                <w:rFonts w:hint="eastAsia" w:ascii="宋体" w:hAnsi="宋体" w:eastAsia="宋体" w:cs="宋体"/>
                <w:sz w:val="24"/>
                <w:szCs w:val="24"/>
                <w:lang w:val="en-US" w:eastAsia="zh-CN"/>
              </w:rPr>
              <w:t>主频</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主</w:t>
            </w:r>
            <w:r>
              <w:rPr>
                <w:rFonts w:hint="eastAsia" w:ascii="宋体" w:hAnsi="宋体" w:eastAsia="宋体" w:cs="宋体"/>
                <w:sz w:val="24"/>
                <w:szCs w:val="24"/>
              </w:rPr>
              <w:t>内存</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32</w:t>
            </w:r>
            <w:r>
              <w:rPr>
                <w:rFonts w:hint="eastAsia" w:ascii="宋体" w:hAnsi="宋体" w:eastAsia="宋体" w:cs="宋体"/>
                <w:sz w:val="24"/>
                <w:szCs w:val="24"/>
              </w:rPr>
              <w:t xml:space="preserve">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US" w:eastAsia="zh-CN"/>
              </w:rPr>
              <w:t>6.3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硬盘容量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GB"/>
              </w:rPr>
              <w:t>≥</w:t>
            </w:r>
            <w:r>
              <w:rPr>
                <w:rFonts w:hint="eastAsia" w:ascii="宋体" w:hAnsi="宋体" w:eastAsia="宋体" w:cs="宋体"/>
                <w:sz w:val="24"/>
                <w:szCs w:val="24"/>
                <w:lang w:val="en-US" w:eastAsia="zh-CN"/>
              </w:rPr>
              <w:t>512</w:t>
            </w:r>
            <w:r>
              <w:rPr>
                <w:rFonts w:hint="eastAsia" w:ascii="宋体" w:hAnsi="宋体" w:eastAsia="宋体" w:cs="宋体"/>
                <w:sz w:val="24"/>
                <w:szCs w:val="24"/>
              </w:rPr>
              <w:t>GB</w:t>
            </w:r>
            <w:r>
              <w:rPr>
                <w:rFonts w:hint="eastAsia" w:ascii="宋体" w:hAnsi="宋体" w:eastAsia="宋体" w:cs="宋体"/>
                <w:sz w:val="24"/>
                <w:szCs w:val="24"/>
                <w:lang w:val="en-US" w:eastAsia="zh-CN"/>
              </w:rPr>
              <w:t>固态</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图像存储数</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napToGrid w:val="0"/>
                <w:sz w:val="24"/>
                <w:szCs w:val="24"/>
                <w:lang w:val="de-DE"/>
              </w:rPr>
              <w:t>≥</w:t>
            </w:r>
            <w:r>
              <w:rPr>
                <w:rFonts w:hint="eastAsia" w:ascii="宋体" w:hAnsi="宋体" w:eastAsia="宋体" w:cs="宋体"/>
                <w:snapToGrid w:val="0"/>
                <w:sz w:val="24"/>
                <w:szCs w:val="24"/>
                <w:lang w:val="en-US" w:eastAsia="zh-CN"/>
              </w:rPr>
              <w:t>60</w:t>
            </w:r>
            <w:r>
              <w:rPr>
                <w:rFonts w:hint="eastAsia" w:ascii="宋体" w:hAnsi="宋体" w:eastAsia="宋体" w:cs="宋体"/>
                <w:snapToGrid w:val="0"/>
                <w:sz w:val="24"/>
                <w:szCs w:val="24"/>
                <w:lang w:val="de-DE"/>
              </w:rPr>
              <w:t>0,000幅(256X256)</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计算机显示器</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rPr>
              <w:t>23英寸彩色高分辨率液晶显示器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显示器分辨率</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sz w:val="24"/>
                <w:szCs w:val="24"/>
                <w:lang w:val="en-GB"/>
              </w:rPr>
              <w:t>≥19</w:t>
            </w:r>
            <w:r>
              <w:rPr>
                <w:rFonts w:hint="eastAsia" w:ascii="宋体" w:hAnsi="宋体" w:eastAsia="宋体" w:cs="宋体"/>
                <w:sz w:val="24"/>
                <w:szCs w:val="24"/>
                <w:lang w:val="en-US" w:eastAsia="zh-CN"/>
              </w:rPr>
              <w:t>2</w:t>
            </w:r>
            <w:r>
              <w:rPr>
                <w:rFonts w:hint="eastAsia" w:ascii="宋体" w:hAnsi="宋体" w:eastAsia="宋体" w:cs="宋体"/>
                <w:sz w:val="24"/>
                <w:szCs w:val="24"/>
                <w:lang w:val="en-GB"/>
              </w:rPr>
              <w:t>0x 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DICOM3.0接口</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具备软硬件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6.7.1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DICOM发送/接收</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具备软硬件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6.7.2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DICOM查询/检索</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具备软硬件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6.7.3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DICOM基本打印</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具备软硬件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6.7.4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DICOM病人登记网络</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具备软硬件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GB"/>
              </w:rPr>
              <w:t>图像重建处理器</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处理器内存</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32</w:t>
            </w:r>
            <w:r>
              <w:rPr>
                <w:rFonts w:hint="eastAsia" w:ascii="宋体" w:hAnsi="宋体" w:eastAsia="宋体" w:cs="宋体"/>
                <w:sz w:val="24"/>
                <w:szCs w:val="24"/>
              </w:rPr>
              <w:t xml:space="preserve">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10</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图像重建速度</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lang w:val="de-DE"/>
              </w:rPr>
            </w:pPr>
            <w:r>
              <w:rPr>
                <w:rFonts w:hint="eastAsia" w:ascii="宋体" w:hAnsi="宋体" w:eastAsia="宋体" w:cs="宋体"/>
                <w:snapToGrid w:val="0"/>
                <w:sz w:val="24"/>
                <w:szCs w:val="24"/>
                <w:lang w:val="de-DE"/>
              </w:rPr>
              <w:t>≥</w:t>
            </w:r>
            <w:r>
              <w:rPr>
                <w:rFonts w:hint="eastAsia" w:ascii="宋体" w:hAnsi="宋体" w:eastAsia="宋体" w:cs="宋体"/>
                <w:snapToGrid w:val="0"/>
                <w:sz w:val="24"/>
                <w:szCs w:val="24"/>
                <w:lang w:val="en-US" w:eastAsia="zh-CN"/>
              </w:rPr>
              <w:t>100,000</w:t>
            </w:r>
            <w:r>
              <w:rPr>
                <w:rFonts w:hint="eastAsia" w:ascii="宋体" w:hAnsi="宋体" w:eastAsia="宋体" w:cs="宋体"/>
                <w:snapToGrid w:val="0"/>
                <w:sz w:val="24"/>
                <w:szCs w:val="24"/>
                <w:lang w:val="de-DE"/>
              </w:rPr>
              <w:t xml:space="preserve">幅/秒 </w:t>
            </w:r>
          </w:p>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napToGrid w:val="0"/>
                <w:sz w:val="24"/>
                <w:szCs w:val="24"/>
                <w:lang w:val="de-DE"/>
              </w:rPr>
              <w:t>(256x256矩阵，</w:t>
            </w:r>
            <w:r>
              <w:rPr>
                <w:rFonts w:hint="eastAsia" w:ascii="宋体" w:hAnsi="宋体" w:eastAsia="宋体" w:cs="宋体"/>
                <w:snapToGrid w:val="0"/>
                <w:sz w:val="24"/>
                <w:szCs w:val="24"/>
                <w:lang w:val="en-US" w:eastAsia="zh-CN"/>
              </w:rPr>
              <w:t>100%</w:t>
            </w:r>
            <w:r>
              <w:rPr>
                <w:rFonts w:hint="eastAsia" w:ascii="宋体" w:hAnsi="宋体" w:eastAsia="宋体" w:cs="宋体"/>
                <w:snapToGrid w:val="0"/>
                <w:sz w:val="24"/>
                <w:szCs w:val="24"/>
                <w:lang w:val="de-DE"/>
              </w:rPr>
              <w:t>FOV)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lang w:val="en-US" w:eastAsia="zh-CN"/>
              </w:rPr>
            </w:pPr>
            <w:r>
              <w:rPr>
                <w:rFonts w:hint="eastAsia" w:ascii="宋体" w:hAnsi="宋体" w:eastAsia="宋体" w:cs="宋体"/>
                <w:b/>
                <w:sz w:val="24"/>
                <w:szCs w:val="24"/>
              </w:rPr>
              <w:t>7</w:t>
            </w:r>
            <w:r>
              <w:rPr>
                <w:rFonts w:hint="eastAsia" w:ascii="宋体" w:hAnsi="宋体" w:eastAsia="宋体" w:cs="宋体"/>
                <w:b/>
                <w:sz w:val="24"/>
                <w:szCs w:val="24"/>
                <w:lang w:val="en-US"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检查环境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高档固定式电动扫描床最大承重（垂直以及水平移动时） </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高档固定式电动扫描床移动精度</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≤0.75mm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照明、通风、双向通话 </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高档固定式电动最低床位</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60</w:t>
            </w:r>
            <w:r>
              <w:rPr>
                <w:rFonts w:hint="eastAsia" w:ascii="宋体" w:hAnsi="宋体" w:eastAsia="宋体" w:cs="宋体"/>
                <w:sz w:val="24"/>
                <w:szCs w:val="24"/>
                <w:lang w:eastAsia="zh-CN"/>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高档固定式电动检查床最大床速</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en-GB"/>
              </w:rPr>
              <w:t>≥</w:t>
            </w:r>
            <w:r>
              <w:rPr>
                <w:rFonts w:hint="eastAsia" w:ascii="宋体" w:hAnsi="宋体" w:eastAsia="宋体" w:cs="宋体"/>
                <w:sz w:val="24"/>
                <w:szCs w:val="24"/>
              </w:rPr>
              <w:t>32</w:t>
            </w:r>
            <w:r>
              <w:rPr>
                <w:rFonts w:hint="eastAsia" w:ascii="宋体" w:hAnsi="宋体" w:eastAsia="宋体" w:cs="宋体"/>
                <w:sz w:val="24"/>
                <w:szCs w:val="24"/>
                <w:lang w:val="en-US" w:eastAsia="zh-CN"/>
              </w:rPr>
              <w:t>0</w:t>
            </w:r>
            <w:r>
              <w:rPr>
                <w:rFonts w:hint="eastAsia" w:ascii="宋体" w:hAnsi="宋体" w:eastAsia="宋体" w:cs="宋体"/>
                <w:sz w:val="24"/>
                <w:szCs w:val="24"/>
              </w:rPr>
              <w:t>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床面最大水平移动范围</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rPr>
              <w:t>≥27</w:t>
            </w:r>
            <w:r>
              <w:rPr>
                <w:rFonts w:hint="eastAsia" w:ascii="宋体" w:hAnsi="宋体" w:eastAsia="宋体" w:cs="宋体"/>
                <w:sz w:val="24"/>
                <w:szCs w:val="24"/>
                <w:lang w:val="en-US" w:eastAsia="zh-CN"/>
              </w:rPr>
              <w:t>0</w:t>
            </w:r>
            <w:r>
              <w:rPr>
                <w:rFonts w:hint="eastAsia" w:ascii="宋体" w:hAnsi="宋体" w:eastAsia="宋体" w:cs="宋体"/>
                <w:sz w:val="24"/>
                <w:szCs w:val="24"/>
              </w:rPr>
              <w:t>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高档固定式电动扫描床 </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7.8</w:t>
            </w:r>
          </w:p>
        </w:tc>
        <w:tc>
          <w:tcPr>
            <w:tcW w:w="1834"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患者专用防磁耳机、呼叫按钮</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生理信号显示</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7.10</w:t>
            </w:r>
          </w:p>
        </w:tc>
        <w:tc>
          <w:tcPr>
            <w:tcW w:w="1834"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紧急制动系统</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7.11</w:t>
            </w:r>
          </w:p>
        </w:tc>
        <w:tc>
          <w:tcPr>
            <w:tcW w:w="1834"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bookmarkStart w:id="1615" w:name="OLE_LINK3"/>
            <w:bookmarkStart w:id="1616" w:name="OLE_LINK2"/>
            <w:r>
              <w:rPr>
                <w:rFonts w:hint="eastAsia" w:ascii="宋体" w:hAnsi="宋体" w:eastAsia="宋体" w:cs="宋体"/>
                <w:sz w:val="24"/>
                <w:szCs w:val="24"/>
              </w:rPr>
              <w:t>无线触发</w:t>
            </w:r>
            <w:bookmarkEnd w:id="1615"/>
            <w:bookmarkEnd w:id="1616"/>
            <w:r>
              <w:rPr>
                <w:rFonts w:hint="eastAsia" w:ascii="宋体" w:hAnsi="宋体" w:eastAsia="宋体" w:cs="宋体"/>
                <w:sz w:val="24"/>
                <w:szCs w:val="24"/>
              </w:rPr>
              <w:t>心电门控</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7.12</w:t>
            </w:r>
          </w:p>
        </w:tc>
        <w:tc>
          <w:tcPr>
            <w:tcW w:w="1834"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无线触发呼吸门控</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7.13</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无线触发外周门控</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lang w:val="en-US" w:eastAsia="zh-CN"/>
              </w:rPr>
            </w:pPr>
            <w:r>
              <w:rPr>
                <w:rFonts w:hint="eastAsia" w:ascii="宋体" w:hAnsi="宋体" w:eastAsia="宋体" w:cs="宋体"/>
                <w:b/>
                <w:sz w:val="24"/>
                <w:szCs w:val="24"/>
              </w:rPr>
              <w:t>8</w:t>
            </w:r>
            <w:r>
              <w:rPr>
                <w:rFonts w:hint="eastAsia" w:ascii="宋体" w:hAnsi="宋体" w:eastAsia="宋体" w:cs="宋体"/>
                <w:b/>
                <w:sz w:val="24"/>
                <w:szCs w:val="24"/>
                <w:lang w:val="en-US"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后处理接口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软件控制照相</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激光相机接口</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远程维修遥控 远程会诊接口</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DICOM发送/接收</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DICOM查询/检索</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DICOM基本打印</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DICOM病人登记网络</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8.8</w:t>
            </w:r>
          </w:p>
        </w:tc>
        <w:tc>
          <w:tcPr>
            <w:tcW w:w="1834"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图像网络传输</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1000M 以太网连接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lang w:val="en-US" w:eastAsia="zh-CN"/>
              </w:rPr>
            </w:pPr>
            <w:r>
              <w:rPr>
                <w:rFonts w:hint="eastAsia" w:ascii="宋体" w:hAnsi="宋体" w:eastAsia="宋体" w:cs="宋体"/>
                <w:b/>
                <w:sz w:val="24"/>
                <w:szCs w:val="24"/>
              </w:rPr>
              <w:t>9</w:t>
            </w:r>
            <w:r>
              <w:rPr>
                <w:rFonts w:hint="eastAsia" w:ascii="宋体" w:hAnsi="宋体" w:eastAsia="宋体" w:cs="宋体"/>
                <w:b/>
                <w:sz w:val="24"/>
                <w:szCs w:val="24"/>
                <w:lang w:val="en-US"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扫描参数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最大扫描视野</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≥55cm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最小扫描视野</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≤0.5cm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最小2D层厚</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≤0.5mm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最小3D层厚</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≤0.05mm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最大采集矩阵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de-DE"/>
              </w:rPr>
              <w:t>≥</w:t>
            </w:r>
            <w:r>
              <w:rPr>
                <w:rFonts w:hint="eastAsia" w:ascii="宋体" w:hAnsi="宋体" w:eastAsia="宋体" w:cs="宋体"/>
                <w:sz w:val="24"/>
                <w:szCs w:val="24"/>
              </w:rPr>
              <w:t>1024×1024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弥散加权B值</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TSE最小回波间隔（256矩阵）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de-DE"/>
              </w:rPr>
              <w:t>≤2.4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TSE最小回波间隔（128矩阵）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≤1.9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 梯度回波最短TR时间       (256矩阵)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≤1.3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9.10</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 梯度回波最短TE时间       (256矩阵)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≤0.5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9.11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3D 梯度回波最短TR时间       (256矩阵)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≤1.2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9.12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3D 梯度回波最短TE时间       (256矩阵)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≤0.46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9.13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 梯度回波最短TR时间       (128矩阵)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≤0.92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9.14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 梯度回波最短TE时间       (128矩阵)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≤0.36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9.15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3D 梯度回波最短TR时间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≤0.84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9.16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3D 梯度回波最短TE时间       (128矩阵)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≤0.31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9.17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EPI最短TR时间（64矩阵）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de-DE"/>
              </w:rPr>
              <w:t>≤2.8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9.18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EPI最短TE时间（64矩阵）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9.19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EPI最短TR时间（128矩阵）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≤3.2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9.20</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EPI最短TE时间（128矩阵）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lang w:val="de-DE"/>
              </w:rPr>
              <w:t>≤1.2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EPI最短TR时间（256矩阵）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≤4.6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EPI最短TE时间（256矩阵）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≤1.6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EPI最短回波间隔（64矩阵）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≤0.34ms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EPI最短回波间隔（128矩阵）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≤0.48ms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EPI最短回波间隔（256矩阵）</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de-DE"/>
              </w:rPr>
            </w:pPr>
            <w:r>
              <w:rPr>
                <w:rFonts w:hint="eastAsia" w:ascii="宋体" w:hAnsi="宋体" w:eastAsia="宋体" w:cs="宋体"/>
                <w:sz w:val="24"/>
                <w:szCs w:val="24"/>
                <w:lang w:val="de-DE"/>
              </w:rPr>
              <w:t>≤0.71ms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TSE最大因子</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9.27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EPI最大因子</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≥255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sz w:val="24"/>
                <w:szCs w:val="24"/>
              </w:rPr>
              <w:t>10</w:t>
            </w:r>
            <w:r>
              <w:rPr>
                <w:rFonts w:hint="eastAsia" w:ascii="宋体" w:hAnsi="宋体" w:eastAsia="宋体" w:cs="宋体"/>
                <w:b/>
                <w:sz w:val="24"/>
                <w:szCs w:val="24"/>
                <w:lang w:val="en-US"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highlight w:val="yellow"/>
              </w:rPr>
            </w:pPr>
            <w:r>
              <w:rPr>
                <w:rFonts w:hint="eastAsia" w:ascii="宋体" w:hAnsi="宋体" w:eastAsia="宋体" w:cs="宋体"/>
                <w:b/>
                <w:sz w:val="24"/>
                <w:szCs w:val="24"/>
              </w:rPr>
              <w:t>扫描序列（文字描述可能与各投标商不一致，请按相对应功能加以描述）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10.1</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自旋回波(SE)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10.1.1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自旋回波序列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10.1.2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2D/3D FSE</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10.1.3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FSE回波分享</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10.1.4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三维FSE序列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10.1.5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单次激发FSE</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10.2</w:t>
            </w:r>
            <w:r>
              <w:rPr>
                <w:rFonts w:hint="eastAsia" w:ascii="宋体" w:hAnsi="宋体" w:eastAsia="宋体" w:cs="宋体"/>
                <w:sz w:val="24"/>
                <w:szCs w:val="24"/>
              </w:rPr>
              <w:t xml:space="preserve"> </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napToGrid w:val="0"/>
                <w:sz w:val="24"/>
                <w:szCs w:val="24"/>
              </w:rPr>
            </w:pPr>
            <w:r>
              <w:rPr>
                <w:rFonts w:hint="eastAsia" w:ascii="宋体" w:hAnsi="宋体" w:eastAsia="宋体" w:cs="宋体"/>
                <w:b/>
                <w:snapToGrid w:val="0"/>
                <w:sz w:val="24"/>
                <w:szCs w:val="24"/>
              </w:rPr>
              <w:t>梯度回波序列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超快速场回波序列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9"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2D平衡式梯度回波序列(B-FFE,True-FISP, FIESTA)</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3D平衡式梯度回波序列(B-FFE,True-FISP, FIESTA)</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亚秒T1加权(2D/3D)</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亚秒T2加权(2D/3D)</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去除剩余磁化梯度回波技术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napToGrid w:val="0"/>
                <w:sz w:val="24"/>
                <w:szCs w:val="24"/>
              </w:rPr>
            </w:pPr>
            <w:r>
              <w:rPr>
                <w:rFonts w:hint="eastAsia" w:ascii="宋体" w:hAnsi="宋体" w:eastAsia="宋体" w:cs="宋体"/>
                <w:sz w:val="24"/>
                <w:szCs w:val="24"/>
              </w:rPr>
              <w:t>利用剩余磁化梯度回波技术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10.2.8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重T2 加权高对比序列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10.3</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napToGrid w:val="0"/>
                <w:sz w:val="24"/>
                <w:szCs w:val="24"/>
              </w:rPr>
              <w:t>反转恢复序列Inversion Recovery (IR)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10.3.1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常规IR序列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10.3.2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短TI  IR序列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10.3.3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长TI  IR序列 </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10.3.4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快速IR 序列 (水/脂抑制技术)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10.3.5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水抑制( FLAIR)</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10.3.6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单次激发快速反转恢复序列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10.3.7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单独灰质或白质成像技术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10.4</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napToGrid w:val="0"/>
                <w:sz w:val="24"/>
                <w:szCs w:val="24"/>
              </w:rPr>
              <w:t>TSE 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10.4.1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多次激发 TSE</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10.4.2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单次激发 TSE</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10.5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napToGrid w:val="0"/>
                <w:sz w:val="24"/>
                <w:szCs w:val="24"/>
              </w:rPr>
              <w:t>EPI序列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10.5.1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多次激发 EPI</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10.5.2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单次激发 EPI</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10.5.3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自旋回波EPI</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10.5.4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 xml:space="preserve">梯度回波 EPI  </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10.5.5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反转EPI</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10.6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napToGrid w:val="0"/>
                <w:sz w:val="24"/>
                <w:szCs w:val="24"/>
              </w:rPr>
            </w:pPr>
            <w:r>
              <w:rPr>
                <w:rFonts w:hint="eastAsia" w:ascii="宋体" w:hAnsi="宋体" w:eastAsia="宋体" w:cs="宋体"/>
                <w:b/>
                <w:snapToGrid w:val="0"/>
                <w:sz w:val="24"/>
                <w:szCs w:val="24"/>
              </w:rPr>
              <w:t>脂肪/水选择成像技术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脂肪饱和技术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脂肪抑制序列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频率脂肪抑制</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脂肪</w:t>
            </w:r>
            <w:r>
              <w:rPr>
                <w:rFonts w:hint="eastAsia" w:ascii="宋体" w:hAnsi="宋体" w:eastAsia="宋体" w:cs="宋体"/>
                <w:snapToGrid w:val="0"/>
                <w:sz w:val="24"/>
                <w:szCs w:val="24"/>
              </w:rPr>
              <w:t>激发技术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水</w:t>
            </w:r>
            <w:r>
              <w:rPr>
                <w:rFonts w:hint="eastAsia" w:ascii="宋体" w:hAnsi="宋体" w:eastAsia="宋体" w:cs="宋体"/>
                <w:sz w:val="24"/>
                <w:szCs w:val="24"/>
              </w:rPr>
              <w:t>饱和技术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水激发技术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水抑制序列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10.6.8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水/脂分离技术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ind w:left="361" w:hanging="361" w:hangingChars="150"/>
              <w:jc w:val="both"/>
              <w:rPr>
                <w:rFonts w:hint="eastAsia" w:ascii="宋体" w:hAnsi="宋体" w:eastAsia="宋体" w:cs="宋体"/>
                <w:b/>
                <w:sz w:val="24"/>
                <w:szCs w:val="24"/>
                <w:lang w:val="en-US" w:eastAsia="zh-CN"/>
              </w:rPr>
            </w:pPr>
            <w:r>
              <w:rPr>
                <w:rFonts w:hint="eastAsia" w:ascii="宋体" w:hAnsi="宋体" w:eastAsia="宋体" w:cs="宋体"/>
                <w:b/>
                <w:sz w:val="24"/>
                <w:szCs w:val="24"/>
              </w:rPr>
              <w:t>11</w:t>
            </w:r>
            <w:r>
              <w:rPr>
                <w:rFonts w:hint="eastAsia" w:ascii="宋体" w:hAnsi="宋体" w:eastAsia="宋体" w:cs="宋体"/>
                <w:b/>
                <w:sz w:val="24"/>
                <w:szCs w:val="24"/>
                <w:lang w:val="en-US"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ind w:left="361" w:hanging="361" w:hangingChars="150"/>
              <w:jc w:val="both"/>
              <w:rPr>
                <w:rFonts w:hint="eastAsia" w:ascii="宋体" w:hAnsi="宋体" w:eastAsia="宋体" w:cs="宋体"/>
                <w:b/>
                <w:sz w:val="24"/>
                <w:szCs w:val="24"/>
              </w:rPr>
            </w:pPr>
            <w:r>
              <w:rPr>
                <w:rFonts w:hint="eastAsia" w:ascii="宋体" w:hAnsi="宋体" w:eastAsia="宋体" w:cs="宋体"/>
                <w:b/>
                <w:sz w:val="24"/>
                <w:szCs w:val="24"/>
              </w:rPr>
              <w:t>高级应用技术临床高级应用软件包</w:t>
            </w:r>
          </w:p>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(包括神经成像评价组件、血管成像评价组件、体部成像评价组件、骨关节成像评价组件、肿瘤成像评价组件、儿童成像评价组件等、其他具体要求如下)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容积成像必须具备体积测量功能</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偏中心扫描技术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肩关节偏中心成像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儿童成像软件包</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11.3.1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儿童专用扫描卡片</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11.3.2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可选择低SAR值安全扫描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 xml:space="preserve">11.4 </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体部成像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11.4.1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肝脏动态增强</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具备，3D VIBE或FAME 或LAVA-XV或 e-THRIVE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11.4.2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类PET成像技术</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具备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11.4.3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水脂分离技术</w:t>
            </w:r>
          </w:p>
        </w:tc>
        <w:tc>
          <w:tcPr>
            <w:tcW w:w="2473" w:type="pct"/>
            <w:shd w:val="clear" w:color="auto" w:fill="auto"/>
            <w:noWrap w:val="0"/>
            <w:vAlign w:val="center"/>
          </w:tcPr>
          <w:p>
            <w:pPr>
              <w:pageBreakBefore w:val="0"/>
              <w:kinsoku/>
              <w:wordWrap/>
              <w:overflowPunct/>
              <w:topLinePunct w:val="0"/>
              <w:autoSpaceDE/>
              <w:autoSpaceDN/>
              <w:bidi w:val="0"/>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11.4.4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呼吸导航技术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11.4.5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磁共振胰胆管造影</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11.4.6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磁共振尿路造影</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b/>
                <w:sz w:val="24"/>
                <w:szCs w:val="24"/>
              </w:rPr>
            </w:pPr>
            <w:r>
              <w:rPr>
                <w:rFonts w:hint="eastAsia" w:ascii="宋体" w:hAnsi="宋体" w:eastAsia="宋体" w:cs="宋体"/>
                <w:b/>
                <w:sz w:val="24"/>
                <w:szCs w:val="24"/>
              </w:rPr>
              <w:t>11.5</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神经成像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11.5.1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高分辨率内耳三维成像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具备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11.5.2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高分辨率颈髓成像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sz w:val="24"/>
                <w:szCs w:val="24"/>
              </w:rPr>
              <w:t>具备，MEDIC 或 MERGE或m-FFE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11.5.3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全脊柱成像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11.5.4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sz w:val="24"/>
                <w:szCs w:val="24"/>
              </w:rPr>
              <w:t>全中枢神经系统成像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sz w:val="24"/>
                <w:szCs w:val="24"/>
              </w:rPr>
              <w:t>具备，使用一体化线圈或专用线圈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bCs/>
                <w:sz w:val="24"/>
                <w:szCs w:val="24"/>
              </w:rPr>
            </w:pPr>
            <w:r>
              <w:rPr>
                <w:rFonts w:hint="eastAsia" w:ascii="宋体" w:hAnsi="宋体" w:eastAsia="宋体" w:cs="宋体"/>
                <w:b/>
                <w:bCs/>
                <w:sz w:val="24"/>
                <w:szCs w:val="24"/>
              </w:rPr>
              <w:t>图像无缝拼接软件包</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sz w:val="24"/>
                <w:szCs w:val="24"/>
              </w:rPr>
              <w:t>具备，Composing或MobiView或MR Pasting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11.7</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弥散成像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11.7.1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实时弥散技术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具备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11.7.2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ADC值测量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11.7.3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ADC-map彩图</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11.8</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肿瘤成像软件包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11.8.1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肿瘤筛查专用扫描卡片</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11.8.2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专用肿瘤筛查序列（DWIBS、REVEAL、WB-DWI）</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11.8.3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可实现内置体线圈完成高分辨率肿瘤筛查</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11.9</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灌注成像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灌注成像技术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CBV分析</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TTP分析</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MTT分析</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负积分图</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检索图</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时间信号曲线</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11.9.8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彩色显示</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b/>
                <w:sz w:val="24"/>
                <w:szCs w:val="24"/>
              </w:rPr>
            </w:pPr>
            <w:r>
              <w:rPr>
                <w:rFonts w:hint="eastAsia" w:ascii="宋体" w:hAnsi="宋体" w:eastAsia="宋体" w:cs="宋体"/>
                <w:b/>
                <w:sz w:val="24"/>
                <w:szCs w:val="24"/>
              </w:rPr>
              <w:t>11.10</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血管成像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2D/3D TOF法技术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连续多层3D时飞法(TOF)技术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门控2D血管</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2D/3D相位对比法技术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增强对比MRA</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门静脉成像技术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磁化转移(MTC)</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最大强度投影</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多层面重建</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11.10.10</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电影回放</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11.11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心脏成像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11.11.1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常规形态学成像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11.11.2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回波分享技术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11.11.3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快速梯度回波</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11.11.4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黑血</w:t>
            </w:r>
            <w:r>
              <w:rPr>
                <w:rFonts w:hint="eastAsia" w:ascii="宋体" w:hAnsi="宋体" w:eastAsia="宋体" w:cs="宋体"/>
                <w:sz w:val="24"/>
                <w:szCs w:val="24"/>
                <w:lang w:val="en-US" w:eastAsia="zh-CN"/>
              </w:rPr>
              <w:t>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11.11.5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亮血技术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11.11.6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冠脉采集成像软件包</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11.11.7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心脏评估成像软件包</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b/>
                <w:sz w:val="24"/>
                <w:szCs w:val="24"/>
              </w:rPr>
            </w:pPr>
            <w:r>
              <w:rPr>
                <w:rFonts w:hint="eastAsia" w:ascii="宋体" w:hAnsi="宋体" w:eastAsia="宋体" w:cs="宋体"/>
                <w:b/>
                <w:sz w:val="24"/>
                <w:szCs w:val="24"/>
              </w:rPr>
              <w:t>11.12</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乳腺成像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快速动态成像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并行采集兼容</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硅特异性成像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自动后处理</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实时时间峰值图实时处理(TTP)</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实时阳性增强积分图(PEI)</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实时流入流出图</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11.12.8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双侧乳腺同时增强矢状面成像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 Syngo VIEWS 或VIBRANT-XV或BLISS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11.13</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bCs/>
                <w:snapToGrid w:val="0"/>
                <w:sz w:val="24"/>
                <w:szCs w:val="24"/>
                <w:lang w:val="de-DE"/>
              </w:rPr>
              <w:t>磁敏感性加权成像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11.13.1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z w:val="24"/>
                <w:szCs w:val="24"/>
              </w:rPr>
              <w:t>Venous BOLD或SWI技术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napToGrid w:val="0"/>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b/>
                <w:sz w:val="24"/>
                <w:szCs w:val="24"/>
              </w:rPr>
            </w:pPr>
            <w:r>
              <w:rPr>
                <w:rFonts w:hint="eastAsia" w:ascii="宋体" w:hAnsi="宋体" w:eastAsia="宋体" w:cs="宋体"/>
                <w:b/>
                <w:sz w:val="24"/>
                <w:szCs w:val="24"/>
              </w:rPr>
              <w:t>11.14</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骨关节成像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11.14.1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3D高分辨率扫描序列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具备，3D MEDIC或3D COSMIC 或3D m-FFE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11.14.2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Cs/>
                <w:sz w:val="24"/>
                <w:szCs w:val="24"/>
              </w:rPr>
              <w:t>非对称性的TSE序列</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11.15</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bCs/>
                <w:sz w:val="24"/>
                <w:szCs w:val="24"/>
              </w:rPr>
              <w:t>先进临床技术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11.15.1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超快速全脑高分辨率T2*成像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11.15.2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平衡法非造影剂增强高对比度血管成像技术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11.15.3</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多站自由选择矩阵成像技术</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11.15.4</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3D全脑不打药灌注成像技术</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lang w:val="en-US" w:eastAsia="zh-CN"/>
              </w:rPr>
            </w:pPr>
            <w:r>
              <w:rPr>
                <w:rFonts w:hint="eastAsia" w:ascii="宋体" w:hAnsi="宋体" w:eastAsia="宋体" w:cs="宋体"/>
                <w:b/>
                <w:sz w:val="24"/>
                <w:szCs w:val="24"/>
              </w:rPr>
              <w:t>12</w:t>
            </w:r>
            <w:r>
              <w:rPr>
                <w:rFonts w:hint="eastAsia" w:ascii="宋体" w:hAnsi="宋体" w:eastAsia="宋体" w:cs="宋体"/>
                <w:b/>
                <w:sz w:val="24"/>
                <w:szCs w:val="24"/>
                <w:lang w:val="en-US" w:eastAsia="zh-CN"/>
              </w:rPr>
              <w:t>.</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压缩感知技术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2D压缩感知成像技术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3D压缩感知成像技术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4D压缩感知成像技术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napToGrid w:val="0"/>
                <w:sz w:val="24"/>
                <w:szCs w:val="24"/>
              </w:rPr>
            </w:pPr>
            <w:r>
              <w:rPr>
                <w:rFonts w:hint="eastAsia" w:ascii="宋体" w:hAnsi="宋体" w:eastAsia="宋体" w:cs="宋体"/>
                <w:snapToGrid w:val="0"/>
                <w:sz w:val="24"/>
                <w:szCs w:val="24"/>
              </w:rPr>
              <w:t>压缩感知中枢成像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压缩感知体部成像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12.5.1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压缩感知脊柱成像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12.5.2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压缩感知骨肌成像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12.5.3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压缩感知血管成像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压缩感知心脏成像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adjustRightInd w:val="0"/>
              <w:spacing w:line="36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12.7</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最大加速因子</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Cs/>
                <w:sz w:val="24"/>
                <w:szCs w:val="24"/>
              </w:rPr>
            </w:pPr>
            <w:r>
              <w:rPr>
                <w:rFonts w:hint="eastAsia" w:ascii="宋体" w:hAnsi="宋体" w:eastAsia="宋体" w:cs="宋体"/>
                <w:b/>
                <w:bCs w:val="0"/>
                <w:sz w:val="24"/>
                <w:szCs w:val="24"/>
              </w:rPr>
              <w:t>13.</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bCs/>
                <w:sz w:val="24"/>
                <w:szCs w:val="24"/>
              </w:rPr>
              <w:t>伪影校正技术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13.1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流体补偿</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13.2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呼吸补偿</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13.3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全身伪影矫正技术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r>
              <w:rPr>
                <w:rFonts w:hint="eastAsia" w:ascii="宋体" w:hAnsi="宋体" w:eastAsia="宋体" w:cs="宋体"/>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13.4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消除磁敏感伪影</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13.5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卷积伪影去除</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13.</w:t>
            </w:r>
            <w:r>
              <w:rPr>
                <w:rFonts w:hint="eastAsia" w:ascii="宋体" w:hAnsi="宋体" w:eastAsia="宋体" w:cs="宋体"/>
                <w:sz w:val="24"/>
                <w:szCs w:val="24"/>
                <w:lang w:val="en-US" w:eastAsia="zh-CN"/>
              </w:rPr>
              <w:t>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Cs/>
                <w:sz w:val="24"/>
                <w:szCs w:val="24"/>
              </w:rPr>
              <w:t>运动</w:t>
            </w:r>
            <w:r>
              <w:rPr>
                <w:rFonts w:hint="eastAsia" w:ascii="宋体" w:hAnsi="宋体" w:eastAsia="宋体" w:cs="宋体"/>
                <w:sz w:val="24"/>
                <w:szCs w:val="24"/>
              </w:rPr>
              <w:t>伪影校正技术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 xml:space="preserve">具备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14.</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b/>
                <w:sz w:val="24"/>
                <w:szCs w:val="24"/>
              </w:rPr>
              <w:t xml:space="preserve">其他技术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自动和手动滤波</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实时交互式成像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任意三点定位系统</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频率编码方向扩大采集</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3"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相位编码方向扩大采集</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预饱和技术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饱和带数目</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脂肪饱和技术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水饱和技术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14.10</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水激发技术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偏中心扫描技术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可变带宽技术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可变k空间填充</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非/对称回波</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信噪比指示器</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14.17</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优化反转角技术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线圈灵敏度校正</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14.19</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神经高分辨成像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14.20</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磁共振实时定位</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14.21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磁共振实时透视</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14.22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交互式参数改变</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14.23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扫描参数顾问</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14.24</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恒定信号技术</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14.2</w:t>
            </w:r>
            <w:r>
              <w:rPr>
                <w:rFonts w:hint="eastAsia" w:ascii="宋体" w:hAnsi="宋体" w:eastAsia="宋体" w:cs="宋体"/>
                <w:sz w:val="24"/>
                <w:szCs w:val="24"/>
                <w:lang w:val="en-US" w:eastAsia="zh-CN"/>
              </w:rPr>
              <w:t>5</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扫描暂停技术</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26</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基于梯度回波的2点7峰水脂分离技术</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4.27</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基于自旋回波的2点7峰水脂分离技术</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5</w:t>
            </w:r>
            <w:r>
              <w:rPr>
                <w:rFonts w:hint="eastAsia" w:ascii="宋体" w:hAnsi="宋体" w:eastAsia="宋体" w:cs="宋体"/>
                <w:b/>
                <w:sz w:val="24"/>
                <w:szCs w:val="24"/>
                <w:lang w:eastAsia="zh-CN"/>
              </w:rPr>
              <w:t>.</w:t>
            </w:r>
          </w:p>
        </w:tc>
        <w:tc>
          <w:tcPr>
            <w:tcW w:w="4307" w:type="pct"/>
            <w:gridSpan w:val="2"/>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高级功能成像软件包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氢质子频谱成像软件包</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频谱采集专用扫描序列：</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.1.2</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STEAM序列，可进行短TE波谱成像（最小TE&lt;10ms）。</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.1.3</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PRESS序列</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.1.4</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二维、二维多层以及三维波谱成像</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.1.5</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单体素波谱成像</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6</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二维、三维快速波谱成像</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快速波谱成像可结合并行采集技术SENSE以进一步缩短采集时间</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8</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可设置多个饱和带</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自动水抑制</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0</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可用于任意解剖部位的波谱成像</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1</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可用任意线圈进行波谱采集</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2</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相关代谢物质和比率的伪彩图</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3</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可在定位像上显示网格及相应部位的波谱</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4</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拟合后的波谱</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5</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相关代谢物波峰图</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6</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前列腺波谱成像</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7</w:t>
            </w:r>
          </w:p>
        </w:tc>
        <w:tc>
          <w:tcPr>
            <w:tcW w:w="1834"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乳腺波谱成像</w:t>
            </w:r>
          </w:p>
        </w:tc>
        <w:tc>
          <w:tcPr>
            <w:tcW w:w="2473" w:type="pct"/>
            <w:tcBorders>
              <w:bottom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.1.1</w:t>
            </w:r>
            <w:r>
              <w:rPr>
                <w:rFonts w:hint="eastAsia" w:ascii="宋体" w:hAnsi="宋体" w:eastAsia="宋体" w:cs="宋体"/>
                <w:sz w:val="24"/>
                <w:szCs w:val="24"/>
                <w:lang w:val="en-US" w:eastAsia="zh-CN"/>
              </w:rPr>
              <w:t>8</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脑波谱成像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白质纤维束追踪成像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.3</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弥散张量成像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.4</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脂肪定量技术</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.5</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4D ASL不打药动态血管成像</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.6</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一次进床全身成像功能</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lang w:val="en-US"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p>
        </w:tc>
        <w:tc>
          <w:tcPr>
            <w:tcW w:w="4307" w:type="pct"/>
            <w:gridSpan w:val="2"/>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sz w:val="24"/>
                <w:szCs w:val="24"/>
              </w:rPr>
            </w:pPr>
            <w:r>
              <w:rPr>
                <w:rFonts w:hint="eastAsia" w:ascii="宋体" w:hAnsi="宋体" w:eastAsia="宋体" w:cs="宋体"/>
                <w:b/>
                <w:sz w:val="24"/>
                <w:szCs w:val="24"/>
              </w:rPr>
              <w:t>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1</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校正用标准水模</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692"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16.2</w:t>
            </w:r>
          </w:p>
        </w:tc>
        <w:tc>
          <w:tcPr>
            <w:tcW w:w="1834"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星云后处理工作站</w:t>
            </w:r>
          </w:p>
        </w:tc>
        <w:tc>
          <w:tcPr>
            <w:tcW w:w="2473" w:type="pct"/>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57"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17</w:t>
            </w:r>
          </w:p>
        </w:tc>
        <w:tc>
          <w:tcPr>
            <w:tcW w:w="4307" w:type="pct"/>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b/>
                <w:color w:val="000000"/>
                <w:sz w:val="24"/>
                <w:szCs w:val="24"/>
              </w:rPr>
              <w:t>附属产品及服务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17.1</w:t>
            </w:r>
          </w:p>
        </w:tc>
        <w:tc>
          <w:tcPr>
            <w:tcW w:w="183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原厂整机保修（包含液氦）</w:t>
            </w:r>
            <w:r>
              <w:rPr>
                <w:rFonts w:hint="eastAsia" w:ascii="宋体" w:hAnsi="宋体" w:eastAsia="宋体" w:cs="宋体"/>
                <w:color w:val="000000"/>
                <w:sz w:val="24"/>
                <w:szCs w:val="24"/>
                <w:lang w:val="en-US" w:eastAsia="zh-CN"/>
              </w:rPr>
              <w:t>36</w:t>
            </w:r>
            <w:r>
              <w:rPr>
                <w:rFonts w:hint="eastAsia" w:ascii="宋体" w:hAnsi="宋体" w:eastAsia="宋体" w:cs="宋体"/>
                <w:color w:val="000000"/>
                <w:sz w:val="24"/>
                <w:szCs w:val="24"/>
              </w:rPr>
              <w:t>个月</w:t>
            </w:r>
          </w:p>
        </w:tc>
        <w:tc>
          <w:tcPr>
            <w:tcW w:w="2473"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17.2</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sz w:val="24"/>
                <w:szCs w:val="24"/>
              </w:rPr>
              <w:t>校正用标准水模</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sz w:val="24"/>
                <w:szCs w:val="24"/>
              </w:rPr>
              <w:t>具备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.3</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原装</w:t>
            </w:r>
            <w:r>
              <w:rPr>
                <w:rFonts w:hint="eastAsia" w:ascii="宋体" w:hAnsi="宋体" w:eastAsia="宋体" w:cs="宋体"/>
                <w:sz w:val="24"/>
                <w:szCs w:val="24"/>
              </w:rPr>
              <w:t>水冷机</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具备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.4</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扫描间无磁监视系统</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.5</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磁共振专用空调一套</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.6</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磁共振专用无线蓝牙双筒高压注射器</w:t>
            </w:r>
            <w:r>
              <w:rPr>
                <w:rFonts w:hint="eastAsia" w:ascii="宋体" w:hAnsi="宋体" w:eastAsia="宋体" w:cs="宋体"/>
                <w:sz w:val="24"/>
                <w:szCs w:val="24"/>
                <w:lang w:val="en-US" w:eastAsia="zh-CN"/>
              </w:rPr>
              <w:t>2</w:t>
            </w:r>
            <w:r>
              <w:rPr>
                <w:rFonts w:hint="eastAsia" w:ascii="宋体" w:hAnsi="宋体" w:eastAsia="宋体" w:cs="宋体"/>
                <w:sz w:val="24"/>
                <w:szCs w:val="24"/>
              </w:rPr>
              <w:t>套</w:t>
            </w:r>
            <w:r>
              <w:rPr>
                <w:rFonts w:hint="eastAsia" w:ascii="宋体" w:hAnsi="宋体" w:eastAsia="宋体" w:cs="宋体"/>
                <w:sz w:val="24"/>
                <w:szCs w:val="24"/>
                <w:lang w:val="en-US" w:eastAsia="zh-CN"/>
              </w:rPr>
              <w:t>配件质保3年</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.7</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每人次</w:t>
            </w:r>
            <w:r>
              <w:rPr>
                <w:rFonts w:hint="eastAsia" w:ascii="宋体" w:hAnsi="宋体" w:eastAsia="宋体" w:cs="宋体"/>
                <w:sz w:val="24"/>
                <w:szCs w:val="24"/>
                <w:lang w:val="en-US" w:eastAsia="zh-CN"/>
              </w:rPr>
              <w:t>各</w:t>
            </w:r>
            <w:r>
              <w:rPr>
                <w:rFonts w:hint="eastAsia" w:ascii="宋体" w:hAnsi="宋体" w:eastAsia="宋体" w:cs="宋体"/>
                <w:sz w:val="24"/>
                <w:szCs w:val="24"/>
              </w:rPr>
              <w:t>一个</w:t>
            </w:r>
            <w:r>
              <w:rPr>
                <w:rFonts w:hint="eastAsia" w:ascii="宋体" w:hAnsi="宋体" w:eastAsia="宋体" w:cs="宋体"/>
                <w:sz w:val="24"/>
                <w:szCs w:val="24"/>
                <w:highlight w:val="none"/>
              </w:rPr>
              <w:t>月，共</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人次</w:t>
            </w:r>
            <w:r>
              <w:rPr>
                <w:rFonts w:hint="eastAsia" w:ascii="宋体" w:hAnsi="宋体" w:eastAsia="宋体" w:cs="宋体"/>
                <w:sz w:val="24"/>
                <w:szCs w:val="24"/>
                <w:highlight w:val="none"/>
                <w:lang w:val="en-US" w:eastAsia="zh-CN"/>
              </w:rPr>
              <w:t>疆外</w:t>
            </w:r>
            <w:r>
              <w:rPr>
                <w:rFonts w:hint="eastAsia" w:ascii="宋体" w:hAnsi="宋体" w:eastAsia="宋体" w:cs="宋体"/>
                <w:sz w:val="24"/>
                <w:szCs w:val="24"/>
                <w:highlight w:val="none"/>
              </w:rPr>
              <w:t>三甲医院进</w:t>
            </w:r>
            <w:r>
              <w:rPr>
                <w:rFonts w:hint="eastAsia" w:ascii="宋体" w:hAnsi="宋体" w:eastAsia="宋体" w:cs="宋体"/>
                <w:sz w:val="24"/>
                <w:szCs w:val="24"/>
              </w:rPr>
              <w:t>修（包含所有费用）</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8</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磁共振机房装修及屏蔽交钥匙工程（包含设备间、操作间装修及配套桌椅）</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rPr>
            </w:pPr>
            <w:r>
              <w:rPr>
                <w:rFonts w:hint="eastAsia" w:ascii="宋体" w:hAnsi="宋体" w:eastAsia="宋体" w:cs="宋体"/>
                <w:sz w:val="24"/>
                <w:szCs w:val="24"/>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17.9</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水冷及磁体和空调所需配电箱</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17.10</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专用后处理工作站（硬件加软件）</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17.11</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抗磁床（4套）及过床板（2套）</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17.12</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豪华座椅6（套）</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17.13</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空气消毒机6台，抗磁紫外线消毒灯6台</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17.14</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造影剂恒温箱 10台</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55"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17.15</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机房屏蔽及机房装修</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4307"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color w:val="000000"/>
                <w:sz w:val="24"/>
                <w:szCs w:val="24"/>
              </w:rPr>
              <w:t xml:space="preserve">98寸4K医用显示器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18.1</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品牌</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 xml:space="preserve">国产品牌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18.2</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屏幕尺寸</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98英寸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3</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外观</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防眩光电容触摸玻璃，型材边框，金属外壳设计利于清洁消毒，防止电磁干扰，流线型、无锐角安全设计。触控按键 简介美观。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18.4</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支架</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 xml:space="preserve">符合人体工程学设计，支持升降，俯仰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5</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屏幕分辨率</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≥3840*2160P60，支持1920*1080P60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6</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tabs>
                <w:tab w:val="right" w:pos="2169"/>
              </w:tabs>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横竖转换</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tabs>
                <w:tab w:val="right" w:pos="2169"/>
              </w:tabs>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支持壁挂安装，支持电动落地支架安装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7</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最大亮度</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≥500cd/m</w:t>
            </w:r>
            <w:r>
              <w:rPr>
                <w:rFonts w:hint="eastAsia" w:ascii="宋体" w:hAnsi="宋体" w:eastAsia="宋体" w:cs="宋体"/>
                <w:color w:val="000000"/>
                <w:sz w:val="24"/>
                <w:szCs w:val="24"/>
                <w:vertAlign w:val="superscript"/>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8</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对比度</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≥1200:1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9</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显示色彩</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kern w:val="0"/>
                <w:sz w:val="24"/>
                <w:szCs w:val="24"/>
              </w:rPr>
              <w:t>10.7亿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10</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kern w:val="0"/>
                <w:sz w:val="24"/>
                <w:szCs w:val="24"/>
              </w:rPr>
              <w:t>输入接口</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VGA/HDMI1.4*2/HDMI2.0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11</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kern w:val="0"/>
                <w:sz w:val="24"/>
                <w:szCs w:val="24"/>
              </w:rPr>
              <w:t>输出接口</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DP/HDMI/音频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12</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使用寿命</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≧50000小时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13</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视角</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≥178/178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14</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响应时间</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before="240"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≤8ms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17</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售后服务</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60" w:lineRule="exact"/>
              <w:ind w:right="420" w:rightChars="0"/>
              <w:jc w:val="both"/>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保修由显示器制造商提供，原厂保修期三年，出具制造商保修证明原件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18</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工厂管理体系</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60" w:lineRule="exact"/>
              <w:ind w:right="420" w:rightChars="0"/>
              <w:jc w:val="both"/>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ISO14001环境管理体系认证、13485医疗器械质量管理体系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19</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产品认证</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60" w:lineRule="exact"/>
              <w:ind w:right="420" w:rightChars="0"/>
              <w:jc w:val="both"/>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具有节能认证,CCC国家强制认证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22</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质量控制</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支持远程控制显示器质量功能，并提供证明文件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23</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环境光自适应</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根据不同的环境，显示器自动调整亮度，并提供证明文件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24</w:t>
            </w: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b/>
                <w:color w:val="000000"/>
                <w:sz w:val="24"/>
                <w:szCs w:val="24"/>
              </w:rPr>
            </w:pPr>
            <w:r>
              <w:rPr>
                <w:rFonts w:hint="eastAsia" w:ascii="宋体" w:hAnsi="宋体" w:eastAsia="宋体" w:cs="宋体"/>
                <w:color w:val="000000"/>
                <w:sz w:val="24"/>
                <w:szCs w:val="24"/>
              </w:rPr>
              <w:t>亮度均匀补偿</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通过亮度均匀补偿技术，提高显示器各个区域的亮度均匀性，并提供证明文件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ind w:firstLine="117" w:firstLineChars="49"/>
              <w:jc w:val="both"/>
              <w:rPr>
                <w:rFonts w:hint="eastAsia" w:ascii="宋体" w:hAnsi="宋体" w:eastAsia="宋体" w:cs="宋体"/>
                <w:color w:val="000000"/>
                <w:sz w:val="24"/>
                <w:szCs w:val="24"/>
              </w:rPr>
            </w:pPr>
          </w:p>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25</w:t>
            </w:r>
          </w:p>
          <w:p>
            <w:pPr>
              <w:pageBreakBefore w:val="0"/>
              <w:kinsoku/>
              <w:wordWrap/>
              <w:overflowPunct/>
              <w:topLinePunct w:val="0"/>
              <w:autoSpaceDE/>
              <w:autoSpaceDN/>
              <w:bidi w:val="0"/>
              <w:spacing w:line="360" w:lineRule="exact"/>
              <w:ind w:firstLine="117" w:firstLineChars="49"/>
              <w:jc w:val="both"/>
              <w:rPr>
                <w:rFonts w:hint="eastAsia" w:ascii="宋体" w:hAnsi="宋体" w:eastAsia="宋体" w:cs="宋体"/>
                <w:sz w:val="24"/>
                <w:szCs w:val="24"/>
                <w:lang w:val="en-US" w:eastAsia="zh-CN"/>
              </w:rPr>
            </w:pP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60" w:lineRule="exact"/>
              <w:jc w:val="both"/>
              <w:textAlignment w:val="center"/>
              <w:rPr>
                <w:rFonts w:hint="eastAsia" w:ascii="宋体" w:hAnsi="宋体" w:eastAsia="宋体" w:cs="宋体"/>
                <w:b/>
                <w:color w:val="000000"/>
                <w:sz w:val="24"/>
                <w:szCs w:val="24"/>
              </w:rPr>
            </w:pPr>
            <w:r>
              <w:rPr>
                <w:rFonts w:hint="eastAsia" w:ascii="宋体" w:hAnsi="宋体" w:eastAsia="宋体" w:cs="宋体"/>
                <w:bCs/>
                <w:color w:val="000000"/>
                <w:sz w:val="24"/>
                <w:szCs w:val="24"/>
              </w:rPr>
              <w:t>亮度稳定</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6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w:t>支持亮度稳定系统显示，长时间使用不会出现亮度衰减，并提供证明文件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ind w:firstLine="117" w:firstLineChars="49"/>
              <w:jc w:val="both"/>
              <w:rPr>
                <w:rFonts w:hint="eastAsia" w:ascii="宋体" w:hAnsi="宋体" w:eastAsia="宋体" w:cs="宋体"/>
                <w:color w:val="000000"/>
                <w:sz w:val="24"/>
                <w:szCs w:val="24"/>
              </w:rPr>
            </w:pPr>
          </w:p>
          <w:p>
            <w:pPr>
              <w:pageBreakBefore w:val="0"/>
              <w:kinsoku/>
              <w:wordWrap/>
              <w:overflowPunct/>
              <w:topLinePunct w:val="0"/>
              <w:autoSpaceDE/>
              <w:autoSpaceDN/>
              <w:bidi w:val="0"/>
              <w:spacing w:line="36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26</w:t>
            </w:r>
          </w:p>
          <w:p>
            <w:pPr>
              <w:pageBreakBefore w:val="0"/>
              <w:kinsoku/>
              <w:wordWrap/>
              <w:overflowPunct/>
              <w:topLinePunct w:val="0"/>
              <w:autoSpaceDE/>
              <w:autoSpaceDN/>
              <w:bidi w:val="0"/>
              <w:spacing w:line="360" w:lineRule="exact"/>
              <w:ind w:firstLine="117" w:firstLineChars="49"/>
              <w:jc w:val="both"/>
              <w:rPr>
                <w:rFonts w:hint="eastAsia" w:ascii="宋体" w:hAnsi="宋体" w:eastAsia="宋体" w:cs="宋体"/>
                <w:sz w:val="24"/>
                <w:szCs w:val="24"/>
                <w:lang w:val="en-US" w:eastAsia="zh-CN"/>
              </w:rPr>
            </w:pPr>
          </w:p>
        </w:tc>
        <w:tc>
          <w:tcPr>
            <w:tcW w:w="1834" w:type="pct"/>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60" w:lineRule="exact"/>
              <w:jc w:val="both"/>
              <w:textAlignment w:val="center"/>
              <w:rPr>
                <w:rFonts w:hint="eastAsia" w:ascii="宋体" w:hAnsi="宋体" w:eastAsia="宋体" w:cs="宋体"/>
                <w:b/>
                <w:color w:val="000000"/>
                <w:sz w:val="24"/>
                <w:szCs w:val="24"/>
              </w:rPr>
            </w:pPr>
            <w:r>
              <w:rPr>
                <w:rFonts w:hint="eastAsia" w:ascii="宋体" w:hAnsi="宋体" w:eastAsia="宋体" w:cs="宋体"/>
                <w:bCs/>
                <w:color w:val="000000"/>
                <w:sz w:val="24"/>
                <w:szCs w:val="24"/>
              </w:rPr>
              <w:t>多屏显示</w:t>
            </w:r>
          </w:p>
        </w:tc>
        <w:tc>
          <w:tcPr>
            <w:tcW w:w="247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pageBreakBefore w:val="0"/>
              <w:widowControl/>
              <w:kinsoku/>
              <w:wordWrap/>
              <w:overflowPunct/>
              <w:topLinePunct w:val="0"/>
              <w:autoSpaceDE/>
              <w:autoSpaceDN/>
              <w:bidi w:val="0"/>
              <w:spacing w:line="36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rPr>
              <w:t>一体化双屏、一体化四屏显示，并提供证明文件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lang w:val="en-US" w:eastAsia="zh-CN"/>
              </w:rPr>
              <w:t>19</w:t>
            </w:r>
          </w:p>
        </w:tc>
        <w:tc>
          <w:tcPr>
            <w:tcW w:w="4307"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color w:val="auto"/>
                <w:spacing w:val="0"/>
                <w:position w:val="0"/>
                <w:sz w:val="24"/>
                <w:szCs w:val="24"/>
                <w:shd w:val="clear" w:color="auto" w:fill="auto"/>
              </w:rPr>
              <w:t>3M LED灰阶显示器</w:t>
            </w:r>
            <w:r>
              <w:rPr>
                <w:rFonts w:hint="eastAsia" w:ascii="宋体" w:hAnsi="宋体" w:eastAsia="宋体" w:cs="宋体"/>
                <w:b/>
                <w:color w:val="auto"/>
                <w:spacing w:val="0"/>
                <w:position w:val="0"/>
                <w:sz w:val="24"/>
                <w:szCs w:val="24"/>
                <w:shd w:val="clear" w:color="auto" w:fill="auto"/>
                <w:lang w:val="en-US" w:eastAsia="zh-CN"/>
              </w:rPr>
              <w:t xml:space="preserve"> 10台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lang w:val="en-US" w:eastAsia="zh-CN"/>
              </w:rPr>
              <w:t>19.1</w:t>
            </w:r>
          </w:p>
        </w:tc>
        <w:tc>
          <w:tcPr>
            <w:tcW w:w="4307"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auto"/>
                <w:spacing w:val="0"/>
                <w:position w:val="0"/>
                <w:sz w:val="24"/>
                <w:szCs w:val="24"/>
                <w:shd w:val="clear" w:color="auto" w:fill="auto"/>
              </w:rPr>
              <w:t>知名品牌专业显示器， 提供显示器制造商的省级或者省级以上高新技术企业证书、著名商标证书、名牌产品证书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lang w:val="en-US" w:eastAsia="zh-CN"/>
              </w:rPr>
              <w:t>19.2</w:t>
            </w:r>
          </w:p>
        </w:tc>
        <w:tc>
          <w:tcPr>
            <w:tcW w:w="4307"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auto"/>
                <w:spacing w:val="0"/>
                <w:position w:val="0"/>
                <w:sz w:val="24"/>
                <w:szCs w:val="24"/>
                <w:shd w:val="clear" w:color="auto" w:fill="auto"/>
              </w:rPr>
              <w:t>显示器采用新型LED背光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lang w:val="en-US" w:eastAsia="zh-CN"/>
              </w:rPr>
              <w:t>19.3</w:t>
            </w:r>
          </w:p>
        </w:tc>
        <w:tc>
          <w:tcPr>
            <w:tcW w:w="4307"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color w:val="auto"/>
                <w:spacing w:val="0"/>
                <w:position w:val="0"/>
                <w:sz w:val="24"/>
                <w:szCs w:val="24"/>
                <w:shd w:val="clear" w:color="auto" w:fill="auto"/>
                <w:lang w:val="en-US" w:eastAsia="zh-CN"/>
              </w:rPr>
            </w:pPr>
            <w:r>
              <w:rPr>
                <w:rFonts w:hint="eastAsia" w:ascii="宋体" w:hAnsi="宋体" w:eastAsia="宋体" w:cs="宋体"/>
                <w:color w:val="auto"/>
                <w:spacing w:val="0"/>
                <w:position w:val="0"/>
                <w:sz w:val="24"/>
                <w:szCs w:val="24"/>
                <w:shd w:val="clear" w:color="auto" w:fill="auto"/>
              </w:rPr>
              <w:t>显示器完全符合dicom3.14标准，Ins-guard系统完成自动校正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lang w:val="en-US" w:eastAsia="zh-CN"/>
              </w:rPr>
              <w:t>19.4</w:t>
            </w:r>
          </w:p>
        </w:tc>
        <w:tc>
          <w:tcPr>
            <w:tcW w:w="4307"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auto"/>
                <w:spacing w:val="0"/>
                <w:position w:val="0"/>
                <w:sz w:val="24"/>
                <w:szCs w:val="24"/>
                <w:shd w:val="clear" w:color="auto" w:fill="auto"/>
              </w:rPr>
              <w:t xml:space="preserve">分辨率≥2048×1536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9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b w:val="0"/>
                <w:bCs w:val="0"/>
                <w:color w:val="000000"/>
                <w:sz w:val="24"/>
                <w:szCs w:val="24"/>
                <w:lang w:val="en-US" w:eastAsia="zh-CN"/>
              </w:rPr>
              <w:t>19.5</w:t>
            </w:r>
          </w:p>
        </w:tc>
        <w:tc>
          <w:tcPr>
            <w:tcW w:w="4307" w:type="pct"/>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pPr>
              <w:pageBreakBefore w:val="0"/>
              <w:kinsoku/>
              <w:wordWrap/>
              <w:overflowPunct/>
              <w:topLinePunct w:val="0"/>
              <w:autoSpaceDE/>
              <w:autoSpaceDN/>
              <w:bidi w:val="0"/>
              <w:spacing w:line="360" w:lineRule="exact"/>
              <w:jc w:val="both"/>
              <w:rPr>
                <w:rFonts w:hint="eastAsia" w:ascii="宋体" w:hAnsi="宋体" w:eastAsia="宋体" w:cs="宋体"/>
                <w:sz w:val="24"/>
                <w:szCs w:val="24"/>
                <w:lang w:val="en-US" w:eastAsia="zh-CN"/>
              </w:rPr>
            </w:pPr>
            <w:r>
              <w:rPr>
                <w:rFonts w:hint="eastAsia" w:ascii="宋体" w:hAnsi="宋体" w:eastAsia="宋体" w:cs="宋体"/>
                <w:color w:val="auto"/>
                <w:spacing w:val="0"/>
                <w:position w:val="0"/>
                <w:sz w:val="24"/>
                <w:szCs w:val="24"/>
                <w:shd w:val="clear" w:color="auto" w:fill="auto"/>
              </w:rPr>
              <w:t>尺寸≧21.3英寸</w:t>
            </w:r>
          </w:p>
        </w:tc>
      </w:tr>
    </w:tbl>
    <w:p>
      <w:pPr>
        <w:rPr>
          <w:rFonts w:hint="eastAsia" w:ascii="Calibri" w:hAnsi="Calibri" w:eastAsia="宋体" w:cs="Times New Roman"/>
          <w:b/>
          <w:bCs/>
          <w:sz w:val="24"/>
          <w:szCs w:val="24"/>
          <w:lang w:eastAsia="zh-CN"/>
        </w:rPr>
      </w:pPr>
    </w:p>
    <w:p>
      <w:pPr>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配置远程会议系统：</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709"/>
        <w:gridCol w:w="486"/>
        <w:gridCol w:w="6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86"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both"/>
              <w:textAlignment w:val="auto"/>
              <w:outlineLvl w:val="2"/>
              <w:rPr>
                <w:rFonts w:hint="eastAsia" w:ascii="宋体" w:hAnsi="宋体" w:eastAsia="宋体" w:cs="宋体"/>
                <w:b/>
                <w:bCs/>
                <w:kern w:val="2"/>
                <w:sz w:val="24"/>
                <w:szCs w:val="24"/>
                <w:u w:val="none"/>
                <w:vertAlign w:val="baseline"/>
                <w:lang w:val="en-US" w:eastAsia="zh-CN" w:bidi="ar-SA"/>
              </w:rPr>
            </w:pPr>
            <w:bookmarkStart w:id="1617" w:name="_Toc2338"/>
            <w:r>
              <w:rPr>
                <w:rFonts w:hint="eastAsia" w:ascii="宋体" w:hAnsi="宋体" w:eastAsia="宋体" w:cs="宋体"/>
                <w:b/>
                <w:bCs/>
                <w:kern w:val="2"/>
                <w:sz w:val="24"/>
                <w:szCs w:val="24"/>
                <w:u w:val="none"/>
                <w:vertAlign w:val="baseline"/>
                <w:lang w:val="en-US" w:eastAsia="zh-CN" w:bidi="ar-SA"/>
              </w:rPr>
              <w:t>序号</w:t>
            </w:r>
            <w:bookmarkEnd w:id="1617"/>
          </w:p>
        </w:tc>
        <w:tc>
          <w:tcPr>
            <w:tcW w:w="417"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both"/>
              <w:textAlignment w:val="auto"/>
              <w:outlineLvl w:val="2"/>
              <w:rPr>
                <w:rFonts w:hint="eastAsia" w:ascii="宋体" w:hAnsi="宋体" w:eastAsia="宋体" w:cs="宋体"/>
                <w:b/>
                <w:bCs/>
                <w:kern w:val="2"/>
                <w:sz w:val="24"/>
                <w:szCs w:val="24"/>
                <w:u w:val="none"/>
                <w:vertAlign w:val="baseline"/>
                <w:lang w:val="en-US" w:eastAsia="zh-CN" w:bidi="ar-SA"/>
              </w:rPr>
            </w:pPr>
            <w:bookmarkStart w:id="1618" w:name="_Toc1134"/>
            <w:r>
              <w:rPr>
                <w:rFonts w:hint="eastAsia" w:ascii="宋体" w:hAnsi="宋体" w:eastAsia="宋体" w:cs="宋体"/>
                <w:b/>
                <w:bCs/>
                <w:kern w:val="2"/>
                <w:sz w:val="24"/>
                <w:szCs w:val="24"/>
                <w:u w:val="none"/>
                <w:vertAlign w:val="baseline"/>
                <w:lang w:val="en-US" w:eastAsia="zh-CN" w:bidi="ar-SA"/>
              </w:rPr>
              <w:t>名称</w:t>
            </w:r>
            <w:bookmarkEnd w:id="1618"/>
          </w:p>
        </w:tc>
        <w:tc>
          <w:tcPr>
            <w:tcW w:w="286"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both"/>
              <w:textAlignment w:val="auto"/>
              <w:outlineLvl w:val="2"/>
              <w:rPr>
                <w:rFonts w:hint="eastAsia" w:ascii="宋体" w:hAnsi="宋体" w:eastAsia="宋体" w:cs="宋体"/>
                <w:b/>
                <w:bCs/>
                <w:kern w:val="2"/>
                <w:sz w:val="24"/>
                <w:szCs w:val="24"/>
                <w:u w:val="none"/>
                <w:vertAlign w:val="baseline"/>
                <w:lang w:val="en-US" w:eastAsia="zh-CN" w:bidi="ar-SA"/>
              </w:rPr>
            </w:pPr>
            <w:bookmarkStart w:id="1619" w:name="_Toc7827"/>
            <w:r>
              <w:rPr>
                <w:rFonts w:hint="eastAsia" w:ascii="宋体" w:hAnsi="宋体" w:eastAsia="宋体" w:cs="宋体"/>
                <w:b/>
                <w:bCs/>
                <w:kern w:val="2"/>
                <w:sz w:val="24"/>
                <w:szCs w:val="24"/>
                <w:u w:val="none"/>
                <w:vertAlign w:val="baseline"/>
                <w:lang w:val="en-US" w:eastAsia="zh-CN" w:bidi="ar-SA"/>
              </w:rPr>
              <w:t>数量</w:t>
            </w:r>
            <w:bookmarkEnd w:id="1619"/>
          </w:p>
        </w:tc>
        <w:tc>
          <w:tcPr>
            <w:tcW w:w="4009"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both"/>
              <w:textAlignment w:val="auto"/>
              <w:outlineLvl w:val="2"/>
              <w:rPr>
                <w:rFonts w:hint="eastAsia" w:ascii="宋体" w:hAnsi="宋体" w:eastAsia="宋体" w:cs="宋体"/>
                <w:b/>
                <w:bCs/>
                <w:kern w:val="2"/>
                <w:sz w:val="24"/>
                <w:szCs w:val="24"/>
                <w:u w:val="none"/>
                <w:vertAlign w:val="baseline"/>
                <w:lang w:val="en-US" w:eastAsia="zh-CN" w:bidi="ar-SA"/>
              </w:rPr>
            </w:pPr>
            <w:bookmarkStart w:id="1620" w:name="_Toc9463"/>
            <w:r>
              <w:rPr>
                <w:rFonts w:hint="eastAsia" w:ascii="宋体" w:hAnsi="宋体" w:eastAsia="宋体" w:cs="宋体"/>
                <w:b/>
                <w:bCs/>
                <w:kern w:val="2"/>
                <w:sz w:val="24"/>
                <w:szCs w:val="24"/>
                <w:u w:val="none"/>
                <w:vertAlign w:val="baseline"/>
                <w:lang w:val="en-US" w:eastAsia="zh-CN" w:bidi="ar-SA"/>
              </w:rPr>
              <w:t>参数需求</w:t>
            </w:r>
            <w:bookmarkEnd w:id="16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single"/>
                <w:vertAlign w:val="baseline"/>
                <w:lang w:val="en-US" w:eastAsia="zh-CN" w:bidi="ar-SA"/>
              </w:rPr>
            </w:pPr>
            <w:bookmarkStart w:id="1621" w:name="_Toc26752"/>
            <w:r>
              <w:rPr>
                <w:rFonts w:hint="eastAsia" w:ascii="宋体" w:hAnsi="宋体" w:eastAsia="宋体" w:cs="宋体"/>
                <w:kern w:val="2"/>
                <w:sz w:val="24"/>
                <w:szCs w:val="24"/>
                <w:u w:val="none"/>
                <w:vertAlign w:val="baseline"/>
                <w:lang w:val="en-US" w:eastAsia="zh-CN" w:bidi="ar-SA"/>
              </w:rPr>
              <w:t>1</w:t>
            </w:r>
            <w:bookmarkEnd w:id="1621"/>
          </w:p>
        </w:tc>
        <w:tc>
          <w:tcPr>
            <w:tcW w:w="417"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single"/>
                <w:vertAlign w:val="baseline"/>
                <w:lang w:val="en-US" w:eastAsia="zh-CN" w:bidi="ar-SA"/>
              </w:rPr>
            </w:pPr>
            <w:bookmarkStart w:id="1622" w:name="_Toc23093"/>
            <w:r>
              <w:rPr>
                <w:rFonts w:hint="eastAsia" w:ascii="宋体" w:hAnsi="宋体" w:eastAsia="宋体" w:cs="宋体"/>
                <w:kern w:val="2"/>
                <w:sz w:val="24"/>
                <w:szCs w:val="24"/>
                <w:u w:val="none"/>
                <w:vertAlign w:val="baseline"/>
                <w:lang w:val="en-US" w:eastAsia="zh-CN" w:bidi="ar-SA"/>
              </w:rPr>
              <w:t>会议一体机</w:t>
            </w:r>
            <w:bookmarkEnd w:id="1622"/>
          </w:p>
        </w:tc>
        <w:tc>
          <w:tcPr>
            <w:tcW w:w="286" w:type="pct"/>
            <w:vAlign w:val="center"/>
          </w:tcPr>
          <w:p>
            <w:pPr>
              <w:keepNext w:val="0"/>
              <w:keepLines w:val="0"/>
              <w:pageBreakBefore w:val="0"/>
              <w:widowControl w:val="0"/>
              <w:kinsoku/>
              <w:wordWrap/>
              <w:overflowPunct/>
              <w:topLinePunct w:val="0"/>
              <w:autoSpaceDE/>
              <w:autoSpaceDN/>
              <w:bidi w:val="0"/>
              <w:adjustRightInd/>
              <w:snapToGrid/>
              <w:spacing w:before="12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623" w:name="_Toc20183"/>
            <w:r>
              <w:rPr>
                <w:rFonts w:hint="eastAsia" w:ascii="宋体" w:hAnsi="宋体" w:eastAsia="宋体" w:cs="宋体"/>
                <w:kern w:val="2"/>
                <w:sz w:val="24"/>
                <w:szCs w:val="24"/>
                <w:u w:val="none"/>
                <w:vertAlign w:val="baseline"/>
                <w:lang w:val="en-US" w:eastAsia="zh-CN" w:bidi="ar-SA"/>
              </w:rPr>
              <w:t>4</w:t>
            </w:r>
            <w:bookmarkEnd w:id="1623"/>
          </w:p>
        </w:tc>
        <w:tc>
          <w:tcPr>
            <w:tcW w:w="4009" w:type="pct"/>
            <w:vAlign w:val="center"/>
          </w:tcPr>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24" w:name="_Toc22431"/>
            <w:r>
              <w:rPr>
                <w:rFonts w:hint="eastAsia" w:ascii="宋体" w:hAnsi="宋体" w:eastAsia="宋体" w:cs="宋体"/>
                <w:kern w:val="2"/>
                <w:sz w:val="24"/>
                <w:szCs w:val="24"/>
                <w:u w:val="none"/>
                <w:vertAlign w:val="baseline"/>
                <w:lang w:val="en-US" w:eastAsia="zh-CN" w:bidi="ar-SA"/>
              </w:rPr>
              <w:t>1、系统属性：</w:t>
            </w:r>
            <w:bookmarkEnd w:id="162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25" w:name="_Toc32105"/>
            <w:r>
              <w:rPr>
                <w:rFonts w:hint="eastAsia" w:ascii="宋体" w:hAnsi="宋体" w:eastAsia="宋体" w:cs="宋体"/>
                <w:kern w:val="2"/>
                <w:sz w:val="24"/>
                <w:szCs w:val="24"/>
                <w:u w:val="none"/>
                <w:vertAlign w:val="baseline"/>
                <w:lang w:val="en-US" w:eastAsia="zh-CN" w:bidi="ar-SA"/>
              </w:rPr>
              <w:t>搭载安卓 8.0 智能操作系统和独特的4K UI设计,所有界面UI分辨率为4K超高清晰度；</w:t>
            </w:r>
            <w:bookmarkEnd w:id="162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26" w:name="_Toc12053"/>
            <w:r>
              <w:rPr>
                <w:rFonts w:hint="eastAsia" w:ascii="宋体" w:hAnsi="宋体" w:eastAsia="宋体" w:cs="宋体"/>
                <w:kern w:val="2"/>
                <w:sz w:val="24"/>
                <w:szCs w:val="24"/>
                <w:u w:val="none"/>
                <w:vertAlign w:val="baseline"/>
                <w:lang w:val="en-US" w:eastAsia="zh-CN" w:bidi="ar-SA"/>
              </w:rPr>
              <w:t>4核64位高性能CPU，2xCA73+2xCA53架构，最大支持时钟1.5GHz；</w:t>
            </w:r>
            <w:bookmarkEnd w:id="162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27" w:name="_Toc18085"/>
            <w:r>
              <w:rPr>
                <w:rFonts w:hint="eastAsia" w:ascii="宋体" w:hAnsi="宋体" w:eastAsia="宋体" w:cs="宋体"/>
                <w:kern w:val="2"/>
                <w:sz w:val="24"/>
                <w:szCs w:val="24"/>
                <w:u w:val="none"/>
                <w:vertAlign w:val="baseline"/>
                <w:lang w:val="en-US" w:eastAsia="zh-CN" w:bidi="ar-SA"/>
              </w:rPr>
              <w:t>2、外观及智能触控：</w:t>
            </w:r>
            <w:bookmarkEnd w:id="162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28" w:name="_Toc31020"/>
            <w:r>
              <w:rPr>
                <w:rFonts w:hint="eastAsia" w:ascii="宋体" w:hAnsi="宋体" w:eastAsia="宋体" w:cs="宋体"/>
                <w:kern w:val="2"/>
                <w:sz w:val="24"/>
                <w:szCs w:val="24"/>
                <w:u w:val="none"/>
                <w:vertAlign w:val="baseline"/>
                <w:lang w:val="en-US" w:eastAsia="zh-CN" w:bidi="ar-SA"/>
              </w:rPr>
              <w:t>超窄边三等边12mm边框设计，外观整体（全黑色）磨砂材质；</w:t>
            </w:r>
            <w:bookmarkEnd w:id="162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29" w:name="_Toc14625"/>
            <w:r>
              <w:rPr>
                <w:rFonts w:hint="eastAsia" w:ascii="宋体" w:hAnsi="宋体" w:eastAsia="宋体" w:cs="宋体"/>
                <w:kern w:val="2"/>
                <w:sz w:val="24"/>
                <w:szCs w:val="24"/>
                <w:u w:val="none"/>
                <w:vertAlign w:val="baseline"/>
                <w:lang w:val="en-US" w:eastAsia="zh-CN" w:bidi="ar-SA"/>
              </w:rPr>
              <w:t>前拆式高精度红外触摸框，触摸精度达±1mm，触摸高度 3mm，支持 20 点触控，灵敏度高；</w:t>
            </w:r>
            <w:bookmarkEnd w:id="162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0" w:name="_Toc26898"/>
            <w:r>
              <w:rPr>
                <w:rFonts w:hint="eastAsia" w:ascii="宋体" w:hAnsi="宋体" w:eastAsia="宋体" w:cs="宋体"/>
                <w:kern w:val="2"/>
                <w:sz w:val="24"/>
                <w:szCs w:val="24"/>
                <w:u w:val="none"/>
                <w:vertAlign w:val="baseline"/>
                <w:lang w:val="en-US" w:eastAsia="zh-CN" w:bidi="ar-SA"/>
              </w:rPr>
              <w:t>带 OPS 接口，可扩展双系统；三路USB 接口支持电脑和安卓共享USB功能；</w:t>
            </w:r>
            <w:bookmarkEnd w:id="163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1" w:name="_Toc26242"/>
            <w:r>
              <w:rPr>
                <w:rFonts w:hint="eastAsia" w:ascii="宋体" w:hAnsi="宋体" w:eastAsia="宋体" w:cs="宋体"/>
                <w:kern w:val="2"/>
                <w:sz w:val="24"/>
                <w:szCs w:val="24"/>
                <w:u w:val="none"/>
                <w:vertAlign w:val="baseline"/>
                <w:lang w:val="en-US" w:eastAsia="zh-CN" w:bidi="ar-SA"/>
              </w:rPr>
              <w:t>前置Type-C接口多功能扩展，高清视频传输、USB透传、触摸透传、外接设备网络透传、5V /1A供电</w:t>
            </w:r>
            <w:bookmarkEnd w:id="163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2" w:name="_Toc28764"/>
            <w:r>
              <w:rPr>
                <w:rFonts w:hint="eastAsia" w:ascii="宋体" w:hAnsi="宋体" w:eastAsia="宋体" w:cs="宋体"/>
                <w:kern w:val="2"/>
                <w:sz w:val="24"/>
                <w:szCs w:val="24"/>
                <w:u w:val="none"/>
                <w:vertAlign w:val="baseline"/>
                <w:lang w:val="en-US" w:eastAsia="zh-CN" w:bidi="ar-SA"/>
              </w:rPr>
              <w:t>(极便捷的多设备链接简单、高效，让会议变得更轻松)</w:t>
            </w:r>
            <w:bookmarkEnd w:id="163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3" w:name="_Toc3708"/>
            <w:r>
              <w:rPr>
                <w:rFonts w:hint="eastAsia" w:ascii="宋体" w:hAnsi="宋体" w:eastAsia="宋体" w:cs="宋体"/>
                <w:kern w:val="2"/>
                <w:sz w:val="24"/>
                <w:szCs w:val="24"/>
                <w:u w:val="none"/>
                <w:vertAlign w:val="baseline"/>
                <w:lang w:val="en-US" w:eastAsia="zh-CN" w:bidi="ar-SA"/>
              </w:rPr>
              <w:t>前置智能笔吸附卡槽、无螺丝瞬间吸附，简单操作</w:t>
            </w:r>
            <w:bookmarkEnd w:id="163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4" w:name="_Toc31358"/>
            <w:r>
              <w:rPr>
                <w:rFonts w:hint="eastAsia" w:ascii="宋体" w:hAnsi="宋体" w:eastAsia="宋体" w:cs="宋体"/>
                <w:kern w:val="2"/>
                <w:sz w:val="24"/>
                <w:szCs w:val="24"/>
                <w:u w:val="none"/>
                <w:vertAlign w:val="baseline"/>
                <w:lang w:val="en-US" w:eastAsia="zh-CN" w:bidi="ar-SA"/>
              </w:rPr>
              <w:t>外接USB，系统自动进入保密模式，输入密码方可解锁，更好保护文件安全；</w:t>
            </w:r>
            <w:bookmarkEnd w:id="163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5" w:name="_Toc17592"/>
            <w:r>
              <w:rPr>
                <w:rFonts w:hint="eastAsia" w:ascii="宋体" w:hAnsi="宋体" w:eastAsia="宋体" w:cs="宋体"/>
                <w:kern w:val="2"/>
                <w:sz w:val="24"/>
                <w:szCs w:val="24"/>
                <w:u w:val="none"/>
                <w:vertAlign w:val="baseline"/>
                <w:lang w:val="en-US" w:eastAsia="zh-CN" w:bidi="ar-SA"/>
              </w:rPr>
              <w:t>硬件自检无需借助PC，整机可进行硬件自检，对网络、RTC、温度、光感、触摸、系统内存、OPS 等模块进行检测，并针对不同模块给出问题原因提示；</w:t>
            </w:r>
            <w:bookmarkEnd w:id="163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6" w:name="_Toc17139"/>
            <w:r>
              <w:rPr>
                <w:rFonts w:hint="eastAsia" w:ascii="宋体" w:hAnsi="宋体" w:eastAsia="宋体" w:cs="宋体"/>
                <w:kern w:val="2"/>
                <w:sz w:val="24"/>
                <w:szCs w:val="24"/>
                <w:u w:val="none"/>
                <w:vertAlign w:val="baseline"/>
                <w:lang w:val="en-US" w:eastAsia="zh-CN" w:bidi="ar-SA"/>
              </w:rPr>
              <w:t>3、白板书写：</w:t>
            </w:r>
            <w:bookmarkEnd w:id="163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7" w:name="_Toc16063"/>
            <w:r>
              <w:rPr>
                <w:rFonts w:hint="eastAsia" w:ascii="宋体" w:hAnsi="宋体" w:eastAsia="宋体" w:cs="宋体"/>
                <w:kern w:val="2"/>
                <w:sz w:val="24"/>
                <w:szCs w:val="24"/>
                <w:u w:val="none"/>
                <w:vertAlign w:val="baseline"/>
                <w:lang w:val="en-US" w:eastAsia="zh-CN" w:bidi="ar-SA"/>
              </w:rPr>
              <w:t>4K书写白板，书写笔迹4K超高清分辨率，笔画细腻；</w:t>
            </w:r>
            <w:bookmarkEnd w:id="163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8" w:name="_Toc25232"/>
            <w:r>
              <w:rPr>
                <w:rFonts w:hint="eastAsia" w:ascii="宋体" w:hAnsi="宋体" w:eastAsia="宋体" w:cs="宋体"/>
                <w:kern w:val="2"/>
                <w:sz w:val="24"/>
                <w:szCs w:val="24"/>
                <w:u w:val="none"/>
                <w:vertAlign w:val="baseline"/>
                <w:lang w:val="en-US" w:eastAsia="zh-CN" w:bidi="ar-SA"/>
              </w:rPr>
              <w:t>高性能书写软件，支持单点、多点书写，增加笔锋书写效果等，支持白板插入图片，加页，手势板檫，放大，缩小及漫游、扫码分享，任意通道任何界面下可进行批注等功能；</w:t>
            </w:r>
            <w:bookmarkEnd w:id="163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39" w:name="_Toc371"/>
            <w:r>
              <w:rPr>
                <w:rFonts w:hint="eastAsia" w:ascii="宋体" w:hAnsi="宋体" w:eastAsia="宋体" w:cs="宋体"/>
                <w:kern w:val="2"/>
                <w:sz w:val="24"/>
                <w:szCs w:val="24"/>
                <w:u w:val="none"/>
                <w:vertAlign w:val="baseline"/>
                <w:lang w:val="en-US" w:eastAsia="zh-CN" w:bidi="ar-SA"/>
              </w:rPr>
              <w:t>白板页面无极缩放，可随意撤销和恢复，不限步数；</w:t>
            </w:r>
            <w:bookmarkEnd w:id="163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0" w:name="_Toc22007"/>
            <w:r>
              <w:rPr>
                <w:rFonts w:hint="eastAsia" w:ascii="宋体" w:hAnsi="宋体" w:eastAsia="宋体" w:cs="宋体"/>
                <w:kern w:val="2"/>
                <w:sz w:val="24"/>
                <w:szCs w:val="24"/>
                <w:u w:val="none"/>
                <w:vertAlign w:val="baseline"/>
                <w:lang w:val="en-US" w:eastAsia="zh-CN" w:bidi="ar-SA"/>
              </w:rPr>
              <w:t>AG 防炫光4MM钢化玻璃，莫氏 7 级硬度安全有保障，书写体验更佳；</w:t>
            </w:r>
            <w:bookmarkEnd w:id="164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1" w:name="_Toc5202"/>
            <w:r>
              <w:rPr>
                <w:rFonts w:hint="eastAsia" w:ascii="宋体" w:hAnsi="宋体" w:eastAsia="宋体" w:cs="宋体"/>
                <w:kern w:val="2"/>
                <w:sz w:val="24"/>
                <w:szCs w:val="24"/>
                <w:u w:val="none"/>
                <w:vertAlign w:val="baseline"/>
                <w:lang w:val="en-US" w:eastAsia="zh-CN" w:bidi="ar-SA"/>
              </w:rPr>
              <w:t>4、会议培训：</w:t>
            </w:r>
            <w:bookmarkEnd w:id="164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2" w:name="_Toc30520"/>
            <w:r>
              <w:rPr>
                <w:rFonts w:hint="eastAsia" w:ascii="宋体" w:hAnsi="宋体" w:eastAsia="宋体" w:cs="宋体"/>
                <w:kern w:val="2"/>
                <w:sz w:val="24"/>
                <w:szCs w:val="24"/>
                <w:u w:val="none"/>
                <w:vertAlign w:val="baseline"/>
                <w:lang w:val="en-US" w:eastAsia="zh-CN" w:bidi="ar-SA"/>
              </w:rPr>
              <w:t>内置 WPS、欢迎界面、等高效会议软件；</w:t>
            </w:r>
            <w:bookmarkEnd w:id="164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3" w:name="_Toc29318"/>
            <w:r>
              <w:rPr>
                <w:rFonts w:hint="eastAsia" w:ascii="宋体" w:hAnsi="宋体" w:eastAsia="宋体" w:cs="宋体"/>
                <w:kern w:val="2"/>
                <w:sz w:val="24"/>
                <w:szCs w:val="24"/>
                <w:u w:val="none"/>
                <w:vertAlign w:val="baseline"/>
                <w:lang w:val="en-US" w:eastAsia="zh-CN" w:bidi="ar-SA"/>
              </w:rPr>
              <w:t>内置 2.4G/5G 投屏模块，支持无线上网和 WIFI 热点同时使用；</w:t>
            </w:r>
            <w:bookmarkEnd w:id="164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4" w:name="_Toc22544"/>
            <w:r>
              <w:rPr>
                <w:rFonts w:hint="eastAsia" w:ascii="宋体" w:hAnsi="宋体" w:eastAsia="宋体" w:cs="宋体"/>
                <w:kern w:val="2"/>
                <w:sz w:val="24"/>
                <w:szCs w:val="24"/>
                <w:u w:val="none"/>
                <w:vertAlign w:val="baseline"/>
                <w:lang w:val="en-US" w:eastAsia="zh-CN" w:bidi="ar-SA"/>
              </w:rPr>
              <w:t>无线同屏，支持多路同屏，实现镜像反控、远程快照、视频、音乐、文档共享、图片截图、无线遥控器保密性点投等功能；</w:t>
            </w:r>
            <w:bookmarkEnd w:id="164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5" w:name="_Toc1285"/>
            <w:r>
              <w:rPr>
                <w:rFonts w:hint="eastAsia" w:ascii="宋体" w:hAnsi="宋体" w:eastAsia="宋体" w:cs="宋体"/>
                <w:kern w:val="2"/>
                <w:sz w:val="24"/>
                <w:szCs w:val="24"/>
                <w:u w:val="none"/>
                <w:vertAlign w:val="baseline"/>
                <w:lang w:val="en-US" w:eastAsia="zh-CN" w:bidi="ar-SA"/>
              </w:rPr>
              <w:t>外部输入信号源自动识别跳转，屏幕切换轻松便捷；</w:t>
            </w:r>
            <w:bookmarkEnd w:id="164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6" w:name="_Toc7000"/>
            <w:r>
              <w:rPr>
                <w:rFonts w:hint="eastAsia" w:ascii="宋体" w:hAnsi="宋体" w:eastAsia="宋体" w:cs="宋体"/>
                <w:kern w:val="2"/>
                <w:sz w:val="24"/>
                <w:szCs w:val="24"/>
                <w:u w:val="none"/>
                <w:vertAlign w:val="baseline"/>
                <w:lang w:val="en-US" w:eastAsia="zh-CN" w:bidi="ar-SA"/>
              </w:rPr>
              <w:t>5、商业展示：</w:t>
            </w:r>
            <w:bookmarkEnd w:id="164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7" w:name="_Toc7931"/>
            <w:r>
              <w:rPr>
                <w:rFonts w:hint="eastAsia" w:ascii="宋体" w:hAnsi="宋体" w:eastAsia="宋体" w:cs="宋体"/>
                <w:kern w:val="2"/>
                <w:sz w:val="24"/>
                <w:szCs w:val="24"/>
                <w:u w:val="none"/>
                <w:vertAlign w:val="baseline"/>
                <w:lang w:val="en-US" w:eastAsia="zh-CN" w:bidi="ar-SA"/>
              </w:rPr>
              <w:t>高清图像处理引擎：图像运动补偿、色彩增强处理、点对点精显技术；</w:t>
            </w:r>
            <w:bookmarkEnd w:id="164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8" w:name="_Toc9648"/>
            <w:r>
              <w:rPr>
                <w:rFonts w:hint="eastAsia" w:ascii="宋体" w:hAnsi="宋体" w:eastAsia="宋体" w:cs="宋体"/>
                <w:kern w:val="2"/>
                <w:sz w:val="24"/>
                <w:szCs w:val="24"/>
                <w:u w:val="none"/>
                <w:vertAlign w:val="baseline"/>
                <w:lang w:val="en-US" w:eastAsia="zh-CN" w:bidi="ar-SA"/>
              </w:rPr>
              <w:t>智能化一体机，悬浮菜单三指触屏跟随、五指触屏休眠；</w:t>
            </w:r>
            <w:bookmarkEnd w:id="164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49" w:name="_Toc27745"/>
            <w:r>
              <w:rPr>
                <w:rFonts w:hint="eastAsia" w:ascii="宋体" w:hAnsi="宋体" w:eastAsia="宋体" w:cs="宋体"/>
                <w:kern w:val="2"/>
                <w:sz w:val="24"/>
                <w:szCs w:val="24"/>
                <w:u w:val="none"/>
                <w:vertAlign w:val="baseline"/>
                <w:lang w:val="en-US" w:eastAsia="zh-CN" w:bidi="ar-SA"/>
              </w:rPr>
              <w:t>自定义开机画面、主题和背景，本地媒体播放器支持自动分类，满足不同场合需求；</w:t>
            </w:r>
            <w:bookmarkEnd w:id="164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0" w:name="_Toc6353"/>
            <w:r>
              <w:rPr>
                <w:rFonts w:hint="eastAsia" w:ascii="宋体" w:hAnsi="宋体" w:eastAsia="宋体" w:cs="宋体"/>
                <w:kern w:val="2"/>
                <w:sz w:val="24"/>
                <w:szCs w:val="24"/>
                <w:u w:val="none"/>
                <w:vertAlign w:val="baseline"/>
                <w:lang w:val="en-US" w:eastAsia="zh-CN" w:bidi="ar-SA"/>
              </w:rPr>
              <w:t>侧边栏按钮、手势唤出小窗口功能：投票器、计时器、截屏、童锁、录屏、拍照、触摸感应、智能护眼等方式和触摸控制开关自由切换；</w:t>
            </w:r>
            <w:bookmarkEnd w:id="165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1" w:name="_Toc7978"/>
            <w:r>
              <w:rPr>
                <w:rFonts w:hint="eastAsia" w:ascii="宋体" w:hAnsi="宋体" w:eastAsia="宋体" w:cs="宋体"/>
                <w:kern w:val="2"/>
                <w:sz w:val="24"/>
                <w:szCs w:val="24"/>
                <w:u w:val="none"/>
                <w:vertAlign w:val="baseline"/>
                <w:lang w:val="en-US" w:eastAsia="zh-CN" w:bidi="ar-SA"/>
              </w:rPr>
              <w:t>兼容外置信发系统APK软件，可远程发布视频、图片、滚动字幕，可用于展示宣传、会议信息、展览信息、医院信息介绍等；</w:t>
            </w:r>
            <w:bookmarkEnd w:id="165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2" w:name="_Toc28873"/>
            <w:r>
              <w:rPr>
                <w:rFonts w:hint="eastAsia" w:ascii="宋体" w:hAnsi="宋体" w:eastAsia="宋体" w:cs="宋体"/>
                <w:kern w:val="2"/>
                <w:sz w:val="24"/>
                <w:szCs w:val="24"/>
                <w:u w:val="none"/>
                <w:vertAlign w:val="baseline"/>
                <w:lang w:val="en-US" w:eastAsia="zh-CN" w:bidi="ar-SA"/>
              </w:rPr>
              <w:t>屏幕尺寸 85"</w:t>
            </w:r>
            <w:bookmarkEnd w:id="165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3" w:name="_Toc15316"/>
            <w:r>
              <w:rPr>
                <w:rFonts w:hint="eastAsia" w:ascii="宋体" w:hAnsi="宋体" w:eastAsia="宋体" w:cs="宋体"/>
                <w:kern w:val="2"/>
                <w:sz w:val="24"/>
                <w:szCs w:val="24"/>
                <w:u w:val="none"/>
                <w:vertAlign w:val="baseline"/>
                <w:lang w:val="en-US" w:eastAsia="zh-CN" w:bidi="ar-SA"/>
              </w:rPr>
              <w:t>背光类型 D-LED</w:t>
            </w:r>
            <w:bookmarkEnd w:id="165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4" w:name="_Toc15532"/>
            <w:r>
              <w:rPr>
                <w:rFonts w:hint="eastAsia" w:ascii="宋体" w:hAnsi="宋体" w:eastAsia="宋体" w:cs="宋体"/>
                <w:kern w:val="2"/>
                <w:sz w:val="24"/>
                <w:szCs w:val="24"/>
                <w:u w:val="none"/>
                <w:vertAlign w:val="baseline"/>
                <w:lang w:val="en-US" w:eastAsia="zh-CN" w:bidi="ar-SA"/>
              </w:rPr>
              <w:t>分辨率 3840*2160</w:t>
            </w:r>
            <w:bookmarkEnd w:id="165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5" w:name="_Toc20394"/>
            <w:r>
              <w:rPr>
                <w:rFonts w:hint="eastAsia" w:ascii="宋体" w:hAnsi="宋体" w:eastAsia="宋体" w:cs="宋体"/>
                <w:kern w:val="2"/>
                <w:sz w:val="24"/>
                <w:szCs w:val="24"/>
                <w:u w:val="none"/>
                <w:vertAlign w:val="baseline"/>
                <w:lang w:val="en-US" w:eastAsia="zh-CN" w:bidi="ar-SA"/>
              </w:rPr>
              <w:t>亮度 350cd/m²</w:t>
            </w:r>
            <w:bookmarkEnd w:id="165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6" w:name="_Toc25545"/>
            <w:r>
              <w:rPr>
                <w:rFonts w:hint="eastAsia" w:ascii="宋体" w:hAnsi="宋体" w:eastAsia="宋体" w:cs="宋体"/>
                <w:kern w:val="2"/>
                <w:sz w:val="24"/>
                <w:szCs w:val="24"/>
                <w:u w:val="none"/>
                <w:vertAlign w:val="baseline"/>
                <w:lang w:val="en-US" w:eastAsia="zh-CN" w:bidi="ar-SA"/>
              </w:rPr>
              <w:t>屏对比度 4000:1</w:t>
            </w:r>
            <w:bookmarkEnd w:id="165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7" w:name="_Toc22290"/>
            <w:r>
              <w:rPr>
                <w:rFonts w:hint="eastAsia" w:ascii="宋体" w:hAnsi="宋体" w:eastAsia="宋体" w:cs="宋体"/>
                <w:kern w:val="2"/>
                <w:sz w:val="24"/>
                <w:szCs w:val="24"/>
                <w:u w:val="none"/>
                <w:vertAlign w:val="baseline"/>
                <w:lang w:val="en-US" w:eastAsia="zh-CN" w:bidi="ar-SA"/>
              </w:rPr>
              <w:t>响应时间 6ms</w:t>
            </w:r>
            <w:bookmarkEnd w:id="165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8" w:name="_Toc27000"/>
            <w:r>
              <w:rPr>
                <w:rFonts w:hint="eastAsia" w:ascii="宋体" w:hAnsi="宋体" w:eastAsia="宋体" w:cs="宋体"/>
                <w:kern w:val="2"/>
                <w:sz w:val="24"/>
                <w:szCs w:val="24"/>
                <w:u w:val="none"/>
                <w:vertAlign w:val="baseline"/>
                <w:lang w:val="en-US" w:eastAsia="zh-CN" w:bidi="ar-SA"/>
              </w:rPr>
              <w:t>像素点距 0.4875 mm x 0.4875 mm</w:t>
            </w:r>
            <w:bookmarkEnd w:id="165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59" w:name="_Toc15348"/>
            <w:r>
              <w:rPr>
                <w:rFonts w:hint="eastAsia" w:ascii="宋体" w:hAnsi="宋体" w:eastAsia="宋体" w:cs="宋体"/>
                <w:kern w:val="2"/>
                <w:sz w:val="24"/>
                <w:szCs w:val="24"/>
                <w:u w:val="none"/>
                <w:vertAlign w:val="baseline"/>
                <w:lang w:val="en-US" w:eastAsia="zh-CN" w:bidi="ar-SA"/>
              </w:rPr>
              <w:t>帧频 60 Hz</w:t>
            </w:r>
            <w:bookmarkEnd w:id="165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0" w:name="_Toc31784"/>
            <w:r>
              <w:rPr>
                <w:rFonts w:hint="eastAsia" w:ascii="宋体" w:hAnsi="宋体" w:eastAsia="宋体" w:cs="宋体"/>
                <w:kern w:val="2"/>
                <w:sz w:val="24"/>
                <w:szCs w:val="24"/>
                <w:u w:val="none"/>
                <w:vertAlign w:val="baseline"/>
                <w:lang w:val="en-US" w:eastAsia="zh-CN" w:bidi="ar-SA"/>
              </w:rPr>
              <w:t>视角 178°(H) / 178°(V)</w:t>
            </w:r>
            <w:bookmarkEnd w:id="166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1" w:name="_Toc22149"/>
            <w:r>
              <w:rPr>
                <w:rFonts w:hint="eastAsia" w:ascii="宋体" w:hAnsi="宋体" w:eastAsia="宋体" w:cs="宋体"/>
                <w:kern w:val="2"/>
                <w:sz w:val="24"/>
                <w:szCs w:val="24"/>
                <w:u w:val="none"/>
                <w:vertAlign w:val="baseline"/>
                <w:lang w:val="en-US" w:eastAsia="zh-CN" w:bidi="ar-SA"/>
              </w:rPr>
              <w:t>色彩饱和度(x% NTSC) 72 %</w:t>
            </w:r>
            <w:bookmarkEnd w:id="166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2" w:name="_Toc28851"/>
            <w:r>
              <w:rPr>
                <w:rFonts w:hint="eastAsia" w:ascii="宋体" w:hAnsi="宋体" w:eastAsia="宋体" w:cs="宋体"/>
                <w:kern w:val="2"/>
                <w:sz w:val="24"/>
                <w:szCs w:val="24"/>
                <w:u w:val="none"/>
                <w:vertAlign w:val="baseline"/>
                <w:lang w:val="en-US" w:eastAsia="zh-CN" w:bidi="ar-SA"/>
              </w:rPr>
              <w:t>可视面积 1872(横)×1053(竖) mm</w:t>
            </w:r>
            <w:bookmarkEnd w:id="166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3" w:name="_Toc30663"/>
            <w:r>
              <w:rPr>
                <w:rFonts w:hint="eastAsia" w:ascii="宋体" w:hAnsi="宋体" w:eastAsia="宋体" w:cs="宋体"/>
                <w:kern w:val="2"/>
                <w:sz w:val="24"/>
                <w:szCs w:val="24"/>
                <w:u w:val="none"/>
                <w:vertAlign w:val="baseline"/>
                <w:lang w:val="en-US" w:eastAsia="zh-CN" w:bidi="ar-SA"/>
              </w:rPr>
              <w:t>色彩度 1.07B(8bit)</w:t>
            </w:r>
            <w:bookmarkEnd w:id="166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4" w:name="_Toc11616"/>
            <w:r>
              <w:rPr>
                <w:rFonts w:hint="eastAsia" w:ascii="宋体" w:hAnsi="宋体" w:eastAsia="宋体" w:cs="宋体"/>
                <w:kern w:val="2"/>
                <w:sz w:val="24"/>
                <w:szCs w:val="24"/>
                <w:u w:val="none"/>
                <w:vertAlign w:val="baseline"/>
                <w:lang w:val="en-US" w:eastAsia="zh-CN" w:bidi="ar-SA"/>
              </w:rPr>
              <w:t>寿命 50,000 hrs</w:t>
            </w:r>
            <w:bookmarkEnd w:id="166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5" w:name="_Toc2318"/>
            <w:r>
              <w:rPr>
                <w:rFonts w:hint="eastAsia" w:ascii="宋体" w:hAnsi="宋体" w:eastAsia="宋体" w:cs="宋体"/>
                <w:kern w:val="2"/>
                <w:sz w:val="24"/>
                <w:szCs w:val="24"/>
                <w:u w:val="none"/>
                <w:vertAlign w:val="baseline"/>
                <w:lang w:val="en-US" w:eastAsia="zh-CN" w:bidi="ar-SA"/>
              </w:rPr>
              <w:t>芯片 MTK8386</w:t>
            </w:r>
            <w:bookmarkEnd w:id="166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6" w:name="_Toc10698"/>
            <w:r>
              <w:rPr>
                <w:rFonts w:hint="eastAsia" w:ascii="宋体" w:hAnsi="宋体" w:eastAsia="宋体" w:cs="宋体"/>
                <w:kern w:val="2"/>
                <w:sz w:val="24"/>
                <w:szCs w:val="24"/>
                <w:u w:val="none"/>
                <w:vertAlign w:val="baseline"/>
                <w:lang w:val="en-US" w:eastAsia="zh-CN" w:bidi="ar-SA"/>
              </w:rPr>
              <w:t>系统版本 Android 8.0</w:t>
            </w:r>
            <w:bookmarkEnd w:id="166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7" w:name="_Toc4944"/>
            <w:r>
              <w:rPr>
                <w:rFonts w:hint="eastAsia" w:ascii="宋体" w:hAnsi="宋体" w:eastAsia="宋体" w:cs="宋体"/>
                <w:kern w:val="2"/>
                <w:sz w:val="24"/>
                <w:szCs w:val="24"/>
                <w:u w:val="none"/>
                <w:vertAlign w:val="baseline"/>
                <w:lang w:val="en-US" w:eastAsia="zh-CN" w:bidi="ar-SA"/>
              </w:rPr>
              <w:t>CPU 架构 CA53*2+CA73*2</w:t>
            </w:r>
            <w:bookmarkEnd w:id="166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8" w:name="_Toc11612"/>
            <w:r>
              <w:rPr>
                <w:rFonts w:hint="eastAsia" w:ascii="宋体" w:hAnsi="宋体" w:eastAsia="宋体" w:cs="宋体"/>
                <w:kern w:val="2"/>
                <w:sz w:val="24"/>
                <w:szCs w:val="24"/>
                <w:u w:val="none"/>
                <w:vertAlign w:val="baseline"/>
                <w:lang w:val="en-US" w:eastAsia="zh-CN" w:bidi="ar-SA"/>
              </w:rPr>
              <w:t>CPU 工作主频 1.5 GHz</w:t>
            </w:r>
            <w:bookmarkEnd w:id="166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69" w:name="_Toc25021"/>
            <w:r>
              <w:rPr>
                <w:rFonts w:hint="eastAsia" w:ascii="宋体" w:hAnsi="宋体" w:eastAsia="宋体" w:cs="宋体"/>
                <w:kern w:val="2"/>
                <w:sz w:val="24"/>
                <w:szCs w:val="24"/>
                <w:u w:val="none"/>
                <w:vertAlign w:val="baseline"/>
                <w:lang w:val="en-US" w:eastAsia="zh-CN" w:bidi="ar-SA"/>
              </w:rPr>
              <w:t>CPU 核心数 四核</w:t>
            </w:r>
            <w:bookmarkEnd w:id="166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0" w:name="_Toc25727"/>
            <w:r>
              <w:rPr>
                <w:rFonts w:hint="eastAsia" w:ascii="宋体" w:hAnsi="宋体" w:eastAsia="宋体" w:cs="宋体"/>
                <w:kern w:val="2"/>
                <w:sz w:val="24"/>
                <w:szCs w:val="24"/>
                <w:u w:val="none"/>
                <w:vertAlign w:val="baseline"/>
                <w:lang w:val="en-US" w:eastAsia="zh-CN" w:bidi="ar-SA"/>
              </w:rPr>
              <w:t>GPU G51MP2</w:t>
            </w:r>
            <w:bookmarkEnd w:id="167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1" w:name="_Toc17973"/>
            <w:r>
              <w:rPr>
                <w:rFonts w:hint="eastAsia" w:ascii="宋体" w:hAnsi="宋体" w:eastAsia="宋体" w:cs="宋体"/>
                <w:kern w:val="2"/>
                <w:sz w:val="24"/>
                <w:szCs w:val="24"/>
                <w:u w:val="none"/>
                <w:vertAlign w:val="baseline"/>
                <w:lang w:val="en-US" w:eastAsia="zh-CN" w:bidi="ar-SA"/>
              </w:rPr>
              <w:t>内部缓存容量（RAM） DDR4 3G</w:t>
            </w:r>
            <w:bookmarkEnd w:id="167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2" w:name="_Toc17935"/>
            <w:r>
              <w:rPr>
                <w:rFonts w:hint="eastAsia" w:ascii="宋体" w:hAnsi="宋体" w:eastAsia="宋体" w:cs="宋体"/>
                <w:kern w:val="2"/>
                <w:sz w:val="24"/>
                <w:szCs w:val="24"/>
                <w:u w:val="none"/>
                <w:vertAlign w:val="baseline"/>
                <w:lang w:val="en-US" w:eastAsia="zh-CN" w:bidi="ar-SA"/>
              </w:rPr>
              <w:t>内部存储容量（ROM） Emmc  32G</w:t>
            </w:r>
            <w:bookmarkEnd w:id="167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3" w:name="_Toc28350"/>
            <w:r>
              <w:rPr>
                <w:rFonts w:hint="eastAsia" w:ascii="宋体" w:hAnsi="宋体" w:eastAsia="宋体" w:cs="宋体"/>
                <w:kern w:val="2"/>
                <w:sz w:val="24"/>
                <w:szCs w:val="24"/>
                <w:u w:val="none"/>
                <w:vertAlign w:val="baseline"/>
                <w:lang w:val="en-US" w:eastAsia="zh-CN" w:bidi="ar-SA"/>
              </w:rPr>
              <w:t>电源 100 V ~ 240 V/AC, 50/60 Hz  1.6A</w:t>
            </w:r>
            <w:bookmarkEnd w:id="167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4" w:name="_Toc30318"/>
            <w:r>
              <w:rPr>
                <w:rFonts w:hint="eastAsia" w:ascii="宋体" w:hAnsi="宋体" w:eastAsia="宋体" w:cs="宋体"/>
                <w:kern w:val="2"/>
                <w:sz w:val="24"/>
                <w:szCs w:val="24"/>
                <w:u w:val="none"/>
                <w:vertAlign w:val="baseline"/>
                <w:lang w:val="en-US" w:eastAsia="zh-CN" w:bidi="ar-SA"/>
              </w:rPr>
              <w:t>待机功耗 ≦0.5W</w:t>
            </w:r>
            <w:bookmarkEnd w:id="167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5" w:name="_Toc10967"/>
            <w:r>
              <w:rPr>
                <w:rFonts w:hint="eastAsia" w:ascii="宋体" w:hAnsi="宋体" w:eastAsia="宋体" w:cs="宋体"/>
                <w:kern w:val="2"/>
                <w:sz w:val="24"/>
                <w:szCs w:val="24"/>
                <w:u w:val="none"/>
                <w:vertAlign w:val="baseline"/>
                <w:lang w:val="en-US" w:eastAsia="zh-CN" w:bidi="ar-SA"/>
              </w:rPr>
              <w:t>OPS 电源 19V(DC)/5A</w:t>
            </w:r>
            <w:bookmarkEnd w:id="167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6" w:name="_Toc31005"/>
            <w:r>
              <w:rPr>
                <w:rFonts w:hint="eastAsia" w:ascii="宋体" w:hAnsi="宋体" w:eastAsia="宋体" w:cs="宋体"/>
                <w:kern w:val="2"/>
                <w:sz w:val="24"/>
                <w:szCs w:val="24"/>
                <w:u w:val="none"/>
                <w:vertAlign w:val="baseline"/>
                <w:lang w:val="en-US" w:eastAsia="zh-CN" w:bidi="ar-SA"/>
              </w:rPr>
              <w:t>伴音功率 8Ω/10W*2</w:t>
            </w:r>
            <w:bookmarkEnd w:id="167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7" w:name="_Toc8698"/>
            <w:r>
              <w:rPr>
                <w:rFonts w:hint="eastAsia" w:ascii="宋体" w:hAnsi="宋体" w:eastAsia="宋体" w:cs="宋体"/>
                <w:kern w:val="2"/>
                <w:sz w:val="24"/>
                <w:szCs w:val="24"/>
                <w:u w:val="none"/>
                <w:vertAlign w:val="baseline"/>
                <w:lang w:val="en-US" w:eastAsia="zh-CN" w:bidi="ar-SA"/>
              </w:rPr>
              <w:t>电源开关 *1</w:t>
            </w:r>
            <w:bookmarkEnd w:id="167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8" w:name="_Toc10690"/>
            <w:r>
              <w:rPr>
                <w:rFonts w:hint="eastAsia" w:ascii="宋体" w:hAnsi="宋体" w:eastAsia="宋体" w:cs="宋体"/>
                <w:kern w:val="2"/>
                <w:sz w:val="24"/>
                <w:szCs w:val="24"/>
                <w:u w:val="none"/>
                <w:vertAlign w:val="baseline"/>
                <w:lang w:val="en-US" w:eastAsia="zh-CN" w:bidi="ar-SA"/>
              </w:rPr>
              <w:t>LAN 接口 *2</w:t>
            </w:r>
            <w:bookmarkEnd w:id="167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79" w:name="_Toc4864"/>
            <w:r>
              <w:rPr>
                <w:rFonts w:hint="eastAsia" w:ascii="宋体" w:hAnsi="宋体" w:eastAsia="宋体" w:cs="宋体"/>
                <w:kern w:val="2"/>
                <w:sz w:val="24"/>
                <w:szCs w:val="24"/>
                <w:u w:val="none"/>
                <w:vertAlign w:val="baseline"/>
                <w:lang w:val="en-US" w:eastAsia="zh-CN" w:bidi="ar-SA"/>
              </w:rPr>
              <w:t>VGA 输入接口 *1</w:t>
            </w:r>
            <w:bookmarkEnd w:id="167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0" w:name="_Toc32373"/>
            <w:r>
              <w:rPr>
                <w:rFonts w:hint="eastAsia" w:ascii="宋体" w:hAnsi="宋体" w:eastAsia="宋体" w:cs="宋体"/>
                <w:kern w:val="2"/>
                <w:sz w:val="24"/>
                <w:szCs w:val="24"/>
                <w:u w:val="none"/>
                <w:vertAlign w:val="baseline"/>
                <w:lang w:val="en-US" w:eastAsia="zh-CN" w:bidi="ar-SA"/>
              </w:rPr>
              <w:t>PC-AUDIO 输入接口 *1</w:t>
            </w:r>
            <w:bookmarkEnd w:id="168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1" w:name="_Toc2999"/>
            <w:r>
              <w:rPr>
                <w:rFonts w:hint="eastAsia" w:ascii="宋体" w:hAnsi="宋体" w:eastAsia="宋体" w:cs="宋体"/>
                <w:kern w:val="2"/>
                <w:sz w:val="24"/>
                <w:szCs w:val="24"/>
                <w:u w:val="none"/>
                <w:vertAlign w:val="baseline"/>
                <w:lang w:val="en-US" w:eastAsia="zh-CN" w:bidi="ar-SA"/>
              </w:rPr>
              <w:t>YPBPR *1</w:t>
            </w:r>
            <w:bookmarkEnd w:id="168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2" w:name="_Toc25983"/>
            <w:r>
              <w:rPr>
                <w:rFonts w:hint="eastAsia" w:ascii="宋体" w:hAnsi="宋体" w:eastAsia="宋体" w:cs="宋体"/>
                <w:kern w:val="2"/>
                <w:sz w:val="24"/>
                <w:szCs w:val="24"/>
                <w:u w:val="none"/>
                <w:vertAlign w:val="baseline"/>
                <w:lang w:val="en-US" w:eastAsia="zh-CN" w:bidi="ar-SA"/>
              </w:rPr>
              <w:t>AV IN *1</w:t>
            </w:r>
            <w:bookmarkEnd w:id="168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3" w:name="_Toc16946"/>
            <w:r>
              <w:rPr>
                <w:rFonts w:hint="eastAsia" w:ascii="宋体" w:hAnsi="宋体" w:eastAsia="宋体" w:cs="宋体"/>
                <w:kern w:val="2"/>
                <w:sz w:val="24"/>
                <w:szCs w:val="24"/>
                <w:u w:val="none"/>
                <w:vertAlign w:val="baseline"/>
                <w:lang w:val="en-US" w:eastAsia="zh-CN" w:bidi="ar-SA"/>
              </w:rPr>
              <w:t>AV OUT *1</w:t>
            </w:r>
            <w:bookmarkEnd w:id="168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4" w:name="_Toc25059"/>
            <w:r>
              <w:rPr>
                <w:rFonts w:hint="eastAsia" w:ascii="宋体" w:hAnsi="宋体" w:eastAsia="宋体" w:cs="宋体"/>
                <w:kern w:val="2"/>
                <w:sz w:val="24"/>
                <w:szCs w:val="24"/>
                <w:u w:val="none"/>
                <w:vertAlign w:val="baseline"/>
                <w:lang w:val="en-US" w:eastAsia="zh-CN" w:bidi="ar-SA"/>
              </w:rPr>
              <w:t>Earphone OUT *1</w:t>
            </w:r>
            <w:bookmarkEnd w:id="168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5" w:name="_Toc17823"/>
            <w:r>
              <w:rPr>
                <w:rFonts w:hint="eastAsia" w:ascii="宋体" w:hAnsi="宋体" w:eastAsia="宋体" w:cs="宋体"/>
                <w:kern w:val="2"/>
                <w:sz w:val="24"/>
                <w:szCs w:val="24"/>
                <w:u w:val="none"/>
                <w:vertAlign w:val="baseline"/>
                <w:lang w:val="en-US" w:eastAsia="zh-CN" w:bidi="ar-SA"/>
              </w:rPr>
              <w:t>RF-IN *1</w:t>
            </w:r>
            <w:bookmarkEnd w:id="168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6" w:name="_Toc25969"/>
            <w:r>
              <w:rPr>
                <w:rFonts w:hint="eastAsia" w:ascii="宋体" w:hAnsi="宋体" w:eastAsia="宋体" w:cs="宋体"/>
                <w:kern w:val="2"/>
                <w:sz w:val="24"/>
                <w:szCs w:val="24"/>
                <w:u w:val="none"/>
                <w:vertAlign w:val="baseline"/>
                <w:lang w:val="en-US" w:eastAsia="zh-CN" w:bidi="ar-SA"/>
              </w:rPr>
              <w:t>SPDIF *1</w:t>
            </w:r>
            <w:bookmarkEnd w:id="168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7" w:name="_Toc10905"/>
            <w:r>
              <w:rPr>
                <w:rFonts w:hint="eastAsia" w:ascii="宋体" w:hAnsi="宋体" w:eastAsia="宋体" w:cs="宋体"/>
                <w:kern w:val="2"/>
                <w:sz w:val="24"/>
                <w:szCs w:val="24"/>
                <w:u w:val="none"/>
                <w:vertAlign w:val="baseline"/>
                <w:lang w:val="en-US" w:eastAsia="zh-CN" w:bidi="ar-SA"/>
              </w:rPr>
              <w:t>HDMI输入 *2（前置1组）</w:t>
            </w:r>
            <w:bookmarkEnd w:id="168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8" w:name="_Toc7220"/>
            <w:r>
              <w:rPr>
                <w:rFonts w:hint="eastAsia" w:ascii="宋体" w:hAnsi="宋体" w:eastAsia="宋体" w:cs="宋体"/>
                <w:kern w:val="2"/>
                <w:sz w:val="24"/>
                <w:szCs w:val="24"/>
                <w:u w:val="none"/>
                <w:vertAlign w:val="baseline"/>
                <w:lang w:val="en-US" w:eastAsia="zh-CN" w:bidi="ar-SA"/>
              </w:rPr>
              <w:t>Touch *2（前置1组）</w:t>
            </w:r>
            <w:bookmarkEnd w:id="168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89" w:name="_Toc14171"/>
            <w:r>
              <w:rPr>
                <w:rFonts w:hint="eastAsia" w:ascii="宋体" w:hAnsi="宋体" w:eastAsia="宋体" w:cs="宋体"/>
                <w:kern w:val="2"/>
                <w:sz w:val="24"/>
                <w:szCs w:val="24"/>
                <w:u w:val="none"/>
                <w:vertAlign w:val="baseline"/>
                <w:lang w:val="en-US" w:eastAsia="zh-CN" w:bidi="ar-SA"/>
              </w:rPr>
              <w:t>Type-c *1(全功能）</w:t>
            </w:r>
            <w:bookmarkEnd w:id="168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90" w:name="_Toc15472"/>
            <w:r>
              <w:rPr>
                <w:rFonts w:hint="eastAsia" w:ascii="宋体" w:hAnsi="宋体" w:eastAsia="宋体" w:cs="宋体"/>
                <w:kern w:val="2"/>
                <w:sz w:val="24"/>
                <w:szCs w:val="24"/>
                <w:u w:val="none"/>
                <w:vertAlign w:val="baseline"/>
                <w:lang w:val="en-US" w:eastAsia="zh-CN" w:bidi="ar-SA"/>
              </w:rPr>
              <w:t>RS-232 *1</w:t>
            </w:r>
            <w:bookmarkEnd w:id="169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91" w:name="_Toc30271"/>
            <w:r>
              <w:rPr>
                <w:rFonts w:hint="eastAsia" w:ascii="宋体" w:hAnsi="宋体" w:eastAsia="宋体" w:cs="宋体"/>
                <w:kern w:val="2"/>
                <w:sz w:val="24"/>
                <w:szCs w:val="24"/>
                <w:u w:val="none"/>
                <w:vertAlign w:val="baseline"/>
                <w:lang w:val="en-US" w:eastAsia="zh-CN" w:bidi="ar-SA"/>
              </w:rPr>
              <w:t>USB2.0 *5（前置3路USB双通道识别)</w:t>
            </w:r>
            <w:bookmarkEnd w:id="169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92" w:name="_Toc18330"/>
            <w:r>
              <w:rPr>
                <w:rFonts w:hint="eastAsia" w:ascii="宋体" w:hAnsi="宋体" w:eastAsia="宋体" w:cs="宋体"/>
                <w:kern w:val="2"/>
                <w:sz w:val="24"/>
                <w:szCs w:val="24"/>
                <w:u w:val="none"/>
                <w:vertAlign w:val="baseline"/>
                <w:lang w:val="en-US" w:eastAsia="zh-CN" w:bidi="ar-SA"/>
              </w:rPr>
              <w:t>HDMI OUT *1(选配）</w:t>
            </w:r>
            <w:bookmarkEnd w:id="169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93" w:name="_Toc2404"/>
            <w:r>
              <w:rPr>
                <w:rFonts w:hint="eastAsia" w:ascii="宋体" w:hAnsi="宋体" w:eastAsia="宋体" w:cs="宋体"/>
                <w:kern w:val="2"/>
                <w:sz w:val="24"/>
                <w:szCs w:val="24"/>
                <w:u w:val="none"/>
                <w:vertAlign w:val="baseline"/>
                <w:lang w:val="en-US" w:eastAsia="zh-CN" w:bidi="ar-SA"/>
              </w:rPr>
              <w:t>工作温度 0℃ ~ 40℃</w:t>
            </w:r>
            <w:bookmarkEnd w:id="169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94" w:name="_Toc19427"/>
            <w:r>
              <w:rPr>
                <w:rFonts w:hint="eastAsia" w:ascii="宋体" w:hAnsi="宋体" w:eastAsia="宋体" w:cs="宋体"/>
                <w:kern w:val="2"/>
                <w:sz w:val="24"/>
                <w:szCs w:val="24"/>
                <w:u w:val="none"/>
                <w:vertAlign w:val="baseline"/>
                <w:lang w:val="en-US" w:eastAsia="zh-CN" w:bidi="ar-SA"/>
              </w:rPr>
              <w:t>储藏温度 -10℃ ~ 60℃</w:t>
            </w:r>
            <w:bookmarkEnd w:id="169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95" w:name="_Toc12415"/>
            <w:r>
              <w:rPr>
                <w:rFonts w:hint="eastAsia" w:ascii="宋体" w:hAnsi="宋体" w:eastAsia="宋体" w:cs="宋体"/>
                <w:kern w:val="2"/>
                <w:sz w:val="24"/>
                <w:szCs w:val="24"/>
                <w:u w:val="none"/>
                <w:vertAlign w:val="baseline"/>
                <w:lang w:val="en-US" w:eastAsia="zh-CN" w:bidi="ar-SA"/>
              </w:rPr>
              <w:t>工作湿度 20% ~ 80%</w:t>
            </w:r>
            <w:bookmarkEnd w:id="169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696" w:name="_Toc14870"/>
            <w:r>
              <w:rPr>
                <w:rFonts w:hint="eastAsia" w:ascii="宋体" w:hAnsi="宋体" w:eastAsia="宋体" w:cs="宋体"/>
                <w:kern w:val="2"/>
                <w:sz w:val="24"/>
                <w:szCs w:val="24"/>
                <w:u w:val="none"/>
                <w:vertAlign w:val="baseline"/>
                <w:lang w:val="en-US" w:eastAsia="zh-CN" w:bidi="ar-SA"/>
              </w:rPr>
              <w:t>储藏湿度 10% ~ 60%</w:t>
            </w:r>
            <w:bookmarkEnd w:id="169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single"/>
                <w:vertAlign w:val="baseline"/>
                <w:lang w:val="en-US" w:eastAsia="zh-CN" w:bidi="ar-SA"/>
              </w:rPr>
            </w:pPr>
            <w:bookmarkStart w:id="1697" w:name="_Toc21635"/>
            <w:r>
              <w:rPr>
                <w:rFonts w:hint="eastAsia" w:ascii="宋体" w:hAnsi="宋体" w:eastAsia="宋体" w:cs="宋体"/>
                <w:kern w:val="2"/>
                <w:sz w:val="24"/>
                <w:szCs w:val="24"/>
                <w:u w:val="none"/>
                <w:vertAlign w:val="baseline"/>
                <w:lang w:val="en-US" w:eastAsia="zh-CN" w:bidi="ar-SA"/>
              </w:rPr>
              <w:t>最长使用时间（小时*天） 18Hours*7days</w:t>
            </w:r>
            <w:bookmarkEnd w:id="16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698" w:name="_Toc9148"/>
            <w:r>
              <w:rPr>
                <w:rFonts w:hint="eastAsia" w:ascii="宋体" w:hAnsi="宋体" w:eastAsia="宋体" w:cs="宋体"/>
                <w:kern w:val="2"/>
                <w:sz w:val="24"/>
                <w:szCs w:val="24"/>
                <w:u w:val="none"/>
                <w:vertAlign w:val="baseline"/>
                <w:lang w:val="en-US" w:eastAsia="zh-CN" w:bidi="ar-SA"/>
              </w:rPr>
              <w:t>2</w:t>
            </w:r>
            <w:bookmarkEnd w:id="1698"/>
          </w:p>
        </w:tc>
        <w:tc>
          <w:tcPr>
            <w:tcW w:w="417"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699" w:name="_Toc23171"/>
            <w:r>
              <w:rPr>
                <w:rFonts w:hint="eastAsia" w:ascii="宋体" w:hAnsi="宋体" w:eastAsia="宋体" w:cs="宋体"/>
                <w:kern w:val="2"/>
                <w:sz w:val="24"/>
                <w:szCs w:val="24"/>
                <w:u w:val="none"/>
                <w:vertAlign w:val="baseline"/>
                <w:lang w:val="en-US" w:eastAsia="zh-CN" w:bidi="ar-SA"/>
              </w:rPr>
              <w:t>会议摄像机</w:t>
            </w:r>
            <w:bookmarkEnd w:id="1699"/>
          </w:p>
        </w:tc>
        <w:tc>
          <w:tcPr>
            <w:tcW w:w="286" w:type="pct"/>
            <w:vAlign w:val="center"/>
          </w:tcPr>
          <w:p>
            <w:pPr>
              <w:keepNext w:val="0"/>
              <w:keepLines w:val="0"/>
              <w:pageBreakBefore w:val="0"/>
              <w:widowControl w:val="0"/>
              <w:kinsoku/>
              <w:wordWrap/>
              <w:overflowPunct/>
              <w:topLinePunct w:val="0"/>
              <w:autoSpaceDE/>
              <w:autoSpaceDN/>
              <w:bidi w:val="0"/>
              <w:adjustRightInd/>
              <w:snapToGrid/>
              <w:spacing w:before="12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00" w:name="_Toc2311"/>
            <w:r>
              <w:rPr>
                <w:rFonts w:hint="eastAsia" w:ascii="宋体" w:hAnsi="宋体" w:eastAsia="宋体" w:cs="宋体"/>
                <w:kern w:val="2"/>
                <w:sz w:val="24"/>
                <w:szCs w:val="24"/>
                <w:u w:val="none"/>
                <w:vertAlign w:val="baseline"/>
                <w:lang w:val="en-US" w:eastAsia="zh-CN" w:bidi="ar-SA"/>
              </w:rPr>
              <w:t>4</w:t>
            </w:r>
            <w:bookmarkEnd w:id="1700"/>
          </w:p>
        </w:tc>
        <w:tc>
          <w:tcPr>
            <w:tcW w:w="4009" w:type="pct"/>
          </w:tcPr>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1" w:name="_Toc1122"/>
            <w:r>
              <w:rPr>
                <w:rFonts w:hint="eastAsia" w:ascii="宋体" w:hAnsi="宋体" w:eastAsia="宋体" w:cs="宋体"/>
                <w:kern w:val="2"/>
                <w:sz w:val="24"/>
                <w:szCs w:val="24"/>
                <w:u w:val="none"/>
                <w:vertAlign w:val="baseline"/>
                <w:lang w:val="en-US" w:eastAsia="zh-CN" w:bidi="ar-SA"/>
              </w:rPr>
              <w:t>采用1/2.8英寸，210万有效像素的高品质HDCMOS传感器，可实现1080P30超高分辨率的优质图像。输出帧频最高可达30帧/秒。</w:t>
            </w:r>
            <w:bookmarkEnd w:id="170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2" w:name="_Toc16211"/>
            <w:r>
              <w:rPr>
                <w:rFonts w:hint="eastAsia" w:ascii="宋体" w:hAnsi="宋体" w:eastAsia="宋体" w:cs="宋体"/>
                <w:kern w:val="2"/>
                <w:sz w:val="24"/>
                <w:szCs w:val="24"/>
                <w:u w:val="none"/>
                <w:vertAlign w:val="baseline"/>
                <w:lang w:val="en-US" w:eastAsia="zh-CN" w:bidi="ar-SA"/>
              </w:rPr>
              <w:t>1/3/10/12/20倍数光学变焦</w:t>
            </w:r>
            <w:bookmarkEnd w:id="170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3" w:name="_Toc618"/>
            <w:r>
              <w:rPr>
                <w:rFonts w:hint="eastAsia" w:ascii="宋体" w:hAnsi="宋体" w:eastAsia="宋体" w:cs="宋体"/>
                <w:kern w:val="2"/>
                <w:sz w:val="24"/>
                <w:szCs w:val="24"/>
                <w:u w:val="none"/>
                <w:vertAlign w:val="baseline"/>
                <w:lang w:val="en-US" w:eastAsia="zh-CN" w:bidi="ar-SA"/>
              </w:rPr>
              <w:t>快速、准确、稳定的光学变倍，精确的位置提示功能。</w:t>
            </w:r>
            <w:bookmarkEnd w:id="170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4" w:name="_Toc11414"/>
            <w:r>
              <w:rPr>
                <w:rFonts w:hint="eastAsia" w:ascii="宋体" w:hAnsi="宋体" w:eastAsia="宋体" w:cs="宋体"/>
                <w:kern w:val="2"/>
                <w:sz w:val="24"/>
                <w:szCs w:val="24"/>
                <w:u w:val="none"/>
                <w:vertAlign w:val="baseline"/>
                <w:lang w:val="en-US" w:eastAsia="zh-CN" w:bidi="ar-SA"/>
              </w:rPr>
              <w:t>高清、多格式视频输出</w:t>
            </w:r>
            <w:bookmarkEnd w:id="1704"/>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5" w:name="_Toc9771"/>
            <w:r>
              <w:rPr>
                <w:rFonts w:hint="eastAsia" w:ascii="宋体" w:hAnsi="宋体" w:eastAsia="宋体" w:cs="宋体"/>
                <w:kern w:val="2"/>
                <w:sz w:val="24"/>
                <w:szCs w:val="24"/>
                <w:u w:val="none"/>
                <w:vertAlign w:val="baseline"/>
                <w:lang w:val="en-US" w:eastAsia="zh-CN" w:bidi="ar-SA"/>
              </w:rPr>
              <w:t>标准USB2.0接口，可时时输出连续图像，支持制式：1080P30、720P30、640X480P30、320X240P30等多种视频制式。</w:t>
            </w:r>
            <w:bookmarkEnd w:id="1705"/>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6" w:name="_Toc6605"/>
            <w:r>
              <w:rPr>
                <w:rFonts w:hint="eastAsia" w:ascii="宋体" w:hAnsi="宋体" w:eastAsia="宋体" w:cs="宋体"/>
                <w:kern w:val="2"/>
                <w:sz w:val="24"/>
                <w:szCs w:val="24"/>
                <w:u w:val="none"/>
                <w:vertAlign w:val="baseline"/>
                <w:lang w:val="en-US" w:eastAsia="zh-CN" w:bidi="ar-SA"/>
              </w:rPr>
              <w:t>RS232C/RS485控制方式（VISCA协议/Pelco-D/Pelco-P）</w:t>
            </w:r>
            <w:bookmarkEnd w:id="170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7" w:name="_Toc948"/>
            <w:r>
              <w:rPr>
                <w:rFonts w:hint="eastAsia" w:ascii="宋体" w:hAnsi="宋体" w:eastAsia="宋体" w:cs="宋体"/>
                <w:kern w:val="2"/>
                <w:sz w:val="24"/>
                <w:szCs w:val="24"/>
                <w:u w:val="none"/>
                <w:vertAlign w:val="baseline"/>
                <w:lang w:val="en-US" w:eastAsia="zh-CN" w:bidi="ar-SA"/>
              </w:rPr>
              <w:t>常规使用RS-232C及RS485，可对摄像机的所有设定以功能操作，进行远程高速通讯控制。</w:t>
            </w:r>
            <w:bookmarkEnd w:id="170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8" w:name="_Toc21931"/>
            <w:r>
              <w:rPr>
                <w:rFonts w:hint="eastAsia" w:ascii="宋体" w:hAnsi="宋体" w:eastAsia="宋体" w:cs="宋体"/>
                <w:kern w:val="2"/>
                <w:sz w:val="24"/>
                <w:szCs w:val="24"/>
                <w:u w:val="none"/>
                <w:vertAlign w:val="baseline"/>
                <w:lang w:val="en-US" w:eastAsia="zh-CN" w:bidi="ar-SA"/>
              </w:rPr>
              <w:t>图像传感器 1/2.8英寸高品质HD CMOS传感器</w:t>
            </w:r>
            <w:bookmarkEnd w:id="170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09" w:name="_Toc25434"/>
            <w:r>
              <w:rPr>
                <w:rFonts w:hint="eastAsia" w:ascii="宋体" w:hAnsi="宋体" w:eastAsia="宋体" w:cs="宋体"/>
                <w:kern w:val="2"/>
                <w:sz w:val="24"/>
                <w:szCs w:val="24"/>
                <w:u w:val="none"/>
                <w:vertAlign w:val="baseline"/>
                <w:lang w:val="en-US" w:eastAsia="zh-CN" w:bidi="ar-SA"/>
              </w:rPr>
              <w:t>有效像素 16：9  210万有效象素</w:t>
            </w:r>
            <w:bookmarkEnd w:id="170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0" w:name="_Toc811"/>
            <w:r>
              <w:rPr>
                <w:rFonts w:hint="eastAsia" w:ascii="宋体" w:hAnsi="宋体" w:eastAsia="宋体" w:cs="宋体"/>
                <w:kern w:val="2"/>
                <w:sz w:val="24"/>
                <w:szCs w:val="24"/>
                <w:u w:val="none"/>
                <w:vertAlign w:val="baseline"/>
                <w:lang w:val="en-US" w:eastAsia="zh-CN" w:bidi="ar-SA"/>
              </w:rPr>
              <w:t>视频格式 USB2.0: 1080p30，720p30，</w:t>
            </w:r>
            <w:bookmarkEnd w:id="171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1" w:name="_Toc17998"/>
            <w:r>
              <w:rPr>
                <w:rFonts w:hint="eastAsia" w:ascii="宋体" w:hAnsi="宋体" w:eastAsia="宋体" w:cs="宋体"/>
                <w:kern w:val="2"/>
                <w:sz w:val="24"/>
                <w:szCs w:val="24"/>
                <w:u w:val="none"/>
                <w:vertAlign w:val="baseline"/>
                <w:lang w:val="en-US" w:eastAsia="zh-CN" w:bidi="ar-SA"/>
              </w:rPr>
              <w:t>640X480p30, 320X240p30,</w:t>
            </w:r>
            <w:bookmarkEnd w:id="171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2" w:name="_Toc23952"/>
            <w:r>
              <w:rPr>
                <w:rFonts w:hint="eastAsia" w:ascii="宋体" w:hAnsi="宋体" w:eastAsia="宋体" w:cs="宋体"/>
                <w:kern w:val="2"/>
                <w:sz w:val="24"/>
                <w:szCs w:val="24"/>
                <w:u w:val="none"/>
                <w:vertAlign w:val="baseline"/>
                <w:lang w:val="en-US" w:eastAsia="zh-CN" w:bidi="ar-SA"/>
              </w:rPr>
              <w:t>640X480p30/15/10/7.5,640X360p30/15/10/7.5</w:t>
            </w:r>
            <w:bookmarkEnd w:id="171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3" w:name="_Toc23675"/>
            <w:r>
              <w:rPr>
                <w:rFonts w:hint="eastAsia" w:ascii="宋体" w:hAnsi="宋体" w:eastAsia="宋体" w:cs="宋体"/>
                <w:kern w:val="2"/>
                <w:sz w:val="24"/>
                <w:szCs w:val="24"/>
                <w:u w:val="none"/>
                <w:vertAlign w:val="baseline"/>
                <w:lang w:val="en-US" w:eastAsia="zh-CN" w:bidi="ar-SA"/>
              </w:rPr>
              <w:t>镜头变倍 PV300,20X,F1.6～F3.5,f=4.7mm～94mm PV312,12X,F1.6～F3.5,f=4.7mm～56mm</w:t>
            </w:r>
            <w:bookmarkEnd w:id="1713"/>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4" w:name="_Toc7573"/>
            <w:r>
              <w:rPr>
                <w:rFonts w:hint="eastAsia" w:ascii="宋体" w:hAnsi="宋体" w:eastAsia="宋体" w:cs="宋体"/>
                <w:kern w:val="2"/>
                <w:sz w:val="24"/>
                <w:szCs w:val="24"/>
                <w:u w:val="none"/>
                <w:vertAlign w:val="baseline"/>
                <w:lang w:val="en-US" w:eastAsia="zh-CN" w:bidi="ar-SA"/>
              </w:rPr>
              <w:t>PV310,10X,F1.6～F3.5,f=5mm～50mm</w:t>
            </w:r>
            <w:bookmarkEnd w:id="171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5" w:name="_Toc15593"/>
            <w:r>
              <w:rPr>
                <w:rFonts w:hint="eastAsia" w:ascii="宋体" w:hAnsi="宋体" w:eastAsia="宋体" w:cs="宋体"/>
                <w:kern w:val="2"/>
                <w:sz w:val="24"/>
                <w:szCs w:val="24"/>
                <w:u w:val="none"/>
                <w:vertAlign w:val="baseline"/>
                <w:lang w:val="en-US" w:eastAsia="zh-CN" w:bidi="ar-SA"/>
              </w:rPr>
              <w:t>PV303,3X,F1.6～F3.5,f=2.5mm～7.5mm</w:t>
            </w:r>
            <w:bookmarkEnd w:id="1715"/>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6" w:name="_Toc8817"/>
            <w:r>
              <w:rPr>
                <w:rFonts w:hint="eastAsia" w:ascii="宋体" w:hAnsi="宋体" w:eastAsia="宋体" w:cs="宋体"/>
                <w:kern w:val="2"/>
                <w:sz w:val="24"/>
                <w:szCs w:val="24"/>
                <w:u w:val="none"/>
                <w:vertAlign w:val="baseline"/>
                <w:lang w:val="en-US" w:eastAsia="zh-CN" w:bidi="ar-SA"/>
              </w:rPr>
              <w:t>PV306,1X,f=3.6mm</w:t>
            </w:r>
            <w:bookmarkEnd w:id="1716"/>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7" w:name="_Toc9470"/>
            <w:r>
              <w:rPr>
                <w:rFonts w:hint="eastAsia" w:ascii="宋体" w:hAnsi="宋体" w:eastAsia="宋体" w:cs="宋体"/>
                <w:kern w:val="2"/>
                <w:sz w:val="24"/>
                <w:szCs w:val="24"/>
                <w:u w:val="none"/>
                <w:vertAlign w:val="baseline"/>
                <w:lang w:val="en-US" w:eastAsia="zh-CN" w:bidi="ar-SA"/>
              </w:rPr>
              <w:t>视角 PV300,20X,58.7°(广角端)～3.2°(远端)</w:t>
            </w:r>
            <w:bookmarkEnd w:id="171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8" w:name="_Toc19161"/>
            <w:r>
              <w:rPr>
                <w:rFonts w:hint="eastAsia" w:ascii="宋体" w:hAnsi="宋体" w:eastAsia="宋体" w:cs="宋体"/>
                <w:kern w:val="2"/>
                <w:sz w:val="24"/>
                <w:szCs w:val="24"/>
                <w:u w:val="none"/>
                <w:vertAlign w:val="baseline"/>
                <w:lang w:val="en-US" w:eastAsia="zh-CN" w:bidi="ar-SA"/>
              </w:rPr>
              <w:t>PV312,12X,62°(广角端)～5.2°(远端)</w:t>
            </w:r>
            <w:bookmarkEnd w:id="171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19" w:name="_Toc15347"/>
            <w:r>
              <w:rPr>
                <w:rFonts w:hint="eastAsia" w:ascii="宋体" w:hAnsi="宋体" w:eastAsia="宋体" w:cs="宋体"/>
                <w:kern w:val="2"/>
                <w:sz w:val="24"/>
                <w:szCs w:val="24"/>
                <w:u w:val="none"/>
                <w:vertAlign w:val="baseline"/>
                <w:lang w:val="en-US" w:eastAsia="zh-CN" w:bidi="ar-SA"/>
              </w:rPr>
              <w:t>PV310,10X,52°(广角端)～5.3°(远端)</w:t>
            </w:r>
            <w:bookmarkEnd w:id="1719"/>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0" w:name="_Toc16143"/>
            <w:r>
              <w:rPr>
                <w:rFonts w:hint="eastAsia" w:ascii="宋体" w:hAnsi="宋体" w:eastAsia="宋体" w:cs="宋体"/>
                <w:kern w:val="2"/>
                <w:sz w:val="24"/>
                <w:szCs w:val="24"/>
                <w:u w:val="none"/>
                <w:vertAlign w:val="baseline"/>
                <w:lang w:val="en-US" w:eastAsia="zh-CN" w:bidi="ar-SA"/>
              </w:rPr>
              <w:t>PV303,3X,95°(广角端)～40°(远端)</w:t>
            </w:r>
            <w:bookmarkEnd w:id="1720"/>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1" w:name="_Toc30511"/>
            <w:r>
              <w:rPr>
                <w:rFonts w:hint="eastAsia" w:ascii="宋体" w:hAnsi="宋体" w:eastAsia="宋体" w:cs="宋体"/>
                <w:kern w:val="2"/>
                <w:sz w:val="24"/>
                <w:szCs w:val="24"/>
                <w:u w:val="none"/>
                <w:vertAlign w:val="baseline"/>
                <w:lang w:val="en-US" w:eastAsia="zh-CN" w:bidi="ar-SA"/>
              </w:rPr>
              <w:t>PV306,1X,105°</w:t>
            </w:r>
            <w:bookmarkEnd w:id="1721"/>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2" w:name="_Toc31844"/>
            <w:r>
              <w:rPr>
                <w:rFonts w:hint="eastAsia" w:ascii="宋体" w:hAnsi="宋体" w:eastAsia="宋体" w:cs="宋体"/>
                <w:kern w:val="2"/>
                <w:sz w:val="24"/>
                <w:szCs w:val="24"/>
                <w:u w:val="none"/>
                <w:vertAlign w:val="baseline"/>
                <w:lang w:val="en-US" w:eastAsia="zh-CN" w:bidi="ar-SA"/>
              </w:rPr>
              <w:t>照度≥0.1Lux</w:t>
            </w:r>
            <w:bookmarkEnd w:id="172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3" w:name="_Toc20023"/>
            <w:r>
              <w:rPr>
                <w:rFonts w:hint="eastAsia" w:ascii="宋体" w:hAnsi="宋体" w:eastAsia="宋体" w:cs="宋体"/>
                <w:kern w:val="2"/>
                <w:sz w:val="24"/>
                <w:szCs w:val="24"/>
                <w:u w:val="none"/>
                <w:vertAlign w:val="baseline"/>
                <w:lang w:val="en-US" w:eastAsia="zh-CN" w:bidi="ar-SA"/>
              </w:rPr>
              <w:t>白平衡 自动/室内/室外/手动</w:t>
            </w:r>
            <w:bookmarkEnd w:id="172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4" w:name="_Toc13787"/>
            <w:r>
              <w:rPr>
                <w:rFonts w:hint="eastAsia" w:ascii="宋体" w:hAnsi="宋体" w:eastAsia="宋体" w:cs="宋体"/>
                <w:kern w:val="2"/>
                <w:sz w:val="24"/>
                <w:szCs w:val="24"/>
                <w:u w:val="none"/>
                <w:vertAlign w:val="baseline"/>
                <w:lang w:val="en-US" w:eastAsia="zh-CN" w:bidi="ar-SA"/>
              </w:rPr>
              <w:t>聚焦 自动/手动</w:t>
            </w:r>
            <w:bookmarkEnd w:id="172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5" w:name="_Toc31435"/>
            <w:r>
              <w:rPr>
                <w:rFonts w:hint="eastAsia" w:ascii="宋体" w:hAnsi="宋体" w:eastAsia="宋体" w:cs="宋体"/>
                <w:kern w:val="2"/>
                <w:sz w:val="24"/>
                <w:szCs w:val="24"/>
                <w:u w:val="none"/>
                <w:vertAlign w:val="baseline"/>
                <w:lang w:val="en-US" w:eastAsia="zh-CN" w:bidi="ar-SA"/>
              </w:rPr>
              <w:t>信噪比 &gt;52dB</w:t>
            </w:r>
            <w:bookmarkEnd w:id="172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6" w:name="_Toc11778"/>
            <w:r>
              <w:rPr>
                <w:rFonts w:hint="eastAsia" w:ascii="宋体" w:hAnsi="宋体" w:eastAsia="宋体" w:cs="宋体"/>
                <w:kern w:val="2"/>
                <w:sz w:val="24"/>
                <w:szCs w:val="24"/>
                <w:u w:val="none"/>
                <w:vertAlign w:val="baseline"/>
                <w:lang w:val="en-US" w:eastAsia="zh-CN" w:bidi="ar-SA"/>
              </w:rPr>
              <w:t>输入/输出接口</w:t>
            </w:r>
            <w:bookmarkEnd w:id="172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7" w:name="_Toc23480"/>
            <w:r>
              <w:rPr>
                <w:rFonts w:hint="eastAsia" w:ascii="宋体" w:hAnsi="宋体" w:eastAsia="宋体" w:cs="宋体"/>
                <w:kern w:val="2"/>
                <w:sz w:val="24"/>
                <w:szCs w:val="24"/>
                <w:u w:val="none"/>
                <w:vertAlign w:val="baseline"/>
                <w:lang w:val="en-US" w:eastAsia="zh-CN" w:bidi="ar-SA"/>
              </w:rPr>
              <w:t>高清视频接口 USB2.0</w:t>
            </w:r>
            <w:bookmarkEnd w:id="172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8" w:name="_Toc24379"/>
            <w:r>
              <w:rPr>
                <w:rFonts w:hint="eastAsia" w:ascii="宋体" w:hAnsi="宋体" w:eastAsia="宋体" w:cs="宋体"/>
                <w:kern w:val="2"/>
                <w:sz w:val="24"/>
                <w:szCs w:val="24"/>
                <w:u w:val="none"/>
                <w:vertAlign w:val="baseline"/>
                <w:lang w:val="en-US" w:eastAsia="zh-CN" w:bidi="ar-SA"/>
              </w:rPr>
              <w:t>控制信号接口 8芯 mini DIN(RS232)/3.81座子（RS485）</w:t>
            </w:r>
            <w:bookmarkEnd w:id="172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29" w:name="_Toc18098"/>
            <w:r>
              <w:rPr>
                <w:rFonts w:hint="eastAsia" w:ascii="宋体" w:hAnsi="宋体" w:eastAsia="宋体" w:cs="宋体"/>
                <w:kern w:val="2"/>
                <w:sz w:val="24"/>
                <w:szCs w:val="24"/>
                <w:u w:val="none"/>
                <w:vertAlign w:val="baseline"/>
                <w:lang w:val="en-US" w:eastAsia="zh-CN" w:bidi="ar-SA"/>
              </w:rPr>
              <w:t>控制信号格式 起始位：1位、数据位：8位、停止位：1位、波特率：9600/4800/2400bps</w:t>
            </w:r>
            <w:bookmarkEnd w:id="172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30" w:name="_Toc12924"/>
            <w:r>
              <w:rPr>
                <w:rFonts w:hint="eastAsia" w:ascii="宋体" w:hAnsi="宋体" w:eastAsia="宋体" w:cs="宋体"/>
                <w:kern w:val="2"/>
                <w:sz w:val="24"/>
                <w:szCs w:val="24"/>
                <w:u w:val="none"/>
                <w:vertAlign w:val="baseline"/>
                <w:lang w:val="en-US" w:eastAsia="zh-CN" w:bidi="ar-SA"/>
              </w:rPr>
              <w:t>电源接口 HEC3800电源插座</w:t>
            </w:r>
            <w:bookmarkEnd w:id="173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31" w:name="_Toc24577"/>
            <w:r>
              <w:rPr>
                <w:rFonts w:hint="eastAsia" w:ascii="宋体" w:hAnsi="宋体" w:eastAsia="宋体" w:cs="宋体"/>
                <w:kern w:val="2"/>
                <w:sz w:val="24"/>
                <w:szCs w:val="24"/>
                <w:u w:val="none"/>
                <w:vertAlign w:val="baseline"/>
                <w:lang w:val="en-US" w:eastAsia="zh-CN" w:bidi="ar-SA"/>
              </w:rPr>
              <w:t>支持操作系统 Windows 7, Windows 10,  Linux</w:t>
            </w:r>
            <w:bookmarkEnd w:id="173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32" w:name="_Toc15992"/>
            <w:r>
              <w:rPr>
                <w:rFonts w:hint="eastAsia" w:ascii="宋体" w:hAnsi="宋体" w:eastAsia="宋体" w:cs="宋体"/>
                <w:kern w:val="2"/>
                <w:sz w:val="24"/>
                <w:szCs w:val="24"/>
                <w:u w:val="none"/>
                <w:vertAlign w:val="baseline"/>
                <w:lang w:val="en-US" w:eastAsia="zh-CN" w:bidi="ar-SA"/>
              </w:rPr>
              <w:t>USB通讯协议 UVC1.1</w:t>
            </w:r>
            <w:bookmarkEnd w:id="173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33" w:name="_Toc236"/>
            <w:r>
              <w:rPr>
                <w:rFonts w:hint="eastAsia" w:ascii="宋体" w:hAnsi="宋体" w:eastAsia="宋体" w:cs="宋体"/>
                <w:kern w:val="2"/>
                <w:sz w:val="24"/>
                <w:szCs w:val="24"/>
                <w:u w:val="none"/>
                <w:vertAlign w:val="baseline"/>
                <w:lang w:val="en-US" w:eastAsia="zh-CN" w:bidi="ar-SA"/>
              </w:rPr>
              <w:t>编码方式 MPEG/YUY2</w:t>
            </w:r>
            <w:bookmarkEnd w:id="173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34" w:name="_Toc10039"/>
            <w:r>
              <w:rPr>
                <w:rFonts w:hint="eastAsia" w:ascii="宋体" w:hAnsi="宋体" w:eastAsia="宋体" w:cs="宋体"/>
                <w:kern w:val="2"/>
                <w:sz w:val="24"/>
                <w:szCs w:val="24"/>
                <w:u w:val="none"/>
                <w:vertAlign w:val="baseline"/>
                <w:lang w:val="en-US" w:eastAsia="zh-CN" w:bidi="ar-SA"/>
              </w:rPr>
              <w:t>USB接口PTZ控制 支持PTZ控制</w:t>
            </w:r>
            <w:bookmarkEnd w:id="173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35" w:name="_Toc5582"/>
            <w:r>
              <w:rPr>
                <w:rFonts w:hint="eastAsia" w:ascii="宋体" w:hAnsi="宋体" w:eastAsia="宋体" w:cs="宋体"/>
                <w:kern w:val="2"/>
                <w:sz w:val="24"/>
                <w:szCs w:val="24"/>
                <w:u w:val="none"/>
                <w:vertAlign w:val="baseline"/>
                <w:lang w:val="en-US" w:eastAsia="zh-CN" w:bidi="ar-SA"/>
              </w:rPr>
              <w:t>常规参数</w:t>
            </w:r>
            <w:bookmarkEnd w:id="173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36" w:name="_Toc26193"/>
            <w:r>
              <w:rPr>
                <w:rFonts w:hint="eastAsia" w:ascii="宋体" w:hAnsi="宋体" w:eastAsia="宋体" w:cs="宋体"/>
                <w:kern w:val="2"/>
                <w:sz w:val="24"/>
                <w:szCs w:val="24"/>
                <w:u w:val="none"/>
                <w:vertAlign w:val="baseline"/>
                <w:lang w:val="en-US" w:eastAsia="zh-CN" w:bidi="ar-SA"/>
              </w:rPr>
              <w:t>机械性能 水平转动：±170度；俯仰转动：-30度～+90度</w:t>
            </w:r>
            <w:bookmarkEnd w:id="173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r>
              <w:rPr>
                <w:rFonts w:hint="eastAsia" w:ascii="宋体" w:hAnsi="宋体" w:eastAsia="宋体" w:cs="宋体"/>
                <w:kern w:val="2"/>
                <w:sz w:val="24"/>
                <w:szCs w:val="24"/>
                <w:u w:val="none"/>
                <w:vertAlign w:val="baseline"/>
                <w:lang w:val="en-US" w:eastAsia="zh-CN" w:bidi="ar-SA"/>
              </w:rPr>
              <w:t xml:space="preserve"> </w:t>
            </w:r>
            <w:bookmarkStart w:id="1737" w:name="_Toc7652"/>
            <w:r>
              <w:rPr>
                <w:rFonts w:hint="eastAsia" w:ascii="宋体" w:hAnsi="宋体" w:eastAsia="宋体" w:cs="宋体"/>
                <w:kern w:val="2"/>
                <w:sz w:val="24"/>
                <w:szCs w:val="24"/>
                <w:u w:val="none"/>
                <w:vertAlign w:val="baseline"/>
                <w:lang w:val="en-US" w:eastAsia="zh-CN" w:bidi="ar-SA"/>
              </w:rPr>
              <w:t>水平控制速度：1-100°/秒；俯仰控制速度：1-60°/秒</w:t>
            </w:r>
            <w:bookmarkEnd w:id="173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r>
              <w:rPr>
                <w:rFonts w:hint="eastAsia" w:ascii="宋体" w:hAnsi="宋体" w:eastAsia="宋体" w:cs="宋体"/>
                <w:kern w:val="2"/>
                <w:sz w:val="24"/>
                <w:szCs w:val="24"/>
                <w:u w:val="none"/>
                <w:vertAlign w:val="baseline"/>
                <w:lang w:val="en-US" w:eastAsia="zh-CN" w:bidi="ar-SA"/>
              </w:rPr>
              <w:t xml:space="preserve"> </w:t>
            </w:r>
            <w:bookmarkStart w:id="1738" w:name="_Toc16905"/>
            <w:r>
              <w:rPr>
                <w:rFonts w:hint="eastAsia" w:ascii="宋体" w:hAnsi="宋体" w:eastAsia="宋体" w:cs="宋体"/>
                <w:kern w:val="2"/>
                <w:sz w:val="24"/>
                <w:szCs w:val="24"/>
                <w:u w:val="none"/>
                <w:vertAlign w:val="baseline"/>
                <w:lang w:val="en-US" w:eastAsia="zh-CN" w:bidi="ar-SA"/>
              </w:rPr>
              <w:t>预置位速度：水平：100°/秒，俯仰：60°/秒</w:t>
            </w:r>
            <w:bookmarkEnd w:id="173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r>
              <w:rPr>
                <w:rFonts w:hint="eastAsia" w:ascii="宋体" w:hAnsi="宋体" w:eastAsia="宋体" w:cs="宋体"/>
                <w:kern w:val="2"/>
                <w:sz w:val="24"/>
                <w:szCs w:val="24"/>
                <w:u w:val="none"/>
                <w:vertAlign w:val="baseline"/>
                <w:lang w:val="en-US" w:eastAsia="zh-CN" w:bidi="ar-SA"/>
              </w:rPr>
              <w:t xml:space="preserve"> </w:t>
            </w:r>
            <w:bookmarkStart w:id="1739" w:name="_Toc25203"/>
            <w:r>
              <w:rPr>
                <w:rFonts w:hint="eastAsia" w:ascii="宋体" w:hAnsi="宋体" w:eastAsia="宋体" w:cs="宋体"/>
                <w:kern w:val="2"/>
                <w:sz w:val="24"/>
                <w:szCs w:val="24"/>
                <w:u w:val="none"/>
                <w:vertAlign w:val="baseline"/>
                <w:lang w:val="en-US" w:eastAsia="zh-CN" w:bidi="ar-SA"/>
              </w:rPr>
              <w:t>预置位精度：0.1度</w:t>
            </w:r>
            <w:bookmarkEnd w:id="173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r>
              <w:rPr>
                <w:rFonts w:hint="eastAsia" w:ascii="宋体" w:hAnsi="宋体" w:eastAsia="宋体" w:cs="宋体"/>
                <w:kern w:val="2"/>
                <w:sz w:val="24"/>
                <w:szCs w:val="24"/>
                <w:u w:val="none"/>
                <w:vertAlign w:val="baseline"/>
                <w:lang w:val="en-US" w:eastAsia="zh-CN" w:bidi="ar-SA"/>
              </w:rPr>
              <w:t xml:space="preserve"> </w:t>
            </w:r>
            <w:bookmarkStart w:id="1740" w:name="_Toc21077"/>
            <w:r>
              <w:rPr>
                <w:rFonts w:hint="eastAsia" w:ascii="宋体" w:hAnsi="宋体" w:eastAsia="宋体" w:cs="宋体"/>
                <w:kern w:val="2"/>
                <w:sz w:val="24"/>
                <w:szCs w:val="24"/>
                <w:u w:val="none"/>
                <w:vertAlign w:val="baseline"/>
                <w:lang w:val="en-US" w:eastAsia="zh-CN" w:bidi="ar-SA"/>
              </w:rPr>
              <w:t>预置位数量：255个用户可设置预置位</w:t>
            </w:r>
            <w:bookmarkEnd w:id="174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41" w:name="_Toc26683"/>
            <w:r>
              <w:rPr>
                <w:rFonts w:hint="eastAsia" w:ascii="宋体" w:hAnsi="宋体" w:eastAsia="宋体" w:cs="宋体"/>
                <w:kern w:val="2"/>
                <w:sz w:val="24"/>
                <w:szCs w:val="24"/>
                <w:u w:val="none"/>
                <w:vertAlign w:val="baseline"/>
                <w:lang w:val="en-US" w:eastAsia="zh-CN" w:bidi="ar-SA"/>
              </w:rPr>
              <w:t>颜色 银灰色</w:t>
            </w:r>
            <w:bookmarkEnd w:id="174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42" w:name="_Toc11031"/>
            <w:r>
              <w:rPr>
                <w:rFonts w:hint="eastAsia" w:ascii="宋体" w:hAnsi="宋体" w:eastAsia="宋体" w:cs="宋体"/>
                <w:kern w:val="2"/>
                <w:sz w:val="24"/>
                <w:szCs w:val="24"/>
                <w:u w:val="none"/>
                <w:vertAlign w:val="baseline"/>
                <w:lang w:val="en-US" w:eastAsia="zh-CN" w:bidi="ar-SA"/>
              </w:rPr>
              <w:t>电源适配器 AC110V-AC220V转DC12V/2A</w:t>
            </w:r>
            <w:bookmarkEnd w:id="174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43" w:name="_Toc30026"/>
            <w:r>
              <w:rPr>
                <w:rFonts w:hint="eastAsia" w:ascii="宋体" w:hAnsi="宋体" w:eastAsia="宋体" w:cs="宋体"/>
                <w:kern w:val="2"/>
                <w:sz w:val="24"/>
                <w:szCs w:val="24"/>
                <w:u w:val="none"/>
                <w:vertAlign w:val="baseline"/>
                <w:lang w:val="en-US" w:eastAsia="zh-CN" w:bidi="ar-SA"/>
              </w:rPr>
              <w:t>输入电压 DC12V(DC11.5-DC12.5V)</w:t>
            </w:r>
            <w:bookmarkEnd w:id="174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44" w:name="_Toc15626"/>
            <w:r>
              <w:rPr>
                <w:rFonts w:hint="eastAsia" w:ascii="宋体" w:hAnsi="宋体" w:eastAsia="宋体" w:cs="宋体"/>
                <w:kern w:val="2"/>
                <w:sz w:val="24"/>
                <w:szCs w:val="24"/>
                <w:u w:val="none"/>
                <w:vertAlign w:val="baseline"/>
                <w:lang w:val="en-US" w:eastAsia="zh-CN" w:bidi="ar-SA"/>
              </w:rPr>
              <w:t>功耗 10W(最大)</w:t>
            </w:r>
            <w:bookmarkEnd w:id="174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45" w:name="_Toc5810"/>
            <w:r>
              <w:rPr>
                <w:rFonts w:hint="eastAsia" w:ascii="宋体" w:hAnsi="宋体" w:eastAsia="宋体" w:cs="宋体"/>
                <w:kern w:val="2"/>
                <w:sz w:val="24"/>
                <w:szCs w:val="24"/>
                <w:u w:val="none"/>
                <w:vertAlign w:val="baseline"/>
                <w:lang w:val="en-US" w:eastAsia="zh-CN" w:bidi="ar-SA"/>
              </w:rPr>
              <w:t>储藏温度 -10℃到+60℃</w:t>
            </w:r>
            <w:bookmarkEnd w:id="174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46" w:name="_Toc19251"/>
            <w:r>
              <w:rPr>
                <w:rFonts w:hint="eastAsia" w:ascii="宋体" w:hAnsi="宋体" w:eastAsia="宋体" w:cs="宋体"/>
                <w:kern w:val="2"/>
                <w:sz w:val="24"/>
                <w:szCs w:val="24"/>
                <w:u w:val="none"/>
                <w:vertAlign w:val="baseline"/>
                <w:lang w:val="en-US" w:eastAsia="zh-CN" w:bidi="ar-SA"/>
              </w:rPr>
              <w:t>工作温度 0℃到+45℃</w:t>
            </w:r>
            <w:bookmarkEnd w:id="174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highlight w:val="yellow"/>
                <w:u w:val="none"/>
                <w:vertAlign w:val="baseline"/>
                <w:lang w:val="en-US" w:eastAsia="zh-CN" w:bidi="ar-SA"/>
              </w:rPr>
            </w:pPr>
            <w:bookmarkStart w:id="1747" w:name="_Toc11443"/>
            <w:r>
              <w:rPr>
                <w:rFonts w:hint="eastAsia" w:ascii="宋体" w:hAnsi="宋体" w:eastAsia="宋体" w:cs="宋体"/>
                <w:kern w:val="2"/>
                <w:sz w:val="24"/>
                <w:szCs w:val="24"/>
                <w:u w:val="none"/>
                <w:vertAlign w:val="baseline"/>
                <w:lang w:val="en-US" w:eastAsia="zh-CN" w:bidi="ar-SA"/>
              </w:rPr>
              <w:t>尺寸（宽X高X深） 155mmX176mmX170mm</w:t>
            </w:r>
            <w:bookmarkEnd w:id="174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48" w:name="_Toc222"/>
            <w:r>
              <w:rPr>
                <w:rFonts w:hint="eastAsia" w:ascii="宋体" w:hAnsi="宋体" w:eastAsia="宋体" w:cs="宋体"/>
                <w:kern w:val="2"/>
                <w:sz w:val="24"/>
                <w:szCs w:val="24"/>
                <w:u w:val="none"/>
                <w:vertAlign w:val="baseline"/>
                <w:lang w:val="en-US" w:eastAsia="zh-CN" w:bidi="ar-SA"/>
              </w:rPr>
              <w:t>使用环境 室内</w:t>
            </w:r>
            <w:bookmarkEnd w:id="17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49" w:name="_Toc31051"/>
            <w:r>
              <w:rPr>
                <w:rFonts w:hint="eastAsia" w:ascii="宋体" w:hAnsi="宋体" w:eastAsia="宋体" w:cs="宋体"/>
                <w:kern w:val="2"/>
                <w:sz w:val="24"/>
                <w:szCs w:val="24"/>
                <w:u w:val="none"/>
                <w:vertAlign w:val="baseline"/>
                <w:lang w:val="en-US" w:eastAsia="zh-CN" w:bidi="ar-SA"/>
              </w:rPr>
              <w:t>3</w:t>
            </w:r>
            <w:bookmarkEnd w:id="1749"/>
          </w:p>
        </w:tc>
        <w:tc>
          <w:tcPr>
            <w:tcW w:w="417"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50" w:name="_Toc21608"/>
            <w:r>
              <w:rPr>
                <w:rFonts w:hint="eastAsia" w:ascii="宋体" w:hAnsi="宋体" w:eastAsia="宋体" w:cs="宋体"/>
                <w:kern w:val="2"/>
                <w:sz w:val="24"/>
                <w:szCs w:val="24"/>
                <w:u w:val="none"/>
                <w:vertAlign w:val="baseline"/>
                <w:lang w:val="en-US" w:eastAsia="zh-CN" w:bidi="ar-SA"/>
              </w:rPr>
              <w:t>无线拾音麦</w:t>
            </w:r>
            <w:bookmarkEnd w:id="1750"/>
          </w:p>
        </w:tc>
        <w:tc>
          <w:tcPr>
            <w:tcW w:w="286" w:type="pct"/>
            <w:vAlign w:val="center"/>
          </w:tcPr>
          <w:p>
            <w:pPr>
              <w:keepNext w:val="0"/>
              <w:keepLines w:val="0"/>
              <w:pageBreakBefore w:val="0"/>
              <w:widowControl w:val="0"/>
              <w:kinsoku/>
              <w:wordWrap/>
              <w:overflowPunct/>
              <w:topLinePunct w:val="0"/>
              <w:autoSpaceDE/>
              <w:autoSpaceDN/>
              <w:bidi w:val="0"/>
              <w:adjustRightInd/>
              <w:snapToGrid/>
              <w:spacing w:before="12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51" w:name="_Toc19544"/>
            <w:r>
              <w:rPr>
                <w:rFonts w:hint="eastAsia" w:ascii="宋体" w:hAnsi="宋体" w:eastAsia="宋体" w:cs="宋体"/>
                <w:kern w:val="2"/>
                <w:sz w:val="24"/>
                <w:szCs w:val="24"/>
                <w:u w:val="none"/>
                <w:vertAlign w:val="baseline"/>
                <w:lang w:val="en-US" w:eastAsia="zh-CN" w:bidi="ar-SA"/>
              </w:rPr>
              <w:t>4</w:t>
            </w:r>
            <w:bookmarkEnd w:id="1751"/>
          </w:p>
        </w:tc>
        <w:tc>
          <w:tcPr>
            <w:tcW w:w="4009" w:type="pct"/>
          </w:tcPr>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2" w:name="_Toc1376"/>
            <w:r>
              <w:rPr>
                <w:rFonts w:hint="eastAsia" w:ascii="宋体" w:hAnsi="宋体" w:eastAsia="宋体" w:cs="宋体"/>
                <w:kern w:val="2"/>
                <w:sz w:val="24"/>
                <w:szCs w:val="24"/>
                <w:u w:val="none"/>
                <w:vertAlign w:val="baseline"/>
                <w:lang w:val="en-US" w:eastAsia="zh-CN" w:bidi="ar-SA"/>
              </w:rPr>
              <w:t>1、麦克风数量：4个数字硅咪</w:t>
            </w:r>
            <w:bookmarkEnd w:id="175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3" w:name="_Toc427"/>
            <w:r>
              <w:rPr>
                <w:rFonts w:hint="eastAsia" w:ascii="宋体" w:hAnsi="宋体" w:eastAsia="宋体" w:cs="宋体"/>
                <w:kern w:val="2"/>
                <w:sz w:val="24"/>
                <w:szCs w:val="24"/>
                <w:u w:val="none"/>
                <w:vertAlign w:val="baseline"/>
                <w:lang w:val="en-US" w:eastAsia="zh-CN" w:bidi="ar-SA"/>
              </w:rPr>
              <w:t>2、麦克风灵敏度：-26dBFS</w:t>
            </w:r>
            <w:bookmarkEnd w:id="175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4" w:name="_Toc14546"/>
            <w:r>
              <w:rPr>
                <w:rFonts w:hint="eastAsia" w:ascii="宋体" w:hAnsi="宋体" w:eastAsia="宋体" w:cs="宋体"/>
                <w:kern w:val="2"/>
                <w:sz w:val="24"/>
                <w:szCs w:val="24"/>
                <w:u w:val="none"/>
                <w:vertAlign w:val="baseline"/>
                <w:lang w:val="en-US" w:eastAsia="zh-CN" w:bidi="ar-SA"/>
              </w:rPr>
              <w:t>3、麦克风信噪比：64 dB</w:t>
            </w:r>
            <w:bookmarkEnd w:id="175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5" w:name="_Toc26806"/>
            <w:r>
              <w:rPr>
                <w:rFonts w:hint="eastAsia" w:ascii="宋体" w:hAnsi="宋体" w:eastAsia="宋体" w:cs="宋体"/>
                <w:kern w:val="2"/>
                <w:sz w:val="24"/>
                <w:szCs w:val="24"/>
                <w:u w:val="none"/>
                <w:vertAlign w:val="baseline"/>
                <w:lang w:val="en-US" w:eastAsia="zh-CN" w:bidi="ar-SA"/>
              </w:rPr>
              <w:t>4、麦克风处理技术：内置高性能3A算法</w:t>
            </w:r>
            <w:bookmarkEnd w:id="175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6" w:name="_Toc3248"/>
            <w:r>
              <w:rPr>
                <w:rFonts w:hint="eastAsia" w:ascii="宋体" w:hAnsi="宋体" w:eastAsia="宋体" w:cs="宋体"/>
                <w:kern w:val="2"/>
                <w:sz w:val="24"/>
                <w:szCs w:val="24"/>
                <w:u w:val="none"/>
                <w:vertAlign w:val="baseline"/>
                <w:lang w:val="en-US" w:eastAsia="zh-CN" w:bidi="ar-SA"/>
              </w:rPr>
              <w:t>5、麦克风采样率：16~48K。</w:t>
            </w:r>
            <w:bookmarkEnd w:id="175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7" w:name="_Toc10947"/>
            <w:r>
              <w:rPr>
                <w:rFonts w:hint="eastAsia" w:ascii="宋体" w:hAnsi="宋体" w:eastAsia="宋体" w:cs="宋体"/>
                <w:kern w:val="2"/>
                <w:sz w:val="24"/>
                <w:szCs w:val="24"/>
                <w:u w:val="none"/>
                <w:vertAlign w:val="baseline"/>
                <w:lang w:val="en-US" w:eastAsia="zh-CN" w:bidi="ar-SA"/>
              </w:rPr>
              <w:t>6、传输方式：Type-C USB、无线2.4G。</w:t>
            </w:r>
            <w:bookmarkEnd w:id="175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8" w:name="_Toc947"/>
            <w:r>
              <w:rPr>
                <w:rFonts w:hint="eastAsia" w:ascii="宋体" w:hAnsi="宋体" w:eastAsia="宋体" w:cs="宋体"/>
                <w:kern w:val="2"/>
                <w:sz w:val="24"/>
                <w:szCs w:val="24"/>
                <w:u w:val="none"/>
                <w:vertAlign w:val="baseline"/>
                <w:lang w:val="en-US" w:eastAsia="zh-CN" w:bidi="ar-SA"/>
              </w:rPr>
              <w:t>7、无线连接距离：10米。</w:t>
            </w:r>
            <w:bookmarkEnd w:id="175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59" w:name="_Toc11225"/>
            <w:r>
              <w:rPr>
                <w:rFonts w:hint="eastAsia" w:ascii="宋体" w:hAnsi="宋体" w:eastAsia="宋体" w:cs="宋体"/>
                <w:kern w:val="2"/>
                <w:sz w:val="24"/>
                <w:szCs w:val="24"/>
                <w:u w:val="none"/>
                <w:vertAlign w:val="baseline"/>
                <w:lang w:val="en-US" w:eastAsia="zh-CN" w:bidi="ar-SA"/>
              </w:rPr>
              <w:t>8、拾音距离：单机拾音半径5米，最佳使用半径3米。</w:t>
            </w:r>
            <w:bookmarkEnd w:id="175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0" w:name="_Toc943"/>
            <w:r>
              <w:rPr>
                <w:rFonts w:hint="eastAsia" w:ascii="宋体" w:hAnsi="宋体" w:eastAsia="宋体" w:cs="宋体"/>
                <w:kern w:val="2"/>
                <w:sz w:val="24"/>
                <w:szCs w:val="24"/>
                <w:u w:val="none"/>
                <w:vertAlign w:val="baseline"/>
                <w:lang w:val="en-US" w:eastAsia="zh-CN" w:bidi="ar-SA"/>
              </w:rPr>
              <w:t>9喇叭播放：最大瞬间90dB。</w:t>
            </w:r>
            <w:bookmarkEnd w:id="1760"/>
            <w:r>
              <w:rPr>
                <w:rFonts w:hint="eastAsia" w:ascii="宋体" w:hAnsi="宋体" w:eastAsia="宋体" w:cs="宋体"/>
                <w:kern w:val="2"/>
                <w:sz w:val="24"/>
                <w:szCs w:val="24"/>
                <w:u w:val="none"/>
                <w:vertAlign w:val="baseline"/>
                <w:lang w:val="en-US" w:eastAsia="zh-CN" w:bidi="ar-SA"/>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1" w:name="_Toc18628"/>
            <w:r>
              <w:rPr>
                <w:rFonts w:hint="eastAsia" w:ascii="宋体" w:hAnsi="宋体" w:eastAsia="宋体" w:cs="宋体"/>
                <w:kern w:val="2"/>
                <w:sz w:val="24"/>
                <w:szCs w:val="24"/>
                <w:u w:val="none"/>
                <w:vertAlign w:val="baseline"/>
                <w:lang w:val="en-US" w:eastAsia="zh-CN" w:bidi="ar-SA"/>
              </w:rPr>
              <w:t>具有全双工消回音，动态噪声抑制，自动增益控制等语音处理技术。</w:t>
            </w:r>
            <w:bookmarkEnd w:id="1761"/>
          </w:p>
          <w:p>
            <w:pPr>
              <w:keepNext w:val="0"/>
              <w:keepLines w:val="0"/>
              <w:pageBreakBefore w:val="0"/>
              <w:widowControl w:val="0"/>
              <w:numPr>
                <w:ilvl w:val="0"/>
                <w:numId w:val="7"/>
              </w:numPr>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2" w:name="_Toc22374"/>
            <w:r>
              <w:rPr>
                <w:rFonts w:hint="eastAsia" w:ascii="宋体" w:hAnsi="宋体" w:eastAsia="宋体" w:cs="宋体"/>
                <w:kern w:val="2"/>
                <w:sz w:val="24"/>
                <w:szCs w:val="24"/>
                <w:u w:val="none"/>
                <w:vertAlign w:val="baseline"/>
                <w:lang w:val="en-US" w:eastAsia="zh-CN" w:bidi="ar-SA"/>
              </w:rPr>
              <w:t>支持USB功能，连接电脑和视频会议系统实现全双工免提通话功能。</w:t>
            </w:r>
            <w:bookmarkEnd w:id="176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3" w:name="_Toc17293"/>
            <w:r>
              <w:rPr>
                <w:rFonts w:hint="eastAsia" w:ascii="宋体" w:hAnsi="宋体" w:eastAsia="宋体" w:cs="宋体"/>
                <w:kern w:val="2"/>
                <w:sz w:val="24"/>
                <w:szCs w:val="24"/>
                <w:u w:val="none"/>
                <w:vertAlign w:val="baseline"/>
                <w:lang w:val="en-US" w:eastAsia="zh-CN" w:bidi="ar-SA"/>
              </w:rPr>
              <w:t>12、支持各种软件视频腾讯，ZOOM，钉钉，好视通，Vidyo，WebexSkype for business，Google hangout所有网络会议软件等。</w:t>
            </w:r>
            <w:bookmarkEnd w:id="176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4" w:name="_Toc25054"/>
            <w:r>
              <w:rPr>
                <w:rFonts w:hint="eastAsia" w:ascii="宋体" w:hAnsi="宋体" w:eastAsia="宋体" w:cs="宋体"/>
                <w:kern w:val="2"/>
                <w:sz w:val="24"/>
                <w:szCs w:val="24"/>
                <w:u w:val="none"/>
                <w:vertAlign w:val="baseline"/>
                <w:lang w:val="en-US" w:eastAsia="zh-CN" w:bidi="ar-SA"/>
              </w:rPr>
              <w:t>13、支持耳机功能，便于私密通话。</w:t>
            </w:r>
            <w:bookmarkEnd w:id="176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5" w:name="_Toc7625"/>
            <w:r>
              <w:rPr>
                <w:rFonts w:hint="eastAsia" w:ascii="宋体" w:hAnsi="宋体" w:eastAsia="宋体" w:cs="宋体"/>
                <w:kern w:val="2"/>
                <w:sz w:val="24"/>
                <w:szCs w:val="24"/>
                <w:u w:val="none"/>
                <w:vertAlign w:val="baseline"/>
                <w:lang w:val="en-US" w:eastAsia="zh-CN" w:bidi="ar-SA"/>
              </w:rPr>
              <w:t>14、支持级联，一拖二（主机+从机），适用50平米左右会议室。</w:t>
            </w:r>
            <w:bookmarkEnd w:id="176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6" w:name="_Toc10207"/>
            <w:r>
              <w:rPr>
                <w:rFonts w:hint="eastAsia" w:ascii="宋体" w:hAnsi="宋体" w:eastAsia="宋体" w:cs="宋体"/>
                <w:kern w:val="2"/>
                <w:sz w:val="24"/>
                <w:szCs w:val="24"/>
                <w:u w:val="none"/>
                <w:vertAlign w:val="baseline"/>
                <w:lang w:val="en-US" w:eastAsia="zh-CN" w:bidi="ar-SA"/>
              </w:rPr>
              <w:t>类型 全指向性数字硅麦</w:t>
            </w:r>
            <w:bookmarkEnd w:id="176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7" w:name="_Toc2250"/>
            <w:r>
              <w:rPr>
                <w:rFonts w:hint="eastAsia" w:ascii="宋体" w:hAnsi="宋体" w:eastAsia="宋体" w:cs="宋体"/>
                <w:kern w:val="2"/>
                <w:sz w:val="24"/>
                <w:szCs w:val="24"/>
                <w:u w:val="none"/>
                <w:vertAlign w:val="baseline"/>
                <w:lang w:val="en-US" w:eastAsia="zh-CN" w:bidi="ar-SA"/>
              </w:rPr>
              <w:t>灵敏度 -26dBFS</w:t>
            </w:r>
            <w:bookmarkEnd w:id="176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8" w:name="_Toc32372"/>
            <w:r>
              <w:rPr>
                <w:rFonts w:hint="eastAsia" w:ascii="宋体" w:hAnsi="宋体" w:eastAsia="宋体" w:cs="宋体"/>
                <w:kern w:val="2"/>
                <w:sz w:val="24"/>
                <w:szCs w:val="24"/>
                <w:u w:val="none"/>
                <w:vertAlign w:val="baseline"/>
                <w:lang w:val="en-US" w:eastAsia="zh-CN" w:bidi="ar-SA"/>
              </w:rPr>
              <w:t>信噪比 64dB</w:t>
            </w:r>
            <w:bookmarkEnd w:id="176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69" w:name="_Toc21096"/>
            <w:r>
              <w:rPr>
                <w:rFonts w:hint="eastAsia" w:ascii="宋体" w:hAnsi="宋体" w:eastAsia="宋体" w:cs="宋体"/>
                <w:kern w:val="2"/>
                <w:sz w:val="24"/>
                <w:szCs w:val="24"/>
                <w:u w:val="none"/>
                <w:vertAlign w:val="baseline"/>
                <w:lang w:val="en-US" w:eastAsia="zh-CN" w:bidi="ar-SA"/>
              </w:rPr>
              <w:t>频响范围 20Hz-15kHz</w:t>
            </w:r>
            <w:bookmarkEnd w:id="176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0" w:name="_Toc32035"/>
            <w:r>
              <w:rPr>
                <w:rFonts w:hint="eastAsia" w:ascii="宋体" w:hAnsi="宋体" w:eastAsia="宋体" w:cs="宋体"/>
                <w:kern w:val="2"/>
                <w:sz w:val="24"/>
                <w:szCs w:val="24"/>
                <w:u w:val="none"/>
                <w:vertAlign w:val="baseline"/>
                <w:lang w:val="en-US" w:eastAsia="zh-CN" w:bidi="ar-SA"/>
              </w:rPr>
              <w:t>扬声器 内置大功率扬声器,AGC自动增益控制提供音频平稳输出</w:t>
            </w:r>
            <w:bookmarkEnd w:id="177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1" w:name="_Toc30939"/>
            <w:r>
              <w:rPr>
                <w:rFonts w:hint="eastAsia" w:ascii="宋体" w:hAnsi="宋体" w:eastAsia="宋体" w:cs="宋体"/>
                <w:kern w:val="2"/>
                <w:sz w:val="24"/>
                <w:szCs w:val="24"/>
                <w:u w:val="none"/>
                <w:vertAlign w:val="baseline"/>
                <w:lang w:val="en-US" w:eastAsia="zh-CN" w:bidi="ar-SA"/>
              </w:rPr>
              <w:t>回音消除 业界顶尖的回音消除技术</w:t>
            </w:r>
            <w:bookmarkEnd w:id="177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2" w:name="_Toc748"/>
            <w:r>
              <w:rPr>
                <w:rFonts w:hint="eastAsia" w:ascii="宋体" w:hAnsi="宋体" w:eastAsia="宋体" w:cs="宋体"/>
                <w:kern w:val="2"/>
                <w:sz w:val="24"/>
                <w:szCs w:val="24"/>
                <w:u w:val="none"/>
                <w:vertAlign w:val="baseline"/>
                <w:lang w:val="en-US" w:eastAsia="zh-CN" w:bidi="ar-SA"/>
              </w:rPr>
              <w:t>噪声消除 &gt;18dB</w:t>
            </w:r>
            <w:bookmarkEnd w:id="177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3" w:name="_Toc23099"/>
            <w:r>
              <w:rPr>
                <w:rFonts w:hint="eastAsia" w:ascii="宋体" w:hAnsi="宋体" w:eastAsia="宋体" w:cs="宋体"/>
                <w:kern w:val="2"/>
                <w:sz w:val="24"/>
                <w:szCs w:val="24"/>
                <w:u w:val="none"/>
                <w:vertAlign w:val="baseline"/>
                <w:lang w:val="en-US" w:eastAsia="zh-CN" w:bidi="ar-SA"/>
              </w:rPr>
              <w:t>采样率 16kHz/48kHz</w:t>
            </w:r>
            <w:bookmarkEnd w:id="177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4" w:name="_Toc27700"/>
            <w:r>
              <w:rPr>
                <w:rFonts w:hint="eastAsia" w:ascii="宋体" w:hAnsi="宋体" w:eastAsia="宋体" w:cs="宋体"/>
                <w:kern w:val="2"/>
                <w:sz w:val="24"/>
                <w:szCs w:val="24"/>
                <w:u w:val="none"/>
                <w:vertAlign w:val="baseline"/>
                <w:lang w:val="en-US" w:eastAsia="zh-CN" w:bidi="ar-SA"/>
              </w:rPr>
              <w:t>拾音半径 单机最大拾音距离可达5米，推荐使用距离3米以内</w:t>
            </w:r>
            <w:bookmarkEnd w:id="177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5" w:name="_Toc17736"/>
            <w:r>
              <w:rPr>
                <w:rFonts w:hint="eastAsia" w:ascii="宋体" w:hAnsi="宋体" w:eastAsia="宋体" w:cs="宋体"/>
                <w:kern w:val="2"/>
                <w:sz w:val="24"/>
                <w:szCs w:val="24"/>
                <w:u w:val="none"/>
                <w:vertAlign w:val="baseline"/>
                <w:lang w:val="en-US" w:eastAsia="zh-CN" w:bidi="ar-SA"/>
              </w:rPr>
              <w:t>传输方式 无线2.4G，USB2.0</w:t>
            </w:r>
            <w:bookmarkEnd w:id="177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6" w:name="_Toc18690"/>
            <w:r>
              <w:rPr>
                <w:rFonts w:hint="eastAsia" w:ascii="宋体" w:hAnsi="宋体" w:eastAsia="宋体" w:cs="宋体"/>
                <w:kern w:val="2"/>
                <w:sz w:val="24"/>
                <w:szCs w:val="24"/>
                <w:u w:val="none"/>
                <w:vertAlign w:val="baseline"/>
                <w:lang w:val="en-US" w:eastAsia="zh-CN" w:bidi="ar-SA"/>
              </w:rPr>
              <w:t>USB适配器 连接距离10米</w:t>
            </w:r>
            <w:bookmarkEnd w:id="177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7" w:name="_Toc7460"/>
            <w:r>
              <w:rPr>
                <w:rFonts w:hint="eastAsia" w:ascii="宋体" w:hAnsi="宋体" w:eastAsia="宋体" w:cs="宋体"/>
                <w:kern w:val="2"/>
                <w:sz w:val="24"/>
                <w:szCs w:val="24"/>
                <w:u w:val="none"/>
                <w:vertAlign w:val="baseline"/>
                <w:lang w:val="en-US" w:eastAsia="zh-CN" w:bidi="ar-SA"/>
              </w:rPr>
              <w:t>级联 支持一拖二（主从机连接）</w:t>
            </w:r>
            <w:bookmarkEnd w:id="177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8" w:name="_Toc7741"/>
            <w:r>
              <w:rPr>
                <w:rFonts w:hint="eastAsia" w:ascii="宋体" w:hAnsi="宋体" w:eastAsia="宋体" w:cs="宋体"/>
                <w:kern w:val="2"/>
                <w:sz w:val="24"/>
                <w:szCs w:val="24"/>
                <w:u w:val="none"/>
                <w:vertAlign w:val="baseline"/>
                <w:lang w:val="en-US" w:eastAsia="zh-CN" w:bidi="ar-SA"/>
              </w:rPr>
              <w:t>兼容系统 Windows ALL，安卓标准版本，Linux标准版本，苹果系统</w:t>
            </w:r>
            <w:bookmarkEnd w:id="1778"/>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79" w:name="_Toc4131"/>
            <w:r>
              <w:rPr>
                <w:rFonts w:hint="eastAsia" w:ascii="宋体" w:hAnsi="宋体" w:eastAsia="宋体" w:cs="宋体"/>
                <w:kern w:val="2"/>
                <w:sz w:val="24"/>
                <w:szCs w:val="24"/>
                <w:u w:val="none"/>
                <w:vertAlign w:val="baseline"/>
                <w:lang w:val="en-US" w:eastAsia="zh-CN" w:bidi="ar-SA"/>
              </w:rPr>
              <w:t>音频输出接口 USB,2.4G无线，3.5mm耳机接口</w:t>
            </w:r>
            <w:bookmarkEnd w:id="1779"/>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0" w:name="_Toc20944"/>
            <w:r>
              <w:rPr>
                <w:rFonts w:hint="eastAsia" w:ascii="宋体" w:hAnsi="宋体" w:eastAsia="宋体" w:cs="宋体"/>
                <w:kern w:val="2"/>
                <w:sz w:val="24"/>
                <w:szCs w:val="24"/>
                <w:u w:val="none"/>
                <w:vertAlign w:val="baseline"/>
                <w:lang w:val="en-US" w:eastAsia="zh-CN" w:bidi="ar-SA"/>
              </w:rPr>
              <w:t>充电接口 Type-C USB</w:t>
            </w:r>
            <w:bookmarkEnd w:id="1780"/>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1" w:name="_Toc8673"/>
            <w:r>
              <w:rPr>
                <w:rFonts w:hint="eastAsia" w:ascii="宋体" w:hAnsi="宋体" w:eastAsia="宋体" w:cs="宋体"/>
                <w:kern w:val="2"/>
                <w:sz w:val="24"/>
                <w:szCs w:val="24"/>
                <w:u w:val="none"/>
                <w:vertAlign w:val="baseline"/>
                <w:lang w:val="en-US" w:eastAsia="zh-CN" w:bidi="ar-SA"/>
              </w:rPr>
              <w:t>控制方式 按键控制</w:t>
            </w:r>
            <w:bookmarkEnd w:id="1781"/>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2" w:name="_Toc8404"/>
            <w:r>
              <w:rPr>
                <w:rFonts w:hint="eastAsia" w:ascii="宋体" w:hAnsi="宋体" w:eastAsia="宋体" w:cs="宋体"/>
                <w:kern w:val="2"/>
                <w:sz w:val="24"/>
                <w:szCs w:val="24"/>
                <w:u w:val="none"/>
                <w:vertAlign w:val="baseline"/>
                <w:lang w:val="en-US" w:eastAsia="zh-CN" w:bidi="ar-SA"/>
              </w:rPr>
              <w:t>按键功能 开关机,电量查询，MIC静音,喇叭静音,音量减,音量加</w:t>
            </w:r>
            <w:bookmarkEnd w:id="1782"/>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3" w:name="_Toc2875"/>
            <w:r>
              <w:rPr>
                <w:rFonts w:hint="eastAsia" w:ascii="宋体" w:hAnsi="宋体" w:eastAsia="宋体" w:cs="宋体"/>
                <w:kern w:val="2"/>
                <w:sz w:val="24"/>
                <w:szCs w:val="24"/>
                <w:u w:val="none"/>
                <w:vertAlign w:val="baseline"/>
                <w:lang w:val="en-US" w:eastAsia="zh-CN" w:bidi="ar-SA"/>
              </w:rPr>
              <w:t>电源适配器 DC5V±0.2V,1A</w:t>
            </w:r>
            <w:bookmarkEnd w:id="1783"/>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4" w:name="_Toc14391"/>
            <w:r>
              <w:rPr>
                <w:rFonts w:hint="eastAsia" w:ascii="宋体" w:hAnsi="宋体" w:eastAsia="宋体" w:cs="宋体"/>
                <w:kern w:val="2"/>
                <w:sz w:val="24"/>
                <w:szCs w:val="24"/>
                <w:u w:val="none"/>
                <w:vertAlign w:val="baseline"/>
                <w:lang w:val="en-US" w:eastAsia="zh-CN" w:bidi="ar-SA"/>
              </w:rPr>
              <w:t>电池 充电时间≤3.5小时，使用时间≥6小时</w:t>
            </w:r>
            <w:bookmarkEnd w:id="1784"/>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5" w:name="_Toc18144"/>
            <w:r>
              <w:rPr>
                <w:rFonts w:hint="eastAsia" w:ascii="宋体" w:hAnsi="宋体" w:eastAsia="宋体" w:cs="宋体"/>
                <w:kern w:val="2"/>
                <w:sz w:val="24"/>
                <w:szCs w:val="24"/>
                <w:u w:val="none"/>
                <w:vertAlign w:val="baseline"/>
                <w:lang w:val="en-US" w:eastAsia="zh-CN" w:bidi="ar-SA"/>
              </w:rPr>
              <w:t>待机时间 13个月</w:t>
            </w:r>
            <w:bookmarkEnd w:id="1785"/>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6" w:name="_Toc2940"/>
            <w:r>
              <w:rPr>
                <w:rFonts w:hint="eastAsia" w:ascii="宋体" w:hAnsi="宋体" w:eastAsia="宋体" w:cs="宋体"/>
                <w:kern w:val="2"/>
                <w:sz w:val="24"/>
                <w:szCs w:val="24"/>
                <w:u w:val="none"/>
                <w:vertAlign w:val="baseline"/>
                <w:lang w:val="en-US" w:eastAsia="zh-CN" w:bidi="ar-SA"/>
              </w:rPr>
              <w:t>工作温度 0-50℃</w:t>
            </w:r>
            <w:bookmarkEnd w:id="1786"/>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7" w:name="_Toc6034"/>
            <w:r>
              <w:rPr>
                <w:rFonts w:hint="eastAsia" w:ascii="宋体" w:hAnsi="宋体" w:eastAsia="宋体" w:cs="宋体"/>
                <w:kern w:val="2"/>
                <w:sz w:val="24"/>
                <w:szCs w:val="24"/>
                <w:u w:val="none"/>
                <w:vertAlign w:val="baseline"/>
                <w:lang w:val="en-US" w:eastAsia="zh-CN" w:bidi="ar-SA"/>
              </w:rPr>
              <w:t>环境湿度 0-95% RH</w:t>
            </w:r>
            <w:bookmarkEnd w:id="1787"/>
          </w:p>
          <w:p>
            <w:pPr>
              <w:keepNext w:val="0"/>
              <w:keepLines w:val="0"/>
              <w:pageBreakBefore w:val="0"/>
              <w:widowControl w:val="0"/>
              <w:kinsoku/>
              <w:wordWrap/>
              <w:overflowPunct/>
              <w:topLinePunct w:val="0"/>
              <w:autoSpaceDE/>
              <w:autoSpaceDN/>
              <w:bidi w:val="0"/>
              <w:adjustRightInd/>
              <w:snapToGrid/>
              <w:spacing w:before="12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88" w:name="_Toc8832"/>
            <w:r>
              <w:rPr>
                <w:rFonts w:hint="eastAsia" w:ascii="宋体" w:hAnsi="宋体" w:eastAsia="宋体" w:cs="宋体"/>
                <w:kern w:val="2"/>
                <w:sz w:val="24"/>
                <w:szCs w:val="24"/>
                <w:u w:val="none"/>
                <w:vertAlign w:val="baseline"/>
                <w:lang w:val="en-US" w:eastAsia="zh-CN" w:bidi="ar-SA"/>
              </w:rPr>
              <w:t>长×宽×高 140mm×140mm×40mm</w:t>
            </w:r>
            <w:bookmarkEnd w:id="17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89" w:name="_Toc32084"/>
            <w:r>
              <w:rPr>
                <w:rFonts w:hint="eastAsia" w:ascii="宋体" w:hAnsi="宋体" w:eastAsia="宋体" w:cs="宋体"/>
                <w:kern w:val="2"/>
                <w:sz w:val="24"/>
                <w:szCs w:val="24"/>
                <w:u w:val="none"/>
                <w:vertAlign w:val="baseline"/>
                <w:lang w:val="en-US" w:eastAsia="zh-CN" w:bidi="ar-SA"/>
              </w:rPr>
              <w:t>4</w:t>
            </w:r>
            <w:bookmarkEnd w:id="1789"/>
          </w:p>
        </w:tc>
        <w:tc>
          <w:tcPr>
            <w:tcW w:w="417"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90" w:name="_Toc7790"/>
            <w:r>
              <w:rPr>
                <w:rFonts w:hint="eastAsia" w:ascii="宋体" w:hAnsi="宋体" w:eastAsia="宋体" w:cs="宋体"/>
                <w:kern w:val="2"/>
                <w:sz w:val="24"/>
                <w:szCs w:val="24"/>
                <w:u w:val="none"/>
                <w:vertAlign w:val="baseline"/>
                <w:lang w:val="en-US" w:eastAsia="zh-CN" w:bidi="ar-SA"/>
              </w:rPr>
              <w:t>ops电脑</w:t>
            </w:r>
            <w:bookmarkEnd w:id="1790"/>
          </w:p>
        </w:tc>
        <w:tc>
          <w:tcPr>
            <w:tcW w:w="286" w:type="pct"/>
            <w:vAlign w:val="center"/>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91" w:name="_Toc30993"/>
            <w:r>
              <w:rPr>
                <w:rFonts w:hint="eastAsia" w:ascii="宋体" w:hAnsi="宋体" w:eastAsia="宋体" w:cs="宋体"/>
                <w:kern w:val="2"/>
                <w:sz w:val="24"/>
                <w:szCs w:val="24"/>
                <w:u w:val="none"/>
                <w:vertAlign w:val="baseline"/>
                <w:lang w:val="en-US" w:eastAsia="zh-CN" w:bidi="ar-SA"/>
              </w:rPr>
              <w:t>4</w:t>
            </w:r>
            <w:bookmarkEnd w:id="1791"/>
          </w:p>
        </w:tc>
        <w:tc>
          <w:tcPr>
            <w:tcW w:w="4009"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92" w:name="_Toc30531"/>
            <w:r>
              <w:rPr>
                <w:rFonts w:hint="eastAsia" w:ascii="宋体" w:hAnsi="宋体" w:eastAsia="宋体" w:cs="宋体"/>
                <w:kern w:val="2"/>
                <w:sz w:val="24"/>
                <w:szCs w:val="24"/>
                <w:u w:val="none"/>
                <w:vertAlign w:val="baseline"/>
                <w:lang w:val="en-US" w:eastAsia="zh-CN" w:bidi="ar-SA"/>
              </w:rPr>
              <w:t>内置电脑;win10/i5十代/8G+256G（定制）</w:t>
            </w:r>
            <w:bookmarkEnd w:id="17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86"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93" w:name="_Toc14984"/>
            <w:r>
              <w:rPr>
                <w:rFonts w:hint="eastAsia" w:ascii="宋体" w:hAnsi="宋体" w:eastAsia="宋体" w:cs="宋体"/>
                <w:kern w:val="2"/>
                <w:sz w:val="24"/>
                <w:szCs w:val="24"/>
                <w:u w:val="none"/>
                <w:vertAlign w:val="baseline"/>
                <w:lang w:val="en-US" w:eastAsia="zh-CN" w:bidi="ar-SA"/>
              </w:rPr>
              <w:t>5</w:t>
            </w:r>
            <w:bookmarkEnd w:id="1793"/>
          </w:p>
        </w:tc>
        <w:tc>
          <w:tcPr>
            <w:tcW w:w="417"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94" w:name="_Toc16025"/>
            <w:r>
              <w:rPr>
                <w:rFonts w:hint="eastAsia" w:ascii="宋体" w:hAnsi="宋体" w:eastAsia="宋体" w:cs="宋体"/>
                <w:kern w:val="2"/>
                <w:sz w:val="24"/>
                <w:szCs w:val="24"/>
                <w:u w:val="none"/>
                <w:vertAlign w:val="baseline"/>
                <w:lang w:val="en-US" w:eastAsia="zh-CN" w:bidi="ar-SA"/>
              </w:rPr>
              <w:t>无线投屏器</w:t>
            </w:r>
            <w:bookmarkEnd w:id="1794"/>
          </w:p>
        </w:tc>
        <w:tc>
          <w:tcPr>
            <w:tcW w:w="286"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95" w:name="_Toc29307"/>
            <w:r>
              <w:rPr>
                <w:rFonts w:hint="eastAsia" w:ascii="宋体" w:hAnsi="宋体" w:eastAsia="宋体" w:cs="宋体"/>
                <w:kern w:val="2"/>
                <w:sz w:val="24"/>
                <w:szCs w:val="24"/>
                <w:u w:val="none"/>
                <w:vertAlign w:val="baseline"/>
                <w:lang w:val="en-US" w:eastAsia="zh-CN" w:bidi="ar-SA"/>
              </w:rPr>
              <w:t>4</w:t>
            </w:r>
            <w:bookmarkEnd w:id="1795"/>
          </w:p>
        </w:tc>
        <w:tc>
          <w:tcPr>
            <w:tcW w:w="4009"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96" w:name="_Toc22920"/>
            <w:r>
              <w:rPr>
                <w:rFonts w:hint="eastAsia" w:ascii="宋体" w:hAnsi="宋体" w:eastAsia="宋体" w:cs="宋体"/>
                <w:kern w:val="2"/>
                <w:sz w:val="24"/>
                <w:szCs w:val="24"/>
                <w:u w:val="none"/>
                <w:vertAlign w:val="baseline"/>
                <w:lang w:val="en-US" w:eastAsia="zh-CN" w:bidi="ar-SA"/>
              </w:rPr>
              <w:t>电脑无线投屏器（定制）</w:t>
            </w:r>
            <w:bookmarkEnd w:id="17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286"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97" w:name="_Toc4979"/>
            <w:r>
              <w:rPr>
                <w:rFonts w:hint="eastAsia" w:ascii="宋体" w:hAnsi="宋体" w:eastAsia="宋体" w:cs="宋体"/>
                <w:kern w:val="2"/>
                <w:sz w:val="24"/>
                <w:szCs w:val="24"/>
                <w:u w:val="none"/>
                <w:vertAlign w:val="baseline"/>
                <w:lang w:val="en-US" w:eastAsia="zh-CN" w:bidi="ar-SA"/>
              </w:rPr>
              <w:t>6</w:t>
            </w:r>
            <w:bookmarkEnd w:id="1797"/>
          </w:p>
        </w:tc>
        <w:tc>
          <w:tcPr>
            <w:tcW w:w="417"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798" w:name="_Toc29415"/>
            <w:r>
              <w:rPr>
                <w:rFonts w:hint="eastAsia" w:ascii="宋体" w:hAnsi="宋体" w:eastAsia="宋体" w:cs="宋体"/>
                <w:kern w:val="2"/>
                <w:sz w:val="24"/>
                <w:szCs w:val="24"/>
                <w:u w:val="none"/>
                <w:vertAlign w:val="baseline"/>
                <w:lang w:val="en-US" w:eastAsia="zh-CN" w:bidi="ar-SA"/>
              </w:rPr>
              <w:t>移动推车支架</w:t>
            </w:r>
            <w:bookmarkEnd w:id="1798"/>
          </w:p>
        </w:tc>
        <w:tc>
          <w:tcPr>
            <w:tcW w:w="286"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center"/>
              <w:textAlignment w:val="auto"/>
              <w:outlineLvl w:val="2"/>
              <w:rPr>
                <w:rFonts w:hint="eastAsia" w:ascii="宋体" w:hAnsi="宋体" w:eastAsia="宋体" w:cs="宋体"/>
                <w:kern w:val="2"/>
                <w:sz w:val="24"/>
                <w:szCs w:val="24"/>
                <w:u w:val="none"/>
                <w:vertAlign w:val="baseline"/>
                <w:lang w:val="en-US" w:eastAsia="zh-CN" w:bidi="ar-SA"/>
              </w:rPr>
            </w:pPr>
            <w:bookmarkStart w:id="1799" w:name="_Toc23968"/>
            <w:r>
              <w:rPr>
                <w:rFonts w:hint="eastAsia" w:ascii="宋体" w:hAnsi="宋体" w:eastAsia="宋体" w:cs="宋体"/>
                <w:kern w:val="2"/>
                <w:sz w:val="24"/>
                <w:szCs w:val="24"/>
                <w:u w:val="none"/>
                <w:vertAlign w:val="baseline"/>
                <w:lang w:val="en-US" w:eastAsia="zh-CN" w:bidi="ar-SA"/>
              </w:rPr>
              <w:t>4</w:t>
            </w:r>
            <w:bookmarkEnd w:id="1799"/>
          </w:p>
        </w:tc>
        <w:tc>
          <w:tcPr>
            <w:tcW w:w="4009" w:type="pct"/>
          </w:tcPr>
          <w:p>
            <w:pPr>
              <w:keepNext w:val="0"/>
              <w:keepLines w:val="0"/>
              <w:pageBreakBefore w:val="0"/>
              <w:widowControl w:val="0"/>
              <w:kinsoku/>
              <w:wordWrap/>
              <w:overflowPunct/>
              <w:topLinePunct w:val="0"/>
              <w:autoSpaceDE/>
              <w:autoSpaceDN/>
              <w:bidi w:val="0"/>
              <w:adjustRightInd/>
              <w:snapToGrid/>
              <w:spacing w:before="360" w:after="120" w:line="340" w:lineRule="exact"/>
              <w:jc w:val="left"/>
              <w:textAlignment w:val="auto"/>
              <w:outlineLvl w:val="2"/>
              <w:rPr>
                <w:rFonts w:hint="eastAsia" w:ascii="宋体" w:hAnsi="宋体" w:eastAsia="宋体" w:cs="宋体"/>
                <w:kern w:val="2"/>
                <w:sz w:val="24"/>
                <w:szCs w:val="24"/>
                <w:u w:val="none"/>
                <w:vertAlign w:val="baseline"/>
                <w:lang w:val="en-US" w:eastAsia="zh-CN" w:bidi="ar-SA"/>
              </w:rPr>
            </w:pPr>
            <w:bookmarkStart w:id="1800" w:name="_Toc12333"/>
            <w:r>
              <w:rPr>
                <w:rFonts w:hint="eastAsia" w:ascii="宋体" w:hAnsi="宋体" w:eastAsia="宋体" w:cs="宋体"/>
                <w:kern w:val="2"/>
                <w:sz w:val="24"/>
                <w:szCs w:val="24"/>
                <w:u w:val="none"/>
                <w:vertAlign w:val="baseline"/>
                <w:lang w:val="en-US" w:eastAsia="zh-CN" w:bidi="ar-SA"/>
              </w:rPr>
              <w:t>定制</w:t>
            </w:r>
            <w:bookmarkEnd w:id="1800"/>
          </w:p>
        </w:tc>
      </w:tr>
    </w:tbl>
    <w:p>
      <w:pPr>
        <w:widowControl w:val="0"/>
        <w:spacing w:before="360" w:after="120"/>
        <w:jc w:val="left"/>
        <w:outlineLvl w:val="9"/>
        <w:rPr>
          <w:rFonts w:hint="eastAsia" w:ascii="宋体" w:hAnsi="Times New Roman" w:eastAsia="宋体" w:cs="Times New Roman"/>
          <w:kern w:val="2"/>
          <w:sz w:val="24"/>
          <w:szCs w:val="24"/>
          <w:u w:val="single"/>
          <w:lang w:val="en-US" w:eastAsia="zh-CN" w:bidi="ar-SA"/>
        </w:rPr>
      </w:pPr>
    </w:p>
    <w:p/>
    <w:p>
      <w:pPr>
        <w:rPr>
          <w:rFonts w:hint="eastAsia" w:eastAsia="宋体"/>
          <w:b/>
          <w:bCs/>
          <w:sz w:val="24"/>
          <w:szCs w:val="24"/>
          <w:lang w:eastAsia="zh-CN"/>
        </w:rPr>
      </w:pPr>
    </w:p>
    <w:p>
      <w:pPr>
        <w:widowControl w:val="0"/>
        <w:spacing w:before="360" w:after="120"/>
        <w:jc w:val="left"/>
        <w:outlineLvl w:val="9"/>
        <w:rPr>
          <w:rFonts w:hint="eastAsia" w:ascii="宋体" w:hAnsi="Times New Roman" w:eastAsia="宋体" w:cs="Times New Roman"/>
          <w:kern w:val="2"/>
          <w:sz w:val="24"/>
          <w:szCs w:val="24"/>
          <w:u w:val="singl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9"/>
        <w:rPr>
          <w:rFonts w:hint="eastAsia" w:ascii="宋体" w:hAnsi="宋体" w:eastAsia="宋体" w:cs="宋体"/>
          <w:b/>
          <w:bCs/>
          <w:i w:val="0"/>
          <w:caps w:val="0"/>
          <w:color w:val="auto"/>
          <w:spacing w:val="0"/>
          <w:w w:val="100"/>
          <w:kern w:val="0"/>
          <w:sz w:val="28"/>
          <w:szCs w:val="28"/>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9"/>
        <w:rPr>
          <w:rFonts w:hint="eastAsia" w:ascii="宋体" w:hAnsi="宋体" w:eastAsia="宋体" w:cs="宋体"/>
          <w:b/>
          <w:bCs/>
          <w:i w:val="0"/>
          <w:caps w:val="0"/>
          <w:color w:val="auto"/>
          <w:spacing w:val="0"/>
          <w:w w:val="100"/>
          <w:kern w:val="0"/>
          <w:sz w:val="28"/>
          <w:szCs w:val="28"/>
          <w:highlight w:val="none"/>
          <w:lang w:val="en-US" w:eastAsia="zh-CN" w:bidi="ar-SA"/>
        </w:rPr>
      </w:pPr>
    </w:p>
    <w:p>
      <w:pPr>
        <w:rPr>
          <w:rFonts w:hint="eastAsia" w:ascii="宋体" w:hAnsi="宋体" w:eastAsia="宋体" w:cs="宋体"/>
          <w:b/>
          <w:bCs/>
          <w:i w:val="0"/>
          <w:caps w:val="0"/>
          <w:color w:val="auto"/>
          <w:spacing w:val="0"/>
          <w:w w:val="100"/>
          <w:kern w:val="0"/>
          <w:sz w:val="28"/>
          <w:szCs w:val="28"/>
          <w:highlight w:val="none"/>
          <w:lang w:val="en-US" w:eastAsia="zh-CN" w:bidi="ar-SA"/>
        </w:rPr>
      </w:pPr>
      <w:r>
        <w:rPr>
          <w:rFonts w:hint="eastAsia" w:ascii="宋体" w:hAnsi="宋体" w:eastAsia="宋体" w:cs="宋体"/>
          <w:b/>
          <w:bCs/>
          <w:i w:val="0"/>
          <w:caps w:val="0"/>
          <w:color w:val="auto"/>
          <w:spacing w:val="0"/>
          <w:w w:val="100"/>
          <w:kern w:val="0"/>
          <w:sz w:val="28"/>
          <w:szCs w:val="28"/>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1"/>
        <w:rPr>
          <w:rFonts w:hint="eastAsia" w:ascii="宋体" w:hAnsi="宋体" w:eastAsia="宋体" w:cs="宋体"/>
          <w:b/>
          <w:bCs/>
          <w:i w:val="0"/>
          <w:caps w:val="0"/>
          <w:color w:val="auto"/>
          <w:spacing w:val="0"/>
          <w:w w:val="100"/>
          <w:kern w:val="0"/>
          <w:sz w:val="28"/>
          <w:szCs w:val="28"/>
          <w:highlight w:val="none"/>
          <w:lang w:val="en-US" w:eastAsia="zh-CN" w:bidi="ar-SA"/>
        </w:rPr>
      </w:pPr>
      <w:bookmarkStart w:id="1801" w:name="_Toc13966"/>
      <w:r>
        <w:rPr>
          <w:rFonts w:hint="eastAsia" w:ascii="宋体" w:hAnsi="宋体" w:eastAsia="宋体" w:cs="宋体"/>
          <w:b/>
          <w:bCs/>
          <w:i w:val="0"/>
          <w:caps w:val="0"/>
          <w:color w:val="auto"/>
          <w:spacing w:val="0"/>
          <w:w w:val="100"/>
          <w:kern w:val="0"/>
          <w:sz w:val="28"/>
          <w:szCs w:val="28"/>
          <w:highlight w:val="none"/>
          <w:lang w:val="en-US" w:eastAsia="zh-CN" w:bidi="ar-SA"/>
        </w:rPr>
        <w:t>二、项目要求：</w:t>
      </w:r>
      <w:bookmarkEnd w:id="1801"/>
      <w:r>
        <w:rPr>
          <w:rFonts w:hint="eastAsia" w:ascii="宋体" w:hAnsi="宋体" w:eastAsia="宋体" w:cs="宋体"/>
          <w:b/>
          <w:bCs/>
          <w:i w:val="0"/>
          <w:caps w:val="0"/>
          <w:color w:val="auto"/>
          <w:spacing w:val="0"/>
          <w:w w:val="100"/>
          <w:kern w:val="0"/>
          <w:sz w:val="28"/>
          <w:szCs w:val="28"/>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lang w:val="en-US" w:eastAsia="zh-CN"/>
        </w:rPr>
      </w:pPr>
      <w:bookmarkStart w:id="1802" w:name="_Toc18114"/>
      <w:r>
        <w:rPr>
          <w:rFonts w:hint="eastAsia" w:ascii="宋体" w:hAnsi="宋体" w:eastAsia="宋体" w:cs="宋体"/>
          <w:b/>
          <w:bCs/>
          <w:color w:val="auto"/>
          <w:sz w:val="24"/>
          <w:szCs w:val="24"/>
          <w:lang w:val="en-US" w:eastAsia="zh-CN"/>
        </w:rPr>
        <w:t>（一）所招产品的质量要求</w:t>
      </w:r>
      <w:bookmarkEnd w:id="1802"/>
    </w:p>
    <w:p>
      <w:pPr>
        <w:pStyle w:val="11"/>
        <w:keepNext w:val="0"/>
        <w:keepLines w:val="0"/>
        <w:pageBreakBefore w:val="0"/>
        <w:kinsoku/>
        <w:wordWrap/>
        <w:overflowPunct/>
        <w:topLinePunct w:val="0"/>
        <w:autoSpaceDE/>
        <w:autoSpaceDN/>
        <w:bidi w:val="0"/>
        <w:adjustRightInd/>
        <w:spacing w:beforeAutospacing="0" w:afterAutospacing="0" w:line="400" w:lineRule="exact"/>
        <w:ind w:left="0" w:leftChars="0" w:firstLine="0" w:firstLineChars="0"/>
        <w:outlineLvl w:val="9"/>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r>
        <w:rPr>
          <w:rFonts w:hint="eastAsia" w:ascii="宋体" w:hAnsi="宋体" w:eastAsia="宋体" w:cs="宋体"/>
          <w:b/>
          <w:bCs/>
          <w:i w:val="0"/>
          <w:caps w:val="0"/>
          <w:color w:val="auto"/>
          <w:spacing w:val="0"/>
          <w:w w:val="100"/>
          <w:kern w:val="2"/>
          <w:sz w:val="24"/>
          <w:szCs w:val="24"/>
          <w:highlight w:val="none"/>
          <w:lang w:val="en-US" w:eastAsia="zh-CN" w:bidi="ar-SA"/>
        </w:rPr>
        <w:t>对于技术规格中标注“*”号的技术参数为重要参数，投标供应商须在投标文件中按照招标文件技术规格的要求提供技术应答的证明材料，如技术规格中无特殊要求则应提交本条款规定的技术支持资料。对于投标供应商提供的投标文件技术应答未按本条款要求提供投标产品技术支持资料（或证明材料）的，或提供的投标产品技术支持资料（或证明材料），如出现负偏离的则以扣分处理。</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lang w:val="en-US" w:eastAsia="zh-CN"/>
        </w:rPr>
      </w:pPr>
      <w:bookmarkStart w:id="1803" w:name="_Toc5075"/>
      <w:r>
        <w:rPr>
          <w:rFonts w:hint="eastAsia" w:ascii="宋体" w:hAnsi="宋体" w:eastAsia="宋体" w:cs="宋体"/>
          <w:b/>
          <w:bCs/>
          <w:color w:val="auto"/>
          <w:sz w:val="24"/>
          <w:szCs w:val="24"/>
          <w:lang w:val="en-US" w:eastAsia="zh-CN"/>
        </w:rPr>
        <w:t>（二）项目交货期和质保期</w:t>
      </w:r>
      <w:bookmarkEnd w:id="1803"/>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w:t>
      </w:r>
      <w:r>
        <w:rPr>
          <w:rFonts w:hint="eastAsia" w:ascii="宋体" w:hAnsi="宋体" w:cs="宋体"/>
          <w:b w:val="0"/>
          <w:bCs w:val="0"/>
          <w:i w:val="0"/>
          <w:caps w:val="0"/>
          <w:color w:val="auto"/>
          <w:spacing w:val="0"/>
          <w:w w:val="100"/>
          <w:sz w:val="24"/>
          <w:szCs w:val="24"/>
          <w:highlight w:val="none"/>
          <w:lang w:val="en-US" w:eastAsia="zh-CN"/>
        </w:rPr>
        <w:t>.</w:t>
      </w:r>
      <w:r>
        <w:rPr>
          <w:rFonts w:hint="eastAsia" w:ascii="宋体" w:hAnsi="宋体" w:eastAsia="宋体" w:cs="宋体"/>
          <w:b w:val="0"/>
          <w:bCs w:val="0"/>
          <w:i w:val="0"/>
          <w:caps w:val="0"/>
          <w:color w:val="auto"/>
          <w:spacing w:val="0"/>
          <w:w w:val="100"/>
          <w:sz w:val="24"/>
          <w:szCs w:val="24"/>
          <w:highlight w:val="none"/>
          <w:lang w:val="en-US" w:eastAsia="zh-CN"/>
        </w:rPr>
        <w:t>交货期：</w:t>
      </w:r>
      <w:r>
        <w:rPr>
          <w:rFonts w:hint="eastAsia" w:ascii="宋体" w:hAnsi="宋体" w:cs="宋体"/>
          <w:b w:val="0"/>
          <w:bCs w:val="0"/>
          <w:i w:val="0"/>
          <w:caps w:val="0"/>
          <w:color w:val="auto"/>
          <w:spacing w:val="0"/>
          <w:w w:val="100"/>
          <w:sz w:val="24"/>
          <w:szCs w:val="24"/>
          <w:highlight w:val="none"/>
          <w:lang w:val="en-US" w:eastAsia="zh-CN"/>
        </w:rPr>
        <w:t>自</w:t>
      </w:r>
      <w:r>
        <w:rPr>
          <w:rFonts w:hint="eastAsia" w:ascii="宋体" w:hAnsi="宋体" w:eastAsia="宋体" w:cs="宋体"/>
          <w:b w:val="0"/>
          <w:bCs w:val="0"/>
          <w:i w:val="0"/>
          <w:caps w:val="0"/>
          <w:color w:val="auto"/>
          <w:spacing w:val="0"/>
          <w:w w:val="100"/>
          <w:sz w:val="24"/>
          <w:szCs w:val="24"/>
          <w:highlight w:val="none"/>
          <w:lang w:val="en-US" w:eastAsia="zh-CN"/>
        </w:rPr>
        <w:t>签订合同之日起</w:t>
      </w:r>
      <w:r>
        <w:rPr>
          <w:rFonts w:hint="eastAsia" w:ascii="宋体" w:hAnsi="宋体" w:cs="宋体"/>
          <w:b w:val="0"/>
          <w:bCs w:val="0"/>
          <w:i w:val="0"/>
          <w:caps w:val="0"/>
          <w:color w:val="auto"/>
          <w:spacing w:val="0"/>
          <w:w w:val="100"/>
          <w:sz w:val="24"/>
          <w:szCs w:val="24"/>
          <w:highlight w:val="none"/>
          <w:lang w:val="en-US" w:eastAsia="zh-CN"/>
        </w:rPr>
        <w:t>60</w:t>
      </w:r>
      <w:r>
        <w:rPr>
          <w:rFonts w:hint="eastAsia" w:ascii="宋体" w:hAnsi="宋体" w:eastAsia="宋体" w:cs="宋体"/>
          <w:b w:val="0"/>
          <w:bCs w:val="0"/>
          <w:i w:val="0"/>
          <w:caps w:val="0"/>
          <w:color w:val="auto"/>
          <w:spacing w:val="0"/>
          <w:w w:val="100"/>
          <w:sz w:val="24"/>
          <w:szCs w:val="24"/>
          <w:highlight w:val="none"/>
          <w:lang w:val="en-US" w:eastAsia="zh-CN"/>
        </w:rPr>
        <w:t>天内送货安装并调试完毕。</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2.质保期：</w:t>
      </w:r>
      <w:r>
        <w:rPr>
          <w:rFonts w:hint="eastAsia" w:ascii="宋体" w:hAnsi="宋体" w:cs="宋体"/>
          <w:b w:val="0"/>
          <w:bCs w:val="0"/>
          <w:i w:val="0"/>
          <w:caps w:val="0"/>
          <w:strike w:val="0"/>
          <w:dstrike w:val="0"/>
          <w:color w:val="auto"/>
          <w:spacing w:val="0"/>
          <w:w w:val="100"/>
          <w:sz w:val="24"/>
          <w:szCs w:val="24"/>
          <w:highlight w:val="none"/>
          <w:lang w:val="en-US" w:eastAsia="zh-CN"/>
        </w:rPr>
        <w:t>按采购需求进行</w:t>
      </w:r>
      <w:r>
        <w:rPr>
          <w:rFonts w:hint="eastAsia" w:ascii="宋体" w:hAnsi="宋体" w:eastAsia="宋体" w:cs="宋体"/>
          <w:b w:val="0"/>
          <w:bCs w:val="0"/>
          <w:i w:val="0"/>
          <w:caps w:val="0"/>
          <w:strike w:val="0"/>
          <w:dstrike w:val="0"/>
          <w:color w:val="auto"/>
          <w:spacing w:val="0"/>
          <w:w w:val="100"/>
          <w:sz w:val="24"/>
          <w:szCs w:val="24"/>
          <w:highlight w:val="none"/>
          <w:lang w:val="en-US" w:eastAsia="zh-CN"/>
        </w:rPr>
        <w:t>质保</w:t>
      </w:r>
      <w:r>
        <w:rPr>
          <w:rFonts w:hint="eastAsia" w:ascii="宋体" w:hAnsi="宋体" w:cs="宋体"/>
          <w:b w:val="0"/>
          <w:bCs w:val="0"/>
          <w:i w:val="0"/>
          <w:caps w:val="0"/>
          <w:strike w:val="0"/>
          <w:dstrike w:val="0"/>
          <w:color w:val="auto"/>
          <w:spacing w:val="0"/>
          <w:w w:val="100"/>
          <w:sz w:val="24"/>
          <w:szCs w:val="24"/>
          <w:highlight w:val="none"/>
          <w:lang w:val="en-US" w:eastAsia="zh-CN"/>
        </w:rPr>
        <w:t>（须生产厂家提供原厂质保承诺）</w:t>
      </w:r>
      <w:r>
        <w:rPr>
          <w:rFonts w:hint="eastAsia" w:ascii="宋体" w:hAnsi="宋体" w:eastAsia="宋体" w:cs="宋体"/>
          <w:b w:val="0"/>
          <w:bCs w:val="0"/>
          <w:i w:val="0"/>
          <w:caps w:val="0"/>
          <w:strike w:val="0"/>
          <w:dstrike w:val="0"/>
          <w:color w:val="auto"/>
          <w:spacing w:val="0"/>
          <w:w w:val="100"/>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lang w:val="en-US" w:eastAsia="zh-CN"/>
        </w:rPr>
      </w:pPr>
      <w:bookmarkStart w:id="1804" w:name="_Toc15496"/>
      <w:r>
        <w:rPr>
          <w:rFonts w:hint="eastAsia" w:ascii="宋体" w:hAnsi="宋体" w:eastAsia="宋体" w:cs="宋体"/>
          <w:b/>
          <w:bCs/>
          <w:color w:val="auto"/>
          <w:sz w:val="24"/>
          <w:szCs w:val="24"/>
          <w:lang w:val="en-US" w:eastAsia="zh-CN"/>
        </w:rPr>
        <w:t>（三）付款方式和交货地点</w:t>
      </w:r>
      <w:bookmarkEnd w:id="1804"/>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1.付款方式：以合同签订为准</w:t>
      </w:r>
      <w:r>
        <w:rPr>
          <w:rFonts w:hint="eastAsia" w:ascii="宋体" w:hAnsi="宋体" w:cs="宋体"/>
          <w:b w:val="0"/>
          <w:bCs w:val="0"/>
          <w:i w:val="0"/>
          <w:caps w:val="0"/>
          <w:color w:val="auto"/>
          <w:spacing w:val="0"/>
          <w:w w:val="100"/>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239" w:leftChars="114" w:firstLine="0" w:firstLineChars="0"/>
        <w:jc w:val="left"/>
        <w:textAlignment w:val="baseline"/>
        <w:outlineLvl w:val="9"/>
        <w:rPr>
          <w:rFonts w:hint="eastAsia" w:ascii="宋体" w:hAnsi="宋体" w:eastAsia="宋体" w:cs="宋体"/>
          <w:b w:val="0"/>
          <w:i w:val="0"/>
          <w:caps w:val="0"/>
          <w:color w:val="auto"/>
          <w:spacing w:val="0"/>
          <w:w w:val="100"/>
          <w:sz w:val="24"/>
          <w:szCs w:val="24"/>
          <w:highlight w:val="none"/>
          <w:u w:val="singl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2.交货地点：喀什地区第一人民医院指定地点</w:t>
      </w:r>
      <w:r>
        <w:rPr>
          <w:rFonts w:hint="eastAsia" w:ascii="宋体" w:hAnsi="宋体" w:eastAsia="宋体" w:cs="宋体"/>
          <w:b w:val="0"/>
          <w:i w:val="0"/>
          <w:caps w:val="0"/>
          <w:color w:val="auto"/>
          <w:spacing w:val="0"/>
          <w:w w:val="100"/>
          <w:sz w:val="24"/>
          <w:szCs w:val="24"/>
          <w:highlight w:val="none"/>
          <w:lang w:val="en-US" w:eastAsia="zh-CN"/>
        </w:rPr>
        <w:t>。</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lang w:val="en-US" w:eastAsia="zh-CN"/>
        </w:rPr>
      </w:pPr>
      <w:bookmarkStart w:id="1805" w:name="_Toc14306"/>
      <w:r>
        <w:rPr>
          <w:rFonts w:hint="eastAsia" w:ascii="宋体" w:hAnsi="宋体" w:eastAsia="宋体" w:cs="宋体"/>
          <w:b/>
          <w:bCs/>
          <w:color w:val="auto"/>
          <w:sz w:val="24"/>
          <w:szCs w:val="24"/>
          <w:lang w:val="en-US" w:eastAsia="zh-CN"/>
        </w:rPr>
        <w:t>（四）售后服务</w:t>
      </w:r>
      <w:bookmarkEnd w:id="1805"/>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1</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卖方须到买方提供的现场免费安装、调试设备，进行操作试验，直至运行正常，为仪器操作人员终身免费提供技术服务、技术支持及咨询服务，在任何时候、任何地点均可享受到终生的免费咨询服务。维修响应 7x24 小时响应，在质保期内出现故障中标单位在接到故障报修电话后，48小时内必须赶到现场解决故障。</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2</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为保证设备正常运行，供应商须在</w:t>
      </w:r>
      <w:r>
        <w:rPr>
          <w:rFonts w:hint="eastAsia" w:ascii="宋体" w:hAnsi="宋体" w:cs="宋体"/>
          <w:b w:val="0"/>
          <w:i w:val="0"/>
          <w:caps w:val="0"/>
          <w:color w:val="auto"/>
          <w:spacing w:val="0"/>
          <w:w w:val="100"/>
          <w:sz w:val="24"/>
          <w:szCs w:val="24"/>
          <w:highlight w:val="none"/>
          <w:lang w:val="en-US" w:eastAsia="zh-CN"/>
        </w:rPr>
        <w:t>新疆区域内</w:t>
      </w:r>
      <w:r>
        <w:rPr>
          <w:rFonts w:hint="eastAsia" w:ascii="宋体" w:hAnsi="宋体" w:eastAsia="宋体" w:cs="宋体"/>
          <w:b w:val="0"/>
          <w:i w:val="0"/>
          <w:caps w:val="0"/>
          <w:color w:val="auto"/>
          <w:spacing w:val="0"/>
          <w:w w:val="100"/>
          <w:sz w:val="24"/>
          <w:szCs w:val="24"/>
          <w:highlight w:val="none"/>
          <w:lang w:val="en-US" w:eastAsia="zh-CN"/>
        </w:rPr>
        <w:t>有正规完善的维修服务机构</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新疆区域有专职工程师，5小时响应并到达现场排除故障。维修人员应是供应商派出的具有一定专业技术水平的人员，具有供应商的法定代表人授权委托，并提供联系人、联系电话及维修点详细地址。</w:t>
      </w:r>
      <w:r>
        <w:rPr>
          <w:rFonts w:hint="eastAsia" w:ascii="宋体" w:hAnsi="宋体" w:eastAsia="宋体" w:cs="宋体"/>
          <w:b/>
          <w:bCs/>
          <w:i w:val="0"/>
          <w:caps w:val="0"/>
          <w:color w:val="auto"/>
          <w:spacing w:val="0"/>
          <w:w w:val="100"/>
          <w:sz w:val="24"/>
          <w:szCs w:val="24"/>
          <w:highlight w:val="none"/>
          <w:lang w:val="en-US" w:eastAsia="zh-CN"/>
        </w:rPr>
        <w:t>（须提供房屋租赁合同或合作协议）</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3</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在质保期内，派遣维修或技术人员巡访设备使用单位，协助并指导运维人员进行日常维护保养工作，并与直接使用人交流设备使用相关事宜。</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4</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供应商必须积极配合采购人共同参与项目验收。主动向采购方有关技术人员在使用现场提供全套技术指导及培训。</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5</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 xml:space="preserve">供应商应派相关技术人员到现场免费进行指导安装，解决安装过程中的相关问题。  </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i w:val="0"/>
          <w:caps w:val="0"/>
          <w:color w:val="auto"/>
          <w:spacing w:val="0"/>
          <w:w w:val="100"/>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6</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b w:val="0"/>
          <w:i w:val="0"/>
          <w:caps w:val="0"/>
          <w:color w:val="auto"/>
          <w:spacing w:val="0"/>
          <w:w w:val="100"/>
          <w:sz w:val="24"/>
          <w:szCs w:val="24"/>
          <w:highlight w:val="none"/>
          <w:lang w:val="en-US" w:eastAsia="zh-CN"/>
        </w:rPr>
        <w:t>售后服务承诺：供应商应对质保期内及其以后的服务做出承诺，并具有切实可行的措施,不能及时兑现服务承诺内容而影响使用方使用，供应商应当给予补偿。</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i w:val="0"/>
          <w:caps w:val="0"/>
          <w:color w:val="auto"/>
          <w:spacing w:val="0"/>
          <w:w w:val="100"/>
          <w:sz w:val="24"/>
          <w:szCs w:val="24"/>
          <w:highlight w:val="none"/>
          <w:lang w:val="en-US" w:eastAsia="zh-CN"/>
        </w:rPr>
        <w:t>7</w:t>
      </w:r>
      <w:r>
        <w:rPr>
          <w:rFonts w:hint="eastAsia" w:ascii="宋体" w:hAnsi="宋体" w:cs="宋体"/>
          <w:b w:val="0"/>
          <w:i w:val="0"/>
          <w:caps w:val="0"/>
          <w:color w:val="auto"/>
          <w:spacing w:val="0"/>
          <w:w w:val="100"/>
          <w:sz w:val="24"/>
          <w:szCs w:val="24"/>
          <w:highlight w:val="none"/>
          <w:lang w:val="en-US" w:eastAsia="zh-CN"/>
        </w:rPr>
        <w:t>.</w:t>
      </w:r>
      <w:r>
        <w:rPr>
          <w:rFonts w:hint="eastAsia" w:ascii="宋体" w:hAnsi="宋体" w:eastAsia="宋体" w:cs="宋体"/>
          <w:color w:val="auto"/>
          <w:sz w:val="24"/>
          <w:szCs w:val="24"/>
          <w:highlight w:val="none"/>
          <w:lang w:val="en-US" w:eastAsia="zh-CN"/>
        </w:rPr>
        <w:t>如收到服务需求不合要求情况，可双方协商决定，但决定权在购买方，购买方有权利退回所购买产品。</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lang w:val="en-US" w:eastAsia="zh-CN"/>
        </w:rPr>
      </w:pPr>
      <w:bookmarkStart w:id="1806" w:name="_Toc13783"/>
      <w:r>
        <w:rPr>
          <w:rFonts w:hint="eastAsia" w:ascii="宋体" w:hAnsi="宋体" w:eastAsia="宋体" w:cs="宋体"/>
          <w:b/>
          <w:bCs/>
          <w:color w:val="auto"/>
          <w:sz w:val="24"/>
          <w:szCs w:val="24"/>
          <w:lang w:val="en-US" w:eastAsia="zh-CN"/>
        </w:rPr>
        <w:t>（五）实施方案及培训方案</w:t>
      </w:r>
      <w:bookmarkEnd w:id="1806"/>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供应商应保证供货设备在项目实施过程中</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实施方案</w:t>
      </w:r>
      <w:r>
        <w:rPr>
          <w:rFonts w:hint="eastAsia" w:ascii="宋体" w:hAnsi="宋体" w:eastAsia="宋体" w:cs="宋体"/>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（1）项目详细工作内容，说明项目的工作范围、具体内容和技术要求等，这一部分内容能量化的指标尽可能量化；</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（2）项目实施所采取的方法手段；</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（3）预期效果，说明项目完成时所达到的效果；说明承担单位、协作单位和各自分工的主要内容。</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设备管理及维护</w:t>
      </w:r>
      <w:r>
        <w:rPr>
          <w:rFonts w:hint="eastAsia" w:ascii="宋体" w:hAnsi="宋体" w:eastAsia="宋体" w:cs="宋体"/>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（1）设备管理方案；（2）设备维护及保养方案。</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进度安排：</w:t>
      </w:r>
      <w:r>
        <w:rPr>
          <w:rFonts w:hint="eastAsia" w:ascii="宋体" w:hAnsi="宋体" w:eastAsia="宋体" w:cs="宋体"/>
          <w:color w:val="auto"/>
          <w:sz w:val="24"/>
          <w:szCs w:val="24"/>
          <w:highlight w:val="none"/>
          <w:lang w:val="en-US" w:eastAsia="zh-CN"/>
        </w:rPr>
        <w:t>项目工作进度安排，详细说明各阶段工作安排的时间和项目工作内容完成的时间，尽力让项目实施的时间进度与方案所计划的时间吻合；</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供货安装</w:t>
      </w:r>
      <w:r>
        <w:rPr>
          <w:rFonts w:hint="eastAsia" w:ascii="宋体" w:hAnsi="宋体" w:eastAsia="宋体" w:cs="宋体"/>
          <w:color w:val="auto"/>
          <w:sz w:val="24"/>
          <w:szCs w:val="24"/>
          <w:highlight w:val="none"/>
          <w:lang w:val="en-US" w:eastAsia="zh-CN"/>
        </w:rPr>
        <w:t>：供货的流程、安装流程应在方案中写明。（注：可提供流程图。）</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项目安全措施</w:t>
      </w:r>
      <w:r>
        <w:rPr>
          <w:rFonts w:hint="eastAsia" w:ascii="宋体" w:hAnsi="宋体" w:eastAsia="宋体" w:cs="宋体"/>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（1）方针、目标；（2）安全管理机构；（3）安全措施；（4）安全教育等。</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1"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应急处理</w:t>
      </w:r>
      <w:r>
        <w:rPr>
          <w:rFonts w:hint="eastAsia" w:ascii="宋体" w:hAnsi="宋体" w:eastAsia="宋体" w:cs="宋体"/>
          <w:color w:val="auto"/>
          <w:sz w:val="24"/>
          <w:szCs w:val="24"/>
          <w:highlight w:val="none"/>
          <w:lang w:val="en-US" w:eastAsia="zh-CN"/>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等五方面进行拓展，本包属于医疗设备，供应商能够在设备运输中保障设备的功能不被破坏，在发货前保证对货物的质量、规格、性能、数量和重量等进行准确而全面的检验，并出具一份产品检验合格证书。在项目供货安装时进行核对，本次购买设备如若发生设备不能正常运行，供应商必须在突发应急时给予响应，并在最快时间内快速高效的处理。</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该项目属于医疗设备，须提供培训，培训是指涉及产品基本原理、安装、调试、操作使用和保养维修等有关内容的学习。在质保期内为采购人提供至少三人的培训服务，确保用户方至少两名操作人员可熟悉使用，供应商应保证在采购人指定交货地点对设备操作人员</w:t>
      </w:r>
      <w:r>
        <w:rPr>
          <w:rFonts w:hint="eastAsia" w:ascii="宋体" w:hAnsi="宋体" w:cs="宋体"/>
          <w:color w:val="auto"/>
          <w:sz w:val="24"/>
          <w:szCs w:val="24"/>
          <w:highlight w:val="none"/>
          <w:lang w:val="en-US" w:eastAsia="zh-CN"/>
        </w:rPr>
        <w:t>每人</w:t>
      </w:r>
      <w:r>
        <w:rPr>
          <w:rFonts w:hint="eastAsia" w:ascii="宋体" w:hAnsi="宋体" w:eastAsia="宋体" w:cs="宋体"/>
          <w:color w:val="auto"/>
          <w:sz w:val="24"/>
          <w:szCs w:val="24"/>
          <w:highlight w:val="none"/>
          <w:lang w:val="en-US" w:eastAsia="zh-CN"/>
        </w:rPr>
        <w:t>提供不少于</w:t>
      </w:r>
      <w:r>
        <w:rPr>
          <w:rFonts w:hint="eastAsia" w:ascii="宋体" w:hAnsi="宋体" w:cs="宋体"/>
          <w:color w:val="auto"/>
          <w:sz w:val="24"/>
          <w:szCs w:val="24"/>
          <w:highlight w:val="none"/>
          <w:lang w:val="en-US" w:eastAsia="zh-CN"/>
        </w:rPr>
        <w:t>1个月</w:t>
      </w:r>
      <w:r>
        <w:rPr>
          <w:rFonts w:hint="eastAsia" w:ascii="宋体" w:hAnsi="宋体" w:eastAsia="宋体" w:cs="宋体"/>
          <w:color w:val="auto"/>
          <w:sz w:val="24"/>
          <w:szCs w:val="24"/>
          <w:highlight w:val="none"/>
          <w:lang w:val="en-US" w:eastAsia="zh-CN"/>
        </w:rPr>
        <w:t>的免费培训。培训配备受过专业培训的售后服务人员、技术支持人员及咨询服务、在任何时候、任何地点均可享受到终生的免费咨询服务。供应商投标时应提供详细的培训方案。培训教员的差旅费、食宿费、培训教材等费用，应计入投标报价， 随时排除所有设备故障进行明确的计划阐述，并对所有设备保修期过后维保进行阐述。</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lang w:val="en-US" w:eastAsia="zh-CN"/>
        </w:rPr>
      </w:pPr>
      <w:bookmarkStart w:id="1807" w:name="_Toc15005"/>
      <w:r>
        <w:rPr>
          <w:rFonts w:hint="eastAsia" w:ascii="宋体" w:hAnsi="宋体" w:eastAsia="宋体" w:cs="宋体"/>
          <w:b/>
          <w:bCs/>
          <w:color w:val="auto"/>
          <w:sz w:val="24"/>
          <w:szCs w:val="24"/>
          <w:lang w:val="en-US" w:eastAsia="zh-CN"/>
        </w:rPr>
        <w:t>（六）验收</w:t>
      </w:r>
      <w:bookmarkEnd w:id="1807"/>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项目业主按标准、技术要求在现场验收，货物验收按照国家最新标准及招标文件中所提出的要求，如供方实际执行的标准高于国家标准和机械行业标准则按买方标准验收。</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项目业主在货物抵达交货地点之日起3日内完成初步验收，这种验收只是数量上的和外观感觉上的，最终验收依据国家标准。</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项目所有内容实施并完工后，双方共同派相关人员</w:t>
      </w:r>
      <w:r>
        <w:rPr>
          <w:rFonts w:hint="eastAsia" w:ascii="宋体" w:hAnsi="宋体" w:cs="宋体"/>
          <w:color w:val="auto"/>
          <w:sz w:val="24"/>
          <w:szCs w:val="24"/>
          <w:highlight w:val="none"/>
          <w:lang w:val="en-US" w:eastAsia="zh-CN"/>
        </w:rPr>
        <w:t>以及第三方专家</w:t>
      </w:r>
      <w:r>
        <w:rPr>
          <w:rFonts w:hint="eastAsia" w:ascii="宋体" w:hAnsi="宋体" w:eastAsia="宋体" w:cs="宋体"/>
          <w:color w:val="auto"/>
          <w:sz w:val="24"/>
          <w:szCs w:val="24"/>
          <w:highlight w:val="none"/>
          <w:lang w:val="en-US" w:eastAsia="zh-CN"/>
        </w:rPr>
        <w:t>参加验收。</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240" w:firstLineChars="100"/>
        <w:jc w:val="left"/>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上述检验和验收不能代替质保期内设备制造性能质量考核。</w:t>
      </w:r>
    </w:p>
    <w:p>
      <w:pPr>
        <w:keepNext w:val="0"/>
        <w:keepLines w:val="0"/>
        <w:pageBreakBefore w:val="0"/>
        <w:kinsoku/>
        <w:wordWrap/>
        <w:overflowPunct/>
        <w:topLinePunct w:val="0"/>
        <w:autoSpaceDE/>
        <w:autoSpaceDN/>
        <w:bidi w:val="0"/>
        <w:adjustRightInd/>
        <w:snapToGrid/>
        <w:spacing w:line="400" w:lineRule="exact"/>
        <w:textAlignment w:val="auto"/>
        <w:outlineLvl w:val="2"/>
        <w:rPr>
          <w:rFonts w:hint="eastAsia" w:ascii="宋体" w:hAnsi="宋体" w:eastAsia="宋体" w:cs="宋体"/>
          <w:b/>
          <w:bCs/>
          <w:color w:val="auto"/>
          <w:sz w:val="24"/>
          <w:szCs w:val="24"/>
          <w:lang w:val="en-US" w:eastAsia="zh-CN"/>
        </w:rPr>
      </w:pPr>
      <w:bookmarkStart w:id="1808" w:name="_Toc1100"/>
      <w:r>
        <w:rPr>
          <w:rFonts w:hint="eastAsia" w:ascii="宋体" w:hAnsi="宋体" w:eastAsia="宋体" w:cs="宋体"/>
          <w:b/>
          <w:bCs/>
          <w:color w:val="auto"/>
          <w:sz w:val="24"/>
          <w:szCs w:val="24"/>
          <w:lang w:val="en-US" w:eastAsia="zh-CN"/>
        </w:rPr>
        <w:t>（七）其他要求</w:t>
      </w:r>
      <w:bookmarkEnd w:id="1808"/>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1.为保证产品质量，设备到场后须随设备提供由国家权威质量检测机构或第三方机构出具的符合参数要求的完整的检测检验报告，否则采购单位有权拒收。</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2.提供</w:t>
      </w:r>
      <w:r>
        <w:rPr>
          <w:rFonts w:hint="eastAsia" w:ascii="宋体" w:hAnsi="宋体" w:cs="宋体"/>
          <w:b/>
          <w:bCs/>
          <w:color w:val="auto"/>
          <w:sz w:val="24"/>
          <w:szCs w:val="24"/>
          <w:highlight w:val="none"/>
          <w:lang w:val="en-US" w:eastAsia="zh-CN"/>
        </w:rPr>
        <w:t>近三年内类似业绩证明材料中标（成交）通知书及合同</w:t>
      </w:r>
      <w:r>
        <w:rPr>
          <w:rFonts w:hint="eastAsia" w:ascii="宋体" w:hAnsi="宋体" w:eastAsia="宋体" w:cs="宋体"/>
          <w:b/>
          <w:bCs/>
          <w:color w:val="auto"/>
          <w:sz w:val="24"/>
          <w:szCs w:val="24"/>
          <w:highlight w:val="none"/>
          <w:lang w:val="en-US" w:eastAsia="zh-CN"/>
        </w:rPr>
        <w:t>。</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投标文件目录清晰、关联点对应准确，评审内容便于查找，没有与评审内容无关的资料及文件。</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4.第一包：</w:t>
      </w:r>
      <w:r>
        <w:rPr>
          <w:rFonts w:hint="eastAsia" w:ascii="宋体" w:hAnsi="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lang w:val="en-US" w:eastAsia="zh-CN"/>
        </w:rPr>
        <w:t>根据国家标准及使用需求提供CT机房及控制室设计方案。</w:t>
      </w:r>
    </w:p>
    <w:p>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firstLine="0" w:firstLineChars="0"/>
        <w:jc w:val="left"/>
        <w:textAlignment w:val="baseline"/>
        <w:outlineLvl w:val="9"/>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须具备IS09001质量管理体系认证、ISO13485医疗器械质量管理体系认证、ISO14001环境管理体系认证。</w:t>
      </w:r>
    </w:p>
    <w:p>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bCs/>
          <w:color w:val="auto"/>
          <w:sz w:val="24"/>
          <w:szCs w:val="24"/>
          <w:highlight w:val="none"/>
          <w:lang w:val="en-US" w:eastAsia="zh-CN"/>
        </w:rPr>
      </w:pPr>
      <w:bookmarkStart w:id="1809" w:name="_Toc23992"/>
      <w:r>
        <w:rPr>
          <w:rFonts w:hint="eastAsia" w:ascii="宋体" w:hAnsi="宋体" w:eastAsia="宋体" w:cs="宋体"/>
          <w:b/>
          <w:bCs/>
          <w:color w:val="auto"/>
          <w:sz w:val="24"/>
          <w:szCs w:val="24"/>
          <w:highlight w:val="none"/>
          <w:lang w:val="en-US" w:eastAsia="zh-CN"/>
        </w:rPr>
        <w:t>注：本项目技术参数接受偏离，投标供应商提供的技术参数中出现正偏离加分，负偏离扣分。</w:t>
      </w:r>
      <w:bookmarkEnd w:id="1809"/>
    </w:p>
    <w:bookmarkEnd w:id="0"/>
    <w:bookmarkEnd w:id="1"/>
    <w:bookmarkEnd w:id="2"/>
    <w:bookmarkEnd w:id="3"/>
    <w:bookmarkEnd w:id="4"/>
    <w:bookmarkEnd w:id="5"/>
    <w:bookmarkEnd w:id="6"/>
    <w:bookmarkEnd w:id="7"/>
    <w:bookmarkEnd w:id="8"/>
    <w:bookmarkEnd w:id="9"/>
    <w:bookmarkEnd w:id="10"/>
    <w:bookmarkEnd w:id="11"/>
    <w:bookmarkEnd w:id="12"/>
    <w:bookmarkEnd w:id="13"/>
    <w:p>
      <w:pPr>
        <w:rPr>
          <w:rFonts w:hint="eastAsia" w:ascii="宋体" w:hAnsi="宋体" w:eastAsia="宋体" w:cs="宋体"/>
          <w:b/>
          <w:bCs/>
          <w:color w:val="auto"/>
          <w:kern w:val="0"/>
          <w:sz w:val="32"/>
          <w:szCs w:val="32"/>
          <w:highlight w:val="none"/>
          <w:lang w:val="en-US" w:eastAsia="zh-CN" w:bidi="ar-SA"/>
        </w:rPr>
      </w:pPr>
      <w:bookmarkStart w:id="1810" w:name="_Toc31651"/>
      <w:bookmarkStart w:id="1811" w:name="_Toc11259"/>
      <w:r>
        <w:rPr>
          <w:rFonts w:hint="eastAsia" w:ascii="宋体" w:hAnsi="宋体" w:eastAsia="宋体" w:cs="宋体"/>
          <w:b/>
          <w:bCs/>
          <w:color w:val="auto"/>
          <w:kern w:val="0"/>
          <w:sz w:val="32"/>
          <w:szCs w:val="32"/>
          <w:highlight w:val="none"/>
          <w:lang w:val="en-US" w:eastAsia="zh-CN" w:bidi="ar-SA"/>
        </w:rPr>
        <w:br w:type="page"/>
      </w: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812" w:name="_Toc25445"/>
      <w:r>
        <w:rPr>
          <w:rFonts w:hint="eastAsia" w:ascii="宋体" w:hAnsi="宋体" w:eastAsia="宋体" w:cs="宋体"/>
          <w:b/>
          <w:bCs/>
          <w:color w:val="auto"/>
          <w:kern w:val="0"/>
          <w:sz w:val="32"/>
          <w:szCs w:val="32"/>
          <w:highlight w:val="none"/>
          <w:lang w:val="en-US" w:eastAsia="zh-CN" w:bidi="ar-SA"/>
        </w:rPr>
        <w:t>第6章  评标方法和标准</w:t>
      </w:r>
      <w:bookmarkEnd w:id="14"/>
      <w:bookmarkEnd w:id="15"/>
      <w:bookmarkEnd w:id="16"/>
      <w:bookmarkEnd w:id="17"/>
      <w:bookmarkEnd w:id="18"/>
      <w:bookmarkEnd w:id="19"/>
      <w:bookmarkEnd w:id="20"/>
      <w:bookmarkEnd w:id="1810"/>
      <w:bookmarkEnd w:id="1811"/>
      <w:bookmarkEnd w:id="1812"/>
    </w:p>
    <w:p>
      <w:pPr>
        <w:pStyle w:val="9"/>
        <w:keepNext w:val="0"/>
        <w:keepLines w:val="0"/>
        <w:pageBreakBefore w:val="0"/>
        <w:tabs>
          <w:tab w:val="clear" w:pos="567"/>
        </w:tabs>
        <w:kinsoku/>
        <w:wordWrap/>
        <w:overflowPunct/>
        <w:topLinePunct w:val="0"/>
        <w:autoSpaceDE/>
        <w:autoSpaceDN/>
        <w:bidi w:val="0"/>
        <w:adjustRightInd/>
        <w:spacing w:before="0" w:line="440" w:lineRule="exact"/>
        <w:ind w:firstLine="540" w:firstLineChars="225"/>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内容”所列的所有内容进行投标，如仅响应某一包中的部分内容，其该包投标将被认定为投标无效。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）所有投标文件采用不可拆装的胶订方式装订，否则其投标将被认定为投标无效。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44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、本项目不专门面向中小企业采购。根据《政府采购促进中小企业发展管理办法》（财库[2020]46号）、《财政部司法部关于政府采购支持监狱企业发展有关问 题 的通知》（财库〔2014〕68号）、《三部门联合发布关于促进残疾人就业政府采购政策的通知》（财库〔2017〕141号）和《财政部关于进一步加大政府采购支持中小企业力度的通知》财库〔2022〕19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keepNext w:val="0"/>
        <w:keepLines w:val="0"/>
        <w:pageBreakBefore w:val="0"/>
        <w:widowControl/>
        <w:kinsoku/>
        <w:wordWrap/>
        <w:overflowPunct/>
        <w:topLinePunct w:val="0"/>
        <w:autoSpaceDE/>
        <w:autoSpaceDN/>
        <w:bidi w:val="0"/>
        <w:adjustRightInd/>
        <w:spacing w:line="440" w:lineRule="exact"/>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9"/>
        <w:keepNext w:val="0"/>
        <w:keepLines w:val="0"/>
        <w:pageBreakBefore w:val="0"/>
        <w:tabs>
          <w:tab w:val="clear" w:pos="567"/>
        </w:tabs>
        <w:kinsoku/>
        <w:wordWrap/>
        <w:overflowPunct/>
        <w:topLinePunct w:val="0"/>
        <w:autoSpaceDE/>
        <w:autoSpaceDN/>
        <w:bidi w:val="0"/>
        <w:adjustRightInd/>
        <w:spacing w:before="0" w:line="440" w:lineRule="exact"/>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9"/>
        <w:keepNext w:val="0"/>
        <w:keepLines w:val="0"/>
        <w:pageBreakBefore w:val="0"/>
        <w:tabs>
          <w:tab w:val="clear" w:pos="567"/>
        </w:tabs>
        <w:kinsoku/>
        <w:wordWrap/>
        <w:overflowPunct/>
        <w:topLinePunct w:val="0"/>
        <w:autoSpaceDE/>
        <w:autoSpaceDN/>
        <w:bidi w:val="0"/>
        <w:adjustRightInd/>
        <w:spacing w:before="0" w:line="440" w:lineRule="exact"/>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供应商按照</w:t>
      </w:r>
      <w:r>
        <w:rPr>
          <w:rFonts w:hint="eastAsia" w:ascii="宋体" w:hAnsi="宋体" w:eastAsia="宋体" w:cs="宋体"/>
          <w:color w:val="auto"/>
          <w:sz w:val="24"/>
          <w:highlight w:val="none"/>
        </w:rPr>
        <w:t>须知资料表中规定的开标时间和地点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在规定时间内参加开标</w:t>
      </w:r>
      <w:r>
        <w:rPr>
          <w:rFonts w:hint="eastAsia" w:ascii="宋体" w:hAnsi="宋体" w:eastAsia="宋体" w:cs="宋体"/>
          <w:color w:val="auto"/>
          <w:sz w:val="24"/>
          <w:highlight w:val="none"/>
        </w:rPr>
        <w:t>。</w:t>
      </w:r>
    </w:p>
    <w:p>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在开标前，工作人员收取所有参会人员的手机，主持人宣读开标纪律。</w:t>
      </w:r>
    </w:p>
    <w:p>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（3）开标时，由采购人代表和由投标供应商或其推选的代表检查自己及所有供应商的投标文件的密封情况，并签字确认。</w:t>
      </w:r>
    </w:p>
    <w:p>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对通过密封性检查的投标供应商的资格进行检查。由采购人或采购代理机构依据法律法规和招标文件中规定的内容，对投标供应商的资格证明材料进行审查，并让投标供应商对资格审查结果进行签字确认。（若投标供应商未携带手持件，将以投标文件正本里面的内容为准，进行资格审查。）</w:t>
      </w:r>
    </w:p>
    <w:p>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（3）由采购人或采购代理机构当众拆封投标文件第一部分，宣读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名称、投标价格及招标文件规定的内容。对于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在投标截止期前递交的投标声明，在开标时当众宣读，评标时有效。未宣读投标价格、价格折扣等实质内容，评标时不予承认。</w:t>
      </w:r>
    </w:p>
    <w:p>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（4）采购人或采购代理机构将对开标过程进行记录，由参加开标的各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代表和相关工作人员签字确认，并存档备查。</w:t>
      </w:r>
    </w:p>
    <w:p>
      <w:pPr>
        <w:keepNext w:val="0"/>
        <w:keepLines w:val="0"/>
        <w:pageBreakBefore w:val="0"/>
        <w:widowControl/>
        <w:kinsoku/>
        <w:wordWrap/>
        <w:overflowPunct/>
        <w:topLinePunct w:val="0"/>
        <w:autoSpaceDE/>
        <w:autoSpaceDN/>
        <w:bidi w:val="0"/>
        <w:adjustRightInd/>
        <w:snapToGrid w:val="0"/>
        <w:spacing w:line="440" w:lineRule="exact"/>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代表对开标过程和开标记录有疑义，以及认为采购人、采购代理机构相关工作人员有需要回避的情形的，应当场提出询问或者回避申请。</w:t>
      </w:r>
    </w:p>
    <w:p>
      <w:pPr>
        <w:pStyle w:val="19"/>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（1）在</w:t>
      </w:r>
      <w:r>
        <w:rPr>
          <w:rFonts w:hint="eastAsia" w:ascii="宋体" w:hAnsi="宋体" w:eastAsia="宋体" w:cs="宋体"/>
          <w:b/>
          <w:bCs/>
          <w:color w:val="auto"/>
          <w:sz w:val="24"/>
          <w:highlight w:val="none"/>
          <w:lang w:eastAsia="zh-CN"/>
        </w:rPr>
        <w:t>政采云平台上随机抽取</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rPr>
        <w:t>名</w:t>
      </w:r>
      <w:r>
        <w:rPr>
          <w:rFonts w:hint="eastAsia" w:ascii="宋体" w:hAnsi="宋体" w:eastAsia="宋体" w:cs="宋体"/>
          <w:b/>
          <w:bCs/>
          <w:color w:val="auto"/>
          <w:sz w:val="24"/>
          <w:highlight w:val="none"/>
          <w:lang w:eastAsia="zh-CN"/>
        </w:rPr>
        <w:t>专家</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采购单位</w:t>
      </w:r>
      <w:r>
        <w:rPr>
          <w:rFonts w:hint="eastAsia" w:ascii="宋体" w:hAnsi="宋体" w:eastAsia="宋体" w:cs="宋体"/>
          <w:b/>
          <w:bCs/>
          <w:color w:val="auto"/>
          <w:sz w:val="24"/>
          <w:highlight w:val="none"/>
        </w:rPr>
        <w:t>委托</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名业主专家，共计</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名评标委员会成员</w:t>
      </w:r>
      <w:r>
        <w:rPr>
          <w:rFonts w:hint="eastAsia" w:ascii="宋体" w:hAnsi="宋体" w:eastAsia="宋体" w:cs="宋体"/>
          <w:color w:val="auto"/>
          <w:sz w:val="24"/>
          <w:highlight w:val="none"/>
        </w:rPr>
        <w:t>负责评标工作。</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对采购单位的纪律要求：</w:t>
      </w:r>
      <w:r>
        <w:rPr>
          <w:rFonts w:hint="eastAsia" w:ascii="宋体" w:hAnsi="宋体" w:eastAsia="宋体" w:cs="宋体"/>
          <w:color w:val="auto"/>
          <w:sz w:val="24"/>
          <w:highlight w:val="none"/>
          <w:lang w:eastAsia="zh-CN"/>
        </w:rPr>
        <w:t>采购单位不得泄露招投标活动中应当保密的情况和资料，不得与供应商串通损害国家利益、社会公共利益或者他人合法权益</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对与开标大会活动有关的工作人员的纪律要求：与开标大会活动有关的工作人员不得收受他人的财物或者其他好处，不得向他人透露对中标候选人的推荐情况以及评标有关的其他情况。</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对评标专家的评标纪律及注意事项：</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①与本次评标工作无关的人员不得进入评标现场；</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②在评标过程中评标委员会以外人员不得干预或影响正常评标工作，不得明示或暗示其倾向性、引导性言论；</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③评标委员会成员要严格遵守政府采购法、政府采购法实施条例、政府采购货物和服务招标投标管理办法及评标专家管理办法，要求公正、公平的参与评标工作；</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⑦评标专家与供应商有下列利害关系之一的人员，应当回避</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参加采购活动前3年内与供应商存在劳动关系；</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参加采购活动前3年内担任供应商的董事、监事；</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参加采购活动前3年内是供应商的控股股东或者实际控制人；</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与供应商的法定代表人或者负责人有夫妻、直系血亲、三代以内旁系血亲或者近姻亲关系。</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8.答疑澄清：</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pPr>
        <w:pStyle w:val="19"/>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9.定标：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（1）采购代理机构应当在评标结束后2个工作日内将评标报告送采购人。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10.评标标准：</w:t>
      </w:r>
    </w:p>
    <w:p>
      <w:pPr>
        <w:pStyle w:val="19"/>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第一包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（2）商务评分占</w:t>
      </w:r>
      <w:r>
        <w:rPr>
          <w:rFonts w:hint="eastAsia" w:ascii="宋体" w:hAnsi="宋体" w:cs="宋体"/>
          <w:b w:val="0"/>
          <w:i w:val="0"/>
          <w:caps w:val="0"/>
          <w:color w:val="auto"/>
          <w:spacing w:val="0"/>
          <w:w w:val="100"/>
          <w:sz w:val="24"/>
          <w:highlight w:val="none"/>
          <w:lang w:val="en-US" w:eastAsia="zh-CN"/>
        </w:rPr>
        <w:t>6</w:t>
      </w:r>
      <w:r>
        <w:rPr>
          <w:rFonts w:hint="eastAsia" w:ascii="宋体" w:hAnsi="宋体" w:eastAsia="宋体" w:cs="宋体"/>
          <w:b w:val="0"/>
          <w:i w:val="0"/>
          <w:caps w:val="0"/>
          <w:color w:val="auto"/>
          <w:spacing w:val="0"/>
          <w:w w:val="100"/>
          <w:sz w:val="24"/>
          <w:highlight w:val="none"/>
          <w:lang w:val="en-US" w:eastAsia="zh-CN"/>
        </w:rPr>
        <w:t>%，包含业绩、</w:t>
      </w:r>
      <w:r>
        <w:rPr>
          <w:rFonts w:hint="eastAsia" w:ascii="宋体" w:hAnsi="宋体" w:cs="宋体"/>
          <w:b w:val="0"/>
          <w:i w:val="0"/>
          <w:caps w:val="0"/>
          <w:color w:val="auto"/>
          <w:spacing w:val="0"/>
          <w:w w:val="100"/>
          <w:sz w:val="24"/>
          <w:highlight w:val="none"/>
          <w:lang w:val="en-US" w:eastAsia="zh-CN"/>
        </w:rPr>
        <w:t>标书</w:t>
      </w:r>
      <w:r>
        <w:rPr>
          <w:rFonts w:hint="eastAsia" w:ascii="宋体" w:hAnsi="宋体" w:eastAsia="宋体" w:cs="宋体"/>
          <w:b w:val="0"/>
          <w:i w:val="0"/>
          <w:caps w:val="0"/>
          <w:color w:val="auto"/>
          <w:spacing w:val="0"/>
          <w:w w:val="100"/>
          <w:sz w:val="24"/>
          <w:highlight w:val="none"/>
          <w:lang w:val="en-US" w:eastAsia="zh-CN"/>
        </w:rPr>
        <w:t>制作。</w:t>
      </w:r>
    </w:p>
    <w:p>
      <w:pPr>
        <w:pStyle w:val="19"/>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（3）技术评分占6</w:t>
      </w:r>
      <w:r>
        <w:rPr>
          <w:rFonts w:hint="eastAsia" w:ascii="宋体" w:hAnsi="宋体" w:cs="宋体"/>
          <w:b w:val="0"/>
          <w:i w:val="0"/>
          <w:caps w:val="0"/>
          <w:color w:val="auto"/>
          <w:spacing w:val="0"/>
          <w:w w:val="100"/>
          <w:sz w:val="24"/>
          <w:highlight w:val="none"/>
          <w:lang w:val="en-US" w:eastAsia="zh-CN"/>
        </w:rPr>
        <w:t>4</w:t>
      </w:r>
      <w:r>
        <w:rPr>
          <w:rFonts w:hint="eastAsia" w:ascii="宋体" w:hAnsi="宋体" w:eastAsia="宋体" w:cs="宋体"/>
          <w:b w:val="0"/>
          <w:i w:val="0"/>
          <w:caps w:val="0"/>
          <w:color w:val="auto"/>
          <w:spacing w:val="0"/>
          <w:w w:val="100"/>
          <w:sz w:val="24"/>
          <w:highlight w:val="none"/>
          <w:lang w:val="en-US" w:eastAsia="zh-CN"/>
        </w:rPr>
        <w:t>%，包含技术参数</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检测报告</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机房设计</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实施方案</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培训方案</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质量保证及售后服务。</w:t>
      </w:r>
    </w:p>
    <w:p>
      <w:pPr>
        <w:pStyle w:val="19"/>
        <w:keepNext w:val="0"/>
        <w:keepLines w:val="0"/>
        <w:pageBreakBefore w:val="0"/>
        <w:kinsoku/>
        <w:wordWrap/>
        <w:overflowPunct/>
        <w:topLinePunct w:val="0"/>
        <w:autoSpaceDE/>
        <w:autoSpaceDN/>
        <w:bidi w:val="0"/>
        <w:adjustRightInd/>
        <w:spacing w:line="440" w:lineRule="exact"/>
        <w:rPr>
          <w:rFonts w:hint="eastAsia" w:ascii="宋体" w:hAnsi="宋体" w:eastAsia="宋体" w:cs="宋体"/>
          <w:b/>
          <w:bCs/>
          <w:color w:val="auto"/>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第</w:t>
      </w:r>
      <w:r>
        <w:rPr>
          <w:rFonts w:hint="eastAsia" w:ascii="宋体" w:hAnsi="宋体" w:cs="宋体"/>
          <w:b/>
          <w:bCs/>
          <w:i w:val="0"/>
          <w:caps w:val="0"/>
          <w:color w:val="auto"/>
          <w:spacing w:val="0"/>
          <w:w w:val="100"/>
          <w:sz w:val="24"/>
          <w:highlight w:val="none"/>
          <w:lang w:val="en-US" w:eastAsia="zh-CN"/>
        </w:rPr>
        <w:t>二</w:t>
      </w:r>
      <w:r>
        <w:rPr>
          <w:rFonts w:hint="eastAsia" w:ascii="宋体" w:hAnsi="宋体" w:eastAsia="宋体" w:cs="宋体"/>
          <w:b/>
          <w:bCs/>
          <w:i w:val="0"/>
          <w:caps w:val="0"/>
          <w:color w:val="auto"/>
          <w:spacing w:val="0"/>
          <w:w w:val="100"/>
          <w:sz w:val="24"/>
          <w:highlight w:val="none"/>
          <w:lang w:val="en-US" w:eastAsia="zh-CN"/>
        </w:rPr>
        <w:t>包</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（1）价格评分占30%，完全满足招标文件参数的投标报价中的最低价为评标基准价，按照下列公式计算每个供应商的投标价格得分。投标报价得分＝（基准价/投标报价）×价格权重×100。</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（2）商务评分占</w:t>
      </w:r>
      <w:r>
        <w:rPr>
          <w:rFonts w:hint="eastAsia" w:ascii="宋体" w:hAnsi="宋体" w:cs="宋体"/>
          <w:b w:val="0"/>
          <w:i w:val="0"/>
          <w:caps w:val="0"/>
          <w:color w:val="auto"/>
          <w:spacing w:val="0"/>
          <w:w w:val="100"/>
          <w:sz w:val="24"/>
          <w:highlight w:val="none"/>
          <w:lang w:val="en-US" w:eastAsia="zh-CN"/>
        </w:rPr>
        <w:t>11</w:t>
      </w:r>
      <w:r>
        <w:rPr>
          <w:rFonts w:hint="eastAsia" w:ascii="宋体" w:hAnsi="宋体" w:eastAsia="宋体" w:cs="宋体"/>
          <w:b w:val="0"/>
          <w:i w:val="0"/>
          <w:caps w:val="0"/>
          <w:color w:val="auto"/>
          <w:spacing w:val="0"/>
          <w:w w:val="100"/>
          <w:sz w:val="24"/>
          <w:highlight w:val="none"/>
          <w:lang w:val="en-US" w:eastAsia="zh-CN"/>
        </w:rPr>
        <w:t>%，包含业绩</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企业实力</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标书制作。</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jc w:val="both"/>
        <w:textAlignment w:val="baseline"/>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（3）技术评分占</w:t>
      </w:r>
      <w:r>
        <w:rPr>
          <w:rFonts w:hint="eastAsia" w:ascii="宋体" w:hAnsi="宋体" w:cs="宋体"/>
          <w:b w:val="0"/>
          <w:i w:val="0"/>
          <w:caps w:val="0"/>
          <w:color w:val="auto"/>
          <w:spacing w:val="0"/>
          <w:w w:val="100"/>
          <w:sz w:val="24"/>
          <w:highlight w:val="none"/>
          <w:lang w:val="en-US" w:eastAsia="zh-CN"/>
        </w:rPr>
        <w:t>59</w:t>
      </w:r>
      <w:r>
        <w:rPr>
          <w:rFonts w:hint="eastAsia" w:ascii="宋体" w:hAnsi="宋体" w:eastAsia="宋体" w:cs="宋体"/>
          <w:b w:val="0"/>
          <w:i w:val="0"/>
          <w:caps w:val="0"/>
          <w:color w:val="auto"/>
          <w:spacing w:val="0"/>
          <w:w w:val="100"/>
          <w:sz w:val="24"/>
          <w:highlight w:val="none"/>
          <w:lang w:val="en-US" w:eastAsia="zh-CN"/>
        </w:rPr>
        <w:t>%，包含技术参数</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检测报告</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实施方案</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培训方案</w:t>
      </w:r>
      <w:r>
        <w:rPr>
          <w:rFonts w:hint="eastAsia" w:ascii="宋体" w:hAnsi="宋体" w:cs="宋体"/>
          <w:b w:val="0"/>
          <w:i w:val="0"/>
          <w:caps w:val="0"/>
          <w:color w:val="auto"/>
          <w:spacing w:val="0"/>
          <w:w w:val="100"/>
          <w:sz w:val="24"/>
          <w:highlight w:val="none"/>
          <w:lang w:val="en-US" w:eastAsia="zh-CN"/>
        </w:rPr>
        <w:t>、</w:t>
      </w:r>
      <w:r>
        <w:rPr>
          <w:rFonts w:hint="eastAsia" w:ascii="宋体" w:hAnsi="宋体" w:eastAsia="宋体" w:cs="宋体"/>
          <w:b w:val="0"/>
          <w:i w:val="0"/>
          <w:caps w:val="0"/>
          <w:color w:val="auto"/>
          <w:spacing w:val="0"/>
          <w:w w:val="100"/>
          <w:sz w:val="24"/>
          <w:highlight w:val="none"/>
          <w:lang w:val="en-US" w:eastAsia="zh-CN"/>
        </w:rPr>
        <w:t>质量保证及售后服务。</w:t>
      </w:r>
    </w:p>
    <w:p>
      <w:pPr>
        <w:rPr>
          <w:rFonts w:hint="eastAsia" w:ascii="宋体" w:hAnsi="宋体" w:eastAsia="宋体" w:cs="宋体"/>
          <w:color w:val="auto"/>
          <w:highlight w:val="none"/>
        </w:rPr>
      </w:pPr>
      <w:bookmarkStart w:id="1813" w:name="_Toc5478"/>
      <w:bookmarkStart w:id="1814" w:name="_Toc19412"/>
      <w:bookmarkStart w:id="1815" w:name="_Toc25901"/>
      <w:bookmarkStart w:id="1816" w:name="_Toc9835"/>
      <w:bookmarkStart w:id="1817" w:name="_Toc5776"/>
      <w:bookmarkStart w:id="1818" w:name="_Toc9116"/>
      <w:bookmarkStart w:id="1819" w:name="_Toc5578"/>
      <w:bookmarkStart w:id="1820" w:name="_Toc1327"/>
      <w:bookmarkStart w:id="1821" w:name="_Toc7467"/>
      <w:bookmarkStart w:id="1822" w:name="_Toc21866"/>
      <w:bookmarkStart w:id="1823" w:name="_Toc5986"/>
      <w:bookmarkStart w:id="1824" w:name="_Toc6128"/>
      <w:bookmarkStart w:id="1825" w:name="_Toc29085"/>
      <w:bookmarkStart w:id="1826" w:name="_Toc28782"/>
      <w:bookmarkStart w:id="1827" w:name="_Toc21578"/>
      <w:bookmarkStart w:id="1828" w:name="_Toc10419"/>
      <w:bookmarkStart w:id="1829" w:name="_Toc23103"/>
      <w:r>
        <w:rPr>
          <w:rFonts w:hint="eastAsia" w:ascii="宋体" w:hAnsi="宋体" w:eastAsia="宋体" w:cs="宋体"/>
          <w:color w:val="auto"/>
          <w:highlight w:val="none"/>
        </w:rPr>
        <w:br w:type="page"/>
      </w:r>
    </w:p>
    <w:p>
      <w:pPr>
        <w:pStyle w:val="6"/>
        <w:jc w:val="center"/>
        <w:rPr>
          <w:rFonts w:hint="eastAsia" w:ascii="宋体" w:hAnsi="宋体" w:eastAsia="宋体" w:cs="宋体"/>
          <w:color w:val="auto"/>
          <w:highlight w:val="none"/>
        </w:rPr>
      </w:pPr>
      <w:bookmarkStart w:id="1830" w:name="_Toc1305"/>
      <w:r>
        <w:rPr>
          <w:rFonts w:hint="eastAsia" w:ascii="宋体" w:hAnsi="宋体" w:eastAsia="宋体" w:cs="宋体"/>
          <w:color w:val="auto"/>
          <w:highlight w:val="none"/>
        </w:rPr>
        <w:t>初步评审—资格性审查表</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6270"/>
        <w:gridCol w:w="544"/>
        <w:gridCol w:w="566"/>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09"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691"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评审内容</w:t>
            </w:r>
          </w:p>
        </w:tc>
        <w:tc>
          <w:tcPr>
            <w:tcW w:w="999" w:type="pct"/>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3691"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32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3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45"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eastAsia="zh-CN"/>
              </w:rPr>
              <w:t>具有有效的营业执照</w:t>
            </w:r>
            <w:r>
              <w:rPr>
                <w:rFonts w:hint="eastAsia" w:ascii="宋体" w:hAnsi="宋体" w:eastAsia="宋体" w:cs="宋体"/>
                <w:color w:val="auto"/>
                <w:spacing w:val="-2"/>
                <w:szCs w:val="21"/>
                <w:highlight w:val="none"/>
              </w:rPr>
              <w:t>；</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sz w:val="18"/>
                <w:szCs w:val="18"/>
                <w:highlight w:val="none"/>
              </w:rPr>
              <w:t>2</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法定代表人资格证明及授权书、被授权人身份证(法定代表人投标需提供法定代表人身份证)；</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3</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val="en-US" w:eastAsia="zh-CN"/>
              </w:rPr>
            </w:pPr>
            <w:r>
              <w:rPr>
                <w:rFonts w:hint="eastAsia" w:ascii="宋体" w:hAnsi="宋体" w:cs="宋体"/>
                <w:color w:val="auto"/>
                <w:spacing w:val="-2"/>
                <w:szCs w:val="21"/>
                <w:highlight w:val="none"/>
                <w:lang w:eastAsia="zh-CN"/>
              </w:rPr>
              <w:t>提供《医疗器械生产许可证》或《医疗器械经营许可证》及医疗器械注册证</w:t>
            </w:r>
            <w:r>
              <w:rPr>
                <w:rFonts w:hint="eastAsia" w:ascii="宋体" w:hAnsi="宋体" w:eastAsia="宋体" w:cs="宋体"/>
                <w:color w:val="auto"/>
                <w:spacing w:val="-2"/>
                <w:szCs w:val="21"/>
                <w:highlight w:val="none"/>
              </w:rPr>
              <w:t>；</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4</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val="en-US" w:eastAsia="zh-CN"/>
              </w:rPr>
            </w:pPr>
            <w:r>
              <w:rPr>
                <w:rFonts w:hint="eastAsia" w:ascii="宋体" w:hAnsi="宋体" w:cs="宋体"/>
                <w:color w:val="auto"/>
                <w:spacing w:val="-2"/>
                <w:szCs w:val="21"/>
                <w:highlight w:val="none"/>
                <w:lang w:eastAsia="zh-CN"/>
              </w:rPr>
              <w:t>提供近两年内任意一年的财务审计报告</w:t>
            </w:r>
            <w:r>
              <w:rPr>
                <w:rFonts w:hint="eastAsia" w:ascii="宋体" w:hAnsi="宋体" w:eastAsia="宋体" w:cs="宋体"/>
                <w:color w:val="auto"/>
                <w:spacing w:val="-2"/>
                <w:szCs w:val="21"/>
                <w:highlight w:val="none"/>
              </w:rPr>
              <w:t>；</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5</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依法缴纳近六个月内任意一个月社会保险的凭据；</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6</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税务部门出具的近六个月内任意一个月的完税证明；</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7</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val="en-US"/>
              </w:rPr>
            </w:pPr>
            <w:r>
              <w:rPr>
                <w:rFonts w:hint="eastAsia" w:ascii="宋体" w:hAnsi="宋体" w:eastAsia="宋体" w:cs="宋体"/>
                <w:color w:val="auto"/>
                <w:spacing w:val="-2"/>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截图)、中国政府采购网（http://www.ccgp.gov.cn/search/cr/）严重违法失信行为信息记录名单的（尚在处罚期内的），“国家企业信用信息公示系统（http://www.gsxt.gov.cn）”列入严重违法失信名单（黑名单）信息及企业信用信息公示报告；将拒绝其参加本次招标活动；（以采购代理机构或采购人查询为准）；</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8</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参与政府采购活动前3年内未被列入失信、重大税收违法案件、财政部门禁止参加政府采购活动的承诺书；</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sz w:val="18"/>
                <w:szCs w:val="18"/>
                <w:highlight w:val="none"/>
                <w:lang w:val="en-US" w:eastAsia="zh-CN"/>
              </w:rPr>
              <w:t>9</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提供针对本次项目的《反商业贿赂承诺书》；</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18"/>
                <w:szCs w:val="18"/>
                <w:highlight w:val="none"/>
                <w:lang w:val="en-US" w:eastAsia="zh-CN"/>
              </w:rPr>
            </w:pPr>
            <w:r>
              <w:rPr>
                <w:rFonts w:hint="eastAsia" w:ascii="宋体" w:hAnsi="宋体" w:eastAsia="宋体" w:cs="宋体"/>
                <w:color w:val="auto"/>
                <w:spacing w:val="-2"/>
                <w:sz w:val="18"/>
                <w:szCs w:val="18"/>
                <w:highlight w:val="none"/>
                <w:lang w:val="en-US" w:eastAsia="zh-CN"/>
              </w:rPr>
              <w:t>1</w:t>
            </w:r>
            <w:r>
              <w:rPr>
                <w:rFonts w:hint="eastAsia" w:ascii="宋体" w:hAnsi="宋体" w:cs="宋体"/>
                <w:color w:val="auto"/>
                <w:spacing w:val="-2"/>
                <w:sz w:val="18"/>
                <w:szCs w:val="18"/>
                <w:highlight w:val="none"/>
                <w:lang w:val="en-US" w:eastAsia="zh-CN"/>
              </w:rPr>
              <w:t>0</w:t>
            </w: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缴纳投标保证金的有效凭证。</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0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p>
        </w:tc>
        <w:tc>
          <w:tcPr>
            <w:tcW w:w="369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结论</w:t>
            </w:r>
          </w:p>
        </w:tc>
        <w:tc>
          <w:tcPr>
            <w:tcW w:w="32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3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45"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bl>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说明：（1）上述各项中用“√”表示通过，“×”表示不通过；</w:t>
      </w:r>
    </w:p>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spacing w:line="360" w:lineRule="exact"/>
        <w:ind w:left="6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（3）投标文件最终合格与否，以所有评委的评审意见中少数服从多数为原则定论。</w:t>
      </w:r>
    </w:p>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19"/>
        <w:rPr>
          <w:rFonts w:hint="eastAsia" w:ascii="宋体" w:hAnsi="宋体" w:eastAsia="宋体" w:cs="宋体"/>
          <w:b/>
          <w:bCs/>
          <w:color w:val="auto"/>
          <w:szCs w:val="21"/>
          <w:highlight w:val="none"/>
        </w:rPr>
      </w:pPr>
    </w:p>
    <w:p>
      <w:pPr>
        <w:rPr>
          <w:rFonts w:hint="eastAsia" w:ascii="宋体" w:hAnsi="宋体" w:eastAsia="宋体" w:cs="宋体"/>
          <w:color w:val="auto"/>
          <w:highlight w:val="none"/>
        </w:rPr>
      </w:pPr>
      <w:bookmarkStart w:id="1831" w:name="_Toc8382"/>
      <w:bookmarkStart w:id="1832" w:name="_Toc273"/>
      <w:bookmarkStart w:id="1833" w:name="_Toc30395"/>
      <w:bookmarkStart w:id="1834" w:name="_Toc3927"/>
      <w:bookmarkStart w:id="1835" w:name="_Toc16022"/>
      <w:bookmarkStart w:id="1836" w:name="_Toc26642"/>
      <w:bookmarkStart w:id="1837" w:name="_Toc3062"/>
      <w:bookmarkStart w:id="1838" w:name="_Toc8255"/>
      <w:bookmarkStart w:id="1839" w:name="_Toc12108"/>
      <w:bookmarkStart w:id="1840" w:name="_Toc28858"/>
      <w:bookmarkStart w:id="1841" w:name="_Toc13854"/>
      <w:bookmarkStart w:id="1842" w:name="_Toc27246"/>
      <w:bookmarkStart w:id="1843" w:name="_Toc10492"/>
      <w:bookmarkStart w:id="1844" w:name="_Toc18094"/>
      <w:bookmarkStart w:id="1845" w:name="_Toc14007"/>
      <w:bookmarkStart w:id="1846" w:name="_Toc21850"/>
      <w:bookmarkStart w:id="1847" w:name="_Toc31983"/>
      <w:r>
        <w:rPr>
          <w:rFonts w:hint="eastAsia" w:ascii="宋体" w:hAnsi="宋体" w:eastAsia="宋体" w:cs="宋体"/>
          <w:color w:val="auto"/>
          <w:highlight w:val="none"/>
        </w:rPr>
        <w:br w:type="page"/>
      </w:r>
    </w:p>
    <w:p>
      <w:pPr>
        <w:pStyle w:val="6"/>
        <w:rPr>
          <w:rFonts w:hint="eastAsia" w:ascii="宋体" w:hAnsi="宋体" w:eastAsia="宋体" w:cs="宋体"/>
          <w:color w:val="auto"/>
          <w:highlight w:val="none"/>
        </w:rPr>
      </w:pPr>
      <w:bookmarkStart w:id="1848" w:name="_Toc18611"/>
      <w:r>
        <w:rPr>
          <w:rFonts w:hint="eastAsia" w:ascii="宋体" w:hAnsi="宋体" w:eastAsia="宋体" w:cs="宋体"/>
          <w:color w:val="auto"/>
          <w:highlight w:val="none"/>
        </w:rPr>
        <w:t>初步评审—符合性审查表</w:t>
      </w:r>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6712"/>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394" w:type="pct"/>
            <w:gridSpan w:val="2"/>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605" w:type="pct"/>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3" w:type="pct"/>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950" w:type="pct"/>
            <w:vAlign w:val="center"/>
          </w:tcPr>
          <w:p>
            <w:pPr>
              <w:spacing w:line="400" w:lineRule="exact"/>
              <w:jc w:val="center"/>
              <w:rPr>
                <w:rFonts w:hint="eastAsia" w:ascii="宋体" w:hAnsi="宋体" w:eastAsia="宋体" w:cs="宋体"/>
                <w:color w:val="auto"/>
                <w:spacing w:val="-2"/>
                <w:szCs w:val="21"/>
                <w:highlight w:val="none"/>
              </w:rPr>
            </w:pPr>
          </w:p>
        </w:tc>
        <w:tc>
          <w:tcPr>
            <w:tcW w:w="605" w:type="pct"/>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w:t>
            </w:r>
            <w:r>
              <w:rPr>
                <w:rFonts w:hint="eastAsia" w:ascii="宋体" w:hAnsi="宋体" w:eastAsia="宋体" w:cs="宋体"/>
                <w:color w:val="auto"/>
                <w:spacing w:val="-2"/>
                <w:szCs w:val="21"/>
                <w:highlight w:val="none"/>
                <w:lang w:val="en-US" w:eastAsia="zh-CN"/>
              </w:rPr>
              <w:t>符合</w:t>
            </w:r>
            <w:r>
              <w:rPr>
                <w:rFonts w:hint="eastAsia" w:ascii="宋体" w:hAnsi="宋体" w:eastAsia="宋体" w:cs="宋体"/>
                <w:color w:val="auto"/>
                <w:spacing w:val="-2"/>
                <w:szCs w:val="21"/>
                <w:highlight w:val="none"/>
              </w:rPr>
              <w:t>性审查供应商的报价的，供应商的报价不存在异常一致并成规律性的，其报价合理；</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w:t>
            </w:r>
            <w:r>
              <w:rPr>
                <w:rFonts w:hint="eastAsia" w:ascii="宋体" w:hAnsi="宋体" w:eastAsia="宋体" w:cs="宋体"/>
                <w:color w:val="auto"/>
                <w:spacing w:val="-2"/>
                <w:szCs w:val="21"/>
                <w:highlight w:val="none"/>
                <w:lang w:val="en-US" w:eastAsia="zh-CN"/>
              </w:rPr>
              <w:t>签</w:t>
            </w:r>
            <w:r>
              <w:rPr>
                <w:rFonts w:hint="eastAsia" w:ascii="宋体" w:hAnsi="宋体" w:eastAsia="宋体" w:cs="宋体"/>
                <w:color w:val="auto"/>
                <w:spacing w:val="-2"/>
                <w:szCs w:val="21"/>
                <w:highlight w:val="none"/>
              </w:rPr>
              <w:t>章</w:t>
            </w:r>
            <w:r>
              <w:rPr>
                <w:rFonts w:hint="eastAsia" w:ascii="宋体" w:hAnsi="宋体" w:cs="宋体"/>
                <w:color w:val="auto"/>
                <w:spacing w:val="-2"/>
                <w:szCs w:val="21"/>
                <w:highlight w:val="none"/>
                <w:lang w:eastAsia="zh-CN"/>
              </w:rPr>
              <w:t>；</w:t>
            </w:r>
          </w:p>
        </w:tc>
        <w:tc>
          <w:tcPr>
            <w:tcW w:w="605" w:type="pct"/>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所投产品的设备及数量满足招标文件要求的；</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w:t>
            </w:r>
            <w:r>
              <w:rPr>
                <w:rFonts w:hint="eastAsia" w:ascii="宋体" w:hAnsi="宋体" w:cs="宋体"/>
                <w:color w:val="auto"/>
                <w:spacing w:val="-2"/>
                <w:szCs w:val="21"/>
                <w:highlight w:val="none"/>
                <w:lang w:val="en-US" w:eastAsia="zh-CN"/>
              </w:rPr>
              <w:t>全面</w:t>
            </w:r>
            <w:r>
              <w:rPr>
                <w:rFonts w:hint="eastAsia" w:ascii="宋体" w:hAnsi="宋体" w:eastAsia="宋体" w:cs="宋体"/>
                <w:color w:val="auto"/>
                <w:spacing w:val="-2"/>
                <w:szCs w:val="21"/>
                <w:highlight w:val="none"/>
              </w:rPr>
              <w:t>；</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val="en-US" w:eastAsia="zh-CN"/>
              </w:rPr>
              <w:t>符合招标文件中规定的要求；</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没有采购人不能接受的附加条件的；</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44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9</w:t>
            </w:r>
          </w:p>
        </w:tc>
        <w:tc>
          <w:tcPr>
            <w:tcW w:w="39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p>
        </w:tc>
        <w:tc>
          <w:tcPr>
            <w:tcW w:w="605"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394"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结论：通过评审打“√”，未通过评审打“×”</w:t>
            </w:r>
          </w:p>
        </w:tc>
        <w:tc>
          <w:tcPr>
            <w:tcW w:w="605" w:type="pct"/>
            <w:vAlign w:val="center"/>
          </w:tcPr>
          <w:p>
            <w:pPr>
              <w:spacing w:line="400" w:lineRule="exact"/>
              <w:ind w:firstLine="370" w:firstLineChars="180"/>
              <w:jc w:val="center"/>
              <w:rPr>
                <w:rFonts w:hint="eastAsia" w:ascii="宋体" w:hAnsi="宋体" w:eastAsia="宋体" w:cs="宋体"/>
                <w:color w:val="auto"/>
                <w:spacing w:val="-2"/>
                <w:szCs w:val="21"/>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3"/>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4"/>
        <w:ind w:left="0" w:leftChars="0" w:firstLine="0" w:firstLineChars="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11"/>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tbl>
      <w:tblPr>
        <w:tblStyle w:val="25"/>
        <w:tblW w:w="9978" w:type="dxa"/>
        <w:tblInd w:w="-430" w:type="dxa"/>
        <w:tblLayout w:type="fixed"/>
        <w:tblCellMar>
          <w:top w:w="0" w:type="dxa"/>
          <w:left w:w="108" w:type="dxa"/>
          <w:bottom w:w="0" w:type="dxa"/>
          <w:right w:w="108" w:type="dxa"/>
        </w:tblCellMar>
      </w:tblPr>
      <w:tblGrid>
        <w:gridCol w:w="3087"/>
        <w:gridCol w:w="5651"/>
        <w:gridCol w:w="545"/>
        <w:gridCol w:w="459"/>
        <w:gridCol w:w="236"/>
      </w:tblGrid>
      <w:tr>
        <w:tblPrEx>
          <w:tblCellMar>
            <w:top w:w="0" w:type="dxa"/>
            <w:left w:w="108" w:type="dxa"/>
            <w:bottom w:w="0" w:type="dxa"/>
            <w:right w:w="108" w:type="dxa"/>
          </w:tblCellMar>
        </w:tblPrEx>
        <w:trPr>
          <w:trHeight w:val="585" w:hRule="atLeast"/>
        </w:trPr>
        <w:tc>
          <w:tcPr>
            <w:tcW w:w="9978"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审查事项</w:t>
            </w:r>
          </w:p>
        </w:tc>
        <w:tc>
          <w:tcPr>
            <w:tcW w:w="12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供应商名称及审查情况</w:t>
            </w:r>
          </w:p>
        </w:tc>
      </w:tr>
      <w:tr>
        <w:tblPrEx>
          <w:tblCellMar>
            <w:top w:w="0" w:type="dxa"/>
            <w:left w:w="108" w:type="dxa"/>
            <w:bottom w:w="0" w:type="dxa"/>
            <w:right w:w="108" w:type="dxa"/>
          </w:tblCellMar>
        </w:tblPrEx>
        <w:trPr>
          <w:trHeight w:val="66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招标文件条款（供应商须知、供应商须知资料表条款号）</w:t>
            </w:r>
          </w:p>
        </w:tc>
        <w:tc>
          <w:tcPr>
            <w:tcW w:w="56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kern w:val="0"/>
                <w:sz w:val="22"/>
                <w:szCs w:val="22"/>
                <w:highlight w:val="none"/>
              </w:rPr>
            </w:pPr>
            <w:r>
              <w:rPr>
                <w:rFonts w:hint="eastAsia" w:ascii="宋体" w:hAnsi="宋体" w:eastAsia="宋体" w:cs="宋体"/>
                <w:b/>
                <w:kern w:val="0"/>
                <w:sz w:val="22"/>
                <w:szCs w:val="22"/>
                <w:highlight w:val="none"/>
              </w:rPr>
              <w:t>本项目要求</w:t>
            </w:r>
          </w:p>
        </w:tc>
        <w:tc>
          <w:tcPr>
            <w:tcW w:w="54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285"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中小企业投标要求（1.3.6）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本项目</w:t>
            </w:r>
            <w:r>
              <w:rPr>
                <w:rFonts w:hint="eastAsia" w:ascii="宋体" w:hAnsi="宋体" w:eastAsia="宋体" w:cs="宋体"/>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r>
      <w:tr>
        <w:tblPrEx>
          <w:tblCellMar>
            <w:top w:w="0" w:type="dxa"/>
            <w:left w:w="108" w:type="dxa"/>
            <w:bottom w:w="0" w:type="dxa"/>
            <w:right w:w="108" w:type="dxa"/>
          </w:tblCellMar>
        </w:tblPrEx>
        <w:trPr>
          <w:trHeight w:val="503"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联合体投标规（1.4）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本项目</w:t>
            </w:r>
            <w:r>
              <w:rPr>
                <w:rFonts w:hint="eastAsia" w:ascii="宋体" w:hAnsi="宋体" w:eastAsia="宋体" w:cs="宋体"/>
                <w:i/>
                <w:iCs/>
                <w:kern w:val="0"/>
                <w:szCs w:val="21"/>
                <w:highlight w:val="none"/>
                <w:u w:val="single"/>
              </w:rPr>
              <w:t>不接受</w:t>
            </w:r>
            <w:r>
              <w:rPr>
                <w:rFonts w:hint="eastAsia" w:ascii="宋体" w:hAnsi="宋体" w:eastAsia="宋体" w:cs="宋体"/>
                <w:kern w:val="0"/>
                <w:szCs w:val="21"/>
                <w:highlight w:val="none"/>
              </w:rPr>
              <w:t>联合体投标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供应商的关联（1.5）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在同一标包内，单位负责人为非同一人或者不存在直接控股、管理关系的不同供应商。</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未发现影响采购人决策行为（1.5）</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供应商在投标过程中未向采购人提供、给予任何有价值的物品，影响其正常决策行为。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r>
      <w:tr>
        <w:tblPrEx>
          <w:tblCellMar>
            <w:top w:w="0" w:type="dxa"/>
            <w:left w:w="108" w:type="dxa"/>
            <w:bottom w:w="0" w:type="dxa"/>
            <w:right w:w="108" w:type="dxa"/>
          </w:tblCellMar>
        </w:tblPrEx>
        <w:trPr>
          <w:trHeight w:val="121"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满足投标范围的完整性要求（8.1）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供应商对所投分包招标文件中所列的所有内容进行投标。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r>
      <w:tr>
        <w:tblPrEx>
          <w:tblCellMar>
            <w:top w:w="0" w:type="dxa"/>
            <w:left w:w="108" w:type="dxa"/>
            <w:bottom w:w="0" w:type="dxa"/>
            <w:right w:w="108" w:type="dxa"/>
          </w:tblCellMar>
        </w:tblPrEx>
        <w:trPr>
          <w:trHeight w:val="557"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未包含价格调整要求（11.4）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供应商所报的各分项投标报价在合同履行过程中是固定不变的，不得以任何理由予以变更。</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456"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投标保证金（12.1）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符合招标文件要求</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投标有效期满足要求（13.1）</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自提交投标文件截止之日起</w:t>
            </w:r>
            <w:r>
              <w:rPr>
                <w:rFonts w:hint="eastAsia" w:ascii="宋体" w:hAnsi="宋体" w:eastAsia="宋体" w:cs="宋体"/>
                <w:szCs w:val="21"/>
                <w:highlight w:val="none"/>
                <w:u w:val="single"/>
              </w:rPr>
              <w:t xml:space="preserve"> </w:t>
            </w:r>
            <w:r>
              <w:rPr>
                <w:rFonts w:hint="eastAsia" w:ascii="宋体" w:hAnsi="宋体" w:cs="宋体"/>
                <w:szCs w:val="21"/>
                <w:highlight w:val="none"/>
                <w:u w:val="single"/>
                <w:lang w:val="en-US" w:eastAsia="zh-CN"/>
              </w:rPr>
              <w:t>90</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none"/>
              </w:rPr>
              <w:t>日</w:t>
            </w:r>
            <w:r>
              <w:rPr>
                <w:rFonts w:hint="eastAsia" w:ascii="宋体" w:hAnsi="宋体" w:eastAsia="宋体" w:cs="宋体"/>
                <w:szCs w:val="21"/>
                <w:highlight w:val="none"/>
              </w:rPr>
              <w:t>历日</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投标文件的装订方式（14.3）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所有投标文件采用不可拆装的胶订方式装订</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投标文件的签署和盖章符合要求</w:t>
            </w:r>
          </w:p>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（14.2、14.4）</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按照招标文件规定要求签署、盖章。</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接受价格的算术修正（20.3）</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投标文件报价出现前后不一致的，应按照招标文件规定的顺序修正。修正后的报价经供应商确认后产生约束力。</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符合强制采购节能产品要求（20.6）</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本项目</w:t>
            </w:r>
            <w:r>
              <w:rPr>
                <w:rFonts w:hint="eastAsia" w:ascii="宋体" w:hAnsi="宋体" w:eastAsia="宋体" w:cs="宋体"/>
                <w:i/>
                <w:iCs/>
                <w:kern w:val="0"/>
                <w:szCs w:val="21"/>
                <w:highlight w:val="none"/>
                <w:u w:val="single"/>
              </w:rPr>
              <w:t>适用</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未发现串通投标（22.2）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未与其他供应商串通投标，或者与</w:t>
            </w:r>
            <w:r>
              <w:rPr>
                <w:rFonts w:hint="eastAsia" w:ascii="宋体" w:hAnsi="宋体" w:eastAsia="宋体" w:cs="宋体"/>
                <w:szCs w:val="21"/>
                <w:highlight w:val="none"/>
                <w:lang w:eastAsia="zh-CN"/>
              </w:rPr>
              <w:t>采购人</w:t>
            </w:r>
            <w:r>
              <w:rPr>
                <w:rFonts w:hint="eastAsia" w:ascii="宋体" w:hAnsi="宋体" w:eastAsia="宋体" w:cs="宋体"/>
                <w:szCs w:val="21"/>
                <w:highlight w:val="none"/>
              </w:rPr>
              <w:t>串通投标。</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报价说明可以接受（22.2）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供应商的报价明显低于其他通过符合性检查供应商的报价，有可能影响履约的，供应商能按照规定证明其报价合理性。</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10" w:hRule="atLeast"/>
        </w:trPr>
        <w:tc>
          <w:tcPr>
            <w:tcW w:w="3087"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sz w:val="22"/>
                <w:szCs w:val="22"/>
                <w:highlight w:val="none"/>
              </w:rPr>
              <w:t>无采购人不能接受的附加条件（22.2）</w:t>
            </w:r>
          </w:p>
        </w:tc>
        <w:tc>
          <w:tcPr>
            <w:tcW w:w="5651"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szCs w:val="21"/>
                <w:highlight w:val="none"/>
              </w:rPr>
              <w:t>投标文件未含有采购人不能接受的附加条件。</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p>
        </w:tc>
      </w:tr>
      <w:tr>
        <w:tblPrEx>
          <w:tblCellMar>
            <w:top w:w="0" w:type="dxa"/>
            <w:left w:w="108" w:type="dxa"/>
            <w:bottom w:w="0" w:type="dxa"/>
            <w:right w:w="108" w:type="dxa"/>
          </w:tblCellMar>
        </w:tblPrEx>
        <w:trPr>
          <w:trHeight w:val="152" w:hRule="atLeast"/>
        </w:trPr>
        <w:tc>
          <w:tcPr>
            <w:tcW w:w="8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b/>
                <w:szCs w:val="21"/>
                <w:highlight w:val="none"/>
              </w:rPr>
            </w:pPr>
            <w:r>
              <w:rPr>
                <w:rFonts w:hint="eastAsia" w:ascii="宋体" w:hAnsi="宋体" w:eastAsia="宋体" w:cs="宋体"/>
                <w:b/>
                <w:kern w:val="0"/>
                <w:sz w:val="22"/>
                <w:szCs w:val="22"/>
                <w:highlight w:val="none"/>
              </w:rPr>
              <w:t>结论</w:t>
            </w:r>
          </w:p>
        </w:tc>
        <w:tc>
          <w:tcPr>
            <w:tcW w:w="545"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459"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236"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r>
    </w:tbl>
    <w:p>
      <w:pPr>
        <w:pStyle w:val="9"/>
        <w:tabs>
          <w:tab w:val="clear" w:pos="567"/>
        </w:tabs>
        <w:spacing w:before="0" w:line="360" w:lineRule="exact"/>
        <w:ind w:left="-181" w:leftChars="-86" w:firstLine="660" w:firstLineChars="275"/>
        <w:rPr>
          <w:rFonts w:hint="eastAsia" w:ascii="宋体" w:hAnsi="宋体" w:eastAsia="宋体" w:cs="宋体"/>
          <w:highlight w:val="none"/>
        </w:rPr>
      </w:pPr>
      <w:r>
        <w:rPr>
          <w:rFonts w:hint="eastAsia" w:ascii="宋体" w:hAnsi="宋体" w:eastAsia="宋体" w:cs="宋体"/>
          <w:highlight w:val="none"/>
        </w:rPr>
        <w:br w:type="page"/>
      </w:r>
    </w:p>
    <w:tbl>
      <w:tblPr>
        <w:tblStyle w:val="25"/>
        <w:tblW w:w="8700" w:type="dxa"/>
        <w:tblInd w:w="108" w:type="dxa"/>
        <w:tblLayout w:type="fixed"/>
        <w:tblCellMar>
          <w:top w:w="0" w:type="dxa"/>
          <w:left w:w="108" w:type="dxa"/>
          <w:bottom w:w="0" w:type="dxa"/>
          <w:right w:w="108" w:type="dxa"/>
        </w:tblCellMar>
      </w:tblPr>
      <w:tblGrid>
        <w:gridCol w:w="2820"/>
        <w:gridCol w:w="920"/>
        <w:gridCol w:w="1505"/>
        <w:gridCol w:w="1843"/>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exact"/>
              <w:jc w:val="center"/>
              <w:rPr>
                <w:rFonts w:hint="eastAsia" w:ascii="宋体" w:hAnsi="宋体" w:eastAsia="宋体" w:cs="宋体"/>
                <w:b/>
                <w:bCs/>
                <w:kern w:val="0"/>
                <w:sz w:val="32"/>
                <w:szCs w:val="32"/>
                <w:highlight w:val="none"/>
              </w:rPr>
            </w:pPr>
          </w:p>
          <w:p>
            <w:pPr>
              <w:widowControl/>
              <w:spacing w:line="360" w:lineRule="exact"/>
              <w:jc w:val="center"/>
              <w:rPr>
                <w:rFonts w:hint="eastAsia" w:ascii="宋体" w:hAnsi="宋体" w:eastAsia="宋体" w:cs="宋体"/>
                <w:b/>
                <w:bCs/>
                <w:kern w:val="0"/>
                <w:sz w:val="32"/>
                <w:szCs w:val="32"/>
                <w:highlight w:val="none"/>
              </w:rPr>
            </w:pPr>
          </w:p>
          <w:p>
            <w:pPr>
              <w:widowControl/>
              <w:spacing w:line="360" w:lineRule="exact"/>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技术符合性审查表</w:t>
            </w:r>
          </w:p>
        </w:tc>
      </w:tr>
      <w:tr>
        <w:tblPrEx>
          <w:tblCellMar>
            <w:top w:w="0" w:type="dxa"/>
            <w:left w:w="108" w:type="dxa"/>
            <w:bottom w:w="0" w:type="dxa"/>
            <w:right w:w="108" w:type="dxa"/>
          </w:tblCellMar>
        </w:tblPrEx>
        <w:trPr>
          <w:trHeight w:val="390" w:hRule="atLeast"/>
        </w:trPr>
        <w:tc>
          <w:tcPr>
            <w:tcW w:w="374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审查事项</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供应商名称</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供应商名称</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供应商名称</w:t>
            </w:r>
          </w:p>
        </w:tc>
      </w:tr>
      <w:tr>
        <w:tblPrEx>
          <w:tblCellMar>
            <w:top w:w="0" w:type="dxa"/>
            <w:left w:w="108" w:type="dxa"/>
            <w:bottom w:w="0" w:type="dxa"/>
            <w:right w:w="108" w:type="dxa"/>
          </w:tblCellMar>
        </w:tblPrEx>
        <w:trPr>
          <w:trHeight w:val="570" w:hRule="atLeast"/>
        </w:trPr>
        <w:tc>
          <w:tcPr>
            <w:tcW w:w="3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60" w:lineRule="exact"/>
              <w:jc w:val="left"/>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招标文件要求</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条款号</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货物</w:t>
            </w:r>
            <w:r>
              <w:rPr>
                <w:rFonts w:hint="eastAsia" w:ascii="宋体" w:hAnsi="宋体" w:eastAsia="宋体" w:cs="宋体"/>
                <w:kern w:val="0"/>
                <w:sz w:val="22"/>
                <w:szCs w:val="22"/>
                <w:highlight w:val="none"/>
              </w:rPr>
              <w:t>内容</w:t>
            </w: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第5章</w:t>
            </w: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nil"/>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nil"/>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nil"/>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2820"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570" w:hRule="atLeast"/>
        </w:trPr>
        <w:tc>
          <w:tcPr>
            <w:tcW w:w="3740"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结论</w:t>
            </w:r>
          </w:p>
        </w:tc>
        <w:tc>
          <w:tcPr>
            <w:tcW w:w="1505"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843"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c>
          <w:tcPr>
            <w:tcW w:w="1612" w:type="dxa"/>
            <w:tcBorders>
              <w:top w:val="nil"/>
              <w:left w:val="nil"/>
              <w:bottom w:val="single" w:color="auto" w:sz="4" w:space="0"/>
              <w:right w:val="single" w:color="auto" w:sz="4" w:space="0"/>
            </w:tcBorders>
            <w:vAlign w:val="center"/>
          </w:tcPr>
          <w:p>
            <w:pPr>
              <w:widowControl/>
              <w:spacing w:line="360" w:lineRule="exact"/>
              <w:jc w:val="cente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　</w:t>
            </w:r>
          </w:p>
        </w:tc>
      </w:tr>
      <w:tr>
        <w:tblPrEx>
          <w:tblCellMar>
            <w:top w:w="0" w:type="dxa"/>
            <w:left w:w="108" w:type="dxa"/>
            <w:bottom w:w="0" w:type="dxa"/>
            <w:right w:w="108" w:type="dxa"/>
          </w:tblCellMar>
        </w:tblPrEx>
        <w:trPr>
          <w:trHeight w:val="465" w:hRule="atLeast"/>
        </w:trPr>
        <w:tc>
          <w:tcPr>
            <w:tcW w:w="2820" w:type="dxa"/>
            <w:tcBorders>
              <w:top w:val="nil"/>
              <w:left w:val="nil"/>
              <w:bottom w:val="nil"/>
              <w:right w:val="nil"/>
            </w:tcBorders>
            <w:vAlign w:val="center"/>
          </w:tcPr>
          <w:p>
            <w:pPr>
              <w:widowControl/>
              <w:spacing w:line="360" w:lineRule="exact"/>
              <w:jc w:val="center"/>
              <w:rPr>
                <w:rFonts w:hint="eastAsia" w:ascii="宋体" w:hAnsi="宋体" w:eastAsia="宋体" w:cs="宋体"/>
                <w:kern w:val="0"/>
                <w:sz w:val="22"/>
                <w:szCs w:val="22"/>
                <w:highlight w:val="none"/>
              </w:rPr>
            </w:pPr>
          </w:p>
        </w:tc>
        <w:tc>
          <w:tcPr>
            <w:tcW w:w="920" w:type="dxa"/>
            <w:tcBorders>
              <w:top w:val="nil"/>
              <w:left w:val="nil"/>
              <w:bottom w:val="nil"/>
              <w:right w:val="nil"/>
            </w:tcBorders>
            <w:vAlign w:val="center"/>
          </w:tcPr>
          <w:p>
            <w:pPr>
              <w:widowControl/>
              <w:spacing w:line="360" w:lineRule="exact"/>
              <w:jc w:val="center"/>
              <w:rPr>
                <w:rFonts w:hint="eastAsia" w:ascii="宋体" w:hAnsi="宋体" w:eastAsia="宋体" w:cs="宋体"/>
                <w:kern w:val="0"/>
                <w:sz w:val="22"/>
                <w:szCs w:val="22"/>
                <w:highlight w:val="none"/>
              </w:rPr>
            </w:pPr>
          </w:p>
        </w:tc>
        <w:tc>
          <w:tcPr>
            <w:tcW w:w="1505" w:type="dxa"/>
            <w:tcBorders>
              <w:top w:val="nil"/>
              <w:left w:val="nil"/>
              <w:bottom w:val="nil"/>
              <w:right w:val="nil"/>
            </w:tcBorders>
            <w:vAlign w:val="center"/>
          </w:tcPr>
          <w:p>
            <w:pPr>
              <w:widowControl/>
              <w:spacing w:line="360" w:lineRule="exact"/>
              <w:jc w:val="center"/>
              <w:rPr>
                <w:rFonts w:hint="eastAsia" w:ascii="宋体" w:hAnsi="宋体" w:eastAsia="宋体" w:cs="宋体"/>
                <w:kern w:val="0"/>
                <w:sz w:val="20"/>
                <w:szCs w:val="20"/>
                <w:highlight w:val="none"/>
              </w:rPr>
            </w:pPr>
          </w:p>
        </w:tc>
        <w:tc>
          <w:tcPr>
            <w:tcW w:w="1843" w:type="dxa"/>
            <w:tcBorders>
              <w:top w:val="nil"/>
              <w:left w:val="nil"/>
              <w:bottom w:val="nil"/>
              <w:right w:val="nil"/>
            </w:tcBorders>
            <w:vAlign w:val="center"/>
          </w:tcPr>
          <w:p>
            <w:pPr>
              <w:widowControl/>
              <w:spacing w:line="360" w:lineRule="exact"/>
              <w:jc w:val="left"/>
              <w:rPr>
                <w:rFonts w:hint="eastAsia" w:ascii="宋体" w:hAnsi="宋体" w:eastAsia="宋体" w:cs="宋体"/>
                <w:kern w:val="0"/>
                <w:sz w:val="20"/>
                <w:szCs w:val="20"/>
                <w:highlight w:val="none"/>
              </w:rPr>
            </w:pPr>
          </w:p>
        </w:tc>
        <w:tc>
          <w:tcPr>
            <w:tcW w:w="1612" w:type="dxa"/>
            <w:tcBorders>
              <w:top w:val="nil"/>
              <w:left w:val="nil"/>
              <w:bottom w:val="nil"/>
              <w:right w:val="nil"/>
            </w:tcBorders>
            <w:vAlign w:val="center"/>
          </w:tcPr>
          <w:p>
            <w:pPr>
              <w:widowControl/>
              <w:spacing w:line="360" w:lineRule="exact"/>
              <w:jc w:val="left"/>
              <w:rPr>
                <w:rFonts w:hint="eastAsia" w:ascii="宋体" w:hAnsi="宋体" w:eastAsia="宋体" w:cs="宋体"/>
                <w:kern w:val="0"/>
                <w:sz w:val="22"/>
                <w:szCs w:val="22"/>
                <w:highlight w:val="none"/>
              </w:rPr>
            </w:pPr>
          </w:p>
        </w:tc>
      </w:tr>
    </w:tbl>
    <w:p>
      <w:pPr>
        <w:pStyle w:val="3"/>
        <w:rPr>
          <w:rFonts w:hint="eastAsia" w:ascii="宋体" w:hAnsi="宋体" w:eastAsia="宋体" w:cs="宋体"/>
          <w:highlight w:val="none"/>
        </w:rPr>
      </w:pPr>
    </w:p>
    <w:p>
      <w:pPr>
        <w:rPr>
          <w:rFonts w:hint="eastAsia" w:ascii="宋体" w:hAnsi="宋体" w:eastAsia="宋体" w:cs="宋体"/>
          <w:b/>
          <w:bCs/>
          <w:color w:val="auto"/>
          <w:sz w:val="24"/>
          <w:szCs w:val="24"/>
          <w:highlight w:val="none"/>
          <w:lang w:val="en-US" w:eastAsia="zh-CN"/>
        </w:rPr>
      </w:pPr>
      <w:bookmarkStart w:id="1849" w:name="_Toc18177"/>
      <w:bookmarkStart w:id="1850" w:name="_Toc1909"/>
      <w:bookmarkStart w:id="1851" w:name="_Toc507399904"/>
      <w:r>
        <w:rPr>
          <w:rFonts w:hint="eastAsia" w:ascii="宋体" w:hAnsi="宋体" w:eastAsia="宋体" w:cs="宋体"/>
          <w:b/>
          <w:bCs/>
          <w:color w:val="auto"/>
          <w:sz w:val="24"/>
          <w:szCs w:val="24"/>
          <w:highlight w:val="none"/>
          <w:lang w:val="en-US" w:eastAsia="zh-CN"/>
        </w:rPr>
        <w:br w:type="page"/>
      </w:r>
    </w:p>
    <w:bookmarkEnd w:id="1849"/>
    <w:bookmarkEnd w:id="1850"/>
    <w:p>
      <w:pPr>
        <w:spacing w:line="300" w:lineRule="auto"/>
        <w:jc w:val="center"/>
        <w:outlineLvl w:val="1"/>
        <w:rPr>
          <w:rFonts w:hint="eastAsia" w:ascii="宋体" w:hAnsi="宋体" w:eastAsia="宋体" w:cs="宋体"/>
          <w:b/>
          <w:bCs/>
          <w:color w:val="auto"/>
          <w:szCs w:val="21"/>
          <w:highlight w:val="none"/>
          <w:lang w:eastAsia="zh-CN"/>
        </w:rPr>
      </w:pPr>
      <w:bookmarkStart w:id="1852" w:name="_Toc19724"/>
      <w:bookmarkStart w:id="1853" w:name="_Toc28999"/>
      <w:bookmarkStart w:id="1854" w:name="_Toc8176"/>
      <w:bookmarkStart w:id="1855" w:name="_Toc4785"/>
      <w:bookmarkStart w:id="1856" w:name="_Toc21392"/>
      <w:bookmarkStart w:id="1857" w:name="_Toc31042"/>
      <w:bookmarkStart w:id="1858" w:name="_Toc4034"/>
      <w:bookmarkStart w:id="1859" w:name="_Toc359"/>
      <w:bookmarkStart w:id="1860" w:name="_Toc11449"/>
      <w:bookmarkStart w:id="1861" w:name="_Toc4748"/>
      <w:bookmarkStart w:id="1862" w:name="_Toc21350"/>
      <w:bookmarkStart w:id="1863" w:name="_Toc19967"/>
      <w:bookmarkStart w:id="1864" w:name="_Toc3812"/>
      <w:bookmarkStart w:id="1865" w:name="_Toc17586"/>
      <w:bookmarkStart w:id="1866" w:name="_Toc26924"/>
      <w:bookmarkStart w:id="1867" w:name="_Toc5375"/>
      <w:bookmarkStart w:id="1868" w:name="_Toc29006"/>
      <w:bookmarkStart w:id="1869" w:name="_Toc20505"/>
      <w:bookmarkStart w:id="1870" w:name="_Toc31737"/>
      <w:r>
        <w:rPr>
          <w:rFonts w:hint="eastAsia" w:ascii="宋体" w:hAnsi="宋体" w:eastAsia="宋体" w:cs="宋体"/>
          <w:b/>
          <w:bCs/>
          <w:color w:val="auto"/>
          <w:szCs w:val="21"/>
          <w:highlight w:val="none"/>
        </w:rPr>
        <w:t>综合评分表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第一包</w:t>
      </w:r>
      <w:r>
        <w:rPr>
          <w:rFonts w:hint="eastAsia" w:ascii="宋体" w:hAnsi="宋体" w:cs="宋体"/>
          <w:b/>
          <w:bCs/>
          <w:color w:val="auto"/>
          <w:szCs w:val="21"/>
          <w:highlight w:val="none"/>
          <w:lang w:eastAsia="zh-CN"/>
        </w:rPr>
        <w:t>）</w:t>
      </w:r>
      <w:bookmarkEnd w:id="1852"/>
      <w:bookmarkEnd w:id="1853"/>
      <w:bookmarkEnd w:id="1854"/>
      <w:bookmarkEnd w:id="1855"/>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491"/>
        <w:gridCol w:w="6352"/>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价格：30分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商务：</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技术：</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 xml:space="preserve">分              </w:t>
            </w:r>
          </w:p>
        </w:tc>
        <w:tc>
          <w:tcPr>
            <w:tcW w:w="599" w:type="pct"/>
            <w:vAlign w:val="center"/>
          </w:tcPr>
          <w:p>
            <w:pPr>
              <w:pStyle w:val="40"/>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373"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价格评分标准</w:t>
            </w: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完全满足招标文件参数的投标报价中的最低价为评标基准价，按照下列公式计算每个供应商的投标价格得分。投标报价得分＝（基准价/投标报价）×价格权重×100。</w:t>
            </w:r>
            <w:r>
              <w:rPr>
                <w:rFonts w:hint="eastAsia" w:ascii="宋体" w:hAnsi="宋体" w:eastAsia="宋体" w:cs="宋体"/>
                <w:b/>
                <w:bCs/>
                <w:color w:val="auto"/>
                <w:sz w:val="21"/>
                <w:szCs w:val="21"/>
                <w:highlight w:val="none"/>
              </w:rPr>
              <w:t>（注：若为小型、微型企业，其投标报价扣除 10 %后参与评审，提供相关证明资料，否则无效。）</w:t>
            </w:r>
          </w:p>
        </w:tc>
        <w:tc>
          <w:tcPr>
            <w:tcW w:w="599"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373"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商务评分标准</w:t>
            </w: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业绩：供应商须</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近三年内类似业绩证明材料中标（成交）通知书及合同</w:t>
            </w:r>
            <w:r>
              <w:rPr>
                <w:rFonts w:hint="eastAsia" w:ascii="宋体" w:hAnsi="宋体" w:eastAsia="宋体" w:cs="宋体"/>
                <w:color w:val="auto"/>
                <w:sz w:val="21"/>
                <w:szCs w:val="21"/>
                <w:highlight w:val="none"/>
              </w:rPr>
              <w:t>，每提供一个得2分，最高得4分，未提供的不得分。</w:t>
            </w:r>
          </w:p>
        </w:tc>
        <w:tc>
          <w:tcPr>
            <w:tcW w:w="599"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37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标书制作：投标文件目录清晰、关联点对应准确，评审内容便于查找，没有与评审内容无关的资料及文件</w:t>
            </w:r>
            <w:r>
              <w:rPr>
                <w:rFonts w:hint="eastAsia" w:ascii="宋体" w:hAnsi="宋体" w:eastAsia="宋体" w:cs="宋体"/>
                <w:color w:val="auto"/>
                <w:sz w:val="21"/>
                <w:szCs w:val="21"/>
                <w:highlight w:val="none"/>
              </w:rPr>
              <w:t>得2分，否则不得分。</w:t>
            </w:r>
          </w:p>
        </w:tc>
        <w:tc>
          <w:tcPr>
            <w:tcW w:w="59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73"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技术评分标准</w:t>
            </w: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技术参数：</w:t>
            </w:r>
            <w:r>
              <w:rPr>
                <w:rFonts w:hint="eastAsia" w:ascii="宋体" w:hAnsi="宋体" w:eastAsia="宋体" w:cs="宋体"/>
                <w:color w:val="auto"/>
                <w:kern w:val="0"/>
                <w:sz w:val="21"/>
                <w:szCs w:val="21"/>
                <w:highlight w:val="none"/>
              </w:rPr>
              <w:t>根据所投产品的配置与性能指标响应程度打分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完全满足招标要求的得</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经专家认定的实质性</w:t>
            </w:r>
            <w:r>
              <w:rPr>
                <w:rFonts w:hint="eastAsia" w:ascii="宋体" w:hAnsi="宋体" w:eastAsia="宋体" w:cs="宋体"/>
                <w:color w:val="auto"/>
                <w:kern w:val="0"/>
                <w:sz w:val="21"/>
                <w:szCs w:val="21"/>
                <w:highlight w:val="none"/>
              </w:rPr>
              <w:t>技术参数每有一项正偏离加</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分，最高加</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rPr>
              <w:t>“</w:t>
            </w:r>
            <w:r>
              <w:rPr>
                <w:rFonts w:hint="eastAsia" w:ascii="宋体" w:hAnsi="宋体" w:eastAsia="宋体" w:cs="宋体"/>
                <w:color w:val="000000"/>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的为重要</w:t>
            </w:r>
            <w:r>
              <w:rPr>
                <w:rFonts w:hint="eastAsia" w:ascii="宋体" w:hAnsi="宋体" w:eastAsia="宋体" w:cs="宋体"/>
                <w:color w:val="auto"/>
                <w:kern w:val="0"/>
                <w:sz w:val="21"/>
                <w:szCs w:val="21"/>
                <w:highlight w:val="none"/>
              </w:rPr>
              <w:t>技术参数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每有一项负偏离扣</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一般参数负偏离扣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分，直至扣完为止。</w:t>
            </w:r>
          </w:p>
        </w:tc>
        <w:tc>
          <w:tcPr>
            <w:tcW w:w="599"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37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检测报告：提供所有设备由国家权威质量检测机构或第三方机构出具的完整的技术检测检验报告</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检测内容必须与参数要求内容相符，</w:t>
            </w:r>
            <w:r>
              <w:rPr>
                <w:rFonts w:hint="eastAsia" w:ascii="宋体" w:hAnsi="宋体" w:eastAsia="宋体" w:cs="宋体"/>
                <w:color w:val="auto"/>
                <w:sz w:val="21"/>
                <w:szCs w:val="21"/>
                <w:highlight w:val="none"/>
              </w:rPr>
              <w:t>不提供或提供不全不得分。</w:t>
            </w:r>
          </w:p>
        </w:tc>
        <w:tc>
          <w:tcPr>
            <w:tcW w:w="59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37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Hans"/>
              </w:rPr>
              <w:t>机房设计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Hans"/>
              </w:rPr>
              <w:t>根据国家标准及使用需求提供</w:t>
            </w:r>
            <w:r>
              <w:rPr>
                <w:rFonts w:hint="eastAsia" w:ascii="宋体" w:hAnsi="宋体" w:eastAsia="宋体" w:cs="宋体"/>
                <w:sz w:val="21"/>
                <w:szCs w:val="21"/>
                <w:highlight w:val="none"/>
                <w:lang w:val="en-US" w:eastAsia="zh-CN"/>
              </w:rPr>
              <w:t>CT</w:t>
            </w:r>
            <w:r>
              <w:rPr>
                <w:rFonts w:hint="eastAsia" w:ascii="宋体" w:hAnsi="宋体" w:eastAsia="宋体" w:cs="宋体"/>
                <w:sz w:val="21"/>
                <w:szCs w:val="21"/>
                <w:highlight w:val="none"/>
              </w:rPr>
              <w:t>机房</w:t>
            </w:r>
            <w:r>
              <w:rPr>
                <w:rFonts w:hint="eastAsia" w:ascii="宋体" w:hAnsi="宋体" w:eastAsia="宋体" w:cs="宋体"/>
                <w:sz w:val="21"/>
                <w:szCs w:val="21"/>
                <w:highlight w:val="none"/>
                <w:lang w:val="en-US" w:eastAsia="zh-CN"/>
              </w:rPr>
              <w:t>及控制室</w:t>
            </w:r>
            <w:r>
              <w:rPr>
                <w:rFonts w:hint="eastAsia" w:ascii="宋体" w:hAnsi="宋体" w:eastAsia="宋体" w:cs="宋体"/>
                <w:sz w:val="21"/>
                <w:szCs w:val="21"/>
                <w:highlight w:val="none"/>
              </w:rPr>
              <w:t>设计</w:t>
            </w:r>
            <w:r>
              <w:rPr>
                <w:rFonts w:hint="eastAsia" w:ascii="宋体" w:hAnsi="宋体" w:eastAsia="宋体" w:cs="宋体"/>
                <w:sz w:val="21"/>
                <w:szCs w:val="21"/>
                <w:highlight w:val="none"/>
                <w:lang w:val="en-US" w:eastAsia="zh-Hans"/>
              </w:rPr>
              <w:t>方案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Hans"/>
              </w:rPr>
              <w:t>设计方案优异得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en-US" w:eastAsia="zh-Hans"/>
              </w:rPr>
              <w:t>分，良好得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en-US" w:eastAsia="zh-Hans"/>
              </w:rPr>
              <w:t>分，一般得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val="en-US" w:eastAsia="zh-Hans"/>
              </w:rPr>
              <w:t>分，差得</w:t>
            </w:r>
            <w:r>
              <w:rPr>
                <w:rFonts w:hint="eastAsia" w:ascii="宋体" w:hAnsi="宋体" w:eastAsia="宋体" w:cs="宋体"/>
                <w:sz w:val="21"/>
                <w:szCs w:val="21"/>
                <w:highlight w:val="none"/>
                <w:lang w:eastAsia="zh-Hans"/>
              </w:rPr>
              <w:t>0</w:t>
            </w:r>
            <w:r>
              <w:rPr>
                <w:rFonts w:hint="eastAsia" w:ascii="宋体" w:hAnsi="宋体" w:eastAsia="宋体" w:cs="宋体"/>
                <w:sz w:val="21"/>
                <w:szCs w:val="21"/>
                <w:highlight w:val="none"/>
                <w:lang w:val="en-US" w:eastAsia="zh-Hans"/>
              </w:rPr>
              <w:t>分</w:t>
            </w:r>
            <w:r>
              <w:rPr>
                <w:rFonts w:hint="eastAsia" w:ascii="宋体" w:hAnsi="宋体" w:eastAsia="宋体" w:cs="宋体"/>
                <w:sz w:val="21"/>
                <w:szCs w:val="21"/>
                <w:highlight w:val="none"/>
                <w:lang w:val="en-US" w:eastAsia="zh-CN"/>
              </w:rPr>
              <w:t>。</w:t>
            </w:r>
          </w:p>
        </w:tc>
        <w:tc>
          <w:tcPr>
            <w:tcW w:w="59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37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实施方案：1、实施方案中设备质量、供货安装、项目安全措施、应急处理、进度安排完全满足项目实际要求的得2分；方案描述不清晰或有缺失内容的每一项扣1分，扣完为止；未提供的不得分。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2、项目安装、调试、测试方案合理且操作性较强，完全满足项目实际要求的得2分；方案描述不清晰或有缺失内容的每一项扣1分，扣完为止；未提供的不得分。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3、有明确的项目质量管理方案和制度，项目管理机构及职责分配合理，符合项目实际，具有操作性；完全满足项目实际要求的得2分，方案描述不清晰或有缺失内容的每一项扣1分，扣完为止；未提供的不得分。</w:t>
            </w:r>
          </w:p>
        </w:tc>
        <w:tc>
          <w:tcPr>
            <w:tcW w:w="59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37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培训方案：培训计划情况，应含详细合理的培训方案（包含：①培训时间；②培训地点；③培训产品基本原理、④操作使用和保养维修；⑤培训方式；培训方案中包含以上每项内容，且方案切实可行，满足采购方需求得5分，其中每有一项不详细、不完善、缺项或不能满足采购方需求的扣1分，直到全部扣完为止。</w:t>
            </w:r>
          </w:p>
        </w:tc>
        <w:tc>
          <w:tcPr>
            <w:tcW w:w="59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373"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738"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质量保证及售后服务：1、供</w:t>
            </w:r>
            <w:r>
              <w:rPr>
                <w:rFonts w:hint="eastAsia" w:ascii="宋体" w:hAnsi="宋体" w:eastAsia="宋体" w:cs="宋体"/>
                <w:color w:val="auto"/>
                <w:sz w:val="21"/>
                <w:szCs w:val="21"/>
                <w:highlight w:val="none"/>
                <w:lang w:val="en-US" w:eastAsia="zh-CN"/>
              </w:rPr>
              <w:t>应商根据本项目的采购需求制定售后方案，包括售后维保、技术人员技术支持及咨询服务、在任何时候、任何地点均可享受到终生的免费咨询服务。方案完整，逻辑清晰，贴合采购需求，可行性高的得6分；方案较为合理且可行性高的得4分；方案不太合理，可行性不高的得2分；方案结构混乱，不贴合本项目的采购需求得1分；未提供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2、供应商在新疆区域内有正规完善的售后维修服务机构，有专职医疗设备维修工程师，并提供在5小时内响应并到达现场排除故障的应急抢修方案，提供疆内维修点详细地址及维修工程师姓名、联系电话、设备维修工程师资格证书及身份证、近三个月社保证明复印件。人员要求资料齐全，方案合理可行得3分；人员要求资料较齐全，方案较合理可行得2分；人员要求资料不齐全，方案不合理可行得0分。</w:t>
            </w:r>
          </w:p>
        </w:tc>
        <w:tc>
          <w:tcPr>
            <w:tcW w:w="59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bl>
    <w:p>
      <w:pPr>
        <w:pStyle w:val="3"/>
        <w:ind w:left="0" w:leftChars="0" w:firstLine="0" w:firstLineChars="0"/>
        <w:rPr>
          <w:rFonts w:hint="eastAsia" w:ascii="宋体" w:hAnsi="宋体" w:eastAsia="宋体" w:cs="宋体"/>
          <w:b/>
          <w:color w:val="auto"/>
          <w:sz w:val="32"/>
          <w:highlight w:val="none"/>
        </w:rPr>
      </w:pPr>
    </w:p>
    <w:p>
      <w:pPr>
        <w:rPr>
          <w:rFonts w:hint="eastAsia"/>
        </w:rPr>
      </w:pPr>
      <w:r>
        <w:rPr>
          <w:rFonts w:hint="eastAsia"/>
        </w:rPr>
        <w:br w:type="page"/>
      </w:r>
    </w:p>
    <w:p>
      <w:pPr>
        <w:spacing w:line="300" w:lineRule="auto"/>
        <w:jc w:val="center"/>
        <w:outlineLvl w:val="1"/>
        <w:rPr>
          <w:rFonts w:hint="eastAsia" w:ascii="宋体" w:hAnsi="宋体" w:eastAsia="宋体" w:cs="宋体"/>
          <w:b/>
          <w:bCs/>
          <w:color w:val="auto"/>
          <w:szCs w:val="21"/>
          <w:highlight w:val="none"/>
          <w:lang w:eastAsia="zh-CN"/>
        </w:rPr>
      </w:pPr>
      <w:bookmarkStart w:id="1871" w:name="_Toc6940"/>
      <w:bookmarkStart w:id="1872" w:name="_Toc26618"/>
      <w:bookmarkStart w:id="1873" w:name="_Toc12524"/>
      <w:bookmarkStart w:id="1874" w:name="_Toc2438"/>
      <w:r>
        <w:rPr>
          <w:rFonts w:hint="eastAsia" w:ascii="宋体" w:hAnsi="宋体" w:eastAsia="宋体" w:cs="宋体"/>
          <w:b/>
          <w:bCs/>
          <w:color w:val="auto"/>
          <w:szCs w:val="21"/>
          <w:highlight w:val="none"/>
        </w:rPr>
        <w:t>综合评分表</w:t>
      </w:r>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第二包</w:t>
      </w:r>
      <w:r>
        <w:rPr>
          <w:rFonts w:hint="eastAsia" w:ascii="宋体" w:hAnsi="宋体" w:cs="宋体"/>
          <w:b/>
          <w:bCs/>
          <w:color w:val="auto"/>
          <w:szCs w:val="21"/>
          <w:highlight w:val="none"/>
          <w:lang w:eastAsia="zh-CN"/>
        </w:rPr>
        <w:t>）</w:t>
      </w:r>
      <w:bookmarkEnd w:id="1871"/>
      <w:bookmarkEnd w:id="1872"/>
      <w:bookmarkEnd w:id="1873"/>
      <w:bookmarkEnd w:id="1874"/>
    </w:p>
    <w:p>
      <w:pPr>
        <w:pStyle w:val="3"/>
        <w:ind w:left="0" w:leftChars="0" w:firstLine="0" w:firstLineChars="0"/>
        <w:rPr>
          <w:rFonts w:hint="eastAsia" w:ascii="宋体" w:hAnsi="宋体" w:eastAsia="宋体" w:cs="宋体"/>
          <w:b/>
          <w:color w:val="auto"/>
          <w:sz w:val="32"/>
          <w:highlight w:val="none"/>
        </w:rPr>
      </w:pP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489"/>
        <w:gridCol w:w="637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370"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p>
            <w:pPr>
              <w:keepNext w:val="0"/>
              <w:keepLines w:val="0"/>
              <w:pageBreakBefore w:val="0"/>
              <w:widowControl w:val="0"/>
              <w:kinsoku/>
              <w:wordWrap/>
              <w:overflowPunct/>
              <w:topLinePunct w:val="0"/>
              <w:autoSpaceDE/>
              <w:autoSpaceDN/>
              <w:bidi w:val="0"/>
              <w:adjustRightInd/>
              <w:snapToGrid/>
              <w:spacing w:line="320" w:lineRule="exact"/>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价格：30分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商务：</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 xml:space="preserve">分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技术：</w:t>
            </w:r>
            <w:r>
              <w:rPr>
                <w:rFonts w:hint="eastAsia" w:ascii="宋体" w:hAnsi="宋体" w:eastAsia="宋体" w:cs="宋体"/>
                <w:color w:val="auto"/>
                <w:sz w:val="21"/>
                <w:szCs w:val="21"/>
                <w:highlight w:val="none"/>
                <w:lang w:val="en-US" w:eastAsia="zh-CN"/>
              </w:rPr>
              <w:t>59</w:t>
            </w:r>
            <w:r>
              <w:rPr>
                <w:rFonts w:hint="eastAsia" w:ascii="宋体" w:hAnsi="宋体" w:eastAsia="宋体" w:cs="宋体"/>
                <w:color w:val="auto"/>
                <w:sz w:val="21"/>
                <w:szCs w:val="21"/>
                <w:highlight w:val="none"/>
              </w:rPr>
              <w:t xml:space="preserve">分              </w:t>
            </w:r>
          </w:p>
        </w:tc>
        <w:tc>
          <w:tcPr>
            <w:tcW w:w="589" w:type="pct"/>
            <w:vAlign w:val="center"/>
          </w:tcPr>
          <w:p>
            <w:pPr>
              <w:pStyle w:val="40"/>
              <w:keepNext w:val="0"/>
              <w:keepLines w:val="0"/>
              <w:pageBreakBefore w:val="0"/>
              <w:widowControl w:val="0"/>
              <w:kinsoku/>
              <w:wordWrap/>
              <w:overflowPunct/>
              <w:topLinePunct w:val="0"/>
              <w:autoSpaceDE/>
              <w:autoSpaceDN/>
              <w:bidi w:val="0"/>
              <w:adjustRightInd/>
              <w:snapToGrid/>
              <w:spacing w:before="0" w:after="0"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jc w:val="center"/>
        </w:trPr>
        <w:tc>
          <w:tcPr>
            <w:tcW w:w="370"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价格评分标准</w:t>
            </w: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完全满足招标文件参数的投标报价中的最低价为评标基准价，按照下列公式计算每个供应商的投标价格得分。投标报价得分＝（基准价/投标报价）×价格权重×100。</w:t>
            </w:r>
            <w:r>
              <w:rPr>
                <w:rFonts w:hint="eastAsia" w:ascii="宋体" w:hAnsi="宋体" w:eastAsia="宋体" w:cs="宋体"/>
                <w:b/>
                <w:bCs/>
                <w:color w:val="auto"/>
                <w:sz w:val="21"/>
                <w:szCs w:val="21"/>
                <w:highlight w:val="none"/>
              </w:rPr>
              <w:t>（注：若为小型、微型企业，其投标报价扣除 10 %后参与评审，提供相关证明资料，否则无效。）</w:t>
            </w:r>
          </w:p>
        </w:tc>
        <w:tc>
          <w:tcPr>
            <w:tcW w:w="589"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370"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商务评分标准</w:t>
            </w: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业绩：供应商须</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近三年内类似业绩证明材料中标（成交）通知书及合同</w:t>
            </w:r>
            <w:r>
              <w:rPr>
                <w:rFonts w:hint="eastAsia" w:ascii="宋体" w:hAnsi="宋体" w:eastAsia="宋体" w:cs="宋体"/>
                <w:color w:val="auto"/>
                <w:sz w:val="21"/>
                <w:szCs w:val="21"/>
                <w:highlight w:val="none"/>
              </w:rPr>
              <w:t>，每提供一个得2分，最高得4分，未提供的不得分。</w:t>
            </w:r>
          </w:p>
        </w:tc>
        <w:tc>
          <w:tcPr>
            <w:tcW w:w="589"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37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bookmarkStart w:id="1886" w:name="_GoBack" w:colFirst="1" w:colLast="1"/>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企业实力：提供有效的IS09001质量管理体系认证、ISO13485医疗器械质量管理体系认证、ISO14001环境管理体系认证，每提供一个得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分，共计</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58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37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标书制作：投标文件目录清晰、关联点对应准确，评审内容便于查找，没有与评审内容无关的资料及文件</w:t>
            </w:r>
            <w:r>
              <w:rPr>
                <w:rFonts w:hint="eastAsia" w:ascii="宋体" w:hAnsi="宋体" w:eastAsia="宋体" w:cs="宋体"/>
                <w:color w:val="auto"/>
                <w:sz w:val="21"/>
                <w:szCs w:val="21"/>
                <w:highlight w:val="none"/>
              </w:rPr>
              <w:t>得2分，否则不得分。</w:t>
            </w:r>
          </w:p>
        </w:tc>
        <w:tc>
          <w:tcPr>
            <w:tcW w:w="58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370"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技术评分标准</w:t>
            </w: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技术参数：</w:t>
            </w:r>
            <w:r>
              <w:rPr>
                <w:rFonts w:hint="eastAsia" w:ascii="宋体" w:hAnsi="宋体" w:eastAsia="宋体" w:cs="宋体"/>
                <w:color w:val="auto"/>
                <w:kern w:val="0"/>
                <w:sz w:val="21"/>
                <w:szCs w:val="21"/>
                <w:highlight w:val="none"/>
              </w:rPr>
              <w:t>根据所投产品的配置与性能指标响应程度打分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完全满足招标要求的得</w:t>
            </w:r>
            <w:r>
              <w:rPr>
                <w:rFonts w:hint="eastAsia" w:ascii="宋体" w:hAnsi="宋体" w:eastAsia="宋体" w:cs="宋体"/>
                <w:color w:val="auto"/>
                <w:kern w:val="0"/>
                <w:sz w:val="21"/>
                <w:szCs w:val="21"/>
                <w:highlight w:val="none"/>
                <w:lang w:val="en-US" w:eastAsia="zh-CN"/>
              </w:rPr>
              <w:t>29</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经专家认定的实质性</w:t>
            </w:r>
            <w:r>
              <w:rPr>
                <w:rFonts w:hint="eastAsia" w:ascii="宋体" w:hAnsi="宋体" w:eastAsia="宋体" w:cs="宋体"/>
                <w:color w:val="auto"/>
                <w:kern w:val="0"/>
                <w:sz w:val="21"/>
                <w:szCs w:val="21"/>
                <w:highlight w:val="none"/>
              </w:rPr>
              <w:t>技术参数每有一项正偏离加</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分，最高加</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；标</w:t>
            </w:r>
            <w:r>
              <w:rPr>
                <w:rFonts w:hint="eastAsia" w:ascii="宋体" w:hAnsi="宋体" w:eastAsia="宋体" w:cs="宋体"/>
                <w:color w:val="auto"/>
                <w:kern w:val="0"/>
                <w:sz w:val="21"/>
                <w:szCs w:val="21"/>
                <w:highlight w:val="none"/>
              </w:rPr>
              <w:t>“</w:t>
            </w:r>
            <w:r>
              <w:rPr>
                <w:rFonts w:hint="eastAsia" w:ascii="宋体" w:hAnsi="宋体" w:eastAsia="宋体" w:cs="宋体"/>
                <w:color w:val="000000"/>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的为重要</w:t>
            </w:r>
            <w:r>
              <w:rPr>
                <w:rFonts w:hint="eastAsia" w:ascii="宋体" w:hAnsi="宋体" w:eastAsia="宋体" w:cs="宋体"/>
                <w:color w:val="auto"/>
                <w:kern w:val="0"/>
                <w:sz w:val="21"/>
                <w:szCs w:val="21"/>
                <w:highlight w:val="none"/>
              </w:rPr>
              <w:t>技术参数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每有一项负偏离扣</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一般参数负偏离扣</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分，直至扣完为止。</w:t>
            </w:r>
          </w:p>
        </w:tc>
        <w:tc>
          <w:tcPr>
            <w:tcW w:w="589"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37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检测报告：提供所有设备由国家权威质量检测机构或第三方机构出具的完整的技术检测检验报告</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检测内容必须与参数要求内容相符，</w:t>
            </w:r>
            <w:r>
              <w:rPr>
                <w:rFonts w:hint="eastAsia" w:ascii="宋体" w:hAnsi="宋体" w:eastAsia="宋体" w:cs="宋体"/>
                <w:color w:val="auto"/>
                <w:sz w:val="21"/>
                <w:szCs w:val="21"/>
                <w:highlight w:val="none"/>
              </w:rPr>
              <w:t>不提供或提供不全不得分。</w:t>
            </w:r>
          </w:p>
        </w:tc>
        <w:tc>
          <w:tcPr>
            <w:tcW w:w="58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bookmarkEnd w:id="18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37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实施方案：1、实施方案中设备质量、供货安装、项目安全措施、应急处理、进度安排完全满足项目实际要求的得2分；方案描述不清晰或有缺失内容的每一项扣1分，扣完为止；未提供的不得分。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2、项目安装、调试、测试方案合理且操作性较强，完全满足项目实际要求的得2分；方案描述不清晰或有缺失内容的每一项扣1分，扣完为止；未提供的不得分。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3、有明确的项目质量管理方案和制度，项目管理机构及职责分配合理，符合项目实际，具有操作性；完全满足项目实际要求的得2分，方案描述不清晰或有缺失内容的每一项扣1分，扣完为止；未提供的不得分。</w:t>
            </w:r>
          </w:p>
        </w:tc>
        <w:tc>
          <w:tcPr>
            <w:tcW w:w="58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37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培训方案：培训计划情况，应含详细合理的培训方案（包含：①培训时间；②培训地点；③培训产品基本原理、④操作使用和保养维修；⑤培训方式；培训方案中包含以上每项内容，且方案切实可行，满足采购方需求得5分，其中每有一项不详细、不完善、缺项或不能满足采购方需求的扣1分，直到全部扣完为止。</w:t>
            </w:r>
          </w:p>
        </w:tc>
        <w:tc>
          <w:tcPr>
            <w:tcW w:w="58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37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c>
          <w:tcPr>
            <w:tcW w:w="288"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751" w:type="pc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证及售后服务：1、供应商根据本项目的采购需求制定售后方案，包括售后维保、技术人员技术支持及咨询服务、在任何时候、任何地点均可享受到终生的免费咨询服务。方案完整，逻辑清晰，贴合采购需求，可行性高的得6分；方案较为合理且可行性高的得4分；方案不太合理，可行性不高的得2分；方案结构混乱，不贴合本项目的采购需求得1分；未提供不得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2、供应商在新疆区域内有正规完善的售后维修服务机构，有专职医疗设备维修工程师，并提供在5小时内响应并到达现场排除故障的应急抢修方案，提供疆内维修点详细地址及维修工程师姓名、联系电话、设备维修工程师资格证书及身份证、近三个月社保证明复印件。人员要求资料齐全，方案合理可行得3分；人员要求资料较齐全，方案较合理可行得2分；人员要求资料不齐全，方案不合理可行得0分。</w:t>
            </w:r>
          </w:p>
        </w:tc>
        <w:tc>
          <w:tcPr>
            <w:tcW w:w="589"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pStyle w:val="19"/>
        <w:rPr>
          <w:rFonts w:hint="eastAsia" w:ascii="宋体" w:hAnsi="宋体" w:eastAsia="宋体" w:cs="宋体"/>
          <w:b/>
          <w:bCs/>
          <w:color w:val="auto"/>
          <w:highlight w:val="none"/>
        </w:rPr>
      </w:pPr>
    </w:p>
    <w:p>
      <w:pPr>
        <w:rPr>
          <w:rFonts w:hint="eastAsia" w:ascii="宋体" w:hAnsi="宋体" w:eastAsia="宋体" w:cs="宋体"/>
          <w:color w:val="auto"/>
          <w:highlight w:val="none"/>
        </w:rPr>
      </w:pPr>
    </w:p>
    <w:p>
      <w:pPr>
        <w:pStyle w:val="9"/>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pStyle w:val="11"/>
        <w:rPr>
          <w:rFonts w:hint="eastAsia" w:ascii="宋体" w:hAnsi="宋体" w:eastAsia="宋体" w:cs="宋体"/>
          <w:highlight w:val="none"/>
        </w:rPr>
      </w:pPr>
    </w:p>
    <w:p>
      <w:pPr>
        <w:pStyle w:val="3"/>
        <w:rPr>
          <w:rFonts w:hint="eastAsia" w:ascii="宋体" w:hAnsi="宋体" w:eastAsia="宋体" w:cs="宋体"/>
          <w:highlight w:val="none"/>
        </w:rPr>
      </w:pPr>
    </w:p>
    <w:p>
      <w:pPr>
        <w:pStyle w:val="4"/>
        <w:rPr>
          <w:rFonts w:hint="eastAsia" w:ascii="宋体" w:hAnsi="宋体" w:eastAsia="宋体" w:cs="宋体"/>
          <w:highlight w:val="none"/>
        </w:rPr>
      </w:pPr>
    </w:p>
    <w:p>
      <w:pPr>
        <w:rPr>
          <w:rFonts w:hint="eastAsia" w:ascii="宋体" w:hAnsi="宋体" w:eastAsia="宋体" w:cs="宋体"/>
          <w:highlight w:val="none"/>
        </w:rPr>
      </w:pPr>
    </w:p>
    <w:p>
      <w:pPr>
        <w:pStyle w:val="11"/>
        <w:rPr>
          <w:rFonts w:hint="eastAsia" w:ascii="宋体" w:hAnsi="宋体" w:eastAsia="宋体" w:cs="宋体"/>
          <w:highlight w:val="none"/>
        </w:rPr>
      </w:pPr>
    </w:p>
    <w:p>
      <w:pPr>
        <w:pStyle w:val="3"/>
        <w:rPr>
          <w:rFonts w:hint="eastAsia" w:ascii="宋体" w:hAnsi="宋体" w:eastAsia="宋体" w:cs="宋体"/>
          <w:highlight w:val="none"/>
        </w:rPr>
      </w:pPr>
    </w:p>
    <w:p>
      <w:pPr>
        <w:pStyle w:val="4"/>
        <w:rPr>
          <w:rFonts w:hint="eastAsia" w:ascii="宋体" w:hAnsi="宋体" w:eastAsia="宋体" w:cs="宋体"/>
          <w:highlight w:val="none"/>
        </w:rPr>
      </w:pPr>
    </w:p>
    <w:p>
      <w:pPr>
        <w:rPr>
          <w:rFonts w:hint="eastAsia" w:ascii="宋体" w:hAnsi="宋体" w:eastAsia="宋体" w:cs="宋体"/>
          <w:highlight w:val="none"/>
        </w:rPr>
      </w:pPr>
    </w:p>
    <w:p>
      <w:pPr>
        <w:pStyle w:val="11"/>
        <w:rPr>
          <w:rFonts w:hint="eastAsia" w:ascii="宋体" w:hAnsi="宋体" w:eastAsia="宋体" w:cs="宋体"/>
          <w:highlight w:val="none"/>
        </w:rPr>
      </w:pPr>
    </w:p>
    <w:p>
      <w:pPr>
        <w:pStyle w:val="3"/>
        <w:rPr>
          <w:rFonts w:hint="eastAsia" w:ascii="宋体" w:hAnsi="宋体" w:eastAsia="宋体" w:cs="宋体"/>
          <w:highlight w:val="none"/>
        </w:rPr>
      </w:pPr>
    </w:p>
    <w:p>
      <w:pPr>
        <w:pStyle w:val="4"/>
        <w:rPr>
          <w:rFonts w:hint="eastAsia" w:ascii="宋体" w:hAnsi="宋体" w:eastAsia="宋体" w:cs="宋体"/>
          <w:highlight w:val="none"/>
        </w:rPr>
      </w:pPr>
    </w:p>
    <w:p>
      <w:pPr>
        <w:rPr>
          <w:rFonts w:hint="eastAsia" w:ascii="宋体" w:hAnsi="宋体" w:eastAsia="宋体" w:cs="宋体"/>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eastAsia" w:ascii="宋体" w:hAnsi="宋体" w:eastAsia="宋体" w:cs="宋体"/>
          <w:b/>
          <w:color w:val="auto"/>
          <w:sz w:val="40"/>
          <w:szCs w:val="40"/>
          <w:highlight w:val="none"/>
          <w:lang w:val="en-US" w:eastAsia="zh-CN"/>
        </w:rPr>
      </w:pPr>
      <w:bookmarkStart w:id="1875" w:name="_Toc13284_WPSOffice_Level2"/>
      <w:r>
        <w:rPr>
          <w:rFonts w:hint="eastAsia" w:ascii="宋体" w:hAnsi="宋体" w:eastAsia="宋体" w:cs="宋体"/>
          <w:b/>
          <w:color w:val="auto"/>
          <w:sz w:val="40"/>
          <w:szCs w:val="40"/>
          <w:highlight w:val="none"/>
        </w:rPr>
        <w:t>项目编号：</w:t>
      </w:r>
      <w:bookmarkEnd w:id="1875"/>
      <w:r>
        <w:rPr>
          <w:rFonts w:hint="eastAsia" w:ascii="宋体" w:hAnsi="宋体" w:cs="宋体"/>
          <w:b/>
          <w:color w:val="auto"/>
          <w:sz w:val="40"/>
          <w:szCs w:val="40"/>
          <w:highlight w:val="none"/>
          <w:lang w:eastAsia="zh-CN"/>
        </w:rPr>
        <w:t>ZJ(GK)-22041</w:t>
      </w:r>
    </w:p>
    <w:p>
      <w:pPr>
        <w:pStyle w:val="11"/>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11"/>
        <w:rPr>
          <w:rFonts w:hint="eastAsia" w:ascii="宋体" w:hAnsi="宋体" w:eastAsia="宋体" w:cs="宋体"/>
          <w:b/>
          <w:color w:val="auto"/>
          <w:sz w:val="52"/>
          <w:highlight w:val="none"/>
        </w:rPr>
      </w:pPr>
    </w:p>
    <w:p>
      <w:pPr>
        <w:pStyle w:val="11"/>
        <w:rPr>
          <w:rFonts w:hint="eastAsia" w:ascii="宋体" w:hAnsi="宋体" w:eastAsia="宋体" w:cs="宋体"/>
          <w:b/>
          <w:color w:val="auto"/>
          <w:sz w:val="52"/>
          <w:highlight w:val="none"/>
        </w:rPr>
      </w:pPr>
    </w:p>
    <w:p>
      <w:pPr>
        <w:pStyle w:val="11"/>
        <w:rPr>
          <w:rFonts w:hint="eastAsia" w:ascii="宋体" w:hAnsi="宋体" w:eastAsia="宋体" w:cs="宋体"/>
          <w:b/>
          <w:color w:val="auto"/>
          <w:sz w:val="52"/>
          <w:highlight w:val="none"/>
        </w:rPr>
      </w:pPr>
    </w:p>
    <w:p>
      <w:pPr>
        <w:rPr>
          <w:rFonts w:hint="eastAsia" w:ascii="宋体" w:hAnsi="宋体" w:eastAsia="宋体" w:cs="宋体"/>
          <w:color w:val="auto"/>
          <w:highlight w:val="none"/>
        </w:rPr>
      </w:pPr>
      <w:bookmarkStart w:id="1876" w:name="_Toc4796"/>
      <w:bookmarkStart w:id="1877" w:name="_Toc515647833"/>
      <w:bookmarkStart w:id="1878" w:name="_Toc6865"/>
      <w:bookmarkStart w:id="1879" w:name="_Toc28085"/>
      <w:bookmarkStart w:id="1880" w:name="_Toc23920"/>
      <w:r>
        <w:rPr>
          <w:rFonts w:hint="eastAsia" w:ascii="宋体" w:hAnsi="宋体" w:eastAsia="宋体" w:cs="宋体"/>
          <w:color w:val="auto"/>
          <w:highlight w:val="none"/>
        </w:rPr>
        <w:br w:type="page"/>
      </w:r>
    </w:p>
    <w:bookmarkEnd w:id="1851"/>
    <w:bookmarkEnd w:id="1876"/>
    <w:bookmarkEnd w:id="1877"/>
    <w:bookmarkEnd w:id="1878"/>
    <w:bookmarkEnd w:id="1879"/>
    <w:bookmarkEnd w:id="1880"/>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881" w:name="_Toc4781"/>
      <w:bookmarkStart w:id="1882" w:name="_Toc11529"/>
      <w:r>
        <w:rPr>
          <w:rFonts w:hint="eastAsia" w:ascii="宋体" w:hAnsi="宋体" w:eastAsia="宋体" w:cs="宋体"/>
          <w:b/>
          <w:bCs/>
          <w:color w:val="auto"/>
          <w:kern w:val="0"/>
          <w:sz w:val="32"/>
          <w:szCs w:val="32"/>
          <w:highlight w:val="none"/>
          <w:lang w:val="en-US" w:eastAsia="zh-CN" w:bidi="ar-SA"/>
        </w:rPr>
        <w:t>第7章  政府采购合同</w:t>
      </w:r>
      <w:bookmarkEnd w:id="1881"/>
      <w:bookmarkEnd w:id="1882"/>
      <w:bookmarkStart w:id="1883" w:name="_Hlt487972895"/>
      <w:bookmarkEnd w:id="1883"/>
      <w:bookmarkStart w:id="1884" w:name="_Toc216513788"/>
      <w:bookmarkEnd w:id="1884"/>
      <w:bookmarkStart w:id="1885" w:name="_Toc487900382"/>
      <w:bookmarkEnd w:id="1885"/>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sz w:val="32"/>
          <w:szCs w:val="32"/>
        </w:rPr>
      </w:pPr>
    </w:p>
    <w:p>
      <w:pPr>
        <w:rPr>
          <w:rFonts w:ascii="仿宋" w:hAnsi="仿宋" w:eastAsia="仿宋"/>
          <w:sz w:val="32"/>
          <w:szCs w:val="32"/>
          <w:u w:val="single"/>
        </w:rPr>
      </w:pPr>
      <w:r>
        <w:rPr>
          <w:rFonts w:hint="eastAsia" w:ascii="仿宋" w:hAnsi="仿宋" w:eastAsia="仿宋"/>
          <w:sz w:val="32"/>
          <w:szCs w:val="32"/>
        </w:rPr>
        <w:t>合同编号：</w:t>
      </w:r>
      <w:r>
        <w:rPr>
          <w:rFonts w:hint="eastAsia" w:ascii="仿宋" w:hAnsi="仿宋" w:eastAsia="仿宋"/>
          <w:sz w:val="32"/>
          <w:szCs w:val="32"/>
          <w:u w:val="single"/>
        </w:rPr>
        <w:t xml:space="preserve">         </w:t>
      </w: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r>
        <w:rPr>
          <w:rFonts w:hint="eastAsia" w:ascii="仿宋" w:hAnsi="仿宋" w:eastAsia="仿宋"/>
          <w:sz w:val="32"/>
          <w:szCs w:val="32"/>
        </w:rPr>
        <w:t>喀什地区第一人民医院</w:t>
      </w:r>
    </w:p>
    <w:p>
      <w:pPr>
        <w:jc w:val="center"/>
        <w:rPr>
          <w:rFonts w:hint="eastAsia" w:ascii="仿宋" w:hAnsi="仿宋" w:eastAsia="仿宋"/>
          <w:sz w:val="32"/>
          <w:szCs w:val="32"/>
          <w:u w:val="single"/>
        </w:rPr>
      </w:pPr>
      <w:r>
        <w:rPr>
          <w:rFonts w:hint="eastAsia" w:ascii="仿宋" w:hAnsi="仿宋" w:eastAsia="仿宋"/>
          <w:sz w:val="32"/>
          <w:szCs w:val="32"/>
        </w:rPr>
        <w:t>医疗设备采购合同</w:t>
      </w:r>
    </w:p>
    <w:p>
      <w:pPr>
        <w:rPr>
          <w:rFonts w:hint="eastAsia" w:ascii="仿宋" w:hAnsi="仿宋" w:eastAsia="仿宋"/>
          <w:sz w:val="32"/>
          <w:szCs w:val="32"/>
        </w:rPr>
      </w:pPr>
    </w:p>
    <w:p>
      <w:pPr>
        <w:rPr>
          <w:rFonts w:hint="eastAsia" w:ascii="仿宋" w:hAnsi="仿宋" w:eastAsia="仿宋"/>
          <w:sz w:val="32"/>
          <w:szCs w:val="32"/>
        </w:rPr>
      </w:pPr>
    </w:p>
    <w:p>
      <w:pPr>
        <w:rPr>
          <w:rFonts w:hint="eastAsia" w:ascii="仿宋" w:hAnsi="仿宋" w:eastAsia="仿宋" w:cs="宋体"/>
          <w:sz w:val="32"/>
          <w:szCs w:val="32"/>
        </w:rPr>
      </w:pPr>
      <w:r>
        <w:rPr>
          <w:rFonts w:hint="eastAsia" w:ascii="仿宋" w:hAnsi="仿宋" w:eastAsia="仿宋"/>
          <w:sz w:val="32"/>
          <w:szCs w:val="32"/>
        </w:rPr>
        <w:t>项目名称：</w:t>
      </w:r>
    </w:p>
    <w:p>
      <w:pPr>
        <w:rPr>
          <w:rFonts w:ascii="仿宋" w:hAnsi="仿宋" w:eastAsia="仿宋"/>
          <w:sz w:val="32"/>
          <w:szCs w:val="32"/>
        </w:rPr>
      </w:pPr>
    </w:p>
    <w:p>
      <w:pPr>
        <w:rPr>
          <w:rFonts w:hint="eastAsia" w:ascii="仿宋" w:hAnsi="仿宋" w:eastAsia="仿宋" w:cs="宋体"/>
          <w:sz w:val="32"/>
          <w:szCs w:val="32"/>
        </w:rPr>
      </w:pPr>
      <w:r>
        <w:rPr>
          <w:rFonts w:hint="eastAsia" w:ascii="仿宋" w:hAnsi="仿宋" w:eastAsia="仿宋" w:cs="宋体"/>
          <w:sz w:val="32"/>
          <w:szCs w:val="32"/>
        </w:rPr>
        <w:t>甲方:</w:t>
      </w:r>
      <w:r>
        <w:rPr>
          <w:rFonts w:hint="eastAsia" w:ascii="宋体" w:hAnsi="宋体" w:eastAsia="仿宋" w:cs="宋体"/>
          <w:sz w:val="32"/>
          <w:szCs w:val="32"/>
        </w:rPr>
        <w:t> </w:t>
      </w:r>
      <w:r>
        <w:rPr>
          <w:rFonts w:hint="eastAsia" w:ascii="仿宋" w:hAnsi="仿宋" w:eastAsia="仿宋" w:cs="宋体"/>
          <w:sz w:val="32"/>
          <w:szCs w:val="32"/>
        </w:rPr>
        <w:t>喀什地区第一人民医院</w:t>
      </w:r>
    </w:p>
    <w:p>
      <w:pPr>
        <w:rPr>
          <w:rFonts w:hint="eastAsia" w:ascii="仿宋" w:hAnsi="仿宋" w:eastAsia="仿宋" w:cs="宋体"/>
          <w:sz w:val="32"/>
          <w:szCs w:val="32"/>
        </w:rPr>
      </w:pPr>
    </w:p>
    <w:p>
      <w:pPr>
        <w:rPr>
          <w:rFonts w:ascii="仿宋" w:hAnsi="仿宋" w:eastAsia="仿宋" w:cs="宋体"/>
          <w:sz w:val="32"/>
          <w:szCs w:val="32"/>
        </w:rPr>
      </w:pPr>
      <w:r>
        <w:rPr>
          <w:rFonts w:hint="eastAsia" w:ascii="仿宋" w:hAnsi="仿宋" w:eastAsia="仿宋" w:cs="宋体"/>
          <w:sz w:val="32"/>
          <w:szCs w:val="32"/>
        </w:rPr>
        <w:t>乙方:</w:t>
      </w:r>
      <w:r>
        <w:rPr>
          <w:rFonts w:hint="eastAsia" w:ascii="宋体" w:hAnsi="宋体" w:eastAsia="仿宋" w:cs="宋体"/>
          <w:sz w:val="32"/>
          <w:szCs w:val="32"/>
        </w:rPr>
        <w:t> </w:t>
      </w:r>
      <w:r>
        <w:rPr>
          <w:rFonts w:hint="eastAsia" w:ascii="仿宋" w:hAnsi="仿宋" w:eastAsia="仿宋" w:cs="宋体"/>
          <w:sz w:val="32"/>
          <w:szCs w:val="32"/>
        </w:rPr>
        <w:t xml:space="preserve">                        </w:t>
      </w:r>
    </w:p>
    <w:p>
      <w:pPr>
        <w:rPr>
          <w:rFonts w:hint="eastAsia" w:ascii="仿宋" w:hAnsi="仿宋" w:eastAsia="仿宋" w:cs="宋体"/>
          <w:sz w:val="32"/>
          <w:szCs w:val="32"/>
        </w:rPr>
      </w:pPr>
    </w:p>
    <w:p>
      <w:pPr>
        <w:rPr>
          <w:rFonts w:hint="eastAsia" w:ascii="仿宋" w:hAnsi="仿宋" w:eastAsia="仿宋" w:cs="宋体"/>
          <w:sz w:val="32"/>
          <w:szCs w:val="32"/>
          <w:u w:val="single"/>
        </w:rPr>
      </w:pPr>
      <w:r>
        <w:rPr>
          <w:rFonts w:hint="eastAsia" w:ascii="仿宋" w:hAnsi="仿宋" w:eastAsia="仿宋" w:cs="宋体"/>
          <w:sz w:val="32"/>
          <w:szCs w:val="32"/>
        </w:rPr>
        <w:t>签订地：</w:t>
      </w:r>
      <w:r>
        <w:rPr>
          <w:rFonts w:hint="eastAsia" w:ascii="仿宋" w:hAnsi="仿宋" w:eastAsia="仿宋" w:cs="宋体"/>
          <w:sz w:val="32"/>
          <w:szCs w:val="32"/>
          <w:u w:val="single"/>
        </w:rPr>
        <w:t xml:space="preserve">  喀什地区第一人民医院    </w:t>
      </w:r>
    </w:p>
    <w:p>
      <w:pPr>
        <w:rPr>
          <w:rFonts w:hint="eastAsia" w:ascii="仿宋" w:hAnsi="仿宋" w:eastAsia="仿宋" w:cs="宋体"/>
          <w:sz w:val="32"/>
          <w:szCs w:val="32"/>
          <w:u w:val="single"/>
        </w:rPr>
      </w:pPr>
    </w:p>
    <w:p>
      <w:pPr>
        <w:rPr>
          <w:rFonts w:hint="eastAsia" w:ascii="仿宋" w:hAnsi="仿宋" w:eastAsia="仿宋" w:cs="宋体"/>
          <w:sz w:val="32"/>
          <w:szCs w:val="32"/>
        </w:rPr>
      </w:pPr>
      <w:r>
        <w:rPr>
          <w:rFonts w:hint="eastAsia" w:ascii="仿宋" w:hAnsi="仿宋" w:eastAsia="仿宋" w:cs="宋体"/>
          <w:sz w:val="32"/>
          <w:szCs w:val="32"/>
        </w:rPr>
        <w:t>签订日期：</w:t>
      </w:r>
      <w:r>
        <w:rPr>
          <w:rFonts w:hint="eastAsia" w:ascii="仿宋" w:hAnsi="仿宋" w:eastAsia="仿宋" w:cs="宋体"/>
          <w:sz w:val="32"/>
          <w:szCs w:val="32"/>
          <w:u w:val="single"/>
        </w:rPr>
        <w:t xml:space="preserve">          </w:t>
      </w:r>
      <w:r>
        <w:rPr>
          <w:rFonts w:hint="eastAsia" w:ascii="仿宋" w:hAnsi="仿宋" w:eastAsia="仿宋" w:cs="宋体"/>
          <w:sz w:val="32"/>
          <w:szCs w:val="32"/>
        </w:rPr>
        <w:t>年</w:t>
      </w:r>
      <w:r>
        <w:rPr>
          <w:rFonts w:hint="eastAsia" w:ascii="仿宋" w:hAnsi="仿宋" w:eastAsia="仿宋" w:cs="宋体"/>
          <w:sz w:val="32"/>
          <w:szCs w:val="32"/>
          <w:u w:val="single"/>
        </w:rPr>
        <w:t xml:space="preserve">       </w:t>
      </w:r>
      <w:r>
        <w:rPr>
          <w:rFonts w:hint="eastAsia" w:ascii="仿宋" w:hAnsi="仿宋" w:eastAsia="仿宋" w:cs="宋体"/>
          <w:sz w:val="32"/>
          <w:szCs w:val="32"/>
        </w:rPr>
        <w:t>月</w:t>
      </w:r>
      <w:r>
        <w:rPr>
          <w:rFonts w:hint="eastAsia" w:ascii="仿宋" w:hAnsi="仿宋" w:eastAsia="仿宋" w:cs="宋体"/>
          <w:sz w:val="32"/>
          <w:szCs w:val="32"/>
          <w:u w:val="single"/>
        </w:rPr>
        <w:t xml:space="preserve">       </w:t>
      </w:r>
      <w:r>
        <w:rPr>
          <w:rFonts w:hint="eastAsia" w:ascii="仿宋" w:hAnsi="仿宋" w:eastAsia="仿宋" w:cs="宋体"/>
          <w:sz w:val="32"/>
          <w:szCs w:val="32"/>
        </w:rPr>
        <w:t>日</w:t>
      </w:r>
    </w:p>
    <w:p>
      <w:pPr>
        <w:jc w:val="center"/>
        <w:rPr>
          <w:rFonts w:hint="eastAsia" w:ascii="仿宋" w:hAnsi="仿宋" w:eastAsia="仿宋" w:cs="宋体"/>
          <w:sz w:val="32"/>
          <w:szCs w:val="32"/>
        </w:rPr>
      </w:pPr>
    </w:p>
    <w:p>
      <w:pPr>
        <w:jc w:val="center"/>
        <w:rPr>
          <w:rFonts w:hint="eastAsia" w:ascii="仿宋" w:hAnsi="仿宋" w:eastAsia="仿宋"/>
          <w:sz w:val="30"/>
          <w:szCs w:val="30"/>
        </w:rPr>
      </w:pPr>
    </w:p>
    <w:p>
      <w:pPr>
        <w:jc w:val="center"/>
        <w:rPr>
          <w:rFonts w:hint="eastAsia" w:ascii="仿宋" w:hAnsi="仿宋" w:eastAsia="仿宋"/>
          <w:sz w:val="30"/>
          <w:szCs w:val="30"/>
        </w:rPr>
      </w:pPr>
    </w:p>
    <w:p>
      <w:pPr>
        <w:jc w:val="center"/>
        <w:rPr>
          <w:rFonts w:hint="eastAsia" w:ascii="仿宋" w:hAnsi="仿宋" w:eastAsia="仿宋"/>
          <w:color w:val="000000"/>
          <w:sz w:val="30"/>
          <w:szCs w:val="30"/>
        </w:rPr>
      </w:pPr>
    </w:p>
    <w:p>
      <w:pPr>
        <w:jc w:val="center"/>
        <w:rPr>
          <w:rFonts w:hint="eastAsia" w:ascii="仿宋" w:hAnsi="仿宋" w:eastAsia="仿宋"/>
          <w:color w:val="000000"/>
          <w:sz w:val="30"/>
          <w:szCs w:val="30"/>
        </w:rPr>
      </w:pPr>
    </w:p>
    <w:p>
      <w:pPr>
        <w:jc w:val="center"/>
        <w:rPr>
          <w:rFonts w:hint="eastAsia" w:ascii="仿宋" w:hAnsi="仿宋" w:eastAsia="仿宋"/>
          <w:color w:val="000000"/>
          <w:sz w:val="30"/>
          <w:szCs w:val="30"/>
        </w:rPr>
      </w:pPr>
    </w:p>
    <w:p>
      <w:pPr>
        <w:rPr>
          <w:rFonts w:hint="eastAsia" w:ascii="仿宋" w:hAnsi="仿宋" w:eastAsia="仿宋"/>
          <w:color w:val="000000"/>
          <w:sz w:val="30"/>
          <w:szCs w:val="30"/>
        </w:rPr>
      </w:pPr>
      <w:r>
        <w:rPr>
          <w:rFonts w:hint="eastAsia" w:ascii="仿宋" w:hAnsi="仿宋" w:eastAsia="仿宋"/>
          <w:color w:val="000000"/>
          <w:sz w:val="30"/>
          <w:szCs w:val="30"/>
        </w:rPr>
        <w:br w:type="page"/>
      </w:r>
    </w:p>
    <w:p>
      <w:pPr>
        <w:jc w:val="center"/>
        <w:rPr>
          <w:rFonts w:hint="eastAsia" w:ascii="仿宋" w:hAnsi="仿宋" w:eastAsia="仿宋"/>
          <w:color w:val="000000"/>
          <w:sz w:val="30"/>
          <w:szCs w:val="30"/>
        </w:rPr>
      </w:pPr>
      <w:r>
        <w:rPr>
          <w:rFonts w:hint="eastAsia" w:ascii="仿宋" w:hAnsi="仿宋" w:eastAsia="仿宋"/>
          <w:color w:val="000000"/>
          <w:sz w:val="30"/>
          <w:szCs w:val="30"/>
        </w:rPr>
        <w:t>医院医疗设备采购合同</w:t>
      </w:r>
    </w:p>
    <w:p>
      <w:pPr>
        <w:jc w:val="center"/>
        <w:rPr>
          <w:rFonts w:hint="eastAsia" w:ascii="仿宋" w:hAnsi="仿宋" w:eastAsia="仿宋"/>
          <w:color w:val="000000"/>
          <w:sz w:val="30"/>
          <w:szCs w:val="30"/>
        </w:rPr>
      </w:pPr>
    </w:p>
    <w:p>
      <w:pPr>
        <w:rPr>
          <w:rFonts w:hint="eastAsia" w:ascii="仿宋" w:hAnsi="仿宋" w:eastAsia="仿宋" w:cs="仿宋"/>
          <w:color w:val="000000"/>
          <w:sz w:val="30"/>
          <w:szCs w:val="30"/>
        </w:rPr>
      </w:pPr>
      <w:r>
        <w:rPr>
          <w:rFonts w:hint="eastAsia" w:ascii="仿宋" w:hAnsi="仿宋" w:eastAsia="仿宋" w:cs="仿宋"/>
          <w:color w:val="000000"/>
          <w:sz w:val="30"/>
          <w:szCs w:val="30"/>
        </w:rPr>
        <w:t>甲方:</w:t>
      </w:r>
      <w:r>
        <w:rPr>
          <w:rFonts w:hint="eastAsia" w:ascii="宋体" w:hAnsi="宋体" w:eastAsia="仿宋" w:cs="仿宋"/>
          <w:color w:val="000000"/>
          <w:sz w:val="30"/>
          <w:szCs w:val="30"/>
        </w:rPr>
        <w:t> </w:t>
      </w:r>
      <w:r>
        <w:rPr>
          <w:rFonts w:hint="eastAsia" w:ascii="仿宋" w:hAnsi="仿宋" w:eastAsia="仿宋" w:cs="仿宋"/>
          <w:color w:val="000000"/>
          <w:sz w:val="30"/>
          <w:szCs w:val="30"/>
        </w:rPr>
        <w:t>喀什地区第一人民医院</w:t>
      </w:r>
    </w:p>
    <w:p>
      <w:pPr>
        <w:rPr>
          <w:rFonts w:hint="eastAsia" w:ascii="仿宋" w:hAnsi="仿宋" w:eastAsia="仿宋" w:cs="仿宋"/>
          <w:color w:val="000000"/>
          <w:sz w:val="30"/>
          <w:szCs w:val="30"/>
        </w:rPr>
      </w:pPr>
      <w:r>
        <w:rPr>
          <w:rFonts w:hint="eastAsia" w:ascii="仿宋" w:hAnsi="仿宋" w:eastAsia="仿宋" w:cs="仿宋"/>
          <w:color w:val="000000"/>
          <w:sz w:val="30"/>
          <w:szCs w:val="30"/>
        </w:rPr>
        <w:t>乙方:</w:t>
      </w:r>
      <w:r>
        <w:rPr>
          <w:rFonts w:hint="eastAsia" w:ascii="宋体" w:hAnsi="宋体" w:eastAsia="仿宋" w:cs="仿宋"/>
          <w:color w:val="000000"/>
          <w:sz w:val="30"/>
          <w:szCs w:val="30"/>
        </w:rPr>
        <w:t> </w:t>
      </w:r>
      <w:r>
        <w:rPr>
          <w:rFonts w:hint="eastAsia" w:ascii="仿宋" w:hAnsi="仿宋" w:eastAsia="仿宋" w:cs="仿宋"/>
          <w:color w:val="000000"/>
          <w:sz w:val="30"/>
          <w:szCs w:val="30"/>
        </w:rPr>
        <w:t xml:space="preserve">  </w:t>
      </w:r>
      <w:r>
        <w:rPr>
          <w:rFonts w:ascii="仿宋" w:hAnsi="仿宋" w:eastAsia="仿宋" w:cs="仿宋"/>
          <w:color w:val="000000"/>
          <w:sz w:val="30"/>
          <w:szCs w:val="30"/>
        </w:rPr>
        <w:t xml:space="preserve">      </w:t>
      </w:r>
    </w:p>
    <w:p>
      <w:pPr>
        <w:ind w:left="0" w:leftChars="0" w:firstLine="0" w:firstLineChars="0"/>
        <w:rPr>
          <w:rFonts w:hint="eastAsia" w:ascii="仿宋" w:hAnsi="仿宋" w:eastAsia="仿宋" w:cs="仿宋"/>
          <w:color w:val="000000"/>
          <w:sz w:val="30"/>
          <w:szCs w:val="30"/>
        </w:rPr>
      </w:pPr>
      <w:r>
        <w:rPr>
          <w:rFonts w:hint="eastAsia" w:ascii="仿宋" w:hAnsi="仿宋" w:eastAsia="仿宋" w:cs="仿宋"/>
          <w:color w:val="000000"/>
          <w:sz w:val="30"/>
          <w:szCs w:val="30"/>
        </w:rPr>
        <w:t>根据《中华人民共和国民法典》及</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公司招标编号：</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lang w:val="en-US" w:eastAsia="zh-CN"/>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对</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项目招标文件要求，甲、乙双方经协商确定，甲方向乙方订购下列设备及其服务，为明确双方责任和权力，特签订本合同，共同遵守。具体条款如下：</w:t>
      </w:r>
    </w:p>
    <w:p>
      <w:pPr>
        <w:rPr>
          <w:rFonts w:hint="eastAsia" w:ascii="仿宋" w:hAnsi="仿宋" w:eastAsia="仿宋" w:cs="仿宋"/>
          <w:color w:val="000000"/>
          <w:sz w:val="30"/>
          <w:szCs w:val="30"/>
        </w:rPr>
      </w:pPr>
      <w:r>
        <w:rPr>
          <w:rFonts w:hint="eastAsia" w:ascii="仿宋" w:hAnsi="仿宋" w:eastAsia="仿宋" w:cs="仿宋"/>
          <w:b/>
          <w:bCs/>
          <w:color w:val="000000"/>
          <w:sz w:val="30"/>
          <w:szCs w:val="30"/>
        </w:rPr>
        <w:t>1.合同设备：</w:t>
      </w:r>
      <w:r>
        <w:rPr>
          <w:rFonts w:hint="eastAsia" w:ascii="仿宋" w:hAnsi="仿宋" w:eastAsia="仿宋" w:cs="仿宋"/>
          <w:color w:val="000000"/>
          <w:sz w:val="30"/>
          <w:szCs w:val="30"/>
        </w:rPr>
        <w:t>乙方负责向甲方供应下表中所列设备</w:t>
      </w:r>
    </w:p>
    <w:tbl>
      <w:tblPr>
        <w:tblStyle w:val="25"/>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427"/>
        <w:gridCol w:w="709"/>
        <w:gridCol w:w="709"/>
        <w:gridCol w:w="1843"/>
        <w:gridCol w:w="708"/>
        <w:gridCol w:w="1276"/>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00" w:type="dxa"/>
            <w:noWrap w:val="0"/>
            <w:vAlign w:val="top"/>
          </w:tcPr>
          <w:p>
            <w:pPr>
              <w:rPr>
                <w:rFonts w:hint="eastAsia" w:ascii="仿宋" w:hAnsi="仿宋" w:eastAsia="仿宋" w:cs="仿宋"/>
                <w:color w:val="000000"/>
                <w:sz w:val="24"/>
              </w:rPr>
            </w:pPr>
            <w:r>
              <w:rPr>
                <w:rFonts w:hint="eastAsia" w:ascii="仿宋" w:hAnsi="仿宋" w:eastAsia="仿宋" w:cs="仿宋"/>
                <w:color w:val="000000"/>
                <w:sz w:val="24"/>
              </w:rPr>
              <w:t>序号</w:t>
            </w:r>
          </w:p>
        </w:tc>
        <w:tc>
          <w:tcPr>
            <w:tcW w:w="1427"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设备名称</w:t>
            </w:r>
          </w:p>
        </w:tc>
        <w:tc>
          <w:tcPr>
            <w:tcW w:w="709"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品牌</w:t>
            </w:r>
          </w:p>
        </w:tc>
        <w:tc>
          <w:tcPr>
            <w:tcW w:w="709"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产地</w:t>
            </w:r>
          </w:p>
        </w:tc>
        <w:tc>
          <w:tcPr>
            <w:tcW w:w="1843"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规格型号</w:t>
            </w:r>
          </w:p>
        </w:tc>
        <w:tc>
          <w:tcPr>
            <w:tcW w:w="708"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276"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交货时间</w:t>
            </w:r>
          </w:p>
        </w:tc>
        <w:tc>
          <w:tcPr>
            <w:tcW w:w="1276"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设备单价</w:t>
            </w:r>
          </w:p>
        </w:tc>
        <w:tc>
          <w:tcPr>
            <w:tcW w:w="1276" w:type="dxa"/>
            <w:noWrap w:val="0"/>
            <w:vAlign w:val="top"/>
          </w:tcPr>
          <w:p>
            <w:pPr>
              <w:jc w:val="center"/>
              <w:rPr>
                <w:rFonts w:hint="eastAsia" w:ascii="仿宋" w:hAnsi="仿宋" w:eastAsia="仿宋" w:cs="仿宋"/>
                <w:color w:val="000000"/>
                <w:sz w:val="24"/>
              </w:rPr>
            </w:pPr>
            <w:r>
              <w:rPr>
                <w:rFonts w:hint="eastAsia" w:ascii="仿宋" w:hAnsi="仿宋" w:eastAsia="仿宋" w:cs="仿宋"/>
                <w:color w:val="000000"/>
                <w:sz w:val="24"/>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pPr>
              <w:rPr>
                <w:rFonts w:hint="eastAsia" w:ascii="仿宋" w:hAnsi="仿宋" w:eastAsia="仿宋" w:cs="仿宋"/>
                <w:color w:val="000000"/>
                <w:sz w:val="24"/>
              </w:rPr>
            </w:pPr>
            <w:r>
              <w:rPr>
                <w:rFonts w:hint="eastAsia" w:ascii="仿宋" w:hAnsi="仿宋" w:eastAsia="仿宋" w:cs="仿宋"/>
                <w:color w:val="000000"/>
                <w:sz w:val="24"/>
              </w:rPr>
              <w:t>1</w:t>
            </w:r>
          </w:p>
        </w:tc>
        <w:tc>
          <w:tcPr>
            <w:tcW w:w="1427" w:type="dxa"/>
            <w:noWrap w:val="0"/>
            <w:vAlign w:val="center"/>
          </w:tcPr>
          <w:p>
            <w:pPr>
              <w:widowControl/>
              <w:jc w:val="center"/>
              <w:textAlignment w:val="center"/>
              <w:rPr>
                <w:rFonts w:ascii="仿宋" w:hAnsi="仿宋" w:eastAsia="仿宋" w:cs="宋体"/>
                <w:color w:val="000000"/>
                <w:sz w:val="24"/>
              </w:rPr>
            </w:pPr>
          </w:p>
        </w:tc>
        <w:tc>
          <w:tcPr>
            <w:tcW w:w="709" w:type="dxa"/>
            <w:noWrap w:val="0"/>
            <w:vAlign w:val="center"/>
          </w:tcPr>
          <w:p>
            <w:pPr>
              <w:widowControl/>
              <w:jc w:val="center"/>
              <w:textAlignment w:val="center"/>
              <w:rPr>
                <w:rFonts w:hint="eastAsia" w:ascii="仿宋" w:hAnsi="仿宋" w:eastAsia="仿宋" w:cs="宋体"/>
                <w:color w:val="000000"/>
                <w:sz w:val="24"/>
              </w:rPr>
            </w:pPr>
          </w:p>
        </w:tc>
        <w:tc>
          <w:tcPr>
            <w:tcW w:w="709" w:type="dxa"/>
            <w:noWrap w:val="0"/>
            <w:vAlign w:val="center"/>
          </w:tcPr>
          <w:p>
            <w:pPr>
              <w:jc w:val="center"/>
              <w:rPr>
                <w:rFonts w:hint="eastAsia" w:ascii="仿宋" w:hAnsi="仿宋" w:eastAsia="仿宋" w:cs="宋体"/>
                <w:color w:val="000000"/>
                <w:sz w:val="24"/>
              </w:rPr>
            </w:pPr>
          </w:p>
        </w:tc>
        <w:tc>
          <w:tcPr>
            <w:tcW w:w="1843" w:type="dxa"/>
            <w:noWrap w:val="0"/>
            <w:vAlign w:val="center"/>
          </w:tcPr>
          <w:p>
            <w:pPr>
              <w:widowControl/>
              <w:jc w:val="center"/>
              <w:textAlignment w:val="center"/>
              <w:rPr>
                <w:rFonts w:hint="eastAsia" w:ascii="仿宋" w:hAnsi="仿宋" w:eastAsia="仿宋" w:cs="宋体"/>
                <w:color w:val="000000"/>
                <w:sz w:val="24"/>
              </w:rPr>
            </w:pPr>
          </w:p>
        </w:tc>
        <w:tc>
          <w:tcPr>
            <w:tcW w:w="708" w:type="dxa"/>
            <w:noWrap w:val="0"/>
            <w:vAlign w:val="center"/>
          </w:tcPr>
          <w:p>
            <w:pPr>
              <w:widowControl/>
              <w:jc w:val="center"/>
              <w:textAlignment w:val="center"/>
              <w:rPr>
                <w:rFonts w:ascii="仿宋" w:hAnsi="仿宋" w:eastAsia="仿宋" w:cs="宋体"/>
                <w:color w:val="000000"/>
                <w:sz w:val="24"/>
              </w:rPr>
            </w:pPr>
          </w:p>
        </w:tc>
        <w:tc>
          <w:tcPr>
            <w:tcW w:w="1276" w:type="dxa"/>
            <w:vMerge w:val="restart"/>
            <w:noWrap w:val="0"/>
            <w:vAlign w:val="top"/>
          </w:tcPr>
          <w:p>
            <w:pPr>
              <w:rPr>
                <w:rFonts w:ascii="仿宋" w:hAnsi="仿宋" w:eastAsia="仿宋" w:cs="仿宋"/>
                <w:color w:val="000000"/>
                <w:sz w:val="24"/>
                <w:u w:val="single"/>
              </w:rPr>
            </w:pPr>
            <w:r>
              <w:rPr>
                <w:rFonts w:hint="eastAsia" w:ascii="仿宋" w:hAnsi="仿宋" w:eastAsia="仿宋" w:cs="仿宋"/>
                <w:color w:val="000000"/>
                <w:sz w:val="22"/>
                <w:szCs w:val="22"/>
              </w:rPr>
              <w:t>以本合同“6.2.1”之约定为准</w:t>
            </w:r>
          </w:p>
        </w:tc>
        <w:tc>
          <w:tcPr>
            <w:tcW w:w="1276" w:type="dxa"/>
            <w:noWrap w:val="0"/>
            <w:vAlign w:val="center"/>
          </w:tcPr>
          <w:p>
            <w:pPr>
              <w:widowControl/>
              <w:jc w:val="center"/>
              <w:textAlignment w:val="center"/>
              <w:rPr>
                <w:rFonts w:hint="eastAsia" w:ascii="仿宋" w:hAnsi="仿宋" w:eastAsia="仿宋" w:cs="宋体"/>
                <w:color w:val="000000"/>
                <w:sz w:val="24"/>
              </w:rPr>
            </w:pPr>
          </w:p>
        </w:tc>
        <w:tc>
          <w:tcPr>
            <w:tcW w:w="1276" w:type="dxa"/>
            <w:noWrap w:val="0"/>
            <w:vAlign w:val="center"/>
          </w:tcPr>
          <w:p>
            <w:pPr>
              <w:widowControl/>
              <w:jc w:val="center"/>
              <w:textAlignment w:val="center"/>
              <w:rPr>
                <w:rFonts w:hint="eastAsia"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pPr>
              <w:rPr>
                <w:rFonts w:hint="eastAsia" w:ascii="仿宋" w:hAnsi="仿宋" w:eastAsia="仿宋" w:cs="仿宋"/>
                <w:color w:val="000000"/>
                <w:sz w:val="24"/>
              </w:rPr>
            </w:pPr>
            <w:r>
              <w:rPr>
                <w:rFonts w:hint="eastAsia" w:ascii="仿宋" w:hAnsi="仿宋" w:eastAsia="仿宋" w:cs="仿宋"/>
                <w:color w:val="000000"/>
                <w:sz w:val="24"/>
              </w:rPr>
              <w:t>2</w:t>
            </w:r>
          </w:p>
        </w:tc>
        <w:tc>
          <w:tcPr>
            <w:tcW w:w="1427" w:type="dxa"/>
            <w:noWrap w:val="0"/>
            <w:vAlign w:val="center"/>
          </w:tcPr>
          <w:p>
            <w:pPr>
              <w:widowControl/>
              <w:jc w:val="center"/>
              <w:textAlignment w:val="center"/>
              <w:rPr>
                <w:rFonts w:ascii="仿宋" w:hAnsi="仿宋" w:eastAsia="仿宋" w:cs="宋体"/>
                <w:color w:val="000000"/>
                <w:sz w:val="24"/>
              </w:rPr>
            </w:pPr>
          </w:p>
        </w:tc>
        <w:tc>
          <w:tcPr>
            <w:tcW w:w="709" w:type="dxa"/>
            <w:noWrap w:val="0"/>
            <w:vAlign w:val="center"/>
          </w:tcPr>
          <w:p>
            <w:pPr>
              <w:widowControl/>
              <w:jc w:val="center"/>
              <w:textAlignment w:val="center"/>
              <w:rPr>
                <w:rFonts w:hint="eastAsia" w:ascii="仿宋" w:hAnsi="仿宋" w:eastAsia="仿宋" w:cs="宋体"/>
                <w:color w:val="000000"/>
                <w:sz w:val="24"/>
              </w:rPr>
            </w:pPr>
          </w:p>
        </w:tc>
        <w:tc>
          <w:tcPr>
            <w:tcW w:w="709" w:type="dxa"/>
            <w:noWrap w:val="0"/>
            <w:vAlign w:val="center"/>
          </w:tcPr>
          <w:p>
            <w:pPr>
              <w:jc w:val="center"/>
              <w:rPr>
                <w:rFonts w:hint="eastAsia" w:ascii="仿宋" w:hAnsi="仿宋" w:eastAsia="仿宋" w:cs="宋体"/>
                <w:color w:val="000000"/>
                <w:sz w:val="24"/>
              </w:rPr>
            </w:pPr>
          </w:p>
        </w:tc>
        <w:tc>
          <w:tcPr>
            <w:tcW w:w="1843" w:type="dxa"/>
            <w:noWrap w:val="0"/>
            <w:vAlign w:val="center"/>
          </w:tcPr>
          <w:p>
            <w:pPr>
              <w:widowControl/>
              <w:jc w:val="center"/>
              <w:textAlignment w:val="center"/>
              <w:rPr>
                <w:rFonts w:hint="eastAsia" w:ascii="仿宋" w:hAnsi="仿宋" w:eastAsia="仿宋" w:cs="宋体"/>
                <w:color w:val="000000"/>
                <w:sz w:val="24"/>
              </w:rPr>
            </w:pPr>
          </w:p>
        </w:tc>
        <w:tc>
          <w:tcPr>
            <w:tcW w:w="708" w:type="dxa"/>
            <w:noWrap w:val="0"/>
            <w:vAlign w:val="center"/>
          </w:tcPr>
          <w:p>
            <w:pPr>
              <w:widowControl/>
              <w:jc w:val="center"/>
              <w:textAlignment w:val="center"/>
              <w:rPr>
                <w:rFonts w:ascii="仿宋" w:hAnsi="仿宋" w:eastAsia="仿宋" w:cs="宋体"/>
                <w:color w:val="000000"/>
                <w:sz w:val="24"/>
              </w:rPr>
            </w:pPr>
          </w:p>
        </w:tc>
        <w:tc>
          <w:tcPr>
            <w:tcW w:w="1276" w:type="dxa"/>
            <w:vMerge w:val="continue"/>
            <w:noWrap w:val="0"/>
            <w:vAlign w:val="top"/>
          </w:tcPr>
          <w:p>
            <w:pPr>
              <w:rPr>
                <w:rFonts w:hint="eastAsia" w:ascii="仿宋" w:hAnsi="仿宋" w:eastAsia="仿宋" w:cs="仿宋"/>
                <w:color w:val="000000"/>
                <w:sz w:val="24"/>
              </w:rPr>
            </w:pPr>
          </w:p>
        </w:tc>
        <w:tc>
          <w:tcPr>
            <w:tcW w:w="1276" w:type="dxa"/>
            <w:noWrap w:val="0"/>
            <w:vAlign w:val="center"/>
          </w:tcPr>
          <w:p>
            <w:pPr>
              <w:widowControl/>
              <w:jc w:val="center"/>
              <w:textAlignment w:val="center"/>
              <w:rPr>
                <w:rFonts w:hint="eastAsia" w:ascii="仿宋" w:hAnsi="仿宋" w:eastAsia="仿宋" w:cs="宋体"/>
                <w:color w:val="000000"/>
                <w:sz w:val="24"/>
              </w:rPr>
            </w:pPr>
          </w:p>
        </w:tc>
        <w:tc>
          <w:tcPr>
            <w:tcW w:w="1276" w:type="dxa"/>
            <w:noWrap w:val="0"/>
            <w:vAlign w:val="center"/>
          </w:tcPr>
          <w:p>
            <w:pPr>
              <w:widowControl/>
              <w:jc w:val="center"/>
              <w:textAlignment w:val="center"/>
              <w:rPr>
                <w:rFonts w:hint="eastAsia"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top"/>
          </w:tcPr>
          <w:p>
            <w:pPr>
              <w:rPr>
                <w:rFonts w:hint="eastAsia" w:ascii="仿宋" w:hAnsi="仿宋" w:eastAsia="仿宋" w:cs="仿宋"/>
                <w:color w:val="000000"/>
                <w:sz w:val="24"/>
              </w:rPr>
            </w:pPr>
            <w:r>
              <w:rPr>
                <w:rFonts w:hint="eastAsia" w:ascii="仿宋" w:hAnsi="仿宋" w:eastAsia="仿宋" w:cs="仿宋"/>
                <w:color w:val="000000"/>
                <w:sz w:val="24"/>
              </w:rPr>
              <w:t>3</w:t>
            </w:r>
          </w:p>
        </w:tc>
        <w:tc>
          <w:tcPr>
            <w:tcW w:w="1427" w:type="dxa"/>
            <w:noWrap w:val="0"/>
            <w:vAlign w:val="center"/>
          </w:tcPr>
          <w:p>
            <w:pPr>
              <w:widowControl/>
              <w:jc w:val="center"/>
              <w:textAlignment w:val="center"/>
              <w:rPr>
                <w:rFonts w:ascii="仿宋" w:hAnsi="仿宋" w:eastAsia="仿宋" w:cs="宋体"/>
                <w:color w:val="000000"/>
                <w:sz w:val="24"/>
              </w:rPr>
            </w:pPr>
          </w:p>
        </w:tc>
        <w:tc>
          <w:tcPr>
            <w:tcW w:w="709" w:type="dxa"/>
            <w:noWrap w:val="0"/>
            <w:vAlign w:val="center"/>
          </w:tcPr>
          <w:p>
            <w:pPr>
              <w:widowControl/>
              <w:jc w:val="center"/>
              <w:textAlignment w:val="center"/>
              <w:rPr>
                <w:rFonts w:hint="eastAsia" w:ascii="仿宋" w:hAnsi="仿宋" w:eastAsia="仿宋" w:cs="宋体"/>
                <w:color w:val="000000"/>
                <w:sz w:val="24"/>
              </w:rPr>
            </w:pPr>
          </w:p>
        </w:tc>
        <w:tc>
          <w:tcPr>
            <w:tcW w:w="709" w:type="dxa"/>
            <w:noWrap w:val="0"/>
            <w:vAlign w:val="center"/>
          </w:tcPr>
          <w:p>
            <w:pPr>
              <w:jc w:val="center"/>
              <w:rPr>
                <w:rFonts w:hint="eastAsia" w:ascii="仿宋" w:hAnsi="仿宋" w:eastAsia="仿宋" w:cs="宋体"/>
                <w:color w:val="000000"/>
                <w:sz w:val="24"/>
              </w:rPr>
            </w:pPr>
          </w:p>
        </w:tc>
        <w:tc>
          <w:tcPr>
            <w:tcW w:w="1843" w:type="dxa"/>
            <w:noWrap w:val="0"/>
            <w:vAlign w:val="center"/>
          </w:tcPr>
          <w:p>
            <w:pPr>
              <w:widowControl/>
              <w:jc w:val="center"/>
              <w:textAlignment w:val="center"/>
              <w:rPr>
                <w:rFonts w:hint="eastAsia" w:ascii="仿宋" w:hAnsi="仿宋" w:eastAsia="仿宋" w:cs="宋体"/>
                <w:color w:val="000000"/>
                <w:sz w:val="24"/>
              </w:rPr>
            </w:pPr>
          </w:p>
        </w:tc>
        <w:tc>
          <w:tcPr>
            <w:tcW w:w="708" w:type="dxa"/>
            <w:noWrap w:val="0"/>
            <w:vAlign w:val="center"/>
          </w:tcPr>
          <w:p>
            <w:pPr>
              <w:widowControl/>
              <w:jc w:val="center"/>
              <w:textAlignment w:val="center"/>
              <w:rPr>
                <w:rFonts w:hint="eastAsia" w:ascii="仿宋" w:hAnsi="仿宋" w:eastAsia="仿宋" w:cs="宋体"/>
                <w:color w:val="000000"/>
                <w:sz w:val="24"/>
              </w:rPr>
            </w:pPr>
          </w:p>
        </w:tc>
        <w:tc>
          <w:tcPr>
            <w:tcW w:w="1276" w:type="dxa"/>
            <w:vMerge w:val="continue"/>
            <w:noWrap w:val="0"/>
            <w:vAlign w:val="top"/>
          </w:tcPr>
          <w:p>
            <w:pPr>
              <w:rPr>
                <w:rFonts w:hint="eastAsia" w:ascii="仿宋" w:hAnsi="仿宋" w:eastAsia="仿宋" w:cs="仿宋"/>
                <w:color w:val="000000"/>
                <w:sz w:val="24"/>
              </w:rPr>
            </w:pPr>
          </w:p>
        </w:tc>
        <w:tc>
          <w:tcPr>
            <w:tcW w:w="1276" w:type="dxa"/>
            <w:noWrap w:val="0"/>
            <w:vAlign w:val="center"/>
          </w:tcPr>
          <w:p>
            <w:pPr>
              <w:widowControl/>
              <w:jc w:val="center"/>
              <w:textAlignment w:val="center"/>
              <w:rPr>
                <w:rFonts w:hint="eastAsia" w:ascii="仿宋" w:hAnsi="仿宋" w:eastAsia="仿宋" w:cs="宋体"/>
                <w:color w:val="000000"/>
                <w:sz w:val="24"/>
              </w:rPr>
            </w:pPr>
          </w:p>
        </w:tc>
        <w:tc>
          <w:tcPr>
            <w:tcW w:w="1276" w:type="dxa"/>
            <w:noWrap w:val="0"/>
            <w:vAlign w:val="center"/>
          </w:tcPr>
          <w:p>
            <w:pPr>
              <w:widowControl/>
              <w:jc w:val="center"/>
              <w:textAlignment w:val="center"/>
              <w:rPr>
                <w:rFonts w:hint="eastAsia"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924" w:type="dxa"/>
            <w:gridSpan w:val="9"/>
            <w:noWrap w:val="0"/>
            <w:vAlign w:val="top"/>
          </w:tcPr>
          <w:p>
            <w:pPr>
              <w:rPr>
                <w:rFonts w:hint="eastAsia" w:ascii="仿宋" w:hAnsi="仿宋" w:eastAsia="仿宋" w:cs="仿宋"/>
                <w:color w:val="000000"/>
                <w:sz w:val="24"/>
              </w:rPr>
            </w:pPr>
            <w:r>
              <w:rPr>
                <w:rFonts w:hint="eastAsia" w:ascii="仿宋" w:hAnsi="仿宋" w:eastAsia="仿宋" w:cs="仿宋"/>
                <w:color w:val="000000"/>
                <w:sz w:val="24"/>
              </w:rPr>
              <w:t xml:space="preserve">合同总价（含税）：（大写） </w:t>
            </w:r>
            <w:r>
              <w:rPr>
                <w:rFonts w:ascii="仿宋" w:hAnsi="仿宋" w:eastAsia="仿宋" w:cs="仿宋"/>
                <w:color w:val="000000"/>
                <w:sz w:val="24"/>
              </w:rPr>
              <w:t xml:space="preserve">            </w:t>
            </w:r>
            <w:r>
              <w:rPr>
                <w:rFonts w:hint="eastAsia" w:ascii="仿宋" w:hAnsi="仿宋" w:eastAsia="仿宋" w:cs="仿宋"/>
                <w:color w:val="000000"/>
                <w:sz w:val="24"/>
              </w:rPr>
              <w:t xml:space="preserve">      </w:t>
            </w:r>
            <w:r>
              <w:rPr>
                <w:rFonts w:hint="eastAsia" w:ascii="宋体" w:hAnsi="宋体" w:eastAsia="仿宋" w:cs="仿宋"/>
                <w:color w:val="000000"/>
                <w:sz w:val="24"/>
              </w:rPr>
              <w:t>¥</w:t>
            </w:r>
            <w:r>
              <w:rPr>
                <w:rFonts w:hint="eastAsia" w:ascii="仿宋" w:hAnsi="仿宋" w:eastAsia="仿宋" w:cs="仿宋"/>
                <w:color w:val="000000"/>
                <w:sz w:val="24"/>
              </w:rPr>
              <w:t>:</w:t>
            </w:r>
            <w:r>
              <w:rPr>
                <w:rFonts w:hint="eastAsia" w:ascii="仿宋" w:hAnsi="仿宋" w:eastAsia="仿宋" w:cs="宋体"/>
                <w:color w:val="000000"/>
                <w:sz w:val="24"/>
              </w:rPr>
              <w:t xml:space="preserve"> 人民币</w:t>
            </w:r>
            <w:r>
              <w:rPr>
                <w:rFonts w:ascii="仿宋" w:hAnsi="仿宋" w:eastAsia="仿宋" w:cs="宋体"/>
                <w:color w:val="000000"/>
                <w:sz w:val="24"/>
              </w:rPr>
              <w:t xml:space="preserve">           </w:t>
            </w:r>
            <w:r>
              <w:rPr>
                <w:rFonts w:hint="eastAsia" w:ascii="仿宋" w:hAnsi="仿宋" w:eastAsia="仿宋" w:cs="宋体"/>
                <w:color w:val="000000"/>
                <w:sz w:val="24"/>
              </w:rPr>
              <w:t>元</w:t>
            </w:r>
          </w:p>
        </w:tc>
      </w:tr>
    </w:tbl>
    <w:p>
      <w:pP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2.合同总价</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总价为人民币</w:t>
      </w:r>
      <w:r>
        <w:rPr>
          <w:rFonts w:ascii="仿宋" w:hAnsi="仿宋" w:eastAsia="仿宋" w:cs="宋体"/>
          <w:color w:val="000000"/>
          <w:kern w:val="0"/>
          <w:sz w:val="30"/>
          <w:szCs w:val="30"/>
          <w:u w:val="single"/>
          <w:lang w:bidi="ar"/>
        </w:rPr>
        <w:t xml:space="preserve">           </w:t>
      </w:r>
      <w:r>
        <w:rPr>
          <w:rFonts w:hint="eastAsia" w:ascii="仿宋" w:hAnsi="仿宋" w:eastAsia="仿宋" w:cs="仿宋"/>
          <w:color w:val="000000"/>
          <w:sz w:val="30"/>
          <w:szCs w:val="30"/>
        </w:rPr>
        <w:t>元整(大写:</w:t>
      </w:r>
      <w:r>
        <w:rPr>
          <w:rFonts w:hint="eastAsia" w:ascii="仿宋" w:hAnsi="仿宋" w:eastAsia="仿宋" w:cs="宋体"/>
          <w:color w:val="000000"/>
          <w:sz w:val="30"/>
          <w:szCs w:val="30"/>
        </w:rPr>
        <w:t xml:space="preserve">  </w:t>
      </w:r>
      <w:r>
        <w:rPr>
          <w:rFonts w:ascii="仿宋" w:hAnsi="仿宋" w:eastAsia="仿宋" w:cs="宋体"/>
          <w:color w:val="000000"/>
          <w:sz w:val="30"/>
          <w:szCs w:val="30"/>
        </w:rPr>
        <w:t xml:space="preserve">            </w:t>
      </w:r>
      <w:r>
        <w:rPr>
          <w:rFonts w:hint="eastAsia" w:ascii="仿宋" w:hAnsi="仿宋" w:eastAsia="仿宋" w:cs="仿宋"/>
          <w:color w:val="000000"/>
          <w:sz w:val="30"/>
          <w:szCs w:val="30"/>
        </w:rPr>
        <w:t>)，该合同总金额是设备设计、设备制造、包装、仓储、运输、安装、调试、培训及验收合格之前及保修期内保修服务与备品备件等其他相关的所有含税费用。本合同执行期间甲方无须另向乙方支付合同总价之外的其他任何费用。</w:t>
      </w:r>
    </w:p>
    <w:p>
      <w:pPr>
        <w:ind w:firstLine="602" w:firstLineChars="200"/>
        <w:rPr>
          <w:rFonts w:hint="eastAsia" w:ascii="仿宋" w:hAnsi="仿宋" w:eastAsia="仿宋" w:cs="仿宋"/>
          <w:b/>
          <w:bCs/>
          <w:color w:val="FF0000"/>
          <w:sz w:val="30"/>
          <w:szCs w:val="30"/>
        </w:rPr>
      </w:pPr>
      <w:r>
        <w:rPr>
          <w:rFonts w:hint="eastAsia" w:ascii="仿宋" w:hAnsi="仿宋" w:eastAsia="仿宋" w:cs="仿宋"/>
          <w:b/>
          <w:bCs/>
          <w:color w:val="FF0000"/>
          <w:sz w:val="30"/>
          <w:szCs w:val="30"/>
        </w:rPr>
        <w:t>3.付款办法</w:t>
      </w:r>
    </w:p>
    <w:p>
      <w:p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3.1、签订合同前，乙方以保函或银行转账的方式向甲方提供合同总价5%的履约保证金。签订合同后且到货初步验收（初步验收仅是产品的数量、外观、规格等参数进行验收）完毕后 ，甲方向乙方支付合同总价30%（¥：   .00 ）的款项。产品使用且经最终验收合格后 ，甲方向乙方支付合同总价</w:t>
      </w:r>
      <w:r>
        <w:rPr>
          <w:rFonts w:ascii="仿宋" w:hAnsi="仿宋" w:eastAsia="仿宋" w:cs="仿宋"/>
          <w:sz w:val="28"/>
          <w:szCs w:val="28"/>
        </w:rPr>
        <w:t>70</w:t>
      </w:r>
      <w:r>
        <w:rPr>
          <w:rFonts w:hint="eastAsia" w:ascii="仿宋" w:hAnsi="仿宋" w:eastAsia="仿宋" w:cs="仿宋"/>
          <w:sz w:val="28"/>
          <w:szCs w:val="28"/>
        </w:rPr>
        <w:t>%（¥：   .00  ）的款项。</w:t>
      </w:r>
    </w:p>
    <w:p>
      <w:pPr>
        <w:pStyle w:val="11"/>
        <w:ind w:left="0" w:leftChars="0" w:firstLine="219" w:firstLineChars="78"/>
        <w:rPr>
          <w:rFonts w:hint="eastAsia"/>
        </w:rPr>
      </w:pPr>
      <w:r>
        <w:rPr>
          <w:rFonts w:hint="eastAsia" w:ascii="仿宋" w:hAnsi="仿宋" w:eastAsia="仿宋" w:cs="仿宋"/>
          <w:b/>
          <w:bCs/>
          <w:sz w:val="28"/>
          <w:szCs w:val="28"/>
        </w:rPr>
        <w:t>履约保证金的退还方式：</w:t>
      </w:r>
      <w:r>
        <w:rPr>
          <w:rFonts w:hint="eastAsia" w:ascii="仿宋" w:hAnsi="仿宋" w:eastAsia="仿宋" w:cs="仿宋"/>
          <w:sz w:val="28"/>
          <w:szCs w:val="28"/>
          <w:u w:val="single"/>
        </w:rPr>
        <w:t>该履约保证金在完成最终验收合格后10日内无息返还（采用保函形式的，在验收合格后退还保函原件）。但，在甲方完成最终验收合格之前，乙方未履行本合同项下约定的责任和义务所需承担的违约金、赔偿金及其他费用，甲方有权直接从该履约保证金中扣除，当该履约保证金不足以扣除的，甲方有权从任何一笔需向乙方支付的货款中扣除；当该履约保证金有剩余的，则由甲方退还剩余的履约保证金。</w:t>
      </w:r>
    </w:p>
    <w:p>
      <w:pPr>
        <w:ind w:firstLine="600" w:firstLineChars="200"/>
        <w:rPr>
          <w:rFonts w:hint="eastAsia" w:ascii="仿宋" w:hAnsi="仿宋" w:eastAsia="仿宋" w:cs="仿宋"/>
          <w:color w:val="000000"/>
          <w:sz w:val="30"/>
          <w:szCs w:val="30"/>
          <w:u w:val="single"/>
        </w:rPr>
      </w:pPr>
      <w:r>
        <w:rPr>
          <w:rFonts w:hint="eastAsia" w:ascii="仿宋" w:hAnsi="仿宋" w:eastAsia="仿宋" w:cs="仿宋"/>
          <w:color w:val="000000"/>
          <w:sz w:val="30"/>
          <w:szCs w:val="30"/>
        </w:rPr>
        <w:t>3.3其他付款方式：</w:t>
      </w:r>
      <w:r>
        <w:rPr>
          <w:rFonts w:hint="eastAsia" w:ascii="仿宋" w:hAnsi="仿宋" w:eastAsia="仿宋" w:cs="仿宋"/>
          <w:color w:val="000000"/>
          <w:sz w:val="30"/>
          <w:szCs w:val="30"/>
          <w:u w:val="single"/>
        </w:rPr>
        <w:t xml:space="preserve">          /                。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3.4 乙方凭以下资料请款：</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(1)合同;</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(2)验收审批表;</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(3)乙方开具的正式发票。 </w:t>
      </w:r>
    </w:p>
    <w:p>
      <w:pPr>
        <w:ind w:firstLine="600" w:firstLineChars="200"/>
        <w:rPr>
          <w:rFonts w:hint="eastAsia" w:ascii="仿宋" w:hAnsi="仿宋" w:eastAsia="仿宋" w:cs="仿宋"/>
          <w:color w:val="000000"/>
          <w:sz w:val="30"/>
          <w:szCs w:val="30"/>
          <w:u w:val="single"/>
        </w:rPr>
      </w:pPr>
      <w:r>
        <w:rPr>
          <w:rFonts w:hint="eastAsia" w:ascii="仿宋" w:hAnsi="仿宋" w:eastAsia="仿宋" w:cs="仿宋"/>
          <w:color w:val="000000"/>
          <w:sz w:val="30"/>
          <w:szCs w:val="30"/>
        </w:rPr>
        <w:t>(4)其他</w:t>
      </w:r>
      <w:r>
        <w:rPr>
          <w:rFonts w:hint="eastAsia" w:ascii="仿宋" w:hAnsi="仿宋" w:eastAsia="仿宋" w:cs="仿宋"/>
          <w:color w:val="000000"/>
          <w:sz w:val="30"/>
          <w:szCs w:val="30"/>
          <w:u w:val="single"/>
        </w:rPr>
        <w:t xml:space="preserve">   /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3.5 乙方开户行及帐号以合同规定为准，以下为乙方的指定收款账户信息：</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乙方：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开户银行：</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银行账号：</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若乙方的指定收款账户信息有变更的，乙方须提前15天以书面形式通知甲方，若因银行过错或乙方未及时书面通知甲方或乙方提供的账号及开户行有误导致合同款项无法进账、支取、承兑、支取迟延，责任由乙方自行承担。</w:t>
      </w:r>
    </w:p>
    <w:p>
      <w:pPr>
        <w:ind w:firstLine="600" w:firstLineChars="200"/>
        <w:rPr>
          <w:rFonts w:hint="eastAsia" w:ascii="仿宋" w:hAnsi="仿宋" w:eastAsia="仿宋" w:cs="微软雅黑"/>
          <w:color w:val="000000"/>
          <w:kern w:val="0"/>
          <w:sz w:val="30"/>
          <w:szCs w:val="30"/>
        </w:rPr>
      </w:pPr>
      <w:r>
        <w:rPr>
          <w:rFonts w:hint="eastAsia" w:ascii="仿宋" w:hAnsi="仿宋" w:eastAsia="仿宋" w:cs="仿宋"/>
          <w:color w:val="000000"/>
          <w:sz w:val="30"/>
          <w:szCs w:val="30"/>
        </w:rPr>
        <w:t>3</w:t>
      </w:r>
      <w:r>
        <w:rPr>
          <w:rFonts w:ascii="仿宋" w:hAnsi="仿宋" w:eastAsia="仿宋" w:cs="仿宋"/>
          <w:color w:val="000000"/>
          <w:sz w:val="30"/>
          <w:szCs w:val="30"/>
        </w:rPr>
        <w:t>.</w:t>
      </w:r>
      <w:r>
        <w:rPr>
          <w:rFonts w:hint="eastAsia" w:ascii="仿宋" w:hAnsi="仿宋" w:eastAsia="仿宋" w:cs="仿宋"/>
          <w:color w:val="000000"/>
          <w:sz w:val="30"/>
          <w:szCs w:val="30"/>
        </w:rPr>
        <w:t>6</w:t>
      </w:r>
      <w:r>
        <w:rPr>
          <w:rFonts w:hint="eastAsia" w:ascii="仿宋" w:hAnsi="仿宋" w:eastAsia="仿宋" w:cs="仿宋"/>
          <w:b/>
          <w:bCs/>
          <w:color w:val="000000"/>
          <w:sz w:val="30"/>
          <w:szCs w:val="30"/>
          <w:u w:val="single"/>
        </w:rPr>
        <w:t>甲方支付款项前，乙方应为甲方开具等额的税务发票，因乙方在甲方付款前未足额开具当期应付款项对应的增值税专用发票的，甲方有权拒付该期应付款项。 本条与其他条款约定不一致的，以本条之约定为准。</w:t>
      </w:r>
      <w:r>
        <w:rPr>
          <w:rFonts w:hint="eastAsia" w:ascii="仿宋" w:hAnsi="仿宋" w:eastAsia="仿宋" w:cs="仿宋"/>
          <w:color w:val="000000"/>
          <w:sz w:val="30"/>
          <w:szCs w:val="30"/>
        </w:rPr>
        <w:t xml:space="preserve"> </w:t>
      </w:r>
      <w:r>
        <w:rPr>
          <w:rFonts w:hint="eastAsia" w:ascii="仿宋" w:hAnsi="仿宋" w:eastAsia="仿宋" w:cs="微软雅黑"/>
          <w:color w:val="000000"/>
          <w:kern w:val="0"/>
          <w:sz w:val="30"/>
          <w:szCs w:val="30"/>
        </w:rPr>
        <w:t xml:space="preserve"> </w:t>
      </w:r>
    </w:p>
    <w:p>
      <w:pP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4.合同组成</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所有附件及本项目的招投标文件、会议纪要、协议、澄清等均为本合同不可分割的一部分。</w:t>
      </w:r>
    </w:p>
    <w:p>
      <w:pP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5.技术要求</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乙方所提供设备（含零部件、配件等）必须为全新的未曾使用过的，表面无划伤、无碰撞痕迹，必须符合国家有关规范和环保要求及质量要求和技术要求，并提供设备的检测报告及报关单等相关资料。乙方所提供设备（含零部件、配件等）权属清楚，不得侵害他人的知识产权,产生纠纷的，责任由乙方自行承担，如因此给甲方造成损害的，甲方可向乙方进行追偿，追偿费用包括但不限于甲方实际垫付的费用、律师费、交通费等费用。</w:t>
      </w:r>
    </w:p>
    <w:p>
      <w:pP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6.合同设备包装、交货、安装及验收</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6.1</w:t>
      </w:r>
      <w:r>
        <w:rPr>
          <w:rFonts w:hint="eastAsia" w:ascii="宋体" w:hAnsi="宋体" w:eastAsia="宋体" w:cs="宋体"/>
          <w:color w:val="000000"/>
          <w:sz w:val="30"/>
          <w:szCs w:val="30"/>
        </w:rPr>
        <w:t> </w:t>
      </w:r>
      <w:r>
        <w:rPr>
          <w:rFonts w:hint="eastAsia" w:ascii="仿宋" w:hAnsi="仿宋" w:eastAsia="仿宋" w:cs="仿宋"/>
          <w:color w:val="000000"/>
          <w:sz w:val="30"/>
          <w:szCs w:val="30"/>
        </w:rPr>
        <w:t>合同设备的包装</w:t>
      </w:r>
    </w:p>
    <w:p>
      <w:pPr>
        <w:rPr>
          <w:rFonts w:hint="eastAsia" w:ascii="仿宋" w:hAnsi="仿宋" w:eastAsia="仿宋" w:cs="仿宋"/>
          <w:color w:val="000000"/>
          <w:sz w:val="30"/>
          <w:szCs w:val="30"/>
        </w:rPr>
      </w:pPr>
      <w:r>
        <w:rPr>
          <w:rFonts w:hint="eastAsia" w:ascii="仿宋" w:hAnsi="仿宋" w:eastAsia="仿宋" w:cs="仿宋"/>
          <w:color w:val="000000"/>
          <w:sz w:val="30"/>
          <w:szCs w:val="30"/>
        </w:rPr>
        <w:t>设备的包装均应有良好的防湿、防锈、防潮、防雨、防腐及防碰撞的措施。凡由于包装不良造成损失和由此产生的费用（包括但不限于运输费、卸车费、安装费等费用）均由乙方承担。</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6.2合同设备的交货</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6.2.1乙方交货时间:签订合同生效之日起</w:t>
      </w:r>
      <w:r>
        <w:rPr>
          <w:rFonts w:ascii="仿宋" w:hAnsi="仿宋" w:eastAsia="仿宋" w:cs="仿宋"/>
          <w:color w:val="000000"/>
          <w:sz w:val="30"/>
          <w:szCs w:val="30"/>
          <w:u w:val="single"/>
        </w:rPr>
        <w:t xml:space="preserve">    </w:t>
      </w:r>
      <w:r>
        <w:rPr>
          <w:rFonts w:ascii="仿宋" w:hAnsi="仿宋" w:eastAsia="仿宋" w:cs="仿宋"/>
          <w:color w:val="000000"/>
          <w:sz w:val="30"/>
          <w:szCs w:val="30"/>
        </w:rPr>
        <w:t>天内完成交货及安装</w:t>
      </w:r>
      <w:r>
        <w:rPr>
          <w:rFonts w:hint="eastAsia" w:ascii="仿宋" w:hAnsi="仿宋" w:eastAsia="仿宋" w:cs="仿宋"/>
          <w:color w:val="000000"/>
          <w:sz w:val="30"/>
          <w:szCs w:val="30"/>
        </w:rPr>
        <w:t xml:space="preserve">。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6.2.2乙方交货地点:运输及卸车至甲方指定地点。</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6.3合同设备的安装</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6.3.1乙方负责合同项下的安装，一切费用由乙方负责。</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6.3.2乙方安装时须对各安装场地内的其他设备、设施有良好保护措施。</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6.3.3合同设备的电源插头符合使用科室现有的插座，如不符合需要，乙方需要免费提供相应的插头转换接口。甲方只提供电源到机房总配电箱。机房的天花（含龙骨）、地面机座插座、底座、电线、电缆、线管（槽）及配电分箱等相关费用，由乙方承担。安装现场所涉及到的总承包管理配合费、配套服务费由乙方承担。</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6.4设备的验收</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6.4.1合同设备、系统安装完成后达到预定可使用状态，进入</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个月试用期，试用期间发生重大质量问题，根据甲方要求更换全新同一品牌型号设备、系统或进行修复，更换或修复后试用期相应顺延，试用期结束后</w:t>
      </w:r>
      <w:r>
        <w:rPr>
          <w:rFonts w:hint="eastAsia" w:ascii="仿宋" w:hAnsi="仿宋" w:eastAsia="仿宋" w:cs="仿宋"/>
          <w:color w:val="000000"/>
          <w:sz w:val="30"/>
          <w:szCs w:val="30"/>
          <w:u w:val="single"/>
        </w:rPr>
        <w:t xml:space="preserve">  15日内</w:t>
      </w:r>
      <w:r>
        <w:rPr>
          <w:rFonts w:hint="eastAsia" w:ascii="仿宋" w:hAnsi="仿宋" w:eastAsia="仿宋" w:cs="仿宋"/>
          <w:color w:val="000000"/>
          <w:sz w:val="30"/>
          <w:szCs w:val="30"/>
        </w:rPr>
        <w:t>完成最终验收，最终验收应在甲乙双方共同参加下进行。</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6.4.2验收按国家有关的规定、规范进行。验收时如发现所交付的设备有短装、次品、损坏或其它不符合本合同规定之情形的，甲方应做出详尽的现场记录，或由甲乙双方签署备忘录。此现场记录或备忘录可用作补充、缺失和更换损坏部件的有效证据。由此产生的有关费用由乙方承担；若无国家标准按行业标准验收，为原制造商制造的全新产品，整机无污染，无侵权行为，表面无划损，无任何缺陷隐患，在中国境内可依常规安全合法使用。验收时如发现所交付的设备有短缺、次品、损坏或其他不符合本合同规定之情形的，由此产生的有关费用由乙方承担。若乙方未及时支付该费用，因此给甲方造成损害的，甲方可向乙方进行追偿，追偿费用包括但不限于甲方实际垫付的费用、律师费、交通费等费用。</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6.4.3如果合同设备运输和安装过程中因事故造成货物短缺、损坏，乙方应在</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天内安排换装，以保证合同设备安装的成功完成。换货的相关费用由乙方承担。</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6.4.4进口产品必须具备原产地证明和</w:t>
      </w:r>
      <w:r>
        <w:rPr>
          <w:rFonts w:ascii="仿宋" w:hAnsi="仿宋" w:eastAsia="仿宋" w:cs="仿宋"/>
          <w:color w:val="000000"/>
          <w:sz w:val="30"/>
          <w:szCs w:val="30"/>
        </w:rPr>
        <w:t>国家相关部门</w:t>
      </w:r>
      <w:r>
        <w:rPr>
          <w:rFonts w:hint="eastAsia" w:ascii="仿宋" w:hAnsi="仿宋" w:eastAsia="仿宋" w:cs="仿宋"/>
          <w:color w:val="000000"/>
          <w:sz w:val="30"/>
          <w:szCs w:val="30"/>
        </w:rPr>
        <w:t>的检验证明及合法进货渠道证明(报关单、商检单、质检单）。</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6.4.5货物为原厂商未启封全新包装，具出厂合格证，序列号、包装箱号与出厂批号一致，并可追索查阅。所有随设备的附件必须齐全。</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6.4.6乙方应将关键主机设备的用户手册、保修手册、有关单证资料及配备件、随机工具等交付给甲方，使用操作及安全须知等重要资料应附有中文说明。</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6.4.7甲乙双方组成验收小组按国家有关规定、规范进行验收，必要时邀请相关的专业人员或机构参与验收。因货物质量问题发生争议时，由甲方所在地的质量技术监督部门鉴定。货物符合质量技术标准的，鉴定费由甲方承担;否则鉴定费由乙方承担。</w:t>
      </w:r>
    </w:p>
    <w:p>
      <w:pPr>
        <w:rPr>
          <w:rFonts w:ascii="仿宋" w:hAnsi="仿宋" w:eastAsia="仿宋" w:cs="仿宋"/>
          <w:color w:val="000000"/>
          <w:sz w:val="30"/>
          <w:szCs w:val="30"/>
        </w:rPr>
      </w:pPr>
      <w:r>
        <w:rPr>
          <w:rFonts w:hint="eastAsia" w:ascii="仿宋" w:hAnsi="仿宋" w:eastAsia="仿宋" w:cs="仿宋"/>
          <w:b/>
          <w:bCs/>
          <w:color w:val="000000"/>
          <w:sz w:val="30"/>
          <w:szCs w:val="30"/>
        </w:rPr>
        <w:t>7.质量保证、售后服务、培训：</w:t>
      </w:r>
      <w:r>
        <w:rPr>
          <w:rFonts w:hint="eastAsia" w:ascii="仿宋" w:hAnsi="仿宋" w:eastAsia="仿宋" w:cs="仿宋"/>
          <w:color w:val="000000"/>
          <w:sz w:val="30"/>
          <w:szCs w:val="30"/>
        </w:rPr>
        <w:t>（本条之约定与招标、投标文件要求相矛盾的，以招标、投标文件要求为准，且本条之约定与合同其他约定不一致的，以本条之约定为准)</w:t>
      </w:r>
    </w:p>
    <w:p>
      <w:pPr>
        <w:rPr>
          <w:rFonts w:ascii="仿宋" w:hAnsi="仿宋" w:eastAsia="仿宋" w:cs="仿宋"/>
          <w:color w:val="000000"/>
          <w:sz w:val="30"/>
          <w:szCs w:val="30"/>
        </w:rPr>
      </w:pPr>
    </w:p>
    <w:p>
      <w:pPr>
        <w:pStyle w:val="3"/>
        <w:ind w:firstLine="480"/>
        <w:rPr>
          <w:rFonts w:ascii="宋体" w:hAnsi="宋体"/>
          <w:b/>
          <w:color w:val="000000"/>
          <w:kern w:val="0"/>
          <w:sz w:val="24"/>
          <w:szCs w:val="20"/>
          <w:u w:val="single"/>
        </w:rPr>
      </w:pPr>
      <w:r>
        <w:rPr>
          <w:rFonts w:hint="eastAsia" w:ascii="宋体" w:hAnsi="宋体"/>
          <w:b/>
          <w:color w:val="000000"/>
          <w:kern w:val="0"/>
          <w:sz w:val="24"/>
          <w:szCs w:val="20"/>
          <w:u w:val="single"/>
        </w:rPr>
        <w:t xml:space="preserve"> </w:t>
      </w:r>
      <w:r>
        <w:rPr>
          <w:rFonts w:ascii="宋体" w:hAnsi="宋体"/>
          <w:b/>
          <w:color w:val="000000"/>
          <w:kern w:val="0"/>
          <w:sz w:val="24"/>
          <w:szCs w:val="20"/>
          <w:u w:val="single"/>
        </w:rPr>
        <w:t xml:space="preserve">     </w:t>
      </w:r>
      <w:r>
        <w:rPr>
          <w:rFonts w:ascii="宋体" w:hAnsi="宋体"/>
          <w:b/>
          <w:color w:val="FF0000"/>
          <w:kern w:val="0"/>
          <w:sz w:val="24"/>
          <w:szCs w:val="20"/>
          <w:u w:val="single"/>
        </w:rPr>
        <w:t xml:space="preserve">   </w:t>
      </w:r>
      <w:r>
        <w:rPr>
          <w:rFonts w:hint="eastAsia" w:ascii="宋体" w:hAnsi="宋体"/>
          <w:b/>
          <w:color w:val="FF0000"/>
          <w:kern w:val="0"/>
          <w:sz w:val="24"/>
          <w:szCs w:val="20"/>
          <w:u w:val="single"/>
        </w:rPr>
        <w:t>请供应商简明扼要写重点</w:t>
      </w:r>
      <w:r>
        <w:rPr>
          <w:rFonts w:ascii="宋体" w:hAnsi="宋体"/>
          <w:b/>
          <w:color w:val="FF0000"/>
          <w:kern w:val="0"/>
          <w:sz w:val="24"/>
          <w:szCs w:val="20"/>
          <w:u w:val="single"/>
        </w:rPr>
        <w:t xml:space="preserve">       </w:t>
      </w:r>
      <w:r>
        <w:rPr>
          <w:rFonts w:ascii="宋体" w:hAnsi="宋体"/>
          <w:b/>
          <w:color w:val="000000"/>
          <w:kern w:val="0"/>
          <w:sz w:val="24"/>
          <w:szCs w:val="20"/>
          <w:u w:val="single"/>
        </w:rPr>
        <w:t xml:space="preserve">                                                        </w:t>
      </w:r>
    </w:p>
    <w:p>
      <w:pPr>
        <w:pStyle w:val="4"/>
        <w:rPr>
          <w:rFonts w:hint="eastAsia"/>
          <w:color w:val="000000"/>
        </w:rPr>
      </w:pPr>
      <w:r>
        <w:rPr>
          <w:rFonts w:hint="eastAsia"/>
          <w:color w:val="000000"/>
        </w:rPr>
        <w:t xml:space="preserve"> </w:t>
      </w:r>
    </w:p>
    <w:p>
      <w:pPr>
        <w:rPr>
          <w:rFonts w:hint="eastAsia" w:ascii="仿宋" w:hAnsi="仿宋" w:eastAsia="仿宋" w:cs="仿宋"/>
          <w:b/>
          <w:bCs/>
          <w:color w:val="000000"/>
          <w:sz w:val="30"/>
          <w:szCs w:val="30"/>
        </w:rPr>
      </w:pPr>
      <w:r>
        <w:rPr>
          <w:rFonts w:hint="eastAsia" w:ascii="仿宋" w:hAnsi="仿宋" w:eastAsia="仿宋" w:cs="仿宋"/>
          <w:b/>
          <w:bCs/>
          <w:color w:val="000000"/>
          <w:sz w:val="30"/>
          <w:szCs w:val="30"/>
        </w:rPr>
        <w:t>8.质保期：</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8.1设备安装最终验收合格后，设备保修</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年，质保期内乙方对所供货物实行包修、包换、包退、包维护保养，设备质保期自设备最终验收合格之日起算。</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8.2乙方根据甲方指定地点提供免费送货，安装，测试服务。</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8.3质保期内设备发生故障，乙方在接到通知后，</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小时内维修响应，</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小时内到位检修，</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小时内处理完毕。如</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小时内未处理完毕，乙方需在设备发生故障     日内，提供相同档次设备予甲方临时使用或采取应急措施解决。</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8.4质保期内，如设备或零部件因非人为因素出现故障而造成短期停用时（</w:t>
      </w:r>
      <w:r>
        <w:rPr>
          <w:rFonts w:ascii="仿宋" w:hAnsi="仿宋" w:eastAsia="仿宋" w:cs="仿宋"/>
          <w:color w:val="000000"/>
          <w:sz w:val="30"/>
          <w:szCs w:val="30"/>
        </w:rPr>
        <w:t>“</w:t>
      </w:r>
      <w:r>
        <w:rPr>
          <w:rFonts w:hint="eastAsia" w:ascii="仿宋" w:hAnsi="仿宋" w:eastAsia="仿宋" w:cs="仿宋"/>
          <w:color w:val="000000"/>
          <w:sz w:val="30"/>
          <w:szCs w:val="30"/>
        </w:rPr>
        <w:t>短期</w:t>
      </w:r>
      <w:r>
        <w:rPr>
          <w:rFonts w:ascii="仿宋" w:hAnsi="仿宋" w:eastAsia="仿宋" w:cs="仿宋"/>
          <w:color w:val="000000"/>
          <w:sz w:val="30"/>
          <w:szCs w:val="30"/>
        </w:rPr>
        <w:t>”</w:t>
      </w:r>
      <w:r>
        <w:rPr>
          <w:rFonts w:hint="eastAsia" w:ascii="仿宋" w:hAnsi="仿宋" w:eastAsia="仿宋" w:cs="仿宋"/>
          <w:color w:val="000000"/>
          <w:sz w:val="30"/>
          <w:szCs w:val="30"/>
        </w:rPr>
        <w:t>指2日以内，不满1日的按1日计算），则质保期和免费维修期相应顺延，如停用时间累计超过60天则质保期重新计算。质保期内，如合同设备或零部件因非人为因素出现故障而造成长期停用（“长期”指</w:t>
      </w:r>
      <w:r>
        <w:rPr>
          <w:rFonts w:hint="eastAsia" w:ascii="仿宋" w:hAnsi="仿宋" w:eastAsia="仿宋" w:cs="仿宋"/>
          <w:color w:val="000000"/>
          <w:sz w:val="30"/>
          <w:szCs w:val="30"/>
          <w:u w:val="single"/>
        </w:rPr>
        <w:t xml:space="preserve">  2  </w:t>
      </w:r>
      <w:r>
        <w:rPr>
          <w:rFonts w:hint="eastAsia" w:ascii="仿宋" w:hAnsi="仿宋" w:eastAsia="仿宋" w:cs="仿宋"/>
          <w:color w:val="000000"/>
          <w:sz w:val="30"/>
          <w:szCs w:val="30"/>
        </w:rPr>
        <w:t>日以上），则乙方需按</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元/次向甲方支付违约金，累计超过3次的（含3次），甲方有权单方解除合同，如甲方选择单方解除合同的，乙方应按本合同价款总额的</w:t>
      </w:r>
      <w:r>
        <w:rPr>
          <w:rFonts w:hint="eastAsia" w:ascii="仿宋" w:hAnsi="仿宋" w:eastAsia="仿宋" w:cs="仿宋"/>
          <w:color w:val="000000"/>
          <w:sz w:val="30"/>
          <w:szCs w:val="30"/>
          <w:u w:val="single"/>
        </w:rPr>
        <w:t>30%</w:t>
      </w:r>
      <w:r>
        <w:rPr>
          <w:rFonts w:hint="eastAsia" w:ascii="仿宋" w:hAnsi="仿宋" w:eastAsia="仿宋" w:cs="仿宋"/>
          <w:color w:val="000000"/>
          <w:sz w:val="30"/>
          <w:szCs w:val="30"/>
        </w:rPr>
        <w:t>向甲方支付违约金，并返还甲方已支付的全部款项。</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8.5质保期内所有因货物质量问题而产生的费用（包括但不限于维护过程中更换配件的费用）均由乙方负责。</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8.6提供终身维修服务，设备终生免费维护</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rPr>
        <w:t>月/次，并了解使用情况，听取反馈意见。质保期满后，维护不收取费用，如需更换配件只收取配件费用，且配件价格需低于市场价。</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8.7设备安装测试完毕，由乙方工程师免费对甲方人员做操作使用及维护的培训服务。</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8.8乙方工程师对甲方设备科维修人员做维修技术培训，使维修人员掌握常见故障排除。</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8.9乙方设有专业售后服务机构。</w:t>
      </w:r>
    </w:p>
    <w:p>
      <w:pPr>
        <w:ind w:firstLine="602" w:firstLineChars="200"/>
        <w:rPr>
          <w:rFonts w:hint="eastAsia" w:ascii="仿宋" w:hAnsi="仿宋" w:eastAsia="仿宋" w:cs="仿宋"/>
          <w:color w:val="000000"/>
          <w:sz w:val="30"/>
          <w:szCs w:val="30"/>
        </w:rPr>
      </w:pPr>
      <w:r>
        <w:rPr>
          <w:rFonts w:hint="eastAsia" w:ascii="仿宋" w:hAnsi="仿宋" w:eastAsia="仿宋" w:cs="仿宋"/>
          <w:b/>
          <w:bCs/>
          <w:color w:val="000000"/>
          <w:sz w:val="30"/>
          <w:szCs w:val="30"/>
        </w:rPr>
        <w:t>9.不可抗力</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9.1不可抗力指战争、严重火灾、洪水、台风、地震等或其他双方认定的不可抗力事件。</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9.2签约双方中任何一方由于不可抗力影响合同执行时，发生不可抗力一方应尽快将事故通知另一方。 在此情况下，乙方仍然有责任采取必要的措施加速供货，双方应通过友好协商尽快解决本合同的执行问题。</w:t>
      </w:r>
    </w:p>
    <w:p>
      <w:pPr>
        <w:ind w:firstLine="602"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10. 索赔</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10.1乙方提供的设备有质量问时，甲方有权根据有关政府部门的检验结果向乙方提出索赔。</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ascii="仿宋" w:hAnsi="仿宋" w:eastAsia="仿宋" w:cs="仿宋"/>
          <w:color w:val="000000"/>
          <w:sz w:val="30"/>
          <w:szCs w:val="30"/>
        </w:rPr>
        <w:t xml:space="preserve">0.2 </w:t>
      </w:r>
      <w:r>
        <w:rPr>
          <w:rFonts w:hint="eastAsia" w:ascii="仿宋" w:hAnsi="仿宋" w:eastAsia="仿宋" w:cs="仿宋"/>
          <w:color w:val="000000"/>
          <w:sz w:val="30"/>
          <w:szCs w:val="30"/>
        </w:rPr>
        <w:t>乙方提供的设备经甲方所在地的质量检测机构确认有质量问题的，乙方应按照甲方同意的下列一种或多种方式解决索赔事宜:</w:t>
      </w:r>
      <w:r>
        <w:rPr>
          <w:rFonts w:ascii="仿宋" w:hAnsi="仿宋" w:eastAsia="仿宋" w:cs="仿宋"/>
          <w:color w:val="000000"/>
          <w:sz w:val="30"/>
          <w:szCs w:val="30"/>
        </w:rPr>
        <w:t xml:space="preserve">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(1)乙方同意退货，并按合同规定的同种货币将货款退还给甲方，并承担由此发生的一切损失和费用。</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(2)根据货物低劣程度、损坏程度以及甲方所遭受损失的数额，甲乙双方商定降低货物的价格。（如损害程度、损失数额无法确定的，由甲乙双方共同委托鉴定机构进行评估，鉴定费用乙方承担。）</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(3)用符合规格、质量和性能要求的新零件、部件或货物来更换有残缺部分或修补残缺的部分，乙方应承担一切费用和风险并负担甲方所发生的一切费用。同时，相应延长质量保证期。</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10.3如果在甲方发出索赔通知后30天内，乙方未作答复，上述索赔应视为已被乙方接受。甲方将从合同款项中扣回索赔金额。如果这些金额不足以补偿索赔金额，甲方有权向乙方提出不足部分的补偿。</w:t>
      </w:r>
    </w:p>
    <w:p>
      <w:pPr>
        <w:ind w:firstLine="602" w:firstLineChars="200"/>
        <w:rPr>
          <w:rFonts w:hint="eastAsia" w:ascii="仿宋" w:hAnsi="仿宋" w:eastAsia="仿宋" w:cs="仿宋"/>
          <w:b/>
          <w:bCs/>
          <w:color w:val="000000"/>
          <w:sz w:val="30"/>
          <w:szCs w:val="30"/>
          <w:u w:val="single"/>
        </w:rPr>
      </w:pPr>
      <w:r>
        <w:rPr>
          <w:rFonts w:hint="eastAsia" w:ascii="仿宋" w:hAnsi="仿宋" w:eastAsia="仿宋" w:cs="仿宋"/>
          <w:b/>
          <w:bCs/>
          <w:color w:val="000000"/>
          <w:sz w:val="30"/>
          <w:szCs w:val="30"/>
        </w:rPr>
        <w:t>11.违约与处罚</w:t>
      </w:r>
      <w:r>
        <w:rPr>
          <w:rFonts w:hint="eastAsia" w:ascii="仿宋" w:hAnsi="仿宋" w:eastAsia="仿宋" w:cs="仿宋"/>
          <w:b/>
          <w:bCs/>
          <w:color w:val="000000"/>
          <w:sz w:val="30"/>
          <w:szCs w:val="30"/>
          <w:u w:val="single"/>
        </w:rPr>
        <w:t>（本条之效力高于“10.索赔”之约定）</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11.1甲方应依合同规定时间内，向乙方支付货款，每拖延1天乙方可向甲方加收未付货款金额</w:t>
      </w:r>
      <w:r>
        <w:rPr>
          <w:rFonts w:hint="eastAsia" w:ascii="仿宋" w:hAnsi="仿宋" w:eastAsia="仿宋" w:cs="仿宋"/>
          <w:color w:val="000000"/>
          <w:sz w:val="30"/>
          <w:szCs w:val="30"/>
          <w:u w:val="single"/>
        </w:rPr>
        <w:t>1 ‰</w:t>
      </w:r>
      <w:r>
        <w:rPr>
          <w:rFonts w:hint="eastAsia" w:ascii="仿宋" w:hAnsi="仿宋" w:eastAsia="仿宋" w:cs="仿宋"/>
          <w:color w:val="000000"/>
          <w:sz w:val="30"/>
          <w:szCs w:val="30"/>
        </w:rPr>
        <w:t>的违约金，最多不超过未付货款金额</w:t>
      </w:r>
      <w:r>
        <w:rPr>
          <w:rFonts w:hint="eastAsia" w:ascii="仿宋" w:hAnsi="仿宋" w:eastAsia="仿宋" w:cs="仿宋"/>
          <w:color w:val="000000"/>
          <w:sz w:val="30"/>
          <w:szCs w:val="30"/>
          <w:u w:val="single"/>
        </w:rPr>
        <w:t>10%。</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11.2乙方未能按时交货，每拖延1天，应按本合同总金额的</w:t>
      </w:r>
      <w:r>
        <w:rPr>
          <w:rFonts w:hint="eastAsia" w:ascii="仿宋" w:hAnsi="仿宋" w:eastAsia="仿宋" w:cs="仿宋"/>
          <w:color w:val="000000"/>
          <w:sz w:val="30"/>
          <w:szCs w:val="30"/>
          <w:u w:val="single"/>
        </w:rPr>
        <w:t>1 ‰</w:t>
      </w:r>
      <w:r>
        <w:rPr>
          <w:rFonts w:hint="eastAsia" w:ascii="仿宋" w:hAnsi="仿宋" w:eastAsia="仿宋" w:cs="仿宋"/>
          <w:color w:val="000000"/>
          <w:sz w:val="30"/>
          <w:szCs w:val="30"/>
        </w:rPr>
        <w:t>向甲方支付违约金，乙方逾期交付货物超过10日时甲方有权单方解除合同，乙方还应按本合同总金额的</w:t>
      </w:r>
      <w:r>
        <w:rPr>
          <w:rFonts w:hint="eastAsia" w:ascii="仿宋" w:hAnsi="仿宋" w:eastAsia="仿宋" w:cs="仿宋"/>
          <w:color w:val="000000"/>
          <w:sz w:val="30"/>
          <w:szCs w:val="30"/>
          <w:u w:val="single"/>
        </w:rPr>
        <w:t>30%</w:t>
      </w:r>
      <w:r>
        <w:rPr>
          <w:rFonts w:hint="eastAsia" w:ascii="仿宋" w:hAnsi="仿宋" w:eastAsia="仿宋" w:cs="仿宋"/>
          <w:color w:val="000000"/>
          <w:sz w:val="30"/>
          <w:szCs w:val="30"/>
        </w:rPr>
        <w:t>向甲方支付违约金。</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11.3乙方交付的货物的型号、规格、质量不符合合同约定的，甲方有权拒收，并有权单方解除合同；如甲方要求乙方更换产品并继续履行合同的，乙方应按本合同价款总额的</w:t>
      </w:r>
      <w:r>
        <w:rPr>
          <w:rFonts w:hint="eastAsia" w:ascii="仿宋" w:hAnsi="仿宋" w:eastAsia="仿宋" w:cs="仿宋"/>
          <w:color w:val="000000"/>
          <w:sz w:val="30"/>
          <w:szCs w:val="30"/>
          <w:u w:val="single"/>
        </w:rPr>
        <w:t>10%</w:t>
      </w:r>
      <w:r>
        <w:rPr>
          <w:rFonts w:hint="eastAsia" w:ascii="仿宋" w:hAnsi="仿宋" w:eastAsia="仿宋" w:cs="仿宋"/>
          <w:color w:val="000000"/>
          <w:sz w:val="30"/>
          <w:szCs w:val="30"/>
        </w:rPr>
        <w:t>向甲方支付违约金；如甲方选择单方解除合同的，乙方应按本合同价款总额的</w:t>
      </w:r>
      <w:r>
        <w:rPr>
          <w:rFonts w:hint="eastAsia" w:ascii="仿宋" w:hAnsi="仿宋" w:eastAsia="仿宋" w:cs="仿宋"/>
          <w:color w:val="000000"/>
          <w:sz w:val="30"/>
          <w:szCs w:val="30"/>
          <w:u w:val="single"/>
        </w:rPr>
        <w:t>30%</w:t>
      </w:r>
      <w:r>
        <w:rPr>
          <w:rFonts w:hint="eastAsia" w:ascii="仿宋" w:hAnsi="仿宋" w:eastAsia="仿宋" w:cs="仿宋"/>
          <w:color w:val="000000"/>
          <w:sz w:val="30"/>
          <w:szCs w:val="30"/>
        </w:rPr>
        <w:t>向甲方支付违约金，并返还甲方已支付的全部款项。</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11.4甲方无正当理由拒收货物的，甲方向乙方支付该批货物对应金额</w:t>
      </w:r>
      <w:r>
        <w:rPr>
          <w:rFonts w:hint="eastAsia" w:ascii="仿宋" w:hAnsi="仿宋" w:eastAsia="仿宋" w:cs="仿宋"/>
          <w:color w:val="000000"/>
          <w:sz w:val="30"/>
          <w:szCs w:val="30"/>
          <w:u w:val="single"/>
        </w:rPr>
        <w:t xml:space="preserve"> 5 </w:t>
      </w:r>
      <w:r>
        <w:rPr>
          <w:rFonts w:hint="eastAsia" w:ascii="仿宋" w:hAnsi="仿宋" w:eastAsia="仿宋" w:cs="仿宋"/>
          <w:color w:val="000000"/>
          <w:sz w:val="30"/>
          <w:szCs w:val="30"/>
        </w:rPr>
        <w:t>%的违约金。</w:t>
      </w:r>
    </w:p>
    <w:p>
      <w:pPr>
        <w:pStyle w:val="3"/>
        <w:ind w:firstLine="600"/>
        <w:rPr>
          <w:rFonts w:hint="eastAsia" w:ascii="仿宋" w:hAnsi="仿宋" w:eastAsia="仿宋" w:cs="仿宋"/>
          <w:color w:val="000000"/>
          <w:sz w:val="30"/>
          <w:szCs w:val="30"/>
        </w:rPr>
      </w:pPr>
      <w:r>
        <w:rPr>
          <w:rFonts w:hint="eastAsia" w:ascii="仿宋" w:hAnsi="仿宋" w:eastAsia="仿宋" w:cs="仿宋"/>
          <w:color w:val="000000"/>
          <w:sz w:val="30"/>
          <w:szCs w:val="30"/>
        </w:rPr>
        <w:t>11.5因乙方的产品质量问题给甲方或第三人造成人身、财产损害的，乙方应承担损害赔偿责任，</w:t>
      </w:r>
      <w:r>
        <w:rPr>
          <w:rFonts w:hint="eastAsia" w:ascii="仿宋" w:hAnsi="仿宋" w:eastAsia="仿宋" w:cs="仿宋"/>
          <w:color w:val="000000"/>
          <w:sz w:val="30"/>
          <w:szCs w:val="30"/>
          <w:u w:val="single"/>
        </w:rPr>
        <w:t>如因此给甲方造成损害的，甲方可向乙方进行追偿，追偿费用包括但不限于甲方实际垫付的费用、律师费、交通费等费用。</w:t>
      </w:r>
    </w:p>
    <w:p>
      <w:pPr>
        <w:pStyle w:val="3"/>
        <w:ind w:firstLine="600"/>
        <w:rPr>
          <w:rFonts w:ascii="仿宋" w:hAnsi="仿宋" w:eastAsia="仿宋" w:cs="仿宋"/>
          <w:color w:val="000000"/>
          <w:sz w:val="30"/>
          <w:szCs w:val="30"/>
        </w:rPr>
      </w:pPr>
      <w:r>
        <w:rPr>
          <w:rFonts w:hint="eastAsia" w:ascii="仿宋" w:hAnsi="仿宋" w:eastAsia="仿宋" w:cs="仿宋"/>
          <w:color w:val="000000"/>
          <w:sz w:val="30"/>
          <w:szCs w:val="30"/>
        </w:rPr>
        <w:t>11.6如因乙方或设备生产商的原因导致设备未按投标文件以及本合同约定的日期、时间进行保修、售后、维修、换装，或者保修、维修未达到合同约定标准的，或者未按本合同的约定对甲方维修技术人员、工程师进行培训的，甲方有权委托他人维修，所有费用由乙方承担。且每违约一次，乙方应按本合同价款总额的</w:t>
      </w:r>
      <w:r>
        <w:rPr>
          <w:rFonts w:hint="eastAsia" w:ascii="仿宋" w:hAnsi="仿宋" w:eastAsia="仿宋" w:cs="仿宋"/>
          <w:color w:val="000000"/>
          <w:sz w:val="30"/>
          <w:szCs w:val="30"/>
          <w:u w:val="single"/>
        </w:rPr>
        <w:t>1%</w:t>
      </w:r>
      <w:r>
        <w:rPr>
          <w:rFonts w:hint="eastAsia" w:ascii="仿宋" w:hAnsi="仿宋" w:eastAsia="仿宋" w:cs="仿宋"/>
          <w:color w:val="000000"/>
          <w:sz w:val="30"/>
          <w:szCs w:val="30"/>
        </w:rPr>
        <w:t>向甲方支付违约金，超过累计三次的（含三次），甲方有权单方解除合同，乙方应按本合同价款总额的</w:t>
      </w:r>
      <w:r>
        <w:rPr>
          <w:rFonts w:hint="eastAsia" w:ascii="仿宋" w:hAnsi="仿宋" w:eastAsia="仿宋" w:cs="仿宋"/>
          <w:color w:val="000000"/>
          <w:sz w:val="30"/>
          <w:szCs w:val="30"/>
          <w:u w:val="single"/>
        </w:rPr>
        <w:t>30%</w:t>
      </w:r>
      <w:r>
        <w:rPr>
          <w:rFonts w:hint="eastAsia" w:ascii="仿宋" w:hAnsi="仿宋" w:eastAsia="仿宋" w:cs="仿宋"/>
          <w:color w:val="000000"/>
          <w:sz w:val="30"/>
          <w:szCs w:val="30"/>
        </w:rPr>
        <w:t>向甲方支付违约金，并返还甲方已支付的全部款项。</w:t>
      </w:r>
    </w:p>
    <w:p>
      <w:pPr>
        <w:pStyle w:val="4"/>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w:t>
      </w:r>
      <w:r>
        <w:rPr>
          <w:rFonts w:ascii="仿宋" w:hAnsi="仿宋" w:eastAsia="仿宋" w:cs="仿宋"/>
          <w:color w:val="000000"/>
          <w:sz w:val="30"/>
          <w:szCs w:val="30"/>
        </w:rPr>
        <w:t>1.7乙方所提供设备</w:t>
      </w:r>
      <w:r>
        <w:rPr>
          <w:rFonts w:hint="eastAsia" w:ascii="仿宋" w:hAnsi="仿宋" w:eastAsia="仿宋" w:cs="仿宋"/>
          <w:color w:val="000000"/>
          <w:sz w:val="30"/>
          <w:szCs w:val="30"/>
        </w:rPr>
        <w:t>（含零部件、配件等）权属清楚，不得侵害他人的知识产权，产生纠纷的，责任由乙方自行承担，如因此给甲方造成损害的，甲方可向乙方进行追偿，追偿费用包括但不限于甲方实际垫付的费用、律师费、交通费等费用。</w:t>
      </w:r>
    </w:p>
    <w:p>
      <w:pPr>
        <w:rPr>
          <w:rFonts w:hint="eastAsia" w:ascii="仿宋" w:hAnsi="仿宋" w:eastAsia="仿宋" w:cs="仿宋"/>
          <w:color w:val="000000"/>
          <w:sz w:val="30"/>
          <w:szCs w:val="30"/>
        </w:rPr>
      </w:pPr>
      <w:r>
        <w:rPr>
          <w:rFonts w:hint="eastAsia"/>
          <w:color w:val="000000"/>
        </w:rPr>
        <w:t xml:space="preserve"> </w:t>
      </w:r>
      <w:r>
        <w:rPr>
          <w:color w:val="000000"/>
        </w:rPr>
        <w:t xml:space="preserve">     </w:t>
      </w:r>
      <w:r>
        <w:rPr>
          <w:rFonts w:ascii="仿宋" w:hAnsi="仿宋" w:eastAsia="仿宋" w:cs="仿宋"/>
          <w:color w:val="000000"/>
          <w:sz w:val="30"/>
          <w:szCs w:val="30"/>
        </w:rPr>
        <w:t>11.8 乙方违反本合同项下的其他约定</w:t>
      </w:r>
      <w:r>
        <w:rPr>
          <w:rFonts w:hint="eastAsia" w:ascii="仿宋" w:hAnsi="仿宋" w:eastAsia="仿宋" w:cs="仿宋"/>
          <w:color w:val="000000"/>
          <w:sz w:val="30"/>
          <w:szCs w:val="30"/>
        </w:rPr>
        <w:t>，</w:t>
      </w:r>
      <w:r>
        <w:rPr>
          <w:rFonts w:ascii="仿宋" w:hAnsi="仿宋" w:eastAsia="仿宋" w:cs="仿宋"/>
          <w:color w:val="000000"/>
          <w:sz w:val="30"/>
          <w:szCs w:val="30"/>
        </w:rPr>
        <w:t>应向甲方支付合同总价</w:t>
      </w:r>
      <w:r>
        <w:rPr>
          <w:rFonts w:hint="eastAsia" w:ascii="仿宋" w:hAnsi="仿宋" w:eastAsia="仿宋" w:cs="仿宋"/>
          <w:color w:val="000000"/>
          <w:sz w:val="30"/>
          <w:szCs w:val="30"/>
        </w:rPr>
        <w:t>1</w:t>
      </w:r>
      <w:r>
        <w:rPr>
          <w:rFonts w:ascii="仿宋" w:hAnsi="仿宋" w:eastAsia="仿宋" w:cs="仿宋"/>
          <w:color w:val="000000"/>
          <w:sz w:val="30"/>
          <w:szCs w:val="30"/>
        </w:rPr>
        <w:t>0</w:t>
      </w:r>
      <w:r>
        <w:rPr>
          <w:rFonts w:hint="eastAsia" w:ascii="仿宋" w:hAnsi="仿宋" w:eastAsia="仿宋" w:cs="仿宋"/>
          <w:color w:val="000000"/>
          <w:sz w:val="30"/>
          <w:szCs w:val="30"/>
        </w:rPr>
        <w:t>%</w:t>
      </w:r>
      <w:r>
        <w:rPr>
          <w:rFonts w:ascii="仿宋" w:hAnsi="仿宋" w:eastAsia="仿宋" w:cs="仿宋"/>
          <w:color w:val="000000"/>
          <w:sz w:val="30"/>
          <w:szCs w:val="30"/>
        </w:rPr>
        <w:t>的违约金</w:t>
      </w:r>
      <w:r>
        <w:rPr>
          <w:rFonts w:hint="eastAsia" w:ascii="仿宋" w:hAnsi="仿宋" w:eastAsia="仿宋" w:cs="仿宋"/>
          <w:color w:val="000000"/>
          <w:sz w:val="30"/>
          <w:szCs w:val="30"/>
        </w:rPr>
        <w:t>（该违约金不以甲方的实际损失为限）。</w:t>
      </w:r>
    </w:p>
    <w:p>
      <w:pPr>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w:t>
      </w:r>
      <w:r>
        <w:rPr>
          <w:rFonts w:ascii="仿宋" w:hAnsi="仿宋" w:eastAsia="仿宋" w:cs="仿宋"/>
          <w:color w:val="000000"/>
          <w:sz w:val="30"/>
          <w:szCs w:val="30"/>
        </w:rPr>
        <w:t>1.9 上述乙方应承担的违约金不足以弥补甲方的实际经济损失的</w:t>
      </w:r>
      <w:r>
        <w:rPr>
          <w:rFonts w:hint="eastAsia" w:ascii="仿宋" w:hAnsi="仿宋" w:eastAsia="仿宋" w:cs="仿宋"/>
          <w:color w:val="000000"/>
          <w:sz w:val="30"/>
          <w:szCs w:val="30"/>
        </w:rPr>
        <w:t>，</w:t>
      </w:r>
      <w:r>
        <w:rPr>
          <w:rFonts w:ascii="仿宋" w:hAnsi="仿宋" w:eastAsia="仿宋" w:cs="仿宋"/>
          <w:color w:val="000000"/>
          <w:sz w:val="30"/>
          <w:szCs w:val="30"/>
        </w:rPr>
        <w:t>乙方应继续赔偿</w:t>
      </w:r>
      <w:r>
        <w:rPr>
          <w:rFonts w:hint="eastAsia" w:ascii="仿宋" w:hAnsi="仿宋" w:eastAsia="仿宋" w:cs="仿宋"/>
          <w:color w:val="000000"/>
          <w:sz w:val="30"/>
          <w:szCs w:val="30"/>
        </w:rPr>
        <w:t>。</w:t>
      </w:r>
    </w:p>
    <w:p>
      <w:pPr>
        <w:ind w:firstLine="602"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12.法律诉讼</w:t>
      </w:r>
    </w:p>
    <w:p>
      <w:pPr>
        <w:ind w:firstLine="600" w:firstLineChars="200"/>
        <w:rPr>
          <w:rFonts w:hint="eastAsia" w:ascii="仿宋" w:hAnsi="仿宋" w:eastAsia="仿宋" w:cs="仿宋"/>
          <w:color w:val="000000"/>
          <w:sz w:val="30"/>
          <w:szCs w:val="30"/>
          <w:u w:val="single"/>
        </w:rPr>
      </w:pPr>
      <w:r>
        <w:rPr>
          <w:rFonts w:hint="eastAsia" w:ascii="仿宋" w:hAnsi="仿宋" w:eastAsia="仿宋" w:cs="仿宋"/>
          <w:color w:val="000000"/>
          <w:sz w:val="30"/>
          <w:szCs w:val="30"/>
          <w:u w:val="single"/>
        </w:rPr>
        <w:t>签约双方在履约中发生争执和分歧，双方应通过友好协商解决，若经协商不能达成协议时，则向</w:t>
      </w:r>
      <w:r>
        <w:rPr>
          <w:rFonts w:hint="eastAsia" w:ascii="仿宋" w:hAnsi="仿宋" w:eastAsia="仿宋" w:cs="仿宋"/>
          <w:b/>
          <w:color w:val="000000"/>
          <w:sz w:val="30"/>
          <w:szCs w:val="30"/>
          <w:u w:val="single"/>
        </w:rPr>
        <w:t>甲方所在地人民法院提起诉讼</w:t>
      </w:r>
      <w:r>
        <w:rPr>
          <w:rFonts w:hint="eastAsia" w:ascii="仿宋" w:hAnsi="仿宋" w:eastAsia="仿宋" w:cs="仿宋"/>
          <w:color w:val="000000"/>
          <w:sz w:val="30"/>
          <w:szCs w:val="30"/>
          <w:u w:val="single"/>
        </w:rPr>
        <w:t>。受理期间，双方应继续执行合同其余部分。守约方为实现本合同约定的权益，通过司法程序或其他手段，产生的律师费、诉讼费、鉴定费、评估费、交通费等全部费用，均由违约方承担。</w:t>
      </w:r>
    </w:p>
    <w:p>
      <w:pPr>
        <w:adjustRightInd w:val="0"/>
        <w:snapToGrid w:val="0"/>
        <w:ind w:firstLine="602"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13. 其他</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13.1附件:</w:t>
      </w:r>
      <w:r>
        <w:rPr>
          <w:rFonts w:hint="eastAsia" w:ascii="仿宋" w:hAnsi="仿宋" w:eastAsia="仿宋" w:cs="仿宋"/>
          <w:color w:val="000000"/>
          <w:sz w:val="30"/>
          <w:szCs w:val="30"/>
          <w:u w:val="single"/>
        </w:rPr>
        <w:t xml:space="preserve"> </w:t>
      </w:r>
      <w:r>
        <w:rPr>
          <w:rFonts w:ascii="仿宋" w:hAnsi="仿宋" w:eastAsia="仿宋" w:cs="仿宋"/>
          <w:color w:val="000000"/>
          <w:sz w:val="30"/>
          <w:szCs w:val="30"/>
          <w:u w:val="single"/>
        </w:rPr>
        <w:t>授权委托书及签约代表的身份证复印件</w:t>
      </w:r>
      <w:r>
        <w:rPr>
          <w:rFonts w:hint="eastAsia" w:ascii="仿宋" w:hAnsi="仿宋" w:eastAsia="仿宋" w:cs="仿宋"/>
          <w:color w:val="000000"/>
          <w:sz w:val="30"/>
          <w:szCs w:val="30"/>
          <w:u w:val="single"/>
        </w:rPr>
        <w:t xml:space="preserve"> 、配置清单    </w:t>
      </w:r>
      <w:r>
        <w:rPr>
          <w:rFonts w:ascii="仿宋" w:hAnsi="仿宋" w:eastAsia="仿宋" w:cs="仿宋"/>
          <w:color w:val="000000"/>
          <w:sz w:val="30"/>
          <w:szCs w:val="30"/>
          <w:u w:val="single"/>
        </w:rPr>
        <w:t xml:space="preserve">   </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13.2本合同正本6份，甲方4份，乙方2份，具有同等法律效力，双方签字盖章后生效。</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13.3本合同正文不详之处，以招标文件、投标文件及招标会议上的答疑记录为准。</w:t>
      </w:r>
    </w:p>
    <w:p>
      <w:pPr>
        <w:ind w:firstLine="600" w:firstLineChars="200"/>
        <w:rPr>
          <w:rFonts w:hint="eastAsia" w:ascii="仿宋" w:hAnsi="仿宋" w:eastAsia="仿宋" w:cs="仿宋"/>
          <w:color w:val="000000"/>
          <w:sz w:val="30"/>
          <w:szCs w:val="30"/>
          <w:u w:val="single"/>
        </w:rPr>
      </w:pPr>
      <w:r>
        <w:rPr>
          <w:rFonts w:hint="eastAsia" w:ascii="仿宋" w:hAnsi="仿宋" w:eastAsia="仿宋" w:cs="仿宋"/>
          <w:color w:val="000000"/>
          <w:sz w:val="30"/>
          <w:szCs w:val="30"/>
          <w:u w:val="single"/>
        </w:rPr>
        <w:t>13.4本合同载明的通信地址系双方文件往来、法院送达诉讼文书的地址，因载明的地址有误或未及时告知变更后的地址，导致相关文书及诉讼文书未能实际被接收的、邮寄送达的，相关文书及诉讼文书退回之日即视为送达之日。</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1</w:t>
      </w:r>
      <w:r>
        <w:rPr>
          <w:rFonts w:ascii="仿宋" w:hAnsi="仿宋" w:eastAsia="仿宋" w:cs="仿宋"/>
          <w:color w:val="000000"/>
          <w:sz w:val="30"/>
          <w:szCs w:val="30"/>
        </w:rPr>
        <w:t>3.5当双方发生争议时</w:t>
      </w:r>
      <w:r>
        <w:rPr>
          <w:rFonts w:hint="eastAsia" w:ascii="仿宋" w:hAnsi="仿宋" w:eastAsia="仿宋" w:cs="仿宋"/>
          <w:color w:val="000000"/>
          <w:sz w:val="30"/>
          <w:szCs w:val="30"/>
        </w:rPr>
        <w:t>，</w:t>
      </w:r>
      <w:r>
        <w:rPr>
          <w:rFonts w:ascii="仿宋" w:hAnsi="仿宋" w:eastAsia="仿宋" w:cs="仿宋"/>
          <w:color w:val="000000"/>
          <w:sz w:val="30"/>
          <w:szCs w:val="30"/>
        </w:rPr>
        <w:t>以有利于守约方的原则进行解释</w:t>
      </w:r>
      <w:r>
        <w:rPr>
          <w:rFonts w:hint="eastAsia" w:ascii="仿宋" w:hAnsi="仿宋" w:eastAsia="仿宋" w:cs="仿宋"/>
          <w:color w:val="000000"/>
          <w:sz w:val="30"/>
          <w:szCs w:val="30"/>
        </w:rPr>
        <w:t>。</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（以下无正文）</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甲方：喀什地区第一人民医院       乙方：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法人代表：                       法人代表：  </w:t>
      </w:r>
    </w:p>
    <w:p>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签约代表：                       签约代表：</w:t>
      </w:r>
    </w:p>
    <w:p>
      <w:pPr>
        <w:ind w:firstLine="300" w:firstLineChars="10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通信地址：新疆喀什市迎宾大道120号   通信地址： </w:t>
      </w:r>
    </w:p>
    <w:p>
      <w:pPr>
        <w:ind w:firstLine="300" w:firstLineChars="100"/>
        <w:rPr>
          <w:rFonts w:ascii="仿宋" w:hAnsi="仿宋" w:eastAsia="仿宋" w:cs="仿宋"/>
          <w:color w:val="000000"/>
          <w:sz w:val="30"/>
          <w:szCs w:val="30"/>
        </w:rPr>
      </w:pPr>
      <w:r>
        <w:rPr>
          <w:rFonts w:hint="eastAsia" w:ascii="仿宋" w:hAnsi="仿宋" w:eastAsia="仿宋" w:cs="仿宋"/>
          <w:color w:val="000000"/>
          <w:sz w:val="30"/>
          <w:szCs w:val="30"/>
        </w:rPr>
        <w:t>电话：0998-2962969                    电话：</w:t>
      </w: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p>
    <w:p>
      <w:pPr>
        <w:ind w:firstLine="300" w:firstLineChars="100"/>
        <w:rPr>
          <w:rFonts w:hint="eastAsia" w:ascii="仿宋" w:hAnsi="仿宋" w:eastAsia="仿宋" w:cs="仿宋"/>
          <w:color w:val="000000"/>
          <w:sz w:val="30"/>
          <w:szCs w:val="30"/>
        </w:rPr>
      </w:pPr>
      <w:r>
        <w:rPr>
          <w:rFonts w:hint="eastAsia" w:ascii="仿宋" w:hAnsi="仿宋" w:eastAsia="仿宋" w:cs="仿宋"/>
          <w:color w:val="000000"/>
          <w:sz w:val="30"/>
          <w:szCs w:val="30"/>
        </w:rPr>
        <w:t>纳税人识别号：12653100458045171C      纳税人识别号：</w:t>
      </w:r>
      <w:r>
        <w:rPr>
          <w:rFonts w:ascii="仿宋" w:hAnsi="仿宋" w:eastAsia="仿宋" w:cs="仿宋"/>
          <w:color w:val="000000"/>
          <w:sz w:val="30"/>
          <w:szCs w:val="30"/>
        </w:rPr>
        <w:t xml:space="preserve"> </w:t>
      </w:r>
      <w:r>
        <w:rPr>
          <w:rFonts w:hint="eastAsia" w:ascii="仿宋" w:hAnsi="仿宋" w:eastAsia="仿宋" w:cs="仿宋"/>
          <w:color w:val="000000"/>
          <w:sz w:val="30"/>
          <w:szCs w:val="30"/>
        </w:rPr>
        <w:t xml:space="preserve">          </w:t>
      </w:r>
    </w:p>
    <w:p>
      <w:pPr>
        <w:ind w:left="315" w:leftChars="150"/>
        <w:rPr>
          <w:rFonts w:hint="eastAsia" w:ascii="仿宋" w:hAnsi="仿宋" w:eastAsia="仿宋" w:cs="仿宋"/>
          <w:color w:val="000000"/>
          <w:sz w:val="30"/>
          <w:szCs w:val="30"/>
        </w:rPr>
      </w:pPr>
      <w:r>
        <w:rPr>
          <w:rFonts w:hint="eastAsia" w:ascii="仿宋" w:hAnsi="仿宋" w:eastAsia="仿宋" w:cs="仿宋"/>
          <w:color w:val="000000"/>
          <w:sz w:val="30"/>
          <w:szCs w:val="30"/>
        </w:rPr>
        <w:t xml:space="preserve">开户银行：农行喀什迎宾大道支行         开户银行： </w:t>
      </w:r>
    </w:p>
    <w:p>
      <w:pPr>
        <w:ind w:firstLine="300" w:firstLineChars="100"/>
        <w:rPr>
          <w:rFonts w:hint="eastAsia" w:ascii="仿宋" w:hAnsi="仿宋" w:eastAsia="仿宋" w:cs="仿宋"/>
          <w:color w:val="000000"/>
          <w:sz w:val="30"/>
          <w:szCs w:val="30"/>
        </w:rPr>
      </w:pPr>
      <w:r>
        <w:rPr>
          <w:rFonts w:hint="eastAsia" w:ascii="仿宋" w:hAnsi="仿宋" w:eastAsia="仿宋" w:cs="仿宋"/>
          <w:color w:val="000000"/>
          <w:sz w:val="30"/>
          <w:szCs w:val="30"/>
        </w:rPr>
        <w:t>账号：30475501040000195               账号：</w:t>
      </w:r>
      <w:r>
        <w:rPr>
          <w:rFonts w:ascii="仿宋" w:hAnsi="仿宋" w:eastAsia="仿宋" w:cs="仿宋"/>
          <w:color w:val="000000"/>
          <w:sz w:val="30"/>
          <w:szCs w:val="30"/>
        </w:rPr>
        <w:t xml:space="preserve"> </w:t>
      </w:r>
    </w:p>
    <w:p>
      <w:pPr>
        <w:ind w:firstLine="452" w:firstLineChars="150"/>
        <w:rPr>
          <w:rFonts w:ascii="仿宋" w:hAnsi="仿宋" w:eastAsia="仿宋" w:cs="仿宋"/>
          <w:b/>
          <w:bCs/>
          <w:color w:val="000000"/>
          <w:sz w:val="30"/>
          <w:szCs w:val="30"/>
        </w:rPr>
      </w:pPr>
      <w:r>
        <w:rPr>
          <w:rFonts w:ascii="仿宋" w:hAnsi="仿宋" w:eastAsia="仿宋" w:cs="仿宋"/>
          <w:b/>
          <w:bCs/>
          <w:color w:val="000000"/>
          <w:sz w:val="30"/>
          <w:szCs w:val="30"/>
        </w:rPr>
        <w:t>注</w:t>
      </w:r>
      <w:r>
        <w:rPr>
          <w:rFonts w:hint="eastAsia" w:ascii="仿宋" w:hAnsi="仿宋" w:eastAsia="仿宋" w:cs="仿宋"/>
          <w:b/>
          <w:bCs/>
          <w:color w:val="000000"/>
          <w:sz w:val="30"/>
          <w:szCs w:val="30"/>
        </w:rPr>
        <w:t>：</w:t>
      </w:r>
      <w:r>
        <w:rPr>
          <w:rFonts w:ascii="仿宋" w:hAnsi="仿宋" w:eastAsia="仿宋" w:cs="仿宋"/>
          <w:b/>
          <w:bCs/>
          <w:color w:val="000000"/>
          <w:sz w:val="30"/>
          <w:szCs w:val="30"/>
        </w:rPr>
        <w:t>签约代表签字时</w:t>
      </w:r>
      <w:r>
        <w:rPr>
          <w:rFonts w:hint="eastAsia" w:ascii="仿宋" w:hAnsi="仿宋" w:eastAsia="仿宋" w:cs="仿宋"/>
          <w:b/>
          <w:bCs/>
          <w:color w:val="000000"/>
          <w:sz w:val="30"/>
          <w:szCs w:val="30"/>
        </w:rPr>
        <w:t>，</w:t>
      </w:r>
      <w:r>
        <w:rPr>
          <w:rFonts w:ascii="仿宋" w:hAnsi="仿宋" w:eastAsia="仿宋" w:cs="仿宋"/>
          <w:b/>
          <w:bCs/>
          <w:color w:val="000000"/>
          <w:sz w:val="30"/>
          <w:szCs w:val="30"/>
        </w:rPr>
        <w:t>请附授权委托书及签约代表的身份证复印件</w:t>
      </w:r>
    </w:p>
    <w:p>
      <w:pPr>
        <w:ind w:firstLine="450" w:firstLineChars="150"/>
        <w:rPr>
          <w:rFonts w:hint="eastAsia" w:ascii="仿宋" w:hAnsi="仿宋" w:eastAsia="仿宋" w:cs="宋体"/>
          <w:color w:val="000000"/>
          <w:sz w:val="30"/>
          <w:szCs w:val="30"/>
          <w:u w:val="single"/>
        </w:rPr>
      </w:pPr>
    </w:p>
    <w:p>
      <w:pPr>
        <w:keepNext w:val="0"/>
        <w:keepLines w:val="0"/>
        <w:pageBreakBefore w:val="0"/>
        <w:widowControl w:val="0"/>
        <w:kinsoku/>
        <w:wordWrap/>
        <w:overflowPunct/>
        <w:topLinePunct w:val="0"/>
        <w:autoSpaceDE/>
        <w:autoSpaceDN/>
        <w:bidi w:val="0"/>
        <w:adjustRightInd/>
        <w:snapToGrid/>
        <w:spacing w:line="440" w:lineRule="exact"/>
        <w:ind w:firstLine="361" w:firstLineChars="150"/>
        <w:textAlignment w:val="auto"/>
        <w:rPr>
          <w:rFonts w:hint="eastAsia" w:ascii="宋体" w:hAnsi="宋体" w:eastAsia="宋体" w:cs="宋体"/>
          <w:b/>
          <w:bCs/>
          <w:color w:val="auto"/>
          <w:sz w:val="24"/>
          <w:szCs w:val="24"/>
        </w:rPr>
      </w:pPr>
    </w:p>
    <w:p>
      <w:pPr>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sectPr>
      <w:headerReference r:id="rId6" w:type="default"/>
      <w:footerReference r:id="rId7"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drawing>
        <wp:inline distT="0" distB="0" distL="114300" distR="114300">
          <wp:extent cx="991235" cy="633095"/>
          <wp:effectExtent l="0" t="0" r="8890"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49" o:spid="_x0000_s2049" o:spt="136" type="#_x0000_t136" style="position:absolute;left:0pt;margin-left:67.2pt;margin-top:32.95pt;height:15.6pt;width:152.25pt;z-index:251659264;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drawing>
        <wp:inline distT="0" distB="0" distL="114300" distR="114300">
          <wp:extent cx="991235" cy="633095"/>
          <wp:effectExtent l="0" t="0" r="889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0" o:spid="_x0000_s2050" o:spt="136" type="#_x0000_t136" style="position:absolute;left:0pt;margin-left:67.2pt;margin-top:32.95pt;height:15.6pt;width:152.25pt;z-index:251660288;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double" w:color="auto" w:sz="8" w:space="0"/>
      </w:pBdr>
      <w:jc w:val="left"/>
    </w:pPr>
    <w:r>
      <w:drawing>
        <wp:inline distT="0" distB="0" distL="114300" distR="114300">
          <wp:extent cx="991235" cy="633095"/>
          <wp:effectExtent l="0" t="0" r="889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991235" cy="633095"/>
                  </a:xfrm>
                  <a:prstGeom prst="rect">
                    <a:avLst/>
                  </a:prstGeom>
                  <a:noFill/>
                  <a:ln>
                    <a:noFill/>
                  </a:ln>
                </pic:spPr>
              </pic:pic>
            </a:graphicData>
          </a:graphic>
        </wp:inline>
      </w:drawing>
    </w:r>
    <w:r>
      <w:pict>
        <v:shape id="_x0000_s2051" o:spid="_x0000_s2051" o:spt="136" type="#_x0000_t136" style="position:absolute;left:0pt;margin-left:66.35pt;margin-top:32.95pt;height:15.6pt;width:152.25pt;z-index:251661312;mso-width-relative:page;mso-height-relative:page;" fillcolor="#333333" filled="t" coordsize="21600,21600">
          <v:path/>
          <v:fill on="t" focussize="0,0"/>
          <v:stroke weight="0pt"/>
          <v:imagedata o:title=""/>
          <o:lock v:ext="edit"/>
          <v:textpath on="t" fitshape="t" fitpath="t" trim="t" xscale="f" string="   中经国际招标集团有限公司" style="font-family:黑体;font-size:12pt;v-text-align:left;"/>
        </v:shape>
      </w:pict>
    </w:r>
  </w:p>
  <w:p>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00000006"/>
    <w:multiLevelType w:val="multilevel"/>
    <w:tmpl w:val="00000006"/>
    <w:lvl w:ilvl="0" w:tentative="0">
      <w:start w:val="1"/>
      <w:numFmt w:val="upperLetter"/>
      <w:pStyle w:val="34"/>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2">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75"/>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00B997ED"/>
    <w:multiLevelType w:val="singleLevel"/>
    <w:tmpl w:val="00B997ED"/>
    <w:lvl w:ilvl="0" w:tentative="0">
      <w:start w:val="10"/>
      <w:numFmt w:val="decimal"/>
      <w:suff w:val="nothing"/>
      <w:lvlText w:val="%1、"/>
      <w:lvlJc w:val="left"/>
    </w:lvl>
  </w:abstractNum>
  <w:abstractNum w:abstractNumId="4">
    <w:nsid w:val="51712A71"/>
    <w:multiLevelType w:val="multilevel"/>
    <w:tmpl w:val="51712A71"/>
    <w:lvl w:ilvl="0" w:tentative="0">
      <w:start w:val="1"/>
      <w:numFmt w:val="decimal"/>
      <w:lvlText w:val="%1."/>
      <w:lvlJc w:val="left"/>
      <w:pPr>
        <w:ind w:left="360" w:hanging="360"/>
      </w:pPr>
    </w:lvl>
    <w:lvl w:ilvl="1" w:tentative="0">
      <w:start w:val="1"/>
      <w:numFmt w:val="decimal"/>
      <w:lvlText w:val="%1.%2."/>
      <w:lvlJc w:val="left"/>
      <w:pPr>
        <w:ind w:left="522" w:hanging="432"/>
      </w:pPr>
      <w:rPr>
        <w:b/>
      </w:rPr>
    </w:lvl>
    <w:lvl w:ilvl="2" w:tentative="0">
      <w:start w:val="1"/>
      <w:numFmt w:val="decimal"/>
      <w:lvlText w:val="%1.%2.%3."/>
      <w:lvlJc w:val="left"/>
      <w:pPr>
        <w:ind w:left="954" w:hanging="504"/>
      </w:pPr>
    </w:lvl>
    <w:lvl w:ilvl="3" w:tentative="0">
      <w:start w:val="1"/>
      <w:numFmt w:val="decimal"/>
      <w:lvlText w:val="%1.%2.%3.%4."/>
      <w:lvlJc w:val="left"/>
      <w:pPr>
        <w:ind w:left="19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3"/>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84"/>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6">
    <w:nsid w:val="7B1F2DD1"/>
    <w:multiLevelType w:val="multilevel"/>
    <w:tmpl w:val="7B1F2DD1"/>
    <w:lvl w:ilvl="0" w:tentative="0">
      <w:start w:val="1"/>
      <w:numFmt w:val="decimal"/>
      <w:lvlText w:val="%1."/>
      <w:lvlJc w:val="left"/>
      <w:pPr>
        <w:ind w:left="360" w:hanging="360"/>
      </w:pPr>
      <w:rPr>
        <w:b/>
      </w:r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91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num w:numId="1">
    <w:abstractNumId w:val="1"/>
  </w:num>
  <w:num w:numId="2">
    <w:abstractNumId w:val="2"/>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0081654"/>
    <w:rsid w:val="00320039"/>
    <w:rsid w:val="003A4DB8"/>
    <w:rsid w:val="006360BD"/>
    <w:rsid w:val="0073763C"/>
    <w:rsid w:val="008E53B2"/>
    <w:rsid w:val="00A65FA9"/>
    <w:rsid w:val="00B22F90"/>
    <w:rsid w:val="00B30BFA"/>
    <w:rsid w:val="00CA58C6"/>
    <w:rsid w:val="010C0502"/>
    <w:rsid w:val="01113BE8"/>
    <w:rsid w:val="014632E9"/>
    <w:rsid w:val="014E721F"/>
    <w:rsid w:val="01621A8C"/>
    <w:rsid w:val="019C753A"/>
    <w:rsid w:val="01AC75F0"/>
    <w:rsid w:val="01D60B10"/>
    <w:rsid w:val="01E24E4B"/>
    <w:rsid w:val="022278B2"/>
    <w:rsid w:val="0247556A"/>
    <w:rsid w:val="02B40E52"/>
    <w:rsid w:val="02C62032"/>
    <w:rsid w:val="02C933CD"/>
    <w:rsid w:val="02DB3378"/>
    <w:rsid w:val="02DD1F30"/>
    <w:rsid w:val="030D2310"/>
    <w:rsid w:val="032338E1"/>
    <w:rsid w:val="032923D9"/>
    <w:rsid w:val="03635BA2"/>
    <w:rsid w:val="036A59B4"/>
    <w:rsid w:val="039B2F0B"/>
    <w:rsid w:val="039B6747"/>
    <w:rsid w:val="03A17621"/>
    <w:rsid w:val="03E00F19"/>
    <w:rsid w:val="03E33071"/>
    <w:rsid w:val="03E868D9"/>
    <w:rsid w:val="040C0819"/>
    <w:rsid w:val="0418202A"/>
    <w:rsid w:val="041A2F36"/>
    <w:rsid w:val="0422003D"/>
    <w:rsid w:val="04956A61"/>
    <w:rsid w:val="04B53826"/>
    <w:rsid w:val="04C64E6C"/>
    <w:rsid w:val="04D1736D"/>
    <w:rsid w:val="04D2210A"/>
    <w:rsid w:val="04DA0DAB"/>
    <w:rsid w:val="04E6106A"/>
    <w:rsid w:val="052B035A"/>
    <w:rsid w:val="053171B4"/>
    <w:rsid w:val="059943D9"/>
    <w:rsid w:val="059F3E44"/>
    <w:rsid w:val="05B918D7"/>
    <w:rsid w:val="05DC421B"/>
    <w:rsid w:val="05E74AEF"/>
    <w:rsid w:val="05F0727E"/>
    <w:rsid w:val="05FC73D8"/>
    <w:rsid w:val="06035331"/>
    <w:rsid w:val="06043E9E"/>
    <w:rsid w:val="061D76FA"/>
    <w:rsid w:val="062513A7"/>
    <w:rsid w:val="065169B7"/>
    <w:rsid w:val="065232F6"/>
    <w:rsid w:val="066E1317"/>
    <w:rsid w:val="068C3E93"/>
    <w:rsid w:val="069D39AB"/>
    <w:rsid w:val="06A27213"/>
    <w:rsid w:val="06B82B89"/>
    <w:rsid w:val="06BF5690"/>
    <w:rsid w:val="06CD0C1A"/>
    <w:rsid w:val="06ED4932"/>
    <w:rsid w:val="07043A2A"/>
    <w:rsid w:val="070E48A8"/>
    <w:rsid w:val="07155A8F"/>
    <w:rsid w:val="071719AF"/>
    <w:rsid w:val="07175E76"/>
    <w:rsid w:val="07577514"/>
    <w:rsid w:val="07623E5D"/>
    <w:rsid w:val="07666493"/>
    <w:rsid w:val="07944DAE"/>
    <w:rsid w:val="07A11524"/>
    <w:rsid w:val="07A44D2D"/>
    <w:rsid w:val="07F615C4"/>
    <w:rsid w:val="08204893"/>
    <w:rsid w:val="084B1AA8"/>
    <w:rsid w:val="08573CD6"/>
    <w:rsid w:val="08752E31"/>
    <w:rsid w:val="088017D6"/>
    <w:rsid w:val="08C1200F"/>
    <w:rsid w:val="08D60107"/>
    <w:rsid w:val="08D833C0"/>
    <w:rsid w:val="08E55999"/>
    <w:rsid w:val="08E873D7"/>
    <w:rsid w:val="08F32F05"/>
    <w:rsid w:val="09033A4F"/>
    <w:rsid w:val="090B72F2"/>
    <w:rsid w:val="091C4DD6"/>
    <w:rsid w:val="09242161"/>
    <w:rsid w:val="092E4D8E"/>
    <w:rsid w:val="09410F65"/>
    <w:rsid w:val="09532A47"/>
    <w:rsid w:val="0989582F"/>
    <w:rsid w:val="09A03C4E"/>
    <w:rsid w:val="09A07FFE"/>
    <w:rsid w:val="09BE4364"/>
    <w:rsid w:val="09C6272F"/>
    <w:rsid w:val="09E029B5"/>
    <w:rsid w:val="0A4813F5"/>
    <w:rsid w:val="0A7B2255"/>
    <w:rsid w:val="0AA00E18"/>
    <w:rsid w:val="0AD83203"/>
    <w:rsid w:val="0ADA0003"/>
    <w:rsid w:val="0AF04068"/>
    <w:rsid w:val="0AF50259"/>
    <w:rsid w:val="0B0B52A9"/>
    <w:rsid w:val="0B0C55A3"/>
    <w:rsid w:val="0B3C19E4"/>
    <w:rsid w:val="0B432F08"/>
    <w:rsid w:val="0B6E381F"/>
    <w:rsid w:val="0B894DF9"/>
    <w:rsid w:val="0B9C2483"/>
    <w:rsid w:val="0BA033AB"/>
    <w:rsid w:val="0BA8707A"/>
    <w:rsid w:val="0BC07AD2"/>
    <w:rsid w:val="0BD31C1D"/>
    <w:rsid w:val="0BE27694"/>
    <w:rsid w:val="0C120997"/>
    <w:rsid w:val="0C1D5661"/>
    <w:rsid w:val="0C291FD0"/>
    <w:rsid w:val="0C300E1D"/>
    <w:rsid w:val="0C522904"/>
    <w:rsid w:val="0C601702"/>
    <w:rsid w:val="0C767178"/>
    <w:rsid w:val="0C7F4408"/>
    <w:rsid w:val="0C8A49D1"/>
    <w:rsid w:val="0CF84031"/>
    <w:rsid w:val="0CFB142B"/>
    <w:rsid w:val="0D065FC8"/>
    <w:rsid w:val="0D0E1995"/>
    <w:rsid w:val="0D352B8F"/>
    <w:rsid w:val="0D505C1B"/>
    <w:rsid w:val="0D5A43A4"/>
    <w:rsid w:val="0D5D5C42"/>
    <w:rsid w:val="0D896A37"/>
    <w:rsid w:val="0D9941F9"/>
    <w:rsid w:val="0D9D2C7A"/>
    <w:rsid w:val="0DA63A8D"/>
    <w:rsid w:val="0DDA54E4"/>
    <w:rsid w:val="0E0F38A2"/>
    <w:rsid w:val="0E4C07DD"/>
    <w:rsid w:val="0E636784"/>
    <w:rsid w:val="0E7C47EE"/>
    <w:rsid w:val="0EAA4EB7"/>
    <w:rsid w:val="0EB34FDF"/>
    <w:rsid w:val="0EBD108E"/>
    <w:rsid w:val="0ED463D8"/>
    <w:rsid w:val="0EE42D1C"/>
    <w:rsid w:val="0EEF72C3"/>
    <w:rsid w:val="0EFE3455"/>
    <w:rsid w:val="0F022F45"/>
    <w:rsid w:val="0F113188"/>
    <w:rsid w:val="0F143C29"/>
    <w:rsid w:val="0F4935D9"/>
    <w:rsid w:val="0FB32592"/>
    <w:rsid w:val="0FC54741"/>
    <w:rsid w:val="0FD14C8B"/>
    <w:rsid w:val="0FF652C6"/>
    <w:rsid w:val="100131FC"/>
    <w:rsid w:val="10042CED"/>
    <w:rsid w:val="10280789"/>
    <w:rsid w:val="10376C1E"/>
    <w:rsid w:val="108300B5"/>
    <w:rsid w:val="108D7DC6"/>
    <w:rsid w:val="10901321"/>
    <w:rsid w:val="109149C6"/>
    <w:rsid w:val="10AA5642"/>
    <w:rsid w:val="10B84B6F"/>
    <w:rsid w:val="10C15746"/>
    <w:rsid w:val="10C7057C"/>
    <w:rsid w:val="10CB7366"/>
    <w:rsid w:val="10EA3C90"/>
    <w:rsid w:val="1102722C"/>
    <w:rsid w:val="11124F95"/>
    <w:rsid w:val="112A6783"/>
    <w:rsid w:val="11375FBE"/>
    <w:rsid w:val="11503189"/>
    <w:rsid w:val="115F151F"/>
    <w:rsid w:val="116C28F7"/>
    <w:rsid w:val="11806BCC"/>
    <w:rsid w:val="119245C3"/>
    <w:rsid w:val="11AB78C4"/>
    <w:rsid w:val="11C50105"/>
    <w:rsid w:val="11CE678B"/>
    <w:rsid w:val="11FF376C"/>
    <w:rsid w:val="12592360"/>
    <w:rsid w:val="126637EB"/>
    <w:rsid w:val="129A3494"/>
    <w:rsid w:val="12A460C1"/>
    <w:rsid w:val="12A61E39"/>
    <w:rsid w:val="12AC5303"/>
    <w:rsid w:val="12DD1CFF"/>
    <w:rsid w:val="12ED5CBA"/>
    <w:rsid w:val="12EF37E0"/>
    <w:rsid w:val="12FC31D3"/>
    <w:rsid w:val="13165211"/>
    <w:rsid w:val="1377365B"/>
    <w:rsid w:val="13857617"/>
    <w:rsid w:val="139A6651"/>
    <w:rsid w:val="13A16876"/>
    <w:rsid w:val="13B16CE7"/>
    <w:rsid w:val="13B642FE"/>
    <w:rsid w:val="13BB1914"/>
    <w:rsid w:val="13C44C6D"/>
    <w:rsid w:val="13DB225F"/>
    <w:rsid w:val="13EE5846"/>
    <w:rsid w:val="13F866C4"/>
    <w:rsid w:val="13FF0906"/>
    <w:rsid w:val="14027543"/>
    <w:rsid w:val="140530B1"/>
    <w:rsid w:val="141C5039"/>
    <w:rsid w:val="142A5FDC"/>
    <w:rsid w:val="142B2A40"/>
    <w:rsid w:val="14432035"/>
    <w:rsid w:val="146E4BD8"/>
    <w:rsid w:val="148651F0"/>
    <w:rsid w:val="149169E7"/>
    <w:rsid w:val="14BA1BCC"/>
    <w:rsid w:val="150B2427"/>
    <w:rsid w:val="151D2886"/>
    <w:rsid w:val="15290693"/>
    <w:rsid w:val="153D570D"/>
    <w:rsid w:val="154C316C"/>
    <w:rsid w:val="156F0C08"/>
    <w:rsid w:val="156F29B6"/>
    <w:rsid w:val="15825156"/>
    <w:rsid w:val="159A283B"/>
    <w:rsid w:val="15A44D56"/>
    <w:rsid w:val="15B900D5"/>
    <w:rsid w:val="15DD5B72"/>
    <w:rsid w:val="15FA299B"/>
    <w:rsid w:val="161B48EC"/>
    <w:rsid w:val="16337E88"/>
    <w:rsid w:val="1635775C"/>
    <w:rsid w:val="16421E79"/>
    <w:rsid w:val="16552373"/>
    <w:rsid w:val="1668788A"/>
    <w:rsid w:val="166B7621"/>
    <w:rsid w:val="1679118E"/>
    <w:rsid w:val="167A7865"/>
    <w:rsid w:val="16A00DA8"/>
    <w:rsid w:val="16A13043"/>
    <w:rsid w:val="16B02706"/>
    <w:rsid w:val="16BC60CF"/>
    <w:rsid w:val="16D57BCB"/>
    <w:rsid w:val="170D15F4"/>
    <w:rsid w:val="171037CA"/>
    <w:rsid w:val="17131521"/>
    <w:rsid w:val="1730233A"/>
    <w:rsid w:val="17384C14"/>
    <w:rsid w:val="17393C13"/>
    <w:rsid w:val="178A7F7B"/>
    <w:rsid w:val="17961E8F"/>
    <w:rsid w:val="17A65C04"/>
    <w:rsid w:val="17FF6273"/>
    <w:rsid w:val="18023FB5"/>
    <w:rsid w:val="1820443C"/>
    <w:rsid w:val="18356139"/>
    <w:rsid w:val="187A3B4C"/>
    <w:rsid w:val="187C5B16"/>
    <w:rsid w:val="18820C52"/>
    <w:rsid w:val="18955D2D"/>
    <w:rsid w:val="189C1D14"/>
    <w:rsid w:val="18AF6446"/>
    <w:rsid w:val="18CB43A7"/>
    <w:rsid w:val="18D13587"/>
    <w:rsid w:val="18D94D16"/>
    <w:rsid w:val="19172397"/>
    <w:rsid w:val="193D6430"/>
    <w:rsid w:val="194128BC"/>
    <w:rsid w:val="19614D0C"/>
    <w:rsid w:val="196F6835"/>
    <w:rsid w:val="19856C4C"/>
    <w:rsid w:val="19940C3D"/>
    <w:rsid w:val="1998697F"/>
    <w:rsid w:val="19A03A86"/>
    <w:rsid w:val="19A0795C"/>
    <w:rsid w:val="19C21C4E"/>
    <w:rsid w:val="19D92AF4"/>
    <w:rsid w:val="1A19736B"/>
    <w:rsid w:val="1A1F5268"/>
    <w:rsid w:val="1A203775"/>
    <w:rsid w:val="1A554870"/>
    <w:rsid w:val="1A705133"/>
    <w:rsid w:val="1AD03EF7"/>
    <w:rsid w:val="1AEB0D31"/>
    <w:rsid w:val="1B121D3A"/>
    <w:rsid w:val="1B1B5E81"/>
    <w:rsid w:val="1B222DFA"/>
    <w:rsid w:val="1B2435A0"/>
    <w:rsid w:val="1B274760"/>
    <w:rsid w:val="1B2B55D1"/>
    <w:rsid w:val="1B351FAC"/>
    <w:rsid w:val="1B497395"/>
    <w:rsid w:val="1B4D19EC"/>
    <w:rsid w:val="1B50328A"/>
    <w:rsid w:val="1B8371BB"/>
    <w:rsid w:val="1BC17CE4"/>
    <w:rsid w:val="1BE8547A"/>
    <w:rsid w:val="1BF0582C"/>
    <w:rsid w:val="1C0A51E7"/>
    <w:rsid w:val="1C2C1601"/>
    <w:rsid w:val="1C38492A"/>
    <w:rsid w:val="1C485D0F"/>
    <w:rsid w:val="1C4F0B8B"/>
    <w:rsid w:val="1C5F46E4"/>
    <w:rsid w:val="1C6568C1"/>
    <w:rsid w:val="1C753007"/>
    <w:rsid w:val="1C8E5E18"/>
    <w:rsid w:val="1C9A2A0F"/>
    <w:rsid w:val="1C9F75FD"/>
    <w:rsid w:val="1CAE0268"/>
    <w:rsid w:val="1CBB639E"/>
    <w:rsid w:val="1CF07981"/>
    <w:rsid w:val="1D01040A"/>
    <w:rsid w:val="1D012A8E"/>
    <w:rsid w:val="1D0B7050"/>
    <w:rsid w:val="1D7A5D3C"/>
    <w:rsid w:val="1D951428"/>
    <w:rsid w:val="1D9C6BA7"/>
    <w:rsid w:val="1DC85359"/>
    <w:rsid w:val="1DD95F2A"/>
    <w:rsid w:val="1DDC3E11"/>
    <w:rsid w:val="1DFE521F"/>
    <w:rsid w:val="1E081BFA"/>
    <w:rsid w:val="1E1965DF"/>
    <w:rsid w:val="1E3C6860"/>
    <w:rsid w:val="1E5722F6"/>
    <w:rsid w:val="1E5E3995"/>
    <w:rsid w:val="1E613D0C"/>
    <w:rsid w:val="1E6A65D5"/>
    <w:rsid w:val="1E6D4BD1"/>
    <w:rsid w:val="1E8618AA"/>
    <w:rsid w:val="1E8E65A3"/>
    <w:rsid w:val="1E982F7E"/>
    <w:rsid w:val="1ED27475"/>
    <w:rsid w:val="1ED45E22"/>
    <w:rsid w:val="1EE879B6"/>
    <w:rsid w:val="1EF503D0"/>
    <w:rsid w:val="1F073C5F"/>
    <w:rsid w:val="1F0B3750"/>
    <w:rsid w:val="1F2C36C6"/>
    <w:rsid w:val="1F394761"/>
    <w:rsid w:val="1F4153C3"/>
    <w:rsid w:val="1F585820"/>
    <w:rsid w:val="1F7B107E"/>
    <w:rsid w:val="1F8E4D0D"/>
    <w:rsid w:val="1F8E612F"/>
    <w:rsid w:val="1F933265"/>
    <w:rsid w:val="1F941997"/>
    <w:rsid w:val="1F9C6A9E"/>
    <w:rsid w:val="1FC2498B"/>
    <w:rsid w:val="1FFC578E"/>
    <w:rsid w:val="1FFE1506"/>
    <w:rsid w:val="1FFE5062"/>
    <w:rsid w:val="201C198C"/>
    <w:rsid w:val="205904EB"/>
    <w:rsid w:val="2096528F"/>
    <w:rsid w:val="20A42F05"/>
    <w:rsid w:val="20A43E5C"/>
    <w:rsid w:val="20DF30E6"/>
    <w:rsid w:val="21134B3E"/>
    <w:rsid w:val="2149055F"/>
    <w:rsid w:val="215533A8"/>
    <w:rsid w:val="215E79BE"/>
    <w:rsid w:val="216E2542"/>
    <w:rsid w:val="21863561"/>
    <w:rsid w:val="21A47E8B"/>
    <w:rsid w:val="21A80E9D"/>
    <w:rsid w:val="21BC37E2"/>
    <w:rsid w:val="21C8620E"/>
    <w:rsid w:val="21CB2917"/>
    <w:rsid w:val="2207555D"/>
    <w:rsid w:val="222B5EB7"/>
    <w:rsid w:val="22813E3B"/>
    <w:rsid w:val="22D4654E"/>
    <w:rsid w:val="22E907A2"/>
    <w:rsid w:val="22EA6095"/>
    <w:rsid w:val="22EE3A71"/>
    <w:rsid w:val="22F17100"/>
    <w:rsid w:val="230230BC"/>
    <w:rsid w:val="23137077"/>
    <w:rsid w:val="23261B35"/>
    <w:rsid w:val="23330577"/>
    <w:rsid w:val="233F31F6"/>
    <w:rsid w:val="234A6048"/>
    <w:rsid w:val="23573852"/>
    <w:rsid w:val="23641680"/>
    <w:rsid w:val="2378337E"/>
    <w:rsid w:val="23BC3AB0"/>
    <w:rsid w:val="23C944EB"/>
    <w:rsid w:val="23E10F23"/>
    <w:rsid w:val="23F67FA6"/>
    <w:rsid w:val="240069B4"/>
    <w:rsid w:val="240F1025"/>
    <w:rsid w:val="241035B6"/>
    <w:rsid w:val="2429545C"/>
    <w:rsid w:val="243510E8"/>
    <w:rsid w:val="246F2824"/>
    <w:rsid w:val="249441E7"/>
    <w:rsid w:val="249C4BBB"/>
    <w:rsid w:val="24AE5C38"/>
    <w:rsid w:val="25361296"/>
    <w:rsid w:val="2536529E"/>
    <w:rsid w:val="253F23A5"/>
    <w:rsid w:val="254B5DAB"/>
    <w:rsid w:val="254D531C"/>
    <w:rsid w:val="256421C0"/>
    <w:rsid w:val="25DE2665"/>
    <w:rsid w:val="25E91C5D"/>
    <w:rsid w:val="261A49D8"/>
    <w:rsid w:val="263F3A83"/>
    <w:rsid w:val="267E514F"/>
    <w:rsid w:val="268A7650"/>
    <w:rsid w:val="26AB7EF8"/>
    <w:rsid w:val="26B4291F"/>
    <w:rsid w:val="26B75F6B"/>
    <w:rsid w:val="26CC5EBA"/>
    <w:rsid w:val="26EA4592"/>
    <w:rsid w:val="27286E18"/>
    <w:rsid w:val="276C144B"/>
    <w:rsid w:val="27AE3812"/>
    <w:rsid w:val="2803474D"/>
    <w:rsid w:val="280B47C0"/>
    <w:rsid w:val="28645A37"/>
    <w:rsid w:val="2870238E"/>
    <w:rsid w:val="2879797C"/>
    <w:rsid w:val="28893937"/>
    <w:rsid w:val="28A16ED3"/>
    <w:rsid w:val="28CA642A"/>
    <w:rsid w:val="28D9666D"/>
    <w:rsid w:val="28DB4EF1"/>
    <w:rsid w:val="29213387"/>
    <w:rsid w:val="29253660"/>
    <w:rsid w:val="29315676"/>
    <w:rsid w:val="29515CEB"/>
    <w:rsid w:val="29521364"/>
    <w:rsid w:val="295D5ECC"/>
    <w:rsid w:val="297D349C"/>
    <w:rsid w:val="29AE7AF9"/>
    <w:rsid w:val="29B64C00"/>
    <w:rsid w:val="29C42E79"/>
    <w:rsid w:val="29FC6AB7"/>
    <w:rsid w:val="2A107869"/>
    <w:rsid w:val="2A112973"/>
    <w:rsid w:val="2A1C2CB5"/>
    <w:rsid w:val="2A391AB9"/>
    <w:rsid w:val="2A522E74"/>
    <w:rsid w:val="2A5E32CD"/>
    <w:rsid w:val="2A720B27"/>
    <w:rsid w:val="2A7A3E7F"/>
    <w:rsid w:val="2A9A007E"/>
    <w:rsid w:val="2AAF7153"/>
    <w:rsid w:val="2AD510B6"/>
    <w:rsid w:val="2ADF3CE2"/>
    <w:rsid w:val="2AE35581"/>
    <w:rsid w:val="2B1240B8"/>
    <w:rsid w:val="2B1716CE"/>
    <w:rsid w:val="2B1E480B"/>
    <w:rsid w:val="2B6352AF"/>
    <w:rsid w:val="2B7A4A60"/>
    <w:rsid w:val="2B9D1BD3"/>
    <w:rsid w:val="2BB95C54"/>
    <w:rsid w:val="2BC5112A"/>
    <w:rsid w:val="2BD15F85"/>
    <w:rsid w:val="2BE45A54"/>
    <w:rsid w:val="2BFE65D6"/>
    <w:rsid w:val="2C1A1476"/>
    <w:rsid w:val="2C1F4CDE"/>
    <w:rsid w:val="2C2916B9"/>
    <w:rsid w:val="2C333511"/>
    <w:rsid w:val="2C477D91"/>
    <w:rsid w:val="2C9A25B7"/>
    <w:rsid w:val="2CAB0E29"/>
    <w:rsid w:val="2CAE39BA"/>
    <w:rsid w:val="2CF96358"/>
    <w:rsid w:val="2D18318D"/>
    <w:rsid w:val="2D2E420C"/>
    <w:rsid w:val="2D300EFC"/>
    <w:rsid w:val="2D3F513B"/>
    <w:rsid w:val="2D742E08"/>
    <w:rsid w:val="2DEB5BE1"/>
    <w:rsid w:val="2E1168A9"/>
    <w:rsid w:val="2E271C28"/>
    <w:rsid w:val="2E3879E0"/>
    <w:rsid w:val="2E5721D6"/>
    <w:rsid w:val="2EB1632E"/>
    <w:rsid w:val="2EB57CA5"/>
    <w:rsid w:val="2F1777F0"/>
    <w:rsid w:val="2F2A7575"/>
    <w:rsid w:val="2F414F6C"/>
    <w:rsid w:val="2F601896"/>
    <w:rsid w:val="2F633F94"/>
    <w:rsid w:val="2F6E42FA"/>
    <w:rsid w:val="2F77098D"/>
    <w:rsid w:val="2FC16BFF"/>
    <w:rsid w:val="2FF40284"/>
    <w:rsid w:val="2FF80E15"/>
    <w:rsid w:val="302C79CA"/>
    <w:rsid w:val="304F5466"/>
    <w:rsid w:val="305603A6"/>
    <w:rsid w:val="30654D09"/>
    <w:rsid w:val="306727B0"/>
    <w:rsid w:val="3086532C"/>
    <w:rsid w:val="30963095"/>
    <w:rsid w:val="309C45E7"/>
    <w:rsid w:val="30A12166"/>
    <w:rsid w:val="30A13BD7"/>
    <w:rsid w:val="30B71989"/>
    <w:rsid w:val="30CA0702"/>
    <w:rsid w:val="30CB0F91"/>
    <w:rsid w:val="30D20571"/>
    <w:rsid w:val="31124E12"/>
    <w:rsid w:val="313602BC"/>
    <w:rsid w:val="317F1A54"/>
    <w:rsid w:val="31973569"/>
    <w:rsid w:val="31C364EC"/>
    <w:rsid w:val="31D41044"/>
    <w:rsid w:val="31E57E30"/>
    <w:rsid w:val="31FB5844"/>
    <w:rsid w:val="32153953"/>
    <w:rsid w:val="32195D2C"/>
    <w:rsid w:val="3243731A"/>
    <w:rsid w:val="32780945"/>
    <w:rsid w:val="32D0288E"/>
    <w:rsid w:val="33244988"/>
    <w:rsid w:val="332D674C"/>
    <w:rsid w:val="33400EA3"/>
    <w:rsid w:val="33490375"/>
    <w:rsid w:val="337A6C9E"/>
    <w:rsid w:val="33D44600"/>
    <w:rsid w:val="33EA7980"/>
    <w:rsid w:val="33F94067"/>
    <w:rsid w:val="33FD557F"/>
    <w:rsid w:val="34082B44"/>
    <w:rsid w:val="347C7A35"/>
    <w:rsid w:val="34931DC5"/>
    <w:rsid w:val="34D04DC8"/>
    <w:rsid w:val="34F226A3"/>
    <w:rsid w:val="351C2BB8"/>
    <w:rsid w:val="3538296D"/>
    <w:rsid w:val="353A713F"/>
    <w:rsid w:val="357F059C"/>
    <w:rsid w:val="358D3C5A"/>
    <w:rsid w:val="3592002F"/>
    <w:rsid w:val="35AA397D"/>
    <w:rsid w:val="35BF4E3C"/>
    <w:rsid w:val="35F43F4A"/>
    <w:rsid w:val="35F745D6"/>
    <w:rsid w:val="36453593"/>
    <w:rsid w:val="36554861"/>
    <w:rsid w:val="365C3BAD"/>
    <w:rsid w:val="366072AB"/>
    <w:rsid w:val="366150EE"/>
    <w:rsid w:val="36714388"/>
    <w:rsid w:val="367F7DF8"/>
    <w:rsid w:val="36946210"/>
    <w:rsid w:val="369B1405"/>
    <w:rsid w:val="36AB243C"/>
    <w:rsid w:val="36C17780"/>
    <w:rsid w:val="36C95B54"/>
    <w:rsid w:val="36D30B9F"/>
    <w:rsid w:val="36DA1F2E"/>
    <w:rsid w:val="36E508D2"/>
    <w:rsid w:val="37133692"/>
    <w:rsid w:val="3728009E"/>
    <w:rsid w:val="373C7E38"/>
    <w:rsid w:val="374A67D1"/>
    <w:rsid w:val="378F1341"/>
    <w:rsid w:val="37914E1C"/>
    <w:rsid w:val="37AB1B1C"/>
    <w:rsid w:val="37B02C8E"/>
    <w:rsid w:val="37B63DE0"/>
    <w:rsid w:val="37D3697D"/>
    <w:rsid w:val="380958D5"/>
    <w:rsid w:val="3836588A"/>
    <w:rsid w:val="38575DB5"/>
    <w:rsid w:val="388243D6"/>
    <w:rsid w:val="38AE5AAE"/>
    <w:rsid w:val="38CF489A"/>
    <w:rsid w:val="38DD71EC"/>
    <w:rsid w:val="38EA0422"/>
    <w:rsid w:val="391334D5"/>
    <w:rsid w:val="391978EF"/>
    <w:rsid w:val="391E47EA"/>
    <w:rsid w:val="39364146"/>
    <w:rsid w:val="39D0617D"/>
    <w:rsid w:val="39FF1E0A"/>
    <w:rsid w:val="3A06303A"/>
    <w:rsid w:val="3A105C66"/>
    <w:rsid w:val="3A2B6F44"/>
    <w:rsid w:val="3A347BA7"/>
    <w:rsid w:val="3A573895"/>
    <w:rsid w:val="3A5C70FE"/>
    <w:rsid w:val="3AB50B0C"/>
    <w:rsid w:val="3ABB3136"/>
    <w:rsid w:val="3AFB60DC"/>
    <w:rsid w:val="3B583D69"/>
    <w:rsid w:val="3B7B3C9E"/>
    <w:rsid w:val="3B7F22D6"/>
    <w:rsid w:val="3B9A1C8B"/>
    <w:rsid w:val="3BA743A8"/>
    <w:rsid w:val="3BE54A14"/>
    <w:rsid w:val="3BEB698B"/>
    <w:rsid w:val="3C0C4D5B"/>
    <w:rsid w:val="3C293BC2"/>
    <w:rsid w:val="3C2F4ACA"/>
    <w:rsid w:val="3C3F6EED"/>
    <w:rsid w:val="3C44609B"/>
    <w:rsid w:val="3C6F3118"/>
    <w:rsid w:val="3C74613C"/>
    <w:rsid w:val="3CA01012"/>
    <w:rsid w:val="3CB52AF5"/>
    <w:rsid w:val="3CD613E9"/>
    <w:rsid w:val="3CE401C5"/>
    <w:rsid w:val="3CE91981"/>
    <w:rsid w:val="3CF33D49"/>
    <w:rsid w:val="3D207281"/>
    <w:rsid w:val="3D2D6B2F"/>
    <w:rsid w:val="3D485717"/>
    <w:rsid w:val="3D636565"/>
    <w:rsid w:val="3D7B789B"/>
    <w:rsid w:val="3D932E36"/>
    <w:rsid w:val="3DB00D18"/>
    <w:rsid w:val="3DC85C08"/>
    <w:rsid w:val="3DC9653B"/>
    <w:rsid w:val="3DC96858"/>
    <w:rsid w:val="3DD31EFC"/>
    <w:rsid w:val="3DF24001"/>
    <w:rsid w:val="3E45258B"/>
    <w:rsid w:val="3E525D72"/>
    <w:rsid w:val="3E5C76CC"/>
    <w:rsid w:val="3E9F580B"/>
    <w:rsid w:val="3EB46EC5"/>
    <w:rsid w:val="3EB94B1E"/>
    <w:rsid w:val="3EC62D97"/>
    <w:rsid w:val="3ECA2888"/>
    <w:rsid w:val="3EDA1E89"/>
    <w:rsid w:val="3F2006FA"/>
    <w:rsid w:val="3F2432A9"/>
    <w:rsid w:val="3F2C3542"/>
    <w:rsid w:val="3F316DAB"/>
    <w:rsid w:val="3F367F1D"/>
    <w:rsid w:val="3F4C7741"/>
    <w:rsid w:val="3F520ACF"/>
    <w:rsid w:val="3F6F38B1"/>
    <w:rsid w:val="3F760C61"/>
    <w:rsid w:val="3F815597"/>
    <w:rsid w:val="3F8C0675"/>
    <w:rsid w:val="3FA53259"/>
    <w:rsid w:val="3FB65236"/>
    <w:rsid w:val="3FBE071F"/>
    <w:rsid w:val="3FFA0F65"/>
    <w:rsid w:val="400E7381"/>
    <w:rsid w:val="403B61BE"/>
    <w:rsid w:val="403C77B5"/>
    <w:rsid w:val="403D6568"/>
    <w:rsid w:val="40552625"/>
    <w:rsid w:val="407707ED"/>
    <w:rsid w:val="408745C2"/>
    <w:rsid w:val="4093139F"/>
    <w:rsid w:val="40AF442B"/>
    <w:rsid w:val="40BD01A1"/>
    <w:rsid w:val="40CD3FF4"/>
    <w:rsid w:val="40D75730"/>
    <w:rsid w:val="40F77B80"/>
    <w:rsid w:val="41032081"/>
    <w:rsid w:val="41040E5D"/>
    <w:rsid w:val="4108613C"/>
    <w:rsid w:val="41151DB4"/>
    <w:rsid w:val="411F101A"/>
    <w:rsid w:val="41511589"/>
    <w:rsid w:val="41760AA5"/>
    <w:rsid w:val="41993698"/>
    <w:rsid w:val="41C24C2C"/>
    <w:rsid w:val="41CA7043"/>
    <w:rsid w:val="41E35FAA"/>
    <w:rsid w:val="41F3622B"/>
    <w:rsid w:val="41F6443A"/>
    <w:rsid w:val="41FF65A5"/>
    <w:rsid w:val="42067245"/>
    <w:rsid w:val="420E6F2F"/>
    <w:rsid w:val="422B5D33"/>
    <w:rsid w:val="424B0183"/>
    <w:rsid w:val="425773AB"/>
    <w:rsid w:val="426B6130"/>
    <w:rsid w:val="42816EC0"/>
    <w:rsid w:val="42A31D6D"/>
    <w:rsid w:val="42B62EBF"/>
    <w:rsid w:val="42BF13A8"/>
    <w:rsid w:val="42DC004C"/>
    <w:rsid w:val="42E163F2"/>
    <w:rsid w:val="42F92679"/>
    <w:rsid w:val="42FD6AEA"/>
    <w:rsid w:val="43066BB7"/>
    <w:rsid w:val="43170066"/>
    <w:rsid w:val="432A251A"/>
    <w:rsid w:val="432A61EE"/>
    <w:rsid w:val="434D1CD9"/>
    <w:rsid w:val="4372194D"/>
    <w:rsid w:val="43972F54"/>
    <w:rsid w:val="43AE7540"/>
    <w:rsid w:val="43BD0C0D"/>
    <w:rsid w:val="43BE6733"/>
    <w:rsid w:val="43D30AB1"/>
    <w:rsid w:val="43FB34E3"/>
    <w:rsid w:val="441F5424"/>
    <w:rsid w:val="44242BF2"/>
    <w:rsid w:val="44295A18"/>
    <w:rsid w:val="442962A2"/>
    <w:rsid w:val="443600D1"/>
    <w:rsid w:val="44422052"/>
    <w:rsid w:val="4446213C"/>
    <w:rsid w:val="448C0A90"/>
    <w:rsid w:val="44D02BC2"/>
    <w:rsid w:val="44D0671E"/>
    <w:rsid w:val="44E16B7D"/>
    <w:rsid w:val="44F763A1"/>
    <w:rsid w:val="45097E82"/>
    <w:rsid w:val="45380515"/>
    <w:rsid w:val="453F3F6E"/>
    <w:rsid w:val="455870C9"/>
    <w:rsid w:val="455A248C"/>
    <w:rsid w:val="455C26A8"/>
    <w:rsid w:val="45701CAF"/>
    <w:rsid w:val="45A100BA"/>
    <w:rsid w:val="45DE620E"/>
    <w:rsid w:val="45EB67D2"/>
    <w:rsid w:val="46144D30"/>
    <w:rsid w:val="46160AA8"/>
    <w:rsid w:val="461C3E68"/>
    <w:rsid w:val="46412573"/>
    <w:rsid w:val="464F7B16"/>
    <w:rsid w:val="46525488"/>
    <w:rsid w:val="46554453"/>
    <w:rsid w:val="465B64BB"/>
    <w:rsid w:val="46804174"/>
    <w:rsid w:val="46A75BA4"/>
    <w:rsid w:val="46B9431C"/>
    <w:rsid w:val="46DD15C6"/>
    <w:rsid w:val="46FD0452"/>
    <w:rsid w:val="46FE1EC1"/>
    <w:rsid w:val="47173339"/>
    <w:rsid w:val="471D19C3"/>
    <w:rsid w:val="473B6AF6"/>
    <w:rsid w:val="480037BE"/>
    <w:rsid w:val="48284AC3"/>
    <w:rsid w:val="482B052A"/>
    <w:rsid w:val="48321BFE"/>
    <w:rsid w:val="483D40CA"/>
    <w:rsid w:val="4840005F"/>
    <w:rsid w:val="484F2050"/>
    <w:rsid w:val="487A3570"/>
    <w:rsid w:val="487F60CE"/>
    <w:rsid w:val="48AB372A"/>
    <w:rsid w:val="48DF1625"/>
    <w:rsid w:val="48E44E8E"/>
    <w:rsid w:val="48E71DE0"/>
    <w:rsid w:val="48E955FE"/>
    <w:rsid w:val="48F50E49"/>
    <w:rsid w:val="49172B6D"/>
    <w:rsid w:val="49184B37"/>
    <w:rsid w:val="49373210"/>
    <w:rsid w:val="49555444"/>
    <w:rsid w:val="49650D95"/>
    <w:rsid w:val="49775F25"/>
    <w:rsid w:val="49830203"/>
    <w:rsid w:val="498875C7"/>
    <w:rsid w:val="498F72F7"/>
    <w:rsid w:val="49B43885"/>
    <w:rsid w:val="49B948C6"/>
    <w:rsid w:val="49C12AD9"/>
    <w:rsid w:val="4A062BE2"/>
    <w:rsid w:val="4A3B4F46"/>
    <w:rsid w:val="4A5C2802"/>
    <w:rsid w:val="4A857FAB"/>
    <w:rsid w:val="4A9457E6"/>
    <w:rsid w:val="4AC16991"/>
    <w:rsid w:val="4AC24D5B"/>
    <w:rsid w:val="4ACB602B"/>
    <w:rsid w:val="4B0F4B86"/>
    <w:rsid w:val="4B200A28"/>
    <w:rsid w:val="4B3C10C7"/>
    <w:rsid w:val="4B4E4840"/>
    <w:rsid w:val="4B7324F9"/>
    <w:rsid w:val="4B8169C4"/>
    <w:rsid w:val="4B882CCA"/>
    <w:rsid w:val="4BA803F5"/>
    <w:rsid w:val="4BC06985"/>
    <w:rsid w:val="4BEF63DD"/>
    <w:rsid w:val="4C1710D6"/>
    <w:rsid w:val="4C266B6F"/>
    <w:rsid w:val="4C417533"/>
    <w:rsid w:val="4C493FB8"/>
    <w:rsid w:val="4C545E87"/>
    <w:rsid w:val="4C786019"/>
    <w:rsid w:val="4CA121A8"/>
    <w:rsid w:val="4CAF54B5"/>
    <w:rsid w:val="4CCB5621"/>
    <w:rsid w:val="4CD6614F"/>
    <w:rsid w:val="4CDB65A8"/>
    <w:rsid w:val="4D021466"/>
    <w:rsid w:val="4D147D15"/>
    <w:rsid w:val="4D2C6E03"/>
    <w:rsid w:val="4D480CB5"/>
    <w:rsid w:val="4D5E6D65"/>
    <w:rsid w:val="4D6537ED"/>
    <w:rsid w:val="4D67400E"/>
    <w:rsid w:val="4D7A191D"/>
    <w:rsid w:val="4D7C3266"/>
    <w:rsid w:val="4D840509"/>
    <w:rsid w:val="4D9B2972"/>
    <w:rsid w:val="4D9F75D5"/>
    <w:rsid w:val="4DAB7D28"/>
    <w:rsid w:val="4DB43081"/>
    <w:rsid w:val="4DC87D7D"/>
    <w:rsid w:val="4DDD1EDB"/>
    <w:rsid w:val="4DE80F7C"/>
    <w:rsid w:val="4DFD3E60"/>
    <w:rsid w:val="4E1B3100"/>
    <w:rsid w:val="4E1C52A3"/>
    <w:rsid w:val="4E230DF5"/>
    <w:rsid w:val="4E2B02A0"/>
    <w:rsid w:val="4E330B17"/>
    <w:rsid w:val="4E4A7541"/>
    <w:rsid w:val="4E760336"/>
    <w:rsid w:val="4E807407"/>
    <w:rsid w:val="4EA330F5"/>
    <w:rsid w:val="4EA8070C"/>
    <w:rsid w:val="4EB470B0"/>
    <w:rsid w:val="4EB946C7"/>
    <w:rsid w:val="4EBE1CDD"/>
    <w:rsid w:val="4ECE7984"/>
    <w:rsid w:val="4EDD3D64"/>
    <w:rsid w:val="4F2F0FF2"/>
    <w:rsid w:val="4F561F16"/>
    <w:rsid w:val="4F565CBB"/>
    <w:rsid w:val="4F6E725F"/>
    <w:rsid w:val="4F894099"/>
    <w:rsid w:val="4F8A253C"/>
    <w:rsid w:val="4FC754CE"/>
    <w:rsid w:val="4FD572DE"/>
    <w:rsid w:val="4FDC066D"/>
    <w:rsid w:val="4FE70E6E"/>
    <w:rsid w:val="4FF9723D"/>
    <w:rsid w:val="4FFF25AD"/>
    <w:rsid w:val="500A32CB"/>
    <w:rsid w:val="502142D2"/>
    <w:rsid w:val="502E0831"/>
    <w:rsid w:val="502F155F"/>
    <w:rsid w:val="504A72AE"/>
    <w:rsid w:val="50796C50"/>
    <w:rsid w:val="50870E47"/>
    <w:rsid w:val="509C7DFC"/>
    <w:rsid w:val="50B11AF9"/>
    <w:rsid w:val="50F9524E"/>
    <w:rsid w:val="50FE4613"/>
    <w:rsid w:val="516F00A4"/>
    <w:rsid w:val="51850890"/>
    <w:rsid w:val="51856C95"/>
    <w:rsid w:val="51894824"/>
    <w:rsid w:val="51B00003"/>
    <w:rsid w:val="51B11685"/>
    <w:rsid w:val="51EB2DE9"/>
    <w:rsid w:val="521F2A93"/>
    <w:rsid w:val="522307D5"/>
    <w:rsid w:val="5227392D"/>
    <w:rsid w:val="524E0305"/>
    <w:rsid w:val="52AB2578"/>
    <w:rsid w:val="52AB64C9"/>
    <w:rsid w:val="52AC3333"/>
    <w:rsid w:val="52C04276"/>
    <w:rsid w:val="52C534B2"/>
    <w:rsid w:val="52E71802"/>
    <w:rsid w:val="52F65D6E"/>
    <w:rsid w:val="52FF4DD7"/>
    <w:rsid w:val="530C1269"/>
    <w:rsid w:val="53206AC2"/>
    <w:rsid w:val="53285977"/>
    <w:rsid w:val="533A0733"/>
    <w:rsid w:val="53607807"/>
    <w:rsid w:val="53837051"/>
    <w:rsid w:val="53AE2320"/>
    <w:rsid w:val="53B042EA"/>
    <w:rsid w:val="53B35E51"/>
    <w:rsid w:val="53E2646E"/>
    <w:rsid w:val="53EE096F"/>
    <w:rsid w:val="53F8359B"/>
    <w:rsid w:val="542E2280"/>
    <w:rsid w:val="543D5452"/>
    <w:rsid w:val="544C75C8"/>
    <w:rsid w:val="544F0695"/>
    <w:rsid w:val="54D062C6"/>
    <w:rsid w:val="54D14506"/>
    <w:rsid w:val="54E3249D"/>
    <w:rsid w:val="55056B6F"/>
    <w:rsid w:val="55480552"/>
    <w:rsid w:val="55564A1D"/>
    <w:rsid w:val="556709D9"/>
    <w:rsid w:val="556F3655"/>
    <w:rsid w:val="55801A9A"/>
    <w:rsid w:val="5593671B"/>
    <w:rsid w:val="55992B5C"/>
    <w:rsid w:val="559B68D4"/>
    <w:rsid w:val="55A21A11"/>
    <w:rsid w:val="55B300C2"/>
    <w:rsid w:val="55EF275F"/>
    <w:rsid w:val="5627460C"/>
    <w:rsid w:val="56372AA1"/>
    <w:rsid w:val="566B5F8F"/>
    <w:rsid w:val="566D200C"/>
    <w:rsid w:val="56A63783"/>
    <w:rsid w:val="56A717A8"/>
    <w:rsid w:val="56D54068"/>
    <w:rsid w:val="56DC5091"/>
    <w:rsid w:val="56F36D7A"/>
    <w:rsid w:val="5725579B"/>
    <w:rsid w:val="574134AB"/>
    <w:rsid w:val="574376B4"/>
    <w:rsid w:val="57560D05"/>
    <w:rsid w:val="578421FC"/>
    <w:rsid w:val="579E08FE"/>
    <w:rsid w:val="57B243BD"/>
    <w:rsid w:val="57B62A48"/>
    <w:rsid w:val="57B9742D"/>
    <w:rsid w:val="57E02CC4"/>
    <w:rsid w:val="5814296E"/>
    <w:rsid w:val="58164938"/>
    <w:rsid w:val="582901C7"/>
    <w:rsid w:val="58824ECF"/>
    <w:rsid w:val="588540F9"/>
    <w:rsid w:val="588854DF"/>
    <w:rsid w:val="58A27F7A"/>
    <w:rsid w:val="58B101BD"/>
    <w:rsid w:val="58D2260D"/>
    <w:rsid w:val="59071FB3"/>
    <w:rsid w:val="591764DD"/>
    <w:rsid w:val="59224869"/>
    <w:rsid w:val="592A069B"/>
    <w:rsid w:val="59480B21"/>
    <w:rsid w:val="594A4ECB"/>
    <w:rsid w:val="59561490"/>
    <w:rsid w:val="595C45CC"/>
    <w:rsid w:val="596B480F"/>
    <w:rsid w:val="598D29D8"/>
    <w:rsid w:val="59A85A64"/>
    <w:rsid w:val="59C70328"/>
    <w:rsid w:val="59CF1242"/>
    <w:rsid w:val="59D32AE1"/>
    <w:rsid w:val="5A5B2AD6"/>
    <w:rsid w:val="5A663955"/>
    <w:rsid w:val="5A6951F3"/>
    <w:rsid w:val="5A6A06F6"/>
    <w:rsid w:val="5A731BCE"/>
    <w:rsid w:val="5A7E7F78"/>
    <w:rsid w:val="5A851901"/>
    <w:rsid w:val="5A955FE8"/>
    <w:rsid w:val="5AA1673B"/>
    <w:rsid w:val="5AD51B54"/>
    <w:rsid w:val="5AE67453"/>
    <w:rsid w:val="5AF34ABD"/>
    <w:rsid w:val="5B101B12"/>
    <w:rsid w:val="5B1038C0"/>
    <w:rsid w:val="5B283F54"/>
    <w:rsid w:val="5B3A12E0"/>
    <w:rsid w:val="5B3C43F9"/>
    <w:rsid w:val="5B455011"/>
    <w:rsid w:val="5B4F689D"/>
    <w:rsid w:val="5B661B2C"/>
    <w:rsid w:val="5B7C0F56"/>
    <w:rsid w:val="5B8E1F77"/>
    <w:rsid w:val="5B953D21"/>
    <w:rsid w:val="5BBE6F7B"/>
    <w:rsid w:val="5BDB3872"/>
    <w:rsid w:val="5C0E31E0"/>
    <w:rsid w:val="5C2515ED"/>
    <w:rsid w:val="5C294C3A"/>
    <w:rsid w:val="5C371101"/>
    <w:rsid w:val="5CBB39FC"/>
    <w:rsid w:val="5CDA4186"/>
    <w:rsid w:val="5D292A17"/>
    <w:rsid w:val="5D6F0D72"/>
    <w:rsid w:val="5D7C348F"/>
    <w:rsid w:val="5D8F31C2"/>
    <w:rsid w:val="5DA721EE"/>
    <w:rsid w:val="5DD76917"/>
    <w:rsid w:val="5DDA44C4"/>
    <w:rsid w:val="5DDC5CDC"/>
    <w:rsid w:val="5E036058"/>
    <w:rsid w:val="5E0D4729"/>
    <w:rsid w:val="5E27164D"/>
    <w:rsid w:val="5E4541A5"/>
    <w:rsid w:val="5E4C03AE"/>
    <w:rsid w:val="5E622188"/>
    <w:rsid w:val="5E6261E1"/>
    <w:rsid w:val="5E6A0C09"/>
    <w:rsid w:val="5E841F66"/>
    <w:rsid w:val="5EA902B4"/>
    <w:rsid w:val="5ED846F5"/>
    <w:rsid w:val="5EF157B7"/>
    <w:rsid w:val="5F014280"/>
    <w:rsid w:val="5F04373C"/>
    <w:rsid w:val="5F0C5367"/>
    <w:rsid w:val="5F131BD1"/>
    <w:rsid w:val="5F3833E6"/>
    <w:rsid w:val="5F385194"/>
    <w:rsid w:val="5F555D46"/>
    <w:rsid w:val="5F571ABE"/>
    <w:rsid w:val="5F5F4E16"/>
    <w:rsid w:val="5F61742A"/>
    <w:rsid w:val="5F816B3B"/>
    <w:rsid w:val="5F9871DA"/>
    <w:rsid w:val="5FB00017"/>
    <w:rsid w:val="5FCB6008"/>
    <w:rsid w:val="5FF67EAC"/>
    <w:rsid w:val="5FFE018B"/>
    <w:rsid w:val="60261490"/>
    <w:rsid w:val="60300CE7"/>
    <w:rsid w:val="60363DC9"/>
    <w:rsid w:val="603E4A2C"/>
    <w:rsid w:val="604A2DD9"/>
    <w:rsid w:val="604E1113"/>
    <w:rsid w:val="60536011"/>
    <w:rsid w:val="6058765C"/>
    <w:rsid w:val="60804663"/>
    <w:rsid w:val="60917251"/>
    <w:rsid w:val="6098238E"/>
    <w:rsid w:val="60E539A3"/>
    <w:rsid w:val="60E6759D"/>
    <w:rsid w:val="60FD0443"/>
    <w:rsid w:val="612F525A"/>
    <w:rsid w:val="61364C91"/>
    <w:rsid w:val="613A1697"/>
    <w:rsid w:val="61581B1D"/>
    <w:rsid w:val="617F52FC"/>
    <w:rsid w:val="61883922"/>
    <w:rsid w:val="619E75CA"/>
    <w:rsid w:val="61D1534D"/>
    <w:rsid w:val="61D355A0"/>
    <w:rsid w:val="61E403FB"/>
    <w:rsid w:val="61F47A98"/>
    <w:rsid w:val="61FE4473"/>
    <w:rsid w:val="62001846"/>
    <w:rsid w:val="620140DF"/>
    <w:rsid w:val="620F042E"/>
    <w:rsid w:val="625C50B7"/>
    <w:rsid w:val="62620EA5"/>
    <w:rsid w:val="626647B3"/>
    <w:rsid w:val="627F1696"/>
    <w:rsid w:val="62970423"/>
    <w:rsid w:val="62AC0373"/>
    <w:rsid w:val="62B9483E"/>
    <w:rsid w:val="62BD1642"/>
    <w:rsid w:val="630261E5"/>
    <w:rsid w:val="631C1015"/>
    <w:rsid w:val="631D4DCC"/>
    <w:rsid w:val="6329551F"/>
    <w:rsid w:val="632C14B3"/>
    <w:rsid w:val="63471D15"/>
    <w:rsid w:val="634C4DBD"/>
    <w:rsid w:val="636B26DB"/>
    <w:rsid w:val="63784A9C"/>
    <w:rsid w:val="637F15E3"/>
    <w:rsid w:val="63956756"/>
    <w:rsid w:val="63B147CB"/>
    <w:rsid w:val="63C94F54"/>
    <w:rsid w:val="63F326EA"/>
    <w:rsid w:val="64124205"/>
    <w:rsid w:val="64145061"/>
    <w:rsid w:val="64400EF0"/>
    <w:rsid w:val="644F5459"/>
    <w:rsid w:val="6456039C"/>
    <w:rsid w:val="64A137DB"/>
    <w:rsid w:val="64DB0657"/>
    <w:rsid w:val="64E558BE"/>
    <w:rsid w:val="650F6997"/>
    <w:rsid w:val="654C1999"/>
    <w:rsid w:val="655A60B2"/>
    <w:rsid w:val="65815AE7"/>
    <w:rsid w:val="658514DA"/>
    <w:rsid w:val="658E1337"/>
    <w:rsid w:val="658E3D60"/>
    <w:rsid w:val="65BA4B55"/>
    <w:rsid w:val="65BA6903"/>
    <w:rsid w:val="65C31F3F"/>
    <w:rsid w:val="65D200F0"/>
    <w:rsid w:val="65D375F8"/>
    <w:rsid w:val="65F764CE"/>
    <w:rsid w:val="65FA13F5"/>
    <w:rsid w:val="660A5ADC"/>
    <w:rsid w:val="661029C7"/>
    <w:rsid w:val="66124586"/>
    <w:rsid w:val="6616725E"/>
    <w:rsid w:val="661B13ED"/>
    <w:rsid w:val="665723A3"/>
    <w:rsid w:val="66737EE4"/>
    <w:rsid w:val="668141DE"/>
    <w:rsid w:val="66C24F70"/>
    <w:rsid w:val="67172231"/>
    <w:rsid w:val="673715D0"/>
    <w:rsid w:val="675C1FE7"/>
    <w:rsid w:val="67670D0C"/>
    <w:rsid w:val="6771220F"/>
    <w:rsid w:val="67825B46"/>
    <w:rsid w:val="67864576"/>
    <w:rsid w:val="678E6299"/>
    <w:rsid w:val="679D472E"/>
    <w:rsid w:val="67BD26DA"/>
    <w:rsid w:val="67D8681C"/>
    <w:rsid w:val="67EB36EB"/>
    <w:rsid w:val="67F02AB0"/>
    <w:rsid w:val="680700DC"/>
    <w:rsid w:val="68126ECA"/>
    <w:rsid w:val="68282249"/>
    <w:rsid w:val="682E35D8"/>
    <w:rsid w:val="685D03F9"/>
    <w:rsid w:val="689A2A1B"/>
    <w:rsid w:val="68AA7102"/>
    <w:rsid w:val="68BE1741"/>
    <w:rsid w:val="69237C91"/>
    <w:rsid w:val="69273E73"/>
    <w:rsid w:val="694A2693"/>
    <w:rsid w:val="69572F2E"/>
    <w:rsid w:val="696C085C"/>
    <w:rsid w:val="699658D9"/>
    <w:rsid w:val="69C55155"/>
    <w:rsid w:val="6A024D1C"/>
    <w:rsid w:val="6A042842"/>
    <w:rsid w:val="6A486BD3"/>
    <w:rsid w:val="6A51640E"/>
    <w:rsid w:val="6A6B466F"/>
    <w:rsid w:val="6A863A05"/>
    <w:rsid w:val="6AA67D9D"/>
    <w:rsid w:val="6AC344AB"/>
    <w:rsid w:val="6AC55036"/>
    <w:rsid w:val="6AE13432"/>
    <w:rsid w:val="6AEB2C75"/>
    <w:rsid w:val="6B050FEE"/>
    <w:rsid w:val="6B2111D2"/>
    <w:rsid w:val="6B252A70"/>
    <w:rsid w:val="6B454EC0"/>
    <w:rsid w:val="6B460C38"/>
    <w:rsid w:val="6B482C03"/>
    <w:rsid w:val="6B531AB3"/>
    <w:rsid w:val="6B560266"/>
    <w:rsid w:val="6B5B7BB3"/>
    <w:rsid w:val="6B5C045C"/>
    <w:rsid w:val="6B647ACE"/>
    <w:rsid w:val="6BBB5183"/>
    <w:rsid w:val="6BC06C3D"/>
    <w:rsid w:val="6BC7621D"/>
    <w:rsid w:val="6BCE6D20"/>
    <w:rsid w:val="6BD34BC2"/>
    <w:rsid w:val="6BF75464"/>
    <w:rsid w:val="6C045D80"/>
    <w:rsid w:val="6C0C513D"/>
    <w:rsid w:val="6C1A459F"/>
    <w:rsid w:val="6C347ED9"/>
    <w:rsid w:val="6C4B378C"/>
    <w:rsid w:val="6C4D758C"/>
    <w:rsid w:val="6C624437"/>
    <w:rsid w:val="6C663441"/>
    <w:rsid w:val="6C715A52"/>
    <w:rsid w:val="6C8E5108"/>
    <w:rsid w:val="6C9E6F7E"/>
    <w:rsid w:val="6CCF0D79"/>
    <w:rsid w:val="6CF3576D"/>
    <w:rsid w:val="6D042B59"/>
    <w:rsid w:val="6D166445"/>
    <w:rsid w:val="6D21161F"/>
    <w:rsid w:val="6D2B458A"/>
    <w:rsid w:val="6D4E1FD9"/>
    <w:rsid w:val="6D605FE2"/>
    <w:rsid w:val="6D745F31"/>
    <w:rsid w:val="6D8018C0"/>
    <w:rsid w:val="6D9914F3"/>
    <w:rsid w:val="6DA40375"/>
    <w:rsid w:val="6DA77C55"/>
    <w:rsid w:val="6DA87988"/>
    <w:rsid w:val="6DCA36D7"/>
    <w:rsid w:val="6DFA6436"/>
    <w:rsid w:val="6DFD7CD4"/>
    <w:rsid w:val="6DFE57FA"/>
    <w:rsid w:val="6E1B63AC"/>
    <w:rsid w:val="6E213562"/>
    <w:rsid w:val="6E3A4A84"/>
    <w:rsid w:val="6E511637"/>
    <w:rsid w:val="6E587601"/>
    <w:rsid w:val="6E7F3A9C"/>
    <w:rsid w:val="6EC66318"/>
    <w:rsid w:val="6ED8429D"/>
    <w:rsid w:val="6ED870F8"/>
    <w:rsid w:val="6EE20FB0"/>
    <w:rsid w:val="6EE5266B"/>
    <w:rsid w:val="6F0C75E9"/>
    <w:rsid w:val="6F127BBD"/>
    <w:rsid w:val="6F1C23DC"/>
    <w:rsid w:val="6F343BCA"/>
    <w:rsid w:val="6F7E4E45"/>
    <w:rsid w:val="6F82139A"/>
    <w:rsid w:val="6F8A37EA"/>
    <w:rsid w:val="6FC860C0"/>
    <w:rsid w:val="6FE13847"/>
    <w:rsid w:val="70330580"/>
    <w:rsid w:val="7034110A"/>
    <w:rsid w:val="70347EC5"/>
    <w:rsid w:val="7037325E"/>
    <w:rsid w:val="704C0A9F"/>
    <w:rsid w:val="70645DE9"/>
    <w:rsid w:val="70716758"/>
    <w:rsid w:val="70877D29"/>
    <w:rsid w:val="70B328CC"/>
    <w:rsid w:val="70BA5135"/>
    <w:rsid w:val="70C865BA"/>
    <w:rsid w:val="710359C7"/>
    <w:rsid w:val="710C022E"/>
    <w:rsid w:val="710C4F64"/>
    <w:rsid w:val="712832BA"/>
    <w:rsid w:val="712E7CE0"/>
    <w:rsid w:val="7141684A"/>
    <w:rsid w:val="714B2F5B"/>
    <w:rsid w:val="714D518E"/>
    <w:rsid w:val="715F4802"/>
    <w:rsid w:val="716342F2"/>
    <w:rsid w:val="718A77FB"/>
    <w:rsid w:val="71BB56FA"/>
    <w:rsid w:val="71C31235"/>
    <w:rsid w:val="724F424E"/>
    <w:rsid w:val="727147ED"/>
    <w:rsid w:val="729C3F60"/>
    <w:rsid w:val="72A44BC2"/>
    <w:rsid w:val="72BD5C84"/>
    <w:rsid w:val="72CB65F3"/>
    <w:rsid w:val="72EB27F1"/>
    <w:rsid w:val="72ED34B8"/>
    <w:rsid w:val="72FA32DB"/>
    <w:rsid w:val="730613D9"/>
    <w:rsid w:val="730D6F28"/>
    <w:rsid w:val="73221F8B"/>
    <w:rsid w:val="733028FA"/>
    <w:rsid w:val="733046A8"/>
    <w:rsid w:val="73315854"/>
    <w:rsid w:val="733F301D"/>
    <w:rsid w:val="7349146F"/>
    <w:rsid w:val="73530CAF"/>
    <w:rsid w:val="73657957"/>
    <w:rsid w:val="73722F12"/>
    <w:rsid w:val="73B47087"/>
    <w:rsid w:val="73C3551C"/>
    <w:rsid w:val="73D85B66"/>
    <w:rsid w:val="73FE6554"/>
    <w:rsid w:val="74235FBB"/>
    <w:rsid w:val="74244651"/>
    <w:rsid w:val="743326A2"/>
    <w:rsid w:val="746E5488"/>
    <w:rsid w:val="74794B8D"/>
    <w:rsid w:val="7491438D"/>
    <w:rsid w:val="74933355"/>
    <w:rsid w:val="74961CFE"/>
    <w:rsid w:val="749F246B"/>
    <w:rsid w:val="74AF784E"/>
    <w:rsid w:val="74D37CCA"/>
    <w:rsid w:val="74DB0643"/>
    <w:rsid w:val="74EF5B6E"/>
    <w:rsid w:val="74F0721D"/>
    <w:rsid w:val="74F71921"/>
    <w:rsid w:val="74FD680C"/>
    <w:rsid w:val="75A44FD6"/>
    <w:rsid w:val="75A46F31"/>
    <w:rsid w:val="75A8117E"/>
    <w:rsid w:val="75F24464"/>
    <w:rsid w:val="75FA70B8"/>
    <w:rsid w:val="760D2A7F"/>
    <w:rsid w:val="761E6A3A"/>
    <w:rsid w:val="762A2599"/>
    <w:rsid w:val="763149BF"/>
    <w:rsid w:val="7641097A"/>
    <w:rsid w:val="76465CA4"/>
    <w:rsid w:val="764D37C3"/>
    <w:rsid w:val="76527883"/>
    <w:rsid w:val="7677439C"/>
    <w:rsid w:val="767D5E56"/>
    <w:rsid w:val="76967AE3"/>
    <w:rsid w:val="76AF3B36"/>
    <w:rsid w:val="76DB2B7D"/>
    <w:rsid w:val="76E01F41"/>
    <w:rsid w:val="770F60C1"/>
    <w:rsid w:val="771852A8"/>
    <w:rsid w:val="77471AC4"/>
    <w:rsid w:val="775070C7"/>
    <w:rsid w:val="7755292F"/>
    <w:rsid w:val="77737259"/>
    <w:rsid w:val="77752FD1"/>
    <w:rsid w:val="77A711E5"/>
    <w:rsid w:val="77BF1197"/>
    <w:rsid w:val="77DB58B6"/>
    <w:rsid w:val="77E6545F"/>
    <w:rsid w:val="77F044AB"/>
    <w:rsid w:val="77F122C3"/>
    <w:rsid w:val="77FA431C"/>
    <w:rsid w:val="78016613"/>
    <w:rsid w:val="782347DB"/>
    <w:rsid w:val="784F3822"/>
    <w:rsid w:val="785B6A4B"/>
    <w:rsid w:val="78700AEC"/>
    <w:rsid w:val="78720118"/>
    <w:rsid w:val="78817E80"/>
    <w:rsid w:val="78881314"/>
    <w:rsid w:val="789254BD"/>
    <w:rsid w:val="78C935D5"/>
    <w:rsid w:val="78FE4D5E"/>
    <w:rsid w:val="794964C4"/>
    <w:rsid w:val="794970F6"/>
    <w:rsid w:val="799F634B"/>
    <w:rsid w:val="79B25E17"/>
    <w:rsid w:val="79BD47BC"/>
    <w:rsid w:val="7A146E06"/>
    <w:rsid w:val="7A1532E7"/>
    <w:rsid w:val="7A1C14E2"/>
    <w:rsid w:val="7A41010A"/>
    <w:rsid w:val="7A4C5587"/>
    <w:rsid w:val="7A4D1FE3"/>
    <w:rsid w:val="7A501001"/>
    <w:rsid w:val="7A635363"/>
    <w:rsid w:val="7A8D0632"/>
    <w:rsid w:val="7A9C77AE"/>
    <w:rsid w:val="7AB73F37"/>
    <w:rsid w:val="7AD43DCB"/>
    <w:rsid w:val="7AD973D3"/>
    <w:rsid w:val="7ADE09A6"/>
    <w:rsid w:val="7AEE0676"/>
    <w:rsid w:val="7AEE7323"/>
    <w:rsid w:val="7AF8058E"/>
    <w:rsid w:val="7AFF5E9C"/>
    <w:rsid w:val="7B015E17"/>
    <w:rsid w:val="7B0F1047"/>
    <w:rsid w:val="7B22521E"/>
    <w:rsid w:val="7B362A78"/>
    <w:rsid w:val="7B5178B1"/>
    <w:rsid w:val="7B684125"/>
    <w:rsid w:val="7B6B623C"/>
    <w:rsid w:val="7B7A2964"/>
    <w:rsid w:val="7B7D31C4"/>
    <w:rsid w:val="7B8E776C"/>
    <w:rsid w:val="7B902188"/>
    <w:rsid w:val="7BDC53CD"/>
    <w:rsid w:val="7BE97AEA"/>
    <w:rsid w:val="7C013085"/>
    <w:rsid w:val="7C057E14"/>
    <w:rsid w:val="7C0B3F04"/>
    <w:rsid w:val="7C1253BC"/>
    <w:rsid w:val="7C1B1A99"/>
    <w:rsid w:val="7C423191"/>
    <w:rsid w:val="7C61562B"/>
    <w:rsid w:val="7C896BD7"/>
    <w:rsid w:val="7C8C718A"/>
    <w:rsid w:val="7C9B6DD9"/>
    <w:rsid w:val="7CDB7433"/>
    <w:rsid w:val="7D0A5F6A"/>
    <w:rsid w:val="7D741635"/>
    <w:rsid w:val="7D837FCA"/>
    <w:rsid w:val="7DD1096F"/>
    <w:rsid w:val="7DE10D4F"/>
    <w:rsid w:val="7DEF65D0"/>
    <w:rsid w:val="7DF044E9"/>
    <w:rsid w:val="7E176B90"/>
    <w:rsid w:val="7E3A287F"/>
    <w:rsid w:val="7E461224"/>
    <w:rsid w:val="7E703D97"/>
    <w:rsid w:val="7EAC1F50"/>
    <w:rsid w:val="7EC34622"/>
    <w:rsid w:val="7EE06F82"/>
    <w:rsid w:val="7EF97A8A"/>
    <w:rsid w:val="7F067F7C"/>
    <w:rsid w:val="7F231AE3"/>
    <w:rsid w:val="7F2E0730"/>
    <w:rsid w:val="7F767868"/>
    <w:rsid w:val="7F8E4463"/>
    <w:rsid w:val="7F912972"/>
    <w:rsid w:val="7FA53B5B"/>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3"/>
    <w:qFormat/>
    <w:uiPriority w:val="0"/>
    <w:pPr>
      <w:spacing w:before="360" w:after="120"/>
      <w:jc w:val="left"/>
      <w:outlineLvl w:val="2"/>
    </w:pPr>
    <w:rPr>
      <w:rFonts w:ascii="宋体" w:hAnsi="Times New Roman" w:eastAsia="宋体"/>
      <w:sz w:val="24"/>
      <w:u w:val="single"/>
    </w:rPr>
  </w:style>
  <w:style w:type="paragraph" w:styleId="7">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hAnsi="Times New Roman"/>
      <w:kern w:val="0"/>
      <w:sz w:val="24"/>
      <w:szCs w:val="20"/>
    </w:rPr>
  </w:style>
  <w:style w:type="paragraph" w:styleId="4">
    <w:name w:val="toa heading"/>
    <w:basedOn w:val="1"/>
    <w:next w:val="1"/>
    <w:qFormat/>
    <w:uiPriority w:val="0"/>
    <w:pPr>
      <w:widowControl/>
      <w:spacing w:before="120"/>
      <w:ind w:firstLine="3584"/>
    </w:pPr>
  </w:style>
  <w:style w:type="paragraph" w:styleId="8">
    <w:name w:val="annotation text"/>
    <w:basedOn w:val="1"/>
    <w:link w:val="62"/>
    <w:qFormat/>
    <w:uiPriority w:val="0"/>
    <w:pPr>
      <w:jc w:val="left"/>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1"/>
    <w:qFormat/>
    <w:uiPriority w:val="0"/>
    <w:pPr>
      <w:spacing w:line="360" w:lineRule="auto"/>
      <w:ind w:firstLine="570"/>
    </w:pPr>
    <w:rPr>
      <w:rFonts w:ascii="Times New Roman" w:hAnsi="Times New Roman"/>
      <w:sz w:val="24"/>
    </w:rPr>
  </w:style>
  <w:style w:type="paragraph" w:styleId="11">
    <w:name w:val="Body Text First Indent 2"/>
    <w:basedOn w:val="10"/>
    <w:next w:val="3"/>
    <w:qFormat/>
    <w:uiPriority w:val="0"/>
    <w:pPr>
      <w:ind w:firstLine="420" w:firstLineChars="2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rPr>
      <w:rFonts w:ascii="仿宋_GB2312" w:hAnsi="Courier New" w:eastAsia="仿宋_GB2312"/>
      <w:kern w:val="0"/>
      <w:sz w:val="24"/>
    </w:rPr>
  </w:style>
  <w:style w:type="paragraph" w:styleId="15">
    <w:name w:val="Balloon Text"/>
    <w:basedOn w:val="1"/>
    <w:link w:val="61"/>
    <w:qFormat/>
    <w:uiPriority w:val="0"/>
    <w:rPr>
      <w:sz w:val="18"/>
      <w:szCs w:val="18"/>
    </w:rPr>
  </w:style>
  <w:style w:type="paragraph" w:styleId="16">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qFormat/>
    <w:uiPriority w:val="0"/>
    <w:rPr>
      <w:rFonts w:ascii="Times New Roman" w:hAnsi="Times New Roman"/>
    </w:rPr>
  </w:style>
  <w:style w:type="paragraph" w:styleId="19">
    <w:name w:val="footnote text"/>
    <w:basedOn w:val="1"/>
    <w:qFormat/>
    <w:uiPriority w:val="0"/>
    <w:pPr>
      <w:snapToGrid w:val="0"/>
      <w:jc w:val="left"/>
    </w:pPr>
    <w:rPr>
      <w:rFonts w:ascii="Times New Roman" w:hAnsi="Times New Roman"/>
      <w:sz w:val="18"/>
    </w:rPr>
  </w:style>
  <w:style w:type="paragraph" w:styleId="20">
    <w:name w:val="toc 2"/>
    <w:basedOn w:val="1"/>
    <w:next w:val="1"/>
    <w:qFormat/>
    <w:uiPriority w:val="0"/>
    <w:pPr>
      <w:ind w:left="420" w:leftChars="200"/>
    </w:pPr>
    <w:rPr>
      <w:rFonts w:ascii="Times New Roman" w:hAnsi="Times New Roman"/>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3">
    <w:name w:val="annotation subject"/>
    <w:basedOn w:val="8"/>
    <w:next w:val="8"/>
    <w:link w:val="63"/>
    <w:qFormat/>
    <w:uiPriority w:val="0"/>
    <w:rPr>
      <w:b/>
      <w:bCs/>
    </w:rPr>
  </w:style>
  <w:style w:type="paragraph" w:styleId="24">
    <w:name w:val="Body Text First Indent"/>
    <w:basedOn w:val="9"/>
    <w:qFormat/>
    <w:uiPriority w:val="0"/>
    <w:pPr>
      <w:spacing w:after="120" w:line="240" w:lineRule="auto"/>
      <w:ind w:firstLine="420" w:firstLineChars="100"/>
    </w:pPr>
    <w:rPr>
      <w:rFonts w:ascii="Calibri" w:hAnsi="Calibri"/>
      <w:sz w:val="18"/>
      <w:szCs w:val="18"/>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page number"/>
    <w:basedOn w:val="27"/>
    <w:qFormat/>
    <w:uiPriority w:val="0"/>
    <w:rPr>
      <w:rFonts w:ascii="Times New Roman" w:hAnsi="Times New Roman" w:eastAsia="宋体" w:cs="Times New Roman"/>
    </w:rPr>
  </w:style>
  <w:style w:type="character" w:styleId="30">
    <w:name w:val="Hyperlink"/>
    <w:basedOn w:val="27"/>
    <w:qFormat/>
    <w:uiPriority w:val="0"/>
    <w:rPr>
      <w:color w:val="0000FF"/>
      <w:u w:val="single"/>
    </w:rPr>
  </w:style>
  <w:style w:type="character" w:styleId="31">
    <w:name w:val="annotation reference"/>
    <w:basedOn w:val="27"/>
    <w:qFormat/>
    <w:uiPriority w:val="0"/>
    <w:rPr>
      <w:sz w:val="21"/>
      <w:szCs w:val="21"/>
    </w:rPr>
  </w:style>
  <w:style w:type="paragraph" w:customStyle="1" w:styleId="32">
    <w:name w:val="正文王森"/>
    <w:basedOn w:val="1"/>
    <w:qFormat/>
    <w:uiPriority w:val="0"/>
    <w:pPr>
      <w:spacing w:line="360" w:lineRule="auto"/>
      <w:ind w:firstLine="480" w:firstLineChars="200"/>
    </w:pPr>
    <w:rPr>
      <w:rFonts w:ascii="黑体" w:hAnsi="黑体" w:eastAsia="黑体"/>
      <w:sz w:val="24"/>
    </w:rPr>
  </w:style>
  <w:style w:type="paragraph" w:customStyle="1" w:styleId="33">
    <w:name w:val="List2"/>
    <w:basedOn w:val="1"/>
    <w:qFormat/>
    <w:uiPriority w:val="0"/>
    <w:pPr>
      <w:widowControl/>
      <w:ind w:left="100" w:leftChars="200" w:hanging="200" w:hangingChars="200"/>
      <w:contextualSpacing/>
      <w:textAlignment w:val="baseline"/>
    </w:pPr>
  </w:style>
  <w:style w:type="paragraph" w:customStyle="1" w:styleId="34">
    <w:name w:val="Heading3"/>
    <w:basedOn w:val="1"/>
    <w:next w:val="1"/>
    <w:qFormat/>
    <w:uiPriority w:val="0"/>
    <w:pPr>
      <w:keepNext/>
      <w:numPr>
        <w:ilvl w:val="0"/>
        <w:numId w:val="1"/>
      </w:numPr>
      <w:jc w:val="both"/>
      <w:textAlignment w:val="baseline"/>
    </w:pPr>
    <w:rPr>
      <w:rFonts w:cs="Times New Roman"/>
      <w:b/>
      <w:bCs/>
      <w:kern w:val="2"/>
      <w:sz w:val="28"/>
      <w:szCs w:val="24"/>
      <w:lang w:val="en-US" w:eastAsia="zh-CN" w:bidi="ar-SA"/>
    </w:rPr>
  </w:style>
  <w:style w:type="paragraph" w:customStyle="1" w:styleId="35">
    <w:name w:val="BodyText"/>
    <w:basedOn w:val="1"/>
    <w:qFormat/>
    <w:uiPriority w:val="0"/>
    <w:pPr>
      <w:spacing w:after="120"/>
    </w:pPr>
  </w:style>
  <w:style w:type="paragraph" w:customStyle="1" w:styleId="36">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37">
    <w:name w:val="标题 1 Char"/>
    <w:link w:val="5"/>
    <w:qFormat/>
    <w:uiPriority w:val="0"/>
    <w:rPr>
      <w:rFonts w:ascii="宋体"/>
      <w:b/>
      <w:kern w:val="44"/>
      <w:sz w:val="32"/>
      <w:szCs w:val="20"/>
    </w:rPr>
  </w:style>
  <w:style w:type="paragraph" w:customStyle="1" w:styleId="38">
    <w:name w:val="No Spacing_3b93350b-94da-44fa-8143-641484b951a0"/>
    <w:link w:val="55"/>
    <w:qFormat/>
    <w:uiPriority w:val="1"/>
    <w:pPr>
      <w:widowControl w:val="0"/>
      <w:jc w:val="both"/>
    </w:pPr>
    <w:rPr>
      <w:rFonts w:ascii="Calibri" w:hAnsi="Calibri" w:eastAsia="宋体" w:cs="Times New Roman"/>
      <w:kern w:val="2"/>
      <w:sz w:val="21"/>
      <w:szCs w:val="24"/>
      <w:lang w:val="en-US" w:eastAsia="zh-CN" w:bidi="ar-SA"/>
    </w:rPr>
  </w:style>
  <w:style w:type="character" w:customStyle="1" w:styleId="39">
    <w:name w:val="NormalCharacter"/>
    <w:qFormat/>
    <w:uiPriority w:val="0"/>
    <w:rPr>
      <w:rFonts w:ascii="Calibri" w:hAnsi="Calibri" w:eastAsia="宋体" w:cs="Times New Roman"/>
      <w:kern w:val="2"/>
      <w:sz w:val="21"/>
      <w:szCs w:val="24"/>
      <w:lang w:val="en-US" w:eastAsia="zh-CN" w:bidi="ar-SA"/>
    </w:rPr>
  </w:style>
  <w:style w:type="paragraph" w:customStyle="1" w:styleId="40">
    <w:name w:val="图例"/>
    <w:basedOn w:val="1"/>
    <w:qFormat/>
    <w:uiPriority w:val="0"/>
    <w:pPr>
      <w:spacing w:before="120" w:after="120" w:line="360" w:lineRule="auto"/>
      <w:jc w:val="center"/>
    </w:pPr>
    <w:rPr>
      <w:rFonts w:eastAsia="仿宋_GB2312"/>
      <w:b/>
      <w:sz w:val="24"/>
    </w:rPr>
  </w:style>
  <w:style w:type="paragraph" w:customStyle="1" w:styleId="41">
    <w:name w:val="列出段落1"/>
    <w:basedOn w:val="1"/>
    <w:qFormat/>
    <w:uiPriority w:val="0"/>
    <w:pPr>
      <w:ind w:firstLine="420" w:firstLineChars="200"/>
    </w:pPr>
  </w:style>
  <w:style w:type="paragraph" w:customStyle="1" w:styleId="42">
    <w:name w:val="List Paragraph_7aecd6e6-fc70-4df6-be05-ef790174fbad"/>
    <w:basedOn w:val="1"/>
    <w:qFormat/>
    <w:uiPriority w:val="34"/>
    <w:pPr>
      <w:ind w:firstLine="420" w:firstLineChars="200"/>
    </w:pPr>
  </w:style>
  <w:style w:type="paragraph" w:customStyle="1" w:styleId="43">
    <w:name w:val="正文-manu"/>
    <w:basedOn w:val="1"/>
    <w:qFormat/>
    <w:uiPriority w:val="0"/>
    <w:pPr>
      <w:spacing w:line="300" w:lineRule="auto"/>
    </w:pPr>
    <w:rPr>
      <w:b/>
      <w:snapToGrid w:val="0"/>
      <w:kern w:val="0"/>
      <w:sz w:val="24"/>
      <w:szCs w:val="20"/>
    </w:rPr>
  </w:style>
  <w:style w:type="character" w:customStyle="1" w:styleId="44">
    <w:name w:val="font01"/>
    <w:basedOn w:val="27"/>
    <w:qFormat/>
    <w:uiPriority w:val="0"/>
    <w:rPr>
      <w:rFonts w:hint="default" w:ascii="Arial" w:hAnsi="Arial" w:cs="Arial"/>
      <w:color w:val="000000"/>
      <w:sz w:val="22"/>
      <w:szCs w:val="22"/>
      <w:u w:val="none"/>
    </w:rPr>
  </w:style>
  <w:style w:type="character" w:customStyle="1" w:styleId="45">
    <w:name w:val="font41"/>
    <w:basedOn w:val="27"/>
    <w:qFormat/>
    <w:uiPriority w:val="0"/>
    <w:rPr>
      <w:rFonts w:hint="eastAsia" w:ascii="宋体" w:hAnsi="宋体" w:eastAsia="宋体" w:cs="宋体"/>
      <w:color w:val="000000"/>
      <w:sz w:val="22"/>
      <w:szCs w:val="22"/>
      <w:u w:val="none"/>
    </w:rPr>
  </w:style>
  <w:style w:type="character" w:customStyle="1" w:styleId="46">
    <w:name w:val="font51"/>
    <w:basedOn w:val="27"/>
    <w:qFormat/>
    <w:uiPriority w:val="0"/>
    <w:rPr>
      <w:rFonts w:hint="eastAsia" w:ascii="宋体" w:hAnsi="宋体" w:eastAsia="宋体" w:cs="宋体"/>
      <w:color w:val="000000"/>
      <w:sz w:val="22"/>
      <w:szCs w:val="22"/>
      <w:u w:val="none"/>
    </w:rPr>
  </w:style>
  <w:style w:type="character" w:customStyle="1" w:styleId="47">
    <w:name w:val="font31"/>
    <w:basedOn w:val="27"/>
    <w:qFormat/>
    <w:uiPriority w:val="0"/>
    <w:rPr>
      <w:rFonts w:hint="default" w:ascii="Arial" w:hAnsi="Arial" w:cs="Arial"/>
      <w:b/>
      <w:color w:val="000000"/>
      <w:sz w:val="22"/>
      <w:szCs w:val="22"/>
      <w:u w:val="none"/>
    </w:rPr>
  </w:style>
  <w:style w:type="character" w:customStyle="1" w:styleId="48">
    <w:name w:val="font91"/>
    <w:basedOn w:val="27"/>
    <w:qFormat/>
    <w:uiPriority w:val="0"/>
    <w:rPr>
      <w:rFonts w:hint="default" w:ascii="Arial" w:hAnsi="Arial" w:cs="Arial"/>
      <w:color w:val="000000"/>
      <w:sz w:val="22"/>
      <w:szCs w:val="22"/>
      <w:u w:val="none"/>
    </w:rPr>
  </w:style>
  <w:style w:type="character" w:customStyle="1" w:styleId="49">
    <w:name w:val="font81"/>
    <w:basedOn w:val="27"/>
    <w:qFormat/>
    <w:uiPriority w:val="0"/>
    <w:rPr>
      <w:rFonts w:hint="eastAsia" w:ascii="宋体" w:hAnsi="宋体" w:eastAsia="宋体" w:cs="宋体"/>
      <w:color w:val="000000"/>
      <w:sz w:val="22"/>
      <w:szCs w:val="22"/>
      <w:u w:val="none"/>
    </w:rPr>
  </w:style>
  <w:style w:type="character" w:customStyle="1" w:styleId="50">
    <w:name w:val="font21"/>
    <w:basedOn w:val="27"/>
    <w:qFormat/>
    <w:uiPriority w:val="0"/>
    <w:rPr>
      <w:rFonts w:ascii="微软雅黑" w:hAnsi="微软雅黑" w:eastAsia="微软雅黑" w:cs="微软雅黑"/>
      <w:b/>
      <w:color w:val="000000"/>
      <w:sz w:val="24"/>
      <w:szCs w:val="24"/>
      <w:u w:val="none"/>
    </w:rPr>
  </w:style>
  <w:style w:type="character" w:customStyle="1" w:styleId="51">
    <w:name w:val="font61"/>
    <w:basedOn w:val="27"/>
    <w:qFormat/>
    <w:uiPriority w:val="0"/>
    <w:rPr>
      <w:rFonts w:hint="default" w:ascii="Times New Roman" w:hAnsi="Times New Roman" w:cs="Times New Roman"/>
      <w:b/>
      <w:color w:val="000000"/>
      <w:sz w:val="24"/>
      <w:szCs w:val="24"/>
      <w:u w:val="none"/>
    </w:rPr>
  </w:style>
  <w:style w:type="character" w:customStyle="1" w:styleId="52">
    <w:name w:val="font71"/>
    <w:basedOn w:val="27"/>
    <w:qFormat/>
    <w:uiPriority w:val="0"/>
    <w:rPr>
      <w:rFonts w:hint="eastAsia" w:ascii="微软雅黑" w:hAnsi="微软雅黑" w:eastAsia="微软雅黑" w:cs="微软雅黑"/>
      <w:color w:val="000000"/>
      <w:sz w:val="24"/>
      <w:szCs w:val="24"/>
      <w:u w:val="none"/>
    </w:rPr>
  </w:style>
  <w:style w:type="character" w:customStyle="1" w:styleId="53">
    <w:name w:val="font101"/>
    <w:basedOn w:val="27"/>
    <w:qFormat/>
    <w:uiPriority w:val="0"/>
    <w:rPr>
      <w:rFonts w:hint="default" w:ascii="Times New Roman" w:hAnsi="Times New Roman" w:cs="Times New Roman"/>
      <w:color w:val="000000"/>
      <w:sz w:val="24"/>
      <w:szCs w:val="24"/>
      <w:u w:val="none"/>
    </w:rPr>
  </w:style>
  <w:style w:type="paragraph" w:customStyle="1" w:styleId="54">
    <w:name w:val="_Style 1"/>
    <w:basedOn w:val="1"/>
    <w:qFormat/>
    <w:uiPriority w:val="34"/>
    <w:pPr>
      <w:ind w:firstLine="420" w:firstLineChars="200"/>
    </w:pPr>
  </w:style>
  <w:style w:type="character" w:customStyle="1" w:styleId="55">
    <w:name w:val="无间隔 Char"/>
    <w:link w:val="38"/>
    <w:qFormat/>
    <w:uiPriority w:val="1"/>
    <w:rPr>
      <w:rFonts w:ascii="Calibri" w:hAnsi="Calibri" w:eastAsia="宋体" w:cs="Times New Roman"/>
      <w:kern w:val="2"/>
      <w:sz w:val="21"/>
      <w:szCs w:val="24"/>
      <w:lang w:val="en-US" w:eastAsia="zh-CN" w:bidi="ar-SA"/>
    </w:rPr>
  </w:style>
  <w:style w:type="paragraph" w:customStyle="1" w:styleId="56">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7">
    <w:name w:val="索引 11"/>
    <w:basedOn w:val="1"/>
    <w:next w:val="1"/>
    <w:qFormat/>
    <w:uiPriority w:val="0"/>
    <w:pPr>
      <w:spacing w:line="360" w:lineRule="auto"/>
    </w:pPr>
    <w:rPr>
      <w:rFonts w:ascii="仿宋_GB2312" w:eastAsia="仿宋_GB2312"/>
      <w:sz w:val="24"/>
      <w:szCs w:val="20"/>
    </w:rPr>
  </w:style>
  <w:style w:type="paragraph" w:customStyle="1" w:styleId="58">
    <w:name w:val="纯文本1"/>
    <w:basedOn w:val="1"/>
    <w:qFormat/>
    <w:uiPriority w:val="0"/>
    <w:rPr>
      <w:rFonts w:ascii="宋体" w:hAnsi="Courier New"/>
      <w:kern w:val="0"/>
      <w:sz w:val="20"/>
      <w:szCs w:val="20"/>
    </w:rPr>
  </w:style>
  <w:style w:type="paragraph" w:customStyle="1" w:styleId="59">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0">
    <w:name w:val="石墨文档正文"/>
    <w:qFormat/>
    <w:uiPriority w:val="0"/>
    <w:rPr>
      <w:rFonts w:ascii="微软雅黑" w:hAnsi="微软雅黑" w:eastAsia="微软雅黑" w:cs="微软雅黑"/>
      <w:sz w:val="24"/>
      <w:szCs w:val="24"/>
      <w:lang w:val="en-US" w:eastAsia="zh-CN" w:bidi="ar-SA"/>
    </w:rPr>
  </w:style>
  <w:style w:type="character" w:customStyle="1" w:styleId="61">
    <w:name w:val="批注框文本 Char"/>
    <w:basedOn w:val="27"/>
    <w:link w:val="15"/>
    <w:qFormat/>
    <w:uiPriority w:val="0"/>
    <w:rPr>
      <w:kern w:val="2"/>
      <w:sz w:val="18"/>
      <w:szCs w:val="18"/>
    </w:rPr>
  </w:style>
  <w:style w:type="character" w:customStyle="1" w:styleId="62">
    <w:name w:val="批注文字 Char"/>
    <w:basedOn w:val="27"/>
    <w:link w:val="8"/>
    <w:qFormat/>
    <w:uiPriority w:val="0"/>
    <w:rPr>
      <w:kern w:val="2"/>
      <w:sz w:val="21"/>
      <w:szCs w:val="24"/>
    </w:rPr>
  </w:style>
  <w:style w:type="character" w:customStyle="1" w:styleId="63">
    <w:name w:val="批注主题 Char"/>
    <w:basedOn w:val="62"/>
    <w:link w:val="23"/>
    <w:qFormat/>
    <w:uiPriority w:val="0"/>
    <w:rPr>
      <w:b/>
      <w:bCs/>
      <w:kern w:val="2"/>
      <w:sz w:val="21"/>
      <w:szCs w:val="24"/>
    </w:rPr>
  </w:style>
  <w:style w:type="paragraph" w:customStyle="1" w:styleId="64">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65">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66">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67">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68">
    <w:name w:val="s1"/>
    <w:basedOn w:val="27"/>
    <w:qFormat/>
    <w:uiPriority w:val="0"/>
    <w:rPr>
      <w:rFonts w:ascii="pingfang sc" w:hAnsi="pingfang sc" w:eastAsia="pingfang sc" w:cs="pingfang sc"/>
      <w:sz w:val="40"/>
      <w:szCs w:val="40"/>
    </w:rPr>
  </w:style>
  <w:style w:type="character" w:customStyle="1" w:styleId="69">
    <w:name w:val="trans"/>
    <w:qFormat/>
    <w:uiPriority w:val="99"/>
  </w:style>
  <w:style w:type="paragraph" w:customStyle="1" w:styleId="70">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1">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2">
    <w:name w:val="PageNumber"/>
    <w:qFormat/>
    <w:uiPriority w:val="99"/>
    <w:rPr>
      <w:rFonts w:cs="Times New Roman"/>
    </w:rPr>
  </w:style>
  <w:style w:type="paragraph" w:customStyle="1" w:styleId="73">
    <w:name w:val="样式1"/>
    <w:basedOn w:val="6"/>
    <w:qFormat/>
    <w:uiPriority w:val="0"/>
    <w:pPr>
      <w:spacing w:before="100" w:beforeAutospacing="1" w:after="100" w:afterAutospacing="1"/>
      <w:ind w:right="100" w:rightChars="100"/>
    </w:pPr>
    <w:rPr>
      <w:sz w:val="21"/>
    </w:rPr>
  </w:style>
  <w:style w:type="paragraph" w:customStyle="1" w:styleId="74">
    <w:name w:val="UserStyle_15"/>
    <w:basedOn w:val="75"/>
    <w:qFormat/>
    <w:uiPriority w:val="0"/>
    <w:pPr>
      <w:keepNext/>
      <w:widowControl/>
      <w:numPr>
        <w:ilvl w:val="1"/>
        <w:numId w:val="2"/>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75">
    <w:name w:val="Heading2"/>
    <w:basedOn w:val="1"/>
    <w:next w:val="1"/>
    <w:qFormat/>
    <w:uiPriority w:val="0"/>
    <w:pPr>
      <w:keepNext/>
      <w:widowControl/>
      <w:numPr>
        <w:ilvl w:val="1"/>
        <w:numId w:val="2"/>
      </w:numPr>
      <w:spacing w:before="240" w:after="60"/>
      <w:textAlignment w:val="baseline"/>
    </w:pPr>
    <w:rPr>
      <w:rFonts w:ascii="Cambria" w:hAnsi="Cambria" w:cs="Times New Roman"/>
      <w:b/>
      <w:bCs/>
      <w:i/>
      <w:iCs/>
      <w:sz w:val="28"/>
      <w:szCs w:val="28"/>
      <w:lang w:bidi="ar-SA"/>
    </w:rPr>
  </w:style>
  <w:style w:type="character" w:customStyle="1" w:styleId="76">
    <w:name w:val="UserStyle_2"/>
    <w:link w:val="77"/>
    <w:qFormat/>
    <w:uiPriority w:val="0"/>
    <w:rPr>
      <w:kern w:val="0"/>
      <w:sz w:val="20"/>
      <w:szCs w:val="24"/>
      <w:lang w:val="en-US" w:eastAsia="zh-CN" w:bidi="ar-SA"/>
    </w:rPr>
  </w:style>
  <w:style w:type="paragraph" w:customStyle="1" w:styleId="77">
    <w:name w:val="UserStyle_3"/>
    <w:basedOn w:val="1"/>
    <w:link w:val="76"/>
    <w:qFormat/>
    <w:uiPriority w:val="0"/>
    <w:pPr>
      <w:jc w:val="both"/>
      <w:textAlignment w:val="baseline"/>
    </w:pPr>
    <w:rPr>
      <w:kern w:val="0"/>
      <w:sz w:val="20"/>
      <w:szCs w:val="24"/>
      <w:lang w:val="en-US" w:eastAsia="zh-CN" w:bidi="ar-SA"/>
    </w:rPr>
  </w:style>
  <w:style w:type="paragraph" w:customStyle="1" w:styleId="78">
    <w:name w:val="List Paragraph1"/>
    <w:basedOn w:val="1"/>
    <w:qFormat/>
    <w:uiPriority w:val="0"/>
    <w:pPr>
      <w:ind w:firstLine="420" w:firstLineChars="200"/>
    </w:pPr>
  </w:style>
  <w:style w:type="paragraph" w:customStyle="1" w:styleId="79">
    <w:name w:val="List Paragraph"/>
    <w:basedOn w:val="1"/>
    <w:qFormat/>
    <w:uiPriority w:val="34"/>
    <w:pPr>
      <w:ind w:firstLine="420" w:firstLineChars="200"/>
    </w:pPr>
  </w:style>
  <w:style w:type="paragraph" w:styleId="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2">
    <w:name w:val="TOC Heading"/>
    <w:basedOn w:val="5"/>
    <w:next w:val="1"/>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3">
    <w:name w:val="标题33"/>
    <w:basedOn w:val="2"/>
    <w:next w:val="32"/>
    <w:qFormat/>
    <w:uiPriority w:val="0"/>
    <w:pPr>
      <w:numPr>
        <w:ilvl w:val="2"/>
        <w:numId w:val="3"/>
      </w:numPr>
      <w:tabs>
        <w:tab w:val="clear" w:pos="720"/>
      </w:tabs>
    </w:pPr>
    <w:rPr>
      <w:rFonts w:hAnsi="黑体" w:eastAsia="黑体"/>
      <w:sz w:val="30"/>
      <w:szCs w:val="30"/>
    </w:rPr>
  </w:style>
  <w:style w:type="paragraph" w:customStyle="1" w:styleId="84">
    <w:name w:val="标题44"/>
    <w:basedOn w:val="7"/>
    <w:next w:val="32"/>
    <w:qFormat/>
    <w:uiPriority w:val="0"/>
    <w:pPr>
      <w:numPr>
        <w:ilvl w:val="3"/>
        <w:numId w:val="3"/>
      </w:numPr>
    </w:pPr>
    <w:rPr>
      <w:sz w:val="30"/>
      <w:szCs w:val="30"/>
    </w:rPr>
  </w:style>
  <w:style w:type="paragraph" w:customStyle="1" w:styleId="85">
    <w:name w:val="表格文字"/>
    <w:basedOn w:val="1"/>
    <w:qFormat/>
    <w:uiPriority w:val="0"/>
    <w:pPr>
      <w:spacing w:before="25" w:after="25"/>
      <w:jc w:val="left"/>
    </w:pPr>
    <w:rPr>
      <w:bCs/>
      <w:spacing w:val="10"/>
      <w:kern w:val="0"/>
      <w:sz w:val="24"/>
    </w:rPr>
  </w:style>
  <w:style w:type="paragraph" w:customStyle="1" w:styleId="86">
    <w:name w:val="p0"/>
    <w:basedOn w:val="1"/>
    <w:qFormat/>
    <w:uiPriority w:val="0"/>
    <w:pPr>
      <w:widowControl/>
    </w:pPr>
    <w:rPr>
      <w:kern w:val="0"/>
      <w:szCs w:val="21"/>
    </w:rPr>
  </w:style>
  <w:style w:type="character" w:customStyle="1" w:styleId="87">
    <w:name w:val="font11"/>
    <w:basedOn w:val="27"/>
    <w:qFormat/>
    <w:uiPriority w:val="0"/>
    <w:rPr>
      <w:rFonts w:hint="eastAsia" w:ascii="宋体" w:hAnsi="宋体" w:eastAsia="宋体" w:cs="宋体"/>
      <w:color w:val="333333"/>
      <w:sz w:val="24"/>
      <w:szCs w:val="24"/>
      <w:u w:val="none"/>
    </w:rPr>
  </w:style>
  <w:style w:type="table" w:customStyle="1" w:styleId="88">
    <w:name w:val="Table Normal"/>
    <w:semiHidden/>
    <w:unhideWhenUsed/>
    <w:qFormat/>
    <w:uiPriority w:val="0"/>
    <w:tblPr>
      <w:tblCellMar>
        <w:top w:w="0" w:type="dxa"/>
        <w:left w:w="0" w:type="dxa"/>
        <w:bottom w:w="0" w:type="dxa"/>
        <w:right w:w="0" w:type="dxa"/>
      </w:tblCellMar>
    </w:tblPr>
  </w:style>
  <w:style w:type="paragraph" w:customStyle="1" w:styleId="89">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0">
    <w:name w:val="CharAttribute0"/>
    <w:qFormat/>
    <w:uiPriority w:val="0"/>
    <w:rPr>
      <w:rFonts w:ascii="Times New Roman"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101</Pages>
  <Words>49976</Words>
  <Characters>56779</Characters>
  <Paragraphs>2159</Paragraphs>
  <TotalTime>4</TotalTime>
  <ScaleCrop>false</ScaleCrop>
  <LinksUpToDate>false</LinksUpToDate>
  <CharactersWithSpaces>62018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宁宁宁呀宁</cp:lastModifiedBy>
  <cp:lastPrinted>2022-09-13T02:08:00Z</cp:lastPrinted>
  <dcterms:modified xsi:type="dcterms:W3CDTF">2022-11-16T13:42:48Z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C875BBEA6D6E40038C1FA91E52657589</vt:lpwstr>
  </property>
</Properties>
</file>