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Style w:val="36"/>
        <w:rPr>
          <w:rFonts w:hint="eastAsia"/>
        </w:rPr>
      </w:pPr>
    </w:p>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《新疆维吾尔自治区国土空间规划</w:t>
      </w: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宋体" w:hAnsi="宋体" w:eastAsia="宋体" w:cs="宋体"/>
          <w:b/>
          <w:color w:val="auto"/>
          <w:sz w:val="36"/>
          <w:szCs w:val="36"/>
          <w:highlight w:val="none"/>
          <w:lang w:eastAsia="zh-CN"/>
        </w:rPr>
      </w:pPr>
      <w:r>
        <w:rPr>
          <w:rFonts w:hint="eastAsia" w:ascii="黑体" w:hAnsi="黑体" w:eastAsia="黑体" w:cs="黑体"/>
          <w:color w:val="auto"/>
          <w:sz w:val="36"/>
          <w:szCs w:val="36"/>
          <w:highlight w:val="none"/>
        </w:rPr>
        <w:t>历史文化保护专项</w:t>
      </w:r>
      <w:r>
        <w:rPr>
          <w:rFonts w:hint="eastAsia" w:ascii="黑体" w:hAnsi="黑体" w:eastAsia="黑体" w:cs="黑体"/>
          <w:color w:val="auto"/>
          <w:sz w:val="36"/>
          <w:szCs w:val="36"/>
          <w:highlight w:val="none"/>
          <w:lang w:val="en-US" w:eastAsia="zh-CN"/>
        </w:rPr>
        <w:t>规划</w:t>
      </w:r>
      <w:r>
        <w:rPr>
          <w:rFonts w:hint="eastAsia" w:ascii="黑体" w:hAnsi="黑体" w:eastAsia="黑体" w:cs="黑体"/>
          <w:color w:val="auto"/>
          <w:sz w:val="36"/>
          <w:szCs w:val="36"/>
          <w:highlight w:val="none"/>
        </w:rPr>
        <w:t>》</w:t>
      </w:r>
      <w:r>
        <w:rPr>
          <w:rFonts w:hint="eastAsia" w:ascii="宋体" w:hAnsi="宋体" w:cs="宋体"/>
          <w:b/>
          <w:color w:val="auto"/>
          <w:sz w:val="36"/>
          <w:szCs w:val="36"/>
          <w:highlight w:val="none"/>
          <w:lang w:eastAsia="zh-CN"/>
        </w:rPr>
        <w:t>项目　</w:t>
      </w:r>
    </w:p>
    <w:p>
      <w:pPr>
        <w:pStyle w:val="36"/>
        <w:rPr>
          <w:rFonts w:hint="eastAsia"/>
          <w:color w:val="auto"/>
          <w:highlight w:val="none"/>
          <w:lang w:eastAsia="zh-CN"/>
        </w:rPr>
      </w:pP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竞争性磋商文件</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Style w:val="6"/>
        <w:rPr>
          <w:rFonts w:hint="eastAsia"/>
        </w:rPr>
      </w:pPr>
    </w:p>
    <w:p>
      <w:pPr>
        <w:pageBreakBefore w:val="0"/>
        <w:kinsoku/>
        <w:topLinePunct w:val="0"/>
        <w:bidi w:val="0"/>
        <w:spacing w:line="400" w:lineRule="exact"/>
        <w:ind w:left="0" w:leftChars="0" w:firstLine="0" w:firstLineChars="0"/>
        <w:jc w:val="center"/>
        <w:rPr>
          <w:rFonts w:hint="default" w:ascii="宋体" w:hAnsi="宋体" w:eastAsia="宋体" w:cs="宋体"/>
          <w:b/>
          <w:sz w:val="30"/>
          <w:szCs w:val="30"/>
          <w:lang w:val="en-US" w:eastAsia="zh-CN"/>
        </w:rPr>
      </w:pPr>
      <w:r>
        <w:rPr>
          <w:rFonts w:hint="eastAsia" w:ascii="宋体" w:hAnsi="宋体" w:eastAsia="宋体" w:cs="宋体"/>
          <w:b/>
          <w:sz w:val="30"/>
          <w:szCs w:val="30"/>
        </w:rPr>
        <w:t>项目编号：</w:t>
      </w:r>
      <w:r>
        <w:rPr>
          <w:rFonts w:hint="eastAsia" w:ascii="宋体" w:hAnsi="宋体" w:cs="宋体"/>
          <w:b/>
          <w:sz w:val="30"/>
          <w:szCs w:val="30"/>
          <w:lang w:eastAsia="zh-CN"/>
        </w:rPr>
        <w:t>HYGJ-ZFCG-2022-080</w:t>
      </w:r>
    </w:p>
    <w:p>
      <w:pPr>
        <w:pStyle w:val="12"/>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5"/>
        <w:pageBreakBefore w:val="0"/>
        <w:kinsoku/>
        <w:topLinePunct w:val="0"/>
        <w:bidi w:val="0"/>
        <w:spacing w:after="0" w:line="400" w:lineRule="exact"/>
        <w:ind w:left="0" w:leftChars="0" w:firstLine="0" w:firstLineChars="0"/>
        <w:rPr>
          <w:rFonts w:hint="eastAsia" w:ascii="宋体" w:hAnsi="宋体" w:eastAsia="宋体" w:cs="宋体"/>
          <w:sz w:val="21"/>
          <w:szCs w:val="21"/>
        </w:rPr>
      </w:pPr>
    </w:p>
    <w:p>
      <w:pPr>
        <w:pStyle w:val="36"/>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5"/>
        <w:pageBreakBefore w:val="0"/>
        <w:kinsoku/>
        <w:topLinePunct w:val="0"/>
        <w:bidi w:val="0"/>
        <w:spacing w:after="0" w:line="400" w:lineRule="exact"/>
        <w:ind w:left="0" w:leftChars="0" w:firstLine="0" w:firstLineChars="0"/>
        <w:rPr>
          <w:rFonts w:hint="eastAsia" w:ascii="宋体" w:hAnsi="宋体" w:eastAsia="宋体" w:cs="宋体"/>
          <w:sz w:val="21"/>
          <w:szCs w:val="21"/>
        </w:rPr>
      </w:pPr>
    </w:p>
    <w:p>
      <w:pPr>
        <w:pStyle w:val="36"/>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36"/>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4"/>
          <w:szCs w:val="24"/>
          <w:highlight w:val="none"/>
        </w:rPr>
      </w:pP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cs="宋体"/>
          <w:sz w:val="24"/>
          <w:szCs w:val="24"/>
          <w:highlight w:val="none"/>
          <w:lang w:eastAsia="zh-CN"/>
        </w:rPr>
        <w:t>新疆维吾尔自治区国土空间规划研究中心</w:t>
      </w:r>
      <w:r>
        <w:rPr>
          <w:rFonts w:hint="eastAsia" w:ascii="宋体" w:hAnsi="宋体" w:eastAsia="宋体" w:cs="宋体"/>
          <w:sz w:val="24"/>
          <w:szCs w:val="24"/>
          <w:highlight w:val="none"/>
        </w:rPr>
        <w:t> </w:t>
      </w:r>
    </w:p>
    <w:p>
      <w:pPr>
        <w:pageBreakBefore w:val="0"/>
        <w:kinsoku/>
        <w:topLinePunct w:val="0"/>
        <w:bidi w:val="0"/>
        <w:spacing w:line="400" w:lineRule="exact"/>
        <w:ind w:left="0" w:leftChars="0" w:firstLine="0" w:firstLineChars="0"/>
        <w:jc w:val="left"/>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联系人：</w:t>
      </w:r>
      <w:r>
        <w:rPr>
          <w:rFonts w:hint="eastAsia" w:ascii="宋体" w:hAnsi="宋体" w:cs="宋体"/>
          <w:sz w:val="24"/>
          <w:szCs w:val="24"/>
          <w:highlight w:val="none"/>
          <w:lang w:val="en-US" w:eastAsia="zh-CN"/>
        </w:rPr>
        <w:t>王强吉</w:t>
      </w:r>
    </w:p>
    <w:p>
      <w:pPr>
        <w:pageBreakBefore w:val="0"/>
        <w:kinsoku/>
        <w:topLinePunct w:val="0"/>
        <w:bidi w:val="0"/>
        <w:spacing w:line="400" w:lineRule="exact"/>
        <w:ind w:left="0" w:leftChars="0" w:firstLine="0" w:firstLineChars="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 xml:space="preserve">联系电话：0991-2649938 </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cs="宋体"/>
          <w:sz w:val="24"/>
          <w:szCs w:val="24"/>
          <w:highlight w:val="none"/>
          <w:lang w:val="en-US" w:eastAsia="zh-CN"/>
        </w:rPr>
        <w:t>乌鲁木齐市天山区金银路56号</w:t>
      </w:r>
      <w:r>
        <w:rPr>
          <w:rFonts w:hint="eastAsia" w:ascii="宋体" w:hAnsi="宋体" w:eastAsia="宋体" w:cs="宋体"/>
          <w:sz w:val="24"/>
          <w:szCs w:val="24"/>
          <w:highlight w:val="none"/>
        </w:rPr>
        <w:t xml:space="preserve"> </w:t>
      </w:r>
    </w:p>
    <w:p>
      <w:pPr>
        <w:pStyle w:val="35"/>
        <w:pageBreakBefore w:val="0"/>
        <w:kinsoku/>
        <w:topLinePunct w:val="0"/>
        <w:bidi w:val="0"/>
        <w:spacing w:after="0" w:line="400" w:lineRule="exact"/>
        <w:ind w:left="0" w:leftChars="0" w:firstLine="0" w:firstLineChars="0"/>
        <w:jc w:val="left"/>
        <w:rPr>
          <w:rFonts w:hint="eastAsia" w:ascii="宋体" w:hAnsi="宋体" w:eastAsia="宋体" w:cs="宋体"/>
          <w:sz w:val="24"/>
          <w:szCs w:val="24"/>
        </w:rPr>
      </w:pP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采购代理机构：宏业国际项目管理有限公司</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联系人：李苗</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联系电话：15022921857</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地址：乌鲁木齐水磨沟区红光山路万科大都会8号楼1202</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Style w:val="29"/>
        <w:pageBreakBefore w:val="0"/>
        <w:tabs>
          <w:tab w:val="right" w:leader="dot" w:pos="9683"/>
        </w:tabs>
        <w:kinsoku/>
        <w:topLinePunct w:val="0"/>
        <w:bidi w:val="0"/>
        <w:spacing w:line="400" w:lineRule="exact"/>
        <w:ind w:left="0" w:leftChars="0" w:firstLine="0" w:firstLineChars="0"/>
        <w:jc w:val="left"/>
        <w:rPr>
          <w:rStyle w:val="44"/>
          <w:rFonts w:hint="eastAsia" w:ascii="宋体" w:hAnsi="宋体" w:eastAsia="宋体" w:cs="宋体"/>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TOC \o "1-2" \h \z \u </w:instrText>
      </w:r>
      <w:r>
        <w:rPr>
          <w:rFonts w:hint="eastAsia" w:ascii="宋体" w:hAnsi="宋体" w:eastAsia="宋体" w:cs="宋体"/>
          <w:b/>
          <w:sz w:val="21"/>
          <w:szCs w:val="21"/>
        </w:rPr>
        <w:fldChar w:fldCharType="separate"/>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TOC \o "1-2" \h \z \u </w:instrText>
      </w:r>
      <w:r>
        <w:rPr>
          <w:rFonts w:hint="eastAsia" w:ascii="宋体" w:hAnsi="宋体" w:eastAsia="宋体" w:cs="宋体"/>
          <w:b/>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"_Toc462223639" </w:instrText>
      </w:r>
      <w:r>
        <w:rPr>
          <w:rFonts w:hint="eastAsia" w:ascii="宋体" w:hAnsi="宋体" w:eastAsia="宋体" w:cs="宋体"/>
          <w:sz w:val="21"/>
          <w:szCs w:val="21"/>
        </w:rPr>
        <w:fldChar w:fldCharType="separate"/>
      </w:r>
    </w:p>
    <w:sdt>
      <w:sdtPr>
        <w:rPr>
          <w:rFonts w:hint="eastAsia" w:ascii="宋体" w:hAnsi="宋体" w:eastAsia="宋体" w:cs="宋体"/>
          <w:sz w:val="21"/>
          <w:szCs w:val="21"/>
        </w:rPr>
        <w:id w:val="147474017"/>
      </w:sdtPr>
      <w:sdtEndPr>
        <w:rPr>
          <w:rFonts w:hint="eastAsia" w:ascii="宋体" w:hAnsi="宋体" w:eastAsia="宋体" w:cs="宋体"/>
          <w:sz w:val="21"/>
          <w:szCs w:val="21"/>
        </w:rPr>
      </w:sdtEndPr>
      <w:sdtContent>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目  录</w:t>
          </w:r>
        </w:p>
        <w:p>
          <w:pPr>
            <w:pStyle w:val="127"/>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"_Toc23056"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第一章 </w:t>
          </w:r>
          <w:r>
            <w:rPr>
              <w:rFonts w:hint="eastAsia" w:ascii="宋体" w:hAnsi="宋体" w:eastAsia="宋体" w:cs="宋体"/>
              <w:kern w:val="2"/>
              <w:sz w:val="21"/>
              <w:szCs w:val="21"/>
            </w:rPr>
            <w:t>竞争性磋商公告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_Toc23056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7"/>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"_Toc11946" </w:instrText>
          </w:r>
          <w:r>
            <w:rPr>
              <w:rFonts w:hint="eastAsia" w:ascii="宋体" w:hAnsi="宋体" w:eastAsia="宋体" w:cs="宋体"/>
              <w:sz w:val="21"/>
              <w:szCs w:val="21"/>
            </w:rPr>
            <w:fldChar w:fldCharType="separate"/>
          </w:r>
          <w:r>
            <w:rPr>
              <w:rFonts w:hint="eastAsia" w:ascii="宋体" w:hAnsi="宋体" w:eastAsia="宋体" w:cs="宋体"/>
              <w:sz w:val="21"/>
              <w:szCs w:val="21"/>
            </w:rPr>
            <w:t>第二章  供应商须知</w:t>
          </w:r>
          <w:r>
            <w:rPr>
              <w:rFonts w:hint="eastAsia" w:ascii="宋体" w:hAnsi="宋体" w:eastAsia="宋体" w:cs="宋体"/>
              <w:sz w:val="21"/>
              <w:szCs w:val="21"/>
            </w:rPr>
            <w:tab/>
          </w:r>
          <w:r>
            <w:rPr>
              <w:rFonts w:hint="eastAsia" w:ascii="宋体" w:hAnsi="宋体" w:eastAsia="宋体" w:cs="宋体"/>
              <w:sz w:val="21"/>
              <w:szCs w:val="21"/>
              <w:lang w:val="en-US" w:eastAsia="zh-CN"/>
            </w:rPr>
            <w:t>3</w:t>
          </w:r>
          <w:r>
            <w:rPr>
              <w:rFonts w:hint="eastAsia" w:ascii="宋体" w:hAnsi="宋体" w:eastAsia="宋体" w:cs="宋体"/>
              <w:sz w:val="21"/>
              <w:szCs w:val="21"/>
            </w:rPr>
            <w:fldChar w:fldCharType="end"/>
          </w:r>
        </w:p>
        <w:p>
          <w:pPr>
            <w:pStyle w:val="127"/>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"_Toc16105" </w:instrText>
          </w:r>
          <w:r>
            <w:rPr>
              <w:rFonts w:hint="eastAsia" w:ascii="宋体" w:hAnsi="宋体" w:eastAsia="宋体" w:cs="宋体"/>
              <w:sz w:val="21"/>
              <w:szCs w:val="21"/>
            </w:rPr>
            <w:fldChar w:fldCharType="separate"/>
          </w:r>
          <w:r>
            <w:rPr>
              <w:rFonts w:hint="eastAsia" w:ascii="宋体" w:hAnsi="宋体" w:eastAsia="宋体" w:cs="宋体"/>
              <w:sz w:val="21"/>
              <w:szCs w:val="21"/>
            </w:rPr>
            <w:t>第三章  项目需求</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9</w:t>
          </w:r>
        </w:p>
        <w:p>
          <w:pPr>
            <w:pStyle w:val="127"/>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"_Toc28434" </w:instrText>
          </w:r>
          <w:r>
            <w:rPr>
              <w:rFonts w:hint="eastAsia" w:ascii="宋体" w:hAnsi="宋体" w:eastAsia="宋体" w:cs="宋体"/>
              <w:sz w:val="21"/>
              <w:szCs w:val="21"/>
            </w:rPr>
            <w:fldChar w:fldCharType="separate"/>
          </w:r>
          <w:r>
            <w:rPr>
              <w:rFonts w:hint="eastAsia" w:ascii="宋体" w:hAnsi="宋体" w:eastAsia="宋体" w:cs="宋体"/>
              <w:sz w:val="21"/>
              <w:szCs w:val="21"/>
            </w:rPr>
            <w:t>第四章  合同条款（仅供参考）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_Toc28434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7"/>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"_Toc12367" </w:instrText>
          </w:r>
          <w:r>
            <w:rPr>
              <w:rFonts w:hint="eastAsia" w:ascii="宋体" w:hAnsi="宋体" w:eastAsia="宋体" w:cs="宋体"/>
              <w:sz w:val="21"/>
              <w:szCs w:val="21"/>
            </w:rPr>
            <w:fldChar w:fldCharType="separate"/>
          </w:r>
          <w:r>
            <w:rPr>
              <w:rFonts w:hint="eastAsia" w:ascii="宋体" w:hAnsi="宋体" w:eastAsia="宋体" w:cs="宋体"/>
              <w:sz w:val="21"/>
              <w:szCs w:val="21"/>
            </w:rPr>
            <w:t>第五章  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_Toc12367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lang w:val="en-US" w:eastAsia="zh-CN"/>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7"/>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p>
        <w:p>
          <w:pPr>
            <w:pStyle w:val="127"/>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end"/>
          </w:r>
        </w:p>
      </w:sdtContent>
    </w:sdt>
    <w:p>
      <w:pPr>
        <w:pStyle w:val="29"/>
        <w:pageBreakBefore w:val="0"/>
        <w:tabs>
          <w:tab w:val="right" w:leader="dot" w:pos="9683"/>
        </w:tabs>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fldChar w:fldCharType="end"/>
      </w:r>
    </w:p>
    <w:p>
      <w:pPr>
        <w:pStyle w:val="29"/>
        <w:pageBreakBefore w:val="0"/>
        <w:tabs>
          <w:tab w:val="right" w:leader="dot" w:pos="9683"/>
        </w:tabs>
        <w:kinsoku/>
        <w:topLinePunct w:val="0"/>
        <w:bidi w:val="0"/>
        <w:spacing w:line="400" w:lineRule="exact"/>
        <w:ind w:left="0" w:leftChars="0" w:firstLine="0" w:firstLineChars="0"/>
        <w:jc w:val="left"/>
        <w:rPr>
          <w:rFonts w:hint="eastAsia" w:ascii="宋体" w:hAnsi="宋体" w:eastAsia="宋体" w:cs="宋体"/>
          <w:sz w:val="21"/>
          <w:szCs w:val="21"/>
        </w:rPr>
      </w:pPr>
    </w:p>
    <w:p>
      <w:pPr>
        <w:pStyle w:val="29"/>
        <w:pageBreakBefore w:val="0"/>
        <w:tabs>
          <w:tab w:val="right" w:leader="dot" w:pos="8541"/>
        </w:tabs>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fldChar w:fldCharType="end"/>
      </w:r>
    </w:p>
    <w:p>
      <w:pPr>
        <w:pStyle w:val="29"/>
        <w:pageBreakBefore w:val="0"/>
        <w:tabs>
          <w:tab w:val="right" w:leader="dot" w:pos="9683"/>
        </w:tabs>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fldChar w:fldCharType="end"/>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349573118"/>
      <w:bookmarkStart w:id="1" w:name="_Toc462223629"/>
      <w:bookmarkStart w:id="2" w:name="_Toc298240402"/>
      <w:bookmarkStart w:id="3" w:name="_Toc349637917"/>
    </w:p>
    <w:p>
      <w:pPr>
        <w:pageBreakBefore w:val="0"/>
        <w:widowControl/>
        <w:kinsoku/>
        <w:topLinePunct w:val="0"/>
        <w:bidi w:val="0"/>
        <w:spacing w:line="400" w:lineRule="exact"/>
        <w:ind w:left="0" w:leftChars="0" w:firstLine="0" w:firstLineChars="0"/>
        <w:jc w:val="center"/>
        <w:outlineLvl w:val="0"/>
        <w:rPr>
          <w:rFonts w:hint="eastAsia" w:ascii="宋体" w:hAnsi="宋体" w:eastAsia="宋体" w:cs="宋体"/>
          <w:b/>
          <w:sz w:val="21"/>
          <w:szCs w:val="21"/>
        </w:rPr>
      </w:pPr>
      <w:bookmarkStart w:id="4" w:name="_Toc23056"/>
      <w:r>
        <w:rPr>
          <w:rFonts w:hint="eastAsia" w:ascii="宋体" w:hAnsi="宋体" w:eastAsia="宋体" w:cs="宋体"/>
          <w:b/>
          <w:sz w:val="21"/>
          <w:szCs w:val="21"/>
        </w:rPr>
        <w:t>第一章</w:t>
      </w:r>
      <w:bookmarkEnd w:id="0"/>
      <w:bookmarkEnd w:id="1"/>
      <w:bookmarkEnd w:id="2"/>
      <w:bookmarkEnd w:id="3"/>
      <w:bookmarkStart w:id="5" w:name="_Hlk51338716"/>
      <w:bookmarkStart w:id="6" w:name="_Toc349637918"/>
      <w:bookmarkStart w:id="7" w:name="_Toc462223630"/>
      <w:bookmarkStart w:id="8" w:name="_Toc267301280"/>
      <w:bookmarkStart w:id="9" w:name="_Toc298240403"/>
      <w:bookmarkStart w:id="10" w:name="_Toc349573119"/>
      <w:r>
        <w:rPr>
          <w:rFonts w:hint="eastAsia" w:ascii="宋体" w:hAnsi="宋体" w:eastAsia="宋体" w:cs="宋体"/>
          <w:b/>
          <w:sz w:val="21"/>
          <w:szCs w:val="21"/>
        </w:rPr>
        <w:t xml:space="preserve"> 竞争性磋商公告</w:t>
      </w:r>
      <w:bookmarkEnd w:id="4"/>
    </w:p>
    <w:p>
      <w:pPr>
        <w:pageBreakBefore w:val="0"/>
        <w:widowControl/>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《新疆维吾尔自治区国土空间规划历史文化保护专项</w:t>
      </w:r>
      <w:r>
        <w:rPr>
          <w:rFonts w:hint="eastAsia" w:ascii="宋体" w:hAnsi="宋体" w:cs="宋体"/>
          <w:b/>
          <w:color w:val="auto"/>
          <w:sz w:val="21"/>
          <w:szCs w:val="21"/>
          <w:highlight w:val="none"/>
          <w:lang w:val="en-US" w:eastAsia="zh-CN"/>
        </w:rPr>
        <w:t>规划</w:t>
      </w:r>
      <w:r>
        <w:rPr>
          <w:rFonts w:hint="eastAsia" w:ascii="宋体" w:hAnsi="宋体" w:cs="宋体"/>
          <w:b/>
          <w:color w:val="auto"/>
          <w:sz w:val="21"/>
          <w:szCs w:val="21"/>
          <w:highlight w:val="none"/>
          <w:lang w:eastAsia="zh-CN"/>
        </w:rPr>
        <w:t>》项目　　</w:t>
      </w:r>
    </w:p>
    <w:p>
      <w:pPr>
        <w:pageBreakBefore w:val="0"/>
        <w:widowControl/>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竞争性磋商公告</w:t>
      </w:r>
    </w:p>
    <w:p>
      <w:pPr>
        <w:pageBreakBefore w:val="0"/>
        <w:widowControl/>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项目概况</w:t>
      </w: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u w:val="single"/>
          <w:lang w:val="en-US" w:eastAsia="zh-CN" w:bidi="ar-SA"/>
        </w:rPr>
        <w:t xml:space="preserve">《新疆维吾尔自治区国土空间规划历史文化保护专项规划》项目 </w:t>
      </w:r>
      <w:r>
        <w:rPr>
          <w:rFonts w:hint="eastAsia" w:ascii="宋体" w:hAnsi="宋体" w:eastAsia="宋体" w:cs="宋体"/>
          <w:color w:val="auto"/>
          <w:kern w:val="0"/>
          <w:sz w:val="21"/>
          <w:szCs w:val="21"/>
          <w:highlight w:val="none"/>
          <w:lang w:val="en-US" w:eastAsia="zh-CN" w:bidi="ar-SA"/>
        </w:rPr>
        <w:t>的潜在投标人应在乌鲁木齐水磨沟区红光山路万科大都会8号楼1202室获取招标文件，并于</w:t>
      </w:r>
      <w:r>
        <w:rPr>
          <w:rFonts w:hint="eastAsia" w:ascii="宋体" w:hAnsi="宋体" w:cs="宋体"/>
          <w:color w:val="auto"/>
          <w:kern w:val="0"/>
          <w:sz w:val="21"/>
          <w:szCs w:val="21"/>
          <w:highlight w:val="none"/>
          <w:lang w:val="en-US" w:eastAsia="zh-CN" w:bidi="ar-SA"/>
        </w:rPr>
        <w:t>2022年</w:t>
      </w:r>
      <w:r>
        <w:rPr>
          <w:rFonts w:hint="eastAsia" w:ascii="宋体" w:hAnsi="宋体" w:cs="宋体"/>
          <w:color w:val="auto"/>
          <w:kern w:val="0"/>
          <w:sz w:val="21"/>
          <w:szCs w:val="21"/>
          <w:highlight w:val="none"/>
          <w:u w:val="single"/>
          <w:lang w:val="en-US" w:eastAsia="zh-CN" w:bidi="ar-SA"/>
        </w:rPr>
        <w:t>12月12日16时00分</w:t>
      </w:r>
      <w:r>
        <w:rPr>
          <w:rFonts w:hint="eastAsia" w:ascii="宋体" w:hAnsi="宋体" w:cs="宋体"/>
          <w:color w:val="auto"/>
          <w:kern w:val="0"/>
          <w:sz w:val="21"/>
          <w:szCs w:val="21"/>
          <w:highlight w:val="none"/>
          <w:lang w:val="en-US" w:eastAsia="zh-CN" w:bidi="ar-SA"/>
        </w:rPr>
        <w:t>（北京时间）</w:t>
      </w:r>
      <w:r>
        <w:rPr>
          <w:rFonts w:hint="eastAsia" w:ascii="宋体" w:hAnsi="宋体" w:eastAsia="宋体" w:cs="宋体"/>
          <w:color w:val="auto"/>
          <w:kern w:val="0"/>
          <w:sz w:val="21"/>
          <w:szCs w:val="21"/>
          <w:highlight w:val="none"/>
          <w:lang w:val="en-US" w:eastAsia="zh-CN" w:bidi="ar-SA"/>
        </w:rPr>
        <w:t>前递交投标文件。</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40"/>
          <w:rFonts w:hint="eastAsia" w:ascii="宋体" w:hAnsi="宋体" w:eastAsia="宋体" w:cs="宋体"/>
          <w:color w:val="000000"/>
          <w:sz w:val="21"/>
          <w:szCs w:val="21"/>
          <w:highlight w:val="none"/>
        </w:rPr>
        <w:t>一、项目基本情况</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000000"/>
          <w:sz w:val="21"/>
          <w:szCs w:val="21"/>
          <w:highlight w:val="none"/>
        </w:rPr>
        <w:t>项目编号：</w:t>
      </w:r>
      <w:r>
        <w:rPr>
          <w:rFonts w:hint="eastAsia" w:ascii="宋体" w:hAnsi="宋体" w:eastAsia="宋体" w:cs="宋体"/>
          <w:color w:val="auto"/>
          <w:sz w:val="21"/>
          <w:szCs w:val="21"/>
          <w:highlight w:val="none"/>
          <w:lang w:eastAsia="zh-CN"/>
        </w:rPr>
        <w:t>HYGJ-ZFCG-2022-080</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b/>
          <w:color w:val="auto"/>
          <w:sz w:val="21"/>
          <w:szCs w:val="21"/>
          <w:highlight w:val="none"/>
          <w:lang w:eastAsia="zh-CN"/>
        </w:rPr>
        <w:t>《新疆维吾尔自治区国土空间规划历史文化保护专项</w:t>
      </w:r>
      <w:r>
        <w:rPr>
          <w:rFonts w:hint="eastAsia" w:ascii="宋体" w:hAnsi="宋体" w:cs="宋体"/>
          <w:b/>
          <w:color w:val="auto"/>
          <w:sz w:val="21"/>
          <w:szCs w:val="21"/>
          <w:highlight w:val="none"/>
          <w:lang w:val="en-US" w:eastAsia="zh-CN"/>
        </w:rPr>
        <w:t>规划</w:t>
      </w:r>
      <w:r>
        <w:rPr>
          <w:rFonts w:hint="eastAsia" w:ascii="宋体" w:hAnsi="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项目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650000.00</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最高限价（元）：</w:t>
      </w:r>
      <w:r>
        <w:rPr>
          <w:rFonts w:hint="eastAsia" w:ascii="宋体" w:hAnsi="宋体" w:eastAsia="宋体" w:cs="宋体"/>
          <w:color w:val="auto"/>
          <w:sz w:val="21"/>
          <w:szCs w:val="21"/>
          <w:highlight w:val="none"/>
          <w:lang w:val="en-US" w:eastAsia="zh-CN"/>
        </w:rPr>
        <w:t xml:space="preserve">650000.00 </w:t>
      </w: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cs="宋体"/>
          <w:color w:val="auto"/>
          <w:kern w:val="0"/>
          <w:sz w:val="21"/>
          <w:szCs w:val="21"/>
          <w:highlight w:val="none"/>
          <w:u w:val="single"/>
          <w:lang w:val="en-US" w:eastAsia="zh-CN" w:bidi="ar-SA"/>
        </w:rPr>
      </w:pPr>
      <w:r>
        <w:rPr>
          <w:rFonts w:hint="eastAsia" w:ascii="宋体" w:hAnsi="宋体" w:cs="宋体"/>
          <w:color w:val="auto"/>
          <w:kern w:val="0"/>
          <w:sz w:val="21"/>
          <w:szCs w:val="21"/>
          <w:highlight w:val="none"/>
          <w:u w:val="single"/>
          <w:lang w:val="en-US" w:eastAsia="zh-CN" w:bidi="ar-SA"/>
        </w:rPr>
        <w:t>简要规格描述：</w:t>
      </w: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u w:val="single"/>
          <w:lang w:val="en-US" w:eastAsia="zh-CN" w:bidi="ar-SA"/>
        </w:rPr>
        <w:t>依据《新疆维吾尔自治区国土空间规划（2021-2035年）》，全面梳理自治区历史文化遗产资源体系，确保历史文化遗产保护线落地；依据自治区历史文化资源的总体分布情况和资源特点，研究构建历史文化资源保护利用格局；研究提出自治区历史文化资源富集、空间分布集中的等重点区域保护利用的管控要求。</w:t>
      </w:r>
      <w:r>
        <w:rPr>
          <w:rFonts w:hint="eastAsia" w:ascii="宋体" w:hAnsi="宋体" w:eastAsia="宋体" w:cs="宋体"/>
          <w:color w:val="auto"/>
          <w:sz w:val="21"/>
          <w:szCs w:val="21"/>
          <w:highlight w:val="none"/>
          <w:lang w:val="en-US" w:eastAsia="zh-CN"/>
        </w:rPr>
        <w:t>（详见采购需求）</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合同履约期限：</w:t>
      </w:r>
      <w:r>
        <w:rPr>
          <w:rFonts w:hint="eastAsia" w:ascii="宋体" w:hAnsi="宋体" w:eastAsia="宋体" w:cs="宋体"/>
          <w:color w:val="000000"/>
          <w:sz w:val="21"/>
          <w:szCs w:val="21"/>
          <w:highlight w:val="none"/>
          <w:lang w:val="en-US" w:eastAsia="zh-CN"/>
        </w:rPr>
        <w:t>2022年12月至2023年12月</w:t>
      </w:r>
    </w:p>
    <w:p>
      <w:pPr>
        <w:pStyle w:val="34"/>
        <w:pageBreakBefore w:val="0"/>
        <w:kinsoku/>
        <w:topLinePunct w:val="0"/>
        <w:bidi w:val="0"/>
        <w:spacing w:before="0" w:beforeAutospacing="0" w:after="0" w:afterAutospacing="0" w:line="400" w:lineRule="exact"/>
        <w:ind w:left="0" w:leftChars="0" w:firstLine="0" w:firstLineChars="0"/>
        <w:jc w:val="both"/>
        <w:rPr>
          <w:rStyle w:val="40"/>
          <w:rFonts w:hint="eastAsia" w:ascii="宋体" w:hAnsi="宋体" w:eastAsia="宋体" w:cs="宋体"/>
          <w:color w:val="000000"/>
          <w:sz w:val="21"/>
          <w:szCs w:val="21"/>
          <w:highlight w:val="none"/>
        </w:rPr>
      </w:pPr>
      <w:r>
        <w:rPr>
          <w:rStyle w:val="40"/>
          <w:rFonts w:hint="eastAsia" w:ascii="宋体" w:hAnsi="宋体" w:eastAsia="宋体" w:cs="宋体"/>
          <w:color w:val="000000"/>
          <w:sz w:val="21"/>
          <w:szCs w:val="21"/>
          <w:highlight w:val="none"/>
        </w:rPr>
        <w:t>二、申请人的资格要求：</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1、落实政府采购政策需满足的资格要求：详见政府采购法；</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满足《中华人民共和国政府采购法》第二十二条规定；</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1）具有独立承担民事责任的能力，有效的营业执照；</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2）具有履行合同所必须的设备、人员、专业等方面相应的技术能力；</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4）参加招投标活动前三年内，在经营活动中没重大违法记录（受行政主管部门处罚的不能参加投标，提供声明书）。</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3、本项目不接受联合体投标。</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40"/>
          <w:rFonts w:hint="eastAsia" w:ascii="宋体" w:hAnsi="宋体" w:eastAsia="宋体" w:cs="宋体"/>
          <w:color w:val="000000"/>
          <w:sz w:val="21"/>
          <w:szCs w:val="21"/>
          <w:highlight w:val="none"/>
        </w:rPr>
        <w:t>三、获取采购文件</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eastAsia="zh-CN"/>
        </w:rPr>
        <w:t>2022年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01</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lang w:eastAsia="zh-CN"/>
        </w:rPr>
        <w:t>2022年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08</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，每天上午10:00至</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0，下午1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0至19:</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0（北京时间，法定节假日除外）</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地点：乌鲁木齐水磨沟区红光山路万科大都会8号楼1202室</w:t>
      </w:r>
      <w:r>
        <w:rPr>
          <w:rFonts w:hint="eastAsia" w:ascii="宋体" w:hAnsi="宋体" w:eastAsia="宋体" w:cs="宋体"/>
          <w:sz w:val="21"/>
          <w:szCs w:val="21"/>
          <w:highlight w:val="none"/>
          <w:lang w:eastAsia="zh-CN"/>
        </w:rPr>
        <w:t>。</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u w:val="none"/>
        </w:rPr>
      </w:pPr>
      <w:r>
        <w:rPr>
          <w:rFonts w:hint="eastAsia" w:ascii="宋体" w:hAnsi="宋体" w:eastAsia="宋体" w:cs="宋体"/>
          <w:sz w:val="21"/>
          <w:szCs w:val="21"/>
          <w:highlight w:val="none"/>
        </w:rPr>
        <w:t>方式：</w:t>
      </w:r>
      <w:r>
        <w:rPr>
          <w:rFonts w:hint="eastAsia" w:ascii="宋体" w:hAnsi="宋体" w:eastAsia="宋体" w:cs="宋体"/>
          <w:color w:val="auto"/>
          <w:sz w:val="21"/>
          <w:szCs w:val="21"/>
          <w:highlight w:val="none"/>
          <w:u w:val="none"/>
          <w:lang w:val="en-US" w:eastAsia="zh-CN"/>
        </w:rPr>
        <w:t>供应商登录政采云平台https://www.zcygov.cn/在线申请获取采购文件（进入“项目采购”应用，在获取采购文件菜单中选择项目，申请获取采购文件。</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售价（元）：</w:t>
      </w:r>
      <w:r>
        <w:rPr>
          <w:rFonts w:hint="eastAsia" w:ascii="宋体" w:hAnsi="宋体" w:eastAsia="宋体" w:cs="宋体"/>
          <w:color w:val="auto"/>
          <w:sz w:val="21"/>
          <w:szCs w:val="21"/>
          <w:highlight w:val="none"/>
          <w:lang w:val="en-US" w:eastAsia="zh-CN"/>
        </w:rPr>
        <w:t>0元/份</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四、响应文件提交</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截止时间：</w:t>
      </w:r>
      <w:r>
        <w:rPr>
          <w:rFonts w:hint="eastAsia" w:ascii="宋体" w:hAnsi="宋体" w:eastAsia="宋体" w:cs="宋体"/>
          <w:color w:val="auto"/>
          <w:sz w:val="21"/>
          <w:szCs w:val="21"/>
          <w:highlight w:val="none"/>
          <w:lang w:eastAsia="zh-CN"/>
        </w:rPr>
        <w:t>2022年</w:t>
      </w:r>
      <w:r>
        <w:rPr>
          <w:rFonts w:hint="eastAsia" w:ascii="宋体" w:hAnsi="宋体" w:eastAsia="宋体" w:cs="宋体"/>
          <w:color w:val="auto"/>
          <w:sz w:val="21"/>
          <w:szCs w:val="21"/>
          <w:highlight w:val="none"/>
          <w:lang w:val="en-US" w:eastAsia="zh-CN"/>
        </w:rPr>
        <w:t>12月12日</w:t>
      </w:r>
      <w:r>
        <w:rPr>
          <w:rFonts w:hint="eastAsia" w:ascii="宋体" w:hAnsi="宋体" w:eastAsia="宋体" w:cs="宋体"/>
          <w:color w:val="auto"/>
          <w:sz w:val="21"/>
          <w:szCs w:val="21"/>
          <w:highlight w:val="none"/>
          <w:lang w:eastAsia="zh-CN"/>
        </w:rPr>
        <w:t>16时00分（北京时间）</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地点：乌鲁木齐水磨沟区红光山路万科大都会8号楼1202室</w:t>
      </w:r>
      <w:r>
        <w:rPr>
          <w:rFonts w:hint="eastAsia" w:ascii="宋体" w:hAnsi="宋体" w:eastAsia="宋体" w:cs="宋体"/>
          <w:color w:val="auto"/>
          <w:sz w:val="21"/>
          <w:szCs w:val="21"/>
          <w:highlight w:val="none"/>
          <w:lang w:eastAsia="zh-CN"/>
        </w:rPr>
        <w:t>。</w:t>
      </w:r>
    </w:p>
    <w:p>
      <w:pPr>
        <w:pStyle w:val="34"/>
        <w:pageBreakBefore w:val="0"/>
        <w:tabs>
          <w:tab w:val="left" w:pos="7165"/>
        </w:tabs>
        <w:kinsoku/>
        <w:topLinePunct w:val="0"/>
        <w:bidi w:val="0"/>
        <w:spacing w:before="0" w:beforeAutospacing="0" w:after="0" w:afterAutospacing="0" w:line="400" w:lineRule="exact"/>
        <w:ind w:left="0" w:leftChars="0" w:firstLine="0" w:firstLineChars="0"/>
        <w:jc w:val="both"/>
        <w:rPr>
          <w:rFonts w:hint="eastAsia" w:ascii="宋体" w:hAnsi="宋体" w:eastAsia="宋体" w:cs="宋体"/>
          <w:color w:val="auto"/>
          <w:sz w:val="21"/>
          <w:szCs w:val="21"/>
          <w:highlight w:val="none"/>
          <w:lang w:eastAsia="zh-CN"/>
        </w:rPr>
      </w:pPr>
      <w:r>
        <w:rPr>
          <w:rStyle w:val="40"/>
          <w:rFonts w:hint="eastAsia" w:ascii="宋体" w:hAnsi="宋体" w:eastAsia="宋体" w:cs="宋体"/>
          <w:color w:val="auto"/>
          <w:sz w:val="21"/>
          <w:szCs w:val="21"/>
          <w:highlight w:val="none"/>
        </w:rPr>
        <w:t>五、响应文件开启</w:t>
      </w:r>
      <w:r>
        <w:rPr>
          <w:rStyle w:val="40"/>
          <w:rFonts w:hint="eastAsia" w:ascii="宋体" w:hAnsi="宋体" w:eastAsia="宋体" w:cs="宋体"/>
          <w:color w:val="auto"/>
          <w:sz w:val="21"/>
          <w:szCs w:val="21"/>
          <w:highlight w:val="none"/>
          <w:lang w:eastAsia="zh-CN"/>
        </w:rPr>
        <w:tab/>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开启时间：</w:t>
      </w:r>
      <w:r>
        <w:rPr>
          <w:rFonts w:hint="eastAsia" w:ascii="宋体" w:hAnsi="宋体" w:eastAsia="宋体" w:cs="宋体"/>
          <w:color w:val="auto"/>
          <w:sz w:val="21"/>
          <w:szCs w:val="21"/>
          <w:highlight w:val="none"/>
          <w:lang w:eastAsia="zh-CN"/>
        </w:rPr>
        <w:t>2022年</w:t>
      </w:r>
      <w:r>
        <w:rPr>
          <w:rFonts w:hint="eastAsia" w:ascii="宋体" w:hAnsi="宋体" w:eastAsia="宋体" w:cs="宋体"/>
          <w:color w:val="auto"/>
          <w:sz w:val="21"/>
          <w:szCs w:val="21"/>
          <w:highlight w:val="none"/>
          <w:lang w:val="en-US" w:eastAsia="zh-CN"/>
        </w:rPr>
        <w:t>12月12日</w:t>
      </w:r>
      <w:r>
        <w:rPr>
          <w:rFonts w:hint="eastAsia" w:ascii="宋体" w:hAnsi="宋体" w:eastAsia="宋体" w:cs="宋体"/>
          <w:color w:val="auto"/>
          <w:sz w:val="21"/>
          <w:szCs w:val="21"/>
          <w:highlight w:val="none"/>
          <w:lang w:eastAsia="zh-CN"/>
        </w:rPr>
        <w:t>16时00分（北京时间）</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地点：乌鲁木齐水磨沟区红光山路万科大都会8号楼1202室</w:t>
      </w:r>
      <w:r>
        <w:rPr>
          <w:rFonts w:hint="eastAsia" w:ascii="宋体" w:hAnsi="宋体" w:eastAsia="宋体" w:cs="宋体"/>
          <w:color w:val="auto"/>
          <w:sz w:val="21"/>
          <w:szCs w:val="21"/>
          <w:highlight w:val="none"/>
          <w:lang w:eastAsia="zh-CN"/>
        </w:rPr>
        <w:t>。</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40"/>
          <w:rFonts w:hint="eastAsia" w:ascii="宋体" w:hAnsi="宋体" w:eastAsia="宋体" w:cs="宋体"/>
          <w:color w:val="000000"/>
          <w:sz w:val="21"/>
          <w:szCs w:val="21"/>
        </w:rPr>
        <w:t>六、公告期限</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  自本公告发布之日起5个工作日。</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40"/>
          <w:rFonts w:hint="eastAsia" w:ascii="宋体" w:hAnsi="宋体" w:eastAsia="宋体" w:cs="宋体"/>
          <w:color w:val="000000"/>
          <w:sz w:val="21"/>
          <w:szCs w:val="21"/>
        </w:rPr>
        <w:t>七、其他补充事宜</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供应商登录政采云平台https://www.zcygov.cn/在线申请获取采购文件（进入“项目采购”应用，在获取采购文件菜单中选择项目，申请获取采购文件。</w:t>
      </w:r>
      <w:bookmarkStart w:id="97" w:name="_GoBack"/>
      <w:bookmarkEnd w:id="97"/>
      <w:r>
        <w:rPr>
          <w:rFonts w:hint="eastAsia" w:ascii="宋体" w:hAnsi="宋体" w:eastAsia="宋体" w:cs="宋体"/>
          <w:color w:val="000000"/>
          <w:sz w:val="21"/>
          <w:szCs w:val="21"/>
        </w:rPr>
        <w:t>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1.采购人信息</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highlight w:val="none"/>
          <w:lang w:eastAsia="zh-CN"/>
        </w:rPr>
        <w:t>新疆维吾尔自治区国土空间规划研究中心</w:t>
      </w:r>
    </w:p>
    <w:p>
      <w:pPr>
        <w:pStyle w:val="34"/>
        <w:spacing w:before="0" w:beforeAutospacing="0" w:after="0" w:afterAutospacing="0"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val="en-US" w:eastAsia="zh-CN"/>
        </w:rPr>
        <w:t>王强吉</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联系方式：0991-</w:t>
      </w:r>
      <w:r>
        <w:rPr>
          <w:rFonts w:hint="eastAsia" w:ascii="宋体" w:hAnsi="宋体" w:eastAsia="宋体" w:cs="宋体"/>
          <w:color w:val="000000"/>
          <w:sz w:val="21"/>
          <w:szCs w:val="21"/>
          <w:lang w:val="en-US" w:eastAsia="zh-CN"/>
        </w:rPr>
        <w:t>2649938</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lang w:eastAsia="zh-CN"/>
        </w:rPr>
        <w:t>乌鲁木齐市天山区金银路56号</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2.采购代理机构信息</w:t>
      </w:r>
    </w:p>
    <w:bookmarkEnd w:id="5"/>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采购代理机构：宏业国际项目管理有限公司</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联系人：李苗</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联系电话：15022921857</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地址：乌鲁木齐水磨沟区红光山路万科大都会8号楼1202</w:t>
      </w:r>
    </w:p>
    <w:p>
      <w:pPr>
        <w:pageBreakBefore w:val="0"/>
        <w:widowControl/>
        <w:shd w:val="clear" w:color="auto" w:fill="FFFFFF"/>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11" w:name="_Toc11946"/>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jc w:val="center"/>
        <w:outlineLvl w:val="0"/>
        <w:rPr>
          <w:rFonts w:hint="eastAsia" w:ascii="宋体" w:hAnsi="宋体" w:eastAsia="宋体" w:cs="宋体"/>
          <w:b/>
          <w:sz w:val="21"/>
          <w:szCs w:val="21"/>
        </w:rPr>
      </w:pPr>
      <w:r>
        <w:rPr>
          <w:rFonts w:hint="eastAsia" w:ascii="宋体" w:hAnsi="宋体" w:eastAsia="宋体" w:cs="宋体"/>
          <w:b/>
          <w:sz w:val="21"/>
          <w:szCs w:val="21"/>
        </w:rPr>
        <w:t>第二章  供应商须知</w:t>
      </w:r>
      <w:bookmarkEnd w:id="6"/>
      <w:bookmarkEnd w:id="7"/>
      <w:bookmarkEnd w:id="8"/>
      <w:bookmarkEnd w:id="9"/>
      <w:bookmarkEnd w:id="10"/>
      <w:bookmarkEnd w:id="11"/>
      <w:bookmarkStart w:id="12" w:name="_Toc267301281"/>
      <w:bookmarkStart w:id="13" w:name="_Toc298240404"/>
      <w:bookmarkStart w:id="14" w:name="_Toc349573120"/>
      <w:bookmarkStart w:id="15" w:name="_Toc349637919"/>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16" w:name="_Toc462223631"/>
      <w:r>
        <w:rPr>
          <w:rFonts w:hint="eastAsia" w:ascii="宋体" w:hAnsi="宋体" w:eastAsia="宋体" w:cs="宋体"/>
          <w:b/>
          <w:sz w:val="21"/>
          <w:szCs w:val="21"/>
        </w:rPr>
        <w:t>供应商须知前附表</w:t>
      </w:r>
      <w:bookmarkEnd w:id="12"/>
      <w:bookmarkEnd w:id="13"/>
      <w:bookmarkEnd w:id="14"/>
      <w:bookmarkEnd w:id="15"/>
      <w:bookmarkEnd w:id="16"/>
    </w:p>
    <w:tbl>
      <w:tblPr>
        <w:tblStyle w:val="37"/>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410"/>
        <w:gridCol w:w="65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vAlign w:val="center"/>
          </w:tcPr>
          <w:p>
            <w:pPr>
              <w:pageBreakBefore w:val="0"/>
              <w:kinsoku/>
              <w:topLinePunct w:val="0"/>
              <w:bidi w:val="0"/>
              <w:spacing w:line="400" w:lineRule="exact"/>
              <w:ind w:left="0" w:leftChars="0" w:firstLine="0" w:firstLineChars="0"/>
              <w:rPr>
                <w:rFonts w:hint="eastAsia" w:ascii="宋体" w:hAnsi="宋体" w:eastAsia="宋体" w:cs="宋体"/>
                <w:b/>
                <w:bCs w:val="0"/>
                <w:color w:val="auto"/>
                <w:sz w:val="21"/>
                <w:szCs w:val="21"/>
                <w:highlight w:val="none"/>
              </w:rPr>
            </w:pPr>
            <w:r>
              <w:rPr>
                <w:rFonts w:hint="eastAsia" w:ascii="宋体" w:hAnsi="宋体" w:eastAsia="宋体" w:cs="宋体"/>
                <w:b/>
                <w:bCs w:val="0"/>
                <w:sz w:val="21"/>
                <w:szCs w:val="21"/>
              </w:rPr>
              <w:br w:type="page"/>
            </w:r>
            <w:r>
              <w:rPr>
                <w:rFonts w:hint="eastAsia" w:ascii="宋体" w:hAnsi="宋体" w:eastAsia="宋体" w:cs="宋体"/>
                <w:b/>
                <w:bCs w:val="0"/>
                <w:color w:val="auto"/>
                <w:sz w:val="21"/>
                <w:szCs w:val="21"/>
                <w:highlight w:val="none"/>
              </w:rPr>
              <w:t>序列号</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条款名称</w:t>
            </w:r>
          </w:p>
        </w:tc>
        <w:tc>
          <w:tcPr>
            <w:tcW w:w="6523"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6523" w:type="dxa"/>
            <w:vAlign w:val="center"/>
          </w:tcPr>
          <w:p>
            <w:pPr>
              <w:pageBreakBefore w:val="0"/>
              <w:widowControl/>
              <w:kinsoku/>
              <w:wordWrap w:val="0"/>
              <w:topLinePunct w:val="0"/>
              <w:bidi w:val="0"/>
              <w:spacing w:line="400" w:lineRule="exact"/>
              <w:ind w:left="0" w:leftChars="0" w:firstLine="0" w:firstLineChars="0"/>
              <w:jc w:val="both"/>
              <w:rPr>
                <w:rFonts w:hint="default" w:ascii="宋体" w:hAnsi="宋体" w:eastAsia="宋体" w:cs="宋体"/>
                <w:b w:val="0"/>
                <w:bCs/>
                <w:color w:val="auto"/>
                <w:sz w:val="21"/>
                <w:szCs w:val="21"/>
                <w:highlight w:val="none"/>
                <w:lang w:val="en-US"/>
              </w:rPr>
            </w:pPr>
            <w:r>
              <w:rPr>
                <w:rFonts w:hint="eastAsia" w:ascii="宋体" w:hAnsi="宋体" w:cs="宋体"/>
                <w:b/>
                <w:color w:val="auto"/>
                <w:sz w:val="21"/>
                <w:szCs w:val="21"/>
                <w:highlight w:val="none"/>
                <w:lang w:eastAsia="zh-CN"/>
              </w:rPr>
              <w:t>《新疆维吾尔自治区国土空间规划历史文化保护专项</w:t>
            </w:r>
            <w:r>
              <w:rPr>
                <w:rFonts w:hint="eastAsia" w:ascii="宋体" w:hAnsi="宋体" w:cs="宋体"/>
                <w:b/>
                <w:color w:val="auto"/>
                <w:sz w:val="21"/>
                <w:szCs w:val="21"/>
                <w:highlight w:val="none"/>
                <w:lang w:val="en-US" w:eastAsia="zh-CN"/>
              </w:rPr>
              <w:t>规划</w:t>
            </w:r>
            <w:r>
              <w:rPr>
                <w:rFonts w:hint="eastAsia" w:ascii="宋体" w:hAnsi="宋体" w:cs="宋体"/>
                <w:b/>
                <w:color w:val="auto"/>
                <w:sz w:val="21"/>
                <w:szCs w:val="21"/>
                <w:highlight w:val="none"/>
                <w:lang w:eastAsia="zh-CN"/>
              </w:rPr>
              <w:t>》</w:t>
            </w:r>
            <w:r>
              <w:rPr>
                <w:rFonts w:hint="eastAsia" w:ascii="宋体" w:hAnsi="宋体" w:cs="宋体"/>
                <w:b w:val="0"/>
                <w:bCs/>
                <w:color w:val="auto"/>
                <w:kern w:val="0"/>
                <w:sz w:val="21"/>
                <w:szCs w:val="21"/>
                <w:highlight w:val="none"/>
                <w:lang w:val="en-US" w:eastAsia="zh-CN" w:bidi="ar-SA"/>
              </w:rPr>
              <w:t>项目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w:t>
            </w:r>
          </w:p>
        </w:tc>
        <w:tc>
          <w:tcPr>
            <w:tcW w:w="6523" w:type="dxa"/>
            <w:vAlign w:val="center"/>
          </w:tcPr>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lang w:eastAsia="zh-CN"/>
              </w:rPr>
              <w:t>采购人名</w:t>
            </w:r>
            <w:r>
              <w:rPr>
                <w:rFonts w:hint="eastAsia" w:ascii="宋体" w:hAnsi="宋体" w:eastAsia="宋体" w:cs="宋体"/>
                <w:b w:val="0"/>
                <w:bCs/>
                <w:color w:val="000000"/>
                <w:sz w:val="21"/>
                <w:szCs w:val="21"/>
                <w:highlight w:val="none"/>
                <w:lang w:eastAsia="zh-CN"/>
              </w:rPr>
              <w:t>称：新疆维吾尔自治区国土空间规划研究中心</w:t>
            </w:r>
          </w:p>
          <w:p>
            <w:pPr>
              <w:pStyle w:val="34"/>
              <w:spacing w:before="0" w:beforeAutospacing="0" w:after="0" w:afterAutospacing="0"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val="en-US" w:eastAsia="zh-CN"/>
              </w:rPr>
              <w:t>王强吉</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联系方式：0991-</w:t>
            </w:r>
            <w:r>
              <w:rPr>
                <w:rFonts w:hint="eastAsia" w:ascii="宋体" w:hAnsi="宋体" w:eastAsia="宋体" w:cs="宋体"/>
                <w:color w:val="000000"/>
                <w:sz w:val="21"/>
                <w:szCs w:val="21"/>
                <w:lang w:val="en-US" w:eastAsia="zh-CN"/>
              </w:rPr>
              <w:t>2649938</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000000"/>
                <w:sz w:val="21"/>
                <w:szCs w:val="21"/>
                <w:highlight w:val="none"/>
              </w:rPr>
              <w:t>地 址：</w:t>
            </w:r>
            <w:r>
              <w:rPr>
                <w:rFonts w:hint="eastAsia" w:ascii="宋体" w:hAnsi="宋体" w:eastAsia="宋体" w:cs="宋体"/>
                <w:b w:val="0"/>
                <w:bCs/>
                <w:color w:val="000000"/>
                <w:sz w:val="21"/>
                <w:szCs w:val="21"/>
                <w:highlight w:val="none"/>
                <w:lang w:eastAsia="zh-CN"/>
              </w:rPr>
              <w:t>乌鲁木齐市天山区金银路56号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rPr>
            </w:pPr>
            <w:r>
              <w:rPr>
                <w:rFonts w:hint="eastAsia"/>
              </w:rPr>
              <w:t>采购代理机构</w:t>
            </w:r>
          </w:p>
          <w:p>
            <w:pPr>
              <w:bidi w:val="0"/>
              <w:rPr>
                <w:rFonts w:hint="eastAsia"/>
                <w:lang w:val="en-US" w:eastAsia="zh-CN"/>
              </w:rPr>
            </w:pPr>
          </w:p>
          <w:p>
            <w:pPr>
              <w:bidi w:val="0"/>
              <w:jc w:val="right"/>
              <w:rPr>
                <w:rFonts w:hint="eastAsia"/>
                <w:lang w:val="en-US" w:eastAsia="zh-CN"/>
              </w:rPr>
            </w:pP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000000"/>
                <w:kern w:val="0"/>
                <w:sz w:val="21"/>
                <w:szCs w:val="21"/>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5</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采购方式</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6</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采购内容</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详见第一章采购公告或投标邀请书“</w:t>
            </w:r>
            <w:r>
              <w:rPr>
                <w:rFonts w:hint="eastAsia" w:ascii="宋体" w:hAnsi="宋体" w:eastAsia="宋体" w:cs="宋体"/>
                <w:color w:val="000000"/>
                <w:sz w:val="21"/>
                <w:szCs w:val="21"/>
              </w:rPr>
              <w:t>简要规格描述</w:t>
            </w:r>
            <w:r>
              <w:rPr>
                <w:rFonts w:hint="eastAsia" w:ascii="宋体" w:hAnsi="宋体" w:eastAsia="宋体" w:cs="宋体"/>
                <w:b w:val="0"/>
                <w:bCs/>
                <w:color w:val="000000"/>
                <w:kern w:val="0"/>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7</w:t>
            </w:r>
          </w:p>
        </w:tc>
        <w:tc>
          <w:tcPr>
            <w:tcW w:w="2410" w:type="dxa"/>
            <w:vAlign w:val="center"/>
          </w:tcPr>
          <w:p>
            <w:pPr>
              <w:pageBreakBefore w:val="0"/>
              <w:kinsoku/>
              <w:topLinePunct w:val="0"/>
              <w:autoSpaceDE w:val="0"/>
              <w:autoSpaceDN w:val="0"/>
              <w:bidi w:val="0"/>
              <w:spacing w:line="400" w:lineRule="exact"/>
              <w:ind w:left="0" w:leftChars="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资格审查方式</w:t>
            </w:r>
          </w:p>
        </w:tc>
        <w:tc>
          <w:tcPr>
            <w:tcW w:w="6523" w:type="dxa"/>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8</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项目预算（最高限价）</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highlight w:val="none"/>
                <w:lang w:val="en-US" w:eastAsia="zh-CN" w:bidi="ar-SA"/>
              </w:rPr>
            </w:pPr>
            <w:r>
              <w:rPr>
                <w:rFonts w:hint="eastAsia" w:ascii="宋体" w:hAnsi="宋体" w:eastAsia="宋体" w:cs="宋体"/>
                <w:b w:val="0"/>
                <w:bCs/>
                <w:color w:val="000000"/>
                <w:kern w:val="0"/>
                <w:sz w:val="21"/>
                <w:szCs w:val="21"/>
                <w:highlight w:val="none"/>
                <w:lang w:val="zh-CN" w:eastAsia="zh-CN" w:bidi="ar-SA"/>
              </w:rPr>
              <w:t>金额（小写）：</w:t>
            </w:r>
            <w:r>
              <w:rPr>
                <w:rFonts w:hint="eastAsia" w:ascii="宋体" w:hAnsi="宋体" w:cs="宋体"/>
                <w:b w:val="0"/>
                <w:bCs/>
                <w:color w:val="000000"/>
                <w:kern w:val="0"/>
                <w:sz w:val="21"/>
                <w:szCs w:val="21"/>
                <w:highlight w:val="none"/>
                <w:lang w:val="en-US" w:eastAsia="zh-CN" w:bidi="ar-SA"/>
              </w:rPr>
              <w:t>650000.00</w:t>
            </w:r>
            <w:r>
              <w:rPr>
                <w:rFonts w:hint="eastAsia" w:ascii="宋体" w:hAnsi="宋体" w:eastAsia="宋体" w:cs="宋体"/>
                <w:b w:val="0"/>
                <w:bCs/>
                <w:color w:val="000000"/>
                <w:kern w:val="0"/>
                <w:sz w:val="21"/>
                <w:szCs w:val="21"/>
                <w:highlight w:val="none"/>
                <w:lang w:val="en-US" w:eastAsia="zh-CN" w:bidi="ar-SA"/>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服务期</w:t>
            </w:r>
            <w:r>
              <w:rPr>
                <w:rFonts w:hint="eastAsia" w:ascii="宋体" w:hAnsi="宋体" w:eastAsia="宋体" w:cs="宋体"/>
                <w:b w:val="0"/>
                <w:bCs/>
                <w:color w:val="auto"/>
                <w:sz w:val="21"/>
                <w:szCs w:val="21"/>
                <w:highlight w:val="none"/>
                <w:lang w:eastAsia="zh-CN"/>
              </w:rPr>
              <w:t>要求</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rPr>
                <w:rFonts w:hint="default" w:ascii="宋体" w:hAnsi="宋体" w:eastAsia="宋体" w:cs="宋体"/>
                <w:b w:val="0"/>
                <w:bCs/>
                <w:color w:val="000000"/>
                <w:kern w:val="0"/>
                <w:sz w:val="21"/>
                <w:szCs w:val="21"/>
                <w:highlight w:val="none"/>
                <w:lang w:val="en-US" w:eastAsia="zh-CN" w:bidi="ar-SA"/>
              </w:rPr>
            </w:pPr>
            <w:r>
              <w:rPr>
                <w:rFonts w:hint="eastAsia" w:ascii="宋体" w:hAnsi="宋体" w:cs="宋体"/>
                <w:b w:val="0"/>
                <w:bCs/>
                <w:color w:val="000000"/>
                <w:kern w:val="0"/>
                <w:sz w:val="21"/>
                <w:szCs w:val="21"/>
                <w:highlight w:val="none"/>
                <w:lang w:val="en-US" w:eastAsia="zh-CN" w:bidi="ar-SA"/>
              </w:rPr>
              <w:t xml:space="preserve"> </w:t>
            </w:r>
            <w:r>
              <w:rPr>
                <w:rFonts w:hint="eastAsia" w:ascii="宋体" w:hAnsi="宋体" w:eastAsia="宋体" w:cs="宋体"/>
                <w:color w:val="000000"/>
                <w:sz w:val="21"/>
                <w:szCs w:val="21"/>
                <w:highlight w:val="none"/>
                <w:lang w:val="en-US" w:eastAsia="zh-CN"/>
              </w:rPr>
              <w:t>2022年12月至2023年1</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月</w:t>
            </w:r>
            <w:r>
              <w:rPr>
                <w:rFonts w:hint="eastAsia" w:ascii="宋体" w:hAnsi="宋体" w:cs="宋体"/>
                <w:color w:val="000000"/>
                <w:sz w:val="21"/>
                <w:szCs w:val="21"/>
                <w:highlight w:val="none"/>
                <w:lang w:val="en-US" w:eastAsia="zh-CN"/>
              </w:rPr>
              <w:t>（详见项目需求）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10</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标段要求</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rPr>
                <w:rFonts w:hint="default" w:ascii="宋体" w:hAnsi="宋体" w:eastAsia="宋体" w:cs="宋体"/>
                <w:b w:val="0"/>
                <w:bCs/>
                <w:color w:val="000000"/>
                <w:kern w:val="0"/>
                <w:sz w:val="21"/>
                <w:szCs w:val="21"/>
                <w:highlight w:val="none"/>
                <w:lang w:val="en-US" w:eastAsia="zh-CN" w:bidi="ar-SA"/>
              </w:rPr>
            </w:pPr>
            <w:r>
              <w:rPr>
                <w:rFonts w:hint="eastAsia" w:ascii="宋体" w:hAnsi="宋体" w:cs="宋体"/>
                <w:b w:val="0"/>
                <w:bCs/>
                <w:color w:val="000000"/>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11</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付款方式</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000000"/>
                <w:kern w:val="0"/>
                <w:sz w:val="21"/>
                <w:szCs w:val="21"/>
                <w:highlight w:val="none"/>
                <w:lang w:val="zh-CN" w:eastAsia="zh-CN" w:bidi="ar-SA"/>
              </w:rPr>
            </w:pPr>
            <w:r>
              <w:rPr>
                <w:rFonts w:hint="eastAsia" w:ascii="宋体" w:hAnsi="宋体" w:cs="宋体"/>
                <w:bCs/>
                <w:szCs w:val="21"/>
              </w:rPr>
              <w:t>按双方签订合同执行。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12</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质量标准</w:t>
            </w:r>
          </w:p>
        </w:tc>
        <w:tc>
          <w:tcPr>
            <w:tcW w:w="6523" w:type="dxa"/>
            <w:vAlign w:val="center"/>
          </w:tcPr>
          <w:p>
            <w:pPr>
              <w:pageBreakBefore w:val="0"/>
              <w:kinsoku/>
              <w:wordWrap w:val="0"/>
              <w:topLinePunct w:val="0"/>
              <w:bidi w:val="0"/>
              <w:spacing w:line="400" w:lineRule="exact"/>
              <w:ind w:left="0" w:leftChars="0" w:firstLine="0" w:firstLineChars="0"/>
              <w:jc w:val="left"/>
              <w:rPr>
                <w:rFonts w:hint="eastAsia" w:ascii="宋体" w:hAnsi="宋体" w:eastAsia="宋体" w:cs="宋体"/>
                <w:b w:val="0"/>
                <w:bCs/>
                <w:color w:val="000000"/>
                <w:kern w:val="0"/>
                <w:sz w:val="21"/>
                <w:szCs w:val="21"/>
                <w:highlight w:val="none"/>
                <w:lang w:val="zh-CN" w:eastAsia="zh-CN" w:bidi="ar-SA"/>
              </w:rPr>
            </w:pPr>
            <w:r>
              <w:rPr>
                <w:rFonts w:hint="eastAsia" w:ascii="宋体" w:hAnsi="宋体" w:eastAsia="宋体" w:cs="宋体"/>
                <w:b w:val="0"/>
                <w:bCs/>
                <w:color w:val="auto"/>
                <w:sz w:val="21"/>
                <w:szCs w:val="21"/>
                <w:highlight w:val="none"/>
              </w:rPr>
              <w:t>合格</w:t>
            </w:r>
            <w:r>
              <w:rPr>
                <w:rFonts w:hint="eastAsia" w:ascii="宋体" w:hAnsi="宋体" w:eastAsia="宋体" w:cs="宋体"/>
                <w:b w:val="0"/>
                <w:bCs/>
                <w:color w:val="auto"/>
                <w:sz w:val="21"/>
                <w:szCs w:val="21"/>
                <w:highlight w:val="none"/>
                <w:lang w:eastAsia="zh-CN"/>
              </w:rPr>
              <w:t>（通过采购人及有关部门组织的项目验收</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13</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供应商资格条件</w:t>
            </w:r>
          </w:p>
        </w:tc>
        <w:tc>
          <w:tcPr>
            <w:tcW w:w="6523" w:type="dxa"/>
            <w:vAlign w:val="center"/>
          </w:tcPr>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1、落实政府采购政策需满足的资格要求：详见政府采购法；</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满足《中华人民共和国政府采购法》第二十二条规定；</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1）具有独立承担民事责任的能力，有效的营业执照；</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2）具有履行合同所必须的设备、人员、专业等方面相应的技术能力；</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4）参加招投标活动前三年内，在经营活动中没重大违法记录（受行政主管部门处罚的不能参加投标，提供声明书）。</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pageBreakBefore w:val="0"/>
              <w:kinsoku/>
              <w:topLinePunct w:val="0"/>
              <w:bidi w:val="0"/>
              <w:spacing w:before="0" w:beforeAutospacing="0" w:after="0" w:afterAutospacing="0" w:line="400" w:lineRule="exact"/>
              <w:ind w:left="0" w:leftChars="0" w:firstLine="0" w:firstLineChars="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000000"/>
                <w:sz w:val="21"/>
                <w:szCs w:val="21"/>
                <w:highlight w:val="none"/>
                <w:lang w:val="en-US" w:eastAsia="zh-CN"/>
              </w:rPr>
              <w:t>3、本项目不接受联合体投标。</w:t>
            </w:r>
            <w:r>
              <w:rPr>
                <w:rFonts w:hint="eastAsia" w:ascii="宋体" w:hAnsi="宋体" w:eastAsia="宋体" w:cs="宋体"/>
                <w:color w:val="auto"/>
                <w:kern w:val="2"/>
                <w:sz w:val="21"/>
                <w:szCs w:val="21"/>
                <w:highlight w:val="none"/>
                <w:lang w:val="en-US" w:eastAsia="zh-CN"/>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14</w:t>
            </w:r>
          </w:p>
        </w:tc>
        <w:tc>
          <w:tcPr>
            <w:tcW w:w="2410" w:type="dxa"/>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sz w:val="21"/>
                <w:szCs w:val="21"/>
              </w:rPr>
              <w:t>投标人不得存在的其他情形</w:t>
            </w:r>
          </w:p>
        </w:tc>
        <w:tc>
          <w:tcPr>
            <w:tcW w:w="6523" w:type="dxa"/>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15</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联合体投标    </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16</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备选方案</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17</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cyan"/>
                <w:lang w:eastAsia="zh-CN"/>
              </w:rPr>
            </w:pPr>
            <w:r>
              <w:rPr>
                <w:rFonts w:hint="eastAsia" w:ascii="宋体" w:hAnsi="宋体" w:eastAsia="宋体" w:cs="宋体"/>
                <w:b w:val="0"/>
                <w:bCs/>
                <w:color w:val="auto"/>
                <w:sz w:val="21"/>
                <w:szCs w:val="21"/>
                <w:highlight w:val="none"/>
              </w:rPr>
              <w:t>响应文件递交截止时间</w:t>
            </w:r>
            <w:r>
              <w:rPr>
                <w:rFonts w:hint="eastAsia" w:ascii="宋体" w:hAnsi="宋体" w:eastAsia="宋体" w:cs="宋体"/>
                <w:b w:val="0"/>
                <w:bCs/>
                <w:color w:val="auto"/>
                <w:sz w:val="21"/>
                <w:szCs w:val="21"/>
                <w:highlight w:val="none"/>
                <w:lang w:eastAsia="zh-CN"/>
              </w:rPr>
              <w:t>及开标时间</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Style w:val="40"/>
                <w:rFonts w:hint="eastAsia" w:ascii="宋体" w:hAnsi="宋体" w:cs="宋体"/>
                <w:b w:val="0"/>
                <w:bCs/>
                <w:color w:val="auto"/>
                <w:kern w:val="0"/>
                <w:sz w:val="21"/>
                <w:szCs w:val="21"/>
                <w:highlight w:val="none"/>
                <w:lang w:val="en-US" w:eastAsia="zh-CN" w:bidi="ar-SA"/>
              </w:rPr>
              <w:t>2022年12月12日16</w:t>
            </w:r>
            <w:r>
              <w:rPr>
                <w:rStyle w:val="40"/>
                <w:rFonts w:hint="eastAsia" w:ascii="宋体" w:hAnsi="宋体" w:eastAsia="宋体" w:cs="宋体"/>
                <w:b w:val="0"/>
                <w:bCs/>
                <w:color w:val="auto"/>
                <w:kern w:val="0"/>
                <w:sz w:val="21"/>
                <w:szCs w:val="21"/>
                <w:highlight w:val="none"/>
                <w:lang w:val="en-US" w:eastAsia="zh-CN" w:bidi="ar-SA"/>
              </w:rPr>
              <w:t>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18</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响应文件递交截止</w:t>
            </w:r>
            <w:r>
              <w:rPr>
                <w:rFonts w:hint="eastAsia" w:ascii="宋体" w:hAnsi="宋体" w:eastAsia="宋体" w:cs="宋体"/>
                <w:b w:val="0"/>
                <w:bCs/>
                <w:color w:val="auto"/>
                <w:sz w:val="21"/>
                <w:szCs w:val="21"/>
                <w:highlight w:val="none"/>
                <w:lang w:eastAsia="zh-CN"/>
              </w:rPr>
              <w:t>地点及开标地点</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xml:space="preserve">乌鲁木齐水磨沟区红光山路万科大都会8号楼1202室  </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19</w:t>
            </w:r>
          </w:p>
        </w:tc>
        <w:tc>
          <w:tcPr>
            <w:tcW w:w="2410" w:type="dxa"/>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小组的组建及评审专家的确定方式</w:t>
            </w:r>
          </w:p>
        </w:tc>
        <w:tc>
          <w:tcPr>
            <w:tcW w:w="6523" w:type="dxa"/>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招标采购单位依法组建</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小组共</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rPr>
              <w:t>人组成，其中采购人代表</w:t>
            </w:r>
            <w:r>
              <w:rPr>
                <w:rFonts w:hint="eastAsia" w:ascii="宋体" w:hAnsi="宋体" w:eastAsia="宋体" w:cs="宋体"/>
                <w:b w:val="0"/>
                <w:bCs/>
                <w:color w:val="auto"/>
                <w:sz w:val="21"/>
                <w:szCs w:val="21"/>
                <w:highlight w:val="none"/>
                <w:lang w:eastAsia="zh-CN"/>
              </w:rPr>
              <w:t>不得超过投标小组的三分之一</w:t>
            </w:r>
            <w:r>
              <w:rPr>
                <w:rFonts w:hint="eastAsia" w:ascii="宋体" w:hAnsi="宋体" w:eastAsia="宋体" w:cs="宋体"/>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20</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评审办法</w:t>
            </w:r>
          </w:p>
        </w:tc>
        <w:tc>
          <w:tcPr>
            <w:tcW w:w="6523"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综合评分法，即指</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文件全部实质性要求且按照评审因素的量化指标评审得分最高的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为中标候选人的评标方法。每一</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21</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有效期</w:t>
            </w:r>
          </w:p>
        </w:tc>
        <w:tc>
          <w:tcPr>
            <w:tcW w:w="6523" w:type="dxa"/>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9</w:t>
            </w:r>
            <w:r>
              <w:rPr>
                <w:rFonts w:hint="eastAsia" w:ascii="宋体" w:hAnsi="宋体" w:eastAsia="宋体" w:cs="宋体"/>
                <w:b w:val="0"/>
                <w:bCs/>
                <w:color w:val="auto"/>
                <w:sz w:val="21"/>
                <w:szCs w:val="21"/>
                <w:highlight w:val="none"/>
                <w:u w:val="single"/>
              </w:rPr>
              <w:t xml:space="preserve">0 </w:t>
            </w:r>
            <w:r>
              <w:rPr>
                <w:rFonts w:hint="eastAsia" w:ascii="宋体" w:hAnsi="宋体" w:eastAsia="宋体" w:cs="宋体"/>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投标预备会</w:t>
            </w:r>
          </w:p>
        </w:tc>
        <w:tc>
          <w:tcPr>
            <w:tcW w:w="6523" w:type="dxa"/>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踏勘现场</w:t>
            </w:r>
          </w:p>
        </w:tc>
        <w:tc>
          <w:tcPr>
            <w:tcW w:w="6523" w:type="dxa"/>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资料</w:t>
            </w:r>
            <w:r>
              <w:rPr>
                <w:rFonts w:hint="eastAsia" w:ascii="宋体" w:hAnsi="宋体" w:eastAsia="宋体" w:cs="宋体"/>
                <w:b w:val="0"/>
                <w:bCs/>
                <w:color w:val="auto"/>
                <w:sz w:val="21"/>
                <w:szCs w:val="21"/>
                <w:highlight w:val="none"/>
                <w:lang w:val="en-US" w:eastAsia="zh-CN"/>
              </w:rPr>
              <w:t>备查</w:t>
            </w:r>
          </w:p>
        </w:tc>
        <w:tc>
          <w:tcPr>
            <w:tcW w:w="6523" w:type="dxa"/>
            <w:vAlign w:val="center"/>
          </w:tcPr>
          <w:p>
            <w:pPr>
              <w:pageBreakBefore w:val="0"/>
              <w:widowControl/>
              <w:kinsoku/>
              <w:topLinePunct w:val="0"/>
              <w:bidi w:val="0"/>
              <w:spacing w:line="400" w:lineRule="exact"/>
              <w:ind w:left="0" w:leftChars="0" w:firstLine="0" w:firstLineChars="0"/>
              <w:jc w:val="left"/>
              <w:rPr>
                <w:rFonts w:hint="eastAsia"/>
                <w:lang w:val="en-US" w:eastAsia="zh-CN"/>
              </w:rPr>
            </w:pPr>
            <w:r>
              <w:rPr>
                <w:rFonts w:hint="eastAsia"/>
              </w:rPr>
              <w:t>各</w:t>
            </w:r>
            <w:r>
              <w:rPr>
                <w:rFonts w:hint="eastAsia"/>
                <w:lang w:eastAsia="zh-CN"/>
              </w:rPr>
              <w:t>供应商</w:t>
            </w:r>
            <w:r>
              <w:rPr>
                <w:rFonts w:hint="eastAsia"/>
              </w:rPr>
              <w:t>开标会现场需携带以下</w:t>
            </w:r>
            <w:r>
              <w:rPr>
                <w:rFonts w:hint="eastAsia"/>
                <w:lang w:val="en-US" w:eastAsia="zh-CN"/>
              </w:rPr>
              <w:t>资料原件备查</w:t>
            </w:r>
            <w:r>
              <w:rPr>
                <w:rFonts w:hint="eastAsia"/>
                <w:lang w:eastAsia="zh-CN"/>
              </w:rPr>
              <w:t>：</w:t>
            </w:r>
          </w:p>
          <w:p>
            <w:pPr>
              <w:pageBreakBefore w:val="0"/>
              <w:kinsoku/>
              <w:topLinePunct w:val="0"/>
              <w:bidi w:val="0"/>
              <w:spacing w:line="400" w:lineRule="exact"/>
              <w:ind w:left="0" w:leftChars="0" w:firstLine="0" w:firstLineChars="0"/>
              <w:rPr>
                <w:rFonts w:hint="eastAsia"/>
              </w:rPr>
            </w:pPr>
            <w:r>
              <w:rPr>
                <w:rFonts w:hint="eastAsia"/>
              </w:rPr>
              <w:t>（1）营业执照（三证合一）；</w:t>
            </w:r>
          </w:p>
          <w:p>
            <w:pPr>
              <w:pageBreakBefore w:val="0"/>
              <w:kinsoku/>
              <w:topLinePunct w:val="0"/>
              <w:bidi w:val="0"/>
              <w:spacing w:line="400" w:lineRule="exact"/>
              <w:ind w:left="0" w:leftChars="0" w:firstLine="0" w:firstLineChars="0"/>
              <w:rPr>
                <w:rFonts w:hint="eastAsia"/>
                <w:lang w:eastAsia="zh-CN"/>
              </w:rPr>
            </w:pPr>
            <w:r>
              <w:rPr>
                <w:rFonts w:hint="eastAsia"/>
              </w:rPr>
              <w:t>（2）投标方</w:t>
            </w:r>
            <w:r>
              <w:rPr>
                <w:rFonts w:hint="eastAsia"/>
                <w:lang w:eastAsia="zh-CN"/>
              </w:rPr>
              <w:t>为</w:t>
            </w:r>
            <w:r>
              <w:rPr>
                <w:rFonts w:hint="eastAsia"/>
              </w:rPr>
              <w:t>法人投标需携带法人授权委托书原件及被授权人身份证原件或法人身份证明书及身份证原件（加盖公章）</w:t>
            </w:r>
            <w:r>
              <w:rPr>
                <w:rFonts w:hint="eastAsia"/>
                <w:lang w:eastAsia="zh-CN"/>
              </w:rPr>
              <w:t>；</w:t>
            </w:r>
          </w:p>
          <w:p>
            <w:pPr>
              <w:pStyle w:val="20"/>
              <w:ind w:left="0" w:leftChars="0" w:firstLine="0" w:firstLineChars="0"/>
              <w:rPr>
                <w:rFonts w:hint="eastAsia"/>
                <w:lang w:val="en-US" w:eastAsia="zh-CN"/>
              </w:rPr>
            </w:pPr>
            <w:r>
              <w:rPr>
                <w:rFonts w:hint="eastAsia" w:ascii="Times New Roman" w:hAnsi="Times New Roman" w:eastAsia="宋体" w:cs="Times New Roman"/>
                <w:kern w:val="2"/>
                <w:sz w:val="21"/>
                <w:lang w:val="en-US" w:eastAsia="zh-CN" w:bidi="ar-SA"/>
              </w:rPr>
              <w:t>（3）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加盖单位公章；</w:t>
            </w:r>
          </w:p>
          <w:p>
            <w:pPr>
              <w:pageBreakBefore w:val="0"/>
              <w:kinsoku/>
              <w:topLinePunct w:val="0"/>
              <w:bidi w:val="0"/>
              <w:spacing w:line="400" w:lineRule="exact"/>
              <w:ind w:left="0" w:leftChars="0" w:firstLine="0" w:firstLineChars="0"/>
              <w:rPr>
                <w:rFonts w:hint="eastAsia"/>
                <w:lang w:val="en-US" w:eastAsia="zh-CN"/>
              </w:rPr>
            </w:pPr>
            <w:r>
              <w:rPr>
                <w:rFonts w:hint="eastAsia"/>
              </w:rPr>
              <w:t>（</w:t>
            </w:r>
            <w:r>
              <w:rPr>
                <w:rFonts w:hint="eastAsia"/>
                <w:lang w:val="en-US" w:eastAsia="zh-CN"/>
              </w:rPr>
              <w:t>4</w:t>
            </w:r>
            <w:r>
              <w:rPr>
                <w:rFonts w:hint="eastAsia"/>
              </w:rPr>
              <w:t>）投标保证金交纳凭证（复印件加盖公章）</w:t>
            </w:r>
            <w:r>
              <w:rPr>
                <w:rFonts w:hint="eastAsia"/>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25</w:t>
            </w:r>
          </w:p>
        </w:tc>
        <w:tc>
          <w:tcPr>
            <w:tcW w:w="2410" w:type="dxa"/>
            <w:vAlign w:val="center"/>
          </w:tcPr>
          <w:p>
            <w:pPr>
              <w:pageBreakBefore w:val="0"/>
              <w:kinsoku/>
              <w:topLinePunct w:val="0"/>
              <w:autoSpaceDE w:val="0"/>
              <w:autoSpaceDN w:val="0"/>
              <w:bidi w:val="0"/>
              <w:spacing w:line="400" w:lineRule="exact"/>
              <w:ind w:left="0" w:leftChars="0"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投标文件组成</w:t>
            </w:r>
          </w:p>
        </w:tc>
        <w:tc>
          <w:tcPr>
            <w:tcW w:w="6523" w:type="dxa"/>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rPr>
              <w:t>正</w:t>
            </w:r>
            <w:r>
              <w:rPr>
                <w:rFonts w:hint="eastAsia" w:ascii="宋体" w:hAnsi="宋体" w:eastAsia="宋体" w:cs="宋体"/>
                <w:b w:val="0"/>
                <w:bCs/>
                <w:color w:val="auto"/>
                <w:sz w:val="21"/>
                <w:szCs w:val="21"/>
                <w:highlight w:val="none"/>
                <w:lang w:val="en-US" w:eastAsia="zh-CN"/>
              </w:rPr>
              <w:t>本壹份，副本</w:t>
            </w:r>
            <w:r>
              <w:rPr>
                <w:rFonts w:hint="eastAsia" w:ascii="宋体" w:hAnsi="宋体" w:cs="宋体"/>
                <w:b w:val="0"/>
                <w:bCs/>
                <w:color w:val="auto"/>
                <w:sz w:val="21"/>
                <w:szCs w:val="21"/>
                <w:highlight w:val="none"/>
                <w:lang w:val="en-US" w:eastAsia="zh-CN"/>
              </w:rPr>
              <w:t>贰</w:t>
            </w:r>
            <w:r>
              <w:rPr>
                <w:rFonts w:hint="eastAsia" w:ascii="宋体" w:hAnsi="宋体" w:eastAsia="宋体" w:cs="宋体"/>
                <w:b w:val="0"/>
                <w:bCs/>
                <w:color w:val="auto"/>
                <w:sz w:val="21"/>
                <w:szCs w:val="21"/>
                <w:highlight w:val="none"/>
                <w:lang w:val="en-US" w:eastAsia="zh-CN"/>
              </w:rPr>
              <w:t>份（共</w:t>
            </w:r>
            <w:r>
              <w:rPr>
                <w:rFonts w:hint="eastAsia" w:ascii="宋体" w:hAnsi="宋体" w:cs="宋体"/>
                <w:b w:val="0"/>
                <w:bCs/>
                <w:color w:val="auto"/>
                <w:sz w:val="21"/>
                <w:szCs w:val="21"/>
                <w:highlight w:val="none"/>
                <w:lang w:val="en-US" w:eastAsia="zh-CN"/>
              </w:rPr>
              <w:t>叁</w:t>
            </w:r>
            <w:r>
              <w:rPr>
                <w:rFonts w:hint="eastAsia" w:ascii="宋体" w:hAnsi="宋体" w:eastAsia="宋体" w:cs="宋体"/>
                <w:b w:val="0"/>
                <w:bCs/>
                <w:color w:val="auto"/>
                <w:sz w:val="21"/>
                <w:szCs w:val="21"/>
                <w:highlight w:val="none"/>
                <w:lang w:val="en-US" w:eastAsia="zh-CN"/>
              </w:rPr>
              <w:t>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开标一览表壹份，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电子版：U盘壹份，光盘贰份（内容为加盖公章的响应文件扫描件）</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宋体" w:hAnsi="宋体" w:eastAsia="宋体" w:cs="宋体"/>
                <w:b/>
                <w:bCs/>
                <w:sz w:val="21"/>
                <w:szCs w:val="21"/>
              </w:rPr>
              <w:t>(1)供应商应将</w:t>
            </w:r>
            <w:r>
              <w:rPr>
                <w:rFonts w:hint="eastAsia" w:ascii="宋体" w:hAnsi="宋体" w:eastAsia="宋体" w:cs="宋体"/>
                <w:b/>
                <w:bCs/>
                <w:sz w:val="21"/>
                <w:szCs w:val="21"/>
                <w:lang w:eastAsia="zh-CN"/>
              </w:rPr>
              <w:t>开标</w:t>
            </w:r>
            <w:r>
              <w:rPr>
                <w:rFonts w:hint="eastAsia" w:ascii="宋体" w:hAnsi="宋体" w:eastAsia="宋体" w:cs="宋体"/>
                <w:b/>
                <w:bCs/>
                <w:sz w:val="21"/>
                <w:szCs w:val="21"/>
              </w:rPr>
              <w:t>一览表单独密封提交，并在信封上标明"</w:t>
            </w:r>
            <w:r>
              <w:rPr>
                <w:rFonts w:hint="eastAsia" w:ascii="宋体" w:hAnsi="宋体" w:eastAsia="宋体" w:cs="宋体"/>
                <w:b/>
                <w:bCs/>
                <w:sz w:val="21"/>
                <w:szCs w:val="21"/>
                <w:lang w:eastAsia="zh-CN"/>
              </w:rPr>
              <w:t>开标</w:t>
            </w:r>
            <w:r>
              <w:rPr>
                <w:rFonts w:hint="eastAsia" w:ascii="宋体" w:hAnsi="宋体" w:eastAsia="宋体" w:cs="宋体"/>
                <w:b/>
                <w:bCs/>
                <w:sz w:val="21"/>
                <w:szCs w:val="21"/>
              </w:rPr>
              <w:t>一览表"字样；</w:t>
            </w:r>
            <w:r>
              <w:rPr>
                <w:rFonts w:hint="eastAsia" w:ascii="宋体" w:hAnsi="宋体" w:eastAsia="宋体" w:cs="宋体"/>
                <w:sz w:val="21"/>
                <w:szCs w:val="21"/>
              </w:rPr>
              <w:t>(</w:t>
            </w:r>
            <w:r>
              <w:rPr>
                <w:rFonts w:hint="eastAsia" w:ascii="宋体" w:hAnsi="宋体" w:eastAsia="宋体" w:cs="宋体"/>
                <w:b w:val="0"/>
                <w:bCs/>
                <w:color w:val="auto"/>
                <w:sz w:val="21"/>
                <w:szCs w:val="21"/>
                <w:highlight w:val="none"/>
                <w:lang w:val="en-US" w:eastAsia="zh-CN"/>
              </w:rPr>
              <w:t>2)电子版</w:t>
            </w:r>
            <w:r>
              <w:rPr>
                <w:rFonts w:hint="eastAsia" w:ascii="宋体" w:hAnsi="宋体" w:eastAsia="宋体" w:cs="宋体"/>
                <w:b/>
                <w:bCs/>
                <w:sz w:val="21"/>
                <w:szCs w:val="21"/>
              </w:rPr>
              <w:t>单独密封提交，并在信封上标明"</w:t>
            </w:r>
            <w:r>
              <w:rPr>
                <w:rFonts w:hint="eastAsia" w:ascii="宋体" w:hAnsi="宋体" w:eastAsia="宋体" w:cs="宋体"/>
                <w:b/>
                <w:bCs/>
                <w:sz w:val="21"/>
                <w:szCs w:val="21"/>
                <w:lang w:eastAsia="zh-CN"/>
              </w:rPr>
              <w:t>电子版</w:t>
            </w:r>
            <w:r>
              <w:rPr>
                <w:rFonts w:hint="eastAsia" w:ascii="宋体" w:hAnsi="宋体" w:eastAsia="宋体" w:cs="宋体"/>
                <w:b/>
                <w:bCs/>
                <w:sz w:val="21"/>
                <w:szCs w:val="21"/>
              </w:rPr>
              <w:t>"字样；</w:t>
            </w:r>
            <w:r>
              <w:rPr>
                <w:rFonts w:hint="eastAsia" w:ascii="宋体" w:hAnsi="宋体" w:eastAsia="宋体" w:cs="宋体"/>
                <w:sz w:val="21"/>
                <w:szCs w:val="21"/>
              </w:rPr>
              <w:t>(</w:t>
            </w:r>
            <w:r>
              <w:rPr>
                <w:rFonts w:hint="eastAsia" w:ascii="宋体" w:hAnsi="宋体" w:eastAsia="宋体" w:cs="宋体"/>
                <w:b w:val="0"/>
                <w:bCs/>
                <w:color w:val="auto"/>
                <w:sz w:val="21"/>
                <w:szCs w:val="21"/>
                <w:highlight w:val="none"/>
                <w:lang w:val="en-US" w:eastAsia="zh-CN"/>
              </w:rPr>
              <w:t>3)供应商应将响应文件统包密封，封面应注明项目名称</w:t>
            </w:r>
            <w:r>
              <w:rPr>
                <w:rFonts w:hint="eastAsia" w:ascii="宋体" w:hAnsi="宋体" w:eastAsia="宋体" w:cs="宋体"/>
                <w:color w:val="000000"/>
                <w:sz w:val="21"/>
                <w:szCs w:val="21"/>
                <w:lang w:val="en-US" w:eastAsia="zh-CN"/>
              </w:rPr>
              <w:t>、</w:t>
            </w:r>
            <w:r>
              <w:rPr>
                <w:rFonts w:hint="eastAsia" w:ascii="宋体" w:hAnsi="宋体" w:eastAsia="宋体" w:cs="宋体"/>
                <w:b w:val="0"/>
                <w:bCs/>
                <w:color w:val="auto"/>
                <w:sz w:val="21"/>
                <w:szCs w:val="21"/>
                <w:highlight w:val="none"/>
                <w:lang w:val="en-US" w:eastAsia="zh-CN"/>
              </w:rPr>
              <w:t>项目编号</w:t>
            </w:r>
            <w:r>
              <w:rPr>
                <w:rFonts w:hint="eastAsia" w:ascii="宋体" w:hAnsi="宋体" w:eastAsia="宋体" w:cs="宋体"/>
                <w:color w:val="000000"/>
                <w:sz w:val="21"/>
                <w:szCs w:val="21"/>
                <w:lang w:val="en-US" w:eastAsia="zh-CN"/>
              </w:rPr>
              <w:t>、</w:t>
            </w: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6</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eastAsia="zh-CN"/>
              </w:rPr>
              <w:t>投标</w:t>
            </w:r>
            <w:r>
              <w:rPr>
                <w:rFonts w:hint="eastAsia" w:ascii="宋体" w:hAnsi="宋体" w:eastAsia="宋体" w:cs="宋体"/>
                <w:b/>
                <w:bCs w:val="0"/>
                <w:color w:val="auto"/>
                <w:sz w:val="21"/>
                <w:szCs w:val="21"/>
                <w:highlight w:val="none"/>
              </w:rPr>
              <w:t>保证金</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金额（小写）：</w:t>
            </w:r>
            <w:r>
              <w:rPr>
                <w:rFonts w:hint="eastAsia" w:ascii="宋体" w:hAnsi="宋体" w:cs="宋体"/>
                <w:b w:val="0"/>
                <w:bCs/>
                <w:color w:val="auto"/>
                <w:sz w:val="21"/>
                <w:szCs w:val="21"/>
                <w:highlight w:val="none"/>
                <w:lang w:val="en-US" w:eastAsia="zh-CN"/>
              </w:rPr>
              <w:t>13000</w:t>
            </w:r>
            <w:r>
              <w:rPr>
                <w:rFonts w:hint="eastAsia" w:ascii="宋体" w:hAnsi="宋体" w:eastAsia="宋体" w:cs="宋体"/>
                <w:b w:val="0"/>
                <w:bCs/>
                <w:color w:val="auto"/>
                <w:sz w:val="21"/>
                <w:szCs w:val="21"/>
                <w:highlight w:val="none"/>
                <w:lang w:val="en-US" w:eastAsia="zh-CN"/>
              </w:rPr>
              <w:t>.00</w:t>
            </w:r>
            <w:r>
              <w:rPr>
                <w:rFonts w:hint="eastAsia" w:ascii="宋体" w:hAnsi="宋体" w:eastAsia="宋体" w:cs="宋体"/>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金额（大写）：</w:t>
            </w:r>
            <w:r>
              <w:rPr>
                <w:rFonts w:hint="eastAsia" w:ascii="宋体" w:hAnsi="宋体" w:cs="宋体"/>
                <w:b w:val="0"/>
                <w:bCs/>
                <w:color w:val="auto"/>
                <w:sz w:val="21"/>
                <w:szCs w:val="21"/>
                <w:highlight w:val="none"/>
                <w:lang w:val="en-US" w:eastAsia="zh-CN"/>
              </w:rPr>
              <w:t>壹万叁仟</w:t>
            </w:r>
            <w:r>
              <w:rPr>
                <w:rFonts w:hint="eastAsia" w:ascii="宋体" w:hAnsi="宋体" w:eastAsia="宋体" w:cs="宋体"/>
                <w:b w:val="0"/>
                <w:bCs/>
                <w:color w:val="auto"/>
                <w:sz w:val="21"/>
                <w:szCs w:val="21"/>
                <w:highlight w:val="none"/>
                <w:lang w:val="en-US" w:eastAsia="zh-CN"/>
              </w:rPr>
              <w:t>元整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备注项目</w:t>
            </w:r>
            <w:r>
              <w:rPr>
                <w:rFonts w:hint="eastAsia" w:ascii="宋体" w:hAnsi="宋体" w:eastAsia="宋体" w:cs="宋体"/>
                <w:b w:val="0"/>
                <w:bCs/>
                <w:color w:val="auto"/>
                <w:sz w:val="21"/>
                <w:szCs w:val="21"/>
                <w:highlight w:val="none"/>
                <w:lang w:eastAsia="zh-CN"/>
              </w:rPr>
              <w:t>编号、项目</w:t>
            </w:r>
            <w:r>
              <w:rPr>
                <w:rFonts w:hint="eastAsia" w:ascii="宋体" w:hAnsi="宋体" w:cs="宋体"/>
                <w:b w:val="0"/>
                <w:bCs/>
                <w:color w:val="auto"/>
                <w:sz w:val="21"/>
                <w:szCs w:val="21"/>
                <w:highlight w:val="none"/>
                <w:lang w:val="en-US" w:eastAsia="zh-CN"/>
              </w:rPr>
              <w:t>及标段</w:t>
            </w:r>
            <w:r>
              <w:rPr>
                <w:rFonts w:hint="eastAsia" w:ascii="宋体" w:hAnsi="宋体" w:eastAsia="宋体" w:cs="宋体"/>
                <w:b w:val="0"/>
                <w:bCs/>
                <w:color w:val="auto"/>
                <w:sz w:val="21"/>
                <w:szCs w:val="21"/>
                <w:highlight w:val="none"/>
              </w:rPr>
              <w:t xml:space="preserve">名称 </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开户名称：</w:t>
            </w:r>
            <w:r>
              <w:rPr>
                <w:rFonts w:hint="eastAsia" w:ascii="宋体" w:hAnsi="宋体" w:eastAsia="宋体" w:cs="宋体"/>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开户行：</w:t>
            </w:r>
            <w:r>
              <w:rPr>
                <w:rFonts w:hint="eastAsia" w:ascii="宋体" w:hAnsi="宋体" w:eastAsia="宋体" w:cs="宋体"/>
                <w:b w:val="0"/>
                <w:bCs/>
                <w:color w:val="auto"/>
                <w:sz w:val="21"/>
                <w:szCs w:val="21"/>
                <w:highlight w:val="none"/>
                <w:lang w:eastAsia="zh-CN"/>
              </w:rPr>
              <w:t>交通银行股份有限公司乌鲁木齐大西门支行</w:t>
            </w:r>
            <w:r>
              <w:rPr>
                <w:rFonts w:hint="eastAsia" w:ascii="宋体" w:hAnsi="宋体" w:eastAsia="宋体" w:cs="宋体"/>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   号：</w:t>
            </w:r>
            <w:r>
              <w:rPr>
                <w:rFonts w:hint="eastAsia" w:ascii="宋体" w:hAnsi="宋体" w:eastAsia="宋体" w:cs="宋体"/>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必须</w:t>
            </w:r>
            <w:r>
              <w:rPr>
                <w:rFonts w:hint="eastAsia" w:ascii="宋体" w:hAnsi="宋体" w:eastAsia="宋体" w:cs="宋体"/>
                <w:b w:val="0"/>
                <w:bCs/>
                <w:color w:val="auto"/>
                <w:sz w:val="21"/>
                <w:szCs w:val="21"/>
                <w:highlight w:val="none"/>
                <w:lang w:eastAsia="zh-CN"/>
              </w:rPr>
              <w:t>投标截止时间前</w:t>
            </w:r>
            <w:r>
              <w:rPr>
                <w:rFonts w:hint="eastAsia" w:ascii="宋体" w:hAnsi="宋体" w:eastAsia="宋体" w:cs="宋体"/>
                <w:b w:val="0"/>
                <w:bCs/>
                <w:color w:val="auto"/>
                <w:sz w:val="21"/>
                <w:szCs w:val="21"/>
                <w:highlight w:val="none"/>
              </w:rPr>
              <w:t>完成保证金缴纳工作。</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 xml:space="preserve">(3)标书内须放置投标保证金缴纳凭证。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cs="宋体"/>
                <w:b w:val="0"/>
                <w:bCs/>
                <w:color w:val="auto"/>
                <w:sz w:val="21"/>
                <w:szCs w:val="21"/>
                <w:highlight w:val="none"/>
                <w:lang w:val="en-US" w:eastAsia="zh-CN"/>
              </w:rPr>
              <w:t>7</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代理服务费</w:t>
            </w:r>
          </w:p>
        </w:tc>
        <w:tc>
          <w:tcPr>
            <w:tcW w:w="6523" w:type="dxa"/>
            <w:vAlign w:val="center"/>
          </w:tcPr>
          <w:p>
            <w:pPr>
              <w:pageBreakBefore w:val="0"/>
              <w:kinsoku/>
              <w:topLinePunct w:val="0"/>
              <w:bidi w:val="0"/>
              <w:spacing w:line="400" w:lineRule="exact"/>
              <w:ind w:left="0" w:leftChars="0" w:firstLine="0" w:firstLineChars="0"/>
              <w:rPr>
                <w:rFonts w:hint="eastAsia"/>
                <w:lang w:val="en-US" w:eastAsia="zh-CN"/>
              </w:rPr>
            </w:pPr>
            <w:r>
              <w:rPr>
                <w:rFonts w:hint="eastAsia"/>
              </w:rPr>
              <w:t>本项目招标代理服务费根据发改价格[2011]534 号及计价格[2002]1980 号文件计算的招标代理服务收费标准</w:t>
            </w:r>
            <w:r>
              <w:rPr>
                <w:rFonts w:hint="eastAsia"/>
                <w:lang w:eastAsia="zh-CN"/>
              </w:rPr>
              <w:t>收取</w:t>
            </w:r>
            <w:r>
              <w:rPr>
                <w:rFonts w:hint="eastAsia"/>
              </w:rPr>
              <w:t>。由中标</w:t>
            </w:r>
            <w:r>
              <w:rPr>
                <w:rFonts w:hint="eastAsia"/>
                <w:lang w:eastAsia="zh-CN"/>
              </w:rPr>
              <w:t>（成交）</w:t>
            </w:r>
            <w:r>
              <w:rPr>
                <w:rFonts w:hint="eastAsia"/>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5"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cs="宋体"/>
                <w:b w:val="0"/>
                <w:bCs/>
                <w:color w:val="auto"/>
                <w:sz w:val="21"/>
                <w:szCs w:val="21"/>
                <w:highlight w:val="none"/>
                <w:lang w:val="en-US" w:eastAsia="zh-CN"/>
              </w:rPr>
              <w:t>8</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有关政策</w:t>
            </w:r>
          </w:p>
        </w:tc>
        <w:tc>
          <w:tcPr>
            <w:tcW w:w="6523" w:type="dxa"/>
            <w:vAlign w:val="center"/>
          </w:tcPr>
          <w:p>
            <w:pPr>
              <w:pageBreakBefore w:val="0"/>
              <w:numPr>
                <w:ilvl w:val="0"/>
                <w:numId w:val="0"/>
              </w:numPr>
              <w:kinsoku/>
              <w:topLinePunct w:val="0"/>
              <w:bidi w:val="0"/>
              <w:spacing w:line="400" w:lineRule="exact"/>
              <w:rPr>
                <w:rFonts w:hint="eastAsia" w:ascii="宋体" w:hAnsi="宋体" w:eastAsia="宋体" w:cs="宋体"/>
                <w:b w:val="0"/>
                <w:bCs/>
                <w:color w:val="auto"/>
                <w:kern w:val="2"/>
                <w:sz w:val="21"/>
                <w:szCs w:val="21"/>
                <w:highlight w:val="none"/>
                <w:lang w:val="en-US" w:eastAsia="zh-CN" w:bidi="ar-SA"/>
              </w:rPr>
            </w:pPr>
            <w:r>
              <w:rPr>
                <w:rStyle w:val="122"/>
                <w:rFonts w:hint="eastAsia" w:ascii="宋体" w:hAnsi="宋体" w:eastAsia="宋体" w:cs="宋体"/>
                <w:b w:val="0"/>
                <w:bCs/>
                <w:color w:val="auto"/>
                <w:sz w:val="21"/>
                <w:szCs w:val="21"/>
                <w:highlight w:val="none"/>
              </w:rPr>
              <w:t>本项目</w:t>
            </w:r>
            <w:r>
              <w:rPr>
                <w:rStyle w:val="122"/>
                <w:rFonts w:hint="eastAsia" w:ascii="宋体" w:hAnsi="宋体" w:cs="宋体"/>
                <w:b w:val="0"/>
                <w:bCs/>
                <w:color w:val="auto"/>
                <w:sz w:val="21"/>
                <w:szCs w:val="21"/>
                <w:highlight w:val="none"/>
                <w:lang w:val="en-US" w:eastAsia="zh-CN"/>
              </w:rPr>
              <w:t>因特殊情况不专门</w:t>
            </w:r>
            <w:r>
              <w:rPr>
                <w:rStyle w:val="122"/>
                <w:rFonts w:hint="eastAsia" w:ascii="宋体" w:hAnsi="宋体" w:eastAsia="宋体" w:cs="宋体"/>
                <w:b w:val="0"/>
                <w:bCs/>
                <w:color w:val="auto"/>
                <w:sz w:val="21"/>
                <w:szCs w:val="21"/>
                <w:highlight w:val="none"/>
              </w:rPr>
              <w:t>面向中小企业</w:t>
            </w:r>
            <w:r>
              <w:rPr>
                <w:rStyle w:val="122"/>
                <w:rFonts w:hint="eastAsia" w:ascii="宋体" w:hAnsi="宋体" w:cs="宋体"/>
                <w:b w:val="0"/>
                <w:bCs/>
                <w:color w:val="auto"/>
                <w:sz w:val="21"/>
                <w:szCs w:val="21"/>
                <w:highlight w:val="none"/>
                <w:lang w:eastAsia="zh-CN"/>
              </w:rPr>
              <w:t>：</w:t>
            </w:r>
          </w:p>
          <w:p>
            <w:pPr>
              <w:pageBreakBefore w:val="0"/>
              <w:numPr>
                <w:ilvl w:val="0"/>
                <w:numId w:val="3"/>
              </w:numPr>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Style w:val="122"/>
                <w:rFonts w:hint="eastAsia" w:ascii="宋体" w:hAnsi="宋体" w:eastAsia="宋体" w:cs="宋体"/>
                <w:b w:val="0"/>
                <w:bCs/>
                <w:color w:val="auto"/>
                <w:sz w:val="21"/>
                <w:szCs w:val="21"/>
                <w:highlight w:val="none"/>
              </w:rPr>
              <w:t xml:space="preserve">《政府采购促进中小企业发展管理办法》（财库〔2020〕46号）； （2）《财政部、司法部关于政府采购支持监狱企业发展有关问题的通知》（财库〔2014〕68号）； </w:t>
            </w:r>
          </w:p>
          <w:p>
            <w:pPr>
              <w:pageBreakBefore w:val="0"/>
              <w:numPr>
                <w:ilvl w:val="0"/>
                <w:numId w:val="0"/>
              </w:numPr>
              <w:kinsoku/>
              <w:topLinePunct w:val="0"/>
              <w:bidi w:val="0"/>
              <w:spacing w:line="400" w:lineRule="exact"/>
              <w:ind w:leftChars="0"/>
              <w:rPr>
                <w:rFonts w:hint="eastAsia" w:ascii="宋体" w:hAnsi="宋体" w:eastAsia="宋体" w:cs="宋体"/>
                <w:b w:val="0"/>
                <w:bCs/>
                <w:color w:val="auto"/>
                <w:kern w:val="2"/>
                <w:sz w:val="21"/>
                <w:szCs w:val="21"/>
                <w:highlight w:val="none"/>
                <w:lang w:val="en-US" w:eastAsia="zh-CN" w:bidi="ar-SA"/>
              </w:rPr>
            </w:pPr>
            <w:r>
              <w:rPr>
                <w:rStyle w:val="122"/>
                <w:rFonts w:hint="eastAsia" w:ascii="宋体" w:hAnsi="宋体" w:eastAsia="宋体" w:cs="宋体"/>
                <w:b w:val="0"/>
                <w:bCs/>
                <w:color w:val="auto"/>
                <w:sz w:val="21"/>
                <w:szCs w:val="21"/>
                <w:highlight w:val="none"/>
              </w:rPr>
              <w:t>（3）《财政部民政部 中国残疾人联合会关于促进残疾人就业政府采购政策的通知》财库〔2017〕141号等政策，详见招标文件.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29</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封套上应载明的信息</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410" w:type="dxa"/>
            <w:vAlign w:val="center"/>
          </w:tcPr>
          <w:p>
            <w:pPr>
              <w:autoSpaceDE w:val="0"/>
              <w:autoSpaceDN w:val="0"/>
              <w:spacing w:line="360" w:lineRule="auto"/>
              <w:rPr>
                <w:rFonts w:hint="eastAsia" w:ascii="宋体" w:hAnsi="宋体" w:eastAsia="宋体" w:cs="宋体"/>
                <w:b w:val="0"/>
                <w:bCs/>
                <w:color w:val="auto"/>
                <w:sz w:val="21"/>
                <w:szCs w:val="21"/>
                <w:highlight w:val="none"/>
              </w:rPr>
            </w:pPr>
            <w:r>
              <w:rPr>
                <w:rFonts w:hint="eastAsia" w:ascii="宋体" w:hAnsi="宋体" w:cs="宋体"/>
                <w:color w:val="auto"/>
                <w:szCs w:val="21"/>
              </w:rPr>
              <w:t>需要补充的其他内容</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cs="宋体"/>
                <w:color w:val="auto"/>
                <w:szCs w:val="21"/>
                <w:lang w:val="en-US" w:eastAsia="zh-CN"/>
              </w:rPr>
              <w:t>1</w:t>
            </w:r>
            <w:r>
              <w:rPr>
                <w:rFonts w:hint="eastAsia" w:ascii="宋体" w:hAnsi="宋体" w:cs="宋体"/>
                <w:color w:val="auto"/>
                <w:szCs w:val="21"/>
              </w:rPr>
              <w:t>、本项目投标应以</w:t>
            </w:r>
            <w:r>
              <w:rPr>
                <w:rFonts w:hint="eastAsia" w:ascii="宋体" w:hAnsi="宋体" w:eastAsia="宋体" w:cs="宋体"/>
                <w:b w:val="0"/>
                <w:bCs/>
                <w:color w:val="auto"/>
                <w:sz w:val="21"/>
                <w:szCs w:val="21"/>
                <w:highlight w:val="none"/>
              </w:rPr>
              <w:t>人民币报价；</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2、不论投标结果如何，投标人均应自行承担所有与投标有关的全部费用</w:t>
            </w:r>
            <w:r>
              <w:rPr>
                <w:rFonts w:hint="eastAsia" w:ascii="宋体" w:hAnsi="宋体" w:eastAsia="宋体" w:cs="宋体"/>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410" w:type="dxa"/>
            <w:vAlign w:val="center"/>
          </w:tcPr>
          <w:p>
            <w:pPr>
              <w:autoSpaceDE w:val="0"/>
              <w:autoSpaceDN w:val="0"/>
              <w:spacing w:line="360" w:lineRule="auto"/>
              <w:rPr>
                <w:rFonts w:hint="eastAsia" w:ascii="宋体" w:hAnsi="宋体" w:cs="宋体"/>
                <w:szCs w:val="21"/>
              </w:rPr>
            </w:pPr>
            <w:r>
              <w:rPr>
                <w:rFonts w:hint="eastAsia" w:ascii="宋体" w:hAnsi="宋体" w:cs="宋体"/>
                <w:szCs w:val="21"/>
              </w:rPr>
              <w:t>备注</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cs="宋体"/>
                <w:color w:val="auto"/>
                <w:szCs w:val="21"/>
              </w:rPr>
            </w:pPr>
            <w:r>
              <w:rPr>
                <w:rFonts w:hint="eastAsia" w:ascii="宋体" w:hAnsi="宋体" w:eastAsia="宋体" w:cs="Times New Roman"/>
                <w:b/>
                <w:bCs/>
                <w:szCs w:val="21"/>
                <w:lang w:val="en-US" w:eastAsia="zh-CN"/>
              </w:rPr>
              <w:t>1、</w:t>
            </w:r>
            <w:r>
              <w:rPr>
                <w:rFonts w:hint="eastAsia" w:ascii="宋体" w:hAnsi="宋体"/>
                <w:b/>
                <w:bCs/>
                <w:szCs w:val="21"/>
              </w:rPr>
              <w:t>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宋体" w:hAnsi="宋体" w:cs="宋体"/>
                <w:color w:val="0070C0"/>
                <w:szCs w:val="21"/>
              </w:rPr>
            </w:pPr>
            <w:r>
              <w:rPr>
                <w:rFonts w:hint="eastAsia" w:ascii="宋体" w:hAnsi="宋体" w:cs="宋体"/>
                <w:color w:val="auto"/>
                <w:szCs w:val="21"/>
                <w:lang w:val="en-US" w:eastAsia="zh-CN"/>
              </w:rPr>
              <w:t>2、</w:t>
            </w:r>
            <w:r>
              <w:rPr>
                <w:rFonts w:hint="eastAsia" w:ascii="宋体" w:hAnsi="宋体" w:cs="宋体"/>
                <w:color w:val="auto"/>
                <w:szCs w:val="21"/>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vAlign w:val="center"/>
          </w:tcPr>
          <w:p>
            <w:pPr>
              <w:pStyle w:val="13"/>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注意</w:t>
            </w:r>
          </w:p>
          <w:p>
            <w:pPr>
              <w:pStyle w:val="13"/>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事项</w:t>
            </w:r>
          </w:p>
        </w:tc>
        <w:tc>
          <w:tcPr>
            <w:tcW w:w="8933" w:type="dxa"/>
            <w:gridSpan w:val="2"/>
            <w:vAlign w:val="center"/>
          </w:tcPr>
          <w:p>
            <w:pPr>
              <w:pStyle w:val="13"/>
              <w:pageBreakBefore w:val="0"/>
              <w:kinsoku/>
              <w:topLinePunct w:val="0"/>
              <w:bidi w:val="0"/>
              <w:spacing w:line="400" w:lineRule="exact"/>
              <w:ind w:left="0" w:leftChars="0" w:firstLine="0" w:firstLineChars="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各供应商应在本项目采购公告发布之日起到响应文件递交截止时间期间，通过“信用中国”网站（</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www.creditchina.gov.cn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）、中国政府采购网（</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www.ccgp.gov.cn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8933" w:type="dxa"/>
            <w:gridSpan w:val="2"/>
            <w:vAlign w:val="center"/>
          </w:tcPr>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pageBreakBefore w:val="0"/>
              <w:kinsoku/>
              <w:topLinePunct w:val="0"/>
              <w:bidi w:val="0"/>
              <w:spacing w:before="0"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特别说明：</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Style w:val="36"/>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br w:type="page"/>
      </w:r>
      <w:bookmarkStart w:id="17" w:name="_Toc298240405"/>
      <w:bookmarkStart w:id="18" w:name="_Toc349637920"/>
      <w:bookmarkStart w:id="19" w:name="_Toc267301282"/>
      <w:bookmarkStart w:id="20" w:name="_Toc462223632"/>
      <w:bookmarkStart w:id="21" w:name="_Toc349573121"/>
      <w:r>
        <w:rPr>
          <w:rFonts w:hint="eastAsia" w:ascii="宋体" w:hAnsi="宋体" w:eastAsia="宋体" w:cs="宋体"/>
          <w:sz w:val="21"/>
          <w:szCs w:val="21"/>
        </w:rPr>
        <w:t>（一）说　明</w:t>
      </w:r>
      <w:bookmarkEnd w:id="17"/>
      <w:bookmarkEnd w:id="18"/>
      <w:bookmarkEnd w:id="19"/>
      <w:bookmarkEnd w:id="20"/>
      <w:bookmarkEnd w:id="2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1、适用范围</w:t>
      </w:r>
    </w:p>
    <w:p>
      <w:pPr>
        <w:pageBreakBefore w:val="0"/>
        <w:tabs>
          <w:tab w:val="left" w:pos="360"/>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1.1本磋商文件仅适用于本次磋商邀请中所叙述项目的货物及服务采购。</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2、定义</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1 “招标代理机构”系指宏业国际项目管理有限公司；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2.2 “需方”系指</w:t>
      </w:r>
      <w:r>
        <w:rPr>
          <w:rFonts w:hint="eastAsia" w:ascii="宋体" w:hAnsi="宋体" w:cs="宋体"/>
          <w:color w:val="000000"/>
          <w:sz w:val="21"/>
          <w:szCs w:val="21"/>
          <w:lang w:eastAsia="zh-CN"/>
        </w:rPr>
        <w:t>新疆维吾尔自治区国土空间规划研究中心</w:t>
      </w:r>
      <w:r>
        <w:rPr>
          <w:rFonts w:hint="eastAsia" w:ascii="宋体" w:hAnsi="宋体" w:eastAsia="宋体" w:cs="宋体"/>
          <w:color w:val="000000"/>
          <w:sz w:val="21"/>
          <w:szCs w:val="21"/>
        </w:rPr>
        <w:t>；</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2.3 “磋商供应商”系指向招标代理机构提交磋商响应性文件的制造商或代理商；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2.4 “成交方”系指在本次磋商中成交，将被授予合同的供应商，即成为“成交方”。</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3、合格的供应商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3.1 有能力提供磋商文件中所要求的货物及服务、资格审查合格的制造商或代理商为合格的供应商；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3.2 供应商必须遵守有关的国内法律和规章条例。</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4、供应商资格</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4.1落实政府采购政策需满足的资格要求：详见政府采购法；</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4.2供应商须符合《中华人民共和国政府采购法》第二十二条规定,并提供《中华人民共和国政府采购法实施条例》第十七条所要求的材料；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① 供应商提供有效的统一社会信用代码的营业执照，供应商必须是中华人民共和国境内注册的，具有独立承担民事责任的能力；</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② 财务状况报告：供应商提供202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年度经第三方权威机构出具的完整的财务审计报告或自发布公告之日起基本开户银行出具的资信证明；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③ 依法缴纳税收：供应商提供自投标截止之日前半年内任意一个月依法缴纳税收的凭据，依法免税的供应商，应提供充足的证明材料；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④ 依法缴纳社保：供应商提供自投标截止之日前半年内任意一个月依法缴纳社会保障资金的凭据；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⑤ 供应商具备履行合同所必需的设备和专业技术能力的证明材料；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4.3供应商提供法人授权委托书及被授权人身份证原件；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4.5本项目不接受联合体投标；</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单位负责人为同一人或者存在直接控股、管理关系的不同投标人，不得同时参加本项目的竞争。 </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5、磋商费用</w:t>
      </w:r>
    </w:p>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 无论磋商过程中的作法和结果如何，供应商将自行承担所有与参加磋商有关的全部费用。</w:t>
      </w:r>
      <w:bookmarkStart w:id="22" w:name="_Toc298240406"/>
      <w:bookmarkStart w:id="23" w:name="_Toc267301283"/>
      <w:bookmarkStart w:id="24" w:name="_Toc349637921"/>
      <w:bookmarkStart w:id="25" w:name="_Toc349573122"/>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26" w:name="_Toc462223633"/>
      <w:r>
        <w:rPr>
          <w:rFonts w:hint="eastAsia" w:ascii="宋体" w:hAnsi="宋体" w:eastAsia="宋体" w:cs="宋体"/>
          <w:sz w:val="21"/>
          <w:szCs w:val="21"/>
        </w:rPr>
        <w:t>（二）磋商文件</w:t>
      </w:r>
      <w:bookmarkEnd w:id="22"/>
      <w:bookmarkEnd w:id="23"/>
      <w:bookmarkEnd w:id="24"/>
      <w:bookmarkEnd w:id="25"/>
      <w:bookmarkEnd w:id="2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6、磋商文件构成</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6.1磋商文件包括：</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⑴磋商公告；</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⑵供应商须知；</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⑶项目需求；</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⑷合同条款；</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⑸附件。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highlight w:val="none"/>
        </w:rPr>
        <w:t>6.2 磋商文</w:t>
      </w:r>
      <w:r>
        <w:rPr>
          <w:rFonts w:hint="eastAsia" w:ascii="宋体" w:hAnsi="宋体" w:eastAsia="宋体" w:cs="宋体"/>
          <w:sz w:val="21"/>
          <w:szCs w:val="21"/>
        </w:rPr>
        <w:t>件以中文编写。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7、磋商文件澄清</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7.1 供应商对磋商文件有疑问的，可以向招标代理机构提出询问，招标代理机构将及时做出答复；</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7.2 供应商对磋商文件有质疑，须在磋商响应文件递交截止时间3日以前，以书面形式向招标机构提出质疑；招标机构在收到书面质疑后尽快做出答复，并以书面形式通知质疑供应商。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8、磋商文件的修改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8.1 对磋商文件进行必要的修改，招标代理机构将在投标截止时间2日前以书面形式通知所有购买磋商文件的供应商。该修改的内容为磋商文件的组成部分；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8.2 供应商在规定的时间内未对磋商文件提出澄清要求的，招标代理机构将视其为同意。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8.3在投标截止时间前，招标机构可视具体情况延长磋商截止时间，并将变更时间书面通知所有购买磋商文件的供应商。</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27" w:name="_Toc349637922"/>
      <w:bookmarkStart w:id="28" w:name="_Toc349573123"/>
      <w:bookmarkStart w:id="29" w:name="_Toc298240407"/>
      <w:bookmarkStart w:id="30" w:name="_Toc462223634"/>
      <w:bookmarkStart w:id="31" w:name="_Toc267301284"/>
      <w:r>
        <w:rPr>
          <w:rFonts w:hint="eastAsia" w:ascii="宋体" w:hAnsi="宋体" w:eastAsia="宋体" w:cs="宋体"/>
          <w:sz w:val="21"/>
          <w:szCs w:val="21"/>
        </w:rPr>
        <w:t>（三）磋商响应性文件的编写</w:t>
      </w:r>
      <w:bookmarkEnd w:id="27"/>
      <w:bookmarkEnd w:id="28"/>
      <w:bookmarkEnd w:id="29"/>
      <w:bookmarkEnd w:id="30"/>
      <w:bookmarkEnd w:id="3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10、磋商语言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11、磋商响应性文件的构成</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11.1 供应商编写的磋商响应性文件应包括下列内容：</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1）磋 商 响 应 函</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2）法定代表人身份证明</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3）法定代表人授权委托书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4）磋商报价表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5）商务偏离表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6）技术偏离表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7）公司业绩一览表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8）优惠条件承诺书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9）售后服务承诺</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 无重大违法记录声明</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11)供应商反商业贿赂承诺书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12）中小微企业证明文件等</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13）投标人认为有必要提交的其他相关证明材料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11.2供应商应将磋商响应性文件装订成册，并填写文件资料清单。</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12、磋商响应文件格式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12.1 供应商应按磋商文件的范本格式中提供的文件格式填写。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13、磋商报价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13.2算术性修正。算术性修正是指对磋商响应文件的报价明细进行校核，并对其算术上和运算上的差错给予修正。修正的原则如下：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13.2.1 当以数字表示的金额与文字表示的金额有差异时，以文字表示的金额为准；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13.2.2 当单价与数量相乘不等于合价时，以单价计算为准。如果单价有明显的小数点位置差错，应以标出的合价为准，同时对单价予以修正；</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13.2.3 当各明细部分的价格累计不等于合价时，应以各明细的累计计数为准，修正合价。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13.2.4 按以上原则对算术性差错修正，应取得供应商的同意，并确认修正后最终磋商报价。如果供应商拒绝确认，则其磋商响应文件将不予以评审并按废标处理，没收其投标担保。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14、投标货币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14.1人民币报价。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15、供应商的证明文件：</w:t>
      </w:r>
    </w:p>
    <w:p>
      <w:pPr>
        <w:pageBreakBefore w:val="0"/>
        <w:kinsoku/>
        <w:topLinePunct w:val="0"/>
        <w:bidi w:val="0"/>
        <w:spacing w:line="400" w:lineRule="exact"/>
        <w:ind w:left="0" w:leftChars="0" w:firstLine="0" w:firstLineChars="0"/>
        <w:rPr>
          <w:rFonts w:hint="eastAsia" w:ascii="宋体" w:hAnsi="宋体" w:eastAsia="宋体" w:cs="宋体"/>
          <w:spacing w:val="8"/>
          <w:sz w:val="21"/>
          <w:szCs w:val="21"/>
        </w:rPr>
      </w:pPr>
      <w:r>
        <w:rPr>
          <w:rFonts w:hint="eastAsia" w:ascii="宋体" w:hAnsi="宋体" w:eastAsia="宋体" w:cs="宋体"/>
          <w:sz w:val="21"/>
          <w:szCs w:val="21"/>
        </w:rPr>
        <w:t>供应商必须提交证明其有资格进行磋商和有能力履行合同的文件（范本格式），作为磋商响应文件的一部分。（</w:t>
      </w:r>
      <w:r>
        <w:rPr>
          <w:rFonts w:hint="eastAsia" w:ascii="宋体" w:hAnsi="宋体" w:eastAsia="宋体" w:cs="宋体"/>
          <w:spacing w:val="8"/>
          <w:sz w:val="21"/>
          <w:szCs w:val="21"/>
        </w:rPr>
        <w:t>如不满足以下条款将导致废标）</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15.1落实政府采购政策需满足的资格要求：详见政府采购法；</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15.2供应商须符合《中华人民共和国政府采购法》第二十二条规定,并提供《中华人民共和国政府采购法实施条例》第十七条所要求的材料；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① 供应商提供有效的统一社会信用代码的营业执照，供应商必须是中华人民共和国境内注册的，具有独立承担民事责任的能力；</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② 财务状况报告：供应商提供202</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年度经第三方权威机构出具的完整的财务审计报告或自发布公告之日起基本开户银行出具的资信证明；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③ 依法缴纳税收：供应商提供自投标截止之日前半年内任意一个月依法缴纳税收的凭据，依法免税的供应商，应提供充足的证明材料；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④ 依法缴纳社保：供应商提供自投标截止之日前半年内任意一个月依法缴纳社会保障资金的凭据；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⑤ 供应商具备履行合同所必需的设备和专业技术能力的证明材料；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15.3供应商提供法人授权委托书及被授权人身份证原件；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15.5本项目不接受联合体投标；</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15.6单位负责人为同一人或者存在直接控股、管理关系的不同投标人，不得同时参加本项目的竞争。</w:t>
      </w:r>
    </w:p>
    <w:p>
      <w:pPr>
        <w:pageBreakBefore w:val="0"/>
        <w:tabs>
          <w:tab w:val="left" w:pos="252"/>
          <w:tab w:val="left" w:pos="671"/>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注：（1）磋商响应性文件中，所有供应商签字、法人代表签字、法人代表授权人签字和其它签字处必须签字有效；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（2）所有资格证明文件必须满足磋商文件要求，否则将导致废标。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16、参数符合磋商文件规定的技术要求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16.1供应商提交的成果资料符合磋商文件规定的要求，作为磋商响应文件的一部分。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17、磋商的有效期</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17.1 磋商响应文件从磋商之日起，投标有效期为</w:t>
      </w:r>
      <w:r>
        <w:rPr>
          <w:rFonts w:hint="eastAsia" w:ascii="宋体" w:hAnsi="宋体" w:cs="宋体"/>
          <w:sz w:val="21"/>
          <w:szCs w:val="21"/>
          <w:lang w:val="en-US" w:eastAsia="zh-CN"/>
        </w:rPr>
        <w:t>90</w:t>
      </w:r>
      <w:r>
        <w:rPr>
          <w:rFonts w:hint="eastAsia" w:ascii="宋体" w:hAnsi="宋体" w:eastAsia="宋体" w:cs="宋体"/>
          <w:sz w:val="21"/>
          <w:szCs w:val="21"/>
        </w:rPr>
        <w:t>天。（如不满足将导致废标）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17.2 在特殊情况下，招标代理机构可与供应商商量延长磋商响应文件的有效期。</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18、磋商响应性文件的书写要求。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18.1 磋商响应性文件须打印。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18.2 磋商响应性文件应清楚工整，修改处应由磋商供应商全权代表签章。</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18.3</w:t>
      </w:r>
      <w:r>
        <w:rPr>
          <w:rFonts w:hint="eastAsia" w:ascii="宋体" w:hAnsi="宋体" w:eastAsia="宋体" w:cs="宋体"/>
          <w:b/>
          <w:sz w:val="21"/>
          <w:szCs w:val="21"/>
        </w:rPr>
        <w:t>磋商响应性文件中要求由投标人法定代表人或被授权人签字的内容必须签字、盖章的内容必须盖章，否则视为无效投标。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18.4电报、电话、传真形式的投标概不接受。</w:t>
      </w:r>
    </w:p>
    <w:p>
      <w:pPr>
        <w:pageBreakBefore w:val="0"/>
        <w:kinsoku/>
        <w:topLinePunct w:val="0"/>
        <w:bidi w:val="0"/>
        <w:spacing w:line="400" w:lineRule="exact"/>
        <w:ind w:left="0" w:leftChars="0" w:firstLine="0" w:firstLineChars="0"/>
        <w:rPr>
          <w:rFonts w:hint="eastAsia" w:ascii="宋体" w:hAnsi="宋体" w:eastAsia="宋体" w:cs="宋体"/>
          <w:bCs/>
          <w:color w:val="auto"/>
          <w:sz w:val="21"/>
          <w:szCs w:val="21"/>
        </w:rPr>
      </w:pPr>
      <w:r>
        <w:rPr>
          <w:rFonts w:hint="eastAsia" w:ascii="宋体" w:hAnsi="宋体" w:eastAsia="宋体" w:cs="宋体"/>
          <w:bCs/>
          <w:sz w:val="21"/>
          <w:szCs w:val="21"/>
        </w:rPr>
        <w:t>18.5磋商响应文件的</w:t>
      </w:r>
      <w:r>
        <w:rPr>
          <w:rFonts w:hint="eastAsia" w:ascii="宋体" w:hAnsi="宋体" w:eastAsia="宋体" w:cs="宋体"/>
          <w:bCs/>
          <w:color w:val="auto"/>
          <w:sz w:val="21"/>
          <w:szCs w:val="21"/>
        </w:rPr>
        <w:t>份数：正本1份，副本2份，开标一览表1份，电子U盘1份，光盘</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份。</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19、投标保证金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19.1供应商按照供应商须知附表中要求缴纳磋商响应保证金。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19.2本次招标接受网银或电汇等非现金方式缴纳作为磋商保证金，磋商保证金有效期应当与磋商响应有效期一致。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19.3磋商保证金的退还时间：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19.3.1中标供应商的投标保证金，将在合同签订后的5个工作日内予以退还；未中标供应商的投标保证金在中标通知书发出后5个工作日内予以退还。</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19.4未按规定提交磋商保证金的投标，将被视为磋商无效。</w:t>
      </w:r>
    </w:p>
    <w:p>
      <w:pPr>
        <w:pStyle w:val="22"/>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19.5下列任何情况发生时，磋商保证金将被没收：</w:t>
      </w:r>
    </w:p>
    <w:p>
      <w:pPr>
        <w:pStyle w:val="22"/>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19.5.1供应商在磋商文件规定的投标有效期内撤回其磋商；</w:t>
      </w:r>
    </w:p>
    <w:p>
      <w:pPr>
        <w:pStyle w:val="22"/>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19.5.2成交方在规定期限内未能：</w:t>
      </w:r>
    </w:p>
    <w:p>
      <w:pPr>
        <w:pStyle w:val="22"/>
        <w:pageBreakBefore w:val="0"/>
        <w:kinsoku/>
        <w:topLinePunct w:val="0"/>
        <w:bidi w:val="0"/>
        <w:spacing w:line="400" w:lineRule="exact"/>
        <w:ind w:left="0" w:leftChars="0"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19.5.2.1按本须知第31条规定签订合同；</w:t>
      </w:r>
    </w:p>
    <w:p>
      <w:pPr>
        <w:pStyle w:val="22"/>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19.5.2.2</w:t>
      </w:r>
      <w:r>
        <w:rPr>
          <w:rFonts w:hint="eastAsia" w:ascii="宋体" w:hAnsi="宋体" w:eastAsia="宋体" w:cs="宋体"/>
          <w:color w:val="auto"/>
          <w:sz w:val="21"/>
          <w:szCs w:val="21"/>
        </w:rPr>
        <w:t>按本须知第</w:t>
      </w:r>
      <w:r>
        <w:rPr>
          <w:rFonts w:hint="eastAsia" w:hAnsi="宋体" w:cs="宋体"/>
          <w:color w:val="auto"/>
          <w:sz w:val="21"/>
          <w:szCs w:val="21"/>
          <w:lang w:val="en-US" w:eastAsia="zh-CN"/>
        </w:rPr>
        <w:t>28</w:t>
      </w:r>
      <w:r>
        <w:rPr>
          <w:rFonts w:hint="eastAsia" w:ascii="宋体" w:hAnsi="宋体" w:eastAsia="宋体" w:cs="宋体"/>
          <w:color w:val="auto"/>
          <w:sz w:val="21"/>
          <w:szCs w:val="21"/>
        </w:rPr>
        <w:t>条规定</w:t>
      </w:r>
      <w:r>
        <w:rPr>
          <w:rFonts w:hint="eastAsia" w:ascii="宋体" w:hAnsi="宋体" w:eastAsia="宋体" w:cs="宋体"/>
          <w:sz w:val="21"/>
          <w:szCs w:val="21"/>
        </w:rPr>
        <w:t>向招标代理机构交纳代理服务费。</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32" w:name="_Toc267301285"/>
      <w:bookmarkStart w:id="33" w:name="_Toc298240408"/>
      <w:bookmarkStart w:id="34" w:name="_Toc462223635"/>
      <w:bookmarkStart w:id="35" w:name="_Toc349637923"/>
      <w:bookmarkStart w:id="36" w:name="_Toc349573124"/>
      <w:r>
        <w:rPr>
          <w:rFonts w:hint="eastAsia" w:ascii="宋体" w:hAnsi="宋体" w:eastAsia="宋体" w:cs="宋体"/>
          <w:sz w:val="21"/>
          <w:szCs w:val="21"/>
        </w:rPr>
        <w:t>（四）磋商响应文件的递交</w:t>
      </w:r>
      <w:bookmarkEnd w:id="32"/>
      <w:bookmarkEnd w:id="33"/>
      <w:bookmarkEnd w:id="34"/>
      <w:bookmarkEnd w:id="35"/>
      <w:bookmarkEnd w:id="3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20、磋商响应性文件的密封与标记</w:t>
      </w:r>
    </w:p>
    <w:p>
      <w:pPr>
        <w:pageBreakBefore w:val="0"/>
        <w:numPr>
          <w:ilvl w:val="0"/>
          <w:numId w:val="0"/>
        </w:numPr>
        <w:tabs>
          <w:tab w:val="left" w:pos="1080"/>
        </w:tabs>
        <w:kinsoku/>
        <w:topLinePunct w:val="0"/>
        <w:bidi w:val="0"/>
        <w:spacing w:line="400" w:lineRule="exact"/>
        <w:ind w:leftChars="0"/>
        <w:rPr>
          <w:rFonts w:hint="eastAsia" w:ascii="宋体" w:hAnsi="宋体" w:eastAsia="宋体" w:cs="宋体"/>
          <w:sz w:val="21"/>
          <w:szCs w:val="21"/>
        </w:rPr>
      </w:pPr>
      <w:r>
        <w:rPr>
          <w:rFonts w:hint="eastAsia" w:ascii="宋体" w:hAnsi="宋体" w:eastAsia="宋体" w:cs="宋体"/>
          <w:sz w:val="21"/>
          <w:szCs w:val="21"/>
        </w:rPr>
        <w:t>20.1 供应商应将磋商响应性文件正本副本、开标一览表、电子版分别密封，在每个密封件的封面上标明：</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Style w:val="47"/>
        <w:rPr>
          <w:rFonts w:hint="eastAsi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20.2为方便磋商，磋商报价表单独密封，并在信封上标明“开标一览表”字样。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20.3磋商响应文件装订要求：磋商响应文件要求不得活页装订</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rPr>
        <w:t>21、磋商响应文件递</w:t>
      </w:r>
      <w:r>
        <w:rPr>
          <w:rFonts w:hint="eastAsia" w:ascii="宋体" w:hAnsi="宋体" w:eastAsia="宋体" w:cs="宋体"/>
          <w:sz w:val="21"/>
          <w:szCs w:val="21"/>
          <w:highlight w:val="none"/>
        </w:rPr>
        <w:t>交截止时间</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21.1磋商响应文件的递交截止时间为：</w:t>
      </w:r>
      <w:r>
        <w:rPr>
          <w:rFonts w:hint="eastAsia" w:ascii="宋体" w:hAnsi="宋体" w:cs="宋体"/>
          <w:sz w:val="21"/>
          <w:szCs w:val="21"/>
          <w:highlight w:val="none"/>
          <w:lang w:eastAsia="zh-CN"/>
        </w:rPr>
        <w:t>2022年</w:t>
      </w:r>
      <w:r>
        <w:rPr>
          <w:rFonts w:hint="eastAsia" w:ascii="宋体" w:hAnsi="宋体" w:cs="宋体"/>
          <w:sz w:val="21"/>
          <w:szCs w:val="21"/>
          <w:highlight w:val="none"/>
          <w:lang w:val="en-US" w:eastAsia="zh-CN"/>
        </w:rPr>
        <w:t>12月12日</w:t>
      </w:r>
      <w:r>
        <w:rPr>
          <w:rFonts w:hint="eastAsia" w:ascii="宋体" w:hAnsi="宋体" w:cs="宋体"/>
          <w:color w:val="auto"/>
          <w:sz w:val="21"/>
          <w:szCs w:val="21"/>
          <w:highlight w:val="none"/>
          <w:lang w:val="en-US" w:eastAsia="zh-CN"/>
        </w:rPr>
        <w:t>16</w:t>
      </w:r>
      <w:r>
        <w:rPr>
          <w:rFonts w:hint="eastAsia" w:ascii="宋体" w:hAnsi="宋体" w:eastAsia="宋体" w:cs="宋体"/>
          <w:sz w:val="21"/>
          <w:szCs w:val="21"/>
          <w:highlight w:val="none"/>
        </w:rPr>
        <w:t>：00时（北京时间）。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磋商响应文件以密封形式递交至：开标现场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21.2 所有磋商响应文件都必须按招标代理机构在磋商邀请中规定的投标截止时间之前送到磋商文件规定的地点。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21.3 出现第8.2款因磋商文件的修改推迟投标截止时间时，则按招标代理机构修改通知规定的时间递交。</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22、磋商响应文件的修改和撤销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22.2供应商不得在磋商时间起至磋商有效期期满前撤销磋商响应文件。否则招标代理机构将没收其磋商保证金。</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37" w:name="_Toc462223636"/>
      <w:bookmarkStart w:id="38" w:name="_Toc349573125"/>
      <w:bookmarkStart w:id="39" w:name="_Toc349637924"/>
      <w:bookmarkStart w:id="40" w:name="_Toc267301286"/>
      <w:bookmarkStart w:id="41" w:name="_Toc298240409"/>
      <w:r>
        <w:rPr>
          <w:rFonts w:hint="eastAsia" w:ascii="宋体" w:hAnsi="宋体" w:eastAsia="宋体" w:cs="宋体"/>
          <w:sz w:val="21"/>
          <w:szCs w:val="21"/>
        </w:rPr>
        <w:t>（五）磋商程序</w:t>
      </w:r>
      <w:bookmarkEnd w:id="37"/>
      <w:bookmarkEnd w:id="38"/>
      <w:bookmarkEnd w:id="39"/>
      <w:bookmarkEnd w:id="40"/>
      <w:bookmarkEnd w:id="4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23、磋商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23.1磋商时，采购人将对供应商进行资格初审。</w:t>
      </w:r>
    </w:p>
    <w:p>
      <w:pPr>
        <w:pageBreakBefore w:val="0"/>
        <w:kinsoku/>
        <w:topLinePunct w:val="0"/>
        <w:bidi w:val="0"/>
        <w:spacing w:line="400" w:lineRule="exact"/>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开标前，请各投标人委派开标代表携带身份证并按要求提供下列有效资料以备现场查验：（注：开标代表为法定代表人的，须出具法定代表人身份证明书及法定代表人身份证；开标代表为授权委托人的，须出具法定代表人授权委托书及代理人身份证）</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
          <w:bCs/>
          <w:color w:val="000000"/>
          <w:sz w:val="21"/>
          <w:szCs w:val="21"/>
        </w:rPr>
        <w:t>资格审查资料</w:t>
      </w:r>
      <w:r>
        <w:rPr>
          <w:rFonts w:hint="eastAsia" w:ascii="宋体" w:hAnsi="宋体" w:eastAsia="宋体" w:cs="宋体"/>
          <w:color w:val="000000"/>
          <w:sz w:val="21"/>
          <w:szCs w:val="21"/>
        </w:rPr>
        <w:t>：“三证合一</w:t>
      </w:r>
      <w:r>
        <w:rPr>
          <w:rFonts w:hint="eastAsia" w:ascii="宋体" w:hAnsi="宋体" w:cs="宋体"/>
          <w:color w:val="000000"/>
          <w:sz w:val="21"/>
          <w:szCs w:val="21"/>
          <w:lang w:eastAsia="zh-CN"/>
        </w:rPr>
        <w:t>”</w:t>
      </w:r>
      <w:r>
        <w:rPr>
          <w:rFonts w:hint="eastAsia" w:ascii="宋体" w:hAnsi="宋体" w:eastAsia="宋体" w:cs="宋体"/>
          <w:color w:val="000000"/>
          <w:sz w:val="21"/>
          <w:szCs w:val="21"/>
        </w:rPr>
        <w:t>营业执照原件；法定代表人身份证明书或法定代表人授权委托书原件；投标保证金缴纳凭证复印件加盖单位公章；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加盖单位公章”。投标人须提供上述资格查验资料并按采购文件封装、标识要求，密封后提供，在外封袋标明“</w:t>
      </w:r>
      <w:r>
        <w:rPr>
          <w:rFonts w:hint="eastAsia" w:ascii="宋体" w:hAnsi="宋体" w:eastAsia="宋体" w:cs="宋体"/>
          <w:b/>
          <w:bCs/>
          <w:color w:val="000000"/>
          <w:sz w:val="21"/>
          <w:szCs w:val="21"/>
        </w:rPr>
        <w:t>资质查验</w:t>
      </w:r>
      <w:r>
        <w:rPr>
          <w:rFonts w:hint="eastAsia" w:ascii="宋体" w:hAnsi="宋体" w:eastAsia="宋体" w:cs="宋体"/>
          <w:color w:val="000000"/>
          <w:sz w:val="21"/>
          <w:szCs w:val="21"/>
        </w:rPr>
        <w:t>”字样。</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23</w:t>
      </w:r>
      <w:r>
        <w:rPr>
          <w:rFonts w:hint="eastAsia" w:ascii="宋体" w:hAnsi="宋体" w:eastAsia="宋体" w:cs="宋体"/>
          <w:color w:val="000000"/>
          <w:sz w:val="21"/>
          <w:szCs w:val="21"/>
        </w:rPr>
        <w:t>.2 开标现场提供证件齐全、满足采购文件要求的投标人为合格有效投标人。</w:t>
      </w:r>
    </w:p>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以备磋商前做初步的审查，确认其是否已具备提交磋商响应文件的资格。但该初步审查并不妨碍磋商小组对供应商进行的进一步资格详细审查。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23.2本次磋商按磋商文件中磋商邀请规定的时间地点进行磋商，</w:t>
      </w:r>
      <w:r>
        <w:rPr>
          <w:rFonts w:hint="eastAsia" w:ascii="宋体" w:hAnsi="宋体" w:eastAsia="宋体" w:cs="宋体"/>
          <w:sz w:val="21"/>
          <w:szCs w:val="21"/>
        </w:rPr>
        <w:t>将邀请供应商的法定代表人或其授权委托人准时参加磋商会。</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23.3宣布磋商响应文件开启顺序。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23.4磋商时检查磋商响应文件密封情况。</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23.5磋商原则在磋商会议上宣布。</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23.6 对采购方的纪律要求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采购方不得泄露磋商活动中应当保密的情况和资料，不得与供应商串通损害国家利益、社会公共利益或者他人合法权益。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23.7对供应商的纪律要求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23.8 对与磋商活动有关的工作人员的纪律要求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23.9对磋商小组成员要求磋商纪律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23.9.1磋商小组应当依照有关法律法规的规定，按照磋商文件确定的磋商标准和办法客观、公正的对磋商响应文件提出评审意见。磋商文件设有规定的磋商标准和方法不得作为磋商依据。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23.9.2磋商小组成员不得私下接触供应商，不得收受供应商给予的财务或者其他好处，不得向采购方征询确定成交方意向。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23.9.3不得接受任何单位或个人明示或暗示提出的倾向或排斥特定供应商的要求。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23.9.4不得有其他不客观，不公正履行职务的行为。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24、磋商过程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24.1 磋商的依据为磋商文件和磋商响应文件。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24.2 磋商后磋商小组审查磋商响应文件是否完整，是否有计算错误，要求的保证金是否提供，文件是否恰当地签署。</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初步评审（符合性审查）</w:t>
      </w:r>
    </w:p>
    <w:tbl>
      <w:tblPr>
        <w:tblStyle w:val="37"/>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pageBreakBefore w:val="0"/>
        <w:shd w:val="clear" w:color="auto" w:fill="FFFFFF"/>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24.3 在对磋商响应文件进行详细评估之前，磋商小组将依据供应商提供的资格证明文件审查供应商的财务、技术和生产能力。如果确定供应商无资格履行合同，其投标将被拒绝。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25、磋商响应文件的澄清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25.2 要澄清的答复应是书面的，但不得对磋商内容进行实质性修改。澄清文件须由供应商法人代表或法人授权代表签字和/或加盖公章并作为磋商响应文件的组成部分。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25.3 磋商结束后，磋商小组要求所有参加磋商的供应商在规定的时间内进行最后报价。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26、确定成交供应商的办法</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26.1磋商小组按照磋商文件要求对磋商响应文件中的供应商资格、供应商资格证明文件、重要技术指标以及技术和商务上要求的其它重要内容进行审核。</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26.2磋商小组和供应商磋商过程中作出的书面承诺是否符合磋商文件中对质量、技术和服务的要求。</w:t>
      </w:r>
    </w:p>
    <w:p>
      <w:pPr>
        <w:pageBreakBefore w:val="0"/>
        <w:kinsoku/>
        <w:topLinePunct w:val="0"/>
        <w:bidi w:val="0"/>
        <w:spacing w:line="400" w:lineRule="exact"/>
        <w:ind w:left="0" w:leftChars="0" w:firstLine="0" w:firstLineChars="0"/>
        <w:rPr>
          <w:rFonts w:hint="eastAsia"/>
        </w:rPr>
      </w:pPr>
      <w:r>
        <w:rPr>
          <w:rFonts w:hint="eastAsia" w:ascii="宋体" w:hAnsi="宋体" w:eastAsia="宋体" w:cs="宋体"/>
          <w:bCs/>
          <w:sz w:val="21"/>
          <w:szCs w:val="21"/>
        </w:rPr>
        <w:t>26.3</w:t>
      </w:r>
      <w:r>
        <w:rPr>
          <w:rFonts w:hint="eastAsia" w:ascii="宋体" w:hAnsi="宋体" w:eastAsia="宋体" w:cs="宋体"/>
          <w:sz w:val="21"/>
          <w:szCs w:val="21"/>
          <w:shd w:val="clear" w:color="auto" w:fill="FFFFFF"/>
        </w:rPr>
        <w:t>经磋商确定最终采购需求和提交最后报价的供应商后，由磋商小组采用综合评分法对提交最后报价的供应商的响应文件和最后报价进行综合评分。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color w:val="000000"/>
          <w:sz w:val="21"/>
          <w:szCs w:val="21"/>
        </w:rPr>
      </w:pPr>
      <w:r>
        <w:rPr>
          <w:rFonts w:hint="eastAsia" w:ascii="宋体" w:hAnsi="宋体" w:eastAsia="宋体" w:cs="宋体"/>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宋体" w:hAnsi="宋体" w:cs="宋体"/>
          <w:bCs/>
          <w:sz w:val="21"/>
          <w:szCs w:val="21"/>
          <w:lang w:val="en-US" w:eastAsia="zh-CN"/>
        </w:rPr>
        <w:t>1</w:t>
      </w:r>
      <w:r>
        <w:rPr>
          <w:rFonts w:hint="eastAsia" w:ascii="宋体" w:hAnsi="宋体" w:eastAsia="宋体" w:cs="宋体"/>
          <w:bCs/>
          <w:sz w:val="21"/>
          <w:szCs w:val="21"/>
        </w:rPr>
        <w:t>0分，技术、商务、售后服务因素占</w:t>
      </w:r>
      <w:r>
        <w:rPr>
          <w:rFonts w:hint="eastAsia" w:ascii="宋体" w:hAnsi="宋体" w:cs="宋体"/>
          <w:bCs/>
          <w:sz w:val="21"/>
          <w:szCs w:val="21"/>
          <w:lang w:val="en-US" w:eastAsia="zh-CN"/>
        </w:rPr>
        <w:t>9</w:t>
      </w:r>
      <w:r>
        <w:rPr>
          <w:rFonts w:hint="eastAsia" w:ascii="宋体" w:hAnsi="宋体" w:eastAsia="宋体" w:cs="宋体"/>
          <w:bCs/>
          <w:sz w:val="21"/>
          <w:szCs w:val="21"/>
        </w:rPr>
        <w:t>0分。将每位投标商的价格得分、技术得分、商务得分</w:t>
      </w:r>
      <w:r>
        <w:rPr>
          <w:rFonts w:hint="eastAsia" w:ascii="宋体" w:hAnsi="宋体" w:eastAsia="宋体" w:cs="宋体"/>
          <w:bCs/>
          <w:color w:val="000000"/>
          <w:sz w:val="21"/>
          <w:szCs w:val="21"/>
        </w:rPr>
        <w:t>相加即为该投标商的总得分。详细评分标准如下：</w:t>
      </w:r>
    </w:p>
    <w:p>
      <w:pPr>
        <w:pStyle w:val="2"/>
        <w:rPr>
          <w:rFonts w:hint="eastAsia" w:ascii="宋体" w:hAnsi="宋体" w:eastAsia="宋体" w:cs="宋体"/>
          <w:bCs/>
          <w:color w:val="000000"/>
          <w:sz w:val="21"/>
          <w:szCs w:val="21"/>
        </w:rPr>
      </w:pPr>
    </w:p>
    <w:tbl>
      <w:tblPr>
        <w:tblStyle w:val="37"/>
        <w:tblW w:w="101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471"/>
        <w:gridCol w:w="7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905" w:type="dxa"/>
            <w:noWrap w:val="0"/>
            <w:vAlign w:val="center"/>
          </w:tcPr>
          <w:p>
            <w:pPr>
              <w:tabs>
                <w:tab w:val="left" w:pos="-94"/>
                <w:tab w:val="left" w:pos="428"/>
              </w:tabs>
              <w:adjustRightInd w:val="0"/>
              <w:spacing w:line="400" w:lineRule="exact"/>
              <w:jc w:val="left"/>
              <w:textAlignment w:val="baseline"/>
              <w:rPr>
                <w:rFonts w:hint="eastAsia" w:ascii="宋体" w:hAnsi="宋体" w:cs="宋体"/>
                <w:bCs/>
                <w:szCs w:val="21"/>
                <w:highlight w:val="none"/>
              </w:rPr>
            </w:pPr>
            <w:r>
              <w:rPr>
                <w:rFonts w:hint="eastAsia" w:ascii="宋体" w:hAnsi="宋体" w:cs="宋体"/>
                <w:bCs/>
                <w:szCs w:val="21"/>
                <w:highlight w:val="none"/>
              </w:rPr>
              <w:t>评审因素</w:t>
            </w:r>
          </w:p>
        </w:tc>
        <w:tc>
          <w:tcPr>
            <w:tcW w:w="9216" w:type="dxa"/>
            <w:gridSpan w:val="2"/>
            <w:noWrap w:val="0"/>
            <w:vAlign w:val="center"/>
          </w:tcPr>
          <w:p>
            <w:pPr>
              <w:tabs>
                <w:tab w:val="left" w:pos="-94"/>
                <w:tab w:val="left" w:pos="428"/>
              </w:tabs>
              <w:adjustRightInd w:val="0"/>
              <w:spacing w:line="400" w:lineRule="exact"/>
              <w:jc w:val="left"/>
              <w:textAlignment w:val="baseline"/>
              <w:rPr>
                <w:rFonts w:hint="eastAsia" w:ascii="宋体" w:hAnsi="宋体" w:cs="宋体"/>
                <w:bCs/>
                <w:szCs w:val="21"/>
                <w:highlight w:val="none"/>
              </w:rPr>
            </w:pPr>
            <w:r>
              <w:rPr>
                <w:rFonts w:hint="eastAsia" w:ascii="宋体" w:hAnsi="宋体" w:cs="宋体"/>
                <w:bCs/>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905" w:type="dxa"/>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分值构成</w:t>
            </w:r>
          </w:p>
        </w:tc>
        <w:tc>
          <w:tcPr>
            <w:tcW w:w="9216" w:type="dxa"/>
            <w:gridSpan w:val="2"/>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商务部分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0.0分、技术部分</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0.0分、报价得分10.0分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905" w:type="dxa"/>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投标报价 (10.0分)</w:t>
            </w: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投标报价得分</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 xml:space="preserve"> (10分)</w:t>
            </w:r>
          </w:p>
        </w:tc>
        <w:tc>
          <w:tcPr>
            <w:tcW w:w="7745"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价格分统一采用低价优先法计算，即满足招标文件要求且最后报价最低的投标报价为投标基准价，其价格分为满分。其他响应投标人的价格分统一按照下列公式计算：</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投标报价得分=（投标基准价/投标报价报价）×价格权值</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注：</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（1）报价得分四舍五入后，小数点后保留两位有效数； </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2）如评标委员会认为投标供应商的报价明显低于其他通过符合性审查投标供应商的报价，有可能影响产品质量或者不能诚信履约的，可要求投标供应商提供书面说明（报价成本报告），投标人须在接到评标委员会通知后规定时间内提供报价成本分析报告的详细说明及相关佐证材料；如未能及时提供报价成本分析报告或评标委员会认为报价成本分析报告不合理的，评标委员会将对其作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5" w:hRule="atLeast"/>
        </w:trPr>
        <w:tc>
          <w:tcPr>
            <w:tcW w:w="905" w:type="dxa"/>
            <w:vMerge w:val="restart"/>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技术部分 (</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0.0分)</w:t>
            </w: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对项目的熟悉和了解程度</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c>
          <w:tcPr>
            <w:tcW w:w="7745"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考核投标人对项目工作背景、工作目标与思路、工作内容以及服务要求的理解程度：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（1）对项目背景熟悉，项目目标与思路、项目内容与时间要求理解透彻，对项目整体把握、项目要求理解完全符合项目需求，得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（2）对项目背景较为熟悉，项目目标与思路、项目内容与时间要求理解较为透彻，对项目整体把握、项目要求理解基本符合项目需求得</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（3）对项目背景不熟悉，项目目标与思路、项目内容与时间要求理解有偏差，对项目整体把握、项目要求理解难以符合项目需求，得</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（4）无相关内容或其他不得分。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905" w:type="dxa"/>
            <w:vMerge w:val="continue"/>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相关工作基础掌握情况</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 xml:space="preserve"> (1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c>
          <w:tcPr>
            <w:tcW w:w="7745"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考核投标人对相关工作情况的了解程度：</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（1）对自治区地（州、市）、县（市）国土空间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历史文化资源的</w:t>
            </w:r>
            <w:r>
              <w:rPr>
                <w:rFonts w:hint="eastAsia" w:ascii="宋体" w:hAnsi="宋体" w:cs="宋体"/>
                <w:bCs/>
                <w:color w:val="auto"/>
                <w:szCs w:val="21"/>
                <w:highlight w:val="none"/>
              </w:rPr>
              <w:t>现状情况及存在问题了解、相关基础资料的掌握充分，有保障；对同类项目运作熟悉，得1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（2）对自治区地（州、市）、县（市）国土空间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历史文化资源的现状</w:t>
            </w:r>
            <w:r>
              <w:rPr>
                <w:rFonts w:hint="eastAsia" w:ascii="宋体" w:hAnsi="宋体" w:cs="宋体"/>
                <w:bCs/>
                <w:color w:val="auto"/>
                <w:szCs w:val="21"/>
                <w:highlight w:val="none"/>
              </w:rPr>
              <w:t>情况及存在问题较了解、相关基础资料的掌握较充分，有保障；对同类课题、项目运作较熟悉，得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 xml:space="preserve">分；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（3）对自治区自治区地（州、市）、县（市）国土空间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历史文化资源的</w:t>
            </w:r>
            <w:r>
              <w:rPr>
                <w:rFonts w:hint="eastAsia" w:ascii="宋体" w:hAnsi="宋体" w:cs="宋体"/>
                <w:bCs/>
                <w:color w:val="auto"/>
                <w:szCs w:val="21"/>
                <w:highlight w:val="none"/>
              </w:rPr>
              <w:t>现状情况及存在问题基本了解、相关基础资料的基本掌握；对同类课题、项目运作基本熟悉，得</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 xml:space="preserve">分； </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（4）无相关内容或其他不得分。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905" w:type="dxa"/>
            <w:vMerge w:val="continue"/>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项目重点、难点分析及合理化建议 (1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tc>
        <w:tc>
          <w:tcPr>
            <w:tcW w:w="7745"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考核投标人对项目的重点、难点把握程度及提出的建议的科学与合理性：</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（1）对项目的重点、难点把握准确到位，提出的建议科学、合理，得1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 xml:space="preserve">分；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（2）对项目的重点、难点把握较为准确，提出的建议较为科学、合理，得</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 xml:space="preserve">分；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（3）对项目的重点、难点把握准确基本到位，提出的建议具有一定的科学性、合理性，得</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分； </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（4）无相关内容或其他不得分。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0" w:hRule="atLeast"/>
        </w:trPr>
        <w:tc>
          <w:tcPr>
            <w:tcW w:w="905" w:type="dxa"/>
            <w:vMerge w:val="continue"/>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工作技术思路与方法 </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c>
          <w:tcPr>
            <w:tcW w:w="7745"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考核投标人工作技术思路与方法的科学性、合理性、创新性：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（1）符合地方和项目实际，工作技术思路详细全面、科学合理，工作方法可行、具有创新性，得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 xml:space="preserve">分；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（2）基本符合地方和项目实际，工作技术思路较为详细全面、科学合理，工作方法较可行、有一定创新，得</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 xml:space="preserve">分；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（3）与地方和项目实际有差距，工作技术思路与方法的完整性、科学性、可行性、创新性一般，得</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 xml:space="preserve">分； </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（4）无相关内容或其他不得分。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905" w:type="dxa"/>
            <w:vMerge w:val="continue"/>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质量及进度保障措施、服务承诺</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(3分)</w:t>
            </w:r>
          </w:p>
        </w:tc>
        <w:tc>
          <w:tcPr>
            <w:tcW w:w="7745"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考核投标人质量及进度保障措施是否具体、合理、可行，服务承诺是否具体合理、有针对性，工作计划安排是否科学合理。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（1）技术质量体系管理办法及进度保障措施具体、合理、可行，服务承诺具体合理、有针对性，工作计划安排科学合理得3分；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（2）技术质量体系管理办法及进度保障措施比较具体、合理、可行，服务承诺较具体合理、较有针对性，工作计划安排比较科学合理得2分； </w:t>
            </w:r>
          </w:p>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（3）技术质量体系管理办法及进度保障措施一般，服务承诺一般、针对性差，工作计划安排一般得1分； </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（4）无相关内容或其他不得分。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05" w:type="dxa"/>
            <w:vMerge w:val="restart"/>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商务部分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40.0分</w:t>
            </w:r>
            <w:r>
              <w:rPr>
                <w:rFonts w:hint="eastAsia" w:ascii="宋体" w:hAnsi="宋体" w:cs="宋体"/>
                <w:bCs/>
                <w:color w:val="auto"/>
                <w:szCs w:val="21"/>
                <w:highlight w:val="none"/>
                <w:lang w:eastAsia="zh-CN"/>
              </w:rPr>
              <w:t>）</w:t>
            </w: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综合实力 (</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tc>
        <w:tc>
          <w:tcPr>
            <w:tcW w:w="7745" w:type="dxa"/>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投标人获得过省级或以上</w:t>
            </w:r>
            <w:r>
              <w:rPr>
                <w:rFonts w:hint="eastAsia" w:ascii="宋体" w:hAnsi="宋体" w:cs="宋体"/>
                <w:bCs/>
                <w:color w:val="auto"/>
                <w:szCs w:val="21"/>
                <w:highlight w:val="none"/>
                <w:shd w:val="clear" w:color="auto" w:fill="auto"/>
              </w:rPr>
              <w:t>城乡规划设计奖</w:t>
            </w:r>
            <w:r>
              <w:rPr>
                <w:rFonts w:hint="eastAsia" w:ascii="宋体" w:hAnsi="宋体" w:cs="宋体"/>
                <w:bCs/>
                <w:color w:val="auto"/>
                <w:szCs w:val="21"/>
                <w:highlight w:val="none"/>
              </w:rPr>
              <w:t>的，每项得2分，没有不得分，本小项最高分为</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5" w:type="dxa"/>
            <w:vMerge w:val="continue"/>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相关项目业绩 (</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tc>
        <w:tc>
          <w:tcPr>
            <w:tcW w:w="7745" w:type="dxa"/>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承担过</w:t>
            </w:r>
            <w:r>
              <w:rPr>
                <w:rFonts w:hint="eastAsia" w:ascii="宋体" w:hAnsi="宋体" w:cs="宋体"/>
                <w:bCs/>
                <w:color w:val="auto"/>
                <w:szCs w:val="21"/>
                <w:highlight w:val="none"/>
                <w:lang w:val="en-US" w:eastAsia="zh-CN"/>
              </w:rPr>
              <w:t>与本项目相关的类似</w:t>
            </w:r>
            <w:r>
              <w:rPr>
                <w:rFonts w:hint="eastAsia" w:ascii="宋体" w:hAnsi="宋体" w:cs="宋体"/>
                <w:bCs/>
                <w:color w:val="auto"/>
                <w:szCs w:val="21"/>
                <w:highlight w:val="none"/>
              </w:rPr>
              <w:t>项目</w:t>
            </w:r>
            <w:r>
              <w:rPr>
                <w:rFonts w:hint="eastAsia" w:ascii="宋体" w:hAnsi="宋体" w:cs="宋体"/>
                <w:bCs/>
                <w:color w:val="auto"/>
                <w:szCs w:val="21"/>
                <w:highlight w:val="none"/>
                <w:lang w:val="en-US" w:eastAsia="zh-CN"/>
              </w:rPr>
              <w:t>的，每提供一项业绩得2分</w:t>
            </w:r>
            <w:r>
              <w:rPr>
                <w:rFonts w:hint="eastAsia" w:ascii="宋体" w:hAnsi="宋体" w:cs="宋体"/>
                <w:bCs/>
                <w:color w:val="auto"/>
                <w:szCs w:val="21"/>
                <w:highlight w:val="none"/>
              </w:rPr>
              <w:t>，累计最高得</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 xml:space="preserve">分； </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注：业绩时间以合同签订时间为准，提供合同关键页（含签订合同双方的单位名称、合同项目名称、合同概况与含签订合同双方的落款盖章、签订日期的关键页）复印件加盖投标人公章作为同类业绩评价证明资料，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905" w:type="dxa"/>
            <w:vMerge w:val="continue"/>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拟派项目负责人情况 (</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p>
        </w:tc>
        <w:tc>
          <w:tcPr>
            <w:tcW w:w="7745" w:type="dxa"/>
            <w:noWrap w:val="0"/>
            <w:vAlign w:val="center"/>
          </w:tcPr>
          <w:p>
            <w:pPr>
              <w:numPr>
                <w:ilvl w:val="0"/>
                <w:numId w:val="0"/>
              </w:num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投标人拟派项目负责人具有正高级职称得</w:t>
            </w:r>
            <w:r>
              <w:rPr>
                <w:rFonts w:hint="eastAsia" w:ascii="宋体" w:hAnsi="宋体" w:cs="宋体"/>
                <w:bCs/>
                <w:color w:val="auto"/>
                <w:szCs w:val="21"/>
                <w:highlight w:val="none"/>
                <w:lang w:val="en-US" w:eastAsia="zh-CN"/>
              </w:rPr>
              <w:t>8分</w:t>
            </w:r>
            <w:r>
              <w:rPr>
                <w:rFonts w:hint="eastAsia" w:ascii="宋体" w:hAnsi="宋体" w:cs="宋体"/>
                <w:bCs/>
                <w:color w:val="auto"/>
                <w:szCs w:val="21"/>
                <w:highlight w:val="none"/>
              </w:rPr>
              <w:t>；具有高级职称</w:t>
            </w:r>
            <w:r>
              <w:rPr>
                <w:rFonts w:hint="eastAsia" w:ascii="宋体" w:hAnsi="宋体" w:cs="宋体"/>
                <w:bCs/>
                <w:color w:val="auto"/>
                <w:szCs w:val="21"/>
                <w:highlight w:val="none"/>
                <w:lang w:val="en-US" w:eastAsia="zh-CN"/>
              </w:rPr>
              <w:t>的</w:t>
            </w:r>
            <w:r>
              <w:rPr>
                <w:rFonts w:hint="eastAsia" w:ascii="宋体" w:hAnsi="宋体" w:cs="宋体"/>
                <w:bCs/>
                <w:color w:val="auto"/>
                <w:szCs w:val="21"/>
                <w:highlight w:val="none"/>
              </w:rPr>
              <w:t>得</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具有中级职称1分，其他不得分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具有</w:t>
            </w:r>
            <w:r>
              <w:rPr>
                <w:rFonts w:hint="eastAsia" w:ascii="宋体" w:hAnsi="宋体"/>
                <w:color w:val="auto"/>
                <w:highlight w:val="none"/>
              </w:rPr>
              <w:t>注册城乡规划师</w:t>
            </w:r>
            <w:r>
              <w:rPr>
                <w:rFonts w:hint="eastAsia" w:ascii="宋体" w:hAnsi="宋体" w:cs="宋体"/>
                <w:bCs/>
                <w:color w:val="auto"/>
                <w:szCs w:val="21"/>
                <w:highlight w:val="none"/>
              </w:rPr>
              <w:t>资格的</w:t>
            </w:r>
            <w:r>
              <w:rPr>
                <w:rFonts w:hint="eastAsia" w:ascii="宋体" w:hAnsi="宋体" w:cs="宋体"/>
                <w:bCs/>
                <w:color w:val="auto"/>
                <w:szCs w:val="21"/>
                <w:highlight w:val="none"/>
                <w:lang w:val="en-US" w:eastAsia="zh-CN"/>
              </w:rPr>
              <w:t>得4</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本项最高得</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p>
          <w:p>
            <w:pPr>
              <w:numPr>
                <w:ilvl w:val="0"/>
                <w:numId w:val="0"/>
              </w:num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（须提供项目负责人近三个月的社保证明资料、职称证书等有关材料复印件加盖投标人公章，不提供不得分。）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1" w:hRule="atLeast"/>
        </w:trPr>
        <w:tc>
          <w:tcPr>
            <w:tcW w:w="905" w:type="dxa"/>
            <w:vMerge w:val="continue"/>
            <w:noWrap w:val="0"/>
            <w:vAlign w:val="center"/>
          </w:tcPr>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p>
        </w:tc>
        <w:tc>
          <w:tcPr>
            <w:tcW w:w="1471" w:type="dxa"/>
            <w:noWrap w:val="0"/>
            <w:vAlign w:val="center"/>
          </w:tcPr>
          <w:p>
            <w:p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拟派本项目</w:t>
            </w:r>
            <w:r>
              <w:rPr>
                <w:rFonts w:hint="eastAsia" w:ascii="宋体" w:hAnsi="宋体" w:cs="宋体"/>
                <w:bCs/>
                <w:color w:val="auto"/>
                <w:szCs w:val="21"/>
                <w:highlight w:val="none"/>
                <w:lang w:val="en-US" w:eastAsia="zh-CN"/>
              </w:rPr>
              <w:t>其他</w:t>
            </w:r>
            <w:r>
              <w:rPr>
                <w:rFonts w:hint="eastAsia" w:ascii="宋体" w:hAnsi="宋体"/>
                <w:color w:val="auto"/>
                <w:highlight w:val="none"/>
              </w:rPr>
              <w:t>主要技术人员</w:t>
            </w:r>
            <w:r>
              <w:rPr>
                <w:rFonts w:hint="eastAsia" w:ascii="宋体" w:hAnsi="宋体" w:cs="宋体"/>
                <w:bCs/>
                <w:color w:val="auto"/>
                <w:szCs w:val="21"/>
                <w:highlight w:val="none"/>
              </w:rPr>
              <w:t>配备情况</w:t>
            </w:r>
          </w:p>
          <w:p>
            <w:p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（不包括项目负责人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分)</w:t>
            </w:r>
          </w:p>
        </w:tc>
        <w:tc>
          <w:tcPr>
            <w:tcW w:w="7745" w:type="dxa"/>
            <w:noWrap w:val="0"/>
            <w:vAlign w:val="center"/>
          </w:tcPr>
          <w:p>
            <w:pPr>
              <w:numPr>
                <w:ilvl w:val="0"/>
                <w:numId w:val="0"/>
              </w:numPr>
              <w:tabs>
                <w:tab w:val="left" w:pos="-94"/>
                <w:tab w:val="left" w:pos="428"/>
              </w:tabs>
              <w:adjustRightInd w:val="0"/>
              <w:spacing w:line="400" w:lineRule="exact"/>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（1）每有1名副高级及以上职称得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分，每有1名注册城乡规划师得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分，同一人员的注册城乡规划师和副高级及以上职称证书不可重复计分，本项最高得分</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p>
            <w:pPr>
              <w:numPr>
                <w:ilvl w:val="0"/>
                <w:numId w:val="0"/>
              </w:numPr>
              <w:tabs>
                <w:tab w:val="left" w:pos="-94"/>
                <w:tab w:val="left" w:pos="428"/>
              </w:tabs>
              <w:adjustRightInd w:val="0"/>
              <w:spacing w:line="400" w:lineRule="exact"/>
              <w:jc w:val="left"/>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r>
              <w:rPr>
                <w:rFonts w:hint="eastAsia"/>
                <w:color w:val="auto"/>
                <w:highlight w:val="none"/>
              </w:rPr>
              <w:t>投标人拟派项目人员具有</w:t>
            </w:r>
            <w:r>
              <w:rPr>
                <w:rFonts w:hint="eastAsia"/>
                <w:color w:val="auto"/>
                <w:highlight w:val="none"/>
                <w:lang w:val="en-US" w:eastAsia="zh-CN"/>
              </w:rPr>
              <w:t>国土空间规划、</w:t>
            </w:r>
            <w:r>
              <w:rPr>
                <w:rFonts w:hint="eastAsia"/>
                <w:color w:val="auto"/>
                <w:highlight w:val="none"/>
              </w:rPr>
              <w:t>城乡规划、</w:t>
            </w:r>
            <w:r>
              <w:rPr>
                <w:rFonts w:hint="eastAsia"/>
                <w:color w:val="auto"/>
                <w:highlight w:val="none"/>
                <w:lang w:val="en-US" w:eastAsia="zh-CN"/>
              </w:rPr>
              <w:t>风景园林</w:t>
            </w:r>
            <w:r>
              <w:rPr>
                <w:rFonts w:hint="eastAsia"/>
                <w:color w:val="auto"/>
                <w:highlight w:val="none"/>
              </w:rPr>
              <w:t>、建筑</w:t>
            </w:r>
            <w:r>
              <w:rPr>
                <w:rFonts w:hint="eastAsia"/>
                <w:color w:val="auto"/>
                <w:highlight w:val="none"/>
                <w:lang w:val="en-US" w:eastAsia="zh-CN"/>
              </w:rPr>
              <w:t>学</w:t>
            </w:r>
            <w:r>
              <w:rPr>
                <w:rFonts w:hint="eastAsia"/>
                <w:color w:val="auto"/>
                <w:highlight w:val="none"/>
              </w:rPr>
              <w:t>等相关专业技术人员</w:t>
            </w:r>
            <w:r>
              <w:rPr>
                <w:rFonts w:hint="eastAsia"/>
                <w:color w:val="auto"/>
                <w:highlight w:val="none"/>
                <w:lang w:eastAsia="zh-CN"/>
              </w:rPr>
              <w:t>、</w:t>
            </w:r>
            <w:r>
              <w:rPr>
                <w:rFonts w:hint="eastAsia"/>
                <w:color w:val="auto"/>
                <w:highlight w:val="none"/>
                <w:lang w:val="en-US" w:eastAsia="zh-CN"/>
              </w:rPr>
              <w:t>专业技术、专业知识，</w:t>
            </w:r>
            <w:r>
              <w:rPr>
                <w:rFonts w:hint="eastAsia" w:ascii="宋体" w:hAnsi="宋体" w:cs="宋体"/>
                <w:bCs/>
                <w:color w:val="auto"/>
                <w:szCs w:val="21"/>
                <w:highlight w:val="none"/>
              </w:rPr>
              <w:t>每缺一项专业扣</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分，扣完为止，本项最高得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p>
            <w:pPr>
              <w:numPr>
                <w:ilvl w:val="0"/>
                <w:numId w:val="0"/>
              </w:numPr>
              <w:tabs>
                <w:tab w:val="left" w:pos="-94"/>
                <w:tab w:val="left" w:pos="428"/>
              </w:tabs>
              <w:adjustRightInd w:val="0"/>
              <w:spacing w:line="400" w:lineRule="exact"/>
              <w:jc w:val="left"/>
              <w:textAlignment w:val="baseline"/>
              <w:rPr>
                <w:rFonts w:hint="eastAsia" w:eastAsia="宋体"/>
                <w:color w:val="auto"/>
                <w:highlight w:val="none"/>
                <w:lang w:val="en-US" w:eastAsia="zh-CN"/>
              </w:rPr>
            </w:pPr>
            <w:r>
              <w:rPr>
                <w:rFonts w:hint="eastAsia" w:ascii="宋体" w:hAnsi="宋体" w:cs="宋体"/>
                <w:bCs/>
                <w:color w:val="auto"/>
                <w:szCs w:val="21"/>
                <w:highlight w:val="none"/>
              </w:rPr>
              <w:t>（须提供项目人员近三个月的社保证明资料、执业资格证书、职称证书有关材料复印件，不提供不得分。）</w:t>
            </w:r>
          </w:p>
        </w:tc>
      </w:tr>
    </w:tbl>
    <w:p>
      <w:pPr>
        <w:pStyle w:val="2"/>
        <w:ind w:left="0" w:leftChars="0" w:firstLine="0" w:firstLineChars="0"/>
        <w:rPr>
          <w:rFonts w:hint="eastAsia" w:ascii="宋体" w:hAnsi="宋体" w:eastAsia="宋体" w:cs="宋体"/>
          <w:bCs/>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shd w:val="clear" w:color="auto" w:fill="FFFFFF"/>
        </w:rPr>
      </w:pPr>
      <w:r>
        <w:rPr>
          <w:rFonts w:hint="eastAsia" w:ascii="宋体" w:hAnsi="宋体" w:eastAsia="宋体" w:cs="宋体"/>
          <w:bCs/>
          <w:sz w:val="21"/>
          <w:szCs w:val="21"/>
        </w:rPr>
        <w:t>26.4</w:t>
      </w:r>
      <w:r>
        <w:rPr>
          <w:rFonts w:hint="eastAsia" w:ascii="宋体" w:hAnsi="宋体" w:eastAsia="宋体" w:cs="宋体"/>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kinsoku/>
        <w:topLinePunct w:val="0"/>
        <w:bidi w:val="0"/>
        <w:spacing w:line="400" w:lineRule="exact"/>
        <w:ind w:left="0" w:leftChars="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26.6商务得分将依据《新疆维吾尔自治区政府采购促进中小企业发展管理实施办法》计算。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27．磋商过程的保密性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27.2 供应商在磋商过程中，所进行的力图影响磋商结果的，不符合《政府采购法》及本次磋商中有关规定的活动，将被取消其磋商资格。</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42" w:name="_Toc298240410"/>
      <w:bookmarkStart w:id="43" w:name="_Toc462223637"/>
      <w:bookmarkStart w:id="44" w:name="_Toc349637925"/>
      <w:bookmarkStart w:id="45" w:name="_Toc349573126"/>
      <w:bookmarkStart w:id="46" w:name="_Toc267301287"/>
      <w:r>
        <w:rPr>
          <w:rFonts w:hint="eastAsia" w:ascii="宋体" w:hAnsi="宋体" w:eastAsia="宋体" w:cs="宋体"/>
          <w:sz w:val="21"/>
          <w:szCs w:val="21"/>
        </w:rPr>
        <w:t>（六）授予合同</w:t>
      </w:r>
      <w:bookmarkEnd w:id="42"/>
      <w:bookmarkEnd w:id="43"/>
      <w:bookmarkEnd w:id="44"/>
      <w:bookmarkEnd w:id="45"/>
      <w:bookmarkEnd w:id="4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28、合同授予标准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28.1</w:t>
      </w:r>
      <w:r>
        <w:rPr>
          <w:rFonts w:hint="eastAsia" w:ascii="宋体" w:hAnsi="宋体" w:eastAsia="宋体" w:cs="宋体"/>
          <w:bCs/>
          <w:sz w:val="21"/>
          <w:szCs w:val="21"/>
        </w:rPr>
        <w:t>合同将授予被确定为实质上响应磋商文件要求，符合采购需求、质量和服务相等且报价最低的供应商</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28.2 最低报价不一定是被授予合同的保证。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28.3 如果确定该供应商无法圆满履行合同，招标代理机构将对下一个可能中标的供应商资格作出类似的审查。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29、接受和拒绝任何或所有磋商的权力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29.1为维护国家利益，买方在授予合同之前仍有选择或拒绝任何全部磋商的权力，并对所采取的行为不作任何解释。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30、成交通知书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30.1 成交公告期满后，招标代理机构将以书面形式发出《成交通知书》，但发出时间不超过磋商有效期，《成交通知书》一经发出即发生法律效力。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30.2 《成交通知书》将作为签订合同的依据。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30.3 招标代理机构将在成交方按规定签订合同后退还其磋商保证金。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31、签订合同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31.1 供应商收到《成交通知书》后，按《成交通知书》中规定的时间地点与买方签订合同。买方和成交方不得再订立背离合同实质性内容的其他协议。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31.2如成交方拒签合同，则按违约处理。招标代理机构没收其磋商保证金。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31.3磋商文件、成交方的磋商响应文件及其澄清文件等，均为签订经济合同的依据。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32、履约保证金</w:t>
      </w:r>
      <w:r>
        <w:rPr>
          <w:rFonts w:hint="eastAsia" w:ascii="宋体" w:hAnsi="宋体" w:cs="宋体"/>
          <w:sz w:val="21"/>
          <w:szCs w:val="21"/>
          <w:lang w:val="en-US" w:eastAsia="zh-CN"/>
        </w:rPr>
        <w:t>不适用本项目。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33、招标代理服务费</w:t>
      </w:r>
    </w:p>
    <w:p>
      <w:pPr>
        <w:pStyle w:val="22"/>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33.1成交方须向招标代理机构按如下标准和期限交纳招标代理代理服务费：</w:t>
      </w:r>
    </w:p>
    <w:p>
      <w:pPr>
        <w:pStyle w:val="22"/>
        <w:pageBreakBefore w:val="0"/>
        <w:kinsoku/>
        <w:topLinePunct w:val="0"/>
        <w:bidi w:val="0"/>
        <w:adjustRightIn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bCs/>
          <w:sz w:val="21"/>
          <w:szCs w:val="21"/>
        </w:rPr>
        <w:t>33.1.1</w:t>
      </w:r>
      <w:r>
        <w:rPr>
          <w:rFonts w:hint="eastAsia" w:ascii="宋体" w:hAnsi="宋体" w:eastAsia="宋体" w:cs="宋体"/>
          <w:sz w:val="21"/>
          <w:szCs w:val="21"/>
        </w:rPr>
        <w:t>成交方须向宏业国际项目管理有限公司支付招标代理服务费。</w:t>
      </w:r>
    </w:p>
    <w:p>
      <w:pPr>
        <w:pStyle w:val="22"/>
        <w:pageBreakBefore w:val="0"/>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33.1.2 在合同签订后一周内，成交方须按规定的标准以网银或电汇的方式一次性向招标代理机构缴纳磋商代理服务费。</w:t>
      </w:r>
      <w:bookmarkStart w:id="47" w:name="_Toc267301288"/>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bCs/>
          <w:sz w:val="21"/>
          <w:szCs w:val="21"/>
        </w:rPr>
      </w:pPr>
      <w:bookmarkStart w:id="48" w:name="_Toc462223638"/>
      <w:r>
        <w:rPr>
          <w:rFonts w:hint="eastAsia" w:ascii="宋体" w:hAnsi="宋体" w:eastAsia="宋体" w:cs="宋体"/>
          <w:sz w:val="21"/>
          <w:szCs w:val="21"/>
        </w:rPr>
        <w:t>（七）磋商失败条件</w:t>
      </w:r>
      <w:bookmarkEnd w:id="48"/>
    </w:p>
    <w:p>
      <w:pPr>
        <w:pStyle w:val="22"/>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34、出现影响采购公正的违法、违规行为的；</w:t>
      </w:r>
    </w:p>
    <w:p>
      <w:pPr>
        <w:pStyle w:val="22"/>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35、因重大变故，采购任务取消的；</w:t>
      </w:r>
    </w:p>
    <w:p>
      <w:pPr>
        <w:pStyle w:val="22"/>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36、磋商响应文件截止时间后，实际参与的供应商不足法定家数的；</w:t>
      </w:r>
    </w:p>
    <w:p>
      <w:pPr>
        <w:pStyle w:val="22"/>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37、最终报价均超过采购预算的；</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38、对磋商文件作出实质性响应的供应商不足法定家数的；</w:t>
      </w:r>
      <w:bookmarkStart w:id="49" w:name="_Toc298240411"/>
      <w:bookmarkStart w:id="50" w:name="_Toc349573127"/>
      <w:bookmarkStart w:id="51" w:name="_Toc349637926"/>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bookmarkEnd w:id="47"/>
    <w:bookmarkEnd w:id="49"/>
    <w:bookmarkEnd w:id="50"/>
    <w:bookmarkEnd w:id="51"/>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52" w:name="_Toc16105"/>
      <w:r>
        <w:rPr>
          <w:rFonts w:hint="eastAsia" w:ascii="宋体" w:hAnsi="宋体" w:eastAsia="宋体" w:cs="宋体"/>
          <w:b/>
          <w:sz w:val="21"/>
          <w:szCs w:val="21"/>
        </w:rPr>
        <w:br w:type="page"/>
      </w:r>
    </w:p>
    <w:p>
      <w:pPr>
        <w:pageBreakBefore w:val="0"/>
        <w:numPr>
          <w:ilvl w:val="0"/>
          <w:numId w:val="4"/>
        </w:numPr>
        <w:kinsoku/>
        <w:topLinePunct w:val="0"/>
        <w:bidi w:val="0"/>
        <w:spacing w:line="400" w:lineRule="exact"/>
        <w:ind w:left="0" w:leftChars="0" w:firstLine="0" w:firstLineChars="0"/>
        <w:jc w:val="center"/>
        <w:outlineLvl w:val="0"/>
        <w:rPr>
          <w:rFonts w:hint="eastAsia"/>
          <w:lang w:val="en-US" w:eastAsia="zh-CN"/>
        </w:rPr>
      </w:pPr>
      <w:r>
        <w:rPr>
          <w:rFonts w:hint="eastAsia" w:ascii="仿宋" w:hAnsi="仿宋" w:eastAsia="仿宋" w:cs="仿宋"/>
          <w:b/>
          <w:bCs/>
          <w:kern w:val="2"/>
          <w:sz w:val="28"/>
          <w:szCs w:val="28"/>
          <w:lang w:val="en-US" w:eastAsia="zh-CN" w:bidi="ar-SA"/>
        </w:rPr>
        <w:t xml:space="preserve"> </w:t>
      </w:r>
      <w:r>
        <w:rPr>
          <w:rFonts w:hint="eastAsia" w:ascii="宋体" w:hAnsi="宋体" w:eastAsia="宋体" w:cs="宋体"/>
          <w:bCs/>
          <w:kern w:val="2"/>
          <w:sz w:val="21"/>
          <w:szCs w:val="21"/>
          <w:lang w:val="en-US" w:eastAsia="zh-CN" w:bidi="ar-SA"/>
        </w:rPr>
        <w:t>项目需求</w:t>
      </w:r>
      <w:bookmarkEnd w:id="52"/>
    </w:p>
    <w:p>
      <w:pPr>
        <w:spacing w:line="560" w:lineRule="exact"/>
        <w:jc w:val="both"/>
        <w:rPr>
          <w:rFonts w:ascii="黑体" w:hAnsi="黑体" w:eastAsia="黑体" w:cs="黑体"/>
          <w:sz w:val="36"/>
          <w:szCs w:val="36"/>
        </w:rPr>
      </w:pPr>
      <w:bookmarkStart w:id="53" w:name="_Toc28434"/>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项目背景</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（一）国家高度重视历史文化保护工作</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进一步贯彻落实习近平总书记“搞好历史文化遗产保护工作”“把文物保护管理纳入国土空间规划编制和实施”的重要指示精神，发挥文化润疆的作用，更好地统筹历史文化遗产资源的保护利用。党的十八大以来，党中央、国务院高度重视历史文化遗产保护，“加强文物保护利用和文化遗产保护传承”是坚定文化自信的重要组成部分。在城乡建设中系统保护、利用、传承好历史文化遗产，对延续历史文脉、推动城乡建设高质量发展、坚定文化自信、建设社会主义文化强国具有重要意义。</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（二）历史文化保护在国土空间规划中的地位重要</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《中共中央 国务院关于建立国土空间规划体系并监督实施的 若干意见》中指出“延续历史文脉，加强风貌管控，突出地域特色”是科学编制国土空间规划的重要要求。2021年《自然资源部 国家文物局关于在国土空间规划编制和实施中加强历史文化遗产保护管理的指导意见》正式印发，旨在深入贯彻落实党中央、国务院关于加强历史文化遗产保护工作，把文物保护管理纳入国土空间规划编制和实施。</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（三）新疆历史文化遗产丰富，亟需整体保护与活化利用</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治区拥有极为丰富的历史文化遗产，且众多考古发现在国内外享有很高知名度，具有独特的历史文化价值和文化内涵，是我国重要的历史文化遗产保护区。国土空间规划体系建立以来，我区历史文化保护工作还分别隶属于自治区住建厅和自治区文旅厅，如何形成保护传承长效机制，统筹好城市发展和文物保护，正确处理城市建设与保护历史文化遗产的关系，合理体现历史记忆、文化脉络、地域风貌，是对自然资源国土空间规划工作的巨大挑战。为此，亟需专项研究自治区历史文化遗产保护</w:t>
      </w:r>
      <w:r>
        <w:rPr>
          <w:rFonts w:hint="eastAsia" w:ascii="宋体" w:hAnsi="宋体" w:eastAsia="宋体" w:cs="宋体"/>
          <w:color w:val="auto"/>
          <w:sz w:val="21"/>
          <w:szCs w:val="21"/>
          <w:highlight w:val="none"/>
          <w:lang w:val="en-US" w:eastAsia="zh-CN"/>
        </w:rPr>
        <w:t>相关工作</w:t>
      </w:r>
      <w:r>
        <w:rPr>
          <w:rFonts w:hint="eastAsia" w:ascii="宋体" w:hAnsi="宋体" w:eastAsia="宋体" w:cs="宋体"/>
          <w:color w:val="auto"/>
          <w:sz w:val="21"/>
          <w:szCs w:val="21"/>
          <w:highlight w:val="none"/>
          <w:lang w:eastAsia="zh-CN"/>
        </w:rPr>
        <w:t>，指导和规范自治区各地国土空间规划中历史文化遗产保护专项内容的编制，并为形成国土空间规划历史文化遗产保护的技术标准提供基础研究支撑。</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项目依据</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1.《中华人民共和国土地管理法》；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2.《中华人民共和国城乡规划法》；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3.《中华人民共和国文物保护法》；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4.《中华人民共和国非物质文化遗产法》；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5.《历史文化名城名镇名村保护条例》；</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6.《新疆维吾尔自治区历史文化名城街区和历史建筑保护条例》；</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7.《中共中央办公厅 国务院办公厅印发关于在城乡建设中加强历史文化保护传承的意见》；</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8.《自然资源部 国家文物局关于在国土空间规划编制和实施中加强历史文化遗产保护管理的指导意见》；</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9.《历史文化名城名镇名村街区保护规划编制审批办法》；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10.《历史文化名城保护规划标准》（GB/T 50357-2018）；</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11.《城市紫线管理办法》；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12.《社区生活圈规划技术指南》（TD/T 1062-2021）；</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13.《国土空间规划城市设计指南》（TD/T 1065-2021）；</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14.《国土空间规划历史文化遗产保护技术指南（征求意见稿）》；</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15.《国土空间规划“一张图”实施监督信息系统技术规范》（GB/T 39972-2021）；</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其他法律法规、技术标准和政策要求。</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三、项目目标</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新疆维吾尔自治区国土空间规划（2021-2035年）》，全面梳理自治区历史文化遗产资源体系，确保历史文化遗产保护线落地，加强制度顶层设计，建立分类科学、保护有力、管理有效的城乡历史文化保护传承体系；完善制度机制政策、统筹保护利用传承，做到空间全覆盖、要素全囊括。</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配合完成自治区地（州、市）、县（市）国土空间总体规划审查工作。重点关注历史文化资源的保护利用等相关内容，提出专业审查技术要点。</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四、项目主要内容</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（一）系统梳理自治区历史文化遗产资源体系</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梳理各级政府主管部门掌握的历史文化资源，主要包括：列入世界遗产名录和中国世界文化遗产预备名单资源点的资源名录；国家级和自治区级历史文化名城名镇名村、历史文化街区、传统村落、历史建筑等历史文化遗产；潜在有条件申报自治区级和国家级的历史文化遗产的资源，形成名录。同时，对历史文化资源的区位分布、资源特点、保护规划编制情况等进行综合分析。</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对已经获得批复的保护规划、或已经公布法定保护区划的资源，提出</w:t>
      </w:r>
      <w:r>
        <w:rPr>
          <w:rFonts w:hint="eastAsia" w:ascii="宋体" w:hAnsi="宋体" w:eastAsia="宋体" w:cs="宋体"/>
          <w:color w:val="auto"/>
          <w:sz w:val="21"/>
          <w:szCs w:val="21"/>
          <w:highlight w:val="none"/>
          <w:lang w:val="en-US" w:eastAsia="zh-CN"/>
        </w:rPr>
        <w:t>落实</w:t>
      </w:r>
      <w:r>
        <w:rPr>
          <w:rFonts w:hint="eastAsia" w:ascii="宋体" w:hAnsi="宋体" w:eastAsia="宋体" w:cs="宋体"/>
          <w:color w:val="auto"/>
          <w:sz w:val="21"/>
          <w:szCs w:val="21"/>
          <w:highlight w:val="none"/>
          <w:lang w:eastAsia="zh-CN"/>
        </w:rPr>
        <w:t>自治区国土空间规划</w:t>
      </w:r>
      <w:r>
        <w:rPr>
          <w:rFonts w:hint="eastAsia" w:ascii="宋体" w:hAnsi="宋体" w:eastAsia="宋体" w:cs="宋体"/>
          <w:color w:val="auto"/>
          <w:sz w:val="21"/>
          <w:szCs w:val="21"/>
          <w:highlight w:val="none"/>
          <w:lang w:val="en-US" w:eastAsia="zh-CN"/>
        </w:rPr>
        <w:t>的建议与</w:t>
      </w:r>
      <w:r>
        <w:rPr>
          <w:rFonts w:hint="eastAsia" w:ascii="宋体" w:hAnsi="宋体" w:eastAsia="宋体" w:cs="宋体"/>
          <w:color w:val="auto"/>
          <w:sz w:val="21"/>
          <w:szCs w:val="21"/>
          <w:highlight w:val="none"/>
          <w:lang w:eastAsia="zh-CN"/>
        </w:rPr>
        <w:t>注意事项，保护对象及管控范围应叠加到 “一张图”监督实施；对尚未编制保护专项规划或公布法定保护区划的资源，应明确提出制定保护区划的划定原则和相关工作要求。并提供2-3个典型案例研究。</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（二）构建历史文化资源保护利用格局</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自治区历史文化资源的总体分布情况和资源特点，综合研究提出自治区历史文化资源保护利用整体格局和主体空间；研究提出自治区历史文化遗产保护范围的划定原则和方法，研判提出与永久基本农田、生态保护红线、城镇开发边界、地下空间相统筹的原则性的空间协调措施；针对历史文化遗产富集区域，提出空间要素整合的指导性要求，并将相关内容纳入地（州、市）、县（市）、县（市）、乡镇国土空间规划；历史文化遗产保护范围应叠加到“一张图”监督实施。</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（三）提出重点区域保护利用的管控要求</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合自治区历史文化资源富集、空间分布集中的地域，以及非物质文化遗产高度依存的自然环境和历史文化空间，明确地域特色分区；制定不同特色分区的差异化的保护、传承、活化利用引导策略，延续历史文脉，突出地方特色；明确提出整体重点区域内整体保护和活化利用的空间管控要求。</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合丝绸之路文化带、旅游、文化润疆等形成自治区文化保护体系，研究提出自治区地（州、市）、县（市）国土空间总体规划历史文化保护利用等专业审查技术要点建议；处理好保护与开发的关系，协调建议形成重大项目库，支持自治区和各地经济发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（四）建立自治区历史文化保护数据</w:t>
      </w:r>
      <w:r>
        <w:rPr>
          <w:rFonts w:hint="eastAsia" w:ascii="宋体" w:hAnsi="宋体" w:eastAsia="宋体" w:cs="宋体"/>
          <w:color w:val="auto"/>
          <w:sz w:val="21"/>
          <w:szCs w:val="21"/>
          <w:highlight w:val="none"/>
          <w:lang w:val="en-US" w:eastAsia="zh-CN"/>
        </w:rPr>
        <w:t>图层</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基于上述研究成果，指导各地统筹划定自治区级以上各类历史文化遗产保护范围，协助建立自治区历史文化保护矢量数据库，并提出数据库动态维护机制。依据自然资源部和自治区专项规划数据要求，提出自治区历史文化遗产保护范围与自治区地（州、市）、县（市）国土空间总体规划数据库汇交要求，协助将自治区历史文化遗产保护范围纳入自治区国土空间规划“一张图”系统。</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五、项目成果</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1.《新疆维吾尔自治区国土空间规划历史文化保护专项规划》（简称《专</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lang w:val="en-US" w:eastAsia="zh-CN"/>
        </w:rPr>
        <w:t>规划</w:t>
      </w:r>
      <w:r>
        <w:rPr>
          <w:rFonts w:hint="eastAsia" w:ascii="宋体" w:hAnsi="宋体" w:eastAsia="宋体" w:cs="宋体"/>
          <w:color w:val="auto"/>
          <w:sz w:val="21"/>
          <w:szCs w:val="21"/>
          <w:highlight w:val="none"/>
          <w:lang w:eastAsia="zh-CN"/>
        </w:rPr>
        <w:t>》）成果，包含说明书、图集和相关表格等；</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数据公司配合，结合各地上报成果，完成</w:t>
      </w:r>
      <w:r>
        <w:rPr>
          <w:rFonts w:hint="eastAsia" w:ascii="宋体" w:hAnsi="宋体" w:eastAsia="宋体" w:cs="宋体"/>
          <w:color w:val="auto"/>
          <w:sz w:val="21"/>
          <w:szCs w:val="21"/>
          <w:highlight w:val="none"/>
          <w:lang w:eastAsia="zh-CN"/>
        </w:rPr>
        <w:t>自治区历史文化保护矢量数据</w:t>
      </w:r>
      <w:r>
        <w:rPr>
          <w:rFonts w:hint="eastAsia" w:ascii="宋体" w:hAnsi="宋体" w:eastAsia="宋体" w:cs="宋体"/>
          <w:color w:val="auto"/>
          <w:sz w:val="21"/>
          <w:szCs w:val="21"/>
          <w:highlight w:val="none"/>
          <w:lang w:val="en-US" w:eastAsia="zh-CN"/>
        </w:rPr>
        <w:t>图层</w:t>
      </w:r>
      <w:r>
        <w:rPr>
          <w:rFonts w:hint="eastAsia" w:ascii="宋体" w:hAnsi="宋体" w:eastAsia="宋体" w:cs="宋体"/>
          <w:color w:val="auto"/>
          <w:sz w:val="21"/>
          <w:szCs w:val="21"/>
          <w:highlight w:val="none"/>
          <w:lang w:eastAsia="zh-CN"/>
        </w:rPr>
        <w:t>，并将专项图层纳入自治区国土空间规划“一张图”系统；符合</w:t>
      </w:r>
      <w:r>
        <w:rPr>
          <w:rFonts w:hint="eastAsia" w:ascii="宋体" w:hAnsi="宋体" w:eastAsia="宋体" w:cs="宋体"/>
          <w:color w:val="auto"/>
          <w:sz w:val="21"/>
          <w:szCs w:val="21"/>
          <w:highlight w:val="none"/>
          <w:lang w:val="en-US" w:eastAsia="zh-CN"/>
        </w:rPr>
        <w:t>自然资源部、自治区专项规划</w:t>
      </w:r>
      <w:r>
        <w:rPr>
          <w:rFonts w:hint="eastAsia" w:ascii="宋体" w:hAnsi="宋体" w:eastAsia="宋体" w:cs="宋体"/>
          <w:color w:val="auto"/>
          <w:sz w:val="21"/>
          <w:szCs w:val="21"/>
          <w:highlight w:val="none"/>
          <w:lang w:eastAsia="zh-CN"/>
        </w:rPr>
        <w:t>入库要求，</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eastAsia="zh-CN"/>
        </w:rPr>
        <w:t>形成自治区历史文化保护数据更新机制要点。</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六、时间安排</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项目周期为2022年12月至2023年1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月，共1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个月。具体工作方案建议如下：</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第一阶段： 资料收集与现状调研阶段（2022年12月-2023年4月）</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一是完成立项；二是结合自治区地（州、市）、县（市）国土空间总体规划技术审查工作开展基础资料收集和调研；三是开展自治区行业主管部门的基础资料收集和座谈。</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第二阶段：内容深化阶段（2023年5月-2023年8月）</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一是形成《专项</w:t>
      </w:r>
      <w:r>
        <w:rPr>
          <w:rFonts w:hint="eastAsia" w:ascii="宋体" w:hAnsi="宋体" w:eastAsia="宋体" w:cs="宋体"/>
          <w:color w:val="auto"/>
          <w:sz w:val="21"/>
          <w:szCs w:val="21"/>
          <w:highlight w:val="none"/>
          <w:lang w:val="en-US" w:eastAsia="zh-CN"/>
        </w:rPr>
        <w:t>规划</w:t>
      </w:r>
      <w:r>
        <w:rPr>
          <w:rFonts w:hint="eastAsia" w:ascii="宋体" w:hAnsi="宋体" w:eastAsia="宋体" w:cs="宋体"/>
          <w:color w:val="auto"/>
          <w:sz w:val="21"/>
          <w:szCs w:val="21"/>
          <w:highlight w:val="none"/>
          <w:lang w:eastAsia="zh-CN"/>
        </w:rPr>
        <w:t>》初步成果；二是组织专家咨询会进行技术咨询；三是对初稿进行完善，</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是形成自治区历史文化保护数据更新制度初稿成果。</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第三阶段：完善成果，</w:t>
      </w:r>
      <w:r>
        <w:rPr>
          <w:rFonts w:hint="eastAsia" w:ascii="宋体" w:hAnsi="宋体" w:eastAsia="宋体" w:cs="宋体"/>
          <w:color w:val="auto"/>
          <w:sz w:val="21"/>
          <w:szCs w:val="21"/>
          <w:highlight w:val="none"/>
          <w:lang w:val="en-US" w:eastAsia="zh-CN"/>
        </w:rPr>
        <w:t>完成验收</w:t>
      </w:r>
      <w:r>
        <w:rPr>
          <w:rFonts w:hint="eastAsia" w:ascii="宋体" w:hAnsi="宋体" w:eastAsia="宋体" w:cs="宋体"/>
          <w:color w:val="auto"/>
          <w:sz w:val="21"/>
          <w:szCs w:val="21"/>
          <w:highlight w:val="none"/>
          <w:lang w:eastAsia="zh-CN"/>
        </w:rPr>
        <w:t>（2023年9月-2023年1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一是完成《专项</w:t>
      </w:r>
      <w:r>
        <w:rPr>
          <w:rFonts w:hint="eastAsia" w:ascii="宋体" w:hAnsi="宋体" w:eastAsia="宋体" w:cs="宋体"/>
          <w:color w:val="auto"/>
          <w:sz w:val="21"/>
          <w:szCs w:val="21"/>
          <w:highlight w:val="none"/>
          <w:lang w:val="en-US" w:eastAsia="zh-CN"/>
        </w:rPr>
        <w:t>规划</w:t>
      </w:r>
      <w:r>
        <w:rPr>
          <w:rFonts w:hint="eastAsia" w:ascii="宋体" w:hAnsi="宋体" w:eastAsia="宋体" w:cs="宋体"/>
          <w:color w:val="auto"/>
          <w:sz w:val="21"/>
          <w:szCs w:val="21"/>
          <w:highlight w:val="none"/>
          <w:lang w:eastAsia="zh-CN"/>
        </w:rPr>
        <w:t>》的技术审查；二是完成《专项</w:t>
      </w:r>
      <w:r>
        <w:rPr>
          <w:rFonts w:hint="eastAsia" w:ascii="宋体" w:hAnsi="宋体" w:eastAsia="宋体" w:cs="宋体"/>
          <w:color w:val="auto"/>
          <w:sz w:val="21"/>
          <w:szCs w:val="21"/>
          <w:highlight w:val="none"/>
          <w:lang w:val="en-US" w:eastAsia="zh-CN"/>
        </w:rPr>
        <w:t>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验收工作；三</w:t>
      </w:r>
      <w:r>
        <w:rPr>
          <w:rFonts w:hint="eastAsia" w:ascii="宋体" w:hAnsi="宋体" w:eastAsia="宋体" w:cs="宋体"/>
          <w:color w:val="auto"/>
          <w:sz w:val="21"/>
          <w:szCs w:val="21"/>
          <w:highlight w:val="none"/>
          <w:lang w:eastAsia="zh-CN"/>
        </w:rPr>
        <w:t>是建立自治区历史文化保护矢量数据</w:t>
      </w:r>
      <w:r>
        <w:rPr>
          <w:rFonts w:hint="eastAsia" w:ascii="宋体" w:hAnsi="宋体" w:eastAsia="宋体" w:cs="宋体"/>
          <w:color w:val="auto"/>
          <w:sz w:val="21"/>
          <w:szCs w:val="21"/>
          <w:highlight w:val="none"/>
          <w:lang w:val="en-US" w:eastAsia="zh-CN"/>
        </w:rPr>
        <w:t>专题图层</w:t>
      </w:r>
      <w:r>
        <w:rPr>
          <w:rFonts w:hint="eastAsia" w:ascii="宋体" w:hAnsi="宋体" w:eastAsia="宋体" w:cs="宋体"/>
          <w:color w:val="auto"/>
          <w:sz w:val="21"/>
          <w:szCs w:val="21"/>
          <w:highlight w:val="none"/>
          <w:lang w:eastAsia="zh-CN"/>
        </w:rPr>
        <w:t>，纳入自治区国土空间规划“一张图”系统。</w:t>
      </w:r>
    </w:p>
    <w:p>
      <w:pPr>
        <w:rPr>
          <w:rFonts w:hint="eastAsia" w:ascii="宋体" w:hAnsi="宋体" w:eastAsia="宋体" w:cs="宋体"/>
          <w:b/>
          <w:color w:val="auto"/>
          <w:sz w:val="21"/>
          <w:szCs w:val="21"/>
          <w:highlight w:val="none"/>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color w:val="auto"/>
          <w:sz w:val="21"/>
          <w:szCs w:val="21"/>
          <w:highlight w:val="none"/>
        </w:rPr>
        <w:sectPr>
          <w:footerReference r:id="rId7" w:type="first"/>
          <w:footerReference r:id="rId6" w:type="default"/>
          <w:pgSz w:w="11907" w:h="16840"/>
          <w:pgMar w:top="1440" w:right="1247" w:bottom="1440" w:left="1361" w:header="851" w:footer="799" w:gutter="0"/>
          <w:pgNumType w:start="1"/>
          <w:cols w:space="720" w:num="1"/>
          <w:titlePg/>
          <w:docGrid w:type="lines" w:linePitch="409" w:charSpace="0"/>
        </w:sect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第四章  合同条款（仅供参考）</w:t>
      </w:r>
      <w:bookmarkEnd w:id="53"/>
    </w:p>
    <w:p>
      <w:pPr>
        <w:spacing w:line="300" w:lineRule="auto"/>
        <w:ind w:firstLine="723" w:firstLineChars="200"/>
        <w:jc w:val="center"/>
        <w:rPr>
          <w:rFonts w:hint="eastAsia" w:ascii="宋体" w:hAnsi="宋体"/>
          <w:b/>
          <w:bCs/>
          <w:color w:val="auto"/>
          <w:sz w:val="36"/>
          <w:szCs w:val="40"/>
          <w:highlight w:val="none"/>
        </w:rPr>
      </w:pPr>
      <w:bookmarkStart w:id="54" w:name="_Toc298240429"/>
      <w:bookmarkStart w:id="55" w:name="_Toc349573144"/>
      <w:bookmarkStart w:id="56" w:name="_Toc349637943"/>
      <w:bookmarkStart w:id="57" w:name="_Toc462223650"/>
      <w:r>
        <w:rPr>
          <w:rFonts w:hint="eastAsia" w:ascii="宋体" w:hAnsi="宋体"/>
          <w:b/>
          <w:bCs/>
          <w:color w:val="auto"/>
          <w:sz w:val="36"/>
          <w:szCs w:val="40"/>
          <w:highlight w:val="none"/>
        </w:rPr>
        <w:t>技术服务合同（以实际签订为准）</w:t>
      </w:r>
    </w:p>
    <w:p>
      <w:pPr>
        <w:spacing w:line="300" w:lineRule="auto"/>
        <w:ind w:firstLine="840" w:firstLineChars="400"/>
        <w:rPr>
          <w:rFonts w:hint="eastAsia" w:ascii="宋体" w:hAnsi="宋体"/>
          <w:color w:val="auto"/>
          <w:szCs w:val="22"/>
          <w:highlight w:val="none"/>
        </w:rPr>
      </w:pPr>
      <w:r>
        <w:rPr>
          <w:rFonts w:hint="eastAsia" w:ascii="宋体" w:hAnsi="宋体"/>
          <w:color w:val="auto"/>
          <w:szCs w:val="22"/>
          <w:highlight w:val="none"/>
        </w:rPr>
        <w:t xml:space="preserve">委托方（甲方）：新疆维吾尔自治区国土空间规划研究中心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ab/>
      </w:r>
      <w:r>
        <w:rPr>
          <w:rFonts w:hint="eastAsia" w:ascii="宋体" w:hAnsi="宋体"/>
          <w:color w:val="auto"/>
          <w:szCs w:val="22"/>
          <w:highlight w:val="none"/>
        </w:rPr>
        <w:t>住  所  地：</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ab/>
      </w:r>
      <w:r>
        <w:rPr>
          <w:rFonts w:hint="eastAsia" w:ascii="宋体" w:hAnsi="宋体"/>
          <w:color w:val="auto"/>
          <w:szCs w:val="22"/>
          <w:highlight w:val="none"/>
        </w:rPr>
        <w:t>法定代表人：</w:t>
      </w:r>
    </w:p>
    <w:p>
      <w:pPr>
        <w:spacing w:line="300" w:lineRule="auto"/>
        <w:ind w:firstLine="840" w:firstLineChars="400"/>
        <w:rPr>
          <w:rFonts w:hint="eastAsia" w:ascii="宋体" w:hAnsi="宋体"/>
          <w:color w:val="auto"/>
          <w:szCs w:val="22"/>
          <w:highlight w:val="none"/>
        </w:rPr>
      </w:pPr>
      <w:r>
        <w:rPr>
          <w:rFonts w:hint="eastAsia" w:ascii="宋体" w:hAnsi="宋体"/>
          <w:color w:val="auto"/>
          <w:szCs w:val="22"/>
          <w:highlight w:val="none"/>
        </w:rPr>
        <w:t xml:space="preserve">受托方（乙方）：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 xml:space="preserve">    住  所  地：</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ab/>
      </w:r>
      <w:r>
        <w:rPr>
          <w:rFonts w:hint="eastAsia" w:ascii="宋体" w:hAnsi="宋体"/>
          <w:color w:val="auto"/>
          <w:szCs w:val="22"/>
          <w:highlight w:val="none"/>
        </w:rPr>
        <w:t>法定代表人：</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 xml:space="preserve">   本合同双方经平等自愿协商，根据《中华人民共和国民法典》及相关法规，就甲方委托乙方提供《新疆维吾尔自治区国土空间规划历史文化保护专项</w:t>
      </w:r>
      <w:r>
        <w:rPr>
          <w:rFonts w:hint="eastAsia" w:ascii="宋体" w:hAnsi="宋体"/>
          <w:color w:val="auto"/>
          <w:szCs w:val="22"/>
          <w:highlight w:val="none"/>
          <w:lang w:val="en-US" w:eastAsia="zh-CN"/>
        </w:rPr>
        <w:t>规划</w:t>
      </w:r>
      <w:r>
        <w:rPr>
          <w:rFonts w:hint="eastAsia" w:ascii="宋体" w:hAnsi="宋体"/>
          <w:color w:val="auto"/>
          <w:szCs w:val="22"/>
          <w:highlight w:val="none"/>
        </w:rPr>
        <w:t>》项目的专项技术服务事宜，签订本合同以共同遵守。</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一、服务项目</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（一）项目基本信息</w:t>
      </w:r>
    </w:p>
    <w:p>
      <w:pPr>
        <w:spacing w:line="300" w:lineRule="auto"/>
        <w:ind w:firstLine="420" w:firstLineChars="200"/>
        <w:rPr>
          <w:rFonts w:hint="eastAsia" w:ascii="宋体" w:hAnsi="宋体" w:eastAsia="宋体" w:cs="Times New Roman"/>
          <w:color w:val="auto"/>
          <w:szCs w:val="22"/>
          <w:highlight w:val="none"/>
        </w:rPr>
      </w:pPr>
      <w:r>
        <w:rPr>
          <w:rFonts w:hint="eastAsia" w:ascii="宋体" w:hAnsi="宋体"/>
          <w:color w:val="auto"/>
          <w:szCs w:val="22"/>
          <w:highlight w:val="none"/>
        </w:rPr>
        <w:t>服务项目名称：《新疆维吾尔自治区国土空间规划历史文化保护专项</w:t>
      </w:r>
      <w:r>
        <w:rPr>
          <w:rFonts w:hint="eastAsia" w:ascii="宋体" w:hAnsi="宋体"/>
          <w:color w:val="auto"/>
          <w:szCs w:val="22"/>
          <w:highlight w:val="none"/>
          <w:lang w:val="en-US" w:eastAsia="zh-CN"/>
        </w:rPr>
        <w:t>规划</w:t>
      </w:r>
      <w:r>
        <w:rPr>
          <w:rFonts w:hint="eastAsia" w:ascii="宋体" w:hAnsi="宋体"/>
          <w:color w:val="auto"/>
          <w:szCs w:val="22"/>
          <w:highlight w:val="none"/>
        </w:rPr>
        <w:t>》</w:t>
      </w:r>
      <w:r>
        <w:rPr>
          <w:rFonts w:hint="eastAsia" w:ascii="宋体" w:hAnsi="宋体" w:eastAsia="宋体" w:cs="Times New Roman"/>
          <w:color w:val="auto"/>
          <w:szCs w:val="22"/>
          <w:highlight w:val="none"/>
        </w:rPr>
        <w:t>项目。</w:t>
      </w:r>
    </w:p>
    <w:p>
      <w:pPr>
        <w:pStyle w:val="2"/>
        <w:ind w:left="420" w:leftChars="200" w:firstLine="0" w:firstLineChars="0"/>
        <w:rPr>
          <w:rFonts w:ascii="宋体" w:hAnsi="宋体"/>
          <w:color w:val="auto"/>
          <w:szCs w:val="22"/>
          <w:highlight w:val="none"/>
        </w:rPr>
      </w:pPr>
      <w:r>
        <w:rPr>
          <w:rFonts w:hint="eastAsia" w:ascii="宋体" w:hAnsi="宋体"/>
          <w:color w:val="auto"/>
          <w:szCs w:val="22"/>
          <w:highlight w:val="none"/>
        </w:rPr>
        <w:t>（二）项目主要内容</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bookmarkStart w:id="58" w:name="_Hlk115028817"/>
      <w:r>
        <w:rPr>
          <w:rFonts w:hint="eastAsia" w:ascii="宋体" w:hAnsi="宋体" w:eastAsia="宋体" w:cs="宋体"/>
          <w:color w:val="auto"/>
          <w:sz w:val="21"/>
          <w:szCs w:val="21"/>
          <w:highlight w:val="none"/>
          <w:lang w:eastAsia="zh-CN"/>
        </w:rPr>
        <w:t>（一）系统梳理自治区历史文化遗产资源体系</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梳理各级政府主管部门掌握的历史文化资源，主要包括：列入世界遗产名录和中国世界文化遗产预备名单资源点的资源名录；国家级和自治区级历史文化名城名镇名村、历史文化街区、传统村落、历史建筑等历史文化遗产；潜在有条件申报自治区级和国家级的历史文化遗产的资源，形成名录。同时，对历史文化资源的区位分布、资源特点、保护规划编制情况等进行综合分析。</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对已经获得批复的保护规划、或已经公布法定保护区划的资源，提出</w:t>
      </w:r>
      <w:r>
        <w:rPr>
          <w:rFonts w:hint="eastAsia" w:ascii="宋体" w:hAnsi="宋体" w:eastAsia="宋体" w:cs="宋体"/>
          <w:color w:val="auto"/>
          <w:sz w:val="21"/>
          <w:szCs w:val="21"/>
          <w:highlight w:val="none"/>
          <w:lang w:val="en-US" w:eastAsia="zh-CN"/>
        </w:rPr>
        <w:t>落实</w:t>
      </w:r>
      <w:r>
        <w:rPr>
          <w:rFonts w:hint="eastAsia" w:ascii="宋体" w:hAnsi="宋体" w:eastAsia="宋体" w:cs="宋体"/>
          <w:color w:val="auto"/>
          <w:sz w:val="21"/>
          <w:szCs w:val="21"/>
          <w:highlight w:val="none"/>
          <w:lang w:eastAsia="zh-CN"/>
        </w:rPr>
        <w:t>自治区国土空间规划</w:t>
      </w:r>
      <w:r>
        <w:rPr>
          <w:rFonts w:hint="eastAsia" w:ascii="宋体" w:hAnsi="宋体" w:eastAsia="宋体" w:cs="宋体"/>
          <w:color w:val="auto"/>
          <w:sz w:val="21"/>
          <w:szCs w:val="21"/>
          <w:highlight w:val="none"/>
          <w:lang w:val="en-US" w:eastAsia="zh-CN"/>
        </w:rPr>
        <w:t>的建议与</w:t>
      </w:r>
      <w:r>
        <w:rPr>
          <w:rFonts w:hint="eastAsia" w:ascii="宋体" w:hAnsi="宋体" w:eastAsia="宋体" w:cs="宋体"/>
          <w:color w:val="auto"/>
          <w:sz w:val="21"/>
          <w:szCs w:val="21"/>
          <w:highlight w:val="none"/>
          <w:lang w:eastAsia="zh-CN"/>
        </w:rPr>
        <w:t>注意事项，保护对象及管控范围应叠加到 “一张图”监督实施；对尚未编制保护专项规划或公布法定保护区划的资源，应明确提出制定保护区划的划定原则和相关工作要求。并提供2-3个典型案例研究。</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（二）构建历史文化资源保护利用格局</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自治区历史文化资源的总体分布情况和资源特点，综合研究提出自治区历史文化资源保护利用整体格局和主体空间；研究提出自治区历史文化遗产保护范围的划定原则和方法，研判提出与永久基本农田、生态保护红线、城镇开发边界、地下空间相统筹的原则性的空间协调措施；针对历史文化遗产富集区域，提出空间要素整合的指导性要求，并将相关内容纳入地（州、市）、县（市）、县（市）、乡镇国土空间规划；历史文化遗产保护范围应叠加到“一张图”监督实施。</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（三）提出重点区域保护利用的管控要求</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合自治区历史文化资源富集、空间分布集中的地域，以及非物质文化遗产高度依存的自然环境和历史文化空间，明确地域特色分区；制定不同特色分区的差异化的保护、传承、活化利用引导策略，延续历史文脉，突出地方特色；明确提出整体重点区域内整体保护和活化利用的空间管控要求。</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合丝绸之路文化带、旅游、文化润疆等形成自治区文化保护体系，研究提出自治区地（州、市）、县（市）国土空间总体规划历史文化保护利用等专业审查技术要点建议；处理好保护与开发的关系，协调建议形成重大项目库，支持自治区和各地经济发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（四）建立自治区历史文化保护数据</w:t>
      </w:r>
      <w:r>
        <w:rPr>
          <w:rFonts w:hint="eastAsia" w:ascii="宋体" w:hAnsi="宋体" w:eastAsia="宋体" w:cs="宋体"/>
          <w:color w:val="auto"/>
          <w:sz w:val="21"/>
          <w:szCs w:val="21"/>
          <w:highlight w:val="none"/>
          <w:lang w:val="en-US" w:eastAsia="zh-CN"/>
        </w:rPr>
        <w:t>图层</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基于上述研究成果，指导各地统筹划定自治区级以上各类历史文化遗产保护范围，协助建立自治区历史文化保护矢量数据库，并提出数据库动态维护机制。依据自然资源部和自治区专项规划数据要求，提出自治区历史文化遗产保护范围与自治区地（州、市）、县（市）国土空间总体规划数据库汇交要求，协助将自治区历史文化遗产保护范围纳入自治区国土空间规划“一张图”系统。</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3.工作成果要求：</w:t>
      </w:r>
    </w:p>
    <w:bookmarkEnd w:id="58"/>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（1）《新疆维吾尔自治区国土空间规划历史文化保护专项规划》（简称《专</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lang w:val="en-US" w:eastAsia="zh-CN"/>
        </w:rPr>
        <w:t>规划</w:t>
      </w:r>
      <w:r>
        <w:rPr>
          <w:rFonts w:hint="eastAsia" w:ascii="宋体" w:hAnsi="宋体" w:eastAsia="宋体" w:cs="宋体"/>
          <w:color w:val="auto"/>
          <w:sz w:val="21"/>
          <w:szCs w:val="21"/>
          <w:highlight w:val="none"/>
          <w:lang w:eastAsia="zh-CN"/>
        </w:rPr>
        <w:t>》）成果，包含说明书、图集和相关表格等；</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（2）数据公司配合，结合各地上报成果，完成</w:t>
      </w:r>
      <w:r>
        <w:rPr>
          <w:rFonts w:hint="eastAsia" w:ascii="宋体" w:hAnsi="宋体" w:eastAsia="宋体" w:cs="宋体"/>
          <w:color w:val="auto"/>
          <w:sz w:val="21"/>
          <w:szCs w:val="21"/>
          <w:highlight w:val="none"/>
          <w:lang w:eastAsia="zh-CN"/>
        </w:rPr>
        <w:t>自治区历史文化保护矢量数据</w:t>
      </w:r>
      <w:r>
        <w:rPr>
          <w:rFonts w:hint="eastAsia" w:ascii="宋体" w:hAnsi="宋体" w:eastAsia="宋体" w:cs="宋体"/>
          <w:color w:val="auto"/>
          <w:sz w:val="21"/>
          <w:szCs w:val="21"/>
          <w:highlight w:val="none"/>
          <w:lang w:val="en-US" w:eastAsia="zh-CN"/>
        </w:rPr>
        <w:t>图层</w:t>
      </w:r>
      <w:r>
        <w:rPr>
          <w:rFonts w:hint="eastAsia" w:ascii="宋体" w:hAnsi="宋体" w:eastAsia="宋体" w:cs="宋体"/>
          <w:color w:val="auto"/>
          <w:sz w:val="21"/>
          <w:szCs w:val="21"/>
          <w:highlight w:val="none"/>
          <w:lang w:eastAsia="zh-CN"/>
        </w:rPr>
        <w:t>，并将专项图层纳入自治区国土空间规划“一张图”系统；符合</w:t>
      </w:r>
      <w:r>
        <w:rPr>
          <w:rFonts w:hint="eastAsia" w:ascii="宋体" w:hAnsi="宋体" w:eastAsia="宋体" w:cs="宋体"/>
          <w:color w:val="auto"/>
          <w:sz w:val="21"/>
          <w:szCs w:val="21"/>
          <w:highlight w:val="none"/>
          <w:lang w:val="en-US" w:eastAsia="zh-CN"/>
        </w:rPr>
        <w:t>自然资源部、自治区专项规划</w:t>
      </w:r>
      <w:r>
        <w:rPr>
          <w:rFonts w:hint="eastAsia" w:ascii="宋体" w:hAnsi="宋体" w:eastAsia="宋体" w:cs="宋体"/>
          <w:color w:val="auto"/>
          <w:sz w:val="21"/>
          <w:szCs w:val="21"/>
          <w:highlight w:val="none"/>
          <w:lang w:eastAsia="zh-CN"/>
        </w:rPr>
        <w:t>入库要求，</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eastAsia="zh-CN"/>
        </w:rPr>
        <w:t>形成自治区历史文化保护数据更新机制要点。</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二、服务费用</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1.服务费用（合同价款）</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本次服务费用总价（合同总价款）为：人民币（大写）  万元整（￥    元）。</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本条约定的服务费用总价为含税价，且为乙方因履行本合同所发生、收取的全部费用，包括但不限于现场踏勘、调研、召开现场会、专家会等费用，即甲方无需就本合同相关事宜再行向乙方支付任何费用。</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2.付款方式</w:t>
      </w:r>
    </w:p>
    <w:p>
      <w:pPr>
        <w:spacing w:line="300" w:lineRule="auto"/>
        <w:ind w:firstLine="420" w:firstLineChars="200"/>
        <w:rPr>
          <w:rFonts w:hint="eastAsia" w:ascii="宋体" w:hAnsi="宋体"/>
          <w:color w:val="auto"/>
          <w:szCs w:val="22"/>
          <w:highlight w:val="none"/>
          <w:u w:val="single"/>
        </w:rPr>
      </w:pPr>
      <w:r>
        <w:rPr>
          <w:rFonts w:hint="eastAsia" w:ascii="宋体" w:hAnsi="宋体" w:eastAsia="宋体" w:cs="Times New Roman"/>
          <w:color w:val="auto"/>
          <w:szCs w:val="22"/>
          <w:highlight w:val="none"/>
          <w:u w:val="single"/>
        </w:rPr>
        <w:t>本合同签订后甲方支付</w:t>
      </w:r>
      <w:r>
        <w:rPr>
          <w:rFonts w:hint="eastAsia" w:ascii="宋体" w:hAnsi="宋体" w:eastAsia="宋体" w:cs="Times New Roman"/>
          <w:color w:val="auto"/>
          <w:szCs w:val="22"/>
          <w:highlight w:val="none"/>
          <w:u w:val="single"/>
          <w:lang w:val="en-US" w:eastAsia="zh-Hans"/>
        </w:rPr>
        <w:t>服务费用的</w:t>
      </w:r>
      <w:r>
        <w:rPr>
          <w:rFonts w:hint="eastAsia" w:ascii="宋体" w:hAnsi="宋体" w:cs="Times New Roman"/>
          <w:color w:val="auto"/>
          <w:szCs w:val="22"/>
          <w:highlight w:val="none"/>
          <w:u w:val="single"/>
          <w:lang w:val="en-US" w:eastAsia="zh-CN"/>
        </w:rPr>
        <w:t>8</w:t>
      </w:r>
      <w:r>
        <w:rPr>
          <w:rFonts w:hint="eastAsia" w:ascii="宋体" w:hAnsi="宋体" w:eastAsia="宋体" w:cs="Times New Roman"/>
          <w:color w:val="auto"/>
          <w:szCs w:val="22"/>
          <w:highlight w:val="none"/>
          <w:u w:val="single"/>
          <w:lang w:val="en-US" w:eastAsia="zh-CN"/>
        </w:rPr>
        <w:t>5</w:t>
      </w:r>
      <w:r>
        <w:rPr>
          <w:rFonts w:hint="eastAsia" w:ascii="宋体" w:hAnsi="宋体" w:eastAsia="宋体" w:cs="Times New Roman"/>
          <w:color w:val="auto"/>
          <w:szCs w:val="22"/>
          <w:highlight w:val="none"/>
          <w:u w:val="single"/>
        </w:rPr>
        <w:t>%       元（大写：     万元整）</w:t>
      </w:r>
      <w:r>
        <w:rPr>
          <w:rFonts w:hint="eastAsia" w:ascii="宋体" w:hAnsi="宋体" w:eastAsia="宋体" w:cs="Times New Roman"/>
          <w:color w:val="auto"/>
          <w:szCs w:val="22"/>
          <w:highlight w:val="none"/>
          <w:u w:val="single"/>
          <w:lang w:val="en-US" w:eastAsia="zh-Hans"/>
        </w:rPr>
        <w:t>作为</w:t>
      </w:r>
      <w:r>
        <w:rPr>
          <w:rFonts w:hint="eastAsia" w:ascii="宋体" w:hAnsi="宋体" w:eastAsia="宋体" w:cs="Times New Roman"/>
          <w:color w:val="auto"/>
          <w:szCs w:val="22"/>
          <w:highlight w:val="none"/>
          <w:u w:val="single"/>
        </w:rPr>
        <w:t>预付款；</w:t>
      </w:r>
      <w:r>
        <w:rPr>
          <w:rFonts w:hint="eastAsia" w:ascii="宋体" w:hAnsi="宋体" w:eastAsia="宋体" w:cs="宋体"/>
          <w:color w:val="auto"/>
          <w:sz w:val="21"/>
          <w:szCs w:val="21"/>
          <w:highlight w:val="none"/>
          <w:lang w:val="en-US" w:eastAsia="zh-CN"/>
        </w:rPr>
        <w:t>《新疆维吾尔自治区国土空间规划历史文化保护专项规划》</w:t>
      </w:r>
      <w:r>
        <w:rPr>
          <w:rFonts w:hint="eastAsia" w:ascii="宋体" w:hAnsi="宋体" w:eastAsia="宋体" w:cs="Times New Roman"/>
          <w:color w:val="auto"/>
          <w:szCs w:val="22"/>
          <w:highlight w:val="none"/>
          <w:u w:val="single"/>
        </w:rPr>
        <w:t>通过</w:t>
      </w:r>
      <w:r>
        <w:rPr>
          <w:rFonts w:hint="eastAsia" w:ascii="宋体" w:hAnsi="宋体" w:eastAsia="宋体" w:cs="Times New Roman"/>
          <w:color w:val="auto"/>
          <w:szCs w:val="22"/>
          <w:highlight w:val="none"/>
          <w:u w:val="single"/>
          <w:lang w:val="zh-TW"/>
        </w:rPr>
        <w:t>专家评审</w:t>
      </w:r>
      <w:r>
        <w:rPr>
          <w:rFonts w:hint="eastAsia" w:ascii="宋体" w:hAnsi="宋体" w:eastAsia="宋体" w:cs="Times New Roman"/>
          <w:color w:val="auto"/>
          <w:szCs w:val="22"/>
          <w:highlight w:val="none"/>
          <w:u w:val="single"/>
          <w:lang w:eastAsia="zh-CN"/>
        </w:rPr>
        <w:t>，</w:t>
      </w:r>
      <w:r>
        <w:rPr>
          <w:rFonts w:hint="eastAsia" w:ascii="宋体" w:hAnsi="宋体" w:eastAsia="宋体" w:cs="Times New Roman"/>
          <w:color w:val="auto"/>
          <w:szCs w:val="22"/>
          <w:highlight w:val="none"/>
          <w:u w:val="single"/>
          <w:lang w:val="en-US" w:eastAsia="zh-CN"/>
        </w:rPr>
        <w:t>矢量数据</w:t>
      </w:r>
      <w:r>
        <w:rPr>
          <w:rFonts w:hint="eastAsia" w:ascii="宋体" w:hAnsi="宋体" w:eastAsia="宋体" w:cs="Times New Roman"/>
          <w:color w:val="auto"/>
          <w:sz w:val="21"/>
          <w:szCs w:val="22"/>
          <w:highlight w:val="none"/>
          <w:u w:val="single"/>
        </w:rPr>
        <w:t>专项图层纳入自治区国土空间规划“一张图”系统</w:t>
      </w:r>
      <w:r>
        <w:rPr>
          <w:rFonts w:hint="eastAsia" w:ascii="宋体" w:hAnsi="宋体" w:eastAsia="宋体" w:cs="Times New Roman"/>
          <w:color w:val="auto"/>
          <w:sz w:val="21"/>
          <w:szCs w:val="22"/>
          <w:highlight w:val="none"/>
          <w:u w:val="single"/>
          <w:lang w:val="en-US" w:eastAsia="zh-CN"/>
        </w:rPr>
        <w:t>后</w:t>
      </w:r>
      <w:r>
        <w:rPr>
          <w:rFonts w:hint="eastAsia" w:ascii="宋体" w:hAnsi="宋体" w:eastAsia="宋体" w:cs="Times New Roman"/>
          <w:color w:val="auto"/>
          <w:szCs w:val="22"/>
          <w:highlight w:val="none"/>
          <w:u w:val="single"/>
        </w:rPr>
        <w:t>支付剩余</w:t>
      </w:r>
      <w:r>
        <w:rPr>
          <w:rFonts w:hint="eastAsia" w:ascii="宋体" w:hAnsi="宋体"/>
          <w:color w:val="auto"/>
          <w:szCs w:val="22"/>
          <w:highlight w:val="none"/>
          <w:u w:val="single"/>
          <w:lang w:val="en-US" w:eastAsia="zh-CN"/>
        </w:rPr>
        <w:t>15</w:t>
      </w:r>
      <w:r>
        <w:rPr>
          <w:rFonts w:hint="eastAsia" w:ascii="宋体" w:hAnsi="宋体"/>
          <w:color w:val="auto"/>
          <w:szCs w:val="22"/>
          <w:highlight w:val="none"/>
          <w:u w:val="single"/>
        </w:rPr>
        <w:t>%</w:t>
      </w:r>
      <w:r>
        <w:rPr>
          <w:rFonts w:hint="eastAsia" w:ascii="宋体" w:hAnsi="宋体"/>
          <w:color w:val="auto"/>
          <w:szCs w:val="22"/>
          <w:highlight w:val="none"/>
          <w:u w:val="single"/>
          <w:lang w:val="en-US" w:eastAsia="zh-Hans"/>
        </w:rPr>
        <w:t>的服务费用</w:t>
      </w:r>
      <w:r>
        <w:rPr>
          <w:rFonts w:hint="eastAsia" w:ascii="宋体" w:hAnsi="宋体"/>
          <w:color w:val="auto"/>
          <w:szCs w:val="22"/>
          <w:highlight w:val="none"/>
          <w:u w:val="single"/>
        </w:rPr>
        <w:t xml:space="preserve">       元（大写：      万元整）。</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3.乙方指定收款账号：</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 xml:space="preserve">户名：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 xml:space="preserve">账号：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开户行：</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乙方未授权任何员工、第三方收款；服务费用不能以现金方式支付。</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4.发票</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乙方应向甲方提供符合甲方要求的合法、足额增值税普通发票。发票信息如下：</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名称：</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纳税人识别号：</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地址电话：</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开户行及账号：</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三、工作成果要求</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1.本次服务采用的主要技术标准：</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1.《中华人民共和国土地管理法》；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2.《中华人民共和国城乡规划法》；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3.《中华人民共和国文物保护法》；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4.《中华人民共和国非物质文化遗产法》；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5.《历史文化名城名镇名村保护条例》；</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6.《新疆维吾尔自治区历史文化名城街区和历史建筑保护条例》；</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7.《中共中央办公厅 国务院办公厅印发关于在城乡建设中加强历史文化保护传承的意见》；</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8.《自然资源部 国家文物局关于在国土空间规划编制和实施中加强历史文化遗产保护管理的指导意见》；</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9.《历史文化名城名镇名村街区保护规划编制审批办法》；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10.《历史文化名城保护规划标准》（GB/T 50357-2018）；</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11.《城市紫线管理办法》；</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12.《社区生活圈规划技术指南》（TD/T 1062-2021）；</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13.《国土空间规划城市设计指南》（TD/T 1065-2021）；</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14.《国土空间规划历史文化遗产保护技术指南（征求意见稿）》；</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15.《国土空间规划“一张图”实施监督信息系统技术规范》（GB/T 39972-2021）；</w:t>
      </w:r>
    </w:p>
    <w:p>
      <w:pPr>
        <w:spacing w:line="300" w:lineRule="auto"/>
        <w:ind w:firstLine="420" w:firstLineChars="200"/>
        <w:rPr>
          <w:rFonts w:hint="eastAsia" w:ascii="宋体" w:hAnsi="宋体"/>
          <w:color w:val="auto"/>
          <w:szCs w:val="22"/>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其他法律法规、技术标准和政策要求。</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w:t>
      </w:r>
      <w:r>
        <w:rPr>
          <w:rFonts w:ascii="宋体" w:hAnsi="宋体"/>
          <w:color w:val="auto"/>
          <w:szCs w:val="22"/>
          <w:highlight w:val="none"/>
        </w:rPr>
        <w:t>.</w:t>
      </w:r>
      <w:r>
        <w:rPr>
          <w:rFonts w:hint="eastAsia" w:ascii="宋体" w:hAnsi="宋体"/>
          <w:color w:val="auto"/>
          <w:szCs w:val="22"/>
          <w:highlight w:val="none"/>
        </w:rPr>
        <w:t>乙方完成项目的期限：</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项目周期为2022年12月至2023年1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月，共1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个月。具体工作方案建议如下：</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第一阶段： 资料收集与现状调研阶段（2022年12月-2023年4月）</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一是完成立项；二是结合自治区地（州、市）、县（市）国土空间总体规划技术审查工作开展基础资料收集和调研；三是开展自治区行业主管部门的基础资料收集和座谈。</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第二阶段：内容深化阶段（2023年5月-2023年8月）</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一是形成《专项</w:t>
      </w:r>
      <w:r>
        <w:rPr>
          <w:rFonts w:hint="eastAsia" w:ascii="宋体" w:hAnsi="宋体" w:eastAsia="宋体" w:cs="宋体"/>
          <w:color w:val="auto"/>
          <w:sz w:val="21"/>
          <w:szCs w:val="21"/>
          <w:highlight w:val="none"/>
          <w:lang w:val="en-US" w:eastAsia="zh-CN"/>
        </w:rPr>
        <w:t>规划</w:t>
      </w:r>
      <w:r>
        <w:rPr>
          <w:rFonts w:hint="eastAsia" w:ascii="宋体" w:hAnsi="宋体" w:eastAsia="宋体" w:cs="宋体"/>
          <w:color w:val="auto"/>
          <w:sz w:val="21"/>
          <w:szCs w:val="21"/>
          <w:highlight w:val="none"/>
          <w:lang w:eastAsia="zh-CN"/>
        </w:rPr>
        <w:t>》初步成果；二是组织专家咨询会进行技术咨询；三是对初稿进行完善，</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是形成自治区历史文化保护数据更新制度初稿成果。</w:t>
      </w:r>
    </w:p>
    <w:p>
      <w:pPr>
        <w:pStyle w:val="3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第三阶段：完善成果，</w:t>
      </w:r>
      <w:r>
        <w:rPr>
          <w:rFonts w:hint="eastAsia" w:ascii="宋体" w:hAnsi="宋体" w:eastAsia="宋体" w:cs="宋体"/>
          <w:color w:val="auto"/>
          <w:sz w:val="21"/>
          <w:szCs w:val="21"/>
          <w:highlight w:val="none"/>
          <w:lang w:val="en-US" w:eastAsia="zh-CN"/>
        </w:rPr>
        <w:t>完成验收</w:t>
      </w:r>
      <w:r>
        <w:rPr>
          <w:rFonts w:hint="eastAsia" w:ascii="宋体" w:hAnsi="宋体" w:eastAsia="宋体" w:cs="宋体"/>
          <w:color w:val="auto"/>
          <w:sz w:val="21"/>
          <w:szCs w:val="21"/>
          <w:highlight w:val="none"/>
          <w:lang w:eastAsia="zh-CN"/>
        </w:rPr>
        <w:t>（2023年9月-2023年1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p>
    <w:p>
      <w:pPr>
        <w:spacing w:line="30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一是完成《专项</w:t>
      </w:r>
      <w:r>
        <w:rPr>
          <w:rFonts w:hint="eastAsia" w:ascii="宋体" w:hAnsi="宋体" w:eastAsia="宋体" w:cs="宋体"/>
          <w:color w:val="auto"/>
          <w:sz w:val="21"/>
          <w:szCs w:val="21"/>
          <w:highlight w:val="none"/>
          <w:lang w:val="en-US" w:eastAsia="zh-CN"/>
        </w:rPr>
        <w:t>规划</w:t>
      </w:r>
      <w:r>
        <w:rPr>
          <w:rFonts w:hint="eastAsia" w:ascii="宋体" w:hAnsi="宋体" w:eastAsia="宋体" w:cs="宋体"/>
          <w:color w:val="auto"/>
          <w:sz w:val="21"/>
          <w:szCs w:val="21"/>
          <w:highlight w:val="none"/>
          <w:lang w:eastAsia="zh-CN"/>
        </w:rPr>
        <w:t>》的技术审查；二是完成《专项</w:t>
      </w:r>
      <w:r>
        <w:rPr>
          <w:rFonts w:hint="eastAsia" w:ascii="宋体" w:hAnsi="宋体" w:eastAsia="宋体" w:cs="宋体"/>
          <w:color w:val="auto"/>
          <w:sz w:val="21"/>
          <w:szCs w:val="21"/>
          <w:highlight w:val="none"/>
          <w:lang w:val="en-US" w:eastAsia="zh-CN"/>
        </w:rPr>
        <w:t>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验收工作；三</w:t>
      </w:r>
      <w:r>
        <w:rPr>
          <w:rFonts w:hint="eastAsia" w:ascii="宋体" w:hAnsi="宋体" w:eastAsia="宋体" w:cs="宋体"/>
          <w:color w:val="auto"/>
          <w:sz w:val="21"/>
          <w:szCs w:val="21"/>
          <w:highlight w:val="none"/>
          <w:lang w:eastAsia="zh-CN"/>
        </w:rPr>
        <w:t>是建立自治区历史文化保护矢量数据</w:t>
      </w:r>
      <w:r>
        <w:rPr>
          <w:rFonts w:hint="eastAsia" w:ascii="宋体" w:hAnsi="宋体" w:eastAsia="宋体" w:cs="宋体"/>
          <w:color w:val="auto"/>
          <w:sz w:val="21"/>
          <w:szCs w:val="21"/>
          <w:highlight w:val="none"/>
          <w:lang w:val="en-US" w:eastAsia="zh-CN"/>
        </w:rPr>
        <w:t>专题图层</w:t>
      </w:r>
      <w:r>
        <w:rPr>
          <w:rFonts w:hint="eastAsia" w:ascii="宋体" w:hAnsi="宋体" w:eastAsia="宋体" w:cs="宋体"/>
          <w:color w:val="auto"/>
          <w:sz w:val="21"/>
          <w:szCs w:val="21"/>
          <w:highlight w:val="none"/>
          <w:lang w:eastAsia="zh-CN"/>
        </w:rPr>
        <w:t>，纳入自治区国土空间规划“一张图”系统。</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四、服务流程要求</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rPr>
        <w:t>本</w:t>
      </w:r>
      <w:r>
        <w:rPr>
          <w:rFonts w:hint="eastAsia" w:ascii="宋体" w:hAnsi="宋体"/>
          <w:color w:val="auto"/>
          <w:szCs w:val="22"/>
          <w:highlight w:val="none"/>
          <w:lang w:val="zh-TW"/>
        </w:rPr>
        <w:t>合同签订后，乙方应按照国家和自治区工作安排向甲方提交工作成果。</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1.甲方有权对乙方的工作成果提出修改意见，以使乙方的项目工作成果更符合甲方需求。</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2.甲方有权对乙方的工作成果提出修改意见，乙方应按甲方的修改意见进行修改。</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3.甲方应根据乙方需求出具项目负责人签字的确认单，以对乙方工作成果进行确认和验收。</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五、乙方服务人员要求</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1.乙方应按双方约定安排人员为甲方提供服务。</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2.未经甲方同意，乙方不得更换人员。</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3.甲方有权要求乙方更换服务人员，但不能超过2人次。</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4.转包约定</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乙方必须自行完成本合同约定的主要工作，不得转交第三方完成。</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六、委托方责任</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1.资料素材配合</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本合同签订后的 10 个工作日内，乙方向甲方说明需要甲方提供的资料素材，甲方应在收到清单后 10 个工作日内向乙方提供。</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2.人员配合</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甲方在现场踏勘、会议组织等方面提供协调保障。</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3.除本合同约定由甲方提供的以外，乙方提供服务所需的资料、设备、工具等应由乙方自行提供或承担。</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七、合同联系方式</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1.甲方确认如下项目联系信息：</w:t>
      </w:r>
    </w:p>
    <w:p>
      <w:pPr>
        <w:spacing w:line="300" w:lineRule="auto"/>
        <w:ind w:firstLine="420" w:firstLineChars="200"/>
        <w:jc w:val="left"/>
        <w:rPr>
          <w:rFonts w:hint="eastAsia" w:ascii="宋体" w:hAnsi="宋体"/>
          <w:color w:val="auto"/>
          <w:szCs w:val="22"/>
          <w:highlight w:val="none"/>
        </w:rPr>
      </w:pPr>
      <w:r>
        <w:rPr>
          <w:rFonts w:hint="eastAsia" w:ascii="宋体" w:hAnsi="宋体"/>
          <w:color w:val="auto"/>
          <w:szCs w:val="22"/>
          <w:highlight w:val="none"/>
        </w:rPr>
        <w:t>通讯地址：乌鲁木齐市天山区金银路56号自治区自然资源厅14楼</w:t>
      </w:r>
    </w:p>
    <w:p>
      <w:pPr>
        <w:spacing w:line="300" w:lineRule="auto"/>
        <w:ind w:firstLine="420" w:firstLineChars="200"/>
        <w:jc w:val="left"/>
        <w:rPr>
          <w:rFonts w:hint="eastAsia" w:ascii="宋体" w:hAnsi="宋体"/>
          <w:color w:val="auto"/>
          <w:szCs w:val="22"/>
          <w:highlight w:val="none"/>
        </w:rPr>
      </w:pPr>
      <w:r>
        <w:rPr>
          <w:rFonts w:hint="eastAsia" w:ascii="宋体" w:hAnsi="宋体"/>
          <w:color w:val="auto"/>
          <w:szCs w:val="22"/>
          <w:highlight w:val="none"/>
        </w:rPr>
        <w:t>联系人：</w:t>
      </w:r>
      <w:r>
        <w:rPr>
          <w:rFonts w:hint="eastAsia" w:ascii="宋体" w:hAnsi="宋体"/>
          <w:color w:val="auto"/>
          <w:szCs w:val="22"/>
          <w:highlight w:val="none"/>
          <w:lang w:val="en-US" w:eastAsia="zh-CN"/>
        </w:rPr>
        <w:t>王强吉</w:t>
      </w:r>
      <w:r>
        <w:rPr>
          <w:rFonts w:hint="eastAsia" w:ascii="宋体" w:hAnsi="宋体"/>
          <w:color w:val="auto"/>
          <w:szCs w:val="22"/>
          <w:highlight w:val="none"/>
        </w:rPr>
        <w:t xml:space="preserve">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电话：0991-2649938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电子邮箱：</w:t>
      </w:r>
      <w:r>
        <w:rPr>
          <w:rFonts w:hint="eastAsia" w:ascii="宋体" w:hAnsi="宋体"/>
          <w:color w:val="auto"/>
          <w:szCs w:val="22"/>
          <w:highlight w:val="none"/>
        </w:rPr>
        <w:fldChar w:fldCharType="begin"/>
      </w:r>
      <w:r>
        <w:rPr>
          <w:rFonts w:hint="eastAsia" w:ascii="宋体" w:hAnsi="宋体"/>
          <w:color w:val="auto"/>
          <w:szCs w:val="22"/>
          <w:highlight w:val="none"/>
        </w:rPr>
        <w:instrText xml:space="preserve"> HYPERLINK "mailto:1172667958@qq.com" </w:instrText>
      </w:r>
      <w:r>
        <w:rPr>
          <w:rFonts w:hint="eastAsia" w:ascii="宋体" w:hAnsi="宋体"/>
          <w:color w:val="auto"/>
          <w:szCs w:val="22"/>
          <w:highlight w:val="none"/>
        </w:rPr>
        <w:fldChar w:fldCharType="separate"/>
      </w:r>
      <w:r>
        <w:rPr>
          <w:rFonts w:hint="eastAsia" w:ascii="宋体" w:hAnsi="宋体"/>
          <w:color w:val="auto"/>
          <w:szCs w:val="22"/>
          <w:highlight w:val="none"/>
        </w:rPr>
        <w:t>1172667958@qq.com</w:t>
      </w:r>
      <w:r>
        <w:rPr>
          <w:rFonts w:hint="eastAsia" w:ascii="宋体" w:hAnsi="宋体"/>
          <w:color w:val="auto"/>
          <w:szCs w:val="22"/>
          <w:highlight w:val="none"/>
        </w:rPr>
        <w:fldChar w:fldCharType="end"/>
      </w:r>
      <w:r>
        <w:rPr>
          <w:rFonts w:hint="eastAsia" w:ascii="宋体" w:hAnsi="宋体"/>
          <w:color w:val="auto"/>
          <w:szCs w:val="22"/>
          <w:highlight w:val="none"/>
        </w:rPr>
        <w:t xml:space="preserve">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2.甲方确认，甲方项目联系人的权限仅限于下列：</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（1）代表甲方提交、接受项目有关资料、文档、工作成果。</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（2）代表甲方对服务提出意见。</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（3）代表甲方验收乙方提供的工作成果与服务（最终验收通过并确认以甲方加盖公章的验收文件为准）。</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3.乙方确认如下项目联系信息：</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通讯地址：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联系人：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手机：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微信：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电子邮箱：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4.乙方确认，乙方项目联系人的权限仅限于下列：</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（1）代表乙方提交、接受项目有关资料、文档、工作成果。</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（2）代表乙方对服务进行沟通、提出意见。</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5.除非双方另有约定，合同双方可通过指定电子邮箱提供资料、文档、工作成果电子版。</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6.本合同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7.本合同送达条款与争议解决条款均为独立条款，不受合同整体或其他条款的效力的影响。</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八、知识产权</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1</w:t>
      </w:r>
      <w:r>
        <w:rPr>
          <w:rFonts w:ascii="宋体" w:hAnsi="宋体" w:eastAsia="PMingLiU"/>
          <w:color w:val="auto"/>
          <w:szCs w:val="22"/>
          <w:highlight w:val="none"/>
          <w:lang w:val="zh-TW"/>
        </w:rPr>
        <w:t>.</w:t>
      </w:r>
      <w:r>
        <w:rPr>
          <w:rFonts w:hint="eastAsia" w:ascii="宋体" w:hAnsi="宋体"/>
          <w:color w:val="auto"/>
          <w:szCs w:val="22"/>
          <w:highlight w:val="none"/>
          <w:lang w:val="zh-TW"/>
        </w:rPr>
        <w:t>甲方提交给乙方使用的素材与资料，其知识产权仍归甲方所有。除为本合同目的而使用并经甲方书面同意之外，乙方不得复制、使用及提供给第三方。</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2</w:t>
      </w:r>
      <w:r>
        <w:rPr>
          <w:rFonts w:ascii="宋体" w:hAnsi="宋体" w:eastAsia="PMingLiU"/>
          <w:color w:val="auto"/>
          <w:szCs w:val="22"/>
          <w:highlight w:val="none"/>
          <w:lang w:val="zh-TW"/>
        </w:rPr>
        <w:t>.</w:t>
      </w:r>
      <w:r>
        <w:rPr>
          <w:rFonts w:hint="eastAsia" w:ascii="宋体" w:hAnsi="宋体"/>
          <w:color w:val="auto"/>
          <w:szCs w:val="22"/>
          <w:highlight w:val="none"/>
          <w:lang w:val="zh-TW"/>
        </w:rPr>
        <w:t>乙方履行本合同过程中形成的资料、向甲方提交的工作成果相关全部知识产权均归甲方所有；甲方有权自行决定发表、修改、使用等，相关权利和收益归甲方所有。</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3</w:t>
      </w:r>
      <w:r>
        <w:rPr>
          <w:rFonts w:ascii="宋体" w:hAnsi="宋体" w:eastAsia="PMingLiU"/>
          <w:color w:val="auto"/>
          <w:szCs w:val="22"/>
          <w:highlight w:val="none"/>
          <w:lang w:val="zh-TW"/>
        </w:rPr>
        <w:t>.</w:t>
      </w:r>
      <w:r>
        <w:rPr>
          <w:rFonts w:hint="eastAsia" w:ascii="宋体" w:hAnsi="宋体"/>
          <w:color w:val="auto"/>
          <w:szCs w:val="22"/>
          <w:highlight w:val="none"/>
          <w:lang w:val="zh-TW"/>
        </w:rPr>
        <w:t>乙方承诺：乙方履行本合同过程中形成的资料、提交的工作成果（包括但不限于工作成果所使用的素材）不得侵犯任何第三人的知识产权及合法权益，乙方保证甲方有权根据本合同约定使用乙方履行本合同过程中形成的资料、提交的工作成果。如因此导致第三方向甲方主张权利的，乙方应承担全部责任，并赔偿甲方全部损失，包括但不限于向第三方支付的赔偿、诉讼成本等。</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4</w:t>
      </w:r>
      <w:r>
        <w:rPr>
          <w:rFonts w:ascii="宋体" w:hAnsi="宋体"/>
          <w:color w:val="auto"/>
          <w:szCs w:val="22"/>
          <w:highlight w:val="none"/>
        </w:rPr>
        <w:t>.</w:t>
      </w:r>
      <w:r>
        <w:rPr>
          <w:rFonts w:hint="eastAsia" w:ascii="宋体" w:hAnsi="宋体"/>
          <w:color w:val="auto"/>
          <w:szCs w:val="22"/>
          <w:highlight w:val="none"/>
        </w:rPr>
        <w:t>经甲方同意，工作成果脱密后，乙方可以利用脱密成果进行国土空间规划项目报优、学术研究和宣传培训工作。</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九、保密</w:t>
      </w:r>
    </w:p>
    <w:p>
      <w:pPr>
        <w:spacing w:line="300" w:lineRule="auto"/>
        <w:ind w:firstLine="420" w:firstLineChars="200"/>
        <w:rPr>
          <w:rFonts w:hint="eastAsia" w:ascii="宋体" w:hAnsi="宋体"/>
          <w:color w:val="auto"/>
          <w:szCs w:val="22"/>
          <w:highlight w:val="none"/>
          <w:lang w:val="zh-TW"/>
        </w:rPr>
      </w:pPr>
      <w:r>
        <w:rPr>
          <w:rFonts w:hint="eastAsia" w:ascii="宋体" w:hAnsi="宋体"/>
          <w:color w:val="auto"/>
          <w:szCs w:val="22"/>
          <w:highlight w:val="none"/>
          <w:lang w:val="zh-TW"/>
        </w:rPr>
        <w:t>1</w:t>
      </w:r>
      <w:r>
        <w:rPr>
          <w:rFonts w:ascii="宋体" w:hAnsi="宋体" w:eastAsia="PMingLiU"/>
          <w:color w:val="auto"/>
          <w:szCs w:val="22"/>
          <w:highlight w:val="none"/>
          <w:lang w:val="zh-TW"/>
        </w:rPr>
        <w:t>.</w:t>
      </w:r>
      <w:r>
        <w:rPr>
          <w:rFonts w:hint="eastAsia" w:ascii="宋体" w:hAnsi="宋体"/>
          <w:color w:val="auto"/>
          <w:szCs w:val="22"/>
          <w:highlight w:val="none"/>
          <w:lang w:val="zh-TW"/>
        </w:rPr>
        <w:t>乙方保证对在讨论、签订、履行本合同过程中所获悉的属于甲方及甲方关联方的且无法自公开渠道的文件及资料（包括但不限于行政或商业秘密、行政计划、甲方计划、行政活动、财务信息、技术信息、经营信息及其他秘密）予以保密。未经甲方书面同意，乙方不得超出本合同约定的目的和范围使用前述秘密，不得向任何第三方泄露前述秘密的全部或部分内容。</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w:t>
      </w:r>
      <w:r>
        <w:rPr>
          <w:rFonts w:ascii="宋体" w:hAnsi="宋体"/>
          <w:color w:val="auto"/>
          <w:szCs w:val="22"/>
          <w:highlight w:val="none"/>
        </w:rPr>
        <w:t>.</w:t>
      </w:r>
      <w:r>
        <w:rPr>
          <w:rFonts w:hint="eastAsia" w:ascii="宋体" w:hAnsi="宋体"/>
          <w:color w:val="auto"/>
          <w:szCs w:val="22"/>
          <w:highlight w:val="none"/>
        </w:rPr>
        <w:t>乙方对在本合同实施过程中所获得的甲方提供的数据、技术资料负有保密责任和义务，未经甲方许可，不得透露给第三方。</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w:t>
      </w:r>
      <w:r>
        <w:rPr>
          <w:rFonts w:ascii="宋体" w:hAnsi="宋体"/>
          <w:color w:val="auto"/>
          <w:szCs w:val="22"/>
          <w:highlight w:val="none"/>
        </w:rPr>
        <w:t>.</w:t>
      </w:r>
      <w:r>
        <w:rPr>
          <w:rFonts w:hint="eastAsia" w:ascii="宋体" w:hAnsi="宋体"/>
          <w:color w:val="auto"/>
          <w:szCs w:val="22"/>
          <w:highlight w:val="none"/>
        </w:rPr>
        <w:t>本合同完成后，乙方应将合同所形成的技术资料和相关成果，以及甲方提供的数据和资料移交甲方。</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4</w:t>
      </w:r>
      <w:r>
        <w:rPr>
          <w:rFonts w:ascii="宋体" w:hAnsi="宋体"/>
          <w:color w:val="auto"/>
          <w:szCs w:val="22"/>
          <w:highlight w:val="none"/>
        </w:rPr>
        <w:t>.</w:t>
      </w:r>
      <w:r>
        <w:rPr>
          <w:rFonts w:hint="eastAsia" w:ascii="宋体" w:hAnsi="宋体"/>
          <w:color w:val="auto"/>
          <w:szCs w:val="22"/>
          <w:highlight w:val="none"/>
        </w:rPr>
        <w:t>上述保密义务，在本合同终止或解除之后仍需履行。</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5</w:t>
      </w:r>
      <w:r>
        <w:rPr>
          <w:rFonts w:ascii="宋体" w:hAnsi="宋体"/>
          <w:color w:val="auto"/>
          <w:szCs w:val="22"/>
          <w:highlight w:val="none"/>
        </w:rPr>
        <w:t>.</w:t>
      </w:r>
      <w:r>
        <w:rPr>
          <w:rFonts w:hint="eastAsia" w:ascii="宋体" w:hAnsi="宋体"/>
          <w:color w:val="auto"/>
          <w:szCs w:val="22"/>
          <w:highlight w:val="none"/>
        </w:rPr>
        <w:t>乙方应约束其员工履行保密义务。</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十、陈述与保证</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1.本合同双方均向其他方承诺：己方提交的文件、资料等均是真实、全面和有效的。</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2.甲方承诺：不得要求乙方提供违法的服务，不得利用乙方服务从事违法活动。</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3.乙方承诺：</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（1）乙方及乙方服务人员具备提供本合同约定服务的资质与条件。</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（2）安全、专业的提供服务，全面、适当地履行合同义务。</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十一、合同解除</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1.任何一方均不得无故解除本合同；双方另有约定的除外。</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2.双方协商一致可解除本合同。</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十二、违约责任</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1.乙方逾期提交工作成果的，每逾期一日，应按合同价款的万分之四向甲方支付违约金，甲方有权从应付费用中抵扣。</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2.乙方逾期提交工作成果超过15日的，乙方应按照合同价款的20%（百分之二十）向甲方支付违约金，且甲方有权解除本合同。</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3.甲方逾期付款的，每逾期一日，应按逾期金额的万分之     向乙方支付违约金。</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4.下列情形下，甲方有权要求乙方退回甲方已经支付的全部费用，并要求乙方按照合同价款的20%（百分之二十）向甲方支付违约金：</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（1）因乙方原因导致本合同解除的；</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（2）乙方违约将工作转包或分包给第三方的；</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（3）因乙方原因导致乙方履行本合同过程中形成的资料或提交的工作成果侵犯第三方权益，甲方无法正常使用的。</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（4）乙方未按合同约定或甲方指定期限履行合同义务的。</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5.任何一方有其他违约情形的，应赔偿守约方全部损失。</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十三、其他约定</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1.不可抗力</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不可抗力是指合同当事人在签订合同时不可预见，在合同履行过程中不可避免且不能克服的自然灾害和突发社会公共事件，如地震、海啸、瘟疫、骚乱、戒严、暴动、战争等情形。</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2.如果发生不可抗力事件，影响一方履行其在本合同项下的义务，则在不可抗力造成的延误期内中止履行，而不视为违约。</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3.宣称发生不可抗力的一方应迅速书面通知其他双方，并在其后的十五天内提供证明不可抗力发生及其持续时间的足够证据。</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4.如果发生不可抗力事件，双方应立即互相协商，以找到公平的解决办法，并且应尽一切合理努力将不可抗力的影响减少到最低限度。</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十四、争议解决</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因本合同引起的或与本合同有关的任何争议，由合同双方协商解决，协商不成的，应向甲方所在地有管辖权的人民法院起诉解决。</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十五、附则</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 xml:space="preserve"> 1.本合同一式    份，合同双方各执    份，均具有同等法律效力。</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 xml:space="preserve"> 2.本合同未尽事宜，双方应另行协商并签订书面补充协议。</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 xml:space="preserve"> 3.本合同经双方法定代表人或委托代理人签署并加盖公章或合同专用章后生效。</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（以下无合同正文）</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 xml:space="preserve">甲方（盖章）：新疆维吾尔自治区国土空间规划研究中心              </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法定代表人或委托代理人：</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乙方（盖章）：</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法定代表人或委托代理人：</w:t>
      </w:r>
    </w:p>
    <w:p>
      <w:pPr>
        <w:spacing w:line="300" w:lineRule="auto"/>
        <w:ind w:firstLine="420" w:firstLineChars="200"/>
        <w:rPr>
          <w:rFonts w:hint="eastAsia" w:ascii="宋体" w:hAnsi="宋体"/>
          <w:color w:val="auto"/>
          <w:szCs w:val="22"/>
          <w:highlight w:val="none"/>
        </w:rPr>
      </w:pPr>
      <w:r>
        <w:rPr>
          <w:rFonts w:hint="eastAsia" w:ascii="宋体" w:hAnsi="宋体"/>
          <w:color w:val="auto"/>
          <w:szCs w:val="22"/>
          <w:highlight w:val="none"/>
        </w:rPr>
        <w:t>签署时间：    年   月   日</w:t>
      </w:r>
    </w:p>
    <w:p>
      <w:pPr>
        <w:spacing w:line="384" w:lineRule="auto"/>
        <w:rPr>
          <w:rFonts w:hint="eastAsia" w:ascii="宋体" w:hAnsi="宋体"/>
          <w:color w:val="auto"/>
          <w:sz w:val="24"/>
          <w:highlight w:val="none"/>
        </w:rPr>
      </w:pPr>
      <w:r>
        <w:rPr>
          <w:rFonts w:hint="eastAsia" w:ascii="宋体" w:hAnsi="宋体"/>
          <w:b/>
          <w:color w:val="auto"/>
          <w:sz w:val="24"/>
          <w:szCs w:val="24"/>
          <w:highlight w:val="none"/>
        </w:rPr>
        <w:t>注：本合同为磋商文件制式合同版本，最终以采购人与成交供应商签订的合同为准。</w:t>
      </w:r>
    </w:p>
    <w:p>
      <w:pPr>
        <w:pStyle w:val="18"/>
        <w:spacing w:line="500" w:lineRule="exact"/>
        <w:ind w:firstLine="555"/>
        <w:rPr>
          <w:rFonts w:hint="eastAsia" w:ascii="宋体" w:hAnsi="宋体" w:eastAsia="宋体"/>
          <w:color w:val="auto"/>
          <w:highlight w:val="none"/>
        </w:rPr>
        <w:sectPr>
          <w:pgSz w:w="11907" w:h="16840"/>
          <w:pgMar w:top="1134" w:right="1134" w:bottom="1134" w:left="1418" w:header="851" w:footer="850" w:gutter="0"/>
          <w:cols w:space="720" w:num="1"/>
          <w:docGrid w:type="lines" w:linePitch="312" w:charSpace="0"/>
        </w:sect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bookmarkStart w:id="59" w:name="_Toc12367"/>
      <w:r>
        <w:rPr>
          <w:rFonts w:hint="eastAsia" w:ascii="宋体" w:hAnsi="宋体" w:eastAsia="宋体" w:cs="宋体"/>
          <w:color w:val="auto"/>
          <w:sz w:val="21"/>
          <w:szCs w:val="21"/>
          <w:highlight w:val="none"/>
        </w:rPr>
        <w:br w:type="page"/>
      </w:r>
    </w:p>
    <w:p>
      <w:pPr>
        <w:pStyle w:val="3"/>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w:t>
      </w:r>
      <w:bookmarkEnd w:id="54"/>
      <w:bookmarkEnd w:id="55"/>
      <w:bookmarkEnd w:id="56"/>
      <w:bookmarkEnd w:id="57"/>
      <w:r>
        <w:rPr>
          <w:rFonts w:hint="eastAsia" w:ascii="宋体" w:hAnsi="宋体" w:eastAsia="宋体" w:cs="宋体"/>
          <w:color w:val="auto"/>
          <w:sz w:val="21"/>
          <w:szCs w:val="21"/>
          <w:highlight w:val="none"/>
        </w:rPr>
        <w:t xml:space="preserve">  附件</w:t>
      </w:r>
      <w:bookmarkEnd w:id="59"/>
    </w:p>
    <w:p>
      <w:pPr>
        <w:pageBreakBefore w:val="0"/>
        <w:kinsoku/>
        <w:topLinePunct w:val="0"/>
        <w:bidi w:val="0"/>
        <w:spacing w:line="400" w:lineRule="exact"/>
        <w:ind w:left="0" w:leftChars="0" w:firstLine="0" w:firstLineChars="0"/>
        <w:jc w:val="center"/>
        <w:outlineLvl w:val="0"/>
        <w:rPr>
          <w:rFonts w:hint="eastAsia" w:ascii="宋体" w:hAnsi="宋体" w:eastAsia="宋体" w:cs="宋体"/>
          <w:b/>
          <w:bCs/>
          <w:color w:val="auto"/>
          <w:sz w:val="21"/>
          <w:szCs w:val="21"/>
          <w:highlight w:val="none"/>
        </w:rPr>
      </w:pPr>
      <w:bookmarkStart w:id="60" w:name="_Toc10875"/>
      <w:r>
        <w:rPr>
          <w:rFonts w:hint="eastAsia" w:ascii="宋体" w:hAnsi="宋体" w:eastAsia="宋体" w:cs="宋体"/>
          <w:b/>
          <w:bCs/>
          <w:color w:val="auto"/>
          <w:sz w:val="21"/>
          <w:szCs w:val="21"/>
          <w:highlight w:val="none"/>
        </w:rPr>
        <w:t>开标一览表</w:t>
      </w:r>
      <w:bookmarkEnd w:id="60"/>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磋商供应商名称：</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 xml:space="preserve">  项目编号：       </w:t>
      </w:r>
    </w:p>
    <w:tbl>
      <w:tblPr>
        <w:tblStyle w:val="37"/>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bl>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4、本表须按采购文件要求，单独封装、标识后提交。</w:t>
      </w:r>
    </w:p>
    <w:p>
      <w:pPr>
        <w:pageBreakBefore w:val="0"/>
        <w:kinsoku/>
        <w:topLinePunct w:val="0"/>
        <w:bidi w:val="0"/>
        <w:spacing w:line="400" w:lineRule="exact"/>
        <w:ind w:left="0" w:leftChars="0" w:firstLine="0" w:firstLineChars="0"/>
        <w:rPr>
          <w:rFonts w:hint="eastAsia" w:ascii="宋体" w:hAnsi="宋体" w:eastAsia="宋体" w:cs="宋体"/>
          <w:b/>
          <w:bCs/>
          <w:color w:val="auto"/>
          <w:sz w:val="21"/>
          <w:szCs w:val="21"/>
          <w:highlight w:val="none"/>
        </w:rPr>
      </w:pPr>
    </w:p>
    <w:p>
      <w:pPr>
        <w:pStyle w:val="18"/>
        <w:pageBreakBefore w:val="0"/>
        <w:kinsoku/>
        <w:topLinePunct w:val="0"/>
        <w:bidi w:val="0"/>
        <w:spacing w:line="400" w:lineRule="exact"/>
        <w:ind w:left="0" w:leftChars="0" w:firstLine="0" w:firstLineChars="0"/>
        <w:rPr>
          <w:rFonts w:hint="eastAsia" w:ascii="宋体" w:hAnsi="宋体" w:eastAsia="宋体" w:cs="宋体"/>
          <w:b/>
          <w:bCs/>
          <w:color w:val="auto"/>
          <w:sz w:val="21"/>
          <w:szCs w:val="21"/>
          <w:highlight w:val="none"/>
        </w:rPr>
      </w:pPr>
    </w:p>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u w:val="single"/>
        </w:rPr>
      </w:pPr>
      <w:bookmarkStart w:id="61" w:name="_Toc22719"/>
      <w:r>
        <w:rPr>
          <w:rFonts w:hint="eastAsia" w:ascii="宋体" w:hAnsi="宋体" w:eastAsia="宋体" w:cs="宋体"/>
          <w:color w:val="auto"/>
          <w:sz w:val="21"/>
          <w:szCs w:val="21"/>
          <w:highlight w:val="none"/>
        </w:rPr>
        <w:t>投标供应商名称（公章）：</w:t>
      </w:r>
      <w:bookmarkEnd w:id="61"/>
    </w:p>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u w:val="single"/>
        </w:rPr>
      </w:pPr>
      <w:bookmarkStart w:id="62" w:name="_Toc13389"/>
      <w:r>
        <w:rPr>
          <w:rFonts w:hint="eastAsia" w:ascii="宋体" w:hAnsi="宋体" w:eastAsia="宋体" w:cs="宋体"/>
          <w:color w:val="auto"/>
          <w:sz w:val="21"/>
          <w:szCs w:val="21"/>
          <w:highlight w:val="none"/>
        </w:rPr>
        <w:t>法定代表人或授权代表人（签字）：</w:t>
      </w:r>
      <w:bookmarkEnd w:id="62"/>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br w:type="page"/>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63" w:name="_Toc30854"/>
      <w:r>
        <w:rPr>
          <w:rFonts w:hint="eastAsia" w:ascii="宋体" w:hAnsi="宋体" w:eastAsia="宋体" w:cs="宋体"/>
          <w:color w:val="auto"/>
          <w:sz w:val="21"/>
          <w:szCs w:val="21"/>
          <w:highlight w:val="none"/>
        </w:rPr>
        <w:t>附件1: 磋 商 响 应 函</w:t>
      </w:r>
      <w:bookmarkEnd w:id="63"/>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64" w:name="_Toc18786"/>
      <w:r>
        <w:rPr>
          <w:rFonts w:hint="eastAsia" w:ascii="宋体" w:hAnsi="宋体" w:eastAsia="宋体" w:cs="宋体"/>
          <w:color w:val="auto"/>
          <w:sz w:val="21"/>
          <w:szCs w:val="21"/>
          <w:highlight w:val="none"/>
        </w:rPr>
        <w:t>附件2：法定代表人身份证明</w:t>
      </w:r>
      <w:bookmarkEnd w:id="64"/>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65" w:name="_Toc22439"/>
      <w:r>
        <w:rPr>
          <w:rFonts w:hint="eastAsia" w:ascii="宋体" w:hAnsi="宋体" w:eastAsia="宋体" w:cs="宋体"/>
          <w:color w:val="auto"/>
          <w:sz w:val="21"/>
          <w:szCs w:val="21"/>
          <w:highlight w:val="none"/>
        </w:rPr>
        <w:t>附件3：法定代表人授权委托书</w:t>
      </w:r>
      <w:bookmarkEnd w:id="65"/>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66" w:name="_Toc24061"/>
      <w:r>
        <w:rPr>
          <w:rFonts w:hint="eastAsia" w:ascii="宋体" w:hAnsi="宋体" w:eastAsia="宋体" w:cs="宋体"/>
          <w:color w:val="auto"/>
          <w:sz w:val="21"/>
          <w:szCs w:val="21"/>
          <w:highlight w:val="none"/>
        </w:rPr>
        <w:t>附件4：磋商报价表（开标一览表）</w:t>
      </w:r>
      <w:bookmarkEnd w:id="66"/>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67" w:name="_Toc23676"/>
      <w:r>
        <w:rPr>
          <w:rFonts w:hint="eastAsia" w:ascii="宋体" w:hAnsi="宋体" w:eastAsia="宋体" w:cs="宋体"/>
          <w:color w:val="auto"/>
          <w:sz w:val="21"/>
          <w:szCs w:val="21"/>
          <w:highlight w:val="none"/>
        </w:rPr>
        <w:t>附件5：商务偏离表</w:t>
      </w:r>
      <w:bookmarkEnd w:id="67"/>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68" w:name="_Toc32168"/>
      <w:r>
        <w:rPr>
          <w:rFonts w:hint="eastAsia" w:ascii="宋体" w:hAnsi="宋体" w:eastAsia="宋体" w:cs="宋体"/>
          <w:color w:val="auto"/>
          <w:sz w:val="21"/>
          <w:szCs w:val="21"/>
          <w:highlight w:val="none"/>
        </w:rPr>
        <w:t>附件6：技术偏离表</w:t>
      </w:r>
      <w:bookmarkEnd w:id="68"/>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69" w:name="_Toc4252"/>
      <w:r>
        <w:rPr>
          <w:rFonts w:hint="eastAsia" w:ascii="宋体" w:hAnsi="宋体" w:eastAsia="宋体" w:cs="宋体"/>
          <w:color w:val="auto"/>
          <w:sz w:val="21"/>
          <w:szCs w:val="21"/>
          <w:highlight w:val="none"/>
        </w:rPr>
        <w:t>附件7：公司业绩一览表</w:t>
      </w:r>
      <w:bookmarkEnd w:id="69"/>
    </w:p>
    <w:p>
      <w:pPr>
        <w:spacing w:line="400" w:lineRule="exact"/>
        <w:textAlignment w:val="baseline"/>
        <w:outlineLvl w:val="0"/>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：项目负责人简历表</w:t>
      </w:r>
    </w:p>
    <w:p>
      <w:pPr>
        <w:spacing w:line="400" w:lineRule="exact"/>
        <w:textAlignment w:val="baseline"/>
        <w:outlineLvl w:val="0"/>
        <w:rPr>
          <w:rFonts w:hint="eastAsia"/>
          <w:color w:val="auto"/>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：项目配备人员构成</w:t>
      </w:r>
    </w:p>
    <w:p>
      <w:pPr>
        <w:pageBreakBefore w:val="0"/>
        <w:kinsoku/>
        <w:topLinePunct w:val="0"/>
        <w:bidi w:val="0"/>
        <w:spacing w:line="400" w:lineRule="exact"/>
        <w:ind w:left="0" w:leftChars="0" w:firstLine="0" w:firstLineChars="0"/>
        <w:outlineLvl w:val="0"/>
        <w:rPr>
          <w:rFonts w:hint="eastAsia" w:ascii="宋体" w:hAnsi="宋体" w:eastAsia="宋体" w:cs="宋体"/>
          <w:color w:val="auto"/>
          <w:sz w:val="21"/>
          <w:szCs w:val="21"/>
          <w:highlight w:val="none"/>
        </w:rPr>
      </w:pPr>
      <w:bookmarkStart w:id="70" w:name="_Toc20234"/>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：优惠条件承诺书</w:t>
      </w:r>
      <w:bookmarkEnd w:id="70"/>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71" w:name="_Toc24015"/>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：售后服务承诺</w:t>
      </w:r>
      <w:bookmarkEnd w:id="71"/>
      <w:r>
        <w:rPr>
          <w:rFonts w:hint="eastAsia" w:ascii="宋体" w:hAnsi="宋体" w:eastAsia="宋体" w:cs="宋体"/>
          <w:color w:val="auto"/>
          <w:sz w:val="21"/>
          <w:szCs w:val="21"/>
          <w:highlight w:val="none"/>
        </w:rPr>
        <w:t xml:space="preserve"> </w:t>
      </w:r>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72" w:name="_Toc901"/>
      <w:r>
        <w:rPr>
          <w:rFonts w:hint="eastAsia" w:ascii="宋体" w:hAnsi="宋体" w:eastAsia="宋体" w:cs="宋体"/>
          <w:color w:val="auto"/>
          <w:sz w:val="21"/>
          <w:szCs w:val="21"/>
          <w:highlight w:val="none"/>
        </w:rPr>
        <w:t>附件1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：无重大违法记录声明</w:t>
      </w:r>
      <w:bookmarkEnd w:id="72"/>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73" w:name="_Toc19396"/>
      <w:r>
        <w:rPr>
          <w:rFonts w:hint="eastAsia" w:ascii="宋体" w:hAnsi="宋体" w:eastAsia="宋体" w:cs="宋体"/>
          <w:color w:val="auto"/>
          <w:sz w:val="21"/>
          <w:szCs w:val="21"/>
          <w:highlight w:val="none"/>
        </w:rPr>
        <w:t>附件 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：供应商反商业贿赂承诺书</w:t>
      </w:r>
      <w:bookmarkEnd w:id="73"/>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bookmarkStart w:id="74" w:name="_Toc30867"/>
      <w:r>
        <w:rPr>
          <w:rFonts w:hint="eastAsia" w:ascii="宋体" w:hAnsi="宋体" w:eastAsia="宋体" w:cs="宋体"/>
          <w:color w:val="auto"/>
          <w:sz w:val="21"/>
          <w:szCs w:val="21"/>
          <w:highlight w:val="none"/>
        </w:rPr>
        <w:t>附件1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bookmarkEnd w:id="74"/>
      <w:r>
        <w:rPr>
          <w:rFonts w:hint="eastAsia" w:ascii="宋体" w:hAnsi="宋体" w:eastAsia="宋体" w:cs="宋体"/>
          <w:color w:val="auto"/>
          <w:sz w:val="21"/>
          <w:szCs w:val="21"/>
          <w:highlight w:val="none"/>
        </w:rPr>
        <w:t>投标人认为有必要提交的其他相关证明材料</w:t>
      </w:r>
    </w:p>
    <w:p>
      <w:pPr>
        <w:pStyle w:val="2"/>
        <w:rPr>
          <w:rFonts w:hint="eastAsia"/>
        </w:rPr>
      </w:pPr>
      <w:r>
        <w:rPr>
          <w:rFonts w:hint="eastAsia" w:ascii="宋体" w:hAnsi="宋体" w:eastAsia="宋体" w:cs="宋体"/>
          <w:color w:val="auto"/>
          <w:sz w:val="21"/>
          <w:szCs w:val="21"/>
          <w:highlight w:val="none"/>
        </w:rPr>
        <w:t>附件1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二次报价一览表</w:t>
      </w:r>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sectPr>
          <w:pgSz w:w="11907" w:h="16840"/>
          <w:pgMar w:top="1440" w:right="1247" w:bottom="1440" w:left="1361" w:header="851" w:footer="799" w:gutter="0"/>
          <w:pgNumType w:start="1"/>
          <w:cols w:space="720" w:num="1"/>
          <w:titlePg/>
          <w:docGrid w:type="lines" w:linePitch="409" w:charSpace="0"/>
        </w:sect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bookmarkStart w:id="75" w:name="_Toc16702"/>
      <w:r>
        <w:rPr>
          <w:rFonts w:hint="eastAsia" w:ascii="宋体" w:hAnsi="宋体" w:eastAsia="宋体" w:cs="宋体"/>
          <w:b/>
          <w:color w:val="auto"/>
          <w:sz w:val="21"/>
          <w:szCs w:val="21"/>
          <w:highlight w:val="none"/>
        </w:rPr>
        <w:t>附件1：</w:t>
      </w:r>
      <w:bookmarkEnd w:id="75"/>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磋 商 响 应 函</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rPr>
        <w:t>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根据贵方项目</w:t>
      </w:r>
      <w:r>
        <w:rPr>
          <w:rFonts w:hint="eastAsia" w:ascii="宋体" w:hAnsi="宋体" w:eastAsia="宋体" w:cs="宋体"/>
          <w:color w:val="auto"/>
          <w:sz w:val="21"/>
          <w:szCs w:val="21"/>
          <w:highlight w:val="none"/>
        </w:rPr>
        <w:t>的</w:t>
      </w:r>
      <w:r>
        <w:rPr>
          <w:rFonts w:hint="eastAsia" w:ascii="宋体" w:hAnsi="宋体" w:eastAsia="宋体" w:cs="宋体"/>
          <w:color w:val="auto"/>
          <w:spacing w:val="-6"/>
          <w:sz w:val="21"/>
          <w:szCs w:val="21"/>
          <w:highlight w:val="none"/>
        </w:rPr>
        <w:t>招标采购</w:t>
      </w:r>
      <w:r>
        <w:rPr>
          <w:rFonts w:hint="eastAsia" w:ascii="宋体" w:hAnsi="宋体" w:eastAsia="宋体" w:cs="宋体"/>
          <w:color w:val="auto"/>
          <w:sz w:val="21"/>
          <w:szCs w:val="21"/>
          <w:highlight w:val="none"/>
        </w:rPr>
        <w:t>(项目编号:      )，正式授权的下述签字人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姓名和职务）代表供应商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磋商供应商名称），提交下述文件正本一份，副本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份， 开标一览表一份，电子U盘一份，光盘</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 xml:space="preserve">份。   </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1.磋商响应函</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3.磋商报价表</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4.磋商保证金</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5.按磋商文件要求供应商提交的全部文件</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据此函，签字人兹宣布同意如下条款：</w:t>
      </w:r>
    </w:p>
    <w:p>
      <w:pPr>
        <w:pageBreakBefore w:val="0"/>
        <w:numPr>
          <w:ilvl w:val="0"/>
          <w:numId w:val="5"/>
        </w:numPr>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所附磋商价格表中规定的应提供和交付的货物及服务磋商总价为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 我们将按磋商文件的规定履行合同责任和义务。</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 我们已详细审查全部磋商文件，包括修改意见（如有则附）以及全部参考资料和有关附件。我们完全理解并同意放弃对这方面有不明及误解而要求招标方解释和承担责任的权利。</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⑷ 在供应商须知规定的磋商有效期内遵循本磋商响应性文件，并在磋商须知规定的磋商有效期期满之前具有约束力。</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⑸ 如果在规定的磋商有效期内撤回投标，我们的磋商保证金可被贵方没收。</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⑹ 同意提供贵方可能要求的与本投标有关的任何证据或资料。</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⑺ 我们同意提供按照招标单位可能出示的与其投标有关的一切数据或资料。</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⑻ 我们理解贵方不一定要接受最低报价的投标或收到的任何投标。</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⑼ 与本投标有关的一切正式往来通讯请寄至：</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传真：</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法定代表人或授权代表人（签字）：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日期：  年   月  日</w:t>
      </w: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bookmarkStart w:id="76" w:name="_Toc21536"/>
      <w:r>
        <w:rPr>
          <w:rFonts w:hint="eastAsia" w:ascii="宋体" w:hAnsi="宋体" w:eastAsia="宋体" w:cs="宋体"/>
          <w:b/>
          <w:color w:val="auto"/>
          <w:sz w:val="21"/>
          <w:szCs w:val="21"/>
          <w:highlight w:val="none"/>
        </w:rPr>
        <w:t>附件2：</w:t>
      </w:r>
      <w:bookmarkEnd w:id="76"/>
      <w:bookmarkStart w:id="77" w:name="_Toc139965362"/>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bookmarkStart w:id="78" w:name="_Toc327439494"/>
      <w:r>
        <w:rPr>
          <w:rFonts w:hint="eastAsia" w:ascii="宋体" w:hAnsi="宋体" w:eastAsia="宋体" w:cs="宋体"/>
          <w:b/>
          <w:color w:val="auto"/>
          <w:sz w:val="21"/>
          <w:szCs w:val="21"/>
          <w:highlight w:val="none"/>
        </w:rPr>
        <w:t>法定代表人身份证明</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磋商供应商名称：</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成立时间：年月日</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系（磋商供应商名称）的法定代表人。</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tbl>
      <w:tblPr>
        <w:tblStyle w:val="37"/>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复印件正面</w:t>
            </w:r>
          </w:p>
        </w:tc>
        <w:tc>
          <w:tcPr>
            <w:tcW w:w="46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复印件反面</w:t>
            </w:r>
          </w:p>
        </w:tc>
      </w:tr>
    </w:tbl>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 xml:space="preserve">日期：  年   月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 xml:space="preserve"> 日</w:t>
      </w: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bookmarkStart w:id="79" w:name="_Toc16424"/>
      <w:r>
        <w:rPr>
          <w:rFonts w:hint="eastAsia" w:ascii="宋体" w:hAnsi="宋体" w:eastAsia="宋体" w:cs="宋体"/>
          <w:b/>
          <w:color w:val="auto"/>
          <w:sz w:val="21"/>
          <w:szCs w:val="21"/>
          <w:highlight w:val="none"/>
        </w:rPr>
        <w:t>附件3：</w:t>
      </w:r>
      <w:bookmarkEnd w:id="79"/>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法定代表人授权委托书</w:t>
      </w:r>
    </w:p>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（投标人名称）的法定代表人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本单位授权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（被授权人的姓名、职务）为本单位的合法代理人，以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（投标人名称）的名义参加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（项目名称和项目编号）招标项目的投标活动。代理人在参加整个招标投标活动所签署的一切文件和处理与之相关的一切事物，我均予承认。</w:t>
      </w:r>
    </w:p>
    <w:p>
      <w:pPr>
        <w:pageBreakBefore w:val="0"/>
        <w:kinsoku/>
        <w:topLinePunct w:val="0"/>
        <w:bidi w:val="0"/>
        <w:spacing w:line="40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本授权书于年月日签字生效，特此声明。</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授权代表人签字：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pageBreakBefore w:val="0"/>
        <w:kinsoku/>
        <w:topLinePunct w:val="0"/>
        <w:bidi w:val="0"/>
        <w:spacing w:line="400" w:lineRule="exact"/>
        <w:ind w:left="0" w:leftChars="0" w:firstLine="0" w:firstLineChars="0"/>
        <w:jc w:val="right"/>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pacing w:val="10"/>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bookmarkStart w:id="80" w:name="_Toc9209"/>
      <w:r>
        <w:rPr>
          <w:rFonts w:hint="eastAsia" w:ascii="宋体" w:hAnsi="宋体" w:eastAsia="宋体" w:cs="宋体"/>
          <w:b/>
          <w:color w:val="auto"/>
          <w:sz w:val="21"/>
          <w:szCs w:val="21"/>
          <w:highlight w:val="none"/>
        </w:rPr>
        <w:br w:type="page"/>
      </w:r>
    </w:p>
    <w:p>
      <w:pPr>
        <w:pageBreakBefore w:val="0"/>
        <w:kinsoku/>
        <w:topLinePunct w:val="0"/>
        <w:bidi w:val="0"/>
        <w:spacing w:line="400" w:lineRule="exact"/>
        <w:ind w:left="0" w:lef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附件4：</w:t>
      </w:r>
      <w:bookmarkEnd w:id="80"/>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报价一览表</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磋商供应商名称：</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 xml:space="preserve">  项目编号：       </w:t>
      </w:r>
    </w:p>
    <w:tbl>
      <w:tblPr>
        <w:tblStyle w:val="37"/>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服务期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bl>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bCs/>
          <w:color w:val="auto"/>
          <w:sz w:val="21"/>
          <w:szCs w:val="21"/>
          <w:highlight w:val="none"/>
        </w:rPr>
      </w:pPr>
    </w:p>
    <w:p>
      <w:pPr>
        <w:pStyle w:val="18"/>
        <w:pageBreakBefore w:val="0"/>
        <w:kinsoku/>
        <w:topLinePunct w:val="0"/>
        <w:bidi w:val="0"/>
        <w:spacing w:line="400" w:lineRule="exact"/>
        <w:ind w:left="0" w:leftChars="0" w:firstLine="0" w:firstLineChars="0"/>
        <w:rPr>
          <w:rFonts w:hint="eastAsia" w:ascii="宋体" w:hAnsi="宋体" w:eastAsia="宋体" w:cs="宋体"/>
          <w:b/>
          <w:bCs/>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授权代表人签字：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bookmarkEnd w:id="77"/>
    <w:bookmarkEnd w:id="78"/>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bookmarkStart w:id="81" w:name="_Toc32506"/>
      <w:r>
        <w:rPr>
          <w:rFonts w:hint="eastAsia" w:ascii="宋体" w:hAnsi="宋体" w:eastAsia="宋体" w:cs="宋体"/>
          <w:b/>
          <w:color w:val="auto"/>
          <w:sz w:val="21"/>
          <w:szCs w:val="21"/>
          <w:highlight w:val="none"/>
        </w:rPr>
        <w:t>附件5：</w:t>
      </w:r>
      <w:bookmarkEnd w:id="81"/>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商务偏离表</w:t>
      </w:r>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tbl>
      <w:tblPr>
        <w:tblStyle w:val="37"/>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招标文件条目号</w:t>
            </w: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招标文件的商务条款</w:t>
            </w: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投标文件的商务条款</w:t>
            </w: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偏离情况</w:t>
            </w: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auto"/>
                <w:sz w:val="21"/>
                <w:szCs w:val="21"/>
                <w:highlight w:val="none"/>
              </w:rPr>
            </w:pPr>
          </w:p>
        </w:tc>
      </w:tr>
    </w:tbl>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注：除本商务偏离表中所列的偏离内容外，其他所有商务条款均应完全响应“磋商文件”中的要求。</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bookmarkStart w:id="82" w:name="_Toc327439493"/>
      <w:r>
        <w:rPr>
          <w:rFonts w:hint="eastAsia" w:ascii="宋体" w:hAnsi="宋体" w:eastAsia="宋体" w:cs="宋体"/>
          <w:color w:val="auto"/>
          <w:sz w:val="21"/>
          <w:szCs w:val="21"/>
          <w:highlight w:val="none"/>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日期：   年   月   日</w:t>
      </w:r>
    </w:p>
    <w:p>
      <w:pPr>
        <w:pageBreakBefore w:val="0"/>
        <w:kinsoku/>
        <w:topLinePunct w:val="0"/>
        <w:bidi w:val="0"/>
        <w:snapToGrid w:val="0"/>
        <w:spacing w:line="400" w:lineRule="exact"/>
        <w:ind w:left="0" w:leftChars="0" w:firstLine="0" w:firstLineChars="0"/>
        <w:rPr>
          <w:rFonts w:hint="eastAsia" w:ascii="宋体" w:hAnsi="宋体" w:eastAsia="宋体" w:cs="宋体"/>
          <w:bCs/>
          <w:color w:val="auto"/>
          <w:sz w:val="21"/>
          <w:szCs w:val="21"/>
          <w:highlight w:val="none"/>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color w:val="auto"/>
          <w:sz w:val="21"/>
          <w:szCs w:val="21"/>
          <w:highlight w:val="none"/>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color w:val="auto"/>
          <w:sz w:val="21"/>
          <w:szCs w:val="21"/>
          <w:highlight w:val="none"/>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color w:val="auto"/>
          <w:sz w:val="21"/>
          <w:szCs w:val="21"/>
          <w:highlight w:val="none"/>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color w:val="auto"/>
          <w:sz w:val="21"/>
          <w:szCs w:val="21"/>
          <w:highlight w:val="none"/>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color w:val="auto"/>
          <w:sz w:val="21"/>
          <w:szCs w:val="21"/>
          <w:highlight w:val="none"/>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color w:val="auto"/>
          <w:sz w:val="21"/>
          <w:szCs w:val="21"/>
          <w:highlight w:val="none"/>
          <w:u w:val="singl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bookmarkStart w:id="83" w:name="_Toc8206"/>
      <w:r>
        <w:rPr>
          <w:rFonts w:hint="eastAsia" w:ascii="宋体" w:hAnsi="宋体" w:eastAsia="宋体" w:cs="宋体"/>
          <w:b/>
          <w:color w:val="auto"/>
          <w:sz w:val="21"/>
          <w:szCs w:val="21"/>
          <w:highlight w:val="none"/>
        </w:rPr>
        <w:t>附件6：</w:t>
      </w:r>
      <w:bookmarkEnd w:id="83"/>
    </w:p>
    <w:p>
      <w:pPr>
        <w:pageBreakBefore w:val="0"/>
        <w:kinsoku/>
        <w:topLinePunct w:val="0"/>
        <w:bidi w:val="0"/>
        <w:snapToGrid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技术偏离表</w:t>
      </w:r>
    </w:p>
    <w:tbl>
      <w:tblPr>
        <w:tblStyle w:val="37"/>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2"/>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磋商文件技术要求</w:t>
            </w:r>
          </w:p>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2"/>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磋商供应商的技术响</w:t>
            </w:r>
          </w:p>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bl>
    <w:p>
      <w:pPr>
        <w:pageBreakBefore w:val="0"/>
        <w:kinsoku/>
        <w:topLinePunct w:val="0"/>
        <w:bidi w:val="0"/>
        <w:snapToGrid w:val="0"/>
        <w:spacing w:line="400" w:lineRule="exact"/>
        <w:ind w:left="0" w:leftChars="0" w:firstLine="0" w:firstLineChars="0"/>
        <w:jc w:val="center"/>
        <w:rPr>
          <w:rFonts w:hint="eastAsia" w:ascii="宋体" w:hAnsi="宋体" w:eastAsia="宋体" w:cs="宋体"/>
          <w:b/>
          <w:color w:val="auto"/>
          <w:sz w:val="21"/>
          <w:szCs w:val="21"/>
          <w:highlight w:val="none"/>
        </w:rPr>
      </w:pPr>
    </w:p>
    <w:p>
      <w:pPr>
        <w:pStyle w:val="22"/>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Style w:val="31"/>
        <w:pageBreakBefore w:val="0"/>
        <w:kinsoku/>
        <w:topLinePunct w:val="0"/>
        <w:bidi w:val="0"/>
        <w:spacing w:line="400" w:lineRule="exact"/>
        <w:ind w:left="0" w:leftChars="0" w:firstLine="0" w:firstLineChars="0"/>
        <w:rPr>
          <w:rFonts w:hint="eastAsia" w:ascii="宋体" w:hAnsi="宋体" w:eastAsia="宋体" w:cs="宋体"/>
          <w:b w:val="0"/>
          <w:color w:val="auto"/>
          <w:sz w:val="21"/>
          <w:szCs w:val="21"/>
          <w:highlight w:val="none"/>
        </w:rPr>
      </w:pPr>
    </w:p>
    <w:p>
      <w:pPr>
        <w:pStyle w:val="31"/>
        <w:pageBreakBefore w:val="0"/>
        <w:kinsoku/>
        <w:topLinePunct w:val="0"/>
        <w:bidi w:val="0"/>
        <w:spacing w:line="400" w:lineRule="exact"/>
        <w:ind w:left="0" w:leftChars="0" w:firstLine="0" w:firstLineChars="0"/>
        <w:rPr>
          <w:rFonts w:hint="eastAsia" w:ascii="宋体" w:hAnsi="宋体" w:eastAsia="宋体" w:cs="宋体"/>
          <w:b w:val="0"/>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Cs/>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Cs/>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color w:val="auto"/>
          <w:sz w:val="21"/>
          <w:szCs w:val="21"/>
          <w:highlight w:val="none"/>
        </w:rPr>
      </w:pPr>
    </w:p>
    <w:bookmarkEnd w:id="82"/>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sectPr>
          <w:headerReference r:id="rId8" w:type="default"/>
          <w:pgSz w:w="11906" w:h="16838"/>
          <w:pgMar w:top="1304" w:right="1247" w:bottom="1418" w:left="1247" w:header="851" w:footer="992" w:gutter="0"/>
          <w:cols w:space="720" w:num="1"/>
          <w:docGrid w:linePitch="312" w:charSpace="0"/>
        </w:sectPr>
      </w:pPr>
      <w:bookmarkStart w:id="84" w:name="_Toc400536597"/>
      <w:bookmarkStart w:id="85" w:name="_Toc258923314"/>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bookmarkStart w:id="86" w:name="_Toc5690"/>
      <w:r>
        <w:rPr>
          <w:rFonts w:hint="eastAsia" w:ascii="宋体" w:hAnsi="宋体" w:eastAsia="宋体" w:cs="宋体"/>
          <w:b/>
          <w:color w:val="auto"/>
          <w:sz w:val="21"/>
          <w:szCs w:val="21"/>
          <w:highlight w:val="none"/>
        </w:rPr>
        <w:t>附件7：</w:t>
      </w:r>
      <w:bookmarkEnd w:id="86"/>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公司业绩一览表</w:t>
      </w:r>
      <w:bookmarkEnd w:id="84"/>
      <w:bookmarkEnd w:id="85"/>
    </w:p>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p>
    <w:tbl>
      <w:tblPr>
        <w:tblStyle w:val="37"/>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tc>
      </w:tr>
    </w:tbl>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spacing w:line="400" w:lineRule="exact"/>
        <w:rPr>
          <w:rFonts w:ascii="宋体" w:hAnsi="宋体" w:cs="宋体"/>
          <w:b/>
          <w:color w:val="auto"/>
          <w:szCs w:val="21"/>
          <w:highlight w:val="none"/>
        </w:rPr>
      </w:pPr>
      <w:bookmarkStart w:id="87" w:name="_Toc6256"/>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w:t>
      </w:r>
    </w:p>
    <w:p>
      <w:pPr>
        <w:pStyle w:val="2"/>
        <w:rPr>
          <w:rFonts w:hint="eastAsia" w:ascii="宋体" w:hAnsi="宋体" w:cs="宋体"/>
          <w:color w:val="auto"/>
          <w:szCs w:val="21"/>
          <w:highlight w:val="none"/>
        </w:rPr>
      </w:pPr>
    </w:p>
    <w:p>
      <w:pPr>
        <w:jc w:val="center"/>
        <w:outlineLvl w:val="1"/>
        <w:rPr>
          <w:rFonts w:hint="eastAsia" w:ascii="宋体" w:hAnsi="宋体" w:cs="宋体"/>
          <w:b/>
          <w:color w:val="auto"/>
          <w:sz w:val="28"/>
          <w:szCs w:val="28"/>
          <w:highlight w:val="none"/>
        </w:rPr>
      </w:pPr>
      <w:bookmarkStart w:id="88" w:name="_Toc497928749"/>
    </w:p>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项目负责人简历表</w:t>
      </w:r>
      <w:bookmarkEnd w:id="88"/>
    </w:p>
    <w:p>
      <w:pPr>
        <w:jc w:val="center"/>
        <w:rPr>
          <w:rFonts w:ascii="宋体" w:hAnsi="宋体"/>
          <w:b/>
          <w:color w:val="auto"/>
          <w:szCs w:val="21"/>
          <w:highlight w:val="none"/>
        </w:rPr>
      </w:pPr>
    </w:p>
    <w:tbl>
      <w:tblPr>
        <w:tblStyle w:val="3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4"/>
        <w:gridCol w:w="1449"/>
        <w:gridCol w:w="1605"/>
        <w:gridCol w:w="166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姓</w:t>
            </w:r>
            <w:r>
              <w:rPr>
                <w:rFonts w:ascii="宋体" w:hAnsi="宋体"/>
                <w:color w:val="auto"/>
                <w:highlight w:val="none"/>
              </w:rPr>
              <w:t xml:space="preserve">  </w:t>
            </w:r>
            <w:r>
              <w:rPr>
                <w:rFonts w:hint="eastAsia" w:ascii="宋体" w:hAnsi="宋体" w:cs="宋体"/>
                <w:color w:val="auto"/>
                <w:highlight w:val="none"/>
              </w:rPr>
              <w:t>名</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性</w:t>
            </w:r>
            <w:r>
              <w:rPr>
                <w:rFonts w:ascii="宋体" w:hAnsi="宋体"/>
                <w:color w:val="auto"/>
                <w:highlight w:val="none"/>
              </w:rPr>
              <w:t xml:space="preserve">  </w:t>
            </w:r>
            <w:r>
              <w:rPr>
                <w:rFonts w:hint="eastAsia" w:ascii="宋体" w:hAnsi="宋体" w:cs="宋体"/>
                <w:color w:val="auto"/>
                <w:highlight w:val="none"/>
              </w:rPr>
              <w:t>别</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工</w:t>
            </w:r>
            <w:r>
              <w:rPr>
                <w:rFonts w:ascii="宋体" w:hAnsi="宋体"/>
                <w:color w:val="auto"/>
                <w:highlight w:val="none"/>
              </w:rPr>
              <w:t xml:space="preserve">  </w:t>
            </w:r>
            <w:r>
              <w:rPr>
                <w:rFonts w:hint="eastAsia" w:ascii="宋体" w:hAnsi="宋体" w:cs="宋体"/>
                <w:color w:val="auto"/>
                <w:highlight w:val="none"/>
              </w:rPr>
              <w:t>龄</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职</w:t>
            </w:r>
            <w:r>
              <w:rPr>
                <w:rFonts w:ascii="宋体" w:hAnsi="宋体"/>
                <w:color w:val="auto"/>
                <w:highlight w:val="none"/>
              </w:rPr>
              <w:t xml:space="preserve">  </w:t>
            </w:r>
            <w:r>
              <w:rPr>
                <w:rFonts w:hint="eastAsia" w:ascii="宋体" w:hAnsi="宋体" w:cs="宋体"/>
                <w:color w:val="auto"/>
                <w:highlight w:val="none"/>
              </w:rPr>
              <w:t>务</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职</w:t>
            </w:r>
            <w:r>
              <w:rPr>
                <w:rFonts w:ascii="宋体" w:hAnsi="宋体"/>
                <w:color w:val="auto"/>
                <w:highlight w:val="none"/>
              </w:rPr>
              <w:t xml:space="preserve">  </w:t>
            </w:r>
            <w:r>
              <w:rPr>
                <w:rFonts w:hint="eastAsia" w:ascii="宋体" w:hAnsi="宋体" w:cs="宋体"/>
                <w:color w:val="auto"/>
                <w:highlight w:val="none"/>
              </w:rPr>
              <w:t>称</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学</w:t>
            </w:r>
            <w:r>
              <w:rPr>
                <w:rFonts w:ascii="宋体" w:hAnsi="宋体"/>
                <w:color w:val="auto"/>
                <w:highlight w:val="none"/>
              </w:rPr>
              <w:t xml:space="preserve">  </w:t>
            </w:r>
            <w:r>
              <w:rPr>
                <w:rFonts w:hint="eastAsia" w:ascii="宋体" w:hAnsi="宋体" w:cs="宋体"/>
                <w:color w:val="auto"/>
                <w:highlight w:val="none"/>
              </w:rPr>
              <w:t>历</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项目负责人近</w:t>
            </w:r>
            <w:r>
              <w:rPr>
                <w:rFonts w:hint="eastAsia" w:ascii="宋体" w:hAnsi="宋体"/>
                <w:color w:val="auto"/>
                <w:highlight w:val="none"/>
              </w:rPr>
              <w:t>5</w:t>
            </w:r>
            <w:r>
              <w:rPr>
                <w:rFonts w:hint="eastAsia" w:ascii="宋体" w:hAnsi="宋体" w:cs="宋体"/>
                <w:color w:val="auto"/>
                <w:highlight w:val="none"/>
              </w:rPr>
              <w:t>年（</w:t>
            </w:r>
            <w:r>
              <w:rPr>
                <w:rFonts w:hint="eastAsia" w:ascii="宋体" w:hAnsi="宋体"/>
                <w:color w:val="auto"/>
                <w:highlight w:val="none"/>
              </w:rPr>
              <w:t>2017</w:t>
            </w:r>
            <w:r>
              <w:rPr>
                <w:rFonts w:hint="eastAsia" w:ascii="宋体" w:hAnsi="宋体" w:cs="宋体"/>
                <w:color w:val="auto"/>
                <w:highlight w:val="none"/>
              </w:rPr>
              <w:t>年</w:t>
            </w:r>
            <w:r>
              <w:rPr>
                <w:rFonts w:ascii="宋体" w:hAnsi="宋体"/>
                <w:color w:val="auto"/>
                <w:highlight w:val="none"/>
              </w:rPr>
              <w:t>1</w:t>
            </w:r>
            <w:r>
              <w:rPr>
                <w:rFonts w:hint="eastAsia" w:ascii="宋体" w:hAnsi="宋体" w:cs="宋体"/>
                <w:color w:val="auto"/>
                <w:highlight w:val="none"/>
              </w:rPr>
              <w:t>月1日</w:t>
            </w:r>
            <w:r>
              <w:rPr>
                <w:rFonts w:ascii="宋体" w:hAnsi="宋体"/>
                <w:color w:val="auto"/>
                <w:highlight w:val="none"/>
              </w:rPr>
              <w:t>-</w:t>
            </w:r>
            <w:r>
              <w:rPr>
                <w:rFonts w:hint="eastAsia" w:ascii="宋体" w:hAnsi="宋体"/>
                <w:color w:val="auto"/>
                <w:highlight w:val="none"/>
              </w:rPr>
              <w:t>-</w:t>
            </w:r>
            <w:r>
              <w:rPr>
                <w:rFonts w:hint="eastAsia" w:ascii="宋体" w:hAnsi="宋体" w:cs="宋体"/>
                <w:color w:val="auto"/>
                <w:highlight w:val="none"/>
              </w:rPr>
              <w:t>至今）类似项目业绩一览表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甲方</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项目名称</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项目内容</w:t>
            </w: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s="宋体"/>
                <w:color w:val="auto"/>
                <w:highlight w:val="none"/>
              </w:rPr>
              <w:t>服务周期</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s="宋体"/>
                <w:color w:val="auto"/>
                <w:highlight w:val="none"/>
              </w:rPr>
              <w:t>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bl>
    <w:p>
      <w:pPr>
        <w:rPr>
          <w:rFonts w:ascii="宋体" w:hAnsi="宋体"/>
          <w:color w:val="auto"/>
          <w:highlight w:val="none"/>
        </w:rPr>
      </w:pPr>
      <w:r>
        <w:rPr>
          <w:rFonts w:hint="eastAsia" w:ascii="宋体" w:hAnsi="宋体" w:cs="宋体"/>
          <w:color w:val="auto"/>
          <w:highlight w:val="none"/>
        </w:rPr>
        <w:t>注：</w:t>
      </w:r>
      <w:r>
        <w:rPr>
          <w:rFonts w:ascii="宋体" w:hAnsi="宋体"/>
          <w:color w:val="auto"/>
          <w:highlight w:val="none"/>
        </w:rPr>
        <w:t>1</w:t>
      </w:r>
      <w:r>
        <w:rPr>
          <w:rFonts w:hint="eastAsia" w:ascii="宋体" w:hAnsi="宋体" w:cs="宋体"/>
          <w:color w:val="auto"/>
          <w:highlight w:val="none"/>
        </w:rPr>
        <w:t>、本项目一旦我单位中标，将配备上述</w:t>
      </w:r>
      <w:r>
        <w:rPr>
          <w:rFonts w:hint="eastAsia" w:ascii="宋体" w:hAnsi="宋体" w:cs="宋体"/>
          <w:bCs/>
          <w:color w:val="auto"/>
          <w:highlight w:val="none"/>
        </w:rPr>
        <w:t>项目负责人</w:t>
      </w:r>
      <w:r>
        <w:rPr>
          <w:rFonts w:hint="eastAsia" w:ascii="宋体" w:hAnsi="宋体" w:cs="宋体"/>
          <w:color w:val="auto"/>
          <w:highlight w:val="none"/>
        </w:rPr>
        <w:t>。上述填报内容真实，如不真实，将按照有关规定接受处理。</w:t>
      </w:r>
    </w:p>
    <w:p>
      <w:pPr>
        <w:ind w:firstLine="315" w:firstLineChars="150"/>
        <w:rPr>
          <w:rFonts w:ascii="宋体" w:hAnsi="宋体"/>
          <w:bCs/>
          <w:color w:val="auto"/>
          <w:highlight w:val="none"/>
        </w:rPr>
      </w:pPr>
      <w:r>
        <w:rPr>
          <w:rFonts w:ascii="宋体" w:hAnsi="宋体"/>
          <w:color w:val="auto"/>
          <w:highlight w:val="none"/>
        </w:rPr>
        <w:t>2</w:t>
      </w:r>
      <w:r>
        <w:rPr>
          <w:rFonts w:hint="eastAsia" w:ascii="宋体" w:hAnsi="宋体" w:cs="宋体"/>
          <w:color w:val="auto"/>
          <w:highlight w:val="none"/>
        </w:rPr>
        <w:t>、类似业绩为项目规模和类型相近项目。</w:t>
      </w:r>
    </w:p>
    <w:p>
      <w:pPr>
        <w:ind w:firstLine="315" w:firstLineChars="150"/>
        <w:rPr>
          <w:rFonts w:ascii="宋体" w:hAnsi="宋体"/>
          <w:bCs/>
          <w:color w:val="auto"/>
          <w:highlight w:val="none"/>
        </w:rPr>
      </w:pPr>
      <w:r>
        <w:rPr>
          <w:rFonts w:ascii="宋体" w:hAnsi="宋体"/>
          <w:bCs/>
          <w:color w:val="auto"/>
          <w:highlight w:val="none"/>
        </w:rPr>
        <w:t>3</w:t>
      </w:r>
      <w:r>
        <w:rPr>
          <w:rFonts w:hint="eastAsia" w:ascii="宋体" w:hAnsi="宋体" w:cs="宋体"/>
          <w:bCs/>
          <w:color w:val="auto"/>
          <w:highlight w:val="none"/>
        </w:rPr>
        <w:t>、项目负责人简历中应附职称证、学历证书</w:t>
      </w:r>
      <w:r>
        <w:rPr>
          <w:rFonts w:hint="eastAsia" w:ascii="宋体" w:hAnsi="宋体"/>
          <w:color w:val="auto"/>
          <w:szCs w:val="21"/>
          <w:highlight w:val="none"/>
        </w:rPr>
        <w:t>（须附在本表格之后）</w:t>
      </w:r>
      <w:r>
        <w:rPr>
          <w:rFonts w:hint="eastAsia" w:ascii="宋体" w:hAnsi="宋体" w:cs="宋体"/>
          <w:bCs/>
          <w:color w:val="auto"/>
          <w:highlight w:val="none"/>
        </w:rPr>
        <w:t>。</w:t>
      </w:r>
    </w:p>
    <w:p>
      <w:pPr>
        <w:ind w:firstLine="315" w:firstLineChars="150"/>
        <w:rPr>
          <w:rFonts w:hint="eastAsia" w:ascii="宋体" w:hAnsi="宋体"/>
          <w:color w:val="auto"/>
          <w:szCs w:val="21"/>
          <w:highlight w:val="none"/>
        </w:rPr>
      </w:pPr>
      <w:r>
        <w:rPr>
          <w:rFonts w:ascii="宋体" w:hAnsi="宋体"/>
          <w:bCs/>
          <w:color w:val="auto"/>
          <w:highlight w:val="none"/>
        </w:rPr>
        <w:t>4</w:t>
      </w:r>
      <w:r>
        <w:rPr>
          <w:rFonts w:hint="eastAsia" w:ascii="宋体" w:hAnsi="宋体" w:cs="宋体"/>
          <w:bCs/>
          <w:color w:val="auto"/>
          <w:highlight w:val="none"/>
        </w:rPr>
        <w:t>、项目负责人业绩应附合同或</w:t>
      </w:r>
      <w:r>
        <w:rPr>
          <w:rFonts w:hint="eastAsia" w:ascii="宋体" w:hAnsi="宋体"/>
          <w:color w:val="auto"/>
          <w:szCs w:val="21"/>
          <w:highlight w:val="none"/>
        </w:rPr>
        <w:t>中标通知书（须附在本表格之后，若提供的业绩证明材料不能反映出为该项目负责人的业绩，则视为无效业绩）。</w:t>
      </w: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spacing w:line="400" w:lineRule="exact"/>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w:t>
      </w:r>
    </w:p>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项目配备人员构成</w:t>
      </w:r>
    </w:p>
    <w:p>
      <w:pPr>
        <w:jc w:val="center"/>
        <w:rPr>
          <w:rFonts w:ascii="宋体" w:hAnsi="宋体"/>
          <w:b/>
          <w:color w:val="auto"/>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465"/>
        <w:gridCol w:w="915"/>
        <w:gridCol w:w="2850"/>
        <w:gridCol w:w="732"/>
        <w:gridCol w:w="732"/>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53" w:type="dxa"/>
            <w:tcBorders>
              <w:bottom w:val="nil"/>
            </w:tcBorders>
            <w:shd w:val="clear" w:color="auto" w:fill="F3F3F3"/>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职责分工</w:t>
            </w:r>
          </w:p>
        </w:tc>
        <w:tc>
          <w:tcPr>
            <w:tcW w:w="1465" w:type="dxa"/>
            <w:tcBorders>
              <w:bottom w:val="nil"/>
            </w:tcBorders>
            <w:shd w:val="clear" w:color="auto" w:fill="F3F3F3"/>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姓名</w:t>
            </w:r>
          </w:p>
        </w:tc>
        <w:tc>
          <w:tcPr>
            <w:tcW w:w="915" w:type="dxa"/>
            <w:tcBorders>
              <w:bottom w:val="nil"/>
            </w:tcBorders>
            <w:shd w:val="clear" w:color="auto" w:fill="F3F3F3"/>
            <w:noWrap w:val="0"/>
            <w:vAlign w:val="center"/>
          </w:tcPr>
          <w:p>
            <w:pPr>
              <w:jc w:val="center"/>
              <w:rPr>
                <w:rFonts w:ascii="宋体" w:hAnsi="宋体"/>
                <w:b/>
                <w:color w:val="auto"/>
                <w:szCs w:val="21"/>
                <w:highlight w:val="none"/>
              </w:rPr>
            </w:pPr>
            <w:r>
              <w:rPr>
                <w:rFonts w:hint="eastAsia" w:ascii="宋体" w:hAnsi="宋体"/>
                <w:b/>
                <w:color w:val="auto"/>
                <w:szCs w:val="21"/>
                <w:highlight w:val="none"/>
              </w:rPr>
              <w:t>现职务</w:t>
            </w:r>
          </w:p>
        </w:tc>
        <w:tc>
          <w:tcPr>
            <w:tcW w:w="2850" w:type="dxa"/>
            <w:tcBorders>
              <w:bottom w:val="nil"/>
            </w:tcBorders>
            <w:shd w:val="clear" w:color="auto" w:fill="F3F3F3"/>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曾主持</w:t>
            </w:r>
            <w:r>
              <w:rPr>
                <w:rFonts w:ascii="宋体" w:hAnsi="宋体"/>
                <w:b/>
                <w:color w:val="auto"/>
                <w:szCs w:val="21"/>
                <w:highlight w:val="none"/>
              </w:rPr>
              <w:t>/</w:t>
            </w:r>
            <w:r>
              <w:rPr>
                <w:rFonts w:hint="eastAsia" w:ascii="宋体" w:hAnsi="宋体"/>
                <w:b/>
                <w:color w:val="auto"/>
                <w:szCs w:val="21"/>
                <w:highlight w:val="none"/>
              </w:rPr>
              <w:t>参与过的</w:t>
            </w:r>
          </w:p>
          <w:p>
            <w:pPr>
              <w:jc w:val="center"/>
              <w:rPr>
                <w:rFonts w:ascii="宋体" w:hAnsi="宋体"/>
                <w:b/>
                <w:color w:val="auto"/>
                <w:szCs w:val="21"/>
                <w:highlight w:val="none"/>
              </w:rPr>
            </w:pPr>
            <w:r>
              <w:rPr>
                <w:rFonts w:hint="eastAsia" w:ascii="宋体" w:hAnsi="宋体"/>
                <w:b/>
                <w:color w:val="auto"/>
                <w:szCs w:val="21"/>
                <w:highlight w:val="none"/>
              </w:rPr>
              <w:t>同类项目经历</w:t>
            </w:r>
          </w:p>
        </w:tc>
        <w:tc>
          <w:tcPr>
            <w:tcW w:w="732" w:type="dxa"/>
            <w:tcBorders>
              <w:bottom w:val="nil"/>
            </w:tcBorders>
            <w:shd w:val="clear" w:color="auto" w:fill="F3F3F3"/>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年龄</w:t>
            </w:r>
          </w:p>
        </w:tc>
        <w:tc>
          <w:tcPr>
            <w:tcW w:w="732" w:type="dxa"/>
            <w:tcBorders>
              <w:bottom w:val="nil"/>
            </w:tcBorders>
            <w:shd w:val="clear" w:color="auto" w:fill="F3F3F3"/>
            <w:noWrap w:val="0"/>
            <w:vAlign w:val="center"/>
          </w:tcPr>
          <w:p>
            <w:pPr>
              <w:ind w:firstLine="12"/>
              <w:jc w:val="center"/>
              <w:rPr>
                <w:rFonts w:ascii="宋体" w:hAnsi="宋体"/>
                <w:b/>
                <w:color w:val="auto"/>
                <w:szCs w:val="21"/>
                <w:highlight w:val="none"/>
              </w:rPr>
            </w:pPr>
            <w:r>
              <w:rPr>
                <w:rFonts w:hint="eastAsia" w:ascii="宋体" w:hAnsi="宋体"/>
                <w:b/>
                <w:color w:val="auto"/>
                <w:szCs w:val="21"/>
                <w:highlight w:val="none"/>
              </w:rPr>
              <w:t>专业工龄</w:t>
            </w:r>
          </w:p>
        </w:tc>
        <w:tc>
          <w:tcPr>
            <w:tcW w:w="1648" w:type="dxa"/>
            <w:tcBorders>
              <w:bottom w:val="nil"/>
            </w:tcBorders>
            <w:shd w:val="clear" w:color="auto" w:fill="F3F3F3"/>
            <w:noWrap w:val="0"/>
            <w:vAlign w:val="center"/>
          </w:tcPr>
          <w:p>
            <w:pPr>
              <w:ind w:firstLine="12"/>
              <w:jc w:val="center"/>
              <w:rPr>
                <w:rFonts w:ascii="宋体" w:hAnsi="宋体"/>
                <w:b/>
                <w:color w:val="auto"/>
                <w:szCs w:val="21"/>
                <w:highlight w:val="none"/>
              </w:rPr>
            </w:pPr>
            <w:r>
              <w:rPr>
                <w:rFonts w:hint="eastAsia" w:ascii="宋体" w:hAnsi="宋体"/>
                <w:b/>
                <w:color w:val="auto"/>
                <w:szCs w:val="21"/>
                <w:highlight w:val="none"/>
              </w:rPr>
              <w:t>联系电话</w:t>
            </w:r>
          </w:p>
          <w:p>
            <w:pPr>
              <w:ind w:firstLine="12"/>
              <w:jc w:val="center"/>
              <w:rPr>
                <w:rFonts w:ascii="宋体" w:hAnsi="宋体"/>
                <w:b/>
                <w:color w:val="auto"/>
                <w:szCs w:val="21"/>
                <w:highlight w:val="none"/>
              </w:rPr>
            </w:pPr>
            <w:r>
              <w:rPr>
                <w:rFonts w:hint="eastAsia" w:ascii="宋体" w:hAnsi="宋体"/>
                <w:b/>
                <w:color w:val="auto"/>
                <w:szCs w:val="21"/>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tcBorders>
              <w:bottom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项目负责人</w:t>
            </w:r>
          </w:p>
        </w:tc>
        <w:tc>
          <w:tcPr>
            <w:tcW w:w="1465" w:type="dxa"/>
            <w:tcBorders>
              <w:bottom w:val="nil"/>
            </w:tcBorders>
            <w:noWrap w:val="0"/>
            <w:vAlign w:val="center"/>
          </w:tcPr>
          <w:p>
            <w:pPr>
              <w:jc w:val="center"/>
              <w:rPr>
                <w:rFonts w:ascii="宋体" w:hAnsi="宋体"/>
                <w:color w:val="auto"/>
                <w:szCs w:val="21"/>
                <w:highlight w:val="none"/>
              </w:rPr>
            </w:pPr>
          </w:p>
        </w:tc>
        <w:tc>
          <w:tcPr>
            <w:tcW w:w="915" w:type="dxa"/>
            <w:tcBorders>
              <w:bottom w:val="nil"/>
            </w:tcBorders>
            <w:noWrap w:val="0"/>
            <w:vAlign w:val="center"/>
          </w:tcPr>
          <w:p>
            <w:pPr>
              <w:spacing w:line="360" w:lineRule="auto"/>
              <w:jc w:val="center"/>
              <w:rPr>
                <w:rFonts w:ascii="宋体" w:hAnsi="宋体"/>
                <w:color w:val="auto"/>
                <w:szCs w:val="21"/>
                <w:highlight w:val="none"/>
              </w:rPr>
            </w:pPr>
          </w:p>
        </w:tc>
        <w:tc>
          <w:tcPr>
            <w:tcW w:w="2850" w:type="dxa"/>
            <w:tcBorders>
              <w:bottom w:val="nil"/>
            </w:tcBorders>
            <w:noWrap w:val="0"/>
            <w:vAlign w:val="center"/>
          </w:tcPr>
          <w:p>
            <w:pPr>
              <w:pStyle w:val="132"/>
              <w:spacing w:before="156" w:beforeLines="50" w:after="156" w:afterLines="50"/>
              <w:outlineLvl w:val="9"/>
              <w:rPr>
                <w:rFonts w:ascii="宋体" w:hAnsi="宋体"/>
                <w:color w:val="auto"/>
                <w:kern w:val="2"/>
                <w:sz w:val="21"/>
                <w:szCs w:val="21"/>
                <w:highlight w:val="none"/>
              </w:rPr>
            </w:pPr>
          </w:p>
        </w:tc>
        <w:tc>
          <w:tcPr>
            <w:tcW w:w="732" w:type="dxa"/>
            <w:tcBorders>
              <w:bottom w:val="nil"/>
            </w:tcBorders>
            <w:noWrap w:val="0"/>
            <w:vAlign w:val="center"/>
          </w:tcPr>
          <w:p>
            <w:pPr>
              <w:spacing w:line="360" w:lineRule="auto"/>
              <w:jc w:val="center"/>
              <w:rPr>
                <w:rFonts w:ascii="宋体" w:hAnsi="宋体"/>
                <w:color w:val="auto"/>
                <w:szCs w:val="21"/>
                <w:highlight w:val="none"/>
              </w:rPr>
            </w:pPr>
          </w:p>
        </w:tc>
        <w:tc>
          <w:tcPr>
            <w:tcW w:w="732" w:type="dxa"/>
            <w:tcBorders>
              <w:bottom w:val="nil"/>
            </w:tcBorders>
            <w:noWrap w:val="0"/>
            <w:vAlign w:val="center"/>
          </w:tcPr>
          <w:p>
            <w:pPr>
              <w:spacing w:line="360" w:lineRule="auto"/>
              <w:ind w:firstLine="12"/>
              <w:jc w:val="center"/>
              <w:rPr>
                <w:rFonts w:ascii="宋体" w:hAnsi="宋体"/>
                <w:color w:val="auto"/>
                <w:szCs w:val="21"/>
                <w:highlight w:val="none"/>
              </w:rPr>
            </w:pPr>
          </w:p>
        </w:tc>
        <w:tc>
          <w:tcPr>
            <w:tcW w:w="1648" w:type="dxa"/>
            <w:tcBorders>
              <w:bottom w:val="nil"/>
            </w:tcBorders>
            <w:noWrap w:val="0"/>
            <w:vAlign w:val="center"/>
          </w:tcPr>
          <w:p>
            <w:pPr>
              <w:spacing w:line="360" w:lineRule="auto"/>
              <w:ind w:firstLine="1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restart"/>
            <w:noWrap w:val="0"/>
            <w:vAlign w:val="center"/>
          </w:tcPr>
          <w:p>
            <w:pPr>
              <w:spacing w:line="360" w:lineRule="auto"/>
              <w:jc w:val="center"/>
              <w:rPr>
                <w:rFonts w:ascii="宋体" w:hAnsi="宋体"/>
                <w:color w:val="auto"/>
                <w:szCs w:val="21"/>
                <w:highlight w:val="none"/>
              </w:rPr>
            </w:pPr>
          </w:p>
        </w:tc>
        <w:tc>
          <w:tcPr>
            <w:tcW w:w="1465" w:type="dxa"/>
            <w:noWrap w:val="0"/>
            <w:vAlign w:val="center"/>
          </w:tcPr>
          <w:p>
            <w:pPr>
              <w:spacing w:line="360" w:lineRule="auto"/>
              <w:jc w:val="center"/>
              <w:rPr>
                <w:rFonts w:ascii="宋体" w:hAnsi="宋体"/>
                <w:color w:val="auto"/>
                <w:szCs w:val="21"/>
                <w:highlight w:val="none"/>
              </w:rPr>
            </w:pPr>
          </w:p>
        </w:tc>
        <w:tc>
          <w:tcPr>
            <w:tcW w:w="915" w:type="dxa"/>
            <w:noWrap w:val="0"/>
            <w:vAlign w:val="center"/>
          </w:tcPr>
          <w:p>
            <w:pPr>
              <w:spacing w:line="360" w:lineRule="auto"/>
              <w:jc w:val="center"/>
              <w:rPr>
                <w:rFonts w:ascii="宋体" w:hAnsi="宋体"/>
                <w:color w:val="auto"/>
                <w:szCs w:val="21"/>
                <w:highlight w:val="none"/>
              </w:rPr>
            </w:pPr>
          </w:p>
        </w:tc>
        <w:tc>
          <w:tcPr>
            <w:tcW w:w="2850"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1648"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continue"/>
            <w:noWrap w:val="0"/>
            <w:vAlign w:val="center"/>
          </w:tcPr>
          <w:p>
            <w:pPr>
              <w:spacing w:line="360" w:lineRule="auto"/>
              <w:jc w:val="center"/>
              <w:rPr>
                <w:rFonts w:ascii="宋体" w:hAnsi="宋体"/>
                <w:color w:val="auto"/>
                <w:szCs w:val="21"/>
                <w:highlight w:val="none"/>
              </w:rPr>
            </w:pPr>
          </w:p>
        </w:tc>
        <w:tc>
          <w:tcPr>
            <w:tcW w:w="1465" w:type="dxa"/>
            <w:noWrap w:val="0"/>
            <w:vAlign w:val="center"/>
          </w:tcPr>
          <w:p>
            <w:pPr>
              <w:spacing w:line="360" w:lineRule="auto"/>
              <w:jc w:val="center"/>
              <w:rPr>
                <w:rFonts w:ascii="宋体" w:hAnsi="宋体"/>
                <w:color w:val="auto"/>
                <w:szCs w:val="21"/>
                <w:highlight w:val="none"/>
              </w:rPr>
            </w:pPr>
          </w:p>
        </w:tc>
        <w:tc>
          <w:tcPr>
            <w:tcW w:w="915" w:type="dxa"/>
            <w:noWrap w:val="0"/>
            <w:vAlign w:val="center"/>
          </w:tcPr>
          <w:p>
            <w:pPr>
              <w:spacing w:line="360" w:lineRule="auto"/>
              <w:jc w:val="center"/>
              <w:rPr>
                <w:rFonts w:ascii="宋体" w:hAnsi="宋体"/>
                <w:color w:val="auto"/>
                <w:szCs w:val="21"/>
                <w:highlight w:val="none"/>
              </w:rPr>
            </w:pPr>
          </w:p>
        </w:tc>
        <w:tc>
          <w:tcPr>
            <w:tcW w:w="2850"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1648"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vMerge w:val="restart"/>
            <w:noWrap w:val="0"/>
            <w:vAlign w:val="center"/>
          </w:tcPr>
          <w:p>
            <w:pPr>
              <w:spacing w:line="360" w:lineRule="auto"/>
              <w:jc w:val="center"/>
              <w:rPr>
                <w:rFonts w:ascii="宋体" w:hAnsi="宋体"/>
                <w:color w:val="auto"/>
                <w:szCs w:val="21"/>
                <w:highlight w:val="none"/>
              </w:rPr>
            </w:pPr>
          </w:p>
        </w:tc>
        <w:tc>
          <w:tcPr>
            <w:tcW w:w="1465" w:type="dxa"/>
            <w:noWrap w:val="0"/>
            <w:vAlign w:val="center"/>
          </w:tcPr>
          <w:p>
            <w:pPr>
              <w:spacing w:line="360" w:lineRule="auto"/>
              <w:jc w:val="center"/>
              <w:rPr>
                <w:rFonts w:ascii="宋体" w:hAnsi="宋体"/>
                <w:color w:val="auto"/>
                <w:szCs w:val="21"/>
                <w:highlight w:val="none"/>
              </w:rPr>
            </w:pPr>
          </w:p>
        </w:tc>
        <w:tc>
          <w:tcPr>
            <w:tcW w:w="915" w:type="dxa"/>
            <w:noWrap w:val="0"/>
            <w:vAlign w:val="center"/>
          </w:tcPr>
          <w:p>
            <w:pPr>
              <w:spacing w:line="360" w:lineRule="auto"/>
              <w:jc w:val="center"/>
              <w:rPr>
                <w:rFonts w:ascii="宋体" w:hAnsi="宋体"/>
                <w:color w:val="auto"/>
                <w:szCs w:val="21"/>
                <w:highlight w:val="none"/>
              </w:rPr>
            </w:pPr>
          </w:p>
        </w:tc>
        <w:tc>
          <w:tcPr>
            <w:tcW w:w="2850"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1648"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vMerge w:val="continue"/>
            <w:noWrap w:val="0"/>
            <w:vAlign w:val="center"/>
          </w:tcPr>
          <w:p>
            <w:pPr>
              <w:spacing w:line="360" w:lineRule="auto"/>
              <w:jc w:val="center"/>
              <w:rPr>
                <w:rFonts w:ascii="宋体" w:hAnsi="宋体"/>
                <w:color w:val="auto"/>
                <w:szCs w:val="21"/>
                <w:highlight w:val="none"/>
              </w:rPr>
            </w:pPr>
          </w:p>
        </w:tc>
        <w:tc>
          <w:tcPr>
            <w:tcW w:w="1465" w:type="dxa"/>
            <w:noWrap w:val="0"/>
            <w:vAlign w:val="center"/>
          </w:tcPr>
          <w:p>
            <w:pPr>
              <w:spacing w:line="360" w:lineRule="auto"/>
              <w:jc w:val="center"/>
              <w:rPr>
                <w:rFonts w:ascii="宋体" w:hAnsi="宋体"/>
                <w:color w:val="auto"/>
                <w:szCs w:val="21"/>
                <w:highlight w:val="none"/>
              </w:rPr>
            </w:pPr>
          </w:p>
        </w:tc>
        <w:tc>
          <w:tcPr>
            <w:tcW w:w="915" w:type="dxa"/>
            <w:noWrap w:val="0"/>
            <w:vAlign w:val="center"/>
          </w:tcPr>
          <w:p>
            <w:pPr>
              <w:spacing w:line="360" w:lineRule="auto"/>
              <w:jc w:val="center"/>
              <w:rPr>
                <w:rFonts w:ascii="宋体" w:hAnsi="宋体"/>
                <w:color w:val="auto"/>
                <w:szCs w:val="21"/>
                <w:highlight w:val="none"/>
              </w:rPr>
            </w:pPr>
          </w:p>
        </w:tc>
        <w:tc>
          <w:tcPr>
            <w:tcW w:w="2850"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1648"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restart"/>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w:t>
            </w:r>
          </w:p>
        </w:tc>
        <w:tc>
          <w:tcPr>
            <w:tcW w:w="1465" w:type="dxa"/>
            <w:noWrap w:val="0"/>
            <w:vAlign w:val="center"/>
          </w:tcPr>
          <w:p>
            <w:pPr>
              <w:spacing w:line="360" w:lineRule="auto"/>
              <w:jc w:val="center"/>
              <w:rPr>
                <w:rFonts w:ascii="宋体" w:hAnsi="宋体"/>
                <w:color w:val="auto"/>
                <w:szCs w:val="21"/>
                <w:highlight w:val="none"/>
              </w:rPr>
            </w:pPr>
          </w:p>
        </w:tc>
        <w:tc>
          <w:tcPr>
            <w:tcW w:w="915" w:type="dxa"/>
            <w:noWrap w:val="0"/>
            <w:vAlign w:val="center"/>
          </w:tcPr>
          <w:p>
            <w:pPr>
              <w:spacing w:line="360" w:lineRule="auto"/>
              <w:jc w:val="center"/>
              <w:rPr>
                <w:rFonts w:ascii="宋体" w:hAnsi="宋体"/>
                <w:color w:val="auto"/>
                <w:szCs w:val="21"/>
                <w:highlight w:val="none"/>
              </w:rPr>
            </w:pPr>
          </w:p>
        </w:tc>
        <w:tc>
          <w:tcPr>
            <w:tcW w:w="2850"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1648"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continue"/>
            <w:noWrap w:val="0"/>
            <w:vAlign w:val="center"/>
          </w:tcPr>
          <w:p>
            <w:pPr>
              <w:spacing w:line="360" w:lineRule="auto"/>
              <w:jc w:val="center"/>
              <w:rPr>
                <w:rFonts w:ascii="宋体" w:hAnsi="宋体"/>
                <w:color w:val="auto"/>
                <w:szCs w:val="21"/>
                <w:highlight w:val="none"/>
              </w:rPr>
            </w:pPr>
          </w:p>
        </w:tc>
        <w:tc>
          <w:tcPr>
            <w:tcW w:w="1465" w:type="dxa"/>
            <w:noWrap w:val="0"/>
            <w:vAlign w:val="center"/>
          </w:tcPr>
          <w:p>
            <w:pPr>
              <w:spacing w:line="360" w:lineRule="auto"/>
              <w:jc w:val="center"/>
              <w:rPr>
                <w:rFonts w:ascii="宋体" w:hAnsi="宋体"/>
                <w:color w:val="auto"/>
                <w:szCs w:val="21"/>
                <w:highlight w:val="none"/>
              </w:rPr>
            </w:pPr>
          </w:p>
        </w:tc>
        <w:tc>
          <w:tcPr>
            <w:tcW w:w="915" w:type="dxa"/>
            <w:noWrap w:val="0"/>
            <w:vAlign w:val="center"/>
          </w:tcPr>
          <w:p>
            <w:pPr>
              <w:spacing w:line="360" w:lineRule="auto"/>
              <w:jc w:val="center"/>
              <w:rPr>
                <w:rFonts w:ascii="宋体" w:hAnsi="宋体"/>
                <w:color w:val="auto"/>
                <w:szCs w:val="21"/>
                <w:highlight w:val="none"/>
              </w:rPr>
            </w:pPr>
          </w:p>
        </w:tc>
        <w:tc>
          <w:tcPr>
            <w:tcW w:w="2850"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732" w:type="dxa"/>
            <w:noWrap w:val="0"/>
            <w:vAlign w:val="center"/>
          </w:tcPr>
          <w:p>
            <w:pPr>
              <w:spacing w:line="360" w:lineRule="auto"/>
              <w:jc w:val="center"/>
              <w:rPr>
                <w:rFonts w:ascii="宋体" w:hAnsi="宋体"/>
                <w:color w:val="auto"/>
                <w:szCs w:val="21"/>
                <w:highlight w:val="none"/>
              </w:rPr>
            </w:pPr>
          </w:p>
        </w:tc>
        <w:tc>
          <w:tcPr>
            <w:tcW w:w="1648" w:type="dxa"/>
            <w:noWrap w:val="0"/>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szCs w:val="21"/>
          <w:highlight w:val="none"/>
        </w:rPr>
        <w:t>注：</w:t>
      </w:r>
    </w:p>
    <w:p>
      <w:pPr>
        <w:spacing w:line="360" w:lineRule="auto"/>
        <w:ind w:firstLine="315" w:firstLineChars="15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、请提供拟参加本项目的全部人员简历表。</w:t>
      </w:r>
    </w:p>
    <w:p>
      <w:pPr>
        <w:pStyle w:val="2"/>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、附证明文件（身份证、职称证等）。</w:t>
      </w: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r>
        <w:rPr>
          <w:rFonts w:hint="eastAsia" w:ascii="宋体" w:hAnsi="宋体" w:cs="宋体"/>
          <w:b/>
          <w:color w:val="auto"/>
          <w:sz w:val="21"/>
          <w:szCs w:val="21"/>
          <w:highlight w:val="none"/>
          <w:lang w:val="en-US" w:eastAsia="zh-CN"/>
        </w:rPr>
        <w:t>10</w:t>
      </w:r>
      <w:r>
        <w:rPr>
          <w:rFonts w:hint="eastAsia" w:ascii="宋体" w:hAnsi="宋体" w:eastAsia="宋体" w:cs="宋体"/>
          <w:b/>
          <w:color w:val="auto"/>
          <w:sz w:val="21"/>
          <w:szCs w:val="21"/>
          <w:highlight w:val="none"/>
        </w:rPr>
        <w:t>：</w:t>
      </w:r>
      <w:bookmarkEnd w:id="87"/>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bookmarkStart w:id="89" w:name="_Toc258923315"/>
      <w:bookmarkStart w:id="90" w:name="_Toc400536598"/>
      <w:r>
        <w:rPr>
          <w:rFonts w:hint="eastAsia" w:ascii="宋体" w:hAnsi="宋体" w:eastAsia="宋体" w:cs="宋体"/>
          <w:b/>
          <w:color w:val="auto"/>
          <w:sz w:val="21"/>
          <w:szCs w:val="21"/>
          <w:highlight w:val="none"/>
        </w:rPr>
        <w:t>优惠条件承诺书</w:t>
      </w:r>
      <w:bookmarkEnd w:id="89"/>
      <w:bookmarkEnd w:id="90"/>
    </w:p>
    <w:p>
      <w:pPr>
        <w:pageBreakBefore w:val="0"/>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致：宏业国际项目管理有限公司</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经仔细阅读你们的磋商文件，对所投标项目向贵单位特作如下优惠条件承诺：</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法定代表人或授权代表人（签字）：</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bookmarkStart w:id="91" w:name="_Toc20690"/>
      <w:r>
        <w:rPr>
          <w:rFonts w:hint="eastAsia" w:ascii="宋体" w:hAnsi="宋体" w:eastAsia="宋体" w:cs="宋体"/>
          <w:b/>
          <w:sz w:val="21"/>
          <w:szCs w:val="21"/>
        </w:rPr>
        <w:t>附件</w:t>
      </w:r>
      <w:r>
        <w:rPr>
          <w:rFonts w:hint="eastAsia" w:ascii="宋体" w:hAnsi="宋体" w:cs="宋体"/>
          <w:b/>
          <w:sz w:val="21"/>
          <w:szCs w:val="21"/>
          <w:lang w:val="en-US" w:eastAsia="zh-CN"/>
        </w:rPr>
        <w:t>11</w:t>
      </w:r>
      <w:r>
        <w:rPr>
          <w:rFonts w:hint="eastAsia" w:ascii="宋体" w:hAnsi="宋体" w:eastAsia="宋体" w:cs="宋体"/>
          <w:b/>
          <w:sz w:val="21"/>
          <w:szCs w:val="21"/>
        </w:rPr>
        <w:t>：</w:t>
      </w:r>
      <w:bookmarkEnd w:id="91"/>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92" w:name="_Toc258923316"/>
      <w:bookmarkStart w:id="93" w:name="_Toc400536599"/>
      <w:r>
        <w:rPr>
          <w:rFonts w:hint="eastAsia" w:ascii="宋体" w:hAnsi="宋体" w:eastAsia="宋体" w:cs="宋体"/>
          <w:b/>
          <w:sz w:val="21"/>
          <w:szCs w:val="21"/>
        </w:rPr>
        <w:t>售后服务承诺</w:t>
      </w:r>
      <w:bookmarkEnd w:id="92"/>
      <w:bookmarkEnd w:id="93"/>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格式自拟</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bookmarkStart w:id="94" w:name="_Toc25362"/>
      <w:r>
        <w:rPr>
          <w:rFonts w:hint="eastAsia" w:ascii="宋体" w:hAnsi="宋体" w:eastAsia="宋体" w:cs="宋体"/>
          <w:b/>
          <w:sz w:val="21"/>
          <w:szCs w:val="21"/>
        </w:rPr>
        <w:t>附件1</w:t>
      </w:r>
      <w:r>
        <w:rPr>
          <w:rFonts w:hint="eastAsia" w:ascii="宋体" w:hAnsi="宋体" w:cs="宋体"/>
          <w:b/>
          <w:sz w:val="21"/>
          <w:szCs w:val="21"/>
          <w:lang w:val="en-US" w:eastAsia="zh-CN"/>
        </w:rPr>
        <w:t>2</w:t>
      </w:r>
      <w:r>
        <w:rPr>
          <w:rFonts w:hint="eastAsia" w:ascii="宋体" w:hAnsi="宋体" w:eastAsia="宋体" w:cs="宋体"/>
          <w:b/>
          <w:sz w:val="21"/>
          <w:szCs w:val="21"/>
        </w:rPr>
        <w:t>：</w:t>
      </w:r>
      <w:bookmarkEnd w:id="94"/>
    </w:p>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无重大违法记录声明</w:t>
      </w:r>
    </w:p>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我单位参加政府采购活动前三年内，在经营活动中没有重大违法记录。</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若采购单位在本项目采购过程中发现我单位近三年内在经营活动中有重大违法记录，我单位将无条件地退出本项目的招标，并承担因此引起的一切后果。</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特此声明!</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bookmarkStart w:id="95" w:name="_Toc20687"/>
      <w:r>
        <w:rPr>
          <w:rFonts w:hint="eastAsia" w:ascii="宋体" w:hAnsi="宋体" w:eastAsia="宋体" w:cs="宋体"/>
          <w:b/>
          <w:sz w:val="21"/>
          <w:szCs w:val="21"/>
        </w:rPr>
        <w:t>附件1</w:t>
      </w:r>
      <w:r>
        <w:rPr>
          <w:rFonts w:hint="eastAsia" w:ascii="宋体" w:hAnsi="宋体" w:cs="宋体"/>
          <w:b/>
          <w:sz w:val="21"/>
          <w:szCs w:val="21"/>
          <w:lang w:val="en-US" w:eastAsia="zh-CN"/>
        </w:rPr>
        <w:t>3</w:t>
      </w:r>
      <w:r>
        <w:rPr>
          <w:rFonts w:hint="eastAsia" w:ascii="宋体" w:hAnsi="宋体" w:eastAsia="宋体" w:cs="宋体"/>
          <w:b/>
          <w:sz w:val="21"/>
          <w:szCs w:val="21"/>
        </w:rPr>
        <w:t>：</w:t>
      </w:r>
      <w:bookmarkEnd w:id="95"/>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供应商反商业贿赂承诺书</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w:t>
      </w:r>
      <w:r>
        <w:rPr>
          <w:rFonts w:hint="eastAsia" w:ascii="宋体" w:hAnsi="宋体" w:eastAsia="宋体" w:cs="宋体"/>
          <w:kern w:val="0"/>
          <w:sz w:val="21"/>
          <w:szCs w:val="21"/>
          <w:u w:val="single"/>
        </w:rPr>
        <w:t>（项目编号、项目名称）</w:t>
      </w:r>
      <w:r>
        <w:rPr>
          <w:rFonts w:hint="eastAsia" w:ascii="宋体" w:hAnsi="宋体" w:eastAsia="宋体" w:cs="宋体"/>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法定代表人：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法人授权代表：</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项目经办人：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我公司承诺在参加本次投标前三年内，无以下行为：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重大违法行为；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商业贿行为；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政府采购法《第七十七条》，列入不良行为记录名单的各种行为；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如有上述行为，我公司及项目参与人员自愿放弃本次项目的投标、报价资格，若为预中标、成交人，也自愿放弃中标、成交资格</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sz w:val="21"/>
          <w:szCs w:val="21"/>
        </w:rPr>
        <w:br w:type="page"/>
      </w:r>
      <w:bookmarkStart w:id="96" w:name="_Toc26407"/>
    </w:p>
    <w:bookmarkEnd w:id="96"/>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sz w:val="21"/>
          <w:szCs w:val="21"/>
        </w:rPr>
        <w:t>附件1</w:t>
      </w:r>
      <w:r>
        <w:rPr>
          <w:rFonts w:hint="eastAsia" w:ascii="宋体" w:hAnsi="宋体" w:cs="宋体"/>
          <w:b/>
          <w:sz w:val="21"/>
          <w:szCs w:val="21"/>
          <w:lang w:val="en-US" w:eastAsia="zh-CN"/>
        </w:rPr>
        <w:t>4</w:t>
      </w:r>
      <w:r>
        <w:rPr>
          <w:rFonts w:hint="eastAsia" w:ascii="宋体" w:hAnsi="宋体" w:eastAsia="宋体" w:cs="宋体"/>
          <w:b/>
          <w:sz w:val="21"/>
          <w:szCs w:val="21"/>
        </w:rPr>
        <w:t>：</w:t>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投标人认为有必要提交的其他相关证明材料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sectPr>
          <w:pgSz w:w="11906" w:h="16838"/>
          <w:pgMar w:top="1440" w:right="1800" w:bottom="1440" w:left="1800" w:header="851" w:footer="992" w:gutter="0"/>
          <w:cols w:space="425" w:num="1"/>
          <w:docGrid w:type="lines" w:linePitch="312" w:charSpace="0"/>
        </w:sectPr>
      </w:pP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宋体" w:hAnsi="宋体" w:eastAsia="宋体" w:cs="宋体"/>
          <w:b/>
          <w:sz w:val="21"/>
          <w:szCs w:val="21"/>
        </w:rPr>
        <w:t>附件1</w:t>
      </w:r>
      <w:r>
        <w:rPr>
          <w:rFonts w:hint="eastAsia" w:ascii="宋体" w:hAnsi="宋体" w:cs="宋体"/>
          <w:b/>
          <w:sz w:val="21"/>
          <w:szCs w:val="21"/>
          <w:lang w:val="en-US" w:eastAsia="zh-CN"/>
        </w:rPr>
        <w:t>5</w:t>
      </w:r>
      <w:r>
        <w:rPr>
          <w:rFonts w:hint="eastAsia" w:ascii="宋体" w:hAnsi="宋体" w:eastAsia="宋体" w:cs="宋体"/>
          <w:b/>
          <w:sz w:val="21"/>
          <w:szCs w:val="21"/>
        </w:rPr>
        <w:t>：</w:t>
      </w:r>
    </w:p>
    <w:p>
      <w:pPr>
        <w:pStyle w:val="2"/>
        <w:ind w:left="0" w:leftChars="0" w:firstLine="0" w:firstLineChars="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二次报价一览表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供应商名称：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项目编号：</w:t>
      </w:r>
    </w:p>
    <w:tbl>
      <w:tblPr>
        <w:tblStyle w:val="37"/>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4、本表须按采购文件要求，单独封装、标识后提交。</w:t>
      </w:r>
    </w:p>
    <w:p>
      <w:pPr>
        <w:spacing w:line="400" w:lineRule="exact"/>
        <w:rPr>
          <w:rFonts w:hint="eastAsia" w:asciiTheme="minorEastAsia" w:hAnsiTheme="minorEastAsia" w:eastAsiaTheme="minorEastAsia" w:cstheme="minorEastAsia"/>
          <w:b/>
          <w:bCs/>
          <w:sz w:val="21"/>
          <w:szCs w:val="21"/>
        </w:rPr>
      </w:pPr>
    </w:p>
    <w:p>
      <w:pPr>
        <w:pStyle w:val="18"/>
        <w:spacing w:line="400" w:lineRule="exact"/>
        <w:rPr>
          <w:rFonts w:hint="eastAsia" w:asciiTheme="minorEastAsia" w:hAnsiTheme="minorEastAsia" w:eastAsiaTheme="minorEastAsia" w:cstheme="minorEastAsia"/>
          <w:color w:val="000000"/>
          <w:sz w:val="21"/>
          <w:szCs w:val="21"/>
        </w:rPr>
      </w:pPr>
    </w:p>
    <w:p>
      <w:pPr>
        <w:rPr>
          <w:rFonts w:hint="eastAsia"/>
        </w:rPr>
      </w:pPr>
    </w:p>
    <w:p>
      <w:pPr>
        <w:pStyle w:val="18"/>
        <w:spacing w:line="400" w:lineRule="exact"/>
        <w:ind w:firstLine="3990" w:firstLineChars="19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color w:val="00000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70C0"/>
          <w:sz w:val="21"/>
          <w:szCs w:val="21"/>
        </w:rPr>
      </w:pPr>
    </w:p>
    <w:p>
      <w:pPr>
        <w:pStyle w:val="2"/>
        <w:rPr>
          <w:rFonts w:hint="eastAsia" w:asciiTheme="minorEastAsia" w:hAnsiTheme="minorEastAsia" w:eastAsiaTheme="minorEastAsia" w:cstheme="minorEastAsia"/>
          <w:color w:val="0070C0"/>
          <w:sz w:val="21"/>
          <w:szCs w:val="21"/>
        </w:rPr>
      </w:pPr>
    </w:p>
    <w:p>
      <w:pPr>
        <w:pStyle w:val="2"/>
        <w:rPr>
          <w:rFonts w:hint="eastAsia" w:asciiTheme="minorEastAsia" w:hAnsiTheme="minorEastAsia" w:eastAsiaTheme="minorEastAsia" w:cstheme="minorEastAsia"/>
          <w:color w:val="0070C0"/>
          <w:sz w:val="21"/>
          <w:szCs w:val="21"/>
        </w:rPr>
      </w:pPr>
    </w:p>
    <w:p>
      <w:pPr>
        <w:pStyle w:val="20"/>
        <w:ind w:left="0" w:leftChars="0" w:firstLine="0" w:firstLineChars="0"/>
        <w:rPr>
          <w:rFonts w:hint="eastAsia"/>
        </w:rPr>
      </w:pPr>
    </w:p>
    <w:p>
      <w:pPr>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法定代表人或授权代表人（签字）：</w:t>
      </w:r>
    </w:p>
    <w:p>
      <w:pPr>
        <w:pStyle w:val="18"/>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00"/>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1"/>
      </w:rPr>
    </w:pPr>
    <w:r>
      <w:fldChar w:fldCharType="begin"/>
    </w:r>
    <w:r>
      <w:rPr>
        <w:rStyle w:val="41"/>
      </w:rPr>
      <w:instrText xml:space="preserve">PAGE  </w:instrText>
    </w:r>
    <w:r>
      <w:fldChar w:fldCharType="end"/>
    </w:r>
  </w:p>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lvl>
  </w:abstractNum>
  <w:abstractNum w:abstractNumId="1">
    <w:nsid w:val="AA6D7177"/>
    <w:multiLevelType w:val="singleLevel"/>
    <w:tmpl w:val="AA6D7177"/>
    <w:lvl w:ilvl="0" w:tentative="0">
      <w:start w:val="1"/>
      <w:numFmt w:val="decimal"/>
      <w:pStyle w:val="30"/>
      <w:lvlText w:val="%1."/>
      <w:lvlJc w:val="left"/>
      <w:pPr>
        <w:tabs>
          <w:tab w:val="left" w:pos="2040"/>
        </w:tabs>
        <w:ind w:left="2040" w:hanging="360"/>
      </w:pPr>
    </w:lvl>
  </w:abstractNum>
  <w:abstractNum w:abstractNumId="2">
    <w:nsid w:val="B98B23DC"/>
    <w:multiLevelType w:val="singleLevel"/>
    <w:tmpl w:val="B98B23DC"/>
    <w:lvl w:ilvl="0" w:tentative="0">
      <w:start w:val="3"/>
      <w:numFmt w:val="chineseCounting"/>
      <w:suff w:val="space"/>
      <w:lvlText w:val="第%1章"/>
      <w:lvlJc w:val="left"/>
      <w:rPr>
        <w:rFonts w:hint="eastAsia"/>
      </w:rPr>
    </w:lvl>
  </w:abstractNum>
  <w:abstractNum w:abstractNumId="3">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0N2NjYzljNTcwMGU0YTBiYjI4MGYyZTYxZWE1MjUifQ=="/>
  </w:docVars>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06CA5"/>
    <w:rsid w:val="00F45575"/>
    <w:rsid w:val="00F77BEC"/>
    <w:rsid w:val="00F9171E"/>
    <w:rsid w:val="00F91C0F"/>
    <w:rsid w:val="00FB1FEF"/>
    <w:rsid w:val="00FB4B91"/>
    <w:rsid w:val="00FC4125"/>
    <w:rsid w:val="00FE6FED"/>
    <w:rsid w:val="00FF5479"/>
    <w:rsid w:val="019334B9"/>
    <w:rsid w:val="026D0AC0"/>
    <w:rsid w:val="032C17E0"/>
    <w:rsid w:val="0361265C"/>
    <w:rsid w:val="03BD3E3B"/>
    <w:rsid w:val="03CF6F37"/>
    <w:rsid w:val="04041BEF"/>
    <w:rsid w:val="04F002B0"/>
    <w:rsid w:val="05551D4C"/>
    <w:rsid w:val="05ED58B4"/>
    <w:rsid w:val="065E32F2"/>
    <w:rsid w:val="06C56CEC"/>
    <w:rsid w:val="078539B9"/>
    <w:rsid w:val="087F0EE6"/>
    <w:rsid w:val="09D50ED9"/>
    <w:rsid w:val="0A1F6986"/>
    <w:rsid w:val="0A33602E"/>
    <w:rsid w:val="0A6868A4"/>
    <w:rsid w:val="0BB7550F"/>
    <w:rsid w:val="0C346B5F"/>
    <w:rsid w:val="0C456161"/>
    <w:rsid w:val="0CC31C91"/>
    <w:rsid w:val="0DDE4FD5"/>
    <w:rsid w:val="0DEB1BBD"/>
    <w:rsid w:val="0EAE19AB"/>
    <w:rsid w:val="0ED00D7B"/>
    <w:rsid w:val="0F9106F7"/>
    <w:rsid w:val="0FA96AC9"/>
    <w:rsid w:val="0FAC0B1E"/>
    <w:rsid w:val="0FB01CE0"/>
    <w:rsid w:val="0FC23828"/>
    <w:rsid w:val="102D064F"/>
    <w:rsid w:val="10A1579F"/>
    <w:rsid w:val="10D93C93"/>
    <w:rsid w:val="11535CDA"/>
    <w:rsid w:val="119F4A7B"/>
    <w:rsid w:val="1207696C"/>
    <w:rsid w:val="12492C39"/>
    <w:rsid w:val="125F245C"/>
    <w:rsid w:val="134979ED"/>
    <w:rsid w:val="13913184"/>
    <w:rsid w:val="13CB25F4"/>
    <w:rsid w:val="13F217DA"/>
    <w:rsid w:val="15367EF7"/>
    <w:rsid w:val="159E329B"/>
    <w:rsid w:val="16844B6C"/>
    <w:rsid w:val="17710C68"/>
    <w:rsid w:val="17C074F9"/>
    <w:rsid w:val="1814506A"/>
    <w:rsid w:val="18297EB6"/>
    <w:rsid w:val="191E6D71"/>
    <w:rsid w:val="1C131EBB"/>
    <w:rsid w:val="1C142478"/>
    <w:rsid w:val="1C493F61"/>
    <w:rsid w:val="1CB17D58"/>
    <w:rsid w:val="1CF67247"/>
    <w:rsid w:val="1D1A442D"/>
    <w:rsid w:val="1D7B6D7A"/>
    <w:rsid w:val="1DB57BF3"/>
    <w:rsid w:val="1E3B33AC"/>
    <w:rsid w:val="1EF67CA4"/>
    <w:rsid w:val="1F185E6D"/>
    <w:rsid w:val="1F9C084C"/>
    <w:rsid w:val="210404BE"/>
    <w:rsid w:val="226F3C3A"/>
    <w:rsid w:val="232A43C0"/>
    <w:rsid w:val="235A14A8"/>
    <w:rsid w:val="24463220"/>
    <w:rsid w:val="244C6A8A"/>
    <w:rsid w:val="25333552"/>
    <w:rsid w:val="25695674"/>
    <w:rsid w:val="26EE6A5B"/>
    <w:rsid w:val="26FE565D"/>
    <w:rsid w:val="2728280B"/>
    <w:rsid w:val="27827F5A"/>
    <w:rsid w:val="27C070A1"/>
    <w:rsid w:val="288A4CC3"/>
    <w:rsid w:val="28F00854"/>
    <w:rsid w:val="2A1711BC"/>
    <w:rsid w:val="2AD22C90"/>
    <w:rsid w:val="2B193698"/>
    <w:rsid w:val="2B517DA9"/>
    <w:rsid w:val="2B5244B4"/>
    <w:rsid w:val="2B544506"/>
    <w:rsid w:val="2BA016C4"/>
    <w:rsid w:val="2C263315"/>
    <w:rsid w:val="2C7B7B25"/>
    <w:rsid w:val="2D3D412B"/>
    <w:rsid w:val="2D536011"/>
    <w:rsid w:val="2DFB0019"/>
    <w:rsid w:val="2E1771F9"/>
    <w:rsid w:val="2E4E5407"/>
    <w:rsid w:val="2E5844D8"/>
    <w:rsid w:val="2F2919D0"/>
    <w:rsid w:val="2F6C7D35"/>
    <w:rsid w:val="2FB15C4D"/>
    <w:rsid w:val="2FF65D56"/>
    <w:rsid w:val="2FFA78BA"/>
    <w:rsid w:val="3209738A"/>
    <w:rsid w:val="322C5A5F"/>
    <w:rsid w:val="326854EB"/>
    <w:rsid w:val="32E26A66"/>
    <w:rsid w:val="33500DCA"/>
    <w:rsid w:val="335334BF"/>
    <w:rsid w:val="33622C99"/>
    <w:rsid w:val="337E22EA"/>
    <w:rsid w:val="344814D4"/>
    <w:rsid w:val="348778C5"/>
    <w:rsid w:val="36DF2298"/>
    <w:rsid w:val="38F57F64"/>
    <w:rsid w:val="39303241"/>
    <w:rsid w:val="39D30EB6"/>
    <w:rsid w:val="3A900760"/>
    <w:rsid w:val="3B2C5316"/>
    <w:rsid w:val="3B6C36D1"/>
    <w:rsid w:val="3BA63A7F"/>
    <w:rsid w:val="3C326368"/>
    <w:rsid w:val="3C5538B2"/>
    <w:rsid w:val="3C9D2F9A"/>
    <w:rsid w:val="3C9E6273"/>
    <w:rsid w:val="3CD8163F"/>
    <w:rsid w:val="3D3B3C63"/>
    <w:rsid w:val="3DD05E38"/>
    <w:rsid w:val="3E0927F8"/>
    <w:rsid w:val="3E4058AD"/>
    <w:rsid w:val="3E554590"/>
    <w:rsid w:val="3E7A28CA"/>
    <w:rsid w:val="3F0D7BFA"/>
    <w:rsid w:val="3F3E5881"/>
    <w:rsid w:val="3F404386"/>
    <w:rsid w:val="3F8D2FBC"/>
    <w:rsid w:val="40BC26A4"/>
    <w:rsid w:val="40EB00D5"/>
    <w:rsid w:val="41295675"/>
    <w:rsid w:val="41E22DC7"/>
    <w:rsid w:val="41F51C9B"/>
    <w:rsid w:val="42111651"/>
    <w:rsid w:val="425C0CAB"/>
    <w:rsid w:val="42894808"/>
    <w:rsid w:val="428B0580"/>
    <w:rsid w:val="42B31F4A"/>
    <w:rsid w:val="42EF6D61"/>
    <w:rsid w:val="43A36878"/>
    <w:rsid w:val="44E95A32"/>
    <w:rsid w:val="450B6DA9"/>
    <w:rsid w:val="456A5948"/>
    <w:rsid w:val="45CF6B25"/>
    <w:rsid w:val="45EF0696"/>
    <w:rsid w:val="466E2692"/>
    <w:rsid w:val="46737CA9"/>
    <w:rsid w:val="46B02CAB"/>
    <w:rsid w:val="47584B4F"/>
    <w:rsid w:val="478B4A59"/>
    <w:rsid w:val="480B2C86"/>
    <w:rsid w:val="483D3A2C"/>
    <w:rsid w:val="49F43F43"/>
    <w:rsid w:val="4A370ACA"/>
    <w:rsid w:val="4B450FC6"/>
    <w:rsid w:val="4C3B7513"/>
    <w:rsid w:val="4CA152D9"/>
    <w:rsid w:val="4CA24E44"/>
    <w:rsid w:val="4CC4526E"/>
    <w:rsid w:val="4D275349"/>
    <w:rsid w:val="4DD311EA"/>
    <w:rsid w:val="4EB33338"/>
    <w:rsid w:val="51146BBD"/>
    <w:rsid w:val="511B4946"/>
    <w:rsid w:val="513D338D"/>
    <w:rsid w:val="514D0CAC"/>
    <w:rsid w:val="52DC2732"/>
    <w:rsid w:val="53861004"/>
    <w:rsid w:val="541B1FD5"/>
    <w:rsid w:val="54687E3F"/>
    <w:rsid w:val="546B0B19"/>
    <w:rsid w:val="547D1CF3"/>
    <w:rsid w:val="54C85664"/>
    <w:rsid w:val="54C92D0A"/>
    <w:rsid w:val="55DD6EED"/>
    <w:rsid w:val="563E7431"/>
    <w:rsid w:val="56622C8A"/>
    <w:rsid w:val="574F5BC8"/>
    <w:rsid w:val="57F30C49"/>
    <w:rsid w:val="5936078B"/>
    <w:rsid w:val="59D7111E"/>
    <w:rsid w:val="5A457541"/>
    <w:rsid w:val="5A5C4659"/>
    <w:rsid w:val="5A8D3DC6"/>
    <w:rsid w:val="5CAC7619"/>
    <w:rsid w:val="5CF809E4"/>
    <w:rsid w:val="5D564048"/>
    <w:rsid w:val="5DA24E17"/>
    <w:rsid w:val="5DD828F1"/>
    <w:rsid w:val="5E086AD1"/>
    <w:rsid w:val="5F7C1524"/>
    <w:rsid w:val="5FDF32E5"/>
    <w:rsid w:val="6005151A"/>
    <w:rsid w:val="605E7D99"/>
    <w:rsid w:val="619058A1"/>
    <w:rsid w:val="62461F26"/>
    <w:rsid w:val="627D7A8D"/>
    <w:rsid w:val="62FF0F3A"/>
    <w:rsid w:val="63065CD5"/>
    <w:rsid w:val="63327620"/>
    <w:rsid w:val="634D0883"/>
    <w:rsid w:val="63AC4833"/>
    <w:rsid w:val="63F57FF1"/>
    <w:rsid w:val="64DE0DF5"/>
    <w:rsid w:val="659C1332"/>
    <w:rsid w:val="65C75D84"/>
    <w:rsid w:val="65FD2C93"/>
    <w:rsid w:val="66691518"/>
    <w:rsid w:val="67C223E6"/>
    <w:rsid w:val="6800454F"/>
    <w:rsid w:val="684E388D"/>
    <w:rsid w:val="687B3C27"/>
    <w:rsid w:val="687D3777"/>
    <w:rsid w:val="69026367"/>
    <w:rsid w:val="69417192"/>
    <w:rsid w:val="6AF905B4"/>
    <w:rsid w:val="6B947BF6"/>
    <w:rsid w:val="6C523BCA"/>
    <w:rsid w:val="6D065B63"/>
    <w:rsid w:val="6D201C56"/>
    <w:rsid w:val="6D664B09"/>
    <w:rsid w:val="6D8F517C"/>
    <w:rsid w:val="6ED04B50"/>
    <w:rsid w:val="6F2B6D0F"/>
    <w:rsid w:val="6F801593"/>
    <w:rsid w:val="702E0619"/>
    <w:rsid w:val="703B4AE4"/>
    <w:rsid w:val="70691651"/>
    <w:rsid w:val="70DC1A18"/>
    <w:rsid w:val="710F35DD"/>
    <w:rsid w:val="716342F2"/>
    <w:rsid w:val="71685DAD"/>
    <w:rsid w:val="71B628C7"/>
    <w:rsid w:val="724F2AC9"/>
    <w:rsid w:val="72A93F87"/>
    <w:rsid w:val="72CA055B"/>
    <w:rsid w:val="72F34290"/>
    <w:rsid w:val="735C7F5D"/>
    <w:rsid w:val="73AB01D2"/>
    <w:rsid w:val="74AF12CB"/>
    <w:rsid w:val="74FE7498"/>
    <w:rsid w:val="75D73501"/>
    <w:rsid w:val="764F3FF2"/>
    <w:rsid w:val="765E2E38"/>
    <w:rsid w:val="77774849"/>
    <w:rsid w:val="77821C3D"/>
    <w:rsid w:val="77E627E4"/>
    <w:rsid w:val="7836450F"/>
    <w:rsid w:val="78EE0B2B"/>
    <w:rsid w:val="796D1B2E"/>
    <w:rsid w:val="79E60A96"/>
    <w:rsid w:val="79FA77BE"/>
    <w:rsid w:val="7A13673D"/>
    <w:rsid w:val="7B186783"/>
    <w:rsid w:val="7B674B1C"/>
    <w:rsid w:val="7B975357"/>
    <w:rsid w:val="7C2B55CD"/>
    <w:rsid w:val="7C480CB4"/>
    <w:rsid w:val="7D87352C"/>
    <w:rsid w:val="7E0E7F8B"/>
    <w:rsid w:val="7E1404F5"/>
    <w:rsid w:val="7E266DD3"/>
    <w:rsid w:val="7E3D743D"/>
    <w:rsid w:val="7E631DD5"/>
    <w:rsid w:val="7E80598D"/>
    <w:rsid w:val="7FCA77BE"/>
    <w:rsid w:val="7FD41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8"/>
    <w:qFormat/>
    <w:uiPriority w:val="9"/>
    <w:pPr>
      <w:keepNext/>
      <w:tabs>
        <w:tab w:val="left" w:pos="360"/>
      </w:tabs>
      <w:ind w:left="360" w:hanging="360"/>
      <w:outlineLvl w:val="0"/>
    </w:pPr>
    <w:rPr>
      <w:b/>
    </w:rPr>
  </w:style>
  <w:style w:type="paragraph" w:styleId="4">
    <w:name w:val="heading 2"/>
    <w:basedOn w:val="1"/>
    <w:next w:val="1"/>
    <w:link w:val="49"/>
    <w:qFormat/>
    <w:uiPriority w:val="9"/>
    <w:pPr>
      <w:keepNext/>
      <w:keepLines/>
      <w:spacing w:before="260" w:after="260" w:line="416" w:lineRule="auto"/>
      <w:outlineLvl w:val="1"/>
    </w:pPr>
    <w:rPr>
      <w:rFonts w:ascii="Arial" w:hAnsi="Arial" w:eastAsia="黑体"/>
      <w:b/>
      <w:sz w:val="32"/>
    </w:rPr>
  </w:style>
  <w:style w:type="paragraph" w:styleId="5">
    <w:name w:val="heading 3"/>
    <w:basedOn w:val="1"/>
    <w:next w:val="1"/>
    <w:link w:val="50"/>
    <w:qFormat/>
    <w:uiPriority w:val="9"/>
    <w:pPr>
      <w:keepNext/>
      <w:keepLines/>
      <w:spacing w:before="260" w:after="260" w:line="416" w:lineRule="auto"/>
      <w:outlineLvl w:val="2"/>
    </w:pPr>
    <w:rPr>
      <w:b/>
      <w:bCs/>
      <w:sz w:val="32"/>
      <w:szCs w:val="32"/>
    </w:rPr>
  </w:style>
  <w:style w:type="paragraph" w:styleId="6">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2"/>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3"/>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4"/>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5"/>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6"/>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rPr>
      <w:sz w:val="20"/>
      <w:szCs w:val="20"/>
    </w:rPr>
  </w:style>
  <w:style w:type="paragraph" w:styleId="12">
    <w:name w:val="table of authorities"/>
    <w:basedOn w:val="1"/>
    <w:next w:val="1"/>
    <w:unhideWhenUsed/>
    <w:qFormat/>
    <w:uiPriority w:val="99"/>
    <w:pPr>
      <w:ind w:left="420" w:leftChars="200"/>
    </w:pPr>
  </w:style>
  <w:style w:type="paragraph" w:styleId="13">
    <w:name w:val="Normal Indent"/>
    <w:basedOn w:val="1"/>
    <w:link w:val="81"/>
    <w:qFormat/>
    <w:uiPriority w:val="99"/>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4"/>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Salutation"/>
    <w:basedOn w:val="1"/>
    <w:next w:val="1"/>
    <w:link w:val="58"/>
    <w:qFormat/>
    <w:uiPriority w:val="0"/>
    <w:rPr>
      <w:rFonts w:ascii="宋体"/>
      <w:b/>
      <w:sz w:val="28"/>
    </w:rPr>
  </w:style>
  <w:style w:type="paragraph" w:styleId="18">
    <w:name w:val="Body Text"/>
    <w:basedOn w:val="1"/>
    <w:next w:val="1"/>
    <w:link w:val="98"/>
    <w:qFormat/>
    <w:uiPriority w:val="0"/>
    <w:rPr>
      <w:rFonts w:ascii="Arial" w:hAnsi="Arial" w:cs="Arial" w:eastAsiaTheme="minorEastAsia"/>
      <w:sz w:val="24"/>
      <w:szCs w:val="22"/>
    </w:rPr>
  </w:style>
  <w:style w:type="paragraph" w:styleId="19">
    <w:name w:val="Body Text Indent"/>
    <w:basedOn w:val="1"/>
    <w:next w:val="1"/>
    <w:link w:val="60"/>
    <w:qFormat/>
    <w:uiPriority w:val="0"/>
    <w:pPr>
      <w:ind w:firstLine="480"/>
    </w:pPr>
    <w:rPr>
      <w:rFonts w:ascii="宋体" w:hAnsi="宋体"/>
      <w:sz w:val="24"/>
    </w:rPr>
  </w:style>
  <w:style w:type="paragraph" w:styleId="20">
    <w:name w:val="Block Text"/>
    <w:basedOn w:val="18"/>
    <w:qFormat/>
    <w:uiPriority w:val="99"/>
    <w:pPr>
      <w:ind w:left="1171" w:right="91" w:hanging="1080"/>
    </w:pPr>
    <w:rPr>
      <w:rFonts w:eastAsia="楷体_GB2312"/>
    </w:rPr>
  </w:style>
  <w:style w:type="paragraph" w:styleId="21">
    <w:name w:val="toc 3"/>
    <w:basedOn w:val="1"/>
    <w:next w:val="1"/>
    <w:qFormat/>
    <w:uiPriority w:val="39"/>
    <w:pPr>
      <w:ind w:left="840" w:leftChars="400"/>
    </w:pPr>
  </w:style>
  <w:style w:type="paragraph" w:styleId="22">
    <w:name w:val="Plain Text"/>
    <w:basedOn w:val="1"/>
    <w:link w:val="100"/>
    <w:qFormat/>
    <w:uiPriority w:val="0"/>
    <w:rPr>
      <w:rFonts w:ascii="宋体" w:hAnsi="Courier New" w:cstheme="minorBidi"/>
      <w:szCs w:val="22"/>
    </w:rPr>
  </w:style>
  <w:style w:type="paragraph" w:styleId="23">
    <w:name w:val="Date"/>
    <w:basedOn w:val="1"/>
    <w:next w:val="1"/>
    <w:link w:val="62"/>
    <w:qFormat/>
    <w:uiPriority w:val="0"/>
    <w:pPr>
      <w:ind w:left="100"/>
    </w:pPr>
    <w:rPr>
      <w:sz w:val="24"/>
    </w:rPr>
  </w:style>
  <w:style w:type="paragraph" w:styleId="24">
    <w:name w:val="Body Text Indent 2"/>
    <w:basedOn w:val="1"/>
    <w:link w:val="93"/>
    <w:qFormat/>
    <w:uiPriority w:val="0"/>
    <w:pPr>
      <w:ind w:firstLine="435"/>
    </w:pPr>
    <w:rPr>
      <w:rFonts w:ascii="宋体" w:hAnsi="宋体" w:eastAsiaTheme="minorEastAsia" w:cstheme="minorBidi"/>
      <w:sz w:val="24"/>
      <w:szCs w:val="22"/>
    </w:rPr>
  </w:style>
  <w:style w:type="paragraph" w:styleId="25">
    <w:name w:val="Balloon Text"/>
    <w:basedOn w:val="1"/>
    <w:link w:val="64"/>
    <w:semiHidden/>
    <w:qFormat/>
    <w:uiPriority w:val="99"/>
    <w:rPr>
      <w:sz w:val="18"/>
      <w:szCs w:val="18"/>
    </w:rPr>
  </w:style>
  <w:style w:type="paragraph" w:styleId="26">
    <w:name w:val="footer"/>
    <w:basedOn w:val="1"/>
    <w:link w:val="65"/>
    <w:unhideWhenUsed/>
    <w:qFormat/>
    <w:uiPriority w:val="99"/>
    <w:pPr>
      <w:tabs>
        <w:tab w:val="center" w:pos="4153"/>
        <w:tab w:val="right" w:pos="8306"/>
      </w:tabs>
      <w:snapToGrid w:val="0"/>
      <w:jc w:val="left"/>
    </w:pPr>
    <w:rPr>
      <w:sz w:val="18"/>
      <w:szCs w:val="18"/>
    </w:rPr>
  </w:style>
  <w:style w:type="paragraph" w:styleId="27">
    <w:name w:val="envelope return"/>
    <w:basedOn w:val="1"/>
    <w:qFormat/>
    <w:uiPriority w:val="0"/>
    <w:pPr>
      <w:topLinePunct/>
      <w:snapToGrid w:val="0"/>
    </w:pPr>
    <w:rPr>
      <w:rFonts w:ascii="Arial" w:hAnsi="Arial" w:cs="Arial"/>
    </w:rPr>
  </w:style>
  <w:style w:type="paragraph" w:styleId="28">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Number 5"/>
    <w:basedOn w:val="1"/>
    <w:semiHidden/>
    <w:unhideWhenUsed/>
    <w:qFormat/>
    <w:uiPriority w:val="99"/>
    <w:pPr>
      <w:numPr>
        <w:ilvl w:val="0"/>
        <w:numId w:val="1"/>
      </w:numPr>
    </w:pPr>
  </w:style>
  <w:style w:type="paragraph" w:styleId="31">
    <w:name w:val="Body Text Indent 3"/>
    <w:basedOn w:val="1"/>
    <w:link w:val="67"/>
    <w:qFormat/>
    <w:uiPriority w:val="0"/>
    <w:pPr>
      <w:ind w:left="471" w:hanging="471" w:hangingChars="200"/>
    </w:pPr>
    <w:rPr>
      <w:rFonts w:ascii="Arial" w:hAnsi="Arial" w:cs="Arial"/>
      <w:b/>
      <w:bCs/>
      <w:sz w:val="24"/>
    </w:rPr>
  </w:style>
  <w:style w:type="paragraph" w:styleId="32">
    <w:name w:val="toc 2"/>
    <w:basedOn w:val="1"/>
    <w:next w:val="1"/>
    <w:qFormat/>
    <w:uiPriority w:val="39"/>
    <w:pPr>
      <w:ind w:left="420" w:leftChars="200"/>
    </w:pPr>
  </w:style>
  <w:style w:type="paragraph" w:styleId="33">
    <w:name w:val="Body Text 2"/>
    <w:basedOn w:val="1"/>
    <w:link w:val="68"/>
    <w:qFormat/>
    <w:uiPriority w:val="0"/>
    <w:pPr>
      <w:spacing w:line="360" w:lineRule="auto"/>
    </w:pPr>
    <w:rPr>
      <w:b/>
      <w:sz w:val="28"/>
      <w:szCs w:val="21"/>
    </w:rPr>
  </w:style>
  <w:style w:type="paragraph" w:styleId="34">
    <w:name w:val="Normal (Web)"/>
    <w:basedOn w:val="1"/>
    <w:link w:val="110"/>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5">
    <w:name w:val="Body Text First Indent"/>
    <w:basedOn w:val="18"/>
    <w:next w:val="36"/>
    <w:link w:val="105"/>
    <w:qFormat/>
    <w:uiPriority w:val="0"/>
    <w:pPr>
      <w:spacing w:after="120"/>
      <w:ind w:firstLine="420" w:firstLineChars="100"/>
    </w:pPr>
  </w:style>
  <w:style w:type="paragraph" w:styleId="36">
    <w:name w:val="Body Text First Indent 2"/>
    <w:basedOn w:val="19"/>
    <w:next w:val="19"/>
    <w:unhideWhenUsed/>
    <w:qFormat/>
    <w:uiPriority w:val="99"/>
    <w:pPr>
      <w:ind w:firstLine="420"/>
    </w:pPr>
    <w:rPr>
      <w:rFonts w:ascii="Arial" w:hAnsi="Arial" w:eastAsia="仿宋_GB2312"/>
      <w:sz w:val="28"/>
    </w:rPr>
  </w:style>
  <w:style w:type="table" w:styleId="38">
    <w:name w:val="Table Grid"/>
    <w:basedOn w:val="37"/>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Emphasis"/>
    <w:qFormat/>
    <w:uiPriority w:val="0"/>
    <w:rPr>
      <w:color w:val="CC0033"/>
    </w:rPr>
  </w:style>
  <w:style w:type="character" w:styleId="44">
    <w:name w:val="Hyperlink"/>
    <w:basedOn w:val="39"/>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HTML Sample"/>
    <w:basedOn w:val="39"/>
    <w:unhideWhenUsed/>
    <w:qFormat/>
    <w:uiPriority w:val="99"/>
    <w:rPr>
      <w:rFonts w:ascii="宋体" w:hAnsi="宋体" w:eastAsia="宋体" w:cs="宋体"/>
    </w:rPr>
  </w:style>
  <w:style w:type="paragraph" w:customStyle="1" w:styleId="4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8">
    <w:name w:val="标题 1 字符"/>
    <w:basedOn w:val="39"/>
    <w:link w:val="3"/>
    <w:qFormat/>
    <w:uiPriority w:val="9"/>
    <w:rPr>
      <w:rFonts w:ascii="Times New Roman" w:hAnsi="Times New Roman" w:eastAsia="宋体" w:cs="Times New Roman"/>
      <w:b/>
      <w:szCs w:val="20"/>
    </w:rPr>
  </w:style>
  <w:style w:type="character" w:customStyle="1" w:styleId="49">
    <w:name w:val="标题 2 字符"/>
    <w:basedOn w:val="39"/>
    <w:link w:val="4"/>
    <w:qFormat/>
    <w:uiPriority w:val="9"/>
    <w:rPr>
      <w:rFonts w:ascii="Arial" w:hAnsi="Arial" w:eastAsia="黑体" w:cs="Times New Roman"/>
      <w:b/>
      <w:sz w:val="32"/>
      <w:szCs w:val="20"/>
    </w:rPr>
  </w:style>
  <w:style w:type="character" w:customStyle="1" w:styleId="50">
    <w:name w:val="标题 3 字符"/>
    <w:basedOn w:val="39"/>
    <w:link w:val="5"/>
    <w:qFormat/>
    <w:uiPriority w:val="9"/>
    <w:rPr>
      <w:rFonts w:ascii="Times New Roman" w:hAnsi="Times New Roman" w:eastAsia="宋体" w:cs="Times New Roman"/>
      <w:b/>
      <w:bCs/>
      <w:sz w:val="32"/>
      <w:szCs w:val="32"/>
    </w:rPr>
  </w:style>
  <w:style w:type="character" w:customStyle="1" w:styleId="51">
    <w:name w:val="标题 4 字符"/>
    <w:basedOn w:val="39"/>
    <w:link w:val="6"/>
    <w:qFormat/>
    <w:uiPriority w:val="0"/>
    <w:rPr>
      <w:rFonts w:ascii="Arial" w:hAnsi="Arial" w:eastAsia="黑体" w:cs="Times New Roman"/>
      <w:b/>
      <w:bCs/>
      <w:sz w:val="28"/>
      <w:szCs w:val="28"/>
    </w:rPr>
  </w:style>
  <w:style w:type="character" w:customStyle="1" w:styleId="52">
    <w:name w:val="标题 5 字符"/>
    <w:basedOn w:val="39"/>
    <w:link w:val="7"/>
    <w:qFormat/>
    <w:uiPriority w:val="0"/>
    <w:rPr>
      <w:rFonts w:ascii="Times New Roman" w:hAnsi="Times New Roman" w:eastAsia="宋体" w:cs="Times New Roman"/>
      <w:b/>
      <w:sz w:val="28"/>
      <w:szCs w:val="20"/>
    </w:rPr>
  </w:style>
  <w:style w:type="character" w:customStyle="1" w:styleId="53">
    <w:name w:val="标题 6 字符"/>
    <w:basedOn w:val="39"/>
    <w:link w:val="8"/>
    <w:qFormat/>
    <w:uiPriority w:val="0"/>
    <w:rPr>
      <w:rFonts w:ascii="Arial" w:hAnsi="Arial" w:eastAsia="黑体" w:cs="Times New Roman"/>
      <w:b/>
      <w:sz w:val="24"/>
      <w:szCs w:val="20"/>
    </w:rPr>
  </w:style>
  <w:style w:type="character" w:customStyle="1" w:styleId="54">
    <w:name w:val="标题 7 字符"/>
    <w:basedOn w:val="39"/>
    <w:link w:val="9"/>
    <w:qFormat/>
    <w:uiPriority w:val="0"/>
    <w:rPr>
      <w:rFonts w:ascii="Times New Roman" w:hAnsi="Times New Roman" w:eastAsia="宋体" w:cs="Times New Roman"/>
      <w:b/>
      <w:sz w:val="24"/>
      <w:szCs w:val="20"/>
    </w:rPr>
  </w:style>
  <w:style w:type="character" w:customStyle="1" w:styleId="55">
    <w:name w:val="标题 8 字符"/>
    <w:basedOn w:val="39"/>
    <w:link w:val="10"/>
    <w:qFormat/>
    <w:uiPriority w:val="0"/>
    <w:rPr>
      <w:rFonts w:ascii="Arial" w:hAnsi="Arial" w:eastAsia="黑体" w:cs="Times New Roman"/>
      <w:sz w:val="24"/>
      <w:szCs w:val="20"/>
    </w:rPr>
  </w:style>
  <w:style w:type="character" w:customStyle="1" w:styleId="56">
    <w:name w:val="标题 9 字符"/>
    <w:basedOn w:val="39"/>
    <w:link w:val="11"/>
    <w:qFormat/>
    <w:uiPriority w:val="0"/>
    <w:rPr>
      <w:rFonts w:ascii="Arial" w:hAnsi="Arial" w:eastAsia="黑体" w:cs="Times New Roman"/>
      <w:szCs w:val="20"/>
    </w:rPr>
  </w:style>
  <w:style w:type="character" w:customStyle="1" w:styleId="57">
    <w:name w:val="文档结构图 Char"/>
    <w:basedOn w:val="39"/>
    <w:qFormat/>
    <w:uiPriority w:val="0"/>
    <w:rPr>
      <w:rFonts w:ascii="宋体" w:hAnsi="Times New Roman" w:eastAsia="宋体" w:cs="Times New Roman"/>
      <w:sz w:val="18"/>
      <w:szCs w:val="18"/>
    </w:rPr>
  </w:style>
  <w:style w:type="character" w:customStyle="1" w:styleId="58">
    <w:name w:val="称呼 字符"/>
    <w:basedOn w:val="39"/>
    <w:link w:val="17"/>
    <w:qFormat/>
    <w:uiPriority w:val="0"/>
    <w:rPr>
      <w:rFonts w:ascii="宋体" w:hAnsi="Times New Roman" w:eastAsia="宋体" w:cs="Times New Roman"/>
      <w:b/>
      <w:sz w:val="28"/>
      <w:szCs w:val="20"/>
    </w:rPr>
  </w:style>
  <w:style w:type="character" w:customStyle="1" w:styleId="59">
    <w:name w:val="正文文本 Char"/>
    <w:basedOn w:val="39"/>
    <w:qFormat/>
    <w:uiPriority w:val="0"/>
    <w:rPr>
      <w:rFonts w:ascii="Times New Roman" w:hAnsi="Times New Roman" w:eastAsia="宋体" w:cs="Times New Roman"/>
      <w:szCs w:val="20"/>
    </w:rPr>
  </w:style>
  <w:style w:type="character" w:customStyle="1" w:styleId="60">
    <w:name w:val="正文文本缩进 字符"/>
    <w:basedOn w:val="39"/>
    <w:link w:val="19"/>
    <w:qFormat/>
    <w:uiPriority w:val="0"/>
    <w:rPr>
      <w:rFonts w:ascii="宋体" w:hAnsi="宋体" w:eastAsia="宋体" w:cs="Times New Roman"/>
      <w:sz w:val="24"/>
      <w:szCs w:val="20"/>
    </w:rPr>
  </w:style>
  <w:style w:type="character" w:customStyle="1" w:styleId="61">
    <w:name w:val="纯文本 Char"/>
    <w:basedOn w:val="39"/>
    <w:qFormat/>
    <w:uiPriority w:val="0"/>
    <w:rPr>
      <w:rFonts w:ascii="宋体" w:hAnsi="Courier New" w:eastAsia="宋体" w:cs="Courier New"/>
      <w:szCs w:val="21"/>
    </w:rPr>
  </w:style>
  <w:style w:type="character" w:customStyle="1" w:styleId="62">
    <w:name w:val="日期 字符"/>
    <w:basedOn w:val="39"/>
    <w:link w:val="23"/>
    <w:qFormat/>
    <w:uiPriority w:val="0"/>
    <w:rPr>
      <w:rFonts w:ascii="Times New Roman" w:hAnsi="Times New Roman" w:eastAsia="宋体" w:cs="Times New Roman"/>
      <w:sz w:val="24"/>
      <w:szCs w:val="20"/>
    </w:rPr>
  </w:style>
  <w:style w:type="character" w:customStyle="1" w:styleId="63">
    <w:name w:val="正文文本缩进 2 Char"/>
    <w:basedOn w:val="39"/>
    <w:qFormat/>
    <w:uiPriority w:val="0"/>
    <w:rPr>
      <w:rFonts w:ascii="Times New Roman" w:hAnsi="Times New Roman" w:eastAsia="宋体" w:cs="Times New Roman"/>
      <w:szCs w:val="20"/>
    </w:rPr>
  </w:style>
  <w:style w:type="character" w:customStyle="1" w:styleId="64">
    <w:name w:val="批注框文本 字符"/>
    <w:basedOn w:val="39"/>
    <w:link w:val="25"/>
    <w:semiHidden/>
    <w:qFormat/>
    <w:uiPriority w:val="99"/>
    <w:rPr>
      <w:rFonts w:ascii="Times New Roman" w:hAnsi="Times New Roman" w:eastAsia="宋体" w:cs="Times New Roman"/>
      <w:sz w:val="18"/>
      <w:szCs w:val="18"/>
    </w:rPr>
  </w:style>
  <w:style w:type="character" w:customStyle="1" w:styleId="65">
    <w:name w:val="页脚 字符"/>
    <w:basedOn w:val="39"/>
    <w:link w:val="26"/>
    <w:qFormat/>
    <w:uiPriority w:val="99"/>
    <w:rPr>
      <w:rFonts w:ascii="Times New Roman" w:hAnsi="Times New Roman" w:eastAsia="宋体" w:cs="Times New Roman"/>
      <w:sz w:val="18"/>
      <w:szCs w:val="18"/>
    </w:rPr>
  </w:style>
  <w:style w:type="character" w:customStyle="1" w:styleId="66">
    <w:name w:val="页眉 字符"/>
    <w:basedOn w:val="39"/>
    <w:link w:val="28"/>
    <w:qFormat/>
    <w:uiPriority w:val="99"/>
    <w:rPr>
      <w:rFonts w:ascii="Times New Roman" w:hAnsi="Times New Roman" w:eastAsia="宋体" w:cs="Times New Roman"/>
      <w:sz w:val="18"/>
      <w:szCs w:val="18"/>
    </w:rPr>
  </w:style>
  <w:style w:type="character" w:customStyle="1" w:styleId="67">
    <w:name w:val="正文文本缩进 3 字符"/>
    <w:basedOn w:val="39"/>
    <w:link w:val="31"/>
    <w:qFormat/>
    <w:uiPriority w:val="0"/>
    <w:rPr>
      <w:rFonts w:ascii="Arial" w:hAnsi="Arial" w:eastAsia="宋体" w:cs="Arial"/>
      <w:b/>
      <w:bCs/>
      <w:sz w:val="24"/>
      <w:szCs w:val="20"/>
    </w:rPr>
  </w:style>
  <w:style w:type="character" w:customStyle="1" w:styleId="68">
    <w:name w:val="正文文本 2 字符"/>
    <w:basedOn w:val="39"/>
    <w:link w:val="33"/>
    <w:qFormat/>
    <w:uiPriority w:val="0"/>
    <w:rPr>
      <w:rFonts w:ascii="Times New Roman" w:hAnsi="Times New Roman" w:eastAsia="宋体" w:cs="Times New Roman"/>
      <w:b/>
      <w:sz w:val="28"/>
      <w:szCs w:val="21"/>
    </w:rPr>
  </w:style>
  <w:style w:type="character" w:customStyle="1" w:styleId="69">
    <w:name w:val="正文首行缩进 Char"/>
    <w:basedOn w:val="59"/>
    <w:qFormat/>
    <w:uiPriority w:val="0"/>
    <w:rPr>
      <w:rFonts w:ascii="Times New Roman" w:hAnsi="Times New Roman" w:eastAsia="宋体" w:cs="Times New Roman"/>
      <w:szCs w:val="20"/>
    </w:rPr>
  </w:style>
  <w:style w:type="character" w:customStyle="1" w:styleId="70">
    <w:name w:val="p21"/>
    <w:qFormat/>
    <w:uiPriority w:val="0"/>
    <w:rPr>
      <w:rFonts w:hint="default" w:ascii="Arial" w:hAnsi="Arial" w:cs="Arial"/>
      <w:color w:val="333333"/>
      <w:sz w:val="18"/>
      <w:szCs w:val="18"/>
      <w:u w:val="none"/>
    </w:rPr>
  </w:style>
  <w:style w:type="character" w:customStyle="1" w:styleId="71">
    <w:name w:val="font21"/>
    <w:basedOn w:val="39"/>
    <w:qFormat/>
    <w:uiPriority w:val="0"/>
    <w:rPr>
      <w:rFonts w:hint="eastAsia" w:ascii="宋体" w:hAnsi="宋体" w:eastAsia="宋体" w:cs="宋体"/>
      <w:color w:val="000000"/>
      <w:sz w:val="22"/>
      <w:szCs w:val="22"/>
      <w:u w:val="none"/>
    </w:rPr>
  </w:style>
  <w:style w:type="character" w:customStyle="1" w:styleId="72">
    <w:name w:val="所标正文 Char Char"/>
    <w:link w:val="73"/>
    <w:qFormat/>
    <w:uiPriority w:val="0"/>
    <w:rPr>
      <w:rFonts w:ascii="仿宋_GB2312" w:hAnsi="Calibri" w:eastAsia="仿宋_GB2312"/>
      <w:sz w:val="30"/>
      <w:szCs w:val="28"/>
    </w:rPr>
  </w:style>
  <w:style w:type="paragraph" w:customStyle="1" w:styleId="73">
    <w:name w:val="所标正文"/>
    <w:basedOn w:val="1"/>
    <w:link w:val="72"/>
    <w:qFormat/>
    <w:uiPriority w:val="0"/>
    <w:pPr>
      <w:spacing w:line="360" w:lineRule="auto"/>
      <w:ind w:firstLine="200" w:firstLineChars="200"/>
    </w:pPr>
    <w:rPr>
      <w:rFonts w:ascii="仿宋_GB2312" w:hAnsi="Calibri" w:eastAsia="仿宋_GB2312" w:cstheme="minorBidi"/>
      <w:sz w:val="30"/>
      <w:szCs w:val="28"/>
    </w:rPr>
  </w:style>
  <w:style w:type="character" w:customStyle="1" w:styleId="74">
    <w:name w:val="正文文字 Char1"/>
    <w:link w:val="75"/>
    <w:qFormat/>
    <w:uiPriority w:val="0"/>
    <w:rPr>
      <w:rFonts w:ascii="宋体" w:eastAsia="宋体"/>
      <w:color w:val="000000"/>
      <w:sz w:val="28"/>
      <w:u w:color="000000"/>
    </w:rPr>
  </w:style>
  <w:style w:type="paragraph" w:customStyle="1" w:styleId="75">
    <w:name w:val="正文文字"/>
    <w:basedOn w:val="1"/>
    <w:link w:val="74"/>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6">
    <w:name w:val="marklong"/>
    <w:basedOn w:val="39"/>
    <w:qFormat/>
    <w:uiPriority w:val="0"/>
  </w:style>
  <w:style w:type="character" w:customStyle="1" w:styleId="77">
    <w:name w:val="unnamed1"/>
    <w:basedOn w:val="39"/>
    <w:qFormat/>
    <w:uiPriority w:val="0"/>
  </w:style>
  <w:style w:type="character" w:customStyle="1" w:styleId="78">
    <w:name w:val="css21"/>
    <w:qFormat/>
    <w:uiPriority w:val="0"/>
    <w:rPr>
      <w:sz w:val="18"/>
      <w:szCs w:val="18"/>
    </w:rPr>
  </w:style>
  <w:style w:type="character" w:customStyle="1" w:styleId="79">
    <w:name w:val="font01"/>
    <w:basedOn w:val="39"/>
    <w:qFormat/>
    <w:uiPriority w:val="0"/>
    <w:rPr>
      <w:rFonts w:hint="eastAsia" w:ascii="宋体" w:hAnsi="宋体" w:eastAsia="宋体" w:cs="宋体"/>
      <w:color w:val="000000"/>
      <w:sz w:val="22"/>
      <w:szCs w:val="22"/>
      <w:u w:val="none"/>
    </w:rPr>
  </w:style>
  <w:style w:type="character" w:customStyle="1" w:styleId="80">
    <w:name w:val="纯文本 Char Char Char Char Char Char"/>
    <w:qFormat/>
    <w:locked/>
    <w:uiPriority w:val="0"/>
    <w:rPr>
      <w:rFonts w:ascii="宋体" w:hAnsi="Courier New" w:eastAsia="宋体"/>
      <w:kern w:val="2"/>
      <w:sz w:val="21"/>
      <w:lang w:val="en-US" w:eastAsia="zh-CN" w:bidi="ar-SA"/>
    </w:rPr>
  </w:style>
  <w:style w:type="character" w:customStyle="1" w:styleId="81">
    <w:name w:val="正文缩进 字符"/>
    <w:link w:val="13"/>
    <w:qFormat/>
    <w:uiPriority w:val="99"/>
    <w:rPr>
      <w:szCs w:val="24"/>
    </w:rPr>
  </w:style>
  <w:style w:type="character" w:customStyle="1" w:styleId="82">
    <w:name w:val="样式 正文缩进 + 首行缩进:  2 字符 Char"/>
    <w:link w:val="83"/>
    <w:qFormat/>
    <w:uiPriority w:val="0"/>
    <w:rPr>
      <w:sz w:val="24"/>
    </w:rPr>
  </w:style>
  <w:style w:type="paragraph" w:customStyle="1" w:styleId="83">
    <w:name w:val="样式 正文缩进 + 首行缩进:  2 字符"/>
    <w:basedOn w:val="13"/>
    <w:link w:val="82"/>
    <w:qFormat/>
    <w:uiPriority w:val="0"/>
    <w:pPr>
      <w:spacing w:line="360" w:lineRule="auto"/>
      <w:ind w:firstLine="200"/>
    </w:pPr>
    <w:rPr>
      <w:sz w:val="24"/>
      <w:szCs w:val="22"/>
    </w:rPr>
  </w:style>
  <w:style w:type="character" w:customStyle="1" w:styleId="84">
    <w:name w:val="标准段落正文 Char"/>
    <w:link w:val="85"/>
    <w:qFormat/>
    <w:uiPriority w:val="0"/>
    <w:rPr>
      <w:rFonts w:cs="宋体"/>
      <w:sz w:val="24"/>
    </w:rPr>
  </w:style>
  <w:style w:type="paragraph" w:customStyle="1" w:styleId="85">
    <w:name w:val="标准段落正文"/>
    <w:basedOn w:val="1"/>
    <w:link w:val="84"/>
    <w:qFormat/>
    <w:uiPriority w:val="0"/>
    <w:pPr>
      <w:spacing w:line="360" w:lineRule="auto"/>
      <w:ind w:firstLine="482"/>
    </w:pPr>
    <w:rPr>
      <w:rFonts w:cs="宋体" w:asciiTheme="minorHAnsi" w:hAnsiTheme="minorHAnsi" w:eastAsiaTheme="minorEastAsia"/>
      <w:sz w:val="24"/>
      <w:szCs w:val="22"/>
    </w:rPr>
  </w:style>
  <w:style w:type="character" w:customStyle="1" w:styleId="86">
    <w:name w:val="正文文字 Char"/>
    <w:qFormat/>
    <w:uiPriority w:val="0"/>
    <w:rPr>
      <w:rFonts w:ascii="Arial" w:hAnsi="Arial" w:eastAsia="宋体" w:cs="Arial"/>
      <w:kern w:val="2"/>
      <w:sz w:val="24"/>
      <w:lang w:val="en-US" w:eastAsia="zh-CN" w:bidi="ar-SA"/>
    </w:rPr>
  </w:style>
  <w:style w:type="character" w:customStyle="1" w:styleId="87">
    <w:name w:val="书籍标题1"/>
    <w:qFormat/>
    <w:uiPriority w:val="0"/>
    <w:rPr>
      <w:b/>
      <w:bCs/>
      <w:smallCaps/>
      <w:spacing w:val="5"/>
    </w:rPr>
  </w:style>
  <w:style w:type="character" w:customStyle="1" w:styleId="88">
    <w:name w:val="con"/>
    <w:qFormat/>
    <w:uiPriority w:val="0"/>
  </w:style>
  <w:style w:type="character" w:customStyle="1" w:styleId="89">
    <w:name w:val="明显参考1"/>
    <w:qFormat/>
    <w:uiPriority w:val="0"/>
    <w:rPr>
      <w:b/>
      <w:bCs/>
      <w:smallCaps/>
      <w:color w:val="C0504D"/>
      <w:spacing w:val="5"/>
      <w:u w:val="single"/>
    </w:rPr>
  </w:style>
  <w:style w:type="character" w:customStyle="1" w:styleId="90">
    <w:name w:val="grame"/>
    <w:basedOn w:val="39"/>
    <w:qFormat/>
    <w:uiPriority w:val="0"/>
  </w:style>
  <w:style w:type="paragraph" w:customStyle="1" w:styleId="91">
    <w:name w:val="列出段落1"/>
    <w:basedOn w:val="1"/>
    <w:qFormat/>
    <w:uiPriority w:val="34"/>
    <w:pPr>
      <w:ind w:firstLine="420" w:firstLineChars="200"/>
    </w:pPr>
    <w:rPr>
      <w:rFonts w:ascii="Calibri" w:hAnsi="Calibri"/>
      <w:szCs w:val="22"/>
    </w:rPr>
  </w:style>
  <w:style w:type="paragraph" w:customStyle="1" w:styleId="92">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3">
    <w:name w:val="正文文本缩进 2 字符"/>
    <w:basedOn w:val="39"/>
    <w:link w:val="24"/>
    <w:qFormat/>
    <w:uiPriority w:val="0"/>
    <w:rPr>
      <w:rFonts w:ascii="宋体" w:hAnsi="宋体"/>
      <w:sz w:val="24"/>
    </w:rPr>
  </w:style>
  <w:style w:type="character" w:customStyle="1" w:styleId="94">
    <w:name w:val="文档结构图 字符"/>
    <w:basedOn w:val="39"/>
    <w:link w:val="15"/>
    <w:qFormat/>
    <w:uiPriority w:val="0"/>
    <w:rPr>
      <w:shd w:val="clear" w:color="auto" w:fill="000080"/>
    </w:rPr>
  </w:style>
  <w:style w:type="paragraph" w:customStyle="1" w:styleId="95">
    <w:name w:val="Char"/>
    <w:basedOn w:val="1"/>
    <w:semiHidden/>
    <w:qFormat/>
    <w:uiPriority w:val="0"/>
    <w:rPr>
      <w:rFonts w:ascii="Tahoma" w:hAnsi="Tahoma" w:cs="仿宋_GB2312"/>
      <w:sz w:val="24"/>
      <w:szCs w:val="28"/>
    </w:rPr>
  </w:style>
  <w:style w:type="paragraph" w:customStyle="1" w:styleId="96">
    <w:name w:val="正文缩进1"/>
    <w:basedOn w:val="1"/>
    <w:qFormat/>
    <w:uiPriority w:val="0"/>
    <w:pPr>
      <w:ind w:firstLine="420" w:firstLineChars="200"/>
    </w:pPr>
    <w:rPr>
      <w:rFonts w:ascii="Calibri" w:hAnsi="Calibri"/>
    </w:rPr>
  </w:style>
  <w:style w:type="paragraph" w:customStyle="1" w:styleId="97">
    <w:name w:val="条目3"/>
    <w:basedOn w:val="22"/>
    <w:qFormat/>
    <w:uiPriority w:val="0"/>
  </w:style>
  <w:style w:type="character" w:customStyle="1" w:styleId="98">
    <w:name w:val="正文文本 字符"/>
    <w:basedOn w:val="39"/>
    <w:link w:val="18"/>
    <w:qFormat/>
    <w:uiPriority w:val="0"/>
    <w:rPr>
      <w:rFonts w:ascii="Arial" w:hAnsi="Arial" w:cs="Arial"/>
      <w:sz w:val="24"/>
    </w:rPr>
  </w:style>
  <w:style w:type="paragraph" w:customStyle="1" w:styleId="9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0">
    <w:name w:val="纯文本 字符"/>
    <w:basedOn w:val="39"/>
    <w:link w:val="22"/>
    <w:qFormat/>
    <w:uiPriority w:val="0"/>
    <w:rPr>
      <w:rFonts w:ascii="宋体" w:hAnsi="Courier New" w:eastAsia="宋体"/>
    </w:rPr>
  </w:style>
  <w:style w:type="paragraph" w:customStyle="1" w:styleId="101">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2">
    <w:name w:val="列出段落11"/>
    <w:basedOn w:val="1"/>
    <w:qFormat/>
    <w:uiPriority w:val="0"/>
    <w:pPr>
      <w:ind w:firstLine="420" w:firstLineChars="200"/>
    </w:pPr>
  </w:style>
  <w:style w:type="paragraph" w:customStyle="1" w:styleId="103">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4">
    <w:name w:val="首页大标题"/>
    <w:basedOn w:val="73"/>
    <w:qFormat/>
    <w:uiPriority w:val="0"/>
    <w:pPr>
      <w:ind w:firstLine="0" w:firstLineChars="0"/>
      <w:jc w:val="center"/>
    </w:pPr>
    <w:rPr>
      <w:rFonts w:ascii="黑体" w:eastAsia="黑体"/>
      <w:b/>
      <w:sz w:val="52"/>
    </w:rPr>
  </w:style>
  <w:style w:type="character" w:customStyle="1" w:styleId="105">
    <w:name w:val="正文首行缩进 字符"/>
    <w:basedOn w:val="98"/>
    <w:link w:val="35"/>
    <w:qFormat/>
    <w:uiPriority w:val="0"/>
    <w:rPr>
      <w:rFonts w:ascii="Arial" w:hAnsi="Arial" w:cs="Arial"/>
      <w:sz w:val="24"/>
    </w:rPr>
  </w:style>
  <w:style w:type="paragraph" w:customStyle="1" w:styleId="10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7">
    <w:name w:val="p0"/>
    <w:basedOn w:val="1"/>
    <w:qFormat/>
    <w:uiPriority w:val="0"/>
    <w:pPr>
      <w:widowControl/>
    </w:pPr>
    <w:rPr>
      <w:kern w:val="0"/>
      <w:szCs w:val="21"/>
    </w:rPr>
  </w:style>
  <w:style w:type="paragraph" w:customStyle="1" w:styleId="108">
    <w:name w:val="条目2"/>
    <w:basedOn w:val="22"/>
    <w:qFormat/>
    <w:uiPriority w:val="0"/>
    <w:pPr>
      <w:tabs>
        <w:tab w:val="left" w:pos="420"/>
      </w:tabs>
      <w:spacing w:line="360" w:lineRule="auto"/>
      <w:ind w:left="420" w:hanging="420"/>
    </w:pPr>
    <w:rPr>
      <w:color w:val="000000"/>
      <w:sz w:val="30"/>
    </w:rPr>
  </w:style>
  <w:style w:type="paragraph" w:customStyle="1" w:styleId="109">
    <w:name w:val="1 Char Char Char Char"/>
    <w:basedOn w:val="1"/>
    <w:qFormat/>
    <w:uiPriority w:val="0"/>
    <w:rPr>
      <w:rFonts w:ascii="Tahoma" w:hAnsi="Tahoma"/>
      <w:sz w:val="24"/>
    </w:rPr>
  </w:style>
  <w:style w:type="character" w:customStyle="1" w:styleId="110">
    <w:name w:val="普通(网站) 字符"/>
    <w:link w:val="34"/>
    <w:qFormat/>
    <w:uiPriority w:val="99"/>
    <w:rPr>
      <w:rFonts w:ascii="Arial Unicode MS" w:hAnsi="Arial Unicode MS" w:eastAsia="Arial Unicode MS" w:cs="Arial Unicode MS"/>
      <w:kern w:val="0"/>
      <w:sz w:val="24"/>
      <w:szCs w:val="24"/>
    </w:rPr>
  </w:style>
  <w:style w:type="paragraph" w:customStyle="1" w:styleId="111">
    <w:name w:val="List Paragraph"/>
    <w:basedOn w:val="1"/>
    <w:link w:val="121"/>
    <w:qFormat/>
    <w:uiPriority w:val="34"/>
    <w:pPr>
      <w:ind w:firstLine="420" w:firstLineChars="200"/>
    </w:pPr>
    <w:rPr>
      <w:rFonts w:asciiTheme="minorHAnsi" w:hAnsiTheme="minorHAnsi" w:eastAsiaTheme="minorEastAsia" w:cstheme="minorBidi"/>
      <w:szCs w:val="22"/>
    </w:rPr>
  </w:style>
  <w:style w:type="paragraph" w:customStyle="1" w:styleId="112">
    <w:name w:val="宋体小四"/>
    <w:basedOn w:val="1"/>
    <w:qFormat/>
    <w:uiPriority w:val="0"/>
    <w:pPr>
      <w:spacing w:line="360" w:lineRule="auto"/>
      <w:ind w:firstLine="480" w:firstLineChars="200"/>
    </w:pPr>
    <w:rPr>
      <w:rFonts w:ascii="Arial" w:hAnsi="Arial"/>
      <w:sz w:val="24"/>
    </w:rPr>
  </w:style>
  <w:style w:type="paragraph" w:customStyle="1" w:styleId="113">
    <w:name w:val="列出段落2"/>
    <w:basedOn w:val="1"/>
    <w:qFormat/>
    <w:uiPriority w:val="34"/>
    <w:pPr>
      <w:ind w:firstLine="420" w:firstLineChars="200"/>
    </w:pPr>
    <w:rPr>
      <w:rFonts w:asciiTheme="minorHAnsi" w:hAnsiTheme="minorHAnsi" w:cstheme="minorBidi"/>
      <w:szCs w:val="24"/>
    </w:rPr>
  </w:style>
  <w:style w:type="paragraph" w:customStyle="1" w:styleId="114">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5">
    <w:name w:val="样式1"/>
    <w:basedOn w:val="116"/>
    <w:qFormat/>
    <w:uiPriority w:val="0"/>
    <w:pPr>
      <w:spacing w:before="0" w:after="0" w:line="240" w:lineRule="auto"/>
    </w:pPr>
    <w:rPr>
      <w:rFonts w:ascii="宋体" w:hAnsi="宋体"/>
      <w:szCs w:val="21"/>
    </w:rPr>
  </w:style>
  <w:style w:type="paragraph" w:customStyle="1" w:styleId="116">
    <w:name w:val="标准正文"/>
    <w:basedOn w:val="1"/>
    <w:next w:val="1"/>
    <w:qFormat/>
    <w:uiPriority w:val="0"/>
    <w:pPr>
      <w:ind w:firstLine="200" w:firstLineChars="200"/>
    </w:pPr>
    <w:rPr>
      <w:kern w:val="0"/>
      <w:szCs w:val="20"/>
    </w:rPr>
  </w:style>
  <w:style w:type="paragraph" w:customStyle="1" w:styleId="117">
    <w:name w:val="验收文档-首页主标题"/>
    <w:basedOn w:val="1"/>
    <w:qFormat/>
    <w:uiPriority w:val="0"/>
    <w:pPr>
      <w:jc w:val="center"/>
    </w:pPr>
    <w:rPr>
      <w:rFonts w:ascii="黑体" w:eastAsia="黑体"/>
      <w:sz w:val="52"/>
      <w:szCs w:val="52"/>
    </w:rPr>
  </w:style>
  <w:style w:type="paragraph" w:customStyle="1" w:styleId="118">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9">
    <w:name w:val="正文1125"/>
    <w:basedOn w:val="1"/>
    <w:qFormat/>
    <w:uiPriority w:val="0"/>
    <w:pPr>
      <w:adjustRightInd w:val="0"/>
      <w:snapToGrid w:val="0"/>
      <w:spacing w:afterLines="50"/>
      <w:ind w:firstLine="560" w:firstLineChars="200"/>
    </w:pPr>
    <w:rPr>
      <w:szCs w:val="28"/>
    </w:rPr>
  </w:style>
  <w:style w:type="paragraph" w:customStyle="1" w:styleId="120">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1">
    <w:name w:val="列出段落 字符"/>
    <w:link w:val="111"/>
    <w:qFormat/>
    <w:uiPriority w:val="34"/>
    <w:rPr>
      <w:kern w:val="2"/>
      <w:sz w:val="21"/>
      <w:szCs w:val="22"/>
    </w:rPr>
  </w:style>
  <w:style w:type="character" w:customStyle="1" w:styleId="122">
    <w:name w:val="bookmark-item"/>
    <w:basedOn w:val="39"/>
    <w:qFormat/>
    <w:uiPriority w:val="0"/>
  </w:style>
  <w:style w:type="paragraph" w:customStyle="1" w:styleId="12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4">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5">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7">
    <w:name w:val="WPSOffice手动目录 1"/>
    <w:qFormat/>
    <w:uiPriority w:val="0"/>
    <w:rPr>
      <w:rFonts w:asciiTheme="minorHAnsi" w:hAnsiTheme="minorHAnsi" w:eastAsiaTheme="minorEastAsia" w:cstheme="minorBidi"/>
      <w:lang w:val="en-US" w:eastAsia="zh-CN" w:bidi="ar-SA"/>
    </w:rPr>
  </w:style>
  <w:style w:type="paragraph" w:customStyle="1" w:styleId="128">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标题 5（有编号）（绿盟科技）"/>
    <w:basedOn w:val="1"/>
    <w:next w:val="130"/>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3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31">
    <w:name w:val="技术需求标题2"/>
    <w:basedOn w:val="4"/>
    <w:qFormat/>
    <w:uiPriority w:val="0"/>
    <w:pPr>
      <w:spacing w:before="0" w:after="0" w:line="360" w:lineRule="auto"/>
    </w:pPr>
    <w:rPr>
      <w:rFonts w:ascii="Times New Roman" w:hAnsi="Times New Roman" w:eastAsia="宋体" w:cs="Times New Roman"/>
      <w:kern w:val="0"/>
    </w:rPr>
  </w:style>
  <w:style w:type="paragraph" w:customStyle="1" w:styleId="132">
    <w:name w:val="Text"/>
    <w:basedOn w:val="1"/>
    <w:qFormat/>
    <w:uiPriority w:val="99"/>
    <w:pPr>
      <w:widowControl/>
      <w:spacing w:before="120" w:after="240"/>
      <w:outlineLvl w:val="1"/>
    </w:pPr>
    <w:rPr>
      <w:rFonts w:ascii="Arial" w:hAnsi="Arial"/>
      <w:kern w:val="28"/>
      <w:sz w:val="20"/>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25528</Words>
  <Characters>26830</Characters>
  <Lines>182</Lines>
  <Paragraphs>51</Paragraphs>
  <TotalTime>77</TotalTime>
  <ScaleCrop>false</ScaleCrop>
  <LinksUpToDate>false</LinksUpToDate>
  <CharactersWithSpaces>28372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-_少年不知心</cp:lastModifiedBy>
  <cp:lastPrinted>2021-06-18T02:14:00Z</cp:lastPrinted>
  <dcterms:modified xsi:type="dcterms:W3CDTF">2022-11-30T04:52:50Z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959484478E714A148120FE4B9C3EA66B</vt:lpwstr>
  </property>
</Properties>
</file>