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56170377"/>
      <w:bookmarkStart w:id="2" w:name="_Toc82497891"/>
      <w:bookmarkStart w:id="3" w:name="_Toc55990499"/>
      <w:r>
        <w:rPr>
          <w:rFonts w:hint="eastAsia" w:ascii="仿宋" w:hAnsi="仿宋" w:eastAsia="仿宋"/>
          <w:color w:val="000000"/>
          <w:sz w:val="120"/>
          <w:szCs w:val="120"/>
        </w:rPr>
        <w:t>磋 商 文 件</w:t>
      </w:r>
    </w:p>
    <w:p>
      <w:pPr>
        <w:pStyle w:val="27"/>
        <w:spacing w:before="1716" w:beforeLines="550" w:line="360" w:lineRule="auto"/>
        <w:ind w:firstLine="720"/>
        <w:rPr>
          <w:rFonts w:hint="default" w:ascii="仿宋" w:hAnsi="仿宋" w:eastAsia="仿宋"/>
          <w:sz w:val="36"/>
          <w:szCs w:val="36"/>
          <w:lang w:val="en-US" w:eastAsia="zh-CN"/>
        </w:rPr>
      </w:pPr>
      <w:r>
        <w:rPr>
          <w:rFonts w:hint="eastAsia" w:ascii="仿宋" w:hAnsi="仿宋" w:eastAsia="仿宋"/>
          <w:sz w:val="36"/>
          <w:szCs w:val="36"/>
        </w:rPr>
        <w:t>项目编号：</w:t>
      </w:r>
      <w:r>
        <w:rPr>
          <w:rFonts w:hint="eastAsia" w:ascii="仿宋" w:hAnsi="仿宋" w:eastAsia="仿宋"/>
          <w:sz w:val="36"/>
          <w:szCs w:val="36"/>
          <w:lang w:val="en-US" w:eastAsia="zh-CN"/>
        </w:rPr>
        <w:t>XJBYHT-2022-004号</w:t>
      </w:r>
    </w:p>
    <w:p>
      <w:pPr>
        <w:pStyle w:val="27"/>
        <w:spacing w:line="360" w:lineRule="auto"/>
        <w:ind w:left="2518" w:leftChars="342" w:hanging="1800" w:hangingChars="500"/>
        <w:rPr>
          <w:rFonts w:hint="default" w:ascii="仿宋" w:hAnsi="仿宋" w:eastAsia="仿宋" w:cs="仿宋"/>
          <w:sz w:val="36"/>
          <w:szCs w:val="36"/>
          <w:lang w:val="en-US" w:eastAsia="zh-CN"/>
        </w:rPr>
      </w:pPr>
      <w:r>
        <w:rPr>
          <w:rFonts w:hint="eastAsia" w:ascii="仿宋" w:hAnsi="仿宋" w:eastAsia="仿宋" w:cs="仿宋"/>
          <w:sz w:val="36"/>
          <w:szCs w:val="36"/>
        </w:rPr>
        <w:t>项目名称：新疆维吾尔自治区维吾尔医医院</w:t>
      </w:r>
      <w:r>
        <w:rPr>
          <w:rFonts w:hint="eastAsia" w:ascii="仿宋" w:hAnsi="仿宋" w:eastAsia="仿宋" w:cs="仿宋"/>
          <w:sz w:val="36"/>
          <w:szCs w:val="36"/>
          <w:lang w:val="en-US" w:eastAsia="zh-CN"/>
        </w:rPr>
        <w:t>制剂室酒精采购项目</w:t>
      </w:r>
    </w:p>
    <w:p>
      <w:pPr>
        <w:pStyle w:val="27"/>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人：新疆维吾尔自治区维吾尔医医院</w:t>
      </w:r>
    </w:p>
    <w:p>
      <w:pPr>
        <w:pStyle w:val="27"/>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址：乌鲁木齐市山区延安路776号</w:t>
      </w:r>
    </w:p>
    <w:p>
      <w:pPr>
        <w:pStyle w:val="27"/>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联系电话：0991-6296620</w:t>
      </w:r>
    </w:p>
    <w:p>
      <w:pPr>
        <w:pStyle w:val="27"/>
        <w:spacing w:line="360" w:lineRule="auto"/>
        <w:ind w:firstLine="720"/>
        <w:rPr>
          <w:rFonts w:ascii="仿宋" w:hAnsi="仿宋" w:eastAsia="仿宋" w:cs="仿宋"/>
          <w:sz w:val="36"/>
          <w:szCs w:val="36"/>
        </w:rPr>
      </w:pPr>
    </w:p>
    <w:p>
      <w:pPr>
        <w:pStyle w:val="27"/>
        <w:spacing w:line="360" w:lineRule="auto"/>
        <w:ind w:firstLine="720"/>
        <w:rPr>
          <w:rFonts w:ascii="仿宋" w:hAnsi="仿宋" w:eastAsia="仿宋" w:cs="仿宋"/>
          <w:sz w:val="36"/>
          <w:szCs w:val="36"/>
        </w:rPr>
      </w:pPr>
    </w:p>
    <w:p>
      <w:pPr>
        <w:pStyle w:val="27"/>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采购代理：新疆博源汇通项目管理咨询有限公司</w:t>
      </w:r>
    </w:p>
    <w:p>
      <w:pPr>
        <w:pStyle w:val="27"/>
        <w:spacing w:line="360" w:lineRule="auto"/>
        <w:ind w:left="2518" w:leftChars="342" w:hanging="1800" w:hangingChars="500"/>
        <w:rPr>
          <w:rFonts w:hint="eastAsia" w:ascii="仿宋" w:hAnsi="仿宋" w:eastAsia="仿宋" w:cs="仿宋"/>
          <w:sz w:val="36"/>
          <w:szCs w:val="36"/>
          <w:lang w:val="en-US" w:eastAsia="zh-CN"/>
        </w:rPr>
      </w:pPr>
      <w:r>
        <w:rPr>
          <w:rFonts w:hint="eastAsia" w:ascii="仿宋" w:hAnsi="仿宋" w:eastAsia="仿宋" w:cs="仿宋"/>
          <w:sz w:val="36"/>
          <w:szCs w:val="36"/>
        </w:rPr>
        <w:t>地    址：</w:t>
      </w:r>
      <w:r>
        <w:rPr>
          <w:rFonts w:hint="eastAsia" w:ascii="仿宋" w:hAnsi="仿宋" w:eastAsia="仿宋" w:cs="仿宋"/>
          <w:sz w:val="36"/>
          <w:szCs w:val="36"/>
          <w:lang w:val="en-US" w:eastAsia="zh-CN"/>
        </w:rPr>
        <w:t>新疆乌鲁木齐市沙依巴克区经二路51号一栋5号</w:t>
      </w:r>
    </w:p>
    <w:p>
      <w:pPr>
        <w:pStyle w:val="27"/>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val="en-US" w:eastAsia="zh-CN"/>
        </w:rPr>
        <w:t>穆志豪</w:t>
      </w:r>
    </w:p>
    <w:p>
      <w:pPr>
        <w:pStyle w:val="27"/>
        <w:spacing w:line="360" w:lineRule="auto"/>
        <w:ind w:firstLine="720"/>
        <w:rPr>
          <w:rFonts w:hint="default" w:ascii="仿宋" w:hAnsi="仿宋" w:eastAsia="仿宋" w:cs="仿宋"/>
          <w:sz w:val="36"/>
          <w:szCs w:val="36"/>
          <w:lang w:val="en-US" w:eastAsia="zh-CN"/>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18209927610</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lang w:val="en-US" w:eastAsia="zh-CN"/>
            </w:rPr>
            <w:t>8</w:t>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lang w:val="en-US" w:eastAsia="zh-CN"/>
            </w:rPr>
            <w:t>10</w:t>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4</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5</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7</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9</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9</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0</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2</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3</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4</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5</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6</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7</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8</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9</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0</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1</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2</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三</w:t>
          </w:r>
          <w:r>
            <w:rPr>
              <w:rFonts w:hint="eastAsia" w:ascii="仿宋" w:hAnsi="仿宋" w:eastAsia="仿宋" w:cs="仿宋"/>
              <w:sz w:val="24"/>
              <w:szCs w:val="24"/>
            </w:rPr>
            <w:t>、</w:t>
          </w:r>
          <w:r>
            <w:rPr>
              <w:rFonts w:hint="eastAsia" w:ascii="仿宋" w:hAnsi="仿宋" w:eastAsia="仿宋" w:cs="仿宋"/>
              <w:sz w:val="24"/>
              <w:szCs w:val="24"/>
              <w:lang w:val="en-US" w:eastAsia="zh-CN"/>
            </w:rPr>
            <w:t>其他资料</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lang w:val="en-US" w:eastAsia="zh-CN"/>
            </w:rPr>
            <w:t>3</w:t>
          </w:r>
        </w:p>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4"/>
        <w:spacing w:line="240" w:lineRule="auto"/>
        <w:rPr>
          <w:rFonts w:hint="eastAsia"/>
        </w:rPr>
      </w:pPr>
      <w:bookmarkStart w:id="4" w:name="_Toc61184620"/>
      <w:bookmarkStart w:id="5" w:name="_Toc28475"/>
      <w:r>
        <w:rPr>
          <w:rFonts w:hint="eastAsia"/>
        </w:rPr>
        <w:t>第一章、磋商公告</w:t>
      </w:r>
      <w:bookmarkEnd w:id="4"/>
      <w:bookmarkEnd w:id="5"/>
    </w:p>
    <w:p>
      <w:pPr>
        <w:pStyle w:val="26"/>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val="en-US" w:eastAsia="zh-CN"/>
        </w:rPr>
        <w:t>XJBYHT-2022-004号</w:t>
      </w:r>
    </w:p>
    <w:p>
      <w:pPr>
        <w:pStyle w:val="26"/>
        <w:snapToGrid w:val="0"/>
        <w:spacing w:line="360" w:lineRule="auto"/>
        <w:ind w:firstLine="560" w:firstLineChars="200"/>
        <w:jc w:val="both"/>
        <w:rPr>
          <w:rFonts w:hint="eastAsia" w:ascii="仿宋" w:hAnsi="仿宋" w:eastAsia="仿宋"/>
          <w:sz w:val="28"/>
          <w:lang w:val="en-US" w:eastAsia="zh-CN"/>
        </w:rPr>
      </w:pPr>
      <w:r>
        <w:rPr>
          <w:rFonts w:ascii="仿宋" w:hAnsi="仿宋" w:eastAsia="仿宋"/>
          <w:sz w:val="28"/>
        </w:rPr>
        <w:t>二、</w:t>
      </w:r>
      <w:r>
        <w:rPr>
          <w:rFonts w:hint="eastAsia" w:ascii="仿宋" w:hAnsi="仿宋" w:eastAsia="仿宋"/>
          <w:sz w:val="28"/>
        </w:rPr>
        <w:t>项目名称：新疆维吾尔自治区维吾尔医医院</w:t>
      </w:r>
      <w:r>
        <w:rPr>
          <w:rFonts w:hint="eastAsia" w:ascii="仿宋" w:hAnsi="仿宋" w:eastAsia="仿宋"/>
          <w:sz w:val="28"/>
          <w:lang w:val="en-US" w:eastAsia="zh-CN"/>
        </w:rPr>
        <w:t>制剂室酒精采购项目</w:t>
      </w:r>
    </w:p>
    <w:p>
      <w:pPr>
        <w:pStyle w:val="26"/>
        <w:snapToGrid w:val="0"/>
        <w:spacing w:line="360" w:lineRule="auto"/>
        <w:ind w:firstLine="560" w:firstLineChars="200"/>
        <w:jc w:val="both"/>
        <w:rPr>
          <w:rFonts w:hint="default" w:ascii="仿宋" w:hAnsi="仿宋" w:eastAsia="仿宋"/>
          <w:sz w:val="28"/>
          <w:lang w:val="en-US"/>
        </w:rPr>
      </w:pPr>
      <w:r>
        <w:rPr>
          <w:rFonts w:ascii="仿宋" w:hAnsi="仿宋" w:eastAsia="仿宋"/>
          <w:sz w:val="28"/>
        </w:rPr>
        <w:t>三、</w:t>
      </w:r>
      <w:r>
        <w:rPr>
          <w:rFonts w:hint="eastAsia" w:ascii="仿宋" w:hAnsi="仿宋" w:eastAsia="仿宋"/>
          <w:sz w:val="28"/>
        </w:rPr>
        <w:t>磋商项目概况：</w:t>
      </w:r>
      <w:r>
        <w:rPr>
          <w:rFonts w:hint="eastAsia" w:ascii="仿宋" w:hAnsi="仿宋" w:eastAsia="仿宋"/>
          <w:sz w:val="28"/>
          <w:lang w:val="en-US" w:eastAsia="zh-CN"/>
        </w:rPr>
        <w:t>采购酒精60吨，预算64.8万元。</w:t>
      </w:r>
    </w:p>
    <w:p>
      <w:pPr>
        <w:pStyle w:val="26"/>
        <w:snapToGrid w:val="0"/>
        <w:spacing w:line="360" w:lineRule="auto"/>
        <w:ind w:firstLine="560"/>
        <w:jc w:val="both"/>
        <w:rPr>
          <w:rFonts w:hint="eastAsia" w:ascii="仿宋" w:hAnsi="仿宋" w:eastAsia="仿宋" w:cs="仿宋"/>
          <w:kern w:val="0"/>
          <w:sz w:val="28"/>
          <w:szCs w:val="28"/>
        </w:rPr>
      </w:pPr>
      <w:r>
        <w:rPr>
          <w:rFonts w:hint="eastAsia" w:ascii="仿宋" w:hAnsi="仿宋" w:eastAsia="仿宋" w:cs="仿宋"/>
          <w:kern w:val="0"/>
          <w:sz w:val="28"/>
          <w:szCs w:val="28"/>
        </w:rPr>
        <w:t>四、供应商资格要求：</w:t>
      </w:r>
    </w:p>
    <w:p>
      <w:pPr>
        <w:pStyle w:val="26"/>
        <w:snapToGrid w:val="0"/>
        <w:spacing w:line="360" w:lineRule="auto"/>
        <w:ind w:firstLine="56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1、符合《中华人民共和国政府采购法》第二十二条款规定；</w:t>
      </w:r>
    </w:p>
    <w:p>
      <w:pPr>
        <w:pStyle w:val="26"/>
        <w:snapToGrid w:val="0"/>
        <w:spacing w:line="360" w:lineRule="auto"/>
        <w:ind w:firstLine="56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2、投标人须提供有效的营业执照；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6"/>
        <w:snapToGrid w:val="0"/>
        <w:spacing w:line="360" w:lineRule="auto"/>
        <w:ind w:firstLine="560"/>
        <w:jc w:val="both"/>
        <w:rPr>
          <w:rFonts w:hint="eastAsia"/>
        </w:rPr>
      </w:pPr>
      <w:r>
        <w:rPr>
          <w:rFonts w:hint="eastAsia" w:ascii="仿宋" w:hAnsi="仿宋" w:eastAsia="仿宋"/>
          <w:sz w:val="28"/>
          <w:lang w:val="en-US" w:eastAsia="zh-CN"/>
        </w:rPr>
        <w:t>4</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、本项目不接受联合体投标。</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w:t>
      </w:r>
      <w:r>
        <w:rPr>
          <w:rFonts w:hint="eastAsia" w:ascii="仿宋" w:hAnsi="仿宋" w:eastAsia="仿宋"/>
          <w:sz w:val="28"/>
          <w:lang w:val="en-US" w:eastAsia="zh-CN"/>
        </w:rPr>
        <w:t>地点</w:t>
      </w:r>
      <w:r>
        <w:rPr>
          <w:rFonts w:ascii="仿宋" w:hAnsi="仿宋" w:eastAsia="仿宋"/>
          <w:sz w:val="28"/>
        </w:rPr>
        <w:t>、售价：</w:t>
      </w:r>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lang w:eastAsia="zh-CN"/>
        </w:rPr>
        <w:t>2022</w:t>
      </w:r>
      <w:r>
        <w:rPr>
          <w:rFonts w:hint="eastAsia" w:ascii="仿宋" w:hAnsi="仿宋" w:eastAsia="仿宋"/>
          <w:sz w:val="28"/>
          <w:u w:val="none"/>
          <w:lang w:eastAsia="zh-CN"/>
        </w:rPr>
        <w:t>年</w:t>
      </w:r>
      <w:r>
        <w:rPr>
          <w:rFonts w:hint="eastAsia" w:ascii="仿宋" w:hAnsi="仿宋" w:eastAsia="仿宋"/>
          <w:sz w:val="28"/>
          <w:u w:val="single"/>
          <w:lang w:val="en-US" w:eastAsia="zh-CN"/>
        </w:rPr>
        <w:t>08</w:t>
      </w:r>
      <w:r>
        <w:rPr>
          <w:rFonts w:hint="eastAsia" w:ascii="仿宋" w:hAnsi="仿宋" w:eastAsia="仿宋"/>
          <w:sz w:val="28"/>
        </w:rPr>
        <w:t>月</w:t>
      </w:r>
      <w:r>
        <w:rPr>
          <w:rFonts w:hint="eastAsia" w:ascii="仿宋" w:hAnsi="仿宋" w:eastAsia="仿宋"/>
          <w:sz w:val="28"/>
          <w:u w:val="single"/>
          <w:lang w:val="en-US" w:eastAsia="zh-CN"/>
        </w:rPr>
        <w:t>10</w:t>
      </w:r>
      <w:r>
        <w:rPr>
          <w:rFonts w:hint="eastAsia" w:ascii="仿宋" w:hAnsi="仿宋" w:eastAsia="仿宋"/>
          <w:sz w:val="28"/>
        </w:rPr>
        <w:t>日-</w:t>
      </w:r>
      <w:r>
        <w:rPr>
          <w:rFonts w:hint="eastAsia" w:ascii="仿宋" w:hAnsi="仿宋" w:eastAsia="仿宋"/>
          <w:sz w:val="28"/>
          <w:lang w:eastAsia="zh-CN"/>
        </w:rPr>
        <w:t>2022年</w:t>
      </w:r>
      <w:r>
        <w:rPr>
          <w:rFonts w:hint="eastAsia" w:ascii="仿宋" w:hAnsi="仿宋" w:eastAsia="仿宋"/>
          <w:sz w:val="28"/>
          <w:u w:val="single"/>
          <w:lang w:val="en-US" w:eastAsia="zh-CN"/>
        </w:rPr>
        <w:t>08</w:t>
      </w:r>
      <w:r>
        <w:rPr>
          <w:rFonts w:hint="eastAsia" w:ascii="仿宋" w:hAnsi="仿宋" w:eastAsia="仿宋"/>
          <w:sz w:val="28"/>
        </w:rPr>
        <w:t>月</w:t>
      </w:r>
      <w:r>
        <w:rPr>
          <w:rFonts w:hint="eastAsia" w:ascii="仿宋" w:hAnsi="仿宋" w:eastAsia="仿宋"/>
          <w:sz w:val="28"/>
          <w:u w:val="single"/>
          <w:lang w:val="en-US" w:eastAsia="zh-CN"/>
        </w:rPr>
        <w:t>17</w:t>
      </w:r>
      <w:r>
        <w:rPr>
          <w:rFonts w:hint="eastAsia" w:ascii="仿宋" w:hAnsi="仿宋" w:eastAsia="仿宋"/>
          <w:sz w:val="28"/>
        </w:rPr>
        <w:t>日</w:t>
      </w:r>
      <w:bookmarkEnd w:id="6"/>
    </w:p>
    <w:p>
      <w:pPr>
        <w:pStyle w:val="26"/>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6</w:t>
      </w:r>
      <w:r>
        <w:rPr>
          <w:rFonts w:ascii="仿宋" w:hAnsi="仿宋" w:eastAsia="仿宋"/>
          <w:sz w:val="28"/>
        </w:rPr>
        <w:t>：</w:t>
      </w:r>
      <w:r>
        <w:rPr>
          <w:rFonts w:hint="eastAsia" w:ascii="仿宋" w:hAnsi="仿宋" w:eastAsia="仿宋"/>
          <w:sz w:val="28"/>
          <w:lang w:val="en-US" w:eastAsia="zh-CN"/>
        </w:rPr>
        <w:t>0</w:t>
      </w:r>
      <w:r>
        <w:rPr>
          <w:rFonts w:ascii="仿宋" w:hAnsi="仿宋" w:eastAsia="仿宋"/>
          <w:sz w:val="28"/>
        </w:rPr>
        <w:t>0-1</w:t>
      </w:r>
      <w:r>
        <w:rPr>
          <w:rFonts w:hint="eastAsia" w:ascii="仿宋" w:hAnsi="仿宋" w:eastAsia="仿宋"/>
          <w:sz w:val="28"/>
          <w:lang w:val="en-US" w:eastAsia="zh-CN"/>
        </w:rPr>
        <w:t>9</w:t>
      </w:r>
      <w:r>
        <w:rPr>
          <w:rFonts w:ascii="仿宋" w:hAnsi="仿宋" w:eastAsia="仿宋"/>
          <w:sz w:val="28"/>
        </w:rPr>
        <w:t>：</w:t>
      </w:r>
      <w:r>
        <w:rPr>
          <w:rFonts w:hint="eastAsia" w:ascii="仿宋" w:hAnsi="仿宋" w:eastAsia="仿宋"/>
          <w:sz w:val="28"/>
          <w:lang w:val="en-US" w:eastAsia="zh-CN"/>
        </w:rPr>
        <w:t>0</w:t>
      </w:r>
      <w:r>
        <w:rPr>
          <w:rFonts w:ascii="仿宋" w:hAnsi="仿宋" w:eastAsia="仿宋"/>
          <w:sz w:val="28"/>
        </w:rPr>
        <w:t>0（北京时间，法定节假日除外）</w:t>
      </w:r>
    </w:p>
    <w:p>
      <w:pPr>
        <w:pStyle w:val="26"/>
        <w:numPr>
          <w:ilvl w:val="0"/>
          <w:numId w:val="2"/>
        </w:numPr>
        <w:snapToGrid w:val="0"/>
        <w:spacing w:line="360" w:lineRule="auto"/>
        <w:ind w:firstLine="560" w:firstLineChars="200"/>
        <w:jc w:val="both"/>
        <w:rPr>
          <w:rFonts w:hint="eastAsia" w:ascii="仿宋" w:hAnsi="仿宋" w:eastAsia="仿宋"/>
          <w:b w:val="0"/>
          <w:bCs w:val="0"/>
          <w:sz w:val="28"/>
        </w:rPr>
      </w:pPr>
      <w:r>
        <w:rPr>
          <w:rFonts w:ascii="仿宋" w:hAnsi="仿宋" w:eastAsia="仿宋"/>
          <w:b w:val="0"/>
          <w:bCs w:val="0"/>
          <w:sz w:val="28"/>
        </w:rPr>
        <w:t>地点：线上邮箱获取</w:t>
      </w:r>
    </w:p>
    <w:p>
      <w:pPr>
        <w:pStyle w:val="26"/>
        <w:numPr>
          <w:ilvl w:val="0"/>
          <w:numId w:val="2"/>
        </w:numPr>
        <w:snapToGrid w:val="0"/>
        <w:spacing w:line="360" w:lineRule="auto"/>
        <w:ind w:firstLine="560" w:firstLineChars="200"/>
        <w:jc w:val="both"/>
        <w:rPr>
          <w:rFonts w:hint="eastAsia" w:ascii="仿宋" w:hAnsi="仿宋" w:eastAsia="仿宋"/>
          <w:b w:val="0"/>
          <w:bCs w:val="0"/>
          <w:sz w:val="28"/>
        </w:rPr>
      </w:pPr>
      <w:r>
        <w:rPr>
          <w:rFonts w:hint="eastAsia" w:ascii="仿宋" w:hAnsi="仿宋" w:eastAsia="仿宋"/>
          <w:b w:val="0"/>
          <w:bCs w:val="0"/>
          <w:sz w:val="28"/>
          <w:lang w:val="en-US" w:eastAsia="zh-CN"/>
        </w:rPr>
        <w:t>方式：将获取文件的邮箱号发送至1397158085@qq.com邮箱获取，标明所要获取的项目名称、项目编号、联系方式、法定代表人授权委托书及被授权人的身份证复印件（加盖公章扫描件）、营业执照（加盖公章扫描件）。</w:t>
      </w:r>
    </w:p>
    <w:p>
      <w:pPr>
        <w:pStyle w:val="26"/>
        <w:numPr>
          <w:ilvl w:val="0"/>
          <w:numId w:val="0"/>
        </w:numPr>
        <w:snapToGrid w:val="0"/>
        <w:spacing w:line="360" w:lineRule="auto"/>
        <w:ind w:firstLine="560" w:firstLineChars="200"/>
        <w:jc w:val="both"/>
        <w:rPr>
          <w:rFonts w:ascii="仿宋" w:hAnsi="仿宋" w:eastAsia="仿宋"/>
          <w:sz w:val="28"/>
        </w:rPr>
      </w:pPr>
      <w:r>
        <w:rPr>
          <w:rFonts w:hint="eastAsia" w:ascii="仿宋" w:hAnsi="仿宋" w:eastAsia="仿宋"/>
          <w:sz w:val="28"/>
          <w:lang w:val="en-US" w:eastAsia="zh-CN"/>
        </w:rPr>
        <w:t>4</w:t>
      </w:r>
      <w:r>
        <w:rPr>
          <w:rFonts w:ascii="仿宋" w:hAnsi="仿宋" w:eastAsia="仿宋"/>
          <w:sz w:val="28"/>
        </w:rPr>
        <w:t>．标书售价（元）：</w:t>
      </w:r>
      <w:r>
        <w:rPr>
          <w:rFonts w:hint="eastAsia" w:ascii="仿宋" w:hAnsi="仿宋" w:eastAsia="仿宋"/>
          <w:sz w:val="28"/>
        </w:rPr>
        <w:t>3</w:t>
      </w:r>
      <w:r>
        <w:rPr>
          <w:rFonts w:ascii="仿宋" w:hAnsi="仿宋" w:eastAsia="仿宋"/>
          <w:sz w:val="28"/>
        </w:rPr>
        <w:t>00</w:t>
      </w:r>
    </w:p>
    <w:p>
      <w:pPr>
        <w:pStyle w:val="26"/>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7" w:name="_Hlk56775416"/>
      <w:r>
        <w:rPr>
          <w:rFonts w:hint="eastAsia" w:ascii="仿宋" w:hAnsi="仿宋" w:eastAsia="仿宋"/>
          <w:color w:val="FF0000"/>
          <w:sz w:val="28"/>
          <w:u w:val="single"/>
          <w:lang w:eastAsia="zh-CN"/>
        </w:rPr>
        <w:t>2022年</w:t>
      </w:r>
      <w:r>
        <w:rPr>
          <w:rFonts w:hint="eastAsia" w:ascii="仿宋" w:hAnsi="仿宋" w:eastAsia="仿宋"/>
          <w:color w:val="FF0000"/>
          <w:sz w:val="28"/>
          <w:u w:val="single"/>
          <w:lang w:val="en-US" w:eastAsia="zh-CN"/>
        </w:rPr>
        <w:t>08</w:t>
      </w:r>
      <w:r>
        <w:rPr>
          <w:rFonts w:hint="eastAsia" w:ascii="仿宋" w:hAnsi="仿宋" w:eastAsia="仿宋"/>
          <w:color w:val="FF0000"/>
          <w:sz w:val="28"/>
          <w:u w:val="single"/>
          <w:lang w:eastAsia="zh-CN"/>
        </w:rPr>
        <w:t>月</w:t>
      </w:r>
      <w:r>
        <w:rPr>
          <w:rFonts w:hint="eastAsia" w:ascii="仿宋" w:hAnsi="仿宋" w:eastAsia="仿宋"/>
          <w:color w:val="FF0000"/>
          <w:sz w:val="28"/>
          <w:u w:val="single"/>
          <w:lang w:val="en-US" w:eastAsia="zh-CN"/>
        </w:rPr>
        <w:t>22</w:t>
      </w:r>
      <w:r>
        <w:rPr>
          <w:rFonts w:hint="eastAsia" w:ascii="仿宋" w:hAnsi="仿宋" w:eastAsia="仿宋"/>
          <w:color w:val="FF0000"/>
          <w:sz w:val="28"/>
          <w:u w:val="single"/>
          <w:lang w:eastAsia="zh-CN"/>
        </w:rPr>
        <w:t>日</w:t>
      </w:r>
      <w:r>
        <w:rPr>
          <w:rFonts w:hint="eastAsia" w:ascii="仿宋" w:hAnsi="仿宋" w:eastAsia="仿宋"/>
          <w:color w:val="FF0000"/>
          <w:sz w:val="28"/>
          <w:u w:val="single"/>
          <w:lang w:val="en-US" w:eastAsia="zh-CN"/>
        </w:rPr>
        <w:t>11</w:t>
      </w:r>
      <w:r>
        <w:rPr>
          <w:rFonts w:hint="eastAsia" w:ascii="仿宋" w:hAnsi="仿宋" w:eastAsia="仿宋"/>
          <w:color w:val="FF0000"/>
          <w:sz w:val="28"/>
          <w:u w:val="single"/>
          <w:lang w:eastAsia="zh-CN"/>
        </w:rPr>
        <w:t>时00分</w:t>
      </w:r>
      <w:r>
        <w:rPr>
          <w:rFonts w:hint="eastAsia" w:ascii="仿宋" w:hAnsi="仿宋" w:eastAsia="仿宋"/>
          <w:sz w:val="28"/>
        </w:rPr>
        <w:t>（北京时间）</w:t>
      </w:r>
      <w:bookmarkEnd w:id="7"/>
    </w:p>
    <w:p>
      <w:pPr>
        <w:pStyle w:val="26"/>
        <w:snapToGrid w:val="0"/>
        <w:spacing w:line="360" w:lineRule="auto"/>
        <w:ind w:firstLine="562" w:firstLineChars="200"/>
        <w:jc w:val="both"/>
        <w:rPr>
          <w:rFonts w:hint="eastAsia" w:ascii="仿宋" w:hAnsi="仿宋" w:eastAsia="仿宋"/>
          <w:b w:val="0"/>
          <w:bCs w:val="0"/>
          <w:color w:val="auto"/>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val="0"/>
          <w:bCs w:val="0"/>
          <w:color w:val="auto"/>
          <w:sz w:val="28"/>
          <w:lang w:eastAsia="zh-CN"/>
        </w:rPr>
        <w:t>乌鲁木齐市水磨沟区龙腾路66号万科大都会综合楼8#1003室</w:t>
      </w:r>
    </w:p>
    <w:p>
      <w:pPr>
        <w:pStyle w:val="26"/>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color w:val="FF0000"/>
          <w:sz w:val="28"/>
          <w:u w:val="single"/>
          <w:lang w:eastAsia="zh-CN"/>
        </w:rPr>
        <w:t>2022年</w:t>
      </w:r>
      <w:r>
        <w:rPr>
          <w:rFonts w:hint="eastAsia" w:ascii="仿宋" w:hAnsi="仿宋" w:eastAsia="仿宋"/>
          <w:color w:val="FF0000"/>
          <w:sz w:val="28"/>
          <w:u w:val="single"/>
          <w:lang w:val="en-US" w:eastAsia="zh-CN"/>
        </w:rPr>
        <w:t>08</w:t>
      </w:r>
      <w:r>
        <w:rPr>
          <w:rFonts w:hint="eastAsia" w:ascii="仿宋" w:hAnsi="仿宋" w:eastAsia="仿宋"/>
          <w:color w:val="FF0000"/>
          <w:sz w:val="28"/>
          <w:u w:val="single"/>
          <w:lang w:eastAsia="zh-CN"/>
        </w:rPr>
        <w:t>月</w:t>
      </w:r>
      <w:r>
        <w:rPr>
          <w:rFonts w:hint="eastAsia" w:ascii="仿宋" w:hAnsi="仿宋" w:eastAsia="仿宋"/>
          <w:color w:val="FF0000"/>
          <w:sz w:val="28"/>
          <w:u w:val="single"/>
          <w:lang w:val="en-US" w:eastAsia="zh-CN"/>
        </w:rPr>
        <w:t>22</w:t>
      </w:r>
      <w:r>
        <w:rPr>
          <w:rFonts w:hint="eastAsia" w:ascii="仿宋" w:hAnsi="仿宋" w:eastAsia="仿宋"/>
          <w:color w:val="FF0000"/>
          <w:sz w:val="28"/>
          <w:u w:val="single"/>
          <w:lang w:eastAsia="zh-CN"/>
        </w:rPr>
        <w:t>日</w:t>
      </w:r>
      <w:r>
        <w:rPr>
          <w:rFonts w:hint="eastAsia" w:ascii="仿宋" w:hAnsi="仿宋" w:eastAsia="仿宋"/>
          <w:color w:val="FF0000"/>
          <w:sz w:val="28"/>
          <w:u w:val="single"/>
          <w:lang w:val="en-US" w:eastAsia="zh-CN"/>
        </w:rPr>
        <w:t>11</w:t>
      </w:r>
      <w:r>
        <w:rPr>
          <w:rFonts w:hint="eastAsia" w:ascii="仿宋" w:hAnsi="仿宋" w:eastAsia="仿宋"/>
          <w:color w:val="FF0000"/>
          <w:sz w:val="28"/>
          <w:u w:val="single"/>
          <w:lang w:eastAsia="zh-CN"/>
        </w:rPr>
        <w:t>时00分</w:t>
      </w:r>
      <w:r>
        <w:rPr>
          <w:rFonts w:hint="eastAsia" w:ascii="仿宋" w:hAnsi="仿宋" w:eastAsia="仿宋"/>
          <w:sz w:val="28"/>
        </w:rPr>
        <w:t>（北京时间）</w:t>
      </w:r>
    </w:p>
    <w:p>
      <w:pPr>
        <w:pStyle w:val="26"/>
        <w:snapToGrid w:val="0"/>
        <w:spacing w:line="360" w:lineRule="auto"/>
        <w:ind w:firstLine="562" w:firstLineChars="200"/>
        <w:jc w:val="both"/>
        <w:rPr>
          <w:rFonts w:hint="eastAsia" w:ascii="仿宋" w:hAnsi="仿宋" w:eastAsia="仿宋"/>
          <w:b w:val="0"/>
          <w:bCs w:val="0"/>
          <w:color w:val="auto"/>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val="0"/>
          <w:bCs w:val="0"/>
          <w:color w:val="auto"/>
          <w:sz w:val="28"/>
          <w:lang w:eastAsia="zh-CN"/>
        </w:rPr>
        <w:t>乌鲁木齐市水磨沟区龙腾路66号万科大都会综合楼8#1003室</w:t>
      </w:r>
    </w:p>
    <w:p>
      <w:pPr>
        <w:pStyle w:val="26"/>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6"/>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6"/>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6"/>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6"/>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称：新疆维吾尔自治区维吾尔医医院</w:t>
      </w:r>
    </w:p>
    <w:p>
      <w:pPr>
        <w:pStyle w:val="26"/>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w:t>
      </w:r>
      <w:bookmarkStart w:id="8" w:name="OLE_LINK1"/>
      <w:r>
        <w:rPr>
          <w:rFonts w:hint="eastAsia" w:ascii="仿宋" w:hAnsi="仿宋" w:eastAsia="仿宋"/>
          <w:sz w:val="28"/>
          <w:szCs w:val="22"/>
        </w:rPr>
        <w:t>乌鲁木齐市山区延安路776号</w:t>
      </w:r>
      <w:bookmarkEnd w:id="8"/>
    </w:p>
    <w:p>
      <w:pPr>
        <w:pStyle w:val="26"/>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联系方式：0991-6296620</w:t>
      </w:r>
    </w:p>
    <w:p>
      <w:pPr>
        <w:pStyle w:val="26"/>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6"/>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称：新疆博源汇通项目管理咨询有限公司</w:t>
      </w:r>
    </w:p>
    <w:p>
      <w:pPr>
        <w:pStyle w:val="26"/>
        <w:snapToGrid w:val="0"/>
        <w:spacing w:line="360" w:lineRule="auto"/>
        <w:ind w:firstLine="560"/>
        <w:jc w:val="both"/>
        <w:rPr>
          <w:rFonts w:hint="default" w:ascii="仿宋" w:hAnsi="仿宋" w:eastAsia="仿宋"/>
          <w:sz w:val="28"/>
          <w:szCs w:val="22"/>
          <w:lang w:val="en-US" w:eastAsia="zh-CN"/>
        </w:rPr>
      </w:pPr>
      <w:r>
        <w:rPr>
          <w:rFonts w:hint="eastAsia" w:ascii="仿宋" w:hAnsi="仿宋" w:eastAsia="仿宋"/>
          <w:sz w:val="28"/>
          <w:szCs w:val="22"/>
        </w:rPr>
        <w:t>地 址：</w:t>
      </w:r>
      <w:r>
        <w:rPr>
          <w:rFonts w:hint="eastAsia" w:ascii="仿宋" w:hAnsi="仿宋" w:eastAsia="仿宋"/>
          <w:sz w:val="28"/>
          <w:szCs w:val="22"/>
          <w:lang w:val="en-US" w:eastAsia="zh-CN"/>
        </w:rPr>
        <w:t>新疆乌鲁木齐市沙依巴克区经二路51号一栋5号</w:t>
      </w:r>
    </w:p>
    <w:p>
      <w:pPr>
        <w:pStyle w:val="26"/>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6"/>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val="en-US" w:eastAsia="zh-CN"/>
        </w:rPr>
        <w:t>穆志豪</w:t>
      </w:r>
    </w:p>
    <w:p>
      <w:pPr>
        <w:pStyle w:val="26"/>
        <w:snapToGrid w:val="0"/>
        <w:spacing w:line="360" w:lineRule="auto"/>
        <w:ind w:firstLine="560"/>
        <w:jc w:val="both"/>
        <w:rPr>
          <w:rFonts w:hint="default" w:ascii="仿宋" w:hAnsi="仿宋" w:eastAsia="仿宋"/>
          <w:sz w:val="28"/>
          <w:lang w:val="en-US"/>
        </w:rPr>
      </w:pPr>
      <w:r>
        <w:rPr>
          <w:rFonts w:hint="eastAsia" w:ascii="仿宋" w:hAnsi="仿宋" w:eastAsia="仿宋"/>
          <w:sz w:val="28"/>
          <w:szCs w:val="22"/>
        </w:rPr>
        <w:t>电 话：</w:t>
      </w:r>
      <w:r>
        <w:rPr>
          <w:rFonts w:hint="eastAsia" w:ascii="仿宋" w:hAnsi="仿宋" w:eastAsia="仿宋"/>
          <w:sz w:val="28"/>
          <w:szCs w:val="22"/>
          <w:lang w:val="en-US" w:eastAsia="zh-CN"/>
        </w:rPr>
        <w:t>18209927610</w:t>
      </w:r>
    </w:p>
    <w:p>
      <w:pPr>
        <w:pStyle w:val="4"/>
      </w:pPr>
      <w:r>
        <w:rPr>
          <w:rFonts w:hint="eastAsia"/>
        </w:rPr>
        <w:br w:type="page"/>
      </w:r>
      <w:bookmarkStart w:id="9" w:name="_Toc55990500"/>
      <w:bookmarkStart w:id="10" w:name="_Toc61184621"/>
      <w:bookmarkStart w:id="11" w:name="_Toc5896489"/>
      <w:bookmarkStart w:id="12" w:name="_Toc25500"/>
      <w:bookmarkStart w:id="13" w:name="_Toc56170378"/>
      <w:bookmarkStart w:id="14" w:name="_Toc399523005"/>
      <w:r>
        <w:rPr>
          <w:rFonts w:hint="eastAsia"/>
        </w:rPr>
        <w:t>第二章、磋商须知</w:t>
      </w:r>
      <w:bookmarkEnd w:id="9"/>
      <w:bookmarkEnd w:id="10"/>
      <w:bookmarkEnd w:id="11"/>
      <w:bookmarkEnd w:id="12"/>
      <w:bookmarkEnd w:id="13"/>
    </w:p>
    <w:p>
      <w:pPr>
        <w:pStyle w:val="6"/>
        <w:rPr>
          <w:rFonts w:hint="eastAsia"/>
        </w:rPr>
      </w:pPr>
      <w:bookmarkStart w:id="15" w:name="_Toc61184622"/>
      <w:bookmarkStart w:id="16" w:name="_Toc56170379"/>
      <w:bookmarkStart w:id="17" w:name="_Toc105"/>
      <w:r>
        <w:rPr>
          <w:rFonts w:hint="eastAsia"/>
        </w:rPr>
        <w:t>磋商须知前附表</w:t>
      </w:r>
      <w:bookmarkEnd w:id="15"/>
      <w:bookmarkEnd w:id="16"/>
      <w:bookmarkEnd w:id="17"/>
    </w:p>
    <w:tbl>
      <w:tblPr>
        <w:tblStyle w:val="20"/>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7"/>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7"/>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7"/>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项目名称：新疆维吾尔自治区维吾尔医医院</w:t>
            </w:r>
            <w:r>
              <w:rPr>
                <w:rFonts w:hint="eastAsia" w:ascii="仿宋" w:hAnsi="仿宋" w:eastAsia="仿宋"/>
                <w:color w:val="000000"/>
                <w:sz w:val="24"/>
                <w:szCs w:val="24"/>
                <w:lang w:val="en-US" w:eastAsia="zh-CN"/>
              </w:rPr>
              <w:t>制剂室酒精采购项目</w:t>
            </w:r>
          </w:p>
          <w:p>
            <w:pPr>
              <w:pStyle w:val="27"/>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val="en-US" w:eastAsia="zh-CN"/>
              </w:rPr>
              <w:t>XJBYHT-2022-004号</w:t>
            </w:r>
          </w:p>
          <w:p>
            <w:pPr>
              <w:pStyle w:val="27"/>
              <w:spacing w:line="360" w:lineRule="auto"/>
              <w:ind w:firstLine="0" w:firstLineChars="0"/>
              <w:jc w:val="left"/>
              <w:rPr>
                <w:rFonts w:hint="eastAsia" w:ascii="仿宋" w:hAnsi="仿宋" w:eastAsia="仿宋"/>
                <w:sz w:val="24"/>
                <w:szCs w:val="24"/>
                <w:lang w:eastAsia="zh-CN"/>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采购</w:t>
            </w:r>
            <w:bookmarkStart w:id="95" w:name="_GoBack"/>
            <w:bookmarkEnd w:id="95"/>
            <w:r>
              <w:rPr>
                <w:rFonts w:hint="eastAsia" w:ascii="仿宋" w:hAnsi="仿宋" w:eastAsia="仿宋"/>
                <w:color w:val="000000"/>
                <w:sz w:val="24"/>
                <w:szCs w:val="24"/>
                <w:lang w:val="en-US" w:eastAsia="zh-CN"/>
              </w:rPr>
              <w:t>酒精60吨</w:t>
            </w:r>
            <w:r>
              <w:rPr>
                <w:rFonts w:hint="eastAsia" w:ascii="仿宋" w:hAnsi="仿宋" w:eastAsia="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7"/>
              <w:spacing w:line="360" w:lineRule="auto"/>
              <w:ind w:firstLine="0" w:firstLineChars="0"/>
              <w:jc w:val="left"/>
              <w:rPr>
                <w:rFonts w:hint="default" w:ascii="仿宋" w:hAnsi="仿宋" w:eastAsia="仿宋"/>
                <w:color w:val="000000"/>
                <w:sz w:val="24"/>
                <w:szCs w:val="24"/>
                <w:lang w:val="en-US"/>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预算64.8万元，最高限价64.8万元。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采购人：新疆维吾尔自治区维吾尔医医院</w:t>
            </w:r>
          </w:p>
          <w:p>
            <w:pPr>
              <w:pStyle w:val="27"/>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联系电话：0991-6296620</w:t>
            </w:r>
          </w:p>
          <w:p>
            <w:pPr>
              <w:pStyle w:val="27"/>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地址：乌鲁木齐市山区延安路776号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采购代理机构：新疆博源汇通项目管理咨询有限公司</w:t>
            </w:r>
          </w:p>
          <w:p>
            <w:pPr>
              <w:pStyle w:val="27"/>
              <w:spacing w:line="360" w:lineRule="auto"/>
              <w:ind w:firstLine="0" w:firstLineChars="0"/>
              <w:jc w:val="lef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联系人：穆志豪</w:t>
            </w:r>
          </w:p>
          <w:p>
            <w:pPr>
              <w:pStyle w:val="27"/>
              <w:spacing w:line="360" w:lineRule="auto"/>
              <w:ind w:firstLine="0" w:firstLineChars="0"/>
              <w:jc w:val="left"/>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联系电话：18209927610</w:t>
            </w:r>
          </w:p>
          <w:p>
            <w:pPr>
              <w:pStyle w:val="27"/>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w:t>
            </w:r>
            <w:r>
              <w:rPr>
                <w:rFonts w:hint="eastAsia" w:ascii="仿宋" w:hAnsi="仿宋" w:eastAsia="仿宋"/>
                <w:color w:val="000000"/>
                <w:sz w:val="24"/>
                <w:szCs w:val="24"/>
                <w:lang w:val="en-US" w:eastAsia="zh-CN"/>
              </w:rPr>
              <w:t>新疆乌鲁木齐市沙依巴克区经二路51号一栋5号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7"/>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6000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陆仟元整</w:t>
            </w:r>
            <w:r>
              <w:rPr>
                <w:rFonts w:hint="eastAsia" w:ascii="仿宋" w:hAnsi="仿宋" w:eastAsia="仿宋"/>
                <w:b/>
                <w:bCs/>
                <w:color w:val="000000"/>
                <w:sz w:val="24"/>
                <w:szCs w:val="24"/>
              </w:rPr>
              <w:t>）；</w:t>
            </w:r>
          </w:p>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开户名称：新疆博源汇通项目管理咨询有限公司；</w:t>
            </w:r>
          </w:p>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开户账号：3002012819100033135；</w:t>
            </w:r>
          </w:p>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行号：102881001281；</w:t>
            </w:r>
          </w:p>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开户银行：中国工商银行股份有限公司乌鲁木齐南湖北路支行</w:t>
            </w:r>
          </w:p>
          <w:p>
            <w:pPr>
              <w:pStyle w:val="27"/>
              <w:spacing w:line="360" w:lineRule="auto"/>
              <w:ind w:firstLine="0" w:firstLineChars="0"/>
              <w:jc w:val="left"/>
              <w:rPr>
                <w:rFonts w:hint="eastAsia" w:ascii="仿宋" w:hAnsi="仿宋" w:eastAsia="仿宋"/>
                <w:color w:val="000000"/>
                <w:sz w:val="24"/>
                <w:szCs w:val="24"/>
              </w:rPr>
            </w:pPr>
            <w:r>
              <w:rPr>
                <w:rFonts w:hint="eastAsia" w:ascii="Arial" w:hAnsi="Arial" w:cs="Arial"/>
                <w:sz w:val="24"/>
              </w:rPr>
              <w:t>注：1、须以网银转账的形式由供应商的基本账户账户汇出，须于投标文件递交截止时间前交至招标代理机构指定账户（以到账时间为准），公示期结束后予以退还；2、投标人在汇投标保证金时须注明项目名称及标包；3、投标截止前入账即可，不需要换取收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6"/>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6"/>
              <w:snapToGrid w:val="0"/>
              <w:spacing w:line="360" w:lineRule="auto"/>
              <w:ind w:firstLine="56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1、符合《中华人民共和国政府采购法》第二十二条款规定；</w:t>
            </w:r>
          </w:p>
          <w:p>
            <w:pPr>
              <w:pStyle w:val="26"/>
              <w:snapToGrid w:val="0"/>
              <w:spacing w:line="360" w:lineRule="auto"/>
              <w:ind w:firstLine="56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2、投标人须提供有效的营业执照；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
              <w:spacing w:line="360" w:lineRule="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5、本项目不接受联合体投标。</w:t>
            </w:r>
          </w:p>
          <w:p>
            <w:pPr>
              <w:pStyle w:val="26"/>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6"/>
              <w:snapToGrid w:val="0"/>
              <w:spacing w:line="360" w:lineRule="auto"/>
              <w:ind w:firstLine="560"/>
              <w:rPr>
                <w:rFonts w:hint="eastAsia" w:ascii="仿宋" w:hAnsi="仿宋" w:eastAsia="仿宋"/>
                <w:b/>
                <w:bCs/>
                <w:szCs w:val="24"/>
              </w:rPr>
            </w:pPr>
            <w:r>
              <w:rPr>
                <w:rFonts w:hint="eastAsia" w:ascii="仿宋" w:hAnsi="仿宋" w:eastAsia="仿宋"/>
                <w:b/>
                <w:bCs/>
                <w:szCs w:val="24"/>
              </w:rPr>
              <w:t>（1） 有效的营业执照；（原件）。</w:t>
            </w:r>
          </w:p>
          <w:p>
            <w:pPr>
              <w:pStyle w:val="26"/>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w:t>
            </w:r>
          </w:p>
          <w:p>
            <w:pPr>
              <w:pStyle w:val="26"/>
              <w:snapToGrid w:val="0"/>
              <w:spacing w:line="360" w:lineRule="auto"/>
              <w:ind w:firstLine="560"/>
              <w:rPr>
                <w:rFonts w:hint="eastAsia" w:ascii="仿宋" w:hAnsi="仿宋" w:eastAsia="仿宋"/>
                <w:b/>
                <w:bCs/>
                <w:szCs w:val="24"/>
                <w:lang w:val="en-US" w:eastAsia="zh-CN"/>
              </w:rPr>
            </w:pPr>
            <w:r>
              <w:rPr>
                <w:rFonts w:hint="eastAsia" w:ascii="仿宋" w:hAnsi="仿宋" w:eastAsia="仿宋"/>
                <w:b/>
                <w:bCs/>
                <w:szCs w:val="24"/>
              </w:rPr>
              <w:t>（3）</w:t>
            </w:r>
            <w:r>
              <w:rPr>
                <w:rFonts w:hint="eastAsia" w:ascii="仿宋" w:hAnsi="仿宋" w:eastAsia="仿宋"/>
                <w:b/>
                <w:bCs/>
                <w:szCs w:val="24"/>
                <w:lang w:val="en-US" w:eastAsia="zh-CN"/>
              </w:rPr>
              <w:t xml:space="preserve"> 经具备资质的财务审计机构出具的投标企业2020年度或2021年度的财务审计报告，或者其它能够证明投标企业具有良好商业信誉和健全财务会计制度的证明材料；（复印件加盖企业公章）</w:t>
            </w:r>
          </w:p>
          <w:p>
            <w:pPr>
              <w:pStyle w:val="26"/>
              <w:snapToGrid w:val="0"/>
              <w:spacing w:line="360" w:lineRule="auto"/>
              <w:ind w:firstLine="560"/>
              <w:rPr>
                <w:rFonts w:hint="eastAsia"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4</w:t>
            </w:r>
            <w:r>
              <w:rPr>
                <w:rFonts w:hint="eastAsia" w:ascii="仿宋" w:hAnsi="仿宋" w:eastAsia="仿宋"/>
                <w:b/>
                <w:bCs/>
                <w:szCs w:val="24"/>
                <w:lang w:eastAsia="zh-CN"/>
              </w:rPr>
              <w:t>）</w:t>
            </w:r>
            <w:r>
              <w:rPr>
                <w:rFonts w:hint="eastAsia" w:ascii="仿宋" w:hAnsi="仿宋" w:eastAsia="仿宋"/>
                <w:b/>
                <w:bCs/>
                <w:szCs w:val="24"/>
                <w:lang w:val="en-US" w:eastAsia="zh-CN"/>
              </w:rPr>
              <w:t xml:space="preserve"> 提供本单位缴纳的近三个月社保缴纳证明（单位社保缴费凭证，2022年3月份后成立的公司按实际发生提供）；</w:t>
            </w:r>
          </w:p>
          <w:p>
            <w:pPr>
              <w:pStyle w:val="26"/>
              <w:snapToGrid w:val="0"/>
              <w:spacing w:line="360" w:lineRule="auto"/>
              <w:ind w:firstLine="560"/>
              <w:rPr>
                <w:rFonts w:hint="eastAsia" w:ascii="仿宋" w:hAnsi="仿宋" w:eastAsia="仿宋"/>
                <w:b/>
                <w:bCs/>
                <w:szCs w:val="24"/>
                <w:lang w:val="en-US" w:eastAsia="zh-CN"/>
              </w:rPr>
            </w:pPr>
            <w:r>
              <w:rPr>
                <w:rFonts w:hint="eastAsia" w:ascii="仿宋" w:hAnsi="仿宋" w:eastAsia="仿宋"/>
                <w:b/>
                <w:bCs/>
                <w:szCs w:val="24"/>
                <w:lang w:val="en-US" w:eastAsia="zh-CN"/>
              </w:rPr>
              <w:t>（5）税务部门出具的2022年近三个月的税收完税证明（2022年3月份后成立的公司按实际发生提供）；</w:t>
            </w:r>
          </w:p>
          <w:p>
            <w:pPr>
              <w:pStyle w:val="26"/>
              <w:snapToGrid w:val="0"/>
              <w:spacing w:line="360" w:lineRule="auto"/>
              <w:ind w:firstLine="560"/>
              <w:rPr>
                <w:rFonts w:hint="eastAsia" w:ascii="仿宋" w:hAnsi="仿宋" w:eastAsia="仿宋"/>
                <w:b/>
                <w:bCs/>
                <w:szCs w:val="24"/>
                <w:lang w:val="en-US" w:eastAsia="zh-CN"/>
              </w:rPr>
            </w:pPr>
            <w:r>
              <w:rPr>
                <w:rFonts w:hint="eastAsia" w:ascii="仿宋" w:hAnsi="仿宋" w:eastAsia="仿宋"/>
                <w:b/>
                <w:bCs/>
                <w:szCs w:val="24"/>
                <w:lang w:val="en-US" w:eastAsia="zh-CN"/>
              </w:rPr>
              <w:t>（6）提供“信用中国”网站（www.creditchina.gov.cn）、中国政府采购网（www.ccgp.gov.cn）、被列入失信被执行人、、政府采购严重违法失信行为记录名单的（尚在处罚期内的）、</w:t>
            </w:r>
            <w:bookmarkStart w:id="18" w:name="OLE_LINK2"/>
            <w:r>
              <w:rPr>
                <w:rFonts w:hint="eastAsia" w:ascii="仿宋" w:hAnsi="仿宋" w:eastAsia="仿宋"/>
                <w:b/>
                <w:bCs/>
                <w:szCs w:val="24"/>
                <w:lang w:val="en-US" w:eastAsia="zh-CN"/>
              </w:rPr>
              <w:t>经营异常名录</w:t>
            </w:r>
            <w:bookmarkEnd w:id="18"/>
            <w:r>
              <w:rPr>
                <w:rFonts w:hint="eastAsia" w:ascii="仿宋" w:hAnsi="仿宋" w:eastAsia="仿宋"/>
                <w:b/>
                <w:bCs/>
                <w:szCs w:val="24"/>
                <w:lang w:val="en-US" w:eastAsia="zh-CN"/>
              </w:rPr>
              <w:t>的，将拒绝其参本次政府采购活动（网页打印件须自竞争性磋商公告发布之日起至投标截止时间从上述网站中打印）</w:t>
            </w:r>
          </w:p>
          <w:p>
            <w:pPr>
              <w:pStyle w:val="26"/>
              <w:snapToGrid w:val="0"/>
              <w:spacing w:line="360" w:lineRule="auto"/>
              <w:ind w:firstLine="560"/>
              <w:rPr>
                <w:rFonts w:hint="eastAsia" w:ascii="仿宋" w:hAnsi="仿宋" w:eastAsia="仿宋"/>
                <w:b/>
                <w:bCs/>
                <w:szCs w:val="24"/>
                <w:lang w:eastAsia="zh-CN"/>
              </w:rPr>
            </w:pPr>
            <w:r>
              <w:rPr>
                <w:rFonts w:hint="eastAsia" w:ascii="仿宋" w:hAnsi="仿宋" w:eastAsia="仿宋"/>
                <w:b/>
                <w:bCs/>
                <w:szCs w:val="24"/>
              </w:rPr>
              <w:t>（</w:t>
            </w:r>
            <w:r>
              <w:rPr>
                <w:rFonts w:hint="eastAsia" w:ascii="仿宋" w:hAnsi="仿宋" w:eastAsia="仿宋"/>
                <w:b/>
                <w:bCs/>
                <w:szCs w:val="24"/>
                <w:lang w:val="en-US" w:eastAsia="zh-CN"/>
              </w:rPr>
              <w:t>7</w:t>
            </w:r>
            <w:r>
              <w:rPr>
                <w:rFonts w:hint="eastAsia" w:ascii="仿宋" w:hAnsi="仿宋" w:eastAsia="仿宋"/>
                <w:b/>
                <w:bCs/>
                <w:szCs w:val="24"/>
              </w:rPr>
              <w:t>） 磋商保证金缴纳凭证。（加盖公章的复印件）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7"/>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7"/>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FF0000"/>
                <w:sz w:val="24"/>
                <w:szCs w:val="24"/>
                <w:u w:val="single"/>
                <w:lang w:eastAsia="zh-CN"/>
              </w:rPr>
              <w:t>2022年</w:t>
            </w:r>
            <w:r>
              <w:rPr>
                <w:rFonts w:hint="eastAsia" w:ascii="仿宋" w:hAnsi="仿宋" w:eastAsia="仿宋"/>
                <w:color w:val="FF0000"/>
                <w:sz w:val="24"/>
                <w:szCs w:val="24"/>
                <w:u w:val="single"/>
                <w:lang w:val="en-US" w:eastAsia="zh-CN"/>
              </w:rPr>
              <w:t>08</w:t>
            </w:r>
            <w:r>
              <w:rPr>
                <w:rFonts w:hint="eastAsia" w:ascii="仿宋" w:hAnsi="仿宋" w:eastAsia="仿宋"/>
                <w:color w:val="FF0000"/>
                <w:sz w:val="24"/>
                <w:szCs w:val="24"/>
                <w:u w:val="single"/>
                <w:lang w:eastAsia="zh-CN"/>
              </w:rPr>
              <w:t>月</w:t>
            </w:r>
            <w:r>
              <w:rPr>
                <w:rFonts w:hint="eastAsia" w:ascii="仿宋" w:hAnsi="仿宋" w:eastAsia="仿宋"/>
                <w:color w:val="FF0000"/>
                <w:sz w:val="24"/>
                <w:szCs w:val="24"/>
                <w:u w:val="single"/>
                <w:lang w:val="en-US" w:eastAsia="zh-CN"/>
              </w:rPr>
              <w:t>22</w:t>
            </w:r>
            <w:r>
              <w:rPr>
                <w:rFonts w:hint="eastAsia" w:ascii="仿宋" w:hAnsi="仿宋" w:eastAsia="仿宋"/>
                <w:color w:val="FF0000"/>
                <w:sz w:val="24"/>
                <w:szCs w:val="24"/>
                <w:u w:val="single"/>
                <w:lang w:eastAsia="zh-CN"/>
              </w:rPr>
              <w:t>日1</w:t>
            </w:r>
            <w:r>
              <w:rPr>
                <w:rFonts w:hint="eastAsia" w:ascii="仿宋" w:hAnsi="仿宋" w:eastAsia="仿宋"/>
                <w:color w:val="FF0000"/>
                <w:sz w:val="24"/>
                <w:szCs w:val="24"/>
                <w:u w:val="single"/>
                <w:lang w:val="en-US" w:eastAsia="zh-CN"/>
              </w:rPr>
              <w:t>1</w:t>
            </w:r>
            <w:r>
              <w:rPr>
                <w:rFonts w:hint="eastAsia" w:ascii="仿宋" w:hAnsi="仿宋" w:eastAsia="仿宋"/>
                <w:color w:val="FF0000"/>
                <w:sz w:val="24"/>
                <w:szCs w:val="24"/>
                <w:u w:val="single"/>
                <w:lang w:eastAsia="zh-CN"/>
              </w:rPr>
              <w:t>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color w:val="000000"/>
                <w:sz w:val="24"/>
                <w:szCs w:val="24"/>
                <w:lang w:eastAsia="zh-CN"/>
              </w:rPr>
              <w:t>乌鲁木齐市水磨沟区龙腾路66号万科大都会综合楼8#1003室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FF0000"/>
                <w:sz w:val="24"/>
                <w:szCs w:val="24"/>
                <w:u w:val="single"/>
                <w:lang w:eastAsia="zh-CN"/>
              </w:rPr>
              <w:t>2022年</w:t>
            </w:r>
            <w:r>
              <w:rPr>
                <w:rFonts w:hint="eastAsia" w:ascii="仿宋" w:hAnsi="仿宋" w:eastAsia="仿宋"/>
                <w:color w:val="FF0000"/>
                <w:sz w:val="24"/>
                <w:szCs w:val="24"/>
                <w:u w:val="single"/>
                <w:lang w:val="en-US" w:eastAsia="zh-CN"/>
              </w:rPr>
              <w:t>08</w:t>
            </w:r>
            <w:r>
              <w:rPr>
                <w:rFonts w:hint="eastAsia" w:ascii="仿宋" w:hAnsi="仿宋" w:eastAsia="仿宋"/>
                <w:color w:val="FF0000"/>
                <w:sz w:val="24"/>
                <w:szCs w:val="24"/>
                <w:u w:val="single"/>
                <w:lang w:eastAsia="zh-CN"/>
              </w:rPr>
              <w:t>月</w:t>
            </w:r>
            <w:r>
              <w:rPr>
                <w:rFonts w:hint="eastAsia" w:ascii="仿宋" w:hAnsi="仿宋" w:eastAsia="仿宋"/>
                <w:color w:val="FF0000"/>
                <w:sz w:val="24"/>
                <w:szCs w:val="24"/>
                <w:u w:val="single"/>
                <w:lang w:val="en-US" w:eastAsia="zh-CN"/>
              </w:rPr>
              <w:t>22</w:t>
            </w:r>
            <w:r>
              <w:rPr>
                <w:rFonts w:hint="eastAsia" w:ascii="仿宋" w:hAnsi="仿宋" w:eastAsia="仿宋"/>
                <w:color w:val="FF0000"/>
                <w:sz w:val="24"/>
                <w:szCs w:val="24"/>
                <w:u w:val="single"/>
                <w:lang w:eastAsia="zh-CN"/>
              </w:rPr>
              <w:t>日1</w:t>
            </w:r>
            <w:r>
              <w:rPr>
                <w:rFonts w:hint="eastAsia" w:ascii="仿宋" w:hAnsi="仿宋" w:eastAsia="仿宋"/>
                <w:color w:val="FF0000"/>
                <w:sz w:val="24"/>
                <w:szCs w:val="24"/>
                <w:u w:val="single"/>
                <w:lang w:val="en-US" w:eastAsia="zh-CN"/>
              </w:rPr>
              <w:t>1</w:t>
            </w:r>
            <w:r>
              <w:rPr>
                <w:rFonts w:hint="eastAsia" w:ascii="仿宋" w:hAnsi="仿宋" w:eastAsia="仿宋"/>
                <w:color w:val="FF0000"/>
                <w:sz w:val="24"/>
                <w:szCs w:val="24"/>
                <w:u w:val="single"/>
                <w:lang w:eastAsia="zh-CN"/>
              </w:rPr>
              <w:t>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color w:val="000000"/>
                <w:sz w:val="24"/>
                <w:szCs w:val="24"/>
                <w:lang w:eastAsia="zh-CN"/>
              </w:rPr>
              <w:t>乌鲁木齐市水磨沟区龙腾路66号万科大都会综合楼8#1003室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8820" w:type="dxa"/>
            <w:noWrap w:val="0"/>
            <w:vAlign w:val="center"/>
          </w:tcPr>
          <w:p>
            <w:pPr>
              <w:snapToGrid w:val="0"/>
              <w:spacing w:line="360" w:lineRule="auto"/>
              <w:jc w:val="left"/>
              <w:rPr>
                <w:rFonts w:hint="default" w:ascii="仿宋" w:hAnsi="仿宋" w:eastAsia="仿宋"/>
                <w:sz w:val="24"/>
                <w:szCs w:val="24"/>
                <w:highlight w:val="none"/>
                <w:lang w:val="en-US"/>
              </w:rPr>
            </w:pPr>
            <w:r>
              <w:rPr>
                <w:rFonts w:hint="eastAsia" w:ascii="仿宋" w:hAnsi="仿宋" w:eastAsia="仿宋"/>
                <w:b/>
                <w:bCs/>
                <w:sz w:val="24"/>
                <w:szCs w:val="24"/>
                <w:highlight w:val="none"/>
              </w:rPr>
              <w:t>交货期：</w:t>
            </w:r>
            <w:r>
              <w:rPr>
                <w:rFonts w:hint="eastAsia" w:ascii="仿宋" w:hAnsi="仿宋" w:eastAsia="仿宋"/>
                <w:b/>
                <w:bCs/>
                <w:color w:val="FF0000"/>
                <w:sz w:val="24"/>
                <w:szCs w:val="24"/>
                <w:highlight w:val="none"/>
                <w:lang w:val="en-US" w:eastAsia="zh-CN"/>
              </w:rPr>
              <w:t>按照甲方计划分批送货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15</w:t>
            </w:r>
          </w:p>
        </w:tc>
        <w:tc>
          <w:tcPr>
            <w:tcW w:w="8820" w:type="dxa"/>
            <w:noWrap w:val="0"/>
            <w:vAlign w:val="center"/>
          </w:tcPr>
          <w:p>
            <w:pPr>
              <w:spacing w:line="360" w:lineRule="auto"/>
              <w:jc w:val="left"/>
              <w:rPr>
                <w:rFonts w:hint="eastAsia" w:ascii="仿宋" w:hAnsi="仿宋" w:eastAsia="仿宋" w:cs="Times New Roman"/>
                <w:sz w:val="24"/>
                <w:szCs w:val="24"/>
              </w:rPr>
            </w:pPr>
            <w:r>
              <w:rPr>
                <w:rFonts w:hint="eastAsia" w:ascii="仿宋" w:hAnsi="仿宋" w:eastAsia="仿宋" w:cs="Times New Roman"/>
                <w:b/>
                <w:bCs/>
                <w:sz w:val="24"/>
                <w:szCs w:val="24"/>
              </w:rPr>
              <w:t>质保期：</w:t>
            </w:r>
            <w:r>
              <w:rPr>
                <w:rFonts w:hint="eastAsia" w:ascii="仿宋" w:hAnsi="仿宋" w:eastAsia="仿宋" w:cs="Times New Roman"/>
                <w:b/>
                <w:bCs/>
                <w:color w:val="FF0000"/>
                <w:sz w:val="24"/>
                <w:szCs w:val="24"/>
                <w:lang w:val="en-US" w:eastAsia="zh-CN"/>
              </w:rPr>
              <w:t>3年</w:t>
            </w:r>
            <w:r>
              <w:rPr>
                <w:rFonts w:hint="eastAsia" w:ascii="仿宋" w:hAnsi="仿宋" w:eastAsia="仿宋" w:cs="Times New Roman"/>
                <w:b/>
                <w:bCs/>
                <w:color w:val="FF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16</w:t>
            </w:r>
          </w:p>
        </w:tc>
        <w:tc>
          <w:tcPr>
            <w:tcW w:w="8820" w:type="dxa"/>
            <w:noWrap w:val="0"/>
            <w:vAlign w:val="center"/>
          </w:tcPr>
          <w:p>
            <w:pPr>
              <w:spacing w:line="360" w:lineRule="auto"/>
              <w:jc w:val="left"/>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付款方式：以甲方签订合同为准。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17</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w:t>
            </w:r>
            <w:r>
              <w:rPr>
                <w:rFonts w:hint="eastAsia" w:ascii="仿宋" w:hAnsi="仿宋" w:eastAsia="仿宋" w:cs="仿宋_GB2312"/>
                <w:sz w:val="24"/>
                <w:szCs w:val="24"/>
                <w:lang w:val="en-US" w:eastAsia="zh-CN"/>
              </w:rPr>
              <w:t>10</w:t>
            </w:r>
            <w:r>
              <w:rPr>
                <w:rFonts w:hint="eastAsia" w:ascii="仿宋" w:hAnsi="仿宋" w:eastAsia="仿宋" w:cs="仿宋_GB2312"/>
                <w:sz w:val="24"/>
                <w:szCs w:val="24"/>
              </w:rPr>
              <w:t>%-</w:t>
            </w:r>
            <w:r>
              <w:rPr>
                <w:rFonts w:hint="eastAsia" w:ascii="仿宋" w:hAnsi="仿宋" w:eastAsia="仿宋" w:cs="仿宋_GB2312"/>
                <w:sz w:val="24"/>
                <w:szCs w:val="24"/>
                <w:lang w:val="en-US" w:eastAsia="zh-CN"/>
              </w:rPr>
              <w:t>20</w:t>
            </w:r>
            <w:r>
              <w:rPr>
                <w:rFonts w:hint="eastAsia" w:ascii="仿宋" w:hAnsi="仿宋" w:eastAsia="仿宋" w:cs="仿宋_GB2312"/>
                <w:sz w:val="24"/>
                <w:szCs w:val="24"/>
              </w:rPr>
              <w:t>%的扣除，用扣除后的价格参与评审，本项目具体扣除比例为</w:t>
            </w:r>
            <w:r>
              <w:rPr>
                <w:rFonts w:hint="eastAsia" w:ascii="仿宋" w:hAnsi="仿宋" w:eastAsia="仿宋" w:cs="仿宋_GB2312"/>
                <w:sz w:val="24"/>
                <w:szCs w:val="24"/>
                <w:lang w:val="en-US" w:eastAsia="zh-CN"/>
              </w:rPr>
              <w:t>10</w:t>
            </w:r>
            <w:r>
              <w:rPr>
                <w:rFonts w:hint="eastAsia" w:ascii="仿宋" w:hAnsi="仿宋" w:eastAsia="仿宋" w:cs="仿宋_GB231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履约保证金：不超过中标价的10%，投标人自主选择以支票、汇票、本票、保函等非现金形式提交履约保证金；如滞留质保金则无需缴纳履约保证金（以签订合同时双方约定为准）。</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说明：《中华人民共和国政府采购法实施条例》第四十八条规定：履约保证金的数额不得超过政府采购合同金额的10%。中标人与招标人签订合同前提交履约保证金，如中标人未按谈判文件 规定的工期及要求供货，则扣除履约保证金。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19</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20</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（1）按发改价格[2011]534号及计价格[2002]1980号文件计算的招标代理服务收费标准。由成交</w:t>
            </w:r>
            <w:r>
              <w:rPr>
                <w:rFonts w:hint="eastAsia" w:ascii="仿宋" w:hAnsi="仿宋" w:eastAsia="仿宋"/>
                <w:color w:val="000000"/>
                <w:sz w:val="24"/>
                <w:szCs w:val="24"/>
                <w:lang w:val="en-US" w:eastAsia="zh-CN"/>
              </w:rPr>
              <w:t>供应商</w:t>
            </w:r>
            <w:r>
              <w:rPr>
                <w:rFonts w:hint="eastAsia" w:ascii="仿宋" w:hAnsi="仿宋" w:eastAsia="仿宋"/>
                <w:color w:val="000000"/>
                <w:sz w:val="24"/>
                <w:szCs w:val="24"/>
              </w:rPr>
              <w:t>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w:t>
            </w:r>
            <w:r>
              <w:rPr>
                <w:rFonts w:hint="eastAsia" w:ascii="仿宋" w:hAnsi="仿宋" w:eastAsia="仿宋"/>
                <w:color w:val="000000"/>
                <w:sz w:val="24"/>
                <w:szCs w:val="24"/>
                <w:lang w:val="en-US" w:eastAsia="zh-CN"/>
              </w:rPr>
              <w:t>领取中标通知书</w:t>
            </w:r>
            <w:r>
              <w:rPr>
                <w:rFonts w:hint="eastAsia" w:ascii="仿宋" w:hAnsi="仿宋" w:eastAsia="仿宋"/>
                <w:color w:val="000000"/>
                <w:sz w:val="24"/>
                <w:szCs w:val="24"/>
              </w:rPr>
              <w:t>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开户名称：新疆博源汇通项目管理咨询有限公司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开户银行：中国工商银行股份有限公司乌鲁木齐红山路支行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号：3002016509200012127</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号：102881001659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jc w:val="center"/>
              <w:rPr>
                <w:rFonts w:hint="default" w:ascii="仿宋" w:hAnsi="仿宋" w:eastAsia="仿宋"/>
                <w:color w:val="000000"/>
                <w:sz w:val="24"/>
                <w:szCs w:val="24"/>
                <w:lang w:val="en-US" w:eastAsia="zh-CN"/>
              </w:rPr>
            </w:pPr>
            <w:r>
              <w:rPr>
                <w:rFonts w:hint="eastAsia" w:ascii="仿宋" w:hAnsi="仿宋" w:eastAsia="仿宋" w:cs="Times New Roman"/>
                <w:sz w:val="24"/>
                <w:szCs w:val="24"/>
                <w:lang w:val="en-US" w:eastAsia="zh-CN"/>
              </w:rPr>
              <w:t>21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名称：新疆博源汇通项目管理咨询有限公司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w:t>
            </w:r>
            <w:r>
              <w:rPr>
                <w:rFonts w:hint="eastAsia" w:ascii="仿宋" w:hAnsi="仿宋" w:eastAsia="仿宋"/>
                <w:color w:val="000000"/>
                <w:sz w:val="24"/>
                <w:szCs w:val="24"/>
                <w:lang w:val="en-US" w:eastAsia="zh-CN"/>
              </w:rPr>
              <w:t>新疆乌鲁木齐市沙依巴克区经二路51号一栋5号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val="en-US" w:eastAsia="zh-CN"/>
              </w:rPr>
              <w:t>穆志豪</w:t>
            </w:r>
          </w:p>
          <w:p>
            <w:pPr>
              <w:spacing w:line="360" w:lineRule="auto"/>
              <w:jc w:val="left"/>
              <w:rPr>
                <w:rFonts w:hint="default" w:ascii="仿宋" w:hAnsi="仿宋" w:eastAsia="仿宋"/>
                <w:color w:val="000000"/>
                <w:sz w:val="24"/>
                <w:szCs w:val="24"/>
                <w:lang w:val="en-US" w:eastAsia="zh-CN"/>
              </w:rPr>
            </w:pPr>
            <w:r>
              <w:rPr>
                <w:rFonts w:hint="eastAsia" w:ascii="仿宋" w:hAnsi="仿宋" w:eastAsia="仿宋"/>
                <w:color w:val="000000"/>
                <w:sz w:val="24"/>
                <w:szCs w:val="24"/>
              </w:rPr>
              <w:t>电话：</w:t>
            </w:r>
            <w:r>
              <w:rPr>
                <w:rFonts w:hint="eastAsia" w:ascii="仿宋" w:hAnsi="仿宋" w:eastAsia="仿宋"/>
                <w:color w:val="000000"/>
                <w:sz w:val="24"/>
                <w:szCs w:val="24"/>
                <w:lang w:val="en-US" w:eastAsia="zh-CN"/>
              </w:rPr>
              <w:t>18209927610</w:t>
            </w:r>
          </w:p>
        </w:tc>
      </w:tr>
    </w:tbl>
    <w:p>
      <w:pPr>
        <w:rPr>
          <w:rFonts w:hint="eastAsia"/>
        </w:rPr>
      </w:pPr>
      <w:bookmarkStart w:id="19" w:name="_Toc61184623"/>
      <w:bookmarkStart w:id="20" w:name="_Toc56170380"/>
      <w:r>
        <w:rPr>
          <w:rFonts w:hint="eastAsia"/>
        </w:rPr>
        <w:br w:type="page"/>
      </w:r>
    </w:p>
    <w:p>
      <w:pPr>
        <w:pStyle w:val="6"/>
        <w:rPr>
          <w:rFonts w:hint="eastAsia"/>
        </w:rPr>
      </w:pPr>
      <w:bookmarkStart w:id="21" w:name="_Toc9701"/>
      <w:r>
        <w:rPr>
          <w:rFonts w:hint="eastAsia"/>
        </w:rPr>
        <w:t>一、总 则</w:t>
      </w:r>
      <w:bookmarkEnd w:id="19"/>
      <w:bookmarkEnd w:id="20"/>
      <w:bookmarkEnd w:id="21"/>
    </w:p>
    <w:p>
      <w:pPr>
        <w:pStyle w:val="26"/>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6"/>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6"/>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6"/>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6"/>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6"/>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6"/>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6"/>
        <w:spacing w:line="360" w:lineRule="auto"/>
        <w:ind w:firstLine="560"/>
        <w:jc w:val="both"/>
        <w:rPr>
          <w:rFonts w:hint="eastAsia" w:ascii="仿宋" w:hAnsi="仿宋" w:eastAsia="仿宋"/>
          <w:sz w:val="28"/>
        </w:rPr>
      </w:pPr>
      <w:r>
        <w:rPr>
          <w:rFonts w:hint="eastAsia" w:ascii="仿宋" w:hAnsi="仿宋" w:eastAsia="仿宋"/>
          <w:sz w:val="28"/>
        </w:rPr>
        <w:t>2.1“采购代理机构”系指新疆博源汇通项目管理咨询有限公司</w:t>
      </w:r>
    </w:p>
    <w:p>
      <w:pPr>
        <w:pStyle w:val="26"/>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6"/>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6"/>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6"/>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6"/>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6"/>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6"/>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6"/>
        <w:spacing w:line="360" w:lineRule="auto"/>
        <w:ind w:firstLine="561"/>
        <w:rPr>
          <w:rFonts w:hint="eastAsia" w:ascii="仿宋" w:hAnsi="仿宋" w:eastAsia="仿宋"/>
          <w:sz w:val="28"/>
        </w:rPr>
      </w:pPr>
      <w:r>
        <w:rPr>
          <w:rFonts w:hint="eastAsia" w:ascii="仿宋" w:hAnsi="仿宋" w:eastAsia="仿宋"/>
          <w:sz w:val="28"/>
        </w:rPr>
        <w:t>3. 其他要求</w:t>
      </w:r>
    </w:p>
    <w:p>
      <w:pPr>
        <w:pStyle w:val="26"/>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6"/>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6"/>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6"/>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6"/>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6"/>
        <w:spacing w:line="360" w:lineRule="auto"/>
        <w:rPr>
          <w:rFonts w:hint="eastAsia"/>
        </w:rPr>
      </w:pPr>
      <w:bookmarkStart w:id="22" w:name="_Toc61184624"/>
      <w:bookmarkStart w:id="23" w:name="_Toc56170381"/>
      <w:bookmarkStart w:id="24" w:name="_Toc17589"/>
      <w:r>
        <w:rPr>
          <w:rFonts w:hint="eastAsia"/>
        </w:rPr>
        <w:t>二、磋商文件</w:t>
      </w:r>
      <w:bookmarkEnd w:id="22"/>
      <w:bookmarkEnd w:id="23"/>
      <w:bookmarkEnd w:id="24"/>
    </w:p>
    <w:p>
      <w:pPr>
        <w:pStyle w:val="26"/>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6"/>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6"/>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6"/>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6"/>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6"/>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6"/>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6"/>
        <w:spacing w:line="360" w:lineRule="auto"/>
        <w:rPr>
          <w:rFonts w:hint="eastAsia"/>
        </w:rPr>
      </w:pPr>
      <w:bookmarkStart w:id="25" w:name="_Toc56170382"/>
      <w:bookmarkStart w:id="26" w:name="_Toc29097"/>
      <w:bookmarkStart w:id="27" w:name="_Toc61184625"/>
      <w:r>
        <w:rPr>
          <w:rFonts w:hint="eastAsia"/>
        </w:rPr>
        <w:t>三、响应文件的编制</w:t>
      </w:r>
      <w:bookmarkEnd w:id="25"/>
      <w:bookmarkEnd w:id="26"/>
      <w:bookmarkEnd w:id="27"/>
    </w:p>
    <w:p>
      <w:pPr>
        <w:pStyle w:val="26"/>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6"/>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6"/>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6"/>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6"/>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6"/>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6"/>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6"/>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6"/>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6"/>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6"/>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6"/>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6"/>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6"/>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6"/>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w:t>
      </w:r>
      <w:r>
        <w:rPr>
          <w:rFonts w:hint="eastAsia" w:ascii="仿宋" w:hAnsi="仿宋" w:eastAsia="仿宋"/>
          <w:sz w:val="28"/>
          <w:lang w:val="en-US" w:eastAsia="zh-CN"/>
        </w:rPr>
        <w:t>服务</w:t>
      </w:r>
      <w:r>
        <w:rPr>
          <w:rFonts w:hint="eastAsia" w:ascii="仿宋" w:hAnsi="仿宋" w:eastAsia="仿宋"/>
          <w:sz w:val="28"/>
        </w:rPr>
        <w:t>计划</w:t>
      </w:r>
    </w:p>
    <w:p>
      <w:pPr>
        <w:pStyle w:val="27"/>
        <w:spacing w:line="360" w:lineRule="auto"/>
        <w:ind w:firstLine="560"/>
        <w:rPr>
          <w:rFonts w:hint="eastAsia" w:ascii="仿宋" w:hAnsi="仿宋" w:eastAsia="仿宋"/>
          <w:color w:val="000000"/>
        </w:rPr>
      </w:pPr>
      <w:r>
        <w:rPr>
          <w:rFonts w:hint="eastAsia" w:ascii="仿宋" w:hAnsi="仿宋" w:eastAsia="仿宋"/>
          <w:color w:val="000000"/>
        </w:rPr>
        <w:t>（</w:t>
      </w:r>
      <w:r>
        <w:rPr>
          <w:rFonts w:hint="eastAsia" w:ascii="仿宋" w:hAnsi="仿宋" w:eastAsia="仿宋"/>
          <w:color w:val="000000"/>
          <w:lang w:val="en-US" w:eastAsia="zh-CN"/>
        </w:rPr>
        <w:t>7</w:t>
      </w:r>
      <w:r>
        <w:rPr>
          <w:rFonts w:hint="eastAsia" w:ascii="仿宋" w:hAnsi="仿宋" w:eastAsia="仿宋"/>
          <w:color w:val="000000"/>
        </w:rPr>
        <w:t>） 供应商认为有必要提供的声明及文件资料</w:t>
      </w:r>
    </w:p>
    <w:p>
      <w:pPr>
        <w:pStyle w:val="26"/>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6"/>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产品样册、说明书、技术资料及产品质量获奖荣誉证书复印件</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6"/>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6"/>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6"/>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6"/>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6"/>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6"/>
        <w:spacing w:line="360" w:lineRule="auto"/>
        <w:ind w:firstLine="560"/>
        <w:jc w:val="both"/>
        <w:rPr>
          <w:rFonts w:hint="eastAsia" w:ascii="仿宋" w:hAnsi="仿宋" w:eastAsia="仿宋"/>
          <w:sz w:val="28"/>
        </w:rPr>
      </w:pPr>
      <w:r>
        <w:rPr>
          <w:rFonts w:hint="eastAsia" w:ascii="仿宋" w:hAnsi="仿宋" w:eastAsia="仿宋"/>
          <w:sz w:val="28"/>
        </w:rPr>
        <w:t>10.3.</w:t>
      </w:r>
      <w:r>
        <w:rPr>
          <w:rFonts w:hint="eastAsia" w:ascii="仿宋" w:hAnsi="仿宋" w:eastAsia="仿宋"/>
          <w:sz w:val="28"/>
          <w:lang w:val="en-US" w:eastAsia="zh-CN"/>
        </w:rPr>
        <w:t>1</w:t>
      </w:r>
      <w:r>
        <w:rPr>
          <w:rFonts w:hint="eastAsia" w:ascii="仿宋" w:hAnsi="仿宋" w:eastAsia="仿宋"/>
          <w:sz w:val="28"/>
        </w:rPr>
        <w:t xml:space="preserve"> 磋商文件中特别要求的零、备件费用。</w:t>
      </w:r>
    </w:p>
    <w:p>
      <w:pPr>
        <w:pStyle w:val="26"/>
        <w:spacing w:line="360" w:lineRule="auto"/>
        <w:ind w:firstLine="560"/>
        <w:jc w:val="both"/>
        <w:rPr>
          <w:rFonts w:hint="eastAsia" w:ascii="仿宋" w:hAnsi="仿宋" w:eastAsia="仿宋"/>
          <w:sz w:val="28"/>
        </w:rPr>
      </w:pPr>
      <w:r>
        <w:rPr>
          <w:rFonts w:hint="eastAsia" w:ascii="仿宋" w:hAnsi="仿宋" w:eastAsia="仿宋"/>
          <w:sz w:val="28"/>
        </w:rPr>
        <w:t>10.3.</w:t>
      </w:r>
      <w:r>
        <w:rPr>
          <w:rFonts w:hint="eastAsia" w:ascii="仿宋" w:hAnsi="仿宋" w:eastAsia="仿宋"/>
          <w:sz w:val="28"/>
          <w:lang w:val="en-US" w:eastAsia="zh-CN"/>
        </w:rPr>
        <w:t>2</w:t>
      </w:r>
      <w:r>
        <w:rPr>
          <w:rFonts w:hint="eastAsia" w:ascii="仿宋" w:hAnsi="仿宋" w:eastAsia="仿宋"/>
          <w:sz w:val="28"/>
        </w:rPr>
        <w:t xml:space="preserve"> 分项报价明细表中特别要求的</w:t>
      </w:r>
      <w:r>
        <w:rPr>
          <w:rFonts w:hint="eastAsia" w:ascii="仿宋" w:hAnsi="仿宋" w:eastAsia="仿宋"/>
          <w:sz w:val="28"/>
          <w:lang w:val="en-US" w:eastAsia="zh-CN"/>
        </w:rPr>
        <w:t>配送</w:t>
      </w:r>
      <w:r>
        <w:rPr>
          <w:rFonts w:hint="eastAsia" w:ascii="仿宋" w:hAnsi="仿宋" w:eastAsia="仿宋"/>
          <w:sz w:val="28"/>
        </w:rPr>
        <w:t>、装卸费、运输费用。</w:t>
      </w:r>
    </w:p>
    <w:p>
      <w:pPr>
        <w:pStyle w:val="26"/>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6"/>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6"/>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6"/>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6"/>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6"/>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6"/>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6"/>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6"/>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6"/>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6"/>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6"/>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6"/>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6"/>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6"/>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供应商可根据磋商内容的具体需要自行编制其它文件一式</w:t>
      </w:r>
      <w:r>
        <w:rPr>
          <w:rFonts w:hint="eastAsia" w:ascii="仿宋" w:hAnsi="仿宋" w:eastAsia="仿宋"/>
          <w:sz w:val="28"/>
          <w:lang w:val="en-US" w:eastAsia="zh-CN"/>
        </w:rPr>
        <w:t>4</w:t>
      </w:r>
      <w:r>
        <w:rPr>
          <w:rFonts w:hint="eastAsia" w:ascii="仿宋" w:hAnsi="仿宋" w:eastAsia="仿宋"/>
          <w:sz w:val="28"/>
        </w:rPr>
        <w:t>份</w:t>
      </w:r>
      <w:r>
        <w:rPr>
          <w:rFonts w:hint="eastAsia" w:ascii="仿宋" w:hAnsi="仿宋" w:eastAsia="仿宋"/>
          <w:sz w:val="28"/>
          <w:lang w:val="en-US" w:eastAsia="zh-CN"/>
        </w:rPr>
        <w:t>分别</w:t>
      </w:r>
      <w:r>
        <w:rPr>
          <w:rFonts w:hint="eastAsia" w:ascii="仿宋" w:hAnsi="仿宋" w:eastAsia="仿宋"/>
          <w:sz w:val="28"/>
        </w:rPr>
        <w:t>纳入响应文件</w:t>
      </w:r>
      <w:r>
        <w:rPr>
          <w:rFonts w:hint="eastAsia" w:ascii="仿宋" w:hAnsi="仿宋" w:eastAsia="仿宋"/>
          <w:sz w:val="28"/>
          <w:lang w:val="en-US" w:eastAsia="zh-CN"/>
        </w:rPr>
        <w:t>正副本</w:t>
      </w:r>
      <w:r>
        <w:rPr>
          <w:rFonts w:hint="eastAsia" w:ascii="仿宋" w:hAnsi="仿宋" w:eastAsia="仿宋"/>
          <w:sz w:val="28"/>
        </w:rPr>
        <w:t>中。</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w:t>
      </w:r>
      <w:r>
        <w:rPr>
          <w:rFonts w:hint="eastAsia" w:ascii="仿宋" w:hAnsi="仿宋" w:eastAsia="仿宋"/>
          <w:sz w:val="28"/>
          <w:lang w:val="en-US" w:eastAsia="zh-CN"/>
        </w:rPr>
        <w:t>纸质版</w:t>
      </w:r>
      <w:r>
        <w:rPr>
          <w:rFonts w:hint="eastAsia" w:ascii="仿宋" w:hAnsi="仿宋" w:eastAsia="仿宋"/>
          <w:sz w:val="28"/>
        </w:rPr>
        <w:t>装订必须采用胶粘本，不允许任何活页形式装订（非胶粘方式装订的响应文件一律视同活页装订），活页方式装订视为磋商无效。</w:t>
      </w:r>
    </w:p>
    <w:p>
      <w:pPr>
        <w:pStyle w:val="26"/>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6"/>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6"/>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6"/>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6"/>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6"/>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6"/>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7"/>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7"/>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7"/>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6"/>
        <w:spacing w:line="360" w:lineRule="auto"/>
        <w:rPr>
          <w:rFonts w:hint="eastAsia"/>
        </w:rPr>
      </w:pPr>
      <w:bookmarkStart w:id="28" w:name="_Toc26897"/>
      <w:bookmarkStart w:id="29" w:name="_Toc56170383"/>
      <w:bookmarkStart w:id="30" w:name="_Toc61184626"/>
      <w:r>
        <w:rPr>
          <w:rFonts w:hint="eastAsia"/>
        </w:rPr>
        <w:t>四、响应文件的递交</w:t>
      </w:r>
      <w:bookmarkEnd w:id="28"/>
      <w:bookmarkEnd w:id="29"/>
      <w:bookmarkEnd w:id="30"/>
    </w:p>
    <w:p>
      <w:pPr>
        <w:pStyle w:val="26"/>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6"/>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6"/>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⑴采购代理机构单位：新疆博源汇通项目管理咨询有限公司</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6"/>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6"/>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6"/>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6"/>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8"/>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8"/>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8"/>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8"/>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8"/>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8"/>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8"/>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8"/>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8"/>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8"/>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8"/>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6"/>
        <w:spacing w:line="360" w:lineRule="auto"/>
        <w:rPr>
          <w:rFonts w:hint="eastAsia"/>
        </w:rPr>
      </w:pPr>
      <w:bookmarkStart w:id="31" w:name="_Toc56170384"/>
      <w:bookmarkStart w:id="32" w:name="_Toc30907"/>
      <w:bookmarkStart w:id="33" w:name="_Toc61184627"/>
      <w:r>
        <w:rPr>
          <w:rFonts w:hint="eastAsia"/>
        </w:rPr>
        <w:t>五、磋商</w:t>
      </w:r>
      <w:bookmarkEnd w:id="31"/>
      <w:bookmarkEnd w:id="32"/>
      <w:bookmarkEnd w:id="33"/>
    </w:p>
    <w:p>
      <w:pPr>
        <w:pStyle w:val="28"/>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6"/>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6"/>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6"/>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6"/>
        <w:spacing w:line="360" w:lineRule="auto"/>
        <w:ind w:firstLine="560"/>
        <w:jc w:val="both"/>
        <w:rPr>
          <w:rFonts w:hint="eastAsia" w:ascii="仿宋" w:hAnsi="仿宋" w:eastAsia="仿宋"/>
          <w:sz w:val="28"/>
        </w:rPr>
      </w:pPr>
    </w:p>
    <w:p>
      <w:pPr>
        <w:pStyle w:val="6"/>
        <w:spacing w:line="360" w:lineRule="auto"/>
        <w:rPr>
          <w:rFonts w:hint="eastAsia"/>
        </w:rPr>
      </w:pPr>
      <w:bookmarkStart w:id="34" w:name="_Toc56170385"/>
      <w:bookmarkStart w:id="35" w:name="_Toc61184628"/>
      <w:bookmarkStart w:id="36" w:name="_Toc22021"/>
      <w:r>
        <w:rPr>
          <w:rFonts w:hint="eastAsia"/>
        </w:rPr>
        <w:t>六、资格审查</w:t>
      </w:r>
      <w:bookmarkEnd w:id="34"/>
      <w:bookmarkEnd w:id="35"/>
      <w:bookmarkEnd w:id="36"/>
    </w:p>
    <w:p>
      <w:pPr>
        <w:pStyle w:val="26"/>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6"/>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6"/>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6"/>
        <w:spacing w:line="360" w:lineRule="auto"/>
        <w:rPr>
          <w:rFonts w:hint="eastAsia"/>
        </w:rPr>
      </w:pPr>
      <w:bookmarkStart w:id="37" w:name="_Toc61184629"/>
      <w:bookmarkStart w:id="38" w:name="_Toc3968"/>
      <w:bookmarkStart w:id="39" w:name="_Toc56170386"/>
      <w:r>
        <w:rPr>
          <w:rFonts w:hint="eastAsia"/>
        </w:rPr>
        <w:t>七、磋商和定标</w:t>
      </w:r>
      <w:bookmarkEnd w:id="37"/>
      <w:bookmarkEnd w:id="38"/>
      <w:bookmarkEnd w:id="39"/>
    </w:p>
    <w:p>
      <w:pPr>
        <w:pStyle w:val="26"/>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6"/>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6"/>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6"/>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6"/>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6"/>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6"/>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6"/>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6"/>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6"/>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6"/>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6"/>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6"/>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6"/>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6"/>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6"/>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6"/>
        <w:spacing w:line="360" w:lineRule="auto"/>
        <w:ind w:firstLine="562"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2"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2"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7"/>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9"/>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9"/>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9"/>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9"/>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9"/>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0"/>
        <w:tblpPr w:leftFromText="180" w:rightFromText="180" w:vertAnchor="text" w:horzAnchor="page" w:tblpXSpec="center" w:tblpY="5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4"/>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continue"/>
            <w:tcBorders>
              <w:left w:val="single" w:color="auto" w:sz="4" w:space="0"/>
              <w:right w:val="single" w:color="auto" w:sz="4" w:space="0"/>
            </w:tcBorders>
            <w:noWrap w:val="0"/>
            <w:vAlign w:val="center"/>
          </w:tcPr>
          <w:p>
            <w:pPr>
              <w:pStyle w:val="34"/>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9"/>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9"/>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lang w:val="en-US" w:eastAsia="zh-CN"/>
              </w:rPr>
              <w:t>16</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技术参数全部满足招标文件要求得</w:t>
            </w:r>
            <w:r>
              <w:rPr>
                <w:rFonts w:hint="eastAsia" w:ascii="仿宋" w:hAnsi="仿宋" w:eastAsia="仿宋" w:cs="宋体"/>
                <w:kern w:val="0"/>
                <w:sz w:val="24"/>
                <w:szCs w:val="24"/>
                <w:lang w:val="en-US" w:eastAsia="zh-CN"/>
              </w:rPr>
              <w:t>16</w:t>
            </w:r>
            <w:r>
              <w:rPr>
                <w:rFonts w:hint="eastAsia" w:ascii="仿宋" w:hAnsi="仿宋" w:eastAsia="仿宋" w:cs="宋体"/>
                <w:kern w:val="0"/>
                <w:sz w:val="24"/>
                <w:szCs w:val="24"/>
              </w:rPr>
              <w:t>分；普通技术条款每偏离一条扣2分，最低得0分，最高得</w:t>
            </w:r>
            <w:r>
              <w:rPr>
                <w:rFonts w:hint="eastAsia" w:ascii="仿宋" w:hAnsi="仿宋" w:eastAsia="仿宋" w:cs="宋体"/>
                <w:kern w:val="0"/>
                <w:sz w:val="24"/>
                <w:szCs w:val="24"/>
                <w:lang w:val="en-US" w:eastAsia="zh-CN"/>
              </w:rPr>
              <w:t>16</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lang w:val="en-US" w:eastAsia="zh-CN"/>
              </w:rPr>
              <w:t>5</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Times New Roman"/>
                <w:b w:val="0"/>
                <w:color w:val="auto"/>
                <w:kern w:val="0"/>
                <w:sz w:val="24"/>
                <w:szCs w:val="24"/>
                <w:lang w:val="en-US" w:eastAsia="zh-CN" w:bidi="ar-SA"/>
              </w:rPr>
            </w:pPr>
          </w:p>
          <w:p>
            <w:pPr>
              <w:widowControl/>
              <w:spacing w:line="360" w:lineRule="auto"/>
              <w:jc w:val="center"/>
              <w:rPr>
                <w:rFonts w:hint="eastAsia" w:ascii="仿宋" w:hAnsi="仿宋" w:eastAsia="仿宋" w:cs="Times New Roman"/>
                <w:b w:val="0"/>
                <w:color w:val="auto"/>
                <w:kern w:val="0"/>
                <w:sz w:val="24"/>
                <w:szCs w:val="24"/>
                <w:lang w:val="en-US" w:eastAsia="zh-CN" w:bidi="ar-SA"/>
              </w:rPr>
            </w:pPr>
          </w:p>
          <w:p>
            <w:pPr>
              <w:widowControl/>
              <w:spacing w:line="360" w:lineRule="auto"/>
              <w:jc w:val="center"/>
              <w:rPr>
                <w:rFonts w:hint="eastAsia" w:ascii="仿宋" w:hAnsi="仿宋" w:eastAsia="仿宋" w:cs="Times New Roman"/>
                <w:b w:val="0"/>
                <w:color w:val="auto"/>
                <w:kern w:val="0"/>
                <w:sz w:val="24"/>
                <w:szCs w:val="24"/>
                <w:lang w:val="en-US" w:eastAsia="zh-CN" w:bidi="ar-SA"/>
              </w:rPr>
            </w:pPr>
          </w:p>
          <w:p>
            <w:pPr>
              <w:widowControl/>
              <w:spacing w:line="360" w:lineRule="auto"/>
              <w:jc w:val="center"/>
              <w:rPr>
                <w:rFonts w:hint="eastAsia" w:ascii="仿宋" w:hAnsi="仿宋" w:eastAsia="仿宋" w:cs="宋体"/>
                <w:kern w:val="0"/>
                <w:sz w:val="24"/>
                <w:szCs w:val="24"/>
              </w:rPr>
            </w:pPr>
            <w:r>
              <w:rPr>
                <w:rFonts w:hint="eastAsia" w:ascii="仿宋" w:hAnsi="仿宋" w:eastAsia="仿宋" w:cs="Times New Roman"/>
                <w:b w:val="0"/>
                <w:color w:val="auto"/>
                <w:kern w:val="0"/>
                <w:sz w:val="24"/>
                <w:szCs w:val="24"/>
                <w:lang w:val="en-US" w:eastAsia="zh-CN" w:bidi="ar-SA"/>
              </w:rPr>
              <w:t>实施方案</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15</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结合本项目基本情况，充分为采购人及用户考虑，包含但不限于实施进度、供货方案、质量保证、应急处置等。实施方案叙述详尽、安排合理、可行性高、针对性强，得</w:t>
            </w:r>
            <w:r>
              <w:rPr>
                <w:rFonts w:hint="eastAsia" w:ascii="仿宋" w:hAnsi="仿宋" w:eastAsia="仿宋" w:cs="宋体"/>
                <w:kern w:val="0"/>
                <w:sz w:val="24"/>
                <w:szCs w:val="24"/>
                <w:lang w:val="en-US" w:eastAsia="zh-CN"/>
              </w:rPr>
              <w:t>15</w:t>
            </w:r>
            <w:r>
              <w:rPr>
                <w:rFonts w:hint="eastAsia" w:ascii="仿宋" w:hAnsi="仿宋" w:eastAsia="仿宋" w:cs="宋体"/>
                <w:kern w:val="0"/>
                <w:sz w:val="24"/>
                <w:szCs w:val="24"/>
              </w:rPr>
              <w:t>分，一般得</w:t>
            </w:r>
            <w:r>
              <w:rPr>
                <w:rFonts w:hint="eastAsia" w:ascii="仿宋" w:hAnsi="仿宋" w:eastAsia="仿宋" w:cs="宋体"/>
                <w:kern w:val="0"/>
                <w:sz w:val="24"/>
                <w:szCs w:val="24"/>
                <w:lang w:val="en-US" w:eastAsia="zh-CN"/>
              </w:rPr>
              <w:t>6</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10</w:t>
            </w:r>
            <w:r>
              <w:rPr>
                <w:rFonts w:hint="eastAsia" w:ascii="仿宋" w:hAnsi="仿宋" w:eastAsia="仿宋" w:cs="宋体"/>
                <w:kern w:val="0"/>
                <w:sz w:val="24"/>
                <w:szCs w:val="24"/>
              </w:rPr>
              <w:t>分：仅有实施方案，但叙述不完善，涉及内容少、可行性低、针对性弱，得0-</w:t>
            </w: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pStyle w:val="34"/>
              <w:snapToGrid w:val="0"/>
              <w:spacing w:line="360" w:lineRule="auto"/>
              <w:rPr>
                <w:rFonts w:hint="eastAsia" w:ascii="仿宋" w:hAnsi="仿宋" w:eastAsia="仿宋"/>
                <w:b w:val="0"/>
                <w:color w:val="auto"/>
                <w:sz w:val="24"/>
                <w:szCs w:val="24"/>
                <w:lang w:val="en-US" w:eastAsia="zh-CN"/>
              </w:rPr>
            </w:pPr>
          </w:p>
          <w:p>
            <w:pPr>
              <w:pStyle w:val="34"/>
              <w:snapToGrid w:val="0"/>
              <w:spacing w:line="360" w:lineRule="auto"/>
              <w:rPr>
                <w:rFonts w:hint="default" w:ascii="仿宋" w:hAnsi="仿宋" w:eastAsia="仿宋"/>
                <w:b w:val="0"/>
                <w:color w:val="auto"/>
                <w:sz w:val="24"/>
                <w:szCs w:val="24"/>
                <w:lang w:val="en-US" w:eastAsia="zh-CN"/>
              </w:rPr>
            </w:pPr>
            <w:r>
              <w:rPr>
                <w:rFonts w:hint="eastAsia" w:ascii="仿宋" w:hAnsi="仿宋" w:eastAsia="仿宋"/>
                <w:b w:val="0"/>
                <w:color w:val="auto"/>
                <w:sz w:val="24"/>
                <w:szCs w:val="24"/>
                <w:lang w:val="en-US" w:eastAsia="zh-CN"/>
              </w:rPr>
              <w:t>运输方案</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9</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的运输</w:t>
            </w:r>
            <w:r>
              <w:rPr>
                <w:rFonts w:hint="eastAsia" w:ascii="仿宋" w:hAnsi="仿宋" w:eastAsia="仿宋" w:cs="宋体"/>
                <w:kern w:val="0"/>
                <w:sz w:val="24"/>
                <w:szCs w:val="24"/>
              </w:rPr>
              <w:t>、可</w:t>
            </w:r>
            <w:r>
              <w:rPr>
                <w:rFonts w:hint="eastAsia" w:ascii="仿宋" w:hAnsi="仿宋" w:eastAsia="仿宋" w:cs="宋体"/>
                <w:kern w:val="0"/>
                <w:sz w:val="24"/>
                <w:szCs w:val="24"/>
                <w:lang w:val="en-US" w:eastAsia="zh-CN"/>
              </w:rPr>
              <w:t>安全</w:t>
            </w:r>
            <w:r>
              <w:rPr>
                <w:rFonts w:hint="eastAsia" w:ascii="仿宋" w:hAnsi="仿宋" w:eastAsia="仿宋" w:cs="宋体"/>
                <w:kern w:val="0"/>
                <w:sz w:val="24"/>
                <w:szCs w:val="24"/>
              </w:rPr>
              <w:t>性</w:t>
            </w:r>
            <w:r>
              <w:rPr>
                <w:rFonts w:hint="eastAsia" w:ascii="仿宋" w:hAnsi="仿宋" w:eastAsia="仿宋" w:cs="宋体"/>
                <w:kern w:val="0"/>
                <w:sz w:val="24"/>
                <w:szCs w:val="24"/>
                <w:lang w:val="en-US" w:eastAsia="zh-CN"/>
              </w:rPr>
              <w:t>稳定性打分</w:t>
            </w:r>
            <w:r>
              <w:rPr>
                <w:rFonts w:hint="eastAsia" w:ascii="仿宋" w:hAnsi="仿宋" w:eastAsia="仿宋" w:cs="宋体"/>
                <w:kern w:val="0"/>
                <w:sz w:val="24"/>
                <w:szCs w:val="24"/>
              </w:rPr>
              <w:t>，优：</w:t>
            </w:r>
            <w:r>
              <w:rPr>
                <w:rFonts w:hint="eastAsia" w:ascii="仿宋" w:hAnsi="仿宋" w:eastAsia="仿宋" w:cs="宋体"/>
                <w:kern w:val="0"/>
                <w:sz w:val="24"/>
                <w:szCs w:val="24"/>
                <w:lang w:val="en-US" w:eastAsia="zh-CN"/>
              </w:rPr>
              <w:t>9</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4"/>
              <w:snapToGrid w:val="0"/>
              <w:spacing w:line="360" w:lineRule="auto"/>
              <w:rPr>
                <w:rFonts w:hint="default" w:ascii="仿宋" w:hAnsi="仿宋" w:eastAsia="仿宋"/>
                <w:b w:val="0"/>
                <w:color w:val="auto"/>
                <w:sz w:val="24"/>
                <w:szCs w:val="24"/>
                <w:lang w:val="en-US" w:eastAsia="zh-CN"/>
              </w:rPr>
            </w:pPr>
            <w:r>
              <w:rPr>
                <w:rFonts w:hint="eastAsia" w:ascii="仿宋" w:hAnsi="仿宋" w:eastAsia="仿宋"/>
                <w:b w:val="0"/>
                <w:color w:val="auto"/>
                <w:sz w:val="24"/>
                <w:szCs w:val="24"/>
                <w:lang w:val="en-US" w:eastAsia="zh-CN"/>
              </w:rPr>
              <w:t>人员配备方案</w:t>
            </w:r>
          </w:p>
        </w:tc>
        <w:tc>
          <w:tcPr>
            <w:tcW w:w="962" w:type="dxa"/>
            <w:noWrap w:val="0"/>
            <w:vAlign w:val="center"/>
          </w:tcPr>
          <w:p>
            <w:pPr>
              <w:pStyle w:val="3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lang w:val="en-US" w:eastAsia="zh-CN"/>
              </w:rPr>
              <w:t>10</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default" w:ascii="仿宋" w:hAnsi="仿宋" w:eastAsia="仿宋" w:cs="宋体"/>
                <w:kern w:val="0"/>
                <w:sz w:val="24"/>
                <w:szCs w:val="24"/>
                <w:lang w:val="en-US" w:eastAsia="zh-CN"/>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的安全人员</w:t>
            </w:r>
            <w:r>
              <w:rPr>
                <w:rFonts w:hint="eastAsia" w:ascii="仿宋" w:hAnsi="仿宋" w:eastAsia="仿宋"/>
                <w:b w:val="0"/>
                <w:color w:val="auto"/>
                <w:sz w:val="24"/>
                <w:szCs w:val="24"/>
              </w:rPr>
              <w:t>、</w:t>
            </w:r>
            <w:r>
              <w:rPr>
                <w:rFonts w:hint="eastAsia" w:ascii="仿宋" w:hAnsi="仿宋" w:eastAsia="仿宋"/>
                <w:b w:val="0"/>
                <w:color w:val="auto"/>
                <w:sz w:val="24"/>
                <w:szCs w:val="24"/>
                <w:lang w:val="en-US" w:eastAsia="zh-CN"/>
              </w:rPr>
              <w:t>供应商提供人数达到3名得6分</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每增加1人加2分，＜3人不得分，最高可得10分。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分，未提供的不得分。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w:t>
      </w:r>
      <w:r>
        <w:rPr>
          <w:rFonts w:hint="eastAsia" w:ascii="仿宋" w:hAnsi="仿宋" w:eastAsia="仿宋"/>
          <w:color w:val="000000"/>
          <w:sz w:val="28"/>
          <w:lang w:val="en-US" w:eastAsia="zh-CN"/>
        </w:rPr>
        <w:t>10</w:t>
      </w:r>
      <w:r>
        <w:rPr>
          <w:rFonts w:hint="eastAsia" w:ascii="仿宋" w:hAnsi="仿宋" w:eastAsia="仿宋"/>
          <w:color w:val="000000"/>
          <w:sz w:val="28"/>
        </w:rPr>
        <w:t>%的扣除，用扣除后的价格参与评审打分。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w:t>
      </w:r>
      <w:r>
        <w:rPr>
          <w:rFonts w:hint="eastAsia" w:ascii="仿宋" w:hAnsi="仿宋" w:eastAsia="仿宋" w:cs="仿宋_GB2312"/>
          <w:color w:val="000000"/>
          <w:sz w:val="28"/>
          <w:szCs w:val="28"/>
          <w:lang w:val="en-US" w:eastAsia="zh-CN"/>
        </w:rPr>
        <w:t>10</w:t>
      </w:r>
      <w:r>
        <w:rPr>
          <w:rFonts w:hint="eastAsia" w:ascii="仿宋" w:hAnsi="仿宋" w:eastAsia="仿宋" w:cs="仿宋_GB2312"/>
          <w:color w:val="000000"/>
          <w:sz w:val="28"/>
          <w:szCs w:val="28"/>
        </w:rPr>
        <w:t>%）+供应商报价中不属于小型和微型企业产品的价格部分；否则，其磋商价=磋商报价。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w:t>
      </w:r>
      <w:r>
        <w:rPr>
          <w:rFonts w:hint="eastAsia" w:ascii="仿宋" w:hAnsi="仿宋" w:eastAsia="仿宋"/>
          <w:color w:val="000000"/>
          <w:sz w:val="28"/>
          <w:lang w:val="en-US" w:eastAsia="zh-CN"/>
        </w:rPr>
        <w:t>10</w:t>
      </w:r>
      <w:r>
        <w:rPr>
          <w:rFonts w:hint="eastAsia" w:ascii="仿宋" w:hAnsi="仿宋" w:eastAsia="仿宋"/>
          <w:color w:val="000000"/>
          <w:sz w:val="28"/>
        </w:rPr>
        <w:t>%的扣除，用扣除后的价格参与价格分的评审。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6"/>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6"/>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6"/>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6"/>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6"/>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6"/>
        <w:spacing w:line="360" w:lineRule="auto"/>
        <w:rPr>
          <w:rFonts w:hint="eastAsia"/>
        </w:rPr>
      </w:pPr>
      <w:bookmarkStart w:id="40" w:name="_Toc19574"/>
      <w:bookmarkStart w:id="41" w:name="_Toc61184630"/>
      <w:bookmarkStart w:id="42" w:name="_Toc56170387"/>
      <w:r>
        <w:rPr>
          <w:rFonts w:hint="eastAsia"/>
          <w:lang w:val="en-US" w:eastAsia="zh-CN"/>
        </w:rPr>
        <w:t>八</w:t>
      </w:r>
      <w:r>
        <w:rPr>
          <w:rFonts w:hint="eastAsia"/>
        </w:rPr>
        <w:t>、授予合同</w:t>
      </w:r>
      <w:bookmarkEnd w:id="40"/>
      <w:bookmarkEnd w:id="41"/>
      <w:bookmarkEnd w:id="42"/>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6"/>
        <w:spacing w:line="360" w:lineRule="auto"/>
        <w:rPr>
          <w:rFonts w:hint="eastAsia"/>
        </w:rPr>
      </w:pPr>
      <w:bookmarkStart w:id="43" w:name="_Toc275"/>
      <w:bookmarkStart w:id="44" w:name="_Toc61184631"/>
      <w:bookmarkStart w:id="45" w:name="_Toc56170388"/>
      <w:r>
        <w:rPr>
          <w:rFonts w:hint="eastAsia"/>
          <w:lang w:val="en-US" w:eastAsia="zh-CN"/>
        </w:rPr>
        <w:t>九</w:t>
      </w:r>
      <w:r>
        <w:rPr>
          <w:rFonts w:hint="eastAsia"/>
        </w:rPr>
        <w:t>、买方授标时更改采购货物数量的权利</w:t>
      </w:r>
      <w:bookmarkEnd w:id="43"/>
      <w:bookmarkEnd w:id="44"/>
      <w:bookmarkEnd w:id="45"/>
    </w:p>
    <w:p>
      <w:pPr>
        <w:pStyle w:val="27"/>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rPr>
          <w:rFonts w:hint="eastAsia"/>
        </w:rPr>
      </w:pPr>
      <w:bookmarkStart w:id="46" w:name="_Toc61184632"/>
      <w:bookmarkStart w:id="47" w:name="_Toc27059"/>
      <w:bookmarkStart w:id="48" w:name="_Toc56170389"/>
      <w:r>
        <w:rPr>
          <w:rFonts w:hint="eastAsia"/>
          <w:lang w:val="en-US" w:eastAsia="zh-CN"/>
        </w:rPr>
        <w:t>十</w:t>
      </w:r>
      <w:r>
        <w:rPr>
          <w:rFonts w:hint="eastAsia"/>
        </w:rPr>
        <w:t>、其他事项</w:t>
      </w:r>
      <w:bookmarkEnd w:id="46"/>
      <w:bookmarkEnd w:id="47"/>
      <w:bookmarkEnd w:id="48"/>
    </w:p>
    <w:p>
      <w:pPr>
        <w:pStyle w:val="26"/>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本磋商文件是根据《中华人民共和国政府采购法》及其实施条例（658号令）及《政府采购货物和服务招标投标管理办法》（87号令）规定编制的，解释权属新疆博源汇通项目管理咨询有限公司。</w:t>
      </w:r>
    </w:p>
    <w:p>
      <w:pPr>
        <w:pStyle w:val="26"/>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6"/>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1</w:t>
      </w:r>
    </w:p>
    <w:bookmarkEnd w:id="14"/>
    <w:p>
      <w:pPr>
        <w:pStyle w:val="4"/>
      </w:pPr>
      <w:r>
        <w:rPr>
          <w:rFonts w:cs="Times New Roman"/>
          <w:szCs w:val="20"/>
        </w:rPr>
        <w:br w:type="page"/>
      </w:r>
      <w:bookmarkStart w:id="49" w:name="_Toc56170390"/>
      <w:bookmarkStart w:id="50" w:name="_Toc413"/>
      <w:bookmarkStart w:id="51" w:name="_Toc55990501"/>
      <w:bookmarkStart w:id="52" w:name="_Toc61184633"/>
      <w:r>
        <w:rPr>
          <w:rFonts w:hint="eastAsia"/>
        </w:rPr>
        <w:t>第三章、磋商内容及技术要求</w:t>
      </w:r>
      <w:bookmarkEnd w:id="49"/>
      <w:bookmarkEnd w:id="50"/>
      <w:bookmarkEnd w:id="51"/>
      <w:bookmarkEnd w:id="52"/>
    </w:p>
    <w:p>
      <w:pPr>
        <w:spacing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质保期：3年</w:t>
      </w:r>
    </w:p>
    <w:p>
      <w:pPr>
        <w:spacing w:line="480" w:lineRule="auto"/>
        <w:rPr>
          <w:rFonts w:hint="eastAsia"/>
          <w:lang w:val="en-US" w:eastAsia="zh-CN"/>
        </w:rPr>
      </w:pPr>
      <w:r>
        <w:rPr>
          <w:rFonts w:hint="eastAsia" w:ascii="仿宋" w:hAnsi="仿宋" w:eastAsia="仿宋" w:cs="仿宋"/>
          <w:b/>
          <w:bCs/>
          <w:sz w:val="28"/>
          <w:szCs w:val="28"/>
          <w:lang w:val="en-US" w:eastAsia="zh-CN"/>
        </w:rPr>
        <w:t>到货期：按照甲方计划分批送货</w:t>
      </w:r>
    </w:p>
    <w:p>
      <w:pPr>
        <w:numPr>
          <w:ilvl w:val="0"/>
          <w:numId w:val="0"/>
        </w:numPr>
        <w:spacing w:line="480" w:lineRule="auto"/>
        <w:ind w:leftChars="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采购食用酒精60吨</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1、范围</w:t>
      </w:r>
    </w:p>
    <w:p>
      <w:pPr>
        <w:numPr>
          <w:ilvl w:val="0"/>
          <w:numId w:val="0"/>
        </w:numPr>
        <w:spacing w:line="360" w:lineRule="auto"/>
        <w:ind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本标准适用于食用酒精。</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2、术语和定义</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食用酒精</w:t>
      </w:r>
    </w:p>
    <w:p>
      <w:pPr>
        <w:numPr>
          <w:ilvl w:val="0"/>
          <w:numId w:val="0"/>
        </w:numPr>
        <w:spacing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以谷物、薯类、糖蜜或其他可食用农作物为主要原料,经发酵、蒸馏精制而成的,供食品工业使用的  含水酒精。</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3、技术要求</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原料要求</w:t>
      </w:r>
    </w:p>
    <w:p>
      <w:pPr>
        <w:numPr>
          <w:ilvl w:val="0"/>
          <w:numId w:val="0"/>
        </w:numPr>
        <w:spacing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原料应符合相应的产品标准和有关规定。</w:t>
      </w: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感官要求</w:t>
      </w:r>
    </w:p>
    <w:p>
      <w:pPr>
        <w:numPr>
          <w:ilvl w:val="0"/>
          <w:numId w:val="0"/>
        </w:numPr>
        <w:spacing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感官要求应符合表1.的规定。</w:t>
      </w:r>
    </w:p>
    <w:p>
      <w:pPr>
        <w:numPr>
          <w:ilvl w:val="0"/>
          <w:numId w:val="0"/>
        </w:numPr>
        <w:spacing w:line="48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表1. 感官要求</w:t>
      </w:r>
    </w:p>
    <w:tbl>
      <w:tblPr>
        <w:tblStyle w:val="20"/>
        <w:tblW w:w="0" w:type="auto"/>
        <w:tblInd w:w="17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624"/>
        <w:gridCol w:w="2526"/>
        <w:gridCol w:w="5070"/>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40" w:hRule="atLeast"/>
        </w:trPr>
        <w:tc>
          <w:tcPr>
            <w:tcW w:w="1624" w:type="dxa"/>
            <w:tcBorders>
              <w:right w:val="single" w:color="231F20" w:sz="4" w:space="0"/>
            </w:tcBorders>
          </w:tcPr>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目</w:t>
            </w:r>
          </w:p>
        </w:tc>
        <w:tc>
          <w:tcPr>
            <w:tcW w:w="2526" w:type="dxa"/>
            <w:tcBorders>
              <w:left w:val="single" w:color="231F20" w:sz="4" w:space="0"/>
              <w:right w:val="single" w:color="231F20" w:sz="4" w:space="0"/>
            </w:tcBorders>
          </w:tcPr>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求</w:t>
            </w:r>
          </w:p>
        </w:tc>
        <w:tc>
          <w:tcPr>
            <w:tcW w:w="5070" w:type="dxa"/>
            <w:tcBorders>
              <w:left w:val="single" w:color="231F20" w:sz="4" w:space="0"/>
            </w:tcBorders>
          </w:tcPr>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检验方法</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929" w:hRule="atLeast"/>
        </w:trPr>
        <w:tc>
          <w:tcPr>
            <w:tcW w:w="1624" w:type="dxa"/>
            <w:tcBorders>
              <w:bottom w:val="single" w:color="231F20" w:sz="4" w:space="0"/>
              <w:right w:val="single" w:color="231F20" w:sz="4" w:space="0"/>
            </w:tcBorders>
          </w:tcPr>
          <w:p>
            <w:pPr>
              <w:numPr>
                <w:ilvl w:val="0"/>
                <w:numId w:val="0"/>
              </w:numPr>
              <w:spacing w:line="300" w:lineRule="auto"/>
              <w:ind w:left="0" w:leftChars="0"/>
              <w:jc w:val="center"/>
              <w:rPr>
                <w:rFonts w:hint="eastAsia" w:ascii="仿宋" w:hAnsi="仿宋" w:eastAsia="仿宋" w:cs="仿宋"/>
                <w:sz w:val="28"/>
                <w:szCs w:val="28"/>
                <w:lang w:val="en-US" w:eastAsia="zh-CN"/>
              </w:rPr>
            </w:pPr>
          </w:p>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外观</w:t>
            </w:r>
          </w:p>
        </w:tc>
        <w:tc>
          <w:tcPr>
            <w:tcW w:w="2526" w:type="dxa"/>
            <w:tcBorders>
              <w:left w:val="single" w:color="231F20" w:sz="4" w:space="0"/>
              <w:bottom w:val="single" w:color="231F20" w:sz="4" w:space="0"/>
              <w:right w:val="single" w:color="231F20" w:sz="4" w:space="0"/>
            </w:tcBorders>
          </w:tcPr>
          <w:p>
            <w:pPr>
              <w:numPr>
                <w:ilvl w:val="0"/>
                <w:numId w:val="0"/>
              </w:numPr>
              <w:spacing w:line="300" w:lineRule="auto"/>
              <w:ind w:left="0" w:leftChars="0"/>
              <w:jc w:val="both"/>
              <w:rPr>
                <w:rFonts w:hint="eastAsia" w:ascii="仿宋" w:hAnsi="仿宋" w:eastAsia="仿宋" w:cs="仿宋"/>
                <w:sz w:val="28"/>
                <w:szCs w:val="28"/>
                <w:lang w:val="en-US" w:eastAsia="zh-CN"/>
              </w:rPr>
            </w:pPr>
          </w:p>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无色透明</w:t>
            </w:r>
          </w:p>
        </w:tc>
        <w:tc>
          <w:tcPr>
            <w:tcW w:w="5070" w:type="dxa"/>
            <w:tcBorders>
              <w:left w:val="single" w:color="231F20" w:sz="4" w:space="0"/>
              <w:bottom w:val="single" w:color="231F20" w:sz="4" w:space="0"/>
            </w:tcBorders>
            <w:vAlign w:val="center"/>
          </w:tcPr>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用50 mL比色管直接取试样50.0mL，在亮光下观察，应透明、无肉眼可见杂质。</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22" w:hRule="atLeast"/>
        </w:trPr>
        <w:tc>
          <w:tcPr>
            <w:tcW w:w="1624" w:type="dxa"/>
            <w:tcBorders>
              <w:top w:val="single" w:color="231F20" w:sz="4" w:space="0"/>
              <w:bottom w:val="single" w:color="231F20" w:sz="4" w:space="0"/>
              <w:right w:val="single" w:color="231F20" w:sz="4" w:space="0"/>
            </w:tcBorders>
          </w:tcPr>
          <w:p>
            <w:pPr>
              <w:numPr>
                <w:ilvl w:val="0"/>
                <w:numId w:val="0"/>
              </w:numPr>
              <w:spacing w:line="300" w:lineRule="auto"/>
              <w:ind w:left="0" w:leftChars="0"/>
              <w:jc w:val="both"/>
              <w:rPr>
                <w:rFonts w:hint="eastAsia" w:ascii="仿宋" w:hAnsi="仿宋" w:eastAsia="仿宋" w:cs="仿宋"/>
                <w:sz w:val="28"/>
                <w:szCs w:val="28"/>
                <w:lang w:val="en-US" w:eastAsia="zh-CN"/>
              </w:rPr>
            </w:pPr>
          </w:p>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气味</w:t>
            </w:r>
          </w:p>
        </w:tc>
        <w:tc>
          <w:tcPr>
            <w:tcW w:w="2526" w:type="dxa"/>
            <w:tcBorders>
              <w:top w:val="single" w:color="231F20" w:sz="4" w:space="0"/>
              <w:left w:val="single" w:color="231F20" w:sz="4" w:space="0"/>
              <w:bottom w:val="single" w:color="231F20" w:sz="4" w:space="0"/>
              <w:right w:val="single" w:color="231F20" w:sz="4" w:space="0"/>
            </w:tcBorders>
          </w:tcPr>
          <w:p>
            <w:pPr>
              <w:numPr>
                <w:ilvl w:val="0"/>
                <w:numId w:val="0"/>
              </w:numPr>
              <w:spacing w:line="300" w:lineRule="auto"/>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具有乙醇固有香气,无异嗅</w:t>
            </w:r>
          </w:p>
        </w:tc>
        <w:tc>
          <w:tcPr>
            <w:tcW w:w="5070" w:type="dxa"/>
            <w:tcBorders>
              <w:top w:val="single" w:color="231F20" w:sz="4" w:space="0"/>
              <w:left w:val="single" w:color="231F20" w:sz="4" w:space="0"/>
              <w:bottom w:val="single" w:color="231F20" w:sz="4" w:space="0"/>
            </w:tcBorders>
            <w:vAlign w:val="center"/>
          </w:tcPr>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用具塞量筒取试样10mL加水15mL盖塞,混匀。倒入50mL小烧杯中,闻其气味。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15" w:hRule="atLeast"/>
        </w:trPr>
        <w:tc>
          <w:tcPr>
            <w:tcW w:w="1624" w:type="dxa"/>
            <w:tcBorders>
              <w:top w:val="single" w:color="231F20" w:sz="4" w:space="0"/>
              <w:right w:val="single" w:color="231F20" w:sz="4" w:space="0"/>
            </w:tcBorders>
          </w:tcPr>
          <w:p>
            <w:pPr>
              <w:numPr>
                <w:ilvl w:val="0"/>
                <w:numId w:val="0"/>
              </w:numPr>
              <w:spacing w:line="300" w:lineRule="auto"/>
              <w:ind w:left="0" w:leftChars="0"/>
              <w:jc w:val="center"/>
              <w:rPr>
                <w:rFonts w:hint="eastAsia" w:ascii="仿宋" w:hAnsi="仿宋" w:eastAsia="仿宋" w:cs="仿宋"/>
                <w:sz w:val="28"/>
                <w:szCs w:val="28"/>
                <w:lang w:val="en-US" w:eastAsia="zh-CN"/>
              </w:rPr>
            </w:pPr>
          </w:p>
          <w:p>
            <w:pPr>
              <w:numPr>
                <w:ilvl w:val="0"/>
                <w:numId w:val="0"/>
              </w:numPr>
              <w:spacing w:line="300" w:lineRule="auto"/>
              <w:ind w:left="0"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滋味</w:t>
            </w:r>
          </w:p>
        </w:tc>
        <w:tc>
          <w:tcPr>
            <w:tcW w:w="2526" w:type="dxa"/>
            <w:tcBorders>
              <w:top w:val="single" w:color="231F20" w:sz="4" w:space="0"/>
              <w:left w:val="single" w:color="231F20" w:sz="4" w:space="0"/>
              <w:right w:val="single" w:color="231F20" w:sz="4" w:space="0"/>
            </w:tcBorders>
          </w:tcPr>
          <w:p>
            <w:pPr>
              <w:numPr>
                <w:ilvl w:val="0"/>
                <w:numId w:val="0"/>
              </w:numPr>
              <w:spacing w:line="300" w:lineRule="auto"/>
              <w:ind w:left="0" w:leftChars="0"/>
              <w:jc w:val="both"/>
              <w:rPr>
                <w:rFonts w:hint="eastAsia" w:ascii="仿宋" w:hAnsi="仿宋" w:eastAsia="仿宋" w:cs="仿宋"/>
                <w:sz w:val="28"/>
                <w:szCs w:val="28"/>
                <w:lang w:val="en-US" w:eastAsia="zh-CN"/>
              </w:rPr>
            </w:pPr>
          </w:p>
          <w:p>
            <w:pPr>
              <w:numPr>
                <w:ilvl w:val="0"/>
                <w:numId w:val="0"/>
              </w:numPr>
              <w:spacing w:line="300" w:lineRule="auto"/>
              <w:ind w:left="0"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纯净,微甜,无异味</w:t>
            </w:r>
          </w:p>
        </w:tc>
        <w:tc>
          <w:tcPr>
            <w:tcW w:w="5070" w:type="dxa"/>
            <w:tcBorders>
              <w:top w:val="single" w:color="231F20" w:sz="4" w:space="0"/>
              <w:left w:val="single" w:color="231F20" w:sz="4" w:space="0"/>
            </w:tcBorders>
            <w:vAlign w:val="center"/>
          </w:tcPr>
          <w:p>
            <w:pPr>
              <w:numPr>
                <w:ilvl w:val="0"/>
                <w:numId w:val="0"/>
              </w:numPr>
              <w:spacing w:line="300" w:lineRule="auto"/>
              <w:ind w:left="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取试样20mL于50mL容量瓶中,加水30mL,混匀,然后倒入100mL烧杯中,置于20 ℃水浴中,待恒温后品其滋味。</w:t>
            </w:r>
          </w:p>
        </w:tc>
      </w:tr>
    </w:tbl>
    <w:p>
      <w:pPr>
        <w:numPr>
          <w:ilvl w:val="0"/>
          <w:numId w:val="0"/>
        </w:numPr>
        <w:spacing w:line="300" w:lineRule="auto"/>
        <w:ind w:leftChars="0"/>
        <w:rPr>
          <w:rFonts w:hint="eastAsia" w:ascii="仿宋" w:hAnsi="仿宋" w:eastAsia="仿宋" w:cs="仿宋"/>
          <w:sz w:val="28"/>
          <w:szCs w:val="28"/>
          <w:lang w:val="en-US" w:eastAsia="zh-CN"/>
        </w:rPr>
      </w:pPr>
    </w:p>
    <w:p>
      <w:pPr>
        <w:pStyle w:val="2"/>
        <w:rPr>
          <w:rFonts w:hint="eastAsia"/>
          <w:lang w:val="en-US" w:eastAsia="zh-CN"/>
        </w:rPr>
      </w:pPr>
    </w:p>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理化要求</w:t>
      </w:r>
    </w:p>
    <w:p>
      <w:pPr>
        <w:numPr>
          <w:ilvl w:val="0"/>
          <w:numId w:val="0"/>
        </w:numPr>
        <w:spacing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理化指标应符合表2.的规定。</w:t>
      </w:r>
    </w:p>
    <w:p>
      <w:pPr>
        <w:numPr>
          <w:ilvl w:val="0"/>
          <w:numId w:val="0"/>
        </w:numPr>
        <w:spacing w:line="300" w:lineRule="auto"/>
        <w:ind w:leftChars="0"/>
        <w:jc w:val="center"/>
        <w:rPr>
          <w:rFonts w:hint="eastAsia" w:ascii="仿宋" w:hAnsi="仿宋" w:eastAsia="仿宋" w:cs="仿宋"/>
          <w:sz w:val="28"/>
          <w:szCs w:val="28"/>
          <w:lang w:val="en-US" w:eastAsia="zh-CN"/>
        </w:rPr>
      </w:pPr>
    </w:p>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表2. 理化要求</w:t>
      </w:r>
    </w:p>
    <w:tbl>
      <w:tblPr>
        <w:tblStyle w:val="20"/>
        <w:tblW w:w="0" w:type="auto"/>
        <w:tblInd w:w="17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4351"/>
        <w:gridCol w:w="1346"/>
        <w:gridCol w:w="3527"/>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92" w:hRule="atLeast"/>
        </w:trPr>
        <w:tc>
          <w:tcPr>
            <w:tcW w:w="4351" w:type="dxa"/>
            <w:tcBorders>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目</w:t>
            </w:r>
          </w:p>
        </w:tc>
        <w:tc>
          <w:tcPr>
            <w:tcW w:w="1346" w:type="dxa"/>
            <w:tcBorders>
              <w:left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标</w:t>
            </w:r>
          </w:p>
        </w:tc>
        <w:tc>
          <w:tcPr>
            <w:tcW w:w="3527" w:type="dxa"/>
            <w:tcBorders>
              <w:lef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检验方法</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9" w:hRule="atLeast"/>
        </w:trPr>
        <w:tc>
          <w:tcPr>
            <w:tcW w:w="4351" w:type="dxa"/>
            <w:tcBorders>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色度/号≤</w:t>
            </w:r>
          </w:p>
        </w:tc>
        <w:tc>
          <w:tcPr>
            <w:tcW w:w="1346" w:type="dxa"/>
            <w:tcBorders>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3527" w:type="dxa"/>
            <w:tcBorders>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2"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乙醇（%vol）≥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8"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硫酸试验色度/号≤</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54"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氧化时间/min≥</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3"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醛（以乙醛计）/（mg/L）≤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61"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甲醇/（mg/L）≤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76"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正丙醇/（mg/L）≤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05"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异丁醇+异戊醇/（mg/L）≤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89"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酸（以乙酸计）/（mg/L）≤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25"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脂（以乙酸乙酯计）/（mg/L）≤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73"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不挥发物/（mg/L）≤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11"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重金属（以Pb计）/（mg/L）≤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80" w:hRule="atLeast"/>
        </w:trPr>
        <w:tc>
          <w:tcPr>
            <w:tcW w:w="4351" w:type="dxa"/>
            <w:tcBorders>
              <w:top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氰化物（以HCN计）/（mg/L）≤</w:t>
            </w:r>
          </w:p>
        </w:tc>
        <w:tc>
          <w:tcPr>
            <w:tcW w:w="1346" w:type="dxa"/>
            <w:tcBorders>
              <w:top w:val="single" w:color="231F20" w:sz="4" w:space="0"/>
              <w:left w:val="single" w:color="231F20" w:sz="4" w:space="0"/>
              <w:bottom w:val="single" w:color="231F20" w:sz="4" w:space="0"/>
              <w:right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527" w:type="dxa"/>
            <w:tcBorders>
              <w:top w:val="single" w:color="231F20" w:sz="4" w:space="0"/>
              <w:left w:val="single" w:color="231F20" w:sz="4" w:space="0"/>
              <w:bottom w:val="single" w:color="231F20" w:sz="4" w:space="0"/>
            </w:tcBorders>
            <w:vAlign w:val="center"/>
          </w:tcPr>
          <w:p>
            <w:pPr>
              <w:numPr>
                <w:ilvl w:val="0"/>
                <w:numId w:val="0"/>
              </w:numPr>
              <w:spacing w:line="300" w:lineRule="auto"/>
              <w:ind w:left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GT/T394.2-2008</w:t>
            </w:r>
          </w:p>
        </w:tc>
      </w:tr>
    </w:tbl>
    <w:p>
      <w:pPr>
        <w:numPr>
          <w:ilvl w:val="0"/>
          <w:numId w:val="0"/>
        </w:numPr>
        <w:spacing w:line="360" w:lineRule="auto"/>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包装要求</w:t>
      </w:r>
    </w:p>
    <w:p>
      <w:pPr>
        <w:numPr>
          <w:ilvl w:val="0"/>
          <w:numId w:val="0"/>
        </w:numPr>
        <w:spacing w:line="360" w:lineRule="auto"/>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包装材料和容器应符合食品卫生要求。装运食用酒精应使用专用的罐、槽车和铁桶，不得使用铝桶或镀锌容器包装，不得使用易产生静电和静电不易释放的容器（如塑料桶）。</w:t>
      </w:r>
    </w:p>
    <w:p>
      <w:pPr>
        <w:numPr>
          <w:ilvl w:val="0"/>
          <w:numId w:val="0"/>
        </w:numPr>
        <w:spacing w:line="360" w:lineRule="auto"/>
        <w:ind w:leftChars="0"/>
        <w:rPr>
          <w:rFonts w:hint="eastAsia" w:ascii="仿宋" w:hAnsi="仿宋" w:eastAsia="仿宋" w:cs="仿宋"/>
          <w:sz w:val="28"/>
          <w:szCs w:val="28"/>
          <w:lang w:val="en-US" w:eastAsia="zh-CN"/>
        </w:rPr>
        <w:sectPr>
          <w:footerReference r:id="rId5" w:type="default"/>
          <w:pgSz w:w="11910" w:h="16840"/>
          <w:pgMar w:top="1640" w:right="1140" w:bottom="1340" w:left="1180" w:header="1291" w:footer="1153" w:gutter="0"/>
          <w:pgNumType w:fmt="decimal" w:start="1"/>
          <w:cols w:space="720" w:num="1"/>
        </w:sectPr>
      </w:pPr>
      <w:r>
        <w:rPr>
          <w:rFonts w:hint="eastAsia" w:ascii="仿宋" w:hAnsi="仿宋" w:eastAsia="仿宋" w:cs="仿宋"/>
          <w:sz w:val="28"/>
          <w:szCs w:val="28"/>
          <w:lang w:val="en-US" w:eastAsia="zh-CN"/>
        </w:rPr>
        <w:t>*每批产品必须随产品检验合格。</w:t>
      </w:r>
    </w:p>
    <w:p>
      <w:pPr>
        <w:numPr>
          <w:ilvl w:val="0"/>
          <w:numId w:val="0"/>
        </w:numPr>
        <w:spacing w:line="300" w:lineRule="auto"/>
        <w:ind w:leftChars="0"/>
        <w:rPr>
          <w:rFonts w:hint="eastAsia" w:ascii="仿宋" w:hAnsi="仿宋" w:eastAsia="仿宋" w:cs="仿宋"/>
          <w:sz w:val="28"/>
          <w:szCs w:val="28"/>
          <w:lang w:val="en-US" w:eastAsia="zh-CN"/>
        </w:rPr>
      </w:pPr>
    </w:p>
    <w:p>
      <w:pPr>
        <w:pStyle w:val="4"/>
        <w:ind w:left="0" w:firstLine="0"/>
        <w:rPr>
          <w:rFonts w:hint="eastAsia"/>
          <w:sz w:val="28"/>
        </w:rPr>
      </w:pPr>
      <w:bookmarkStart w:id="53" w:name="_Toc61184634"/>
      <w:bookmarkStart w:id="54" w:name="_Toc21747"/>
      <w:bookmarkStart w:id="55" w:name="_Toc55990502"/>
      <w:bookmarkStart w:id="56" w:name="_Toc56170391"/>
      <w:r>
        <w:rPr>
          <w:rFonts w:hint="eastAsia"/>
          <w:lang w:val="en-US" w:eastAsia="zh-CN"/>
        </w:rPr>
        <w:t xml:space="preserve">   </w:t>
      </w:r>
      <w:r>
        <w:rPr>
          <w:rFonts w:hint="eastAsia"/>
        </w:rPr>
        <w:t>第四章、合同</w:t>
      </w:r>
      <w:bookmarkEnd w:id="53"/>
      <w:bookmarkEnd w:id="54"/>
      <w:bookmarkEnd w:id="55"/>
      <w:bookmarkEnd w:id="56"/>
    </w:p>
    <w:p>
      <w:pPr>
        <w:spacing w:line="560" w:lineRule="exact"/>
        <w:ind w:firstLine="601"/>
        <w:jc w:val="center"/>
        <w:rPr>
          <w:rFonts w:hint="eastAsia" w:ascii="仿宋" w:hAnsi="仿宋" w:eastAsia="仿宋"/>
          <w:b/>
          <w:color w:val="000000"/>
          <w:sz w:val="44"/>
          <w:szCs w:val="44"/>
        </w:rPr>
      </w:pPr>
    </w:p>
    <w:p>
      <w:pPr>
        <w:spacing w:line="560" w:lineRule="exact"/>
        <w:ind w:firstLine="601"/>
        <w:jc w:val="center"/>
        <w:rPr>
          <w:rFonts w:hint="eastAsia" w:ascii="仿宋" w:hAnsi="仿宋" w:eastAsia="仿宋"/>
          <w:b/>
          <w:color w:val="000000"/>
          <w:sz w:val="44"/>
          <w:szCs w:val="44"/>
        </w:rPr>
      </w:pP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w:t>
      </w:r>
    </w:p>
    <w:p>
      <w:pPr>
        <w:spacing w:line="520" w:lineRule="exact"/>
        <w:rPr>
          <w:rFonts w:ascii="仿宋" w:hAnsi="仿宋" w:eastAsia="仿宋"/>
          <w:color w:val="000000"/>
          <w:sz w:val="24"/>
        </w:rPr>
      </w:pPr>
      <w:r>
        <w:rPr>
          <w:rFonts w:hint="eastAsia" w:ascii="仿宋" w:hAnsi="仿宋" w:eastAsia="仿宋"/>
          <w:color w:val="000000"/>
          <w:sz w:val="24"/>
        </w:rPr>
        <w:t>地址：</w:t>
      </w:r>
    </w:p>
    <w:p>
      <w:pPr>
        <w:spacing w:line="520" w:lineRule="exact"/>
        <w:rPr>
          <w:rFonts w:ascii="仿宋" w:hAnsi="仿宋" w:eastAsia="仿宋"/>
          <w:color w:val="000000"/>
          <w:sz w:val="24"/>
        </w:rPr>
      </w:pPr>
      <w:r>
        <w:rPr>
          <w:rFonts w:hint="eastAsia" w:ascii="仿宋" w:hAnsi="仿宋" w:eastAsia="仿宋"/>
          <w:color w:val="000000"/>
          <w:sz w:val="24"/>
        </w:rPr>
        <w:t>电话：</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720" w:firstLineChars="300"/>
        <w:rPr>
          <w:rFonts w:ascii="仿宋" w:hAnsi="仿宋" w:eastAsia="仿宋"/>
          <w:color w:val="000000"/>
          <w:sz w:val="24"/>
        </w:rPr>
      </w:pPr>
      <w:r>
        <w:rPr>
          <w:rFonts w:hint="eastAsia" w:ascii="仿宋" w:hAnsi="仿宋" w:eastAsia="仿宋"/>
          <w:color w:val="000000"/>
          <w:sz w:val="24"/>
          <w:u w:val="single"/>
        </w:rPr>
        <w:t xml:space="preserve">                    </w:t>
      </w:r>
      <w:r>
        <w:rPr>
          <w:rFonts w:hint="eastAsia" w:ascii="仿宋" w:hAnsi="仿宋" w:eastAsia="仿宋"/>
          <w:color w:val="000000"/>
          <w:sz w:val="24"/>
        </w:rPr>
        <w:t>（以下简称甲方）与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0"/>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，电话号码：</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。提供正规的备品备件价格表。先交货后付款；提供</w:t>
      </w:r>
      <w:r>
        <w:rPr>
          <w:rFonts w:hint="eastAsia" w:ascii="仿宋" w:hAnsi="仿宋" w:eastAsia="仿宋"/>
          <w:color w:val="000000"/>
          <w:sz w:val="24"/>
          <w:lang w:val="en-US" w:eastAsia="zh-CN"/>
        </w:rPr>
        <w:t>质保期1</w:t>
      </w:r>
      <w:r>
        <w:rPr>
          <w:rFonts w:hint="eastAsia" w:ascii="仿宋" w:hAnsi="仿宋" w:eastAsia="仿宋"/>
          <w:color w:val="000000"/>
          <w:sz w:val="24"/>
        </w:rPr>
        <w:t>。</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u w:val="single"/>
          <w:lang w:val="en-US" w:eastAsia="zh-CN"/>
        </w:rPr>
        <w:t xml:space="preserve">  </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 xml:space="preserve">%，即（大写： </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小时内将所需货物送到甲方指定地点，如乙方延迟交货，甲方有权追究延迟交货的违约责任。乙方如逾期交货，乙方每天向甲方支付违约金</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hint="eastAsia" w:ascii="仿宋" w:hAnsi="仿宋" w:eastAsia="仿宋"/>
          <w:color w:val="000000"/>
          <w:sz w:val="24"/>
          <w:lang w:val="en-US" w:eastAsia="zh-CN"/>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hint="eastAsia" w:ascii="仿宋" w:hAnsi="仿宋" w:eastAsia="仿宋"/>
          <w:color w:val="000000"/>
          <w:sz w:val="24"/>
          <w:lang w:val="en-US" w:eastAsia="zh-CN"/>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lang w:val="en-US" w:eastAsia="zh-CN"/>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pStyle w:val="4"/>
        <w:rPr>
          <w:rFonts w:hint="eastAsia"/>
        </w:rPr>
      </w:pPr>
      <w:r>
        <w:rPr>
          <w:rFonts w:hint="eastAsia" w:ascii="仿宋" w:hAnsi="仿宋" w:eastAsia="仿宋"/>
          <w:color w:val="000000"/>
          <w:sz w:val="24"/>
          <w:lang w:val="en-US" w:eastAsia="zh-CN"/>
        </w:rPr>
        <w:t xml:space="preserve"> </w:t>
      </w:r>
      <w:r>
        <w:rPr>
          <w:rFonts w:ascii="仿宋" w:hAnsi="仿宋" w:eastAsia="仿宋"/>
          <w:color w:val="000000"/>
          <w:sz w:val="24"/>
        </w:rPr>
        <w:br w:type="page"/>
      </w:r>
      <w:bookmarkStart w:id="57" w:name="_Toc6245"/>
      <w:bookmarkStart w:id="58" w:name="_Toc61184635"/>
      <w:bookmarkStart w:id="59" w:name="_Toc56170392"/>
      <w:r>
        <w:rPr>
          <w:rFonts w:hint="eastAsia"/>
        </w:rPr>
        <w:t>第五章、响应文件格式</w:t>
      </w:r>
      <w:bookmarkEnd w:id="57"/>
      <w:bookmarkEnd w:id="58"/>
      <w:bookmarkEnd w:id="59"/>
    </w:p>
    <w:p>
      <w:pPr>
        <w:pStyle w:val="28"/>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pStyle w:val="2"/>
        <w:rPr>
          <w:rFonts w:hint="eastAsia" w:ascii="仿宋" w:hAnsi="仿宋" w:eastAsia="仿宋"/>
          <w:color w:val="000000"/>
          <w:sz w:val="72"/>
        </w:rPr>
      </w:pPr>
    </w:p>
    <w:p>
      <w:pPr>
        <w:pStyle w:val="3"/>
        <w:rPr>
          <w:rFonts w:hint="eastAsia" w:ascii="仿宋" w:hAnsi="仿宋" w:eastAsia="仿宋"/>
          <w:color w:val="000000"/>
          <w:sz w:val="72"/>
        </w:rPr>
      </w:pPr>
    </w:p>
    <w:p>
      <w:pPr>
        <w:pStyle w:val="2"/>
        <w:ind w:left="0" w:leftChars="0" w:firstLine="0" w:firstLineChars="0"/>
        <w:rPr>
          <w:rFonts w:hint="eastAsia"/>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6"/>
        <w:rPr>
          <w:rFonts w:hint="eastAsia"/>
        </w:rPr>
      </w:pPr>
      <w:r>
        <w:rPr>
          <w:rFonts w:hint="eastAsia"/>
          <w:sz w:val="36"/>
        </w:rPr>
        <w:br w:type="page"/>
      </w:r>
      <w:bookmarkStart w:id="60" w:name="_Toc56170393"/>
      <w:bookmarkStart w:id="61" w:name="_Toc61184636"/>
      <w:bookmarkStart w:id="62" w:name="_Toc10657"/>
      <w:r>
        <w:rPr>
          <w:rFonts w:hint="eastAsia"/>
        </w:rPr>
        <w:t>附件一、投标书</w:t>
      </w:r>
      <w:bookmarkEnd w:id="60"/>
      <w:bookmarkEnd w:id="61"/>
      <w:bookmarkEnd w:id="62"/>
    </w:p>
    <w:p>
      <w:pPr>
        <w:pStyle w:val="29"/>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新疆博源汇通项目管理咨询有限公司：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w:t>
      </w:r>
      <w:r>
        <w:rPr>
          <w:rFonts w:hint="eastAsia" w:ascii="仿宋" w:hAnsi="仿宋" w:eastAsia="仿宋"/>
          <w:color w:val="000000"/>
          <w:sz w:val="28"/>
          <w:lang w:val="en-US" w:eastAsia="zh-CN"/>
        </w:rPr>
        <w:t>3</w:t>
      </w:r>
      <w:r>
        <w:rPr>
          <w:rFonts w:hint="eastAsia" w:ascii="仿宋" w:hAnsi="仿宋" w:eastAsia="仿宋"/>
          <w:color w:val="000000"/>
          <w:sz w:val="28"/>
        </w:rPr>
        <w:t>）技术服务。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w:t>
      </w:r>
      <w:r>
        <w:rPr>
          <w:rFonts w:hint="eastAsia" w:ascii="仿宋" w:hAnsi="仿宋" w:eastAsia="仿宋"/>
          <w:color w:val="000000"/>
          <w:sz w:val="28"/>
          <w:lang w:val="en-US" w:eastAsia="zh-CN"/>
        </w:rPr>
        <w:t>4</w:t>
      </w:r>
      <w:r>
        <w:rPr>
          <w:rFonts w:hint="eastAsia" w:ascii="仿宋" w:hAnsi="仿宋" w:eastAsia="仿宋"/>
          <w:color w:val="000000"/>
          <w:sz w:val="28"/>
        </w:rPr>
        <w:t>）运输方式。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w:t>
      </w:r>
      <w:r>
        <w:rPr>
          <w:rFonts w:hint="eastAsia" w:ascii="仿宋" w:hAnsi="仿宋" w:eastAsia="仿宋"/>
          <w:color w:val="000000"/>
          <w:sz w:val="28"/>
          <w:lang w:val="en-US" w:eastAsia="zh-CN"/>
        </w:rPr>
        <w:t>5</w:t>
      </w:r>
      <w:r>
        <w:rPr>
          <w:rFonts w:hint="eastAsia" w:ascii="仿宋" w:hAnsi="仿宋" w:eastAsia="仿宋"/>
          <w:color w:val="000000"/>
          <w:sz w:val="28"/>
        </w:rPr>
        <w:t>）要求项目单位提供的配合。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w:t>
      </w:r>
      <w:r>
        <w:rPr>
          <w:rFonts w:hint="eastAsia" w:ascii="仿宋" w:hAnsi="仿宋" w:eastAsia="仿宋"/>
          <w:color w:val="000000"/>
          <w:sz w:val="28"/>
          <w:lang w:val="en-US" w:eastAsia="zh-CN"/>
        </w:rPr>
        <w:t>6</w:t>
      </w:r>
      <w:r>
        <w:rPr>
          <w:rFonts w:hint="eastAsia" w:ascii="仿宋" w:hAnsi="仿宋" w:eastAsia="仿宋"/>
          <w:color w:val="000000"/>
          <w:sz w:val="28"/>
        </w:rPr>
        <w:t>）对磋商文件内容有不同意见的偏离说明。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w:t>
      </w:r>
      <w:r>
        <w:rPr>
          <w:rFonts w:hint="eastAsia" w:ascii="仿宋" w:hAnsi="仿宋" w:eastAsia="仿宋"/>
          <w:color w:val="000000"/>
          <w:sz w:val="28"/>
          <w:lang w:val="en-US" w:eastAsia="zh-CN"/>
        </w:rPr>
        <w:t>7</w:t>
      </w:r>
      <w:r>
        <w:rPr>
          <w:rFonts w:hint="eastAsia" w:ascii="仿宋" w:hAnsi="仿宋" w:eastAsia="仿宋"/>
          <w:color w:val="000000"/>
          <w:sz w:val="28"/>
        </w:rPr>
        <w:t>）其它。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6"/>
        <w:rPr>
          <w:rFonts w:hint="eastAsia"/>
        </w:rPr>
      </w:pPr>
      <w:r>
        <w:rPr>
          <w:rFonts w:hint="eastAsia"/>
        </w:rPr>
        <w:br w:type="page"/>
      </w:r>
      <w:bookmarkStart w:id="63" w:name="_Toc61184637"/>
      <w:bookmarkStart w:id="64" w:name="_Toc56170394"/>
      <w:bookmarkStart w:id="65" w:name="_Toc26466"/>
      <w:r>
        <w:rPr>
          <w:rFonts w:hint="eastAsia"/>
        </w:rPr>
        <w:t>附件二、</w:t>
      </w:r>
      <w:r>
        <w:t>法定代表人资格证明书</w:t>
      </w:r>
      <w:bookmarkEnd w:id="63"/>
      <w:bookmarkEnd w:id="64"/>
      <w:bookmarkEnd w:id="65"/>
    </w:p>
    <w:p>
      <w:pPr>
        <w:spacing w:line="360" w:lineRule="auto"/>
        <w:rPr>
          <w:rFonts w:hint="eastAsia" w:ascii="仿宋" w:hAnsi="仿宋" w:eastAsia="仿宋"/>
          <w:color w:val="000000"/>
          <w:szCs w:val="21"/>
        </w:rPr>
      </w:pPr>
    </w:p>
    <w:p>
      <w:pPr>
        <w:pStyle w:val="27"/>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7"/>
        <w:spacing w:line="360" w:lineRule="auto"/>
        <w:ind w:firstLine="560"/>
        <w:rPr>
          <w:rFonts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特此证明</w:t>
      </w:r>
    </w:p>
    <w:p>
      <w:pPr>
        <w:pStyle w:val="27"/>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7"/>
        <w:spacing w:line="360" w:lineRule="auto"/>
        <w:ind w:firstLine="560"/>
        <w:jc w:val="left"/>
        <w:rPr>
          <w:rFonts w:hint="eastAsia" w:ascii="仿宋" w:hAnsi="仿宋" w:eastAsia="仿宋"/>
          <w:color w:val="000000"/>
          <w:lang w:val="en-US" w:eastAsia="zh-CN"/>
        </w:rPr>
      </w:pPr>
    </w:p>
    <w:p>
      <w:pPr>
        <w:pStyle w:val="27"/>
        <w:spacing w:line="360" w:lineRule="auto"/>
        <w:ind w:firstLine="560"/>
        <w:rPr>
          <w:rFonts w:hint="eastAsia" w:ascii="仿宋" w:hAnsi="仿宋" w:eastAsia="仿宋"/>
          <w:color w:val="000000"/>
        </w:rPr>
      </w:pPr>
    </w:p>
    <w:p>
      <w:pPr>
        <w:pStyle w:val="27"/>
        <w:spacing w:line="360" w:lineRule="auto"/>
        <w:ind w:firstLine="560"/>
        <w:rPr>
          <w:rFonts w:hint="eastAsia" w:ascii="仿宋" w:hAnsi="仿宋" w:eastAsia="仿宋"/>
          <w:color w:val="000000"/>
        </w:rPr>
      </w:pPr>
    </w:p>
    <w:p>
      <w:pPr>
        <w:pStyle w:val="27"/>
        <w:spacing w:line="360" w:lineRule="auto"/>
        <w:ind w:firstLine="4200" w:firstLineChars="1500"/>
        <w:rPr>
          <w:rFonts w:hint="eastAsia" w:ascii="仿宋" w:hAnsi="仿宋" w:eastAsia="仿宋"/>
          <w:color w:val="000000"/>
        </w:rPr>
      </w:pPr>
    </w:p>
    <w:p>
      <w:pPr>
        <w:pStyle w:val="27"/>
        <w:spacing w:line="360" w:lineRule="auto"/>
        <w:ind w:firstLine="4200" w:firstLineChars="1500"/>
        <w:rPr>
          <w:rFonts w:hint="eastAsia" w:ascii="仿宋" w:hAnsi="仿宋" w:eastAsia="仿宋"/>
          <w:color w:val="000000"/>
        </w:rPr>
      </w:pPr>
    </w:p>
    <w:p>
      <w:pPr>
        <w:pStyle w:val="27"/>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spacing w:line="360" w:lineRule="auto"/>
        <w:rPr>
          <w:rFonts w:hint="eastAsia" w:ascii="仿宋" w:hAnsi="仿宋" w:eastAsia="仿宋"/>
          <w:color w:val="000000"/>
          <w:szCs w:val="21"/>
        </w:rPr>
      </w:pPr>
      <w:r>
        <w:br w:type="page"/>
      </w:r>
      <w:bookmarkStart w:id="66" w:name="_Toc56170395"/>
      <w:bookmarkStart w:id="67" w:name="_Toc61184638"/>
      <w:bookmarkStart w:id="68" w:name="_Toc3373"/>
      <w:r>
        <w:rPr>
          <w:rFonts w:hint="eastAsia"/>
        </w:rPr>
        <w:t>附件三、法定代表人</w:t>
      </w:r>
      <w:r>
        <w:t>授权委托书</w:t>
      </w:r>
      <w:bookmarkEnd w:id="66"/>
      <w:bookmarkEnd w:id="67"/>
      <w:bookmarkEnd w:id="68"/>
    </w:p>
    <w:p>
      <w:pPr>
        <w:pStyle w:val="27"/>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7"/>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7"/>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7"/>
        <w:spacing w:line="360" w:lineRule="auto"/>
        <w:ind w:firstLine="560"/>
        <w:rPr>
          <w:rFonts w:hint="eastAsia" w:ascii="仿宋" w:hAnsi="仿宋" w:eastAsia="仿宋"/>
          <w:color w:val="000000"/>
        </w:rPr>
      </w:pPr>
    </w:p>
    <w:p>
      <w:pPr>
        <w:pStyle w:val="27"/>
        <w:spacing w:line="360" w:lineRule="auto"/>
        <w:ind w:firstLine="560"/>
        <w:rPr>
          <w:rFonts w:hint="eastAsia" w:ascii="仿宋" w:hAnsi="仿宋" w:eastAsia="仿宋"/>
          <w:color w:val="000000"/>
        </w:rPr>
      </w:pPr>
    </w:p>
    <w:p>
      <w:pPr>
        <w:pStyle w:val="27"/>
        <w:spacing w:line="360" w:lineRule="auto"/>
        <w:ind w:firstLine="560"/>
        <w:rPr>
          <w:rFonts w:hint="eastAsia" w:ascii="仿宋" w:hAnsi="仿宋" w:eastAsia="仿宋"/>
          <w:color w:val="000000"/>
        </w:rPr>
      </w:pPr>
    </w:p>
    <w:p>
      <w:pPr>
        <w:pStyle w:val="27"/>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7"/>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7"/>
        <w:spacing w:line="360" w:lineRule="auto"/>
        <w:ind w:firstLine="560"/>
        <w:rPr>
          <w:rFonts w:hint="eastAsia" w:ascii="仿宋" w:hAnsi="仿宋" w:eastAsia="仿宋"/>
          <w:color w:val="000000"/>
        </w:rPr>
      </w:pPr>
    </w:p>
    <w:p>
      <w:pPr>
        <w:pStyle w:val="27"/>
        <w:spacing w:line="360" w:lineRule="auto"/>
        <w:ind w:firstLine="560"/>
        <w:rPr>
          <w:rFonts w:hint="eastAsia" w:ascii="仿宋" w:hAnsi="仿宋" w:eastAsia="仿宋"/>
          <w:color w:val="000000"/>
        </w:rPr>
      </w:pPr>
    </w:p>
    <w:p>
      <w:pPr>
        <w:pStyle w:val="27"/>
        <w:spacing w:line="360" w:lineRule="auto"/>
        <w:ind w:left="0" w:leftChars="0" w:firstLine="0" w:firstLineChars="0"/>
        <w:rPr>
          <w:rFonts w:hint="eastAsia" w:ascii="仿宋" w:hAnsi="仿宋" w:eastAsia="仿宋"/>
          <w:color w:val="000000"/>
        </w:rPr>
      </w:pPr>
    </w:p>
    <w:p>
      <w:pPr>
        <w:pStyle w:val="27"/>
        <w:spacing w:line="360" w:lineRule="auto"/>
        <w:ind w:left="0" w:leftChars="0" w:firstLine="0" w:firstLineChars="0"/>
        <w:rPr>
          <w:rFonts w:hint="eastAsia" w:ascii="仿宋" w:hAnsi="仿宋" w:eastAsia="仿宋"/>
          <w:color w:val="000000"/>
        </w:rPr>
      </w:pPr>
    </w:p>
    <w:p>
      <w:pPr>
        <w:pStyle w:val="27"/>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7"/>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7"/>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7"/>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7"/>
        <w:spacing w:line="360" w:lineRule="auto"/>
        <w:ind w:firstLine="560"/>
        <w:rPr>
          <w:rFonts w:ascii="仿宋" w:hAnsi="仿宋" w:eastAsia="仿宋"/>
          <w:color w:val="000000"/>
        </w:rPr>
      </w:pPr>
    </w:p>
    <w:p>
      <w:pPr>
        <w:pStyle w:val="6"/>
        <w:rPr>
          <w:rFonts w:hint="eastAsia"/>
        </w:rPr>
      </w:pPr>
      <w:r>
        <w:br w:type="page"/>
      </w:r>
      <w:bookmarkStart w:id="69" w:name="_Toc61184639"/>
      <w:bookmarkStart w:id="70" w:name="_Toc56170396"/>
      <w:bookmarkStart w:id="71" w:name="_Toc9301"/>
      <w:r>
        <w:rPr>
          <w:rFonts w:hint="eastAsia"/>
        </w:rPr>
        <w:t>附件四、关于磋商文件的声明函</w:t>
      </w:r>
      <w:bookmarkEnd w:id="69"/>
      <w:bookmarkEnd w:id="70"/>
      <w:bookmarkEnd w:id="71"/>
    </w:p>
    <w:p>
      <w:pPr>
        <w:adjustRightInd w:val="0"/>
        <w:snapToGrid w:val="0"/>
        <w:spacing w:line="360" w:lineRule="auto"/>
        <w:ind w:firstLine="560" w:firstLineChars="200"/>
        <w:rPr>
          <w:rFonts w:hint="eastAsia" w:ascii="仿宋" w:hAnsi="仿宋" w:eastAsia="仿宋"/>
          <w:color w:val="000000"/>
          <w:sz w:val="28"/>
          <w:szCs w:val="28"/>
        </w:rPr>
      </w:pPr>
    </w:p>
    <w:p>
      <w:pPr>
        <w:pStyle w:val="27"/>
        <w:spacing w:line="360" w:lineRule="auto"/>
        <w:ind w:firstLine="560"/>
        <w:rPr>
          <w:rFonts w:hint="eastAsia" w:ascii="仿宋" w:hAnsi="仿宋" w:eastAsia="仿宋"/>
          <w:color w:val="000000"/>
        </w:rPr>
      </w:pPr>
      <w:r>
        <w:rPr>
          <w:rFonts w:hint="eastAsia" w:ascii="仿宋" w:hAnsi="仿宋" w:eastAsia="仿宋"/>
          <w:color w:val="000000"/>
        </w:rPr>
        <w:t>致：新疆博源汇通项目管理咨询有限公司：</w:t>
      </w:r>
    </w:p>
    <w:p>
      <w:pPr>
        <w:pStyle w:val="27"/>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7"/>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份副本。</w:t>
      </w:r>
    </w:p>
    <w:p>
      <w:pPr>
        <w:pStyle w:val="27"/>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7"/>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7"/>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rPr>
          <w:rFonts w:hint="eastAsia"/>
        </w:rPr>
      </w:pPr>
      <w:r>
        <w:rPr>
          <w:rFonts w:hint="eastAsia"/>
        </w:rPr>
        <w:br w:type="page"/>
      </w:r>
      <w:bookmarkStart w:id="72" w:name="_Toc61184640"/>
      <w:bookmarkStart w:id="73" w:name="_Toc5174"/>
      <w:bookmarkStart w:id="74" w:name="_Toc56170397"/>
      <w:r>
        <w:rPr>
          <w:rFonts w:hint="eastAsia"/>
        </w:rPr>
        <w:t>附件五、诚信磋商承诺书</w:t>
      </w:r>
      <w:bookmarkEnd w:id="72"/>
      <w:bookmarkEnd w:id="73"/>
      <w:bookmarkEnd w:id="74"/>
    </w:p>
    <w:p>
      <w:pPr>
        <w:pStyle w:val="27"/>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7"/>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7"/>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7"/>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7"/>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7"/>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7"/>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7"/>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7"/>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7"/>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7"/>
        <w:spacing w:line="360" w:lineRule="auto"/>
        <w:ind w:firstLine="560"/>
        <w:rPr>
          <w:rFonts w:hint="eastAsia" w:ascii="仿宋" w:hAnsi="仿宋" w:eastAsia="仿宋"/>
          <w:color w:val="000000"/>
        </w:rPr>
      </w:pPr>
      <w:r>
        <w:rPr>
          <w:rFonts w:hint="eastAsia" w:ascii="仿宋" w:hAnsi="仿宋" w:eastAsia="仿宋"/>
          <w:color w:val="000000"/>
        </w:rPr>
        <w:t xml:space="preserve">法定代表人：（签字）      </w:t>
      </w:r>
      <w:r>
        <w:rPr>
          <w:rFonts w:hint="eastAsia" w:ascii="仿宋" w:hAnsi="仿宋" w:eastAsia="仿宋"/>
          <w:color w:val="000000"/>
          <w:lang w:val="en-US" w:eastAsia="zh-CN"/>
        </w:rPr>
        <w:t xml:space="preserve">    </w:t>
      </w:r>
      <w:r>
        <w:rPr>
          <w:rFonts w:hint="eastAsia" w:ascii="仿宋" w:hAnsi="仿宋" w:eastAsia="仿宋"/>
          <w:color w:val="000000"/>
        </w:rPr>
        <w:t xml:space="preserve">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6"/>
        <w:rPr>
          <w:rFonts w:hint="eastAsia"/>
        </w:rPr>
      </w:pPr>
      <w:r>
        <w:rPr>
          <w:rFonts w:hint="eastAsia"/>
          <w:szCs w:val="28"/>
        </w:rPr>
        <w:br w:type="page"/>
      </w:r>
      <w:bookmarkStart w:id="75" w:name="_Toc435087575"/>
      <w:bookmarkStart w:id="76" w:name="_Toc56170398"/>
      <w:bookmarkStart w:id="77" w:name="_Toc61184641"/>
      <w:bookmarkStart w:id="78" w:name="_Toc30642"/>
      <w:r>
        <w:rPr>
          <w:rFonts w:hint="eastAsia"/>
        </w:rPr>
        <w:t>附件</w:t>
      </w:r>
      <w:bookmarkEnd w:id="75"/>
      <w:r>
        <w:rPr>
          <w:rFonts w:hint="eastAsia"/>
        </w:rPr>
        <w:t>六、供应商反商业贿赂承诺书</w:t>
      </w:r>
      <w:bookmarkEnd w:id="76"/>
      <w:bookmarkEnd w:id="77"/>
      <w:bookmarkEnd w:id="78"/>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7"/>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6"/>
        <w:rPr>
          <w:rFonts w:hint="eastAsia" w:cs="sans-serif"/>
          <w:sz w:val="19"/>
          <w:szCs w:val="19"/>
        </w:rPr>
      </w:pPr>
      <w:r>
        <w:br w:type="page"/>
      </w:r>
      <w:bookmarkStart w:id="79" w:name="_Toc31315"/>
      <w:r>
        <w:rPr>
          <w:rFonts w:hint="eastAsia"/>
        </w:rPr>
        <w:t>附件七、</w:t>
      </w:r>
      <w:r>
        <w:t>中小企业声明函（货物）</w:t>
      </w:r>
      <w:bookmarkEnd w:id="79"/>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7"/>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7"/>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9"/>
        <w:rPr>
          <w:rFonts w:ascii="仿宋" w:hAnsi="仿宋" w:eastAsia="仿宋"/>
        </w:rPr>
      </w:pPr>
    </w:p>
    <w:p>
      <w:pPr>
        <w:pStyle w:val="27"/>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7" w:type="first"/>
          <w:footerReference r:id="rId9" w:type="first"/>
          <w:headerReference r:id="rId6" w:type="default"/>
          <w:footerReference r:id="rId8" w:type="default"/>
          <w:pgSz w:w="11906" w:h="16838"/>
          <w:pgMar w:top="1247" w:right="1134" w:bottom="1247" w:left="1134" w:header="851" w:footer="851" w:gutter="0"/>
          <w:pgNumType w:fmt="decimal" w:start="29"/>
          <w:cols w:space="720" w:num="1"/>
          <w:titlePg/>
          <w:docGrid w:type="linesAndChars" w:linePitch="312" w:charSpace="0"/>
        </w:sectPr>
      </w:pPr>
    </w:p>
    <w:p>
      <w:pPr>
        <w:pStyle w:val="6"/>
        <w:spacing w:line="360" w:lineRule="auto"/>
        <w:rPr>
          <w:rFonts w:hint="eastAsia"/>
        </w:rPr>
      </w:pPr>
      <w:bookmarkStart w:id="80" w:name="_Toc22501"/>
      <w:bookmarkStart w:id="81" w:name="_Toc61184642"/>
      <w:bookmarkStart w:id="82" w:name="_Toc56170399"/>
      <w:r>
        <w:rPr>
          <w:rFonts w:hint="eastAsia"/>
        </w:rPr>
        <w:t>附件</w:t>
      </w:r>
      <w:r>
        <w:rPr>
          <w:rFonts w:hint="eastAsia"/>
          <w:lang w:val="en-US" w:eastAsia="zh-CN"/>
        </w:rPr>
        <w:t>八</w:t>
      </w:r>
      <w:r>
        <w:rPr>
          <w:rFonts w:hint="eastAsia"/>
        </w:rPr>
        <w:t>、磋商一览表</w:t>
      </w:r>
      <w:bookmarkEnd w:id="80"/>
      <w:bookmarkEnd w:id="81"/>
      <w:bookmarkEnd w:id="82"/>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0"/>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6"/>
        <w:rPr>
          <w:rFonts w:hint="eastAsia"/>
        </w:rPr>
      </w:pPr>
      <w:r>
        <w:rPr>
          <w:rFonts w:hint="eastAsia"/>
        </w:rPr>
        <w:br w:type="page"/>
      </w:r>
      <w:bookmarkStart w:id="83" w:name="_Toc61184643"/>
      <w:bookmarkStart w:id="84" w:name="_Toc56170400"/>
      <w:bookmarkStart w:id="85" w:name="_Toc2236"/>
      <w:r>
        <w:rPr>
          <w:rFonts w:hint="eastAsia"/>
        </w:rPr>
        <w:t>附件</w:t>
      </w:r>
      <w:r>
        <w:rPr>
          <w:rFonts w:hint="eastAsia"/>
          <w:lang w:val="en-US" w:eastAsia="zh-CN"/>
        </w:rPr>
        <w:t>九</w:t>
      </w:r>
      <w:r>
        <w:rPr>
          <w:rFonts w:hint="eastAsia"/>
        </w:rPr>
        <w:t>、磋商产品名称、数量、规格分项报价表</w:t>
      </w:r>
      <w:bookmarkEnd w:id="83"/>
      <w:bookmarkEnd w:id="84"/>
      <w:bookmarkEnd w:id="85"/>
    </w:p>
    <w:p>
      <w:pPr>
        <w:pStyle w:val="27"/>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0"/>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rPr>
              <w:t>装卸费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2"/>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rPr>
          <w:rFonts w:hint="eastAsia"/>
        </w:rPr>
      </w:pPr>
      <w:r>
        <w:br w:type="page"/>
      </w:r>
      <w:bookmarkStart w:id="86" w:name="_Toc27579"/>
      <w:bookmarkStart w:id="87" w:name="_Toc61184644"/>
      <w:bookmarkStart w:id="88" w:name="_Toc56170401"/>
      <w:r>
        <w:rPr>
          <w:rFonts w:hint="eastAsia"/>
        </w:rPr>
        <w:t>附件</w:t>
      </w:r>
      <w:r>
        <w:rPr>
          <w:rFonts w:hint="eastAsia"/>
          <w:lang w:val="en-US" w:eastAsia="zh-CN"/>
        </w:rPr>
        <w:t>十</w:t>
      </w:r>
      <w:r>
        <w:rPr>
          <w:rFonts w:hint="eastAsia"/>
        </w:rPr>
        <w:t>、技术规格偏离表</w:t>
      </w:r>
      <w:bookmarkEnd w:id="86"/>
      <w:bookmarkEnd w:id="87"/>
      <w:bookmarkEnd w:id="88"/>
    </w:p>
    <w:tbl>
      <w:tblPr>
        <w:tblStyle w:val="20"/>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rPr>
          <w:rFonts w:hint="eastAsia"/>
        </w:rPr>
      </w:pPr>
      <w:r>
        <w:rPr>
          <w:rFonts w:hint="eastAsia"/>
          <w:sz w:val="42"/>
        </w:rPr>
        <w:br w:type="page"/>
      </w:r>
      <w:bookmarkStart w:id="89" w:name="_Toc61184645"/>
      <w:bookmarkStart w:id="90" w:name="_Toc56170402"/>
      <w:bookmarkStart w:id="91" w:name="_Toc11172"/>
      <w:r>
        <w:rPr>
          <w:rFonts w:hint="eastAsia"/>
        </w:rPr>
        <w:t>附件十</w:t>
      </w:r>
      <w:r>
        <w:rPr>
          <w:rFonts w:hint="eastAsia"/>
          <w:lang w:val="en-US" w:eastAsia="zh-CN"/>
        </w:rPr>
        <w:t>一</w:t>
      </w:r>
      <w:r>
        <w:rPr>
          <w:rFonts w:hint="eastAsia"/>
        </w:rPr>
        <w:t>、商务条款偏离表</w:t>
      </w:r>
      <w:bookmarkEnd w:id="89"/>
      <w:bookmarkEnd w:id="90"/>
      <w:bookmarkEnd w:id="91"/>
    </w:p>
    <w:tbl>
      <w:tblPr>
        <w:tblStyle w:val="20"/>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rPr>
          <w:rFonts w:hint="eastAsia"/>
        </w:rPr>
      </w:pPr>
      <w:r>
        <w:rPr>
          <w:rFonts w:hint="eastAsia"/>
        </w:rPr>
        <w:br w:type="page"/>
      </w:r>
      <w:bookmarkStart w:id="92" w:name="_Toc56170403"/>
      <w:bookmarkStart w:id="93" w:name="_Toc61184646"/>
      <w:bookmarkStart w:id="94" w:name="_Toc5354"/>
      <w:r>
        <w:rPr>
          <w:rFonts w:hint="eastAsia"/>
        </w:rPr>
        <w:t>附件十</w:t>
      </w:r>
      <w:r>
        <w:rPr>
          <w:rFonts w:hint="eastAsia"/>
          <w:lang w:val="en-US" w:eastAsia="zh-CN"/>
        </w:rPr>
        <w:t>二</w:t>
      </w:r>
      <w:r>
        <w:rPr>
          <w:rFonts w:hint="eastAsia"/>
        </w:rPr>
        <w:t>、磋商产品近三年同类产品销售业绩表</w:t>
      </w:r>
      <w:bookmarkEnd w:id="92"/>
      <w:bookmarkEnd w:id="93"/>
      <w:bookmarkEnd w:id="94"/>
    </w:p>
    <w:tbl>
      <w:tblPr>
        <w:tblStyle w:val="20"/>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2"/>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2"/>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
      <w:pPr>
        <w:pStyle w:val="2"/>
      </w:pPr>
    </w:p>
    <w:p>
      <w:pPr>
        <w:pStyle w:val="3"/>
      </w:pPr>
    </w:p>
    <w:p/>
    <w:p>
      <w:pPr>
        <w:pStyle w:val="2"/>
      </w:pPr>
    </w:p>
    <w:p>
      <w:pPr>
        <w:pStyle w:val="3"/>
        <w:jc w:val="center"/>
        <w:rPr>
          <w:rFonts w:hint="eastAsia" w:ascii="仿宋" w:hAnsi="仿宋" w:eastAsia="仿宋" w:cs="宋体"/>
          <w:b w:val="0"/>
          <w:color w:val="000000"/>
          <w:kern w:val="0"/>
          <w:sz w:val="28"/>
          <w:szCs w:val="24"/>
          <w:lang w:val="en-US" w:eastAsia="zh-CN" w:bidi="ar-SA"/>
        </w:rPr>
      </w:pPr>
      <w:r>
        <w:rPr>
          <w:rFonts w:hint="eastAsia" w:ascii="仿宋" w:hAnsi="仿宋" w:eastAsia="仿宋" w:cs="宋体"/>
          <w:b w:val="0"/>
          <w:color w:val="000000"/>
          <w:kern w:val="0"/>
          <w:sz w:val="28"/>
          <w:szCs w:val="24"/>
          <w:lang w:val="en-US" w:eastAsia="zh-CN" w:bidi="ar-SA"/>
        </w:rPr>
        <w:t>附件十三、其他资料</w:t>
      </w:r>
    </w:p>
    <w:p>
      <w:pPr>
        <w:rPr>
          <w:rFonts w:hint="eastAsia" w:ascii="仿宋" w:hAnsi="仿宋" w:eastAsia="仿宋" w:cs="宋体"/>
          <w:b w:val="0"/>
          <w:color w:val="000000"/>
          <w:kern w:val="0"/>
          <w:sz w:val="28"/>
          <w:szCs w:val="24"/>
          <w:lang w:val="en-US" w:eastAsia="zh-CN" w:bidi="ar-SA"/>
        </w:rPr>
      </w:pPr>
    </w:p>
    <w:p>
      <w:pPr>
        <w:pStyle w:val="2"/>
        <w:rPr>
          <w:rFonts w:hint="eastAsia" w:ascii="仿宋" w:hAnsi="仿宋" w:eastAsia="仿宋" w:cs="宋体"/>
          <w:b w:val="0"/>
          <w:color w:val="000000"/>
          <w:kern w:val="0"/>
          <w:sz w:val="28"/>
          <w:szCs w:val="24"/>
          <w:lang w:val="en-US" w:eastAsia="zh-CN" w:bidi="ar-SA"/>
        </w:rPr>
      </w:pPr>
    </w:p>
    <w:p>
      <w:pPr>
        <w:pStyle w:val="3"/>
        <w:rPr>
          <w:rFonts w:hint="eastAsia" w:ascii="仿宋" w:hAnsi="仿宋" w:eastAsia="仿宋" w:cs="宋体"/>
          <w:b w:val="0"/>
          <w:color w:val="000000"/>
          <w:kern w:val="0"/>
          <w:sz w:val="28"/>
          <w:szCs w:val="24"/>
          <w:lang w:val="en-US" w:eastAsia="zh-CN" w:bidi="ar-SA"/>
        </w:rPr>
      </w:pPr>
    </w:p>
    <w:p>
      <w:pPr>
        <w:rPr>
          <w:rFonts w:hint="eastAsia" w:ascii="仿宋" w:hAnsi="仿宋" w:eastAsia="仿宋" w:cs="宋体"/>
          <w:b w:val="0"/>
          <w:color w:val="000000"/>
          <w:kern w:val="0"/>
          <w:sz w:val="28"/>
          <w:szCs w:val="24"/>
          <w:lang w:val="en-US" w:eastAsia="zh-CN" w:bidi="ar-SA"/>
        </w:rPr>
      </w:pPr>
    </w:p>
    <w:p>
      <w:pPr>
        <w:pStyle w:val="2"/>
        <w:rPr>
          <w:rFonts w:hint="eastAsia" w:ascii="仿宋" w:hAnsi="仿宋" w:eastAsia="仿宋" w:cs="宋体"/>
          <w:b w:val="0"/>
          <w:color w:val="000000"/>
          <w:kern w:val="0"/>
          <w:sz w:val="28"/>
          <w:szCs w:val="24"/>
          <w:lang w:val="en-US" w:eastAsia="zh-CN" w:bidi="ar-SA"/>
        </w:rPr>
      </w:pPr>
    </w:p>
    <w:p>
      <w:pPr>
        <w:pStyle w:val="6"/>
        <w:jc w:val="both"/>
        <w:rPr>
          <w:rFonts w:hint="default"/>
          <w:lang w:val="en-US" w:eastAsia="zh-CN"/>
        </w:rPr>
      </w:pPr>
    </w:p>
    <w:sectPr>
      <w:headerReference r:id="rId11" w:type="first"/>
      <w:footerReference r:id="rId13" w:type="first"/>
      <w:headerReference r:id="rId10" w:type="default"/>
      <w:footerReference r:id="rId12"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19"/>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SHkOcBAADHAwAADgAAAGRycy9lMm9Eb2MueG1srVNLbtswEN0XyB0I&#10;7mMpRl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Lymx3ODAj79+Hn//Pf75&#10;QS6TPJ0PFUbdeYyL/XvX49JM9wEvE+u+AZP+yIegH8U9nMSVfSQiJS3mi0WJLoG+6YD4xVO6hxA/&#10;SmdIMhgFnF4Wle8/hziETiGpmnW3Sus8QW1Jx+i7q/lV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QxIeQ5wEAAMcD&#10;AAAOAAAAAAAAAAEAIAAAAB4BAABkcnMvZTJvRG9jLnhtbFBLBQYAAAAABgAGAFkBAAB3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6430645</wp:posOffset>
              </wp:positionH>
              <wp:positionV relativeFrom="page">
                <wp:posOffset>9700260</wp:posOffset>
              </wp:positionV>
              <wp:extent cx="155575" cy="2736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5575" cy="273685"/>
                      </a:xfrm>
                      <a:prstGeom prst="rect">
                        <a:avLst/>
                      </a:prstGeom>
                      <a:noFill/>
                      <a:ln>
                        <a:noFill/>
                      </a:ln>
                    </wps:spPr>
                    <wps:txbx>
                      <w:txbxContent>
                        <w:p>
                          <w:pPr>
                            <w:spacing w:before="80"/>
                            <w:ind w:left="40" w:right="0" w:firstLine="0"/>
                            <w:jc w:val="left"/>
                            <w:rPr>
                              <w:sz w:val="16"/>
                            </w:rPr>
                          </w:pPr>
                        </w:p>
                      </w:txbxContent>
                    </wps:txbx>
                    <wps:bodyPr lIns="0" tIns="0" rIns="0" bIns="0" upright="1"/>
                  </wps:wsp>
                </a:graphicData>
              </a:graphic>
            </wp:anchor>
          </w:drawing>
        </mc:Choice>
        <mc:Fallback>
          <w:pict>
            <v:shape id="_x0000_s1026" o:spid="_x0000_s1026" o:spt="202" type="#_x0000_t202" style="position:absolute;left:0pt;margin-left:506.35pt;margin-top:763.8pt;height:21.55pt;width:12.25pt;mso-position-horizontal-relative:page;mso-position-vertical-relative:page;z-index:-251649024;mso-width-relative:page;mso-height-relative:page;" filled="f" stroked="f" coordsize="21600,21600" o:gfxdata="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9g5JLbAAAADwEAAA8AAAAAAAAAAQAgAAAAIgAAAGRycy9kb3ducmV2LnhtbFBL&#10;AQIUABQAAAAIAIdO4kCAbsGmugEAAHEDAAAOAAAAAAAAAAEAIAAAACoBAABkcnMvZTJvRG9jLnht&#10;bFBLBQYAAAAABgAGAFkBAABWBQAAAAA=&#10;">
              <v:fill on="f" focussize="0,0"/>
              <v:stroke on="f"/>
              <v:imagedata o:title=""/>
              <o:lock v:ext="edit" aspectratio="f"/>
              <v:textbox inset="0mm,0mm,0mm,0mm">
                <w:txbxContent>
                  <w:p>
                    <w:pPr>
                      <w:spacing w:before="80"/>
                      <w:ind w:left="40" w:right="0" w:firstLine="0"/>
                      <w:jc w:val="left"/>
                      <w:rPr>
                        <w:sz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rPr>
        <w:rFonts w:hint="eastAsia"/>
      </w:rPr>
      <w:t>新疆博源汇通项目管理咨询有限公司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rPr>
        <w:rFonts w:hint="eastAsia"/>
      </w:rPr>
      <w:t>新疆博源汇通项目管理咨询有限公司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3"/>
        <w:szCs w:val="18"/>
      </w:rPr>
    </w:pPr>
    <w:r>
      <w:rPr>
        <w:rFonts w:hint="eastAsia"/>
      </w:rPr>
      <w:t>新疆博源汇通项目管理咨询有限公司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eastAsia="仿宋_GB2312"/>
      </w:rPr>
    </w:pPr>
    <w:r>
      <w:rPr>
        <w:rFonts w:hint="eastAsia"/>
      </w:rPr>
      <w:t>新疆博源汇通项目管理咨询有限公司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rPr>
        <w:rFonts w:hint="eastAsia"/>
      </w:rPr>
      <w:t>新疆博源汇通项目管理咨询有限公司</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eastAsia="仿宋_GB2312"/>
        <w:lang w:eastAsia="zh-CN"/>
      </w:rPr>
    </w:pPr>
    <w:r>
      <w:rPr>
        <w:rFonts w:hint="eastAsia"/>
      </w:rPr>
      <w:t>新疆博源汇通项目管理咨询有限公司</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8"/>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1">
    <w:nsid w:val="0BDA5722"/>
    <w:multiLevelType w:val="singleLevel"/>
    <w:tmpl w:val="0BDA572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jUzZTE2NGRlOGZhMWJhZDVjNTk4MDE0MjEwYWIifQ=="/>
  </w:docVars>
  <w:rsids>
    <w:rsidRoot w:val="00077980"/>
    <w:rsid w:val="00077980"/>
    <w:rsid w:val="008F08CE"/>
    <w:rsid w:val="00CD1788"/>
    <w:rsid w:val="00E40206"/>
    <w:rsid w:val="00FD16FA"/>
    <w:rsid w:val="01CC2A72"/>
    <w:rsid w:val="026262C0"/>
    <w:rsid w:val="02706F9F"/>
    <w:rsid w:val="02A30234"/>
    <w:rsid w:val="030B38FF"/>
    <w:rsid w:val="032558AB"/>
    <w:rsid w:val="035D1F6C"/>
    <w:rsid w:val="035D3297"/>
    <w:rsid w:val="035E2B6B"/>
    <w:rsid w:val="035E6419"/>
    <w:rsid w:val="036A7762"/>
    <w:rsid w:val="036D3DE7"/>
    <w:rsid w:val="03767EB5"/>
    <w:rsid w:val="03E27385"/>
    <w:rsid w:val="03FD520D"/>
    <w:rsid w:val="046E183B"/>
    <w:rsid w:val="04BA216D"/>
    <w:rsid w:val="055752FB"/>
    <w:rsid w:val="05663F59"/>
    <w:rsid w:val="056B16EE"/>
    <w:rsid w:val="05DA5BDB"/>
    <w:rsid w:val="063B6524"/>
    <w:rsid w:val="0642797C"/>
    <w:rsid w:val="06F4757A"/>
    <w:rsid w:val="073F2CB4"/>
    <w:rsid w:val="07415441"/>
    <w:rsid w:val="076C4A0F"/>
    <w:rsid w:val="079851F1"/>
    <w:rsid w:val="07FE7A63"/>
    <w:rsid w:val="081A742F"/>
    <w:rsid w:val="0849203C"/>
    <w:rsid w:val="08DD403A"/>
    <w:rsid w:val="09661D2F"/>
    <w:rsid w:val="09AC5E32"/>
    <w:rsid w:val="0A183EA3"/>
    <w:rsid w:val="0A4C26EB"/>
    <w:rsid w:val="0AD54619"/>
    <w:rsid w:val="0BB55228"/>
    <w:rsid w:val="0BF5180D"/>
    <w:rsid w:val="0C174F86"/>
    <w:rsid w:val="0C4F740C"/>
    <w:rsid w:val="0C7E427E"/>
    <w:rsid w:val="0C825B1D"/>
    <w:rsid w:val="0CB41A4E"/>
    <w:rsid w:val="0D0C3638"/>
    <w:rsid w:val="0D452426"/>
    <w:rsid w:val="0DA73361"/>
    <w:rsid w:val="0DB30434"/>
    <w:rsid w:val="0DC11B23"/>
    <w:rsid w:val="0E08085D"/>
    <w:rsid w:val="0E163352"/>
    <w:rsid w:val="0E7A447D"/>
    <w:rsid w:val="0EDB1514"/>
    <w:rsid w:val="0F161444"/>
    <w:rsid w:val="0F1D38DB"/>
    <w:rsid w:val="0F606C81"/>
    <w:rsid w:val="0F6675D5"/>
    <w:rsid w:val="1019116F"/>
    <w:rsid w:val="102C0516"/>
    <w:rsid w:val="10AC5ADF"/>
    <w:rsid w:val="10AF0EAA"/>
    <w:rsid w:val="11C444E1"/>
    <w:rsid w:val="11CF7681"/>
    <w:rsid w:val="122B4561"/>
    <w:rsid w:val="127A47E3"/>
    <w:rsid w:val="128A3E26"/>
    <w:rsid w:val="12AB744F"/>
    <w:rsid w:val="139776B8"/>
    <w:rsid w:val="13B05556"/>
    <w:rsid w:val="13BA5F08"/>
    <w:rsid w:val="13E67B05"/>
    <w:rsid w:val="14961306"/>
    <w:rsid w:val="15000AF5"/>
    <w:rsid w:val="15506288"/>
    <w:rsid w:val="15603CAA"/>
    <w:rsid w:val="15F27892"/>
    <w:rsid w:val="161F262E"/>
    <w:rsid w:val="164B02B8"/>
    <w:rsid w:val="164B44BB"/>
    <w:rsid w:val="169052DA"/>
    <w:rsid w:val="17127A9D"/>
    <w:rsid w:val="1736249E"/>
    <w:rsid w:val="17575DF8"/>
    <w:rsid w:val="177171E7"/>
    <w:rsid w:val="17B80644"/>
    <w:rsid w:val="182A7068"/>
    <w:rsid w:val="183879D7"/>
    <w:rsid w:val="184B770B"/>
    <w:rsid w:val="185B1B37"/>
    <w:rsid w:val="18761063"/>
    <w:rsid w:val="18963552"/>
    <w:rsid w:val="18BA78F3"/>
    <w:rsid w:val="1934019F"/>
    <w:rsid w:val="198C3CCE"/>
    <w:rsid w:val="19C534ED"/>
    <w:rsid w:val="19EC0A79"/>
    <w:rsid w:val="1A1B1B9C"/>
    <w:rsid w:val="1A6950D1"/>
    <w:rsid w:val="1A92241C"/>
    <w:rsid w:val="1AA11864"/>
    <w:rsid w:val="1B1572B6"/>
    <w:rsid w:val="1B222279"/>
    <w:rsid w:val="1B476B6D"/>
    <w:rsid w:val="1B650AE3"/>
    <w:rsid w:val="1B970EB9"/>
    <w:rsid w:val="1BBC2159"/>
    <w:rsid w:val="1CBD485A"/>
    <w:rsid w:val="1DE420B1"/>
    <w:rsid w:val="1DED4DC0"/>
    <w:rsid w:val="1E1037B0"/>
    <w:rsid w:val="1E296254"/>
    <w:rsid w:val="1E496813"/>
    <w:rsid w:val="1F257F94"/>
    <w:rsid w:val="1F5F5CCC"/>
    <w:rsid w:val="1F9C0B2D"/>
    <w:rsid w:val="1FD359B9"/>
    <w:rsid w:val="1FEE2FFA"/>
    <w:rsid w:val="20945F1C"/>
    <w:rsid w:val="20A43AB4"/>
    <w:rsid w:val="20C35BA6"/>
    <w:rsid w:val="20F546B7"/>
    <w:rsid w:val="21063CC7"/>
    <w:rsid w:val="211F14D8"/>
    <w:rsid w:val="212A6CD4"/>
    <w:rsid w:val="21466CC1"/>
    <w:rsid w:val="214A3A41"/>
    <w:rsid w:val="214B077B"/>
    <w:rsid w:val="21555156"/>
    <w:rsid w:val="217838C3"/>
    <w:rsid w:val="220D1A27"/>
    <w:rsid w:val="22332029"/>
    <w:rsid w:val="22353D7E"/>
    <w:rsid w:val="22641DC5"/>
    <w:rsid w:val="22A4563B"/>
    <w:rsid w:val="22C81F76"/>
    <w:rsid w:val="22D947ED"/>
    <w:rsid w:val="2333183B"/>
    <w:rsid w:val="23337F20"/>
    <w:rsid w:val="233B75FE"/>
    <w:rsid w:val="23797C9C"/>
    <w:rsid w:val="238D506A"/>
    <w:rsid w:val="23957AEB"/>
    <w:rsid w:val="23B243CA"/>
    <w:rsid w:val="23C1380F"/>
    <w:rsid w:val="240063DE"/>
    <w:rsid w:val="240A66CC"/>
    <w:rsid w:val="242A39A5"/>
    <w:rsid w:val="242B4894"/>
    <w:rsid w:val="24464391"/>
    <w:rsid w:val="24470618"/>
    <w:rsid w:val="247E0DB7"/>
    <w:rsid w:val="24E94CB4"/>
    <w:rsid w:val="251D242F"/>
    <w:rsid w:val="25895BF3"/>
    <w:rsid w:val="25DD2143"/>
    <w:rsid w:val="26451C3D"/>
    <w:rsid w:val="26967D41"/>
    <w:rsid w:val="278E7BCD"/>
    <w:rsid w:val="28052165"/>
    <w:rsid w:val="284B1061"/>
    <w:rsid w:val="284E5D2C"/>
    <w:rsid w:val="288F53F1"/>
    <w:rsid w:val="298962E5"/>
    <w:rsid w:val="29C80E82"/>
    <w:rsid w:val="29F4021C"/>
    <w:rsid w:val="2A024B59"/>
    <w:rsid w:val="2A4C2202"/>
    <w:rsid w:val="2A4E4E38"/>
    <w:rsid w:val="2AA34D40"/>
    <w:rsid w:val="2ABD3574"/>
    <w:rsid w:val="2AC375D4"/>
    <w:rsid w:val="2AD613E0"/>
    <w:rsid w:val="2B0100FD"/>
    <w:rsid w:val="2B6568DD"/>
    <w:rsid w:val="2B766148"/>
    <w:rsid w:val="2C086E09"/>
    <w:rsid w:val="2C132D5C"/>
    <w:rsid w:val="2C2220D9"/>
    <w:rsid w:val="2C3312DC"/>
    <w:rsid w:val="2C5E2C7E"/>
    <w:rsid w:val="2CB6302F"/>
    <w:rsid w:val="2D831DB3"/>
    <w:rsid w:val="2DED4BDD"/>
    <w:rsid w:val="2DFE26D1"/>
    <w:rsid w:val="2E7A0E8C"/>
    <w:rsid w:val="2E884DBD"/>
    <w:rsid w:val="2EA80FBB"/>
    <w:rsid w:val="2EEE52BA"/>
    <w:rsid w:val="2F2D7712"/>
    <w:rsid w:val="2F486C10"/>
    <w:rsid w:val="2F686266"/>
    <w:rsid w:val="2F8135BA"/>
    <w:rsid w:val="2F923A19"/>
    <w:rsid w:val="2FBF4BA7"/>
    <w:rsid w:val="2FF9733C"/>
    <w:rsid w:val="302A3C52"/>
    <w:rsid w:val="303350A5"/>
    <w:rsid w:val="30750EFB"/>
    <w:rsid w:val="30A912AD"/>
    <w:rsid w:val="30DD4D5C"/>
    <w:rsid w:val="315106F8"/>
    <w:rsid w:val="31AE5714"/>
    <w:rsid w:val="32357157"/>
    <w:rsid w:val="3316539F"/>
    <w:rsid w:val="33492641"/>
    <w:rsid w:val="33A67A93"/>
    <w:rsid w:val="347D6A46"/>
    <w:rsid w:val="34A373C7"/>
    <w:rsid w:val="34B667EF"/>
    <w:rsid w:val="34C5399E"/>
    <w:rsid w:val="34DF500B"/>
    <w:rsid w:val="35040F15"/>
    <w:rsid w:val="353A2B32"/>
    <w:rsid w:val="36525CB0"/>
    <w:rsid w:val="366B28AD"/>
    <w:rsid w:val="368C4D1E"/>
    <w:rsid w:val="36AA33F6"/>
    <w:rsid w:val="36AB19CF"/>
    <w:rsid w:val="36FC05A5"/>
    <w:rsid w:val="378F7F37"/>
    <w:rsid w:val="37BE35FD"/>
    <w:rsid w:val="37FA6DF6"/>
    <w:rsid w:val="38044D88"/>
    <w:rsid w:val="380B2468"/>
    <w:rsid w:val="38993021"/>
    <w:rsid w:val="389C6737"/>
    <w:rsid w:val="38BE3048"/>
    <w:rsid w:val="38D13BA5"/>
    <w:rsid w:val="38E132FB"/>
    <w:rsid w:val="38F55962"/>
    <w:rsid w:val="39737051"/>
    <w:rsid w:val="39926718"/>
    <w:rsid w:val="39D0586A"/>
    <w:rsid w:val="39E11825"/>
    <w:rsid w:val="3A122237"/>
    <w:rsid w:val="3A2C539B"/>
    <w:rsid w:val="3A395226"/>
    <w:rsid w:val="3A83468A"/>
    <w:rsid w:val="3ACE7FFB"/>
    <w:rsid w:val="3B0C7FB1"/>
    <w:rsid w:val="3B36643D"/>
    <w:rsid w:val="3B4B164C"/>
    <w:rsid w:val="3B5A188F"/>
    <w:rsid w:val="3B7121C5"/>
    <w:rsid w:val="3B7D557D"/>
    <w:rsid w:val="3BBE2933"/>
    <w:rsid w:val="3BD55452"/>
    <w:rsid w:val="3C1F5AB4"/>
    <w:rsid w:val="3C700C3E"/>
    <w:rsid w:val="3CC53369"/>
    <w:rsid w:val="3CE066B1"/>
    <w:rsid w:val="3D581806"/>
    <w:rsid w:val="3D6469F5"/>
    <w:rsid w:val="3E154EC6"/>
    <w:rsid w:val="3E3C1720"/>
    <w:rsid w:val="3E644066"/>
    <w:rsid w:val="3EE36CFB"/>
    <w:rsid w:val="3F065125"/>
    <w:rsid w:val="3F5B3E28"/>
    <w:rsid w:val="3F89585D"/>
    <w:rsid w:val="3F9A7199"/>
    <w:rsid w:val="3FCE4D5F"/>
    <w:rsid w:val="4004626D"/>
    <w:rsid w:val="4016514E"/>
    <w:rsid w:val="404103AF"/>
    <w:rsid w:val="40555873"/>
    <w:rsid w:val="40A551BD"/>
    <w:rsid w:val="40BC08F6"/>
    <w:rsid w:val="41AF5C4E"/>
    <w:rsid w:val="41B415CD"/>
    <w:rsid w:val="4222702A"/>
    <w:rsid w:val="427F3012"/>
    <w:rsid w:val="42B02335"/>
    <w:rsid w:val="42FA167F"/>
    <w:rsid w:val="43350757"/>
    <w:rsid w:val="43917E18"/>
    <w:rsid w:val="44367955"/>
    <w:rsid w:val="445A645C"/>
    <w:rsid w:val="4473751E"/>
    <w:rsid w:val="44752B04"/>
    <w:rsid w:val="448C3718"/>
    <w:rsid w:val="44B607EB"/>
    <w:rsid w:val="44E17603"/>
    <w:rsid w:val="44EC1164"/>
    <w:rsid w:val="450A2833"/>
    <w:rsid w:val="453273D9"/>
    <w:rsid w:val="456B4783"/>
    <w:rsid w:val="457B22C6"/>
    <w:rsid w:val="46671304"/>
    <w:rsid w:val="46A130D7"/>
    <w:rsid w:val="46D558C1"/>
    <w:rsid w:val="47335AB4"/>
    <w:rsid w:val="474858DB"/>
    <w:rsid w:val="47C04A14"/>
    <w:rsid w:val="480D1A37"/>
    <w:rsid w:val="480D2BCC"/>
    <w:rsid w:val="481652EC"/>
    <w:rsid w:val="48547666"/>
    <w:rsid w:val="487C5A0C"/>
    <w:rsid w:val="489C088E"/>
    <w:rsid w:val="493023AB"/>
    <w:rsid w:val="49612D0A"/>
    <w:rsid w:val="49FC5FB9"/>
    <w:rsid w:val="4AB92B2D"/>
    <w:rsid w:val="4AD90754"/>
    <w:rsid w:val="4AFD3876"/>
    <w:rsid w:val="4B334AC2"/>
    <w:rsid w:val="4B347B1E"/>
    <w:rsid w:val="4B49722A"/>
    <w:rsid w:val="4B887DA7"/>
    <w:rsid w:val="4B9C43B3"/>
    <w:rsid w:val="4BD96800"/>
    <w:rsid w:val="4BDF6255"/>
    <w:rsid w:val="4C356D7A"/>
    <w:rsid w:val="4C4F6AC2"/>
    <w:rsid w:val="4CEE0089"/>
    <w:rsid w:val="4CF52547"/>
    <w:rsid w:val="4D9A2275"/>
    <w:rsid w:val="4E2974E8"/>
    <w:rsid w:val="4E821322"/>
    <w:rsid w:val="4F097282"/>
    <w:rsid w:val="4F5211AD"/>
    <w:rsid w:val="4F8B7E11"/>
    <w:rsid w:val="4FBE01E7"/>
    <w:rsid w:val="4FE13ED5"/>
    <w:rsid w:val="4FE614EB"/>
    <w:rsid w:val="506B08C5"/>
    <w:rsid w:val="50AD1252"/>
    <w:rsid w:val="50E81293"/>
    <w:rsid w:val="50FA27B7"/>
    <w:rsid w:val="51612D17"/>
    <w:rsid w:val="518E1E3B"/>
    <w:rsid w:val="519136D9"/>
    <w:rsid w:val="51B15B29"/>
    <w:rsid w:val="52225098"/>
    <w:rsid w:val="524052BE"/>
    <w:rsid w:val="52733715"/>
    <w:rsid w:val="52A64F62"/>
    <w:rsid w:val="532E7431"/>
    <w:rsid w:val="533624D2"/>
    <w:rsid w:val="53F84770"/>
    <w:rsid w:val="540256B8"/>
    <w:rsid w:val="54141C5F"/>
    <w:rsid w:val="54191973"/>
    <w:rsid w:val="54851111"/>
    <w:rsid w:val="54E002D6"/>
    <w:rsid w:val="55050F25"/>
    <w:rsid w:val="553D4883"/>
    <w:rsid w:val="556C161A"/>
    <w:rsid w:val="55A43901"/>
    <w:rsid w:val="561645C0"/>
    <w:rsid w:val="561C482A"/>
    <w:rsid w:val="563D201C"/>
    <w:rsid w:val="5677015A"/>
    <w:rsid w:val="56847368"/>
    <w:rsid w:val="568630E0"/>
    <w:rsid w:val="56953D97"/>
    <w:rsid w:val="56DB1DE0"/>
    <w:rsid w:val="57487C6A"/>
    <w:rsid w:val="578C4726"/>
    <w:rsid w:val="57AC2A53"/>
    <w:rsid w:val="57FB1D20"/>
    <w:rsid w:val="580F3680"/>
    <w:rsid w:val="581C0165"/>
    <w:rsid w:val="58392210"/>
    <w:rsid w:val="583E4D05"/>
    <w:rsid w:val="584009C4"/>
    <w:rsid w:val="58937D37"/>
    <w:rsid w:val="59066076"/>
    <w:rsid w:val="59101387"/>
    <w:rsid w:val="59390EB0"/>
    <w:rsid w:val="59627D3C"/>
    <w:rsid w:val="596F535C"/>
    <w:rsid w:val="59C32FE7"/>
    <w:rsid w:val="5A3D43FE"/>
    <w:rsid w:val="5A590CCA"/>
    <w:rsid w:val="5A607F12"/>
    <w:rsid w:val="5A7476F4"/>
    <w:rsid w:val="5B9524A0"/>
    <w:rsid w:val="5BA23B75"/>
    <w:rsid w:val="5BA35E47"/>
    <w:rsid w:val="5C3C07ED"/>
    <w:rsid w:val="5C46556A"/>
    <w:rsid w:val="5C7F2045"/>
    <w:rsid w:val="5C9D1184"/>
    <w:rsid w:val="5CA01070"/>
    <w:rsid w:val="5CA1698A"/>
    <w:rsid w:val="5CC3039C"/>
    <w:rsid w:val="5CCA18C6"/>
    <w:rsid w:val="5CE3171F"/>
    <w:rsid w:val="5CE601C7"/>
    <w:rsid w:val="5CF04846"/>
    <w:rsid w:val="5D1642F8"/>
    <w:rsid w:val="5D531309"/>
    <w:rsid w:val="5D813CAD"/>
    <w:rsid w:val="5E102984"/>
    <w:rsid w:val="5E1B7F6C"/>
    <w:rsid w:val="5E4D628E"/>
    <w:rsid w:val="5F9864B1"/>
    <w:rsid w:val="5FB76A00"/>
    <w:rsid w:val="5FC11EAC"/>
    <w:rsid w:val="5FF8339D"/>
    <w:rsid w:val="602A454A"/>
    <w:rsid w:val="6034358B"/>
    <w:rsid w:val="603E4A2C"/>
    <w:rsid w:val="603E705D"/>
    <w:rsid w:val="604007A4"/>
    <w:rsid w:val="604E31CC"/>
    <w:rsid w:val="609861B7"/>
    <w:rsid w:val="60C9330E"/>
    <w:rsid w:val="60F511E1"/>
    <w:rsid w:val="61040118"/>
    <w:rsid w:val="612E5943"/>
    <w:rsid w:val="615A2B49"/>
    <w:rsid w:val="617F52FC"/>
    <w:rsid w:val="6189617B"/>
    <w:rsid w:val="61B40C7C"/>
    <w:rsid w:val="62447A52"/>
    <w:rsid w:val="625E3351"/>
    <w:rsid w:val="629569CE"/>
    <w:rsid w:val="62991FE0"/>
    <w:rsid w:val="62A03565"/>
    <w:rsid w:val="62EF64B1"/>
    <w:rsid w:val="632443AD"/>
    <w:rsid w:val="63315B10"/>
    <w:rsid w:val="63612F0B"/>
    <w:rsid w:val="63747EBF"/>
    <w:rsid w:val="63FD17A1"/>
    <w:rsid w:val="641D4612"/>
    <w:rsid w:val="645E38EF"/>
    <w:rsid w:val="647A3D59"/>
    <w:rsid w:val="64A56F02"/>
    <w:rsid w:val="64C9520C"/>
    <w:rsid w:val="64E154E8"/>
    <w:rsid w:val="64F311AE"/>
    <w:rsid w:val="650C6EA7"/>
    <w:rsid w:val="65136487"/>
    <w:rsid w:val="652E506F"/>
    <w:rsid w:val="660E1EAC"/>
    <w:rsid w:val="66E15D4B"/>
    <w:rsid w:val="66F34A87"/>
    <w:rsid w:val="67006EDF"/>
    <w:rsid w:val="67333739"/>
    <w:rsid w:val="673B63C3"/>
    <w:rsid w:val="6773145F"/>
    <w:rsid w:val="67D5211A"/>
    <w:rsid w:val="67DA4BE8"/>
    <w:rsid w:val="67ED7463"/>
    <w:rsid w:val="67F13D08"/>
    <w:rsid w:val="67FE13D1"/>
    <w:rsid w:val="681F5B80"/>
    <w:rsid w:val="68347765"/>
    <w:rsid w:val="68554C9A"/>
    <w:rsid w:val="68570199"/>
    <w:rsid w:val="68C10EA3"/>
    <w:rsid w:val="68E00D76"/>
    <w:rsid w:val="68F65621"/>
    <w:rsid w:val="69203CB7"/>
    <w:rsid w:val="69276BA6"/>
    <w:rsid w:val="692F726B"/>
    <w:rsid w:val="69B67D29"/>
    <w:rsid w:val="69D236C6"/>
    <w:rsid w:val="6A4840D5"/>
    <w:rsid w:val="6A8F4802"/>
    <w:rsid w:val="6B000621"/>
    <w:rsid w:val="6B310C5C"/>
    <w:rsid w:val="6B505DF2"/>
    <w:rsid w:val="6B6418DF"/>
    <w:rsid w:val="6C0A2425"/>
    <w:rsid w:val="6C382C77"/>
    <w:rsid w:val="6CA74FAC"/>
    <w:rsid w:val="6CCB5BDC"/>
    <w:rsid w:val="6D021C4A"/>
    <w:rsid w:val="6D5533B5"/>
    <w:rsid w:val="6D5A1043"/>
    <w:rsid w:val="6D5C063D"/>
    <w:rsid w:val="6D8C67ED"/>
    <w:rsid w:val="6E576D5E"/>
    <w:rsid w:val="6E6209A0"/>
    <w:rsid w:val="6E6445B1"/>
    <w:rsid w:val="6FEB6678"/>
    <w:rsid w:val="70136948"/>
    <w:rsid w:val="704679F6"/>
    <w:rsid w:val="705E4690"/>
    <w:rsid w:val="70CE7706"/>
    <w:rsid w:val="70EA1CAC"/>
    <w:rsid w:val="713C1616"/>
    <w:rsid w:val="7175580A"/>
    <w:rsid w:val="719B5108"/>
    <w:rsid w:val="71D62D16"/>
    <w:rsid w:val="720E38B7"/>
    <w:rsid w:val="720F6228"/>
    <w:rsid w:val="7229553C"/>
    <w:rsid w:val="72505422"/>
    <w:rsid w:val="72F47B8C"/>
    <w:rsid w:val="73A84C90"/>
    <w:rsid w:val="73EC4A73"/>
    <w:rsid w:val="743C6313"/>
    <w:rsid w:val="74772A21"/>
    <w:rsid w:val="749141B2"/>
    <w:rsid w:val="74AF5B6B"/>
    <w:rsid w:val="74EF6108"/>
    <w:rsid w:val="74FD680C"/>
    <w:rsid w:val="74FF7EF2"/>
    <w:rsid w:val="75074A0A"/>
    <w:rsid w:val="75173E4F"/>
    <w:rsid w:val="758B2449"/>
    <w:rsid w:val="75906C53"/>
    <w:rsid w:val="759D45A2"/>
    <w:rsid w:val="75B82733"/>
    <w:rsid w:val="76453822"/>
    <w:rsid w:val="766E65AC"/>
    <w:rsid w:val="7682346D"/>
    <w:rsid w:val="76A41635"/>
    <w:rsid w:val="76BB26B6"/>
    <w:rsid w:val="76DB3C4B"/>
    <w:rsid w:val="770C1DC2"/>
    <w:rsid w:val="772F6434"/>
    <w:rsid w:val="77D22CDD"/>
    <w:rsid w:val="77EC1587"/>
    <w:rsid w:val="780E314F"/>
    <w:rsid w:val="78236D41"/>
    <w:rsid w:val="7866291A"/>
    <w:rsid w:val="78681753"/>
    <w:rsid w:val="787E0E57"/>
    <w:rsid w:val="78BE00B5"/>
    <w:rsid w:val="792151BF"/>
    <w:rsid w:val="79627585"/>
    <w:rsid w:val="79746AF1"/>
    <w:rsid w:val="79BC0A44"/>
    <w:rsid w:val="7A1563A6"/>
    <w:rsid w:val="7A801BCA"/>
    <w:rsid w:val="7AB14320"/>
    <w:rsid w:val="7AB34C00"/>
    <w:rsid w:val="7AE00A15"/>
    <w:rsid w:val="7B281593"/>
    <w:rsid w:val="7B875186"/>
    <w:rsid w:val="7BB35E76"/>
    <w:rsid w:val="7BB4541E"/>
    <w:rsid w:val="7BE4235C"/>
    <w:rsid w:val="7BFC7D99"/>
    <w:rsid w:val="7C1D5AC8"/>
    <w:rsid w:val="7C5A7F0B"/>
    <w:rsid w:val="7CC3033B"/>
    <w:rsid w:val="7CF16C56"/>
    <w:rsid w:val="7D000293"/>
    <w:rsid w:val="7DA63EE4"/>
    <w:rsid w:val="7DDF3AAB"/>
    <w:rsid w:val="7E617E0B"/>
    <w:rsid w:val="7E7230C0"/>
    <w:rsid w:val="7EF53E05"/>
    <w:rsid w:val="7EFA244C"/>
    <w:rsid w:val="7F16331D"/>
    <w:rsid w:val="7F2D5F40"/>
    <w:rsid w:val="7F5D4A77"/>
    <w:rsid w:val="7FBC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outlineLvl w:val="0"/>
    </w:pPr>
    <w:rPr>
      <w:rFonts w:ascii="仿宋" w:hAnsi="仿宋" w:eastAsia="仿宋"/>
      <w:color w:val="000000"/>
      <w:sz w:val="36"/>
    </w:rPr>
  </w:style>
  <w:style w:type="paragraph" w:styleId="6">
    <w:name w:val="heading 2"/>
    <w:basedOn w:val="7"/>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8">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4"/>
    </w:rPr>
  </w:style>
  <w:style w:type="paragraph" w:styleId="3">
    <w:name w:val="toa heading"/>
    <w:basedOn w:val="1"/>
    <w:next w:val="1"/>
    <w:qFormat/>
    <w:uiPriority w:val="0"/>
    <w:pPr>
      <w:spacing w:before="120"/>
    </w:pPr>
    <w:rPr>
      <w:rFonts w:ascii="Arial" w:hAnsi="Arial" w:cs="Arial"/>
      <w:sz w:val="24"/>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9">
    <w:name w:val="Body Text"/>
    <w:basedOn w:val="1"/>
    <w:qFormat/>
    <w:uiPriority w:val="0"/>
    <w:rPr>
      <w:sz w:val="24"/>
      <w:szCs w:val="24"/>
    </w:rPr>
  </w:style>
  <w:style w:type="paragraph" w:styleId="10">
    <w:name w:val="Body Text Indent"/>
    <w:basedOn w:val="1"/>
    <w:next w:val="11"/>
    <w:unhideWhenUsed/>
    <w:qFormat/>
    <w:uiPriority w:val="0"/>
    <w:pPr>
      <w:autoSpaceDE w:val="0"/>
      <w:autoSpaceDN w:val="0"/>
      <w:spacing w:after="120"/>
      <w:ind w:left="420"/>
    </w:pPr>
    <w:rPr>
      <w:szCs w:val="24"/>
      <w:lang w:val="zh-CN"/>
    </w:rPr>
  </w:style>
  <w:style w:type="paragraph" w:styleId="11">
    <w:name w:val="envelope return"/>
    <w:basedOn w:val="1"/>
    <w:unhideWhenUsed/>
    <w:qFormat/>
    <w:uiPriority w:val="0"/>
    <w:pPr>
      <w:snapToGrid w:val="0"/>
    </w:pPr>
    <w:rPr>
      <w:rFonts w:ascii="Arial" w:hAnsi="Arial"/>
    </w:rPr>
  </w:style>
  <w:style w:type="paragraph" w:styleId="12">
    <w:name w:val="Plain Text"/>
    <w:basedOn w:val="1"/>
    <w:qFormat/>
    <w:uiPriority w:val="0"/>
    <w:rPr>
      <w:rFonts w:ascii="宋体" w:hAnsi="Courier New"/>
      <w:sz w:val="11"/>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before="120" w:after="120" w:line="360" w:lineRule="auto"/>
      <w:ind w:firstLine="200" w:firstLineChars="200"/>
      <w:jc w:val="left"/>
    </w:pPr>
    <w:rPr>
      <w:b/>
      <w:bCs/>
      <w:caps/>
      <w:sz w:val="20"/>
    </w:rPr>
  </w:style>
  <w:style w:type="paragraph" w:styleId="16">
    <w:name w:val="List"/>
    <w:basedOn w:val="1"/>
    <w:qFormat/>
    <w:uiPriority w:val="0"/>
    <w:pPr>
      <w:ind w:left="420" w:hanging="420"/>
    </w:pPr>
    <w:rPr>
      <w:rFonts w:ascii="Arial" w:hAnsi="Arial" w:eastAsia="楷体_GB2312"/>
      <w:sz w:val="28"/>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0"/>
    <w:next w:val="16"/>
    <w:unhideWhenUsed/>
    <w:qFormat/>
    <w:uiPriority w:val="0"/>
    <w:pPr>
      <w:ind w:firstLine="420"/>
    </w:pPr>
    <w:rPr>
      <w:lang w:bidi="zh-C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qFormat/>
    <w:uiPriority w:val="0"/>
    <w:rPr>
      <w:i/>
      <w:iCs/>
    </w:rPr>
  </w:style>
  <w:style w:type="character" w:styleId="24">
    <w:name w:val="Hyperlink"/>
    <w:qFormat/>
    <w:uiPriority w:val="99"/>
    <w:rPr>
      <w:color w:val="333333"/>
      <w:u w:val="none"/>
    </w:rPr>
  </w:style>
  <w:style w:type="paragraph" w:customStyle="1" w:styleId="25">
    <w:name w:val="_Style 2"/>
    <w:basedOn w:val="1"/>
    <w:next w:val="1"/>
    <w:qFormat/>
    <w:uiPriority w:val="99"/>
    <w:pPr>
      <w:ind w:firstLine="420" w:firstLineChars="200"/>
    </w:pPr>
    <w:rPr>
      <w:szCs w:val="24"/>
    </w:rPr>
  </w:style>
  <w:style w:type="paragraph" w:customStyle="1" w:styleId="26">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0">
    <w:name w:val="列出段落1"/>
    <w:basedOn w:val="1"/>
    <w:qFormat/>
    <w:uiPriority w:val="34"/>
    <w:pPr>
      <w:ind w:firstLine="420" w:firstLineChars="200"/>
    </w:pPr>
    <w:rPr>
      <w:szCs w:val="21"/>
    </w:rPr>
  </w:style>
  <w:style w:type="paragraph" w:customStyle="1" w:styleId="31">
    <w:name w:val="正文缩进1"/>
    <w:basedOn w:val="1"/>
    <w:qFormat/>
    <w:uiPriority w:val="0"/>
    <w:pPr>
      <w:ind w:firstLine="420"/>
    </w:pPr>
    <w:rPr>
      <w:rFonts w:ascii="Times New Roman" w:hAnsi="Times New Roman"/>
    </w:rPr>
  </w:style>
  <w:style w:type="paragraph" w:customStyle="1" w:styleId="32">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3">
    <w:name w:val="7）页眉页脚"/>
    <w:qFormat/>
    <w:uiPriority w:val="0"/>
    <w:rPr>
      <w:rFonts w:ascii="仿宋_GB2312" w:eastAsia="仿宋_GB2312"/>
      <w:b/>
      <w:i/>
      <w:sz w:val="18"/>
      <w:vertAlign w:val="baseline"/>
    </w:rPr>
  </w:style>
  <w:style w:type="paragraph" w:customStyle="1" w:styleId="34">
    <w:name w:val="答复表头"/>
    <w:basedOn w:val="35"/>
    <w:next w:val="1"/>
    <w:qFormat/>
    <w:uiPriority w:val="0"/>
    <w:pPr>
      <w:tabs>
        <w:tab w:val="left" w:pos="480"/>
      </w:tabs>
    </w:pPr>
    <w:rPr>
      <w:b/>
    </w:rPr>
  </w:style>
  <w:style w:type="paragraph" w:customStyle="1" w:styleId="3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6">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7">
    <w:name w:val="List Paragraph"/>
    <w:basedOn w:val="1"/>
    <w:qFormat/>
    <w:uiPriority w:val="99"/>
    <w:pPr>
      <w:ind w:firstLine="420" w:firstLineChars="200"/>
    </w:pPr>
    <w:rPr>
      <w:szCs w:val="24"/>
    </w:rPr>
  </w:style>
  <w:style w:type="character" w:customStyle="1" w:styleId="38">
    <w:name w:val="font101"/>
    <w:basedOn w:val="22"/>
    <w:qFormat/>
    <w:uiPriority w:val="0"/>
    <w:rPr>
      <w:rFonts w:hint="eastAsia" w:ascii="黑体" w:hAnsi="宋体" w:eastAsia="黑体" w:cs="黑体"/>
      <w:color w:val="000000"/>
      <w:sz w:val="20"/>
      <w:szCs w:val="20"/>
      <w:u w:val="none"/>
    </w:rPr>
  </w:style>
  <w:style w:type="paragraph" w:customStyle="1" w:styleId="39">
    <w:name w:val="Table Paragraph"/>
    <w:basedOn w:val="1"/>
    <w:qFormat/>
    <w:uiPriority w:val="1"/>
    <w:pPr>
      <w:spacing w:before="64"/>
      <w:ind w:left="1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23394</Words>
  <Characters>24904</Characters>
  <Lines>258</Lines>
  <Paragraphs>72</Paragraphs>
  <TotalTime>148</TotalTime>
  <ScaleCrop>false</ScaleCrop>
  <LinksUpToDate>false</LinksUpToDate>
  <CharactersWithSpaces>27080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lenovo</cp:lastModifiedBy>
  <cp:lastPrinted>2022-07-29T03:36:00Z</cp:lastPrinted>
  <dcterms:modified xsi:type="dcterms:W3CDTF">2022-08-09T07:13:42Z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9E6A83BB6A8C4761B852B52B4CE0406F</vt:lpwstr>
  </property>
</Properties>
</file>