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pPr>
    </w:p>
    <w:p>
      <w:pPr>
        <w:ind w:firstLine="560"/>
      </w:pPr>
    </w:p>
    <w:p>
      <w:pPr>
        <w:ind w:firstLine="560"/>
      </w:pPr>
    </w:p>
    <w:p>
      <w:pPr>
        <w:ind w:firstLine="560"/>
      </w:pPr>
    </w:p>
    <w:p>
      <w:pPr>
        <w:ind w:left="0" w:leftChars="0" w:firstLine="0" w:firstLineChars="0"/>
        <w:jc w:val="center"/>
        <w:rPr>
          <w:rFonts w:hint="eastAsia"/>
          <w:b/>
          <w:bCs/>
          <w:sz w:val="44"/>
          <w:szCs w:val="44"/>
          <w:lang w:val="zh-CN" w:eastAsia="zh-CN"/>
        </w:rPr>
      </w:pPr>
      <w:r>
        <w:rPr>
          <w:rFonts w:hint="eastAsia"/>
          <w:b/>
          <w:bCs/>
          <w:sz w:val="44"/>
          <w:szCs w:val="44"/>
          <w:lang w:val="zh-CN" w:eastAsia="zh-CN"/>
        </w:rPr>
        <w:t>巩留县集体土地所有权确权登记果更新</w:t>
      </w:r>
    </w:p>
    <w:p>
      <w:pPr>
        <w:ind w:left="0" w:leftChars="0" w:firstLine="0" w:firstLineChars="0"/>
        <w:jc w:val="center"/>
        <w:rPr>
          <w:rFonts w:hint="eastAsia"/>
          <w:b/>
          <w:bCs/>
          <w:sz w:val="44"/>
          <w:szCs w:val="44"/>
          <w:lang w:val="zh-CN" w:eastAsia="zh-CN"/>
        </w:rPr>
      </w:pPr>
      <w:r>
        <w:rPr>
          <w:rFonts w:hint="eastAsia"/>
          <w:b/>
          <w:bCs/>
          <w:sz w:val="44"/>
          <w:szCs w:val="44"/>
          <w:lang w:val="zh-CN" w:eastAsia="zh-CN"/>
        </w:rPr>
        <w:t>汇交工作项目</w:t>
      </w:r>
    </w:p>
    <w:p>
      <w:pPr>
        <w:ind w:firstLine="560"/>
        <w:rPr>
          <w:lang w:val="zh-CN"/>
        </w:rPr>
      </w:pPr>
    </w:p>
    <w:p>
      <w:pPr>
        <w:ind w:firstLine="560"/>
        <w:rPr>
          <w:lang w:val="zh-CN"/>
        </w:rPr>
      </w:pPr>
    </w:p>
    <w:p>
      <w:pPr>
        <w:ind w:firstLine="560"/>
        <w:rPr>
          <w:lang w:val="zh-CN"/>
        </w:rPr>
      </w:pPr>
    </w:p>
    <w:p>
      <w:pPr>
        <w:ind w:firstLine="560"/>
        <w:rPr>
          <w:lang w:val="zh-CN"/>
        </w:rPr>
      </w:pPr>
    </w:p>
    <w:p>
      <w:pPr>
        <w:ind w:firstLine="560"/>
        <w:rPr>
          <w:lang w:val="zh-CN"/>
        </w:rPr>
      </w:pPr>
    </w:p>
    <w:p>
      <w:pPr>
        <w:ind w:firstLine="0" w:firstLineChars="0"/>
        <w:jc w:val="center"/>
        <w:rPr>
          <w:b/>
          <w:bCs/>
          <w:sz w:val="44"/>
          <w:szCs w:val="44"/>
        </w:rPr>
      </w:pPr>
      <w:r>
        <w:rPr>
          <w:rFonts w:hint="eastAsia"/>
          <w:b/>
          <w:bCs/>
          <w:sz w:val="44"/>
          <w:szCs w:val="44"/>
        </w:rPr>
        <w:t>竞争性磋商文件</w:t>
      </w:r>
    </w:p>
    <w:p>
      <w:pPr>
        <w:ind w:firstLine="560"/>
      </w:pPr>
    </w:p>
    <w:p>
      <w:pPr>
        <w:ind w:left="0" w:leftChars="0" w:firstLine="0" w:firstLineChars="0"/>
        <w:jc w:val="center"/>
      </w:pPr>
      <w:r>
        <w:rPr>
          <w:rFonts w:hint="eastAsia" w:ascii="仿宋" w:hAnsi="仿宋" w:eastAsia="仿宋"/>
          <w:b/>
          <w:sz w:val="32"/>
          <w:szCs w:val="32"/>
          <w:lang w:eastAsia="zh-CN"/>
        </w:rPr>
        <w:t>项目编号：</w:t>
      </w:r>
      <w:r>
        <w:rPr>
          <w:rFonts w:hint="eastAsia" w:ascii="仿宋" w:hAnsi="仿宋" w:eastAsia="仿宋"/>
          <w:b/>
          <w:sz w:val="32"/>
          <w:szCs w:val="32"/>
          <w:lang w:val="en-US" w:eastAsia="zh-CN"/>
        </w:rPr>
        <w:t>XJLD-2022-103</w:t>
      </w:r>
    </w:p>
    <w:p>
      <w:pPr>
        <w:ind w:firstLine="560"/>
      </w:pPr>
    </w:p>
    <w:p>
      <w:pPr>
        <w:pStyle w:val="14"/>
      </w:pPr>
    </w:p>
    <w:p>
      <w:pPr>
        <w:ind w:firstLine="560"/>
      </w:pPr>
    </w:p>
    <w:p>
      <w:pPr>
        <w:ind w:firstLine="560"/>
      </w:pPr>
    </w:p>
    <w:p>
      <w:pPr>
        <w:spacing w:line="360" w:lineRule="auto"/>
        <w:jc w:val="both"/>
        <w:rPr>
          <w:rFonts w:hint="eastAsia"/>
          <w:b/>
          <w:bCs/>
          <w:sz w:val="32"/>
          <w:szCs w:val="32"/>
          <w:lang w:eastAsia="zh-CN"/>
        </w:rPr>
      </w:pPr>
      <w:r>
        <w:rPr>
          <w:rFonts w:hint="eastAsia"/>
          <w:b/>
          <w:bCs/>
          <w:sz w:val="32"/>
          <w:szCs w:val="32"/>
        </w:rPr>
        <w:t>采购人：</w:t>
      </w:r>
      <w:r>
        <w:rPr>
          <w:rFonts w:hint="eastAsia"/>
          <w:b/>
          <w:bCs/>
          <w:sz w:val="32"/>
          <w:szCs w:val="32"/>
          <w:lang w:eastAsia="zh-CN"/>
        </w:rPr>
        <w:t>巩留县自然资源局（</w:t>
      </w:r>
      <w:r>
        <w:rPr>
          <w:rFonts w:hint="eastAsia"/>
          <w:b/>
          <w:bCs/>
          <w:sz w:val="32"/>
          <w:szCs w:val="32"/>
          <w:lang w:val="en-US" w:eastAsia="zh-CN"/>
        </w:rPr>
        <w:t>盖章</w:t>
      </w:r>
      <w:r>
        <w:rPr>
          <w:rFonts w:hint="eastAsia"/>
          <w:b/>
          <w:bCs/>
          <w:sz w:val="32"/>
          <w:szCs w:val="32"/>
          <w:lang w:eastAsia="zh-CN"/>
        </w:rPr>
        <w:t>）</w:t>
      </w:r>
    </w:p>
    <w:p>
      <w:pPr>
        <w:pStyle w:val="6"/>
        <w:rPr>
          <w:rFonts w:hint="eastAsia"/>
          <w:b/>
          <w:bCs/>
          <w:sz w:val="32"/>
          <w:szCs w:val="32"/>
          <w:lang w:eastAsia="zh-CN"/>
        </w:rPr>
      </w:pPr>
    </w:p>
    <w:p>
      <w:pPr>
        <w:rPr>
          <w:rFonts w:hint="eastAsia"/>
          <w:lang w:eastAsia="zh-CN"/>
        </w:rPr>
      </w:pPr>
    </w:p>
    <w:p>
      <w:pPr>
        <w:spacing w:line="360" w:lineRule="auto"/>
        <w:ind w:firstLine="643" w:firstLineChars="200"/>
        <w:jc w:val="both"/>
        <w:rPr>
          <w:rFonts w:hint="eastAsia" w:eastAsia="宋体"/>
          <w:b/>
          <w:bCs/>
          <w:sz w:val="32"/>
          <w:szCs w:val="32"/>
          <w:lang w:eastAsia="zh-CN"/>
        </w:rPr>
      </w:pPr>
      <w:r>
        <w:rPr>
          <w:rFonts w:hint="eastAsia"/>
          <w:b/>
          <w:bCs/>
          <w:sz w:val="32"/>
          <w:szCs w:val="32"/>
        </w:rPr>
        <w:t>代理机构：</w:t>
      </w:r>
      <w:r>
        <w:rPr>
          <w:rFonts w:hint="eastAsia"/>
          <w:b/>
          <w:bCs/>
          <w:sz w:val="32"/>
          <w:szCs w:val="32"/>
          <w:lang w:eastAsia="zh-CN"/>
        </w:rPr>
        <w:t>新疆霖鼎工程管理服务有限公司（</w:t>
      </w:r>
      <w:r>
        <w:rPr>
          <w:rFonts w:hint="eastAsia"/>
          <w:b/>
          <w:bCs/>
          <w:sz w:val="32"/>
          <w:szCs w:val="32"/>
          <w:lang w:val="en-US" w:eastAsia="zh-CN"/>
        </w:rPr>
        <w:t>盖章</w:t>
      </w:r>
      <w:r>
        <w:rPr>
          <w:rFonts w:hint="eastAsia"/>
          <w:b/>
          <w:bCs/>
          <w:sz w:val="32"/>
          <w:szCs w:val="32"/>
          <w:lang w:eastAsia="zh-CN"/>
        </w:rPr>
        <w:t>）</w:t>
      </w:r>
    </w:p>
    <w:p>
      <w:pPr>
        <w:spacing w:line="360" w:lineRule="auto"/>
        <w:ind w:firstLine="0" w:firstLineChars="0"/>
        <w:jc w:val="center"/>
        <w:rPr>
          <w:rFonts w:hint="eastAsia"/>
          <w:b/>
          <w:bCs/>
          <w:sz w:val="32"/>
          <w:szCs w:val="32"/>
        </w:rPr>
      </w:pPr>
    </w:p>
    <w:p>
      <w:pPr>
        <w:spacing w:line="360" w:lineRule="auto"/>
        <w:ind w:firstLine="0" w:firstLineChars="0"/>
        <w:jc w:val="center"/>
        <w:rPr>
          <w:rFonts w:hint="eastAsia"/>
          <w:b/>
          <w:bCs/>
          <w:sz w:val="32"/>
          <w:szCs w:val="32"/>
        </w:rPr>
      </w:pPr>
    </w:p>
    <w:p>
      <w:pPr>
        <w:spacing w:line="360" w:lineRule="auto"/>
        <w:ind w:firstLine="0" w:firstLineChars="0"/>
        <w:jc w:val="center"/>
        <w:rPr>
          <w:rFonts w:hint="eastAsia"/>
          <w:b/>
          <w:bCs/>
          <w:sz w:val="32"/>
          <w:szCs w:val="32"/>
        </w:rPr>
      </w:pPr>
    </w:p>
    <w:p>
      <w:pPr>
        <w:spacing w:line="360" w:lineRule="auto"/>
        <w:ind w:firstLine="0" w:firstLineChars="0"/>
        <w:jc w:val="center"/>
        <w:rPr>
          <w:b/>
          <w:bCs/>
          <w:sz w:val="32"/>
          <w:szCs w:val="32"/>
        </w:rPr>
      </w:pPr>
      <w:r>
        <w:rPr>
          <w:rFonts w:hint="eastAsia"/>
          <w:b/>
          <w:bCs/>
          <w:sz w:val="32"/>
          <w:szCs w:val="32"/>
        </w:rPr>
        <w:t>2022年</w:t>
      </w:r>
      <w:r>
        <w:rPr>
          <w:rFonts w:hint="eastAsia"/>
          <w:b/>
          <w:bCs/>
          <w:sz w:val="32"/>
          <w:szCs w:val="32"/>
          <w:lang w:val="en-US" w:eastAsia="zh-CN"/>
        </w:rPr>
        <w:t>11</w:t>
      </w:r>
      <w:r>
        <w:rPr>
          <w:rFonts w:hint="eastAsia"/>
          <w:b/>
          <w:bCs/>
          <w:sz w:val="32"/>
          <w:szCs w:val="32"/>
        </w:rPr>
        <w:t>月</w:t>
      </w:r>
    </w:p>
    <w:p>
      <w:pPr>
        <w:ind w:firstLine="560"/>
        <w:sectPr>
          <w:headerReference r:id="rId6" w:type="first"/>
          <w:footerReference r:id="rId8" w:type="first"/>
          <w:headerReference r:id="rId5" w:type="default"/>
          <w:footerReference r:id="rId7" w:type="default"/>
          <w:pgSz w:w="11849" w:h="16781"/>
          <w:pgMar w:top="1440" w:right="1803" w:bottom="1440" w:left="1803" w:header="850" w:footer="1134" w:gutter="0"/>
          <w:pgNumType w:fmt="decimal"/>
          <w:cols w:space="720" w:num="1"/>
          <w:docGrid w:type="lines" w:linePitch="316" w:charSpace="0"/>
        </w:sectPr>
      </w:pPr>
    </w:p>
    <w:p>
      <w:pPr>
        <w:pStyle w:val="27"/>
        <w:rPr>
          <w:rFonts w:hint="default"/>
        </w:rPr>
      </w:pPr>
      <w:r>
        <w:t>目录</w:t>
      </w:r>
    </w:p>
    <w:p>
      <w:pPr>
        <w:pStyle w:val="16"/>
        <w:tabs>
          <w:tab w:val="right" w:leader="dot" w:pos="8306"/>
        </w:tabs>
        <w:ind w:firstLine="562"/>
      </w:pPr>
      <w:bookmarkStart w:id="0" w:name="_Toc27686"/>
      <w:bookmarkStart w:id="1" w:name="_Toc17358"/>
      <w:r>
        <w:fldChar w:fldCharType="begin"/>
      </w:r>
      <w:r>
        <w:instrText xml:space="preserve">TOC \o "1-1" \h \u </w:instrText>
      </w:r>
      <w:r>
        <w:fldChar w:fldCharType="separate"/>
      </w:r>
      <w:r>
        <w:fldChar w:fldCharType="begin"/>
      </w:r>
      <w:r>
        <w:instrText xml:space="preserve"> HYPERLINK \l "_Toc18785" </w:instrText>
      </w:r>
      <w:r>
        <w:fldChar w:fldCharType="separate"/>
      </w:r>
      <w:r>
        <w:rPr>
          <w:rFonts w:hint="eastAsia"/>
        </w:rPr>
        <w:t>第一部分  磋商公告</w:t>
      </w:r>
      <w:r>
        <w:tab/>
      </w:r>
      <w:r>
        <w:fldChar w:fldCharType="begin"/>
      </w:r>
      <w:r>
        <w:instrText xml:space="preserve"> PAGEREF _Toc18785 \h </w:instrText>
      </w:r>
      <w:r>
        <w:fldChar w:fldCharType="separate"/>
      </w:r>
      <w:r>
        <w:t>2</w:t>
      </w:r>
      <w:r>
        <w:fldChar w:fldCharType="end"/>
      </w:r>
      <w:r>
        <w:fldChar w:fldCharType="end"/>
      </w:r>
    </w:p>
    <w:p>
      <w:pPr>
        <w:pStyle w:val="16"/>
        <w:tabs>
          <w:tab w:val="right" w:leader="dot" w:pos="8306"/>
        </w:tabs>
        <w:ind w:firstLine="562"/>
      </w:pPr>
      <w:r>
        <w:fldChar w:fldCharType="begin"/>
      </w:r>
      <w:r>
        <w:instrText xml:space="preserve"> HYPERLINK \l "_Toc31881" </w:instrText>
      </w:r>
      <w:r>
        <w:fldChar w:fldCharType="separate"/>
      </w:r>
      <w:r>
        <w:rPr>
          <w:rFonts w:hint="eastAsia"/>
        </w:rPr>
        <w:t>第二部分  投标须知前附表及投标须知</w:t>
      </w:r>
      <w:r>
        <w:tab/>
      </w:r>
      <w:r>
        <w:fldChar w:fldCharType="begin"/>
      </w:r>
      <w:r>
        <w:instrText xml:space="preserve"> PAGEREF _Toc31881 \h </w:instrText>
      </w:r>
      <w:r>
        <w:fldChar w:fldCharType="separate"/>
      </w:r>
      <w:r>
        <w:t>5</w:t>
      </w:r>
      <w:r>
        <w:fldChar w:fldCharType="end"/>
      </w:r>
      <w:r>
        <w:fldChar w:fldCharType="end"/>
      </w:r>
    </w:p>
    <w:p>
      <w:pPr>
        <w:pStyle w:val="16"/>
        <w:tabs>
          <w:tab w:val="right" w:leader="dot" w:pos="8306"/>
        </w:tabs>
        <w:ind w:firstLine="562"/>
      </w:pPr>
      <w:r>
        <w:fldChar w:fldCharType="begin"/>
      </w:r>
      <w:r>
        <w:instrText xml:space="preserve"> HYPERLINK \l "_Toc32250" </w:instrText>
      </w:r>
      <w:r>
        <w:fldChar w:fldCharType="separate"/>
      </w:r>
      <w:r>
        <w:rPr>
          <w:rFonts w:hint="eastAsia"/>
        </w:rPr>
        <w:t>第三部分  合同格式（参考）</w:t>
      </w:r>
      <w:r>
        <w:tab/>
      </w:r>
      <w:r>
        <w:fldChar w:fldCharType="begin"/>
      </w:r>
      <w:r>
        <w:instrText xml:space="preserve"> PAGEREF _Toc32250 \h </w:instrText>
      </w:r>
      <w:r>
        <w:fldChar w:fldCharType="separate"/>
      </w:r>
      <w:r>
        <w:t>32</w:t>
      </w:r>
      <w:r>
        <w:fldChar w:fldCharType="end"/>
      </w:r>
      <w:r>
        <w:fldChar w:fldCharType="end"/>
      </w:r>
    </w:p>
    <w:p>
      <w:pPr>
        <w:pStyle w:val="16"/>
        <w:tabs>
          <w:tab w:val="right" w:leader="dot" w:pos="8306"/>
        </w:tabs>
        <w:ind w:firstLine="562"/>
      </w:pPr>
      <w:r>
        <w:fldChar w:fldCharType="begin"/>
      </w:r>
      <w:r>
        <w:instrText xml:space="preserve"> HYPERLINK \l "_Toc22743" </w:instrText>
      </w:r>
      <w:r>
        <w:fldChar w:fldCharType="separate"/>
      </w:r>
      <w:r>
        <w:rPr>
          <w:rFonts w:hint="eastAsia"/>
        </w:rPr>
        <w:t xml:space="preserve">第四部分 </w:t>
      </w:r>
      <w:r>
        <w:rPr>
          <w:rFonts w:hint="eastAsia"/>
          <w:lang w:val="en-US" w:eastAsia="zh-CN"/>
        </w:rPr>
        <w:t xml:space="preserve"> </w:t>
      </w:r>
      <w:r>
        <w:rPr>
          <w:rFonts w:hint="eastAsia"/>
        </w:rPr>
        <w:t>采购需求</w:t>
      </w:r>
      <w:r>
        <w:tab/>
      </w:r>
      <w:r>
        <w:fldChar w:fldCharType="begin"/>
      </w:r>
      <w:r>
        <w:instrText xml:space="preserve"> PAGEREF _Toc22743 \h </w:instrText>
      </w:r>
      <w:r>
        <w:fldChar w:fldCharType="separate"/>
      </w:r>
      <w:r>
        <w:t>43</w:t>
      </w:r>
      <w:r>
        <w:fldChar w:fldCharType="end"/>
      </w:r>
      <w:r>
        <w:fldChar w:fldCharType="end"/>
      </w:r>
    </w:p>
    <w:p>
      <w:pPr>
        <w:pStyle w:val="16"/>
        <w:tabs>
          <w:tab w:val="right" w:leader="dot" w:pos="8306"/>
        </w:tabs>
        <w:ind w:firstLine="562"/>
      </w:pPr>
      <w:r>
        <w:fldChar w:fldCharType="begin"/>
      </w:r>
      <w:r>
        <w:instrText xml:space="preserve"> HYPERLINK \l "_Toc23269" </w:instrText>
      </w:r>
      <w:r>
        <w:fldChar w:fldCharType="separate"/>
      </w:r>
      <w:r>
        <w:rPr>
          <w:rFonts w:hint="eastAsia"/>
        </w:rPr>
        <w:t>第五部分  投标文件格式</w:t>
      </w:r>
      <w:r>
        <w:tab/>
      </w:r>
      <w:r>
        <w:fldChar w:fldCharType="begin"/>
      </w:r>
      <w:r>
        <w:instrText xml:space="preserve"> PAGEREF _Toc23269 \h </w:instrText>
      </w:r>
      <w:r>
        <w:fldChar w:fldCharType="separate"/>
      </w:r>
      <w:r>
        <w:t>51</w:t>
      </w:r>
      <w:r>
        <w:fldChar w:fldCharType="end"/>
      </w:r>
      <w:r>
        <w:fldChar w:fldCharType="end"/>
      </w:r>
    </w:p>
    <w:p>
      <w:pPr>
        <w:pStyle w:val="16"/>
        <w:tabs>
          <w:tab w:val="right" w:leader="dot" w:pos="8306"/>
        </w:tabs>
        <w:ind w:firstLine="562"/>
      </w:pPr>
      <w:r>
        <w:fldChar w:fldCharType="begin"/>
      </w:r>
      <w:r>
        <w:instrText xml:space="preserve"> HYPERLINK \l "_Toc19514" </w:instrText>
      </w:r>
      <w:r>
        <w:fldChar w:fldCharType="separate"/>
      </w:r>
      <w:r>
        <w:rPr>
          <w:rFonts w:hint="eastAsia" w:ascii="宋体" w:hAnsi="宋体" w:cs="宋体"/>
          <w:lang w:val="zh-CN"/>
        </w:rPr>
        <w:t>投 标 文 件</w:t>
      </w:r>
      <w:r>
        <w:tab/>
      </w:r>
      <w:r>
        <w:fldChar w:fldCharType="begin"/>
      </w:r>
      <w:r>
        <w:instrText xml:space="preserve"> PAGEREF _Toc19514 \h </w:instrText>
      </w:r>
      <w:r>
        <w:fldChar w:fldCharType="separate"/>
      </w:r>
      <w:r>
        <w:t>51</w:t>
      </w:r>
      <w:r>
        <w:fldChar w:fldCharType="end"/>
      </w:r>
      <w:r>
        <w:fldChar w:fldCharType="end"/>
      </w:r>
    </w:p>
    <w:p>
      <w:pPr>
        <w:pStyle w:val="16"/>
        <w:tabs>
          <w:tab w:val="right" w:leader="dot" w:pos="8306"/>
        </w:tabs>
        <w:ind w:firstLine="562"/>
      </w:pPr>
      <w:r>
        <w:fldChar w:fldCharType="begin"/>
      </w:r>
      <w:r>
        <w:instrText xml:space="preserve"> HYPERLINK \l "_Toc17258" </w:instrText>
      </w:r>
      <w:r>
        <w:fldChar w:fldCharType="separate"/>
      </w:r>
      <w:r>
        <w:rPr>
          <w:rFonts w:hint="eastAsia" w:cs="Times New Roman"/>
        </w:rPr>
        <w:t>一、</w:t>
      </w:r>
      <w:r>
        <w:rPr>
          <w:rFonts w:hint="eastAsia" w:ascii="宋体" w:hAnsi="宋体" w:cs="宋体"/>
        </w:rPr>
        <w:t>商务部分</w:t>
      </w:r>
      <w:r>
        <w:tab/>
      </w:r>
      <w:r>
        <w:fldChar w:fldCharType="begin"/>
      </w:r>
      <w:r>
        <w:instrText xml:space="preserve"> PAGEREF _Toc17258 \h </w:instrText>
      </w:r>
      <w:r>
        <w:fldChar w:fldCharType="separate"/>
      </w:r>
      <w:r>
        <w:t>52</w:t>
      </w:r>
      <w:r>
        <w:fldChar w:fldCharType="end"/>
      </w:r>
      <w:r>
        <w:fldChar w:fldCharType="end"/>
      </w:r>
    </w:p>
    <w:p>
      <w:pPr>
        <w:pStyle w:val="16"/>
        <w:tabs>
          <w:tab w:val="right" w:leader="dot" w:pos="8306"/>
        </w:tabs>
        <w:ind w:firstLine="562"/>
      </w:pPr>
      <w:r>
        <w:fldChar w:fldCharType="begin"/>
      </w:r>
      <w:r>
        <w:instrText xml:space="preserve"> HYPERLINK \l "_Toc10048" </w:instrText>
      </w:r>
      <w:r>
        <w:fldChar w:fldCharType="separate"/>
      </w:r>
      <w:r>
        <w:rPr>
          <w:rFonts w:hint="eastAsia" w:ascii="宋体" w:hAnsi="宋体" w:cs="宋体"/>
        </w:rPr>
        <w:t>二、技术部分（技术部分格式请投标人自拟）</w:t>
      </w:r>
      <w:r>
        <w:tab/>
      </w:r>
      <w:r>
        <w:fldChar w:fldCharType="begin"/>
      </w:r>
      <w:r>
        <w:instrText xml:space="preserve"> PAGEREF _Toc10048 \h </w:instrText>
      </w:r>
      <w:r>
        <w:fldChar w:fldCharType="separate"/>
      </w:r>
      <w:r>
        <w:t>52</w:t>
      </w:r>
      <w:r>
        <w:fldChar w:fldCharType="end"/>
      </w:r>
      <w:r>
        <w:fldChar w:fldCharType="end"/>
      </w:r>
    </w:p>
    <w:p>
      <w:pPr>
        <w:pStyle w:val="16"/>
        <w:tabs>
          <w:tab w:val="right" w:leader="dot" w:pos="8306"/>
        </w:tabs>
        <w:ind w:firstLine="562"/>
      </w:pPr>
      <w:r>
        <w:fldChar w:fldCharType="begin"/>
      </w:r>
      <w:r>
        <w:instrText xml:space="preserve"> HYPERLINK \l "_Toc24253" </w:instrText>
      </w:r>
      <w:r>
        <w:fldChar w:fldCharType="separate"/>
      </w:r>
      <w:r>
        <w:rPr>
          <w:rFonts w:hint="eastAsia" w:ascii="宋体" w:hAnsi="宋体" w:cs="Courier New"/>
          <w:bCs/>
          <w:szCs w:val="28"/>
        </w:rPr>
        <w:t>附件一</w:t>
      </w:r>
      <w:r>
        <w:tab/>
      </w:r>
      <w:r>
        <w:fldChar w:fldCharType="begin"/>
      </w:r>
      <w:r>
        <w:instrText xml:space="preserve"> PAGEREF _Toc24253 \h </w:instrText>
      </w:r>
      <w:r>
        <w:fldChar w:fldCharType="separate"/>
      </w:r>
      <w:r>
        <w:t>53</w:t>
      </w:r>
      <w:r>
        <w:fldChar w:fldCharType="end"/>
      </w:r>
      <w:r>
        <w:fldChar w:fldCharType="end"/>
      </w:r>
    </w:p>
    <w:p>
      <w:pPr>
        <w:pStyle w:val="16"/>
        <w:tabs>
          <w:tab w:val="right" w:leader="dot" w:pos="8306"/>
        </w:tabs>
        <w:ind w:firstLine="562"/>
      </w:pPr>
      <w:r>
        <w:fldChar w:fldCharType="begin"/>
      </w:r>
      <w:r>
        <w:instrText xml:space="preserve"> HYPERLINK \l "_Toc4540" </w:instrText>
      </w:r>
      <w:r>
        <w:fldChar w:fldCharType="separate"/>
      </w:r>
      <w:r>
        <w:rPr>
          <w:rFonts w:hint="eastAsia" w:ascii="宋体" w:hAnsi="宋体" w:cs="Times New Roman"/>
          <w:bCs/>
          <w:szCs w:val="28"/>
        </w:rPr>
        <w:t>附件二</w:t>
      </w:r>
      <w:r>
        <w:tab/>
      </w:r>
      <w:r>
        <w:fldChar w:fldCharType="begin"/>
      </w:r>
      <w:r>
        <w:instrText xml:space="preserve"> PAGEREF _Toc4540 \h </w:instrText>
      </w:r>
      <w:r>
        <w:fldChar w:fldCharType="separate"/>
      </w:r>
      <w:r>
        <w:t>54</w:t>
      </w:r>
      <w:r>
        <w:fldChar w:fldCharType="end"/>
      </w:r>
      <w:r>
        <w:fldChar w:fldCharType="end"/>
      </w:r>
    </w:p>
    <w:p>
      <w:pPr>
        <w:pStyle w:val="16"/>
        <w:tabs>
          <w:tab w:val="right" w:leader="dot" w:pos="8306"/>
        </w:tabs>
        <w:ind w:firstLine="562"/>
      </w:pPr>
      <w:r>
        <w:fldChar w:fldCharType="begin"/>
      </w:r>
      <w:r>
        <w:instrText xml:space="preserve"> HYPERLINK \l "_Toc9484" </w:instrText>
      </w:r>
      <w:r>
        <w:fldChar w:fldCharType="separate"/>
      </w:r>
      <w:r>
        <w:rPr>
          <w:rFonts w:hint="eastAsia" w:ascii="宋体" w:hAnsi="宋体" w:cs="Times New Roman"/>
          <w:bCs/>
          <w:szCs w:val="28"/>
        </w:rPr>
        <w:t>附件三</w:t>
      </w:r>
      <w:r>
        <w:tab/>
      </w:r>
      <w:r>
        <w:fldChar w:fldCharType="begin"/>
      </w:r>
      <w:r>
        <w:instrText xml:space="preserve"> PAGEREF _Toc9484 \h </w:instrText>
      </w:r>
      <w:r>
        <w:fldChar w:fldCharType="separate"/>
      </w:r>
      <w:r>
        <w:t>56</w:t>
      </w:r>
      <w:r>
        <w:fldChar w:fldCharType="end"/>
      </w:r>
      <w:r>
        <w:fldChar w:fldCharType="end"/>
      </w:r>
    </w:p>
    <w:p>
      <w:pPr>
        <w:pStyle w:val="16"/>
        <w:tabs>
          <w:tab w:val="right" w:leader="dot" w:pos="8306"/>
        </w:tabs>
        <w:ind w:firstLine="562"/>
      </w:pPr>
      <w:r>
        <w:fldChar w:fldCharType="begin"/>
      </w:r>
      <w:r>
        <w:instrText xml:space="preserve"> HYPERLINK \l "_Toc31781" </w:instrText>
      </w:r>
      <w:r>
        <w:fldChar w:fldCharType="separate"/>
      </w:r>
      <w:r>
        <w:rPr>
          <w:rFonts w:hint="eastAsia" w:ascii="宋体" w:hAnsi="宋体" w:cs="Times New Roman"/>
          <w:bCs/>
          <w:szCs w:val="28"/>
        </w:rPr>
        <w:t>附件四</w:t>
      </w:r>
      <w:r>
        <w:tab/>
      </w:r>
      <w:r>
        <w:fldChar w:fldCharType="begin"/>
      </w:r>
      <w:r>
        <w:instrText xml:space="preserve"> PAGEREF _Toc31781 \h </w:instrText>
      </w:r>
      <w:r>
        <w:fldChar w:fldCharType="separate"/>
      </w:r>
      <w:r>
        <w:t>56</w:t>
      </w:r>
      <w:r>
        <w:fldChar w:fldCharType="end"/>
      </w:r>
      <w:r>
        <w:fldChar w:fldCharType="end"/>
      </w:r>
    </w:p>
    <w:p>
      <w:pPr>
        <w:pStyle w:val="16"/>
        <w:tabs>
          <w:tab w:val="right" w:leader="dot" w:pos="8306"/>
        </w:tabs>
        <w:ind w:firstLine="562"/>
      </w:pPr>
      <w:r>
        <w:fldChar w:fldCharType="begin"/>
      </w:r>
      <w:r>
        <w:instrText xml:space="preserve"> HYPERLINK \l "_Toc16877" </w:instrText>
      </w:r>
      <w:r>
        <w:fldChar w:fldCharType="separate"/>
      </w:r>
      <w:r>
        <w:rPr>
          <w:rFonts w:hint="eastAsia" w:ascii="宋体" w:hAnsi="宋体" w:cs="宋体"/>
        </w:rPr>
        <w:t>附件五</w:t>
      </w:r>
      <w:r>
        <w:tab/>
      </w:r>
      <w:r>
        <w:fldChar w:fldCharType="begin"/>
      </w:r>
      <w:r>
        <w:instrText xml:space="preserve"> PAGEREF _Toc16877 \h </w:instrText>
      </w:r>
      <w:r>
        <w:fldChar w:fldCharType="separate"/>
      </w:r>
      <w:r>
        <w:t>57</w:t>
      </w:r>
      <w:r>
        <w:fldChar w:fldCharType="end"/>
      </w:r>
      <w:r>
        <w:fldChar w:fldCharType="end"/>
      </w:r>
    </w:p>
    <w:p>
      <w:pPr>
        <w:pStyle w:val="16"/>
        <w:tabs>
          <w:tab w:val="right" w:leader="dot" w:pos="8306"/>
        </w:tabs>
        <w:ind w:firstLine="562"/>
      </w:pPr>
      <w:r>
        <w:fldChar w:fldCharType="begin"/>
      </w:r>
      <w:r>
        <w:instrText xml:space="preserve"> HYPERLINK \l "_Toc21710" </w:instrText>
      </w:r>
      <w:r>
        <w:fldChar w:fldCharType="separate"/>
      </w:r>
      <w:r>
        <w:rPr>
          <w:rFonts w:hint="eastAsia" w:ascii="宋体" w:hAnsi="宋体" w:cs="Times New Roman"/>
          <w:bCs/>
          <w:szCs w:val="28"/>
        </w:rPr>
        <w:t>附件六</w:t>
      </w:r>
      <w:r>
        <w:tab/>
      </w:r>
      <w:r>
        <w:fldChar w:fldCharType="begin"/>
      </w:r>
      <w:r>
        <w:instrText xml:space="preserve"> PAGEREF _Toc21710 \h </w:instrText>
      </w:r>
      <w:r>
        <w:fldChar w:fldCharType="separate"/>
      </w:r>
      <w:r>
        <w:t>58</w:t>
      </w:r>
      <w:r>
        <w:fldChar w:fldCharType="end"/>
      </w:r>
      <w:r>
        <w:fldChar w:fldCharType="end"/>
      </w:r>
    </w:p>
    <w:p>
      <w:pPr>
        <w:pStyle w:val="16"/>
        <w:tabs>
          <w:tab w:val="right" w:leader="dot" w:pos="8306"/>
        </w:tabs>
        <w:ind w:firstLine="562"/>
        <w:rPr>
          <w:rFonts w:hint="eastAsia" w:eastAsia="宋体"/>
          <w:lang w:val="en-US" w:eastAsia="zh-CN"/>
        </w:rPr>
        <w:sectPr>
          <w:footerReference r:id="rId9" w:type="default"/>
          <w:pgSz w:w="11906" w:h="16838"/>
          <w:pgMar w:top="1440" w:right="1800" w:bottom="1440" w:left="1800" w:header="851" w:footer="992" w:gutter="0"/>
          <w:pgNumType w:fmt="decimal" w:start="1"/>
          <w:cols w:space="425" w:num="1"/>
          <w:docGrid w:type="lines" w:linePitch="312" w:charSpace="0"/>
        </w:sectPr>
      </w:pPr>
      <w:r>
        <w:fldChar w:fldCharType="begin"/>
      </w:r>
      <w:r>
        <w:instrText xml:space="preserve"> HYPERLINK \l "_Toc21710" </w:instrText>
      </w:r>
      <w:r>
        <w:fldChar w:fldCharType="separate"/>
      </w:r>
      <w:r>
        <w:rPr>
          <w:rFonts w:hint="eastAsia" w:ascii="宋体" w:hAnsi="宋体" w:cs="Times New Roman"/>
          <w:bCs/>
          <w:szCs w:val="28"/>
        </w:rPr>
        <w:t>附件</w:t>
      </w:r>
      <w:r>
        <w:rPr>
          <w:rFonts w:hint="eastAsia" w:ascii="宋体" w:hAnsi="宋体" w:cs="Times New Roman"/>
          <w:bCs/>
          <w:szCs w:val="28"/>
          <w:lang w:val="en-US" w:eastAsia="zh-CN"/>
        </w:rPr>
        <w:t>七</w:t>
      </w:r>
      <w:r>
        <w:tab/>
      </w:r>
      <w:r>
        <w:rPr>
          <w:rFonts w:hint="eastAsia"/>
          <w:lang w:val="en-US" w:eastAsia="zh-CN"/>
        </w:rPr>
        <w:t>6</w:t>
      </w:r>
      <w:r>
        <w:fldChar w:fldCharType="end"/>
      </w:r>
      <w:r>
        <w:rPr>
          <w:rFonts w:hint="eastAsia"/>
          <w:lang w:val="en-US" w:eastAsia="zh-CN"/>
        </w:rPr>
        <w:t>0</w:t>
      </w:r>
    </w:p>
    <w:p>
      <w:pPr>
        <w:pStyle w:val="4"/>
        <w:rPr>
          <w:rStyle w:val="32"/>
          <w:b/>
        </w:rPr>
      </w:pPr>
      <w:r>
        <w:fldChar w:fldCharType="end"/>
      </w:r>
      <w:bookmarkStart w:id="2" w:name="_Toc18785"/>
      <w:r>
        <w:rPr>
          <w:rStyle w:val="32"/>
          <w:rFonts w:hint="eastAsia"/>
          <w:b/>
        </w:rPr>
        <w:t>第一部分  磋商公告</w:t>
      </w:r>
      <w:bookmarkEnd w:id="0"/>
      <w:bookmarkEnd w:id="1"/>
      <w:bookmarkEnd w:id="2"/>
    </w:p>
    <w:p>
      <w:pPr>
        <w:keepNext w:val="0"/>
        <w:keepLines w:val="0"/>
        <w:pageBreakBefore w:val="0"/>
        <w:widowControl w:val="0"/>
        <w:pBdr>
          <w:top w:val="single" w:color="auto" w:sz="4" w:space="1"/>
          <w:left w:val="single" w:color="auto" w:sz="4" w:space="4"/>
          <w:bottom w:val="single" w:color="auto" w:sz="4" w:space="1"/>
          <w:right w:val="single" w:color="auto" w:sz="4" w:space="31"/>
        </w:pBdr>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31"/>
        </w:pBd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lang w:eastAsia="zh-CN"/>
        </w:rPr>
        <w:t>巩留县集体土地所有权确权登记成果更新汇交工作项目</w:t>
      </w:r>
      <w:r>
        <w:rPr>
          <w:rFonts w:hint="eastAsia" w:ascii="仿宋" w:hAnsi="仿宋" w:eastAsia="仿宋" w:cs="仿宋"/>
          <w:color w:val="000000"/>
          <w:sz w:val="24"/>
          <w:szCs w:val="24"/>
        </w:rPr>
        <w:t>的潜在投标人应在</w:t>
      </w:r>
      <w:r>
        <w:rPr>
          <w:rFonts w:hint="eastAsia" w:ascii="仿宋" w:hAnsi="仿宋" w:eastAsia="仿宋" w:cs="仿宋"/>
          <w:color w:val="000000"/>
          <w:sz w:val="24"/>
          <w:szCs w:val="24"/>
          <w:u w:val="single"/>
          <w:lang w:eastAsia="zh-CN"/>
        </w:rPr>
        <w:t>新疆伊犁州伊宁市经济合作区313线以西、新华西路以北西城天街A-E#商业楼C405室</w:t>
      </w:r>
      <w:r>
        <w:rPr>
          <w:rFonts w:hint="eastAsia" w:ascii="仿宋" w:hAnsi="仿宋" w:eastAsia="仿宋" w:cs="仿宋"/>
          <w:color w:val="000000"/>
          <w:sz w:val="24"/>
          <w:szCs w:val="24"/>
          <w:u w:val="none"/>
          <w:lang w:val="en-US" w:eastAsia="zh-CN"/>
        </w:rPr>
        <w:t>获取</w:t>
      </w:r>
      <w:r>
        <w:rPr>
          <w:rFonts w:hint="eastAsia" w:ascii="仿宋" w:hAnsi="仿宋" w:eastAsia="仿宋" w:cs="仿宋"/>
          <w:color w:val="000000"/>
          <w:sz w:val="24"/>
          <w:szCs w:val="24"/>
          <w:lang w:val="en-US" w:eastAsia="zh-CN"/>
        </w:rPr>
        <w:t>采购</w:t>
      </w:r>
      <w:r>
        <w:rPr>
          <w:rFonts w:hint="eastAsia" w:ascii="仿宋" w:hAnsi="仿宋" w:eastAsia="仿宋" w:cs="仿宋"/>
          <w:color w:val="000000"/>
          <w:sz w:val="24"/>
          <w:szCs w:val="24"/>
        </w:rPr>
        <w:t>文件，并于</w:t>
      </w:r>
      <w:r>
        <w:rPr>
          <w:rFonts w:hint="eastAsia" w:ascii="仿宋" w:hAnsi="仿宋" w:eastAsia="仿宋" w:cs="仿宋"/>
          <w:color w:val="0000FF"/>
          <w:sz w:val="24"/>
          <w:szCs w:val="24"/>
          <w:u w:val="single"/>
        </w:rPr>
        <w:t>202</w:t>
      </w:r>
      <w:r>
        <w:rPr>
          <w:rFonts w:hint="eastAsia" w:ascii="仿宋" w:hAnsi="仿宋" w:eastAsia="仿宋" w:cs="仿宋"/>
          <w:color w:val="0000FF"/>
          <w:sz w:val="24"/>
          <w:szCs w:val="24"/>
          <w:u w:val="single"/>
          <w:lang w:val="en-US" w:eastAsia="zh-CN"/>
        </w:rPr>
        <w:t>2</w:t>
      </w:r>
      <w:r>
        <w:rPr>
          <w:rFonts w:hint="eastAsia" w:ascii="仿宋" w:hAnsi="仿宋" w:eastAsia="仿宋" w:cs="仿宋"/>
          <w:color w:val="0000FF"/>
          <w:sz w:val="24"/>
          <w:szCs w:val="24"/>
        </w:rPr>
        <w:t>年</w:t>
      </w:r>
      <w:r>
        <w:rPr>
          <w:rFonts w:hint="eastAsia" w:ascii="仿宋" w:hAnsi="仿宋" w:eastAsia="仿宋" w:cs="仿宋"/>
          <w:color w:val="0000FF"/>
          <w:sz w:val="24"/>
          <w:szCs w:val="24"/>
          <w:u w:val="single"/>
          <w:lang w:val="en-US" w:eastAsia="zh-CN"/>
        </w:rPr>
        <w:t>12</w:t>
      </w:r>
      <w:r>
        <w:rPr>
          <w:rFonts w:hint="eastAsia" w:ascii="仿宋" w:hAnsi="仿宋" w:eastAsia="仿宋" w:cs="仿宋"/>
          <w:color w:val="0000FF"/>
          <w:sz w:val="24"/>
          <w:szCs w:val="24"/>
          <w:u w:val="none"/>
          <w:lang w:val="en-US" w:eastAsia="zh-CN"/>
        </w:rPr>
        <w:t>月</w:t>
      </w:r>
      <w:r>
        <w:rPr>
          <w:rFonts w:hint="eastAsia" w:ascii="仿宋" w:hAnsi="仿宋" w:eastAsia="仿宋" w:cs="仿宋"/>
          <w:color w:val="0000FF"/>
          <w:sz w:val="24"/>
          <w:szCs w:val="24"/>
          <w:u w:val="single"/>
          <w:lang w:val="en-US" w:eastAsia="zh-CN"/>
        </w:rPr>
        <w:t>12</w:t>
      </w:r>
      <w:r>
        <w:rPr>
          <w:rFonts w:hint="eastAsia" w:ascii="仿宋" w:hAnsi="仿宋" w:eastAsia="仿宋" w:cs="仿宋"/>
          <w:color w:val="0000FF"/>
          <w:sz w:val="24"/>
          <w:szCs w:val="24"/>
          <w:u w:val="none"/>
          <w:lang w:val="en-US" w:eastAsia="zh-CN"/>
        </w:rPr>
        <w:t>日</w:t>
      </w:r>
      <w:r>
        <w:rPr>
          <w:rFonts w:hint="eastAsia" w:ascii="仿宋" w:hAnsi="仿宋" w:eastAsia="仿宋" w:cs="仿宋"/>
          <w:color w:val="0000FF"/>
          <w:sz w:val="24"/>
          <w:szCs w:val="24"/>
          <w:u w:val="single"/>
          <w:lang w:val="en-US" w:eastAsia="zh-CN"/>
        </w:rPr>
        <w:t>11</w:t>
      </w:r>
      <w:r>
        <w:rPr>
          <w:rFonts w:hint="eastAsia" w:ascii="仿宋" w:hAnsi="仿宋" w:eastAsia="仿宋" w:cs="仿宋"/>
          <w:color w:val="0000FF"/>
          <w:sz w:val="24"/>
          <w:szCs w:val="24"/>
        </w:rPr>
        <w:t>点</w:t>
      </w:r>
      <w:r>
        <w:rPr>
          <w:rFonts w:hint="eastAsia" w:ascii="仿宋" w:hAnsi="仿宋" w:eastAsia="仿宋" w:cs="仿宋"/>
          <w:color w:val="0000FF"/>
          <w:sz w:val="24"/>
          <w:szCs w:val="24"/>
          <w:u w:val="single"/>
          <w:lang w:val="en-US" w:eastAsia="zh-CN"/>
        </w:rPr>
        <w:t>00</w:t>
      </w:r>
      <w:r>
        <w:rPr>
          <w:rFonts w:hint="eastAsia" w:ascii="仿宋" w:hAnsi="仿宋" w:eastAsia="仿宋" w:cs="仿宋"/>
          <w:color w:val="0000FF"/>
          <w:sz w:val="24"/>
          <w:szCs w:val="24"/>
        </w:rPr>
        <w:t>分</w:t>
      </w:r>
      <w:r>
        <w:rPr>
          <w:rFonts w:hint="eastAsia" w:ascii="仿宋" w:hAnsi="仿宋" w:eastAsia="仿宋" w:cs="仿宋"/>
          <w:color w:val="auto"/>
          <w:sz w:val="24"/>
          <w:szCs w:val="24"/>
        </w:rPr>
        <w:t>（北京时间）前递交</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文件。</w:t>
      </w:r>
    </w:p>
    <w:p>
      <w:pPr>
        <w:pStyle w:val="5"/>
        <w:keepNext/>
        <w:keepLines/>
        <w:pageBreakBefore w:val="0"/>
        <w:widowControl w:val="0"/>
        <w:numPr>
          <w:ilvl w:val="0"/>
          <w:numId w:val="1"/>
        </w:numPr>
        <w:kinsoku/>
        <w:wordWrap/>
        <w:overflowPunct/>
        <w:topLinePunct w:val="0"/>
        <w:autoSpaceDE/>
        <w:autoSpaceDN/>
        <w:bidi w:val="0"/>
        <w:adjustRightInd/>
        <w:snapToGrid/>
        <w:spacing w:before="0" w:after="0" w:line="400" w:lineRule="exact"/>
        <w:textAlignment w:val="auto"/>
        <w:outlineLvl w:val="0"/>
        <w:rPr>
          <w:rFonts w:hint="eastAsia" w:ascii="仿宋" w:hAnsi="仿宋" w:eastAsia="仿宋" w:cs="仿宋"/>
          <w:bCs w:val="0"/>
          <w:color w:val="auto"/>
          <w:sz w:val="27"/>
          <w:szCs w:val="27"/>
        </w:rPr>
      </w:pPr>
      <w:bookmarkStart w:id="3" w:name="_Toc35393790"/>
      <w:bookmarkStart w:id="4" w:name="_Toc13870"/>
      <w:bookmarkStart w:id="5" w:name="_Toc35393621"/>
      <w:bookmarkStart w:id="6" w:name="_Toc28359079"/>
      <w:bookmarkStart w:id="7" w:name="_Toc28359002"/>
      <w:bookmarkStart w:id="8" w:name="_Hlk24379207"/>
      <w:r>
        <w:rPr>
          <w:rFonts w:hint="eastAsia" w:ascii="仿宋" w:hAnsi="仿宋" w:eastAsia="仿宋" w:cs="仿宋"/>
          <w:bCs w:val="0"/>
          <w:color w:val="auto"/>
          <w:sz w:val="27"/>
          <w:szCs w:val="27"/>
        </w:rPr>
        <w:t>项目基本情况</w:t>
      </w:r>
      <w:bookmarkEnd w:id="3"/>
      <w:bookmarkEnd w:id="4"/>
      <w:bookmarkEnd w:id="5"/>
      <w:bookmarkEnd w:id="6"/>
      <w:bookmarkEnd w:id="7"/>
    </w:p>
    <w:p>
      <w:pPr>
        <w:pageBreakBefore w:val="0"/>
        <w:kinsoku/>
        <w:wordWrap/>
        <w:overflowPunct/>
        <w:topLinePunct w:val="0"/>
        <w:autoSpaceDE/>
        <w:autoSpaceDN/>
        <w:bidi w:val="0"/>
        <w:adjustRightInd/>
        <w:snapToGrid/>
        <w:spacing w:line="400" w:lineRule="exact"/>
        <w:ind w:firstLine="480" w:firstLineChars="200"/>
        <w:textAlignment w:val="auto"/>
        <w:rPr>
          <w:sz w:val="20"/>
          <w:szCs w:val="20"/>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巩留县集体土地所有权确权登记成果更新汇交工作项目；</w:t>
      </w:r>
    </w:p>
    <w:p>
      <w:pPr>
        <w:pageBreakBefore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eastAsia="zh-CN"/>
        </w:rPr>
        <w:t>XJLD-2022-103</w:t>
      </w:r>
      <w:r>
        <w:rPr>
          <w:rFonts w:hint="eastAsia" w:ascii="仿宋" w:hAnsi="仿宋" w:eastAsia="仿宋" w:cs="仿宋"/>
          <w:color w:val="auto"/>
          <w:sz w:val="24"/>
          <w:szCs w:val="24"/>
          <w:lang w:val="en-US" w:eastAsia="zh-CN"/>
        </w:rPr>
        <w:t>；</w:t>
      </w:r>
    </w:p>
    <w:bookmarkEnd w:id="8"/>
    <w:p>
      <w:pPr>
        <w:pageBreakBefore w:val="0"/>
        <w:kinsoku/>
        <w:wordWrap/>
        <w:overflowPunct/>
        <w:topLinePunct w:val="0"/>
        <w:autoSpaceDE/>
        <w:autoSpaceDN/>
        <w:bidi w:val="0"/>
        <w:adjustRightInd/>
        <w:snapToGrid/>
        <w:spacing w:line="400" w:lineRule="exact"/>
        <w:ind w:firstLine="480" w:firstLineChars="200"/>
        <w:textAlignment w:val="auto"/>
        <w:rPr>
          <w:rFonts w:hint="default"/>
          <w:sz w:val="20"/>
          <w:szCs w:val="20"/>
          <w:lang w:val="en-US" w:eastAsia="zh-CN"/>
        </w:rPr>
      </w:pPr>
      <w:r>
        <w:rPr>
          <w:rFonts w:hint="eastAsia" w:ascii="仿宋" w:hAnsi="仿宋" w:eastAsia="仿宋" w:cs="仿宋"/>
          <w:color w:val="auto"/>
          <w:sz w:val="24"/>
          <w:szCs w:val="24"/>
          <w:lang w:val="en-US" w:eastAsia="zh-CN"/>
        </w:rPr>
        <w:t>采购方式：竞争性磋商；</w:t>
      </w:r>
    </w:p>
    <w:p>
      <w:pPr>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预算金额：</w:t>
      </w:r>
      <w:r>
        <w:rPr>
          <w:rFonts w:hint="eastAsia" w:ascii="仿宋" w:hAnsi="仿宋" w:eastAsia="仿宋" w:cs="仿宋"/>
          <w:color w:val="auto"/>
          <w:sz w:val="24"/>
          <w:szCs w:val="24"/>
          <w:lang w:val="en-US" w:eastAsia="zh-CN"/>
        </w:rPr>
        <w:t>835000.00元；</w:t>
      </w:r>
    </w:p>
    <w:p>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最高限价：</w:t>
      </w:r>
      <w:r>
        <w:rPr>
          <w:rFonts w:hint="eastAsia" w:ascii="仿宋" w:hAnsi="仿宋" w:eastAsia="仿宋" w:cs="仿宋"/>
          <w:color w:val="auto"/>
          <w:sz w:val="24"/>
          <w:szCs w:val="24"/>
          <w:lang w:val="en-US" w:eastAsia="zh-CN"/>
        </w:rPr>
        <w:t>835000.00元；</w:t>
      </w:r>
    </w:p>
    <w:p>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采购需求</w:t>
      </w:r>
      <w:r>
        <w:rPr>
          <w:rFonts w:hint="eastAsia" w:ascii="仿宋" w:hAnsi="仿宋" w:eastAsia="仿宋" w:cs="仿宋"/>
          <w:color w:val="auto"/>
          <w:sz w:val="24"/>
          <w:szCs w:val="24"/>
        </w:rPr>
        <w:t>：按照时间节点和技术规程做好巩留县集体土地所有权确权登记成果更新、成果整理入库、成果汇交等相关工作</w:t>
      </w:r>
      <w:r>
        <w:rPr>
          <w:rFonts w:hint="eastAsia" w:ascii="仿宋" w:hAnsi="仿宋" w:eastAsia="仿宋" w:cs="仿宋"/>
          <w:color w:val="auto"/>
          <w:sz w:val="24"/>
          <w:szCs w:val="24"/>
          <w:lang w:val="en-US" w:eastAsia="zh-CN"/>
        </w:rPr>
        <w:t>；</w:t>
      </w:r>
    </w:p>
    <w:p>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rPr>
        <w:t>合同履行期限：</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前</w:t>
      </w:r>
      <w:r>
        <w:rPr>
          <w:rFonts w:hint="eastAsia" w:ascii="仿宋" w:hAnsi="仿宋" w:eastAsia="仿宋" w:cs="仿宋"/>
          <w:color w:val="auto"/>
          <w:sz w:val="24"/>
          <w:szCs w:val="24"/>
          <w:highlight w:val="none"/>
        </w:rPr>
        <w:t>完成本项目所有工作内容</w:t>
      </w:r>
      <w:r>
        <w:rPr>
          <w:rFonts w:hint="eastAsia" w:ascii="仿宋" w:hAnsi="仿宋" w:eastAsia="仿宋" w:cs="仿宋"/>
          <w:color w:val="auto"/>
          <w:sz w:val="24"/>
          <w:szCs w:val="24"/>
          <w:highlight w:val="none"/>
          <w:lang w:eastAsia="zh-CN"/>
        </w:rPr>
        <w:t>；</w:t>
      </w:r>
    </w:p>
    <w:p>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本项目（否）接受联合体投标。</w:t>
      </w:r>
    </w:p>
    <w:p>
      <w:pPr>
        <w:pStyle w:val="5"/>
        <w:keepNext/>
        <w:keepLines/>
        <w:pageBreakBefore w:val="0"/>
        <w:widowControl w:val="0"/>
        <w:numPr>
          <w:ilvl w:val="0"/>
          <w:numId w:val="0"/>
        </w:numPr>
        <w:tabs>
          <w:tab w:val="left" w:pos="6084"/>
        </w:tabs>
        <w:kinsoku/>
        <w:wordWrap/>
        <w:overflowPunct/>
        <w:topLinePunct w:val="0"/>
        <w:autoSpaceDE/>
        <w:autoSpaceDN/>
        <w:bidi w:val="0"/>
        <w:adjustRightInd/>
        <w:snapToGrid/>
        <w:spacing w:before="0" w:after="0" w:line="400" w:lineRule="exact"/>
        <w:textAlignment w:val="auto"/>
        <w:outlineLvl w:val="0"/>
        <w:rPr>
          <w:rFonts w:hint="eastAsia" w:ascii="仿宋" w:hAnsi="仿宋" w:eastAsia="仿宋" w:cs="仿宋"/>
          <w:b/>
          <w:bCs w:val="0"/>
          <w:color w:val="auto"/>
          <w:sz w:val="27"/>
          <w:szCs w:val="27"/>
          <w:lang w:eastAsia="zh-CN"/>
        </w:rPr>
      </w:pPr>
      <w:bookmarkStart w:id="9" w:name="_Toc17779"/>
      <w:bookmarkStart w:id="10" w:name="_Toc28359080"/>
      <w:bookmarkStart w:id="11" w:name="_Toc28359003"/>
      <w:bookmarkStart w:id="12" w:name="_Toc35393791"/>
      <w:bookmarkStart w:id="13" w:name="_Toc35393622"/>
      <w:r>
        <w:rPr>
          <w:rFonts w:hint="eastAsia" w:ascii="仿宋" w:hAnsi="仿宋" w:eastAsia="仿宋" w:cs="仿宋"/>
          <w:b/>
          <w:bCs w:val="0"/>
          <w:color w:val="auto"/>
          <w:sz w:val="27"/>
          <w:szCs w:val="27"/>
        </w:rPr>
        <w:t>二、申请人的资格要求：</w:t>
      </w:r>
      <w:bookmarkEnd w:id="9"/>
      <w:bookmarkEnd w:id="10"/>
      <w:bookmarkEnd w:id="11"/>
      <w:bookmarkEnd w:id="12"/>
      <w:bookmarkEnd w:id="13"/>
      <w:r>
        <w:rPr>
          <w:rFonts w:hint="eastAsia" w:ascii="仿宋" w:hAnsi="仿宋" w:eastAsia="仿宋" w:cs="仿宋"/>
          <w:b/>
          <w:bCs w:val="0"/>
          <w:color w:val="auto"/>
          <w:sz w:val="27"/>
          <w:szCs w:val="27"/>
          <w:lang w:eastAsia="zh-CN"/>
        </w:rPr>
        <w:tab/>
      </w:r>
    </w:p>
    <w:p>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rPr>
      </w:pPr>
      <w:bookmarkStart w:id="14" w:name="_Toc28359081"/>
      <w:bookmarkStart w:id="15" w:name="_Toc28359004"/>
      <w:bookmarkStart w:id="16" w:name="_Toc35393792"/>
      <w:bookmarkStart w:id="17" w:name="_Toc35393623"/>
      <w:r>
        <w:rPr>
          <w:rFonts w:hint="eastAsia" w:ascii="仿宋" w:hAnsi="仿宋" w:eastAsia="仿宋" w:cs="仿宋"/>
          <w:color w:val="auto"/>
          <w:sz w:val="24"/>
          <w:szCs w:val="24"/>
          <w:lang w:val="en-US" w:eastAsia="zh-CN"/>
        </w:rPr>
        <w:t>1.符合《中华人民共和国政府采购法》第二十二条的相关规定； </w:t>
      </w:r>
    </w:p>
    <w:p>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2.落实政府采购政策需满足的资格要求：标项1：供应商为中小企业/小微企业,供应商应为监狱企业,供应商应为残疾人福利企业</w:t>
      </w:r>
    </w:p>
    <w:p>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3.本项目的特定资格要求：</w:t>
      </w:r>
      <w:r>
        <w:rPr>
          <w:rFonts w:hint="eastAsia" w:ascii="仿宋" w:hAnsi="仿宋" w:eastAsia="仿宋" w:cs="仿宋"/>
          <w:color w:val="auto"/>
          <w:kern w:val="2"/>
          <w:sz w:val="24"/>
          <w:szCs w:val="24"/>
          <w:lang w:val="en-US" w:eastAsia="zh-CN" w:bidi="ar-SA"/>
        </w:rPr>
        <w:t>标项1：（1）投标人须具有有效的中华人民共和国企业法人营业执照或事业单位法人证书；（2）具有测绘乙级及以上资质（专业范围包含界线与不动产测绘、工程测绘），拟担任项目负责人具有注册测绘师资格证书或测绘类中级（含）以上职称证；并在人员、设备、资金等方面具备该项目相关的服务能力；（3）在“信用中国”网站（www.creditchina.gov.cn）、中国政府采购网（www.ccgp.gov.cn）被列入失信被执行人、重大税收违法失信主体、政府采购严重违法失信行为记录名单之一的供应商不得参与本次政府采购活动。</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00" w:lineRule="exact"/>
        <w:textAlignment w:val="auto"/>
        <w:outlineLvl w:val="0"/>
        <w:rPr>
          <w:rFonts w:hint="eastAsia" w:ascii="仿宋" w:hAnsi="仿宋" w:eastAsia="仿宋" w:cs="仿宋"/>
          <w:b/>
          <w:bCs w:val="0"/>
          <w:color w:val="auto"/>
          <w:sz w:val="27"/>
          <w:szCs w:val="27"/>
        </w:rPr>
      </w:pPr>
      <w:bookmarkStart w:id="18" w:name="_Toc21718"/>
      <w:r>
        <w:rPr>
          <w:rFonts w:hint="eastAsia" w:ascii="仿宋" w:hAnsi="仿宋" w:eastAsia="仿宋" w:cs="仿宋"/>
          <w:b/>
          <w:bCs w:val="0"/>
          <w:color w:val="auto"/>
          <w:sz w:val="27"/>
          <w:szCs w:val="27"/>
        </w:rPr>
        <w:t>三、获取招标文件</w:t>
      </w:r>
      <w:bookmarkEnd w:id="14"/>
      <w:bookmarkEnd w:id="15"/>
      <w:bookmarkEnd w:id="16"/>
      <w:bookmarkEnd w:id="17"/>
      <w:bookmarkEnd w:id="18"/>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时间：</w:t>
      </w:r>
      <w:r>
        <w:rPr>
          <w:rFonts w:hint="eastAsia" w:ascii="仿宋" w:hAnsi="仿宋" w:eastAsia="仿宋" w:cs="仿宋"/>
          <w:b w:val="0"/>
          <w:bCs w:val="0"/>
          <w:color w:val="0000FF"/>
          <w:kern w:val="2"/>
          <w:sz w:val="24"/>
          <w:szCs w:val="24"/>
          <w:highlight w:val="none"/>
          <w:lang w:val="en-US" w:eastAsia="zh-CN" w:bidi="ar-SA"/>
        </w:rPr>
        <w:t>2022年11月30日</w:t>
      </w:r>
      <w:r>
        <w:rPr>
          <w:rFonts w:hint="eastAsia" w:ascii="仿宋" w:hAnsi="仿宋" w:eastAsia="仿宋" w:cs="仿宋"/>
          <w:b w:val="0"/>
          <w:bCs w:val="0"/>
          <w:color w:val="0000FF"/>
          <w:kern w:val="2"/>
          <w:sz w:val="24"/>
          <w:szCs w:val="24"/>
          <w:lang w:val="en-US" w:eastAsia="zh-CN" w:bidi="ar-SA"/>
        </w:rPr>
        <w:t>至2022年12月07日</w:t>
      </w:r>
      <w:r>
        <w:rPr>
          <w:rFonts w:hint="eastAsia" w:ascii="仿宋" w:hAnsi="仿宋" w:eastAsia="仿宋" w:cs="仿宋"/>
          <w:b w:val="0"/>
          <w:bCs w:val="0"/>
          <w:color w:val="auto"/>
          <w:kern w:val="2"/>
          <w:sz w:val="24"/>
          <w:szCs w:val="24"/>
          <w:lang w:val="en-US" w:eastAsia="zh-CN" w:bidi="ar-SA"/>
        </w:rPr>
        <w:t>，每天上午10:00至14:00，下午15:30至19:30（北京时间，法定节假日除外）；</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bookmarkStart w:id="19" w:name="_Toc28359005"/>
      <w:bookmarkStart w:id="20" w:name="_Toc28359082"/>
      <w:bookmarkStart w:id="21" w:name="_Toc35393793"/>
      <w:bookmarkStart w:id="22" w:name="_Toc35393624"/>
      <w:r>
        <w:rPr>
          <w:rFonts w:hint="eastAsia" w:ascii="仿宋" w:hAnsi="仿宋" w:eastAsia="仿宋" w:cs="仿宋"/>
          <w:b w:val="0"/>
          <w:bCs w:val="0"/>
          <w:color w:val="auto"/>
          <w:kern w:val="2"/>
          <w:sz w:val="24"/>
          <w:szCs w:val="24"/>
          <w:lang w:val="en-US" w:eastAsia="zh-CN" w:bidi="ar-SA"/>
        </w:rPr>
        <w:t>地点：新疆伊犁州伊宁市经济合作区313线以西、新华西路以北西城天街A-E#商业楼C405室</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方式：采用现场购买或电子邮箱的方式。</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val="0"/>
          <w:color w:val="000000"/>
          <w:sz w:val="27"/>
          <w:szCs w:val="27"/>
          <w:lang w:val="en-US" w:eastAsia="zh-CN"/>
        </w:rPr>
      </w:pPr>
      <w:r>
        <w:rPr>
          <w:rFonts w:hint="eastAsia" w:ascii="仿宋" w:hAnsi="仿宋" w:eastAsia="仿宋" w:cs="仿宋"/>
          <w:b w:val="0"/>
          <w:bCs w:val="0"/>
          <w:color w:val="auto"/>
          <w:kern w:val="2"/>
          <w:sz w:val="24"/>
          <w:szCs w:val="24"/>
          <w:lang w:val="en-US" w:eastAsia="zh-CN" w:bidi="ar-SA"/>
        </w:rPr>
        <w:t>售价（元）：0.00元/本。</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00" w:lineRule="exact"/>
        <w:textAlignment w:val="auto"/>
        <w:outlineLvl w:val="0"/>
        <w:rPr>
          <w:rFonts w:hint="eastAsia" w:ascii="仿宋" w:hAnsi="仿宋" w:eastAsia="仿宋" w:cs="仿宋"/>
          <w:b/>
          <w:bCs w:val="0"/>
          <w:color w:val="auto"/>
          <w:sz w:val="27"/>
          <w:szCs w:val="27"/>
        </w:rPr>
      </w:pPr>
      <w:bookmarkStart w:id="23" w:name="_Toc24777"/>
      <w:r>
        <w:rPr>
          <w:rFonts w:hint="eastAsia" w:ascii="仿宋" w:hAnsi="仿宋" w:eastAsia="仿宋" w:cs="仿宋"/>
          <w:b/>
          <w:bCs w:val="0"/>
          <w:color w:val="auto"/>
          <w:sz w:val="27"/>
          <w:szCs w:val="27"/>
        </w:rPr>
        <w:t>四、提交投标文件</w:t>
      </w:r>
      <w:bookmarkEnd w:id="19"/>
      <w:bookmarkEnd w:id="20"/>
      <w:r>
        <w:rPr>
          <w:rFonts w:hint="eastAsia" w:ascii="仿宋" w:hAnsi="仿宋" w:eastAsia="仿宋" w:cs="仿宋"/>
          <w:b/>
          <w:bCs w:val="0"/>
          <w:color w:val="auto"/>
          <w:sz w:val="27"/>
          <w:szCs w:val="27"/>
        </w:rPr>
        <w:t>截止时间、开标时间和地点</w:t>
      </w:r>
      <w:bookmarkEnd w:id="21"/>
      <w:bookmarkEnd w:id="22"/>
      <w:bookmarkEnd w:id="23"/>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bookmarkStart w:id="24" w:name="_Toc35393794"/>
      <w:bookmarkStart w:id="25" w:name="_Toc28359007"/>
      <w:bookmarkStart w:id="26" w:name="_Toc35393625"/>
      <w:bookmarkStart w:id="27" w:name="_Toc28359084"/>
      <w:r>
        <w:rPr>
          <w:rFonts w:hint="eastAsia" w:ascii="仿宋" w:hAnsi="仿宋" w:eastAsia="仿宋" w:cs="仿宋"/>
          <w:b w:val="0"/>
          <w:bCs w:val="0"/>
          <w:color w:val="auto"/>
          <w:kern w:val="2"/>
          <w:sz w:val="24"/>
          <w:szCs w:val="24"/>
          <w:lang w:val="en-US" w:eastAsia="zh-CN" w:bidi="ar-SA"/>
        </w:rPr>
        <w:t>提交投标文件截止时间：</w:t>
      </w:r>
      <w:r>
        <w:rPr>
          <w:rFonts w:hint="eastAsia" w:ascii="仿宋" w:hAnsi="仿宋" w:eastAsia="仿宋" w:cs="仿宋"/>
          <w:b w:val="0"/>
          <w:bCs w:val="0"/>
          <w:color w:val="0000FF"/>
          <w:kern w:val="2"/>
          <w:sz w:val="24"/>
          <w:szCs w:val="24"/>
          <w:lang w:val="en-US" w:eastAsia="zh-CN" w:bidi="ar-SA"/>
        </w:rPr>
        <w:t>2022年12月12日 11:00</w:t>
      </w:r>
      <w:r>
        <w:rPr>
          <w:rFonts w:hint="eastAsia" w:ascii="仿宋" w:hAnsi="仿宋" w:eastAsia="仿宋" w:cs="仿宋"/>
          <w:b w:val="0"/>
          <w:bCs w:val="0"/>
          <w:color w:val="auto"/>
          <w:kern w:val="2"/>
          <w:sz w:val="24"/>
          <w:szCs w:val="24"/>
          <w:lang w:val="en-US" w:eastAsia="zh-CN" w:bidi="ar-SA"/>
        </w:rPr>
        <w:t>（北京时间）</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投标地点：新疆伊犁州伊宁市经济合作区313线以西、新华西路以北西城天街A-E#商业楼C405室。</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开标时间：</w:t>
      </w:r>
      <w:r>
        <w:rPr>
          <w:rFonts w:hint="eastAsia" w:ascii="仿宋" w:hAnsi="仿宋" w:eastAsia="仿宋" w:cs="仿宋"/>
          <w:b w:val="0"/>
          <w:bCs w:val="0"/>
          <w:color w:val="0000FF"/>
          <w:kern w:val="2"/>
          <w:sz w:val="24"/>
          <w:szCs w:val="24"/>
          <w:lang w:val="en-US" w:eastAsia="zh-CN" w:bidi="ar-SA"/>
        </w:rPr>
        <w:t>2022年12月12日11:00</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开标地点：新疆伊犁州伊宁市经济合作区313线以西、新华西路以北西城天街A-E#商业楼C405室。</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00" w:lineRule="exact"/>
        <w:textAlignment w:val="auto"/>
        <w:outlineLvl w:val="0"/>
        <w:rPr>
          <w:rFonts w:hint="eastAsia" w:ascii="仿宋" w:hAnsi="仿宋" w:eastAsia="仿宋" w:cs="仿宋"/>
          <w:b/>
          <w:bCs w:val="0"/>
          <w:color w:val="auto"/>
          <w:sz w:val="27"/>
          <w:szCs w:val="27"/>
        </w:rPr>
      </w:pPr>
      <w:bookmarkStart w:id="28" w:name="_Toc31110"/>
      <w:r>
        <w:rPr>
          <w:rFonts w:hint="eastAsia" w:ascii="仿宋" w:hAnsi="仿宋" w:eastAsia="仿宋" w:cs="仿宋"/>
          <w:b/>
          <w:bCs w:val="0"/>
          <w:color w:val="auto"/>
          <w:sz w:val="27"/>
          <w:szCs w:val="27"/>
        </w:rPr>
        <w:t>五、公告期限</w:t>
      </w:r>
      <w:bookmarkEnd w:id="24"/>
      <w:bookmarkEnd w:id="25"/>
      <w:bookmarkEnd w:id="26"/>
      <w:bookmarkEnd w:id="27"/>
      <w:bookmarkEnd w:id="28"/>
    </w:p>
    <w:p>
      <w:pPr>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color w:val="000000"/>
          <w:sz w:val="27"/>
          <w:szCs w:val="27"/>
        </w:rPr>
      </w:pPr>
      <w:r>
        <w:rPr>
          <w:rFonts w:hint="eastAsia" w:ascii="仿宋" w:hAnsi="仿宋" w:eastAsia="仿宋" w:cs="仿宋"/>
          <w:color w:val="auto"/>
          <w:sz w:val="24"/>
          <w:szCs w:val="24"/>
          <w:lang w:val="en-US" w:eastAsia="zh-CN"/>
        </w:rPr>
        <w:t>自本公告发布之日起5个工作日。</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00" w:lineRule="exact"/>
        <w:textAlignment w:val="auto"/>
        <w:outlineLvl w:val="0"/>
        <w:rPr>
          <w:rFonts w:hint="eastAsia" w:ascii="仿宋" w:hAnsi="仿宋" w:eastAsia="仿宋" w:cs="仿宋"/>
          <w:b/>
          <w:bCs w:val="0"/>
          <w:color w:val="auto"/>
          <w:sz w:val="27"/>
          <w:szCs w:val="27"/>
        </w:rPr>
      </w:pPr>
      <w:bookmarkStart w:id="29" w:name="_Toc35393626"/>
      <w:bookmarkStart w:id="30" w:name="_Toc35393795"/>
      <w:bookmarkStart w:id="31" w:name="_Toc30911"/>
      <w:r>
        <w:rPr>
          <w:rFonts w:hint="eastAsia" w:ascii="仿宋" w:hAnsi="仿宋" w:eastAsia="仿宋" w:cs="仿宋"/>
          <w:b/>
          <w:bCs w:val="0"/>
          <w:color w:val="auto"/>
          <w:sz w:val="27"/>
          <w:szCs w:val="27"/>
        </w:rPr>
        <w:t>六、其他补充事宜</w:t>
      </w:r>
      <w:bookmarkEnd w:id="29"/>
      <w:bookmarkEnd w:id="30"/>
      <w:bookmarkEnd w:id="31"/>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bookmarkStart w:id="32" w:name="_Toc28359008"/>
      <w:bookmarkStart w:id="33" w:name="_Toc35393796"/>
      <w:bookmarkStart w:id="34" w:name="_Toc35393627"/>
      <w:bookmarkStart w:id="35" w:name="_Toc28359085"/>
      <w:r>
        <w:rPr>
          <w:rFonts w:hint="eastAsia" w:ascii="仿宋" w:hAnsi="仿宋" w:eastAsia="仿宋" w:cs="仿宋"/>
          <w:b w:val="0"/>
          <w:bCs w:val="0"/>
          <w:color w:val="auto"/>
          <w:kern w:val="2"/>
          <w:sz w:val="24"/>
          <w:szCs w:val="24"/>
          <w:lang w:val="en-US" w:eastAsia="zh-CN" w:bidi="ar-SA"/>
        </w:rPr>
        <w:t>获取采购文件时应提交的资料：</w:t>
      </w:r>
      <w:r>
        <w:rPr>
          <w:rFonts w:hint="eastAsia" w:ascii="仿宋" w:hAnsi="仿宋" w:eastAsia="仿宋" w:cs="仿宋"/>
          <w:b w:val="0"/>
          <w:bCs w:val="0"/>
          <w:color w:val="auto"/>
          <w:kern w:val="2"/>
          <w:sz w:val="24"/>
          <w:szCs w:val="24"/>
          <w:highlight w:val="none"/>
          <w:lang w:val="en-US" w:eastAsia="zh-CN" w:bidi="ar-SA"/>
        </w:rPr>
        <w:t>1、法定代表人身份证或法人授权委托书及委托代理人身份证。2、企业营业执照。3、企业测绘乙级及以上资质证书。4、项目负责人注册测绘师资格证书或测绘类中级（含）以上职称证。</w:t>
      </w:r>
    </w:p>
    <w:p>
      <w:pPr>
        <w:pageBreakBefore w:val="0"/>
        <w:widowControl w:val="0"/>
        <w:numPr>
          <w:ilvl w:val="0"/>
          <w:numId w:val="2"/>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现场获取采购文件时须带原件及加盖公章的复印件贰套按提供资料顺序装订成册2、采用电子邮箱获取，所需提供证件及资料的扫描件发至邮箱979018634@qq.com ①资料为加盖公章的PDF格式，邮件标题格式为“xx公司xx项目”；②联系代理机构确认资料是否合格；③代理机构对投标人信息进行登记后，以电子邮件的形式向投标人发送采购文件）。</w:t>
      </w:r>
    </w:p>
    <w:p>
      <w:pPr>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根据疫情防控要求，参加开标会的所有投标人须严格按照伊犁州疫情防控要求提供相关手续。否则所造成的一切后果由投标人自负。 </w:t>
      </w:r>
    </w:p>
    <w:p>
      <w:pPr>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特别提示：</w:t>
      </w:r>
    </w:p>
    <w:p>
      <w:pPr>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1、超过200万元的货物和服务采购项目、超过400万元的工程采购项目中适宜由中小企业提供的，预留该部分采购项目预算总额的40%以上专门面向中小企业采购，其中预留给小微企业的比例不低于60%。</w:t>
      </w:r>
    </w:p>
    <w:p>
      <w:pPr>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default" w:ascii="仿宋" w:hAnsi="仿宋" w:eastAsia="仿宋" w:cs="仿宋"/>
          <w:color w:val="auto"/>
          <w:sz w:val="24"/>
          <w:szCs w:val="24"/>
          <w:lang w:val="en-US" w:eastAsia="zh-CN"/>
        </w:rPr>
      </w:pPr>
      <w:r>
        <w:rPr>
          <w:rFonts w:hint="eastAsia" w:ascii="宋体" w:hAnsi="宋体" w:eastAsia="宋体" w:cs="宋体"/>
          <w:b/>
          <w:bCs/>
          <w:color w:val="auto"/>
          <w:sz w:val="24"/>
          <w:szCs w:val="24"/>
          <w:highlight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00" w:lineRule="exact"/>
        <w:textAlignment w:val="auto"/>
        <w:outlineLvl w:val="0"/>
        <w:rPr>
          <w:rFonts w:hint="eastAsia" w:ascii="仿宋" w:hAnsi="仿宋" w:eastAsia="仿宋" w:cs="仿宋"/>
          <w:b/>
          <w:bCs w:val="0"/>
          <w:color w:val="auto"/>
          <w:sz w:val="27"/>
          <w:szCs w:val="27"/>
        </w:rPr>
      </w:pPr>
      <w:bookmarkStart w:id="36" w:name="_Toc24891"/>
      <w:r>
        <w:rPr>
          <w:rFonts w:hint="eastAsia" w:ascii="仿宋" w:hAnsi="仿宋" w:eastAsia="仿宋" w:cs="仿宋"/>
          <w:b/>
          <w:bCs w:val="0"/>
          <w:color w:val="auto"/>
          <w:sz w:val="27"/>
          <w:szCs w:val="27"/>
        </w:rPr>
        <w:t>七、对本次招标提出询问，请按以下方式联系。</w:t>
      </w:r>
      <w:bookmarkEnd w:id="32"/>
      <w:bookmarkEnd w:id="33"/>
      <w:bookmarkEnd w:id="34"/>
      <w:bookmarkEnd w:id="35"/>
      <w:bookmarkEnd w:id="36"/>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1.采购人信息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s="宋体"/>
          <w:i w:val="0"/>
          <w:iCs w:val="0"/>
          <w:caps w:val="0"/>
          <w:color w:val="auto"/>
          <w:spacing w:val="0"/>
          <w:sz w:val="24"/>
          <w:szCs w:val="24"/>
          <w:highlight w:val="none"/>
          <w:lang w:eastAsia="zh-CN"/>
        </w:rPr>
      </w:pPr>
      <w:r>
        <w:rPr>
          <w:rFonts w:hint="eastAsia" w:cs="宋体"/>
          <w:i w:val="0"/>
          <w:iCs w:val="0"/>
          <w:caps w:val="0"/>
          <w:color w:val="auto"/>
          <w:spacing w:val="0"/>
          <w:sz w:val="24"/>
          <w:szCs w:val="24"/>
          <w:highlight w:val="none"/>
          <w:lang w:eastAsia="zh-CN"/>
        </w:rPr>
        <w:t>名 称：巩留县自然资源局</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s="宋体"/>
          <w:i w:val="0"/>
          <w:iCs w:val="0"/>
          <w:caps w:val="0"/>
          <w:color w:val="auto"/>
          <w:spacing w:val="0"/>
          <w:sz w:val="24"/>
          <w:szCs w:val="24"/>
          <w:highlight w:val="none"/>
          <w:lang w:eastAsia="zh-CN"/>
        </w:rPr>
      </w:pPr>
      <w:r>
        <w:rPr>
          <w:rFonts w:hint="eastAsia" w:cs="宋体"/>
          <w:i w:val="0"/>
          <w:iCs w:val="0"/>
          <w:caps w:val="0"/>
          <w:color w:val="auto"/>
          <w:spacing w:val="0"/>
          <w:sz w:val="24"/>
          <w:szCs w:val="24"/>
          <w:highlight w:val="none"/>
          <w:lang w:eastAsia="zh-CN"/>
        </w:rPr>
        <w:t>地 址：巩留县</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s="宋体"/>
          <w:i w:val="0"/>
          <w:iCs w:val="0"/>
          <w:caps w:val="0"/>
          <w:color w:val="auto"/>
          <w:spacing w:val="0"/>
          <w:sz w:val="24"/>
          <w:szCs w:val="24"/>
          <w:highlight w:val="none"/>
          <w:lang w:eastAsia="zh-CN"/>
        </w:rPr>
      </w:pPr>
      <w:r>
        <w:rPr>
          <w:rFonts w:hint="eastAsia" w:cs="宋体"/>
          <w:i w:val="0"/>
          <w:iCs w:val="0"/>
          <w:caps w:val="0"/>
          <w:color w:val="auto"/>
          <w:spacing w:val="0"/>
          <w:sz w:val="24"/>
          <w:szCs w:val="24"/>
          <w:highlight w:val="none"/>
          <w:lang w:eastAsia="zh-CN"/>
        </w:rPr>
        <w:t>联系方式：13319721995</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2.采购代理机构信息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名 称：</w:t>
      </w:r>
      <w:r>
        <w:rPr>
          <w:rFonts w:hint="eastAsia" w:cs="宋体"/>
          <w:i w:val="0"/>
          <w:iCs w:val="0"/>
          <w:caps w:val="0"/>
          <w:color w:val="auto"/>
          <w:spacing w:val="0"/>
          <w:sz w:val="24"/>
          <w:szCs w:val="24"/>
          <w:highlight w:val="none"/>
          <w:lang w:eastAsia="zh-CN"/>
        </w:rPr>
        <w:t>新疆霖鼎工程管理服务有限公司</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地 址：</w:t>
      </w:r>
      <w:r>
        <w:rPr>
          <w:rFonts w:hint="eastAsia" w:cs="宋体"/>
          <w:i w:val="0"/>
          <w:iCs w:val="0"/>
          <w:caps w:val="0"/>
          <w:color w:val="auto"/>
          <w:spacing w:val="0"/>
          <w:sz w:val="24"/>
          <w:szCs w:val="24"/>
          <w:highlight w:val="none"/>
          <w:lang w:eastAsia="zh-CN"/>
        </w:rPr>
        <w:t>新疆伊犁州伊宁市经济合作区313线以西、新华西路以北西城天街A-E#商业楼C405室</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联系方式：</w:t>
      </w:r>
      <w:r>
        <w:rPr>
          <w:rFonts w:hint="eastAsia" w:cs="宋体"/>
          <w:i w:val="0"/>
          <w:iCs w:val="0"/>
          <w:caps w:val="0"/>
          <w:color w:val="auto"/>
          <w:spacing w:val="0"/>
          <w:sz w:val="24"/>
          <w:szCs w:val="24"/>
          <w:highlight w:val="none"/>
          <w:lang w:eastAsia="zh-CN"/>
        </w:rPr>
        <w:t>0999-8888337</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3.项目联系方式</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项目联系人：</w:t>
      </w:r>
      <w:r>
        <w:rPr>
          <w:rFonts w:hint="eastAsia" w:cs="宋体"/>
          <w:i w:val="0"/>
          <w:iCs w:val="0"/>
          <w:caps w:val="0"/>
          <w:color w:val="auto"/>
          <w:spacing w:val="0"/>
          <w:sz w:val="24"/>
          <w:szCs w:val="24"/>
          <w:highlight w:val="none"/>
          <w:lang w:eastAsia="zh-CN"/>
        </w:rPr>
        <w:t>谢培丹</w:t>
      </w:r>
      <w:r>
        <w:rPr>
          <w:rFonts w:hint="eastAsia" w:ascii="宋体" w:hAnsi="宋体" w:eastAsia="宋体" w:cs="宋体"/>
          <w:i w:val="0"/>
          <w:iCs w:val="0"/>
          <w:caps w:val="0"/>
          <w:color w:val="auto"/>
          <w:spacing w:val="0"/>
          <w:sz w:val="24"/>
          <w:szCs w:val="24"/>
          <w:highlight w:val="none"/>
          <w:lang w:val="en-US" w:eastAsia="zh-CN"/>
        </w:rPr>
        <w:t xml:space="preserve">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电 话：</w:t>
      </w:r>
      <w:r>
        <w:rPr>
          <w:rFonts w:hint="eastAsia" w:cs="宋体"/>
          <w:i w:val="0"/>
          <w:iCs w:val="0"/>
          <w:caps w:val="0"/>
          <w:color w:val="auto"/>
          <w:spacing w:val="0"/>
          <w:sz w:val="24"/>
          <w:szCs w:val="24"/>
          <w:highlight w:val="none"/>
          <w:lang w:val="en-US" w:eastAsia="zh-CN"/>
        </w:rPr>
        <w:t>18699399882</w:t>
      </w:r>
    </w:p>
    <w:p>
      <w:pPr>
        <w:ind w:firstLine="480"/>
        <w:rPr>
          <w:sz w:val="24"/>
        </w:rPr>
      </w:pPr>
    </w:p>
    <w:p>
      <w:pPr>
        <w:pStyle w:val="4"/>
      </w:pPr>
      <w:r>
        <w:rPr>
          <w:rFonts w:hint="eastAsia"/>
        </w:rPr>
        <w:br w:type="page"/>
      </w:r>
      <w:bookmarkStart w:id="37" w:name="_Toc31881"/>
      <w:bookmarkStart w:id="38" w:name="_Toc157"/>
      <w:bookmarkStart w:id="39" w:name="_Toc3635"/>
      <w:r>
        <w:rPr>
          <w:rFonts w:hint="eastAsia"/>
        </w:rPr>
        <w:t>第二部分  投标须知前附表及投标须知</w:t>
      </w:r>
      <w:bookmarkEnd w:id="37"/>
      <w:bookmarkEnd w:id="38"/>
      <w:bookmarkEnd w:id="39"/>
    </w:p>
    <w:tbl>
      <w:tblPr>
        <w:tblStyle w:val="20"/>
        <w:tblW w:w="950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71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675" w:type="dxa"/>
            <w:vAlign w:val="center"/>
          </w:tcPr>
          <w:p>
            <w:pPr>
              <w:pStyle w:val="28"/>
              <w:rPr>
                <w:rFonts w:hint="default"/>
              </w:rPr>
            </w:pPr>
            <w:r>
              <w:t>项号</w:t>
            </w:r>
          </w:p>
        </w:tc>
        <w:tc>
          <w:tcPr>
            <w:tcW w:w="1701" w:type="dxa"/>
            <w:vAlign w:val="center"/>
          </w:tcPr>
          <w:p>
            <w:pPr>
              <w:pStyle w:val="28"/>
              <w:rPr>
                <w:rFonts w:hint="default"/>
              </w:rPr>
            </w:pPr>
            <w:r>
              <w:t>内  容</w:t>
            </w:r>
          </w:p>
        </w:tc>
        <w:tc>
          <w:tcPr>
            <w:tcW w:w="7131" w:type="dxa"/>
            <w:vAlign w:val="center"/>
          </w:tcPr>
          <w:p>
            <w:pPr>
              <w:pStyle w:val="28"/>
              <w:rPr>
                <w:rFonts w:hint="default"/>
              </w:rPr>
            </w:pPr>
            <w: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vAlign w:val="center"/>
          </w:tcPr>
          <w:p>
            <w:pPr>
              <w:pStyle w:val="28"/>
              <w:rPr>
                <w:rFonts w:hint="default"/>
              </w:rPr>
            </w:pPr>
            <w:r>
              <w:t>１</w:t>
            </w:r>
          </w:p>
        </w:tc>
        <w:tc>
          <w:tcPr>
            <w:tcW w:w="1701" w:type="dxa"/>
            <w:vAlign w:val="center"/>
          </w:tcPr>
          <w:p>
            <w:pPr>
              <w:pStyle w:val="28"/>
              <w:rPr>
                <w:rFonts w:hint="default"/>
              </w:rPr>
            </w:pPr>
            <w:r>
              <w:t>项目名称</w:t>
            </w:r>
          </w:p>
        </w:tc>
        <w:tc>
          <w:tcPr>
            <w:tcW w:w="7131" w:type="dxa"/>
            <w:vAlign w:val="center"/>
          </w:tcPr>
          <w:p>
            <w:pPr>
              <w:pStyle w:val="28"/>
              <w:jc w:val="both"/>
              <w:rPr>
                <w:rFonts w:hint="eastAsia" w:eastAsia="宋体"/>
                <w:lang w:eastAsia="zh-CN"/>
              </w:rPr>
            </w:pPr>
            <w:r>
              <w:rPr>
                <w:rFonts w:hint="eastAsia"/>
                <w:lang w:eastAsia="zh-CN"/>
              </w:rPr>
              <w:t>巩留县集体土地所有权确权登记成果更新汇交工作项目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vAlign w:val="center"/>
          </w:tcPr>
          <w:p>
            <w:pPr>
              <w:pStyle w:val="28"/>
              <w:rPr>
                <w:rFonts w:hint="default"/>
              </w:rPr>
            </w:pPr>
          </w:p>
        </w:tc>
        <w:tc>
          <w:tcPr>
            <w:tcW w:w="1701" w:type="dxa"/>
            <w:vAlign w:val="center"/>
          </w:tcPr>
          <w:p>
            <w:pPr>
              <w:pStyle w:val="28"/>
              <w:rPr>
                <w:rFonts w:hint="default"/>
              </w:rPr>
            </w:pPr>
            <w:r>
              <w:t>项目编号</w:t>
            </w:r>
          </w:p>
        </w:tc>
        <w:tc>
          <w:tcPr>
            <w:tcW w:w="7131" w:type="dxa"/>
            <w:vAlign w:val="center"/>
          </w:tcPr>
          <w:p>
            <w:pPr>
              <w:pStyle w:val="28"/>
              <w:jc w:val="both"/>
              <w:rPr>
                <w:rFonts w:hint="eastAsia" w:eastAsia="宋体"/>
                <w:lang w:eastAsia="zh-CN"/>
              </w:rPr>
            </w:pPr>
            <w:r>
              <w:rPr>
                <w:rFonts w:hint="eastAsia"/>
                <w:lang w:eastAsia="zh-CN"/>
              </w:rPr>
              <w:t>XJLD-2022-103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vAlign w:val="center"/>
          </w:tcPr>
          <w:p>
            <w:pPr>
              <w:pStyle w:val="28"/>
              <w:rPr>
                <w:rFonts w:hint="default"/>
              </w:rPr>
            </w:pPr>
          </w:p>
        </w:tc>
        <w:tc>
          <w:tcPr>
            <w:tcW w:w="1701" w:type="dxa"/>
            <w:vAlign w:val="center"/>
          </w:tcPr>
          <w:p>
            <w:pPr>
              <w:pStyle w:val="28"/>
              <w:rPr>
                <w:rFonts w:hint="default"/>
              </w:rPr>
            </w:pPr>
            <w:r>
              <w:t>采购方式</w:t>
            </w:r>
          </w:p>
        </w:tc>
        <w:tc>
          <w:tcPr>
            <w:tcW w:w="7131" w:type="dxa"/>
            <w:vAlign w:val="center"/>
          </w:tcPr>
          <w:p>
            <w:pPr>
              <w:pStyle w:val="28"/>
              <w:jc w:val="both"/>
              <w:rPr>
                <w:rFonts w:hint="default"/>
              </w:rPr>
            </w:pPr>
            <w:r>
              <w:t>竞争性磋商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vAlign w:val="center"/>
          </w:tcPr>
          <w:p>
            <w:pPr>
              <w:pStyle w:val="28"/>
              <w:rPr>
                <w:rFonts w:hint="default"/>
              </w:rPr>
            </w:pPr>
          </w:p>
        </w:tc>
        <w:tc>
          <w:tcPr>
            <w:tcW w:w="1701" w:type="dxa"/>
            <w:vAlign w:val="center"/>
          </w:tcPr>
          <w:p>
            <w:pPr>
              <w:pStyle w:val="28"/>
              <w:rPr>
                <w:rFonts w:hint="default"/>
              </w:rPr>
            </w:pPr>
            <w:r>
              <w:t>预算金额</w:t>
            </w:r>
          </w:p>
        </w:tc>
        <w:tc>
          <w:tcPr>
            <w:tcW w:w="7131" w:type="dxa"/>
            <w:vAlign w:val="center"/>
          </w:tcPr>
          <w:p>
            <w:pPr>
              <w:pStyle w:val="28"/>
              <w:jc w:val="both"/>
              <w:rPr>
                <w:rFonts w:hint="eastAsia" w:eastAsia="宋体"/>
                <w:lang w:eastAsia="zh-CN"/>
              </w:rPr>
            </w:pPr>
            <w:r>
              <w:rPr>
                <w:rFonts w:hint="eastAsia"/>
                <w:color w:val="0000FF"/>
                <w:lang w:eastAsia="zh-CN"/>
              </w:rPr>
              <w:t>835000.00元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vAlign w:val="center"/>
          </w:tcPr>
          <w:p>
            <w:pPr>
              <w:pStyle w:val="28"/>
              <w:rPr>
                <w:rFonts w:hint="default"/>
              </w:rPr>
            </w:pPr>
          </w:p>
        </w:tc>
        <w:tc>
          <w:tcPr>
            <w:tcW w:w="1701" w:type="dxa"/>
            <w:vAlign w:val="center"/>
          </w:tcPr>
          <w:p>
            <w:pPr>
              <w:pStyle w:val="28"/>
              <w:rPr>
                <w:rFonts w:hint="default"/>
                <w:highlight w:val="none"/>
              </w:rPr>
            </w:pPr>
            <w:r>
              <w:rPr>
                <w:highlight w:val="none"/>
              </w:rPr>
              <w:t>合同履行期限</w:t>
            </w:r>
          </w:p>
        </w:tc>
        <w:tc>
          <w:tcPr>
            <w:tcW w:w="7131" w:type="dxa"/>
            <w:vAlign w:val="center"/>
          </w:tcPr>
          <w:p>
            <w:pPr>
              <w:pStyle w:val="28"/>
              <w:jc w:val="both"/>
              <w:rPr>
                <w:rFonts w:hint="default"/>
                <w:highlight w:val="none"/>
              </w:rPr>
            </w:pPr>
            <w:r>
              <w:rPr>
                <w:rFonts w:hint="eastAsia" w:eastAsia="宋体"/>
                <w:color w:val="auto"/>
                <w:highlight w:val="none"/>
              </w:rPr>
              <w:t>202</w:t>
            </w:r>
            <w:r>
              <w:rPr>
                <w:rFonts w:hint="eastAsia" w:eastAsia="宋体"/>
                <w:color w:val="auto"/>
                <w:highlight w:val="none"/>
                <w:lang w:val="en-US" w:eastAsia="zh-CN"/>
              </w:rPr>
              <w:t>3</w:t>
            </w:r>
            <w:r>
              <w:rPr>
                <w:rFonts w:hint="eastAsia" w:eastAsia="宋体"/>
                <w:color w:val="auto"/>
                <w:highlight w:val="none"/>
              </w:rPr>
              <w:t>年</w:t>
            </w:r>
            <w:r>
              <w:rPr>
                <w:rFonts w:hint="eastAsia" w:eastAsia="宋体"/>
                <w:color w:val="auto"/>
                <w:highlight w:val="none"/>
                <w:lang w:val="en-US" w:eastAsia="zh-CN"/>
              </w:rPr>
              <w:t>06</w:t>
            </w:r>
            <w:r>
              <w:rPr>
                <w:rFonts w:hint="eastAsia" w:eastAsia="宋体"/>
                <w:color w:val="auto"/>
                <w:highlight w:val="none"/>
              </w:rPr>
              <w:t>月</w:t>
            </w:r>
            <w:r>
              <w:rPr>
                <w:rFonts w:hint="eastAsia" w:eastAsia="宋体"/>
                <w:color w:val="auto"/>
                <w:highlight w:val="none"/>
                <w:lang w:val="en-US" w:eastAsia="zh-CN"/>
              </w:rPr>
              <w:t>31</w:t>
            </w:r>
            <w:r>
              <w:rPr>
                <w:rFonts w:hint="eastAsia" w:eastAsia="宋体"/>
                <w:color w:val="auto"/>
                <w:highlight w:val="none"/>
              </w:rPr>
              <w:t>日</w:t>
            </w:r>
            <w:r>
              <w:rPr>
                <w:rFonts w:hint="eastAsia" w:eastAsia="宋体"/>
                <w:color w:val="auto"/>
                <w:highlight w:val="none"/>
                <w:lang w:val="en-US" w:eastAsia="zh-CN"/>
              </w:rPr>
              <w:t>前</w:t>
            </w:r>
            <w:r>
              <w:rPr>
                <w:rFonts w:hint="eastAsia" w:eastAsia="宋体"/>
                <w:color w:val="auto"/>
                <w:highlight w:val="none"/>
              </w:rPr>
              <w:t>完成本项目所有工作内容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vAlign w:val="center"/>
          </w:tcPr>
          <w:p>
            <w:pPr>
              <w:pStyle w:val="28"/>
              <w:rPr>
                <w:rFonts w:hint="default"/>
              </w:rPr>
            </w:pPr>
          </w:p>
        </w:tc>
        <w:tc>
          <w:tcPr>
            <w:tcW w:w="1701" w:type="dxa"/>
            <w:vAlign w:val="center"/>
          </w:tcPr>
          <w:p>
            <w:pPr>
              <w:pStyle w:val="28"/>
              <w:rPr>
                <w:rFonts w:hint="default"/>
              </w:rPr>
            </w:pPr>
            <w:r>
              <w:t>资格审查方式</w:t>
            </w:r>
          </w:p>
        </w:tc>
        <w:tc>
          <w:tcPr>
            <w:tcW w:w="7131" w:type="dxa"/>
            <w:vAlign w:val="center"/>
          </w:tcPr>
          <w:p>
            <w:pPr>
              <w:pStyle w:val="28"/>
              <w:jc w:val="both"/>
              <w:rPr>
                <w:rFonts w:hint="default"/>
              </w:rPr>
            </w:pPr>
            <w: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vAlign w:val="center"/>
          </w:tcPr>
          <w:p>
            <w:pPr>
              <w:pStyle w:val="28"/>
              <w:rPr>
                <w:rFonts w:hint="default"/>
              </w:rPr>
            </w:pPr>
          </w:p>
        </w:tc>
        <w:tc>
          <w:tcPr>
            <w:tcW w:w="1701" w:type="dxa"/>
            <w:vAlign w:val="center"/>
          </w:tcPr>
          <w:p>
            <w:pPr>
              <w:pStyle w:val="28"/>
              <w:rPr>
                <w:rFonts w:hint="default"/>
              </w:rPr>
            </w:pPr>
            <w:r>
              <w:t>联合体</w:t>
            </w:r>
          </w:p>
        </w:tc>
        <w:tc>
          <w:tcPr>
            <w:tcW w:w="7131" w:type="dxa"/>
            <w:vAlign w:val="center"/>
          </w:tcPr>
          <w:p>
            <w:pPr>
              <w:pStyle w:val="28"/>
              <w:jc w:val="both"/>
              <w:rPr>
                <w:rFonts w:hint="default"/>
              </w:rPr>
            </w:pPr>
            <w:r>
              <w:t>本项目不接受联合体投标，不接受备选方案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75" w:type="dxa"/>
            <w:vMerge w:val="continue"/>
            <w:vAlign w:val="center"/>
          </w:tcPr>
          <w:p>
            <w:pPr>
              <w:pStyle w:val="28"/>
              <w:rPr>
                <w:rFonts w:hint="default"/>
              </w:rPr>
            </w:pPr>
          </w:p>
        </w:tc>
        <w:tc>
          <w:tcPr>
            <w:tcW w:w="1701" w:type="dxa"/>
            <w:vAlign w:val="center"/>
          </w:tcPr>
          <w:p>
            <w:pPr>
              <w:pStyle w:val="28"/>
              <w:rPr>
                <w:rFonts w:hint="default"/>
              </w:rPr>
            </w:pPr>
            <w:r>
              <w:t>采购人</w:t>
            </w:r>
          </w:p>
        </w:tc>
        <w:tc>
          <w:tcPr>
            <w:tcW w:w="7131" w:type="dxa"/>
            <w:vAlign w:val="center"/>
          </w:tcPr>
          <w:p>
            <w:pPr>
              <w:pStyle w:val="28"/>
              <w:jc w:val="both"/>
              <w:rPr>
                <w:rFonts w:hint="eastAsia"/>
                <w:lang w:eastAsia="zh-CN"/>
              </w:rPr>
            </w:pPr>
            <w:r>
              <w:t>采购单位：</w:t>
            </w:r>
            <w:r>
              <w:rPr>
                <w:rFonts w:hint="eastAsia"/>
                <w:lang w:eastAsia="zh-CN"/>
              </w:rPr>
              <w:t>巩留县自然资源局</w:t>
            </w:r>
          </w:p>
          <w:p>
            <w:pPr>
              <w:pStyle w:val="28"/>
              <w:jc w:val="both"/>
              <w:rPr>
                <w:rFonts w:hint="eastAsia"/>
                <w:lang w:eastAsia="zh-CN"/>
              </w:rPr>
            </w:pPr>
            <w:r>
              <w:rPr>
                <w:rFonts w:hint="eastAsia"/>
                <w:lang w:val="en-US" w:eastAsia="zh-CN"/>
              </w:rPr>
              <w:t>地 址：巩留县</w:t>
            </w:r>
          </w:p>
          <w:p>
            <w:pPr>
              <w:pStyle w:val="28"/>
              <w:jc w:val="both"/>
              <w:rPr>
                <w:rFonts w:hint="eastAsia"/>
                <w:lang w:eastAsia="zh-CN"/>
              </w:rPr>
            </w:pPr>
            <w:r>
              <w:t>联系人</w:t>
            </w:r>
            <w:r>
              <w:rPr>
                <w:rFonts w:hint="eastAsia"/>
                <w:lang w:eastAsia="zh-CN"/>
              </w:rPr>
              <w:t>：</w:t>
            </w:r>
            <w:r>
              <w:rPr>
                <w:rFonts w:hint="eastAsia"/>
                <w:lang w:val="en-US" w:eastAsia="zh-CN"/>
              </w:rPr>
              <w:t>慕主任</w:t>
            </w:r>
          </w:p>
          <w:p>
            <w:pPr>
              <w:pStyle w:val="28"/>
              <w:jc w:val="both"/>
              <w:rPr>
                <w:rFonts w:hint="default"/>
              </w:rPr>
            </w:pPr>
            <w:r>
              <w:t>联系方式</w:t>
            </w:r>
            <w:r>
              <w:rPr>
                <w:rFonts w:hint="eastAsia"/>
                <w:lang w:eastAsia="zh-CN"/>
              </w:rPr>
              <w:t>：</w:t>
            </w:r>
            <w:r>
              <w:rPr>
                <w:rFonts w:hint="eastAsia"/>
                <w:lang w:val="en-US" w:eastAsia="zh-CN"/>
              </w:rPr>
              <w:t>13319721995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pStyle w:val="28"/>
              <w:rPr>
                <w:rFonts w:hint="default"/>
              </w:rPr>
            </w:pPr>
          </w:p>
        </w:tc>
        <w:tc>
          <w:tcPr>
            <w:tcW w:w="1701" w:type="dxa"/>
            <w:vAlign w:val="center"/>
          </w:tcPr>
          <w:p>
            <w:pPr>
              <w:pStyle w:val="28"/>
              <w:rPr>
                <w:rFonts w:hint="default"/>
              </w:rPr>
            </w:pPr>
            <w:r>
              <w:t>采购代理机构</w:t>
            </w:r>
          </w:p>
        </w:tc>
        <w:tc>
          <w:tcPr>
            <w:tcW w:w="7131" w:type="dxa"/>
            <w:vAlign w:val="center"/>
          </w:tcPr>
          <w:p>
            <w:pPr>
              <w:pStyle w:val="28"/>
              <w:jc w:val="both"/>
              <w:rPr>
                <w:rFonts w:hint="eastAsia" w:eastAsia="宋体"/>
                <w:lang w:eastAsia="zh-CN"/>
              </w:rPr>
            </w:pPr>
            <w:r>
              <w:t>采购代理机构：</w:t>
            </w:r>
            <w:r>
              <w:rPr>
                <w:rFonts w:hint="eastAsia"/>
                <w:lang w:eastAsia="zh-CN"/>
              </w:rPr>
              <w:t>新疆霖鼎工程管理服务有限公司</w:t>
            </w:r>
          </w:p>
          <w:p>
            <w:pPr>
              <w:pStyle w:val="28"/>
              <w:jc w:val="both"/>
              <w:rPr>
                <w:rFonts w:hint="eastAsia" w:eastAsia="宋体"/>
                <w:lang w:eastAsia="zh-CN"/>
              </w:rPr>
            </w:pPr>
            <w:r>
              <w:t>地址：</w:t>
            </w:r>
            <w:r>
              <w:rPr>
                <w:rFonts w:hint="eastAsia"/>
                <w:lang w:eastAsia="zh-CN"/>
              </w:rPr>
              <w:t>新疆伊犁州伊宁市经济合作区313线以西、新华西路以北西城天街A-E#商业楼C405室</w:t>
            </w:r>
          </w:p>
          <w:p>
            <w:pPr>
              <w:pStyle w:val="28"/>
              <w:jc w:val="both"/>
              <w:rPr>
                <w:rFonts w:hint="default"/>
                <w:lang w:val="en-US" w:eastAsia="zh-CN"/>
              </w:rPr>
            </w:pPr>
            <w:r>
              <w:t>联系人</w:t>
            </w:r>
            <w:r>
              <w:rPr>
                <w:rFonts w:hint="eastAsia"/>
                <w:lang w:eastAsia="zh-CN"/>
              </w:rPr>
              <w:t>：</w:t>
            </w:r>
            <w:r>
              <w:rPr>
                <w:rFonts w:hint="eastAsia"/>
                <w:lang w:val="en-US" w:eastAsia="zh-CN"/>
              </w:rPr>
              <w:t>谢培丹</w:t>
            </w:r>
          </w:p>
          <w:p>
            <w:pPr>
              <w:pStyle w:val="28"/>
              <w:jc w:val="both"/>
              <w:rPr>
                <w:rFonts w:hint="default" w:eastAsia="宋体"/>
                <w:lang w:val="en-US" w:eastAsia="zh-CN"/>
              </w:rPr>
            </w:pPr>
            <w:r>
              <w:t>联系电话：</w:t>
            </w:r>
            <w:r>
              <w:rPr>
                <w:rFonts w:hint="eastAsia"/>
                <w:lang w:val="en-US" w:eastAsia="zh-CN"/>
              </w:rPr>
              <w:t>18699399882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pStyle w:val="28"/>
              <w:rPr>
                <w:rFonts w:hint="default"/>
              </w:rPr>
            </w:pPr>
          </w:p>
        </w:tc>
        <w:tc>
          <w:tcPr>
            <w:tcW w:w="1701" w:type="dxa"/>
            <w:vAlign w:val="center"/>
          </w:tcPr>
          <w:p>
            <w:pPr>
              <w:pStyle w:val="28"/>
              <w:rPr>
                <w:rFonts w:hint="eastAsia" w:eastAsia="宋体"/>
                <w:lang w:eastAsia="zh-CN"/>
              </w:rPr>
            </w:pPr>
            <w:r>
              <w:rPr>
                <w:highlight w:val="none"/>
              </w:rPr>
              <w:t>采购</w:t>
            </w:r>
            <w:r>
              <w:rPr>
                <w:rFonts w:hint="eastAsia"/>
                <w:highlight w:val="none"/>
                <w:lang w:val="en-US" w:eastAsia="zh-CN"/>
              </w:rPr>
              <w:t>需求</w:t>
            </w:r>
          </w:p>
        </w:tc>
        <w:tc>
          <w:tcPr>
            <w:tcW w:w="7131" w:type="dxa"/>
            <w:vAlign w:val="center"/>
          </w:tcPr>
          <w:p>
            <w:pPr>
              <w:pStyle w:val="28"/>
              <w:jc w:val="both"/>
              <w:rPr>
                <w:rFonts w:hint="eastAsia" w:eastAsia="宋体"/>
                <w:lang w:eastAsia="zh-CN"/>
              </w:rPr>
            </w:pPr>
            <w:r>
              <w:rPr>
                <w:rFonts w:hint="default"/>
              </w:rPr>
              <w:t>按照时间节点和技术规程做好巩留县集体土地所有权确权登记成果更新、成果整理入库、成果汇交等相关工作</w:t>
            </w:r>
            <w:r>
              <w:rPr>
                <w:rFonts w:hint="eastAsia"/>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Align w:val="center"/>
          </w:tcPr>
          <w:p>
            <w:pPr>
              <w:pStyle w:val="28"/>
              <w:rPr>
                <w:rFonts w:hint="default"/>
              </w:rPr>
            </w:pPr>
            <w:r>
              <w:t>2</w:t>
            </w:r>
          </w:p>
        </w:tc>
        <w:tc>
          <w:tcPr>
            <w:tcW w:w="1701" w:type="dxa"/>
            <w:vAlign w:val="center"/>
          </w:tcPr>
          <w:p>
            <w:pPr>
              <w:pStyle w:val="28"/>
              <w:rPr>
                <w:rFonts w:hint="default"/>
              </w:rPr>
            </w:pPr>
            <w:r>
              <w:t>磋商文件</w:t>
            </w:r>
            <w:r>
              <w:rPr>
                <w:rFonts w:hint="eastAsia"/>
                <w:lang w:val="en-US" w:eastAsia="zh-CN"/>
              </w:rPr>
              <w:t>份</w:t>
            </w:r>
            <w:r>
              <w:t>数</w:t>
            </w:r>
          </w:p>
        </w:tc>
        <w:tc>
          <w:tcPr>
            <w:tcW w:w="71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宋体" w:cstheme="minorBidi"/>
                <w:kern w:val="2"/>
                <w:sz w:val="21"/>
                <w:szCs w:val="24"/>
                <w:lang w:val="en-US" w:eastAsia="zh-CN" w:bidi="ar-SA"/>
              </w:rPr>
            </w:pPr>
            <w:r>
              <w:rPr>
                <w:rFonts w:hint="eastAsia" w:ascii="Times New Roman" w:hAnsi="Times New Roman" w:eastAsia="宋体" w:cstheme="minorBidi"/>
                <w:kern w:val="2"/>
                <w:sz w:val="21"/>
                <w:szCs w:val="24"/>
                <w:lang w:val="en-US" w:eastAsia="zh-CN" w:bidi="ar-SA"/>
              </w:rPr>
              <w:t>1、磋商文件正本一份、副本三份（要求对投标文件进行密封）</w:t>
            </w:r>
          </w:p>
          <w:p>
            <w:pPr>
              <w:pStyle w:val="28"/>
              <w:jc w:val="both"/>
              <w:rPr>
                <w:rFonts w:hint="default"/>
              </w:rPr>
            </w:pPr>
            <w:r>
              <w:rPr>
                <w:rFonts w:hint="eastAsia" w:ascii="Times New Roman" w:hAnsi="Times New Roman" w:eastAsia="宋体" w:cstheme="minorBidi"/>
                <w:kern w:val="2"/>
                <w:sz w:val="21"/>
                <w:szCs w:val="24"/>
                <w:lang w:val="en-US" w:eastAsia="zh-CN" w:bidi="ar-SA"/>
              </w:rPr>
              <w:t>2、电子响应文件2份（U盘介质，单独密封）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28"/>
              <w:rPr>
                <w:rFonts w:hint="default"/>
              </w:rPr>
            </w:pPr>
            <w:r>
              <w:t>3</w:t>
            </w:r>
          </w:p>
        </w:tc>
        <w:tc>
          <w:tcPr>
            <w:tcW w:w="1701" w:type="dxa"/>
            <w:vAlign w:val="center"/>
          </w:tcPr>
          <w:p>
            <w:pPr>
              <w:pStyle w:val="28"/>
              <w:rPr>
                <w:rFonts w:hint="default"/>
              </w:rPr>
            </w:pPr>
            <w:r>
              <w:t>磋商文件密封要求</w:t>
            </w:r>
          </w:p>
        </w:tc>
        <w:tc>
          <w:tcPr>
            <w:tcW w:w="7131" w:type="dxa"/>
            <w:vAlign w:val="center"/>
          </w:tcPr>
          <w:p>
            <w:pPr>
              <w:pStyle w:val="28"/>
              <w:jc w:val="both"/>
              <w:rPr>
                <w:rFonts w:hint="default"/>
              </w:rPr>
            </w:pPr>
            <w:r>
              <w:t>1、响应文件的装订要求：响应文件不得以活页方式装订，不可拆装。装订应牢固、胶粘不易拆散和换页。</w:t>
            </w:r>
          </w:p>
          <w:p>
            <w:pPr>
              <w:pStyle w:val="28"/>
              <w:jc w:val="both"/>
              <w:rPr>
                <w:rFonts w:hint="default"/>
              </w:rPr>
            </w:pPr>
            <w:r>
              <w:t>2、响应文件的密封要求：供应商应将响应文件统包密封，封面应注明供应商的名称、地址、项目名称、联系电话等。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28"/>
              <w:rPr>
                <w:rFonts w:hint="default"/>
              </w:rPr>
            </w:pPr>
            <w:r>
              <w:t>4</w:t>
            </w:r>
          </w:p>
        </w:tc>
        <w:tc>
          <w:tcPr>
            <w:tcW w:w="1701" w:type="dxa"/>
            <w:vAlign w:val="center"/>
          </w:tcPr>
          <w:p>
            <w:pPr>
              <w:pStyle w:val="28"/>
              <w:rPr>
                <w:rFonts w:hint="default"/>
              </w:rPr>
            </w:pPr>
            <w:r>
              <w:t>资格要求</w:t>
            </w:r>
          </w:p>
        </w:tc>
        <w:tc>
          <w:tcPr>
            <w:tcW w:w="7131" w:type="dxa"/>
            <w:vAlign w:val="center"/>
          </w:tcPr>
          <w:p>
            <w:pPr>
              <w:pStyle w:val="28"/>
              <w:jc w:val="both"/>
              <w:rPr>
                <w:rFonts w:hint="default"/>
                <w:lang w:val="en-US" w:eastAsia="zh-CN"/>
              </w:rPr>
            </w:pPr>
            <w:r>
              <w:rPr>
                <w:rFonts w:hint="default"/>
                <w:lang w:val="en-US" w:eastAsia="zh-CN"/>
              </w:rPr>
              <w:t>1.符合《中华人民共和国政府采购法》第二十二条的相关规定； </w:t>
            </w:r>
          </w:p>
          <w:p>
            <w:pPr>
              <w:pStyle w:val="28"/>
              <w:jc w:val="both"/>
              <w:rPr>
                <w:rFonts w:hint="default"/>
                <w:lang w:val="en-US" w:eastAsia="zh-CN"/>
              </w:rPr>
            </w:pPr>
            <w:r>
              <w:rPr>
                <w:rFonts w:hint="default"/>
                <w:lang w:val="en-US" w:eastAsia="zh-CN"/>
              </w:rPr>
              <w:t>2.落实政府采购政策需满足的资格要求：标项1：供应商为中小企业/小微企业,供应商应为监狱企业,供应商应为残疾人福利企业</w:t>
            </w:r>
          </w:p>
          <w:p>
            <w:pPr>
              <w:pStyle w:val="28"/>
              <w:jc w:val="both"/>
              <w:rPr>
                <w:rFonts w:hint="default"/>
              </w:rPr>
            </w:pPr>
            <w:r>
              <w:rPr>
                <w:rFonts w:hint="default"/>
                <w:lang w:val="en-US" w:eastAsia="zh-CN"/>
              </w:rPr>
              <w:t>3.本项目的特定资格要求：标项1：（1）投标人须具有有效的中华人民共和国企业法人营业执照或事业单位法人证书；（2）具有测绘乙级及以上资质（专业范围包含界线与不动产测绘、工程测绘），拟担任项目负责人具有注册测绘师资格证书或测绘类中级（含）以上职称证；并在人员、设备、资金等方面具备该项目相关的服务能力；（3）在“信用中国”网站（www.creditchina.gov.cn）、中国政府采购网（www.ccgp.gov.cn）被列入失信被执行人、</w:t>
            </w:r>
            <w:r>
              <w:rPr>
                <w:rFonts w:hint="eastAsia"/>
                <w:lang w:val="en-US" w:eastAsia="zh-CN"/>
              </w:rPr>
              <w:t>重大税收违法失信主体</w:t>
            </w:r>
            <w:r>
              <w:rPr>
                <w:rFonts w:hint="default"/>
                <w:lang w:val="en-US" w:eastAsia="zh-CN"/>
              </w:rPr>
              <w:t>、政府采购严重违法失信行为记录名单之一的供</w:t>
            </w:r>
            <w:r>
              <w:rPr>
                <w:rFonts w:hint="eastAsia"/>
                <w:lang w:val="en-US" w:eastAsia="zh-CN"/>
              </w:rPr>
              <w:t>应</w:t>
            </w:r>
            <w:r>
              <w:rPr>
                <w:rFonts w:hint="default"/>
                <w:lang w:val="en-US" w:eastAsia="zh-CN"/>
              </w:rPr>
              <w:t>商不得参与本次政府采购活动。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Align w:val="center"/>
          </w:tcPr>
          <w:p>
            <w:pPr>
              <w:pStyle w:val="28"/>
              <w:rPr>
                <w:rFonts w:hint="default"/>
              </w:rPr>
            </w:pPr>
            <w:r>
              <w:t>5</w:t>
            </w:r>
          </w:p>
        </w:tc>
        <w:tc>
          <w:tcPr>
            <w:tcW w:w="1701" w:type="dxa"/>
            <w:vAlign w:val="center"/>
          </w:tcPr>
          <w:p>
            <w:pPr>
              <w:pStyle w:val="28"/>
              <w:rPr>
                <w:rFonts w:hint="default"/>
              </w:rPr>
            </w:pPr>
            <w:r>
              <w:t>磋商文件费用</w:t>
            </w:r>
          </w:p>
        </w:tc>
        <w:tc>
          <w:tcPr>
            <w:tcW w:w="7131" w:type="dxa"/>
            <w:vAlign w:val="center"/>
          </w:tcPr>
          <w:p>
            <w:pPr>
              <w:pStyle w:val="28"/>
              <w:jc w:val="both"/>
              <w:rPr>
                <w:rFonts w:hint="default"/>
              </w:rPr>
            </w:pPr>
            <w:r>
              <w:rPr>
                <w:rFonts w:hint="eastAsia" w:eastAsia="仿宋"/>
                <w:lang w:val="en-US" w:eastAsia="zh-CN"/>
              </w:rPr>
              <w:t>0.00</w:t>
            </w:r>
            <w:r>
              <w:rPr>
                <w:rFonts w:hint="eastAsia" w:ascii="仿宋" w:hAnsi="仿宋" w:eastAsia="仿宋" w:cs="仿宋"/>
                <w:b w:val="0"/>
                <w:bCs w:val="0"/>
                <w:color w:val="auto"/>
                <w:kern w:val="2"/>
                <w:sz w:val="24"/>
                <w:szCs w:val="24"/>
                <w:lang w:val="en-US" w:eastAsia="zh-CN" w:bidi="ar-SA"/>
              </w:rPr>
              <w:t>元/本。</w:t>
            </w:r>
            <w:bookmarkStart w:id="264" w:name="_GoBack"/>
            <w:bookmarkEnd w:id="26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28"/>
              <w:rPr>
                <w:rFonts w:hint="default"/>
              </w:rPr>
            </w:pPr>
            <w:r>
              <w:t>6</w:t>
            </w:r>
          </w:p>
        </w:tc>
        <w:tc>
          <w:tcPr>
            <w:tcW w:w="1701" w:type="dxa"/>
            <w:vAlign w:val="center"/>
          </w:tcPr>
          <w:p>
            <w:pPr>
              <w:pStyle w:val="28"/>
              <w:rPr>
                <w:rFonts w:hint="default"/>
              </w:rPr>
            </w:pPr>
            <w:r>
              <w:t>磋商保证金</w:t>
            </w:r>
          </w:p>
        </w:tc>
        <w:tc>
          <w:tcPr>
            <w:tcW w:w="7131" w:type="dxa"/>
            <w:vAlign w:val="center"/>
          </w:tcPr>
          <w:p>
            <w:pPr>
              <w:pStyle w:val="28"/>
              <w:jc w:val="both"/>
              <w:rPr>
                <w:rFonts w:hint="default"/>
              </w:rPr>
            </w:pPr>
            <w:r>
              <w:t>磋商</w:t>
            </w:r>
            <w:r>
              <w:rPr>
                <w:rFonts w:hint="default"/>
              </w:rPr>
              <w:t>保证金的形式：以支票、汇票、本票或者金融机构、担保机构出具的保函等非现金形式提交。</w:t>
            </w:r>
          </w:p>
          <w:p>
            <w:pPr>
              <w:pStyle w:val="28"/>
              <w:jc w:val="both"/>
              <w:rPr>
                <w:rFonts w:hint="default"/>
                <w:lang w:eastAsia="zh-CN"/>
              </w:rPr>
            </w:pPr>
            <w:r>
              <w:rPr>
                <w:rFonts w:hint="default"/>
              </w:rPr>
              <w:t>投标保证金金额：</w:t>
            </w:r>
            <w:r>
              <w:rPr>
                <w:rFonts w:hint="default"/>
                <w:color w:val="0000FF"/>
                <w:lang w:val="en-US" w:eastAsia="zh-CN"/>
              </w:rPr>
              <w:t>壹万叁仟元整</w:t>
            </w:r>
            <w:r>
              <w:rPr>
                <w:rFonts w:hint="default"/>
                <w:color w:val="0000FF"/>
                <w:lang w:eastAsia="zh-CN"/>
              </w:rPr>
              <w:t>（</w:t>
            </w:r>
            <w:r>
              <w:rPr>
                <w:rFonts w:hint="default"/>
                <w:color w:val="0000FF"/>
                <w:lang w:val="en-US" w:eastAsia="zh-CN"/>
              </w:rPr>
              <w:t>人民币13000.00元</w:t>
            </w:r>
            <w:r>
              <w:rPr>
                <w:rFonts w:hint="default"/>
                <w:color w:val="0000FF"/>
                <w:lang w:eastAsia="zh-CN"/>
              </w:rPr>
              <w:t>）</w:t>
            </w:r>
          </w:p>
          <w:p>
            <w:pPr>
              <w:pStyle w:val="28"/>
              <w:jc w:val="both"/>
              <w:rPr>
                <w:rFonts w:hint="default"/>
              </w:rPr>
            </w:pPr>
            <w:r>
              <w:rPr>
                <w:rFonts w:hint="default"/>
              </w:rPr>
              <w:t>递交方式：供应商将资金从企业基本帐户汇至以下账户</w:t>
            </w:r>
          </w:p>
          <w:p>
            <w:pPr>
              <w:pStyle w:val="28"/>
              <w:jc w:val="both"/>
              <w:rPr>
                <w:rFonts w:hint="default"/>
              </w:rPr>
            </w:pPr>
            <w:r>
              <w:rPr>
                <w:rFonts w:hint="default"/>
              </w:rPr>
              <w:t>单位名称：</w:t>
            </w:r>
            <w:r>
              <w:rPr>
                <w:rFonts w:hint="default"/>
                <w:lang w:eastAsia="zh-CN"/>
              </w:rPr>
              <w:t>新疆霖鼎工程管理服务有限公司</w:t>
            </w:r>
          </w:p>
          <w:p>
            <w:pPr>
              <w:pStyle w:val="28"/>
              <w:jc w:val="both"/>
              <w:rPr>
                <w:rFonts w:hint="default"/>
              </w:rPr>
            </w:pPr>
            <w:r>
              <w:rPr>
                <w:rFonts w:hint="default"/>
              </w:rPr>
              <w:t>帐  号：3006 0223 0920 0056 029</w:t>
            </w:r>
          </w:p>
          <w:p>
            <w:pPr>
              <w:pStyle w:val="28"/>
              <w:jc w:val="both"/>
              <w:rPr>
                <w:rFonts w:hint="default"/>
              </w:rPr>
            </w:pPr>
            <w:r>
              <w:rPr>
                <w:rFonts w:hint="default"/>
              </w:rPr>
              <w:t>开 户 行：中国工商银行股份有限公司伊宁新华中路支行</w:t>
            </w:r>
          </w:p>
          <w:p>
            <w:pPr>
              <w:pStyle w:val="28"/>
              <w:jc w:val="both"/>
              <w:rPr>
                <w:rFonts w:hint="default"/>
              </w:rPr>
            </w:pPr>
            <w:r>
              <w:rPr>
                <w:rFonts w:hint="default"/>
              </w:rPr>
              <w:t>行   号: 102898002230</w:t>
            </w:r>
          </w:p>
          <w:p>
            <w:pPr>
              <w:pStyle w:val="28"/>
              <w:jc w:val="both"/>
              <w:rPr>
                <w:rFonts w:hint="default"/>
              </w:rPr>
            </w:pPr>
            <w:r>
              <w:rPr>
                <w:rFonts w:hint="default"/>
              </w:rPr>
              <w:t>备注：投标保证金必须由投标供应商从其基本账户转至指定银行账户。</w:t>
            </w:r>
            <w:r>
              <w:rPr>
                <w:rFonts w:hint="default"/>
                <w:lang w:val="en-US" w:eastAsia="zh-CN"/>
              </w:rPr>
              <w:t>投标人须在用途栏中填写项目名称，汇出后投标人应将投标保证金缴纳凭证（打款凭证、保函）装入投标文件中。若投标单位未按要求缴纳或者未按规定时间到账视为未缴纳投标保证金</w:t>
            </w:r>
            <w:r>
              <w:rPr>
                <w:rFonts w:hint="default"/>
              </w:rPr>
              <w:t>。</w:t>
            </w:r>
          </w:p>
          <w:p>
            <w:pPr>
              <w:pStyle w:val="28"/>
              <w:jc w:val="both"/>
              <w:rPr>
                <w:rFonts w:hint="default"/>
              </w:rPr>
            </w:pPr>
            <w:r>
              <w:rPr>
                <w:rFonts w:hint="default"/>
              </w:rPr>
              <w:t>投标保证金有效期：投标截止时间后</w:t>
            </w:r>
            <w:r>
              <w:rPr>
                <w:rFonts w:hint="default"/>
                <w:lang w:val="en-US" w:eastAsia="zh-CN"/>
              </w:rPr>
              <w:t>60</w:t>
            </w:r>
            <w:r>
              <w:rPr>
                <w:rFonts w:hint="default"/>
              </w:rPr>
              <w:t>天。</w:t>
            </w:r>
          </w:p>
          <w:p>
            <w:pPr>
              <w:pStyle w:val="28"/>
              <w:jc w:val="both"/>
              <w:rPr>
                <w:rFonts w:hint="default"/>
              </w:rPr>
            </w:pPr>
            <w:r>
              <w:rPr>
                <w:rFonts w:hint="default"/>
              </w:rPr>
              <w:t>保证金缴纳截止时间：</w:t>
            </w:r>
            <w:r>
              <w:rPr>
                <w:rFonts w:hint="default"/>
                <w:color w:val="0000FF"/>
              </w:rPr>
              <w:t>202</w:t>
            </w:r>
            <w:r>
              <w:rPr>
                <w:rFonts w:hint="default"/>
                <w:color w:val="0000FF"/>
                <w:lang w:val="en-US" w:eastAsia="zh-CN"/>
              </w:rPr>
              <w:t>2</w:t>
            </w:r>
            <w:r>
              <w:rPr>
                <w:rFonts w:hint="default"/>
                <w:color w:val="0000FF"/>
              </w:rPr>
              <w:t>年</w:t>
            </w:r>
            <w:r>
              <w:rPr>
                <w:rFonts w:hint="eastAsia"/>
                <w:color w:val="0000FF"/>
                <w:lang w:val="en-US" w:eastAsia="zh-CN"/>
              </w:rPr>
              <w:t>12月12日</w:t>
            </w:r>
            <w:r>
              <w:rPr>
                <w:rFonts w:hint="default"/>
                <w:color w:val="0000FF"/>
              </w:rPr>
              <w:t xml:space="preserve"> </w:t>
            </w:r>
            <w:r>
              <w:rPr>
                <w:rFonts w:hint="eastAsia"/>
                <w:color w:val="0000FF"/>
                <w:lang w:val="en-US" w:eastAsia="zh-CN"/>
              </w:rPr>
              <w:t>11:00</w:t>
            </w:r>
            <w:r>
              <w:rPr>
                <w:rFonts w:hint="default"/>
                <w:color w:val="0000FF"/>
              </w:rPr>
              <w:t xml:space="preserve"> </w:t>
            </w:r>
            <w:r>
              <w:rPr>
                <w:rFonts w:hint="default"/>
              </w:rPr>
              <w:t>分时间之前截止（以实际到账时间为准）。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Align w:val="center"/>
          </w:tcPr>
          <w:p>
            <w:pPr>
              <w:pStyle w:val="28"/>
              <w:rPr>
                <w:rFonts w:hint="default"/>
              </w:rPr>
            </w:pPr>
            <w:r>
              <w:t>7</w:t>
            </w:r>
          </w:p>
        </w:tc>
        <w:tc>
          <w:tcPr>
            <w:tcW w:w="1701" w:type="dxa"/>
            <w:vAlign w:val="center"/>
          </w:tcPr>
          <w:p>
            <w:pPr>
              <w:pStyle w:val="28"/>
              <w:rPr>
                <w:rFonts w:hint="default"/>
              </w:rPr>
            </w:pPr>
            <w:r>
              <w:t>质量标准</w:t>
            </w:r>
          </w:p>
        </w:tc>
        <w:tc>
          <w:tcPr>
            <w:tcW w:w="7131" w:type="dxa"/>
            <w:vAlign w:val="center"/>
          </w:tcPr>
          <w:p>
            <w:pPr>
              <w:pStyle w:val="28"/>
              <w:jc w:val="both"/>
              <w:rPr>
                <w:rFonts w:hint="default"/>
              </w:rPr>
            </w:pPr>
            <w:r>
              <w:t>合格（通过采购人组织的项目验收）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28"/>
              <w:rPr>
                <w:rFonts w:hint="default"/>
              </w:rPr>
            </w:pPr>
            <w:r>
              <w:t>8</w:t>
            </w:r>
          </w:p>
        </w:tc>
        <w:tc>
          <w:tcPr>
            <w:tcW w:w="1701" w:type="dxa"/>
            <w:vAlign w:val="center"/>
          </w:tcPr>
          <w:p>
            <w:pPr>
              <w:pStyle w:val="28"/>
              <w:rPr>
                <w:rFonts w:hint="default"/>
              </w:rPr>
            </w:pPr>
            <w:r>
              <w:t>磋商文件递交截止时间</w:t>
            </w:r>
          </w:p>
        </w:tc>
        <w:tc>
          <w:tcPr>
            <w:tcW w:w="7131" w:type="dxa"/>
            <w:vAlign w:val="center"/>
          </w:tcPr>
          <w:p>
            <w:pPr>
              <w:pStyle w:val="28"/>
              <w:jc w:val="both"/>
              <w:rPr>
                <w:rFonts w:hint="default"/>
              </w:rPr>
            </w:pPr>
            <w:r>
              <w:rPr>
                <w:rFonts w:hint="default"/>
                <w:color w:val="0000FF"/>
              </w:rPr>
              <w:t>202</w:t>
            </w:r>
            <w:r>
              <w:rPr>
                <w:rFonts w:hint="default"/>
                <w:color w:val="0000FF"/>
                <w:lang w:val="en-US" w:eastAsia="zh-CN"/>
              </w:rPr>
              <w:t>2</w:t>
            </w:r>
            <w:r>
              <w:rPr>
                <w:rFonts w:hint="default"/>
                <w:color w:val="0000FF"/>
              </w:rPr>
              <w:t>年</w:t>
            </w:r>
            <w:r>
              <w:rPr>
                <w:rFonts w:hint="eastAsia"/>
                <w:color w:val="0000FF"/>
                <w:lang w:val="en-US" w:eastAsia="zh-CN"/>
              </w:rPr>
              <w:t>12月12日</w:t>
            </w:r>
            <w:r>
              <w:rPr>
                <w:rFonts w:hint="default"/>
                <w:color w:val="0000FF"/>
              </w:rPr>
              <w:t xml:space="preserve"> </w:t>
            </w:r>
            <w:r>
              <w:rPr>
                <w:rFonts w:hint="eastAsia"/>
                <w:color w:val="0000FF"/>
                <w:lang w:val="en-US" w:eastAsia="zh-CN"/>
              </w:rPr>
              <w:t>11:00</w:t>
            </w:r>
            <w:r>
              <w:rPr>
                <w:rFonts w:hint="default"/>
                <w:color w:val="0000FF"/>
              </w:rPr>
              <w:t xml:space="preserve"> </w:t>
            </w:r>
            <w:r>
              <w:rPr>
                <w:rFonts w:hint="default"/>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28"/>
              <w:rPr>
                <w:rFonts w:hint="default"/>
              </w:rPr>
            </w:pPr>
            <w:r>
              <w:t>9</w:t>
            </w:r>
          </w:p>
        </w:tc>
        <w:tc>
          <w:tcPr>
            <w:tcW w:w="1701" w:type="dxa"/>
            <w:vAlign w:val="center"/>
          </w:tcPr>
          <w:p>
            <w:pPr>
              <w:pStyle w:val="28"/>
              <w:rPr>
                <w:rFonts w:hint="default"/>
              </w:rPr>
            </w:pPr>
            <w:r>
              <w:t>磋商文件递交地点</w:t>
            </w:r>
          </w:p>
        </w:tc>
        <w:tc>
          <w:tcPr>
            <w:tcW w:w="7131" w:type="dxa"/>
            <w:vAlign w:val="center"/>
          </w:tcPr>
          <w:p>
            <w:pPr>
              <w:pStyle w:val="28"/>
              <w:jc w:val="both"/>
              <w:rPr>
                <w:rFonts w:hint="default"/>
              </w:rPr>
            </w:pPr>
            <w:r>
              <w:rPr>
                <w:rFonts w:hint="eastAsia"/>
                <w:lang w:eastAsia="zh-CN"/>
              </w:rPr>
              <w:t>新疆霖鼎工程管理服务有限公司</w:t>
            </w:r>
            <w:r>
              <w:t>（</w:t>
            </w:r>
            <w:r>
              <w:rPr>
                <w:rFonts w:hint="eastAsia"/>
                <w:lang w:eastAsia="zh-CN"/>
              </w:rPr>
              <w:t>新疆伊犁州伊宁市经济合作区313线以西、新华西路以北西城天街A-E#商业楼C405室</w:t>
            </w:r>
            <w: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28"/>
              <w:rPr>
                <w:rFonts w:hint="default"/>
              </w:rPr>
            </w:pPr>
            <w:r>
              <w:t>10</w:t>
            </w:r>
          </w:p>
        </w:tc>
        <w:tc>
          <w:tcPr>
            <w:tcW w:w="1701" w:type="dxa"/>
            <w:vAlign w:val="center"/>
          </w:tcPr>
          <w:p>
            <w:pPr>
              <w:pStyle w:val="28"/>
              <w:rPr>
                <w:rFonts w:hint="default"/>
              </w:rPr>
            </w:pPr>
            <w:r>
              <w:t>磋商时间及地点</w:t>
            </w:r>
          </w:p>
        </w:tc>
        <w:tc>
          <w:tcPr>
            <w:tcW w:w="7131" w:type="dxa"/>
            <w:vAlign w:val="center"/>
          </w:tcPr>
          <w:p>
            <w:pPr>
              <w:pStyle w:val="28"/>
              <w:jc w:val="both"/>
              <w:rPr>
                <w:rFonts w:hint="default"/>
              </w:rPr>
            </w:pPr>
            <w:r>
              <w:t>磋商时间：</w:t>
            </w:r>
            <w:r>
              <w:rPr>
                <w:rFonts w:hint="default"/>
                <w:color w:val="0000FF"/>
              </w:rPr>
              <w:t>202</w:t>
            </w:r>
            <w:r>
              <w:rPr>
                <w:rFonts w:hint="default"/>
                <w:color w:val="0000FF"/>
                <w:lang w:val="en-US" w:eastAsia="zh-CN"/>
              </w:rPr>
              <w:t>2</w:t>
            </w:r>
            <w:r>
              <w:rPr>
                <w:rFonts w:hint="default"/>
                <w:color w:val="0000FF"/>
              </w:rPr>
              <w:t>年</w:t>
            </w:r>
            <w:r>
              <w:rPr>
                <w:rFonts w:hint="eastAsia"/>
                <w:color w:val="0000FF"/>
                <w:lang w:val="en-US" w:eastAsia="zh-CN"/>
              </w:rPr>
              <w:t>12月12日</w:t>
            </w:r>
            <w:r>
              <w:rPr>
                <w:rFonts w:hint="default"/>
                <w:color w:val="0000FF"/>
              </w:rPr>
              <w:t xml:space="preserve"> </w:t>
            </w:r>
            <w:r>
              <w:rPr>
                <w:rFonts w:hint="eastAsia"/>
                <w:color w:val="0000FF"/>
                <w:lang w:val="en-US" w:eastAsia="zh-CN"/>
              </w:rPr>
              <w:t>11:00</w:t>
            </w:r>
            <w:r>
              <w:rPr>
                <w:rFonts w:hint="default"/>
                <w:color w:val="0000FF"/>
              </w:rPr>
              <w:t xml:space="preserve"> </w:t>
            </w:r>
            <w:r>
              <w:rPr>
                <w:rFonts w:hint="default"/>
              </w:rPr>
              <w:t xml:space="preserve"> </w:t>
            </w:r>
          </w:p>
          <w:p>
            <w:pPr>
              <w:pStyle w:val="28"/>
              <w:jc w:val="both"/>
              <w:rPr>
                <w:rFonts w:hint="default"/>
              </w:rPr>
            </w:pPr>
            <w:r>
              <w:t>磋商地点：</w:t>
            </w:r>
            <w:r>
              <w:rPr>
                <w:rFonts w:hint="eastAsia"/>
                <w:lang w:eastAsia="zh-CN"/>
              </w:rPr>
              <w:t>新疆霖鼎工程管理服务有限公司</w:t>
            </w:r>
            <w:r>
              <w:t>（</w:t>
            </w:r>
            <w:r>
              <w:rPr>
                <w:rFonts w:hint="eastAsia"/>
                <w:lang w:eastAsia="zh-CN"/>
              </w:rPr>
              <w:t>新疆伊犁州伊宁市经济合作区313线以西、新华西路以北西城天街A-E#商业楼C405室</w:t>
            </w:r>
            <w: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Align w:val="center"/>
          </w:tcPr>
          <w:p>
            <w:pPr>
              <w:pStyle w:val="28"/>
              <w:rPr>
                <w:rFonts w:hint="default"/>
              </w:rPr>
            </w:pPr>
            <w:r>
              <w:t>11</w:t>
            </w:r>
          </w:p>
        </w:tc>
        <w:tc>
          <w:tcPr>
            <w:tcW w:w="1701" w:type="dxa"/>
            <w:vAlign w:val="center"/>
          </w:tcPr>
          <w:p>
            <w:pPr>
              <w:pStyle w:val="28"/>
              <w:rPr>
                <w:rFonts w:hint="default"/>
              </w:rPr>
            </w:pPr>
            <w:r>
              <w:t>投标有效期限</w:t>
            </w:r>
          </w:p>
        </w:tc>
        <w:tc>
          <w:tcPr>
            <w:tcW w:w="7131" w:type="dxa"/>
            <w:vAlign w:val="center"/>
          </w:tcPr>
          <w:p>
            <w:pPr>
              <w:pStyle w:val="28"/>
              <w:jc w:val="both"/>
              <w:rPr>
                <w:rFonts w:hint="default"/>
              </w:rPr>
            </w:pPr>
            <w:r>
              <w:t>投标截止后90天（日历日）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Align w:val="center"/>
          </w:tcPr>
          <w:p>
            <w:pPr>
              <w:pStyle w:val="28"/>
              <w:rPr>
                <w:rFonts w:hint="default"/>
              </w:rPr>
            </w:pPr>
            <w:r>
              <w:t>12</w:t>
            </w:r>
          </w:p>
        </w:tc>
        <w:tc>
          <w:tcPr>
            <w:tcW w:w="1701" w:type="dxa"/>
            <w:vAlign w:val="center"/>
          </w:tcPr>
          <w:p>
            <w:pPr>
              <w:pStyle w:val="28"/>
              <w:rPr>
                <w:rFonts w:hint="default"/>
              </w:rPr>
            </w:pPr>
            <w:r>
              <w:t>评分办法</w:t>
            </w:r>
          </w:p>
        </w:tc>
        <w:tc>
          <w:tcPr>
            <w:tcW w:w="7131" w:type="dxa"/>
            <w:vAlign w:val="center"/>
          </w:tcPr>
          <w:p>
            <w:pPr>
              <w:pStyle w:val="28"/>
              <w:jc w:val="both"/>
              <w:rPr>
                <w:rFonts w:hint="default"/>
              </w:rPr>
            </w:pPr>
            <w: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28"/>
              <w:rPr>
                <w:rFonts w:hint="default"/>
              </w:rPr>
            </w:pPr>
            <w:r>
              <w:t>13</w:t>
            </w:r>
          </w:p>
        </w:tc>
        <w:tc>
          <w:tcPr>
            <w:tcW w:w="1701" w:type="dxa"/>
            <w:vAlign w:val="center"/>
          </w:tcPr>
          <w:p>
            <w:pPr>
              <w:pStyle w:val="28"/>
              <w:rPr>
                <w:rFonts w:hint="default"/>
              </w:rPr>
            </w:pPr>
            <w:r>
              <w:rPr>
                <w:highlight w:val="none"/>
              </w:rPr>
              <w:t>履约担保</w:t>
            </w:r>
          </w:p>
        </w:tc>
        <w:tc>
          <w:tcPr>
            <w:tcW w:w="7131" w:type="dxa"/>
            <w:vAlign w:val="center"/>
          </w:tcPr>
          <w:p>
            <w:pPr>
              <w:pStyle w:val="28"/>
              <w:jc w:val="both"/>
              <w:rPr>
                <w:rFonts w:hint="default"/>
                <w:lang w:val="zh-CN" w:eastAsia="zh-CN"/>
              </w:rPr>
            </w:pPr>
            <w:r>
              <w:rPr>
                <w:rFonts w:hint="eastAsia"/>
                <w:lang w:val="zh-CN" w:eastAsia="zh-CN"/>
              </w:rPr>
              <w:t>□</w:t>
            </w:r>
            <w:r>
              <w:rPr>
                <w:rFonts w:hint="default"/>
                <w:lang w:val="zh-CN" w:eastAsia="zh-CN"/>
              </w:rPr>
              <w:t xml:space="preserve"> 不需要</w:t>
            </w:r>
          </w:p>
          <w:p>
            <w:pPr>
              <w:pStyle w:val="28"/>
              <w:jc w:val="both"/>
              <w:rPr>
                <w:rFonts w:hint="default"/>
              </w:rPr>
            </w:pPr>
            <w:r>
              <w:rPr>
                <w:rFonts w:hint="eastAsia"/>
                <w:lang w:val="zh-CN" w:eastAsia="zh-CN"/>
              </w:rPr>
              <w:sym w:font="Wingdings 2" w:char="0052"/>
            </w:r>
            <w:r>
              <w:rPr>
                <w:rFonts w:hint="default"/>
                <w:lang w:val="zh-CN" w:eastAsia="zh-CN"/>
              </w:rPr>
              <w:t>需要，履约保证金的金额：成交合同金额的</w:t>
            </w:r>
            <w:r>
              <w:rPr>
                <w:rFonts w:hint="eastAsia"/>
                <w:lang w:val="en-US" w:eastAsia="zh-CN"/>
              </w:rPr>
              <w:t>5</w:t>
            </w:r>
            <w:r>
              <w:rPr>
                <w:rFonts w:hint="default"/>
                <w:lang w:val="zh-CN" w:eastAsia="zh-CN"/>
              </w:rPr>
              <w:t>%（履约保证金须以支票、汇票、本票或者金融机构、担保机构出具的保函等非现金形式提交）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675" w:type="dxa"/>
            <w:vAlign w:val="center"/>
          </w:tcPr>
          <w:p>
            <w:pPr>
              <w:pStyle w:val="28"/>
              <w:rPr>
                <w:rFonts w:hint="default"/>
              </w:rPr>
            </w:pPr>
            <w:r>
              <w:t>14</w:t>
            </w:r>
          </w:p>
        </w:tc>
        <w:tc>
          <w:tcPr>
            <w:tcW w:w="1701" w:type="dxa"/>
            <w:vAlign w:val="center"/>
          </w:tcPr>
          <w:p>
            <w:pPr>
              <w:pStyle w:val="28"/>
              <w:rPr>
                <w:rFonts w:hint="default"/>
                <w:highlight w:val="none"/>
              </w:rPr>
            </w:pPr>
            <w:r>
              <w:rPr>
                <w:highlight w:val="none"/>
              </w:rPr>
              <w:t>付款方式</w:t>
            </w:r>
          </w:p>
          <w:p>
            <w:pPr>
              <w:pStyle w:val="28"/>
              <w:rPr>
                <w:rFonts w:hint="default"/>
                <w:highlight w:val="none"/>
              </w:rPr>
            </w:pPr>
            <w:r>
              <w:rPr>
                <w:highlight w:val="none"/>
              </w:rPr>
              <w:t>（币种：人民币）</w:t>
            </w:r>
          </w:p>
        </w:tc>
        <w:tc>
          <w:tcPr>
            <w:tcW w:w="7131" w:type="dxa"/>
            <w:vAlign w:val="center"/>
          </w:tcPr>
          <w:p>
            <w:pPr>
              <w:pStyle w:val="28"/>
              <w:jc w:val="both"/>
              <w:rPr>
                <w:rFonts w:hint="default"/>
                <w:lang w:val="en-US"/>
              </w:rPr>
            </w:pPr>
            <w:r>
              <w:rPr>
                <w:rFonts w:hint="default"/>
                <w:lang w:val="en-US" w:eastAsia="zh-CN"/>
              </w:rPr>
              <w:t>完成项目总量的</w:t>
            </w:r>
            <w:r>
              <w:rPr>
                <w:rFonts w:hint="eastAsia"/>
                <w:lang w:val="en-US" w:eastAsia="zh-CN"/>
              </w:rPr>
              <w:t>50%</w:t>
            </w:r>
            <w:r>
              <w:rPr>
                <w:rFonts w:hint="default"/>
                <w:lang w:val="en-US" w:eastAsia="zh-CN"/>
              </w:rPr>
              <w:t>后，支付合同总额的</w:t>
            </w:r>
            <w:r>
              <w:rPr>
                <w:rFonts w:hint="eastAsia"/>
                <w:lang w:val="en-US" w:eastAsia="zh-CN"/>
              </w:rPr>
              <w:t>50%</w:t>
            </w:r>
            <w:r>
              <w:rPr>
                <w:rFonts w:hint="default"/>
                <w:lang w:val="en-US" w:eastAsia="zh-CN"/>
              </w:rPr>
              <w:t>；项目</w:t>
            </w:r>
            <w:r>
              <w:rPr>
                <w:rFonts w:hint="eastAsia"/>
                <w:lang w:val="en-US" w:eastAsia="zh-CN"/>
              </w:rPr>
              <w:t>全部完成经甲方</w:t>
            </w:r>
            <w:r>
              <w:rPr>
                <w:rFonts w:hint="default"/>
                <w:lang w:val="en-US" w:eastAsia="zh-CN"/>
              </w:rPr>
              <w:t>验收</w:t>
            </w:r>
            <w:r>
              <w:rPr>
                <w:rFonts w:hint="eastAsia"/>
                <w:lang w:val="en-US" w:eastAsia="zh-CN"/>
              </w:rPr>
              <w:t>合格</w:t>
            </w:r>
            <w:r>
              <w:rPr>
                <w:rFonts w:hint="default"/>
                <w:lang w:val="en-US" w:eastAsia="zh-CN"/>
              </w:rPr>
              <w:t>后，支付</w:t>
            </w:r>
            <w:r>
              <w:rPr>
                <w:rFonts w:hint="eastAsia"/>
                <w:lang w:val="en-US" w:eastAsia="zh-CN"/>
              </w:rPr>
              <w:t>剩余</w:t>
            </w:r>
            <w:r>
              <w:rPr>
                <w:rFonts w:hint="default"/>
                <w:lang w:val="en-US" w:eastAsia="zh-CN"/>
              </w:rPr>
              <w:t>的</w:t>
            </w:r>
            <w:r>
              <w:rPr>
                <w:rFonts w:hint="eastAsia"/>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pStyle w:val="28"/>
              <w:rPr>
                <w:rFonts w:hint="default"/>
              </w:rPr>
            </w:pPr>
            <w:r>
              <w:t>15</w:t>
            </w:r>
          </w:p>
        </w:tc>
        <w:tc>
          <w:tcPr>
            <w:tcW w:w="1701" w:type="dxa"/>
            <w:vAlign w:val="center"/>
          </w:tcPr>
          <w:p>
            <w:pPr>
              <w:pStyle w:val="28"/>
              <w:rPr>
                <w:rFonts w:hint="default"/>
              </w:rPr>
            </w:pPr>
            <w:r>
              <w:t>磋商小组</w:t>
            </w:r>
          </w:p>
        </w:tc>
        <w:tc>
          <w:tcPr>
            <w:tcW w:w="7131" w:type="dxa"/>
            <w:vAlign w:val="center"/>
          </w:tcPr>
          <w:p>
            <w:pPr>
              <w:pStyle w:val="28"/>
              <w:jc w:val="both"/>
              <w:rPr>
                <w:rFonts w:hint="eastAsia"/>
                <w:lang w:val="en-US" w:eastAsia="zh-CN"/>
              </w:rPr>
            </w:pPr>
            <w:r>
              <w:rPr>
                <w:rFonts w:hint="eastAsia"/>
                <w:lang w:val="en-US" w:eastAsia="zh-CN"/>
              </w:rPr>
              <w:t>磋商小组共3人，其中：</w:t>
            </w:r>
          </w:p>
          <w:p>
            <w:pPr>
              <w:pStyle w:val="28"/>
              <w:jc w:val="both"/>
              <w:rPr>
                <w:rFonts w:hint="default"/>
              </w:rPr>
            </w:pPr>
            <w:r>
              <w:rPr>
                <w:rFonts w:hint="eastAsia"/>
                <w:lang w:val="en-US" w:eastAsia="zh-CN"/>
              </w:rPr>
              <w:t>采购人代表1人，评审专家2人。</w:t>
            </w:r>
          </w:p>
          <w:p>
            <w:pPr>
              <w:pStyle w:val="28"/>
              <w:jc w:val="both"/>
              <w:rPr>
                <w:rFonts w:hint="default"/>
              </w:rPr>
            </w:pPr>
            <w:r>
              <w:t>磋商专家确定方式：采购</w:t>
            </w:r>
            <w:r>
              <w:rPr>
                <w:rFonts w:hint="eastAsia" w:eastAsia="宋体"/>
                <w:lang w:val="en-US" w:eastAsia="zh-CN"/>
              </w:rPr>
              <w:t>人从新疆政府采购网专家库中随机抽取。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pStyle w:val="28"/>
              <w:rPr>
                <w:rFonts w:hint="default"/>
              </w:rPr>
            </w:pPr>
            <w:r>
              <w:t>16</w:t>
            </w:r>
          </w:p>
        </w:tc>
        <w:tc>
          <w:tcPr>
            <w:tcW w:w="1701" w:type="dxa"/>
            <w:vAlign w:val="center"/>
          </w:tcPr>
          <w:p>
            <w:pPr>
              <w:pStyle w:val="28"/>
              <w:rPr>
                <w:rFonts w:hint="default"/>
              </w:rPr>
            </w:pPr>
            <w:r>
              <w:t>低于成本价不正当竞争预防措施</w:t>
            </w:r>
          </w:p>
        </w:tc>
        <w:tc>
          <w:tcPr>
            <w:tcW w:w="7131" w:type="dxa"/>
            <w:vAlign w:val="center"/>
          </w:tcPr>
          <w:p>
            <w:pPr>
              <w:pStyle w:val="28"/>
              <w:jc w:val="both"/>
              <w:rPr>
                <w:rFonts w:hint="default"/>
              </w:rPr>
            </w:pPr>
            <w:r>
              <w:t>①在评标过程中，磋商小组认为投标人的报价明显低于其他通过符合性审查投标人的报价，有可能影响产品质量或者不能诚信履约的，磋商小组应当要求其在评标现场合理的时间内提供成本构成书面说明，并提交相关证明材料。供应商书面说明应当按照国家财务会计制度的规定要求，逐项就供应商提供报价的主营业务成本（应根据供应商企业类型予以区别）、税金及附加、销售费用、管理费用、财务费用等成本构成事项详细陈述。</w:t>
            </w:r>
          </w:p>
          <w:p>
            <w:pPr>
              <w:pStyle w:val="28"/>
              <w:jc w:val="both"/>
              <w:rPr>
                <w:rFonts w:hint="default"/>
              </w:rPr>
            </w:pPr>
            <w:r>
              <w:t>②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28"/>
              <w:jc w:val="both"/>
              <w:rPr>
                <w:rFonts w:hint="default"/>
              </w:rPr>
            </w:pPr>
            <w:r>
              <w:t>③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pStyle w:val="28"/>
              <w:rPr>
                <w:rFonts w:hint="default"/>
              </w:rPr>
            </w:pPr>
            <w:r>
              <w:t>17</w:t>
            </w:r>
          </w:p>
        </w:tc>
        <w:tc>
          <w:tcPr>
            <w:tcW w:w="1701" w:type="dxa"/>
            <w:vAlign w:val="center"/>
          </w:tcPr>
          <w:p>
            <w:pPr>
              <w:pStyle w:val="28"/>
              <w:rPr>
                <w:rFonts w:hint="default"/>
              </w:rPr>
            </w:pPr>
            <w:r>
              <w:rPr>
                <w:rFonts w:hint="eastAsia"/>
                <w:lang w:val="en-US" w:eastAsia="zh-CN"/>
              </w:rPr>
              <w:t>代理</w:t>
            </w:r>
            <w:r>
              <w:t>服务费</w:t>
            </w:r>
          </w:p>
        </w:tc>
        <w:tc>
          <w:tcPr>
            <w:tcW w:w="7131" w:type="dxa"/>
            <w:vAlign w:val="center"/>
          </w:tcPr>
          <w:p>
            <w:pPr>
              <w:pStyle w:val="28"/>
              <w:jc w:val="both"/>
              <w:rPr>
                <w:rFonts w:hint="eastAsia" w:eastAsia="宋体"/>
                <w:lang w:eastAsia="zh-CN"/>
              </w:rPr>
            </w:pPr>
            <w:r>
              <w:rPr>
                <w:rFonts w:hint="eastAsia" w:eastAsia="宋体"/>
                <w:lang w:eastAsia="zh-CN"/>
              </w:rPr>
              <w:t>□本项目不收取采购代理服务费</w:t>
            </w:r>
          </w:p>
          <w:p>
            <w:pPr>
              <w:pStyle w:val="28"/>
              <w:jc w:val="both"/>
              <w:rPr>
                <w:rFonts w:hint="eastAsia" w:eastAsia="宋体"/>
                <w:lang w:eastAsia="zh-CN"/>
              </w:rPr>
            </w:pPr>
            <w:r>
              <w:rPr>
                <w:rFonts w:hint="eastAsia" w:eastAsia="宋体"/>
                <w:lang w:eastAsia="zh-CN"/>
              </w:rPr>
              <w:t>☑本项目收取采购代理服务费</w:t>
            </w:r>
          </w:p>
          <w:p>
            <w:pPr>
              <w:pStyle w:val="28"/>
              <w:jc w:val="both"/>
              <w:rPr>
                <w:rFonts w:hint="eastAsia" w:eastAsia="宋体"/>
                <w:lang w:eastAsia="zh-CN"/>
              </w:rPr>
            </w:pPr>
            <w:r>
              <w:rPr>
                <w:rFonts w:hint="eastAsia" w:eastAsia="宋体"/>
                <w:lang w:eastAsia="zh-CN"/>
              </w:rPr>
              <w:t>本项目采购代理服务费由</w:t>
            </w:r>
            <w:r>
              <w:rPr>
                <w:rFonts w:hint="eastAsia" w:eastAsia="宋体"/>
                <w:u w:val="single"/>
                <w:lang w:eastAsia="zh-CN"/>
              </w:rPr>
              <w:t xml:space="preserve">  </w:t>
            </w:r>
            <w:r>
              <w:rPr>
                <w:rFonts w:hint="eastAsia" w:eastAsia="宋体"/>
                <w:u w:val="single"/>
                <w:lang w:val="en-US" w:eastAsia="zh-CN"/>
              </w:rPr>
              <w:t>中标人</w:t>
            </w:r>
            <w:r>
              <w:rPr>
                <w:rFonts w:hint="eastAsia" w:eastAsia="宋体"/>
                <w:u w:val="single"/>
                <w:lang w:eastAsia="zh-CN"/>
              </w:rPr>
              <w:t xml:space="preserve">  </w:t>
            </w:r>
            <w:r>
              <w:rPr>
                <w:rFonts w:hint="eastAsia" w:eastAsia="宋体"/>
                <w:lang w:eastAsia="zh-CN"/>
              </w:rPr>
              <w:t>向采购代理机构予以支付。支付标准： 参照国家发改委“</w:t>
            </w:r>
            <w:r>
              <w:rPr>
                <w:rFonts w:hint="eastAsia" w:eastAsia="宋体"/>
                <w:lang w:val="en-US" w:eastAsia="zh-CN"/>
              </w:rPr>
              <w:t>发改价格[2011]534号</w:t>
            </w:r>
            <w:r>
              <w:rPr>
                <w:rFonts w:hint="eastAsia" w:eastAsia="宋体"/>
                <w:lang w:eastAsia="zh-CN"/>
              </w:rPr>
              <w:t>”文件规定，计费方式为差额定率累进计费。按照相关要求标准进行收费。</w:t>
            </w:r>
          </w:p>
          <w:p>
            <w:pPr>
              <w:pStyle w:val="28"/>
              <w:jc w:val="both"/>
              <w:rPr>
                <w:rFonts w:hint="eastAsia" w:eastAsia="宋体"/>
                <w:lang w:eastAsia="zh-CN"/>
              </w:rPr>
            </w:pPr>
            <w:r>
              <w:rPr>
                <w:rFonts w:hint="eastAsia" w:eastAsia="宋体"/>
                <w:lang w:eastAsia="zh-CN"/>
              </w:rPr>
              <w:t xml:space="preserve">支付形式：现金或电汇 </w:t>
            </w:r>
          </w:p>
          <w:p>
            <w:pPr>
              <w:pStyle w:val="28"/>
              <w:jc w:val="both"/>
              <w:rPr>
                <w:rFonts w:hint="eastAsia" w:eastAsia="宋体"/>
                <w:lang w:eastAsia="zh-CN"/>
              </w:rPr>
            </w:pPr>
            <w:r>
              <w:rPr>
                <w:rFonts w:hint="eastAsia" w:eastAsia="宋体"/>
                <w:lang w:eastAsia="zh-CN"/>
              </w:rPr>
              <w:t>支付时间： 由</w:t>
            </w:r>
            <w:r>
              <w:rPr>
                <w:rFonts w:hint="eastAsia" w:eastAsia="宋体"/>
                <w:lang w:val="en-US" w:eastAsia="zh-CN"/>
              </w:rPr>
              <w:t>中标人</w:t>
            </w:r>
            <w:r>
              <w:rPr>
                <w:rFonts w:hint="eastAsia" w:eastAsia="宋体"/>
                <w:lang w:eastAsia="zh-CN"/>
              </w:rPr>
              <w:t>在中标通知书下达前一次性支付给采购代理机构。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41" w:hRule="atLeast"/>
        </w:trPr>
        <w:tc>
          <w:tcPr>
            <w:tcW w:w="675" w:type="dxa"/>
            <w:vAlign w:val="center"/>
          </w:tcPr>
          <w:p>
            <w:pPr>
              <w:pStyle w:val="28"/>
              <w:rPr>
                <w:rFonts w:hint="default"/>
              </w:rPr>
            </w:pPr>
            <w:r>
              <w:t>18</w:t>
            </w:r>
          </w:p>
        </w:tc>
        <w:tc>
          <w:tcPr>
            <w:tcW w:w="1701" w:type="dxa"/>
            <w:vAlign w:val="center"/>
          </w:tcPr>
          <w:p>
            <w:pPr>
              <w:pStyle w:val="28"/>
              <w:rPr>
                <w:rFonts w:hint="default"/>
              </w:rPr>
            </w:pPr>
            <w:r>
              <w:t>中小微企业政策</w:t>
            </w:r>
          </w:p>
        </w:tc>
        <w:tc>
          <w:tcPr>
            <w:tcW w:w="7131" w:type="dxa"/>
            <w:vAlign w:val="center"/>
          </w:tcPr>
          <w:p>
            <w:pPr>
              <w:pStyle w:val="28"/>
              <w:jc w:val="both"/>
              <w:rPr>
                <w:rFonts w:hint="default"/>
              </w:rPr>
            </w:pPr>
            <w:r>
              <w:t>根据财政部、工业和信息化部关于印发《政府采购促进中小企业发展管理办法》的通知(财库[2020]46号)，第三条款：采购人在政府采购活动中应当通过加强采购需求管理，落实预留采购份额、价格评审优惠、优先采购等措施，提高中小企业在政府采购中的份额，支持中小企业发展。本项目响应该条款要求，全面面向中小企业采购。</w:t>
            </w:r>
          </w:p>
          <w:p>
            <w:pPr>
              <w:pStyle w:val="28"/>
              <w:jc w:val="both"/>
              <w:rPr>
                <w:rFonts w:hint="default"/>
              </w:rPr>
            </w:pPr>
            <w:r>
              <w:t>特别提示：</w:t>
            </w:r>
          </w:p>
          <w:p>
            <w:pPr>
              <w:pStyle w:val="28"/>
              <w:jc w:val="both"/>
              <w:rPr>
                <w:rFonts w:hint="default"/>
              </w:rPr>
            </w:pPr>
            <w:r>
              <w:t>1、超过200万元的货物和服务采购项目、超过400万元的工程采购项目中适宜由中小企业提供的，预留该部分采购项目预算总额的40%以上专门面向中小企业采购，其中预留给小微企业的比例不低于60%。</w:t>
            </w:r>
          </w:p>
          <w:p>
            <w:pPr>
              <w:pStyle w:val="28"/>
              <w:jc w:val="both"/>
              <w:rPr>
                <w:rFonts w:hint="default"/>
              </w:rPr>
            </w:pPr>
            <w: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8"/>
              <w:jc w:val="both"/>
              <w:rPr>
                <w:rFonts w:hint="default"/>
              </w:rPr>
            </w:pPr>
            <w: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23" w:hRule="atLeast"/>
        </w:trPr>
        <w:tc>
          <w:tcPr>
            <w:tcW w:w="675" w:type="dxa"/>
            <w:vAlign w:val="center"/>
          </w:tcPr>
          <w:p>
            <w:pPr>
              <w:pStyle w:val="28"/>
              <w:rPr>
                <w:rFonts w:hint="default"/>
              </w:rPr>
            </w:pPr>
            <w:r>
              <w:t>19</w:t>
            </w:r>
          </w:p>
        </w:tc>
        <w:tc>
          <w:tcPr>
            <w:tcW w:w="1701" w:type="dxa"/>
            <w:vAlign w:val="center"/>
          </w:tcPr>
          <w:p>
            <w:pPr>
              <w:pStyle w:val="28"/>
              <w:rPr>
                <w:rFonts w:hint="default"/>
              </w:rPr>
            </w:pPr>
            <w:r>
              <w:t>监狱企业政策</w:t>
            </w:r>
          </w:p>
        </w:tc>
        <w:tc>
          <w:tcPr>
            <w:tcW w:w="7131" w:type="dxa"/>
            <w:vAlign w:val="center"/>
          </w:tcPr>
          <w:p>
            <w:pPr>
              <w:pStyle w:val="28"/>
              <w:jc w:val="both"/>
              <w:rPr>
                <w:rFonts w:hint="default"/>
              </w:rPr>
            </w:pPr>
            <w:r>
              <w:t>监狱企业扶持政策：供应商如为监狱企业将视同小型或微型企业，且报价产品为小型或微型企业生产的，将对该产品的评审报价给</w:t>
            </w:r>
            <w:r>
              <w:rPr>
                <w:rFonts w:eastAsia="宋体"/>
              </w:rPr>
              <w:t>予 6%的扣除。供</w:t>
            </w:r>
            <w:r>
              <w:t>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pStyle w:val="28"/>
              <w:jc w:val="both"/>
              <w:rPr>
                <w:rFonts w:hint="default"/>
              </w:rPr>
            </w:pPr>
            <w:r>
              <w:t>残疾人福利性单位视同小型、微型企业。不重复享受政策。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78" w:hRule="atLeast"/>
        </w:trPr>
        <w:tc>
          <w:tcPr>
            <w:tcW w:w="675" w:type="dxa"/>
            <w:vAlign w:val="center"/>
          </w:tcPr>
          <w:p>
            <w:pPr>
              <w:pStyle w:val="28"/>
              <w:rPr>
                <w:rFonts w:hint="default"/>
              </w:rPr>
            </w:pPr>
            <w:r>
              <w:t>20</w:t>
            </w:r>
          </w:p>
        </w:tc>
        <w:tc>
          <w:tcPr>
            <w:tcW w:w="1701" w:type="dxa"/>
            <w:vAlign w:val="center"/>
          </w:tcPr>
          <w:p>
            <w:pPr>
              <w:pStyle w:val="28"/>
              <w:rPr>
                <w:rFonts w:hint="eastAsia" w:eastAsia="宋体"/>
                <w:lang w:val="en-US" w:eastAsia="zh-CN"/>
              </w:rPr>
            </w:pPr>
            <w:r>
              <w:rPr>
                <w:rFonts w:hint="eastAsia"/>
                <w:lang w:val="en-US" w:eastAsia="zh-CN"/>
              </w:rPr>
              <w:t>其他</w:t>
            </w:r>
          </w:p>
        </w:tc>
        <w:tc>
          <w:tcPr>
            <w:tcW w:w="7131" w:type="dxa"/>
            <w:vAlign w:val="center"/>
          </w:tcPr>
          <w:p>
            <w:pPr>
              <w:pStyle w:val="28"/>
              <w:jc w:val="both"/>
              <w:rPr>
                <w:rFonts w:hint="default"/>
              </w:rPr>
            </w:pPr>
            <w:r>
              <w:t>在同等条件下，优先采购具有环境标志、节能、自主创新的产品。</w:t>
            </w:r>
          </w:p>
          <w:p>
            <w:pPr>
              <w:pStyle w:val="28"/>
              <w:jc w:val="both"/>
              <w:rPr>
                <w:rFonts w:hint="default"/>
              </w:rPr>
            </w:pPr>
            <w:r>
              <w:t>（注：环境标志产品是指由财政部、国家环境保护总局颁布的“环境标志产品政府采购清单”中的有效期内的产品；节能产品是指由财政部、国家发展改革委颁布的“节能产品政府采购清单”中的有效期内的产品。）</w:t>
            </w:r>
          </w:p>
        </w:tc>
      </w:tr>
    </w:tbl>
    <w:p>
      <w:pPr>
        <w:pStyle w:val="5"/>
        <w:jc w:val="left"/>
      </w:pPr>
      <w:r>
        <w:rPr>
          <w:rFonts w:hint="eastAsia"/>
        </w:rPr>
        <w:br w:type="page"/>
      </w:r>
      <w:bookmarkStart w:id="40" w:name="_Toc23537"/>
      <w:bookmarkStart w:id="41" w:name="_Toc29698"/>
      <w:r>
        <w:rPr>
          <w:rFonts w:hint="eastAsia"/>
        </w:rPr>
        <w:t>二、投标须知</w:t>
      </w:r>
      <w:bookmarkEnd w:id="40"/>
      <w:bookmarkEnd w:id="41"/>
    </w:p>
    <w:p>
      <w:pPr>
        <w:pStyle w:val="7"/>
        <w:ind w:firstLine="3132" w:firstLineChars="1300"/>
        <w:rPr>
          <w:sz w:val="24"/>
          <w:szCs w:val="24"/>
        </w:rPr>
      </w:pPr>
      <w:r>
        <w:rPr>
          <w:rFonts w:hint="eastAsia"/>
          <w:sz w:val="24"/>
          <w:szCs w:val="24"/>
        </w:rPr>
        <w:t>（一）总则</w:t>
      </w:r>
    </w:p>
    <w:p>
      <w:pPr>
        <w:pStyle w:val="8"/>
        <w:ind w:firstLine="482"/>
        <w:rPr>
          <w:sz w:val="24"/>
        </w:rPr>
      </w:pPr>
      <w:r>
        <w:rPr>
          <w:rFonts w:hint="eastAsia"/>
          <w:sz w:val="24"/>
        </w:rPr>
        <w:t>1. 项目说明</w:t>
      </w:r>
    </w:p>
    <w:p>
      <w:pPr>
        <w:ind w:firstLine="480"/>
        <w:rPr>
          <w:sz w:val="24"/>
        </w:rPr>
      </w:pPr>
      <w:r>
        <w:rPr>
          <w:rFonts w:hint="eastAsia"/>
          <w:sz w:val="24"/>
        </w:rPr>
        <w:t>1.1 本项目的说明详见投标须知前附表（以下简称“前附表”）所述。</w:t>
      </w:r>
    </w:p>
    <w:p>
      <w:pPr>
        <w:ind w:firstLine="480"/>
        <w:rPr>
          <w:sz w:val="24"/>
        </w:rPr>
      </w:pPr>
      <w:r>
        <w:rPr>
          <w:rFonts w:hint="eastAsia"/>
          <w:sz w:val="24"/>
        </w:rPr>
        <w:t>1.2本采购项目已经批准，采购人为</w:t>
      </w:r>
      <w:r>
        <w:rPr>
          <w:rFonts w:hint="eastAsia"/>
          <w:sz w:val="24"/>
          <w:lang w:eastAsia="zh-CN"/>
        </w:rPr>
        <w:t>巩留县自然资源局</w:t>
      </w:r>
      <w:r>
        <w:rPr>
          <w:rFonts w:hint="eastAsia"/>
          <w:sz w:val="24"/>
        </w:rPr>
        <w:t>，现对该项目进行竞争性磋商采购。</w:t>
      </w:r>
    </w:p>
    <w:p>
      <w:pPr>
        <w:ind w:firstLine="480"/>
        <w:rPr>
          <w:sz w:val="24"/>
        </w:rPr>
      </w:pPr>
      <w:r>
        <w:rPr>
          <w:rFonts w:hint="eastAsia"/>
          <w:sz w:val="24"/>
        </w:rPr>
        <w:t>1.3本采购项目投标人的资格审查采取资格后审方式。本次采购不接受联合体投标。</w:t>
      </w:r>
    </w:p>
    <w:p>
      <w:pPr>
        <w:ind w:firstLine="480"/>
        <w:rPr>
          <w:sz w:val="24"/>
        </w:rPr>
      </w:pPr>
      <w:r>
        <w:rPr>
          <w:rFonts w:hint="eastAsia"/>
          <w:sz w:val="24"/>
        </w:rPr>
        <w:t>投标人必须符合投标人须知前附表说明，通过资格后审的投标人为合格的投标人。合格的投标人必须符合磋商文件中对投标人的规定，且具备独立完成所投项目或所投标段的能力，中标后不允许转包、违法分包。</w:t>
      </w:r>
    </w:p>
    <w:p>
      <w:pPr>
        <w:ind w:firstLine="480"/>
        <w:rPr>
          <w:sz w:val="24"/>
        </w:rPr>
      </w:pPr>
      <w:r>
        <w:rPr>
          <w:rFonts w:hint="eastAsia"/>
          <w:sz w:val="24"/>
        </w:rPr>
        <w:t>1.4 资格后审包括下列的内容</w:t>
      </w:r>
    </w:p>
    <w:p>
      <w:pPr>
        <w:ind w:firstLine="480"/>
        <w:rPr>
          <w:sz w:val="24"/>
        </w:rPr>
      </w:pPr>
      <w:r>
        <w:rPr>
          <w:rFonts w:hint="eastAsia"/>
          <w:sz w:val="24"/>
        </w:rPr>
        <w:t>1.4.1 投标人具有独立法人资格并满足“前附表”规定的资格要求 ；</w:t>
      </w:r>
    </w:p>
    <w:p>
      <w:pPr>
        <w:ind w:firstLine="480"/>
        <w:rPr>
          <w:sz w:val="24"/>
        </w:rPr>
      </w:pPr>
      <w:r>
        <w:rPr>
          <w:rFonts w:hint="eastAsia"/>
          <w:sz w:val="24"/>
        </w:rPr>
        <w:t>1.4.2磋商文件有要求投标人法定代表人或其授权代表签字或盖章和加盖投标人公章要求的，投标人须按磋商文件要求签署；</w:t>
      </w:r>
    </w:p>
    <w:p>
      <w:pPr>
        <w:ind w:firstLine="480"/>
        <w:rPr>
          <w:sz w:val="24"/>
        </w:rPr>
      </w:pPr>
      <w:r>
        <w:rPr>
          <w:rFonts w:hint="eastAsia"/>
          <w:sz w:val="24"/>
        </w:rPr>
        <w:t>1.4.3合同履约期限符合磋商文件要求；</w:t>
      </w:r>
    </w:p>
    <w:p>
      <w:pPr>
        <w:ind w:firstLine="480"/>
        <w:rPr>
          <w:sz w:val="24"/>
        </w:rPr>
      </w:pPr>
      <w:r>
        <w:rPr>
          <w:rFonts w:hint="eastAsia"/>
          <w:sz w:val="24"/>
        </w:rPr>
        <w:t>1.4.4实施地点符合磋商文件规定；</w:t>
      </w:r>
    </w:p>
    <w:p>
      <w:pPr>
        <w:ind w:firstLine="480"/>
        <w:rPr>
          <w:sz w:val="24"/>
        </w:rPr>
      </w:pPr>
      <w:r>
        <w:rPr>
          <w:rFonts w:hint="eastAsia"/>
          <w:sz w:val="24"/>
        </w:rPr>
        <w:t>1.4.5投标内容、数量、质量、服务等满足磋商文件要求；</w:t>
      </w:r>
    </w:p>
    <w:p>
      <w:pPr>
        <w:ind w:firstLine="480"/>
        <w:rPr>
          <w:sz w:val="24"/>
        </w:rPr>
      </w:pPr>
      <w:r>
        <w:rPr>
          <w:rFonts w:hint="eastAsia"/>
          <w:sz w:val="24"/>
        </w:rPr>
        <w:t>1.4.6投标文件中所提条件均须符合采购人的要求；</w:t>
      </w:r>
    </w:p>
    <w:p>
      <w:pPr>
        <w:ind w:firstLine="480"/>
        <w:rPr>
          <w:sz w:val="24"/>
        </w:rPr>
      </w:pPr>
      <w:r>
        <w:rPr>
          <w:rFonts w:hint="eastAsia"/>
          <w:sz w:val="24"/>
        </w:rPr>
        <w:t>1.4.7符合磋商文件中规定的其他实质性要求；</w:t>
      </w:r>
    </w:p>
    <w:p>
      <w:pPr>
        <w:ind w:firstLine="480"/>
        <w:rPr>
          <w:sz w:val="24"/>
        </w:rPr>
      </w:pPr>
      <w:r>
        <w:rPr>
          <w:rFonts w:hint="eastAsia"/>
          <w:sz w:val="24"/>
        </w:rPr>
        <w:t>1.4.8无法律、法规和规章禁止的其他情况。</w:t>
      </w:r>
    </w:p>
    <w:p>
      <w:pPr>
        <w:pStyle w:val="8"/>
        <w:ind w:firstLine="482"/>
        <w:rPr>
          <w:rFonts w:hint="eastAsia" w:eastAsia="宋体"/>
          <w:sz w:val="24"/>
          <w:highlight w:val="none"/>
          <w:lang w:eastAsia="zh-CN"/>
        </w:rPr>
      </w:pPr>
      <w:r>
        <w:rPr>
          <w:rFonts w:hint="eastAsia"/>
          <w:sz w:val="24"/>
        </w:rPr>
        <w:t>2. 采购</w:t>
      </w:r>
      <w:r>
        <w:rPr>
          <w:rFonts w:hint="eastAsia"/>
          <w:sz w:val="24"/>
          <w:highlight w:val="none"/>
          <w:lang w:val="en-US" w:eastAsia="zh-CN"/>
        </w:rPr>
        <w:t>需求</w:t>
      </w:r>
    </w:p>
    <w:p>
      <w:pPr>
        <w:ind w:firstLine="480"/>
        <w:rPr>
          <w:sz w:val="24"/>
        </w:rPr>
      </w:pPr>
      <w:r>
        <w:rPr>
          <w:rFonts w:hint="eastAsia"/>
          <w:sz w:val="24"/>
        </w:rPr>
        <w:t>2.1本采购项目采购</w:t>
      </w:r>
      <w:r>
        <w:rPr>
          <w:rFonts w:hint="eastAsia"/>
          <w:sz w:val="24"/>
          <w:lang w:val="en-US" w:eastAsia="zh-CN"/>
        </w:rPr>
        <w:t>需求</w:t>
      </w:r>
      <w:r>
        <w:rPr>
          <w:rFonts w:hint="eastAsia"/>
          <w:sz w:val="24"/>
        </w:rPr>
        <w:t>已通过“前附表”所述，指本项目磋商文件中范围内所要求的所有工作内容。</w:t>
      </w:r>
    </w:p>
    <w:p>
      <w:pPr>
        <w:pStyle w:val="8"/>
        <w:ind w:firstLine="482"/>
        <w:rPr>
          <w:sz w:val="24"/>
        </w:rPr>
      </w:pPr>
      <w:r>
        <w:rPr>
          <w:rFonts w:hint="eastAsia"/>
          <w:sz w:val="24"/>
        </w:rPr>
        <w:t>3. 适用法律及约束力</w:t>
      </w:r>
    </w:p>
    <w:p>
      <w:pPr>
        <w:ind w:firstLine="480"/>
        <w:rPr>
          <w:b/>
          <w:bCs/>
          <w:sz w:val="24"/>
        </w:rPr>
      </w:pPr>
      <w:r>
        <w:rPr>
          <w:rFonts w:hint="eastAsia"/>
          <w:sz w:val="24"/>
        </w:rPr>
        <w:t>3.1 本次采购及由本次采购产生的合同受中华人民共和国的相关法律、法规制约和保护。</w:t>
      </w:r>
      <w:r>
        <w:rPr>
          <w:rFonts w:hint="eastAsia"/>
          <w:b/>
          <w:bCs/>
          <w:sz w:val="24"/>
        </w:rPr>
        <w:t>投标人一旦购买了磋商文件并参加本项目，即被认为接受了磋商文件中的所有条件和规定。</w:t>
      </w:r>
    </w:p>
    <w:p>
      <w:pPr>
        <w:pStyle w:val="8"/>
        <w:ind w:firstLine="482"/>
        <w:rPr>
          <w:sz w:val="24"/>
        </w:rPr>
      </w:pPr>
      <w:r>
        <w:rPr>
          <w:rFonts w:hint="eastAsia"/>
          <w:sz w:val="24"/>
        </w:rPr>
        <w:t>4. 采购项目实施要求</w:t>
      </w:r>
    </w:p>
    <w:p>
      <w:pPr>
        <w:ind w:firstLine="480"/>
        <w:rPr>
          <w:sz w:val="24"/>
        </w:rPr>
      </w:pPr>
      <w:r>
        <w:rPr>
          <w:rFonts w:hint="eastAsia"/>
          <w:sz w:val="24"/>
        </w:rPr>
        <w:t>4.1服务质量标准已通过“前附表”所述。</w:t>
      </w:r>
    </w:p>
    <w:p>
      <w:pPr>
        <w:ind w:firstLine="480"/>
        <w:rPr>
          <w:sz w:val="24"/>
        </w:rPr>
      </w:pPr>
      <w:r>
        <w:rPr>
          <w:rFonts w:hint="eastAsia"/>
          <w:sz w:val="24"/>
        </w:rPr>
        <w:t>4.2 供应方与采购人签订合同后，按照磋商文件及合同相关的要求编制现场服务计划。</w:t>
      </w:r>
    </w:p>
    <w:p>
      <w:pPr>
        <w:pStyle w:val="8"/>
        <w:ind w:firstLine="482"/>
        <w:rPr>
          <w:sz w:val="24"/>
        </w:rPr>
      </w:pPr>
      <w:r>
        <w:rPr>
          <w:rFonts w:hint="eastAsia"/>
          <w:sz w:val="24"/>
        </w:rPr>
        <w:t>5. 合同履约期限及实施地点</w:t>
      </w:r>
    </w:p>
    <w:p>
      <w:pPr>
        <w:ind w:firstLine="480"/>
        <w:rPr>
          <w:sz w:val="24"/>
        </w:rPr>
      </w:pPr>
      <w:r>
        <w:rPr>
          <w:rFonts w:hint="eastAsia"/>
          <w:sz w:val="24"/>
        </w:rPr>
        <w:t>5.1 合同履约期限已通过“前附表”所述；实施地点已通过“前附表”所述。</w:t>
      </w:r>
    </w:p>
    <w:p>
      <w:pPr>
        <w:pStyle w:val="8"/>
        <w:ind w:firstLine="482"/>
        <w:rPr>
          <w:sz w:val="24"/>
        </w:rPr>
      </w:pPr>
      <w:r>
        <w:rPr>
          <w:rFonts w:hint="eastAsia"/>
          <w:sz w:val="24"/>
        </w:rPr>
        <w:t>6. 资金来源</w:t>
      </w:r>
    </w:p>
    <w:p>
      <w:pPr>
        <w:ind w:firstLine="480"/>
        <w:rPr>
          <w:sz w:val="24"/>
        </w:rPr>
      </w:pPr>
      <w:r>
        <w:rPr>
          <w:rFonts w:hint="eastAsia"/>
          <w:sz w:val="24"/>
        </w:rPr>
        <w:t>6.1采购单位的资金用于本项目合同下的合格支付。</w:t>
      </w:r>
    </w:p>
    <w:p>
      <w:pPr>
        <w:pStyle w:val="8"/>
        <w:ind w:firstLine="482"/>
        <w:rPr>
          <w:sz w:val="24"/>
        </w:rPr>
      </w:pPr>
      <w:r>
        <w:rPr>
          <w:rFonts w:hint="eastAsia"/>
          <w:sz w:val="24"/>
        </w:rPr>
        <w:t>7. 投标人资格要求</w:t>
      </w:r>
    </w:p>
    <w:p>
      <w:pPr>
        <w:ind w:firstLine="480"/>
        <w:rPr>
          <w:sz w:val="24"/>
        </w:rPr>
      </w:pPr>
      <w:r>
        <w:rPr>
          <w:rFonts w:hint="eastAsia"/>
          <w:sz w:val="24"/>
        </w:rPr>
        <w:t>7.1投标人应当符合磋商文件前附表中规定的下列资格条件要求：</w:t>
      </w:r>
    </w:p>
    <w:p>
      <w:pPr>
        <w:ind w:firstLine="480"/>
        <w:rPr>
          <w:sz w:val="24"/>
        </w:rPr>
      </w:pPr>
      <w:r>
        <w:rPr>
          <w:rFonts w:hint="eastAsia"/>
          <w:sz w:val="24"/>
        </w:rPr>
        <w:t>（1）投标人须具有有效的中华人民共和国企业法人营业执照或事业单位法人证书；</w:t>
      </w:r>
    </w:p>
    <w:p>
      <w:pPr>
        <w:ind w:firstLine="480"/>
        <w:rPr>
          <w:rFonts w:hint="eastAsia"/>
          <w:sz w:val="24"/>
          <w:lang w:val="en-US" w:eastAsia="zh-CN"/>
        </w:rPr>
      </w:pPr>
      <w:r>
        <w:rPr>
          <w:rFonts w:hint="eastAsia"/>
          <w:sz w:val="24"/>
        </w:rPr>
        <w:t>（2）</w:t>
      </w:r>
      <w:r>
        <w:rPr>
          <w:rFonts w:hint="eastAsia"/>
          <w:sz w:val="24"/>
          <w:lang w:val="en-US" w:eastAsia="zh-CN"/>
        </w:rPr>
        <w:t>具有测绘乙级及以上资质（专业范围包含界线与不动产测绘、工程测绘），拟担任项目负责人具有注册测绘师资格证书或测绘类中级（含）以上职称证；并在人员、设备、资金等方面具备该项目相关的服务能力；</w:t>
      </w:r>
    </w:p>
    <w:p>
      <w:pPr>
        <w:ind w:firstLine="480"/>
        <w:rPr>
          <w:rFonts w:hint="eastAsia"/>
          <w:sz w:val="24"/>
          <w:lang w:val="en-US" w:eastAsia="zh-CN"/>
        </w:rPr>
      </w:pPr>
      <w:r>
        <w:rPr>
          <w:rFonts w:hint="eastAsia"/>
          <w:sz w:val="24"/>
          <w:lang w:val="en-US" w:eastAsia="zh-CN"/>
        </w:rPr>
        <w:t>（3）在“信用中国”网站（www.creditchina.gov.cn）、中国政府采购网（www.ccgp.gov.cn）被列</w:t>
      </w:r>
      <w:r>
        <w:rPr>
          <w:rFonts w:hint="eastAsia"/>
          <w:sz w:val="24"/>
          <w:highlight w:val="none"/>
          <w:lang w:val="en-US" w:eastAsia="zh-CN"/>
        </w:rPr>
        <w:t>入失信被执行人、重大税收违法失信主体、政府采购严重违法失信行为记录名单之一的供应商不得</w:t>
      </w:r>
      <w:r>
        <w:rPr>
          <w:rFonts w:hint="eastAsia"/>
          <w:sz w:val="24"/>
          <w:lang w:val="en-US" w:eastAsia="zh-CN"/>
        </w:rPr>
        <w:t>参与本次政府采购活动；</w:t>
      </w:r>
    </w:p>
    <w:p>
      <w:pPr>
        <w:ind w:firstLine="480"/>
        <w:rPr>
          <w:sz w:val="24"/>
        </w:rPr>
      </w:pPr>
      <w:r>
        <w:rPr>
          <w:rFonts w:hint="eastAsia"/>
          <w:sz w:val="24"/>
        </w:rPr>
        <w:t>（</w:t>
      </w:r>
      <w:r>
        <w:rPr>
          <w:rFonts w:hint="eastAsia"/>
          <w:sz w:val="24"/>
          <w:lang w:val="en-US" w:eastAsia="zh-CN"/>
        </w:rPr>
        <w:t>4</w:t>
      </w:r>
      <w:r>
        <w:rPr>
          <w:rFonts w:hint="eastAsia"/>
          <w:sz w:val="24"/>
        </w:rPr>
        <w:t>）拒绝下述投标人参加本次采购活动：</w:t>
      </w:r>
    </w:p>
    <w:p>
      <w:pPr>
        <w:ind w:firstLine="480"/>
        <w:rPr>
          <w:sz w:val="24"/>
        </w:rPr>
      </w:pPr>
      <w:r>
        <w:rPr>
          <w:rFonts w:hint="eastAsia"/>
          <w:sz w:val="24"/>
        </w:rPr>
        <w:t>1）与采购人存在利害关系可能影响采购公正性的法人、其他组织或者个人，不得参加投标。</w:t>
      </w:r>
    </w:p>
    <w:p>
      <w:pPr>
        <w:ind w:firstLine="480"/>
        <w:rPr>
          <w:sz w:val="24"/>
        </w:rPr>
      </w:pPr>
      <w:r>
        <w:rPr>
          <w:rFonts w:hint="eastAsia"/>
          <w:sz w:val="24"/>
        </w:rPr>
        <w:t>2）单位负责人为同一人或者存在控股、管理关系的不同单位，不得参加同一标段或者未划分标段的同一采购项目投标，违反前两款规定的，相关投标均无效。</w:t>
      </w:r>
    </w:p>
    <w:p>
      <w:pPr>
        <w:ind w:firstLine="480"/>
        <w:rPr>
          <w:sz w:val="24"/>
        </w:rPr>
      </w:pPr>
      <w:r>
        <w:rPr>
          <w:rFonts w:hint="eastAsia"/>
          <w:sz w:val="24"/>
        </w:rPr>
        <w:t>3）供应商参加政府采购活动前三年内，因违法经营受到刑事处罚或者责令停产停业、吊销许可证或者执照、较大数额罚款等行政处罚。</w:t>
      </w:r>
    </w:p>
    <w:p>
      <w:pPr>
        <w:ind w:firstLine="480"/>
        <w:rPr>
          <w:sz w:val="24"/>
        </w:rPr>
      </w:pPr>
      <w:r>
        <w:rPr>
          <w:rFonts w:hint="eastAsia"/>
          <w:sz w:val="24"/>
        </w:rPr>
        <w:t>4）除单一来源采购外，凡为采购项目提供整体设计、规范编制或者项目管理、监理、检测等服务的供应商，不得再参加本项目的采购活动。</w:t>
      </w:r>
    </w:p>
    <w:p>
      <w:pPr>
        <w:ind w:firstLine="480"/>
        <w:rPr>
          <w:sz w:val="24"/>
          <w:highlight w:val="none"/>
        </w:rPr>
      </w:pPr>
      <w:r>
        <w:rPr>
          <w:rFonts w:hint="eastAsia"/>
          <w:sz w:val="24"/>
          <w:highlight w:val="none"/>
        </w:rPr>
        <w:t>7.2本项目落实的政府采购政策：</w:t>
      </w:r>
    </w:p>
    <w:p>
      <w:pPr>
        <w:ind w:firstLine="480"/>
        <w:rPr>
          <w:sz w:val="24"/>
        </w:rPr>
      </w:pPr>
      <w:r>
        <w:rPr>
          <w:rFonts w:hint="eastAsia"/>
          <w:sz w:val="24"/>
        </w:rPr>
        <w:t>1）根据财政部、工业和信息化部日前发布《关于印发&lt;政府采购促进中小企业发展管理办法&gt;的通知》(财库〔2020〕46号）文件规定，对于专门面向中小企业的项目，凡参加此次投标的小型和微型企业提供本企业制造货物、承担的工程或者服务，或者提供其他小型、微型企业制造的货物，其小型、微型产品报价部分给予10%的价格扣除优惠，但必须同时提供如下证明材料，否则不予价格扣除。若同一合同包内的小型、微型企业产品仅是构成报价产品的部件、组件或零件的，则该报价产品不给予价格扣除。①中小企业声明函。 ②若所提供的证明材料相矛盾，评审时将不予价格扣除优惠。</w:t>
      </w:r>
    </w:p>
    <w:p>
      <w:pPr>
        <w:ind w:firstLine="480"/>
        <w:rPr>
          <w:sz w:val="24"/>
        </w:rPr>
      </w:pPr>
      <w:r>
        <w:rPr>
          <w:rFonts w:hint="eastAsia"/>
          <w:sz w:val="24"/>
        </w:rPr>
        <w:t xml:space="preserve">2）根据财政部、司法部印发的《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 </w:t>
      </w:r>
    </w:p>
    <w:p>
      <w:pPr>
        <w:ind w:firstLine="480"/>
        <w:rPr>
          <w:sz w:val="24"/>
        </w:rPr>
      </w:pPr>
      <w:r>
        <w:rPr>
          <w:rFonts w:hint="eastAsia"/>
          <w:sz w:val="24"/>
        </w:rPr>
        <w:t>3）根据财政部、民政部、中国残疾人联合会印发的《关于促进残疾人就业政府采购政策的通知》（财库〔2017〕141号）文件规定，在政府采购活动中，残疾人福利性单位视同小型、微型企业，享受评审价格扣除的政府采购优惠政策。此次若有残疾人福利性单位参加投标的其报价享受6%的价格扣除，应当提供《关于促进残疾人就业政府采购政策的通知》（财库〔2017〕141号）规定的《残疾人福利性单位声明函》，并对声明的真实性负责。在政府采购活动中，残疾人福利性单位享受《政府采购促进中小企业发展暂行办法》价格扣除的政府采购政策，残疾人福利性单位属于小型、微型企业的，不重复享受政策。</w:t>
      </w:r>
    </w:p>
    <w:p>
      <w:pPr>
        <w:pStyle w:val="8"/>
        <w:ind w:firstLine="482"/>
        <w:rPr>
          <w:sz w:val="24"/>
        </w:rPr>
      </w:pPr>
      <w:r>
        <w:rPr>
          <w:rFonts w:hint="eastAsia"/>
          <w:sz w:val="24"/>
        </w:rPr>
        <w:t>8. 投标费用</w:t>
      </w:r>
    </w:p>
    <w:p>
      <w:pPr>
        <w:ind w:firstLine="480"/>
        <w:rPr>
          <w:sz w:val="24"/>
        </w:rPr>
      </w:pPr>
      <w:r>
        <w:rPr>
          <w:rFonts w:hint="eastAsia"/>
          <w:sz w:val="24"/>
        </w:rPr>
        <w:t>投标人应承担其编制投标文件与递交投标文件所涉及的一切费用，不论投标结果如何，采购人或采购代理机构均无义务和责任承担这些费用。</w:t>
      </w:r>
    </w:p>
    <w:p>
      <w:pPr>
        <w:pStyle w:val="8"/>
        <w:ind w:firstLine="482"/>
        <w:rPr>
          <w:sz w:val="24"/>
        </w:rPr>
      </w:pPr>
      <w:r>
        <w:rPr>
          <w:rFonts w:hint="eastAsia"/>
          <w:sz w:val="24"/>
        </w:rPr>
        <w:t>9. 授权委托</w:t>
      </w:r>
    </w:p>
    <w:p>
      <w:pPr>
        <w:ind w:firstLine="480"/>
        <w:rPr>
          <w:sz w:val="24"/>
        </w:rPr>
      </w:pPr>
      <w:r>
        <w:rPr>
          <w:rFonts w:hint="eastAsia"/>
          <w:sz w:val="24"/>
        </w:rPr>
        <w:t>9.1 投标人开标代表为法定代表人的，须持有法定代表人身份证明书和法定代表人身份证；投标人开标代表不是投标人的法定代表人的，须持有授权委托书和授权代表人的身份证。</w:t>
      </w:r>
    </w:p>
    <w:p>
      <w:pPr>
        <w:pStyle w:val="8"/>
        <w:ind w:firstLine="482"/>
        <w:rPr>
          <w:sz w:val="24"/>
        </w:rPr>
      </w:pPr>
      <w:r>
        <w:rPr>
          <w:rFonts w:hint="eastAsia"/>
          <w:sz w:val="24"/>
        </w:rPr>
        <w:t>10. 联合体投标：本项目不接受联合体投标，不接受备选方案</w:t>
      </w:r>
    </w:p>
    <w:p>
      <w:pPr>
        <w:pStyle w:val="7"/>
        <w:ind w:firstLine="482"/>
        <w:rPr>
          <w:sz w:val="24"/>
          <w:szCs w:val="24"/>
        </w:rPr>
      </w:pPr>
      <w:r>
        <w:rPr>
          <w:rFonts w:hint="eastAsia"/>
          <w:sz w:val="24"/>
          <w:szCs w:val="24"/>
        </w:rPr>
        <w:t>（二）磋商文件</w:t>
      </w:r>
    </w:p>
    <w:p>
      <w:pPr>
        <w:pStyle w:val="8"/>
        <w:ind w:firstLine="482"/>
        <w:rPr>
          <w:sz w:val="24"/>
        </w:rPr>
      </w:pPr>
      <w:r>
        <w:rPr>
          <w:rFonts w:hint="eastAsia"/>
          <w:sz w:val="24"/>
        </w:rPr>
        <w:t>11. 磋商文件的组成</w:t>
      </w:r>
    </w:p>
    <w:p>
      <w:pPr>
        <w:ind w:firstLine="480"/>
        <w:rPr>
          <w:sz w:val="24"/>
        </w:rPr>
      </w:pPr>
      <w:r>
        <w:rPr>
          <w:rFonts w:hint="eastAsia"/>
          <w:sz w:val="24"/>
        </w:rPr>
        <w:t>11.1 磋商文件包括下列内容</w:t>
      </w:r>
    </w:p>
    <w:p>
      <w:pPr>
        <w:ind w:firstLine="480"/>
        <w:rPr>
          <w:sz w:val="24"/>
        </w:rPr>
      </w:pPr>
      <w:bookmarkStart w:id="42" w:name="_Toc24960"/>
      <w:r>
        <w:rPr>
          <w:rFonts w:hint="eastAsia"/>
          <w:sz w:val="24"/>
        </w:rPr>
        <w:t>第一部分 磋商</w:t>
      </w:r>
      <w:bookmarkEnd w:id="42"/>
      <w:r>
        <w:rPr>
          <w:rFonts w:hint="eastAsia"/>
          <w:sz w:val="24"/>
        </w:rPr>
        <w:t>公告</w:t>
      </w:r>
    </w:p>
    <w:p>
      <w:pPr>
        <w:ind w:firstLine="480"/>
        <w:rPr>
          <w:sz w:val="24"/>
        </w:rPr>
      </w:pPr>
      <w:bookmarkStart w:id="43" w:name="_Toc19805"/>
      <w:r>
        <w:rPr>
          <w:rFonts w:hint="eastAsia"/>
          <w:sz w:val="24"/>
        </w:rPr>
        <w:t>第二部分 投标须知前附表及投标须知</w:t>
      </w:r>
      <w:bookmarkEnd w:id="43"/>
    </w:p>
    <w:p>
      <w:pPr>
        <w:ind w:firstLine="480"/>
        <w:rPr>
          <w:sz w:val="24"/>
        </w:rPr>
      </w:pPr>
      <w:bookmarkStart w:id="44" w:name="_Toc29461"/>
      <w:r>
        <w:rPr>
          <w:rFonts w:hint="eastAsia"/>
          <w:sz w:val="24"/>
        </w:rPr>
        <w:t>第三部分 合同格式（参考）</w:t>
      </w:r>
      <w:bookmarkEnd w:id="44"/>
    </w:p>
    <w:p>
      <w:pPr>
        <w:ind w:firstLine="480"/>
        <w:rPr>
          <w:sz w:val="24"/>
        </w:rPr>
      </w:pPr>
      <w:bookmarkStart w:id="45" w:name="_Toc26928"/>
      <w:r>
        <w:rPr>
          <w:rFonts w:hint="eastAsia"/>
          <w:sz w:val="24"/>
        </w:rPr>
        <w:t>第四部分 采购需求</w:t>
      </w:r>
      <w:bookmarkEnd w:id="45"/>
    </w:p>
    <w:p>
      <w:pPr>
        <w:ind w:firstLine="480"/>
        <w:rPr>
          <w:sz w:val="24"/>
        </w:rPr>
      </w:pPr>
      <w:r>
        <w:rPr>
          <w:rFonts w:hint="eastAsia"/>
          <w:sz w:val="24"/>
        </w:rPr>
        <w:t>第五部分 投标文件格式</w:t>
      </w:r>
    </w:p>
    <w:p>
      <w:pPr>
        <w:ind w:firstLine="480"/>
        <w:rPr>
          <w:sz w:val="24"/>
          <w:lang w:val="zh-CN"/>
        </w:rPr>
      </w:pPr>
      <w:r>
        <w:rPr>
          <w:rFonts w:hint="eastAsia"/>
          <w:sz w:val="24"/>
          <w:lang w:val="zh-CN"/>
        </w:rPr>
        <w:t>11.</w:t>
      </w:r>
      <w:r>
        <w:rPr>
          <w:rFonts w:hint="eastAsia"/>
          <w:sz w:val="24"/>
        </w:rPr>
        <w:t>2</w:t>
      </w:r>
      <w:r>
        <w:rPr>
          <w:rFonts w:hint="eastAsia"/>
          <w:sz w:val="24"/>
          <w:lang w:val="zh-CN"/>
        </w:rPr>
        <w:t xml:space="preserve"> 磋商文件由本文件及由采购人按磋商文件有关规定发出的磋商文件补充构成。</w:t>
      </w:r>
    </w:p>
    <w:p>
      <w:pPr>
        <w:ind w:firstLine="480"/>
        <w:rPr>
          <w:sz w:val="24"/>
          <w:lang w:val="zh-CN"/>
        </w:rPr>
      </w:pPr>
      <w:r>
        <w:rPr>
          <w:rFonts w:hint="eastAsia"/>
          <w:sz w:val="24"/>
          <w:lang w:val="zh-CN"/>
        </w:rPr>
        <w:t>11.</w:t>
      </w:r>
      <w:r>
        <w:rPr>
          <w:rFonts w:hint="eastAsia"/>
          <w:sz w:val="24"/>
        </w:rPr>
        <w:t>3</w:t>
      </w:r>
      <w:r>
        <w:rPr>
          <w:rFonts w:hint="eastAsia"/>
          <w:sz w:val="24"/>
          <w:lang w:val="zh-CN"/>
        </w:rPr>
        <w:t xml:space="preserve"> 磋商文件的澄清、修改、标前答疑会纪要等书面材料在本采购项目中均称磋商文件补充。</w:t>
      </w:r>
    </w:p>
    <w:p>
      <w:pPr>
        <w:ind w:firstLine="480"/>
        <w:rPr>
          <w:sz w:val="24"/>
          <w:lang w:val="zh-CN"/>
        </w:rPr>
      </w:pPr>
      <w:r>
        <w:rPr>
          <w:rFonts w:hint="eastAsia"/>
          <w:sz w:val="24"/>
          <w:lang w:val="zh-CN"/>
        </w:rPr>
        <w:t>11.</w:t>
      </w:r>
      <w:r>
        <w:rPr>
          <w:rFonts w:hint="eastAsia"/>
          <w:sz w:val="24"/>
        </w:rPr>
        <w:t>4</w:t>
      </w:r>
      <w:r>
        <w:rPr>
          <w:rFonts w:hint="eastAsia"/>
          <w:sz w:val="24"/>
          <w:lang w:val="zh-CN"/>
        </w:rPr>
        <w:t xml:space="preserve"> 磋商文件补充作为磋商文件的组成部分，对投标人起同等约束作用。如果磋商文件补充内容与在此磋商文件补充发出之前的磋商文件等书面材料中相关内容相冲突，请投标人执行磋商文件补充的相关内容，先前发出的磋商文件等书面材料中相关内容自动废止。</w:t>
      </w:r>
    </w:p>
    <w:p>
      <w:pPr>
        <w:ind w:firstLine="480"/>
        <w:rPr>
          <w:sz w:val="24"/>
          <w:lang w:val="zh-CN"/>
        </w:rPr>
      </w:pPr>
      <w:r>
        <w:rPr>
          <w:rFonts w:hint="eastAsia"/>
          <w:sz w:val="24"/>
          <w:lang w:val="zh-CN"/>
        </w:rPr>
        <w:t>11.</w:t>
      </w:r>
      <w:r>
        <w:rPr>
          <w:rFonts w:hint="eastAsia"/>
          <w:sz w:val="24"/>
        </w:rPr>
        <w:t>5</w:t>
      </w:r>
      <w:r>
        <w:rPr>
          <w:rFonts w:hint="eastAsia"/>
          <w:sz w:val="24"/>
          <w:lang w:val="zh-CN"/>
        </w:rPr>
        <w:t>投标人应认真审阅和理解磋商文件所有内容，尤其注意可能引起“否决投标”、“拒绝评审”、“无效投标”、“评审不予通过”等的条款，按照磋商文件要求编制投标文件。任何对磋商文件的忽略或误解不能作为投标文件存在缺陷或瑕疵的理由，其风险由投标人承担。</w:t>
      </w:r>
    </w:p>
    <w:p>
      <w:pPr>
        <w:pStyle w:val="8"/>
        <w:ind w:firstLine="482"/>
        <w:rPr>
          <w:sz w:val="24"/>
          <w:lang w:val="zh-CN"/>
        </w:rPr>
      </w:pPr>
      <w:r>
        <w:rPr>
          <w:rFonts w:hint="eastAsia"/>
          <w:sz w:val="24"/>
          <w:lang w:val="zh-CN"/>
        </w:rPr>
        <w:t>12. 磋商文件的获取</w:t>
      </w:r>
    </w:p>
    <w:p>
      <w:pPr>
        <w:ind w:firstLine="480"/>
        <w:rPr>
          <w:sz w:val="24"/>
        </w:rPr>
      </w:pPr>
      <w:r>
        <w:rPr>
          <w:rFonts w:hint="eastAsia"/>
          <w:sz w:val="24"/>
        </w:rPr>
        <w:t>12.1磋商文件的提供期限：</w:t>
      </w:r>
      <w:r>
        <w:rPr>
          <w:rFonts w:hint="eastAsia"/>
          <w:sz w:val="24"/>
          <w:u w:val="single"/>
        </w:rPr>
        <w:t>自开始发出之日起不少于五个工作日。具体提供期</w:t>
      </w:r>
      <w:r>
        <w:rPr>
          <w:rFonts w:hint="eastAsia"/>
          <w:sz w:val="24"/>
          <w:highlight w:val="none"/>
          <w:u w:val="single"/>
        </w:rPr>
        <w:t>限</w:t>
      </w:r>
      <w:r>
        <w:rPr>
          <w:rFonts w:hint="eastAsia"/>
          <w:sz w:val="24"/>
          <w:u w:val="single"/>
        </w:rPr>
        <w:t>见《磋商公告》</w:t>
      </w:r>
      <w:r>
        <w:rPr>
          <w:rFonts w:hint="eastAsia"/>
          <w:sz w:val="24"/>
        </w:rPr>
        <w:t>。</w:t>
      </w:r>
    </w:p>
    <w:p>
      <w:pPr>
        <w:ind w:firstLine="480"/>
        <w:rPr>
          <w:sz w:val="24"/>
        </w:rPr>
      </w:pPr>
      <w:r>
        <w:rPr>
          <w:rFonts w:hint="eastAsia"/>
          <w:sz w:val="24"/>
        </w:rPr>
        <w:t>12.2凡符合资格要求并有意参加投标的投标人, 须按磋商公告要求提供领取磋商文件所需提交的资料。</w:t>
      </w:r>
    </w:p>
    <w:p>
      <w:pPr>
        <w:pStyle w:val="8"/>
        <w:ind w:firstLine="482"/>
        <w:rPr>
          <w:sz w:val="24"/>
        </w:rPr>
      </w:pPr>
      <w:r>
        <w:rPr>
          <w:rFonts w:hint="eastAsia"/>
          <w:sz w:val="24"/>
        </w:rPr>
        <w:t>13. 磋商文件的澄清或修改</w:t>
      </w:r>
    </w:p>
    <w:p>
      <w:pPr>
        <w:ind w:firstLine="480"/>
        <w:rPr>
          <w:sz w:val="24"/>
        </w:rPr>
      </w:pPr>
      <w:r>
        <w:rPr>
          <w:rFonts w:hint="eastAsia"/>
          <w:sz w:val="24"/>
        </w:rPr>
        <w:t>13.1投标人若对磋商文件有任何疑问，以书面形式并加盖投标人公章方式递送至采购代理机构。</w:t>
      </w:r>
    </w:p>
    <w:p>
      <w:pPr>
        <w:ind w:firstLine="480"/>
        <w:rPr>
          <w:sz w:val="24"/>
        </w:rPr>
      </w:pPr>
      <w:r>
        <w:rPr>
          <w:rFonts w:hint="eastAsia"/>
          <w:sz w:val="24"/>
          <w:lang w:val="zh-CN"/>
        </w:rPr>
        <w:t>13.2</w:t>
      </w:r>
      <w:r>
        <w:rPr>
          <w:rFonts w:hint="eastAsia"/>
          <w:sz w:val="24"/>
        </w:rPr>
        <w:t>提交首次磋商响应文件截止之日前，采购人、采购代理机构或者磋商小组可以对已发出的磋商文件进行必要的澄清或者修改，澄清或者修改的内容作为磋商文件的组成部分。澄清或者修改的内容可能影响磋商响应文件编制的，采购人、采购代理机构应当在提交首次磋商响应文件截止时间至少5日前，以书面形式通知所有获取磋商文件的投标人；不足5日的，采购人、采购代理机构应当顺延提交首次磋商响应文件截止时间。</w:t>
      </w:r>
    </w:p>
    <w:p>
      <w:pPr>
        <w:ind w:firstLine="480"/>
        <w:rPr>
          <w:sz w:val="24"/>
        </w:rPr>
      </w:pPr>
      <w:r>
        <w:rPr>
          <w:rFonts w:hint="eastAsia"/>
          <w:sz w:val="24"/>
        </w:rPr>
        <w:t>13.3</w:t>
      </w:r>
      <w:r>
        <w:rPr>
          <w:rFonts w:hint="eastAsia"/>
          <w:sz w:val="24"/>
          <w:lang w:val="zh-CN"/>
        </w:rPr>
        <w:t>采购人在磋商文件要求提交投标文件截止时间3日前，有权决定延长投标截止时间和开标时间，并</w:t>
      </w:r>
      <w:r>
        <w:rPr>
          <w:rFonts w:hint="eastAsia"/>
          <w:sz w:val="24"/>
        </w:rPr>
        <w:t>在原采购信息发布媒体上发布变更公告。不足3日的，采购人、采购代理机构应当顺延提交首次磋商响应文件截止时间。</w:t>
      </w:r>
    </w:p>
    <w:p>
      <w:pPr>
        <w:ind w:firstLine="480"/>
        <w:rPr>
          <w:sz w:val="24"/>
        </w:rPr>
      </w:pPr>
      <w:r>
        <w:rPr>
          <w:rFonts w:hint="eastAsia"/>
          <w:sz w:val="24"/>
        </w:rPr>
        <w:t>竞争性磋商文件的澄清或修改将以书面形式通知所有已报名投标人，并对竞标投标人具有约束力。投标人收到澄清或修改文件后，须于1日内回复采购人/代理机构，逾期未回复的视同已收。</w:t>
      </w:r>
    </w:p>
    <w:p>
      <w:pPr>
        <w:ind w:firstLine="480"/>
        <w:rPr>
          <w:sz w:val="24"/>
        </w:rPr>
      </w:pPr>
      <w:r>
        <w:rPr>
          <w:rFonts w:hint="eastAsia"/>
          <w:sz w:val="24"/>
        </w:rPr>
        <w:t>13.4供应商获取竞争性磋商文件后，应仔细检查竞争性磋商文件页数和附件数量，如发现有缺漏，请及时与代理机构联系补全。如果供应商不按上述要求操作而造成不良后果，代理机构不承担责任。在投标截止时间后递交的投标响应文件视为无效投标。</w:t>
      </w:r>
    </w:p>
    <w:p>
      <w:pPr>
        <w:pStyle w:val="8"/>
        <w:ind w:firstLine="482"/>
        <w:rPr>
          <w:sz w:val="24"/>
        </w:rPr>
      </w:pPr>
      <w:r>
        <w:rPr>
          <w:rFonts w:hint="eastAsia"/>
          <w:sz w:val="24"/>
        </w:rPr>
        <w:t>14. 投标报价</w:t>
      </w:r>
    </w:p>
    <w:p>
      <w:pPr>
        <w:ind w:firstLine="480"/>
        <w:rPr>
          <w:sz w:val="24"/>
        </w:rPr>
      </w:pPr>
      <w:r>
        <w:rPr>
          <w:rFonts w:hint="eastAsia"/>
          <w:sz w:val="24"/>
        </w:rPr>
        <w:t>14.1 本采购项目使用的货币为人民币 ，实施时亦以人民币支付。</w:t>
      </w:r>
    </w:p>
    <w:p>
      <w:pPr>
        <w:ind w:firstLine="480"/>
        <w:rPr>
          <w:sz w:val="24"/>
        </w:rPr>
      </w:pPr>
      <w:r>
        <w:rPr>
          <w:rFonts w:hint="eastAsia"/>
          <w:sz w:val="24"/>
        </w:rPr>
        <w:t>14.2 投标报价为本磋商文件所确定的采购范围内的全部工作内容的价格体现。任何有选择的报价将不予接受（除非采购人另有约定），否则，在评标时将其视为无效投标。</w:t>
      </w:r>
    </w:p>
    <w:p>
      <w:pPr>
        <w:ind w:firstLine="480"/>
        <w:rPr>
          <w:sz w:val="24"/>
        </w:rPr>
      </w:pPr>
      <w:r>
        <w:rPr>
          <w:rFonts w:hint="eastAsia"/>
          <w:sz w:val="24"/>
        </w:rPr>
        <w:t>14.3 投标价格应包括：</w:t>
      </w:r>
    </w:p>
    <w:p>
      <w:pPr>
        <w:ind w:firstLine="480"/>
        <w:rPr>
          <w:sz w:val="24"/>
        </w:rPr>
      </w:pPr>
      <w:r>
        <w:rPr>
          <w:rFonts w:hint="eastAsia"/>
          <w:sz w:val="24"/>
        </w:rPr>
        <w:t>14.3.1投标报价包括投标人为实施提供投标产品（成果）、服务内容所包括的全部含税价格的体现。磋商文件如没有特别说明的话，对每一项货物及服务仅接受一个价格。</w:t>
      </w:r>
    </w:p>
    <w:p>
      <w:pPr>
        <w:ind w:firstLine="480"/>
        <w:rPr>
          <w:sz w:val="24"/>
        </w:rPr>
      </w:pPr>
      <w:r>
        <w:rPr>
          <w:rFonts w:hint="eastAsia"/>
          <w:sz w:val="24"/>
        </w:rPr>
        <w:t>14.3.2投标报价为含税价，报价应包含完成本采购项目发生的所有含税费用、支付给员工的工资和国家强制缴纳的各种社会保障资金、以及投标人认为需要的其他费用等。</w:t>
      </w:r>
    </w:p>
    <w:p>
      <w:pPr>
        <w:ind w:firstLine="480"/>
        <w:rPr>
          <w:sz w:val="24"/>
        </w:rPr>
      </w:pPr>
      <w:r>
        <w:rPr>
          <w:rFonts w:hint="eastAsia"/>
          <w:sz w:val="24"/>
        </w:rPr>
        <w:t>投标人应充分考虑到市场价格变动，以及项目实施过程中的不可预见因素，一旦中标，履约期间价格不变。如果有漏项，视同让利。</w:t>
      </w:r>
    </w:p>
    <w:p>
      <w:pPr>
        <w:ind w:firstLine="480"/>
        <w:rPr>
          <w:sz w:val="24"/>
        </w:rPr>
      </w:pPr>
      <w:r>
        <w:rPr>
          <w:rFonts w:hint="eastAsia"/>
          <w:sz w:val="24"/>
        </w:rPr>
        <w:t>14.3.3投标人的任何错漏、优惠、竞争性报价不得作为减轻责任、减少服务、增加收费、降低质量的理由。投标人必须自行考虑本项目在实施期间的一切可能产生的费用。在合同执行过程中，采购人将不再另行支付与本项目相关的任何费用。</w:t>
      </w:r>
    </w:p>
    <w:p>
      <w:pPr>
        <w:ind w:firstLine="480"/>
        <w:rPr>
          <w:sz w:val="24"/>
        </w:rPr>
      </w:pPr>
      <w:r>
        <w:rPr>
          <w:rFonts w:hint="eastAsia"/>
          <w:sz w:val="24"/>
        </w:rPr>
        <w:t>14.3.4投标人应在《投标报价一览表》标明投标人报价。</w:t>
      </w:r>
    </w:p>
    <w:p>
      <w:pPr>
        <w:ind w:firstLine="480"/>
        <w:rPr>
          <w:sz w:val="24"/>
        </w:rPr>
      </w:pPr>
      <w:r>
        <w:rPr>
          <w:rFonts w:hint="eastAsia"/>
          <w:sz w:val="24"/>
        </w:rPr>
        <w:t>14.4投标文件报价出现前后不一致的，除磋商文件另有规定外，按照下列规定修正：</w:t>
      </w:r>
    </w:p>
    <w:p>
      <w:pPr>
        <w:ind w:firstLine="480"/>
        <w:rPr>
          <w:sz w:val="24"/>
        </w:rPr>
      </w:pPr>
      <w:r>
        <w:rPr>
          <w:rFonts w:hint="eastAsia"/>
          <w:sz w:val="24"/>
        </w:rPr>
        <w:t>（</w:t>
      </w:r>
      <w:r>
        <w:rPr>
          <w:rFonts w:hint="eastAsia"/>
          <w:sz w:val="24"/>
          <w:lang w:val="en-US" w:eastAsia="zh-CN"/>
        </w:rPr>
        <w:t>一</w:t>
      </w:r>
      <w:r>
        <w:rPr>
          <w:rFonts w:hint="eastAsia"/>
          <w:sz w:val="24"/>
        </w:rPr>
        <w:t>）大写金额和小写金额不一致的，以大写金额为准；</w:t>
      </w:r>
    </w:p>
    <w:p>
      <w:pPr>
        <w:ind w:firstLine="480"/>
        <w:rPr>
          <w:sz w:val="24"/>
        </w:rPr>
      </w:pPr>
      <w:r>
        <w:rPr>
          <w:rFonts w:hint="eastAsia"/>
          <w:sz w:val="24"/>
        </w:rPr>
        <w:t>（</w:t>
      </w:r>
      <w:r>
        <w:rPr>
          <w:rFonts w:hint="eastAsia"/>
          <w:sz w:val="24"/>
          <w:lang w:val="en-US" w:eastAsia="zh-CN"/>
        </w:rPr>
        <w:t>二</w:t>
      </w:r>
      <w:r>
        <w:rPr>
          <w:rFonts w:hint="eastAsia"/>
          <w:sz w:val="24"/>
        </w:rPr>
        <w:t>）单价金额小数点或者百分比有明显错位的，以投标报价一览表的总价为准，并修改单价；</w:t>
      </w:r>
    </w:p>
    <w:p>
      <w:pPr>
        <w:ind w:firstLine="480"/>
        <w:rPr>
          <w:sz w:val="24"/>
        </w:rPr>
      </w:pPr>
      <w:r>
        <w:rPr>
          <w:rFonts w:hint="eastAsia"/>
          <w:sz w:val="24"/>
        </w:rPr>
        <w:t>（</w:t>
      </w:r>
      <w:r>
        <w:rPr>
          <w:rFonts w:hint="eastAsia"/>
          <w:sz w:val="24"/>
          <w:lang w:val="en-US" w:eastAsia="zh-CN"/>
        </w:rPr>
        <w:t>三</w:t>
      </w:r>
      <w:r>
        <w:rPr>
          <w:rFonts w:hint="eastAsia"/>
          <w:sz w:val="24"/>
        </w:rPr>
        <w:t>）总价金额与按单价汇总金额不一致的，以单价金额计算结果为准。</w:t>
      </w:r>
    </w:p>
    <w:p>
      <w:pPr>
        <w:ind w:firstLine="480"/>
        <w:rPr>
          <w:sz w:val="24"/>
        </w:rPr>
      </w:pPr>
      <w:r>
        <w:rPr>
          <w:rFonts w:hint="eastAsia"/>
          <w:sz w:val="24"/>
        </w:rPr>
        <w:t>同时出现两种以上不一致的，按照前款规定的顺序修正。</w:t>
      </w:r>
    </w:p>
    <w:p>
      <w:pPr>
        <w:ind w:firstLine="480"/>
        <w:rPr>
          <w:sz w:val="24"/>
        </w:rPr>
      </w:pPr>
      <w:r>
        <w:rPr>
          <w:rFonts w:hint="eastAsia"/>
          <w:sz w:val="24"/>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pPr>
        <w:pStyle w:val="8"/>
        <w:ind w:firstLine="482"/>
        <w:rPr>
          <w:sz w:val="24"/>
        </w:rPr>
      </w:pPr>
      <w:r>
        <w:rPr>
          <w:rFonts w:hint="eastAsia"/>
          <w:sz w:val="24"/>
        </w:rPr>
        <w:t>15.投标保证金</w:t>
      </w:r>
    </w:p>
    <w:p>
      <w:pPr>
        <w:ind w:firstLine="480"/>
        <w:rPr>
          <w:sz w:val="24"/>
        </w:rPr>
      </w:pPr>
      <w:r>
        <w:rPr>
          <w:rFonts w:hint="eastAsia"/>
          <w:sz w:val="24"/>
        </w:rPr>
        <w:t>15.1投标保证金是为了保护采购人和采购代理机构免遭因投标人的违规、违约行为而引起的风险，采购人/代理机构在受到损害时可根据本须知的有关规定没收投标人的投标保证金。中标人如未能按磋商文件要求与采购人签署项目合同并提交履约保证金，视为投标人违约，则采购人有权提取中标人投标保证金。</w:t>
      </w:r>
    </w:p>
    <w:p>
      <w:pPr>
        <w:ind w:firstLine="480"/>
        <w:rPr>
          <w:sz w:val="24"/>
        </w:rPr>
      </w:pPr>
      <w:r>
        <w:rPr>
          <w:rFonts w:hint="eastAsia"/>
          <w:sz w:val="24"/>
        </w:rPr>
        <w:t>15.2 投标人应提交投标保证金，并作为其投标的一部分。磋商文件前附表规定交纳投标保证金的，投标人应按磋商文件前附表规定的要求提交保证金，投标保证金有效期应与磋商文件规定的投标有效期一致。投标人未按照磋商文件要求提交投标保证金的，投标无效。</w:t>
      </w:r>
    </w:p>
    <w:p>
      <w:pPr>
        <w:ind w:firstLine="480"/>
        <w:rPr>
          <w:sz w:val="24"/>
        </w:rPr>
      </w:pPr>
      <w:r>
        <w:rPr>
          <w:rFonts w:hint="eastAsia"/>
          <w:sz w:val="24"/>
        </w:rPr>
        <w:t>15.3 投标保证金具体提交要求见投标须知前附表。凡未按磋商文件要求提交投标保证金的投标，将视为非实质性响应性投标而被拒绝。</w:t>
      </w:r>
    </w:p>
    <w:p>
      <w:pPr>
        <w:ind w:firstLine="480"/>
        <w:rPr>
          <w:sz w:val="24"/>
        </w:rPr>
      </w:pPr>
      <w:r>
        <w:rPr>
          <w:rFonts w:hint="eastAsia"/>
          <w:sz w:val="24"/>
        </w:rPr>
        <w:t>15.4磋商文件接受联合体投标的，可以由联合体中的一方或者共同提交投标保证金。以一方名义提交投标保证金的，对联合体各方均具有约束力。</w:t>
      </w:r>
    </w:p>
    <w:p>
      <w:pPr>
        <w:ind w:firstLine="480"/>
        <w:rPr>
          <w:sz w:val="24"/>
        </w:rPr>
      </w:pPr>
      <w:r>
        <w:rPr>
          <w:rFonts w:hint="eastAsia"/>
          <w:sz w:val="24"/>
        </w:rPr>
        <w:t>15.5 未中标（成交）供应商的投标保证金，将在成交通知书发出5个工作日内退还。因违反规定被没收的投标保证金不予退回。</w:t>
      </w:r>
    </w:p>
    <w:p>
      <w:pPr>
        <w:ind w:firstLine="480"/>
        <w:rPr>
          <w:sz w:val="24"/>
        </w:rPr>
      </w:pPr>
      <w:r>
        <w:rPr>
          <w:rFonts w:hint="eastAsia"/>
          <w:sz w:val="24"/>
        </w:rPr>
        <w:t>15.6 中标（成交）供应商的投标保证金自采购合同签订之日起5个工作日内退还。</w:t>
      </w:r>
    </w:p>
    <w:p>
      <w:pPr>
        <w:ind w:firstLine="482"/>
        <w:rPr>
          <w:sz w:val="24"/>
        </w:rPr>
      </w:pPr>
      <w:r>
        <w:rPr>
          <w:rFonts w:hint="eastAsia"/>
          <w:b/>
          <w:bCs/>
          <w:sz w:val="24"/>
        </w:rPr>
        <w:t>15.7 下列任何情况发生时，投标保证金将可能被没收</w:t>
      </w:r>
      <w:r>
        <w:rPr>
          <w:rFonts w:hint="eastAsia"/>
          <w:sz w:val="24"/>
        </w:rPr>
        <w:t>：</w:t>
      </w:r>
    </w:p>
    <w:p>
      <w:pPr>
        <w:ind w:firstLine="480"/>
        <w:rPr>
          <w:sz w:val="24"/>
        </w:rPr>
      </w:pPr>
      <w:r>
        <w:rPr>
          <w:rFonts w:hint="eastAsia"/>
          <w:sz w:val="24"/>
        </w:rPr>
        <w:t>15.7.1 投标人在投标截止时间后至投标有效期期满前撤回其投标的；</w:t>
      </w:r>
    </w:p>
    <w:p>
      <w:pPr>
        <w:ind w:firstLine="480"/>
        <w:rPr>
          <w:sz w:val="24"/>
        </w:rPr>
      </w:pPr>
      <w:r>
        <w:rPr>
          <w:rFonts w:hint="eastAsia"/>
          <w:sz w:val="24"/>
        </w:rPr>
        <w:t>15.7.2 中标（成交）供应商无正当理由拒绝按磋商文件规定与采购人签订合同或未能在规定期限内签署合同的；</w:t>
      </w:r>
    </w:p>
    <w:p>
      <w:pPr>
        <w:ind w:firstLine="480"/>
        <w:rPr>
          <w:sz w:val="24"/>
        </w:rPr>
      </w:pPr>
      <w:r>
        <w:rPr>
          <w:rFonts w:hint="eastAsia"/>
          <w:sz w:val="24"/>
        </w:rPr>
        <w:t>15.7.3提供虚假证明资料谋取中标（成交）的；</w:t>
      </w:r>
    </w:p>
    <w:p>
      <w:pPr>
        <w:ind w:firstLine="480"/>
        <w:rPr>
          <w:sz w:val="24"/>
        </w:rPr>
      </w:pPr>
      <w:r>
        <w:rPr>
          <w:rFonts w:hint="eastAsia"/>
          <w:sz w:val="24"/>
        </w:rPr>
        <w:t>15.7.4经查实属于围标、串通投标的。</w:t>
      </w:r>
    </w:p>
    <w:p>
      <w:pPr>
        <w:pStyle w:val="8"/>
        <w:ind w:firstLine="482"/>
        <w:rPr>
          <w:sz w:val="24"/>
        </w:rPr>
      </w:pPr>
      <w:r>
        <w:rPr>
          <w:rFonts w:hint="eastAsia"/>
          <w:sz w:val="24"/>
        </w:rPr>
        <w:t>16. 标前答疑会和现场集中踏勘：不组织。</w:t>
      </w:r>
    </w:p>
    <w:p>
      <w:pPr>
        <w:pStyle w:val="8"/>
        <w:ind w:firstLine="482"/>
        <w:rPr>
          <w:sz w:val="24"/>
        </w:rPr>
      </w:pPr>
      <w:r>
        <w:rPr>
          <w:rFonts w:hint="eastAsia"/>
          <w:sz w:val="24"/>
        </w:rPr>
        <w:t>17. 投标有效期</w:t>
      </w:r>
    </w:p>
    <w:p>
      <w:pPr>
        <w:ind w:firstLine="480"/>
        <w:rPr>
          <w:sz w:val="24"/>
        </w:rPr>
      </w:pPr>
      <w:r>
        <w:rPr>
          <w:rFonts w:hint="eastAsia"/>
          <w:sz w:val="24"/>
        </w:rPr>
        <w:t>17.1 投标有效期见本须知前附表所规定的期限，在此期限内，凡符合本磋商文件要求的投标文件均保持有效。</w:t>
      </w:r>
      <w:r>
        <w:rPr>
          <w:rFonts w:hint="eastAsia"/>
          <w:b/>
          <w:bCs/>
          <w:sz w:val="24"/>
        </w:rPr>
        <w:t>投标有效期不足的，在评标时将其视为无效投标。</w:t>
      </w:r>
    </w:p>
    <w:p>
      <w:pPr>
        <w:ind w:firstLine="480"/>
        <w:rPr>
          <w:sz w:val="24"/>
        </w:rPr>
      </w:pPr>
      <w:r>
        <w:rPr>
          <w:rFonts w:hint="eastAsia"/>
          <w:sz w:val="24"/>
        </w:rPr>
        <w:t>17.2 在特殊情况下，采购人在原定的投标有效期内，可以根据需要以书面形式向投标人提出延长投标有效期的要求，对此要求投标人须以书面形式予以答复。投标人拒绝延长的，其投标在原投标有效期期届满后将不再有效，但有权收回其投标保证金；同意延长投标有效期的投标人既不能要求也不允许修改或撤回其投标文件。</w:t>
      </w:r>
    </w:p>
    <w:p>
      <w:pPr>
        <w:pStyle w:val="7"/>
        <w:ind w:firstLine="482"/>
        <w:rPr>
          <w:sz w:val="24"/>
          <w:szCs w:val="24"/>
        </w:rPr>
      </w:pPr>
      <w:r>
        <w:rPr>
          <w:rFonts w:hint="eastAsia"/>
          <w:sz w:val="24"/>
          <w:szCs w:val="24"/>
        </w:rPr>
        <w:t>（三） 投标文件的编制</w:t>
      </w:r>
    </w:p>
    <w:p>
      <w:pPr>
        <w:pStyle w:val="8"/>
        <w:ind w:firstLine="482"/>
        <w:rPr>
          <w:sz w:val="24"/>
        </w:rPr>
      </w:pPr>
      <w:r>
        <w:rPr>
          <w:rFonts w:hint="eastAsia"/>
          <w:sz w:val="24"/>
        </w:rPr>
        <w:t>18. 投标文件编制要求</w:t>
      </w:r>
    </w:p>
    <w:p>
      <w:pPr>
        <w:ind w:firstLine="480"/>
        <w:rPr>
          <w:sz w:val="24"/>
        </w:rPr>
      </w:pPr>
      <w:r>
        <w:rPr>
          <w:rFonts w:hint="eastAsia"/>
          <w:sz w:val="24"/>
        </w:rPr>
        <w:t>18.1投标人提交的投标文件及投标人与采购代理机构就有关投标的所有来往函电均使用中文。</w:t>
      </w:r>
    </w:p>
    <w:p>
      <w:pPr>
        <w:pStyle w:val="8"/>
        <w:ind w:firstLine="482"/>
        <w:rPr>
          <w:sz w:val="24"/>
        </w:rPr>
      </w:pPr>
      <w:r>
        <w:rPr>
          <w:rFonts w:hint="eastAsia"/>
          <w:sz w:val="24"/>
        </w:rPr>
        <w:t>19. 投标文件编制的依据</w:t>
      </w:r>
    </w:p>
    <w:p>
      <w:pPr>
        <w:ind w:firstLine="480"/>
        <w:rPr>
          <w:sz w:val="24"/>
        </w:rPr>
      </w:pPr>
      <w:r>
        <w:rPr>
          <w:rFonts w:hint="eastAsia"/>
          <w:sz w:val="24"/>
        </w:rPr>
        <w:t>19.1 采购人提供的有关资料；</w:t>
      </w:r>
    </w:p>
    <w:p>
      <w:pPr>
        <w:ind w:firstLine="480"/>
        <w:rPr>
          <w:sz w:val="24"/>
        </w:rPr>
      </w:pPr>
      <w:r>
        <w:rPr>
          <w:rFonts w:hint="eastAsia"/>
          <w:sz w:val="24"/>
        </w:rPr>
        <w:t>19.2 本磋商文件及磋商文件的修改或者澄清；</w:t>
      </w:r>
    </w:p>
    <w:p>
      <w:pPr>
        <w:ind w:firstLine="480"/>
        <w:rPr>
          <w:sz w:val="24"/>
        </w:rPr>
      </w:pPr>
      <w:r>
        <w:rPr>
          <w:rFonts w:hint="eastAsia"/>
          <w:sz w:val="24"/>
        </w:rPr>
        <w:t>19.3 相关的法律、法规和规定。</w:t>
      </w:r>
    </w:p>
    <w:p>
      <w:pPr>
        <w:pStyle w:val="8"/>
        <w:ind w:firstLine="482"/>
        <w:rPr>
          <w:sz w:val="24"/>
        </w:rPr>
      </w:pPr>
      <w:r>
        <w:rPr>
          <w:rFonts w:hint="eastAsia"/>
          <w:sz w:val="24"/>
        </w:rPr>
        <w:t>20. 投标文件的组成</w:t>
      </w:r>
    </w:p>
    <w:p>
      <w:pPr>
        <w:ind w:firstLine="480"/>
        <w:rPr>
          <w:sz w:val="24"/>
        </w:rPr>
      </w:pPr>
      <w:r>
        <w:rPr>
          <w:rFonts w:hint="eastAsia"/>
          <w:sz w:val="24"/>
        </w:rPr>
        <w:t xml:space="preserve">20.1投标文件的组成： </w:t>
      </w:r>
    </w:p>
    <w:p>
      <w:pPr>
        <w:ind w:firstLine="480"/>
        <w:rPr>
          <w:sz w:val="24"/>
        </w:rPr>
      </w:pPr>
      <w:r>
        <w:rPr>
          <w:rFonts w:hint="eastAsia"/>
          <w:sz w:val="24"/>
        </w:rPr>
        <w:t>投标人应当根据磋商文件要求编制响应文件，并根据自己的商务能力、技术水平对磋商文件提出的要求和条件逐条标明是否响应。</w:t>
      </w:r>
    </w:p>
    <w:p>
      <w:pPr>
        <w:ind w:firstLine="480"/>
        <w:rPr>
          <w:sz w:val="24"/>
        </w:rPr>
      </w:pPr>
      <w:r>
        <w:rPr>
          <w:rFonts w:hint="eastAsia"/>
          <w:sz w:val="24"/>
        </w:rPr>
        <w:t>20.2 投标文件主要包括但不限于以下内容：</w:t>
      </w:r>
    </w:p>
    <w:p>
      <w:pPr>
        <w:ind w:firstLine="480"/>
        <w:rPr>
          <w:sz w:val="24"/>
        </w:rPr>
      </w:pPr>
      <w:bookmarkStart w:id="46" w:name="_Hlk519798401"/>
      <w:r>
        <w:rPr>
          <w:rFonts w:hint="eastAsia"/>
          <w:sz w:val="24"/>
        </w:rPr>
        <w:t>投标文件目录</w:t>
      </w:r>
    </w:p>
    <w:p>
      <w:pPr>
        <w:ind w:firstLine="480"/>
        <w:rPr>
          <w:sz w:val="24"/>
        </w:rPr>
      </w:pPr>
      <w:r>
        <w:rPr>
          <w:rFonts w:hint="eastAsia"/>
          <w:sz w:val="24"/>
        </w:rPr>
        <w:t>商务技术部分主要包括但不限于以下内容：</w:t>
      </w:r>
    </w:p>
    <w:p>
      <w:pPr>
        <w:ind w:firstLine="480"/>
        <w:rPr>
          <w:sz w:val="24"/>
        </w:rPr>
      </w:pPr>
      <w:bookmarkStart w:id="47" w:name="_Hlk519798213"/>
      <w:r>
        <w:rPr>
          <w:rFonts w:hint="eastAsia"/>
          <w:sz w:val="24"/>
        </w:rPr>
        <w:t>（1）投标人概况及企业综合实力[包括不限于：</w:t>
      </w:r>
      <w:r>
        <w:rPr>
          <w:rFonts w:hint="eastAsia"/>
          <w:sz w:val="24"/>
          <w:lang w:val="en-US" w:eastAsia="zh-CN"/>
        </w:rPr>
        <w:t>有效的中华人民共和国企业法人营业执照或事业单位法人证书</w:t>
      </w:r>
      <w:r>
        <w:rPr>
          <w:rFonts w:hint="eastAsia"/>
          <w:sz w:val="24"/>
        </w:rPr>
        <w:t>；依法纳税承诺；投标资格声明；参加政府采购活动前3年内在经营活动中没有重大违法记录的书面声明；“信用中国网站（www.creditchina.gov.cn）、中国</w:t>
      </w:r>
      <w:r>
        <w:fldChar w:fldCharType="begin"/>
      </w:r>
      <w:r>
        <w:instrText xml:space="preserve"> HYPERLINK "http://www.caigou2003.com/" \t "_blank" </w:instrText>
      </w:r>
      <w:r>
        <w:fldChar w:fldCharType="separate"/>
      </w:r>
      <w:r>
        <w:rPr>
          <w:rFonts w:hint="eastAsia"/>
          <w:sz w:val="24"/>
        </w:rPr>
        <w:t>政府采购网</w:t>
      </w:r>
      <w:r>
        <w:rPr>
          <w:rFonts w:hint="eastAsia"/>
          <w:sz w:val="24"/>
        </w:rPr>
        <w:fldChar w:fldCharType="end"/>
      </w:r>
      <w:r>
        <w:rPr>
          <w:rFonts w:hint="eastAsia"/>
          <w:sz w:val="24"/>
        </w:rPr>
        <w:t>（www.ccgp.gov.cn）”网站的信用查询截图；采购文件中规定的资质、资格证明文件复印件；采购文件中采购人根据采购项目的特殊要求规定的特定条件证明文件复印件；</w:t>
      </w:r>
    </w:p>
    <w:p>
      <w:pPr>
        <w:ind w:firstLine="480"/>
        <w:rPr>
          <w:sz w:val="24"/>
        </w:rPr>
      </w:pPr>
      <w:r>
        <w:rPr>
          <w:rFonts w:hint="eastAsia"/>
          <w:sz w:val="24"/>
        </w:rPr>
        <w:t>（2）投标函；</w:t>
      </w:r>
    </w:p>
    <w:p>
      <w:pPr>
        <w:ind w:firstLine="480"/>
        <w:rPr>
          <w:sz w:val="24"/>
        </w:rPr>
      </w:pPr>
      <w:r>
        <w:rPr>
          <w:rFonts w:hint="eastAsia"/>
          <w:sz w:val="24"/>
        </w:rPr>
        <w:t>（</w:t>
      </w:r>
      <w:r>
        <w:rPr>
          <w:rFonts w:hint="eastAsia"/>
          <w:sz w:val="24"/>
          <w:lang w:val="en-US" w:eastAsia="zh-CN"/>
        </w:rPr>
        <w:t>3</w:t>
      </w:r>
      <w:r>
        <w:rPr>
          <w:rFonts w:hint="eastAsia"/>
          <w:sz w:val="24"/>
        </w:rPr>
        <w:t>）法定代表人身份证明书（原件）和法定代表人身份证（复印件）或者法定代表人授权委托书（原件）及被授权人身份证（复印件）；</w:t>
      </w:r>
    </w:p>
    <w:p>
      <w:pPr>
        <w:ind w:firstLine="480"/>
        <w:rPr>
          <w:sz w:val="24"/>
        </w:rPr>
      </w:pPr>
      <w:r>
        <w:rPr>
          <w:rFonts w:hint="eastAsia"/>
          <w:sz w:val="24"/>
        </w:rPr>
        <w:t>（</w:t>
      </w:r>
      <w:r>
        <w:rPr>
          <w:rFonts w:hint="eastAsia"/>
          <w:sz w:val="24"/>
          <w:lang w:val="en-US" w:eastAsia="zh-CN"/>
        </w:rPr>
        <w:t>4</w:t>
      </w:r>
      <w:r>
        <w:rPr>
          <w:rFonts w:hint="eastAsia"/>
          <w:sz w:val="24"/>
        </w:rPr>
        <w:t>）投标保证金缴纳凭证复印件；</w:t>
      </w:r>
    </w:p>
    <w:p>
      <w:pPr>
        <w:ind w:firstLine="480"/>
        <w:rPr>
          <w:sz w:val="24"/>
        </w:rPr>
      </w:pPr>
      <w:r>
        <w:rPr>
          <w:rFonts w:hint="eastAsia"/>
          <w:sz w:val="24"/>
        </w:rPr>
        <w:t>（</w:t>
      </w:r>
      <w:r>
        <w:rPr>
          <w:rFonts w:hint="eastAsia"/>
          <w:sz w:val="24"/>
          <w:lang w:val="en-US" w:eastAsia="zh-CN"/>
        </w:rPr>
        <w:t>5</w:t>
      </w:r>
      <w:r>
        <w:rPr>
          <w:rFonts w:hint="eastAsia"/>
          <w:sz w:val="24"/>
        </w:rPr>
        <w:t>）项目负责人简历表；附项目负责人身份证、职称证或学历证书等有关证明材料复印件；</w:t>
      </w:r>
    </w:p>
    <w:p>
      <w:pPr>
        <w:ind w:firstLine="480"/>
        <w:rPr>
          <w:sz w:val="24"/>
        </w:rPr>
      </w:pPr>
      <w:r>
        <w:rPr>
          <w:rFonts w:hint="eastAsia"/>
          <w:sz w:val="24"/>
        </w:rPr>
        <w:t>（6）拟投入本项目的人员及设备一览表；</w:t>
      </w:r>
    </w:p>
    <w:p>
      <w:pPr>
        <w:ind w:firstLine="480"/>
        <w:rPr>
          <w:sz w:val="24"/>
        </w:rPr>
      </w:pPr>
      <w:r>
        <w:rPr>
          <w:rFonts w:hint="eastAsia"/>
          <w:sz w:val="24"/>
        </w:rPr>
        <w:t>（</w:t>
      </w:r>
      <w:r>
        <w:rPr>
          <w:rFonts w:hint="eastAsia"/>
          <w:sz w:val="24"/>
          <w:lang w:val="en-US" w:eastAsia="zh-CN"/>
        </w:rPr>
        <w:t>7</w:t>
      </w:r>
      <w:r>
        <w:rPr>
          <w:rFonts w:hint="eastAsia"/>
          <w:sz w:val="24"/>
        </w:rPr>
        <w:t>）项目服务工作方案（含服务保证方案）；团队人员名单及人员简介；</w:t>
      </w:r>
    </w:p>
    <w:p>
      <w:pPr>
        <w:ind w:firstLine="480"/>
        <w:rPr>
          <w:sz w:val="24"/>
        </w:rPr>
      </w:pPr>
      <w:r>
        <w:rPr>
          <w:rFonts w:hint="eastAsia"/>
          <w:sz w:val="24"/>
        </w:rPr>
        <w:t>（</w:t>
      </w:r>
      <w:r>
        <w:rPr>
          <w:rFonts w:hint="eastAsia"/>
          <w:sz w:val="24"/>
          <w:lang w:val="en-US" w:eastAsia="zh-CN"/>
        </w:rPr>
        <w:t>8</w:t>
      </w:r>
      <w:r>
        <w:rPr>
          <w:rFonts w:hint="eastAsia"/>
          <w:sz w:val="24"/>
        </w:rPr>
        <w:t>）质量承诺；进度承诺；服务承诺；优惠条件；</w:t>
      </w:r>
    </w:p>
    <w:p>
      <w:pPr>
        <w:ind w:firstLine="480"/>
        <w:rPr>
          <w:sz w:val="24"/>
        </w:rPr>
      </w:pPr>
      <w:r>
        <w:rPr>
          <w:rFonts w:hint="eastAsia"/>
          <w:sz w:val="24"/>
        </w:rPr>
        <w:t>（</w:t>
      </w:r>
      <w:r>
        <w:rPr>
          <w:rFonts w:hint="eastAsia"/>
          <w:sz w:val="24"/>
          <w:lang w:val="en-US" w:eastAsia="zh-CN"/>
        </w:rPr>
        <w:t>9</w:t>
      </w:r>
      <w:r>
        <w:rPr>
          <w:rFonts w:hint="eastAsia"/>
          <w:sz w:val="24"/>
        </w:rPr>
        <w:t>）商务条款偏离表；技术条款偏离表；</w:t>
      </w:r>
    </w:p>
    <w:p>
      <w:pPr>
        <w:ind w:firstLine="480"/>
        <w:rPr>
          <w:sz w:val="24"/>
        </w:rPr>
      </w:pPr>
      <w:r>
        <w:rPr>
          <w:rFonts w:hint="eastAsia"/>
          <w:sz w:val="24"/>
        </w:rPr>
        <w:t>（</w:t>
      </w:r>
      <w:r>
        <w:rPr>
          <w:rFonts w:hint="eastAsia"/>
          <w:sz w:val="24"/>
          <w:lang w:val="en-US" w:eastAsia="zh-CN"/>
        </w:rPr>
        <w:t>10</w:t>
      </w:r>
      <w:r>
        <w:rPr>
          <w:rFonts w:hint="eastAsia"/>
          <w:sz w:val="24"/>
        </w:rPr>
        <w:t>）投标人认为有必要提供的其他资格证明文件和商务相关资料；投标人认为有必要提供的其它技术相关资料。</w:t>
      </w:r>
    </w:p>
    <w:bookmarkEnd w:id="47"/>
    <w:p>
      <w:pPr>
        <w:ind w:firstLine="482"/>
        <w:rPr>
          <w:sz w:val="24"/>
        </w:rPr>
      </w:pPr>
      <w:r>
        <w:rPr>
          <w:rFonts w:hint="eastAsia"/>
          <w:b/>
          <w:bCs/>
          <w:sz w:val="24"/>
        </w:rPr>
        <w:t>经济部分主要包括但不限于以下内容：</w:t>
      </w:r>
    </w:p>
    <w:p>
      <w:pPr>
        <w:ind w:firstLine="480"/>
        <w:rPr>
          <w:sz w:val="24"/>
        </w:rPr>
      </w:pPr>
      <w:r>
        <w:rPr>
          <w:rFonts w:hint="eastAsia"/>
          <w:sz w:val="24"/>
        </w:rPr>
        <w:t>（1）投标报价一览表；</w:t>
      </w:r>
    </w:p>
    <w:p>
      <w:pPr>
        <w:ind w:firstLine="480"/>
        <w:rPr>
          <w:sz w:val="24"/>
        </w:rPr>
      </w:pPr>
      <w:r>
        <w:rPr>
          <w:rFonts w:hint="eastAsia"/>
          <w:sz w:val="24"/>
        </w:rPr>
        <w:t>（2）明细报价清单；</w:t>
      </w:r>
    </w:p>
    <w:p>
      <w:pPr>
        <w:ind w:firstLine="480"/>
        <w:rPr>
          <w:sz w:val="24"/>
        </w:rPr>
      </w:pPr>
      <w:r>
        <w:rPr>
          <w:rFonts w:hint="eastAsia"/>
          <w:sz w:val="24"/>
        </w:rPr>
        <w:t>（3）报价需要的其他资料。</w:t>
      </w:r>
    </w:p>
    <w:bookmarkEnd w:id="46"/>
    <w:p>
      <w:pPr>
        <w:pStyle w:val="8"/>
        <w:ind w:firstLine="482"/>
        <w:rPr>
          <w:sz w:val="24"/>
        </w:rPr>
      </w:pPr>
      <w:r>
        <w:rPr>
          <w:rFonts w:hint="eastAsia"/>
          <w:sz w:val="24"/>
        </w:rPr>
        <w:t>21. 投标文件的编制及格式</w:t>
      </w:r>
    </w:p>
    <w:p>
      <w:pPr>
        <w:ind w:firstLine="480"/>
        <w:rPr>
          <w:sz w:val="24"/>
        </w:rPr>
      </w:pPr>
      <w:r>
        <w:rPr>
          <w:rFonts w:hint="eastAsia"/>
          <w:sz w:val="24"/>
        </w:rPr>
        <w:t>21.1 投标文件包括本磋商文件第20条规定的内容，投标人提供的投标文件应当使用磋商文件所提供投标文件格式（表格可按照同样格式扩展），并保证所提供的资料的真实性。未提供格式的，投标人可自行编制。</w:t>
      </w:r>
    </w:p>
    <w:p>
      <w:pPr>
        <w:ind w:firstLine="480"/>
        <w:rPr>
          <w:sz w:val="24"/>
        </w:rPr>
      </w:pPr>
      <w:r>
        <w:rPr>
          <w:rFonts w:hint="eastAsia"/>
          <w:sz w:val="24"/>
        </w:rPr>
        <w:t>21.2 磋商文件要求提供的所有证书、合同、获奖表彰文件等采购要求的证明资料，均使用复印件，特别说明为原件的除外。本磋商文件规定的投标文件编制中所需提交的证明材料复印件须加盖投标人公章, 否则视为非实质响应磋商文件。</w:t>
      </w:r>
    </w:p>
    <w:p>
      <w:pPr>
        <w:ind w:firstLine="480"/>
        <w:rPr>
          <w:sz w:val="24"/>
        </w:rPr>
      </w:pPr>
      <w:r>
        <w:rPr>
          <w:rFonts w:hint="eastAsia"/>
          <w:sz w:val="24"/>
        </w:rPr>
        <w:t>21.3 投标文件严禁涂改或行间插字和增删。除非这些修改是根据采购人的指示进行的，或者是投标人造成的必须修改的错误，必要的修改处必须有投标人法人代表或其授权代表人签字。</w:t>
      </w:r>
    </w:p>
    <w:p>
      <w:pPr>
        <w:ind w:firstLine="480"/>
        <w:rPr>
          <w:sz w:val="24"/>
        </w:rPr>
      </w:pPr>
      <w:r>
        <w:rPr>
          <w:rFonts w:hint="eastAsia"/>
          <w:sz w:val="24"/>
        </w:rPr>
        <w:t>21.4 磋商文件中分标段的，</w:t>
      </w:r>
      <w:r>
        <w:rPr>
          <w:rFonts w:hint="eastAsia"/>
          <w:sz w:val="24"/>
          <w:lang w:val="zh-CN"/>
        </w:rPr>
        <w:t>投标人须针对本单位所投标段分别编制投标文件并单独提交。</w:t>
      </w:r>
      <w:r>
        <w:rPr>
          <w:rFonts w:hint="eastAsia"/>
          <w:sz w:val="24"/>
        </w:rPr>
        <w:t>投标人应当按照磋商文件的要求编制投标文件。投标文件应当对磋商文件提出的要求和条件作出明确响应。</w:t>
      </w:r>
    </w:p>
    <w:p>
      <w:pPr>
        <w:pStyle w:val="8"/>
        <w:ind w:firstLine="482"/>
        <w:rPr>
          <w:sz w:val="24"/>
        </w:rPr>
      </w:pPr>
      <w:r>
        <w:rPr>
          <w:rFonts w:hint="eastAsia"/>
          <w:sz w:val="24"/>
        </w:rPr>
        <w:t>22. 投标文件的份数和签署</w:t>
      </w:r>
    </w:p>
    <w:p>
      <w:pPr>
        <w:ind w:firstLine="480"/>
        <w:rPr>
          <w:sz w:val="24"/>
        </w:rPr>
      </w:pPr>
      <w:r>
        <w:rPr>
          <w:rFonts w:hint="eastAsia"/>
          <w:sz w:val="24"/>
        </w:rPr>
        <w:t>22.1 投标人应当按照本须知前附表规定的份数提交投标文件。否则视为非实质响应磋商文件的投标。</w:t>
      </w:r>
    </w:p>
    <w:p>
      <w:pPr>
        <w:ind w:firstLine="480"/>
        <w:rPr>
          <w:sz w:val="24"/>
        </w:rPr>
      </w:pPr>
      <w:r>
        <w:rPr>
          <w:rFonts w:hint="eastAsia"/>
          <w:sz w:val="24"/>
        </w:rPr>
        <w:t>22.2 投标文件均须印刷体打印。</w:t>
      </w:r>
    </w:p>
    <w:p>
      <w:pPr>
        <w:ind w:firstLine="480"/>
        <w:rPr>
          <w:sz w:val="24"/>
        </w:rPr>
      </w:pPr>
      <w:r>
        <w:rPr>
          <w:rFonts w:hint="eastAsia"/>
          <w:sz w:val="24"/>
        </w:rPr>
        <w:t>22.3 投标文件签署要求均应符合采购要求。投标文件未按照上述规定编制，初步评审将不予已通过。</w:t>
      </w:r>
    </w:p>
    <w:p>
      <w:pPr>
        <w:ind w:firstLine="480"/>
        <w:rPr>
          <w:sz w:val="24"/>
        </w:rPr>
      </w:pPr>
      <w:r>
        <w:rPr>
          <w:rFonts w:hint="eastAsia"/>
          <w:sz w:val="24"/>
        </w:rPr>
        <w:t>22.4 发生下列情况之一者，应在资格性、符合性检查时按照无效投标处理：</w:t>
      </w:r>
    </w:p>
    <w:p>
      <w:pPr>
        <w:ind w:firstLine="480"/>
        <w:rPr>
          <w:sz w:val="24"/>
        </w:rPr>
      </w:pPr>
      <w:r>
        <w:rPr>
          <w:rFonts w:hint="eastAsia"/>
          <w:sz w:val="24"/>
        </w:rPr>
        <w:t>（1）应缴未缴投标保证金或金额不足、投标保证金缴纳形式不符合磋商文件要求的；</w:t>
      </w:r>
    </w:p>
    <w:p>
      <w:pPr>
        <w:ind w:firstLine="480"/>
        <w:rPr>
          <w:sz w:val="24"/>
        </w:rPr>
      </w:pPr>
      <w:r>
        <w:rPr>
          <w:rFonts w:hint="eastAsia"/>
          <w:sz w:val="24"/>
        </w:rPr>
        <w:t>（2）未按照磋商文件规定要求密封、签署、盖章、提交投标文件的；</w:t>
      </w:r>
    </w:p>
    <w:p>
      <w:pPr>
        <w:ind w:firstLine="480"/>
        <w:rPr>
          <w:sz w:val="24"/>
        </w:rPr>
      </w:pPr>
      <w:r>
        <w:rPr>
          <w:rFonts w:hint="eastAsia"/>
          <w:sz w:val="24"/>
        </w:rPr>
        <w:t>（3）联合体未提交联合协议，或未提交联合体各方资格证明文件（如接受联合体的）；</w:t>
      </w:r>
    </w:p>
    <w:p>
      <w:pPr>
        <w:ind w:firstLine="480"/>
        <w:rPr>
          <w:sz w:val="24"/>
        </w:rPr>
      </w:pPr>
      <w:r>
        <w:rPr>
          <w:rFonts w:hint="eastAsia"/>
          <w:sz w:val="24"/>
        </w:rPr>
        <w:t xml:space="preserve">（4）参加政府采购活动前三年内，在经营活动中有重大违法记录的； </w:t>
      </w:r>
    </w:p>
    <w:p>
      <w:pPr>
        <w:ind w:firstLine="480"/>
        <w:rPr>
          <w:sz w:val="24"/>
        </w:rPr>
      </w:pPr>
      <w:r>
        <w:rPr>
          <w:rFonts w:hint="eastAsia"/>
          <w:sz w:val="24"/>
        </w:rPr>
        <w:t>（5）不具备磋商文件规定资格要求的；</w:t>
      </w:r>
    </w:p>
    <w:p>
      <w:pPr>
        <w:ind w:firstLine="480"/>
        <w:rPr>
          <w:sz w:val="24"/>
        </w:rPr>
      </w:pPr>
      <w:r>
        <w:rPr>
          <w:rFonts w:hint="eastAsia"/>
          <w:sz w:val="24"/>
        </w:rPr>
        <w:t>（6）不满足“投标须知”规定的实质性要求的；</w:t>
      </w:r>
    </w:p>
    <w:p>
      <w:pPr>
        <w:ind w:firstLine="480"/>
        <w:rPr>
          <w:sz w:val="24"/>
        </w:rPr>
      </w:pPr>
      <w:r>
        <w:rPr>
          <w:rFonts w:hint="eastAsia"/>
          <w:sz w:val="24"/>
        </w:rPr>
        <w:t>（7）投标报价超过采购项目预算或最高限价的；</w:t>
      </w:r>
    </w:p>
    <w:p>
      <w:pPr>
        <w:ind w:firstLine="480"/>
        <w:rPr>
          <w:sz w:val="24"/>
        </w:rPr>
      </w:pPr>
      <w:r>
        <w:rPr>
          <w:rFonts w:hint="eastAsia"/>
          <w:sz w:val="24"/>
        </w:rPr>
        <w:t>（8）同一投标人提交两个以上不同的投标文件或者投标报价的（磋商文件要求允许提交备选方案的除外）；</w:t>
      </w:r>
    </w:p>
    <w:p>
      <w:pPr>
        <w:ind w:firstLine="480"/>
        <w:rPr>
          <w:sz w:val="24"/>
        </w:rPr>
      </w:pPr>
      <w:r>
        <w:rPr>
          <w:rFonts w:hint="eastAsia"/>
          <w:sz w:val="24"/>
        </w:rPr>
        <w:t>（9）投标文件载明的投标范围小于磋商文件规定的采购范围的(缺漏磋商文件所要求的内容)；</w:t>
      </w:r>
    </w:p>
    <w:p>
      <w:pPr>
        <w:ind w:firstLine="480"/>
        <w:rPr>
          <w:sz w:val="24"/>
        </w:rPr>
      </w:pPr>
      <w:r>
        <w:rPr>
          <w:rFonts w:hint="eastAsia"/>
          <w:sz w:val="24"/>
        </w:rPr>
        <w:t>（10）投标有效期不足的；</w:t>
      </w:r>
    </w:p>
    <w:p>
      <w:pPr>
        <w:ind w:firstLine="480"/>
        <w:rPr>
          <w:sz w:val="24"/>
        </w:rPr>
      </w:pPr>
      <w:r>
        <w:rPr>
          <w:rFonts w:hint="eastAsia"/>
          <w:sz w:val="24"/>
        </w:rPr>
        <w:t>（11）投标文件含有采购人不能接受的附加条件的；</w:t>
      </w:r>
    </w:p>
    <w:p>
      <w:pPr>
        <w:ind w:firstLine="480"/>
        <w:rPr>
          <w:sz w:val="24"/>
        </w:rPr>
      </w:pPr>
      <w:r>
        <w:rPr>
          <w:rFonts w:hint="eastAsia"/>
          <w:sz w:val="24"/>
        </w:rPr>
        <w:t>（12）不符合法律、法规和磋商文件规定的其他无效情形。</w:t>
      </w:r>
    </w:p>
    <w:p>
      <w:pPr>
        <w:pStyle w:val="7"/>
        <w:ind w:firstLine="482"/>
        <w:rPr>
          <w:sz w:val="24"/>
          <w:szCs w:val="24"/>
        </w:rPr>
      </w:pPr>
      <w:r>
        <w:rPr>
          <w:rFonts w:hint="eastAsia"/>
          <w:sz w:val="24"/>
          <w:szCs w:val="24"/>
        </w:rPr>
        <w:t>（四） 投标文件的递交</w:t>
      </w:r>
    </w:p>
    <w:p>
      <w:pPr>
        <w:pStyle w:val="8"/>
        <w:ind w:firstLine="482"/>
        <w:rPr>
          <w:sz w:val="24"/>
        </w:rPr>
      </w:pPr>
      <w:r>
        <w:rPr>
          <w:rFonts w:hint="eastAsia"/>
          <w:sz w:val="24"/>
        </w:rPr>
        <w:t>23. 投标文件的封装与标记</w:t>
      </w:r>
    </w:p>
    <w:p>
      <w:pPr>
        <w:ind w:firstLine="480"/>
        <w:rPr>
          <w:sz w:val="24"/>
        </w:rPr>
      </w:pPr>
      <w:r>
        <w:rPr>
          <w:rFonts w:hint="eastAsia"/>
          <w:sz w:val="24"/>
        </w:rPr>
        <w:t>23.1</w:t>
      </w:r>
      <w:r>
        <w:rPr>
          <w:rFonts w:hint="eastAsia"/>
          <w:b/>
          <w:bCs/>
          <w:sz w:val="24"/>
        </w:rPr>
        <w:t>纸质版投标文件：</w:t>
      </w:r>
      <w:r>
        <w:rPr>
          <w:rFonts w:hint="eastAsia"/>
          <w:sz w:val="24"/>
        </w:rPr>
        <w:t>封面须注明“项目名称、项目编号、投标人、地址、邮政编码、联系人及联系电话、编制时间”，投标文件封面右上角须标明“正本”、“副本”字样，同时加盖投标人法人公章、法定代表人印章。“正本”、“副本”如有不一致时，以“正本”为准。投标文件正本1份与副本3份须分开密封装订，在外封套表面加贴封条，注明“纸质版投标文件”、“正本”、“副本”字样、标注“ 年月日时分（开标时间）开标前不得开启”，并在启封处加盖公章、法定代表人印章，并应确保密封完好。</w:t>
      </w:r>
    </w:p>
    <w:p>
      <w:pPr>
        <w:ind w:firstLine="480"/>
        <w:rPr>
          <w:sz w:val="24"/>
        </w:rPr>
      </w:pPr>
      <w:r>
        <w:rPr>
          <w:rFonts w:hint="eastAsia"/>
          <w:sz w:val="24"/>
        </w:rPr>
        <w:t>23.</w:t>
      </w:r>
      <w:r>
        <w:rPr>
          <w:rFonts w:hint="eastAsia"/>
          <w:sz w:val="24"/>
          <w:lang w:val="en-US" w:eastAsia="zh-CN"/>
        </w:rPr>
        <w:t>2</w:t>
      </w:r>
      <w:r>
        <w:rPr>
          <w:rFonts w:hint="eastAsia"/>
          <w:b/>
          <w:bCs/>
          <w:sz w:val="24"/>
        </w:rPr>
        <w:t>投标人须按投标文件编制目录顺序合并装订、标识、密封后提交（如内容多可分册装订，标明投标文件第xx分册）</w:t>
      </w:r>
      <w:r>
        <w:rPr>
          <w:rFonts w:hint="eastAsia"/>
          <w:sz w:val="24"/>
        </w:rPr>
        <w:t>。</w:t>
      </w:r>
    </w:p>
    <w:p>
      <w:pPr>
        <w:ind w:firstLine="480"/>
        <w:rPr>
          <w:sz w:val="24"/>
        </w:rPr>
      </w:pPr>
      <w:r>
        <w:rPr>
          <w:rFonts w:hint="eastAsia"/>
          <w:sz w:val="24"/>
        </w:rPr>
        <w:t>23.</w:t>
      </w:r>
      <w:r>
        <w:rPr>
          <w:rFonts w:hint="eastAsia"/>
          <w:sz w:val="24"/>
          <w:lang w:val="en-US" w:eastAsia="zh-CN"/>
        </w:rPr>
        <w:t>3</w:t>
      </w:r>
      <w:r>
        <w:rPr>
          <w:rFonts w:hint="eastAsia"/>
          <w:sz w:val="24"/>
        </w:rPr>
        <w:t>为方便评委查看，投标人投标文件须编制目录、页码。</w:t>
      </w:r>
    </w:p>
    <w:p>
      <w:pPr>
        <w:ind w:firstLine="480"/>
        <w:rPr>
          <w:sz w:val="24"/>
        </w:rPr>
      </w:pPr>
      <w:r>
        <w:rPr>
          <w:rFonts w:hint="eastAsia"/>
          <w:sz w:val="24"/>
        </w:rPr>
        <w:t>23.</w:t>
      </w:r>
      <w:r>
        <w:rPr>
          <w:rFonts w:hint="eastAsia"/>
          <w:sz w:val="24"/>
          <w:lang w:val="en-US" w:eastAsia="zh-CN"/>
        </w:rPr>
        <w:t>4</w:t>
      </w:r>
      <w:r>
        <w:rPr>
          <w:rFonts w:hint="eastAsia"/>
          <w:sz w:val="24"/>
        </w:rPr>
        <w:t>未按照采购文件关于投标文件编制规定格式、内容和密封、签署、盖章、标识及提交要求的投标文件将被拒绝，并退还给投标人。</w:t>
      </w:r>
    </w:p>
    <w:p>
      <w:pPr>
        <w:pStyle w:val="8"/>
        <w:ind w:firstLine="482"/>
        <w:rPr>
          <w:sz w:val="24"/>
        </w:rPr>
      </w:pPr>
      <w:r>
        <w:rPr>
          <w:rFonts w:hint="eastAsia"/>
          <w:sz w:val="24"/>
        </w:rPr>
        <w:t>24. 投标文件的提交</w:t>
      </w:r>
    </w:p>
    <w:p>
      <w:pPr>
        <w:ind w:firstLine="480"/>
        <w:rPr>
          <w:sz w:val="24"/>
        </w:rPr>
      </w:pPr>
      <w:r>
        <w:rPr>
          <w:rFonts w:hint="eastAsia"/>
          <w:sz w:val="24"/>
        </w:rPr>
        <w:t>投标人应当按照本投标须知前附表所规定的地点，于投标截止时间前提交投标文件。</w:t>
      </w:r>
    </w:p>
    <w:p>
      <w:pPr>
        <w:pStyle w:val="8"/>
        <w:ind w:firstLine="482"/>
        <w:rPr>
          <w:sz w:val="24"/>
        </w:rPr>
      </w:pPr>
      <w:r>
        <w:rPr>
          <w:rFonts w:hint="eastAsia"/>
          <w:sz w:val="24"/>
        </w:rPr>
        <w:t>25. 投标文件提交的截止时间</w:t>
      </w:r>
    </w:p>
    <w:p>
      <w:pPr>
        <w:ind w:firstLine="480"/>
        <w:rPr>
          <w:sz w:val="24"/>
        </w:rPr>
      </w:pPr>
      <w:r>
        <w:rPr>
          <w:rFonts w:hint="eastAsia"/>
          <w:sz w:val="24"/>
        </w:rPr>
        <w:t>25.1 投标文件提交的截止时间详见本投标须知前附表规定。</w:t>
      </w:r>
    </w:p>
    <w:p>
      <w:pPr>
        <w:ind w:firstLine="480"/>
        <w:rPr>
          <w:sz w:val="24"/>
        </w:rPr>
      </w:pPr>
      <w:r>
        <w:rPr>
          <w:rFonts w:hint="eastAsia"/>
          <w:sz w:val="24"/>
        </w:rPr>
        <w:t>25.2 采购人可按本磋商文件第13条规定以修改补充通知的方式，酌情延长提交投标书的截止时间。在上述情况下，采购人与投标人在原投标截止时间前的全部权力和义务，将适用于延长后新的投标截止时间。</w:t>
      </w:r>
    </w:p>
    <w:p>
      <w:pPr>
        <w:ind w:firstLine="480"/>
        <w:rPr>
          <w:sz w:val="24"/>
        </w:rPr>
      </w:pPr>
      <w:r>
        <w:rPr>
          <w:rFonts w:hint="eastAsia"/>
          <w:sz w:val="24"/>
        </w:rPr>
        <w:t>25.3 至投标文件递交截止时间，采购人收到的投标文件少于3个的，采购人将依法重新组织采购。评标过程中有效投标人少于3个的，参照执行。</w:t>
      </w:r>
    </w:p>
    <w:p>
      <w:pPr>
        <w:pStyle w:val="8"/>
        <w:ind w:firstLine="482"/>
        <w:rPr>
          <w:sz w:val="24"/>
        </w:rPr>
      </w:pPr>
      <w:r>
        <w:rPr>
          <w:rFonts w:hint="eastAsia"/>
          <w:sz w:val="24"/>
        </w:rPr>
        <w:t>26. 迟交的投标文件</w:t>
      </w:r>
    </w:p>
    <w:p>
      <w:pPr>
        <w:ind w:firstLine="480"/>
        <w:rPr>
          <w:sz w:val="24"/>
        </w:rPr>
      </w:pPr>
      <w:r>
        <w:rPr>
          <w:rFonts w:hint="eastAsia"/>
          <w:sz w:val="24"/>
        </w:rPr>
        <w:t>投标人在本投标须知前附表规定的投标截止时间以后送达的投标文件将被拒绝并退回投标人。</w:t>
      </w:r>
    </w:p>
    <w:p>
      <w:pPr>
        <w:pStyle w:val="8"/>
        <w:ind w:firstLine="482"/>
        <w:rPr>
          <w:sz w:val="24"/>
        </w:rPr>
      </w:pPr>
      <w:r>
        <w:rPr>
          <w:rFonts w:hint="eastAsia"/>
          <w:sz w:val="24"/>
        </w:rPr>
        <w:t>27. 投标文件的补充、修改与撤回</w:t>
      </w:r>
    </w:p>
    <w:p>
      <w:pPr>
        <w:ind w:firstLine="480"/>
        <w:rPr>
          <w:sz w:val="24"/>
        </w:rPr>
      </w:pPr>
      <w:r>
        <w:rPr>
          <w:rFonts w:hint="eastAsia"/>
          <w:sz w:val="24"/>
        </w:rPr>
        <w:t>27.1 投标人可以在投标须知前附表规定的投标截止时间之前，可以以书面形式补充、修改或撤回已提交的投标文件。</w:t>
      </w:r>
    </w:p>
    <w:p>
      <w:pPr>
        <w:ind w:firstLine="480"/>
        <w:rPr>
          <w:sz w:val="24"/>
        </w:rPr>
      </w:pPr>
      <w:r>
        <w:rPr>
          <w:rFonts w:hint="eastAsia"/>
          <w:sz w:val="24"/>
        </w:rPr>
        <w:t>27.2 投标人对投标文件的补充、修改或撤回，应按本磋商文件第 23 条的规定编制、密封、标识和提交，并在内层和外层封套上清楚标明“补充”、“修改”或“撤回”字样。</w:t>
      </w:r>
    </w:p>
    <w:p>
      <w:pPr>
        <w:ind w:firstLine="480"/>
        <w:rPr>
          <w:sz w:val="24"/>
        </w:rPr>
      </w:pPr>
      <w:r>
        <w:rPr>
          <w:rFonts w:hint="eastAsia"/>
          <w:sz w:val="24"/>
        </w:rPr>
        <w:t>27.3 在投标截止时间之后，投标人不得补充、修改投标文件。</w:t>
      </w:r>
    </w:p>
    <w:p>
      <w:pPr>
        <w:pStyle w:val="7"/>
        <w:ind w:firstLine="482"/>
        <w:rPr>
          <w:sz w:val="24"/>
          <w:szCs w:val="24"/>
        </w:rPr>
      </w:pPr>
      <w:r>
        <w:rPr>
          <w:rFonts w:hint="eastAsia"/>
          <w:sz w:val="24"/>
          <w:szCs w:val="24"/>
        </w:rPr>
        <w:t>（五） 开标</w:t>
      </w:r>
    </w:p>
    <w:p>
      <w:pPr>
        <w:pStyle w:val="8"/>
        <w:ind w:firstLine="482"/>
        <w:rPr>
          <w:sz w:val="24"/>
        </w:rPr>
      </w:pPr>
      <w:r>
        <w:rPr>
          <w:rFonts w:hint="eastAsia"/>
          <w:sz w:val="24"/>
        </w:rPr>
        <w:t>28. 开标</w:t>
      </w:r>
    </w:p>
    <w:p>
      <w:pPr>
        <w:ind w:firstLine="480"/>
        <w:rPr>
          <w:sz w:val="24"/>
        </w:rPr>
      </w:pPr>
      <w:r>
        <w:rPr>
          <w:rFonts w:hint="eastAsia"/>
          <w:sz w:val="24"/>
        </w:rPr>
        <w:t>28.1 磋商会议将于投标须知前附表规定的时间和地点召开，邀请投标人参加。磋商小组成员不得参加开标活动。投标人须委派开标代表参加开标。与会的投标人代表应在投标文件递交登记表上签字确认其投标响应文件已递交。在开标前不得开启投标响应文件。</w:t>
      </w:r>
    </w:p>
    <w:p>
      <w:pPr>
        <w:ind w:firstLine="480"/>
        <w:rPr>
          <w:sz w:val="24"/>
        </w:rPr>
      </w:pPr>
      <w:r>
        <w:rPr>
          <w:rFonts w:hint="eastAsia"/>
          <w:sz w:val="24"/>
        </w:rPr>
        <w:t>28.2 开标程序</w:t>
      </w:r>
    </w:p>
    <w:p>
      <w:pPr>
        <w:ind w:firstLine="480"/>
        <w:rPr>
          <w:sz w:val="24"/>
        </w:rPr>
      </w:pPr>
      <w:r>
        <w:rPr>
          <w:rFonts w:hint="eastAsia"/>
          <w:sz w:val="24"/>
        </w:rPr>
        <w:t>28.2.1投标人不足3家的，不得开标。</w:t>
      </w:r>
    </w:p>
    <w:p>
      <w:pPr>
        <w:ind w:firstLine="480"/>
        <w:rPr>
          <w:sz w:val="24"/>
        </w:rPr>
      </w:pPr>
      <w:r>
        <w:rPr>
          <w:rFonts w:hint="eastAsia"/>
          <w:sz w:val="24"/>
        </w:rPr>
        <w:t>28.2.2 开标由采购人或采购代理机构主持；</w:t>
      </w:r>
    </w:p>
    <w:p>
      <w:pPr>
        <w:ind w:firstLine="480"/>
        <w:rPr>
          <w:sz w:val="24"/>
        </w:rPr>
      </w:pPr>
      <w:r>
        <w:rPr>
          <w:rFonts w:hint="eastAsia"/>
          <w:sz w:val="24"/>
        </w:rPr>
        <w:t>28.2.3 宣读开标纪律，介绍采购人监督人；</w:t>
      </w:r>
    </w:p>
    <w:p>
      <w:pPr>
        <w:ind w:firstLine="480"/>
        <w:rPr>
          <w:sz w:val="24"/>
        </w:rPr>
      </w:pPr>
      <w:r>
        <w:rPr>
          <w:rFonts w:hint="eastAsia"/>
          <w:sz w:val="24"/>
        </w:rPr>
        <w:t>28.2.4 由证件齐全、满足要求的投标人或其推选的代表检查各投标人投标文件的送达时间、封装、标识、密封等情况；</w:t>
      </w:r>
    </w:p>
    <w:p>
      <w:pPr>
        <w:ind w:firstLine="480"/>
        <w:rPr>
          <w:sz w:val="24"/>
        </w:rPr>
      </w:pPr>
      <w:r>
        <w:rPr>
          <w:rFonts w:hint="eastAsia"/>
          <w:sz w:val="24"/>
        </w:rPr>
        <w:t>28.2.5 采购人对投标人的有效证件进行资格查验；合格投标人不足3家的，不得评标；</w:t>
      </w:r>
    </w:p>
    <w:p>
      <w:pPr>
        <w:ind w:firstLine="480"/>
        <w:rPr>
          <w:sz w:val="24"/>
        </w:rPr>
      </w:pPr>
      <w:r>
        <w:rPr>
          <w:rFonts w:hint="eastAsia"/>
          <w:sz w:val="24"/>
        </w:rPr>
        <w:t>28.2.</w:t>
      </w:r>
      <w:r>
        <w:rPr>
          <w:rFonts w:hint="eastAsia"/>
          <w:sz w:val="24"/>
          <w:lang w:val="en-US" w:eastAsia="zh-CN"/>
        </w:rPr>
        <w:t>6</w:t>
      </w:r>
      <w:r>
        <w:rPr>
          <w:rFonts w:hint="eastAsia"/>
          <w:sz w:val="24"/>
        </w:rPr>
        <w:t xml:space="preserve"> 按本文件第 25 条已提交了可接受的撤回通知的投标文件及无效投标文件将不予开封。</w:t>
      </w:r>
    </w:p>
    <w:p>
      <w:pPr>
        <w:ind w:firstLine="480"/>
        <w:rPr>
          <w:sz w:val="24"/>
        </w:rPr>
      </w:pPr>
      <w:r>
        <w:rPr>
          <w:rFonts w:hint="eastAsia"/>
          <w:sz w:val="24"/>
        </w:rPr>
        <w:t>28.2.</w:t>
      </w:r>
      <w:r>
        <w:rPr>
          <w:rFonts w:hint="eastAsia"/>
          <w:sz w:val="24"/>
          <w:lang w:val="en-US" w:eastAsia="zh-CN"/>
        </w:rPr>
        <w:t>7</w:t>
      </w:r>
      <w:r>
        <w:rPr>
          <w:rFonts w:hint="eastAsia"/>
          <w:sz w:val="24"/>
        </w:rPr>
        <w:t xml:space="preserve"> 投标人代表对开标过程和开标记录有疑义，以及认为采购人、采购代理机构相关工作人员有需要回避的情形的，应当场提出询问或者回避申请。投标人未参加开标的，视同认可开标结果。</w:t>
      </w:r>
    </w:p>
    <w:p>
      <w:pPr>
        <w:ind w:firstLine="480"/>
        <w:rPr>
          <w:sz w:val="24"/>
        </w:rPr>
      </w:pPr>
      <w:r>
        <w:rPr>
          <w:rFonts w:hint="eastAsia"/>
          <w:sz w:val="24"/>
        </w:rPr>
        <w:t>28.3采购人或采购代理机构应对开标过程进行记录，由参加开标的各投标人代表和相关工作人员签字确认后随磋商文件一并存档。</w:t>
      </w:r>
    </w:p>
    <w:p>
      <w:pPr>
        <w:pStyle w:val="8"/>
        <w:ind w:firstLine="562"/>
      </w:pPr>
      <w:r>
        <w:rPr>
          <w:rFonts w:hint="eastAsia"/>
        </w:rPr>
        <w:t>29. 资格查验</w:t>
      </w:r>
    </w:p>
    <w:p>
      <w:pPr>
        <w:ind w:firstLine="560"/>
        <w:rPr>
          <w:b/>
          <w:bCs/>
        </w:rPr>
      </w:pPr>
      <w:r>
        <w:rPr>
          <w:rFonts w:hint="eastAsia"/>
        </w:rPr>
        <w:t xml:space="preserve">29.1 </w:t>
      </w:r>
      <w:r>
        <w:rPr>
          <w:rFonts w:hint="eastAsia"/>
          <w:b/>
          <w:bCs/>
        </w:rPr>
        <w:t>开标时，投标委派的开标代表携带身份证原件并按如下要求提供有效证明材料进行资格审查：</w:t>
      </w:r>
    </w:p>
    <w:p>
      <w:pPr>
        <w:numPr>
          <w:ilvl w:val="0"/>
          <w:numId w:val="3"/>
        </w:numPr>
        <w:ind w:left="425" w:leftChars="0" w:hanging="425" w:firstLineChars="0"/>
        <w:rPr>
          <w:b/>
          <w:bCs/>
        </w:rPr>
      </w:pPr>
      <w:r>
        <w:rPr>
          <w:rFonts w:hint="eastAsia"/>
          <w:b/>
          <w:bCs/>
          <w:lang w:val="en-US" w:eastAsia="zh-CN"/>
        </w:rPr>
        <w:t>有效的中华人民共和国企业法人营业执照或事业单位法人证书</w:t>
      </w:r>
      <w:r>
        <w:rPr>
          <w:rFonts w:hint="eastAsia"/>
          <w:b/>
          <w:bCs/>
        </w:rPr>
        <w:t>；</w:t>
      </w:r>
    </w:p>
    <w:p>
      <w:pPr>
        <w:numPr>
          <w:ilvl w:val="0"/>
          <w:numId w:val="3"/>
        </w:numPr>
        <w:ind w:left="425" w:leftChars="0" w:hanging="425" w:firstLineChars="0"/>
        <w:rPr>
          <w:b/>
          <w:bCs/>
        </w:rPr>
      </w:pPr>
      <w:r>
        <w:rPr>
          <w:rFonts w:hint="eastAsia"/>
          <w:b/>
          <w:bCs/>
        </w:rPr>
        <w:t>资质证书原件；</w:t>
      </w:r>
    </w:p>
    <w:p>
      <w:pPr>
        <w:numPr>
          <w:ilvl w:val="0"/>
          <w:numId w:val="3"/>
        </w:numPr>
        <w:ind w:left="425" w:leftChars="0" w:hanging="425" w:firstLineChars="0"/>
        <w:rPr>
          <w:b/>
          <w:bCs/>
        </w:rPr>
      </w:pPr>
      <w:r>
        <w:rPr>
          <w:rFonts w:hint="eastAsia"/>
          <w:b/>
          <w:bCs/>
        </w:rPr>
        <w:t>法定代表人身份证明书原件并附法定代表人身份证复印件（如委托授权代表的，仅需提供法定代表人授权委托书原件并附代理人身份证复印件）；</w:t>
      </w:r>
    </w:p>
    <w:p>
      <w:pPr>
        <w:numPr>
          <w:ilvl w:val="0"/>
          <w:numId w:val="3"/>
        </w:numPr>
        <w:ind w:left="425" w:leftChars="0" w:hanging="425" w:firstLineChars="0"/>
        <w:rPr>
          <w:b/>
          <w:bCs/>
        </w:rPr>
      </w:pPr>
      <w:r>
        <w:rPr>
          <w:rFonts w:hint="eastAsia"/>
          <w:b/>
          <w:bCs/>
        </w:rPr>
        <w:t>提供符合采购文件要求的“信用中国、中国政府采购网、”网站的信用查询截图加盖单位公章；</w:t>
      </w:r>
    </w:p>
    <w:p>
      <w:pPr>
        <w:numPr>
          <w:ilvl w:val="0"/>
          <w:numId w:val="3"/>
        </w:numPr>
        <w:ind w:left="425" w:leftChars="0" w:hanging="425" w:firstLineChars="0"/>
        <w:rPr>
          <w:b/>
          <w:bCs/>
          <w:lang w:val="zh-CN"/>
        </w:rPr>
      </w:pPr>
      <w:r>
        <w:rPr>
          <w:rFonts w:hint="eastAsia"/>
          <w:b/>
          <w:bCs/>
        </w:rPr>
        <w:t>投标保证金缴款证明原件；</w:t>
      </w:r>
    </w:p>
    <w:p>
      <w:pPr>
        <w:ind w:firstLine="562"/>
      </w:pPr>
      <w:r>
        <w:rPr>
          <w:rFonts w:hint="eastAsia"/>
          <w:b/>
          <w:bCs/>
        </w:rPr>
        <w:t>29.2 开标现场提供资格查验资料齐全、满足磋商文件的封装、标识、签章等各项要求的投标人为合格有效投标人。</w:t>
      </w:r>
    </w:p>
    <w:p>
      <w:pPr>
        <w:pStyle w:val="7"/>
        <w:ind w:firstLine="562"/>
      </w:pPr>
      <w:r>
        <w:rPr>
          <w:rFonts w:hint="eastAsia"/>
        </w:rPr>
        <w:t>（六） 评标</w:t>
      </w:r>
    </w:p>
    <w:p>
      <w:pPr>
        <w:pStyle w:val="8"/>
        <w:ind w:firstLine="482"/>
        <w:rPr>
          <w:sz w:val="24"/>
        </w:rPr>
      </w:pPr>
      <w:r>
        <w:rPr>
          <w:rFonts w:hint="eastAsia"/>
          <w:sz w:val="24"/>
        </w:rPr>
        <w:t>30. 磋商小组与评标</w:t>
      </w:r>
    </w:p>
    <w:p>
      <w:pPr>
        <w:ind w:firstLine="480"/>
        <w:rPr>
          <w:sz w:val="24"/>
        </w:rPr>
      </w:pPr>
      <w:r>
        <w:rPr>
          <w:rFonts w:hint="eastAsia"/>
          <w:sz w:val="24"/>
        </w:rPr>
        <w:t>30.1 评标工作由采购人依法组建的磋商小组负责。磋商小组的名单在评标结果公告前应当保密。</w:t>
      </w:r>
    </w:p>
    <w:p>
      <w:pPr>
        <w:ind w:firstLine="480"/>
        <w:rPr>
          <w:sz w:val="24"/>
        </w:rPr>
      </w:pPr>
      <w:r>
        <w:rPr>
          <w:rFonts w:hint="eastAsia"/>
          <w:sz w:val="24"/>
        </w:rPr>
        <w:t>30.2 本项目磋商小组由</w:t>
      </w:r>
      <w:r>
        <w:rPr>
          <w:rFonts w:hint="eastAsia"/>
          <w:sz w:val="24"/>
          <w:lang w:val="en-US" w:eastAsia="zh-CN"/>
        </w:rPr>
        <w:t>3</w:t>
      </w:r>
      <w:r>
        <w:rPr>
          <w:rFonts w:hint="eastAsia"/>
          <w:sz w:val="24"/>
        </w:rPr>
        <w:t>人组成，其中：评审专家不少于2/3。</w:t>
      </w:r>
    </w:p>
    <w:p>
      <w:pPr>
        <w:ind w:firstLine="480"/>
        <w:rPr>
          <w:sz w:val="24"/>
        </w:rPr>
      </w:pPr>
      <w:r>
        <w:rPr>
          <w:rFonts w:hint="eastAsia"/>
          <w:sz w:val="24"/>
        </w:rPr>
        <w:t>30.3 开标结束后，开始评标，评标采用保密方式进行。</w:t>
      </w:r>
    </w:p>
    <w:p>
      <w:pPr>
        <w:ind w:firstLine="480"/>
        <w:rPr>
          <w:sz w:val="24"/>
        </w:rPr>
      </w:pPr>
      <w:r>
        <w:rPr>
          <w:rFonts w:hint="eastAsia"/>
          <w:sz w:val="24"/>
        </w:rPr>
        <w:t>30.4 磋商小组主任由磋商小组成员推举产生，并与磋商小组其他成员有同等的权利和义务。采购人代表不得担任磋商小组主任。</w:t>
      </w:r>
    </w:p>
    <w:p>
      <w:pPr>
        <w:ind w:firstLine="480"/>
        <w:rPr>
          <w:sz w:val="24"/>
        </w:rPr>
      </w:pPr>
      <w:r>
        <w:rPr>
          <w:rFonts w:hint="eastAsia"/>
          <w:sz w:val="24"/>
        </w:rPr>
        <w:t>30.5 磋商小组成员应当客观、公正地履行职责，遵守职业道德，对所提出的评审意见承担个人责任。</w:t>
      </w:r>
    </w:p>
    <w:p>
      <w:pPr>
        <w:ind w:firstLine="480"/>
        <w:rPr>
          <w:sz w:val="24"/>
        </w:rPr>
      </w:pPr>
      <w:r>
        <w:rPr>
          <w:rFonts w:hint="eastAsia"/>
          <w:sz w:val="24"/>
        </w:rPr>
        <w:t>30.6 磋商小组根据磋商文件确定的评比标准和方法，对投标文件进行系统地评审和比较。磋商文件中没有规定的标准和方法不得作为评标的依据。</w:t>
      </w:r>
    </w:p>
    <w:p>
      <w:pPr>
        <w:ind w:firstLine="480"/>
        <w:rPr>
          <w:sz w:val="24"/>
        </w:rPr>
      </w:pPr>
      <w:r>
        <w:rPr>
          <w:rFonts w:hint="eastAsia"/>
          <w:sz w:val="24"/>
        </w:rPr>
        <w:t>30.7 在评标过程中，磋商小组发现投标人以他人的名义投标、串通投标、以行贿手段谋取中标或者以其他弄虚作假方式投标的，该投标人的投标应作无效标处理。</w:t>
      </w:r>
    </w:p>
    <w:p>
      <w:pPr>
        <w:pStyle w:val="8"/>
        <w:ind w:firstLine="482"/>
        <w:rPr>
          <w:sz w:val="24"/>
        </w:rPr>
      </w:pPr>
      <w:r>
        <w:rPr>
          <w:rFonts w:hint="eastAsia"/>
          <w:sz w:val="24"/>
        </w:rPr>
        <w:t>31. 投标文件的澄清</w:t>
      </w:r>
    </w:p>
    <w:p>
      <w:pPr>
        <w:ind w:firstLine="480"/>
        <w:rPr>
          <w:sz w:val="24"/>
        </w:rPr>
      </w:pPr>
      <w:r>
        <w:rPr>
          <w:rFonts w:hint="eastAsia"/>
          <w:sz w:val="24"/>
        </w:rPr>
        <w:t>31.1 为有助于对投标文件进行审查、评估和比较，投标人对评审中磋商小组书面提出的投标文件中含义不明确、同类问题表述不一致或者有明显文字和计算错误的内容，投标人以采用书面形式的澄清、说明或者补正，并加盖公章，或者由法定代表人或其授权的代表签字。投标人的澄清、说明或者补正不得超出投标文件的范围或者改变投标文件的实质性内容。</w:t>
      </w:r>
    </w:p>
    <w:p>
      <w:pPr>
        <w:ind w:firstLine="480"/>
        <w:rPr>
          <w:sz w:val="24"/>
        </w:rPr>
      </w:pPr>
      <w:r>
        <w:rPr>
          <w:rFonts w:hint="eastAsia"/>
          <w:sz w:val="24"/>
        </w:rPr>
        <w:t>磋商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磋商小组应当将其作为无效投标处理。</w:t>
      </w:r>
    </w:p>
    <w:p>
      <w:pPr>
        <w:ind w:firstLine="480"/>
        <w:rPr>
          <w:sz w:val="24"/>
        </w:rPr>
      </w:pPr>
      <w:r>
        <w:rPr>
          <w:rFonts w:hint="eastAsia"/>
          <w:sz w:val="24"/>
        </w:rPr>
        <w:t>31.2 投标人未按照要求对投标文件进行澄清、说明或者补正的，磋商小组可以否决其投标。</w:t>
      </w:r>
    </w:p>
    <w:p>
      <w:pPr>
        <w:pStyle w:val="8"/>
        <w:ind w:firstLine="482"/>
        <w:rPr>
          <w:sz w:val="24"/>
        </w:rPr>
      </w:pPr>
      <w:r>
        <w:rPr>
          <w:rFonts w:hint="eastAsia"/>
          <w:sz w:val="24"/>
        </w:rPr>
        <w:t>32. 投标文件的评审、比较</w:t>
      </w:r>
    </w:p>
    <w:p>
      <w:pPr>
        <w:ind w:firstLine="480"/>
        <w:rPr>
          <w:sz w:val="24"/>
        </w:rPr>
      </w:pPr>
      <w:r>
        <w:rPr>
          <w:rFonts w:hint="eastAsia"/>
          <w:sz w:val="24"/>
        </w:rPr>
        <w:t>32.1 投标文件符合性审查</w:t>
      </w:r>
    </w:p>
    <w:p>
      <w:pPr>
        <w:ind w:firstLine="480"/>
        <w:rPr>
          <w:sz w:val="24"/>
        </w:rPr>
      </w:pPr>
      <w:r>
        <w:rPr>
          <w:rFonts w:hint="eastAsia"/>
          <w:sz w:val="24"/>
        </w:rPr>
        <w:t>32.1.1磋商小组应当对符合资格的投标人的投标文件进行符合性审查，以确定其是否满足磋商文件的实质性要求。通过资格审查的投标人的投标文件进入详细评审。磋商会议由磋商小组组长主持。磋商小组首先对各磋商响应文件进行初步审查，初步审查包括资格性审查和符合性审查，未通过审查的为无效标。</w:t>
      </w:r>
    </w:p>
    <w:p>
      <w:pPr>
        <w:ind w:firstLine="480"/>
        <w:rPr>
          <w:sz w:val="24"/>
        </w:rPr>
      </w:pPr>
      <w:r>
        <w:rPr>
          <w:rFonts w:hint="eastAsia"/>
          <w:sz w:val="24"/>
        </w:rPr>
        <w:t>⑴资格性审查：磋商小组将根据法律法规和竞争性磋商文件的规定，对磋商响应文件的资格证明文件、磋商保证金等进行审查，以确定投标人是否具备竞争性磋商资格。</w:t>
      </w:r>
    </w:p>
    <w:p>
      <w:pPr>
        <w:ind w:firstLine="480"/>
        <w:rPr>
          <w:sz w:val="24"/>
        </w:rPr>
      </w:pPr>
      <w:r>
        <w:rPr>
          <w:rFonts w:hint="eastAsia"/>
          <w:sz w:val="24"/>
        </w:rPr>
        <w:t>⑵符合性审查：依据竞争性磋商文件的规定，从投标文件的有效性、完整性和对竞争性磋商文件的响应程度进行审查，以确定是否对竞争性磋商文件的要求做出了实质性的响应，存在重大偏离的磋商响应文件为无效标。所谓重大偏离是指投标人投标文件中所述服务质量、技术、规格、数量、服务期等和服务明显不能满足竞争性磋商文件要求。</w:t>
      </w:r>
    </w:p>
    <w:p>
      <w:pPr>
        <w:ind w:firstLine="480"/>
        <w:rPr>
          <w:sz w:val="24"/>
        </w:rPr>
      </w:pPr>
      <w:r>
        <w:rPr>
          <w:rFonts w:hint="eastAsia"/>
          <w:sz w:val="24"/>
        </w:rPr>
        <w:t>32.2 投标文件的详细评审</w:t>
      </w:r>
    </w:p>
    <w:p>
      <w:pPr>
        <w:ind w:firstLine="480"/>
        <w:rPr>
          <w:sz w:val="24"/>
        </w:rPr>
      </w:pPr>
      <w:r>
        <w:rPr>
          <w:rFonts w:hint="eastAsia"/>
          <w:sz w:val="24"/>
        </w:rPr>
        <w:t>32.2.1本项目采用综合评分法。综合评分法是指投标文件满足磋商文件全部实质性要求，且按照评审因素的量化指标评审得分最高的投标人为中标候选人的评标方法。采用综合评分法的，评标结果按评审后得分由高到低顺序排列。得分相同的，按投标报价由低到高顺序排列。得分且投标报价相同的并列。</w:t>
      </w:r>
    </w:p>
    <w:p>
      <w:pPr>
        <w:ind w:firstLine="480"/>
        <w:rPr>
          <w:sz w:val="24"/>
        </w:rPr>
      </w:pPr>
      <w:r>
        <w:rPr>
          <w:rFonts w:hint="eastAsia"/>
          <w:sz w:val="24"/>
        </w:rPr>
        <w:t>32.2.2 评审中，磋商小组可对投标文件中含义不明确、同类问题表述不一致或者有明显文字和计算错误的内容，磋商小组应当以书面形式要求投标人作出必要的澄清、说明或者补正。</w:t>
      </w:r>
    </w:p>
    <w:p>
      <w:pPr>
        <w:ind w:firstLine="480"/>
        <w:rPr>
          <w:sz w:val="24"/>
        </w:rPr>
      </w:pPr>
      <w:r>
        <w:rPr>
          <w:rFonts w:hint="eastAsia"/>
          <w:sz w:val="24"/>
        </w:rPr>
        <w:t>投标人的澄清、说明或者补正应当采用书面形式并加盖公章，或者由法定代表人或其授权的代表签字。投标人的澄清、说明或者补正不得超出投标文件的范围或者改变投标文件的实质性内容。</w:t>
      </w:r>
    </w:p>
    <w:p>
      <w:pPr>
        <w:ind w:firstLine="480"/>
        <w:rPr>
          <w:sz w:val="24"/>
        </w:rPr>
      </w:pPr>
      <w:r>
        <w:rPr>
          <w:rFonts w:hint="eastAsia"/>
          <w:sz w:val="24"/>
        </w:rPr>
        <w:t>32.2.3</w:t>
      </w:r>
      <w:r>
        <w:rPr>
          <w:rFonts w:hint="eastAsia"/>
          <w:b/>
          <w:bCs/>
          <w:sz w:val="24"/>
        </w:rPr>
        <w:t>磋商小组认为投标人的报价明显低于其他通过符合性审查投标人的报价，有可能影响产品（服务）质量或者不能诚信履约的，应当要求其在评标现场合理的时间内提供书面说明，必要时提交相关证明材料；投标人不能证明其报价合理性的，磋商小组应当将其作为无效投标处理。</w:t>
      </w:r>
    </w:p>
    <w:p>
      <w:pPr>
        <w:ind w:firstLine="480"/>
        <w:rPr>
          <w:sz w:val="24"/>
        </w:rPr>
      </w:pPr>
      <w:r>
        <w:rPr>
          <w:rFonts w:hint="eastAsia"/>
          <w:sz w:val="24"/>
        </w:rPr>
        <w:t>32.2.4磋商程序</w:t>
      </w:r>
    </w:p>
    <w:p>
      <w:pPr>
        <w:ind w:firstLine="480"/>
        <w:rPr>
          <w:sz w:val="24"/>
        </w:rPr>
      </w:pPr>
      <w:r>
        <w:rPr>
          <w:rFonts w:hint="eastAsia"/>
          <w:sz w:val="24"/>
        </w:rPr>
        <w:t>磋商小组所有成员应当集中与单一投标人分别进行磋商，并给予所有参加磋商的投标人平等的磋商机会。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投标人。</w:t>
      </w:r>
    </w:p>
    <w:p>
      <w:pPr>
        <w:ind w:firstLine="480"/>
        <w:rPr>
          <w:sz w:val="24"/>
        </w:rPr>
      </w:pPr>
      <w:r>
        <w:rPr>
          <w:rFonts w:hint="eastAsia"/>
          <w:sz w:val="24"/>
        </w:rPr>
        <w:t>磋商小组判断“投标文件”的响应性，仅基于“投标文件”本身而不靠外部证据。对非实质性响应的投标文件，投标人不能通过修正或撤销不符之处，而使其成为实质性响应。</w:t>
      </w:r>
    </w:p>
    <w:p>
      <w:pPr>
        <w:ind w:firstLine="482"/>
        <w:rPr>
          <w:b/>
          <w:bCs/>
          <w:sz w:val="24"/>
        </w:rPr>
      </w:pPr>
      <w:r>
        <w:rPr>
          <w:rFonts w:hint="eastAsia"/>
          <w:b/>
          <w:bCs/>
          <w:sz w:val="24"/>
        </w:rPr>
        <w:t>磋商小组根据竞争性磋商文件要求，讨论、通过磋商工作流程和磋商要点。</w:t>
      </w:r>
      <w:r>
        <w:rPr>
          <w:rFonts w:hint="eastAsia"/>
          <w:b/>
          <w:bCs/>
          <w:sz w:val="24"/>
          <w:u w:val="single"/>
        </w:rPr>
        <w:t>围绕磋商要点，磋商小组全体成员集中与单一投标人分别进行磋商，逐家磋商一次为一个轮次，本项目磋商轮次原则上为一轮。</w:t>
      </w:r>
      <w:r>
        <w:rPr>
          <w:rFonts w:hint="eastAsia"/>
          <w:b/>
          <w:bCs/>
          <w:sz w:val="24"/>
        </w:rPr>
        <w:t>磋商结束后，磋商小组将要求所有有效投标人在规定时间内提交最终报价及服务承诺。投标人未及时参与磋商或多次报价的，视为自动放弃参与磋商的资格。</w:t>
      </w:r>
    </w:p>
    <w:p>
      <w:pPr>
        <w:ind w:firstLine="480"/>
        <w:rPr>
          <w:sz w:val="24"/>
        </w:rPr>
      </w:pPr>
      <w:r>
        <w:rPr>
          <w:rFonts w:hint="eastAsia"/>
          <w:sz w:val="24"/>
        </w:rPr>
        <w:t>磋商小组成员对需要共同认定的事项存在争议的，应当按照少数服从多数的原则作出结论。持不同意见的磋商小组成员应当在评标报告上签署不同意见及理由，否则视为同意评标报告。</w:t>
      </w:r>
    </w:p>
    <w:p>
      <w:pPr>
        <w:ind w:firstLine="480"/>
        <w:rPr>
          <w:sz w:val="24"/>
        </w:rPr>
      </w:pPr>
      <w:r>
        <w:rPr>
          <w:rFonts w:hint="eastAsia"/>
          <w:sz w:val="24"/>
        </w:rPr>
        <w:t>32.2.5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pPr>
        <w:ind w:firstLine="480"/>
        <w:rPr>
          <w:sz w:val="24"/>
        </w:rPr>
      </w:pPr>
      <w:r>
        <w:rPr>
          <w:rFonts w:hint="eastAsia"/>
          <w:sz w:val="24"/>
        </w:rPr>
        <w:t>32.2.6评标报告由磋商小组全体成员签字。磋商小组成员对需要共同认定的事项存在争议的，应当按照少数服从多数的原则作出结论。持不同意见的磋商小组成员应当在评标报告上签署不同意见及理由，否则视为同意评标报告。</w:t>
      </w:r>
    </w:p>
    <w:p>
      <w:pPr>
        <w:ind w:firstLine="480"/>
        <w:rPr>
          <w:sz w:val="24"/>
        </w:rPr>
      </w:pPr>
      <w:r>
        <w:rPr>
          <w:rFonts w:hint="eastAsia"/>
          <w:sz w:val="24"/>
        </w:rPr>
        <w:t>32.2.7评标结果汇总完成后，除下列情形外，任何人不得修改评标结果：</w:t>
      </w:r>
    </w:p>
    <w:p>
      <w:pPr>
        <w:ind w:firstLine="480"/>
        <w:rPr>
          <w:sz w:val="24"/>
        </w:rPr>
      </w:pPr>
      <w:r>
        <w:rPr>
          <w:rFonts w:hint="eastAsia"/>
          <w:sz w:val="24"/>
        </w:rPr>
        <w:t>（一）分值汇总计算错误的；</w:t>
      </w:r>
    </w:p>
    <w:p>
      <w:pPr>
        <w:ind w:firstLine="480"/>
        <w:rPr>
          <w:sz w:val="24"/>
        </w:rPr>
      </w:pPr>
      <w:r>
        <w:rPr>
          <w:rFonts w:hint="eastAsia"/>
          <w:sz w:val="24"/>
        </w:rPr>
        <w:t>（二）分项评分超出评分标准范围的；</w:t>
      </w:r>
    </w:p>
    <w:p>
      <w:pPr>
        <w:ind w:firstLine="480"/>
        <w:rPr>
          <w:sz w:val="24"/>
        </w:rPr>
      </w:pPr>
      <w:r>
        <w:rPr>
          <w:rFonts w:hint="eastAsia"/>
          <w:sz w:val="24"/>
        </w:rPr>
        <w:t>（三）磋商小组成员对客观评审因素评分不一致的；</w:t>
      </w:r>
    </w:p>
    <w:p>
      <w:pPr>
        <w:ind w:firstLine="480"/>
        <w:rPr>
          <w:sz w:val="24"/>
        </w:rPr>
      </w:pPr>
      <w:r>
        <w:rPr>
          <w:rFonts w:hint="eastAsia"/>
          <w:sz w:val="24"/>
        </w:rPr>
        <w:t>（四）经磋商小组认定评分畸高、畸低的。</w:t>
      </w:r>
    </w:p>
    <w:p>
      <w:pPr>
        <w:ind w:firstLine="480"/>
        <w:rPr>
          <w:sz w:val="24"/>
        </w:rPr>
      </w:pPr>
      <w:r>
        <w:rPr>
          <w:rFonts w:hint="eastAsia"/>
          <w:sz w:val="24"/>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pPr>
        <w:ind w:firstLine="480"/>
        <w:rPr>
          <w:sz w:val="24"/>
        </w:rPr>
      </w:pPr>
      <w:r>
        <w:rPr>
          <w:rFonts w:hint="eastAsia"/>
          <w:sz w:val="24"/>
        </w:rPr>
        <w:t>32.2.8 磋商小组依据投标须知前附表规定的评标方法，对投标人的投标文件进行评审和比较，投标人最终得分等于商务标、技术标、经济标最终报价得分之和。磋商小组确定投标人最终得分向采购人提出书面报告，并推荐合格的中标候选人。投标文件满足磋商文件全部实质性要求，且按照评审因素的量化指标评审得分最高的投标人为排名第一的中标候选人。</w:t>
      </w:r>
    </w:p>
    <w:p>
      <w:pPr>
        <w:pStyle w:val="8"/>
        <w:ind w:firstLine="482"/>
        <w:rPr>
          <w:sz w:val="24"/>
        </w:rPr>
      </w:pPr>
      <w:r>
        <w:rPr>
          <w:rFonts w:hint="eastAsia"/>
          <w:sz w:val="24"/>
        </w:rPr>
        <w:t>33. 评标的办法和标准</w:t>
      </w:r>
    </w:p>
    <w:p>
      <w:pPr>
        <w:ind w:firstLine="480"/>
        <w:rPr>
          <w:sz w:val="24"/>
        </w:rPr>
      </w:pPr>
      <w:r>
        <w:rPr>
          <w:rFonts w:hint="eastAsia"/>
          <w:sz w:val="24"/>
        </w:rPr>
        <w:t>33.1 本采购项目评标方法为投标须知前附表规定的方法；磋商小组以评分方式对投标文件提出的商务标、技术标等，能否最大限度满足磋商文件中规定的各项要求和评价标准进行评估。</w:t>
      </w:r>
    </w:p>
    <w:p>
      <w:pPr>
        <w:ind w:firstLine="480"/>
        <w:rPr>
          <w:sz w:val="24"/>
        </w:rPr>
      </w:pPr>
      <w:r>
        <w:rPr>
          <w:rFonts w:hint="eastAsia"/>
          <w:sz w:val="24"/>
        </w:rPr>
        <w:t>33.2 审查</w:t>
      </w:r>
    </w:p>
    <w:p>
      <w:pPr>
        <w:ind w:firstLine="480"/>
        <w:rPr>
          <w:sz w:val="24"/>
        </w:rPr>
      </w:pPr>
      <w:r>
        <w:rPr>
          <w:rFonts w:hint="eastAsia"/>
          <w:sz w:val="24"/>
        </w:rPr>
        <w:t>33.2.1资格审查</w:t>
      </w:r>
    </w:p>
    <w:p>
      <w:pPr>
        <w:ind w:firstLine="480"/>
        <w:rPr>
          <w:sz w:val="24"/>
        </w:rPr>
      </w:pPr>
      <w:r>
        <w:rPr>
          <w:rFonts w:hint="eastAsia"/>
          <w:sz w:val="24"/>
        </w:rPr>
        <w:t>33.2.2符合性审查</w:t>
      </w:r>
    </w:p>
    <w:p>
      <w:pPr>
        <w:ind w:firstLine="480"/>
        <w:rPr>
          <w:sz w:val="24"/>
        </w:rPr>
      </w:pPr>
      <w:r>
        <w:rPr>
          <w:rFonts w:hint="eastAsia"/>
          <w:sz w:val="24"/>
        </w:rPr>
        <w:t>33.2.3 详细评审</w:t>
      </w:r>
    </w:p>
    <w:p>
      <w:pPr>
        <w:ind w:firstLine="480"/>
        <w:rPr>
          <w:sz w:val="24"/>
        </w:rPr>
      </w:pPr>
      <w:r>
        <w:rPr>
          <w:rFonts w:hint="eastAsia"/>
          <w:sz w:val="24"/>
        </w:rPr>
        <w:t>（1）投标报价评审</w:t>
      </w:r>
    </w:p>
    <w:p>
      <w:pPr>
        <w:ind w:firstLine="480"/>
        <w:rPr>
          <w:sz w:val="24"/>
        </w:rPr>
      </w:pPr>
      <w:r>
        <w:rPr>
          <w:rFonts w:hint="eastAsia"/>
          <w:sz w:val="24"/>
        </w:rPr>
        <w:t>（2）投标文件的详细评审</w:t>
      </w:r>
    </w:p>
    <w:p>
      <w:pPr>
        <w:ind w:firstLine="480"/>
        <w:rPr>
          <w:sz w:val="24"/>
        </w:rPr>
      </w:pPr>
      <w:r>
        <w:rPr>
          <w:rFonts w:hint="eastAsia"/>
          <w:sz w:val="24"/>
        </w:rPr>
        <w:t>33.3 评标的具体评审办法和标准</w:t>
      </w:r>
    </w:p>
    <w:p>
      <w:pPr>
        <w:ind w:firstLine="480"/>
        <w:rPr>
          <w:sz w:val="24"/>
        </w:rPr>
      </w:pPr>
    </w:p>
    <w:p>
      <w:pPr>
        <w:pStyle w:val="5"/>
        <w:numPr>
          <w:ilvl w:val="0"/>
          <w:numId w:val="4"/>
        </w:numPr>
        <w:rPr>
          <w:rFonts w:hint="eastAsia"/>
        </w:rPr>
      </w:pPr>
      <w:r>
        <w:rPr>
          <w:rFonts w:hint="eastAsia"/>
        </w:rPr>
        <w:br w:type="page"/>
      </w:r>
      <w:r>
        <w:rPr>
          <w:rFonts w:hint="eastAsia"/>
        </w:rPr>
        <w:t>初步评审（资格审查</w:t>
      </w:r>
      <w:r>
        <w:rPr>
          <w:rFonts w:hint="eastAsia"/>
          <w:lang w:eastAsia="zh-CN"/>
        </w:rPr>
        <w:t>、</w:t>
      </w:r>
      <w:r>
        <w:rPr>
          <w:rFonts w:hint="eastAsia"/>
        </w:rPr>
        <w:t>符合性审查）</w:t>
      </w:r>
    </w:p>
    <w:p>
      <w:pPr>
        <w:pStyle w:val="6"/>
        <w:jc w:val="center"/>
        <w:rPr>
          <w:rFonts w:hint="eastAsia"/>
          <w:b/>
          <w:bCs/>
          <w:sz w:val="28"/>
          <w:szCs w:val="28"/>
        </w:rPr>
      </w:pPr>
      <w:r>
        <w:rPr>
          <w:rFonts w:hint="eastAsia"/>
          <w:b/>
          <w:bCs/>
          <w:sz w:val="28"/>
          <w:szCs w:val="28"/>
        </w:rPr>
        <w:t>初步评审</w:t>
      </w:r>
    </w:p>
    <w:tbl>
      <w:tblPr>
        <w:tblStyle w:val="20"/>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567"/>
        <w:gridCol w:w="5951"/>
        <w:gridCol w:w="709"/>
        <w:gridCol w:w="709"/>
        <w:gridCol w:w="708"/>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项目</w:t>
            </w:r>
          </w:p>
        </w:tc>
        <w:tc>
          <w:tcPr>
            <w:tcW w:w="6518" w:type="dxa"/>
            <w:gridSpan w:val="2"/>
            <w:tcBorders>
              <w:top w:val="single" w:color="auto" w:sz="4" w:space="0"/>
              <w:left w:val="single" w:color="auto" w:sz="4" w:space="0"/>
              <w:bottom w:val="single" w:color="auto" w:sz="4" w:space="0"/>
              <w:right w:val="single" w:color="auto" w:sz="4" w:space="0"/>
            </w:tcBorders>
            <w:vAlign w:val="center"/>
          </w:tcPr>
          <w:p>
            <w:pPr>
              <w:pStyle w:val="28"/>
              <w:rPr>
                <w:rFonts w:hint="default"/>
              </w:rPr>
            </w:pPr>
            <w:r>
              <w:t>评  审  内  容</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投标人1</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投标人2</w:t>
            </w: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投标人3</w:t>
            </w: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533" w:type="dxa"/>
            <w:vMerge w:val="restart"/>
            <w:tcBorders>
              <w:left w:val="single" w:color="auto" w:sz="4" w:space="0"/>
              <w:right w:val="single" w:color="auto" w:sz="4" w:space="0"/>
            </w:tcBorders>
            <w:vAlign w:val="center"/>
          </w:tcPr>
          <w:p>
            <w:pPr>
              <w:pStyle w:val="28"/>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eastAsia="宋体"/>
                <w:lang w:val="en-US" w:eastAsia="zh-CN"/>
              </w:rPr>
            </w:pPr>
            <w:r>
              <w:rPr>
                <w:rFonts w:hint="eastAsia"/>
                <w:lang w:val="en-US" w:eastAsia="zh-CN"/>
              </w:rPr>
              <w:t>1</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jc w:val="left"/>
              <w:rPr>
                <w:rFonts w:eastAsia="宋体"/>
              </w:rPr>
            </w:pPr>
            <w:r>
              <w:rPr>
                <w:rFonts w:hint="eastAsia" w:eastAsia="宋体"/>
                <w:lang w:val="en-US" w:eastAsia="zh-CN"/>
              </w:rPr>
              <w:t>有效的中华人民共和国企业法人营业执照或事业单位法人证书</w:t>
            </w:r>
            <w:r>
              <w:rPr>
                <w:rFonts w:hint="eastAsia" w:eastAsia="宋体"/>
              </w:rPr>
              <w:t>；</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33" w:type="dxa"/>
            <w:vMerge w:val="continue"/>
            <w:tcBorders>
              <w:left w:val="single" w:color="auto" w:sz="4" w:space="0"/>
              <w:right w:val="single" w:color="auto" w:sz="4" w:space="0"/>
            </w:tcBorders>
            <w:vAlign w:val="center"/>
          </w:tcPr>
          <w:p>
            <w:pPr>
              <w:pStyle w:val="28"/>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rPr>
                <w:rFonts w:hint="eastAsia" w:eastAsia="宋体"/>
                <w:lang w:val="en-US" w:eastAsia="zh-CN"/>
              </w:rPr>
            </w:pPr>
            <w:r>
              <w:rPr>
                <w:rFonts w:hint="eastAsia"/>
                <w:lang w:val="en-US" w:eastAsia="zh-CN"/>
              </w:rPr>
              <w:t>2</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jc w:val="left"/>
              <w:rPr>
                <w:rFonts w:eastAsia="宋体"/>
              </w:rPr>
            </w:pPr>
            <w:r>
              <w:rPr>
                <w:rFonts w:hint="eastAsia"/>
                <w:lang w:val="en-US" w:eastAsia="zh-CN"/>
              </w:rPr>
              <w:t>企业</w:t>
            </w:r>
            <w:r>
              <w:rPr>
                <w:rFonts w:hint="eastAsia" w:eastAsia="宋体"/>
              </w:rPr>
              <w:t>资质证书；</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533" w:type="dxa"/>
            <w:vMerge w:val="continue"/>
            <w:tcBorders>
              <w:left w:val="single" w:color="auto" w:sz="4" w:space="0"/>
              <w:right w:val="single" w:color="auto" w:sz="4" w:space="0"/>
            </w:tcBorders>
            <w:vAlign w:val="center"/>
          </w:tcPr>
          <w:p>
            <w:pPr>
              <w:pStyle w:val="28"/>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rPr>
                <w:rFonts w:hint="eastAsia" w:eastAsia="宋体"/>
                <w:lang w:val="en-US" w:eastAsia="zh-CN"/>
              </w:rPr>
            </w:pPr>
            <w:r>
              <w:rPr>
                <w:rFonts w:hint="eastAsia"/>
                <w:lang w:val="en-US" w:eastAsia="zh-CN"/>
              </w:rPr>
              <w:t>3</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jc w:val="left"/>
              <w:rPr>
                <w:rFonts w:eastAsia="宋体"/>
              </w:rPr>
            </w:pPr>
            <w:r>
              <w:rPr>
                <w:rFonts w:hint="eastAsia" w:eastAsia="宋体"/>
              </w:rPr>
              <w:t>法定代表人身份证明书并附法定代表人身份证复印件（如委托授权代表的，仅需提供法定代表人授权委托书原件并附代理人身份证复印件）；</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533" w:type="dxa"/>
            <w:vMerge w:val="continue"/>
            <w:tcBorders>
              <w:left w:val="single" w:color="auto" w:sz="4" w:space="0"/>
              <w:right w:val="single" w:color="auto" w:sz="4" w:space="0"/>
            </w:tcBorders>
            <w:vAlign w:val="center"/>
          </w:tcPr>
          <w:p>
            <w:pPr>
              <w:pStyle w:val="28"/>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rPr>
                <w:rFonts w:hint="default" w:eastAsia="宋体"/>
                <w:lang w:val="en-US" w:eastAsia="zh-CN"/>
              </w:rPr>
            </w:pPr>
            <w:r>
              <w:rPr>
                <w:rFonts w:hint="eastAsia"/>
                <w:lang w:val="en-US" w:eastAsia="zh-CN"/>
              </w:rPr>
              <w:t>4</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jc w:val="left"/>
              <w:rPr>
                <w:rFonts w:eastAsia="宋体"/>
              </w:rPr>
            </w:pPr>
            <w:r>
              <w:rPr>
                <w:rFonts w:hint="eastAsia" w:eastAsia="宋体"/>
              </w:rPr>
              <w:t>提供符合采购文件要求的“信用中国、中国政府采购网、”网站的信用查询截图加盖单位公章；</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33" w:type="dxa"/>
            <w:vMerge w:val="continue"/>
            <w:tcBorders>
              <w:left w:val="single" w:color="auto" w:sz="4" w:space="0"/>
              <w:bottom w:val="single" w:color="auto" w:sz="4" w:space="0"/>
              <w:right w:val="single" w:color="auto" w:sz="4" w:space="0"/>
            </w:tcBorders>
            <w:vAlign w:val="center"/>
          </w:tcPr>
          <w:p>
            <w:pPr>
              <w:pStyle w:val="28"/>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ind w:firstLine="0" w:firstLineChars="0"/>
              <w:rPr>
                <w:rFonts w:hint="eastAsia" w:eastAsia="宋体"/>
                <w:lang w:val="en-US" w:eastAsia="zh-CN"/>
              </w:rPr>
            </w:pPr>
            <w:r>
              <w:rPr>
                <w:rFonts w:hint="eastAsia"/>
                <w:lang w:val="en-US" w:eastAsia="zh-CN"/>
              </w:rPr>
              <w:t>5</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jc w:val="left"/>
              <w:rPr>
                <w:rFonts w:hint="eastAsia" w:eastAsia="宋体"/>
                <w:lang w:eastAsia="zh-CN"/>
              </w:rPr>
            </w:pPr>
            <w:r>
              <w:rPr>
                <w:rFonts w:hint="eastAsia" w:eastAsia="宋体"/>
              </w:rPr>
              <w:t>投标保证金缴款证明</w:t>
            </w:r>
            <w:r>
              <w:rPr>
                <w:rFonts w:hint="eastAsia" w:eastAsia="宋体"/>
                <w:lang w:eastAsia="zh-CN"/>
              </w:rPr>
              <w:t>；</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33" w:type="dxa"/>
            <w:vMerge w:val="restart"/>
            <w:tcBorders>
              <w:top w:val="single" w:color="auto" w:sz="4" w:space="0"/>
              <w:left w:val="single" w:color="auto" w:sz="4" w:space="0"/>
              <w:bottom w:val="single" w:color="auto" w:sz="4" w:space="0"/>
              <w:right w:val="single" w:color="auto" w:sz="4" w:space="0"/>
            </w:tcBorders>
            <w:vAlign w:val="center"/>
          </w:tcPr>
          <w:p>
            <w:pPr>
              <w:pStyle w:val="28"/>
              <w:rPr>
                <w:rFonts w:hint="default"/>
              </w:rPr>
            </w:pPr>
          </w:p>
          <w:p>
            <w:pPr>
              <w:pStyle w:val="28"/>
              <w:rPr>
                <w:rFonts w:hint="default"/>
              </w:rPr>
            </w:pPr>
            <w:r>
              <w:t>符</w:t>
            </w:r>
          </w:p>
          <w:p>
            <w:pPr>
              <w:pStyle w:val="28"/>
              <w:rPr>
                <w:rFonts w:hint="default"/>
              </w:rPr>
            </w:pPr>
            <w:r>
              <w:t>合</w:t>
            </w:r>
          </w:p>
          <w:p>
            <w:pPr>
              <w:pStyle w:val="28"/>
              <w:rPr>
                <w:rFonts w:hint="default"/>
              </w:rPr>
            </w:pPr>
            <w:r>
              <w:t>性</w:t>
            </w:r>
          </w:p>
          <w:p>
            <w:pPr>
              <w:pStyle w:val="28"/>
              <w:rPr>
                <w:rFonts w:hint="default"/>
              </w:rPr>
            </w:pPr>
            <w:r>
              <w:t>审</w:t>
            </w:r>
          </w:p>
          <w:p>
            <w:pPr>
              <w:pStyle w:val="28"/>
              <w:rPr>
                <w:rFonts w:hint="default"/>
              </w:rPr>
            </w:pPr>
            <w:r>
              <w:t>查</w:t>
            </w:r>
          </w:p>
          <w:p>
            <w:pPr>
              <w:pStyle w:val="28"/>
              <w:rPr>
                <w:rFonts w:hint="default"/>
              </w:rPr>
            </w:pPr>
            <w:r>
              <w:t>表</w:t>
            </w:r>
          </w:p>
          <w:p>
            <w:pPr>
              <w:pStyle w:val="28"/>
              <w:rPr>
                <w:rFonts w:hint="default"/>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1</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jc w:val="left"/>
              <w:rPr>
                <w:rFonts w:hint="default"/>
              </w:rPr>
            </w:pPr>
            <w:r>
              <w:t>投标文件是否按采购文件要求签字或盖章；</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2</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jc w:val="left"/>
              <w:rPr>
                <w:rFonts w:hint="default"/>
              </w:rPr>
            </w:pPr>
            <w:r>
              <w:t>投标报价是否高于本项目的最高限价；</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3</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jc w:val="left"/>
              <w:rPr>
                <w:rFonts w:hint="default"/>
              </w:rPr>
            </w:pPr>
            <w:r>
              <w:t>投标人是否对同一采购项目做出两个以上报价且未明确效力的；</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4</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jc w:val="left"/>
              <w:rPr>
                <w:rFonts w:hint="default"/>
              </w:rPr>
            </w:pPr>
            <w:r>
              <w:t>投标文件的服务期是否超过磋商文件规定期限；</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5</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jc w:val="left"/>
              <w:rPr>
                <w:rFonts w:hint="default"/>
              </w:rPr>
            </w:pPr>
            <w:r>
              <w:t>投标保证金的缴纳主体是否与投标人一致、提供投标担保或者所提供的投标担保不符合采购文件要求；</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6</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jc w:val="left"/>
              <w:rPr>
                <w:rFonts w:hint="default"/>
              </w:rPr>
            </w:pPr>
            <w:r>
              <w:t>项目负责人是否符合磋商文件要求、并按磋商文件要求提供相关资料；</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7</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jc w:val="left"/>
              <w:rPr>
                <w:rFonts w:hint="default"/>
              </w:rPr>
            </w:pPr>
            <w:r>
              <w:t>投标文件封面右上角是否注明“正本”或“副本”字样；</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8</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jc w:val="left"/>
              <w:rPr>
                <w:rFonts w:hint="default"/>
              </w:rPr>
            </w:pPr>
            <w:r>
              <w:t>投标</w:t>
            </w:r>
            <w:r>
              <w:rPr>
                <w:rFonts w:hint="eastAsia"/>
                <w:lang w:val="en-US" w:eastAsia="zh-CN"/>
              </w:rPr>
              <w:t>函</w:t>
            </w:r>
            <w:r>
              <w:t>是否按磋商文件规定格式完整提供、且按采购文件要求签字或盖章；</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9</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jc w:val="left"/>
              <w:rPr>
                <w:rFonts w:hint="default"/>
              </w:rPr>
            </w:pPr>
            <w:r>
              <w:t>法定代表人身份证明书及法定代表人授权委托书是否按磋商文件规定格式完整提供、并按磋商文件要求签字或盖章。</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r>
              <w:t>11</w:t>
            </w:r>
          </w:p>
        </w:tc>
        <w:tc>
          <w:tcPr>
            <w:tcW w:w="5951" w:type="dxa"/>
            <w:tcBorders>
              <w:top w:val="single" w:color="auto" w:sz="4" w:space="0"/>
              <w:left w:val="single" w:color="auto" w:sz="4" w:space="0"/>
              <w:bottom w:val="single" w:color="auto" w:sz="4" w:space="0"/>
              <w:right w:val="single" w:color="auto" w:sz="4" w:space="0"/>
            </w:tcBorders>
            <w:vAlign w:val="center"/>
          </w:tcPr>
          <w:p>
            <w:pPr>
              <w:pStyle w:val="28"/>
              <w:jc w:val="left"/>
              <w:rPr>
                <w:rFonts w:hint="default"/>
              </w:rPr>
            </w:pPr>
            <w:r>
              <w:t>投标文件是否附有采购人不能接受的条件</w:t>
            </w: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c>
          <w:tcPr>
            <w:tcW w:w="651" w:type="dxa"/>
            <w:tcBorders>
              <w:top w:val="single" w:color="auto" w:sz="4" w:space="0"/>
              <w:left w:val="single" w:color="auto" w:sz="4" w:space="0"/>
              <w:bottom w:val="single" w:color="auto" w:sz="4" w:space="0"/>
              <w:right w:val="single" w:color="auto" w:sz="4" w:space="0"/>
            </w:tcBorders>
            <w:vAlign w:val="center"/>
          </w:tcPr>
          <w:p>
            <w:pPr>
              <w:pStyle w:val="28"/>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828" w:type="dxa"/>
            <w:gridSpan w:val="7"/>
            <w:tcBorders>
              <w:top w:val="single" w:color="auto" w:sz="4" w:space="0"/>
              <w:left w:val="single" w:color="auto" w:sz="4" w:space="0"/>
              <w:bottom w:val="single" w:color="auto" w:sz="4" w:space="0"/>
              <w:right w:val="single" w:color="auto" w:sz="4" w:space="0"/>
            </w:tcBorders>
            <w:vAlign w:val="center"/>
          </w:tcPr>
          <w:p>
            <w:pPr>
              <w:pStyle w:val="28"/>
              <w:rPr>
                <w:rFonts w:hint="default"/>
              </w:rPr>
            </w:pPr>
            <w: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7" w:hRule="atLeast"/>
          <w:jc w:val="center"/>
        </w:trPr>
        <w:tc>
          <w:tcPr>
            <w:tcW w:w="9828" w:type="dxa"/>
            <w:gridSpan w:val="7"/>
            <w:tcBorders>
              <w:top w:val="single" w:color="auto" w:sz="4" w:space="0"/>
              <w:left w:val="single" w:color="auto" w:sz="4" w:space="0"/>
              <w:bottom w:val="single" w:color="auto" w:sz="4" w:space="0"/>
              <w:right w:val="single" w:color="auto" w:sz="4" w:space="0"/>
            </w:tcBorders>
          </w:tcPr>
          <w:p>
            <w:pPr>
              <w:pStyle w:val="28"/>
              <w:rPr>
                <w:rFonts w:hint="default"/>
              </w:rPr>
            </w:pPr>
            <w:r>
              <w:t>评标委员会成员签名：</w:t>
            </w:r>
          </w:p>
          <w:p>
            <w:pPr>
              <w:pStyle w:val="28"/>
              <w:rPr>
                <w:rFonts w:hint="default"/>
              </w:rPr>
            </w:pPr>
            <w: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9828" w:type="dxa"/>
            <w:gridSpan w:val="7"/>
            <w:tcBorders>
              <w:top w:val="single" w:color="auto" w:sz="4" w:space="0"/>
              <w:left w:val="single" w:color="auto" w:sz="4" w:space="0"/>
              <w:bottom w:val="single" w:color="auto" w:sz="4" w:space="0"/>
              <w:right w:val="single" w:color="auto" w:sz="4" w:space="0"/>
            </w:tcBorders>
            <w:vAlign w:val="center"/>
          </w:tcPr>
          <w:p>
            <w:pPr>
              <w:pStyle w:val="28"/>
              <w:rPr>
                <w:rFonts w:hint="default"/>
              </w:rPr>
            </w:pPr>
            <w: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pStyle w:val="5"/>
        <w:rPr>
          <w:sz w:val="24"/>
        </w:rPr>
      </w:pPr>
      <w:r>
        <w:rPr>
          <w:rFonts w:hint="eastAsia"/>
        </w:rPr>
        <w:br w:type="page"/>
      </w:r>
      <w:r>
        <w:rPr>
          <w:rFonts w:hint="eastAsia"/>
          <w:sz w:val="24"/>
        </w:rPr>
        <w:t>二、投标报价评审标准及办法</w:t>
      </w:r>
    </w:p>
    <w:p>
      <w:pPr>
        <w:ind w:firstLine="480"/>
        <w:rPr>
          <w:sz w:val="24"/>
        </w:rPr>
      </w:pPr>
      <w:r>
        <w:rPr>
          <w:rFonts w:hint="eastAsia"/>
          <w:sz w:val="24"/>
        </w:rPr>
        <w:t xml:space="preserve"> 评分标准：综合评分法</w:t>
      </w:r>
    </w:p>
    <w:p>
      <w:pPr>
        <w:pStyle w:val="5"/>
      </w:pPr>
      <w:r>
        <w:rPr>
          <w:rFonts w:hint="eastAsia"/>
        </w:rPr>
        <w:br w:type="page"/>
      </w:r>
      <w:r>
        <w:rPr>
          <w:rFonts w:hint="eastAsia"/>
        </w:rPr>
        <w:t>三、评分标准</w:t>
      </w:r>
    </w:p>
    <w:p>
      <w:pPr>
        <w:ind w:firstLine="560"/>
      </w:pPr>
      <w:r>
        <w:rPr>
          <w:rFonts w:hint="eastAsia"/>
        </w:rPr>
        <w:t>评审因素和标准</w:t>
      </w:r>
    </w:p>
    <w:tbl>
      <w:tblPr>
        <w:tblStyle w:val="20"/>
        <w:tblW w:w="4998" w:type="pct"/>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636"/>
        <w:gridCol w:w="912"/>
        <w:gridCol w:w="564"/>
        <w:gridCol w:w="5863"/>
      </w:tblGrid>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305" w:type="pct"/>
            <w:vAlign w:val="center"/>
          </w:tcPr>
          <w:p>
            <w:pPr>
              <w:pStyle w:val="28"/>
              <w:rPr>
                <w:rFonts w:hint="default"/>
              </w:rPr>
            </w:pPr>
            <w:r>
              <w:t>序号</w:t>
            </w:r>
          </w:p>
        </w:tc>
        <w:tc>
          <w:tcPr>
            <w:tcW w:w="910" w:type="pct"/>
            <w:gridSpan w:val="2"/>
            <w:vAlign w:val="center"/>
          </w:tcPr>
          <w:p>
            <w:pPr>
              <w:pStyle w:val="28"/>
              <w:rPr>
                <w:rFonts w:hint="default"/>
              </w:rPr>
            </w:pPr>
            <w:r>
              <w:t>评审因素</w:t>
            </w:r>
          </w:p>
        </w:tc>
        <w:tc>
          <w:tcPr>
            <w:tcW w:w="332" w:type="pct"/>
            <w:vAlign w:val="center"/>
          </w:tcPr>
          <w:p>
            <w:pPr>
              <w:pStyle w:val="28"/>
              <w:rPr>
                <w:rFonts w:hint="default"/>
              </w:rPr>
            </w:pPr>
            <w:r>
              <w:t>分值</w:t>
            </w:r>
          </w:p>
        </w:tc>
        <w:tc>
          <w:tcPr>
            <w:tcW w:w="3451" w:type="pct"/>
            <w:vAlign w:val="center"/>
          </w:tcPr>
          <w:p>
            <w:pPr>
              <w:pStyle w:val="28"/>
              <w:rPr>
                <w:rFonts w:hint="default"/>
              </w:rPr>
            </w:pPr>
            <w:r>
              <w:t>评分标准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305" w:type="pct"/>
            <w:vAlign w:val="center"/>
          </w:tcPr>
          <w:p>
            <w:pPr>
              <w:pStyle w:val="28"/>
              <w:rPr>
                <w:rFonts w:hint="default"/>
              </w:rPr>
            </w:pPr>
            <w:r>
              <w:t>1</w:t>
            </w:r>
          </w:p>
        </w:tc>
        <w:tc>
          <w:tcPr>
            <w:tcW w:w="373" w:type="pct"/>
            <w:vAlign w:val="center"/>
          </w:tcPr>
          <w:p>
            <w:pPr>
              <w:pStyle w:val="28"/>
              <w:rPr>
                <w:rFonts w:hint="default"/>
              </w:rPr>
            </w:pPr>
            <w:r>
              <w:t>价格部分（10分）</w:t>
            </w:r>
          </w:p>
        </w:tc>
        <w:tc>
          <w:tcPr>
            <w:tcW w:w="537" w:type="pct"/>
            <w:vAlign w:val="center"/>
          </w:tcPr>
          <w:p>
            <w:pPr>
              <w:pStyle w:val="28"/>
              <w:rPr>
                <w:rFonts w:hint="default"/>
              </w:rPr>
            </w:pPr>
            <w:r>
              <w:t>磋商报价</w:t>
            </w:r>
          </w:p>
        </w:tc>
        <w:tc>
          <w:tcPr>
            <w:tcW w:w="332" w:type="pct"/>
            <w:vAlign w:val="center"/>
          </w:tcPr>
          <w:p>
            <w:pPr>
              <w:pStyle w:val="28"/>
              <w:rPr>
                <w:rFonts w:hint="default"/>
              </w:rPr>
            </w:pPr>
            <w:r>
              <w:t>10分</w:t>
            </w:r>
          </w:p>
        </w:tc>
        <w:tc>
          <w:tcPr>
            <w:tcW w:w="3451" w:type="pct"/>
            <w:vAlign w:val="center"/>
          </w:tcPr>
          <w:p>
            <w:pPr>
              <w:pStyle w:val="28"/>
              <w:jc w:val="left"/>
              <w:rPr>
                <w:rFonts w:hint="default"/>
                <w:color w:val="0000FF"/>
              </w:rPr>
            </w:pPr>
            <w:r>
              <w:t>以经评委会一致认定满足磋商文件要求且投标价格最低的投标报价为评审基准价，其价格得分计10分。其他供应商的价格得分统一按公式计算：报价得分＝评标基准价/投标报价×投标报价权重。</w:t>
            </w:r>
            <w:r>
              <w:rPr>
                <w:rFonts w:hint="eastAsia"/>
                <w:color w:val="0000FF"/>
                <w:lang w:val="en-US" w:eastAsia="zh-CN"/>
              </w:rPr>
              <w:t>小微企业投标人报价=投标人总报价-中小微企业产品报价*扣除幅度。（以价格扣除后的投标人报价作为评审依据）</w:t>
            </w:r>
          </w:p>
          <w:p>
            <w:pPr>
              <w:pStyle w:val="28"/>
              <w:jc w:val="left"/>
              <w:rPr>
                <w:rFonts w:hint="default"/>
              </w:rPr>
            </w:pPr>
            <w:r>
              <w:t>评委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委会应当将其作为无效投标处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305" w:type="pct"/>
            <w:vMerge w:val="restart"/>
            <w:vAlign w:val="center"/>
          </w:tcPr>
          <w:p>
            <w:pPr>
              <w:pStyle w:val="28"/>
              <w:rPr>
                <w:rFonts w:hint="default"/>
              </w:rPr>
            </w:pPr>
            <w:r>
              <w:t>2</w:t>
            </w:r>
          </w:p>
        </w:tc>
        <w:tc>
          <w:tcPr>
            <w:tcW w:w="373" w:type="pct"/>
            <w:vMerge w:val="restart"/>
            <w:vAlign w:val="center"/>
          </w:tcPr>
          <w:p>
            <w:pPr>
              <w:pStyle w:val="28"/>
              <w:rPr>
                <w:rFonts w:hint="default"/>
              </w:rPr>
            </w:pPr>
            <w:r>
              <w:t>技术部分（</w:t>
            </w:r>
            <w:r>
              <w:rPr>
                <w:rFonts w:hint="eastAsia"/>
                <w:lang w:val="en-US" w:eastAsia="zh-CN"/>
              </w:rPr>
              <w:t>70</w:t>
            </w:r>
            <w:r>
              <w:t>分）</w:t>
            </w:r>
          </w:p>
          <w:p>
            <w:pPr>
              <w:pStyle w:val="28"/>
              <w:rPr>
                <w:rFonts w:hint="default"/>
              </w:rPr>
            </w:pPr>
          </w:p>
        </w:tc>
        <w:tc>
          <w:tcPr>
            <w:tcW w:w="537" w:type="pct"/>
            <w:vAlign w:val="center"/>
          </w:tcPr>
          <w:p>
            <w:pPr>
              <w:pStyle w:val="28"/>
              <w:rPr>
                <w:rFonts w:hint="default"/>
              </w:rPr>
            </w:pPr>
            <w:r>
              <w:t>对项目的理解</w:t>
            </w:r>
          </w:p>
        </w:tc>
        <w:tc>
          <w:tcPr>
            <w:tcW w:w="332" w:type="pct"/>
            <w:vAlign w:val="center"/>
          </w:tcPr>
          <w:p>
            <w:pPr>
              <w:pStyle w:val="28"/>
              <w:rPr>
                <w:rFonts w:hint="default"/>
              </w:rPr>
            </w:pPr>
            <w:r>
              <w:t>10分</w:t>
            </w:r>
          </w:p>
        </w:tc>
        <w:tc>
          <w:tcPr>
            <w:tcW w:w="3451" w:type="pct"/>
            <w:vAlign w:val="center"/>
          </w:tcPr>
          <w:p>
            <w:pPr>
              <w:pStyle w:val="28"/>
              <w:jc w:val="left"/>
              <w:rPr>
                <w:rFonts w:hint="default"/>
              </w:rPr>
            </w:pPr>
            <w:r>
              <w:t>供应商提供对本项目需求的理解，对项目建设需求做出合理的解释。根据其表述的科学性、合理性由评委进行评议：对项目现状和必要性理解深刻，对国家和地方有关政策文件掌握全面、论述清晰充分的，任务和目标满足用户要求的</w:t>
            </w:r>
            <w:r>
              <w:rPr>
                <w:rFonts w:hint="eastAsia"/>
                <w:lang w:val="en-US" w:eastAsia="zh-CN"/>
              </w:rPr>
              <w:t>得7-</w:t>
            </w:r>
            <w:r>
              <w:t>10分；基本满足用户要求的</w:t>
            </w:r>
            <w:r>
              <w:rPr>
                <w:rFonts w:hint="eastAsia"/>
                <w:lang w:val="en-US" w:eastAsia="zh-CN"/>
              </w:rPr>
              <w:t>得4-6</w:t>
            </w:r>
            <w:r>
              <w:t>分；部分满足用户要求的</w:t>
            </w:r>
            <w:r>
              <w:rPr>
                <w:rFonts w:hint="eastAsia"/>
                <w:lang w:val="en-US" w:eastAsia="zh-CN"/>
              </w:rPr>
              <w:t>得1-3</w:t>
            </w:r>
            <w:r>
              <w:t xml:space="preserve">分。 </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305" w:type="pct"/>
            <w:vMerge w:val="continue"/>
            <w:vAlign w:val="center"/>
          </w:tcPr>
          <w:p>
            <w:pPr>
              <w:pStyle w:val="28"/>
              <w:rPr>
                <w:rFonts w:hint="default"/>
              </w:rPr>
            </w:pPr>
          </w:p>
        </w:tc>
        <w:tc>
          <w:tcPr>
            <w:tcW w:w="373" w:type="pct"/>
            <w:vMerge w:val="continue"/>
            <w:vAlign w:val="center"/>
          </w:tcPr>
          <w:p>
            <w:pPr>
              <w:pStyle w:val="28"/>
              <w:rPr>
                <w:rFonts w:hint="default"/>
              </w:rPr>
            </w:pPr>
          </w:p>
        </w:tc>
        <w:tc>
          <w:tcPr>
            <w:tcW w:w="537" w:type="pct"/>
            <w:vAlign w:val="center"/>
          </w:tcPr>
          <w:p>
            <w:pPr>
              <w:pStyle w:val="28"/>
              <w:rPr>
                <w:rFonts w:hint="default"/>
              </w:rPr>
            </w:pPr>
            <w:r>
              <w:t>自然资源登记单元划定方案</w:t>
            </w:r>
          </w:p>
        </w:tc>
        <w:tc>
          <w:tcPr>
            <w:tcW w:w="332" w:type="pct"/>
            <w:vAlign w:val="center"/>
          </w:tcPr>
          <w:p>
            <w:pPr>
              <w:pStyle w:val="28"/>
              <w:rPr>
                <w:rFonts w:hint="default"/>
              </w:rPr>
            </w:pPr>
            <w:r>
              <w:rPr>
                <w:rFonts w:hint="eastAsia"/>
                <w:lang w:val="en-US" w:eastAsia="zh-CN"/>
              </w:rPr>
              <w:t>10</w:t>
            </w:r>
            <w:r>
              <w:t>分</w:t>
            </w:r>
          </w:p>
        </w:tc>
        <w:tc>
          <w:tcPr>
            <w:tcW w:w="3451" w:type="pct"/>
            <w:vAlign w:val="center"/>
          </w:tcPr>
          <w:p>
            <w:pPr>
              <w:pStyle w:val="28"/>
              <w:jc w:val="left"/>
              <w:rPr>
                <w:rFonts w:hint="default"/>
              </w:rPr>
            </w:pPr>
            <w:r>
              <w:t>供应商提供的自然资源登记单元划定方案合理、完整，思路清晰，符合国家、新疆相关标准和规范，任务和目标完全满足用户要求的</w:t>
            </w:r>
            <w:r>
              <w:rPr>
                <w:rFonts w:hint="eastAsia"/>
                <w:lang w:eastAsia="zh-CN"/>
              </w:rPr>
              <w:t>，</w:t>
            </w:r>
            <w:r>
              <w:t>任务和目标完全满足用户要求的</w:t>
            </w:r>
            <w:r>
              <w:rPr>
                <w:rFonts w:hint="eastAsia"/>
                <w:lang w:val="en-US" w:eastAsia="zh-CN"/>
              </w:rPr>
              <w:t>得7-</w:t>
            </w:r>
            <w:r>
              <w:t>10分</w:t>
            </w:r>
            <w:r>
              <w:rPr>
                <w:rFonts w:hint="eastAsia"/>
                <w:lang w:eastAsia="zh-CN"/>
              </w:rPr>
              <w:t>；</w:t>
            </w:r>
            <w:r>
              <w:t>基本满足用户要求的</w:t>
            </w:r>
            <w:r>
              <w:rPr>
                <w:rFonts w:hint="eastAsia"/>
                <w:lang w:val="en-US" w:eastAsia="zh-CN"/>
              </w:rPr>
              <w:t>得4-6</w:t>
            </w:r>
            <w:r>
              <w:t>分；部分满足用户要求的</w:t>
            </w:r>
            <w:r>
              <w:rPr>
                <w:rFonts w:hint="eastAsia"/>
                <w:lang w:val="en-US" w:eastAsia="zh-CN"/>
              </w:rPr>
              <w:t>得1-3</w:t>
            </w:r>
            <w:r>
              <w:t>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305" w:type="pct"/>
            <w:vMerge w:val="continue"/>
            <w:vAlign w:val="center"/>
          </w:tcPr>
          <w:p>
            <w:pPr>
              <w:pStyle w:val="28"/>
              <w:rPr>
                <w:rFonts w:hint="default"/>
              </w:rPr>
            </w:pPr>
          </w:p>
        </w:tc>
        <w:tc>
          <w:tcPr>
            <w:tcW w:w="373" w:type="pct"/>
            <w:vMerge w:val="continue"/>
            <w:vAlign w:val="center"/>
          </w:tcPr>
          <w:p>
            <w:pPr>
              <w:pStyle w:val="28"/>
              <w:rPr>
                <w:rFonts w:hint="default"/>
              </w:rPr>
            </w:pPr>
          </w:p>
        </w:tc>
        <w:tc>
          <w:tcPr>
            <w:tcW w:w="537" w:type="pct"/>
            <w:vAlign w:val="center"/>
          </w:tcPr>
          <w:p>
            <w:pPr>
              <w:pStyle w:val="28"/>
              <w:rPr>
                <w:rFonts w:hint="default"/>
              </w:rPr>
            </w:pPr>
            <w:r>
              <w:t>权属调查方案</w:t>
            </w:r>
          </w:p>
        </w:tc>
        <w:tc>
          <w:tcPr>
            <w:tcW w:w="332" w:type="pct"/>
            <w:vAlign w:val="center"/>
          </w:tcPr>
          <w:p>
            <w:pPr>
              <w:pStyle w:val="28"/>
              <w:rPr>
                <w:rFonts w:hint="default"/>
              </w:rPr>
            </w:pPr>
            <w:r>
              <w:rPr>
                <w:rFonts w:hint="eastAsia"/>
                <w:lang w:val="en-US" w:eastAsia="zh-CN"/>
              </w:rPr>
              <w:t>10</w:t>
            </w:r>
            <w:r>
              <w:t>分</w:t>
            </w:r>
          </w:p>
        </w:tc>
        <w:tc>
          <w:tcPr>
            <w:tcW w:w="3451" w:type="pct"/>
            <w:vAlign w:val="center"/>
          </w:tcPr>
          <w:p>
            <w:pPr>
              <w:pStyle w:val="28"/>
              <w:jc w:val="left"/>
              <w:rPr>
                <w:rFonts w:hint="default"/>
              </w:rPr>
            </w:pPr>
            <w:r>
              <w:t>供应商提供的权属调查方案合理、完整，思路清晰，符合国家、新疆相关标准和规范，任务和目标完全满足用户要求的</w:t>
            </w:r>
            <w:r>
              <w:rPr>
                <w:rFonts w:hint="eastAsia"/>
                <w:lang w:val="en-US" w:eastAsia="zh-CN"/>
              </w:rPr>
              <w:t>得7-</w:t>
            </w:r>
            <w:r>
              <w:t>10分；基本满足用户要求的</w:t>
            </w:r>
            <w:r>
              <w:rPr>
                <w:rFonts w:hint="eastAsia"/>
                <w:lang w:val="en-US" w:eastAsia="zh-CN"/>
              </w:rPr>
              <w:t>得4-6</w:t>
            </w:r>
            <w:r>
              <w:t>分；部分满足用户要求的</w:t>
            </w:r>
            <w:r>
              <w:rPr>
                <w:rFonts w:hint="eastAsia"/>
                <w:lang w:val="en-US" w:eastAsia="zh-CN"/>
              </w:rPr>
              <w:t>得1-3</w:t>
            </w:r>
            <w:r>
              <w:t>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05" w:type="pct"/>
            <w:vMerge w:val="continue"/>
            <w:vAlign w:val="center"/>
          </w:tcPr>
          <w:p>
            <w:pPr>
              <w:pStyle w:val="28"/>
              <w:rPr>
                <w:rFonts w:hint="default"/>
              </w:rPr>
            </w:pPr>
          </w:p>
        </w:tc>
        <w:tc>
          <w:tcPr>
            <w:tcW w:w="373" w:type="pct"/>
            <w:vMerge w:val="continue"/>
            <w:vAlign w:val="center"/>
          </w:tcPr>
          <w:p>
            <w:pPr>
              <w:pStyle w:val="28"/>
              <w:rPr>
                <w:rFonts w:hint="default"/>
              </w:rPr>
            </w:pPr>
          </w:p>
        </w:tc>
        <w:tc>
          <w:tcPr>
            <w:tcW w:w="537" w:type="pct"/>
            <w:vAlign w:val="center"/>
          </w:tcPr>
          <w:p>
            <w:pPr>
              <w:pStyle w:val="28"/>
              <w:rPr>
                <w:rFonts w:hint="default"/>
              </w:rPr>
            </w:pPr>
            <w:r>
              <w:t>公共管制内容调查方案</w:t>
            </w:r>
          </w:p>
        </w:tc>
        <w:tc>
          <w:tcPr>
            <w:tcW w:w="332" w:type="pct"/>
            <w:vAlign w:val="center"/>
          </w:tcPr>
          <w:p>
            <w:pPr>
              <w:pStyle w:val="28"/>
              <w:rPr>
                <w:rFonts w:hint="default"/>
              </w:rPr>
            </w:pPr>
            <w:r>
              <w:rPr>
                <w:rFonts w:hint="eastAsia"/>
                <w:lang w:val="en-US" w:eastAsia="zh-CN"/>
              </w:rPr>
              <w:t>10</w:t>
            </w:r>
            <w:r>
              <w:t>分</w:t>
            </w:r>
          </w:p>
        </w:tc>
        <w:tc>
          <w:tcPr>
            <w:tcW w:w="3451" w:type="pct"/>
            <w:vAlign w:val="center"/>
          </w:tcPr>
          <w:p>
            <w:pPr>
              <w:pStyle w:val="28"/>
              <w:jc w:val="left"/>
              <w:rPr>
                <w:rFonts w:hint="default"/>
              </w:rPr>
            </w:pPr>
            <w:r>
              <w:t>供应商提供的公共管制内容调查方案合理、完整，思路清晰，符合国家、新疆相关标准和规范，任务和目标满足用户要求的</w:t>
            </w:r>
            <w:r>
              <w:rPr>
                <w:rFonts w:hint="eastAsia"/>
                <w:lang w:val="en-US" w:eastAsia="zh-CN"/>
              </w:rPr>
              <w:t>得7-</w:t>
            </w:r>
            <w:r>
              <w:t>10分；基本满足用户要求的</w:t>
            </w:r>
            <w:r>
              <w:rPr>
                <w:rFonts w:hint="eastAsia"/>
                <w:lang w:val="en-US" w:eastAsia="zh-CN"/>
              </w:rPr>
              <w:t>得4-6</w:t>
            </w:r>
            <w:r>
              <w:t>分；部分满足用户要求的</w:t>
            </w:r>
            <w:r>
              <w:rPr>
                <w:rFonts w:hint="eastAsia"/>
                <w:lang w:val="en-US" w:eastAsia="zh-CN"/>
              </w:rPr>
              <w:t>得1-3</w:t>
            </w:r>
            <w:r>
              <w:t xml:space="preserve">分。 </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305" w:type="pct"/>
            <w:vMerge w:val="continue"/>
            <w:vAlign w:val="center"/>
          </w:tcPr>
          <w:p>
            <w:pPr>
              <w:pStyle w:val="28"/>
              <w:rPr>
                <w:rFonts w:hint="default"/>
              </w:rPr>
            </w:pPr>
          </w:p>
        </w:tc>
        <w:tc>
          <w:tcPr>
            <w:tcW w:w="373" w:type="pct"/>
            <w:vMerge w:val="continue"/>
            <w:vAlign w:val="center"/>
          </w:tcPr>
          <w:p>
            <w:pPr>
              <w:pStyle w:val="28"/>
              <w:rPr>
                <w:rFonts w:hint="default"/>
              </w:rPr>
            </w:pPr>
          </w:p>
        </w:tc>
        <w:tc>
          <w:tcPr>
            <w:tcW w:w="537" w:type="pct"/>
            <w:vAlign w:val="center"/>
          </w:tcPr>
          <w:p>
            <w:pPr>
              <w:pStyle w:val="28"/>
              <w:rPr>
                <w:rFonts w:hint="default"/>
              </w:rPr>
            </w:pPr>
            <w:r>
              <w:t>数据库建设方案</w:t>
            </w:r>
          </w:p>
        </w:tc>
        <w:tc>
          <w:tcPr>
            <w:tcW w:w="332" w:type="pct"/>
            <w:vAlign w:val="center"/>
          </w:tcPr>
          <w:p>
            <w:pPr>
              <w:pStyle w:val="28"/>
              <w:rPr>
                <w:rFonts w:hint="default"/>
              </w:rPr>
            </w:pPr>
            <w:r>
              <w:rPr>
                <w:rFonts w:hint="eastAsia"/>
                <w:lang w:val="en-US" w:eastAsia="zh-CN"/>
              </w:rPr>
              <w:t>10</w:t>
            </w:r>
            <w:r>
              <w:t>分</w:t>
            </w:r>
          </w:p>
        </w:tc>
        <w:tc>
          <w:tcPr>
            <w:tcW w:w="3451" w:type="pct"/>
            <w:vAlign w:val="center"/>
          </w:tcPr>
          <w:p>
            <w:pPr>
              <w:pStyle w:val="28"/>
              <w:jc w:val="left"/>
              <w:rPr>
                <w:rFonts w:hint="default"/>
              </w:rPr>
            </w:pPr>
            <w:r>
              <w:t>供应商提供的数据库建设方案合理、完整，思路清晰，符合国家、新疆相关标准和规范，任务和目标完全满足用户要求的</w:t>
            </w:r>
            <w:r>
              <w:rPr>
                <w:rFonts w:hint="eastAsia"/>
                <w:lang w:eastAsia="zh-CN"/>
              </w:rPr>
              <w:t>，</w:t>
            </w:r>
            <w:r>
              <w:t>任务和目标满足用户要求的</w:t>
            </w:r>
            <w:r>
              <w:rPr>
                <w:rFonts w:hint="eastAsia"/>
                <w:lang w:val="en-US" w:eastAsia="zh-CN"/>
              </w:rPr>
              <w:t>得7-</w:t>
            </w:r>
            <w:r>
              <w:t>10分；基本满足用户要求的</w:t>
            </w:r>
            <w:r>
              <w:rPr>
                <w:rFonts w:hint="eastAsia"/>
                <w:lang w:val="en-US" w:eastAsia="zh-CN"/>
              </w:rPr>
              <w:t>得4-6</w:t>
            </w:r>
            <w:r>
              <w:t>分；部分满足用户要求的</w:t>
            </w:r>
            <w:r>
              <w:rPr>
                <w:rFonts w:hint="eastAsia"/>
                <w:lang w:val="en-US" w:eastAsia="zh-CN"/>
              </w:rPr>
              <w:t>得1-3</w:t>
            </w:r>
            <w:r>
              <w:t xml:space="preserve">分。 </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305" w:type="pct"/>
            <w:vMerge w:val="continue"/>
            <w:vAlign w:val="center"/>
          </w:tcPr>
          <w:p>
            <w:pPr>
              <w:pStyle w:val="28"/>
              <w:rPr>
                <w:rFonts w:hint="default"/>
              </w:rPr>
            </w:pPr>
          </w:p>
        </w:tc>
        <w:tc>
          <w:tcPr>
            <w:tcW w:w="373" w:type="pct"/>
            <w:vMerge w:val="continue"/>
            <w:vAlign w:val="center"/>
          </w:tcPr>
          <w:p>
            <w:pPr>
              <w:pStyle w:val="28"/>
              <w:rPr>
                <w:rFonts w:hint="default"/>
              </w:rPr>
            </w:pPr>
          </w:p>
        </w:tc>
        <w:tc>
          <w:tcPr>
            <w:tcW w:w="537" w:type="pct"/>
            <w:vAlign w:val="center"/>
          </w:tcPr>
          <w:p>
            <w:pPr>
              <w:pStyle w:val="28"/>
              <w:rPr>
                <w:rFonts w:hint="default"/>
              </w:rPr>
            </w:pPr>
            <w:r>
              <w:t>质量控制措施</w:t>
            </w:r>
          </w:p>
        </w:tc>
        <w:tc>
          <w:tcPr>
            <w:tcW w:w="332" w:type="pct"/>
            <w:vAlign w:val="center"/>
          </w:tcPr>
          <w:p>
            <w:pPr>
              <w:pStyle w:val="28"/>
              <w:rPr>
                <w:rFonts w:hint="default"/>
              </w:rPr>
            </w:pPr>
            <w:r>
              <w:rPr>
                <w:rFonts w:hint="eastAsia"/>
                <w:lang w:val="en-US" w:eastAsia="zh-CN"/>
              </w:rPr>
              <w:t>4</w:t>
            </w:r>
            <w:r>
              <w:t>分</w:t>
            </w:r>
          </w:p>
        </w:tc>
        <w:tc>
          <w:tcPr>
            <w:tcW w:w="3451" w:type="pct"/>
            <w:vAlign w:val="center"/>
          </w:tcPr>
          <w:p>
            <w:pPr>
              <w:pStyle w:val="28"/>
              <w:jc w:val="left"/>
              <w:rPr>
                <w:rFonts w:hint="default" w:eastAsia="宋体"/>
                <w:lang w:val="en-US" w:eastAsia="zh-CN"/>
              </w:rPr>
            </w:pPr>
            <w:r>
              <w:t>供应商提供完整、合理、操作性强的质量控制措施，对检查标准和检查内容作出详细介绍。质量控制措施简便易行，并可生成详细检查结果记录</w:t>
            </w:r>
            <w:r>
              <w:rPr>
                <w:rFonts w:hint="eastAsia"/>
                <w:lang w:val="en-US" w:eastAsia="zh-CN"/>
              </w:rPr>
              <w:t>的得3-4分；较为</w:t>
            </w:r>
            <w:r>
              <w:t>简便易行</w:t>
            </w:r>
            <w:r>
              <w:rPr>
                <w:rFonts w:hint="eastAsia"/>
                <w:lang w:eastAsia="zh-CN"/>
              </w:rPr>
              <w:t>，</w:t>
            </w:r>
            <w:r>
              <w:t>检查结果记录</w:t>
            </w:r>
            <w:r>
              <w:rPr>
                <w:rFonts w:hint="eastAsia"/>
                <w:lang w:val="en-US" w:eastAsia="zh-CN"/>
              </w:rPr>
              <w:t>不够详细的得1-2分。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305" w:type="pct"/>
            <w:vMerge w:val="continue"/>
            <w:vAlign w:val="center"/>
          </w:tcPr>
          <w:p>
            <w:pPr>
              <w:pStyle w:val="28"/>
              <w:rPr>
                <w:rFonts w:hint="default"/>
              </w:rPr>
            </w:pPr>
          </w:p>
        </w:tc>
        <w:tc>
          <w:tcPr>
            <w:tcW w:w="373" w:type="pct"/>
            <w:vMerge w:val="continue"/>
            <w:vAlign w:val="center"/>
          </w:tcPr>
          <w:p>
            <w:pPr>
              <w:pStyle w:val="28"/>
              <w:rPr>
                <w:rFonts w:hint="default"/>
              </w:rPr>
            </w:pPr>
          </w:p>
        </w:tc>
        <w:tc>
          <w:tcPr>
            <w:tcW w:w="537" w:type="pct"/>
            <w:vAlign w:val="center"/>
          </w:tcPr>
          <w:p>
            <w:pPr>
              <w:pStyle w:val="28"/>
              <w:rPr>
                <w:rFonts w:hint="default"/>
              </w:rPr>
            </w:pPr>
            <w:r>
              <w:t>项目组织实施方案</w:t>
            </w:r>
          </w:p>
        </w:tc>
        <w:tc>
          <w:tcPr>
            <w:tcW w:w="332" w:type="pct"/>
            <w:vAlign w:val="center"/>
          </w:tcPr>
          <w:p>
            <w:pPr>
              <w:pStyle w:val="28"/>
              <w:rPr>
                <w:rFonts w:hint="default"/>
              </w:rPr>
            </w:pPr>
            <w:r>
              <w:rPr>
                <w:rFonts w:hint="eastAsia"/>
                <w:lang w:val="en-US" w:eastAsia="zh-CN"/>
              </w:rPr>
              <w:t>4</w:t>
            </w:r>
            <w:r>
              <w:t>分</w:t>
            </w:r>
          </w:p>
        </w:tc>
        <w:tc>
          <w:tcPr>
            <w:tcW w:w="3451" w:type="pct"/>
            <w:vAlign w:val="center"/>
          </w:tcPr>
          <w:p>
            <w:pPr>
              <w:pStyle w:val="28"/>
              <w:rPr>
                <w:rFonts w:hint="eastAsia"/>
                <w:lang w:eastAsia="zh-CN"/>
              </w:rPr>
            </w:pPr>
            <w:r>
              <w:t>供应商提供项目组织实施方案，包括项目组织、进度安排、质量保证、项目成果、技术培训、技术支持、项目验收等内容</w:t>
            </w:r>
            <w:r>
              <w:rPr>
                <w:rFonts w:hint="eastAsia"/>
                <w:lang w:eastAsia="zh-CN"/>
              </w:rPr>
              <w:t>，</w:t>
            </w:r>
          </w:p>
          <w:p>
            <w:pPr>
              <w:pStyle w:val="28"/>
              <w:jc w:val="left"/>
              <w:rPr>
                <w:rFonts w:hint="eastAsia"/>
                <w:lang w:eastAsia="zh-CN"/>
              </w:rPr>
            </w:pPr>
            <w:r>
              <w:t>方案合理、全面、具有可操作性的</w:t>
            </w:r>
            <w:r>
              <w:rPr>
                <w:rFonts w:hint="eastAsia"/>
                <w:lang w:val="en-US" w:eastAsia="zh-CN"/>
              </w:rPr>
              <w:t>得</w:t>
            </w:r>
            <w:r>
              <w:t>3</w:t>
            </w:r>
            <w:r>
              <w:rPr>
                <w:rFonts w:hint="eastAsia"/>
                <w:lang w:val="en-US" w:eastAsia="zh-CN"/>
              </w:rPr>
              <w:t>-4</w:t>
            </w:r>
            <w:r>
              <w:t>分；方案欠完善、欠合理、有缺漏项的</w:t>
            </w:r>
            <w:r>
              <w:rPr>
                <w:rFonts w:hint="eastAsia"/>
                <w:lang w:val="en-US" w:eastAsia="zh-CN"/>
              </w:rPr>
              <w:t>得</w:t>
            </w:r>
            <w:r>
              <w:t>1</w:t>
            </w:r>
            <w:r>
              <w:rPr>
                <w:rFonts w:hint="eastAsia"/>
                <w:lang w:val="en-US" w:eastAsia="zh-CN"/>
              </w:rPr>
              <w:t>-2</w:t>
            </w:r>
            <w:r>
              <w:t>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305" w:type="pct"/>
            <w:vMerge w:val="continue"/>
            <w:vAlign w:val="center"/>
          </w:tcPr>
          <w:p>
            <w:pPr>
              <w:pStyle w:val="28"/>
              <w:rPr>
                <w:rFonts w:hint="default"/>
              </w:rPr>
            </w:pPr>
          </w:p>
        </w:tc>
        <w:tc>
          <w:tcPr>
            <w:tcW w:w="373" w:type="pct"/>
            <w:vMerge w:val="continue"/>
            <w:vAlign w:val="center"/>
          </w:tcPr>
          <w:p>
            <w:pPr>
              <w:pStyle w:val="28"/>
              <w:rPr>
                <w:rFonts w:hint="default"/>
              </w:rPr>
            </w:pPr>
          </w:p>
        </w:tc>
        <w:tc>
          <w:tcPr>
            <w:tcW w:w="537" w:type="pct"/>
            <w:vAlign w:val="center"/>
          </w:tcPr>
          <w:p>
            <w:pPr>
              <w:pStyle w:val="28"/>
              <w:rPr>
                <w:rFonts w:hint="default"/>
              </w:rPr>
            </w:pPr>
            <w:r>
              <w:t>项目规章管理制度</w:t>
            </w:r>
          </w:p>
        </w:tc>
        <w:tc>
          <w:tcPr>
            <w:tcW w:w="332" w:type="pct"/>
            <w:vAlign w:val="center"/>
          </w:tcPr>
          <w:p>
            <w:pPr>
              <w:pStyle w:val="28"/>
              <w:rPr>
                <w:rFonts w:hint="default"/>
              </w:rPr>
            </w:pPr>
            <w:r>
              <w:rPr>
                <w:rFonts w:hint="eastAsia"/>
                <w:lang w:val="en-US" w:eastAsia="zh-CN"/>
              </w:rPr>
              <w:t>4</w:t>
            </w:r>
            <w:r>
              <w:t>分</w:t>
            </w:r>
          </w:p>
        </w:tc>
        <w:tc>
          <w:tcPr>
            <w:tcW w:w="3451" w:type="pct"/>
            <w:vAlign w:val="center"/>
          </w:tcPr>
          <w:p>
            <w:pPr>
              <w:pStyle w:val="28"/>
              <w:jc w:val="left"/>
              <w:rPr>
                <w:rFonts w:hint="eastAsia" w:eastAsia="宋体"/>
                <w:lang w:eastAsia="zh-CN"/>
              </w:rPr>
            </w:pPr>
            <w:r>
              <w:t>供应商提供的项目规章管理制度内容合理、全面、具有可操作性的</w:t>
            </w:r>
            <w:r>
              <w:rPr>
                <w:rFonts w:hint="eastAsia"/>
                <w:lang w:val="en-US" w:eastAsia="zh-CN"/>
              </w:rPr>
              <w:t>得</w:t>
            </w:r>
            <w:r>
              <w:t>3</w:t>
            </w:r>
            <w:r>
              <w:rPr>
                <w:rFonts w:hint="eastAsia"/>
                <w:lang w:val="en-US" w:eastAsia="zh-CN"/>
              </w:rPr>
              <w:t>-4</w:t>
            </w:r>
            <w:r>
              <w:t>分</w:t>
            </w:r>
            <w:r>
              <w:rPr>
                <w:rFonts w:hint="eastAsia"/>
                <w:lang w:eastAsia="zh-CN"/>
              </w:rPr>
              <w:t>；</w:t>
            </w:r>
            <w:r>
              <w:rPr>
                <w:rFonts w:hint="eastAsia"/>
                <w:lang w:val="en-US" w:eastAsia="zh-CN"/>
              </w:rPr>
              <w:t>内容</w:t>
            </w:r>
            <w:r>
              <w:t>欠完善、欠合理、有缺漏项的</w:t>
            </w:r>
            <w:r>
              <w:rPr>
                <w:rFonts w:hint="eastAsia"/>
                <w:lang w:val="en-US" w:eastAsia="zh-CN"/>
              </w:rPr>
              <w:t>得</w:t>
            </w:r>
            <w:r>
              <w:t>1</w:t>
            </w:r>
            <w:r>
              <w:rPr>
                <w:rFonts w:hint="eastAsia"/>
                <w:lang w:val="en-US" w:eastAsia="zh-CN"/>
              </w:rPr>
              <w:t>-2</w:t>
            </w:r>
            <w:r>
              <w:t>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305" w:type="pct"/>
            <w:vMerge w:val="continue"/>
            <w:vAlign w:val="center"/>
          </w:tcPr>
          <w:p>
            <w:pPr>
              <w:pStyle w:val="28"/>
              <w:rPr>
                <w:rFonts w:hint="default"/>
              </w:rPr>
            </w:pPr>
          </w:p>
        </w:tc>
        <w:tc>
          <w:tcPr>
            <w:tcW w:w="373" w:type="pct"/>
            <w:vMerge w:val="continue"/>
            <w:vAlign w:val="center"/>
          </w:tcPr>
          <w:p>
            <w:pPr>
              <w:pStyle w:val="28"/>
              <w:rPr>
                <w:rFonts w:hint="default"/>
              </w:rPr>
            </w:pPr>
          </w:p>
        </w:tc>
        <w:tc>
          <w:tcPr>
            <w:tcW w:w="537" w:type="pct"/>
            <w:vAlign w:val="center"/>
          </w:tcPr>
          <w:p>
            <w:pPr>
              <w:pStyle w:val="28"/>
              <w:rPr>
                <w:rFonts w:hint="default"/>
              </w:rPr>
            </w:pPr>
            <w:r>
              <w:t>项目进度计划</w:t>
            </w:r>
          </w:p>
        </w:tc>
        <w:tc>
          <w:tcPr>
            <w:tcW w:w="332" w:type="pct"/>
            <w:vAlign w:val="center"/>
          </w:tcPr>
          <w:p>
            <w:pPr>
              <w:pStyle w:val="28"/>
              <w:rPr>
                <w:rFonts w:hint="default"/>
              </w:rPr>
            </w:pPr>
            <w:r>
              <w:rPr>
                <w:rFonts w:hint="eastAsia"/>
                <w:lang w:val="en-US" w:eastAsia="zh-CN"/>
              </w:rPr>
              <w:t>4</w:t>
            </w:r>
            <w:r>
              <w:t>分</w:t>
            </w:r>
          </w:p>
        </w:tc>
        <w:tc>
          <w:tcPr>
            <w:tcW w:w="3451" w:type="pct"/>
            <w:vAlign w:val="center"/>
          </w:tcPr>
          <w:p>
            <w:pPr>
              <w:pStyle w:val="28"/>
              <w:jc w:val="left"/>
              <w:rPr>
                <w:rFonts w:hint="default"/>
              </w:rPr>
            </w:pPr>
            <w:r>
              <w:t>供应商提供的项目进度计划内容合理、全面、具有可操作性的</w:t>
            </w:r>
            <w:r>
              <w:rPr>
                <w:rFonts w:hint="eastAsia"/>
                <w:lang w:val="en-US" w:eastAsia="zh-CN"/>
              </w:rPr>
              <w:t>得</w:t>
            </w:r>
            <w:r>
              <w:t>3</w:t>
            </w:r>
            <w:r>
              <w:rPr>
                <w:rFonts w:hint="eastAsia"/>
                <w:lang w:val="en-US" w:eastAsia="zh-CN"/>
              </w:rPr>
              <w:t>-4</w:t>
            </w:r>
            <w:r>
              <w:t>分；方案欠完善、欠合理、有缺漏项的计1</w:t>
            </w:r>
            <w:r>
              <w:rPr>
                <w:rFonts w:hint="eastAsia"/>
                <w:lang w:val="en-US" w:eastAsia="zh-CN"/>
              </w:rPr>
              <w:t>-2</w:t>
            </w:r>
            <w:r>
              <w:t xml:space="preserve">分。 </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305" w:type="pct"/>
            <w:vMerge w:val="continue"/>
            <w:vAlign w:val="center"/>
          </w:tcPr>
          <w:p>
            <w:pPr>
              <w:pStyle w:val="28"/>
              <w:rPr>
                <w:rFonts w:hint="default"/>
              </w:rPr>
            </w:pPr>
          </w:p>
        </w:tc>
        <w:tc>
          <w:tcPr>
            <w:tcW w:w="373" w:type="pct"/>
            <w:vMerge w:val="continue"/>
            <w:vAlign w:val="center"/>
          </w:tcPr>
          <w:p>
            <w:pPr>
              <w:pStyle w:val="28"/>
              <w:rPr>
                <w:rFonts w:hint="default"/>
              </w:rPr>
            </w:pPr>
          </w:p>
        </w:tc>
        <w:tc>
          <w:tcPr>
            <w:tcW w:w="537" w:type="pct"/>
            <w:vAlign w:val="center"/>
          </w:tcPr>
          <w:p>
            <w:pPr>
              <w:pStyle w:val="28"/>
              <w:rPr>
                <w:rFonts w:hint="default"/>
              </w:rPr>
            </w:pPr>
            <w:r>
              <w:t>服务承诺</w:t>
            </w:r>
          </w:p>
        </w:tc>
        <w:tc>
          <w:tcPr>
            <w:tcW w:w="332" w:type="pct"/>
            <w:vAlign w:val="center"/>
          </w:tcPr>
          <w:p>
            <w:pPr>
              <w:pStyle w:val="28"/>
              <w:rPr>
                <w:rFonts w:hint="default"/>
              </w:rPr>
            </w:pPr>
            <w:r>
              <w:rPr>
                <w:rFonts w:hint="eastAsia"/>
                <w:lang w:val="en-US" w:eastAsia="zh-CN"/>
              </w:rPr>
              <w:t>4</w:t>
            </w:r>
            <w:r>
              <w:t>分</w:t>
            </w:r>
          </w:p>
        </w:tc>
        <w:tc>
          <w:tcPr>
            <w:tcW w:w="3451" w:type="pct"/>
            <w:vAlign w:val="center"/>
          </w:tcPr>
          <w:p>
            <w:pPr>
              <w:pStyle w:val="28"/>
              <w:jc w:val="left"/>
              <w:rPr>
                <w:rFonts w:hint="default" w:eastAsia="宋体"/>
                <w:lang w:val="en-US" w:eastAsia="zh-CN"/>
              </w:rPr>
            </w:pPr>
            <w:r>
              <w:t>供应商的服务承诺全面，包括承诺完成的工作内容全面、合理，内容与深度均达到或超出本项目任务要求并按时提交成果、后续服务有保障的</w:t>
            </w:r>
            <w:r>
              <w:rPr>
                <w:rFonts w:hint="eastAsia"/>
                <w:lang w:val="en-US" w:eastAsia="zh-CN"/>
              </w:rPr>
              <w:t>得</w:t>
            </w:r>
            <w:r>
              <w:t>3</w:t>
            </w:r>
            <w:r>
              <w:rPr>
                <w:rFonts w:hint="eastAsia"/>
                <w:lang w:val="en-US" w:eastAsia="zh-CN"/>
              </w:rPr>
              <w:t>-4</w:t>
            </w:r>
            <w:r>
              <w:t>分</w:t>
            </w:r>
            <w:r>
              <w:rPr>
                <w:rFonts w:hint="eastAsia"/>
                <w:lang w:eastAsia="zh-CN"/>
              </w:rPr>
              <w:t>；</w:t>
            </w:r>
            <w:r>
              <w:t>承诺基本满足用户要求的</w:t>
            </w:r>
            <w:r>
              <w:rPr>
                <w:rFonts w:hint="eastAsia"/>
                <w:lang w:val="en-US" w:eastAsia="zh-CN"/>
              </w:rPr>
              <w:t>得1-2分。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305" w:type="pct"/>
            <w:vMerge w:val="restart"/>
            <w:vAlign w:val="center"/>
          </w:tcPr>
          <w:p>
            <w:pPr>
              <w:pStyle w:val="28"/>
              <w:rPr>
                <w:rFonts w:hint="default"/>
              </w:rPr>
            </w:pPr>
          </w:p>
          <w:p>
            <w:pPr>
              <w:pStyle w:val="28"/>
              <w:rPr>
                <w:rFonts w:hint="default"/>
              </w:rPr>
            </w:pPr>
          </w:p>
          <w:p>
            <w:pPr>
              <w:pStyle w:val="28"/>
              <w:rPr>
                <w:rFonts w:hint="default"/>
              </w:rPr>
            </w:pPr>
          </w:p>
          <w:p>
            <w:pPr>
              <w:pStyle w:val="28"/>
              <w:rPr>
                <w:rFonts w:hint="default"/>
              </w:rPr>
            </w:pPr>
            <w:r>
              <w:t>3</w:t>
            </w:r>
          </w:p>
          <w:p>
            <w:pPr>
              <w:pStyle w:val="28"/>
              <w:rPr>
                <w:rFonts w:hint="default"/>
              </w:rPr>
            </w:pPr>
          </w:p>
          <w:p>
            <w:pPr>
              <w:pStyle w:val="28"/>
              <w:rPr>
                <w:rFonts w:hint="default"/>
              </w:rPr>
            </w:pPr>
          </w:p>
          <w:p>
            <w:pPr>
              <w:pStyle w:val="28"/>
              <w:rPr>
                <w:rFonts w:hint="default"/>
              </w:rPr>
            </w:pPr>
          </w:p>
          <w:p>
            <w:pPr>
              <w:pStyle w:val="28"/>
              <w:rPr>
                <w:rFonts w:hint="default"/>
              </w:rPr>
            </w:pPr>
          </w:p>
          <w:p>
            <w:pPr>
              <w:pStyle w:val="28"/>
              <w:rPr>
                <w:rFonts w:hint="default"/>
              </w:rPr>
            </w:pPr>
          </w:p>
        </w:tc>
        <w:tc>
          <w:tcPr>
            <w:tcW w:w="373" w:type="pct"/>
            <w:vMerge w:val="restart"/>
            <w:vAlign w:val="center"/>
          </w:tcPr>
          <w:p>
            <w:pPr>
              <w:pStyle w:val="28"/>
              <w:rPr>
                <w:rFonts w:hint="default"/>
              </w:rPr>
            </w:pPr>
            <w:r>
              <w:t>商务部分</w:t>
            </w:r>
          </w:p>
          <w:p>
            <w:pPr>
              <w:pStyle w:val="28"/>
              <w:rPr>
                <w:rFonts w:hint="default"/>
              </w:rPr>
            </w:pPr>
            <w:r>
              <w:t>（</w:t>
            </w:r>
            <w:r>
              <w:rPr>
                <w:rFonts w:hint="eastAsia"/>
                <w:lang w:val="en-US" w:eastAsia="zh-CN"/>
              </w:rPr>
              <w:t>20</w:t>
            </w:r>
            <w:r>
              <w:t>分）</w:t>
            </w:r>
          </w:p>
        </w:tc>
        <w:tc>
          <w:tcPr>
            <w:tcW w:w="537" w:type="pct"/>
            <w:vAlign w:val="center"/>
          </w:tcPr>
          <w:p>
            <w:pPr>
              <w:pStyle w:val="28"/>
              <w:rPr>
                <w:rFonts w:hint="default"/>
              </w:rPr>
            </w:pPr>
            <w:r>
              <w:t>类似业绩</w:t>
            </w:r>
          </w:p>
        </w:tc>
        <w:tc>
          <w:tcPr>
            <w:tcW w:w="332" w:type="pct"/>
            <w:vAlign w:val="center"/>
          </w:tcPr>
          <w:p>
            <w:pPr>
              <w:pStyle w:val="28"/>
              <w:rPr>
                <w:rFonts w:hint="default"/>
              </w:rPr>
            </w:pPr>
            <w:r>
              <w:rPr>
                <w:rFonts w:hint="eastAsia"/>
                <w:lang w:val="en-US" w:eastAsia="zh-CN"/>
              </w:rPr>
              <w:t>10</w:t>
            </w:r>
            <w:r>
              <w:t>分</w:t>
            </w:r>
          </w:p>
        </w:tc>
        <w:tc>
          <w:tcPr>
            <w:tcW w:w="3451" w:type="pct"/>
            <w:vAlign w:val="center"/>
          </w:tcPr>
          <w:p>
            <w:pPr>
              <w:pStyle w:val="28"/>
              <w:jc w:val="left"/>
              <w:rPr>
                <w:rFonts w:hint="default"/>
              </w:rPr>
            </w:pPr>
            <w:r>
              <w:t>供应商近三年（2019年1月以来）承担过类似项目的，每个计</w:t>
            </w:r>
            <w:r>
              <w:rPr>
                <w:rFonts w:hint="eastAsia"/>
                <w:lang w:val="en-US" w:eastAsia="zh-CN"/>
              </w:rPr>
              <w:t>2</w:t>
            </w:r>
            <w:r>
              <w:t>分，计满</w:t>
            </w:r>
            <w:r>
              <w:rPr>
                <w:rFonts w:hint="eastAsia"/>
                <w:lang w:val="en-US" w:eastAsia="zh-CN"/>
              </w:rPr>
              <w:t>10</w:t>
            </w:r>
            <w:r>
              <w:t>分为止。</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305" w:type="pct"/>
            <w:vMerge w:val="continue"/>
            <w:vAlign w:val="center"/>
          </w:tcPr>
          <w:p>
            <w:pPr>
              <w:pStyle w:val="28"/>
              <w:rPr>
                <w:rFonts w:hint="default"/>
              </w:rPr>
            </w:pPr>
          </w:p>
        </w:tc>
        <w:tc>
          <w:tcPr>
            <w:tcW w:w="373" w:type="pct"/>
            <w:vMerge w:val="continue"/>
            <w:vAlign w:val="center"/>
          </w:tcPr>
          <w:p>
            <w:pPr>
              <w:pStyle w:val="28"/>
              <w:rPr>
                <w:rFonts w:hint="default"/>
              </w:rPr>
            </w:pPr>
          </w:p>
        </w:tc>
        <w:tc>
          <w:tcPr>
            <w:tcW w:w="537" w:type="pct"/>
            <w:vAlign w:val="center"/>
          </w:tcPr>
          <w:p>
            <w:pPr>
              <w:pStyle w:val="28"/>
              <w:rPr>
                <w:rFonts w:hint="default"/>
              </w:rPr>
            </w:pPr>
            <w:r>
              <w:t>项目团队</w:t>
            </w:r>
          </w:p>
        </w:tc>
        <w:tc>
          <w:tcPr>
            <w:tcW w:w="332" w:type="pct"/>
            <w:vAlign w:val="center"/>
          </w:tcPr>
          <w:p>
            <w:pPr>
              <w:pStyle w:val="28"/>
              <w:rPr>
                <w:rFonts w:hint="default"/>
              </w:rPr>
            </w:pPr>
            <w:r>
              <w:rPr>
                <w:rFonts w:hint="eastAsia"/>
                <w:lang w:val="en-US" w:eastAsia="zh-CN"/>
              </w:rPr>
              <w:t>10</w:t>
            </w:r>
            <w:r>
              <w:t>分</w:t>
            </w:r>
          </w:p>
        </w:tc>
        <w:tc>
          <w:tcPr>
            <w:tcW w:w="3451" w:type="pct"/>
            <w:vAlign w:val="center"/>
          </w:tcPr>
          <w:p>
            <w:pPr>
              <w:pStyle w:val="28"/>
              <w:jc w:val="left"/>
              <w:rPr>
                <w:rFonts w:hint="default"/>
              </w:rPr>
            </w:pPr>
            <w:r>
              <w:t>除项目负责人外，供应商拟投入本项目的人员为测绘类中级工程师的，每人计</w:t>
            </w:r>
            <w:r>
              <w:rPr>
                <w:rFonts w:hint="default"/>
              </w:rPr>
              <w:t>1</w:t>
            </w:r>
            <w:r>
              <w:t>分，</w:t>
            </w:r>
            <w:r>
              <w:rPr>
                <w:rFonts w:hint="eastAsia"/>
                <w:lang w:val="en-US" w:eastAsia="zh-CN"/>
              </w:rPr>
              <w:t>最高计4分；</w:t>
            </w:r>
            <w:r>
              <w:t>为测绘类高级工程师的，每人计</w:t>
            </w:r>
            <w:r>
              <w:rPr>
                <w:rFonts w:hint="default"/>
              </w:rPr>
              <w:t>2</w:t>
            </w:r>
            <w:r>
              <w:t>分，</w:t>
            </w:r>
            <w:r>
              <w:rPr>
                <w:rFonts w:hint="eastAsia"/>
                <w:lang w:val="en-US" w:eastAsia="zh-CN"/>
              </w:rPr>
              <w:t>最高计6分</w:t>
            </w:r>
            <w:r>
              <w:t>，同一人员只计一次最高分。</w:t>
            </w:r>
          </w:p>
          <w:p>
            <w:pPr>
              <w:pStyle w:val="28"/>
              <w:jc w:val="left"/>
              <w:rPr>
                <w:rFonts w:hint="default"/>
              </w:rPr>
            </w:pPr>
            <w:r>
              <w:t>（提供相关证书复印件加盖投标供应商单位公章）</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5" w:type="pct"/>
            <w:vAlign w:val="center"/>
          </w:tcPr>
          <w:p>
            <w:pPr>
              <w:pStyle w:val="28"/>
              <w:rPr>
                <w:rFonts w:hint="default"/>
              </w:rPr>
            </w:pPr>
            <w:r>
              <w:t>合计</w:t>
            </w:r>
          </w:p>
        </w:tc>
        <w:tc>
          <w:tcPr>
            <w:tcW w:w="373" w:type="pct"/>
          </w:tcPr>
          <w:p>
            <w:pPr>
              <w:pStyle w:val="28"/>
              <w:rPr>
                <w:rFonts w:hint="default"/>
              </w:rPr>
            </w:pPr>
          </w:p>
        </w:tc>
        <w:tc>
          <w:tcPr>
            <w:tcW w:w="4320" w:type="pct"/>
            <w:gridSpan w:val="3"/>
            <w:vAlign w:val="center"/>
          </w:tcPr>
          <w:p>
            <w:pPr>
              <w:pStyle w:val="28"/>
              <w:rPr>
                <w:rFonts w:hint="default"/>
              </w:rPr>
            </w:pPr>
            <w:r>
              <w:t>100分</w:t>
            </w:r>
          </w:p>
        </w:tc>
      </w:tr>
    </w:tbl>
    <w:p>
      <w:pPr>
        <w:ind w:firstLine="480"/>
        <w:rPr>
          <w:sz w:val="24"/>
        </w:rPr>
      </w:pPr>
      <w:r>
        <w:rPr>
          <w:rFonts w:hint="eastAsia"/>
          <w:sz w:val="24"/>
        </w:rPr>
        <w:t>备注：</w:t>
      </w:r>
    </w:p>
    <w:p>
      <w:pPr>
        <w:ind w:firstLine="480"/>
        <w:rPr>
          <w:sz w:val="24"/>
        </w:rPr>
      </w:pPr>
      <w:r>
        <w:rPr>
          <w:rFonts w:hint="eastAsia"/>
          <w:sz w:val="24"/>
        </w:rPr>
        <w:t>1、上述证明材料在响应文件中提供的复印件均须加盖供应商公章；</w:t>
      </w:r>
    </w:p>
    <w:p>
      <w:pPr>
        <w:ind w:firstLine="480"/>
        <w:rPr>
          <w:sz w:val="24"/>
        </w:rPr>
      </w:pPr>
      <w:r>
        <w:rPr>
          <w:rFonts w:hint="eastAsia"/>
          <w:sz w:val="24"/>
        </w:rPr>
        <w:t>2、评委根据各供应商响应文件的技术部分，结合评审标准自主独立计分；</w:t>
      </w:r>
    </w:p>
    <w:p>
      <w:pPr>
        <w:ind w:firstLine="480"/>
        <w:rPr>
          <w:sz w:val="24"/>
        </w:rPr>
      </w:pPr>
      <w:r>
        <w:rPr>
          <w:rFonts w:hint="eastAsia"/>
          <w:sz w:val="24"/>
        </w:rPr>
        <w:t>3、供应商不得提供虚假材料，如评审过程中查有虚假，则作无效标处理，如成交后查有虚假，则取消成交资格，接受相应处罚并承担相应的法律责任。</w:t>
      </w:r>
    </w:p>
    <w:p>
      <w:pPr>
        <w:pStyle w:val="8"/>
        <w:ind w:firstLine="482"/>
        <w:rPr>
          <w:sz w:val="24"/>
        </w:rPr>
      </w:pPr>
      <w:r>
        <w:rPr>
          <w:rFonts w:hint="eastAsia"/>
          <w:sz w:val="24"/>
        </w:rPr>
        <w:t>34. 定标原则</w:t>
      </w:r>
    </w:p>
    <w:p>
      <w:pPr>
        <w:ind w:firstLine="480"/>
        <w:rPr>
          <w:sz w:val="24"/>
        </w:rPr>
      </w:pPr>
      <w:r>
        <w:rPr>
          <w:rFonts w:hint="eastAsia"/>
          <w:sz w:val="24"/>
        </w:rPr>
        <w:t>34.1 磋商小组依据投标须知前附表规定的评标方法和标准，按照排序确定出前三名作为中标候选人推荐给采购人。</w:t>
      </w:r>
    </w:p>
    <w:p>
      <w:pPr>
        <w:ind w:firstLine="480"/>
        <w:rPr>
          <w:sz w:val="24"/>
        </w:rPr>
      </w:pPr>
      <w:r>
        <w:rPr>
          <w:rFonts w:hint="eastAsia"/>
          <w:sz w:val="24"/>
        </w:rPr>
        <w:t>34.2采购代理机构应当在评标结束后2个工作日内将评标报告送采购人。采购人应当自收到评标报告之日起５个工作日内，在评标报告确定的中标候选人名单中按顺序确定中标人。</w:t>
      </w:r>
    </w:p>
    <w:p>
      <w:pPr>
        <w:pStyle w:val="8"/>
        <w:ind w:firstLine="482"/>
        <w:rPr>
          <w:sz w:val="24"/>
        </w:rPr>
      </w:pPr>
      <w:r>
        <w:rPr>
          <w:rFonts w:hint="eastAsia"/>
          <w:sz w:val="24"/>
        </w:rPr>
        <w:t>35. 评标过程的保密</w:t>
      </w:r>
    </w:p>
    <w:p>
      <w:pPr>
        <w:ind w:firstLine="480"/>
        <w:rPr>
          <w:sz w:val="24"/>
        </w:rPr>
      </w:pPr>
      <w:r>
        <w:rPr>
          <w:rFonts w:hint="eastAsia"/>
          <w:sz w:val="24"/>
        </w:rPr>
        <w:t>35.1凡属于对投标文件的审查、澄清、评价和比较有关的资料、中标候选人的推荐情况以及与评标有关的其他任何情况，磋商小组成员和与评标活动有关的工作人员不得对任何单位和个人透露。</w:t>
      </w:r>
    </w:p>
    <w:p>
      <w:pPr>
        <w:ind w:firstLine="480"/>
        <w:rPr>
          <w:sz w:val="24"/>
        </w:rPr>
      </w:pPr>
      <w:r>
        <w:rPr>
          <w:rFonts w:hint="eastAsia"/>
          <w:sz w:val="24"/>
        </w:rPr>
        <w:t>35.2 在投标文件的评审和比较、中标候选人推荐以及授予合同的过程中，投标人向采购人或者磋商小组施加影响的任何行为，都将会导致其投标被拒绝。</w:t>
      </w:r>
    </w:p>
    <w:p>
      <w:pPr>
        <w:ind w:firstLine="480"/>
        <w:rPr>
          <w:sz w:val="24"/>
        </w:rPr>
      </w:pPr>
      <w:r>
        <w:rPr>
          <w:rFonts w:hint="eastAsia"/>
          <w:sz w:val="24"/>
        </w:rPr>
        <w:t>35.3 中标人确定后，采购人不对未中标人就评标过程以及未能中标原因做出任何解释。未中标人不得向磋商小组组成人员或者其他有关人员索问评标过程的情况和材料。</w:t>
      </w:r>
    </w:p>
    <w:p>
      <w:pPr>
        <w:pStyle w:val="7"/>
        <w:ind w:firstLine="482"/>
        <w:rPr>
          <w:sz w:val="24"/>
          <w:szCs w:val="24"/>
        </w:rPr>
      </w:pPr>
      <w:r>
        <w:rPr>
          <w:rFonts w:hint="eastAsia"/>
          <w:sz w:val="24"/>
          <w:szCs w:val="24"/>
        </w:rPr>
        <w:t>（七） 授予合同</w:t>
      </w:r>
    </w:p>
    <w:p>
      <w:pPr>
        <w:pStyle w:val="8"/>
        <w:ind w:firstLine="482"/>
        <w:rPr>
          <w:sz w:val="24"/>
        </w:rPr>
      </w:pPr>
      <w:r>
        <w:rPr>
          <w:rFonts w:hint="eastAsia"/>
          <w:sz w:val="24"/>
        </w:rPr>
        <w:t>36. 确定成交人</w:t>
      </w:r>
    </w:p>
    <w:p>
      <w:pPr>
        <w:ind w:firstLine="480"/>
        <w:rPr>
          <w:sz w:val="24"/>
        </w:rPr>
      </w:pPr>
      <w:r>
        <w:rPr>
          <w:rFonts w:hint="eastAsia"/>
          <w:sz w:val="24"/>
        </w:rPr>
        <w:t>36.1 成交的标准</w:t>
      </w:r>
    </w:p>
    <w:p>
      <w:pPr>
        <w:ind w:firstLine="480"/>
        <w:rPr>
          <w:sz w:val="24"/>
        </w:rPr>
      </w:pPr>
      <w:r>
        <w:rPr>
          <w:rFonts w:hint="eastAsia"/>
          <w:sz w:val="24"/>
        </w:rPr>
        <w:t>36.1.1 投标文件对磋商文件做出了实质性响应；</w:t>
      </w:r>
    </w:p>
    <w:p>
      <w:pPr>
        <w:ind w:firstLine="480"/>
        <w:rPr>
          <w:sz w:val="24"/>
        </w:rPr>
      </w:pPr>
      <w:r>
        <w:rPr>
          <w:rFonts w:hint="eastAsia"/>
          <w:sz w:val="24"/>
        </w:rPr>
        <w:t>36.1.2 具有良好的履行合同的能力和条件；</w:t>
      </w:r>
    </w:p>
    <w:p>
      <w:pPr>
        <w:ind w:firstLine="480"/>
        <w:rPr>
          <w:sz w:val="24"/>
        </w:rPr>
      </w:pPr>
      <w:r>
        <w:rPr>
          <w:rFonts w:hint="eastAsia"/>
          <w:sz w:val="24"/>
        </w:rPr>
        <w:t>36.1.3 能够最大限度满足磋商文件的各项要求；</w:t>
      </w:r>
    </w:p>
    <w:p>
      <w:pPr>
        <w:ind w:firstLine="480"/>
        <w:rPr>
          <w:sz w:val="24"/>
        </w:rPr>
      </w:pPr>
      <w:r>
        <w:rPr>
          <w:rFonts w:hint="eastAsia"/>
          <w:sz w:val="24"/>
        </w:rPr>
        <w:t>36.2 采购人将确定资格合格的中标候选人为成交人。</w:t>
      </w:r>
    </w:p>
    <w:p>
      <w:pPr>
        <w:pStyle w:val="8"/>
        <w:ind w:firstLine="482"/>
        <w:rPr>
          <w:sz w:val="24"/>
        </w:rPr>
      </w:pPr>
      <w:r>
        <w:rPr>
          <w:rFonts w:hint="eastAsia"/>
          <w:sz w:val="24"/>
        </w:rPr>
        <w:t>37. 授予合同的准则</w:t>
      </w:r>
    </w:p>
    <w:p>
      <w:pPr>
        <w:ind w:firstLine="480"/>
        <w:rPr>
          <w:sz w:val="24"/>
        </w:rPr>
      </w:pPr>
      <w:r>
        <w:rPr>
          <w:rFonts w:hint="eastAsia"/>
          <w:sz w:val="24"/>
        </w:rPr>
        <w:t>37.1 采购人将把合同授予经确认的成交人。</w:t>
      </w:r>
    </w:p>
    <w:p>
      <w:pPr>
        <w:pStyle w:val="8"/>
        <w:ind w:firstLine="482"/>
        <w:rPr>
          <w:sz w:val="24"/>
        </w:rPr>
      </w:pPr>
      <w:r>
        <w:rPr>
          <w:rFonts w:hint="eastAsia"/>
          <w:sz w:val="24"/>
        </w:rPr>
        <w:t>38. 成交通知书</w:t>
      </w:r>
    </w:p>
    <w:p>
      <w:pPr>
        <w:ind w:firstLine="480"/>
        <w:rPr>
          <w:sz w:val="24"/>
        </w:rPr>
      </w:pPr>
      <w:r>
        <w:rPr>
          <w:rFonts w:hint="eastAsia"/>
          <w:sz w:val="24"/>
        </w:rPr>
        <w:t>38.1 采购人依据磋商小组推荐的成交候选人确定成交人后，将对成交结果公示1工作日，同时向中标人发出《成交通知书》。</w:t>
      </w:r>
    </w:p>
    <w:p>
      <w:pPr>
        <w:ind w:firstLine="480"/>
        <w:rPr>
          <w:sz w:val="24"/>
        </w:rPr>
      </w:pPr>
      <w:r>
        <w:rPr>
          <w:rFonts w:hint="eastAsia"/>
          <w:sz w:val="24"/>
        </w:rPr>
        <w:t xml:space="preserve">38.2 《成交通知书》对采购人和中标人具有法律约束力。成交通知书发出后，采购人不得违法改变中标结果，中标人无正当理由不得放弃中标。 </w:t>
      </w:r>
    </w:p>
    <w:p>
      <w:pPr>
        <w:pStyle w:val="8"/>
        <w:ind w:firstLine="482"/>
        <w:rPr>
          <w:sz w:val="24"/>
        </w:rPr>
      </w:pPr>
      <w:r>
        <w:rPr>
          <w:rFonts w:hint="eastAsia"/>
          <w:sz w:val="24"/>
        </w:rPr>
        <w:t>39. 合同的签订</w:t>
      </w:r>
    </w:p>
    <w:p>
      <w:pPr>
        <w:ind w:firstLine="480"/>
        <w:rPr>
          <w:sz w:val="24"/>
        </w:rPr>
      </w:pPr>
      <w:r>
        <w:rPr>
          <w:rFonts w:hint="eastAsia"/>
          <w:sz w:val="24"/>
        </w:rPr>
        <w:t>39.1采购人应当自成交通知书发出之日起30日内，按照磋商文件和中标人投标文件的规定，与中标人签订书面合同。所签订的合同不得对磋商文件确定的事项和中标人投标文件作实质性修改。</w:t>
      </w:r>
    </w:p>
    <w:p>
      <w:pPr>
        <w:ind w:firstLine="480"/>
        <w:rPr>
          <w:sz w:val="24"/>
        </w:rPr>
      </w:pPr>
      <w:r>
        <w:rPr>
          <w:rFonts w:hint="eastAsia"/>
          <w:sz w:val="24"/>
        </w:rPr>
        <w:t>39.2 磋商文件要求中标人提交履约保证金或者其他形式履约担保的，中标人应当提交；拒绝提交的，视为放弃中标项目。</w:t>
      </w:r>
    </w:p>
    <w:p>
      <w:pPr>
        <w:ind w:firstLine="480"/>
        <w:rPr>
          <w:sz w:val="24"/>
        </w:rPr>
      </w:pPr>
      <w:r>
        <w:rPr>
          <w:rFonts w:hint="eastAsia"/>
          <w:sz w:val="24"/>
        </w:rPr>
        <w:t>39.3 磋商文件和中标人的投标文件均是该书面合同的附件。</w:t>
      </w:r>
    </w:p>
    <w:p>
      <w:pPr>
        <w:ind w:firstLine="480"/>
        <w:rPr>
          <w:sz w:val="24"/>
        </w:rPr>
      </w:pPr>
      <w:r>
        <w:rPr>
          <w:rFonts w:hint="eastAsia"/>
          <w:sz w:val="24"/>
        </w:rPr>
        <w:t>39.4 中标人因不可抗力或自身原因不能履行采购合同的，采购人可以与排位在中标人之后第一位的中标候选人签订采购合同，以此类推。或采购人重新组织采购。</w:t>
      </w:r>
    </w:p>
    <w:p>
      <w:pPr>
        <w:ind w:firstLine="480"/>
        <w:rPr>
          <w:sz w:val="24"/>
        </w:rPr>
      </w:pPr>
      <w:r>
        <w:rPr>
          <w:rFonts w:hint="eastAsia"/>
          <w:sz w:val="24"/>
        </w:rPr>
        <w:t>39.5 政府采购项目的采购合同自签订之日起七个工作日内，采购人应当将合同副本报同级政府采购监督管理部门和有关部门备案。</w:t>
      </w:r>
    </w:p>
    <w:p>
      <w:pPr>
        <w:pStyle w:val="8"/>
        <w:ind w:firstLine="482"/>
        <w:rPr>
          <w:sz w:val="24"/>
        </w:rPr>
      </w:pPr>
      <w:r>
        <w:rPr>
          <w:rFonts w:hint="eastAsia"/>
          <w:sz w:val="24"/>
        </w:rPr>
        <w:t>40.质疑与投诉</w:t>
      </w:r>
    </w:p>
    <w:p>
      <w:pPr>
        <w:ind w:firstLine="480"/>
        <w:rPr>
          <w:sz w:val="24"/>
        </w:rPr>
      </w:pPr>
      <w:r>
        <w:rPr>
          <w:rFonts w:hint="eastAsia"/>
          <w:sz w:val="24"/>
        </w:rPr>
        <w:t>40.1质疑与投诉</w:t>
      </w:r>
    </w:p>
    <w:p>
      <w:pPr>
        <w:ind w:firstLine="480"/>
        <w:rPr>
          <w:sz w:val="24"/>
        </w:rPr>
      </w:pPr>
      <w:r>
        <w:rPr>
          <w:rFonts w:hint="eastAsia"/>
          <w:sz w:val="24"/>
        </w:rPr>
        <w:t>1、投标人认为磋商文件、采购过程、中标或者成交结果使自己的权益受到损害的，可以在知道或者应知其权益受到损害之日起7个工作日内，向采购人、采购代理机构提出质疑。投标人须在法定质疑期内一次性提出针对同一采购程序环节的质疑。采购人在收到投标人的书面质疑后七个工作日内作出答复，并以书面形式通知质疑投标人和其他有关投标人；作出答复前，将暂停采购活动。</w:t>
      </w:r>
    </w:p>
    <w:p>
      <w:pPr>
        <w:ind w:firstLine="480"/>
        <w:rPr>
          <w:sz w:val="24"/>
        </w:rPr>
      </w:pPr>
      <w:r>
        <w:rPr>
          <w:rFonts w:hint="eastAsia"/>
          <w:sz w:val="24"/>
        </w:rPr>
        <w:t>2、质疑函的必备内容</w:t>
      </w:r>
    </w:p>
    <w:p>
      <w:pPr>
        <w:ind w:firstLine="480"/>
        <w:rPr>
          <w:sz w:val="24"/>
        </w:rPr>
      </w:pPr>
      <w:r>
        <w:rPr>
          <w:rFonts w:hint="eastAsia"/>
          <w:sz w:val="24"/>
        </w:rPr>
        <w:t>（1）投标人提交的质疑函必须注明单位名称、地址、邮编、可供查询的单位和法定代表人的电话号码、联系人电话；</w:t>
      </w:r>
    </w:p>
    <w:p>
      <w:pPr>
        <w:ind w:firstLine="480"/>
        <w:rPr>
          <w:sz w:val="24"/>
        </w:rPr>
      </w:pPr>
      <w:r>
        <w:rPr>
          <w:rFonts w:hint="eastAsia"/>
          <w:sz w:val="24"/>
        </w:rPr>
        <w:t>（2）质疑项目的名称、编号；</w:t>
      </w:r>
    </w:p>
    <w:p>
      <w:pPr>
        <w:ind w:firstLine="480"/>
        <w:rPr>
          <w:sz w:val="24"/>
        </w:rPr>
      </w:pPr>
      <w:r>
        <w:rPr>
          <w:rFonts w:hint="eastAsia"/>
          <w:sz w:val="24"/>
        </w:rPr>
        <w:t>（3）具体质疑事项和与质疑事项相关的请求；</w:t>
      </w:r>
    </w:p>
    <w:p>
      <w:pPr>
        <w:ind w:firstLine="480"/>
        <w:rPr>
          <w:sz w:val="24"/>
        </w:rPr>
      </w:pPr>
      <w:r>
        <w:rPr>
          <w:rFonts w:hint="eastAsia"/>
          <w:sz w:val="24"/>
        </w:rPr>
        <w:t>（4）事实依据；</w:t>
      </w:r>
    </w:p>
    <w:p>
      <w:pPr>
        <w:ind w:firstLine="480"/>
        <w:rPr>
          <w:sz w:val="24"/>
        </w:rPr>
      </w:pPr>
      <w:r>
        <w:rPr>
          <w:rFonts w:hint="eastAsia"/>
          <w:sz w:val="24"/>
        </w:rPr>
        <w:t>（5）提起质疑的日期；</w:t>
      </w:r>
    </w:p>
    <w:p>
      <w:pPr>
        <w:ind w:firstLine="480"/>
        <w:rPr>
          <w:sz w:val="24"/>
        </w:rPr>
      </w:pPr>
      <w:r>
        <w:rPr>
          <w:rFonts w:hint="eastAsia"/>
          <w:sz w:val="24"/>
        </w:rPr>
        <w:t>（6）质疑函须加盖单位公章，由法定代表人签章。</w:t>
      </w:r>
    </w:p>
    <w:p>
      <w:pPr>
        <w:ind w:firstLine="480"/>
        <w:rPr>
          <w:sz w:val="24"/>
        </w:rPr>
      </w:pPr>
      <w:r>
        <w:rPr>
          <w:rFonts w:hint="eastAsia"/>
          <w:sz w:val="24"/>
        </w:rPr>
        <w:t>（7）授权代理人递交质疑函的，还须提交委托质疑事项的授权委托书（附法定代表人和被授权人的身份证正反面），加盖单位公章和法定代表人签章和被授权人签字，同时出示被授权人身份证。</w:t>
      </w:r>
    </w:p>
    <w:p>
      <w:pPr>
        <w:ind w:firstLine="480"/>
        <w:rPr>
          <w:sz w:val="24"/>
        </w:rPr>
      </w:pPr>
      <w:r>
        <w:rPr>
          <w:rFonts w:hint="eastAsia"/>
          <w:sz w:val="24"/>
        </w:rPr>
        <w:t>3、质疑应符合下列条件：</w:t>
      </w:r>
    </w:p>
    <w:p>
      <w:pPr>
        <w:ind w:firstLine="480"/>
        <w:rPr>
          <w:sz w:val="24"/>
        </w:rPr>
      </w:pPr>
      <w:r>
        <w:rPr>
          <w:rFonts w:hint="eastAsia"/>
          <w:sz w:val="24"/>
        </w:rPr>
        <w:t>⑴质疑人是参与所质疑项目的采购活动的投标人；</w:t>
      </w:r>
    </w:p>
    <w:p>
      <w:pPr>
        <w:ind w:firstLine="480"/>
        <w:rPr>
          <w:sz w:val="24"/>
        </w:rPr>
      </w:pPr>
      <w:r>
        <w:rPr>
          <w:rFonts w:hint="eastAsia"/>
          <w:sz w:val="24"/>
        </w:rPr>
        <w:t>⑵质疑函内容符合相关的规定；</w:t>
      </w:r>
    </w:p>
    <w:p>
      <w:pPr>
        <w:ind w:firstLine="480"/>
        <w:rPr>
          <w:sz w:val="24"/>
        </w:rPr>
      </w:pPr>
      <w:r>
        <w:rPr>
          <w:rFonts w:hint="eastAsia"/>
          <w:sz w:val="24"/>
        </w:rPr>
        <w:t>⑶在规定的有效期限内提起质疑；</w:t>
      </w:r>
    </w:p>
    <w:p>
      <w:pPr>
        <w:ind w:firstLine="480"/>
        <w:rPr>
          <w:sz w:val="24"/>
        </w:rPr>
      </w:pPr>
      <w:r>
        <w:rPr>
          <w:rFonts w:hint="eastAsia"/>
          <w:sz w:val="24"/>
        </w:rPr>
        <w:t>⑷招投标监管部门规定的其他条件。</w:t>
      </w:r>
    </w:p>
    <w:p>
      <w:pPr>
        <w:ind w:firstLine="480"/>
        <w:rPr>
          <w:sz w:val="24"/>
        </w:rPr>
      </w:pPr>
      <w:r>
        <w:rPr>
          <w:rFonts w:hint="eastAsia"/>
          <w:sz w:val="24"/>
        </w:rPr>
        <w:t>4、采购人在收到投标人的书面质疑后七个工作日内作出答复，并以书面形式通知质疑投标人和其他有关投标人，但答复的内容不涉及商业秘密。</w:t>
      </w:r>
    </w:p>
    <w:p>
      <w:pPr>
        <w:ind w:firstLine="480"/>
        <w:rPr>
          <w:sz w:val="24"/>
        </w:rPr>
      </w:pPr>
      <w:r>
        <w:rPr>
          <w:rFonts w:hint="eastAsia"/>
          <w:sz w:val="24"/>
        </w:rPr>
        <w:t>5、提出质疑的投标人对答复不满意的，可以在答复期满后十五个工作日内向同级政府采购监督管理部门投诉。政府采购监督管理部门应当在收到投诉三十个工作日内，对投诉事项作出处理决定，并以书面形式通知投诉人和与投诉事项相关的当事人。</w:t>
      </w:r>
    </w:p>
    <w:p>
      <w:pPr>
        <w:pStyle w:val="8"/>
        <w:ind w:firstLine="482"/>
        <w:rPr>
          <w:sz w:val="24"/>
        </w:rPr>
      </w:pPr>
      <w:r>
        <w:rPr>
          <w:rFonts w:hint="eastAsia"/>
          <w:sz w:val="24"/>
        </w:rPr>
        <w:t>41. 履约担保</w:t>
      </w:r>
    </w:p>
    <w:p>
      <w:pPr>
        <w:ind w:firstLine="480"/>
        <w:rPr>
          <w:sz w:val="24"/>
        </w:rPr>
      </w:pPr>
      <w:r>
        <w:rPr>
          <w:rFonts w:hint="eastAsia"/>
          <w:sz w:val="24"/>
        </w:rPr>
        <w:t>41.1 中标人须在与采购人签署合同前按磋商文件有关要求提交履约担保。中标人应按照下列规定的方式和金额向采购人提交履约担保。</w:t>
      </w:r>
    </w:p>
    <w:p>
      <w:pPr>
        <w:ind w:firstLine="480"/>
        <w:rPr>
          <w:sz w:val="24"/>
        </w:rPr>
      </w:pPr>
      <w:r>
        <w:rPr>
          <w:rFonts w:hint="eastAsia"/>
          <w:sz w:val="24"/>
        </w:rPr>
        <w:t>41.1.1履约担保</w:t>
      </w:r>
    </w:p>
    <w:p>
      <w:pPr>
        <w:ind w:firstLine="480"/>
        <w:rPr>
          <w:sz w:val="24"/>
          <w:highlight w:val="none"/>
        </w:rPr>
      </w:pPr>
      <w:r>
        <w:rPr>
          <w:rFonts w:hint="eastAsia"/>
          <w:sz w:val="24"/>
          <w:highlight w:val="none"/>
        </w:rPr>
        <w:t>履约保证金：</w:t>
      </w:r>
      <w:r>
        <w:rPr>
          <w:rFonts w:hint="eastAsia"/>
          <w:sz w:val="24"/>
          <w:highlight w:val="none"/>
          <w:u w:val="single"/>
        </w:rPr>
        <w:t>合同金额的5%</w:t>
      </w:r>
      <w:r>
        <w:rPr>
          <w:rFonts w:hint="eastAsia"/>
          <w:sz w:val="24"/>
          <w:highlight w:val="none"/>
        </w:rPr>
        <w:t>；</w:t>
      </w:r>
    </w:p>
    <w:p>
      <w:pPr>
        <w:ind w:firstLine="480"/>
        <w:rPr>
          <w:sz w:val="24"/>
        </w:rPr>
      </w:pPr>
      <w:r>
        <w:rPr>
          <w:rFonts w:hint="eastAsia"/>
          <w:sz w:val="24"/>
        </w:rPr>
        <w:t>履约保证金递交：成交供应商收到《成交通知书》且签订合同同时，向采购人缴纳；</w:t>
      </w:r>
    </w:p>
    <w:p>
      <w:pPr>
        <w:ind w:firstLine="480"/>
        <w:rPr>
          <w:sz w:val="24"/>
        </w:rPr>
      </w:pPr>
      <w:r>
        <w:rPr>
          <w:rFonts w:hint="eastAsia"/>
          <w:sz w:val="24"/>
        </w:rPr>
        <w:t>履约保证金形式：支票、汇票、银行转账等非现金形式；（成交供应商未按磋商文件规定缴纳履约保证金的，其投标保证金将不予退还。）</w:t>
      </w:r>
    </w:p>
    <w:p>
      <w:pPr>
        <w:ind w:firstLine="480"/>
        <w:rPr>
          <w:sz w:val="24"/>
        </w:rPr>
      </w:pPr>
      <w:r>
        <w:rPr>
          <w:rFonts w:hint="eastAsia"/>
          <w:sz w:val="24"/>
          <w:lang w:val="zh-CN"/>
        </w:rPr>
        <w:t>履约保证金（质保金）退还：（1）履约保证金的有效期为该项目缺陷责任期满时止。（2）供应商在验收合格后缺陷责任期内未发生违约行为，采购人七个工作日内予以退还。（如乙方未能履行合同规定的义务，甲方有权从履约保证金中取得补偿；履约保证金扣除甲方应得的补偿后的余额在有效期满后七工作日内无息退还给乙方。）</w:t>
      </w:r>
    </w:p>
    <w:p>
      <w:pPr>
        <w:ind w:firstLine="480"/>
        <w:rPr>
          <w:sz w:val="24"/>
        </w:rPr>
      </w:pPr>
      <w:r>
        <w:rPr>
          <w:rFonts w:hint="eastAsia"/>
          <w:sz w:val="24"/>
        </w:rPr>
        <w:t>41.2 如中标人不能按照投标须知第39条的规定执行，采购人将视为中标人放弃中标项目；已经订立合同的，采购人有充分理由解除合同，给采购人造成损失的，放弃中标项目的中标人应当赔偿。</w:t>
      </w:r>
    </w:p>
    <w:p>
      <w:pPr>
        <w:pStyle w:val="8"/>
        <w:ind w:firstLine="482"/>
        <w:rPr>
          <w:sz w:val="24"/>
        </w:rPr>
      </w:pPr>
      <w:bookmarkStart w:id="48" w:name="_Toc228180139"/>
      <w:r>
        <w:rPr>
          <w:rFonts w:hint="eastAsia"/>
          <w:sz w:val="24"/>
        </w:rPr>
        <w:t>42.招标代理服务费</w:t>
      </w:r>
      <w:bookmarkEnd w:id="48"/>
    </w:p>
    <w:p>
      <w:pPr>
        <w:ind w:firstLine="480"/>
        <w:rPr>
          <w:sz w:val="24"/>
        </w:rPr>
      </w:pPr>
      <w:r>
        <w:rPr>
          <w:rFonts w:hint="eastAsia"/>
          <w:sz w:val="24"/>
        </w:rPr>
        <w:t>42.1本项目招标代理服务费，投标人在递交投标书的同时将被视为同意承担本项费用；中标人必须在领取成交通知书时一次性付清招标代理服务费用。该费用由投标人计入投标总报价中但不单独列项，发包人亦不再另行支付。</w:t>
      </w:r>
    </w:p>
    <w:p>
      <w:pPr>
        <w:pStyle w:val="8"/>
        <w:ind w:firstLine="482"/>
        <w:rPr>
          <w:sz w:val="24"/>
        </w:rPr>
      </w:pPr>
      <w:r>
        <w:rPr>
          <w:rFonts w:hint="eastAsia"/>
          <w:sz w:val="24"/>
        </w:rPr>
        <w:t>43. 其他</w:t>
      </w:r>
    </w:p>
    <w:p>
      <w:pPr>
        <w:ind w:firstLine="480"/>
        <w:rPr>
          <w:sz w:val="24"/>
        </w:rPr>
      </w:pPr>
      <w:r>
        <w:rPr>
          <w:rFonts w:hint="eastAsia"/>
          <w:sz w:val="24"/>
        </w:rPr>
        <w:t>未尽事宜将依照《中华人民共和国政府采购法》及相关法规执行。</w:t>
      </w:r>
    </w:p>
    <w:p>
      <w:pPr>
        <w:pStyle w:val="8"/>
        <w:ind w:firstLine="482"/>
        <w:rPr>
          <w:sz w:val="24"/>
        </w:rPr>
      </w:pPr>
      <w:r>
        <w:rPr>
          <w:rFonts w:hint="eastAsia"/>
          <w:sz w:val="24"/>
        </w:rPr>
        <w:t>44. 附件</w:t>
      </w:r>
    </w:p>
    <w:p>
      <w:pPr>
        <w:pStyle w:val="4"/>
      </w:pPr>
      <w:r>
        <w:rPr>
          <w:rFonts w:hint="eastAsia"/>
          <w:sz w:val="24"/>
        </w:rPr>
        <w:br w:type="page"/>
      </w:r>
      <w:bookmarkStart w:id="49" w:name="_Toc5963"/>
      <w:bookmarkStart w:id="50" w:name="_Toc23003"/>
      <w:bookmarkStart w:id="51" w:name="_Toc32250"/>
      <w:bookmarkStart w:id="52" w:name="_Hlk519787567"/>
      <w:r>
        <w:rPr>
          <w:rFonts w:hint="eastAsia"/>
        </w:rPr>
        <w:t>第三部分  合同格式（参考）</w:t>
      </w:r>
      <w:bookmarkEnd w:id="49"/>
      <w:bookmarkEnd w:id="50"/>
      <w:bookmarkEnd w:id="51"/>
      <w:bookmarkEnd w:id="52"/>
    </w:p>
    <w:p>
      <w:pPr>
        <w:pStyle w:val="33"/>
        <w:spacing w:line="440" w:lineRule="exact"/>
        <w:ind w:left="0" w:leftChars="0" w:firstLine="0" w:firstLineChars="0"/>
        <w:jc w:val="center"/>
        <w:rPr>
          <w:rFonts w:ascii="宋体" w:hAnsi="宋体" w:eastAsia="宋体" w:cs="宋体"/>
          <w:color w:val="auto"/>
        </w:rPr>
      </w:pPr>
      <w:bookmarkStart w:id="53" w:name="_Hlk519793124"/>
      <w:r>
        <w:rPr>
          <w:rFonts w:hint="eastAsia" w:ascii="宋体" w:hAnsi="宋体" w:eastAsia="宋体" w:cs="宋体"/>
          <w:b/>
          <w:bCs/>
          <w:color w:val="auto"/>
        </w:rPr>
        <w:t>（实际以甲方乙方实际约定签署的合同为准）</w:t>
      </w:r>
    </w:p>
    <w:p>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pPr>
        <w:spacing w:line="480" w:lineRule="auto"/>
        <w:ind w:left="0" w:leftChars="0" w:firstLine="0" w:firstLineChars="0"/>
        <w:jc w:val="both"/>
        <w:rPr>
          <w:rFonts w:hint="eastAsia" w:ascii="宋体" w:hAnsi="宋体" w:eastAsia="宋体" w:cs="宋体"/>
          <w:b/>
          <w:sz w:val="28"/>
          <w:szCs w:val="28"/>
        </w:rPr>
      </w:pPr>
    </w:p>
    <w:p>
      <w:pPr>
        <w:spacing w:line="480" w:lineRule="auto"/>
        <w:jc w:val="center"/>
        <w:rPr>
          <w:rFonts w:hint="eastAsia" w:ascii="宋体" w:hAnsi="宋体" w:eastAsia="宋体" w:cs="宋体"/>
          <w:b/>
          <w:sz w:val="28"/>
          <w:szCs w:val="28"/>
        </w:rPr>
      </w:pPr>
    </w:p>
    <w:p>
      <w:pPr>
        <w:spacing w:line="480" w:lineRule="auto"/>
        <w:jc w:val="center"/>
        <w:rPr>
          <w:rFonts w:hint="eastAsia" w:ascii="宋体" w:hAnsi="宋体" w:eastAsia="宋体" w:cs="宋体"/>
          <w:b/>
          <w:sz w:val="44"/>
          <w:szCs w:val="44"/>
        </w:rPr>
      </w:pPr>
      <w:r>
        <w:rPr>
          <w:rFonts w:hint="eastAsia" w:ascii="宋体" w:hAnsi="宋体" w:eastAsia="宋体" w:cs="宋体"/>
          <w:b/>
          <w:sz w:val="44"/>
          <w:szCs w:val="44"/>
        </w:rPr>
        <w:t>政府采购合同参考范本</w:t>
      </w:r>
    </w:p>
    <w:p>
      <w:pPr>
        <w:spacing w:line="480" w:lineRule="auto"/>
        <w:jc w:val="center"/>
        <w:rPr>
          <w:rFonts w:hint="eastAsia" w:ascii="宋体" w:hAnsi="宋体" w:eastAsia="宋体" w:cs="宋体"/>
          <w:b/>
          <w:sz w:val="24"/>
        </w:rPr>
      </w:pPr>
      <w:r>
        <w:rPr>
          <w:rFonts w:hint="eastAsia" w:ascii="宋体" w:hAnsi="宋体" w:eastAsia="宋体" w:cs="宋体"/>
          <w:b/>
          <w:sz w:val="24"/>
        </w:rPr>
        <w:t>（服务类）</w:t>
      </w:r>
    </w:p>
    <w:p>
      <w:pPr>
        <w:pStyle w:val="37"/>
        <w:ind w:firstLine="0"/>
        <w:rPr>
          <w:rFonts w:hint="eastAsia" w:ascii="宋体" w:hAnsi="宋体" w:eastAsia="宋体" w:cs="宋体"/>
          <w:szCs w:val="24"/>
        </w:rPr>
      </w:pPr>
    </w:p>
    <w:p>
      <w:pPr>
        <w:pStyle w:val="37"/>
        <w:ind w:firstLine="0"/>
        <w:rPr>
          <w:rFonts w:hint="eastAsia" w:ascii="宋体" w:hAnsi="宋体" w:eastAsia="宋体" w:cs="宋体"/>
          <w:szCs w:val="24"/>
        </w:rPr>
      </w:pPr>
    </w:p>
    <w:p>
      <w:pPr>
        <w:pStyle w:val="37"/>
        <w:ind w:firstLine="0"/>
        <w:rPr>
          <w:rFonts w:hint="eastAsia" w:ascii="宋体" w:hAnsi="宋体" w:eastAsia="宋体" w:cs="宋体"/>
          <w:szCs w:val="24"/>
        </w:rPr>
      </w:pPr>
    </w:p>
    <w:p>
      <w:pPr>
        <w:pStyle w:val="37"/>
        <w:ind w:firstLine="0"/>
        <w:jc w:val="center"/>
        <w:rPr>
          <w:rFonts w:hint="eastAsia" w:ascii="宋体" w:hAnsi="宋体" w:eastAsia="宋体" w:cs="宋体"/>
          <w:b/>
          <w:szCs w:val="24"/>
        </w:rPr>
      </w:pPr>
      <w:r>
        <w:rPr>
          <w:rFonts w:hint="eastAsia" w:ascii="宋体" w:hAnsi="宋体" w:eastAsia="宋体" w:cs="宋体"/>
          <w:b/>
          <w:szCs w:val="24"/>
        </w:rPr>
        <w:t>第一部分 合同书</w:t>
      </w:r>
    </w:p>
    <w:p>
      <w:pPr>
        <w:pStyle w:val="37"/>
        <w:ind w:firstLine="0"/>
        <w:rPr>
          <w:rFonts w:hint="eastAsia" w:ascii="宋体" w:hAnsi="宋体" w:eastAsia="宋体" w:cs="宋体"/>
          <w:szCs w:val="24"/>
        </w:rPr>
      </w:pPr>
    </w:p>
    <w:p>
      <w:pPr>
        <w:spacing w:before="120" w:line="22" w:lineRule="atLeast"/>
        <w:ind w:left="0" w:leftChars="0" w:firstLine="0" w:firstLineChars="0"/>
        <w:rPr>
          <w:rFonts w:hint="eastAsia" w:ascii="宋体" w:hAnsi="宋体" w:eastAsia="宋体" w:cs="宋体"/>
          <w:sz w:val="24"/>
        </w:rPr>
      </w:pPr>
    </w:p>
    <w:p>
      <w:pPr>
        <w:spacing w:before="120" w:line="22" w:lineRule="atLeast"/>
        <w:ind w:left="96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pPr>
        <w:pStyle w:val="38"/>
        <w:spacing w:before="120" w:line="22" w:lineRule="atLeast"/>
        <w:rPr>
          <w:rFonts w:hint="eastAsia" w:ascii="宋体" w:hAnsi="宋体" w:eastAsia="宋体" w:cs="宋体"/>
          <w:szCs w:val="24"/>
        </w:rPr>
      </w:pPr>
    </w:p>
    <w:p>
      <w:pPr>
        <w:pStyle w:val="38"/>
        <w:spacing w:before="120" w:line="22" w:lineRule="atLeast"/>
        <w:rPr>
          <w:rFonts w:hint="eastAsia" w:ascii="宋体" w:hAnsi="宋体" w:eastAsia="宋体" w:cs="宋体"/>
          <w:szCs w:val="24"/>
        </w:rPr>
      </w:pPr>
    </w:p>
    <w:p>
      <w:pPr>
        <w:rPr>
          <w:rFonts w:hint="eastAsia" w:ascii="宋体" w:hAnsi="宋体" w:eastAsia="宋体" w:cs="宋体"/>
        </w:rPr>
      </w:pP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1440" w:firstLineChars="6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pPr>
        <w:spacing w:before="120" w:line="22" w:lineRule="atLeast"/>
        <w:ind w:firstLine="1440" w:firstLineChars="6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600" w:lineRule="exact"/>
        <w:ind w:firstLine="640"/>
        <w:jc w:val="center"/>
        <w:rPr>
          <w:rFonts w:hint="eastAsia" w:ascii="宋体" w:hAnsi="宋体" w:eastAsia="宋体" w:cs="宋体"/>
          <w:sz w:val="24"/>
        </w:rPr>
        <w:sectPr>
          <w:headerReference r:id="rId10" w:type="default"/>
          <w:footerReference r:id="rId11" w:type="default"/>
          <w:pgSz w:w="11907" w:h="16840"/>
          <w:pgMar w:top="1474" w:right="1814" w:bottom="1474" w:left="1814" w:header="851" w:footer="851" w:gutter="0"/>
          <w:pgNumType w:fmt="decimal"/>
          <w:cols w:space="720" w:num="1"/>
          <w:docGrid w:linePitch="462" w:charSpace="0"/>
        </w:sectPr>
      </w:pPr>
    </w:p>
    <w:p>
      <w:pPr>
        <w:spacing w:line="560" w:lineRule="exact"/>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（采购人名称）   </w:t>
      </w:r>
      <w:r>
        <w:rPr>
          <w:rFonts w:hint="eastAsia" w:ascii="宋体" w:hAnsi="宋体" w:eastAsia="宋体" w:cs="宋体"/>
          <w:sz w:val="24"/>
        </w:rPr>
        <w:t>以</w:t>
      </w:r>
      <w:r>
        <w:rPr>
          <w:rFonts w:hint="eastAsia" w:ascii="宋体" w:hAnsi="宋体" w:eastAsia="宋体" w:cs="宋体"/>
          <w:sz w:val="24"/>
          <w:u w:val="single"/>
        </w:rPr>
        <w:t xml:space="preserve">   （政府采购方式）  </w:t>
      </w:r>
      <w:r>
        <w:rPr>
          <w:rFonts w:hint="eastAsia" w:ascii="宋体" w:hAnsi="宋体" w:eastAsia="宋体" w:cs="宋体"/>
          <w:sz w:val="24"/>
        </w:rPr>
        <w:t>对</w:t>
      </w:r>
      <w:r>
        <w:rPr>
          <w:rFonts w:hint="eastAsia" w:ascii="宋体" w:hAnsi="宋体" w:eastAsia="宋体" w:cs="宋体"/>
          <w:sz w:val="24"/>
          <w:u w:val="single"/>
        </w:rPr>
        <w:t xml:space="preserve">   （同前页项目名称）   </w:t>
      </w:r>
      <w:r>
        <w:rPr>
          <w:rFonts w:hint="eastAsia" w:ascii="宋体" w:hAnsi="宋体" w:eastAsia="宋体" w:cs="宋体"/>
          <w:sz w:val="24"/>
        </w:rPr>
        <w:t>项目进行了采购。经</w:t>
      </w:r>
      <w:r>
        <w:rPr>
          <w:rFonts w:hint="eastAsia" w:ascii="宋体" w:hAnsi="宋体" w:eastAsia="宋体" w:cs="宋体"/>
          <w:sz w:val="24"/>
          <w:u w:val="single"/>
        </w:rPr>
        <w:t xml:space="preserve">   （相关评定主体名称）   </w:t>
      </w:r>
      <w:r>
        <w:rPr>
          <w:rFonts w:hint="eastAsia" w:ascii="宋体" w:hAnsi="宋体" w:eastAsia="宋体" w:cs="宋体"/>
          <w:sz w:val="24"/>
        </w:rPr>
        <w:t>评定，</w:t>
      </w:r>
      <w:r>
        <w:rPr>
          <w:rFonts w:hint="eastAsia" w:ascii="宋体" w:hAnsi="宋体" w:eastAsia="宋体" w:cs="宋体"/>
          <w:sz w:val="24"/>
          <w:u w:val="single"/>
        </w:rPr>
        <w:t xml:space="preserve">   （中标供应商名称） </w:t>
      </w:r>
      <w:r>
        <w:rPr>
          <w:rFonts w:hint="eastAsia" w:ascii="宋体" w:hAnsi="宋体" w:eastAsia="宋体" w:cs="宋体"/>
          <w:sz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w:t>
      </w:r>
      <w:r>
        <w:rPr>
          <w:rFonts w:hint="eastAsia" w:ascii="宋体" w:hAnsi="宋体" w:eastAsia="宋体" w:cs="宋体"/>
          <w:sz w:val="24"/>
          <w:highlight w:val="none"/>
          <w:lang w:val="en-US" w:eastAsia="zh-CN"/>
        </w:rPr>
        <w:t>民典法</w:t>
      </w:r>
      <w:r>
        <w:rPr>
          <w:rFonts w:hint="eastAsia" w:ascii="宋体" w:hAnsi="宋体" w:eastAsia="宋体" w:cs="宋体"/>
          <w:sz w:val="24"/>
          <w:lang w:val="zh-CN"/>
        </w:rPr>
        <w:t>》、《中华人民共和国政府采购法》等相关法律法规之规定，按照平等、自愿、公平和诚实信用的原则，经</w:t>
      </w:r>
      <w:r>
        <w:rPr>
          <w:rFonts w:hint="eastAsia" w:ascii="宋体" w:hAnsi="宋体" w:eastAsia="宋体" w:cs="宋体"/>
          <w:sz w:val="24"/>
          <w:u w:val="single"/>
        </w:rPr>
        <w:t xml:space="preserve">   （采购人名称）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（中标供应商名称）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pPr>
        <w:spacing w:line="560" w:lineRule="exact"/>
        <w:ind w:firstLine="482" w:firstLineChars="200"/>
        <w:outlineLvl w:val="0"/>
        <w:rPr>
          <w:rFonts w:hint="eastAsia" w:ascii="宋体" w:hAnsi="宋体" w:eastAsia="宋体" w:cs="宋体"/>
          <w:sz w:val="24"/>
        </w:rPr>
      </w:pPr>
      <w:bookmarkStart w:id="54" w:name="_Toc15367"/>
      <w:bookmarkStart w:id="55" w:name="_Toc19273"/>
      <w:bookmarkStart w:id="56" w:name="_Toc22967"/>
      <w:bookmarkStart w:id="57" w:name="_Toc20421"/>
      <w:bookmarkStart w:id="58" w:name="_Toc28855"/>
      <w:r>
        <w:rPr>
          <w:rFonts w:hint="eastAsia" w:ascii="宋体" w:hAnsi="宋体" w:eastAsia="宋体" w:cs="宋体"/>
          <w:b/>
          <w:sz w:val="24"/>
        </w:rPr>
        <w:t>1.1 合同组成部分</w:t>
      </w:r>
      <w:bookmarkEnd w:id="54"/>
      <w:bookmarkEnd w:id="55"/>
      <w:bookmarkEnd w:id="56"/>
      <w:bookmarkEnd w:id="57"/>
      <w:bookmarkEnd w:id="5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1.1.1 本合同及其补充合同、变更协议；</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1.1.2 中标通知书；</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1.1.3 投标文件（含澄清或者说明文件）；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1.1.4 招标文件（含澄清或者修改文件）；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1.1.5 其他相关采购文件。</w:t>
      </w:r>
    </w:p>
    <w:p>
      <w:pPr>
        <w:spacing w:line="560" w:lineRule="exact"/>
        <w:ind w:firstLine="482" w:firstLineChars="200"/>
        <w:outlineLvl w:val="0"/>
        <w:rPr>
          <w:rFonts w:hint="eastAsia" w:ascii="宋体" w:hAnsi="宋体" w:eastAsia="宋体" w:cs="宋体"/>
          <w:b/>
          <w:sz w:val="24"/>
        </w:rPr>
      </w:pPr>
      <w:bookmarkStart w:id="59" w:name="_Toc18585"/>
      <w:bookmarkStart w:id="60" w:name="_Toc6773"/>
      <w:bookmarkStart w:id="61" w:name="_Toc22185"/>
      <w:bookmarkStart w:id="62" w:name="_Toc6311"/>
      <w:bookmarkStart w:id="63" w:name="_Toc2918"/>
      <w:r>
        <w:rPr>
          <w:rFonts w:hint="eastAsia" w:ascii="宋体" w:hAnsi="宋体" w:eastAsia="宋体" w:cs="宋体"/>
          <w:b/>
          <w:sz w:val="24"/>
        </w:rPr>
        <w:t>1.2 标的</w:t>
      </w:r>
      <w:bookmarkEnd w:id="59"/>
      <w:bookmarkEnd w:id="60"/>
      <w:bookmarkEnd w:id="61"/>
      <w:bookmarkEnd w:id="62"/>
      <w:bookmarkEnd w:id="63"/>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1.2.1 标的名称：</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1.2.2 标的数量：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1.2.3 标的质量：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64" w:name="_Toc13918"/>
      <w:bookmarkStart w:id="65" w:name="_Toc4929"/>
      <w:bookmarkStart w:id="66" w:name="_Toc5635"/>
      <w:bookmarkStart w:id="67" w:name="_Toc1386"/>
      <w:bookmarkStart w:id="68" w:name="_Toc21124"/>
      <w:r>
        <w:rPr>
          <w:rFonts w:hint="eastAsia" w:ascii="宋体" w:hAnsi="宋体" w:eastAsia="宋体" w:cs="宋体"/>
          <w:b/>
          <w:sz w:val="24"/>
        </w:rPr>
        <w:t>1.3 价款</w:t>
      </w:r>
      <w:bookmarkEnd w:id="64"/>
      <w:bookmarkEnd w:id="65"/>
      <w:bookmarkEnd w:id="66"/>
      <w:bookmarkEnd w:id="67"/>
      <w:bookmarkEnd w:id="6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本合同总价为：￥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w:t>
      </w:r>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分项价格：</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5"/>
              <w:spacing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3402" w:type="dxa"/>
            <w:vAlign w:val="center"/>
          </w:tcPr>
          <w:p>
            <w:pPr>
              <w:pStyle w:val="35"/>
              <w:spacing w:line="560" w:lineRule="exact"/>
              <w:ind w:firstLine="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分项名称</w:t>
            </w:r>
          </w:p>
        </w:tc>
        <w:tc>
          <w:tcPr>
            <w:tcW w:w="2552" w:type="dxa"/>
            <w:vAlign w:val="center"/>
          </w:tcPr>
          <w:p>
            <w:pPr>
              <w:pStyle w:val="35"/>
              <w:spacing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5"/>
              <w:spacing w:line="560" w:lineRule="exact"/>
              <w:ind w:firstLine="200"/>
              <w:jc w:val="center"/>
              <w:rPr>
                <w:rFonts w:hint="eastAsia" w:ascii="宋体" w:hAnsi="宋体" w:eastAsia="宋体" w:cs="宋体"/>
                <w:color w:val="000000"/>
                <w:sz w:val="24"/>
                <w:szCs w:val="24"/>
              </w:rPr>
            </w:pPr>
          </w:p>
        </w:tc>
        <w:tc>
          <w:tcPr>
            <w:tcW w:w="3402" w:type="dxa"/>
            <w:vAlign w:val="center"/>
          </w:tcPr>
          <w:p>
            <w:pPr>
              <w:pStyle w:val="35"/>
              <w:spacing w:line="560" w:lineRule="exact"/>
              <w:ind w:firstLine="200"/>
              <w:jc w:val="center"/>
              <w:rPr>
                <w:rFonts w:hint="eastAsia" w:ascii="宋体" w:hAnsi="宋体" w:eastAsia="宋体" w:cs="宋体"/>
                <w:color w:val="000000"/>
                <w:sz w:val="24"/>
                <w:szCs w:val="24"/>
              </w:rPr>
            </w:pPr>
          </w:p>
        </w:tc>
        <w:tc>
          <w:tcPr>
            <w:tcW w:w="2552" w:type="dxa"/>
            <w:vAlign w:val="center"/>
          </w:tcPr>
          <w:p>
            <w:pPr>
              <w:pStyle w:val="35"/>
              <w:spacing w:line="560" w:lineRule="exact"/>
              <w:ind w:firstLine="20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5"/>
              <w:spacing w:line="560" w:lineRule="exact"/>
              <w:ind w:firstLine="200"/>
              <w:jc w:val="center"/>
              <w:rPr>
                <w:rFonts w:hint="eastAsia" w:ascii="宋体" w:hAnsi="宋体" w:eastAsia="宋体" w:cs="宋体"/>
                <w:color w:val="000000"/>
                <w:sz w:val="24"/>
                <w:szCs w:val="24"/>
              </w:rPr>
            </w:pPr>
          </w:p>
        </w:tc>
        <w:tc>
          <w:tcPr>
            <w:tcW w:w="3402" w:type="dxa"/>
            <w:vAlign w:val="center"/>
          </w:tcPr>
          <w:p>
            <w:pPr>
              <w:pStyle w:val="35"/>
              <w:spacing w:line="560" w:lineRule="exact"/>
              <w:ind w:firstLine="200"/>
              <w:jc w:val="center"/>
              <w:rPr>
                <w:rFonts w:hint="eastAsia" w:ascii="宋体" w:hAnsi="宋体" w:eastAsia="宋体" w:cs="宋体"/>
                <w:color w:val="000000"/>
                <w:sz w:val="24"/>
                <w:szCs w:val="24"/>
              </w:rPr>
            </w:pPr>
          </w:p>
        </w:tc>
        <w:tc>
          <w:tcPr>
            <w:tcW w:w="2552" w:type="dxa"/>
            <w:vAlign w:val="center"/>
          </w:tcPr>
          <w:p>
            <w:pPr>
              <w:pStyle w:val="35"/>
              <w:spacing w:line="560" w:lineRule="exact"/>
              <w:ind w:firstLine="20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5"/>
              <w:spacing w:line="560" w:lineRule="exact"/>
              <w:ind w:firstLine="200"/>
              <w:jc w:val="center"/>
              <w:rPr>
                <w:rFonts w:hint="eastAsia" w:ascii="宋体" w:hAnsi="宋体" w:eastAsia="宋体" w:cs="宋体"/>
                <w:color w:val="000000"/>
                <w:sz w:val="24"/>
                <w:szCs w:val="24"/>
              </w:rPr>
            </w:pPr>
          </w:p>
        </w:tc>
        <w:tc>
          <w:tcPr>
            <w:tcW w:w="3402" w:type="dxa"/>
            <w:vAlign w:val="center"/>
          </w:tcPr>
          <w:p>
            <w:pPr>
              <w:pStyle w:val="35"/>
              <w:spacing w:line="560" w:lineRule="exact"/>
              <w:ind w:firstLine="200"/>
              <w:jc w:val="center"/>
              <w:rPr>
                <w:rFonts w:hint="eastAsia" w:ascii="宋体" w:hAnsi="宋体" w:eastAsia="宋体" w:cs="宋体"/>
                <w:color w:val="000000"/>
                <w:sz w:val="24"/>
                <w:szCs w:val="24"/>
              </w:rPr>
            </w:pPr>
          </w:p>
        </w:tc>
        <w:tc>
          <w:tcPr>
            <w:tcW w:w="2552" w:type="dxa"/>
            <w:vAlign w:val="center"/>
          </w:tcPr>
          <w:p>
            <w:pPr>
              <w:pStyle w:val="35"/>
              <w:spacing w:line="560" w:lineRule="exact"/>
              <w:ind w:firstLine="20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5"/>
              <w:spacing w:line="560" w:lineRule="exact"/>
              <w:ind w:firstLine="200"/>
              <w:jc w:val="center"/>
              <w:rPr>
                <w:rFonts w:hint="eastAsia" w:ascii="宋体" w:hAnsi="宋体" w:eastAsia="宋体" w:cs="宋体"/>
                <w:color w:val="000000"/>
                <w:sz w:val="24"/>
                <w:szCs w:val="24"/>
              </w:rPr>
            </w:pPr>
          </w:p>
        </w:tc>
        <w:tc>
          <w:tcPr>
            <w:tcW w:w="3402" w:type="dxa"/>
            <w:vAlign w:val="center"/>
          </w:tcPr>
          <w:p>
            <w:pPr>
              <w:pStyle w:val="35"/>
              <w:spacing w:line="560" w:lineRule="exact"/>
              <w:ind w:firstLine="200"/>
              <w:jc w:val="center"/>
              <w:rPr>
                <w:rFonts w:hint="eastAsia" w:ascii="宋体" w:hAnsi="宋体" w:eastAsia="宋体" w:cs="宋体"/>
                <w:color w:val="000000"/>
                <w:sz w:val="24"/>
                <w:szCs w:val="24"/>
              </w:rPr>
            </w:pPr>
          </w:p>
        </w:tc>
        <w:tc>
          <w:tcPr>
            <w:tcW w:w="2552" w:type="dxa"/>
            <w:vAlign w:val="center"/>
          </w:tcPr>
          <w:p>
            <w:pPr>
              <w:pStyle w:val="35"/>
              <w:spacing w:line="560" w:lineRule="exact"/>
              <w:ind w:firstLine="20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5"/>
              <w:spacing w:line="560" w:lineRule="exact"/>
              <w:ind w:firstLine="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总价</w:t>
            </w:r>
          </w:p>
        </w:tc>
        <w:tc>
          <w:tcPr>
            <w:tcW w:w="2552" w:type="dxa"/>
            <w:vAlign w:val="center"/>
          </w:tcPr>
          <w:p>
            <w:pPr>
              <w:pStyle w:val="35"/>
              <w:spacing w:line="560" w:lineRule="exact"/>
              <w:ind w:firstLine="200"/>
              <w:jc w:val="center"/>
              <w:rPr>
                <w:rFonts w:hint="eastAsia" w:ascii="宋体" w:hAnsi="宋体" w:eastAsia="宋体" w:cs="宋体"/>
                <w:color w:val="000000"/>
                <w:sz w:val="24"/>
                <w:szCs w:val="24"/>
              </w:rPr>
            </w:pPr>
          </w:p>
        </w:tc>
      </w:tr>
    </w:tbl>
    <w:p>
      <w:pPr>
        <w:spacing w:line="560" w:lineRule="exact"/>
        <w:ind w:firstLine="482" w:firstLineChars="200"/>
        <w:outlineLvl w:val="0"/>
        <w:rPr>
          <w:rFonts w:hint="eastAsia" w:ascii="宋体" w:hAnsi="宋体" w:eastAsia="宋体" w:cs="宋体"/>
          <w:b/>
          <w:sz w:val="24"/>
        </w:rPr>
      </w:pPr>
      <w:bookmarkStart w:id="69" w:name="_Toc3654"/>
      <w:bookmarkStart w:id="70" w:name="_Toc30158"/>
      <w:bookmarkStart w:id="71" w:name="_Toc26916"/>
      <w:bookmarkStart w:id="72" w:name="_Toc30506"/>
      <w:bookmarkStart w:id="73" w:name="_Toc14993"/>
      <w:r>
        <w:rPr>
          <w:rFonts w:hint="eastAsia" w:ascii="宋体" w:hAnsi="宋体" w:eastAsia="宋体" w:cs="宋体"/>
          <w:b/>
          <w:sz w:val="24"/>
        </w:rPr>
        <w:t>1.4 付款方式和发票开具方式</w:t>
      </w:r>
      <w:bookmarkEnd w:id="69"/>
      <w:bookmarkEnd w:id="70"/>
      <w:bookmarkEnd w:id="71"/>
      <w:bookmarkEnd w:id="72"/>
      <w:bookmarkEnd w:id="7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1.4.1付款方式：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1.4.2 发票开具方式：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74" w:name="_Toc3625"/>
      <w:bookmarkStart w:id="75" w:name="_Toc11108"/>
      <w:bookmarkStart w:id="76" w:name="_Toc31421"/>
      <w:bookmarkStart w:id="77" w:name="_Toc4760"/>
      <w:bookmarkStart w:id="78" w:name="_Toc8772"/>
      <w:r>
        <w:rPr>
          <w:rFonts w:hint="eastAsia" w:ascii="宋体" w:hAnsi="宋体" w:eastAsia="宋体" w:cs="宋体"/>
          <w:b/>
          <w:sz w:val="24"/>
        </w:rPr>
        <w:t>1.5 履行期限、地点和方式</w:t>
      </w:r>
      <w:bookmarkEnd w:id="74"/>
      <w:bookmarkEnd w:id="75"/>
      <w:bookmarkEnd w:id="76"/>
      <w:bookmarkEnd w:id="77"/>
      <w:bookmarkEnd w:id="78"/>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1.5.1 履行期限：</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1.5.2 履行地点：</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1.5.3 履行方式：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sz w:val="24"/>
          <w:u w:val="single"/>
        </w:rPr>
      </w:pPr>
      <w:bookmarkStart w:id="79" w:name="_Toc24662"/>
      <w:bookmarkStart w:id="80" w:name="_Toc3079"/>
      <w:bookmarkStart w:id="81" w:name="_Toc2375"/>
      <w:bookmarkStart w:id="82" w:name="_Toc8586"/>
      <w:bookmarkStart w:id="83" w:name="_Toc5698"/>
      <w:r>
        <w:rPr>
          <w:rFonts w:hint="eastAsia" w:ascii="宋体" w:hAnsi="宋体" w:eastAsia="宋体" w:cs="宋体"/>
          <w:b/>
          <w:sz w:val="24"/>
        </w:rPr>
        <w:t>1.6 违约责任</w:t>
      </w:r>
      <w:bookmarkEnd w:id="79"/>
      <w:bookmarkEnd w:id="80"/>
      <w:bookmarkEnd w:id="81"/>
      <w:bookmarkEnd w:id="82"/>
      <w:bookmarkEnd w:id="8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sz w:val="24"/>
        </w:rPr>
      </w:pPr>
      <w:bookmarkStart w:id="84" w:name="_Toc30329"/>
      <w:bookmarkStart w:id="85" w:name="_Toc26807"/>
      <w:bookmarkStart w:id="86" w:name="_Toc18683"/>
      <w:bookmarkStart w:id="87" w:name="_Toc9497"/>
      <w:bookmarkStart w:id="88" w:name="_Toc32454"/>
      <w:r>
        <w:rPr>
          <w:rFonts w:hint="eastAsia" w:ascii="宋体" w:hAnsi="宋体" w:eastAsia="宋体" w:cs="宋体"/>
          <w:b/>
          <w:sz w:val="24"/>
        </w:rPr>
        <w:t>1.7 合同争议的解决</w:t>
      </w:r>
      <w:bookmarkEnd w:id="84"/>
      <w:bookmarkEnd w:id="85"/>
      <w:bookmarkEnd w:id="86"/>
      <w:bookmarkEnd w:id="87"/>
      <w:bookmarkEnd w:id="8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本合同履行过程中发生的任何争议，双方当事人均可通过和解或者调解解决；不愿和解、调解或者和解、调解不成的，可以选择下列第</w:t>
      </w:r>
      <w:r>
        <w:rPr>
          <w:rFonts w:hint="eastAsia" w:ascii="宋体" w:hAnsi="宋体" w:eastAsia="宋体" w:cs="宋体"/>
          <w:sz w:val="24"/>
          <w:u w:val="single"/>
        </w:rPr>
        <w:t xml:space="preserve">    </w:t>
      </w:r>
      <w:r>
        <w:rPr>
          <w:rFonts w:hint="eastAsia" w:ascii="宋体" w:hAnsi="宋体" w:eastAsia="宋体" w:cs="宋体"/>
          <w:sz w:val="24"/>
        </w:rPr>
        <w:t>种方式解决：</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1.7.1 将争议提交</w:t>
      </w:r>
      <w:r>
        <w:rPr>
          <w:rFonts w:hint="eastAsia" w:ascii="宋体" w:hAnsi="宋体" w:eastAsia="宋体" w:cs="宋体"/>
          <w:sz w:val="24"/>
          <w:u w:val="single"/>
        </w:rPr>
        <w:t xml:space="preserve">              </w:t>
      </w:r>
      <w:r>
        <w:rPr>
          <w:rFonts w:hint="eastAsia" w:ascii="宋体" w:hAnsi="宋体" w:eastAsia="宋体" w:cs="宋体"/>
          <w:sz w:val="24"/>
        </w:rPr>
        <w:t>仲裁委员会依申请仲裁时其现行有效的仲裁规则裁决；</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1.7.2 向</w:t>
      </w:r>
      <w:r>
        <w:rPr>
          <w:rFonts w:hint="eastAsia" w:ascii="宋体" w:hAnsi="宋体" w:eastAsia="宋体" w:cs="宋体"/>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rPr>
        <w:t>人民法院起诉。</w:t>
      </w:r>
    </w:p>
    <w:p>
      <w:pPr>
        <w:spacing w:line="560" w:lineRule="exact"/>
        <w:ind w:firstLine="482" w:firstLineChars="200"/>
        <w:outlineLvl w:val="0"/>
        <w:rPr>
          <w:rFonts w:hint="eastAsia" w:ascii="宋体" w:hAnsi="宋体" w:eastAsia="宋体" w:cs="宋体"/>
          <w:b/>
          <w:sz w:val="24"/>
        </w:rPr>
      </w:pPr>
      <w:bookmarkStart w:id="89" w:name="_Toc26227"/>
      <w:bookmarkStart w:id="90" w:name="_Toc15827"/>
      <w:bookmarkStart w:id="91" w:name="_Toc23784"/>
      <w:bookmarkStart w:id="92" w:name="_Toc12273"/>
      <w:bookmarkStart w:id="93" w:name="_Toc16417"/>
      <w:r>
        <w:rPr>
          <w:rFonts w:hint="eastAsia" w:ascii="宋体" w:hAnsi="宋体" w:eastAsia="宋体" w:cs="宋体"/>
          <w:b/>
          <w:sz w:val="24"/>
        </w:rPr>
        <w:t>1.8 合同生效</w:t>
      </w:r>
      <w:bookmarkEnd w:id="89"/>
      <w:bookmarkEnd w:id="90"/>
      <w:bookmarkEnd w:id="91"/>
      <w:bookmarkEnd w:id="92"/>
      <w:bookmarkEnd w:id="93"/>
    </w:p>
    <w:p>
      <w:pPr>
        <w:spacing w:line="560" w:lineRule="exact"/>
        <w:ind w:firstLine="480" w:firstLineChars="200"/>
        <w:rPr>
          <w:rFonts w:hint="eastAsia" w:ascii="宋体" w:hAnsi="宋体" w:eastAsia="宋体" w:cs="宋体"/>
          <w:b/>
          <w:sz w:val="24"/>
        </w:rPr>
      </w:pPr>
      <w:r>
        <w:rPr>
          <w:rFonts w:hint="eastAsia" w:ascii="宋体" w:hAnsi="宋体" w:eastAsia="宋体" w:cs="宋体"/>
          <w:sz w:val="24"/>
        </w:rPr>
        <w:t>本合同自双方当事人盖章或者签字时生效。</w:t>
      </w:r>
    </w:p>
    <w:p>
      <w:pPr>
        <w:autoSpaceDE w:val="0"/>
        <w:autoSpaceDN w:val="0"/>
        <w:adjustRightInd w:val="0"/>
        <w:spacing w:line="560" w:lineRule="exact"/>
        <w:rPr>
          <w:rFonts w:hint="eastAsia" w:ascii="宋体" w:hAnsi="宋体" w:eastAsia="宋体" w:cs="宋体"/>
          <w:sz w:val="24"/>
          <w:lang w:val="zh-CN"/>
        </w:rPr>
      </w:pP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b/>
          <w:sz w:val="24"/>
          <w:lang w:val="zh-CN"/>
        </w:rPr>
        <w:t>甲方</w:t>
      </w:r>
      <w:r>
        <w:rPr>
          <w:rFonts w:hint="eastAsia" w:ascii="宋体" w:hAnsi="宋体" w:eastAsia="宋体" w:cs="宋体"/>
          <w:sz w:val="24"/>
          <w:lang w:val="zh-CN"/>
        </w:rPr>
        <w:t xml:space="preserve">：                             </w:t>
      </w:r>
      <w:r>
        <w:rPr>
          <w:rFonts w:hint="eastAsia" w:ascii="宋体" w:hAnsi="宋体" w:eastAsia="宋体" w:cs="宋体"/>
          <w:b/>
          <w:sz w:val="24"/>
          <w:lang w:val="zh-CN"/>
        </w:rPr>
        <w:t xml:space="preserve">      乙方</w:t>
      </w:r>
      <w:r>
        <w:rPr>
          <w:rFonts w:hint="eastAsia" w:ascii="宋体" w:hAnsi="宋体" w:eastAsia="宋体" w:cs="宋体"/>
          <w:sz w:val="24"/>
          <w:lang w:val="zh-CN"/>
        </w:rPr>
        <w:t>：</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sz w:val="24"/>
          <w:lang w:val="zh-CN"/>
        </w:rPr>
      </w:pP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住所：                                   住所：</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法定代表人或                             法定代表人</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授权代表（签字）：                        或授权代表（签字）: </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联系人：                                 联系人：</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邮政编码：                               邮政编码：</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电话:                                    电话: </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传真:                                    传真:</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lang w:val="zh-CN"/>
        </w:rPr>
        <w:t>电子邮箱：                               电子邮箱：</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 xml:space="preserve">开户银行：                               开户银行： </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 xml:space="preserve">开户名称：                               开户名称： </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rPr>
        <w:t>开户账号：</w:t>
      </w:r>
    </w:p>
    <w:p>
      <w:pPr>
        <w:widowControl/>
        <w:spacing w:line="560" w:lineRule="exact"/>
        <w:jc w:val="left"/>
        <w:rPr>
          <w:rFonts w:hint="eastAsia" w:ascii="宋体" w:hAnsi="宋体" w:eastAsia="宋体" w:cs="宋体"/>
          <w:b/>
        </w:rPr>
      </w:pPr>
      <w:bookmarkStart w:id="94" w:name="_Toc331685783"/>
    </w:p>
    <w:p>
      <w:pPr>
        <w:widowControl/>
        <w:spacing w:line="560" w:lineRule="exact"/>
        <w:jc w:val="left"/>
        <w:rPr>
          <w:rFonts w:hint="eastAsia" w:ascii="宋体" w:hAnsi="宋体" w:eastAsia="宋体" w:cs="宋体"/>
          <w:b/>
        </w:rPr>
      </w:pPr>
    </w:p>
    <w:p>
      <w:pPr>
        <w:widowControl/>
        <w:spacing w:line="560" w:lineRule="exact"/>
        <w:jc w:val="left"/>
        <w:rPr>
          <w:rFonts w:hint="eastAsia" w:ascii="宋体" w:hAnsi="宋体" w:eastAsia="宋体" w:cs="宋体"/>
          <w:b/>
          <w:kern w:val="0"/>
          <w:sz w:val="24"/>
        </w:rPr>
      </w:pPr>
    </w:p>
    <w:p>
      <w:pPr>
        <w:widowControl/>
        <w:spacing w:line="560" w:lineRule="exact"/>
        <w:jc w:val="left"/>
        <w:rPr>
          <w:rFonts w:hint="eastAsia" w:ascii="宋体" w:hAnsi="宋体" w:eastAsia="宋体" w:cs="宋体"/>
          <w:b/>
          <w:kern w:val="0"/>
          <w:sz w:val="24"/>
        </w:rPr>
      </w:pPr>
    </w:p>
    <w:p>
      <w:pPr>
        <w:widowControl/>
        <w:spacing w:line="560" w:lineRule="exact"/>
        <w:jc w:val="left"/>
        <w:rPr>
          <w:rFonts w:hint="eastAsia" w:ascii="宋体" w:hAnsi="宋体" w:eastAsia="宋体" w:cs="宋体"/>
          <w:b/>
          <w:kern w:val="0"/>
          <w:sz w:val="24"/>
        </w:rPr>
      </w:pPr>
    </w:p>
    <w:p>
      <w:pPr>
        <w:widowControl/>
        <w:spacing w:line="560" w:lineRule="exact"/>
        <w:jc w:val="left"/>
        <w:rPr>
          <w:rFonts w:hint="eastAsia" w:ascii="宋体" w:hAnsi="宋体" w:eastAsia="宋体" w:cs="宋体"/>
          <w:b/>
          <w:kern w:val="0"/>
          <w:sz w:val="24"/>
        </w:rPr>
      </w:pPr>
    </w:p>
    <w:p>
      <w:pPr>
        <w:pStyle w:val="37"/>
        <w:spacing w:line="560" w:lineRule="exact"/>
        <w:ind w:firstLine="200"/>
        <w:jc w:val="center"/>
        <w:rPr>
          <w:rFonts w:hint="eastAsia" w:ascii="宋体" w:hAnsi="宋体" w:eastAsia="宋体" w:cs="宋体"/>
          <w:b/>
          <w:szCs w:val="24"/>
        </w:rPr>
      </w:pPr>
      <w:r>
        <w:rPr>
          <w:rFonts w:hint="eastAsia" w:ascii="宋体" w:hAnsi="宋体" w:eastAsia="宋体" w:cs="宋体"/>
          <w:b/>
          <w:szCs w:val="24"/>
        </w:rPr>
        <w:t>第二部分 合同一般条款</w:t>
      </w:r>
      <w:bookmarkEnd w:id="94"/>
    </w:p>
    <w:p>
      <w:pPr>
        <w:spacing w:line="560" w:lineRule="exact"/>
        <w:ind w:firstLine="482" w:firstLineChars="200"/>
        <w:outlineLvl w:val="0"/>
        <w:rPr>
          <w:rFonts w:hint="eastAsia" w:ascii="宋体" w:hAnsi="宋体" w:eastAsia="宋体" w:cs="宋体"/>
          <w:b/>
          <w:sz w:val="24"/>
        </w:rPr>
      </w:pPr>
      <w:bookmarkStart w:id="95" w:name="_Ref467379109"/>
      <w:bookmarkStart w:id="96" w:name="_Toc19680"/>
      <w:bookmarkStart w:id="97" w:name="_Toc14021"/>
      <w:bookmarkStart w:id="98" w:name="_Toc25079"/>
      <w:bookmarkStart w:id="99" w:name="_Ref467379214"/>
      <w:bookmarkStart w:id="100" w:name="_Ref467379094"/>
      <w:bookmarkStart w:id="101" w:name="_Toc259093669"/>
      <w:bookmarkStart w:id="102" w:name="_Toc279701240"/>
      <w:bookmarkStart w:id="103" w:name="_Ref467379205"/>
      <w:bookmarkStart w:id="104" w:name="_Ref467378404"/>
      <w:bookmarkStart w:id="105" w:name="_Ref467378463"/>
      <w:bookmarkStart w:id="106" w:name="_Toc487900349"/>
      <w:bookmarkStart w:id="107" w:name="_Ref467378499"/>
      <w:bookmarkStart w:id="108" w:name="_Ref467379101"/>
      <w:bookmarkStart w:id="109" w:name="_Toc31297"/>
      <w:bookmarkStart w:id="110" w:name="_Toc5228"/>
      <w:bookmarkStart w:id="111" w:name="_Ref467379225"/>
      <w:bookmarkStart w:id="112" w:name="_Ref467379195"/>
      <w:r>
        <w:rPr>
          <w:rFonts w:hint="eastAsia" w:ascii="宋体" w:hAnsi="宋体" w:eastAsia="宋体" w:cs="宋体"/>
          <w:b/>
          <w:sz w:val="24"/>
        </w:rPr>
        <w:t>2.1 定义</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sz w:val="24"/>
        </w:rPr>
      </w:pPr>
      <w:bookmarkStart w:id="113" w:name="_Ref467378840"/>
      <w:r>
        <w:rPr>
          <w:rFonts w:hint="eastAsia" w:ascii="宋体" w:hAnsi="宋体" w:eastAsia="宋体" w:cs="宋体"/>
          <w:sz w:val="24"/>
        </w:rPr>
        <w:t>2.1.4 “甲方”系指与中标供应商签署合同的采购人</w:t>
      </w:r>
      <w:bookmarkEnd w:id="113"/>
      <w:r>
        <w:rPr>
          <w:rFonts w:hint="eastAsia" w:ascii="宋体" w:hAnsi="宋体" w:eastAsia="宋体" w:cs="宋体"/>
          <w:sz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rPr>
      </w:pPr>
      <w:bookmarkStart w:id="114" w:name="_Ref467379400"/>
      <w:r>
        <w:rPr>
          <w:rFonts w:hint="eastAsia" w:ascii="宋体" w:hAnsi="宋体" w:eastAsia="宋体" w:cs="宋体"/>
          <w:sz w:val="24"/>
        </w:rPr>
        <w:t>2.1.5 “乙方”系指根据合同约定提供服务的中标供应商</w:t>
      </w:r>
      <w:bookmarkEnd w:id="114"/>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rPr>
      </w:pPr>
      <w:bookmarkStart w:id="115" w:name="_Ref467379436"/>
      <w:r>
        <w:rPr>
          <w:rFonts w:hint="eastAsia" w:ascii="宋体" w:hAnsi="宋体" w:eastAsia="宋体" w:cs="宋体"/>
          <w:sz w:val="24"/>
        </w:rPr>
        <w:t>2.1.6 “现场”系指合同约定提供服务的地点。</w:t>
      </w:r>
      <w:bookmarkEnd w:id="115"/>
    </w:p>
    <w:p>
      <w:pPr>
        <w:spacing w:line="560" w:lineRule="exact"/>
        <w:ind w:firstLine="482" w:firstLineChars="200"/>
        <w:outlineLvl w:val="0"/>
        <w:rPr>
          <w:rFonts w:hint="eastAsia" w:ascii="宋体" w:hAnsi="宋体" w:eastAsia="宋体" w:cs="宋体"/>
          <w:b/>
          <w:sz w:val="24"/>
        </w:rPr>
      </w:pPr>
      <w:bookmarkStart w:id="116" w:name="_Toc3769"/>
      <w:bookmarkStart w:id="117" w:name="_Toc487900350"/>
      <w:bookmarkStart w:id="118" w:name="_Toc19539"/>
      <w:bookmarkStart w:id="119" w:name="_Toc16752"/>
      <w:bookmarkStart w:id="120" w:name="_Toc23289"/>
      <w:bookmarkStart w:id="121" w:name="_Toc259093670"/>
      <w:bookmarkStart w:id="122" w:name="_Toc31402"/>
      <w:bookmarkStart w:id="123" w:name="_Toc279701241"/>
      <w:r>
        <w:rPr>
          <w:rFonts w:hint="eastAsia" w:ascii="宋体" w:hAnsi="宋体" w:eastAsia="宋体" w:cs="宋体"/>
          <w:b/>
          <w:sz w:val="24"/>
        </w:rPr>
        <w:t>2.2 技术规范</w:t>
      </w:r>
      <w:bookmarkEnd w:id="116"/>
      <w:bookmarkEnd w:id="117"/>
      <w:bookmarkEnd w:id="118"/>
      <w:bookmarkEnd w:id="119"/>
      <w:bookmarkEnd w:id="120"/>
      <w:bookmarkEnd w:id="121"/>
      <w:bookmarkEnd w:id="122"/>
      <w:bookmarkEnd w:id="12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sz w:val="24"/>
        </w:rPr>
      </w:pPr>
      <w:bookmarkStart w:id="124" w:name="_Toc12412"/>
      <w:bookmarkStart w:id="125" w:name="_Toc4133"/>
      <w:bookmarkStart w:id="126" w:name="_Toc279701242"/>
      <w:bookmarkStart w:id="127" w:name="_Toc487900351"/>
      <w:bookmarkStart w:id="128" w:name="_Toc27945"/>
      <w:bookmarkStart w:id="129" w:name="_Toc9161"/>
      <w:bookmarkStart w:id="130" w:name="_Toc13673"/>
      <w:bookmarkStart w:id="131" w:name="_Toc259093671"/>
      <w:r>
        <w:rPr>
          <w:rFonts w:hint="eastAsia" w:ascii="宋体" w:hAnsi="宋体" w:eastAsia="宋体" w:cs="宋体"/>
          <w:b/>
          <w:sz w:val="24"/>
        </w:rPr>
        <w:t>2.3 知识产权</w:t>
      </w:r>
      <w:bookmarkEnd w:id="124"/>
      <w:bookmarkEnd w:id="125"/>
      <w:bookmarkEnd w:id="126"/>
      <w:bookmarkEnd w:id="127"/>
      <w:bookmarkEnd w:id="128"/>
      <w:bookmarkEnd w:id="129"/>
      <w:bookmarkEnd w:id="130"/>
      <w:bookmarkEnd w:id="13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2.3.2 合同涉及技术成果的归属和收益的分成办法的，详见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2.4 履约检查和问题反馈</w:t>
      </w:r>
    </w:p>
    <w:p>
      <w:pPr>
        <w:spacing w:line="560" w:lineRule="exact"/>
        <w:ind w:firstLine="480" w:firstLineChars="200"/>
        <w:rPr>
          <w:rFonts w:hint="eastAsia" w:ascii="宋体" w:hAnsi="宋体" w:eastAsia="宋体" w:cs="宋体"/>
          <w:sz w:val="24"/>
        </w:rPr>
      </w:pPr>
      <w:bookmarkStart w:id="132" w:name="_Ref467379657"/>
      <w:r>
        <w:rPr>
          <w:rFonts w:hint="eastAsia" w:ascii="宋体" w:hAnsi="宋体" w:eastAsia="宋体" w:cs="宋体"/>
          <w:sz w:val="24"/>
        </w:rPr>
        <w:t>2.4.1</w:t>
      </w:r>
      <w:bookmarkEnd w:id="132"/>
      <w:bookmarkStart w:id="133" w:name="_Toc186431854"/>
      <w:bookmarkStart w:id="134" w:name="_Ref467379793"/>
      <w:bookmarkStart w:id="135" w:name="_Toc487900357"/>
      <w:bookmarkStart w:id="136" w:name="_Toc279701247"/>
      <w:bookmarkStart w:id="137" w:name="_Toc259093676"/>
      <w:bookmarkStart w:id="138" w:name="_Ref467379807"/>
      <w:r>
        <w:rPr>
          <w:rFonts w:hint="eastAsia" w:ascii="宋体" w:hAnsi="宋体" w:eastAsia="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2.4.2 合同履行期间，甲方有权将履行过程中出现的问题反馈给乙方，双方当事人应以书面形式约定需要完善和改进的内容</w:t>
      </w:r>
      <w:bookmarkEnd w:id="133"/>
      <w:bookmarkStart w:id="139" w:name="_Toc186431855"/>
      <w:r>
        <w:rPr>
          <w:rFonts w:hint="eastAsia" w:ascii="宋体" w:hAnsi="宋体" w:eastAsia="宋体" w:cs="宋体"/>
          <w:sz w:val="24"/>
        </w:rPr>
        <w:t>。</w:t>
      </w:r>
    </w:p>
    <w:bookmarkEnd w:id="139"/>
    <w:p>
      <w:pPr>
        <w:spacing w:line="560" w:lineRule="exact"/>
        <w:ind w:firstLine="482" w:firstLineChars="200"/>
        <w:outlineLvl w:val="0"/>
        <w:rPr>
          <w:rFonts w:hint="eastAsia" w:ascii="宋体" w:hAnsi="宋体" w:eastAsia="宋体" w:cs="宋体"/>
          <w:b/>
          <w:sz w:val="24"/>
        </w:rPr>
      </w:pPr>
      <w:bookmarkStart w:id="140" w:name="_Toc31233"/>
      <w:bookmarkStart w:id="141" w:name="_Toc15447"/>
      <w:bookmarkStart w:id="142" w:name="_Toc22011"/>
      <w:bookmarkStart w:id="143" w:name="_Toc26555"/>
      <w:bookmarkStart w:id="144" w:name="_Toc32670"/>
      <w:r>
        <w:rPr>
          <w:rFonts w:hint="eastAsia" w:ascii="宋体" w:hAnsi="宋体" w:eastAsia="宋体" w:cs="宋体"/>
          <w:b/>
          <w:sz w:val="24"/>
        </w:rPr>
        <w:t>2.5 结算方式和付款条件</w:t>
      </w:r>
      <w:bookmarkEnd w:id="134"/>
      <w:bookmarkEnd w:id="135"/>
      <w:bookmarkEnd w:id="136"/>
      <w:bookmarkEnd w:id="137"/>
      <w:bookmarkEnd w:id="138"/>
      <w:bookmarkEnd w:id="140"/>
      <w:bookmarkEnd w:id="141"/>
      <w:bookmarkEnd w:id="142"/>
      <w:bookmarkEnd w:id="143"/>
      <w:bookmarkEnd w:id="144"/>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145" w:name="_Toc487900358"/>
      <w:bookmarkStart w:id="146" w:name="_Ref467379923"/>
      <w:bookmarkStart w:id="147" w:name="_Toc259093677"/>
      <w:bookmarkStart w:id="148" w:name="_Toc279701248"/>
      <w:bookmarkStart w:id="149" w:name="_Ref467379863"/>
      <w:bookmarkStart w:id="150" w:name="_Ref467379852"/>
      <w:bookmarkStart w:id="151" w:name="_Toc30507"/>
      <w:bookmarkStart w:id="152" w:name="_Toc18990"/>
      <w:bookmarkStart w:id="153" w:name="_Toc13154"/>
      <w:bookmarkStart w:id="154" w:name="_Toc13467"/>
      <w:bookmarkStart w:id="155" w:name="_Toc16163"/>
      <w:r>
        <w:rPr>
          <w:rFonts w:hint="eastAsia" w:ascii="宋体" w:hAnsi="宋体" w:eastAsia="宋体" w:cs="宋体"/>
          <w:b/>
          <w:sz w:val="24"/>
        </w:rPr>
        <w:t>2.6 技术资料</w:t>
      </w:r>
      <w:bookmarkEnd w:id="145"/>
      <w:bookmarkEnd w:id="146"/>
      <w:bookmarkEnd w:id="147"/>
      <w:bookmarkEnd w:id="148"/>
      <w:bookmarkEnd w:id="149"/>
      <w:bookmarkEnd w:id="150"/>
      <w:r>
        <w:rPr>
          <w:rFonts w:hint="eastAsia" w:ascii="宋体" w:hAnsi="宋体" w:eastAsia="宋体" w:cs="宋体"/>
          <w:b/>
          <w:sz w:val="24"/>
        </w:rPr>
        <w:t>和保密义务</w:t>
      </w:r>
      <w:bookmarkEnd w:id="151"/>
      <w:bookmarkEnd w:id="152"/>
      <w:bookmarkEnd w:id="153"/>
      <w:bookmarkEnd w:id="154"/>
      <w:bookmarkEnd w:id="155"/>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2.6.2 乙方有义务妥善保管和保护由甲方提供的前款信息和资料等；</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sz w:val="24"/>
        </w:rPr>
      </w:pPr>
      <w:bookmarkStart w:id="156" w:name="_Toc19069"/>
      <w:bookmarkStart w:id="157" w:name="_Toc279701252"/>
      <w:bookmarkStart w:id="158" w:name="_Toc259093681"/>
      <w:bookmarkStart w:id="159" w:name="_Toc487900362"/>
      <w:r>
        <w:rPr>
          <w:rFonts w:hint="eastAsia" w:ascii="宋体" w:hAnsi="宋体" w:eastAsia="宋体" w:cs="宋体"/>
          <w:b/>
          <w:sz w:val="24"/>
        </w:rPr>
        <w:t>2.7 质量保证</w:t>
      </w:r>
      <w:bookmarkEnd w:id="156"/>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sz w:val="24"/>
        </w:rPr>
      </w:pPr>
      <w:bookmarkStart w:id="160" w:name="_Toc22267"/>
      <w:r>
        <w:rPr>
          <w:rFonts w:hint="eastAsia" w:ascii="宋体" w:hAnsi="宋体" w:eastAsia="宋体" w:cs="宋体"/>
          <w:b/>
          <w:sz w:val="24"/>
        </w:rPr>
        <w:t>2.8 延迟</w:t>
      </w:r>
      <w:bookmarkEnd w:id="157"/>
      <w:bookmarkEnd w:id="158"/>
      <w:bookmarkEnd w:id="159"/>
      <w:r>
        <w:rPr>
          <w:rFonts w:hint="eastAsia" w:ascii="宋体" w:hAnsi="宋体" w:eastAsia="宋体" w:cs="宋体"/>
          <w:b/>
          <w:sz w:val="24"/>
        </w:rPr>
        <w:t>履行</w:t>
      </w:r>
      <w:bookmarkEnd w:id="16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sz w:val="24"/>
        </w:rPr>
      </w:pPr>
      <w:bookmarkStart w:id="161" w:name="_Toc10611"/>
      <w:bookmarkStart w:id="162" w:name="_Toc279701254"/>
      <w:bookmarkStart w:id="163" w:name="_Ref467378121"/>
      <w:bookmarkStart w:id="164" w:name="_Toc259093683"/>
      <w:bookmarkStart w:id="165" w:name="_Toc487900364"/>
      <w:r>
        <w:rPr>
          <w:rFonts w:hint="eastAsia" w:ascii="宋体" w:hAnsi="宋体" w:eastAsia="宋体" w:cs="宋体"/>
          <w:b/>
          <w:sz w:val="24"/>
        </w:rPr>
        <w:t>2.9 合同变更</w:t>
      </w:r>
      <w:bookmarkEnd w:id="16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2.9.2 合同继续履行将损害国家利益和社会公共利益的，双方当事人应当以书面形式变更合同。有过错的一方应当承担赔偿责任，双方当事人都有过错的，各自承担相应的责任。</w:t>
      </w:r>
      <w:bookmarkStart w:id="166" w:name="_Toc487900369"/>
      <w:bookmarkStart w:id="167" w:name="_Toc279701259"/>
      <w:bookmarkStart w:id="168" w:name="_Toc259093688"/>
    </w:p>
    <w:p>
      <w:pPr>
        <w:spacing w:line="560" w:lineRule="exact"/>
        <w:ind w:firstLine="482" w:firstLineChars="200"/>
        <w:outlineLvl w:val="0"/>
        <w:rPr>
          <w:rFonts w:hint="eastAsia" w:ascii="宋体" w:hAnsi="宋体" w:eastAsia="宋体" w:cs="宋体"/>
          <w:b/>
          <w:sz w:val="24"/>
        </w:rPr>
      </w:pPr>
      <w:bookmarkStart w:id="169" w:name="_Toc21830"/>
      <w:bookmarkStart w:id="170" w:name="_Toc42"/>
      <w:bookmarkStart w:id="171" w:name="_Toc26689"/>
      <w:bookmarkStart w:id="172" w:name="_Toc23368"/>
      <w:bookmarkStart w:id="173" w:name="_Toc10663"/>
      <w:r>
        <w:rPr>
          <w:rFonts w:hint="eastAsia" w:ascii="宋体" w:hAnsi="宋体" w:eastAsia="宋体" w:cs="宋体"/>
          <w:b/>
          <w:sz w:val="24"/>
        </w:rPr>
        <w:t>2.10 合同转让</w:t>
      </w:r>
      <w:bookmarkEnd w:id="166"/>
      <w:bookmarkEnd w:id="167"/>
      <w:bookmarkEnd w:id="168"/>
      <w:r>
        <w:rPr>
          <w:rFonts w:hint="eastAsia" w:ascii="宋体" w:hAnsi="宋体" w:eastAsia="宋体" w:cs="宋体"/>
          <w:b/>
          <w:sz w:val="24"/>
        </w:rPr>
        <w:t>和分包</w:t>
      </w:r>
      <w:bookmarkEnd w:id="169"/>
      <w:bookmarkEnd w:id="170"/>
      <w:bookmarkEnd w:id="171"/>
      <w:bookmarkEnd w:id="172"/>
      <w:bookmarkEnd w:id="17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sz w:val="24"/>
        </w:rPr>
      </w:pPr>
      <w:bookmarkStart w:id="174" w:name="_Toc26633"/>
      <w:bookmarkStart w:id="175" w:name="_Toc4720"/>
      <w:bookmarkStart w:id="176" w:name="_Toc32494"/>
      <w:bookmarkStart w:id="177" w:name="_Toc14371"/>
      <w:bookmarkStart w:id="178" w:name="_Toc25571"/>
      <w:r>
        <w:rPr>
          <w:rFonts w:hint="eastAsia" w:ascii="宋体" w:hAnsi="宋体" w:eastAsia="宋体" w:cs="宋体"/>
          <w:b/>
          <w:sz w:val="24"/>
        </w:rPr>
        <w:t>2.11 不可抗力</w:t>
      </w:r>
      <w:bookmarkEnd w:id="174"/>
      <w:bookmarkEnd w:id="175"/>
      <w:bookmarkEnd w:id="176"/>
      <w:bookmarkEnd w:id="177"/>
      <w:bookmarkEnd w:id="17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2.11.2 因不可抗力致使不能实现合同目的的，当事人可以解除合同；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2.11.3 因不可抗力致使合同有变更必要的，双方当事人应在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约定时间内以书面形式变更合同；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2.11.4受不可抗力影响的一方在不可抗力发生后，应在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i/>
          <w:sz w:val="24"/>
          <w:u w:val="single"/>
        </w:rPr>
        <w:t>合同专用条款</w:t>
      </w:r>
      <w:r>
        <w:rPr>
          <w:rFonts w:hint="eastAsia" w:ascii="宋体" w:hAnsi="宋体" w:eastAsia="宋体" w:cs="宋体"/>
          <w:sz w:val="24"/>
        </w:rPr>
        <w:t>约定时间内，将有关部门出具的证明文件送达对方当事人。</w:t>
      </w:r>
    </w:p>
    <w:p>
      <w:pPr>
        <w:spacing w:line="560" w:lineRule="exact"/>
        <w:ind w:firstLine="482" w:firstLineChars="200"/>
        <w:outlineLvl w:val="0"/>
        <w:rPr>
          <w:rFonts w:hint="eastAsia" w:ascii="宋体" w:hAnsi="宋体" w:eastAsia="宋体" w:cs="宋体"/>
          <w:b/>
          <w:sz w:val="24"/>
        </w:rPr>
      </w:pPr>
      <w:bookmarkStart w:id="179" w:name="_Toc3638"/>
      <w:bookmarkStart w:id="180" w:name="_Toc279701255"/>
      <w:bookmarkStart w:id="181" w:name="_Toc487900365"/>
      <w:bookmarkStart w:id="182" w:name="_Toc25783"/>
      <w:bookmarkStart w:id="183" w:name="_Toc24465"/>
      <w:bookmarkStart w:id="184" w:name="_Toc259093684"/>
      <w:bookmarkStart w:id="185" w:name="_Toc23854"/>
      <w:bookmarkStart w:id="186" w:name="_Toc14115"/>
      <w:r>
        <w:rPr>
          <w:rFonts w:hint="eastAsia" w:ascii="宋体" w:hAnsi="宋体" w:eastAsia="宋体" w:cs="宋体"/>
          <w:b/>
          <w:sz w:val="24"/>
        </w:rPr>
        <w:t>2.12 税费</w:t>
      </w:r>
      <w:bookmarkEnd w:id="179"/>
      <w:bookmarkEnd w:id="180"/>
      <w:bookmarkEnd w:id="181"/>
      <w:bookmarkEnd w:id="182"/>
      <w:bookmarkEnd w:id="183"/>
      <w:bookmarkEnd w:id="184"/>
      <w:bookmarkEnd w:id="185"/>
      <w:bookmarkEnd w:id="186"/>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sz w:val="24"/>
        </w:rPr>
      </w:pPr>
      <w:bookmarkStart w:id="187" w:name="_Toc487900368"/>
      <w:bookmarkStart w:id="188" w:name="_Toc7315"/>
      <w:bookmarkStart w:id="189" w:name="_Toc30105"/>
      <w:bookmarkStart w:id="190" w:name="_Toc14814"/>
      <w:bookmarkStart w:id="191" w:name="_Toc26883"/>
      <w:bookmarkStart w:id="192" w:name="_Toc259093687"/>
      <w:bookmarkStart w:id="193" w:name="_Toc279701258"/>
      <w:bookmarkStart w:id="194" w:name="_Toc25525"/>
      <w:r>
        <w:rPr>
          <w:rFonts w:hint="eastAsia" w:ascii="宋体" w:hAnsi="宋体" w:eastAsia="宋体" w:cs="宋体"/>
          <w:b/>
          <w:sz w:val="24"/>
        </w:rPr>
        <w:t>2.13 乙方破产</w:t>
      </w:r>
      <w:bookmarkEnd w:id="187"/>
      <w:bookmarkEnd w:id="188"/>
      <w:bookmarkEnd w:id="189"/>
      <w:bookmarkEnd w:id="190"/>
      <w:bookmarkEnd w:id="191"/>
      <w:bookmarkEnd w:id="192"/>
      <w:bookmarkEnd w:id="193"/>
      <w:bookmarkEnd w:id="194"/>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sz w:val="24"/>
        </w:rPr>
      </w:pPr>
      <w:bookmarkStart w:id="195" w:name="_Toc1123"/>
      <w:bookmarkStart w:id="196" w:name="_Toc23323"/>
      <w:bookmarkStart w:id="197" w:name="_Toc2016"/>
      <w:r>
        <w:rPr>
          <w:rFonts w:hint="eastAsia" w:ascii="宋体" w:hAnsi="宋体" w:eastAsia="宋体" w:cs="宋体"/>
          <w:b/>
          <w:sz w:val="24"/>
        </w:rPr>
        <w:t>2.14 合同中止、终止</w:t>
      </w:r>
      <w:bookmarkEnd w:id="195"/>
      <w:bookmarkEnd w:id="196"/>
      <w:bookmarkEnd w:id="197"/>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2.14.1 双方当事人不得擅自中止或者终止合同；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sz w:val="24"/>
        </w:rPr>
      </w:pPr>
      <w:bookmarkStart w:id="198" w:name="_Toc14525"/>
      <w:bookmarkStart w:id="199" w:name="_Toc1969"/>
      <w:bookmarkStart w:id="200" w:name="_Toc17363"/>
      <w:r>
        <w:rPr>
          <w:rFonts w:hint="eastAsia" w:ascii="宋体" w:hAnsi="宋体" w:eastAsia="宋体" w:cs="宋体"/>
          <w:b/>
          <w:sz w:val="24"/>
        </w:rPr>
        <w:t>2.15 检验和验收</w:t>
      </w:r>
      <w:bookmarkEnd w:id="198"/>
      <w:bookmarkEnd w:id="199"/>
      <w:bookmarkEnd w:id="200"/>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2.15.1 乙方按照</w:t>
      </w:r>
      <w:r>
        <w:rPr>
          <w:rFonts w:hint="eastAsia" w:ascii="宋体" w:hAnsi="宋体" w:eastAsia="宋体" w:cs="宋体"/>
          <w:b/>
          <w:i/>
          <w:sz w:val="24"/>
          <w:u w:val="single"/>
        </w:rPr>
        <w:t>合同专用条款</w:t>
      </w:r>
      <w:r>
        <w:rPr>
          <w:rFonts w:hint="eastAsia" w:ascii="宋体" w:hAnsi="宋体" w:eastAsia="宋体" w:cs="宋体"/>
          <w:sz w:val="24"/>
        </w:rPr>
        <w:t>的约定，定期提交服务报告，甲方按照</w:t>
      </w:r>
      <w:r>
        <w:rPr>
          <w:rFonts w:hint="eastAsia" w:ascii="宋体" w:hAnsi="宋体" w:eastAsia="宋体" w:cs="宋体"/>
          <w:b/>
          <w:i/>
          <w:sz w:val="24"/>
          <w:u w:val="single"/>
        </w:rPr>
        <w:t>合同专用条款</w:t>
      </w:r>
      <w:r>
        <w:rPr>
          <w:rFonts w:hint="eastAsia" w:ascii="宋体" w:hAnsi="宋体" w:eastAsia="宋体" w:cs="宋体"/>
          <w:sz w:val="24"/>
        </w:rPr>
        <w:t>的约定进行定期验收；</w:t>
      </w:r>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2.15.3 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p>
    <w:bookmarkEnd w:id="162"/>
    <w:bookmarkEnd w:id="163"/>
    <w:bookmarkEnd w:id="164"/>
    <w:bookmarkEnd w:id="165"/>
    <w:p>
      <w:pPr>
        <w:spacing w:line="560" w:lineRule="exact"/>
        <w:ind w:firstLine="482" w:firstLineChars="200"/>
        <w:outlineLvl w:val="0"/>
        <w:rPr>
          <w:rFonts w:hint="eastAsia" w:ascii="宋体" w:hAnsi="宋体" w:eastAsia="宋体" w:cs="宋体"/>
          <w:b/>
          <w:sz w:val="24"/>
        </w:rPr>
      </w:pPr>
      <w:bookmarkStart w:id="201" w:name="_Toc487900371"/>
      <w:bookmarkStart w:id="202" w:name="_Toc259093690"/>
      <w:bookmarkStart w:id="203" w:name="_Toc279701261"/>
      <w:bookmarkStart w:id="204" w:name="_Toc31892"/>
      <w:bookmarkStart w:id="205" w:name="_Toc9808"/>
      <w:bookmarkStart w:id="206" w:name="_Toc25198"/>
      <w:bookmarkStart w:id="207" w:name="_Toc2308"/>
      <w:bookmarkStart w:id="208" w:name="_Toc12666"/>
      <w:r>
        <w:rPr>
          <w:rFonts w:hint="eastAsia" w:ascii="宋体" w:hAnsi="宋体" w:eastAsia="宋体" w:cs="宋体"/>
          <w:b/>
          <w:sz w:val="24"/>
        </w:rPr>
        <w:t>2.16 通知</w:t>
      </w:r>
      <w:bookmarkEnd w:id="201"/>
      <w:bookmarkEnd w:id="202"/>
      <w:bookmarkEnd w:id="203"/>
      <w:r>
        <w:rPr>
          <w:rFonts w:hint="eastAsia" w:ascii="宋体" w:hAnsi="宋体" w:eastAsia="宋体" w:cs="宋体"/>
          <w:b/>
          <w:sz w:val="24"/>
        </w:rPr>
        <w:t>和送达</w:t>
      </w:r>
      <w:bookmarkEnd w:id="204"/>
      <w:bookmarkEnd w:id="205"/>
      <w:bookmarkEnd w:id="206"/>
      <w:bookmarkEnd w:id="207"/>
      <w:bookmarkEnd w:id="208"/>
    </w:p>
    <w:p>
      <w:pPr>
        <w:spacing w:line="560" w:lineRule="exact"/>
        <w:ind w:firstLine="480" w:firstLineChars="200"/>
        <w:rPr>
          <w:rFonts w:hint="eastAsia" w:ascii="宋体" w:hAnsi="宋体" w:eastAsia="宋体" w:cs="宋体"/>
          <w:sz w:val="24"/>
        </w:rPr>
      </w:pPr>
      <w:bookmarkStart w:id="209" w:name="_Toc29220"/>
      <w:bookmarkStart w:id="210" w:name="_Toc7073"/>
      <w:bookmarkStart w:id="211" w:name="_Toc279701262"/>
      <w:bookmarkStart w:id="212" w:name="_Toc487900372"/>
      <w:bookmarkStart w:id="213" w:name="_Toc259093691"/>
      <w:r>
        <w:rPr>
          <w:rFonts w:hint="eastAsia" w:ascii="宋体" w:hAnsi="宋体" w:eastAsia="宋体" w:cs="宋体"/>
          <w:sz w:val="24"/>
        </w:rPr>
        <w:t>2.16.1 任何一方因履行合同而以合同第一部分尾部所列明的</w:t>
      </w:r>
      <w:r>
        <w:rPr>
          <w:rFonts w:hint="eastAsia" w:ascii="宋体" w:hAnsi="宋体" w:eastAsia="宋体" w:cs="宋体"/>
          <w:sz w:val="24"/>
          <w:u w:val="single"/>
        </w:rPr>
        <w:t xml:space="preserve">          </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 xml:space="preserve">   </w:t>
      </w:r>
      <w:r>
        <w:rPr>
          <w:rFonts w:hint="eastAsia" w:ascii="宋体" w:hAnsi="宋体" w:eastAsia="宋体" w:cs="宋体"/>
          <w:sz w:val="24"/>
        </w:rPr>
        <w:t>个工作日内书面通知对方当事人，在对方当事人收到有关变更通知之前，变更前的约定送达方式或者地址仍视为有效。</w:t>
      </w:r>
      <w:bookmarkEnd w:id="209"/>
      <w:bookmarkEnd w:id="210"/>
    </w:p>
    <w:p>
      <w:pPr>
        <w:spacing w:line="560" w:lineRule="exact"/>
        <w:ind w:firstLine="480" w:firstLineChars="200"/>
        <w:rPr>
          <w:rFonts w:hint="eastAsia" w:ascii="宋体" w:hAnsi="宋体" w:eastAsia="宋体" w:cs="宋体"/>
          <w:sz w:val="24"/>
        </w:rPr>
      </w:pPr>
      <w:bookmarkStart w:id="214" w:name="_Toc27674"/>
      <w:bookmarkStart w:id="215" w:name="_Toc18401"/>
      <w:r>
        <w:rPr>
          <w:rFonts w:hint="eastAsia" w:ascii="宋体" w:hAnsi="宋体" w:eastAsia="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4"/>
      <w:bookmarkEnd w:id="215"/>
    </w:p>
    <w:bookmarkEnd w:id="211"/>
    <w:bookmarkEnd w:id="212"/>
    <w:bookmarkEnd w:id="213"/>
    <w:p>
      <w:pPr>
        <w:spacing w:line="560" w:lineRule="exact"/>
        <w:ind w:firstLine="482" w:firstLineChars="200"/>
        <w:outlineLvl w:val="0"/>
        <w:rPr>
          <w:rFonts w:hint="eastAsia" w:ascii="宋体" w:hAnsi="宋体" w:eastAsia="宋体" w:cs="宋体"/>
          <w:b/>
          <w:sz w:val="24"/>
        </w:rPr>
      </w:pPr>
      <w:bookmarkStart w:id="216" w:name="_Toc5063"/>
      <w:bookmarkStart w:id="217" w:name="_Toc487900373"/>
      <w:bookmarkStart w:id="218" w:name="_Toc259093692"/>
      <w:bookmarkStart w:id="219" w:name="_Toc279701263"/>
      <w:bookmarkStart w:id="220" w:name="_Toc28906"/>
      <w:bookmarkStart w:id="221" w:name="_Toc27644"/>
      <w:bookmarkStart w:id="222" w:name="_Toc20808"/>
      <w:bookmarkStart w:id="223" w:name="_Toc12254"/>
      <w:r>
        <w:rPr>
          <w:rFonts w:hint="eastAsia" w:ascii="宋体" w:hAnsi="宋体" w:eastAsia="宋体" w:cs="宋体"/>
          <w:b/>
          <w:sz w:val="24"/>
        </w:rPr>
        <w:t>2.17 合同使用的文字和适用的法律</w:t>
      </w:r>
      <w:bookmarkEnd w:id="216"/>
      <w:bookmarkEnd w:id="217"/>
      <w:bookmarkEnd w:id="218"/>
      <w:bookmarkEnd w:id="219"/>
      <w:bookmarkEnd w:id="220"/>
      <w:bookmarkEnd w:id="221"/>
      <w:bookmarkEnd w:id="222"/>
      <w:bookmarkEnd w:id="22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2.17.1 合同使用汉语书就、变更和解释；</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2.17.2 合同适用中华人民共和国法律。</w:t>
      </w:r>
    </w:p>
    <w:p>
      <w:pPr>
        <w:spacing w:line="560" w:lineRule="exact"/>
        <w:ind w:firstLine="482" w:firstLineChars="200"/>
        <w:outlineLvl w:val="0"/>
        <w:rPr>
          <w:rFonts w:hint="eastAsia" w:ascii="宋体" w:hAnsi="宋体" w:eastAsia="宋体" w:cs="宋体"/>
          <w:b/>
          <w:sz w:val="24"/>
        </w:rPr>
      </w:pPr>
      <w:bookmarkStart w:id="224" w:name="_Toc1492"/>
      <w:bookmarkStart w:id="225" w:name="_Toc22266"/>
      <w:bookmarkStart w:id="226" w:name="_Toc30096"/>
      <w:bookmarkStart w:id="227" w:name="_Toc279701264"/>
      <w:bookmarkStart w:id="228" w:name="_Toc27127"/>
      <w:bookmarkStart w:id="229" w:name="_Toc27403"/>
      <w:bookmarkStart w:id="230" w:name="_Toc259093693"/>
      <w:bookmarkStart w:id="231" w:name="_Toc487900374"/>
      <w:r>
        <w:rPr>
          <w:rFonts w:hint="eastAsia" w:ascii="宋体" w:hAnsi="宋体" w:eastAsia="宋体" w:cs="宋体"/>
          <w:b/>
          <w:sz w:val="24"/>
        </w:rPr>
        <w:t>2.18 履约保证金</w:t>
      </w:r>
      <w:bookmarkEnd w:id="224"/>
      <w:bookmarkEnd w:id="225"/>
      <w:bookmarkEnd w:id="226"/>
      <w:bookmarkEnd w:id="227"/>
      <w:bookmarkEnd w:id="228"/>
      <w:bookmarkEnd w:id="229"/>
      <w:bookmarkEnd w:id="23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2.18.1 采购文件要求乙方提交履约保证金的，乙方应按</w:t>
      </w:r>
      <w:r>
        <w:rPr>
          <w:rFonts w:hint="eastAsia" w:ascii="宋体" w:hAnsi="宋体" w:eastAsia="宋体" w:cs="宋体"/>
          <w:b/>
          <w:i/>
          <w:sz w:val="24"/>
          <w:u w:val="single"/>
        </w:rPr>
        <w:t>合同专用条款</w:t>
      </w:r>
      <w:r>
        <w:rPr>
          <w:rFonts w:hint="eastAsia" w:ascii="宋体" w:hAnsi="宋体" w:eastAsia="宋体" w:cs="宋体"/>
          <w:sz w:val="24"/>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2.18.2 履约保证金在</w:t>
      </w:r>
      <w:r>
        <w:rPr>
          <w:rFonts w:hint="eastAsia" w:ascii="宋体" w:hAnsi="宋体" w:eastAsia="宋体" w:cs="宋体"/>
          <w:b/>
          <w:i/>
          <w:sz w:val="24"/>
          <w:u w:val="single"/>
        </w:rPr>
        <w:t>合同专用条款</w:t>
      </w:r>
      <w:r>
        <w:rPr>
          <w:rFonts w:hint="eastAsia" w:ascii="宋体" w:hAnsi="宋体" w:eastAsia="宋体" w:cs="宋体"/>
          <w:sz w:val="24"/>
        </w:rPr>
        <w:t>约定期间内不予退还或者应完全有效，前述约定期间届满之日起</w:t>
      </w:r>
      <w:r>
        <w:rPr>
          <w:rFonts w:hint="eastAsia" w:ascii="宋体" w:hAnsi="宋体" w:eastAsia="宋体" w:cs="宋体"/>
          <w:sz w:val="24"/>
          <w:u w:val="single"/>
        </w:rPr>
        <w:t xml:space="preserve">    </w:t>
      </w:r>
      <w:r>
        <w:rPr>
          <w:rFonts w:hint="eastAsia" w:ascii="宋体" w:hAnsi="宋体" w:eastAsia="宋体" w:cs="宋体"/>
          <w:sz w:val="24"/>
        </w:rPr>
        <w:t>个工作日内，甲方应将履约保证金退还乙方；</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31"/>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2.19 合同份数</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i/>
          <w:sz w:val="24"/>
          <w:u w:val="single"/>
        </w:rPr>
        <w:t>合同专用条款</w:t>
      </w:r>
      <w:r>
        <w:rPr>
          <w:rFonts w:hint="eastAsia" w:ascii="宋体" w:hAnsi="宋体" w:eastAsia="宋体" w:cs="宋体"/>
          <w:sz w:val="24"/>
        </w:rPr>
        <w:t>规定，每份均具有同等法律效力。</w:t>
      </w:r>
    </w:p>
    <w:p>
      <w:pPr>
        <w:pStyle w:val="37"/>
        <w:spacing w:line="560" w:lineRule="exact"/>
        <w:ind w:firstLine="0"/>
        <w:jc w:val="center"/>
        <w:rPr>
          <w:rFonts w:hint="eastAsia" w:ascii="宋体" w:hAnsi="宋体" w:eastAsia="宋体" w:cs="宋体"/>
          <w:b/>
          <w:szCs w:val="24"/>
        </w:rPr>
      </w:pPr>
      <w:r>
        <w:rPr>
          <w:rFonts w:hint="eastAsia" w:ascii="宋体" w:hAnsi="宋体" w:eastAsia="宋体" w:cs="宋体"/>
          <w:szCs w:val="24"/>
        </w:rPr>
        <w:br w:type="page"/>
      </w:r>
      <w:bookmarkStart w:id="232" w:name="_Toc331685784"/>
      <w:r>
        <w:rPr>
          <w:rFonts w:hint="eastAsia" w:ascii="宋体" w:hAnsi="宋体" w:eastAsia="宋体" w:cs="宋体"/>
          <w:b/>
          <w:szCs w:val="24"/>
        </w:rPr>
        <w:t>第三部分  合同专用条款</w:t>
      </w:r>
      <w:bookmarkEnd w:id="23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ind w:left="0" w:leftChars="0" w:firstLine="0" w:firstLineChars="0"/>
              <w:jc w:val="both"/>
              <w:rPr>
                <w:rFonts w:hint="eastAsia" w:ascii="宋体" w:hAnsi="宋体" w:eastAsia="宋体" w:cs="宋体"/>
                <w:b/>
                <w:sz w:val="24"/>
              </w:rPr>
            </w:pPr>
            <w:r>
              <w:rPr>
                <w:rFonts w:hint="eastAsia" w:ascii="宋体" w:hAnsi="宋体" w:eastAsia="宋体" w:cs="宋体"/>
                <w:b/>
                <w:sz w:val="24"/>
              </w:rPr>
              <w:t>条款号</w:t>
            </w:r>
          </w:p>
        </w:tc>
        <w:tc>
          <w:tcPr>
            <w:tcW w:w="7633" w:type="dxa"/>
            <w:vAlign w:val="center"/>
          </w:tcPr>
          <w:p>
            <w:pPr>
              <w:spacing w:line="560" w:lineRule="exact"/>
              <w:jc w:val="center"/>
              <w:rPr>
                <w:rFonts w:hint="eastAsia" w:ascii="宋体" w:hAnsi="宋体" w:eastAsia="宋体" w:cs="宋体"/>
                <w:b/>
                <w:sz w:val="24"/>
              </w:rPr>
            </w:pPr>
            <w:r>
              <w:rPr>
                <w:rFonts w:hint="eastAsia" w:ascii="宋体" w:hAnsi="宋体" w:eastAsia="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hint="eastAsia" w:ascii="宋体" w:hAnsi="宋体" w:eastAsia="宋体" w:cs="宋体"/>
                <w:sz w:val="24"/>
              </w:rPr>
            </w:pPr>
          </w:p>
        </w:tc>
        <w:tc>
          <w:tcPr>
            <w:tcW w:w="7633" w:type="dxa"/>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eastAsia="宋体" w:cs="宋体"/>
                <w:sz w:val="24"/>
              </w:rPr>
            </w:pPr>
          </w:p>
        </w:tc>
        <w:tc>
          <w:tcPr>
            <w:tcW w:w="7633" w:type="dxa"/>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eastAsia="宋体" w:cs="宋体"/>
                <w:sz w:val="24"/>
              </w:rPr>
            </w:pPr>
          </w:p>
        </w:tc>
        <w:tc>
          <w:tcPr>
            <w:tcW w:w="7633" w:type="dxa"/>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eastAsia="宋体" w:cs="宋体"/>
                <w:sz w:val="24"/>
              </w:rPr>
            </w:pPr>
          </w:p>
        </w:tc>
        <w:tc>
          <w:tcPr>
            <w:tcW w:w="7633" w:type="dxa"/>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eastAsia="宋体" w:cs="宋体"/>
                <w:sz w:val="24"/>
              </w:rPr>
            </w:pPr>
          </w:p>
        </w:tc>
        <w:tc>
          <w:tcPr>
            <w:tcW w:w="7633" w:type="dxa"/>
            <w:vAlign w:val="center"/>
          </w:tcPr>
          <w:p>
            <w:pPr>
              <w:spacing w:line="560" w:lineRule="exact"/>
              <w:rPr>
                <w:rFonts w:hint="eastAsia" w:ascii="宋体" w:hAnsi="宋体" w:eastAsia="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eastAsia="宋体" w:cs="宋体"/>
                <w:sz w:val="24"/>
              </w:rPr>
            </w:pPr>
          </w:p>
        </w:tc>
        <w:tc>
          <w:tcPr>
            <w:tcW w:w="7633" w:type="dxa"/>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eastAsia="宋体" w:cs="宋体"/>
                <w:sz w:val="24"/>
              </w:rPr>
            </w:pPr>
          </w:p>
        </w:tc>
        <w:tc>
          <w:tcPr>
            <w:tcW w:w="7633" w:type="dxa"/>
            <w:vAlign w:val="center"/>
          </w:tcPr>
          <w:p>
            <w:pPr>
              <w:spacing w:line="560" w:lineRule="exact"/>
              <w:rPr>
                <w:rFonts w:hint="eastAsia" w:ascii="宋体" w:hAnsi="宋体" w:eastAsia="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eastAsia="宋体" w:cs="宋体"/>
                <w:sz w:val="24"/>
              </w:rPr>
            </w:pPr>
          </w:p>
        </w:tc>
        <w:tc>
          <w:tcPr>
            <w:tcW w:w="7633" w:type="dxa"/>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eastAsia="宋体" w:cs="宋体"/>
                <w:sz w:val="24"/>
              </w:rPr>
            </w:pPr>
          </w:p>
        </w:tc>
        <w:tc>
          <w:tcPr>
            <w:tcW w:w="7633" w:type="dxa"/>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eastAsia="宋体" w:cs="宋体"/>
                <w:sz w:val="24"/>
              </w:rPr>
            </w:pPr>
          </w:p>
        </w:tc>
        <w:tc>
          <w:tcPr>
            <w:tcW w:w="7633" w:type="dxa"/>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hint="eastAsia" w:ascii="宋体" w:hAnsi="宋体" w:eastAsia="宋体" w:cs="宋体"/>
                <w:sz w:val="24"/>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hint="eastAsia" w:ascii="宋体" w:hAnsi="宋体" w:eastAsia="宋体" w:cs="宋体"/>
                <w:sz w:val="24"/>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hint="eastAsia" w:ascii="宋体" w:hAnsi="宋体" w:eastAsia="宋体" w:cs="宋体"/>
                <w:sz w:val="24"/>
              </w:rPr>
            </w:pPr>
          </w:p>
        </w:tc>
      </w:tr>
    </w:tbl>
    <w:p>
      <w:pPr>
        <w:spacing w:after="156" w:line="560" w:lineRule="exact"/>
        <w:ind w:firstLine="480"/>
      </w:pPr>
    </w:p>
    <w:p>
      <w:pPr>
        <w:bidi w:val="0"/>
      </w:pPr>
    </w:p>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pStyle w:val="4"/>
      </w:pPr>
      <w:bookmarkStart w:id="233" w:name="_Toc22743"/>
      <w:r>
        <w:rPr>
          <w:rFonts w:hint="eastAsia"/>
        </w:rPr>
        <w:t xml:space="preserve">第四部分 </w:t>
      </w:r>
      <w:bookmarkStart w:id="234" w:name="_Toc28160"/>
      <w:bookmarkStart w:id="235" w:name="_Toc6031"/>
      <w:r>
        <w:rPr>
          <w:rFonts w:hint="eastAsia"/>
        </w:rPr>
        <w:t>采购需求</w:t>
      </w:r>
      <w:bookmarkEnd w:id="53"/>
      <w:bookmarkEnd w:id="233"/>
      <w:bookmarkEnd w:id="234"/>
      <w:bookmarkEnd w:id="235"/>
    </w:p>
    <w:p>
      <w:pPr>
        <w:ind w:firstLine="480"/>
        <w:rPr>
          <w:rFonts w:hint="eastAsia" w:eastAsia="宋体"/>
          <w:sz w:val="24"/>
          <w:lang w:eastAsia="zh-CN"/>
        </w:rPr>
      </w:pPr>
      <w:r>
        <w:rPr>
          <w:rFonts w:hint="eastAsia"/>
          <w:sz w:val="24"/>
        </w:rPr>
        <w:t>（一）项目名称：</w:t>
      </w:r>
      <w:r>
        <w:rPr>
          <w:rFonts w:hint="eastAsia"/>
          <w:sz w:val="24"/>
          <w:lang w:eastAsia="zh-CN"/>
        </w:rPr>
        <w:t>巩留县集体土地所有权确权登记成果更新汇交工作项目</w:t>
      </w:r>
    </w:p>
    <w:p>
      <w:pPr>
        <w:ind w:firstLine="480"/>
        <w:rPr>
          <w:sz w:val="24"/>
        </w:rPr>
      </w:pPr>
      <w:r>
        <w:rPr>
          <w:rFonts w:hint="eastAsia"/>
          <w:sz w:val="24"/>
          <w:highlight w:val="none"/>
        </w:rPr>
        <w:t>（二）项目背景：根</w:t>
      </w:r>
      <w:r>
        <w:rPr>
          <w:rFonts w:hint="eastAsia"/>
          <w:sz w:val="24"/>
        </w:rPr>
        <w:t>据《自然资源部关于加快完成集体土地所有权确权登记成果更新汇交的通知》（自然资发[2022]19号）、自治区自然资源厅《关于加快完成集体土地所有权确权登记成果更新汇交的通知》（新自然资办发[2022]6号）、州自然资源局关于转发《关于加快完成集体土地所有权确权登记成果更新汇交的通知》的通知等文件要求。</w:t>
      </w:r>
    </w:p>
    <w:p>
      <w:pPr>
        <w:ind w:firstLine="480"/>
        <w:rPr>
          <w:rFonts w:hint="eastAsia"/>
          <w:sz w:val="24"/>
          <w:lang w:eastAsia="zh-CN"/>
        </w:rPr>
      </w:pPr>
      <w:r>
        <w:rPr>
          <w:rFonts w:hint="eastAsia"/>
          <w:sz w:val="24"/>
        </w:rPr>
        <w:t>（三）采购内容：按照时间节点和技术规程做好巩留县集体土地所有权确权登记成果更新、成果整理入库、成果汇交等相关工作</w:t>
      </w:r>
      <w:r>
        <w:rPr>
          <w:rFonts w:hint="eastAsia"/>
          <w:sz w:val="24"/>
          <w:lang w:eastAsia="zh-CN"/>
        </w:rPr>
        <w:t>。</w:t>
      </w:r>
    </w:p>
    <w:p>
      <w:pPr>
        <w:ind w:firstLine="480"/>
        <w:rPr>
          <w:sz w:val="24"/>
        </w:rPr>
      </w:pPr>
      <w:r>
        <w:rPr>
          <w:rFonts w:hint="eastAsia" w:eastAsia="宋体"/>
          <w:sz w:val="24"/>
        </w:rPr>
        <w:t>（四）合同履约期限：202</w:t>
      </w:r>
      <w:r>
        <w:rPr>
          <w:rFonts w:hint="eastAsia" w:eastAsia="宋体"/>
          <w:sz w:val="24"/>
          <w:lang w:val="en-US" w:eastAsia="zh-CN"/>
        </w:rPr>
        <w:t>3</w:t>
      </w:r>
      <w:r>
        <w:rPr>
          <w:rFonts w:hint="eastAsia" w:eastAsia="宋体"/>
          <w:sz w:val="24"/>
        </w:rPr>
        <w:t>年</w:t>
      </w:r>
      <w:r>
        <w:rPr>
          <w:rFonts w:hint="eastAsia" w:eastAsia="宋体"/>
          <w:sz w:val="24"/>
          <w:lang w:val="en-US" w:eastAsia="zh-CN"/>
        </w:rPr>
        <w:t>06</w:t>
      </w:r>
      <w:r>
        <w:rPr>
          <w:rFonts w:hint="eastAsia" w:eastAsia="宋体"/>
          <w:sz w:val="24"/>
        </w:rPr>
        <w:t>月</w:t>
      </w:r>
      <w:r>
        <w:rPr>
          <w:rFonts w:hint="eastAsia" w:eastAsia="宋体"/>
          <w:sz w:val="24"/>
          <w:lang w:val="en-US" w:eastAsia="zh-CN"/>
        </w:rPr>
        <w:t>31</w:t>
      </w:r>
      <w:r>
        <w:rPr>
          <w:rFonts w:hint="eastAsia" w:eastAsia="宋体"/>
          <w:sz w:val="24"/>
        </w:rPr>
        <w:t>日</w:t>
      </w:r>
      <w:r>
        <w:rPr>
          <w:rFonts w:hint="eastAsia" w:eastAsia="宋体"/>
          <w:sz w:val="24"/>
          <w:lang w:val="en-US" w:eastAsia="zh-CN"/>
        </w:rPr>
        <w:t>前</w:t>
      </w:r>
      <w:r>
        <w:rPr>
          <w:rFonts w:hint="eastAsia" w:eastAsia="宋体"/>
          <w:sz w:val="24"/>
        </w:rPr>
        <w:t>完成本项目所有工作内容</w:t>
      </w:r>
      <w:r>
        <w:rPr>
          <w:rFonts w:hint="eastAsia"/>
          <w:sz w:val="24"/>
        </w:rPr>
        <w:t>。</w:t>
      </w:r>
    </w:p>
    <w:p>
      <w:pPr>
        <w:ind w:firstLine="480"/>
        <w:rPr>
          <w:sz w:val="24"/>
        </w:rPr>
      </w:pPr>
      <w:r>
        <w:rPr>
          <w:rFonts w:hint="eastAsia"/>
          <w:sz w:val="24"/>
        </w:rPr>
        <w:t>（五）服务内容及要求</w:t>
      </w:r>
    </w:p>
    <w:p>
      <w:pPr>
        <w:ind w:firstLine="480"/>
        <w:rPr>
          <w:sz w:val="24"/>
        </w:rPr>
      </w:pPr>
      <w:r>
        <w:rPr>
          <w:rFonts w:hint="eastAsia"/>
          <w:sz w:val="24"/>
        </w:rPr>
        <w:t>一、总体要求</w:t>
      </w:r>
    </w:p>
    <w:p>
      <w:pPr>
        <w:ind w:firstLine="480"/>
        <w:rPr>
          <w:sz w:val="24"/>
        </w:rPr>
      </w:pPr>
      <w:r>
        <w:rPr>
          <w:rFonts w:hint="eastAsia"/>
          <w:sz w:val="24"/>
        </w:rPr>
        <w:t>（一）工作范围。本辖区全部已登记集体所有土地。充分利用集体土地所有权确权登记成果，分类开展成果整理入库、更新、汇交等工作。登记信息补录要严格依据法定登记资料，不得随意修改已有登记成果。存在错误的，须通过法定程序才能更正。暂时无法解决的，保持原有数据现状，在备注中予以标注。</w:t>
      </w:r>
    </w:p>
    <w:p>
      <w:pPr>
        <w:ind w:firstLine="480"/>
        <w:rPr>
          <w:sz w:val="24"/>
        </w:rPr>
      </w:pPr>
      <w:r>
        <w:rPr>
          <w:rFonts w:hint="eastAsia"/>
          <w:sz w:val="24"/>
        </w:rPr>
        <w:t>（二）工作依据。</w:t>
      </w:r>
    </w:p>
    <w:p>
      <w:pPr>
        <w:ind w:firstLine="480"/>
        <w:rPr>
          <w:sz w:val="24"/>
        </w:rPr>
      </w:pPr>
      <w:r>
        <w:rPr>
          <w:rFonts w:hint="eastAsia"/>
          <w:sz w:val="24"/>
        </w:rPr>
        <w:t>1.法规和政策文件。《不动产登记暂行条例》（国务院令第656号）、《土地管理法实施条例》(国务院令第743号)，《土地权属争议调查处理办法》(国土资源部令第17号)、《</w:t>
      </w:r>
      <w:r>
        <w:rPr>
          <w:rFonts w:hint="eastAsia"/>
          <w:sz w:val="24"/>
          <w:lang w:eastAsia="zh-Hans"/>
        </w:rPr>
        <w:t>不动产登记暂行条例实施细则</w:t>
      </w:r>
      <w:r>
        <w:rPr>
          <w:rFonts w:hint="eastAsia"/>
          <w:sz w:val="24"/>
        </w:rPr>
        <w:t>》(国土资源部令第63号)、《国土资源部 财政部 农业部关于加快推进农村集体土地确权登记发证工作的通知》(国土资发〔2011〕60号)、《国土资源部 中央农村工作领导小组办公室 财政部 农业部关于农村集体土地确权登记发证的若干意见》（国土资发〔2011〕178号）等。</w:t>
      </w:r>
    </w:p>
    <w:p>
      <w:pPr>
        <w:ind w:firstLine="480"/>
        <w:rPr>
          <w:sz w:val="24"/>
        </w:rPr>
      </w:pPr>
      <w:r>
        <w:rPr>
          <w:rFonts w:hint="eastAsia"/>
          <w:sz w:val="24"/>
        </w:rPr>
        <w:t>2.技术标准规范。《不动产登记数据库标准》（TD/T 1066—2021）、《不动产登记数据整合建库技术规范》（TD/T 1067—2021）、《不动产登记存量数据成果汇交规范（2021年修订版）》《不动产登记信息管理基础平台接入技术规范（2021年修订版）》《地籍调查规程》（TD/T 1001—2012）、《不动产单元设定与代码编制规则》（GB/T 37346—2019）等。</w:t>
      </w:r>
    </w:p>
    <w:p>
      <w:pPr>
        <w:ind w:firstLine="480"/>
        <w:rPr>
          <w:sz w:val="24"/>
        </w:rPr>
      </w:pPr>
      <w:r>
        <w:rPr>
          <w:rFonts w:hint="eastAsia"/>
          <w:sz w:val="24"/>
        </w:rPr>
        <w:t>（三）数学基础。</w:t>
      </w:r>
    </w:p>
    <w:p>
      <w:pPr>
        <w:ind w:firstLine="480"/>
        <w:rPr>
          <w:sz w:val="24"/>
        </w:rPr>
      </w:pPr>
      <w:r>
        <w:rPr>
          <w:rFonts w:hint="eastAsia"/>
          <w:sz w:val="24"/>
        </w:rPr>
        <w:t>1.坐标系统：统一采用2000国家大地坐标系。</w:t>
      </w:r>
    </w:p>
    <w:p>
      <w:pPr>
        <w:ind w:firstLine="480"/>
        <w:rPr>
          <w:sz w:val="24"/>
        </w:rPr>
      </w:pPr>
      <w:r>
        <w:rPr>
          <w:rFonts w:hint="eastAsia"/>
          <w:sz w:val="24"/>
        </w:rPr>
        <w:t>2.高程基准：统一采用1985国家高程基准。</w:t>
      </w:r>
    </w:p>
    <w:p>
      <w:pPr>
        <w:ind w:firstLine="480"/>
        <w:rPr>
          <w:sz w:val="24"/>
        </w:rPr>
      </w:pPr>
      <w:r>
        <w:rPr>
          <w:rFonts w:hint="eastAsia"/>
          <w:sz w:val="24"/>
        </w:rPr>
        <w:t>（四）工作流程。</w:t>
      </w:r>
    </w:p>
    <w:p>
      <w:pPr>
        <w:ind w:firstLine="480"/>
        <w:rPr>
          <w:sz w:val="24"/>
        </w:rPr>
      </w:pPr>
      <w:r>
        <w:rPr>
          <w:rFonts w:hint="eastAsia"/>
          <w:sz w:val="24"/>
        </w:rPr>
        <w:t>1.市、县自然资源主管部门收集集体土地所有权确权登记等成果资料，以及集体土地征收批准文件等材料，进行数据整理与分析，建立工作台账，形成任务清单。</w:t>
      </w:r>
    </w:p>
    <w:p>
      <w:pPr>
        <w:ind w:firstLine="480"/>
        <w:rPr>
          <w:sz w:val="24"/>
        </w:rPr>
      </w:pPr>
      <w:r>
        <w:rPr>
          <w:rFonts w:hint="eastAsia"/>
          <w:sz w:val="24"/>
        </w:rPr>
        <w:t>2.市、县自然资源主管部门根据已有成果资料，结合本地区实际工作基础，分类开展工作。</w:t>
      </w:r>
    </w:p>
    <w:p>
      <w:pPr>
        <w:ind w:firstLine="480"/>
        <w:rPr>
          <w:sz w:val="24"/>
        </w:rPr>
      </w:pPr>
      <w:r>
        <w:rPr>
          <w:rFonts w:hint="eastAsia"/>
          <w:sz w:val="24"/>
        </w:rPr>
        <w:t>（1）对已建成集体土地所有权确权登记数据库的，应根据《不动产登记数据库标准》，经数据转换、补充采集信息、数据整合关联后，纳入不动产登记数据库。</w:t>
      </w:r>
    </w:p>
    <w:p>
      <w:pPr>
        <w:ind w:firstLine="480"/>
        <w:rPr>
          <w:sz w:val="24"/>
        </w:rPr>
      </w:pPr>
      <w:r>
        <w:rPr>
          <w:rFonts w:hint="eastAsia"/>
          <w:sz w:val="24"/>
        </w:rPr>
        <w:t>（2）对于未建库只有纸质资料的，完成确权登记成果数字化后纳入不动产登记数据库。</w:t>
      </w:r>
    </w:p>
    <w:p>
      <w:pPr>
        <w:ind w:firstLine="480"/>
        <w:rPr>
          <w:sz w:val="24"/>
        </w:rPr>
      </w:pPr>
      <w:r>
        <w:rPr>
          <w:rFonts w:hint="eastAsia"/>
          <w:sz w:val="24"/>
        </w:rPr>
        <w:t>3.对已登记的集体土地所有权成果有变化的，通过不动产登记系统办理登记，成果纳入不动产登记数据库。</w:t>
      </w:r>
    </w:p>
    <w:p>
      <w:pPr>
        <w:ind w:firstLine="480"/>
        <w:rPr>
          <w:sz w:val="24"/>
        </w:rPr>
      </w:pPr>
      <w:r>
        <w:rPr>
          <w:rFonts w:hint="eastAsia"/>
          <w:sz w:val="24"/>
        </w:rPr>
        <w:t>4.市、县自然资源主管部门按照汇交要求，整理汇交数据，经质量检查后，以县为单位，离线汇交。</w:t>
      </w:r>
    </w:p>
    <w:p>
      <w:pPr>
        <w:pStyle w:val="4"/>
      </w:pPr>
      <w:r>
        <w:rPr>
          <w:rFonts w:hint="eastAsia"/>
        </w:rPr>
        <w:drawing>
          <wp:inline distT="0" distB="0" distL="114300" distR="114300">
            <wp:extent cx="4672330" cy="6646545"/>
            <wp:effectExtent l="0" t="0" r="13970" b="1905"/>
            <wp:docPr id="1" name="图片 3" descr="工作流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工作流程-1"/>
                    <pic:cNvPicPr>
                      <a:picLocks noChangeAspect="1"/>
                    </pic:cNvPicPr>
                  </pic:nvPicPr>
                  <pic:blipFill>
                    <a:blip r:embed="rId14"/>
                    <a:stretch>
                      <a:fillRect/>
                    </a:stretch>
                  </pic:blipFill>
                  <pic:spPr>
                    <a:xfrm>
                      <a:off x="0" y="0"/>
                      <a:ext cx="4672330" cy="6646545"/>
                    </a:xfrm>
                    <a:prstGeom prst="rect">
                      <a:avLst/>
                    </a:prstGeom>
                    <a:noFill/>
                    <a:ln>
                      <a:noFill/>
                    </a:ln>
                  </pic:spPr>
                </pic:pic>
              </a:graphicData>
            </a:graphic>
          </wp:inline>
        </w:drawing>
      </w:r>
    </w:p>
    <w:p>
      <w:pPr>
        <w:ind w:firstLine="480"/>
        <w:rPr>
          <w:sz w:val="24"/>
        </w:rPr>
      </w:pPr>
      <w:r>
        <w:rPr>
          <w:rFonts w:hint="eastAsia"/>
          <w:sz w:val="24"/>
        </w:rPr>
        <w:t>图1 集体土地所有权确权登记成果更新汇交工作流程</w:t>
      </w:r>
    </w:p>
    <w:p>
      <w:pPr>
        <w:ind w:firstLine="480"/>
        <w:rPr>
          <w:sz w:val="24"/>
        </w:rPr>
      </w:pPr>
      <w:r>
        <w:rPr>
          <w:rFonts w:hint="eastAsia"/>
          <w:sz w:val="24"/>
        </w:rPr>
        <w:t>二、准备工作</w:t>
      </w:r>
    </w:p>
    <w:p>
      <w:pPr>
        <w:ind w:firstLine="480"/>
        <w:rPr>
          <w:sz w:val="24"/>
        </w:rPr>
      </w:pPr>
      <w:r>
        <w:rPr>
          <w:rFonts w:hint="eastAsia"/>
          <w:sz w:val="24"/>
        </w:rPr>
        <w:t>（一）资料收集。全面收集电子数据和纸质资料，内容包括但不限于：</w:t>
      </w:r>
    </w:p>
    <w:p>
      <w:pPr>
        <w:ind w:firstLine="480"/>
        <w:rPr>
          <w:sz w:val="24"/>
        </w:rPr>
      </w:pPr>
      <w:r>
        <w:rPr>
          <w:rFonts w:hint="eastAsia"/>
          <w:sz w:val="24"/>
        </w:rPr>
        <w:t>1.集体土地所有权确权登记成果。</w:t>
      </w:r>
    </w:p>
    <w:p>
      <w:pPr>
        <w:ind w:firstLine="480"/>
        <w:rPr>
          <w:sz w:val="24"/>
        </w:rPr>
      </w:pPr>
      <w:r>
        <w:rPr>
          <w:rFonts w:hint="eastAsia"/>
          <w:sz w:val="24"/>
        </w:rPr>
        <w:t>2.土地征收批准文件。</w:t>
      </w:r>
    </w:p>
    <w:p>
      <w:pPr>
        <w:ind w:firstLine="480"/>
        <w:rPr>
          <w:sz w:val="24"/>
        </w:rPr>
      </w:pPr>
      <w:r>
        <w:rPr>
          <w:rFonts w:hint="eastAsia"/>
          <w:sz w:val="24"/>
        </w:rPr>
        <w:t>3.互换土地的协议或土地调整文件、本集体经济组织成员的村民会议三分之二以上成员或者三分之二以上村民代表同意的材料、有关批准文件及不动产权属证书。</w:t>
      </w:r>
    </w:p>
    <w:p>
      <w:pPr>
        <w:ind w:firstLine="480"/>
        <w:rPr>
          <w:sz w:val="24"/>
        </w:rPr>
      </w:pPr>
      <w:r>
        <w:rPr>
          <w:rFonts w:hint="eastAsia"/>
          <w:sz w:val="24"/>
        </w:rPr>
        <w:t>4.农民集体合并或撤销、行政区划调整等导致集体土地所有权、农民集体名称或代码发生变化的相关材料。</w:t>
      </w:r>
    </w:p>
    <w:p>
      <w:pPr>
        <w:ind w:firstLine="480"/>
        <w:rPr>
          <w:sz w:val="24"/>
        </w:rPr>
      </w:pPr>
      <w:r>
        <w:rPr>
          <w:rFonts w:hint="eastAsia"/>
          <w:sz w:val="24"/>
        </w:rPr>
        <w:t>5.土地权属争议调解书。</w:t>
      </w:r>
    </w:p>
    <w:p>
      <w:pPr>
        <w:ind w:firstLine="480"/>
        <w:rPr>
          <w:sz w:val="24"/>
        </w:rPr>
      </w:pPr>
      <w:r>
        <w:rPr>
          <w:rFonts w:hint="eastAsia"/>
          <w:sz w:val="24"/>
        </w:rPr>
        <w:t>6.最新行政区划数据、高分辨率正射遥感影像图等。</w:t>
      </w:r>
    </w:p>
    <w:p>
      <w:pPr>
        <w:ind w:firstLine="480"/>
        <w:rPr>
          <w:sz w:val="24"/>
        </w:rPr>
      </w:pPr>
      <w:r>
        <w:rPr>
          <w:rFonts w:hint="eastAsia"/>
          <w:sz w:val="24"/>
        </w:rPr>
        <w:t>（二）数据整理</w:t>
      </w:r>
      <w:r>
        <w:rPr>
          <w:rFonts w:hint="eastAsia"/>
          <w:sz w:val="24"/>
          <w:lang w:eastAsia="zh-Hans"/>
        </w:rPr>
        <w:t>与分析</w:t>
      </w:r>
      <w:r>
        <w:rPr>
          <w:rFonts w:hint="eastAsia"/>
          <w:sz w:val="24"/>
        </w:rPr>
        <w:t>。</w:t>
      </w:r>
    </w:p>
    <w:p>
      <w:pPr>
        <w:ind w:firstLine="480"/>
        <w:rPr>
          <w:sz w:val="24"/>
        </w:rPr>
      </w:pPr>
      <w:r>
        <w:rPr>
          <w:rFonts w:hint="eastAsia"/>
          <w:sz w:val="24"/>
        </w:rPr>
        <w:t>1.整理已有电子数据、纸质资料。</w:t>
      </w:r>
    </w:p>
    <w:p>
      <w:pPr>
        <w:ind w:firstLine="480"/>
        <w:rPr>
          <w:sz w:val="24"/>
        </w:rPr>
      </w:pPr>
      <w:r>
        <w:rPr>
          <w:rFonts w:hint="eastAsia"/>
          <w:sz w:val="24"/>
        </w:rPr>
        <w:t>2.根据已有集体土地所有权确权登记成果，核实登记数据的现势状态并分类标注，建立集体土地所有权台账。</w:t>
      </w:r>
    </w:p>
    <w:p>
      <w:pPr>
        <w:ind w:firstLine="480"/>
        <w:rPr>
          <w:sz w:val="24"/>
        </w:rPr>
      </w:pPr>
      <w:r>
        <w:rPr>
          <w:rFonts w:hint="eastAsia"/>
          <w:sz w:val="24"/>
        </w:rPr>
        <w:t>3.对</w:t>
      </w:r>
      <w:r>
        <w:rPr>
          <w:rFonts w:hint="eastAsia"/>
          <w:sz w:val="24"/>
          <w:lang w:eastAsia="zh-Hans"/>
        </w:rPr>
        <w:t>已登记</w:t>
      </w:r>
      <w:r>
        <w:rPr>
          <w:rFonts w:hint="eastAsia"/>
          <w:sz w:val="24"/>
        </w:rPr>
        <w:t>集体土地所有权成果，核实内容是否完整、空间数据是否缺失、图属是否一致等，形成清单。</w:t>
      </w:r>
    </w:p>
    <w:p>
      <w:pPr>
        <w:ind w:firstLine="480"/>
        <w:rPr>
          <w:sz w:val="24"/>
        </w:rPr>
      </w:pPr>
      <w:r>
        <w:rPr>
          <w:rFonts w:hint="eastAsia"/>
          <w:sz w:val="24"/>
        </w:rPr>
        <w:t>（三</w:t>
      </w:r>
      <w:r>
        <w:rPr>
          <w:rFonts w:hint="eastAsia"/>
          <w:sz w:val="24"/>
          <w:lang w:eastAsia="zh-Hans"/>
        </w:rPr>
        <w:t>）</w:t>
      </w:r>
      <w:r>
        <w:rPr>
          <w:rFonts w:hint="eastAsia"/>
          <w:sz w:val="24"/>
        </w:rPr>
        <w:t>制定实施方案。根据数据整理和分析情况，确定开展成果更新汇交的工作内容</w:t>
      </w:r>
      <w:r>
        <w:rPr>
          <w:rFonts w:hint="eastAsia"/>
          <w:sz w:val="24"/>
          <w:lang w:eastAsia="zh-Hans"/>
        </w:rPr>
        <w:t>和</w:t>
      </w:r>
      <w:r>
        <w:rPr>
          <w:rFonts w:hint="eastAsia"/>
          <w:sz w:val="24"/>
        </w:rPr>
        <w:t>技术</w:t>
      </w:r>
      <w:r>
        <w:rPr>
          <w:rFonts w:hint="eastAsia"/>
          <w:sz w:val="24"/>
          <w:lang w:eastAsia="zh-Hans"/>
        </w:rPr>
        <w:t>路线</w:t>
      </w:r>
      <w:r>
        <w:rPr>
          <w:rFonts w:hint="eastAsia"/>
          <w:sz w:val="24"/>
        </w:rPr>
        <w:t>，制订工作计划，明确需要重点解决的问题等，形成实施方案。</w:t>
      </w:r>
    </w:p>
    <w:p>
      <w:pPr>
        <w:ind w:firstLine="480"/>
        <w:rPr>
          <w:sz w:val="24"/>
        </w:rPr>
      </w:pPr>
      <w:r>
        <w:rPr>
          <w:rFonts w:hint="eastAsia"/>
          <w:sz w:val="24"/>
        </w:rPr>
        <w:t>三、已有登记成果整合入库</w:t>
      </w:r>
    </w:p>
    <w:p>
      <w:pPr>
        <w:ind w:firstLine="480"/>
        <w:rPr>
          <w:sz w:val="24"/>
        </w:rPr>
      </w:pPr>
      <w:r>
        <w:rPr>
          <w:rFonts w:hint="eastAsia"/>
          <w:sz w:val="24"/>
        </w:rPr>
        <w:t>对已建成集体土地所有权确权登记数据库的，根据《不动产登记数据库标准》，经数据转换、补充采集信息、数据整合关联后，纳入不动产登记数据库。对于未建库只有纸质资料的，完成登记成果数字化后纳入不动产登记数据库。</w:t>
      </w:r>
    </w:p>
    <w:p>
      <w:pPr>
        <w:ind w:firstLine="480"/>
        <w:rPr>
          <w:sz w:val="24"/>
        </w:rPr>
      </w:pPr>
      <w:r>
        <w:rPr>
          <w:rFonts w:hint="eastAsia"/>
          <w:sz w:val="24"/>
        </w:rPr>
        <w:t>（一）登记簿册数据整理。根据《不动产登记数据库标准》对已有登记成果进行规范化处理，解决以下问题：</w:t>
      </w:r>
    </w:p>
    <w:p>
      <w:pPr>
        <w:ind w:firstLine="480"/>
        <w:rPr>
          <w:sz w:val="24"/>
        </w:rPr>
      </w:pPr>
      <w:r>
        <w:rPr>
          <w:rFonts w:hint="eastAsia"/>
          <w:sz w:val="24"/>
        </w:rPr>
        <w:t>1.数据内容与数据库标准内容不一致问题。</w:t>
      </w:r>
    </w:p>
    <w:p>
      <w:pPr>
        <w:ind w:firstLine="480"/>
        <w:rPr>
          <w:sz w:val="24"/>
        </w:rPr>
      </w:pPr>
      <w:r>
        <w:rPr>
          <w:rFonts w:hint="eastAsia"/>
          <w:sz w:val="24"/>
        </w:rPr>
        <w:t>2.登记信息语义不一致问题。</w:t>
      </w:r>
    </w:p>
    <w:p>
      <w:pPr>
        <w:ind w:firstLine="480"/>
        <w:rPr>
          <w:sz w:val="24"/>
        </w:rPr>
      </w:pPr>
      <w:r>
        <w:rPr>
          <w:rFonts w:hint="eastAsia"/>
          <w:sz w:val="24"/>
        </w:rPr>
        <w:t>3.数据类型、小数点位数和数量单位的标准化处理。</w:t>
      </w:r>
    </w:p>
    <w:p>
      <w:pPr>
        <w:ind w:firstLine="480"/>
        <w:rPr>
          <w:sz w:val="24"/>
        </w:rPr>
      </w:pPr>
      <w:r>
        <w:rPr>
          <w:rFonts w:hint="eastAsia"/>
          <w:sz w:val="24"/>
        </w:rPr>
        <w:t>4.对包含多项内容的字段拆分处理。</w:t>
      </w:r>
    </w:p>
    <w:p>
      <w:pPr>
        <w:ind w:firstLine="480"/>
        <w:rPr>
          <w:sz w:val="24"/>
        </w:rPr>
      </w:pPr>
      <w:r>
        <w:rPr>
          <w:rFonts w:hint="eastAsia"/>
          <w:sz w:val="24"/>
        </w:rPr>
        <w:t>5.登记数据项逻辑不一致问题，如数据项内容与标准字典表对应不一致，不动产单元代码重复等。</w:t>
      </w:r>
    </w:p>
    <w:p>
      <w:pPr>
        <w:ind w:firstLine="480"/>
        <w:rPr>
          <w:sz w:val="24"/>
        </w:rPr>
      </w:pPr>
      <w:r>
        <w:rPr>
          <w:rFonts w:hint="eastAsia"/>
          <w:sz w:val="24"/>
        </w:rPr>
        <w:t>6.关键数据项内容缺失，如缺失权利类型、证件号等。</w:t>
      </w:r>
    </w:p>
    <w:p>
      <w:pPr>
        <w:ind w:firstLine="480"/>
        <w:rPr>
          <w:sz w:val="24"/>
        </w:rPr>
      </w:pPr>
      <w:r>
        <w:rPr>
          <w:rFonts w:hint="eastAsia"/>
          <w:sz w:val="24"/>
        </w:rPr>
        <w:t>（二）数据清理。删除错误、冗余数据。理清登记数据的现势或历史状态。</w:t>
      </w:r>
    </w:p>
    <w:p>
      <w:pPr>
        <w:ind w:firstLine="480"/>
        <w:rPr>
          <w:sz w:val="24"/>
        </w:rPr>
      </w:pPr>
      <w:r>
        <w:rPr>
          <w:rFonts w:hint="eastAsia"/>
          <w:sz w:val="24"/>
        </w:rPr>
        <w:t>（三）</w:t>
      </w:r>
      <w:r>
        <w:rPr>
          <w:rFonts w:hint="eastAsia"/>
          <w:sz w:val="24"/>
          <w:lang w:eastAsia="zh-Hans"/>
        </w:rPr>
        <w:t>空间数据处理</w:t>
      </w:r>
      <w:r>
        <w:rPr>
          <w:rFonts w:hint="eastAsia"/>
          <w:sz w:val="24"/>
        </w:rPr>
        <w:t>。</w:t>
      </w:r>
    </w:p>
    <w:p>
      <w:pPr>
        <w:ind w:firstLine="480"/>
        <w:rPr>
          <w:sz w:val="24"/>
        </w:rPr>
      </w:pPr>
      <w:r>
        <w:rPr>
          <w:rFonts w:hint="eastAsia"/>
          <w:sz w:val="24"/>
        </w:rPr>
        <w:t>1.对于只有纸质图件的，可在扫描数字化基础上，利用已知控制点或高分辨率正射影像上同名地物点，纠正后进行</w:t>
      </w:r>
      <w:r>
        <w:rPr>
          <w:rFonts w:hint="eastAsia"/>
          <w:sz w:val="24"/>
          <w:lang w:eastAsia="zh-Hans"/>
        </w:rPr>
        <w:t>数</w:t>
      </w:r>
      <w:r>
        <w:rPr>
          <w:rFonts w:hint="eastAsia"/>
          <w:sz w:val="24"/>
        </w:rPr>
        <w:t>字化采集。</w:t>
      </w:r>
    </w:p>
    <w:p>
      <w:pPr>
        <w:ind w:firstLine="480"/>
        <w:rPr>
          <w:sz w:val="24"/>
          <w:lang w:eastAsia="zh-Hans"/>
        </w:rPr>
      </w:pPr>
      <w:r>
        <w:rPr>
          <w:rFonts w:hint="eastAsia"/>
          <w:sz w:val="24"/>
        </w:rPr>
        <w:t>2.完成矢量数据坐标转换（地方坐标系统一转换为2000国家大地坐标系）、格式统一、拓扑检查和处理。</w:t>
      </w:r>
    </w:p>
    <w:p>
      <w:pPr>
        <w:ind w:firstLine="480"/>
        <w:rPr>
          <w:sz w:val="24"/>
        </w:rPr>
      </w:pPr>
      <w:r>
        <w:rPr>
          <w:rFonts w:hint="eastAsia"/>
          <w:sz w:val="24"/>
        </w:rPr>
        <w:t>（四）非空间数据处理。</w:t>
      </w:r>
    </w:p>
    <w:p>
      <w:pPr>
        <w:ind w:firstLine="480"/>
        <w:rPr>
          <w:sz w:val="24"/>
        </w:rPr>
      </w:pPr>
      <w:r>
        <w:rPr>
          <w:rFonts w:hint="eastAsia"/>
          <w:sz w:val="24"/>
        </w:rPr>
        <w:t>1.对于集体土地所有权确权登记成果未数字化的，应从纸质资料中获取相关信息，逐宗进行信息录入，经整合关联后纳入不动产登记数据库。</w:t>
      </w:r>
    </w:p>
    <w:p>
      <w:pPr>
        <w:ind w:firstLine="480"/>
        <w:rPr>
          <w:sz w:val="24"/>
        </w:rPr>
      </w:pPr>
      <w:r>
        <w:rPr>
          <w:rFonts w:hint="eastAsia"/>
          <w:sz w:val="24"/>
        </w:rPr>
        <w:t>2.按照数据库标准等要求，对已有数字化成果进行抽取转换。保证转换前后数据量一致，内容一致，关联关系一致，权属状态一致。</w:t>
      </w:r>
    </w:p>
    <w:p>
      <w:pPr>
        <w:ind w:firstLine="480"/>
        <w:rPr>
          <w:sz w:val="24"/>
        </w:rPr>
      </w:pPr>
      <w:r>
        <w:rPr>
          <w:rFonts w:hint="eastAsia"/>
          <w:sz w:val="24"/>
        </w:rPr>
        <w:t>（1）属性数据分析。数据结构分析主要理清原集体土地所有权相关登记业务，每种业务所产生数据的逻辑关系，由哪些表组成，每个表存储的是哪些数据等，并整理字典表。</w:t>
      </w:r>
    </w:p>
    <w:p>
      <w:pPr>
        <w:ind w:firstLine="480"/>
        <w:rPr>
          <w:sz w:val="24"/>
        </w:rPr>
      </w:pPr>
      <w:r>
        <w:rPr>
          <w:rFonts w:hint="eastAsia"/>
          <w:sz w:val="24"/>
        </w:rPr>
        <w:t>（2）关联关系分析。</w:t>
      </w:r>
      <w:r>
        <w:rPr>
          <w:rFonts w:hint="eastAsia"/>
          <w:sz w:val="24"/>
          <w:lang w:eastAsia="zh-Hans"/>
        </w:rPr>
        <w:t>理清</w:t>
      </w:r>
      <w:r>
        <w:rPr>
          <w:rFonts w:hint="eastAsia"/>
          <w:sz w:val="24"/>
        </w:rPr>
        <w:t>空间与非空间数据、宗地和权利、权利和登记业务</w:t>
      </w:r>
      <w:r>
        <w:rPr>
          <w:rFonts w:hint="eastAsia"/>
          <w:sz w:val="24"/>
          <w:lang w:eastAsia="zh-Hans"/>
        </w:rPr>
        <w:t>等关联关系</w:t>
      </w:r>
      <w:r>
        <w:rPr>
          <w:rFonts w:hint="eastAsia"/>
          <w:sz w:val="24"/>
        </w:rPr>
        <w:t>。</w:t>
      </w:r>
    </w:p>
    <w:p>
      <w:pPr>
        <w:ind w:firstLine="480"/>
        <w:rPr>
          <w:sz w:val="24"/>
        </w:rPr>
      </w:pPr>
      <w:r>
        <w:rPr>
          <w:rFonts w:hint="eastAsia"/>
          <w:sz w:val="24"/>
        </w:rPr>
        <w:t>（3）编制转换方案。包括转换前后字典对应关系、数据转换语句、数据存在问题、数据质量检查等主要内容。</w:t>
      </w:r>
    </w:p>
    <w:p>
      <w:pPr>
        <w:ind w:firstLine="480"/>
        <w:rPr>
          <w:sz w:val="24"/>
        </w:rPr>
      </w:pPr>
      <w:r>
        <w:rPr>
          <w:rFonts w:hint="eastAsia"/>
          <w:sz w:val="24"/>
        </w:rPr>
        <w:t>（4）数据转换。按照数据转换方案，对数据进行整体转换。</w:t>
      </w:r>
    </w:p>
    <w:p>
      <w:pPr>
        <w:ind w:firstLine="480"/>
        <w:rPr>
          <w:sz w:val="24"/>
        </w:rPr>
      </w:pPr>
      <w:r>
        <w:rPr>
          <w:rFonts w:hint="eastAsia"/>
          <w:sz w:val="24"/>
        </w:rPr>
        <w:t>（5）数据质量检查。按照数据质量检查规则，对整体转换后的数据进行质量检查。检查不合格的，针对检查问题完善后重新进行数据转换。</w:t>
      </w:r>
    </w:p>
    <w:p>
      <w:pPr>
        <w:ind w:firstLine="480"/>
        <w:rPr>
          <w:sz w:val="24"/>
        </w:rPr>
      </w:pPr>
      <w:r>
        <w:rPr>
          <w:rFonts w:hint="eastAsia"/>
          <w:sz w:val="24"/>
        </w:rPr>
        <w:t>（五）</w:t>
      </w:r>
      <w:r>
        <w:rPr>
          <w:rFonts w:hint="eastAsia"/>
          <w:sz w:val="24"/>
          <w:lang w:eastAsia="zh-Hans"/>
        </w:rPr>
        <w:t>缺失数据采集。</w:t>
      </w:r>
      <w:r>
        <w:rPr>
          <w:rFonts w:hint="eastAsia"/>
          <w:sz w:val="24"/>
        </w:rPr>
        <w:t>对登记信息中缺失信息的补录，应通过查找登记资料进行补录。登记簿信息缺失确实无法补录的，用“/”代替。</w:t>
      </w:r>
    </w:p>
    <w:p>
      <w:pPr>
        <w:ind w:firstLine="480"/>
        <w:rPr>
          <w:sz w:val="24"/>
          <w:lang w:eastAsia="zh-Hans"/>
        </w:rPr>
      </w:pPr>
      <w:r>
        <w:rPr>
          <w:rFonts w:hint="eastAsia"/>
          <w:sz w:val="24"/>
        </w:rPr>
        <w:t>（六）数据</w:t>
      </w:r>
      <w:r>
        <w:rPr>
          <w:rFonts w:hint="eastAsia"/>
          <w:sz w:val="24"/>
          <w:lang w:eastAsia="zh-Hans"/>
        </w:rPr>
        <w:t>整合关联。</w:t>
      </w:r>
    </w:p>
    <w:p>
      <w:pPr>
        <w:ind w:firstLine="480"/>
        <w:rPr>
          <w:sz w:val="24"/>
        </w:rPr>
      </w:pPr>
      <w:r>
        <w:rPr>
          <w:rFonts w:hint="eastAsia"/>
          <w:sz w:val="24"/>
        </w:rPr>
        <w:t>1.不动产单元代码编制。统一按照《不动产单元设定与代码编制规则》编制不动产单元代码。</w:t>
      </w:r>
    </w:p>
    <w:p>
      <w:pPr>
        <w:ind w:firstLine="480"/>
        <w:rPr>
          <w:sz w:val="24"/>
        </w:rPr>
      </w:pPr>
      <w:r>
        <w:rPr>
          <w:rFonts w:hint="eastAsia"/>
          <w:sz w:val="24"/>
        </w:rPr>
        <w:t>2.</w:t>
      </w:r>
      <w:r>
        <w:rPr>
          <w:rFonts w:hint="eastAsia"/>
          <w:sz w:val="24"/>
          <w:lang w:eastAsia="zh-Hans"/>
        </w:rPr>
        <w:t>其他字段补录</w:t>
      </w:r>
      <w:r>
        <w:rPr>
          <w:rFonts w:hint="eastAsia"/>
          <w:sz w:val="24"/>
        </w:rPr>
        <w:t>。补录要素代码、不动产类型、宗地特征码、不动产单元状态等信息。</w:t>
      </w:r>
    </w:p>
    <w:p>
      <w:pPr>
        <w:ind w:firstLine="480"/>
        <w:rPr>
          <w:sz w:val="24"/>
        </w:rPr>
      </w:pPr>
      <w:r>
        <w:rPr>
          <w:rFonts w:hint="eastAsia"/>
          <w:sz w:val="24"/>
        </w:rPr>
        <w:t>3.</w:t>
      </w:r>
      <w:r>
        <w:rPr>
          <w:rFonts w:hint="eastAsia"/>
          <w:sz w:val="24"/>
          <w:lang w:eastAsia="zh-Hans"/>
        </w:rPr>
        <w:t>关联关系重建。</w:t>
      </w:r>
      <w:r>
        <w:rPr>
          <w:rFonts w:hint="eastAsia"/>
          <w:sz w:val="24"/>
        </w:rPr>
        <w:t>用不动产单元代码建立空间信息和非空间信息、不动产和权利、不动产权利和登记过程关联关系。</w:t>
      </w:r>
    </w:p>
    <w:p>
      <w:pPr>
        <w:ind w:firstLine="480"/>
        <w:rPr>
          <w:sz w:val="24"/>
        </w:rPr>
      </w:pPr>
      <w:r>
        <w:rPr>
          <w:rFonts w:hint="eastAsia"/>
          <w:sz w:val="24"/>
        </w:rPr>
        <w:t>4.</w:t>
      </w:r>
      <w:r>
        <w:rPr>
          <w:rFonts w:hint="eastAsia"/>
          <w:sz w:val="24"/>
          <w:lang w:eastAsia="zh-Hans"/>
        </w:rPr>
        <w:t>数据一致性核</w:t>
      </w:r>
      <w:r>
        <w:rPr>
          <w:rFonts w:hint="eastAsia"/>
          <w:sz w:val="24"/>
        </w:rPr>
        <w:t>对</w:t>
      </w:r>
      <w:r>
        <w:rPr>
          <w:rFonts w:hint="eastAsia"/>
          <w:sz w:val="24"/>
          <w:lang w:eastAsia="zh-Hans"/>
        </w:rPr>
        <w:t>。</w:t>
      </w:r>
      <w:r>
        <w:rPr>
          <w:rFonts w:hint="eastAsia"/>
          <w:sz w:val="24"/>
        </w:rPr>
        <w:t>充分核对已有登记数据、纸质资料，修正错误、查缺补漏。</w:t>
      </w:r>
    </w:p>
    <w:p>
      <w:pPr>
        <w:ind w:firstLine="480"/>
        <w:rPr>
          <w:sz w:val="24"/>
        </w:rPr>
      </w:pPr>
      <w:r>
        <w:rPr>
          <w:rFonts w:hint="eastAsia"/>
          <w:sz w:val="24"/>
        </w:rPr>
        <w:t>5.</w:t>
      </w:r>
      <w:r>
        <w:rPr>
          <w:rFonts w:hint="eastAsia"/>
          <w:sz w:val="24"/>
          <w:lang w:eastAsia="zh-Hans"/>
        </w:rPr>
        <w:t>逻辑关系整理。</w:t>
      </w:r>
      <w:r>
        <w:rPr>
          <w:rFonts w:hint="eastAsia"/>
          <w:sz w:val="24"/>
        </w:rPr>
        <w:t>通过业务号和不动产单元代码等关键字建立不动产登记的上下手逻辑关系。</w:t>
      </w:r>
    </w:p>
    <w:p>
      <w:pPr>
        <w:ind w:firstLine="480"/>
        <w:rPr>
          <w:sz w:val="24"/>
        </w:rPr>
      </w:pPr>
      <w:r>
        <w:rPr>
          <w:rFonts w:hint="eastAsia"/>
          <w:sz w:val="24"/>
        </w:rPr>
        <w:t>（七）登记档案</w:t>
      </w:r>
      <w:r>
        <w:rPr>
          <w:rFonts w:hint="eastAsia"/>
          <w:sz w:val="24"/>
          <w:lang w:eastAsia="zh-Hans"/>
        </w:rPr>
        <w:t>资料</w:t>
      </w:r>
      <w:r>
        <w:rPr>
          <w:rFonts w:hint="eastAsia"/>
          <w:sz w:val="24"/>
        </w:rPr>
        <w:t>整理</w:t>
      </w:r>
      <w:r>
        <w:rPr>
          <w:rFonts w:hint="eastAsia"/>
          <w:sz w:val="24"/>
          <w:lang w:eastAsia="zh-Hans"/>
        </w:rPr>
        <w:t>。</w:t>
      </w:r>
      <w:r>
        <w:rPr>
          <w:rFonts w:hint="eastAsia"/>
          <w:sz w:val="24"/>
        </w:rPr>
        <w:t>档案材料分为电子档案和纸质档案。将纸质档案进行扫描电子化，并按照一定方式整编，形成电子档案，通过不动产单元代码、原地籍号、档案号等将登记簿和登记档案进行关联，便于追溯。</w:t>
      </w:r>
    </w:p>
    <w:p>
      <w:pPr>
        <w:ind w:firstLine="480"/>
        <w:rPr>
          <w:sz w:val="24"/>
        </w:rPr>
      </w:pPr>
      <w:r>
        <w:rPr>
          <w:rFonts w:hint="eastAsia"/>
          <w:sz w:val="24"/>
        </w:rPr>
        <w:t>四、更新集体土地所有权确权登记成果</w:t>
      </w:r>
    </w:p>
    <w:p>
      <w:pPr>
        <w:ind w:firstLine="480"/>
        <w:rPr>
          <w:sz w:val="24"/>
        </w:rPr>
      </w:pPr>
      <w:r>
        <w:rPr>
          <w:rFonts w:hint="eastAsia"/>
          <w:sz w:val="24"/>
        </w:rPr>
        <w:t>（一）核实已登记成果权属状况。</w:t>
      </w:r>
      <w:r>
        <w:rPr>
          <w:rFonts w:hint="eastAsia"/>
          <w:sz w:val="24"/>
          <w:lang w:eastAsia="zh-Hans"/>
        </w:rPr>
        <w:t>核实</w:t>
      </w:r>
      <w:r>
        <w:rPr>
          <w:rFonts w:hint="eastAsia"/>
          <w:sz w:val="24"/>
        </w:rPr>
        <w:t>已登记的集体土地所有权土地</w:t>
      </w:r>
      <w:r>
        <w:rPr>
          <w:rFonts w:hint="eastAsia"/>
          <w:sz w:val="24"/>
          <w:lang w:eastAsia="zh-Hans"/>
        </w:rPr>
        <w:t>权属状况，对集体土地所有权有关情况发生变化的，通过不动产登记系统</w:t>
      </w:r>
      <w:r>
        <w:rPr>
          <w:rFonts w:hint="eastAsia"/>
          <w:sz w:val="24"/>
        </w:rPr>
        <w:t>办理</w:t>
      </w:r>
      <w:r>
        <w:rPr>
          <w:rFonts w:hint="eastAsia"/>
          <w:sz w:val="24"/>
          <w:lang w:eastAsia="zh-Hans"/>
        </w:rPr>
        <w:t>登记</w:t>
      </w:r>
      <w:r>
        <w:rPr>
          <w:rFonts w:hint="eastAsia"/>
          <w:sz w:val="24"/>
        </w:rPr>
        <w:t>、更新</w:t>
      </w:r>
      <w:r>
        <w:rPr>
          <w:rFonts w:hint="eastAsia"/>
          <w:sz w:val="24"/>
          <w:lang w:eastAsia="zh-Hans"/>
        </w:rPr>
        <w:t>成果。</w:t>
      </w:r>
    </w:p>
    <w:p>
      <w:pPr>
        <w:ind w:firstLine="480"/>
        <w:rPr>
          <w:sz w:val="24"/>
        </w:rPr>
      </w:pPr>
      <w:r>
        <w:rPr>
          <w:rFonts w:hint="eastAsia"/>
          <w:sz w:val="24"/>
        </w:rPr>
        <w:t>（二）需更新的集体土地所有权权属界线确定。</w:t>
      </w:r>
    </w:p>
    <w:p>
      <w:pPr>
        <w:ind w:firstLine="480"/>
        <w:rPr>
          <w:sz w:val="24"/>
        </w:rPr>
      </w:pPr>
      <w:r>
        <w:rPr>
          <w:rFonts w:hint="eastAsia"/>
          <w:sz w:val="24"/>
        </w:rPr>
        <w:t>1.已登记集体土地所有权界址发生变化，但导致变化的法定文件（如土地征收批准文件）中已有明确界址坐标的，不再开展权属指界和不动产测绘。</w:t>
      </w:r>
    </w:p>
    <w:p>
      <w:pPr>
        <w:ind w:firstLine="480"/>
        <w:rPr>
          <w:sz w:val="24"/>
        </w:rPr>
      </w:pPr>
      <w:r>
        <w:rPr>
          <w:rFonts w:hint="eastAsia"/>
          <w:sz w:val="24"/>
        </w:rPr>
        <w:t>2.已登记集体土地所有权界址发生变化的，依据</w:t>
      </w:r>
      <w:r>
        <w:rPr>
          <w:rFonts w:hint="eastAsia"/>
          <w:sz w:val="24"/>
          <w:lang w:eastAsia="zh-Hans"/>
        </w:rPr>
        <w:t>权属变化材料</w:t>
      </w:r>
      <w:r>
        <w:rPr>
          <w:rFonts w:hint="eastAsia"/>
          <w:sz w:val="24"/>
        </w:rPr>
        <w:t>，编制不动产单元代码，按规定履行权属调查程序。条件具备的，</w:t>
      </w:r>
      <w:r>
        <w:rPr>
          <w:rFonts w:hint="eastAsia"/>
          <w:sz w:val="24"/>
          <w:lang w:eastAsia="zh-Hans"/>
        </w:rPr>
        <w:t>实地指认权属界线，采用解析法实测界址点</w:t>
      </w:r>
      <w:r>
        <w:rPr>
          <w:rFonts w:hint="eastAsia"/>
          <w:sz w:val="24"/>
        </w:rPr>
        <w:t>。</w:t>
      </w:r>
      <w:r>
        <w:rPr>
          <w:rFonts w:hint="eastAsia"/>
          <w:sz w:val="24"/>
          <w:lang w:eastAsia="zh-Hans"/>
        </w:rPr>
        <w:t>条件不具备的，</w:t>
      </w:r>
      <w:r>
        <w:rPr>
          <w:rFonts w:hint="eastAsia"/>
          <w:sz w:val="24"/>
        </w:rPr>
        <w:t>可利用高分辨率正射影像图，经图上指界签字后采集界址点</w:t>
      </w:r>
      <w:r>
        <w:rPr>
          <w:rFonts w:hint="eastAsia"/>
          <w:sz w:val="24"/>
          <w:lang w:eastAsia="zh-Hans"/>
        </w:rPr>
        <w:t>坐标，</w:t>
      </w:r>
      <w:r>
        <w:rPr>
          <w:rFonts w:hint="eastAsia"/>
          <w:sz w:val="24"/>
        </w:rPr>
        <w:t>形成地籍调查成果</w:t>
      </w:r>
      <w:r>
        <w:rPr>
          <w:rFonts w:hint="eastAsia"/>
          <w:sz w:val="24"/>
          <w:lang w:eastAsia="zh-Hans"/>
        </w:rPr>
        <w:t>。对重要的以及影像上不清晰或有争议的</w:t>
      </w:r>
      <w:r>
        <w:rPr>
          <w:rFonts w:hint="eastAsia"/>
          <w:sz w:val="24"/>
        </w:rPr>
        <w:t>界址点，</w:t>
      </w:r>
      <w:r>
        <w:rPr>
          <w:rFonts w:hint="eastAsia"/>
          <w:sz w:val="24"/>
          <w:lang w:eastAsia="zh-Hans"/>
        </w:rPr>
        <w:t>采用解析法实测</w:t>
      </w:r>
      <w:r>
        <w:rPr>
          <w:rFonts w:hint="eastAsia"/>
          <w:sz w:val="24"/>
        </w:rPr>
        <w:t>。</w:t>
      </w:r>
    </w:p>
    <w:p>
      <w:pPr>
        <w:ind w:firstLine="480"/>
        <w:rPr>
          <w:sz w:val="24"/>
        </w:rPr>
      </w:pPr>
      <w:r>
        <w:rPr>
          <w:rFonts w:hint="eastAsia"/>
          <w:sz w:val="24"/>
        </w:rPr>
        <w:t>3.因采用底图不同、测绘精度不同或坐标转换等原因造成集体土地所有权之间存在交叉重叠或缝隙的，经核实，界址未发生变化且不存在权属争议的，不再开展权属指界。按照集体土地所有权界线的走向说明等权属调查资料，结合影像特征线，调整确定集体土地所有权宗地界线。</w:t>
      </w:r>
    </w:p>
    <w:p>
      <w:pPr>
        <w:ind w:firstLine="480"/>
        <w:rPr>
          <w:sz w:val="24"/>
        </w:rPr>
      </w:pPr>
      <w:r>
        <w:rPr>
          <w:rFonts w:hint="eastAsia"/>
          <w:sz w:val="24"/>
        </w:rPr>
        <w:t>4.存在权属争议</w:t>
      </w:r>
      <w:r>
        <w:rPr>
          <w:rFonts w:hint="eastAsia"/>
          <w:sz w:val="24"/>
          <w:lang w:eastAsia="zh-Hans"/>
        </w:rPr>
        <w:t>且一时难以解决</w:t>
      </w:r>
      <w:r>
        <w:rPr>
          <w:rFonts w:hint="eastAsia"/>
          <w:sz w:val="24"/>
        </w:rPr>
        <w:t>的，编制土地权属争议原由书，查清权属争议主体，经争议各方指认，对有争议部分划定争议区，设立争议宗地，编制不动产单元代码；</w:t>
      </w:r>
      <w:r>
        <w:rPr>
          <w:rFonts w:hint="eastAsia"/>
          <w:sz w:val="24"/>
          <w:lang w:eastAsia="zh-Hans"/>
        </w:rPr>
        <w:t>对无</w:t>
      </w:r>
      <w:r>
        <w:rPr>
          <w:rFonts w:hint="eastAsia"/>
          <w:sz w:val="24"/>
        </w:rPr>
        <w:t>争议部分土地</w:t>
      </w:r>
      <w:r>
        <w:rPr>
          <w:rFonts w:hint="eastAsia"/>
          <w:sz w:val="24"/>
          <w:lang w:eastAsia="zh-Hans"/>
        </w:rPr>
        <w:t>设定</w:t>
      </w:r>
      <w:r>
        <w:rPr>
          <w:rFonts w:hint="eastAsia"/>
          <w:sz w:val="24"/>
        </w:rPr>
        <w:t>不动产单元代码并编码，核实并确定权属界线，对界址走向进行详细描述，纳入登记范围。</w:t>
      </w:r>
    </w:p>
    <w:p>
      <w:pPr>
        <w:ind w:firstLine="480"/>
        <w:rPr>
          <w:sz w:val="24"/>
        </w:rPr>
      </w:pPr>
      <w:r>
        <w:rPr>
          <w:rFonts w:hint="eastAsia"/>
          <w:sz w:val="24"/>
        </w:rPr>
        <w:t>（三）集体土地所有权登记成果更新。</w:t>
      </w:r>
    </w:p>
    <w:p>
      <w:pPr>
        <w:ind w:firstLine="480"/>
        <w:rPr>
          <w:sz w:val="24"/>
        </w:rPr>
      </w:pPr>
      <w:r>
        <w:rPr>
          <w:rFonts w:hint="eastAsia"/>
          <w:sz w:val="24"/>
        </w:rPr>
        <w:t>对于已登记的</w:t>
      </w:r>
      <w:r>
        <w:rPr>
          <w:rFonts w:hint="eastAsia"/>
          <w:sz w:val="24"/>
          <w:lang w:eastAsia="zh-Hans"/>
        </w:rPr>
        <w:t>集体土地所有权登记成果发生变化</w:t>
      </w:r>
      <w:r>
        <w:rPr>
          <w:rFonts w:hint="eastAsia"/>
          <w:sz w:val="24"/>
        </w:rPr>
        <w:t>或经核实有错误</w:t>
      </w:r>
      <w:r>
        <w:rPr>
          <w:rFonts w:hint="eastAsia"/>
          <w:sz w:val="24"/>
          <w:lang w:eastAsia="zh-Hans"/>
        </w:rPr>
        <w:t>的，利用不动产登记系统</w:t>
      </w:r>
      <w:r>
        <w:rPr>
          <w:rFonts w:hint="eastAsia"/>
          <w:sz w:val="24"/>
        </w:rPr>
        <w:t>，区分以下情形</w:t>
      </w:r>
      <w:r>
        <w:rPr>
          <w:rFonts w:hint="eastAsia"/>
          <w:sz w:val="24"/>
          <w:lang w:eastAsia="zh-Hans"/>
        </w:rPr>
        <w:t>统一集中更新。</w:t>
      </w:r>
    </w:p>
    <w:p>
      <w:pPr>
        <w:ind w:firstLine="480"/>
        <w:rPr>
          <w:sz w:val="24"/>
        </w:rPr>
      </w:pPr>
      <w:r>
        <w:rPr>
          <w:rFonts w:hint="eastAsia"/>
          <w:sz w:val="24"/>
        </w:rPr>
        <w:t>1.因征收导致全部或部分集体土地所有权消灭的，由市、县自然资源主管部门依据土地征收批准文件等，报请同级人民政府出具嘱托文件后，不动产登记机构采取依嘱托方式统一办理注销或变更登记。</w:t>
      </w:r>
    </w:p>
    <w:p>
      <w:pPr>
        <w:ind w:firstLine="480"/>
        <w:rPr>
          <w:sz w:val="24"/>
        </w:rPr>
      </w:pPr>
      <w:r>
        <w:rPr>
          <w:rFonts w:hint="eastAsia"/>
          <w:sz w:val="24"/>
        </w:rPr>
        <w:t>2.农民集体因互换、土地调整等原因导致集体土地所有权转移的，由乡（镇）人民政府统一组织有关农民集体申请办理转移登记等，不动产登记机构按照《</w:t>
      </w:r>
      <w:r>
        <w:rPr>
          <w:rFonts w:hint="eastAsia"/>
          <w:sz w:val="24"/>
          <w:lang w:eastAsia="zh-Hans"/>
        </w:rPr>
        <w:t>不动产登记</w:t>
      </w:r>
      <w:r>
        <w:rPr>
          <w:rFonts w:hint="eastAsia"/>
          <w:sz w:val="24"/>
        </w:rPr>
        <w:t>操作规范（试行）》7.3.4的规定等开展登记审核和登簿发证。</w:t>
      </w:r>
    </w:p>
    <w:p>
      <w:pPr>
        <w:ind w:firstLine="480"/>
        <w:rPr>
          <w:sz w:val="24"/>
        </w:rPr>
      </w:pPr>
      <w:r>
        <w:rPr>
          <w:rFonts w:hint="eastAsia"/>
          <w:sz w:val="24"/>
        </w:rPr>
        <w:t>3.农民集体合并或撤销、行政区划调整等导致集体土地所有权、农民集体名称或代码发生变化的，由乡（镇）人民政府统一组织有关农民集体申请办理相关登记。涉及集体土地所有权发生转移的，不动产登记机构应按照《不动产登记暂行条例实施细则》第31条以及《</w:t>
      </w:r>
      <w:r>
        <w:rPr>
          <w:rFonts w:hint="eastAsia"/>
          <w:sz w:val="24"/>
          <w:lang w:eastAsia="zh-Hans"/>
        </w:rPr>
        <w:t>不动产登记</w:t>
      </w:r>
      <w:r>
        <w:rPr>
          <w:rFonts w:hint="eastAsia"/>
          <w:sz w:val="24"/>
        </w:rPr>
        <w:t>操作规范（试行）》7.3的规定等要求办理转移登记。不涉及集体土地所有权转移的，按照《不动产登记暂行条例实施细则》第32条以及《</w:t>
      </w:r>
      <w:r>
        <w:rPr>
          <w:rFonts w:hint="eastAsia"/>
          <w:sz w:val="24"/>
          <w:lang w:eastAsia="zh-Hans"/>
        </w:rPr>
        <w:t>不动产登记</w:t>
      </w:r>
      <w:r>
        <w:rPr>
          <w:rFonts w:hint="eastAsia"/>
          <w:sz w:val="24"/>
        </w:rPr>
        <w:t>操作规范（试行）》7.2的规定等办理变更登记。</w:t>
      </w:r>
    </w:p>
    <w:p>
      <w:pPr>
        <w:ind w:firstLine="480"/>
        <w:rPr>
          <w:sz w:val="24"/>
        </w:rPr>
      </w:pPr>
      <w:r>
        <w:rPr>
          <w:rFonts w:hint="eastAsia"/>
          <w:sz w:val="24"/>
        </w:rPr>
        <w:t>4.因测绘精度等原因造成集体土地与国有土地、其他集体土地交叉重叠的，经核实，不存在权属争议且界址无变化的，遵循“低精度服从高精度”原则，按照《不动产登记暂行条例实施细则》第八十一条有关规定办理更正登记。针对技术精度等原因导致登记簿记载错误，但核实无权属争议的，不动产登记机构应当通知当事人在30个工作日内办理更正登记。当事人逾期不办理的，不动产登记机构应当在公告15个工作日后，依法予以更正，但在错误登记之后因互换、调整等已经办理了集体土地所有权转移登记的除外。</w:t>
      </w:r>
    </w:p>
    <w:p>
      <w:pPr>
        <w:ind w:firstLine="480"/>
        <w:rPr>
          <w:sz w:val="24"/>
        </w:rPr>
      </w:pPr>
      <w:r>
        <w:rPr>
          <w:rFonts w:hint="eastAsia"/>
          <w:sz w:val="24"/>
        </w:rPr>
        <w:t>利用更新后的集体土地所有权确权登记成果及权属争议宗地信息，根据地籍图编制相关要求，生成集体土地所有权地籍图。</w:t>
      </w:r>
    </w:p>
    <w:p>
      <w:pPr>
        <w:ind w:firstLine="480"/>
        <w:rPr>
          <w:sz w:val="24"/>
        </w:rPr>
      </w:pPr>
      <w:r>
        <w:rPr>
          <w:rFonts w:hint="eastAsia"/>
          <w:sz w:val="24"/>
        </w:rPr>
        <w:t>五、数据成果汇交</w:t>
      </w:r>
    </w:p>
    <w:p>
      <w:pPr>
        <w:ind w:firstLine="480"/>
        <w:rPr>
          <w:sz w:val="24"/>
        </w:rPr>
      </w:pPr>
      <w:r>
        <w:rPr>
          <w:rFonts w:hint="eastAsia"/>
          <w:sz w:val="24"/>
        </w:rPr>
        <w:t>市、县自然资源主管部门以县级为单位导出数据，采用质检软件完成质检后，离线汇交至省级自然资源主管部门。同时做好数据导出与后续日常增量接入时点的对接。省级资源主管部门完成数据质量检查后，分批向部离线汇交，同步将市、县汇交成果纳入省级不动产登记数据库管理。数据组织结构和命名规则等要求具体参照《</w:t>
      </w:r>
      <w:r>
        <w:rPr>
          <w:rFonts w:hint="eastAsia"/>
          <w:sz w:val="24"/>
          <w:lang w:eastAsia="zh-Hans"/>
        </w:rPr>
        <w:t>不动产登记存量数据</w:t>
      </w:r>
      <w:r>
        <w:rPr>
          <w:rFonts w:hint="eastAsia"/>
          <w:sz w:val="24"/>
        </w:rPr>
        <w:t>成果汇交</w:t>
      </w:r>
      <w:r>
        <w:rPr>
          <w:rFonts w:hint="eastAsia"/>
          <w:sz w:val="24"/>
          <w:lang w:eastAsia="zh-Hans"/>
        </w:rPr>
        <w:t>规范</w:t>
      </w:r>
      <w:r>
        <w:rPr>
          <w:rFonts w:hint="eastAsia"/>
          <w:sz w:val="24"/>
        </w:rPr>
        <w:t>（2021修订版）》，汇交成果应包括纸质的加盖县级不动产登记局（机构）公章的报送公文1份和汇交资料清单2份、电子成果数据1份。部制作了</w:t>
      </w:r>
      <w:r>
        <w:rPr>
          <w:rFonts w:hint="eastAsia"/>
          <w:sz w:val="24"/>
          <w:lang w:eastAsia="zh-Hans"/>
        </w:rPr>
        <w:t>数据库</w:t>
      </w:r>
      <w:r>
        <w:rPr>
          <w:rFonts w:hint="eastAsia"/>
          <w:sz w:val="24"/>
        </w:rPr>
        <w:t>汇交</w:t>
      </w:r>
      <w:r>
        <w:rPr>
          <w:rFonts w:hint="eastAsia"/>
          <w:sz w:val="24"/>
          <w:lang w:eastAsia="zh-Hans"/>
        </w:rPr>
        <w:t>模板</w:t>
      </w:r>
      <w:r>
        <w:rPr>
          <w:rFonts w:hint="eastAsia"/>
          <w:sz w:val="24"/>
        </w:rPr>
        <w:t>，地方</w:t>
      </w:r>
      <w:r>
        <w:rPr>
          <w:rFonts w:hint="eastAsia"/>
          <w:sz w:val="24"/>
          <w:lang w:eastAsia="zh-Hans"/>
        </w:rPr>
        <w:t>可从</w:t>
      </w:r>
      <w:r>
        <w:rPr>
          <w:rFonts w:hint="eastAsia"/>
          <w:sz w:val="24"/>
        </w:rPr>
        <w:t>自然资源部门户网站</w:t>
      </w:r>
      <w:r>
        <w:rPr>
          <w:rFonts w:hint="eastAsia"/>
          <w:sz w:val="24"/>
          <w:lang w:eastAsia="zh-Hans"/>
        </w:rPr>
        <w:t>不动产登记网上“一窗办事”平台（http://bdcyc.mnr.gov.cn/）</w:t>
      </w:r>
      <w:r>
        <w:rPr>
          <w:rFonts w:hint="eastAsia"/>
          <w:sz w:val="24"/>
        </w:rPr>
        <w:t>下载使用。部将使用</w:t>
      </w:r>
      <w:r>
        <w:rPr>
          <w:rFonts w:hint="eastAsia"/>
          <w:sz w:val="24"/>
          <w:lang w:eastAsia="zh-Hans"/>
        </w:rPr>
        <w:t>质检软件</w:t>
      </w:r>
      <w:r>
        <w:rPr>
          <w:rFonts w:hint="eastAsia"/>
          <w:sz w:val="24"/>
        </w:rPr>
        <w:t>开展数据检查，并</w:t>
      </w:r>
      <w:r>
        <w:rPr>
          <w:rFonts w:hint="eastAsia"/>
          <w:sz w:val="24"/>
          <w:lang w:eastAsia="zh-Hans"/>
        </w:rPr>
        <w:t>利用</w:t>
      </w:r>
      <w:r>
        <w:rPr>
          <w:rFonts w:hint="eastAsia"/>
          <w:sz w:val="24"/>
        </w:rPr>
        <w:t>部</w:t>
      </w:r>
      <w:r>
        <w:rPr>
          <w:rFonts w:hint="eastAsia"/>
          <w:sz w:val="24"/>
          <w:lang w:eastAsia="zh-Hans"/>
        </w:rPr>
        <w:t>国土空间基础信息平台相关成果进行比对</w:t>
      </w:r>
      <w:r>
        <w:rPr>
          <w:rFonts w:hint="eastAsia"/>
          <w:sz w:val="24"/>
        </w:rPr>
        <w:t>。</w:t>
      </w:r>
    </w:p>
    <w:p>
      <w:pPr>
        <w:pStyle w:val="4"/>
      </w:pPr>
    </w:p>
    <w:p>
      <w:pPr>
        <w:pStyle w:val="4"/>
      </w:pPr>
    </w:p>
    <w:p>
      <w:pPr>
        <w:pStyle w:val="4"/>
      </w:pPr>
      <w:r>
        <w:rPr>
          <w:rFonts w:hint="eastAsia"/>
        </w:rPr>
        <w:br w:type="page"/>
      </w:r>
      <w:bookmarkStart w:id="236" w:name="_Toc22750"/>
      <w:bookmarkStart w:id="237" w:name="_Toc23269"/>
      <w:bookmarkStart w:id="238" w:name="_Toc5923"/>
      <w:r>
        <w:rPr>
          <w:rFonts w:hint="eastAsia"/>
        </w:rPr>
        <w:t>第五部分  投标文件格式</w:t>
      </w:r>
      <w:bookmarkEnd w:id="236"/>
      <w:bookmarkEnd w:id="237"/>
      <w:bookmarkEnd w:id="238"/>
    </w:p>
    <w:p>
      <w:pPr>
        <w:ind w:firstLine="0" w:firstLineChars="0"/>
      </w:pPr>
      <w:r>
        <w:rPr>
          <w:rFonts w:hint="eastAsia" w:ascii="宋体" w:hAnsi="宋体" w:cs="宋体"/>
          <w:sz w:val="24"/>
          <w:lang w:val="zh-CN"/>
        </w:rPr>
        <w:t>（封面示例）</w:t>
      </w:r>
    </w:p>
    <w:p>
      <w:pPr>
        <w:spacing w:line="440" w:lineRule="exact"/>
        <w:ind w:firstLine="0" w:firstLineChars="0"/>
        <w:jc w:val="right"/>
        <w:rPr>
          <w:rFonts w:ascii="宋体" w:hAnsi="宋体" w:cs="宋体"/>
          <w:sz w:val="24"/>
          <w:lang w:val="zh-CN"/>
        </w:rPr>
      </w:pPr>
      <w:r>
        <w:rPr>
          <w:rFonts w:hint="eastAsia" w:ascii="宋体" w:hAnsi="宋体" w:cs="宋体"/>
          <w:sz w:val="24"/>
          <w:lang w:val="zh-CN"/>
        </w:rPr>
        <w:t>正</w:t>
      </w:r>
      <w:r>
        <w:rPr>
          <w:rFonts w:hint="eastAsia" w:ascii="宋体" w:hAnsi="宋体" w:cs="宋体"/>
          <w:sz w:val="24"/>
        </w:rPr>
        <w:t>/副</w:t>
      </w:r>
      <w:r>
        <w:rPr>
          <w:rFonts w:hint="eastAsia" w:ascii="宋体" w:hAnsi="宋体" w:cs="宋体"/>
          <w:sz w:val="24"/>
          <w:lang w:val="zh-CN"/>
        </w:rPr>
        <w:t>本</w:t>
      </w:r>
    </w:p>
    <w:p>
      <w:pPr>
        <w:spacing w:line="440" w:lineRule="exact"/>
        <w:ind w:firstLine="0" w:firstLineChars="0"/>
        <w:rPr>
          <w:rFonts w:ascii="宋体" w:hAnsi="宋体" w:cs="宋体"/>
          <w:sz w:val="24"/>
          <w:lang w:val="zh-CN"/>
        </w:rPr>
      </w:pPr>
    </w:p>
    <w:p>
      <w:pPr>
        <w:spacing w:line="440" w:lineRule="exact"/>
        <w:ind w:firstLine="0" w:firstLineChars="0"/>
        <w:jc w:val="center"/>
        <w:outlineLvl w:val="0"/>
        <w:rPr>
          <w:rFonts w:ascii="宋体" w:hAnsi="宋体" w:cs="宋体"/>
          <w:sz w:val="24"/>
          <w:lang w:val="zh-CN"/>
        </w:rPr>
      </w:pPr>
      <w:bookmarkStart w:id="239" w:name="_Toc20575"/>
      <w:bookmarkStart w:id="240" w:name="_Toc19514"/>
      <w:r>
        <w:rPr>
          <w:rFonts w:hint="eastAsia" w:ascii="宋体" w:hAnsi="宋体" w:cs="宋体"/>
          <w:sz w:val="24"/>
          <w:lang w:val="zh-CN"/>
        </w:rPr>
        <w:t>投 标 文 件</w:t>
      </w:r>
      <w:bookmarkEnd w:id="239"/>
      <w:bookmarkEnd w:id="240"/>
    </w:p>
    <w:p>
      <w:pPr>
        <w:spacing w:line="440" w:lineRule="exact"/>
        <w:ind w:firstLine="0" w:firstLineChars="0"/>
        <w:rPr>
          <w:rFonts w:ascii="宋体" w:hAnsi="宋体" w:cs="宋体"/>
          <w:sz w:val="24"/>
          <w:lang w:val="zh-CN"/>
        </w:rPr>
      </w:pPr>
    </w:p>
    <w:p>
      <w:pPr>
        <w:spacing w:line="440" w:lineRule="exact"/>
        <w:ind w:firstLine="0" w:firstLineChars="0"/>
        <w:rPr>
          <w:rFonts w:ascii="宋体" w:hAnsi="宋体" w:cs="宋体"/>
          <w:sz w:val="24"/>
          <w:lang w:val="zh-CN"/>
        </w:rPr>
      </w:pPr>
    </w:p>
    <w:p>
      <w:pPr>
        <w:spacing w:line="440" w:lineRule="exact"/>
        <w:ind w:firstLine="0" w:firstLineChars="0"/>
        <w:rPr>
          <w:rFonts w:ascii="宋体" w:hAnsi="宋体" w:cs="宋体"/>
          <w:sz w:val="24"/>
          <w:lang w:val="zh-CN"/>
        </w:rPr>
      </w:pPr>
    </w:p>
    <w:p>
      <w:pPr>
        <w:spacing w:line="440" w:lineRule="exact"/>
        <w:ind w:firstLine="0" w:firstLineChars="0"/>
        <w:rPr>
          <w:rFonts w:ascii="宋体" w:hAnsi="宋体" w:cs="宋体"/>
          <w:sz w:val="24"/>
          <w:lang w:val="zh-CN"/>
        </w:rPr>
      </w:pPr>
    </w:p>
    <w:p>
      <w:pPr>
        <w:spacing w:line="440" w:lineRule="exact"/>
        <w:ind w:firstLine="0" w:firstLineChars="0"/>
        <w:rPr>
          <w:rFonts w:ascii="宋体" w:hAnsi="宋体" w:cs="宋体"/>
          <w:sz w:val="24"/>
          <w:lang w:val="zh-CN"/>
        </w:rPr>
      </w:pPr>
    </w:p>
    <w:p>
      <w:pPr>
        <w:spacing w:line="440" w:lineRule="exact"/>
        <w:ind w:firstLine="0" w:firstLineChars="0"/>
        <w:rPr>
          <w:rFonts w:ascii="宋体" w:hAnsi="宋体" w:cs="宋体"/>
          <w:sz w:val="24"/>
          <w:lang w:val="zh-CN"/>
        </w:rPr>
      </w:pPr>
      <w:r>
        <w:rPr>
          <w:rFonts w:hint="eastAsia" w:ascii="宋体" w:hAnsi="宋体" w:cs="宋体"/>
          <w:sz w:val="24"/>
          <w:lang w:val="zh-CN"/>
        </w:rPr>
        <w:t>项目名称：</w:t>
      </w:r>
    </w:p>
    <w:p>
      <w:pPr>
        <w:spacing w:line="440" w:lineRule="exact"/>
        <w:ind w:firstLine="0" w:firstLineChars="0"/>
        <w:rPr>
          <w:rFonts w:ascii="宋体" w:hAnsi="宋体" w:cs="宋体"/>
          <w:sz w:val="24"/>
          <w:lang w:val="zh-CN"/>
        </w:rPr>
      </w:pPr>
      <w:r>
        <w:rPr>
          <w:rFonts w:hint="eastAsia" w:ascii="宋体" w:hAnsi="宋体" w:cs="宋体"/>
          <w:sz w:val="24"/>
          <w:lang w:val="zh-CN"/>
        </w:rPr>
        <w:t>项目编号：</w:t>
      </w:r>
    </w:p>
    <w:p>
      <w:pPr>
        <w:spacing w:line="440" w:lineRule="exact"/>
        <w:ind w:firstLine="0" w:firstLineChars="0"/>
        <w:rPr>
          <w:rFonts w:ascii="宋体" w:hAnsi="宋体" w:cs="宋体"/>
          <w:sz w:val="24"/>
          <w:lang w:val="zh-CN"/>
        </w:rPr>
      </w:pPr>
      <w:r>
        <w:rPr>
          <w:rFonts w:hint="eastAsia" w:ascii="宋体" w:hAnsi="宋体" w:cs="宋体"/>
          <w:sz w:val="24"/>
          <w:lang w:val="zh-CN"/>
        </w:rPr>
        <w:t>投标人（盖公章）：×××公司</w:t>
      </w:r>
    </w:p>
    <w:p>
      <w:pPr>
        <w:spacing w:line="440" w:lineRule="exact"/>
        <w:ind w:firstLine="0" w:firstLineChars="0"/>
        <w:rPr>
          <w:rFonts w:ascii="宋体" w:hAnsi="宋体" w:cs="宋体"/>
          <w:sz w:val="24"/>
          <w:lang w:val="zh-CN"/>
        </w:rPr>
      </w:pPr>
      <w:r>
        <w:rPr>
          <w:rFonts w:hint="eastAsia" w:ascii="宋体" w:hAnsi="宋体" w:cs="宋体"/>
          <w:sz w:val="24"/>
          <w:lang w:val="zh-CN"/>
        </w:rPr>
        <w:t>法定代表人（签字或盖章）:</w:t>
      </w:r>
    </w:p>
    <w:p>
      <w:pPr>
        <w:spacing w:line="440" w:lineRule="exact"/>
        <w:ind w:firstLine="0" w:firstLineChars="0"/>
        <w:rPr>
          <w:rFonts w:ascii="宋体" w:hAnsi="宋体" w:cs="宋体"/>
          <w:sz w:val="24"/>
          <w:lang w:val="zh-CN"/>
        </w:rPr>
      </w:pPr>
      <w:r>
        <w:rPr>
          <w:rFonts w:hint="eastAsia" w:ascii="宋体" w:hAnsi="宋体" w:cs="宋体"/>
          <w:sz w:val="24"/>
          <w:lang w:val="zh-CN"/>
        </w:rPr>
        <w:t>授权代理人（签字）:</w:t>
      </w:r>
    </w:p>
    <w:p>
      <w:pPr>
        <w:spacing w:line="440" w:lineRule="exact"/>
        <w:ind w:firstLine="0" w:firstLineChars="0"/>
        <w:rPr>
          <w:rFonts w:ascii="宋体" w:hAnsi="宋体" w:cs="宋体"/>
          <w:sz w:val="24"/>
          <w:lang w:val="zh-CN"/>
        </w:rPr>
      </w:pPr>
      <w:r>
        <w:rPr>
          <w:rFonts w:hint="eastAsia" w:ascii="宋体" w:hAnsi="宋体" w:cs="宋体"/>
          <w:sz w:val="24"/>
          <w:lang w:val="zh-CN"/>
        </w:rPr>
        <w:t>地址：</w:t>
      </w:r>
    </w:p>
    <w:p>
      <w:pPr>
        <w:spacing w:line="440" w:lineRule="exact"/>
        <w:ind w:firstLine="0" w:firstLineChars="0"/>
        <w:rPr>
          <w:rFonts w:ascii="宋体" w:hAnsi="宋体" w:cs="宋体"/>
          <w:sz w:val="24"/>
          <w:lang w:val="zh-CN"/>
        </w:rPr>
      </w:pPr>
      <w:r>
        <w:rPr>
          <w:rFonts w:hint="eastAsia" w:ascii="宋体" w:hAnsi="宋体" w:cs="宋体"/>
          <w:sz w:val="24"/>
          <w:lang w:val="zh-CN"/>
        </w:rPr>
        <w:t>联系人：</w:t>
      </w:r>
    </w:p>
    <w:p>
      <w:pPr>
        <w:spacing w:line="440" w:lineRule="exact"/>
        <w:ind w:firstLine="0" w:firstLineChars="0"/>
        <w:rPr>
          <w:rFonts w:ascii="宋体" w:hAnsi="宋体" w:cs="宋体"/>
          <w:sz w:val="24"/>
          <w:lang w:val="zh-CN"/>
        </w:rPr>
      </w:pPr>
      <w:r>
        <w:rPr>
          <w:rFonts w:hint="eastAsia" w:ascii="宋体" w:hAnsi="宋体" w:cs="宋体"/>
          <w:sz w:val="24"/>
          <w:lang w:val="zh-CN"/>
        </w:rPr>
        <w:t>联系电话：</w:t>
      </w:r>
    </w:p>
    <w:p>
      <w:pPr>
        <w:spacing w:line="440" w:lineRule="exact"/>
        <w:ind w:firstLine="0" w:firstLineChars="0"/>
        <w:rPr>
          <w:rFonts w:ascii="宋体" w:hAnsi="宋体" w:cs="宋体"/>
          <w:sz w:val="24"/>
          <w:lang w:val="zh-CN"/>
        </w:rPr>
      </w:pPr>
      <w:r>
        <w:rPr>
          <w:rFonts w:hint="eastAsia" w:ascii="宋体" w:hAnsi="宋体" w:cs="宋体"/>
          <w:sz w:val="24"/>
          <w:lang w:val="zh-CN"/>
        </w:rPr>
        <w:t>编制时间：×年×月×日</w:t>
      </w:r>
    </w:p>
    <w:p>
      <w:pPr>
        <w:spacing w:line="440" w:lineRule="exact"/>
        <w:ind w:firstLine="0" w:firstLineChars="0"/>
        <w:rPr>
          <w:rFonts w:ascii="黑体" w:hAnsi="黑体" w:eastAsia="黑体" w:cs="黑体"/>
          <w:sz w:val="21"/>
          <w:szCs w:val="21"/>
        </w:rPr>
      </w:pPr>
    </w:p>
    <w:p>
      <w:pPr>
        <w:spacing w:line="240" w:lineRule="auto"/>
        <w:ind w:firstLine="0" w:firstLineChars="0"/>
        <w:jc w:val="center"/>
        <w:rPr>
          <w:rFonts w:cs="Times New Roman"/>
          <w:sz w:val="21"/>
        </w:rPr>
      </w:pPr>
      <w:r>
        <w:rPr>
          <w:rFonts w:hint="eastAsia" w:ascii="黑体" w:hAnsi="黑体" w:eastAsia="黑体" w:cs="黑体"/>
          <w:sz w:val="21"/>
          <w:szCs w:val="21"/>
        </w:rPr>
        <w:br w:type="page"/>
      </w:r>
      <w:bookmarkStart w:id="241" w:name="_Toc30589"/>
      <w:bookmarkStart w:id="242" w:name="_Toc1826"/>
      <w:r>
        <w:rPr>
          <w:rFonts w:hint="eastAsia" w:cs="Times New Roman"/>
          <w:b/>
          <w:kern w:val="44"/>
          <w:sz w:val="44"/>
          <w:szCs w:val="20"/>
        </w:rPr>
        <w:t>目  录</w:t>
      </w:r>
    </w:p>
    <w:bookmarkEnd w:id="241"/>
    <w:bookmarkEnd w:id="242"/>
    <w:p>
      <w:pPr>
        <w:keepNext/>
        <w:keepLines/>
        <w:spacing w:before="280" w:after="290" w:line="400" w:lineRule="exact"/>
        <w:ind w:firstLine="482"/>
        <w:outlineLvl w:val="3"/>
        <w:rPr>
          <w:rFonts w:ascii="宋体" w:hAnsi="宋体" w:cs="宋体"/>
          <w:b/>
          <w:bCs/>
          <w:sz w:val="24"/>
          <w:szCs w:val="28"/>
        </w:rPr>
      </w:pPr>
      <w:r>
        <w:rPr>
          <w:rFonts w:hint="eastAsia" w:ascii="宋体" w:hAnsi="宋体" w:cs="宋体"/>
          <w:b/>
          <w:bCs/>
          <w:sz w:val="24"/>
          <w:szCs w:val="28"/>
        </w:rPr>
        <w:t>投标文件须按以下顺序编制并编列页码（以下内容包含但不限于）：</w:t>
      </w:r>
    </w:p>
    <w:p>
      <w:pPr>
        <w:numPr>
          <w:ilvl w:val="0"/>
          <w:numId w:val="5"/>
        </w:numPr>
        <w:spacing w:line="400" w:lineRule="exact"/>
        <w:ind w:firstLine="0" w:firstLineChars="0"/>
        <w:outlineLvl w:val="0"/>
      </w:pPr>
      <w:bookmarkStart w:id="243" w:name="_Toc22893"/>
      <w:bookmarkStart w:id="244" w:name="_Toc17258"/>
      <w:bookmarkStart w:id="245" w:name="_Toc20987_WPSOffice_Level1"/>
      <w:r>
        <w:rPr>
          <w:rFonts w:hint="eastAsia" w:ascii="宋体" w:hAnsi="宋体" w:cs="宋体"/>
          <w:b/>
          <w:sz w:val="24"/>
        </w:rPr>
        <w:t>商务部分</w:t>
      </w:r>
      <w:bookmarkEnd w:id="243"/>
      <w:bookmarkEnd w:id="244"/>
      <w:bookmarkEnd w:id="245"/>
    </w:p>
    <w:p>
      <w:pPr>
        <w:keepNext/>
        <w:keepLines/>
        <w:numPr>
          <w:ilvl w:val="0"/>
          <w:numId w:val="6"/>
        </w:numPr>
        <w:spacing w:line="440" w:lineRule="exact"/>
        <w:ind w:firstLine="480"/>
        <w:jc w:val="left"/>
        <w:outlineLvl w:val="3"/>
        <w:rPr>
          <w:rFonts w:ascii="宋体" w:hAnsi="宋体" w:cs="宋体"/>
          <w:sz w:val="24"/>
          <w:szCs w:val="28"/>
        </w:rPr>
      </w:pPr>
      <w:r>
        <w:rPr>
          <w:rFonts w:hint="eastAsia" w:ascii="宋体" w:hAnsi="宋体" w:cs="宋体"/>
          <w:sz w:val="24"/>
          <w:szCs w:val="28"/>
        </w:rPr>
        <w:t>投标函（附件一）</w:t>
      </w:r>
    </w:p>
    <w:p>
      <w:pPr>
        <w:pageBreakBefore w:val="0"/>
        <w:widowControl w:val="0"/>
        <w:numPr>
          <w:ilvl w:val="0"/>
          <w:numId w:val="6"/>
        </w:numPr>
        <w:kinsoku/>
        <w:wordWrap/>
        <w:overflowPunct/>
        <w:topLinePunct w:val="0"/>
        <w:autoSpaceDE/>
        <w:autoSpaceDN/>
        <w:bidi w:val="0"/>
        <w:adjustRightInd/>
        <w:snapToGrid/>
        <w:spacing w:line="440" w:lineRule="exact"/>
        <w:ind w:firstLine="480" w:firstLineChars="200"/>
        <w:textAlignment w:val="auto"/>
        <w:rPr>
          <w:rFonts w:cs="Times New Roman"/>
          <w:sz w:val="21"/>
        </w:rPr>
      </w:pPr>
      <w:r>
        <w:rPr>
          <w:rFonts w:hint="eastAsia" w:ascii="宋体" w:hAnsi="宋体" w:cs="宋体"/>
          <w:sz w:val="24"/>
        </w:rPr>
        <w:t>法定代表人身份证明书、授权委托书（附件二）</w:t>
      </w:r>
    </w:p>
    <w:p>
      <w:pPr>
        <w:keepNext/>
        <w:keepLines/>
        <w:pageBreakBefore w:val="0"/>
        <w:widowControl w:val="0"/>
        <w:numPr>
          <w:ilvl w:val="0"/>
          <w:numId w:val="6"/>
        </w:numPr>
        <w:kinsoku/>
        <w:wordWrap/>
        <w:overflowPunct/>
        <w:topLinePunct w:val="0"/>
        <w:autoSpaceDE/>
        <w:autoSpaceDN/>
        <w:bidi w:val="0"/>
        <w:adjustRightInd/>
        <w:snapToGrid/>
        <w:spacing w:line="440" w:lineRule="exact"/>
        <w:ind w:firstLine="480" w:firstLineChars="200"/>
        <w:textAlignment w:val="auto"/>
        <w:outlineLvl w:val="3"/>
        <w:rPr>
          <w:rFonts w:ascii="宋体" w:hAnsi="宋体" w:cs="宋体"/>
          <w:sz w:val="24"/>
        </w:rPr>
      </w:pPr>
      <w:r>
        <w:rPr>
          <w:rFonts w:hint="eastAsia" w:ascii="宋体" w:hAnsi="宋体" w:cs="宋体"/>
          <w:sz w:val="24"/>
        </w:rPr>
        <w:t>投标保证金收据复印件加盖公章（附件三）</w:t>
      </w:r>
    </w:p>
    <w:p>
      <w:pPr>
        <w:pageBreakBefore w:val="0"/>
        <w:widowControl w:val="0"/>
        <w:numPr>
          <w:ilvl w:val="0"/>
          <w:numId w:val="6"/>
        </w:numPr>
        <w:kinsoku/>
        <w:wordWrap/>
        <w:overflowPunct/>
        <w:topLinePunct w:val="0"/>
        <w:autoSpaceDE/>
        <w:autoSpaceDN/>
        <w:bidi w:val="0"/>
        <w:adjustRightInd/>
        <w:snapToGrid/>
        <w:spacing w:line="440" w:lineRule="exact"/>
        <w:ind w:firstLine="480" w:firstLineChars="200"/>
        <w:textAlignment w:val="auto"/>
        <w:rPr>
          <w:rFonts w:cs="Times New Roman"/>
          <w:sz w:val="24"/>
        </w:rPr>
      </w:pPr>
      <w:r>
        <w:rPr>
          <w:rFonts w:hint="eastAsia" w:cs="Times New Roman"/>
          <w:sz w:val="24"/>
        </w:rPr>
        <w:t>投标报价一览表（附件四）</w:t>
      </w:r>
    </w:p>
    <w:p>
      <w:pPr>
        <w:keepNext/>
        <w:keepLines/>
        <w:pageBreakBefore w:val="0"/>
        <w:widowControl w:val="0"/>
        <w:numPr>
          <w:ilvl w:val="0"/>
          <w:numId w:val="6"/>
        </w:numPr>
        <w:kinsoku/>
        <w:wordWrap/>
        <w:overflowPunct/>
        <w:topLinePunct w:val="0"/>
        <w:autoSpaceDE/>
        <w:autoSpaceDN/>
        <w:bidi w:val="0"/>
        <w:adjustRightInd/>
        <w:snapToGrid/>
        <w:spacing w:line="440" w:lineRule="exact"/>
        <w:ind w:firstLine="480" w:firstLineChars="200"/>
        <w:textAlignment w:val="auto"/>
        <w:outlineLvl w:val="3"/>
        <w:rPr>
          <w:rFonts w:ascii="宋体" w:hAnsi="宋体" w:cs="宋体"/>
          <w:sz w:val="24"/>
        </w:rPr>
      </w:pPr>
      <w:r>
        <w:rPr>
          <w:rFonts w:hint="eastAsia" w:ascii="宋体" w:hAnsi="宋体" w:cs="宋体"/>
          <w:sz w:val="24"/>
        </w:rPr>
        <w:t>投标人资格证明材料（附件五）</w:t>
      </w:r>
    </w:p>
    <w:p>
      <w:pPr>
        <w:pageBreakBefore w:val="0"/>
        <w:widowControl w:val="0"/>
        <w:numPr>
          <w:ilvl w:val="0"/>
          <w:numId w:val="6"/>
        </w:numPr>
        <w:kinsoku/>
        <w:wordWrap/>
        <w:overflowPunct/>
        <w:topLinePunct w:val="0"/>
        <w:autoSpaceDE/>
        <w:autoSpaceDN/>
        <w:bidi w:val="0"/>
        <w:adjustRightInd/>
        <w:snapToGrid/>
        <w:spacing w:line="440" w:lineRule="exact"/>
        <w:ind w:firstLine="480" w:firstLineChars="200"/>
        <w:textAlignment w:val="auto"/>
        <w:rPr>
          <w:rFonts w:cs="Times New Roman"/>
          <w:sz w:val="21"/>
        </w:rPr>
      </w:pPr>
      <w:r>
        <w:rPr>
          <w:rFonts w:hint="eastAsia" w:ascii="宋体" w:hAnsi="宋体" w:cs="宋体"/>
          <w:sz w:val="24"/>
        </w:rPr>
        <w:t>拟投入本项目的人员一览表（附件六）</w:t>
      </w:r>
    </w:p>
    <w:p>
      <w:pPr>
        <w:pageBreakBefore w:val="0"/>
        <w:widowControl w:val="0"/>
        <w:kinsoku/>
        <w:wordWrap/>
        <w:overflowPunct/>
        <w:topLinePunct w:val="0"/>
        <w:autoSpaceDE/>
        <w:autoSpaceDN/>
        <w:bidi w:val="0"/>
        <w:adjustRightInd/>
        <w:snapToGrid/>
        <w:spacing w:after="120" w:line="440" w:lineRule="exact"/>
        <w:ind w:firstLine="480" w:firstLineChars="200"/>
        <w:textAlignment w:val="auto"/>
        <w:rPr>
          <w:rFonts w:cs="Times New Roman"/>
          <w:sz w:val="21"/>
        </w:rPr>
      </w:pPr>
      <w:r>
        <w:rPr>
          <w:rFonts w:hint="eastAsia" w:ascii="宋体" w:hAnsi="宋体" w:cs="宋体"/>
          <w:sz w:val="24"/>
        </w:rPr>
        <w:t>（7）业绩一览表（附件七）</w:t>
      </w:r>
    </w:p>
    <w:p>
      <w:pPr>
        <w:adjustRightInd w:val="0"/>
        <w:snapToGrid w:val="0"/>
        <w:ind w:firstLine="482"/>
        <w:jc w:val="left"/>
        <w:outlineLvl w:val="0"/>
        <w:rPr>
          <w:rFonts w:ascii="宋体" w:hAnsi="宋体" w:cs="宋体"/>
          <w:b/>
          <w:sz w:val="24"/>
        </w:rPr>
      </w:pPr>
      <w:bookmarkStart w:id="246" w:name="_Toc27954"/>
      <w:bookmarkStart w:id="247" w:name="_Toc10048"/>
      <w:r>
        <w:rPr>
          <w:rFonts w:hint="eastAsia" w:ascii="宋体" w:hAnsi="宋体" w:cs="宋体"/>
          <w:b/>
          <w:sz w:val="24"/>
        </w:rPr>
        <w:t>二、技术部分（技术部分格式请投标人自拟）</w:t>
      </w:r>
      <w:bookmarkEnd w:id="246"/>
      <w:bookmarkEnd w:id="247"/>
    </w:p>
    <w:p>
      <w:pPr>
        <w:adjustRightInd w:val="0"/>
        <w:snapToGrid w:val="0"/>
        <w:spacing w:line="440" w:lineRule="exact"/>
        <w:ind w:firstLine="480"/>
        <w:jc w:val="left"/>
        <w:rPr>
          <w:rFonts w:ascii="宋体" w:hAnsi="宋体" w:cs="宋体"/>
          <w:bCs/>
          <w:sz w:val="24"/>
        </w:rPr>
      </w:pPr>
      <w:r>
        <w:rPr>
          <w:rFonts w:hint="eastAsia" w:ascii="宋体" w:hAnsi="宋体" w:cs="宋体"/>
          <w:bCs/>
          <w:sz w:val="24"/>
        </w:rPr>
        <w:t>（1）对本项目的理解</w:t>
      </w:r>
    </w:p>
    <w:p>
      <w:pPr>
        <w:adjustRightInd w:val="0"/>
        <w:snapToGrid w:val="0"/>
        <w:spacing w:line="440" w:lineRule="exact"/>
        <w:ind w:firstLine="480"/>
        <w:jc w:val="left"/>
        <w:rPr>
          <w:rFonts w:ascii="宋体" w:hAnsi="宋体" w:cs="宋体"/>
          <w:bCs/>
          <w:sz w:val="24"/>
        </w:rPr>
      </w:pPr>
      <w:r>
        <w:rPr>
          <w:rFonts w:hint="eastAsia" w:ascii="宋体" w:hAnsi="宋体" w:cs="宋体"/>
          <w:bCs/>
          <w:sz w:val="24"/>
        </w:rPr>
        <w:t>（2）自然资源确权登记单元划定方案</w:t>
      </w:r>
    </w:p>
    <w:p>
      <w:pPr>
        <w:adjustRightInd w:val="0"/>
        <w:snapToGrid w:val="0"/>
        <w:spacing w:line="440" w:lineRule="exact"/>
        <w:ind w:firstLine="480"/>
        <w:jc w:val="left"/>
        <w:rPr>
          <w:rFonts w:ascii="宋体" w:hAnsi="宋体" w:cs="宋体"/>
          <w:bCs/>
          <w:sz w:val="24"/>
        </w:rPr>
      </w:pPr>
      <w:r>
        <w:rPr>
          <w:rFonts w:hint="eastAsia" w:ascii="宋体" w:hAnsi="宋体" w:cs="宋体"/>
          <w:bCs/>
          <w:sz w:val="24"/>
        </w:rPr>
        <w:t>（3）权属调查方案</w:t>
      </w:r>
    </w:p>
    <w:p>
      <w:pPr>
        <w:adjustRightInd w:val="0"/>
        <w:snapToGrid w:val="0"/>
        <w:spacing w:line="440" w:lineRule="exact"/>
        <w:ind w:firstLine="480"/>
        <w:jc w:val="left"/>
        <w:rPr>
          <w:rFonts w:ascii="宋体" w:hAnsi="宋体" w:cs="宋体"/>
          <w:bCs/>
          <w:sz w:val="24"/>
        </w:rPr>
      </w:pPr>
      <w:r>
        <w:rPr>
          <w:rFonts w:hint="eastAsia" w:ascii="宋体" w:hAnsi="宋体" w:cs="宋体"/>
          <w:bCs/>
          <w:sz w:val="24"/>
        </w:rPr>
        <w:t>（4）数据库建设方案</w:t>
      </w:r>
    </w:p>
    <w:p>
      <w:pPr>
        <w:adjustRightInd w:val="0"/>
        <w:snapToGrid w:val="0"/>
        <w:spacing w:line="440" w:lineRule="exact"/>
        <w:ind w:firstLine="480"/>
        <w:jc w:val="left"/>
        <w:rPr>
          <w:rFonts w:ascii="宋体" w:hAnsi="宋体" w:cs="宋体"/>
          <w:bCs/>
          <w:sz w:val="24"/>
        </w:rPr>
      </w:pPr>
      <w:r>
        <w:rPr>
          <w:rFonts w:hint="eastAsia" w:ascii="宋体" w:hAnsi="宋体" w:cs="宋体"/>
          <w:bCs/>
          <w:sz w:val="24"/>
        </w:rPr>
        <w:t>（5）质量控制措施</w:t>
      </w:r>
    </w:p>
    <w:p>
      <w:pPr>
        <w:adjustRightInd w:val="0"/>
        <w:snapToGrid w:val="0"/>
        <w:spacing w:line="440" w:lineRule="exact"/>
        <w:ind w:firstLine="480"/>
        <w:jc w:val="left"/>
        <w:rPr>
          <w:rFonts w:ascii="宋体" w:hAnsi="宋体" w:cs="宋体"/>
          <w:bCs/>
          <w:sz w:val="24"/>
        </w:rPr>
      </w:pPr>
      <w:r>
        <w:rPr>
          <w:rFonts w:hint="eastAsia" w:ascii="宋体" w:hAnsi="宋体" w:cs="宋体"/>
          <w:bCs/>
          <w:sz w:val="24"/>
        </w:rPr>
        <w:t>（6）项目组织实施方案</w:t>
      </w:r>
    </w:p>
    <w:p>
      <w:pPr>
        <w:adjustRightInd w:val="0"/>
        <w:snapToGrid w:val="0"/>
        <w:spacing w:line="440" w:lineRule="exact"/>
        <w:ind w:firstLine="480"/>
        <w:jc w:val="left"/>
        <w:rPr>
          <w:rFonts w:ascii="宋体" w:hAnsi="宋体" w:cs="宋体"/>
          <w:bCs/>
          <w:sz w:val="24"/>
        </w:rPr>
      </w:pPr>
      <w:r>
        <w:rPr>
          <w:rFonts w:hint="eastAsia" w:ascii="宋体" w:hAnsi="宋体" w:cs="宋体"/>
          <w:bCs/>
          <w:sz w:val="24"/>
        </w:rPr>
        <w:t>（7）项目规章管理制度</w:t>
      </w:r>
    </w:p>
    <w:p>
      <w:pPr>
        <w:adjustRightInd w:val="0"/>
        <w:snapToGrid w:val="0"/>
        <w:spacing w:line="440" w:lineRule="exact"/>
        <w:ind w:firstLine="480"/>
        <w:jc w:val="left"/>
        <w:rPr>
          <w:rFonts w:ascii="宋体" w:hAnsi="宋体" w:cs="宋体"/>
          <w:bCs/>
          <w:sz w:val="24"/>
        </w:rPr>
      </w:pPr>
      <w:r>
        <w:rPr>
          <w:rFonts w:hint="eastAsia" w:ascii="宋体" w:hAnsi="宋体" w:cs="宋体"/>
          <w:bCs/>
          <w:sz w:val="24"/>
        </w:rPr>
        <w:t>（8）项目进度计划</w:t>
      </w:r>
    </w:p>
    <w:p>
      <w:pPr>
        <w:adjustRightInd w:val="0"/>
        <w:snapToGrid w:val="0"/>
        <w:spacing w:line="440" w:lineRule="exact"/>
        <w:ind w:firstLine="480"/>
        <w:jc w:val="left"/>
        <w:rPr>
          <w:rFonts w:ascii="宋体" w:hAnsi="宋体" w:cs="宋体"/>
          <w:bCs/>
          <w:sz w:val="24"/>
        </w:rPr>
      </w:pPr>
      <w:r>
        <w:rPr>
          <w:rFonts w:hint="eastAsia" w:ascii="宋体" w:hAnsi="宋体" w:cs="宋体"/>
          <w:bCs/>
          <w:sz w:val="24"/>
        </w:rPr>
        <w:t>（9）服务承诺</w:t>
      </w:r>
    </w:p>
    <w:p>
      <w:pPr>
        <w:adjustRightInd w:val="0"/>
        <w:snapToGrid w:val="0"/>
        <w:spacing w:line="240" w:lineRule="auto"/>
        <w:ind w:firstLine="480"/>
        <w:jc w:val="left"/>
        <w:rPr>
          <w:rFonts w:ascii="宋体" w:hAnsi="宋体" w:cs="宋体"/>
          <w:bCs/>
          <w:sz w:val="24"/>
        </w:rPr>
      </w:pPr>
    </w:p>
    <w:p>
      <w:pPr>
        <w:numPr>
          <w:ilvl w:val="0"/>
          <w:numId w:val="5"/>
        </w:numPr>
        <w:adjustRightInd w:val="0"/>
        <w:snapToGrid w:val="0"/>
        <w:spacing w:line="240" w:lineRule="auto"/>
        <w:ind w:firstLine="0" w:firstLineChars="0"/>
        <w:jc w:val="left"/>
        <w:rPr>
          <w:rFonts w:ascii="宋体" w:hAnsi="宋体" w:cs="宋体"/>
          <w:b/>
          <w:sz w:val="24"/>
        </w:rPr>
      </w:pPr>
      <w:r>
        <w:rPr>
          <w:rFonts w:hint="eastAsia" w:ascii="宋体" w:hAnsi="宋体" w:cs="宋体"/>
          <w:b/>
          <w:sz w:val="24"/>
        </w:rPr>
        <w:t>政府优惠政策</w:t>
      </w:r>
    </w:p>
    <w:p>
      <w:pPr>
        <w:numPr>
          <w:ilvl w:val="0"/>
          <w:numId w:val="7"/>
        </w:numPr>
        <w:adjustRightInd w:val="0"/>
        <w:snapToGrid w:val="0"/>
        <w:spacing w:line="440" w:lineRule="exact"/>
        <w:ind w:firstLine="480"/>
        <w:jc w:val="left"/>
        <w:rPr>
          <w:rFonts w:ascii="宋体" w:hAnsi="宋体" w:cs="宋体"/>
          <w:bCs/>
          <w:sz w:val="24"/>
        </w:rPr>
      </w:pPr>
      <w:r>
        <w:rPr>
          <w:rFonts w:hint="eastAsia" w:ascii="宋体" w:hAnsi="宋体" w:cs="宋体"/>
          <w:bCs/>
          <w:sz w:val="24"/>
        </w:rPr>
        <w:t>反商业贿赂承诺书（附件八）</w:t>
      </w:r>
    </w:p>
    <w:p>
      <w:pPr>
        <w:numPr>
          <w:ilvl w:val="0"/>
          <w:numId w:val="7"/>
        </w:numPr>
        <w:adjustRightInd w:val="0"/>
        <w:snapToGrid w:val="0"/>
        <w:spacing w:line="440" w:lineRule="exact"/>
        <w:ind w:firstLine="480"/>
        <w:jc w:val="left"/>
        <w:rPr>
          <w:rFonts w:ascii="宋体" w:hAnsi="宋体" w:cs="宋体"/>
          <w:bCs/>
          <w:sz w:val="24"/>
        </w:rPr>
      </w:pPr>
      <w:r>
        <w:rPr>
          <w:rFonts w:hint="eastAsia" w:ascii="宋体" w:hAnsi="宋体" w:cs="宋体"/>
          <w:bCs/>
          <w:sz w:val="24"/>
        </w:rPr>
        <w:t>中小企业声明函（附件九）</w:t>
      </w:r>
    </w:p>
    <w:p>
      <w:pPr>
        <w:numPr>
          <w:ilvl w:val="0"/>
          <w:numId w:val="7"/>
        </w:numPr>
        <w:adjustRightInd w:val="0"/>
        <w:snapToGrid w:val="0"/>
        <w:spacing w:line="440" w:lineRule="exact"/>
        <w:ind w:firstLine="480"/>
        <w:jc w:val="left"/>
        <w:rPr>
          <w:rFonts w:ascii="宋体" w:hAnsi="宋体" w:cs="宋体"/>
          <w:bCs/>
          <w:sz w:val="24"/>
        </w:rPr>
      </w:pPr>
      <w:r>
        <w:rPr>
          <w:rFonts w:hint="eastAsia" w:ascii="宋体" w:hAnsi="宋体" w:cs="宋体"/>
          <w:bCs/>
          <w:sz w:val="24"/>
        </w:rPr>
        <w:t>监狱企业证明材料（附件十）</w:t>
      </w:r>
    </w:p>
    <w:p>
      <w:pPr>
        <w:numPr>
          <w:ilvl w:val="0"/>
          <w:numId w:val="7"/>
        </w:numPr>
        <w:adjustRightInd w:val="0"/>
        <w:snapToGrid w:val="0"/>
        <w:spacing w:line="440" w:lineRule="exact"/>
        <w:ind w:firstLine="480"/>
        <w:jc w:val="left"/>
        <w:rPr>
          <w:rFonts w:ascii="宋体" w:hAnsi="宋体" w:cs="宋体"/>
          <w:b/>
          <w:sz w:val="24"/>
        </w:rPr>
      </w:pPr>
      <w:r>
        <w:rPr>
          <w:rFonts w:hint="eastAsia" w:ascii="宋体" w:hAnsi="宋体" w:cs="宋体"/>
          <w:bCs/>
          <w:sz w:val="24"/>
        </w:rPr>
        <w:t>残疾人福利性单位声明函（附件十一）</w:t>
      </w:r>
    </w:p>
    <w:p>
      <w:pPr>
        <w:adjustRightInd w:val="0"/>
        <w:snapToGrid w:val="0"/>
        <w:ind w:firstLine="422"/>
        <w:jc w:val="left"/>
        <w:outlineLvl w:val="0"/>
        <w:rPr>
          <w:rFonts w:ascii="宋体" w:hAnsi="宋体" w:cs="Courier New"/>
          <w:b/>
          <w:bCs/>
          <w:szCs w:val="28"/>
        </w:rPr>
      </w:pPr>
      <w:r>
        <w:rPr>
          <w:rFonts w:hint="eastAsia" w:ascii="黑体" w:hAnsi="黑体" w:eastAsia="黑体" w:cs="黑体"/>
          <w:b/>
          <w:kern w:val="0"/>
          <w:sz w:val="21"/>
          <w:szCs w:val="21"/>
        </w:rPr>
        <w:br w:type="page"/>
      </w:r>
      <w:bookmarkStart w:id="248" w:name="_Toc1751"/>
      <w:bookmarkStart w:id="249" w:name="_Toc24253"/>
      <w:r>
        <w:rPr>
          <w:rFonts w:hint="eastAsia" w:ascii="宋体" w:hAnsi="宋体" w:cs="Courier New"/>
          <w:b/>
          <w:bCs/>
          <w:szCs w:val="28"/>
        </w:rPr>
        <w:t>附件一</w:t>
      </w:r>
      <w:bookmarkEnd w:id="248"/>
      <w:bookmarkEnd w:id="249"/>
      <w:r>
        <w:rPr>
          <w:rFonts w:hint="eastAsia" w:ascii="宋体" w:hAnsi="宋体" w:cs="Courier New"/>
          <w:b/>
          <w:bCs/>
          <w:szCs w:val="28"/>
        </w:rPr>
        <w:t xml:space="preserve">  </w:t>
      </w:r>
    </w:p>
    <w:p>
      <w:pPr>
        <w:adjustRightInd w:val="0"/>
        <w:snapToGrid w:val="0"/>
        <w:ind w:firstLine="562"/>
        <w:jc w:val="left"/>
        <w:rPr>
          <w:rFonts w:ascii="宋体" w:hAnsi="宋体" w:cs="Courier New"/>
          <w:b/>
          <w:bCs/>
          <w:szCs w:val="28"/>
        </w:rPr>
      </w:pPr>
    </w:p>
    <w:p>
      <w:pPr>
        <w:adjustRightInd w:val="0"/>
        <w:snapToGrid w:val="0"/>
        <w:spacing w:line="440" w:lineRule="exact"/>
        <w:ind w:firstLine="482"/>
        <w:jc w:val="center"/>
        <w:rPr>
          <w:rFonts w:ascii="宋体" w:hAnsi="宋体" w:cs="宋体"/>
          <w:b/>
          <w:bCs/>
          <w:sz w:val="24"/>
        </w:rPr>
      </w:pPr>
      <w:bookmarkStart w:id="250" w:name="_Toc4164_WPSOffice_Level1"/>
      <w:r>
        <w:rPr>
          <w:rFonts w:hint="eastAsia" w:ascii="宋体" w:hAnsi="宋体" w:cs="宋体"/>
          <w:b/>
          <w:bCs/>
          <w:sz w:val="24"/>
        </w:rPr>
        <w:t>投   标   函</w:t>
      </w:r>
      <w:bookmarkEnd w:id="250"/>
    </w:p>
    <w:p>
      <w:pPr>
        <w:widowControl/>
        <w:adjustRightInd w:val="0"/>
        <w:snapToGrid w:val="0"/>
        <w:spacing w:line="440" w:lineRule="exact"/>
        <w:ind w:left="1" w:firstLine="480"/>
        <w:jc w:val="left"/>
        <w:rPr>
          <w:rFonts w:ascii="宋体" w:hAnsi="宋体" w:cs="宋体"/>
          <w:kern w:val="0"/>
          <w:sz w:val="24"/>
        </w:rPr>
      </w:pPr>
      <w:r>
        <w:rPr>
          <w:rFonts w:hint="eastAsia" w:ascii="宋体" w:hAnsi="宋体" w:cs="宋体"/>
          <w:sz w:val="24"/>
        </w:rPr>
        <w:t>致：</w:t>
      </w:r>
      <w:r>
        <w:rPr>
          <w:rFonts w:hint="eastAsia" w:ascii="宋体" w:hAnsi="宋体" w:cs="宋体"/>
          <w:sz w:val="24"/>
          <w:u w:val="single"/>
        </w:rPr>
        <w:t>（采购人）</w:t>
      </w:r>
    </w:p>
    <w:p>
      <w:pPr>
        <w:spacing w:line="440" w:lineRule="exact"/>
        <w:ind w:firstLine="480"/>
        <w:rPr>
          <w:rFonts w:ascii="宋体" w:hAnsi="宋体" w:cs="宋体"/>
          <w:sz w:val="24"/>
        </w:rPr>
      </w:pPr>
      <w:r>
        <w:rPr>
          <w:rFonts w:hint="eastAsia" w:ascii="宋体" w:hAnsi="宋体" w:cs="宋体"/>
          <w:sz w:val="24"/>
        </w:rPr>
        <w:t>1．我方已仔细研究了</w:t>
      </w:r>
      <w:r>
        <w:rPr>
          <w:rFonts w:hint="eastAsia" w:ascii="宋体" w:hAnsi="宋体" w:cs="宋体"/>
          <w:sz w:val="24"/>
          <w:u w:val="single"/>
        </w:rPr>
        <w:t xml:space="preserve">          </w:t>
      </w:r>
      <w:r>
        <w:rPr>
          <w:rFonts w:hint="eastAsia" w:ascii="宋体" w:hAnsi="宋体" w:cs="宋体"/>
          <w:sz w:val="24"/>
        </w:rPr>
        <w:t>（项目名称）磋商文件的全部内容，愿意以人民币（大写）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）的投标总报价，服务时限</w:t>
      </w:r>
      <w:r>
        <w:rPr>
          <w:rFonts w:hint="eastAsia" w:ascii="宋体" w:hAnsi="宋体" w:cs="宋体"/>
          <w:sz w:val="24"/>
          <w:u w:val="single"/>
        </w:rPr>
        <w:t xml:space="preserve">   年   月  日前</w:t>
      </w:r>
      <w:r>
        <w:rPr>
          <w:rFonts w:hint="eastAsia" w:ascii="宋体" w:hAnsi="宋体" w:cs="宋体"/>
          <w:sz w:val="24"/>
        </w:rPr>
        <w:t>，按合同约定实施和完成承包项目，修补项目中的任何缺陷，质量标准</w:t>
      </w:r>
      <w:r>
        <w:rPr>
          <w:rFonts w:hint="eastAsia" w:ascii="宋体" w:hAnsi="宋体" w:cs="宋体"/>
          <w:sz w:val="24"/>
          <w:u w:val="single"/>
        </w:rPr>
        <w:t xml:space="preserve">           </w:t>
      </w:r>
      <w:r>
        <w:rPr>
          <w:rFonts w:hint="eastAsia" w:ascii="宋体" w:hAnsi="宋体" w:cs="宋体"/>
          <w:sz w:val="24"/>
        </w:rPr>
        <w:t xml:space="preserve"> 。</w:t>
      </w:r>
    </w:p>
    <w:p>
      <w:pPr>
        <w:spacing w:line="440" w:lineRule="exact"/>
        <w:ind w:firstLine="480"/>
        <w:rPr>
          <w:rFonts w:ascii="宋体" w:hAnsi="宋体" w:cs="宋体"/>
          <w:sz w:val="24"/>
        </w:rPr>
      </w:pPr>
      <w:r>
        <w:rPr>
          <w:rFonts w:hint="eastAsia" w:ascii="宋体" w:hAnsi="宋体" w:cs="宋体"/>
          <w:sz w:val="24"/>
        </w:rPr>
        <w:t>2．我方保证在投标有效期内不修改、撤销投标文件。</w:t>
      </w:r>
    </w:p>
    <w:p>
      <w:pPr>
        <w:spacing w:line="440" w:lineRule="exact"/>
        <w:ind w:firstLine="480"/>
        <w:rPr>
          <w:rFonts w:ascii="宋体" w:hAnsi="宋体" w:cs="宋体"/>
          <w:sz w:val="24"/>
        </w:rPr>
      </w:pPr>
      <w:r>
        <w:rPr>
          <w:rFonts w:hint="eastAsia" w:ascii="宋体" w:hAnsi="宋体" w:cs="宋体"/>
          <w:sz w:val="24"/>
        </w:rPr>
        <w:t>3．随同本投标函提交投标保证金一份，金额为人民币（大写）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 xml:space="preserve"> ）。</w:t>
      </w:r>
    </w:p>
    <w:p>
      <w:pPr>
        <w:spacing w:line="440" w:lineRule="exact"/>
        <w:ind w:firstLine="480"/>
        <w:rPr>
          <w:rFonts w:ascii="宋体" w:hAnsi="宋体" w:cs="宋体"/>
          <w:sz w:val="24"/>
        </w:rPr>
      </w:pPr>
      <w:r>
        <w:rPr>
          <w:rFonts w:hint="eastAsia" w:ascii="宋体" w:hAnsi="宋体" w:cs="宋体"/>
          <w:sz w:val="24"/>
        </w:rPr>
        <w:t>4．如我方中标：</w:t>
      </w:r>
    </w:p>
    <w:p>
      <w:pPr>
        <w:spacing w:line="440" w:lineRule="exact"/>
        <w:ind w:firstLine="820" w:firstLineChars="342"/>
        <w:rPr>
          <w:rFonts w:ascii="宋体" w:hAnsi="宋体" w:cs="宋体"/>
          <w:sz w:val="24"/>
        </w:rPr>
      </w:pPr>
      <w:r>
        <w:rPr>
          <w:rFonts w:hint="eastAsia" w:ascii="宋体" w:hAnsi="宋体" w:cs="宋体"/>
          <w:sz w:val="24"/>
        </w:rPr>
        <w:t>（1）我方保证在收到中标通知书后，在中标通知书规定的期限内与你方签订合同。</w:t>
      </w:r>
    </w:p>
    <w:p>
      <w:pPr>
        <w:spacing w:line="440" w:lineRule="exact"/>
        <w:ind w:firstLine="820" w:firstLineChars="342"/>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）我方保证按照招标文件规定向你方递交履约保证金（如有）。</w:t>
      </w:r>
    </w:p>
    <w:p>
      <w:pPr>
        <w:spacing w:line="440" w:lineRule="exact"/>
        <w:ind w:firstLine="820" w:firstLineChars="342"/>
        <w:rPr>
          <w:rFonts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）我方保证在合同约定的期限内完成并移交全部合同工程。</w:t>
      </w:r>
    </w:p>
    <w:p>
      <w:pPr>
        <w:spacing w:line="440" w:lineRule="exact"/>
        <w:ind w:firstLine="480"/>
        <w:rPr>
          <w:rFonts w:ascii="宋体" w:hAnsi="宋体" w:cs="宋体"/>
          <w:sz w:val="24"/>
        </w:rPr>
      </w:pPr>
      <w:r>
        <w:rPr>
          <w:rFonts w:hint="eastAsia" w:ascii="宋体" w:hAnsi="宋体" w:cs="宋体"/>
          <w:sz w:val="24"/>
        </w:rPr>
        <w:t>5．我方在此声明，所递交的投标文件及有关资料内容完整、真实和准确。</w:t>
      </w:r>
    </w:p>
    <w:p>
      <w:pPr>
        <w:spacing w:line="440" w:lineRule="exact"/>
        <w:ind w:firstLine="480"/>
        <w:rPr>
          <w:rFonts w:ascii="宋体" w:hAnsi="宋体" w:cs="宋体"/>
          <w:sz w:val="24"/>
        </w:rPr>
      </w:pPr>
      <w:r>
        <w:rPr>
          <w:rFonts w:hint="eastAsia" w:ascii="宋体" w:hAnsi="宋体" w:cs="宋体"/>
          <w:sz w:val="24"/>
        </w:rPr>
        <w:t>6．</w:t>
      </w:r>
      <w:r>
        <w:rPr>
          <w:rFonts w:hint="eastAsia" w:ascii="宋体" w:hAnsi="宋体" w:cs="宋体"/>
          <w:sz w:val="24"/>
          <w:u w:val="single"/>
        </w:rPr>
        <w:t xml:space="preserve">                                       </w:t>
      </w:r>
      <w:r>
        <w:rPr>
          <w:rFonts w:hint="eastAsia" w:ascii="宋体" w:hAnsi="宋体" w:cs="宋体"/>
          <w:sz w:val="24"/>
        </w:rPr>
        <w:t>（其他补充说明）。</w:t>
      </w:r>
    </w:p>
    <w:p>
      <w:pPr>
        <w:spacing w:line="440" w:lineRule="exact"/>
        <w:ind w:firstLine="0" w:firstLineChars="0"/>
        <w:rPr>
          <w:rFonts w:ascii="宋体" w:hAnsi="宋体" w:cs="宋体"/>
          <w:sz w:val="24"/>
        </w:rPr>
      </w:pPr>
    </w:p>
    <w:p>
      <w:pPr>
        <w:spacing w:line="440" w:lineRule="exact"/>
        <w:ind w:firstLine="0" w:firstLineChars="0"/>
        <w:rPr>
          <w:rFonts w:ascii="宋体" w:hAnsi="宋体" w:cs="宋体"/>
          <w:sz w:val="24"/>
        </w:rPr>
      </w:pPr>
    </w:p>
    <w:p>
      <w:pPr>
        <w:spacing w:line="440" w:lineRule="exact"/>
        <w:ind w:firstLine="0" w:firstLineChars="0"/>
        <w:rPr>
          <w:rFonts w:ascii="宋体" w:hAnsi="宋体" w:cs="宋体"/>
          <w:sz w:val="24"/>
        </w:rPr>
      </w:pPr>
      <w:r>
        <w:rPr>
          <w:rFonts w:hint="eastAsia" w:ascii="宋体" w:hAnsi="宋体" w:cs="宋体"/>
          <w:sz w:val="24"/>
        </w:rPr>
        <w:t xml:space="preserve">                            投 标 人：</w:t>
      </w:r>
      <w:r>
        <w:rPr>
          <w:rFonts w:hint="eastAsia" w:ascii="宋体" w:hAnsi="宋体" w:cs="宋体"/>
          <w:sz w:val="24"/>
          <w:u w:val="single"/>
        </w:rPr>
        <w:t xml:space="preserve">                     </w:t>
      </w:r>
      <w:r>
        <w:rPr>
          <w:rFonts w:hint="eastAsia" w:ascii="宋体" w:hAnsi="宋体" w:cs="宋体"/>
          <w:sz w:val="24"/>
        </w:rPr>
        <w:t>（盖单位章）</w:t>
      </w:r>
    </w:p>
    <w:p>
      <w:pPr>
        <w:spacing w:line="440" w:lineRule="exact"/>
        <w:ind w:left="4080" w:hanging="4080" w:hangingChars="1700"/>
        <w:jc w:val="center"/>
        <w:rPr>
          <w:rFonts w:ascii="宋体" w:hAnsi="宋体" w:cs="宋体"/>
          <w:sz w:val="24"/>
        </w:rPr>
      </w:pPr>
      <w:r>
        <w:rPr>
          <w:rFonts w:hint="eastAsia" w:ascii="宋体" w:hAnsi="宋体" w:cs="宋体"/>
          <w:sz w:val="24"/>
        </w:rPr>
        <w:t xml:space="preserve">                        法定代表人签字或盖章/授权委托人签字：</w:t>
      </w:r>
      <w:r>
        <w:rPr>
          <w:rFonts w:hint="eastAsia" w:ascii="宋体" w:hAnsi="宋体" w:cs="宋体"/>
          <w:sz w:val="24"/>
          <w:u w:val="single"/>
        </w:rPr>
        <w:t xml:space="preserve">         </w:t>
      </w:r>
      <w:r>
        <w:rPr>
          <w:rFonts w:hint="eastAsia" w:ascii="宋体" w:hAnsi="宋体" w:cs="宋体"/>
          <w:sz w:val="24"/>
        </w:rPr>
        <w:t xml:space="preserve">                    </w:t>
      </w:r>
    </w:p>
    <w:p>
      <w:pPr>
        <w:spacing w:line="440" w:lineRule="exact"/>
        <w:ind w:firstLine="3360" w:firstLineChars="1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pPr>
        <w:spacing w:line="440" w:lineRule="exact"/>
        <w:ind w:firstLine="0" w:firstLineChars="0"/>
        <w:rPr>
          <w:rFonts w:ascii="宋体" w:hAnsi="宋体" w:cs="宋体"/>
          <w:sz w:val="24"/>
        </w:rPr>
      </w:pPr>
      <w:r>
        <w:rPr>
          <w:rFonts w:hint="eastAsia" w:ascii="宋体" w:hAnsi="宋体" w:cs="宋体"/>
          <w:sz w:val="24"/>
        </w:rPr>
        <w:t xml:space="preserve">                            电话：</w:t>
      </w:r>
    </w:p>
    <w:p>
      <w:pPr>
        <w:spacing w:line="440" w:lineRule="exact"/>
        <w:ind w:left="480" w:hanging="480" w:hangingChars="200"/>
        <w:contextualSpacing/>
        <w:rPr>
          <w:rFonts w:cs="Times New Roman"/>
          <w:sz w:val="20"/>
          <w:szCs w:val="20"/>
        </w:rPr>
      </w:pPr>
      <w:r>
        <w:rPr>
          <w:rFonts w:hint="eastAsia" w:ascii="宋体" w:hAnsi="宋体" w:cs="宋体"/>
          <w:sz w:val="24"/>
        </w:rPr>
        <w:t xml:space="preserve">                            日期：</w:t>
      </w:r>
    </w:p>
    <w:p>
      <w:pPr>
        <w:tabs>
          <w:tab w:val="left" w:pos="540"/>
          <w:tab w:val="left" w:pos="900"/>
        </w:tabs>
        <w:autoSpaceDE w:val="0"/>
        <w:autoSpaceDN w:val="0"/>
        <w:ind w:firstLine="5341" w:firstLineChars="1900"/>
        <w:textAlignment w:val="bottom"/>
        <w:rPr>
          <w:rFonts w:ascii="宋体" w:hAnsi="宋体" w:cs="Times New Roman"/>
          <w:b/>
          <w:bCs/>
          <w:szCs w:val="28"/>
        </w:rPr>
      </w:pPr>
    </w:p>
    <w:p>
      <w:pPr>
        <w:tabs>
          <w:tab w:val="left" w:pos="540"/>
          <w:tab w:val="left" w:pos="900"/>
        </w:tabs>
        <w:autoSpaceDE w:val="0"/>
        <w:autoSpaceDN w:val="0"/>
        <w:ind w:firstLine="5341" w:firstLineChars="1900"/>
        <w:textAlignment w:val="bottom"/>
        <w:rPr>
          <w:rFonts w:ascii="宋体" w:hAnsi="宋体" w:cs="Times New Roman"/>
          <w:b/>
          <w:bCs/>
          <w:szCs w:val="28"/>
        </w:rPr>
      </w:pPr>
    </w:p>
    <w:p>
      <w:pPr>
        <w:tabs>
          <w:tab w:val="left" w:pos="540"/>
          <w:tab w:val="left" w:pos="900"/>
        </w:tabs>
        <w:autoSpaceDE w:val="0"/>
        <w:autoSpaceDN w:val="0"/>
        <w:ind w:firstLine="5341" w:firstLineChars="1900"/>
        <w:textAlignment w:val="bottom"/>
        <w:rPr>
          <w:rFonts w:ascii="宋体" w:hAnsi="宋体" w:cs="Times New Roman"/>
          <w:b/>
          <w:bCs/>
          <w:szCs w:val="28"/>
        </w:rPr>
      </w:pPr>
    </w:p>
    <w:p>
      <w:pPr>
        <w:tabs>
          <w:tab w:val="left" w:pos="540"/>
          <w:tab w:val="left" w:pos="900"/>
        </w:tabs>
        <w:autoSpaceDE w:val="0"/>
        <w:autoSpaceDN w:val="0"/>
        <w:ind w:firstLine="0" w:firstLineChars="0"/>
        <w:textAlignment w:val="bottom"/>
        <w:rPr>
          <w:rFonts w:ascii="宋体" w:hAnsi="宋体" w:cs="Times New Roman"/>
          <w:b/>
          <w:bCs/>
          <w:szCs w:val="28"/>
        </w:rPr>
      </w:pPr>
    </w:p>
    <w:p>
      <w:pPr>
        <w:pStyle w:val="2"/>
      </w:pPr>
    </w:p>
    <w:p>
      <w:pPr>
        <w:tabs>
          <w:tab w:val="left" w:pos="540"/>
          <w:tab w:val="left" w:pos="900"/>
        </w:tabs>
        <w:autoSpaceDE w:val="0"/>
        <w:autoSpaceDN w:val="0"/>
        <w:ind w:firstLine="0" w:firstLineChars="0"/>
        <w:textAlignment w:val="bottom"/>
        <w:outlineLvl w:val="0"/>
        <w:rPr>
          <w:rFonts w:ascii="宋体" w:hAnsi="宋体" w:cs="宋体"/>
          <w:b/>
          <w:bCs/>
          <w:szCs w:val="28"/>
        </w:rPr>
      </w:pPr>
      <w:bookmarkStart w:id="251" w:name="_Toc30209"/>
      <w:bookmarkStart w:id="252" w:name="_Toc4540"/>
      <w:r>
        <w:rPr>
          <w:rFonts w:hint="eastAsia" w:ascii="宋体" w:hAnsi="宋体" w:cs="Times New Roman"/>
          <w:b/>
          <w:bCs/>
          <w:szCs w:val="28"/>
        </w:rPr>
        <w:t>附件二</w:t>
      </w:r>
      <w:bookmarkEnd w:id="251"/>
      <w:bookmarkEnd w:id="252"/>
      <w:r>
        <w:rPr>
          <w:rFonts w:hint="eastAsia" w:ascii="宋体" w:hAnsi="宋体" w:cs="Times New Roman"/>
          <w:b/>
          <w:bCs/>
          <w:szCs w:val="28"/>
        </w:rPr>
        <w:t xml:space="preserve">  </w:t>
      </w:r>
    </w:p>
    <w:p>
      <w:pPr>
        <w:spacing w:line="600" w:lineRule="exact"/>
        <w:ind w:firstLine="0" w:firstLineChars="0"/>
        <w:jc w:val="center"/>
        <w:rPr>
          <w:rFonts w:ascii="宋体" w:hAnsi="宋体" w:cs="Times New Roman"/>
          <w:b/>
          <w:bCs/>
          <w:sz w:val="24"/>
        </w:rPr>
      </w:pPr>
      <w:bookmarkStart w:id="253" w:name="_Toc19614_WPSOffice_Level1"/>
      <w:r>
        <w:rPr>
          <w:rFonts w:hint="eastAsia" w:ascii="宋体" w:hAnsi="宋体" w:cs="Times New Roman"/>
          <w:b/>
          <w:bCs/>
          <w:sz w:val="24"/>
        </w:rPr>
        <w:t>法定代表人身份证明书</w:t>
      </w:r>
      <w:bookmarkEnd w:id="253"/>
    </w:p>
    <w:p>
      <w:pPr>
        <w:spacing w:line="600" w:lineRule="exact"/>
        <w:ind w:firstLine="0" w:firstLineChars="0"/>
        <w:rPr>
          <w:rFonts w:ascii="宋体" w:hAnsi="宋体" w:cs="Times New Roman"/>
          <w:b/>
          <w:sz w:val="24"/>
        </w:rPr>
      </w:pPr>
    </w:p>
    <w:p>
      <w:pPr>
        <w:spacing w:line="600" w:lineRule="exact"/>
        <w:ind w:firstLine="540" w:firstLineChars="0"/>
        <w:rPr>
          <w:rFonts w:ascii="宋体" w:hAnsi="宋体" w:cs="Times New Roman"/>
          <w:sz w:val="24"/>
          <w:u w:val="single"/>
        </w:rPr>
      </w:pPr>
      <w:r>
        <w:rPr>
          <w:rFonts w:hint="eastAsia" w:ascii="宋体" w:hAnsi="宋体" w:cs="Times New Roman"/>
          <w:sz w:val="24"/>
        </w:rPr>
        <w:t>单位名称：</w:t>
      </w:r>
      <w:r>
        <w:rPr>
          <w:rFonts w:hint="eastAsia" w:ascii="宋体" w:hAnsi="宋体" w:cs="Times New Roman"/>
          <w:sz w:val="24"/>
          <w:u w:val="single"/>
        </w:rPr>
        <w:t xml:space="preserve">                              </w:t>
      </w:r>
      <w:r>
        <w:rPr>
          <w:rFonts w:hint="eastAsia" w:ascii="宋体" w:hAnsi="宋体" w:cs="Times New Roman"/>
          <w:sz w:val="24"/>
          <w:u w:val="single"/>
        </w:rPr>
        <w:tab/>
      </w:r>
      <w:r>
        <w:rPr>
          <w:rFonts w:hint="eastAsia" w:ascii="宋体" w:hAnsi="宋体" w:cs="Times New Roman"/>
          <w:sz w:val="24"/>
          <w:u w:val="single"/>
        </w:rPr>
        <w:t xml:space="preserve">       </w:t>
      </w:r>
    </w:p>
    <w:p>
      <w:pPr>
        <w:spacing w:line="600" w:lineRule="exact"/>
        <w:ind w:firstLine="540" w:firstLineChars="0"/>
        <w:rPr>
          <w:rFonts w:ascii="宋体" w:hAnsi="宋体" w:cs="Times New Roman"/>
          <w:sz w:val="24"/>
        </w:rPr>
      </w:pPr>
      <w:r>
        <w:rPr>
          <w:rFonts w:hint="eastAsia" w:ascii="宋体" w:hAnsi="宋体" w:cs="Times New Roman"/>
          <w:sz w:val="24"/>
        </w:rPr>
        <w:t>单位性质：</w:t>
      </w:r>
      <w:r>
        <w:rPr>
          <w:rFonts w:hint="eastAsia" w:ascii="宋体" w:hAnsi="宋体" w:cs="Times New Roman"/>
          <w:sz w:val="24"/>
          <w:u w:val="single"/>
        </w:rPr>
        <w:t xml:space="preserve">                              </w:t>
      </w:r>
      <w:r>
        <w:rPr>
          <w:rFonts w:hint="eastAsia" w:ascii="宋体" w:hAnsi="宋体" w:cs="Times New Roman"/>
          <w:sz w:val="24"/>
          <w:u w:val="single"/>
        </w:rPr>
        <w:tab/>
      </w:r>
      <w:r>
        <w:rPr>
          <w:rFonts w:hint="eastAsia" w:ascii="宋体" w:hAnsi="宋体" w:cs="Times New Roman"/>
          <w:sz w:val="24"/>
          <w:u w:val="single"/>
        </w:rPr>
        <w:t xml:space="preserve">       </w:t>
      </w:r>
    </w:p>
    <w:p>
      <w:pPr>
        <w:spacing w:line="600" w:lineRule="exact"/>
        <w:ind w:firstLine="540" w:firstLineChars="0"/>
        <w:rPr>
          <w:rFonts w:ascii="宋体" w:hAnsi="宋体" w:cs="Times New Roman"/>
          <w:sz w:val="24"/>
          <w:u w:val="single"/>
        </w:rPr>
      </w:pPr>
      <w:r>
        <w:rPr>
          <w:rFonts w:hint="eastAsia" w:ascii="宋体" w:hAnsi="宋体" w:cs="Times New Roman"/>
          <w:sz w:val="24"/>
        </w:rPr>
        <w:t>地    址：</w:t>
      </w:r>
      <w:r>
        <w:rPr>
          <w:rFonts w:hint="eastAsia" w:ascii="宋体" w:hAnsi="宋体" w:cs="Times New Roman"/>
          <w:sz w:val="24"/>
          <w:u w:val="single"/>
        </w:rPr>
        <w:t xml:space="preserve">                              </w:t>
      </w:r>
      <w:r>
        <w:rPr>
          <w:rFonts w:hint="eastAsia" w:ascii="宋体" w:hAnsi="宋体" w:cs="Times New Roman"/>
          <w:sz w:val="24"/>
          <w:u w:val="single"/>
        </w:rPr>
        <w:tab/>
      </w:r>
      <w:r>
        <w:rPr>
          <w:rFonts w:hint="eastAsia" w:ascii="宋体" w:hAnsi="宋体" w:cs="Times New Roman"/>
          <w:sz w:val="24"/>
          <w:u w:val="single"/>
        </w:rPr>
        <w:t xml:space="preserve">       </w:t>
      </w:r>
    </w:p>
    <w:p>
      <w:pPr>
        <w:spacing w:line="600" w:lineRule="exact"/>
        <w:ind w:firstLine="540" w:firstLineChars="0"/>
        <w:rPr>
          <w:rFonts w:ascii="宋体" w:hAnsi="宋体" w:cs="Times New Roman"/>
          <w:sz w:val="24"/>
        </w:rPr>
      </w:pPr>
      <w:r>
        <w:rPr>
          <w:rFonts w:hint="eastAsia" w:ascii="宋体" w:hAnsi="宋体" w:cs="Times New Roman"/>
          <w:sz w:val="24"/>
        </w:rPr>
        <w:t>成立时间：</w:t>
      </w:r>
      <w:r>
        <w:rPr>
          <w:rFonts w:hint="eastAsia" w:ascii="宋体" w:hAnsi="宋体" w:cs="Times New Roman"/>
          <w:sz w:val="24"/>
          <w:u w:val="single"/>
        </w:rPr>
        <w:t xml:space="preserve">      </w:t>
      </w:r>
      <w:r>
        <w:rPr>
          <w:rFonts w:hint="eastAsia" w:ascii="宋体" w:hAnsi="宋体" w:cs="Times New Roman"/>
          <w:sz w:val="24"/>
        </w:rPr>
        <w:t>年</w:t>
      </w:r>
      <w:r>
        <w:rPr>
          <w:rFonts w:hint="eastAsia" w:ascii="宋体" w:hAnsi="宋体" w:cs="Times New Roman"/>
          <w:sz w:val="24"/>
          <w:u w:val="single"/>
        </w:rPr>
        <w:t xml:space="preserve">       </w:t>
      </w:r>
      <w:r>
        <w:rPr>
          <w:rFonts w:hint="eastAsia" w:ascii="宋体" w:hAnsi="宋体" w:cs="Times New Roman"/>
          <w:sz w:val="24"/>
        </w:rPr>
        <w:t>月</w:t>
      </w:r>
      <w:r>
        <w:rPr>
          <w:rFonts w:hint="eastAsia" w:ascii="宋体" w:hAnsi="宋体" w:cs="Times New Roman"/>
          <w:sz w:val="24"/>
          <w:u w:val="single"/>
        </w:rPr>
        <w:t xml:space="preserve">       </w:t>
      </w:r>
      <w:r>
        <w:rPr>
          <w:rFonts w:hint="eastAsia" w:ascii="宋体" w:hAnsi="宋体" w:cs="Times New Roman"/>
          <w:sz w:val="24"/>
        </w:rPr>
        <w:t>日</w:t>
      </w:r>
    </w:p>
    <w:p>
      <w:pPr>
        <w:spacing w:line="600" w:lineRule="exact"/>
        <w:ind w:firstLine="540" w:firstLineChars="0"/>
        <w:rPr>
          <w:rFonts w:ascii="宋体" w:hAnsi="宋体" w:cs="Times New Roman"/>
          <w:sz w:val="24"/>
        </w:rPr>
      </w:pPr>
      <w:r>
        <w:rPr>
          <w:rFonts w:hint="eastAsia" w:ascii="宋体" w:hAnsi="宋体" w:cs="Times New Roman"/>
          <w:sz w:val="24"/>
        </w:rPr>
        <w:t>经营期限：</w:t>
      </w:r>
      <w:r>
        <w:rPr>
          <w:rFonts w:hint="eastAsia" w:ascii="宋体" w:hAnsi="宋体" w:cs="Times New Roman"/>
          <w:sz w:val="24"/>
          <w:u w:val="single"/>
        </w:rPr>
        <w:t xml:space="preserve">                              </w:t>
      </w:r>
      <w:r>
        <w:rPr>
          <w:rFonts w:hint="eastAsia" w:ascii="宋体" w:hAnsi="宋体" w:cs="Times New Roman"/>
          <w:sz w:val="24"/>
          <w:u w:val="single"/>
        </w:rPr>
        <w:tab/>
      </w:r>
      <w:r>
        <w:rPr>
          <w:rFonts w:hint="eastAsia" w:ascii="宋体" w:hAnsi="宋体" w:cs="Times New Roman"/>
          <w:sz w:val="24"/>
          <w:u w:val="single"/>
        </w:rPr>
        <w:t xml:space="preserve">       </w:t>
      </w:r>
    </w:p>
    <w:p>
      <w:pPr>
        <w:spacing w:line="600" w:lineRule="exact"/>
        <w:ind w:firstLine="540" w:firstLineChars="0"/>
        <w:rPr>
          <w:rFonts w:ascii="宋体" w:hAnsi="宋体" w:cs="Times New Roman"/>
          <w:sz w:val="24"/>
        </w:rPr>
      </w:pPr>
      <w:r>
        <w:rPr>
          <w:rFonts w:hint="eastAsia" w:ascii="宋体" w:hAnsi="宋体" w:cs="Times New Roman"/>
          <w:sz w:val="24"/>
        </w:rPr>
        <w:t>姓    名：</w:t>
      </w:r>
      <w:r>
        <w:rPr>
          <w:rFonts w:hint="eastAsia" w:ascii="宋体" w:hAnsi="宋体" w:cs="Times New Roman"/>
          <w:sz w:val="24"/>
          <w:u w:val="single"/>
        </w:rPr>
        <w:t xml:space="preserve">             </w:t>
      </w:r>
      <w:r>
        <w:rPr>
          <w:rFonts w:hint="eastAsia" w:ascii="宋体" w:hAnsi="宋体" w:cs="Times New Roman"/>
          <w:sz w:val="24"/>
        </w:rPr>
        <w:t xml:space="preserve"> 性  别：</w:t>
      </w:r>
      <w:r>
        <w:rPr>
          <w:rFonts w:hint="eastAsia" w:ascii="宋体" w:hAnsi="宋体" w:cs="Times New Roman"/>
          <w:sz w:val="24"/>
          <w:u w:val="single"/>
        </w:rPr>
        <w:t xml:space="preserve">   </w:t>
      </w:r>
      <w:r>
        <w:rPr>
          <w:rFonts w:hint="eastAsia" w:ascii="宋体" w:hAnsi="宋体" w:cs="Times New Roman"/>
          <w:sz w:val="24"/>
          <w:u w:val="single"/>
        </w:rPr>
        <w:tab/>
      </w:r>
      <w:r>
        <w:rPr>
          <w:rFonts w:hint="eastAsia" w:ascii="宋体" w:hAnsi="宋体" w:cs="Times New Roman"/>
          <w:sz w:val="24"/>
          <w:u w:val="single"/>
        </w:rPr>
        <w:t xml:space="preserve">   </w:t>
      </w:r>
      <w:r>
        <w:rPr>
          <w:rFonts w:hint="eastAsia" w:ascii="宋体" w:hAnsi="宋体" w:cs="Times New Roman"/>
          <w:sz w:val="24"/>
          <w:u w:val="single"/>
        </w:rPr>
        <w:tab/>
      </w:r>
      <w:r>
        <w:rPr>
          <w:rFonts w:hint="eastAsia" w:ascii="宋体" w:hAnsi="宋体" w:cs="Times New Roman"/>
          <w:sz w:val="24"/>
          <w:u w:val="single"/>
        </w:rPr>
        <w:t xml:space="preserve">       </w:t>
      </w:r>
    </w:p>
    <w:p>
      <w:pPr>
        <w:spacing w:line="600" w:lineRule="exact"/>
        <w:ind w:firstLine="540" w:firstLineChars="0"/>
        <w:rPr>
          <w:rFonts w:ascii="宋体" w:hAnsi="宋体" w:cs="Times New Roman"/>
          <w:sz w:val="24"/>
        </w:rPr>
      </w:pPr>
      <w:r>
        <w:rPr>
          <w:rFonts w:hint="eastAsia" w:ascii="宋体" w:hAnsi="宋体" w:cs="Times New Roman"/>
          <w:sz w:val="24"/>
        </w:rPr>
        <w:t>年    龄：</w:t>
      </w:r>
      <w:r>
        <w:rPr>
          <w:rFonts w:hint="eastAsia" w:ascii="宋体" w:hAnsi="宋体" w:cs="Times New Roman"/>
          <w:sz w:val="24"/>
          <w:u w:val="single"/>
        </w:rPr>
        <w:t xml:space="preserve">             </w:t>
      </w:r>
      <w:r>
        <w:rPr>
          <w:rFonts w:hint="eastAsia" w:ascii="宋体" w:hAnsi="宋体" w:cs="Times New Roman"/>
          <w:sz w:val="24"/>
        </w:rPr>
        <w:t xml:space="preserve"> 职  务：</w:t>
      </w:r>
      <w:r>
        <w:rPr>
          <w:rFonts w:hint="eastAsia" w:ascii="宋体" w:hAnsi="宋体" w:cs="Times New Roman"/>
          <w:sz w:val="24"/>
          <w:u w:val="single"/>
        </w:rPr>
        <w:tab/>
      </w:r>
      <w:r>
        <w:rPr>
          <w:rFonts w:hint="eastAsia" w:ascii="宋体" w:hAnsi="宋体" w:cs="Times New Roman"/>
          <w:sz w:val="24"/>
          <w:u w:val="single"/>
        </w:rPr>
        <w:t xml:space="preserve">           </w:t>
      </w:r>
      <w:r>
        <w:rPr>
          <w:rFonts w:hint="eastAsia" w:ascii="宋体" w:hAnsi="宋体" w:cs="Times New Roman"/>
          <w:sz w:val="24"/>
          <w:u w:val="single"/>
        </w:rPr>
        <w:tab/>
      </w:r>
    </w:p>
    <w:p>
      <w:pPr>
        <w:spacing w:line="600" w:lineRule="exact"/>
        <w:ind w:firstLine="0" w:firstLineChars="0"/>
        <w:rPr>
          <w:rFonts w:ascii="宋体" w:hAnsi="宋体" w:cs="Times New Roman"/>
          <w:sz w:val="24"/>
        </w:rPr>
      </w:pPr>
      <w:r>
        <w:rPr>
          <w:rFonts w:hint="eastAsia" w:ascii="宋体" w:hAnsi="宋体" w:cs="Times New Roman"/>
          <w:sz w:val="24"/>
        </w:rPr>
        <w:t xml:space="preserve">    系</w:t>
      </w:r>
      <w:r>
        <w:rPr>
          <w:rFonts w:hint="eastAsia" w:ascii="宋体" w:hAnsi="宋体" w:cs="Times New Roman"/>
          <w:sz w:val="24"/>
          <w:u w:val="single"/>
        </w:rPr>
        <w:t xml:space="preserve">                                      </w:t>
      </w:r>
      <w:r>
        <w:rPr>
          <w:rFonts w:hint="eastAsia" w:ascii="宋体" w:hAnsi="宋体" w:cs="Times New Roman"/>
          <w:sz w:val="24"/>
        </w:rPr>
        <w:t>的法定代表人。</w:t>
      </w:r>
    </w:p>
    <w:tbl>
      <w:tblPr>
        <w:tblStyle w:val="20"/>
        <w:tblpPr w:leftFromText="180" w:rightFromText="180" w:vertAnchor="text" w:horzAnchor="page" w:tblpX="2318" w:tblpY="311"/>
        <w:tblOverlap w:val="never"/>
        <w:tblW w:w="5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5560" w:type="dxa"/>
            <w:vAlign w:val="center"/>
          </w:tcPr>
          <w:p>
            <w:pPr>
              <w:spacing w:line="440" w:lineRule="exact"/>
              <w:ind w:firstLine="0" w:firstLineChars="0"/>
              <w:jc w:val="center"/>
              <w:rPr>
                <w:rFonts w:ascii="宋体" w:hAnsi="宋体" w:cs="宋体"/>
                <w:sz w:val="24"/>
              </w:rPr>
            </w:pPr>
            <w:r>
              <w:rPr>
                <w:rFonts w:hint="eastAsia" w:ascii="宋体" w:hAnsi="宋体" w:cs="宋体"/>
                <w:sz w:val="24"/>
              </w:rPr>
              <w:t>法定代表人身份证复印件正、反面</w:t>
            </w:r>
          </w:p>
        </w:tc>
      </w:tr>
    </w:tbl>
    <w:p>
      <w:pPr>
        <w:spacing w:line="600" w:lineRule="exact"/>
        <w:ind w:firstLine="610" w:firstLineChars="0"/>
        <w:rPr>
          <w:rFonts w:ascii="宋体" w:hAnsi="宋体" w:cs="Times New Roman"/>
          <w:sz w:val="24"/>
          <w:u w:val="single"/>
        </w:rPr>
      </w:pPr>
    </w:p>
    <w:p>
      <w:pPr>
        <w:spacing w:line="600" w:lineRule="exact"/>
        <w:ind w:firstLine="0" w:firstLineChars="0"/>
        <w:rPr>
          <w:rFonts w:ascii="宋体" w:hAnsi="宋体" w:cs="Times New Roman"/>
          <w:sz w:val="24"/>
        </w:rPr>
      </w:pPr>
      <w:r>
        <w:rPr>
          <w:rFonts w:hint="eastAsia" w:ascii="宋体" w:hAnsi="宋体" w:cs="Times New Roman"/>
          <w:sz w:val="24"/>
        </w:rPr>
        <w:t xml:space="preserve">   </w:t>
      </w:r>
    </w:p>
    <w:p>
      <w:pPr>
        <w:tabs>
          <w:tab w:val="left" w:pos="720"/>
          <w:tab w:val="left" w:pos="900"/>
        </w:tabs>
        <w:spacing w:line="600" w:lineRule="exact"/>
        <w:ind w:firstLine="2880" w:firstLineChars="1200"/>
        <w:rPr>
          <w:rFonts w:ascii="宋体" w:hAnsi="宋体" w:cs="Times New Roman"/>
          <w:sz w:val="24"/>
        </w:rPr>
      </w:pPr>
    </w:p>
    <w:p>
      <w:pPr>
        <w:tabs>
          <w:tab w:val="left" w:pos="720"/>
          <w:tab w:val="left" w:pos="900"/>
        </w:tabs>
        <w:spacing w:line="600" w:lineRule="exact"/>
        <w:ind w:firstLine="2880" w:firstLineChars="1200"/>
        <w:rPr>
          <w:rFonts w:ascii="宋体" w:hAnsi="宋体" w:cs="Times New Roman"/>
          <w:sz w:val="24"/>
        </w:rPr>
      </w:pPr>
    </w:p>
    <w:p>
      <w:pPr>
        <w:tabs>
          <w:tab w:val="left" w:pos="720"/>
          <w:tab w:val="left" w:pos="900"/>
        </w:tabs>
        <w:spacing w:line="600" w:lineRule="exact"/>
        <w:ind w:firstLine="0" w:firstLineChars="0"/>
        <w:rPr>
          <w:rFonts w:ascii="宋体" w:hAnsi="宋体" w:cs="Times New Roman"/>
          <w:sz w:val="24"/>
        </w:rPr>
      </w:pPr>
    </w:p>
    <w:p>
      <w:pPr>
        <w:tabs>
          <w:tab w:val="left" w:pos="720"/>
          <w:tab w:val="left" w:pos="900"/>
        </w:tabs>
        <w:spacing w:line="600" w:lineRule="exact"/>
        <w:ind w:firstLine="0" w:firstLineChars="0"/>
        <w:rPr>
          <w:rFonts w:ascii="宋体" w:hAnsi="宋体" w:cs="Times New Roman"/>
          <w:sz w:val="24"/>
        </w:rPr>
      </w:pPr>
      <w:r>
        <w:rPr>
          <w:rFonts w:hint="eastAsia" w:ascii="宋体" w:hAnsi="宋体" w:cs="Times New Roman"/>
          <w:sz w:val="24"/>
        </w:rPr>
        <w:t xml:space="preserve">特此证明。       </w:t>
      </w:r>
    </w:p>
    <w:p>
      <w:pPr>
        <w:tabs>
          <w:tab w:val="left" w:pos="720"/>
          <w:tab w:val="left" w:pos="900"/>
        </w:tabs>
        <w:spacing w:line="600" w:lineRule="exact"/>
        <w:ind w:firstLine="4800" w:firstLineChars="2000"/>
        <w:rPr>
          <w:rFonts w:ascii="宋体" w:hAnsi="宋体" w:cs="Times New Roman"/>
          <w:sz w:val="24"/>
        </w:rPr>
      </w:pPr>
    </w:p>
    <w:p>
      <w:pPr>
        <w:tabs>
          <w:tab w:val="left" w:pos="720"/>
          <w:tab w:val="left" w:pos="900"/>
        </w:tabs>
        <w:spacing w:line="600" w:lineRule="exact"/>
        <w:ind w:firstLine="4800" w:firstLineChars="2000"/>
        <w:rPr>
          <w:rFonts w:ascii="宋体" w:hAnsi="宋体" w:cs="Times New Roman"/>
          <w:sz w:val="24"/>
          <w:u w:val="single"/>
        </w:rPr>
      </w:pPr>
      <w:r>
        <w:rPr>
          <w:rFonts w:hint="eastAsia" w:ascii="宋体" w:hAnsi="宋体" w:cs="Times New Roman"/>
          <w:sz w:val="24"/>
        </w:rPr>
        <w:t>投 标 人：（盖公章）</w:t>
      </w:r>
      <w:r>
        <w:rPr>
          <w:rFonts w:hint="eastAsia" w:ascii="宋体" w:hAnsi="宋体" w:cs="Times New Roman"/>
          <w:sz w:val="24"/>
          <w:u w:val="single"/>
        </w:rPr>
        <w:t xml:space="preserve">                  </w:t>
      </w:r>
    </w:p>
    <w:p>
      <w:pPr>
        <w:spacing w:line="240" w:lineRule="auto"/>
        <w:ind w:firstLine="4800" w:firstLineChars="2000"/>
        <w:rPr>
          <w:rFonts w:ascii="宋体" w:hAnsi="宋体" w:cs="Times New Roman"/>
          <w:sz w:val="24"/>
        </w:rPr>
      </w:pPr>
    </w:p>
    <w:p>
      <w:pPr>
        <w:spacing w:line="240" w:lineRule="auto"/>
        <w:ind w:firstLine="4800" w:firstLineChars="2000"/>
        <w:rPr>
          <w:rFonts w:ascii="宋体" w:hAnsi="宋体" w:cs="Times New Roman"/>
          <w:sz w:val="24"/>
        </w:rPr>
      </w:pPr>
      <w:r>
        <w:rPr>
          <w:rFonts w:hint="eastAsia" w:ascii="宋体" w:hAnsi="宋体" w:cs="Times New Roman"/>
          <w:sz w:val="24"/>
        </w:rPr>
        <w:t>法定代表人签字或盖章</w:t>
      </w:r>
      <w:r>
        <w:rPr>
          <w:rFonts w:hint="eastAsia" w:ascii="宋体" w:hAnsi="宋体" w:cs="Times New Roman"/>
          <w:sz w:val="24"/>
          <w:u w:val="single"/>
        </w:rPr>
        <w:t xml:space="preserve">                 </w:t>
      </w:r>
      <w:r>
        <w:rPr>
          <w:rFonts w:hint="eastAsia" w:ascii="宋体" w:hAnsi="宋体" w:cs="Times New Roman"/>
          <w:sz w:val="24"/>
        </w:rPr>
        <w:t xml:space="preserve">              </w:t>
      </w:r>
    </w:p>
    <w:p>
      <w:pPr>
        <w:spacing w:line="240" w:lineRule="auto"/>
        <w:ind w:firstLine="0" w:firstLineChars="0"/>
        <w:rPr>
          <w:rFonts w:ascii="宋体" w:hAnsi="宋体" w:cs="Times New Roman"/>
          <w:sz w:val="24"/>
        </w:rPr>
      </w:pPr>
      <w:r>
        <w:rPr>
          <w:rFonts w:hint="eastAsia" w:ascii="宋体" w:hAnsi="宋体" w:cs="Times New Roman"/>
          <w:sz w:val="24"/>
        </w:rPr>
        <w:t xml:space="preserve">                                       </w:t>
      </w:r>
    </w:p>
    <w:p>
      <w:pPr>
        <w:adjustRightInd w:val="0"/>
        <w:snapToGrid w:val="0"/>
        <w:spacing w:line="360" w:lineRule="auto"/>
        <w:ind w:firstLine="0" w:firstLineChars="0"/>
        <w:jc w:val="center"/>
        <w:rPr>
          <w:rFonts w:ascii="宋体" w:hAnsi="宋体" w:cs="Times New Roman"/>
          <w:b/>
          <w:sz w:val="24"/>
          <w:szCs w:val="24"/>
          <w:u w:val="single"/>
        </w:rPr>
      </w:pPr>
      <w:r>
        <w:rPr>
          <w:rFonts w:hint="eastAsia" w:ascii="宋体" w:hAnsi="宋体" w:cs="Times New Roman"/>
          <w:sz w:val="24"/>
        </w:rPr>
        <w:t xml:space="preserve">                    日    期： 　　  </w:t>
      </w:r>
      <w:r>
        <w:rPr>
          <w:rFonts w:hint="eastAsia" w:ascii="黑体" w:hAnsi="黑体" w:eastAsia="黑体" w:cs="黑体"/>
          <w:b/>
          <w:kern w:val="0"/>
          <w:sz w:val="21"/>
          <w:szCs w:val="21"/>
        </w:rPr>
        <w:br w:type="page"/>
      </w:r>
      <w:bookmarkStart w:id="254" w:name="_Toc23410_WPSOffice_Level1"/>
      <w:r>
        <w:rPr>
          <w:rFonts w:hint="eastAsia" w:ascii="宋体" w:hAnsi="宋体" w:cs="Times New Roman"/>
          <w:b/>
          <w:bCs/>
          <w:sz w:val="24"/>
          <w:szCs w:val="24"/>
        </w:rPr>
        <w:t>授权委托书</w:t>
      </w:r>
      <w:bookmarkEnd w:id="254"/>
    </w:p>
    <w:p>
      <w:pPr>
        <w:widowControl/>
        <w:adjustRightInd w:val="0"/>
        <w:snapToGrid w:val="0"/>
        <w:spacing w:line="440" w:lineRule="exact"/>
        <w:ind w:left="1" w:firstLine="482"/>
        <w:jc w:val="left"/>
        <w:rPr>
          <w:rFonts w:ascii="宋体" w:hAnsi="宋体" w:cs="宋体"/>
          <w:b/>
          <w:kern w:val="0"/>
          <w:sz w:val="24"/>
          <w:u w:val="single"/>
        </w:rPr>
      </w:pPr>
      <w:r>
        <w:rPr>
          <w:rFonts w:hint="eastAsia" w:ascii="宋体" w:hAnsi="宋体" w:cs="宋体"/>
          <w:b/>
          <w:kern w:val="0"/>
          <w:sz w:val="24"/>
          <w:u w:val="single"/>
        </w:rPr>
        <w:t>致：（采购人）</w:t>
      </w:r>
    </w:p>
    <w:p>
      <w:pPr>
        <w:topLinePunct/>
        <w:spacing w:line="440" w:lineRule="exact"/>
        <w:ind w:firstLine="480"/>
        <w:rPr>
          <w:rFonts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（投标人名称）的法定代表人，现委托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rPr>
        <w:t>项目磋商文件、签订合同和处理有关事宜，其法律后果由我方承担。</w:t>
      </w:r>
    </w:p>
    <w:p>
      <w:pPr>
        <w:spacing w:line="440" w:lineRule="exact"/>
        <w:ind w:firstLine="0" w:firstLineChars="0"/>
        <w:rPr>
          <w:rFonts w:ascii="宋体" w:hAnsi="宋体" w:cs="宋体"/>
          <w:sz w:val="24"/>
        </w:rPr>
      </w:pPr>
      <w:r>
        <w:rPr>
          <w:rFonts w:hint="eastAsia" w:ascii="宋体" w:hAnsi="宋体" w:cs="宋体"/>
          <w:sz w:val="24"/>
        </w:rPr>
        <w:t xml:space="preserve">    委托期限：</w:t>
      </w:r>
      <w:r>
        <w:rPr>
          <w:rFonts w:hint="eastAsia" w:ascii="宋体" w:hAnsi="宋体" w:cs="宋体"/>
          <w:sz w:val="24"/>
          <w:u w:val="single"/>
        </w:rPr>
        <w:t xml:space="preserve">             </w:t>
      </w:r>
      <w:r>
        <w:rPr>
          <w:rFonts w:hint="eastAsia" w:ascii="宋体" w:hAnsi="宋体" w:cs="宋体"/>
          <w:sz w:val="24"/>
        </w:rPr>
        <w:t>。</w:t>
      </w:r>
    </w:p>
    <w:p>
      <w:pPr>
        <w:spacing w:line="440" w:lineRule="exact"/>
        <w:ind w:firstLine="480"/>
        <w:rPr>
          <w:rFonts w:ascii="宋体" w:hAnsi="宋体" w:cs="宋体"/>
          <w:sz w:val="24"/>
        </w:rPr>
      </w:pPr>
      <w:r>
        <w:rPr>
          <w:rFonts w:hint="eastAsia" w:ascii="宋体" w:hAnsi="宋体" w:cs="宋体"/>
          <w:sz w:val="24"/>
        </w:rPr>
        <w:t>代理人无转委托权。</w:t>
      </w:r>
    </w:p>
    <w:p>
      <w:pPr>
        <w:spacing w:line="440" w:lineRule="exact"/>
        <w:ind w:firstLine="480"/>
        <w:rPr>
          <w:rFonts w:ascii="宋体" w:hAnsi="宋体" w:cs="宋体"/>
          <w:sz w:val="24"/>
        </w:rPr>
      </w:pPr>
      <w:r>
        <w:rPr>
          <w:rFonts w:hint="eastAsia" w:ascii="宋体" w:hAnsi="宋体" w:cs="宋体"/>
          <w:sz w:val="24"/>
        </w:rPr>
        <w:t>附：</w:t>
      </w:r>
    </w:p>
    <w:p>
      <w:pPr>
        <w:spacing w:line="440" w:lineRule="exact"/>
        <w:ind w:firstLine="480"/>
        <w:rPr>
          <w:rFonts w:ascii="宋体" w:hAnsi="宋体" w:cs="宋体"/>
          <w:sz w:val="24"/>
        </w:rPr>
      </w:pPr>
    </w:p>
    <w:tbl>
      <w:tblPr>
        <w:tblStyle w:val="20"/>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3"/>
        <w:gridCol w:w="4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4383" w:type="dxa"/>
          </w:tcPr>
          <w:p>
            <w:pPr>
              <w:spacing w:line="440" w:lineRule="exact"/>
              <w:ind w:firstLine="0" w:firstLineChars="0"/>
              <w:rPr>
                <w:rFonts w:ascii="宋体" w:hAnsi="宋体" w:cs="宋体"/>
                <w:sz w:val="24"/>
              </w:rPr>
            </w:pPr>
          </w:p>
          <w:p>
            <w:pPr>
              <w:spacing w:line="440" w:lineRule="exact"/>
              <w:ind w:firstLine="0" w:firstLineChars="0"/>
              <w:rPr>
                <w:rFonts w:ascii="宋体" w:hAnsi="宋体" w:cs="宋体"/>
                <w:sz w:val="24"/>
              </w:rPr>
            </w:pPr>
            <w:r>
              <w:rPr>
                <w:rFonts w:hint="eastAsia" w:ascii="宋体" w:hAnsi="宋体" w:cs="宋体"/>
                <w:sz w:val="24"/>
              </w:rPr>
              <w:t xml:space="preserve">   法定代表人身份证复印件(正反面)</w:t>
            </w:r>
          </w:p>
        </w:tc>
        <w:tc>
          <w:tcPr>
            <w:tcW w:w="4657" w:type="dxa"/>
          </w:tcPr>
          <w:p>
            <w:pPr>
              <w:spacing w:line="440" w:lineRule="exact"/>
              <w:ind w:firstLine="0" w:firstLineChars="0"/>
              <w:rPr>
                <w:rFonts w:ascii="宋体" w:hAnsi="宋体" w:cs="宋体"/>
                <w:sz w:val="24"/>
              </w:rPr>
            </w:pPr>
          </w:p>
          <w:p>
            <w:pPr>
              <w:spacing w:line="440" w:lineRule="exact"/>
              <w:ind w:firstLine="0" w:firstLineChars="0"/>
              <w:rPr>
                <w:rFonts w:ascii="宋体" w:hAnsi="宋体" w:cs="宋体"/>
                <w:sz w:val="24"/>
              </w:rPr>
            </w:pPr>
            <w:r>
              <w:rPr>
                <w:rFonts w:hint="eastAsia" w:ascii="宋体" w:hAnsi="宋体" w:cs="宋体"/>
                <w:sz w:val="24"/>
              </w:rPr>
              <w:t xml:space="preserve">   授权委托人身份证复印件(正反面)</w:t>
            </w:r>
          </w:p>
        </w:tc>
      </w:tr>
    </w:tbl>
    <w:p>
      <w:pPr>
        <w:spacing w:line="440" w:lineRule="exact"/>
        <w:ind w:firstLine="480"/>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（盖单位章）</w:t>
      </w:r>
    </w:p>
    <w:p>
      <w:pPr>
        <w:spacing w:line="440" w:lineRule="exact"/>
        <w:ind w:firstLine="0" w:firstLineChars="0"/>
        <w:rPr>
          <w:rFonts w:ascii="宋体" w:hAnsi="宋体" w:cs="宋体"/>
          <w:sz w:val="24"/>
        </w:rPr>
      </w:pPr>
    </w:p>
    <w:p>
      <w:pPr>
        <w:spacing w:line="440" w:lineRule="exact"/>
        <w:ind w:firstLine="48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（签字或盖章）</w:t>
      </w:r>
    </w:p>
    <w:p>
      <w:pPr>
        <w:spacing w:line="440" w:lineRule="exact"/>
        <w:ind w:firstLine="0" w:firstLineChars="0"/>
        <w:rPr>
          <w:rFonts w:ascii="宋体" w:hAnsi="宋体" w:cs="宋体"/>
          <w:sz w:val="24"/>
        </w:rPr>
      </w:pPr>
    </w:p>
    <w:p>
      <w:pPr>
        <w:spacing w:line="440" w:lineRule="exact"/>
        <w:ind w:firstLine="480"/>
        <w:rPr>
          <w:rFonts w:hint="default" w:ascii="宋体" w:hAnsi="宋体" w:eastAsia="宋体" w:cs="宋体"/>
          <w:sz w:val="24"/>
          <w:lang w:val="en-US" w:eastAsia="zh-CN"/>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spacing w:line="440" w:lineRule="exact"/>
        <w:ind w:firstLine="0" w:firstLineChars="0"/>
        <w:rPr>
          <w:rFonts w:ascii="宋体" w:hAnsi="宋体" w:cs="宋体"/>
          <w:sz w:val="24"/>
        </w:rPr>
      </w:pPr>
    </w:p>
    <w:p>
      <w:pPr>
        <w:spacing w:line="440" w:lineRule="exact"/>
        <w:ind w:firstLine="480"/>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 xml:space="preserve">（签字） </w:t>
      </w:r>
    </w:p>
    <w:p>
      <w:pPr>
        <w:spacing w:line="440" w:lineRule="exact"/>
        <w:ind w:firstLine="0" w:firstLineChars="0"/>
        <w:rPr>
          <w:rFonts w:ascii="宋体" w:hAnsi="宋体" w:cs="宋体"/>
          <w:sz w:val="24"/>
        </w:rPr>
      </w:pPr>
    </w:p>
    <w:p>
      <w:pPr>
        <w:spacing w:line="440" w:lineRule="exact"/>
        <w:ind w:firstLine="480"/>
        <w:rPr>
          <w:rFonts w:hint="default" w:ascii="宋体" w:hAnsi="宋体" w:eastAsia="宋体" w:cs="宋体"/>
          <w:sz w:val="24"/>
          <w:u w:val="single"/>
          <w:lang w:val="en-US" w:eastAsia="zh-CN"/>
        </w:rPr>
      </w:pPr>
      <w:r>
        <w:rPr>
          <w:rFonts w:hint="eastAsia" w:ascii="宋体" w:hAnsi="宋体" w:cs="宋体"/>
          <w:sz w:val="24"/>
        </w:rPr>
        <w:t>身份证号码：</w:t>
      </w:r>
      <w:r>
        <w:rPr>
          <w:rFonts w:hint="eastAsia" w:ascii="宋体" w:hAnsi="宋体" w:cs="宋体"/>
          <w:sz w:val="24"/>
          <w:u w:val="single"/>
          <w:lang w:val="en-US" w:eastAsia="zh-CN"/>
        </w:rPr>
        <w:t xml:space="preserve">                                         </w:t>
      </w:r>
    </w:p>
    <w:p>
      <w:pPr>
        <w:spacing w:line="440" w:lineRule="exact"/>
        <w:ind w:firstLine="480"/>
        <w:rPr>
          <w:rFonts w:ascii="宋体" w:hAnsi="宋体" w:cs="宋体"/>
          <w:sz w:val="24"/>
        </w:rPr>
      </w:pPr>
    </w:p>
    <w:p>
      <w:pPr>
        <w:spacing w:line="440" w:lineRule="exact"/>
        <w:ind w:firstLine="480"/>
        <w:rPr>
          <w:rFonts w:hint="default" w:ascii="宋体" w:hAnsi="宋体" w:eastAsia="宋体" w:cs="宋体"/>
          <w:sz w:val="24"/>
          <w:lang w:val="en-US" w:eastAsia="zh-CN"/>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spacing w:line="440" w:lineRule="exact"/>
        <w:ind w:firstLine="0" w:firstLineChars="0"/>
        <w:rPr>
          <w:rFonts w:ascii="宋体" w:hAnsi="宋体" w:cs="宋体"/>
          <w:sz w:val="24"/>
        </w:rPr>
      </w:pPr>
    </w:p>
    <w:p>
      <w:pPr>
        <w:spacing w:line="440" w:lineRule="exact"/>
        <w:ind w:firstLine="0" w:firstLineChars="0"/>
        <w:rPr>
          <w:rFonts w:ascii="宋体" w:hAnsi="宋体" w:cs="宋体"/>
          <w:sz w:val="24"/>
        </w:rPr>
      </w:pPr>
    </w:p>
    <w:p>
      <w:pPr>
        <w:shd w:val="clear" w:color="auto" w:fill="FFFFFF"/>
        <w:spacing w:line="440" w:lineRule="exact"/>
        <w:ind w:firstLine="2954" w:firstLineChars="1401"/>
        <w:rPr>
          <w:rFonts w:ascii="黑体" w:hAnsi="黑体" w:eastAsia="黑体" w:cs="黑体"/>
          <w:b/>
          <w:kern w:val="0"/>
          <w:sz w:val="21"/>
          <w:szCs w:val="21"/>
        </w:rPr>
      </w:pPr>
    </w:p>
    <w:p>
      <w:pPr>
        <w:pStyle w:val="6"/>
      </w:pPr>
    </w:p>
    <w:p>
      <w:pPr>
        <w:shd w:val="clear" w:color="auto" w:fill="FFFFFF"/>
        <w:spacing w:line="440" w:lineRule="exact"/>
        <w:ind w:firstLine="2954" w:firstLineChars="1401"/>
        <w:rPr>
          <w:rFonts w:ascii="黑体" w:hAnsi="黑体" w:eastAsia="黑体" w:cs="黑体"/>
          <w:b/>
          <w:kern w:val="0"/>
          <w:sz w:val="21"/>
          <w:szCs w:val="21"/>
        </w:rPr>
      </w:pPr>
    </w:p>
    <w:p>
      <w:pPr>
        <w:shd w:val="clear" w:color="auto" w:fill="FFFFFF"/>
        <w:spacing w:line="440" w:lineRule="exact"/>
        <w:ind w:firstLine="0" w:firstLineChars="0"/>
        <w:outlineLvl w:val="0"/>
        <w:rPr>
          <w:rFonts w:ascii="宋体" w:hAnsi="宋体" w:cs="Times New Roman"/>
          <w:b/>
          <w:bCs/>
          <w:szCs w:val="28"/>
        </w:rPr>
      </w:pPr>
      <w:bookmarkStart w:id="255" w:name="_Toc9484"/>
      <w:bookmarkStart w:id="256" w:name="_Toc868"/>
      <w:r>
        <w:rPr>
          <w:rFonts w:hint="eastAsia" w:ascii="宋体" w:hAnsi="宋体" w:cs="Times New Roman"/>
          <w:b/>
          <w:bCs/>
          <w:szCs w:val="28"/>
        </w:rPr>
        <w:t>附件三</w:t>
      </w:r>
      <w:bookmarkEnd w:id="255"/>
      <w:bookmarkEnd w:id="256"/>
    </w:p>
    <w:p>
      <w:pPr>
        <w:keepNext/>
        <w:keepLines/>
        <w:spacing w:line="360" w:lineRule="auto"/>
        <w:ind w:firstLine="602"/>
        <w:jc w:val="center"/>
        <w:outlineLvl w:val="1"/>
        <w:rPr>
          <w:rFonts w:cs="Times New Roman"/>
          <w:b/>
          <w:bCs/>
          <w:sz w:val="24"/>
          <w:szCs w:val="24"/>
        </w:rPr>
      </w:pPr>
      <w:bookmarkStart w:id="257" w:name="_Toc23392"/>
      <w:r>
        <w:rPr>
          <w:rFonts w:hint="eastAsia" w:cs="Times New Roman"/>
          <w:b/>
          <w:bCs/>
          <w:sz w:val="24"/>
          <w:szCs w:val="24"/>
        </w:rPr>
        <w:t>投标保证金复印件加盖公章</w:t>
      </w:r>
      <w:bookmarkEnd w:id="257"/>
    </w:p>
    <w:p>
      <w:pPr>
        <w:pStyle w:val="14"/>
        <w:ind w:firstLine="360"/>
      </w:pPr>
    </w:p>
    <w:p>
      <w:pPr>
        <w:pStyle w:val="14"/>
        <w:ind w:firstLine="360"/>
        <w:rPr>
          <w:rFonts w:hint="eastAsia"/>
        </w:rPr>
      </w:pPr>
    </w:p>
    <w:p>
      <w:pPr>
        <w:shd w:val="clear" w:color="auto" w:fill="FFFFFF"/>
        <w:spacing w:line="440" w:lineRule="exact"/>
        <w:ind w:firstLine="0" w:firstLineChars="0"/>
        <w:outlineLvl w:val="0"/>
        <w:rPr>
          <w:rFonts w:ascii="宋体" w:hAnsi="宋体" w:cs="Times New Roman"/>
          <w:b/>
          <w:bCs/>
          <w:szCs w:val="28"/>
        </w:rPr>
      </w:pPr>
      <w:bookmarkStart w:id="258" w:name="_Toc23813"/>
      <w:bookmarkStart w:id="259" w:name="_Toc31781"/>
      <w:r>
        <w:rPr>
          <w:rFonts w:hint="eastAsia" w:ascii="宋体" w:hAnsi="宋体" w:cs="Times New Roman"/>
          <w:b/>
          <w:bCs/>
          <w:szCs w:val="28"/>
        </w:rPr>
        <w:t>附件四</w:t>
      </w:r>
      <w:bookmarkEnd w:id="258"/>
      <w:bookmarkEnd w:id="259"/>
    </w:p>
    <w:p>
      <w:pPr>
        <w:spacing w:line="440" w:lineRule="exact"/>
        <w:ind w:firstLine="0" w:firstLineChars="0"/>
        <w:jc w:val="center"/>
        <w:rPr>
          <w:rFonts w:ascii="宋体" w:hAnsi="宋体" w:cs="宋体"/>
          <w:b/>
          <w:bCs/>
          <w:sz w:val="24"/>
        </w:rPr>
      </w:pPr>
      <w:r>
        <w:rPr>
          <w:rFonts w:hint="eastAsia" w:ascii="宋体" w:hAnsi="宋体" w:cs="宋体"/>
          <w:b/>
          <w:bCs/>
          <w:sz w:val="24"/>
        </w:rPr>
        <w:t>投标报价一览表</w:t>
      </w:r>
    </w:p>
    <w:p>
      <w:pPr>
        <w:spacing w:line="440" w:lineRule="exact"/>
        <w:ind w:firstLine="0" w:firstLineChars="0"/>
        <w:rPr>
          <w:rFonts w:ascii="宋体" w:hAnsi="宋体" w:cs="宋体"/>
          <w:sz w:val="24"/>
          <w:u w:val="single"/>
        </w:rPr>
      </w:pPr>
      <w:r>
        <w:rPr>
          <w:rFonts w:hint="eastAsia" w:ascii="宋体" w:hAnsi="宋体" w:cs="宋体"/>
          <w:sz w:val="24"/>
        </w:rPr>
        <w:t>项目名称：                       项目编号：</w:t>
      </w:r>
    </w:p>
    <w:tbl>
      <w:tblPr>
        <w:tblStyle w:val="20"/>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9" w:type="dxa"/>
            <w:vAlign w:val="center"/>
          </w:tcPr>
          <w:p>
            <w:pPr>
              <w:spacing w:line="400" w:lineRule="exact"/>
              <w:ind w:firstLine="0" w:firstLineChars="0"/>
              <w:jc w:val="center"/>
              <w:rPr>
                <w:rFonts w:ascii="宋体" w:hAnsi="宋体" w:cs="宋体"/>
                <w:sz w:val="24"/>
              </w:rPr>
            </w:pPr>
            <w:r>
              <w:rPr>
                <w:rFonts w:hint="eastAsia" w:ascii="宋体" w:hAnsi="宋体" w:cs="宋体"/>
                <w:sz w:val="24"/>
              </w:rPr>
              <w:t>序号</w:t>
            </w:r>
          </w:p>
        </w:tc>
        <w:tc>
          <w:tcPr>
            <w:tcW w:w="1418" w:type="dxa"/>
            <w:vAlign w:val="center"/>
          </w:tcPr>
          <w:p>
            <w:pPr>
              <w:spacing w:line="400" w:lineRule="exact"/>
              <w:ind w:firstLine="0" w:firstLineChars="0"/>
              <w:jc w:val="center"/>
              <w:rPr>
                <w:rFonts w:ascii="宋体" w:hAnsi="宋体" w:cs="宋体"/>
                <w:sz w:val="24"/>
              </w:rPr>
            </w:pPr>
            <w:r>
              <w:rPr>
                <w:rFonts w:hint="eastAsia" w:ascii="宋体" w:hAnsi="宋体" w:cs="宋体"/>
                <w:sz w:val="24"/>
              </w:rPr>
              <w:t>项目</w:t>
            </w:r>
          </w:p>
        </w:tc>
        <w:tc>
          <w:tcPr>
            <w:tcW w:w="6801" w:type="dxa"/>
            <w:vAlign w:val="center"/>
          </w:tcPr>
          <w:p>
            <w:pPr>
              <w:spacing w:line="400" w:lineRule="exact"/>
              <w:ind w:firstLine="0" w:firstLineChars="0"/>
              <w:jc w:val="center"/>
              <w:rPr>
                <w:rFonts w:ascii="宋体" w:hAnsi="宋体" w:cs="宋体"/>
                <w:sz w:val="24"/>
              </w:rPr>
            </w:pPr>
            <w:r>
              <w:rPr>
                <w:rFonts w:hint="eastAsia" w:ascii="宋体" w:hAnsi="宋体" w:cs="宋体"/>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709" w:type="dxa"/>
            <w:vAlign w:val="center"/>
          </w:tcPr>
          <w:p>
            <w:pPr>
              <w:spacing w:line="400" w:lineRule="exact"/>
              <w:ind w:firstLine="0" w:firstLineChars="0"/>
              <w:rPr>
                <w:rFonts w:ascii="宋体" w:hAnsi="宋体" w:cs="宋体"/>
                <w:sz w:val="24"/>
              </w:rPr>
            </w:pPr>
            <w:r>
              <w:rPr>
                <w:rFonts w:hint="eastAsia" w:ascii="宋体" w:hAnsi="宋体" w:cs="宋体"/>
                <w:sz w:val="24"/>
              </w:rPr>
              <w:t>1</w:t>
            </w:r>
          </w:p>
        </w:tc>
        <w:tc>
          <w:tcPr>
            <w:tcW w:w="1418" w:type="dxa"/>
            <w:vAlign w:val="center"/>
          </w:tcPr>
          <w:p>
            <w:pPr>
              <w:spacing w:line="400" w:lineRule="exact"/>
              <w:ind w:firstLine="0" w:firstLineChars="0"/>
              <w:jc w:val="center"/>
              <w:rPr>
                <w:rFonts w:ascii="宋体" w:hAnsi="宋体" w:cs="宋体"/>
                <w:sz w:val="24"/>
              </w:rPr>
            </w:pPr>
            <w:r>
              <w:rPr>
                <w:rFonts w:hint="eastAsia" w:ascii="宋体" w:hAnsi="宋体" w:cs="宋体"/>
                <w:sz w:val="24"/>
              </w:rPr>
              <w:t>总价</w:t>
            </w:r>
          </w:p>
        </w:tc>
        <w:tc>
          <w:tcPr>
            <w:tcW w:w="6801" w:type="dxa"/>
            <w:vAlign w:val="center"/>
          </w:tcPr>
          <w:p>
            <w:pPr>
              <w:spacing w:line="400" w:lineRule="exact"/>
              <w:ind w:firstLine="0" w:firstLineChars="0"/>
              <w:rPr>
                <w:rFonts w:ascii="宋体" w:hAnsi="宋体" w:cs="宋体"/>
                <w:sz w:val="24"/>
              </w:rPr>
            </w:pPr>
            <w:r>
              <w:rPr>
                <w:rFonts w:hint="eastAsia" w:ascii="宋体" w:hAnsi="宋体" w:cs="宋体"/>
                <w:sz w:val="24"/>
              </w:rPr>
              <w:t>（小写）</w:t>
            </w:r>
          </w:p>
          <w:p>
            <w:pPr>
              <w:spacing w:line="400" w:lineRule="exact"/>
              <w:ind w:firstLine="0" w:firstLineChars="0"/>
              <w:rPr>
                <w:rFonts w:ascii="宋体" w:hAnsi="宋体" w:cs="宋体"/>
                <w:sz w:val="24"/>
              </w:rPr>
            </w:pPr>
          </w:p>
          <w:p>
            <w:pPr>
              <w:spacing w:line="400" w:lineRule="exact"/>
              <w:ind w:firstLine="0" w:firstLineChars="0"/>
              <w:rPr>
                <w:rFonts w:ascii="宋体" w:hAnsi="宋体" w:cs="宋体"/>
                <w:sz w:val="24"/>
              </w:rPr>
            </w:pPr>
            <w:r>
              <w:rPr>
                <w:rFonts w:hint="eastAsia" w:ascii="宋体" w:hAnsi="宋体" w:cs="宋体"/>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09" w:type="dxa"/>
            <w:vAlign w:val="center"/>
          </w:tcPr>
          <w:p>
            <w:pPr>
              <w:spacing w:line="400" w:lineRule="exact"/>
              <w:ind w:firstLine="0" w:firstLineChars="0"/>
              <w:rPr>
                <w:rFonts w:ascii="宋体" w:hAnsi="宋体" w:cs="宋体"/>
                <w:sz w:val="24"/>
              </w:rPr>
            </w:pPr>
            <w:r>
              <w:rPr>
                <w:rFonts w:hint="eastAsia" w:ascii="宋体" w:hAnsi="宋体" w:cs="宋体"/>
                <w:sz w:val="24"/>
              </w:rPr>
              <w:t>2</w:t>
            </w:r>
          </w:p>
        </w:tc>
        <w:tc>
          <w:tcPr>
            <w:tcW w:w="1418" w:type="dxa"/>
            <w:vAlign w:val="center"/>
          </w:tcPr>
          <w:p>
            <w:pPr>
              <w:spacing w:line="400" w:lineRule="exact"/>
              <w:ind w:firstLine="0" w:firstLineChars="0"/>
              <w:jc w:val="center"/>
              <w:rPr>
                <w:rFonts w:hint="eastAsia" w:ascii="宋体" w:hAnsi="宋体" w:cs="宋体"/>
                <w:sz w:val="24"/>
              </w:rPr>
            </w:pPr>
            <w:r>
              <w:rPr>
                <w:rFonts w:hint="eastAsia" w:ascii="宋体" w:hAnsi="宋体" w:cs="宋体"/>
                <w:sz w:val="24"/>
              </w:rPr>
              <w:t>合同履行</w:t>
            </w:r>
          </w:p>
          <w:p>
            <w:pPr>
              <w:spacing w:line="400" w:lineRule="exact"/>
              <w:ind w:firstLine="0" w:firstLineChars="0"/>
              <w:jc w:val="center"/>
              <w:rPr>
                <w:rFonts w:ascii="宋体" w:hAnsi="宋体" w:cs="宋体"/>
                <w:sz w:val="24"/>
              </w:rPr>
            </w:pPr>
            <w:r>
              <w:rPr>
                <w:rFonts w:hint="eastAsia" w:ascii="宋体" w:hAnsi="宋体" w:cs="宋体"/>
                <w:sz w:val="24"/>
              </w:rPr>
              <w:t>期限</w:t>
            </w:r>
          </w:p>
        </w:tc>
        <w:tc>
          <w:tcPr>
            <w:tcW w:w="6801" w:type="dxa"/>
            <w:vAlign w:val="center"/>
          </w:tcPr>
          <w:p>
            <w:pPr>
              <w:spacing w:line="400" w:lineRule="exact"/>
              <w:ind w:firstLine="0" w:firstLineChars="0"/>
              <w:rPr>
                <w:rFonts w:ascii="宋体" w:hAnsi="宋体" w:cs="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09" w:type="dxa"/>
            <w:vAlign w:val="center"/>
          </w:tcPr>
          <w:p>
            <w:pPr>
              <w:spacing w:line="400" w:lineRule="exact"/>
              <w:ind w:firstLine="0" w:firstLineChars="0"/>
              <w:rPr>
                <w:rFonts w:ascii="宋体" w:hAnsi="宋体" w:cs="宋体"/>
                <w:sz w:val="24"/>
              </w:rPr>
            </w:pPr>
            <w:r>
              <w:rPr>
                <w:rFonts w:hint="eastAsia" w:ascii="宋体" w:hAnsi="宋体" w:cs="宋体"/>
                <w:sz w:val="24"/>
              </w:rPr>
              <w:t>3</w:t>
            </w:r>
          </w:p>
        </w:tc>
        <w:tc>
          <w:tcPr>
            <w:tcW w:w="1418" w:type="dxa"/>
            <w:vAlign w:val="center"/>
          </w:tcPr>
          <w:p>
            <w:pPr>
              <w:spacing w:line="400" w:lineRule="exact"/>
              <w:ind w:firstLine="0" w:firstLineChars="0"/>
              <w:jc w:val="center"/>
              <w:rPr>
                <w:rFonts w:ascii="宋体" w:hAnsi="宋体" w:cs="宋体"/>
                <w:sz w:val="24"/>
              </w:rPr>
            </w:pPr>
            <w:r>
              <w:rPr>
                <w:rFonts w:hint="eastAsia" w:ascii="宋体" w:hAnsi="宋体" w:cs="宋体"/>
                <w:sz w:val="24"/>
              </w:rPr>
              <w:t>质量标准</w:t>
            </w:r>
          </w:p>
        </w:tc>
        <w:tc>
          <w:tcPr>
            <w:tcW w:w="6801" w:type="dxa"/>
            <w:vAlign w:val="center"/>
          </w:tcPr>
          <w:p>
            <w:pPr>
              <w:spacing w:line="400" w:lineRule="exact"/>
              <w:ind w:firstLine="0" w:firstLineChars="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09" w:type="dxa"/>
            <w:vAlign w:val="center"/>
          </w:tcPr>
          <w:p>
            <w:pPr>
              <w:spacing w:line="400" w:lineRule="exact"/>
              <w:ind w:firstLine="0" w:firstLineChars="0"/>
              <w:rPr>
                <w:rFonts w:ascii="宋体" w:hAnsi="宋体" w:cs="宋体"/>
                <w:sz w:val="24"/>
              </w:rPr>
            </w:pPr>
            <w:r>
              <w:rPr>
                <w:rFonts w:hint="eastAsia" w:ascii="宋体" w:hAnsi="宋体" w:cs="宋体"/>
                <w:sz w:val="24"/>
              </w:rPr>
              <w:t>4</w:t>
            </w:r>
          </w:p>
        </w:tc>
        <w:tc>
          <w:tcPr>
            <w:tcW w:w="1418" w:type="dxa"/>
            <w:vAlign w:val="center"/>
          </w:tcPr>
          <w:p>
            <w:pPr>
              <w:spacing w:line="400" w:lineRule="exact"/>
              <w:ind w:firstLine="0" w:firstLineChars="0"/>
              <w:jc w:val="center"/>
              <w:rPr>
                <w:rFonts w:ascii="宋体" w:hAnsi="宋体" w:cs="宋体"/>
                <w:sz w:val="24"/>
              </w:rPr>
            </w:pPr>
            <w:r>
              <w:rPr>
                <w:rFonts w:hint="eastAsia" w:ascii="宋体" w:hAnsi="宋体" w:cs="宋体"/>
                <w:sz w:val="24"/>
              </w:rPr>
              <w:t>报价说明</w:t>
            </w:r>
          </w:p>
        </w:tc>
        <w:tc>
          <w:tcPr>
            <w:tcW w:w="6801" w:type="dxa"/>
            <w:vAlign w:val="center"/>
          </w:tcPr>
          <w:p>
            <w:pPr>
              <w:spacing w:line="400" w:lineRule="exact"/>
              <w:ind w:firstLine="0" w:firstLineChars="0"/>
              <w:rPr>
                <w:rFonts w:ascii="宋体" w:hAnsi="宋体" w:cs="宋体"/>
                <w:sz w:val="24"/>
              </w:rPr>
            </w:pPr>
          </w:p>
        </w:tc>
      </w:tr>
    </w:tbl>
    <w:p>
      <w:pPr>
        <w:spacing w:line="440" w:lineRule="exact"/>
        <w:ind w:firstLine="0" w:firstLineChars="0"/>
        <w:rPr>
          <w:rFonts w:ascii="宋体" w:hAnsi="宋体" w:cs="宋体"/>
          <w:sz w:val="24"/>
        </w:rPr>
      </w:pPr>
      <w:r>
        <w:rPr>
          <w:rFonts w:hint="eastAsia" w:ascii="宋体" w:hAnsi="宋体" w:cs="宋体"/>
          <w:sz w:val="24"/>
        </w:rPr>
        <w:t>备注：</w:t>
      </w:r>
    </w:p>
    <w:p>
      <w:pPr>
        <w:spacing w:line="440" w:lineRule="exact"/>
        <w:ind w:firstLine="0" w:firstLineChars="0"/>
        <w:rPr>
          <w:rFonts w:ascii="宋体" w:hAnsi="宋体" w:cs="宋体"/>
          <w:sz w:val="24"/>
        </w:rPr>
      </w:pPr>
      <w:r>
        <w:rPr>
          <w:rFonts w:hint="eastAsia" w:ascii="宋体" w:hAnsi="宋体" w:cs="宋体"/>
          <w:sz w:val="24"/>
        </w:rPr>
        <w:t>1、投标总价应为各分项报价之和。报价须以元为单位，小数点后保留2位。</w:t>
      </w:r>
    </w:p>
    <w:p>
      <w:pPr>
        <w:spacing w:line="440" w:lineRule="exact"/>
        <w:ind w:firstLine="0" w:firstLineChars="0"/>
        <w:rPr>
          <w:rFonts w:ascii="宋体" w:hAnsi="宋体" w:cs="宋体"/>
          <w:sz w:val="24"/>
        </w:rPr>
      </w:pPr>
      <w:r>
        <w:rPr>
          <w:rFonts w:hint="eastAsia" w:ascii="宋体" w:hAnsi="宋体" w:cs="宋体"/>
          <w:sz w:val="24"/>
        </w:rPr>
        <w:t>2、投标报价包括投标人为实施本项目全部工作内容所包括的全部含税价格的体现。</w:t>
      </w:r>
    </w:p>
    <w:p>
      <w:pPr>
        <w:spacing w:line="440" w:lineRule="exact"/>
        <w:ind w:firstLine="0" w:firstLineChars="0"/>
        <w:rPr>
          <w:rFonts w:ascii="宋体" w:hAnsi="宋体" w:cs="宋体"/>
          <w:sz w:val="24"/>
        </w:rPr>
      </w:pPr>
      <w:r>
        <w:rPr>
          <w:rFonts w:hint="eastAsia" w:ascii="宋体" w:hAnsi="宋体" w:cs="宋体"/>
          <w:sz w:val="24"/>
        </w:rPr>
        <w:t>3、投标人必须自行考虑本项目在实施期间的一切可能产生的费用。在合同执行过程中，采购人将不再另行支付与本项目相关的任何费用（非本项目要求的其它内容除外）。</w:t>
      </w:r>
    </w:p>
    <w:p>
      <w:pPr>
        <w:spacing w:line="440" w:lineRule="exact"/>
        <w:ind w:firstLine="0" w:firstLineChars="0"/>
        <w:rPr>
          <w:rFonts w:ascii="宋体" w:hAnsi="宋体" w:cs="宋体"/>
          <w:sz w:val="24"/>
        </w:rPr>
      </w:pPr>
    </w:p>
    <w:p>
      <w:pPr>
        <w:spacing w:line="440" w:lineRule="exact"/>
        <w:ind w:firstLine="0" w:firstLineChars="0"/>
        <w:rPr>
          <w:rFonts w:ascii="宋体" w:hAnsi="宋体" w:cs="宋体"/>
          <w:sz w:val="24"/>
        </w:rPr>
      </w:pPr>
      <w:r>
        <w:rPr>
          <w:rFonts w:hint="eastAsia" w:ascii="宋体" w:hAnsi="宋体" w:cs="宋体"/>
          <w:sz w:val="24"/>
        </w:rPr>
        <w:t>投标人（盖公章）：</w:t>
      </w:r>
    </w:p>
    <w:p>
      <w:pPr>
        <w:spacing w:line="440" w:lineRule="exact"/>
        <w:ind w:firstLine="0" w:firstLineChars="0"/>
        <w:rPr>
          <w:rFonts w:ascii="宋体" w:hAnsi="宋体" w:cs="宋体"/>
          <w:sz w:val="24"/>
        </w:rPr>
      </w:pPr>
      <w:r>
        <w:rPr>
          <w:rFonts w:hint="eastAsia" w:ascii="宋体" w:hAnsi="宋体" w:cs="宋体"/>
          <w:sz w:val="24"/>
        </w:rPr>
        <w:t>法定代表人（签字、盖章）：</w:t>
      </w:r>
    </w:p>
    <w:p>
      <w:pPr>
        <w:spacing w:line="440" w:lineRule="exact"/>
        <w:ind w:firstLine="0" w:firstLineChars="0"/>
        <w:rPr>
          <w:rFonts w:ascii="宋体" w:hAnsi="宋体" w:cs="宋体"/>
          <w:sz w:val="24"/>
        </w:rPr>
      </w:pPr>
      <w:r>
        <w:rPr>
          <w:rFonts w:hint="eastAsia" w:ascii="宋体" w:hAnsi="宋体" w:cs="宋体"/>
          <w:sz w:val="24"/>
        </w:rPr>
        <w:t>授权代理人（签字）：</w:t>
      </w:r>
    </w:p>
    <w:p>
      <w:pPr>
        <w:shd w:val="clear" w:color="auto" w:fill="FFFFFF"/>
        <w:spacing w:line="440" w:lineRule="exact"/>
        <w:ind w:firstLine="0" w:firstLineChars="0"/>
        <w:rPr>
          <w:rFonts w:ascii="宋体" w:hAnsi="宋体" w:cs="Times New Roman"/>
          <w:b/>
          <w:bCs/>
          <w:szCs w:val="28"/>
        </w:rPr>
      </w:pPr>
      <w:r>
        <w:rPr>
          <w:rFonts w:hint="eastAsia" w:ascii="宋体" w:hAnsi="宋体" w:cs="宋体"/>
          <w:sz w:val="24"/>
        </w:rPr>
        <w:t>日期：  年  月  日</w:t>
      </w:r>
      <w:r>
        <w:rPr>
          <w:rFonts w:hint="eastAsia" w:ascii="宋体" w:hAnsi="宋体" w:cs="宋体"/>
          <w:b/>
          <w:bCs/>
          <w:sz w:val="24"/>
        </w:rPr>
        <w:br w:type="page"/>
      </w:r>
      <w:r>
        <w:rPr>
          <w:rFonts w:hint="eastAsia" w:ascii="宋体" w:hAnsi="宋体" w:cs="Times New Roman"/>
          <w:b/>
          <w:bCs/>
          <w:szCs w:val="28"/>
        </w:rPr>
        <w:t>附件五</w:t>
      </w:r>
    </w:p>
    <w:p>
      <w:pPr>
        <w:shd w:val="clear" w:color="auto" w:fill="FFFFFF"/>
        <w:spacing w:line="240" w:lineRule="auto"/>
        <w:ind w:firstLine="0" w:firstLineChars="0"/>
        <w:jc w:val="center"/>
        <w:rPr>
          <w:rFonts w:hint="eastAsia" w:ascii="宋体" w:hAnsi="宋体" w:cs="宋体"/>
          <w:b/>
          <w:bCs/>
          <w:sz w:val="24"/>
          <w:szCs w:val="24"/>
        </w:rPr>
      </w:pPr>
      <w:r>
        <w:rPr>
          <w:rFonts w:hint="eastAsia" w:ascii="宋体" w:hAnsi="宋体" w:cs="宋体"/>
          <w:b/>
          <w:bCs/>
          <w:sz w:val="24"/>
          <w:szCs w:val="24"/>
        </w:rPr>
        <w:t>投标人资格证明材料</w:t>
      </w:r>
    </w:p>
    <w:p>
      <w:pPr>
        <w:pStyle w:val="6"/>
      </w:pPr>
    </w:p>
    <w:p>
      <w:pPr>
        <w:autoSpaceDE w:val="0"/>
        <w:autoSpaceDN w:val="0"/>
        <w:spacing w:line="440" w:lineRule="exact"/>
        <w:ind w:firstLine="0" w:firstLineChars="0"/>
        <w:jc w:val="left"/>
        <w:outlineLvl w:val="0"/>
        <w:rPr>
          <w:rFonts w:ascii="宋体" w:hAnsi="宋体" w:cs="宋体"/>
          <w:sz w:val="24"/>
        </w:rPr>
      </w:pPr>
      <w:bookmarkStart w:id="260" w:name="_Toc21363"/>
      <w:bookmarkStart w:id="261" w:name="_Toc16877"/>
      <w:r>
        <w:rPr>
          <w:rFonts w:hint="eastAsia" w:ascii="宋体" w:hAnsi="宋体" w:cs="宋体"/>
          <w:sz w:val="24"/>
        </w:rPr>
        <w:t>附件五按以下按顺序封装如下材料：</w:t>
      </w:r>
      <w:bookmarkEnd w:id="260"/>
      <w:bookmarkEnd w:id="261"/>
      <w:r>
        <w:rPr>
          <w:rFonts w:hint="eastAsia" w:ascii="宋体" w:hAnsi="宋体" w:cs="宋体"/>
          <w:sz w:val="24"/>
        </w:rPr>
        <w:t xml:space="preserve"> </w:t>
      </w:r>
    </w:p>
    <w:p>
      <w:pPr>
        <w:numPr>
          <w:ilvl w:val="0"/>
          <w:numId w:val="8"/>
        </w:numPr>
        <w:autoSpaceDE w:val="0"/>
        <w:autoSpaceDN w:val="0"/>
        <w:spacing w:line="440" w:lineRule="exact"/>
        <w:ind w:firstLine="0" w:firstLineChars="0"/>
        <w:jc w:val="left"/>
        <w:rPr>
          <w:rFonts w:ascii="宋体" w:hAnsi="宋体" w:cs="宋体"/>
          <w:sz w:val="24"/>
        </w:rPr>
      </w:pPr>
      <w:r>
        <w:rPr>
          <w:rFonts w:hint="eastAsia" w:ascii="宋体" w:hAnsi="宋体" w:cs="宋体"/>
          <w:sz w:val="24"/>
        </w:rPr>
        <w:t>营业执照或事业单位法人证复印件加盖公章；</w:t>
      </w:r>
    </w:p>
    <w:p>
      <w:pPr>
        <w:numPr>
          <w:ilvl w:val="0"/>
          <w:numId w:val="8"/>
        </w:numPr>
        <w:autoSpaceDE w:val="0"/>
        <w:autoSpaceDN w:val="0"/>
        <w:spacing w:line="440" w:lineRule="exact"/>
        <w:ind w:firstLine="0" w:firstLineChars="0"/>
        <w:jc w:val="left"/>
        <w:rPr>
          <w:rFonts w:ascii="宋体" w:hAnsi="宋体" w:cs="宋体"/>
          <w:sz w:val="24"/>
        </w:rPr>
      </w:pPr>
      <w:r>
        <w:rPr>
          <w:rFonts w:hint="eastAsia" w:ascii="宋体" w:hAnsi="宋体" w:cs="宋体"/>
          <w:sz w:val="24"/>
        </w:rPr>
        <w:t xml:space="preserve">资质证书复印件加盖公章； </w:t>
      </w:r>
    </w:p>
    <w:p>
      <w:pPr>
        <w:autoSpaceDE w:val="0"/>
        <w:autoSpaceDN w:val="0"/>
        <w:spacing w:line="440" w:lineRule="exact"/>
        <w:ind w:firstLine="0" w:firstLineChars="0"/>
        <w:jc w:val="left"/>
        <w:rPr>
          <w:rFonts w:ascii="宋体" w:hAnsi="宋体" w:cs="宋体"/>
          <w:sz w:val="24"/>
        </w:rPr>
      </w:pPr>
      <w:r>
        <w:rPr>
          <w:rFonts w:hint="eastAsia" w:ascii="宋体" w:hAnsi="宋体" w:cs="宋体"/>
          <w:sz w:val="24"/>
        </w:rPr>
        <w:t>3、近 3 年内，投标企业在参加政府采购和经营活动中没有违法和不良记录声明函（格式自拟，加盖公章，法定代表人签字或盖章）；</w:t>
      </w:r>
    </w:p>
    <w:p>
      <w:pPr>
        <w:autoSpaceDE w:val="0"/>
        <w:autoSpaceDN w:val="0"/>
        <w:spacing w:line="440" w:lineRule="exact"/>
        <w:ind w:firstLine="0" w:firstLineChars="0"/>
        <w:jc w:val="both"/>
        <w:rPr>
          <w:rFonts w:ascii="宋体" w:hAnsi="宋体" w:cs="宋体"/>
          <w:sz w:val="24"/>
        </w:rPr>
      </w:pPr>
      <w:r>
        <w:rPr>
          <w:rFonts w:hint="eastAsia" w:ascii="宋体" w:hAnsi="宋体" w:cs="宋体"/>
          <w:sz w:val="24"/>
        </w:rPr>
        <w:t>4、“信用中国”网（www.creditchina.gov.cn）、中国政府采购网（www.ccgp.gov.cn）被列入</w:t>
      </w:r>
      <w:r>
        <w:rPr>
          <w:rFonts w:hint="eastAsia" w:ascii="宋体" w:hAnsi="宋体" w:cs="宋体"/>
          <w:sz w:val="24"/>
          <w:lang w:val="en-US" w:eastAsia="zh-CN"/>
        </w:rPr>
        <w:t>失信被执行人、重大税收违法失信主体、政府采购严重违法失信行为记录名单之一</w:t>
      </w:r>
      <w:r>
        <w:rPr>
          <w:rFonts w:hint="eastAsia" w:ascii="宋体" w:hAnsi="宋体" w:cs="宋体"/>
          <w:sz w:val="24"/>
        </w:rPr>
        <w:t>，将拒绝其参加本次政府采购活动，需提供网站截图。</w:t>
      </w:r>
    </w:p>
    <w:p>
      <w:pPr>
        <w:autoSpaceDE w:val="0"/>
        <w:autoSpaceDN w:val="0"/>
        <w:spacing w:line="440" w:lineRule="exact"/>
        <w:ind w:firstLine="0" w:firstLineChars="0"/>
        <w:jc w:val="left"/>
        <w:rPr>
          <w:rFonts w:ascii="宋体" w:hAnsi="宋体" w:cs="宋体"/>
          <w:sz w:val="24"/>
          <w:highlight w:val="none"/>
        </w:rPr>
      </w:pPr>
      <w:r>
        <w:rPr>
          <w:rFonts w:hint="eastAsia" w:ascii="宋体" w:hAnsi="宋体" w:cs="宋体"/>
          <w:sz w:val="24"/>
          <w:highlight w:val="none"/>
        </w:rPr>
        <w:t xml:space="preserve">5、投标人须提供最近一年（2021）年度财务状况报告或财务报表； </w:t>
      </w:r>
    </w:p>
    <w:p>
      <w:pPr>
        <w:autoSpaceDE w:val="0"/>
        <w:autoSpaceDN w:val="0"/>
        <w:spacing w:line="440" w:lineRule="exact"/>
        <w:ind w:firstLine="0" w:firstLineChars="0"/>
        <w:jc w:val="left"/>
        <w:rPr>
          <w:rFonts w:ascii="宋体" w:hAnsi="宋体" w:cs="宋体"/>
          <w:sz w:val="24"/>
        </w:rPr>
      </w:pPr>
      <w:r>
        <w:rPr>
          <w:rFonts w:hint="eastAsia" w:ascii="宋体" w:hAnsi="宋体" w:cs="宋体"/>
          <w:sz w:val="24"/>
        </w:rPr>
        <w:t xml:space="preserve">6、企业简介加盖公章；  </w:t>
      </w:r>
    </w:p>
    <w:p>
      <w:pPr>
        <w:spacing w:after="120" w:line="440" w:lineRule="exact"/>
        <w:ind w:firstLine="0" w:firstLineChars="0"/>
        <w:rPr>
          <w:rFonts w:cs="Times New Roman"/>
          <w:color w:val="0000FF"/>
          <w:sz w:val="21"/>
        </w:rPr>
      </w:pPr>
    </w:p>
    <w:p>
      <w:pPr>
        <w:shd w:val="clear" w:color="auto" w:fill="FFFFFF"/>
        <w:spacing w:line="240" w:lineRule="auto"/>
        <w:ind w:firstLine="0" w:firstLineChars="0"/>
        <w:outlineLvl w:val="0"/>
        <w:rPr>
          <w:rFonts w:ascii="宋体" w:hAnsi="宋体" w:cs="Times New Roman"/>
          <w:b/>
          <w:bCs/>
          <w:szCs w:val="28"/>
        </w:rPr>
      </w:pPr>
      <w:r>
        <w:rPr>
          <w:rFonts w:hint="eastAsia" w:ascii="宋体" w:hAnsi="宋体" w:cs="宋体"/>
          <w:b/>
          <w:bCs/>
          <w:sz w:val="24"/>
        </w:rPr>
        <w:br w:type="page"/>
      </w:r>
      <w:bookmarkStart w:id="262" w:name="_Toc3110"/>
      <w:bookmarkStart w:id="263" w:name="_Toc21710"/>
      <w:r>
        <w:rPr>
          <w:rFonts w:hint="eastAsia" w:ascii="宋体" w:hAnsi="宋体" w:cs="Times New Roman"/>
          <w:b/>
          <w:bCs/>
          <w:szCs w:val="28"/>
        </w:rPr>
        <w:t>附件六</w:t>
      </w:r>
      <w:bookmarkEnd w:id="262"/>
      <w:bookmarkEnd w:id="263"/>
    </w:p>
    <w:p>
      <w:pPr>
        <w:spacing w:line="440" w:lineRule="exact"/>
        <w:ind w:firstLine="0" w:firstLineChars="0"/>
        <w:jc w:val="center"/>
        <w:rPr>
          <w:rFonts w:ascii="宋体" w:hAnsi="宋体" w:cs="宋体"/>
          <w:sz w:val="24"/>
        </w:rPr>
      </w:pPr>
      <w:r>
        <w:rPr>
          <w:rFonts w:hint="eastAsia" w:ascii="宋体" w:hAnsi="宋体" w:cs="宋体"/>
          <w:sz w:val="24"/>
        </w:rPr>
        <w:t>拟投入本项目的人员一览表</w:t>
      </w:r>
    </w:p>
    <w:tbl>
      <w:tblPr>
        <w:tblStyle w:val="20"/>
        <w:tblW w:w="8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vAlign w:val="center"/>
          </w:tcPr>
          <w:p>
            <w:pPr>
              <w:spacing w:line="440" w:lineRule="exact"/>
              <w:ind w:firstLine="0" w:firstLineChars="0"/>
              <w:jc w:val="center"/>
              <w:rPr>
                <w:rFonts w:ascii="宋体" w:hAnsi="宋体" w:cs="宋体"/>
                <w:sz w:val="24"/>
              </w:rPr>
            </w:pPr>
            <w:r>
              <w:rPr>
                <w:rFonts w:hint="eastAsia" w:ascii="宋体" w:hAnsi="宋体" w:cs="宋体"/>
                <w:sz w:val="24"/>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exact"/>
          <w:jc w:val="center"/>
        </w:trPr>
        <w:tc>
          <w:tcPr>
            <w:tcW w:w="1276" w:type="dxa"/>
            <w:vAlign w:val="center"/>
          </w:tcPr>
          <w:p>
            <w:pPr>
              <w:spacing w:line="440" w:lineRule="exact"/>
              <w:ind w:firstLine="0" w:firstLineChars="0"/>
              <w:jc w:val="center"/>
              <w:rPr>
                <w:rFonts w:ascii="宋体" w:hAnsi="宋体" w:cs="宋体"/>
                <w:sz w:val="24"/>
              </w:rPr>
            </w:pPr>
            <w:r>
              <w:rPr>
                <w:rFonts w:hint="eastAsia" w:ascii="宋体" w:hAnsi="宋体" w:cs="宋体"/>
                <w:sz w:val="24"/>
              </w:rPr>
              <w:t>职责分工</w:t>
            </w:r>
          </w:p>
        </w:tc>
        <w:tc>
          <w:tcPr>
            <w:tcW w:w="1183" w:type="dxa"/>
            <w:vAlign w:val="center"/>
          </w:tcPr>
          <w:p>
            <w:pPr>
              <w:spacing w:line="440" w:lineRule="exact"/>
              <w:ind w:firstLine="0" w:firstLineChars="0"/>
              <w:jc w:val="center"/>
              <w:rPr>
                <w:rFonts w:ascii="宋体" w:hAnsi="宋体" w:cs="宋体"/>
                <w:sz w:val="24"/>
              </w:rPr>
            </w:pPr>
            <w:r>
              <w:rPr>
                <w:rFonts w:hint="eastAsia" w:ascii="宋体" w:hAnsi="宋体" w:cs="宋体"/>
                <w:sz w:val="24"/>
              </w:rPr>
              <w:t>姓名</w:t>
            </w:r>
          </w:p>
        </w:tc>
        <w:tc>
          <w:tcPr>
            <w:tcW w:w="945" w:type="dxa"/>
            <w:vAlign w:val="center"/>
          </w:tcPr>
          <w:p>
            <w:pPr>
              <w:spacing w:line="440" w:lineRule="exact"/>
              <w:ind w:firstLine="0" w:firstLineChars="0"/>
              <w:jc w:val="center"/>
              <w:rPr>
                <w:rFonts w:ascii="宋体" w:hAnsi="宋体" w:cs="宋体"/>
                <w:sz w:val="24"/>
              </w:rPr>
            </w:pPr>
            <w:r>
              <w:rPr>
                <w:rFonts w:hint="eastAsia" w:ascii="宋体" w:hAnsi="宋体" w:cs="宋体"/>
                <w:sz w:val="24"/>
              </w:rPr>
              <w:t>年龄</w:t>
            </w:r>
          </w:p>
        </w:tc>
        <w:tc>
          <w:tcPr>
            <w:tcW w:w="1137" w:type="dxa"/>
            <w:vAlign w:val="center"/>
          </w:tcPr>
          <w:p>
            <w:pPr>
              <w:spacing w:line="440" w:lineRule="exact"/>
              <w:ind w:firstLine="0" w:firstLineChars="0"/>
              <w:jc w:val="center"/>
              <w:rPr>
                <w:rFonts w:ascii="宋体" w:hAnsi="宋体" w:cs="宋体"/>
                <w:sz w:val="24"/>
              </w:rPr>
            </w:pPr>
            <w:r>
              <w:rPr>
                <w:rFonts w:hint="eastAsia" w:ascii="宋体" w:hAnsi="宋体" w:cs="宋体"/>
                <w:sz w:val="24"/>
              </w:rPr>
              <w:t>专业</w:t>
            </w:r>
          </w:p>
        </w:tc>
        <w:tc>
          <w:tcPr>
            <w:tcW w:w="1359" w:type="dxa"/>
            <w:vAlign w:val="center"/>
          </w:tcPr>
          <w:p>
            <w:pPr>
              <w:spacing w:line="440" w:lineRule="exact"/>
              <w:ind w:firstLine="0" w:firstLineChars="0"/>
              <w:jc w:val="center"/>
              <w:rPr>
                <w:rFonts w:ascii="宋体" w:hAnsi="宋体" w:cs="宋体"/>
                <w:sz w:val="24"/>
              </w:rPr>
            </w:pPr>
            <w:r>
              <w:rPr>
                <w:rFonts w:hint="eastAsia" w:ascii="宋体" w:hAnsi="宋体" w:cs="宋体"/>
                <w:sz w:val="24"/>
              </w:rPr>
              <w:t>在本项目中担任的岗位</w:t>
            </w:r>
          </w:p>
        </w:tc>
        <w:tc>
          <w:tcPr>
            <w:tcW w:w="1470" w:type="dxa"/>
            <w:vAlign w:val="center"/>
          </w:tcPr>
          <w:p>
            <w:pPr>
              <w:spacing w:line="440" w:lineRule="exact"/>
              <w:ind w:firstLine="0" w:firstLineChars="0"/>
              <w:jc w:val="center"/>
              <w:rPr>
                <w:rFonts w:ascii="宋体" w:hAnsi="宋体" w:cs="宋体"/>
                <w:sz w:val="24"/>
              </w:rPr>
            </w:pPr>
            <w:r>
              <w:rPr>
                <w:rFonts w:hint="eastAsia" w:ascii="宋体" w:hAnsi="宋体" w:cs="宋体"/>
                <w:sz w:val="24"/>
              </w:rPr>
              <w:t>从事类似工作年限</w:t>
            </w:r>
          </w:p>
        </w:tc>
        <w:tc>
          <w:tcPr>
            <w:tcW w:w="1142" w:type="dxa"/>
            <w:vAlign w:val="center"/>
          </w:tcPr>
          <w:p>
            <w:pPr>
              <w:spacing w:line="440" w:lineRule="exact"/>
              <w:ind w:firstLine="0" w:firstLineChars="0"/>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pPr>
              <w:spacing w:line="440" w:lineRule="exact"/>
              <w:ind w:firstLine="0" w:firstLineChars="0"/>
              <w:jc w:val="center"/>
              <w:rPr>
                <w:rFonts w:ascii="宋体" w:hAnsi="宋体" w:cs="宋体"/>
                <w:sz w:val="24"/>
              </w:rPr>
            </w:pPr>
            <w:r>
              <w:rPr>
                <w:rFonts w:hint="eastAsia" w:ascii="宋体" w:hAnsi="宋体" w:cs="宋体"/>
                <w:sz w:val="24"/>
              </w:rPr>
              <w:t>项目负责人</w:t>
            </w:r>
          </w:p>
        </w:tc>
        <w:tc>
          <w:tcPr>
            <w:tcW w:w="1183" w:type="dxa"/>
            <w:vAlign w:val="center"/>
          </w:tcPr>
          <w:p>
            <w:pPr>
              <w:spacing w:line="440" w:lineRule="exact"/>
              <w:ind w:firstLine="0" w:firstLineChars="0"/>
              <w:rPr>
                <w:rFonts w:ascii="宋体" w:hAnsi="宋体" w:cs="宋体"/>
                <w:sz w:val="24"/>
              </w:rPr>
            </w:pPr>
          </w:p>
        </w:tc>
        <w:tc>
          <w:tcPr>
            <w:tcW w:w="945" w:type="dxa"/>
            <w:vAlign w:val="center"/>
          </w:tcPr>
          <w:p>
            <w:pPr>
              <w:spacing w:line="440" w:lineRule="exact"/>
              <w:ind w:firstLine="0" w:firstLineChars="0"/>
              <w:rPr>
                <w:rFonts w:ascii="宋体" w:hAnsi="宋体" w:cs="宋体"/>
                <w:sz w:val="24"/>
              </w:rPr>
            </w:pPr>
          </w:p>
        </w:tc>
        <w:tc>
          <w:tcPr>
            <w:tcW w:w="1137" w:type="dxa"/>
            <w:vAlign w:val="center"/>
          </w:tcPr>
          <w:p>
            <w:pPr>
              <w:spacing w:line="440" w:lineRule="exact"/>
              <w:ind w:firstLine="0" w:firstLineChars="0"/>
              <w:rPr>
                <w:rFonts w:ascii="宋体" w:hAnsi="宋体" w:cs="宋体"/>
                <w:sz w:val="24"/>
              </w:rPr>
            </w:pPr>
          </w:p>
        </w:tc>
        <w:tc>
          <w:tcPr>
            <w:tcW w:w="1359" w:type="dxa"/>
            <w:vAlign w:val="center"/>
          </w:tcPr>
          <w:p>
            <w:pPr>
              <w:spacing w:line="440" w:lineRule="exact"/>
              <w:ind w:firstLine="0" w:firstLineChars="0"/>
              <w:rPr>
                <w:rFonts w:ascii="宋体" w:hAnsi="宋体" w:cs="宋体"/>
                <w:sz w:val="24"/>
              </w:rPr>
            </w:pPr>
          </w:p>
        </w:tc>
        <w:tc>
          <w:tcPr>
            <w:tcW w:w="1470" w:type="dxa"/>
            <w:vAlign w:val="center"/>
          </w:tcPr>
          <w:p>
            <w:pPr>
              <w:spacing w:line="440" w:lineRule="exact"/>
              <w:ind w:firstLine="0" w:firstLineChars="0"/>
              <w:rPr>
                <w:rFonts w:ascii="宋体" w:hAnsi="宋体" w:cs="宋体"/>
                <w:sz w:val="24"/>
              </w:rPr>
            </w:pPr>
          </w:p>
        </w:tc>
        <w:tc>
          <w:tcPr>
            <w:tcW w:w="1142" w:type="dxa"/>
            <w:vAlign w:val="center"/>
          </w:tcPr>
          <w:p>
            <w:pPr>
              <w:spacing w:line="440" w:lineRule="exact"/>
              <w:ind w:firstLine="0" w:firstLineChars="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spacing w:line="440" w:lineRule="exact"/>
              <w:ind w:firstLine="0" w:firstLineChars="0"/>
              <w:jc w:val="center"/>
              <w:rPr>
                <w:rFonts w:ascii="宋体" w:hAnsi="宋体" w:cs="宋体"/>
                <w:sz w:val="24"/>
              </w:rPr>
            </w:pPr>
            <w:r>
              <w:rPr>
                <w:rFonts w:hint="eastAsia" w:ascii="宋体" w:hAnsi="宋体" w:cs="宋体"/>
                <w:sz w:val="24"/>
              </w:rPr>
              <w:t>其他负责人</w:t>
            </w:r>
          </w:p>
        </w:tc>
        <w:tc>
          <w:tcPr>
            <w:tcW w:w="1183" w:type="dxa"/>
            <w:vAlign w:val="center"/>
          </w:tcPr>
          <w:p>
            <w:pPr>
              <w:spacing w:line="440" w:lineRule="exact"/>
              <w:ind w:firstLine="0" w:firstLineChars="0"/>
              <w:rPr>
                <w:rFonts w:ascii="宋体" w:hAnsi="宋体" w:cs="宋体"/>
                <w:sz w:val="24"/>
              </w:rPr>
            </w:pPr>
          </w:p>
        </w:tc>
        <w:tc>
          <w:tcPr>
            <w:tcW w:w="945" w:type="dxa"/>
            <w:vAlign w:val="center"/>
          </w:tcPr>
          <w:p>
            <w:pPr>
              <w:spacing w:line="440" w:lineRule="exact"/>
              <w:ind w:firstLine="0" w:firstLineChars="0"/>
              <w:rPr>
                <w:rFonts w:ascii="宋体" w:hAnsi="宋体" w:cs="宋体"/>
                <w:sz w:val="24"/>
              </w:rPr>
            </w:pPr>
          </w:p>
        </w:tc>
        <w:tc>
          <w:tcPr>
            <w:tcW w:w="1137" w:type="dxa"/>
            <w:vAlign w:val="center"/>
          </w:tcPr>
          <w:p>
            <w:pPr>
              <w:spacing w:line="440" w:lineRule="exact"/>
              <w:ind w:firstLine="0" w:firstLineChars="0"/>
              <w:rPr>
                <w:rFonts w:ascii="宋体" w:hAnsi="宋体" w:cs="宋体"/>
                <w:sz w:val="24"/>
              </w:rPr>
            </w:pPr>
          </w:p>
        </w:tc>
        <w:tc>
          <w:tcPr>
            <w:tcW w:w="1359" w:type="dxa"/>
            <w:vAlign w:val="center"/>
          </w:tcPr>
          <w:p>
            <w:pPr>
              <w:spacing w:line="440" w:lineRule="exact"/>
              <w:ind w:firstLine="0" w:firstLineChars="0"/>
              <w:rPr>
                <w:rFonts w:ascii="宋体" w:hAnsi="宋体" w:cs="宋体"/>
                <w:sz w:val="24"/>
              </w:rPr>
            </w:pPr>
          </w:p>
        </w:tc>
        <w:tc>
          <w:tcPr>
            <w:tcW w:w="1470" w:type="dxa"/>
            <w:vAlign w:val="center"/>
          </w:tcPr>
          <w:p>
            <w:pPr>
              <w:spacing w:line="440" w:lineRule="exact"/>
              <w:ind w:firstLine="0" w:firstLineChars="0"/>
              <w:rPr>
                <w:rFonts w:ascii="宋体" w:hAnsi="宋体" w:cs="宋体"/>
                <w:sz w:val="24"/>
              </w:rPr>
            </w:pPr>
          </w:p>
        </w:tc>
        <w:tc>
          <w:tcPr>
            <w:tcW w:w="1142" w:type="dxa"/>
            <w:vAlign w:val="center"/>
          </w:tcPr>
          <w:p>
            <w:pPr>
              <w:spacing w:line="440" w:lineRule="exact"/>
              <w:ind w:firstLine="0" w:firstLineChars="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pacing w:line="440" w:lineRule="exact"/>
              <w:ind w:firstLine="0" w:firstLineChars="0"/>
              <w:jc w:val="center"/>
              <w:rPr>
                <w:rFonts w:ascii="宋体" w:hAnsi="宋体" w:cs="宋体"/>
                <w:sz w:val="24"/>
              </w:rPr>
            </w:pPr>
          </w:p>
        </w:tc>
        <w:tc>
          <w:tcPr>
            <w:tcW w:w="1183" w:type="dxa"/>
            <w:vAlign w:val="center"/>
          </w:tcPr>
          <w:p>
            <w:pPr>
              <w:spacing w:line="440" w:lineRule="exact"/>
              <w:ind w:firstLine="0" w:firstLineChars="0"/>
              <w:rPr>
                <w:rFonts w:ascii="宋体" w:hAnsi="宋体" w:cs="宋体"/>
                <w:sz w:val="24"/>
              </w:rPr>
            </w:pPr>
          </w:p>
        </w:tc>
        <w:tc>
          <w:tcPr>
            <w:tcW w:w="945" w:type="dxa"/>
            <w:vAlign w:val="center"/>
          </w:tcPr>
          <w:p>
            <w:pPr>
              <w:spacing w:line="440" w:lineRule="exact"/>
              <w:ind w:firstLine="0" w:firstLineChars="0"/>
              <w:rPr>
                <w:rFonts w:ascii="宋体" w:hAnsi="宋体" w:cs="宋体"/>
                <w:sz w:val="24"/>
              </w:rPr>
            </w:pPr>
          </w:p>
        </w:tc>
        <w:tc>
          <w:tcPr>
            <w:tcW w:w="1137" w:type="dxa"/>
            <w:vAlign w:val="center"/>
          </w:tcPr>
          <w:p>
            <w:pPr>
              <w:spacing w:line="440" w:lineRule="exact"/>
              <w:ind w:firstLine="0" w:firstLineChars="0"/>
              <w:rPr>
                <w:rFonts w:ascii="宋体" w:hAnsi="宋体" w:cs="宋体"/>
                <w:sz w:val="24"/>
              </w:rPr>
            </w:pPr>
          </w:p>
        </w:tc>
        <w:tc>
          <w:tcPr>
            <w:tcW w:w="1359" w:type="dxa"/>
            <w:vAlign w:val="center"/>
          </w:tcPr>
          <w:p>
            <w:pPr>
              <w:spacing w:line="440" w:lineRule="exact"/>
              <w:ind w:firstLine="0" w:firstLineChars="0"/>
              <w:rPr>
                <w:rFonts w:ascii="宋体" w:hAnsi="宋体" w:cs="宋体"/>
                <w:sz w:val="24"/>
              </w:rPr>
            </w:pPr>
          </w:p>
        </w:tc>
        <w:tc>
          <w:tcPr>
            <w:tcW w:w="1470" w:type="dxa"/>
            <w:vAlign w:val="center"/>
          </w:tcPr>
          <w:p>
            <w:pPr>
              <w:spacing w:line="440" w:lineRule="exact"/>
              <w:ind w:firstLine="0" w:firstLineChars="0"/>
              <w:rPr>
                <w:rFonts w:ascii="宋体" w:hAnsi="宋体" w:cs="宋体"/>
                <w:sz w:val="24"/>
              </w:rPr>
            </w:pPr>
          </w:p>
        </w:tc>
        <w:tc>
          <w:tcPr>
            <w:tcW w:w="1142" w:type="dxa"/>
            <w:vAlign w:val="center"/>
          </w:tcPr>
          <w:p>
            <w:pPr>
              <w:spacing w:line="440" w:lineRule="exact"/>
              <w:ind w:firstLine="0" w:firstLineChars="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pacing w:line="440" w:lineRule="exact"/>
              <w:ind w:firstLine="0" w:firstLineChars="0"/>
              <w:jc w:val="center"/>
              <w:rPr>
                <w:rFonts w:ascii="宋体" w:hAnsi="宋体" w:cs="宋体"/>
                <w:sz w:val="24"/>
              </w:rPr>
            </w:pPr>
          </w:p>
        </w:tc>
        <w:tc>
          <w:tcPr>
            <w:tcW w:w="1183" w:type="dxa"/>
            <w:vAlign w:val="center"/>
          </w:tcPr>
          <w:p>
            <w:pPr>
              <w:spacing w:line="440" w:lineRule="exact"/>
              <w:ind w:firstLine="0" w:firstLineChars="0"/>
              <w:rPr>
                <w:rFonts w:ascii="宋体" w:hAnsi="宋体" w:cs="宋体"/>
                <w:sz w:val="24"/>
              </w:rPr>
            </w:pPr>
          </w:p>
        </w:tc>
        <w:tc>
          <w:tcPr>
            <w:tcW w:w="945" w:type="dxa"/>
            <w:vAlign w:val="center"/>
          </w:tcPr>
          <w:p>
            <w:pPr>
              <w:spacing w:line="440" w:lineRule="exact"/>
              <w:ind w:firstLine="0" w:firstLineChars="0"/>
              <w:rPr>
                <w:rFonts w:ascii="宋体" w:hAnsi="宋体" w:cs="宋体"/>
                <w:sz w:val="24"/>
              </w:rPr>
            </w:pPr>
          </w:p>
        </w:tc>
        <w:tc>
          <w:tcPr>
            <w:tcW w:w="1137" w:type="dxa"/>
            <w:vAlign w:val="center"/>
          </w:tcPr>
          <w:p>
            <w:pPr>
              <w:spacing w:line="440" w:lineRule="exact"/>
              <w:ind w:firstLine="0" w:firstLineChars="0"/>
              <w:rPr>
                <w:rFonts w:ascii="宋体" w:hAnsi="宋体" w:cs="宋体"/>
                <w:sz w:val="24"/>
              </w:rPr>
            </w:pPr>
          </w:p>
        </w:tc>
        <w:tc>
          <w:tcPr>
            <w:tcW w:w="1359" w:type="dxa"/>
            <w:vAlign w:val="center"/>
          </w:tcPr>
          <w:p>
            <w:pPr>
              <w:spacing w:line="440" w:lineRule="exact"/>
              <w:ind w:firstLine="0" w:firstLineChars="0"/>
              <w:rPr>
                <w:rFonts w:ascii="宋体" w:hAnsi="宋体" w:cs="宋体"/>
                <w:sz w:val="24"/>
              </w:rPr>
            </w:pPr>
          </w:p>
        </w:tc>
        <w:tc>
          <w:tcPr>
            <w:tcW w:w="1470" w:type="dxa"/>
            <w:vAlign w:val="center"/>
          </w:tcPr>
          <w:p>
            <w:pPr>
              <w:spacing w:line="440" w:lineRule="exact"/>
              <w:ind w:firstLine="0" w:firstLineChars="0"/>
              <w:rPr>
                <w:rFonts w:ascii="宋体" w:hAnsi="宋体" w:cs="宋体"/>
                <w:sz w:val="24"/>
              </w:rPr>
            </w:pPr>
          </w:p>
        </w:tc>
        <w:tc>
          <w:tcPr>
            <w:tcW w:w="1142" w:type="dxa"/>
            <w:vAlign w:val="center"/>
          </w:tcPr>
          <w:p>
            <w:pPr>
              <w:spacing w:line="440" w:lineRule="exact"/>
              <w:ind w:firstLine="0" w:firstLineChars="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spacing w:line="440" w:lineRule="exact"/>
              <w:ind w:firstLine="0" w:firstLineChars="0"/>
              <w:jc w:val="center"/>
              <w:rPr>
                <w:rFonts w:ascii="宋体" w:hAnsi="宋体" w:cs="宋体"/>
                <w:sz w:val="24"/>
              </w:rPr>
            </w:pPr>
            <w:r>
              <w:rPr>
                <w:rFonts w:hint="eastAsia" w:ascii="宋体" w:hAnsi="宋体" w:cs="宋体"/>
                <w:sz w:val="24"/>
              </w:rPr>
              <w:t>其他团队人员</w:t>
            </w:r>
          </w:p>
        </w:tc>
        <w:tc>
          <w:tcPr>
            <w:tcW w:w="1183" w:type="dxa"/>
            <w:vAlign w:val="center"/>
          </w:tcPr>
          <w:p>
            <w:pPr>
              <w:spacing w:line="440" w:lineRule="exact"/>
              <w:ind w:firstLine="0" w:firstLineChars="0"/>
              <w:rPr>
                <w:rFonts w:ascii="宋体" w:hAnsi="宋体" w:cs="宋体"/>
                <w:sz w:val="24"/>
              </w:rPr>
            </w:pPr>
          </w:p>
        </w:tc>
        <w:tc>
          <w:tcPr>
            <w:tcW w:w="945" w:type="dxa"/>
            <w:vAlign w:val="center"/>
          </w:tcPr>
          <w:p>
            <w:pPr>
              <w:spacing w:line="440" w:lineRule="exact"/>
              <w:ind w:firstLine="0" w:firstLineChars="0"/>
              <w:rPr>
                <w:rFonts w:ascii="宋体" w:hAnsi="宋体" w:cs="宋体"/>
                <w:sz w:val="24"/>
              </w:rPr>
            </w:pPr>
          </w:p>
        </w:tc>
        <w:tc>
          <w:tcPr>
            <w:tcW w:w="1137" w:type="dxa"/>
            <w:vAlign w:val="center"/>
          </w:tcPr>
          <w:p>
            <w:pPr>
              <w:spacing w:line="440" w:lineRule="exact"/>
              <w:ind w:firstLine="0" w:firstLineChars="0"/>
              <w:rPr>
                <w:rFonts w:ascii="宋体" w:hAnsi="宋体" w:cs="宋体"/>
                <w:sz w:val="24"/>
              </w:rPr>
            </w:pPr>
          </w:p>
        </w:tc>
        <w:tc>
          <w:tcPr>
            <w:tcW w:w="1359" w:type="dxa"/>
            <w:vAlign w:val="center"/>
          </w:tcPr>
          <w:p>
            <w:pPr>
              <w:spacing w:line="440" w:lineRule="exact"/>
              <w:ind w:firstLine="0" w:firstLineChars="0"/>
              <w:rPr>
                <w:rFonts w:ascii="宋体" w:hAnsi="宋体" w:cs="宋体"/>
                <w:sz w:val="24"/>
              </w:rPr>
            </w:pPr>
          </w:p>
        </w:tc>
        <w:tc>
          <w:tcPr>
            <w:tcW w:w="1470" w:type="dxa"/>
            <w:vAlign w:val="center"/>
          </w:tcPr>
          <w:p>
            <w:pPr>
              <w:spacing w:line="440" w:lineRule="exact"/>
              <w:ind w:firstLine="0" w:firstLineChars="0"/>
              <w:rPr>
                <w:rFonts w:ascii="宋体" w:hAnsi="宋体" w:cs="宋体"/>
                <w:sz w:val="24"/>
              </w:rPr>
            </w:pPr>
          </w:p>
        </w:tc>
        <w:tc>
          <w:tcPr>
            <w:tcW w:w="1142" w:type="dxa"/>
            <w:vAlign w:val="center"/>
          </w:tcPr>
          <w:p>
            <w:pPr>
              <w:spacing w:line="440" w:lineRule="exact"/>
              <w:ind w:firstLine="0" w:firstLineChars="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pacing w:line="440" w:lineRule="exact"/>
              <w:ind w:firstLine="0" w:firstLineChars="0"/>
              <w:rPr>
                <w:rFonts w:ascii="宋体" w:hAnsi="宋体" w:cs="宋体"/>
                <w:sz w:val="24"/>
              </w:rPr>
            </w:pPr>
          </w:p>
        </w:tc>
        <w:tc>
          <w:tcPr>
            <w:tcW w:w="1183" w:type="dxa"/>
            <w:vAlign w:val="center"/>
          </w:tcPr>
          <w:p>
            <w:pPr>
              <w:spacing w:line="440" w:lineRule="exact"/>
              <w:ind w:firstLine="0" w:firstLineChars="0"/>
              <w:rPr>
                <w:rFonts w:ascii="宋体" w:hAnsi="宋体" w:cs="宋体"/>
                <w:sz w:val="24"/>
              </w:rPr>
            </w:pPr>
          </w:p>
        </w:tc>
        <w:tc>
          <w:tcPr>
            <w:tcW w:w="945" w:type="dxa"/>
            <w:vAlign w:val="center"/>
          </w:tcPr>
          <w:p>
            <w:pPr>
              <w:spacing w:line="440" w:lineRule="exact"/>
              <w:ind w:firstLine="0" w:firstLineChars="0"/>
              <w:rPr>
                <w:rFonts w:ascii="宋体" w:hAnsi="宋体" w:cs="宋体"/>
                <w:sz w:val="24"/>
              </w:rPr>
            </w:pPr>
          </w:p>
        </w:tc>
        <w:tc>
          <w:tcPr>
            <w:tcW w:w="1137" w:type="dxa"/>
            <w:vAlign w:val="center"/>
          </w:tcPr>
          <w:p>
            <w:pPr>
              <w:spacing w:line="440" w:lineRule="exact"/>
              <w:ind w:firstLine="0" w:firstLineChars="0"/>
              <w:rPr>
                <w:rFonts w:ascii="宋体" w:hAnsi="宋体" w:cs="宋体"/>
                <w:sz w:val="24"/>
              </w:rPr>
            </w:pPr>
          </w:p>
        </w:tc>
        <w:tc>
          <w:tcPr>
            <w:tcW w:w="1359" w:type="dxa"/>
            <w:vAlign w:val="center"/>
          </w:tcPr>
          <w:p>
            <w:pPr>
              <w:spacing w:line="440" w:lineRule="exact"/>
              <w:ind w:firstLine="0" w:firstLineChars="0"/>
              <w:rPr>
                <w:rFonts w:ascii="宋体" w:hAnsi="宋体" w:cs="宋体"/>
                <w:sz w:val="24"/>
              </w:rPr>
            </w:pPr>
          </w:p>
        </w:tc>
        <w:tc>
          <w:tcPr>
            <w:tcW w:w="1470" w:type="dxa"/>
            <w:vAlign w:val="center"/>
          </w:tcPr>
          <w:p>
            <w:pPr>
              <w:spacing w:line="440" w:lineRule="exact"/>
              <w:ind w:firstLine="0" w:firstLineChars="0"/>
              <w:rPr>
                <w:rFonts w:ascii="宋体" w:hAnsi="宋体" w:cs="宋体"/>
                <w:sz w:val="24"/>
              </w:rPr>
            </w:pPr>
          </w:p>
        </w:tc>
        <w:tc>
          <w:tcPr>
            <w:tcW w:w="1142" w:type="dxa"/>
            <w:vAlign w:val="center"/>
          </w:tcPr>
          <w:p>
            <w:pPr>
              <w:spacing w:line="440" w:lineRule="exact"/>
              <w:ind w:firstLine="0" w:firstLineChars="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spacing w:line="440" w:lineRule="exact"/>
              <w:ind w:firstLine="0" w:firstLineChars="0"/>
              <w:rPr>
                <w:rFonts w:ascii="宋体" w:hAnsi="宋体" w:cs="宋体"/>
                <w:sz w:val="24"/>
              </w:rPr>
            </w:pPr>
          </w:p>
        </w:tc>
        <w:tc>
          <w:tcPr>
            <w:tcW w:w="1183" w:type="dxa"/>
            <w:tcBorders>
              <w:bottom w:val="single" w:color="auto" w:sz="4" w:space="0"/>
            </w:tcBorders>
            <w:vAlign w:val="center"/>
          </w:tcPr>
          <w:p>
            <w:pPr>
              <w:spacing w:line="440" w:lineRule="exact"/>
              <w:ind w:firstLine="0" w:firstLineChars="0"/>
              <w:rPr>
                <w:rFonts w:ascii="宋体" w:hAnsi="宋体" w:cs="宋体"/>
                <w:sz w:val="24"/>
              </w:rPr>
            </w:pPr>
          </w:p>
        </w:tc>
        <w:tc>
          <w:tcPr>
            <w:tcW w:w="945" w:type="dxa"/>
            <w:vAlign w:val="center"/>
          </w:tcPr>
          <w:p>
            <w:pPr>
              <w:spacing w:line="440" w:lineRule="exact"/>
              <w:ind w:firstLine="0" w:firstLineChars="0"/>
              <w:rPr>
                <w:rFonts w:ascii="宋体" w:hAnsi="宋体" w:cs="宋体"/>
                <w:sz w:val="24"/>
              </w:rPr>
            </w:pPr>
          </w:p>
        </w:tc>
        <w:tc>
          <w:tcPr>
            <w:tcW w:w="1137" w:type="dxa"/>
            <w:vAlign w:val="center"/>
          </w:tcPr>
          <w:p>
            <w:pPr>
              <w:spacing w:line="440" w:lineRule="exact"/>
              <w:ind w:firstLine="0" w:firstLineChars="0"/>
              <w:rPr>
                <w:rFonts w:ascii="宋体" w:hAnsi="宋体" w:cs="宋体"/>
                <w:sz w:val="24"/>
              </w:rPr>
            </w:pPr>
          </w:p>
        </w:tc>
        <w:tc>
          <w:tcPr>
            <w:tcW w:w="1359" w:type="dxa"/>
            <w:vAlign w:val="center"/>
          </w:tcPr>
          <w:p>
            <w:pPr>
              <w:spacing w:line="440" w:lineRule="exact"/>
              <w:ind w:firstLine="0" w:firstLineChars="0"/>
              <w:rPr>
                <w:rFonts w:ascii="宋体" w:hAnsi="宋体" w:cs="宋体"/>
                <w:sz w:val="24"/>
              </w:rPr>
            </w:pPr>
          </w:p>
        </w:tc>
        <w:tc>
          <w:tcPr>
            <w:tcW w:w="1470" w:type="dxa"/>
            <w:vAlign w:val="center"/>
          </w:tcPr>
          <w:p>
            <w:pPr>
              <w:spacing w:line="440" w:lineRule="exact"/>
              <w:ind w:firstLine="0" w:firstLineChars="0"/>
              <w:rPr>
                <w:rFonts w:ascii="宋体" w:hAnsi="宋体" w:cs="宋体"/>
                <w:sz w:val="24"/>
              </w:rPr>
            </w:pPr>
          </w:p>
        </w:tc>
        <w:tc>
          <w:tcPr>
            <w:tcW w:w="1142" w:type="dxa"/>
            <w:vAlign w:val="center"/>
          </w:tcPr>
          <w:p>
            <w:pPr>
              <w:spacing w:line="440" w:lineRule="exact"/>
              <w:ind w:firstLine="0" w:firstLineChars="0"/>
              <w:rPr>
                <w:rFonts w:ascii="宋体" w:hAnsi="宋体" w:cs="宋体"/>
                <w:sz w:val="24"/>
              </w:rPr>
            </w:pPr>
          </w:p>
        </w:tc>
      </w:tr>
    </w:tbl>
    <w:p>
      <w:pPr>
        <w:spacing w:line="440" w:lineRule="exact"/>
        <w:ind w:firstLine="0" w:firstLineChars="0"/>
        <w:rPr>
          <w:rFonts w:ascii="宋体" w:hAnsi="宋体" w:cs="宋体"/>
          <w:sz w:val="24"/>
        </w:rPr>
      </w:pPr>
    </w:p>
    <w:p>
      <w:pPr>
        <w:spacing w:line="440" w:lineRule="exact"/>
        <w:ind w:firstLine="480"/>
        <w:rPr>
          <w:rFonts w:ascii="宋体" w:hAnsi="宋体" w:cs="宋体"/>
          <w:sz w:val="24"/>
        </w:rPr>
      </w:pPr>
      <w:r>
        <w:rPr>
          <w:rFonts w:hint="eastAsia" w:ascii="宋体" w:hAnsi="宋体" w:cs="宋体"/>
          <w:sz w:val="24"/>
        </w:rPr>
        <w:t>我单位承诺以上填报内容真实。如不真实，将按照有关规定接受处理。</w:t>
      </w:r>
    </w:p>
    <w:p>
      <w:pPr>
        <w:spacing w:line="440" w:lineRule="exact"/>
        <w:ind w:firstLine="0" w:firstLineChars="0"/>
        <w:rPr>
          <w:rFonts w:ascii="宋体" w:hAnsi="宋体" w:cs="宋体"/>
          <w:sz w:val="24"/>
        </w:rPr>
      </w:pPr>
    </w:p>
    <w:p>
      <w:pPr>
        <w:spacing w:line="440" w:lineRule="exact"/>
        <w:ind w:firstLine="0" w:firstLineChars="0"/>
        <w:rPr>
          <w:rFonts w:ascii="宋体" w:hAnsi="宋体" w:cs="宋体"/>
          <w:sz w:val="24"/>
        </w:rPr>
      </w:pPr>
      <w:r>
        <w:rPr>
          <w:rFonts w:hint="eastAsia" w:ascii="宋体" w:hAnsi="宋体" w:cs="宋体"/>
          <w:sz w:val="24"/>
        </w:rPr>
        <w:t>投标人（盖公章）：</w:t>
      </w:r>
    </w:p>
    <w:p>
      <w:pPr>
        <w:spacing w:line="440" w:lineRule="exact"/>
        <w:ind w:firstLine="0" w:firstLineChars="0"/>
        <w:rPr>
          <w:rFonts w:ascii="宋体" w:hAnsi="宋体" w:cs="宋体"/>
          <w:sz w:val="24"/>
        </w:rPr>
      </w:pPr>
      <w:r>
        <w:rPr>
          <w:rFonts w:hint="eastAsia" w:ascii="宋体" w:hAnsi="宋体" w:cs="宋体"/>
          <w:sz w:val="24"/>
        </w:rPr>
        <w:t>法定代表人（签字或盖章）：</w:t>
      </w:r>
    </w:p>
    <w:p>
      <w:pPr>
        <w:spacing w:line="440" w:lineRule="exact"/>
        <w:ind w:firstLine="0" w:firstLineChars="0"/>
        <w:rPr>
          <w:rFonts w:ascii="宋体" w:hAnsi="宋体" w:cs="宋体"/>
          <w:sz w:val="24"/>
        </w:rPr>
      </w:pPr>
      <w:r>
        <w:rPr>
          <w:rFonts w:hint="eastAsia" w:ascii="宋体" w:hAnsi="宋体" w:cs="宋体"/>
          <w:sz w:val="24"/>
        </w:rPr>
        <w:t>授权代理人（签字）：</w:t>
      </w:r>
    </w:p>
    <w:p>
      <w:pPr>
        <w:spacing w:line="440" w:lineRule="exact"/>
        <w:ind w:firstLine="0" w:firstLineChars="0"/>
        <w:rPr>
          <w:rFonts w:ascii="宋体" w:hAnsi="宋体" w:cs="宋体"/>
          <w:sz w:val="24"/>
        </w:rPr>
      </w:pPr>
      <w:r>
        <w:rPr>
          <w:rFonts w:hint="eastAsia" w:ascii="宋体" w:hAnsi="宋体" w:cs="宋体"/>
          <w:sz w:val="24"/>
        </w:rPr>
        <w:t>日期：  年  月  日</w:t>
      </w:r>
    </w:p>
    <w:p>
      <w:pPr>
        <w:spacing w:line="240" w:lineRule="auto"/>
        <w:ind w:firstLine="0" w:firstLineChars="0"/>
        <w:rPr>
          <w:rFonts w:ascii="宋体" w:hAnsi="宋体" w:cs="宋体"/>
          <w:sz w:val="24"/>
        </w:rPr>
      </w:pPr>
    </w:p>
    <w:p>
      <w:pPr>
        <w:shd w:val="clear" w:color="auto" w:fill="FFFFFF"/>
        <w:spacing w:line="240" w:lineRule="auto"/>
        <w:ind w:firstLine="0" w:firstLineChars="0"/>
        <w:rPr>
          <w:rFonts w:ascii="宋体" w:hAnsi="宋体" w:cs="Times New Roman"/>
          <w:b/>
          <w:bCs/>
          <w:szCs w:val="28"/>
        </w:rPr>
      </w:pPr>
      <w:r>
        <w:rPr>
          <w:rFonts w:hint="eastAsia" w:ascii="宋体" w:hAnsi="宋体" w:cs="宋体"/>
          <w:sz w:val="24"/>
        </w:rPr>
        <w:t>备注：1、附证明文件复印件加盖公章（身份证及有关证明材料复印件）。</w:t>
      </w:r>
      <w:r>
        <w:rPr>
          <w:rFonts w:hint="eastAsia" w:ascii="宋体" w:hAnsi="宋体" w:cs="宋体"/>
          <w:sz w:val="24"/>
        </w:rPr>
        <w:br w:type="page"/>
      </w:r>
      <w:r>
        <w:rPr>
          <w:rFonts w:hint="eastAsia" w:ascii="宋体" w:hAnsi="宋体" w:cs="Times New Roman"/>
          <w:b/>
          <w:bCs/>
          <w:szCs w:val="28"/>
        </w:rPr>
        <w:t>附件七</w:t>
      </w:r>
    </w:p>
    <w:p>
      <w:pPr>
        <w:spacing w:before="54" w:line="240" w:lineRule="auto"/>
        <w:ind w:left="696" w:right="761" w:firstLine="0" w:firstLineChars="0"/>
        <w:jc w:val="center"/>
        <w:rPr>
          <w:rFonts w:ascii="宋体" w:hAnsi="宋体" w:cs="宋体"/>
          <w:b/>
          <w:szCs w:val="28"/>
        </w:rPr>
      </w:pPr>
      <w:r>
        <w:rPr>
          <w:rFonts w:hint="eastAsia" w:ascii="宋体" w:hAnsi="宋体" w:cs="宋体"/>
          <w:b/>
          <w:szCs w:val="28"/>
        </w:rPr>
        <w:t>业绩一览表</w:t>
      </w:r>
    </w:p>
    <w:p>
      <w:pPr>
        <w:spacing w:before="54" w:line="240" w:lineRule="auto"/>
        <w:ind w:right="761" w:firstLine="0" w:firstLineChars="0"/>
        <w:rPr>
          <w:rFonts w:ascii="宋体" w:hAnsi="宋体" w:cs="宋体"/>
          <w:sz w:val="24"/>
        </w:rPr>
      </w:pPr>
      <w:r>
        <w:rPr>
          <w:rFonts w:hint="eastAsia" w:ascii="宋体" w:hAnsi="宋体" w:cs="宋体"/>
          <w:sz w:val="24"/>
        </w:rPr>
        <w:t>项目名称：</w:t>
      </w:r>
    </w:p>
    <w:tbl>
      <w:tblPr>
        <w:tblStyle w:val="20"/>
        <w:tblW w:w="9185" w:type="dxa"/>
        <w:jc w:val="center"/>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970"/>
        <w:gridCol w:w="1538"/>
        <w:gridCol w:w="2106"/>
        <w:gridCol w:w="1482"/>
        <w:gridCol w:w="1559"/>
        <w:gridCol w:w="1530"/>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bottom w:val="single" w:color="000000" w:sz="6" w:space="0"/>
              <w:right w:val="single" w:color="000000" w:sz="6" w:space="0"/>
            </w:tcBorders>
          </w:tcPr>
          <w:p>
            <w:pPr>
              <w:spacing w:before="114" w:line="306" w:lineRule="exact"/>
              <w:ind w:right="212" w:firstLine="0" w:firstLineChars="0"/>
              <w:jc w:val="center"/>
              <w:rPr>
                <w:rFonts w:ascii="宋体" w:hAnsi="宋体" w:cs="宋体"/>
                <w:sz w:val="24"/>
              </w:rPr>
            </w:pPr>
            <w:r>
              <w:rPr>
                <w:rFonts w:hint="eastAsia" w:ascii="宋体" w:hAnsi="宋体" w:cs="宋体"/>
                <w:sz w:val="24"/>
              </w:rPr>
              <w:t>序号</w:t>
            </w:r>
          </w:p>
        </w:tc>
        <w:tc>
          <w:tcPr>
            <w:tcW w:w="1538" w:type="dxa"/>
            <w:tcBorders>
              <w:left w:val="single" w:color="000000" w:sz="6" w:space="0"/>
              <w:bottom w:val="single" w:color="000000" w:sz="6" w:space="0"/>
              <w:right w:val="single" w:color="000000" w:sz="6" w:space="0"/>
            </w:tcBorders>
          </w:tcPr>
          <w:p>
            <w:pPr>
              <w:spacing w:before="114" w:line="306" w:lineRule="exact"/>
              <w:ind w:firstLine="0" w:firstLineChars="0"/>
              <w:jc w:val="center"/>
              <w:rPr>
                <w:rFonts w:ascii="宋体" w:hAnsi="宋体" w:cs="宋体"/>
                <w:sz w:val="24"/>
              </w:rPr>
            </w:pPr>
            <w:r>
              <w:rPr>
                <w:rFonts w:hint="eastAsia" w:ascii="宋体" w:hAnsi="宋体" w:cs="宋体"/>
                <w:sz w:val="24"/>
              </w:rPr>
              <w:t>项目名称</w:t>
            </w:r>
          </w:p>
        </w:tc>
        <w:tc>
          <w:tcPr>
            <w:tcW w:w="2106" w:type="dxa"/>
            <w:tcBorders>
              <w:left w:val="single" w:color="000000" w:sz="6" w:space="0"/>
              <w:bottom w:val="single" w:color="000000" w:sz="6" w:space="0"/>
              <w:right w:val="single" w:color="000000" w:sz="6" w:space="0"/>
            </w:tcBorders>
          </w:tcPr>
          <w:p>
            <w:pPr>
              <w:spacing w:before="114" w:line="306" w:lineRule="exact"/>
              <w:ind w:firstLine="0" w:firstLineChars="0"/>
              <w:jc w:val="center"/>
              <w:rPr>
                <w:rFonts w:ascii="宋体" w:hAnsi="宋体" w:cs="宋体"/>
                <w:sz w:val="24"/>
              </w:rPr>
            </w:pPr>
            <w:r>
              <w:rPr>
                <w:rFonts w:hint="eastAsia" w:ascii="宋体" w:hAnsi="宋体" w:cs="宋体"/>
                <w:sz w:val="24"/>
              </w:rPr>
              <w:t>项目实施单位</w:t>
            </w:r>
          </w:p>
        </w:tc>
        <w:tc>
          <w:tcPr>
            <w:tcW w:w="1482" w:type="dxa"/>
            <w:tcBorders>
              <w:left w:val="single" w:color="000000" w:sz="6" w:space="0"/>
              <w:bottom w:val="single" w:color="000000" w:sz="6" w:space="0"/>
              <w:right w:val="single" w:color="000000" w:sz="6" w:space="0"/>
            </w:tcBorders>
          </w:tcPr>
          <w:p>
            <w:pPr>
              <w:spacing w:before="114" w:line="306" w:lineRule="exact"/>
              <w:ind w:firstLine="0" w:firstLineChars="0"/>
              <w:jc w:val="center"/>
              <w:rPr>
                <w:rFonts w:ascii="宋体" w:hAnsi="宋体" w:cs="宋体"/>
                <w:sz w:val="24"/>
              </w:rPr>
            </w:pPr>
            <w:r>
              <w:rPr>
                <w:rFonts w:hint="eastAsia" w:ascii="宋体" w:hAnsi="宋体" w:cs="宋体"/>
                <w:sz w:val="24"/>
              </w:rPr>
              <w:t>合同金额</w:t>
            </w:r>
          </w:p>
        </w:tc>
        <w:tc>
          <w:tcPr>
            <w:tcW w:w="1559" w:type="dxa"/>
            <w:tcBorders>
              <w:left w:val="single" w:color="000000" w:sz="6" w:space="0"/>
              <w:bottom w:val="single" w:color="000000" w:sz="6" w:space="0"/>
              <w:right w:val="single" w:color="000000" w:sz="6" w:space="0"/>
            </w:tcBorders>
          </w:tcPr>
          <w:p>
            <w:pPr>
              <w:spacing w:before="114" w:line="306" w:lineRule="exact"/>
              <w:ind w:firstLine="0" w:firstLineChars="0"/>
              <w:jc w:val="center"/>
              <w:rPr>
                <w:rFonts w:ascii="宋体" w:hAnsi="宋体" w:cs="宋体"/>
                <w:sz w:val="24"/>
              </w:rPr>
            </w:pPr>
            <w:r>
              <w:rPr>
                <w:rFonts w:hint="eastAsia" w:ascii="宋体" w:hAnsi="宋体" w:cs="宋体"/>
                <w:sz w:val="24"/>
              </w:rPr>
              <w:t>实施时间</w:t>
            </w:r>
          </w:p>
        </w:tc>
        <w:tc>
          <w:tcPr>
            <w:tcW w:w="1530" w:type="dxa"/>
            <w:tcBorders>
              <w:left w:val="single" w:color="000000" w:sz="6" w:space="0"/>
              <w:bottom w:val="single" w:color="000000" w:sz="6" w:space="0"/>
            </w:tcBorders>
          </w:tcPr>
          <w:p>
            <w:pPr>
              <w:spacing w:before="114" w:line="306" w:lineRule="exact"/>
              <w:ind w:right="485" w:firstLine="0" w:firstLineChars="0"/>
              <w:jc w:val="center"/>
              <w:rPr>
                <w:rFonts w:ascii="宋体" w:hAnsi="宋体" w:cs="宋体"/>
                <w:sz w:val="24"/>
              </w:rPr>
            </w:pPr>
            <w:r>
              <w:rPr>
                <w:rFonts w:hint="eastAsia" w:ascii="宋体" w:hAnsi="宋体" w:cs="宋体"/>
                <w:sz w:val="24"/>
              </w:rPr>
              <w:t>备注</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2" w:line="240" w:lineRule="auto"/>
              <w:ind w:left="3" w:firstLine="0" w:firstLineChars="0"/>
              <w:jc w:val="center"/>
              <w:rPr>
                <w:rFonts w:ascii="宋体" w:hAnsi="宋体" w:cs="宋体"/>
                <w:sz w:val="24"/>
              </w:rPr>
            </w:pPr>
            <w:r>
              <w:rPr>
                <w:rFonts w:hint="eastAsia" w:ascii="宋体" w:hAnsi="宋体" w:cs="宋体"/>
                <w:sz w:val="24"/>
              </w:rPr>
              <w:t>1</w:t>
            </w:r>
          </w:p>
        </w:tc>
        <w:tc>
          <w:tcPr>
            <w:tcW w:w="1538"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2106"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482"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559"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530" w:type="dxa"/>
            <w:tcBorders>
              <w:top w:val="single" w:color="000000" w:sz="6" w:space="0"/>
              <w:left w:val="single" w:color="000000" w:sz="6" w:space="0"/>
              <w:bottom w:val="single" w:color="000000" w:sz="6" w:space="0"/>
            </w:tcBorders>
          </w:tcPr>
          <w:p>
            <w:pPr>
              <w:spacing w:line="240" w:lineRule="auto"/>
              <w:ind w:firstLine="0" w:firstLineChars="0"/>
              <w:rPr>
                <w:rFonts w:ascii="宋体" w:hAnsi="宋体" w:cs="宋体"/>
                <w:sz w:val="24"/>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3" w:line="307" w:lineRule="exact"/>
              <w:ind w:left="3" w:firstLine="0" w:firstLineChars="0"/>
              <w:jc w:val="center"/>
              <w:rPr>
                <w:rFonts w:ascii="宋体" w:hAnsi="宋体" w:cs="宋体"/>
                <w:sz w:val="24"/>
              </w:rPr>
            </w:pPr>
            <w:r>
              <w:rPr>
                <w:rFonts w:hint="eastAsia" w:ascii="宋体" w:hAnsi="宋体" w:cs="宋体"/>
                <w:sz w:val="24"/>
              </w:rPr>
              <w:t>2</w:t>
            </w:r>
          </w:p>
        </w:tc>
        <w:tc>
          <w:tcPr>
            <w:tcW w:w="1538"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2106"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482"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559"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530" w:type="dxa"/>
            <w:tcBorders>
              <w:top w:val="single" w:color="000000" w:sz="6" w:space="0"/>
              <w:left w:val="single" w:color="000000" w:sz="6" w:space="0"/>
              <w:bottom w:val="single" w:color="000000" w:sz="6" w:space="0"/>
            </w:tcBorders>
          </w:tcPr>
          <w:p>
            <w:pPr>
              <w:spacing w:line="240" w:lineRule="auto"/>
              <w:ind w:firstLine="0" w:firstLineChars="0"/>
              <w:rPr>
                <w:rFonts w:ascii="宋体" w:hAnsi="宋体" w:cs="宋体"/>
                <w:sz w:val="24"/>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4" w:line="306" w:lineRule="exact"/>
              <w:ind w:left="3" w:firstLine="0" w:firstLineChars="0"/>
              <w:jc w:val="center"/>
              <w:rPr>
                <w:rFonts w:ascii="宋体" w:hAnsi="宋体" w:cs="宋体"/>
                <w:sz w:val="24"/>
              </w:rPr>
            </w:pPr>
            <w:r>
              <w:rPr>
                <w:rFonts w:hint="eastAsia" w:ascii="宋体" w:hAnsi="宋体" w:cs="宋体"/>
                <w:sz w:val="24"/>
              </w:rPr>
              <w:t>3</w:t>
            </w:r>
          </w:p>
        </w:tc>
        <w:tc>
          <w:tcPr>
            <w:tcW w:w="1538"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2106"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482"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559"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530" w:type="dxa"/>
            <w:tcBorders>
              <w:top w:val="single" w:color="000000" w:sz="6" w:space="0"/>
              <w:left w:val="single" w:color="000000" w:sz="6" w:space="0"/>
              <w:bottom w:val="single" w:color="000000" w:sz="6" w:space="0"/>
            </w:tcBorders>
          </w:tcPr>
          <w:p>
            <w:pPr>
              <w:spacing w:line="240" w:lineRule="auto"/>
              <w:ind w:firstLine="0" w:firstLineChars="0"/>
              <w:rPr>
                <w:rFonts w:ascii="宋体" w:hAnsi="宋体" w:cs="宋体"/>
                <w:sz w:val="24"/>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3" w:line="307" w:lineRule="exact"/>
              <w:ind w:left="3" w:firstLine="0" w:firstLineChars="0"/>
              <w:jc w:val="center"/>
              <w:rPr>
                <w:rFonts w:ascii="宋体" w:hAnsi="宋体" w:cs="宋体"/>
                <w:sz w:val="24"/>
              </w:rPr>
            </w:pPr>
            <w:r>
              <w:rPr>
                <w:rFonts w:hint="eastAsia" w:ascii="宋体" w:hAnsi="宋体" w:cs="宋体"/>
                <w:sz w:val="24"/>
              </w:rPr>
              <w:t>4</w:t>
            </w:r>
          </w:p>
        </w:tc>
        <w:tc>
          <w:tcPr>
            <w:tcW w:w="1538"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2106"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482"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559" w:type="dxa"/>
            <w:tcBorders>
              <w:top w:val="single" w:color="000000" w:sz="6" w:space="0"/>
              <w:left w:val="single" w:color="000000" w:sz="6" w:space="0"/>
              <w:bottom w:val="single" w:color="000000" w:sz="6" w:space="0"/>
              <w:right w:val="single" w:color="000000" w:sz="6" w:space="0"/>
            </w:tcBorders>
          </w:tcPr>
          <w:p>
            <w:pPr>
              <w:spacing w:line="240" w:lineRule="auto"/>
              <w:ind w:firstLine="0" w:firstLineChars="0"/>
              <w:rPr>
                <w:rFonts w:ascii="宋体" w:hAnsi="宋体" w:cs="宋体"/>
                <w:sz w:val="24"/>
              </w:rPr>
            </w:pPr>
          </w:p>
        </w:tc>
        <w:tc>
          <w:tcPr>
            <w:tcW w:w="1530" w:type="dxa"/>
            <w:tcBorders>
              <w:top w:val="single" w:color="000000" w:sz="6" w:space="0"/>
              <w:left w:val="single" w:color="000000" w:sz="6" w:space="0"/>
              <w:bottom w:val="single" w:color="000000" w:sz="6" w:space="0"/>
            </w:tcBorders>
          </w:tcPr>
          <w:p>
            <w:pPr>
              <w:spacing w:line="240" w:lineRule="auto"/>
              <w:ind w:firstLine="0" w:firstLineChars="0"/>
              <w:rPr>
                <w:rFonts w:ascii="宋体" w:hAnsi="宋体" w:cs="宋体"/>
                <w:sz w:val="24"/>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39" w:hRule="atLeast"/>
          <w:jc w:val="center"/>
        </w:trPr>
        <w:tc>
          <w:tcPr>
            <w:tcW w:w="970" w:type="dxa"/>
            <w:tcBorders>
              <w:top w:val="single" w:color="000000" w:sz="6" w:space="0"/>
              <w:right w:val="single" w:color="000000" w:sz="6" w:space="0"/>
            </w:tcBorders>
          </w:tcPr>
          <w:p>
            <w:pPr>
              <w:spacing w:before="114" w:line="306" w:lineRule="exact"/>
              <w:ind w:left="215" w:right="212" w:firstLine="0" w:firstLineChars="0"/>
              <w:jc w:val="center"/>
              <w:rPr>
                <w:rFonts w:ascii="宋体" w:hAnsi="宋体" w:cs="宋体"/>
                <w:sz w:val="24"/>
              </w:rPr>
            </w:pPr>
            <w:r>
              <w:rPr>
                <w:rFonts w:hint="eastAsia" w:ascii="宋体" w:hAnsi="宋体" w:cs="宋体"/>
                <w:sz w:val="24"/>
              </w:rPr>
              <w:t>……</w:t>
            </w:r>
          </w:p>
        </w:tc>
        <w:tc>
          <w:tcPr>
            <w:tcW w:w="1538" w:type="dxa"/>
            <w:tcBorders>
              <w:top w:val="single" w:color="000000" w:sz="6" w:space="0"/>
              <w:left w:val="single" w:color="000000" w:sz="6" w:space="0"/>
              <w:right w:val="single" w:color="000000" w:sz="6" w:space="0"/>
            </w:tcBorders>
          </w:tcPr>
          <w:p>
            <w:pPr>
              <w:spacing w:line="240" w:lineRule="auto"/>
              <w:ind w:firstLine="0" w:firstLineChars="0"/>
              <w:rPr>
                <w:rFonts w:ascii="宋体" w:hAnsi="宋体" w:cs="宋体"/>
                <w:sz w:val="24"/>
              </w:rPr>
            </w:pPr>
          </w:p>
        </w:tc>
        <w:tc>
          <w:tcPr>
            <w:tcW w:w="2106" w:type="dxa"/>
            <w:tcBorders>
              <w:top w:val="single" w:color="000000" w:sz="6" w:space="0"/>
              <w:left w:val="single" w:color="000000" w:sz="6" w:space="0"/>
              <w:right w:val="single" w:color="000000" w:sz="6" w:space="0"/>
            </w:tcBorders>
          </w:tcPr>
          <w:p>
            <w:pPr>
              <w:spacing w:line="240" w:lineRule="auto"/>
              <w:ind w:firstLine="0" w:firstLineChars="0"/>
              <w:rPr>
                <w:rFonts w:ascii="宋体" w:hAnsi="宋体" w:cs="宋体"/>
                <w:sz w:val="24"/>
              </w:rPr>
            </w:pPr>
          </w:p>
        </w:tc>
        <w:tc>
          <w:tcPr>
            <w:tcW w:w="1482" w:type="dxa"/>
            <w:tcBorders>
              <w:top w:val="single" w:color="000000" w:sz="6" w:space="0"/>
              <w:left w:val="single" w:color="000000" w:sz="6" w:space="0"/>
              <w:right w:val="single" w:color="000000" w:sz="6" w:space="0"/>
            </w:tcBorders>
          </w:tcPr>
          <w:p>
            <w:pPr>
              <w:spacing w:line="240" w:lineRule="auto"/>
              <w:ind w:firstLine="0" w:firstLineChars="0"/>
              <w:rPr>
                <w:rFonts w:ascii="宋体" w:hAnsi="宋体" w:cs="宋体"/>
                <w:sz w:val="24"/>
              </w:rPr>
            </w:pPr>
          </w:p>
        </w:tc>
        <w:tc>
          <w:tcPr>
            <w:tcW w:w="1559" w:type="dxa"/>
            <w:tcBorders>
              <w:top w:val="single" w:color="000000" w:sz="6" w:space="0"/>
              <w:left w:val="single" w:color="000000" w:sz="6" w:space="0"/>
              <w:right w:val="single" w:color="000000" w:sz="6" w:space="0"/>
            </w:tcBorders>
          </w:tcPr>
          <w:p>
            <w:pPr>
              <w:spacing w:line="240" w:lineRule="auto"/>
              <w:ind w:firstLine="0" w:firstLineChars="0"/>
              <w:rPr>
                <w:rFonts w:ascii="宋体" w:hAnsi="宋体" w:cs="宋体"/>
                <w:sz w:val="24"/>
              </w:rPr>
            </w:pPr>
          </w:p>
        </w:tc>
        <w:tc>
          <w:tcPr>
            <w:tcW w:w="1530" w:type="dxa"/>
            <w:tcBorders>
              <w:top w:val="single" w:color="000000" w:sz="6" w:space="0"/>
              <w:left w:val="single" w:color="000000" w:sz="6" w:space="0"/>
            </w:tcBorders>
          </w:tcPr>
          <w:p>
            <w:pPr>
              <w:spacing w:line="240" w:lineRule="auto"/>
              <w:ind w:firstLine="0" w:firstLineChars="0"/>
              <w:rPr>
                <w:rFonts w:ascii="宋体" w:hAnsi="宋体" w:cs="宋体"/>
                <w:sz w:val="24"/>
              </w:rPr>
            </w:pPr>
          </w:p>
        </w:tc>
      </w:tr>
    </w:tbl>
    <w:p>
      <w:pPr>
        <w:autoSpaceDE w:val="0"/>
        <w:autoSpaceDN w:val="0"/>
        <w:spacing w:before="124" w:after="120" w:line="360" w:lineRule="auto"/>
        <w:ind w:left="0" w:leftChars="0" w:right="1677" w:firstLine="0" w:firstLineChars="0"/>
        <w:rPr>
          <w:rFonts w:ascii="宋体" w:hAnsi="宋体" w:cs="宋体"/>
          <w:sz w:val="24"/>
        </w:rPr>
      </w:pPr>
      <w:r>
        <w:rPr>
          <w:rFonts w:hint="eastAsia" w:ascii="宋体" w:hAnsi="宋体" w:cs="宋体"/>
          <w:sz w:val="24"/>
        </w:rPr>
        <w:t>注：1、业绩证明材料提供合同或任务书复印件。</w:t>
      </w:r>
    </w:p>
    <w:p>
      <w:pPr>
        <w:autoSpaceDE w:val="0"/>
        <w:autoSpaceDN w:val="0"/>
        <w:spacing w:before="124" w:after="120" w:line="360" w:lineRule="auto"/>
        <w:ind w:right="1677" w:firstLine="480"/>
        <w:rPr>
          <w:rFonts w:ascii="宋体" w:hAnsi="宋体" w:cs="宋体"/>
          <w:sz w:val="24"/>
        </w:rPr>
      </w:pPr>
      <w:r>
        <w:rPr>
          <w:rFonts w:hint="eastAsia" w:ascii="宋体" w:hAnsi="宋体" w:cs="宋体"/>
          <w:sz w:val="24"/>
        </w:rPr>
        <w:t>2、如无业绩也需附本表，内容填“无”。</w:t>
      </w:r>
    </w:p>
    <w:p>
      <w:pPr>
        <w:autoSpaceDE w:val="0"/>
        <w:autoSpaceDN w:val="0"/>
        <w:spacing w:after="120" w:line="360" w:lineRule="auto"/>
        <w:ind w:right="477" w:firstLine="480"/>
        <w:rPr>
          <w:rFonts w:ascii="宋体" w:hAnsi="宋体" w:cs="宋体"/>
          <w:sz w:val="24"/>
        </w:rPr>
      </w:pPr>
      <w:r>
        <w:rPr>
          <w:rFonts w:hint="eastAsia" w:ascii="宋体" w:hAnsi="宋体" w:cs="宋体"/>
          <w:sz w:val="24"/>
        </w:rPr>
        <w:t>3、响应供应商必须确保上表信息的真实性，采购人保留因响应供应商提供虚假信息采取的法律权利。</w:t>
      </w:r>
    </w:p>
    <w:p>
      <w:pPr>
        <w:spacing w:before="3" w:after="120"/>
        <w:ind w:firstLine="480"/>
        <w:rPr>
          <w:rFonts w:ascii="宋体" w:hAnsi="宋体" w:cs="宋体"/>
          <w:sz w:val="24"/>
        </w:rPr>
      </w:pPr>
    </w:p>
    <w:p>
      <w:pPr>
        <w:spacing w:after="120"/>
        <w:ind w:firstLine="480"/>
        <w:rPr>
          <w:rFonts w:ascii="宋体" w:hAnsi="宋体" w:cs="宋体"/>
          <w:sz w:val="24"/>
        </w:rPr>
      </w:pPr>
      <w:r>
        <w:rPr>
          <w:rFonts w:hint="eastAsia" w:ascii="宋体" w:hAnsi="宋体" w:cs="宋体"/>
          <w:sz w:val="24"/>
        </w:rPr>
        <w:t>投标人（盖章）：</w:t>
      </w:r>
    </w:p>
    <w:p>
      <w:pPr>
        <w:tabs>
          <w:tab w:val="left" w:pos="7487"/>
        </w:tabs>
        <w:spacing w:after="120" w:line="487" w:lineRule="auto"/>
        <w:ind w:right="357" w:firstLine="480"/>
        <w:rPr>
          <w:rFonts w:ascii="宋体" w:hAnsi="宋体" w:cs="宋体"/>
          <w:spacing w:val="-19"/>
          <w:sz w:val="24"/>
        </w:rPr>
      </w:pPr>
      <w:r>
        <w:rPr>
          <w:rFonts w:hint="eastAsia" w:ascii="宋体" w:hAnsi="宋体" w:cs="宋体"/>
          <w:sz w:val="24"/>
        </w:rPr>
        <w:t>法人或被授权人签字或盖章</w:t>
      </w:r>
      <w:r>
        <w:rPr>
          <w:rFonts w:hint="eastAsia" w:ascii="宋体" w:hAnsi="宋体" w:cs="宋体"/>
          <w:spacing w:val="-19"/>
          <w:sz w:val="24"/>
        </w:rPr>
        <w:t xml:space="preserve">： </w:t>
      </w:r>
    </w:p>
    <w:p>
      <w:pPr>
        <w:spacing w:line="240" w:lineRule="auto"/>
        <w:ind w:firstLine="480" w:firstLineChars="200"/>
        <w:rPr>
          <w:rFonts w:ascii="宋体" w:hAnsi="宋体" w:cs="宋体"/>
          <w:sz w:val="24"/>
        </w:rPr>
      </w:pPr>
      <w:r>
        <w:rPr>
          <w:rFonts w:hint="eastAsia" w:ascii="宋体" w:hAnsi="宋体" w:cs="宋体"/>
          <w:sz w:val="24"/>
        </w:rPr>
        <w:t>日期：</w:t>
      </w:r>
    </w:p>
    <w:p>
      <w:pPr>
        <w:shd w:val="clear" w:color="auto" w:fill="FFFFFF"/>
        <w:spacing w:line="240" w:lineRule="auto"/>
        <w:ind w:firstLine="0" w:firstLineChars="0"/>
        <w:jc w:val="center"/>
        <w:rPr>
          <w:rFonts w:ascii="宋体" w:hAnsi="宋体" w:cs="宋体"/>
          <w:b/>
          <w:bCs/>
          <w:sz w:val="56"/>
          <w:szCs w:val="56"/>
        </w:rPr>
      </w:pPr>
      <w:r>
        <w:rPr>
          <w:rFonts w:hint="eastAsia" w:ascii="宋体" w:hAnsi="宋体" w:cs="宋体"/>
          <w:b/>
          <w:bCs/>
          <w:sz w:val="24"/>
        </w:rPr>
        <w:br w:type="page"/>
      </w:r>
      <w:r>
        <w:rPr>
          <w:rFonts w:hint="eastAsia" w:ascii="宋体" w:hAnsi="宋体" w:cs="宋体"/>
          <w:b/>
          <w:bCs/>
          <w:sz w:val="56"/>
          <w:szCs w:val="56"/>
        </w:rPr>
        <w:t>技术部分</w:t>
      </w:r>
    </w:p>
    <w:p>
      <w:pPr>
        <w:ind w:left="0" w:leftChars="0" w:firstLine="0" w:firstLineChars="0"/>
        <w:jc w:val="center"/>
        <w:rPr>
          <w:rFonts w:ascii="宋体" w:hAnsi="宋体" w:cs="宋体"/>
          <w:b/>
          <w:bCs/>
          <w:sz w:val="52"/>
          <w:szCs w:val="52"/>
        </w:rPr>
      </w:pPr>
      <w:r>
        <w:rPr>
          <w:rFonts w:hint="eastAsia" w:ascii="宋体" w:hAnsi="宋体" w:cs="宋体"/>
          <w:b/>
          <w:bCs/>
          <w:sz w:val="52"/>
          <w:szCs w:val="52"/>
        </w:rPr>
        <w:t>（技术部分格式请投标人自拟）</w:t>
      </w: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rPr>
          <w:rFonts w:hint="eastAsia" w:ascii="宋体" w:hAnsi="宋体" w:cs="宋体"/>
          <w:b/>
          <w:bCs/>
          <w:sz w:val="52"/>
          <w:szCs w:val="52"/>
        </w:rPr>
      </w:pPr>
    </w:p>
    <w:p>
      <w:pPr>
        <w:pStyle w:val="14"/>
        <w:ind w:firstLine="0" w:firstLineChars="0"/>
        <w:jc w:val="center"/>
        <w:rPr>
          <w:rFonts w:ascii="宋体" w:hAnsi="宋体" w:cs="宋体"/>
          <w:b/>
          <w:bCs/>
          <w:sz w:val="48"/>
          <w:szCs w:val="48"/>
        </w:rPr>
      </w:pPr>
      <w:r>
        <w:rPr>
          <w:rFonts w:hint="eastAsia" w:ascii="宋体" w:hAnsi="宋体" w:cs="宋体"/>
          <w:b/>
          <w:bCs/>
          <w:sz w:val="48"/>
          <w:szCs w:val="48"/>
        </w:rPr>
        <w:t>二次报价单</w:t>
      </w:r>
    </w:p>
    <w:p>
      <w:pPr>
        <w:spacing w:line="440" w:lineRule="exact"/>
        <w:ind w:firstLine="0" w:firstLineChars="0"/>
        <w:rPr>
          <w:rFonts w:ascii="宋体" w:hAnsi="宋体" w:cs="宋体"/>
          <w:sz w:val="24"/>
          <w:u w:val="single"/>
        </w:rPr>
      </w:pPr>
      <w:r>
        <w:rPr>
          <w:rFonts w:hint="eastAsia" w:ascii="宋体" w:hAnsi="宋体" w:cs="宋体"/>
          <w:sz w:val="24"/>
        </w:rPr>
        <w:t>项目名称：                       项目编号：</w:t>
      </w:r>
    </w:p>
    <w:tbl>
      <w:tblPr>
        <w:tblStyle w:val="20"/>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09" w:type="dxa"/>
            <w:vAlign w:val="center"/>
          </w:tcPr>
          <w:p>
            <w:pPr>
              <w:spacing w:line="400" w:lineRule="exact"/>
              <w:ind w:firstLine="0" w:firstLineChars="0"/>
              <w:jc w:val="center"/>
              <w:rPr>
                <w:rFonts w:ascii="宋体" w:hAnsi="宋体" w:cs="宋体"/>
                <w:sz w:val="24"/>
              </w:rPr>
            </w:pPr>
            <w:r>
              <w:rPr>
                <w:rFonts w:hint="eastAsia" w:ascii="宋体" w:hAnsi="宋体" w:cs="宋体"/>
                <w:sz w:val="24"/>
              </w:rPr>
              <w:t>序号</w:t>
            </w:r>
          </w:p>
        </w:tc>
        <w:tc>
          <w:tcPr>
            <w:tcW w:w="1418" w:type="dxa"/>
            <w:vAlign w:val="center"/>
          </w:tcPr>
          <w:p>
            <w:pPr>
              <w:spacing w:line="400" w:lineRule="exact"/>
              <w:ind w:firstLine="0" w:firstLineChars="0"/>
              <w:jc w:val="center"/>
              <w:rPr>
                <w:rFonts w:ascii="宋体" w:hAnsi="宋体" w:cs="宋体"/>
                <w:sz w:val="24"/>
              </w:rPr>
            </w:pPr>
            <w:r>
              <w:rPr>
                <w:rFonts w:hint="eastAsia" w:ascii="宋体" w:hAnsi="宋体" w:cs="宋体"/>
                <w:sz w:val="24"/>
              </w:rPr>
              <w:t>项目</w:t>
            </w:r>
          </w:p>
        </w:tc>
        <w:tc>
          <w:tcPr>
            <w:tcW w:w="6801" w:type="dxa"/>
            <w:vAlign w:val="center"/>
          </w:tcPr>
          <w:p>
            <w:pPr>
              <w:spacing w:line="400" w:lineRule="exact"/>
              <w:ind w:firstLine="0" w:firstLineChars="0"/>
              <w:jc w:val="center"/>
              <w:rPr>
                <w:rFonts w:ascii="宋体" w:hAnsi="宋体" w:cs="宋体"/>
                <w:sz w:val="24"/>
              </w:rPr>
            </w:pPr>
            <w:r>
              <w:rPr>
                <w:rFonts w:hint="eastAsia" w:ascii="宋体" w:hAnsi="宋体" w:cs="宋体"/>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9" w:type="dxa"/>
            <w:vAlign w:val="center"/>
          </w:tcPr>
          <w:p>
            <w:pPr>
              <w:spacing w:line="400" w:lineRule="exact"/>
              <w:ind w:firstLine="0" w:firstLineChars="0"/>
              <w:rPr>
                <w:rFonts w:ascii="宋体" w:hAnsi="宋体" w:cs="宋体"/>
                <w:sz w:val="24"/>
              </w:rPr>
            </w:pPr>
            <w:r>
              <w:rPr>
                <w:rFonts w:hint="eastAsia" w:ascii="宋体" w:hAnsi="宋体" w:cs="宋体"/>
                <w:sz w:val="24"/>
              </w:rPr>
              <w:t>1</w:t>
            </w:r>
          </w:p>
        </w:tc>
        <w:tc>
          <w:tcPr>
            <w:tcW w:w="1418" w:type="dxa"/>
            <w:vAlign w:val="center"/>
          </w:tcPr>
          <w:p>
            <w:pPr>
              <w:spacing w:line="400" w:lineRule="exact"/>
              <w:ind w:firstLine="0" w:firstLineChars="0"/>
              <w:jc w:val="center"/>
              <w:rPr>
                <w:rFonts w:ascii="宋体" w:hAnsi="宋体" w:cs="宋体"/>
                <w:sz w:val="24"/>
              </w:rPr>
            </w:pPr>
            <w:r>
              <w:rPr>
                <w:rFonts w:hint="eastAsia" w:ascii="宋体" w:hAnsi="宋体" w:cs="宋体"/>
                <w:sz w:val="24"/>
              </w:rPr>
              <w:t>总价</w:t>
            </w:r>
          </w:p>
        </w:tc>
        <w:tc>
          <w:tcPr>
            <w:tcW w:w="6801" w:type="dxa"/>
            <w:vAlign w:val="center"/>
          </w:tcPr>
          <w:p>
            <w:pPr>
              <w:spacing w:line="400" w:lineRule="exact"/>
              <w:ind w:firstLine="0" w:firstLineChars="0"/>
              <w:rPr>
                <w:rFonts w:ascii="宋体" w:hAnsi="宋体" w:cs="宋体"/>
                <w:sz w:val="24"/>
              </w:rPr>
            </w:pPr>
            <w:r>
              <w:rPr>
                <w:rFonts w:hint="eastAsia" w:ascii="宋体" w:hAnsi="宋体" w:cs="宋体"/>
                <w:sz w:val="24"/>
              </w:rPr>
              <w:t>（小写）</w:t>
            </w:r>
          </w:p>
          <w:p>
            <w:pPr>
              <w:spacing w:line="400" w:lineRule="exact"/>
              <w:ind w:firstLine="0" w:firstLineChars="0"/>
              <w:rPr>
                <w:rFonts w:ascii="宋体" w:hAnsi="宋体" w:cs="宋体"/>
                <w:sz w:val="24"/>
              </w:rPr>
            </w:pPr>
            <w:r>
              <w:rPr>
                <w:rFonts w:hint="eastAsia" w:ascii="宋体" w:hAnsi="宋体" w:cs="宋体"/>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09" w:type="dxa"/>
            <w:vAlign w:val="center"/>
          </w:tcPr>
          <w:p>
            <w:pPr>
              <w:spacing w:line="400" w:lineRule="exact"/>
              <w:ind w:firstLine="0" w:firstLineChars="0"/>
              <w:rPr>
                <w:rFonts w:ascii="宋体" w:hAnsi="宋体" w:cs="宋体"/>
                <w:sz w:val="24"/>
              </w:rPr>
            </w:pPr>
            <w:r>
              <w:rPr>
                <w:rFonts w:hint="eastAsia" w:ascii="宋体" w:hAnsi="宋体" w:cs="宋体"/>
                <w:sz w:val="24"/>
              </w:rPr>
              <w:t>2</w:t>
            </w:r>
          </w:p>
        </w:tc>
        <w:tc>
          <w:tcPr>
            <w:tcW w:w="1418" w:type="dxa"/>
            <w:vAlign w:val="center"/>
          </w:tcPr>
          <w:p>
            <w:pPr>
              <w:spacing w:line="400" w:lineRule="exact"/>
              <w:ind w:firstLine="0" w:firstLineChars="0"/>
              <w:jc w:val="center"/>
              <w:rPr>
                <w:rFonts w:hint="eastAsia" w:ascii="宋体" w:hAnsi="宋体" w:cs="宋体"/>
                <w:sz w:val="24"/>
              </w:rPr>
            </w:pPr>
            <w:r>
              <w:rPr>
                <w:rFonts w:hint="eastAsia" w:ascii="宋体" w:hAnsi="宋体" w:cs="宋体"/>
                <w:sz w:val="24"/>
              </w:rPr>
              <w:t>合同履行</w:t>
            </w:r>
          </w:p>
          <w:p>
            <w:pPr>
              <w:spacing w:line="400" w:lineRule="exact"/>
              <w:ind w:firstLine="0" w:firstLineChars="0"/>
              <w:jc w:val="center"/>
              <w:rPr>
                <w:rFonts w:ascii="宋体" w:hAnsi="宋体" w:cs="宋体"/>
                <w:sz w:val="24"/>
              </w:rPr>
            </w:pPr>
            <w:r>
              <w:rPr>
                <w:rFonts w:hint="eastAsia" w:ascii="宋体" w:hAnsi="宋体" w:cs="宋体"/>
                <w:sz w:val="24"/>
              </w:rPr>
              <w:t>期限</w:t>
            </w:r>
          </w:p>
        </w:tc>
        <w:tc>
          <w:tcPr>
            <w:tcW w:w="6801" w:type="dxa"/>
            <w:vAlign w:val="center"/>
          </w:tcPr>
          <w:p>
            <w:pPr>
              <w:spacing w:line="400" w:lineRule="exact"/>
              <w:ind w:firstLine="0" w:firstLineChars="0"/>
              <w:rPr>
                <w:rFonts w:ascii="宋体" w:hAnsi="宋体" w:cs="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9" w:type="dxa"/>
            <w:vAlign w:val="center"/>
          </w:tcPr>
          <w:p>
            <w:pPr>
              <w:spacing w:line="400" w:lineRule="exact"/>
              <w:ind w:firstLine="0" w:firstLineChars="0"/>
              <w:rPr>
                <w:rFonts w:ascii="宋体" w:hAnsi="宋体" w:cs="宋体"/>
                <w:sz w:val="24"/>
              </w:rPr>
            </w:pPr>
            <w:r>
              <w:rPr>
                <w:rFonts w:hint="eastAsia" w:ascii="宋体" w:hAnsi="宋体" w:cs="宋体"/>
                <w:sz w:val="24"/>
              </w:rPr>
              <w:t>3</w:t>
            </w:r>
          </w:p>
        </w:tc>
        <w:tc>
          <w:tcPr>
            <w:tcW w:w="1418" w:type="dxa"/>
            <w:vAlign w:val="center"/>
          </w:tcPr>
          <w:p>
            <w:pPr>
              <w:spacing w:line="400" w:lineRule="exact"/>
              <w:ind w:firstLine="0" w:firstLineChars="0"/>
              <w:jc w:val="center"/>
              <w:rPr>
                <w:rFonts w:ascii="宋体" w:hAnsi="宋体" w:cs="宋体"/>
                <w:sz w:val="24"/>
              </w:rPr>
            </w:pPr>
            <w:r>
              <w:rPr>
                <w:rFonts w:hint="eastAsia" w:ascii="宋体" w:hAnsi="宋体" w:cs="宋体"/>
                <w:sz w:val="24"/>
              </w:rPr>
              <w:t>质量标准</w:t>
            </w:r>
          </w:p>
        </w:tc>
        <w:tc>
          <w:tcPr>
            <w:tcW w:w="6801" w:type="dxa"/>
            <w:vAlign w:val="center"/>
          </w:tcPr>
          <w:p>
            <w:pPr>
              <w:spacing w:line="400" w:lineRule="exact"/>
              <w:ind w:firstLine="0" w:firstLineChars="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vAlign w:val="center"/>
          </w:tcPr>
          <w:p>
            <w:pPr>
              <w:spacing w:line="400" w:lineRule="exact"/>
              <w:ind w:firstLine="0" w:firstLineChars="0"/>
              <w:rPr>
                <w:rFonts w:ascii="宋体" w:hAnsi="宋体" w:cs="宋体"/>
                <w:sz w:val="24"/>
              </w:rPr>
            </w:pPr>
            <w:r>
              <w:rPr>
                <w:rFonts w:hint="eastAsia" w:ascii="宋体" w:hAnsi="宋体" w:cs="宋体"/>
                <w:sz w:val="24"/>
              </w:rPr>
              <w:t>4</w:t>
            </w:r>
          </w:p>
        </w:tc>
        <w:tc>
          <w:tcPr>
            <w:tcW w:w="1418" w:type="dxa"/>
            <w:vAlign w:val="center"/>
          </w:tcPr>
          <w:p>
            <w:pPr>
              <w:spacing w:line="400" w:lineRule="exact"/>
              <w:ind w:firstLine="0" w:firstLineChars="0"/>
              <w:jc w:val="center"/>
              <w:rPr>
                <w:rFonts w:ascii="宋体" w:hAnsi="宋体" w:cs="宋体"/>
                <w:sz w:val="24"/>
              </w:rPr>
            </w:pPr>
            <w:r>
              <w:rPr>
                <w:rFonts w:hint="eastAsia" w:ascii="宋体" w:hAnsi="宋体" w:cs="宋体"/>
                <w:sz w:val="24"/>
              </w:rPr>
              <w:t>报价说明</w:t>
            </w:r>
          </w:p>
        </w:tc>
        <w:tc>
          <w:tcPr>
            <w:tcW w:w="6801" w:type="dxa"/>
            <w:vAlign w:val="center"/>
          </w:tcPr>
          <w:p>
            <w:pPr>
              <w:spacing w:line="400" w:lineRule="exact"/>
              <w:ind w:firstLine="0" w:firstLineChars="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928" w:type="dxa"/>
            <w:gridSpan w:val="3"/>
            <w:vAlign w:val="center"/>
          </w:tcPr>
          <w:p>
            <w:pPr>
              <w:spacing w:line="400" w:lineRule="exact"/>
              <w:ind w:firstLine="0" w:firstLineChars="0"/>
              <w:rPr>
                <w:rFonts w:hint="eastAsia" w:ascii="宋体" w:hAnsi="宋体" w:eastAsia="宋体" w:cs="宋体"/>
                <w:sz w:val="24"/>
                <w:lang w:val="en-US" w:eastAsia="zh-CN"/>
              </w:rPr>
            </w:pPr>
            <w:r>
              <w:rPr>
                <w:rFonts w:hint="eastAsia" w:ascii="宋体" w:hAnsi="宋体" w:cs="宋体"/>
                <w:sz w:val="24"/>
                <w:lang w:val="en-US" w:eastAsia="zh-CN"/>
              </w:rPr>
              <w:t>备注：</w:t>
            </w:r>
          </w:p>
        </w:tc>
      </w:tr>
    </w:tbl>
    <w:p>
      <w:pPr>
        <w:spacing w:line="440" w:lineRule="exact"/>
        <w:ind w:firstLine="0" w:firstLineChars="0"/>
        <w:rPr>
          <w:rFonts w:ascii="宋体" w:hAnsi="宋体" w:cs="宋体"/>
          <w:sz w:val="24"/>
        </w:rPr>
      </w:pPr>
      <w:r>
        <w:rPr>
          <w:rFonts w:hint="eastAsia" w:ascii="宋体" w:hAnsi="宋体" w:cs="宋体"/>
          <w:sz w:val="24"/>
        </w:rPr>
        <w:t>备注：</w:t>
      </w:r>
    </w:p>
    <w:p>
      <w:pPr>
        <w:spacing w:line="440" w:lineRule="exact"/>
        <w:ind w:firstLine="0" w:firstLineChars="0"/>
        <w:rPr>
          <w:rFonts w:ascii="宋体" w:hAnsi="宋体" w:cs="宋体"/>
          <w:sz w:val="24"/>
        </w:rPr>
      </w:pPr>
      <w:r>
        <w:rPr>
          <w:rFonts w:hint="eastAsia" w:ascii="宋体" w:hAnsi="宋体" w:cs="宋体"/>
          <w:sz w:val="24"/>
        </w:rPr>
        <w:t>1、投标总价应为各分项报价之和。报价须以元为单位，小数点后保留2位。</w:t>
      </w:r>
    </w:p>
    <w:p>
      <w:pPr>
        <w:spacing w:line="440" w:lineRule="exact"/>
        <w:ind w:firstLine="0" w:firstLineChars="0"/>
        <w:rPr>
          <w:rFonts w:ascii="宋体" w:hAnsi="宋体" w:cs="宋体"/>
          <w:sz w:val="24"/>
        </w:rPr>
      </w:pPr>
      <w:r>
        <w:rPr>
          <w:rFonts w:hint="eastAsia" w:ascii="宋体" w:hAnsi="宋体" w:cs="宋体"/>
          <w:sz w:val="24"/>
        </w:rPr>
        <w:t>2、投标报价包括投标人为实施本项目全部工作内容所包括的全部含税价格的体现。</w:t>
      </w:r>
    </w:p>
    <w:p>
      <w:pPr>
        <w:spacing w:line="440" w:lineRule="exact"/>
        <w:ind w:firstLine="0" w:firstLineChars="0"/>
        <w:rPr>
          <w:rFonts w:ascii="宋体" w:hAnsi="宋体" w:cs="宋体"/>
          <w:sz w:val="24"/>
        </w:rPr>
      </w:pPr>
      <w:r>
        <w:rPr>
          <w:rFonts w:hint="eastAsia" w:ascii="宋体" w:hAnsi="宋体" w:cs="宋体"/>
          <w:sz w:val="24"/>
        </w:rPr>
        <w:t>3、投标人必须自行考虑本项目在实施期间的一切可能产生的费用。在合同执行过程中，采购人将不再另行支付与本项目相关的任何费用（非本项目要求的其它内容除外）。</w:t>
      </w:r>
    </w:p>
    <w:p>
      <w:pPr>
        <w:spacing w:line="440" w:lineRule="exact"/>
        <w:ind w:firstLine="0" w:firstLineChars="0"/>
        <w:rPr>
          <w:rFonts w:ascii="宋体" w:hAnsi="宋体" w:cs="宋体"/>
          <w:sz w:val="24"/>
        </w:rPr>
      </w:pPr>
    </w:p>
    <w:p>
      <w:pPr>
        <w:spacing w:line="440" w:lineRule="exact"/>
        <w:ind w:firstLine="0" w:firstLineChars="0"/>
        <w:rPr>
          <w:rFonts w:ascii="宋体" w:hAnsi="宋体" w:cs="宋体"/>
          <w:sz w:val="24"/>
        </w:rPr>
      </w:pPr>
      <w:r>
        <w:rPr>
          <w:rFonts w:hint="eastAsia" w:ascii="宋体" w:hAnsi="宋体" w:cs="宋体"/>
          <w:sz w:val="24"/>
        </w:rPr>
        <w:t>投标人（盖公章）：</w:t>
      </w:r>
    </w:p>
    <w:p>
      <w:pPr>
        <w:spacing w:line="440" w:lineRule="exact"/>
        <w:ind w:firstLine="0" w:firstLineChars="0"/>
        <w:rPr>
          <w:rFonts w:ascii="宋体" w:hAnsi="宋体" w:cs="宋体"/>
          <w:sz w:val="24"/>
        </w:rPr>
      </w:pPr>
      <w:r>
        <w:rPr>
          <w:rFonts w:hint="eastAsia" w:ascii="宋体" w:hAnsi="宋体" w:cs="宋体"/>
          <w:sz w:val="24"/>
        </w:rPr>
        <w:t>法定代表人（签字、盖章）：</w:t>
      </w:r>
    </w:p>
    <w:p>
      <w:pPr>
        <w:spacing w:line="440" w:lineRule="exact"/>
        <w:ind w:firstLine="0" w:firstLineChars="0"/>
        <w:rPr>
          <w:rFonts w:ascii="宋体" w:hAnsi="宋体" w:cs="宋体"/>
          <w:sz w:val="24"/>
        </w:rPr>
      </w:pPr>
      <w:r>
        <w:rPr>
          <w:rFonts w:hint="eastAsia" w:ascii="宋体" w:hAnsi="宋体" w:cs="宋体"/>
          <w:sz w:val="24"/>
        </w:rPr>
        <w:t>授权代理人（签字）：</w:t>
      </w:r>
    </w:p>
    <w:p>
      <w:pPr>
        <w:pStyle w:val="14"/>
        <w:ind w:firstLine="0" w:firstLineChars="0"/>
        <w:jc w:val="left"/>
        <w:rPr>
          <w:rFonts w:ascii="宋体" w:hAnsi="宋体" w:cs="宋体"/>
          <w:b/>
          <w:bCs/>
          <w:sz w:val="52"/>
          <w:szCs w:val="52"/>
        </w:rPr>
      </w:pPr>
      <w:r>
        <w:rPr>
          <w:rFonts w:hint="eastAsia" w:ascii="宋体" w:hAnsi="宋体" w:cs="宋体"/>
          <w:sz w:val="24"/>
        </w:rPr>
        <w:t>日期：  年  月  日</w:t>
      </w:r>
    </w:p>
    <w:sectPr>
      <w:footerReference r:id="rId1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21"/>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w:fldChar w:fldCharType="begin"/>
    </w:r>
    <w:r>
      <w:instrText xml:space="preserve">PAGE   \* MERGEFORMAT</w:instrText>
    </w:r>
    <w:r>
      <w:fldChar w:fldCharType="separate"/>
    </w:r>
    <w:r>
      <w:rPr>
        <w:lang w:val="zh-CN"/>
      </w:rPr>
      <w:t>2</w:t>
    </w:r>
    <w:r>
      <w:rPr>
        <w:lang w:val="zh-CN"/>
      </w:rPr>
      <w:fldChar w:fldCharType="end"/>
    </w:r>
  </w:p>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firstLine="40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0" w:leftChars="0" w:firstLine="0" w:firstLineChars="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firstLine="40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right"/>
    </w:pPr>
    <w:r>
      <w:rPr>
        <w:rFonts w:hint="eastAsia"/>
      </w:rPr>
      <w:t>新疆承泰建业工程管理咨询有限公司磋商文件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F43F8"/>
    <w:multiLevelType w:val="singleLevel"/>
    <w:tmpl w:val="A3AF43F8"/>
    <w:lvl w:ilvl="0" w:tentative="0">
      <w:start w:val="1"/>
      <w:numFmt w:val="chineseCounting"/>
      <w:suff w:val="nothing"/>
      <w:lvlText w:val="%1、"/>
      <w:lvlJc w:val="left"/>
      <w:rPr>
        <w:rFonts w:hint="eastAsia"/>
      </w:rPr>
    </w:lvl>
  </w:abstractNum>
  <w:abstractNum w:abstractNumId="1">
    <w:nsid w:val="C15FCCFF"/>
    <w:multiLevelType w:val="singleLevel"/>
    <w:tmpl w:val="C15FCCFF"/>
    <w:lvl w:ilvl="0" w:tentative="0">
      <w:start w:val="1"/>
      <w:numFmt w:val="chineseCounting"/>
      <w:suff w:val="nothing"/>
      <w:lvlText w:val="%1、"/>
      <w:lvlJc w:val="left"/>
      <w:rPr>
        <w:rFonts w:hint="eastAsia"/>
      </w:rPr>
    </w:lvl>
  </w:abstractNum>
  <w:abstractNum w:abstractNumId="2">
    <w:nsid w:val="C73FAB81"/>
    <w:multiLevelType w:val="singleLevel"/>
    <w:tmpl w:val="C73FAB81"/>
    <w:lvl w:ilvl="0" w:tentative="0">
      <w:start w:val="1"/>
      <w:numFmt w:val="decimal"/>
      <w:lvlText w:val="(%1)"/>
      <w:lvlJc w:val="left"/>
      <w:pPr>
        <w:ind w:left="425" w:hanging="425"/>
      </w:pPr>
      <w:rPr>
        <w:rFonts w:hint="default"/>
      </w:rPr>
    </w:lvl>
  </w:abstractNum>
  <w:abstractNum w:abstractNumId="3">
    <w:nsid w:val="C9844303"/>
    <w:multiLevelType w:val="singleLevel"/>
    <w:tmpl w:val="C9844303"/>
    <w:lvl w:ilvl="0" w:tentative="0">
      <w:start w:val="1"/>
      <w:numFmt w:val="decimal"/>
      <w:suff w:val="nothing"/>
      <w:lvlText w:val="（%1）"/>
      <w:lvlJc w:val="left"/>
    </w:lvl>
  </w:abstractNum>
  <w:abstractNum w:abstractNumId="4">
    <w:nsid w:val="E48CA150"/>
    <w:multiLevelType w:val="singleLevel"/>
    <w:tmpl w:val="E48CA150"/>
    <w:lvl w:ilvl="0" w:tentative="0">
      <w:start w:val="1"/>
      <w:numFmt w:val="decimal"/>
      <w:suff w:val="nothing"/>
      <w:lvlText w:val="（%1、"/>
      <w:lvlJc w:val="left"/>
    </w:lvl>
  </w:abstractNum>
  <w:abstractNum w:abstractNumId="5">
    <w:nsid w:val="0757274A"/>
    <w:multiLevelType w:val="singleLevel"/>
    <w:tmpl w:val="0757274A"/>
    <w:lvl w:ilvl="0" w:tentative="0">
      <w:start w:val="1"/>
      <w:numFmt w:val="chineseCounting"/>
      <w:suff w:val="nothing"/>
      <w:lvlText w:val="%1、"/>
      <w:lvlJc w:val="left"/>
      <w:rPr>
        <w:rFonts w:hint="eastAsia"/>
      </w:rPr>
    </w:lvl>
  </w:abstractNum>
  <w:abstractNum w:abstractNumId="6">
    <w:nsid w:val="0817100B"/>
    <w:multiLevelType w:val="singleLevel"/>
    <w:tmpl w:val="0817100B"/>
    <w:lvl w:ilvl="0" w:tentative="0">
      <w:start w:val="1"/>
      <w:numFmt w:val="decimal"/>
      <w:suff w:val="nothing"/>
      <w:lvlText w:val="（%1）"/>
      <w:lvlJc w:val="left"/>
      <w:rPr>
        <w:rFonts w:hint="default"/>
        <w:b w:val="0"/>
        <w:bCs w:val="0"/>
        <w:sz w:val="24"/>
        <w:szCs w:val="24"/>
      </w:rPr>
    </w:lvl>
  </w:abstractNum>
  <w:abstractNum w:abstractNumId="7">
    <w:nsid w:val="2F80C817"/>
    <w:multiLevelType w:val="singleLevel"/>
    <w:tmpl w:val="2F80C817"/>
    <w:lvl w:ilvl="0" w:tentative="0">
      <w:start w:val="1"/>
      <w:numFmt w:val="decimal"/>
      <w:suff w:val="nothing"/>
      <w:lvlText w:val="%1、"/>
      <w:lvlJc w:val="left"/>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2ZmYzE4YmVhMjUzZjFiMTc5YjQ0NzQ5MmVlNGYifQ=="/>
    <w:docVar w:name="KSO_WPS_MARK_KEY" w:val="1febf208-2913-4f5e-8719-af1db3f95279"/>
  </w:docVars>
  <w:rsids>
    <w:rsidRoot w:val="3C080B7F"/>
    <w:rsid w:val="00010A67"/>
    <w:rsid w:val="00103897"/>
    <w:rsid w:val="001C6FEF"/>
    <w:rsid w:val="00582A2B"/>
    <w:rsid w:val="007200AE"/>
    <w:rsid w:val="009118E7"/>
    <w:rsid w:val="00E03E72"/>
    <w:rsid w:val="00F96BB8"/>
    <w:rsid w:val="01211AD4"/>
    <w:rsid w:val="01AA2A06"/>
    <w:rsid w:val="020531A4"/>
    <w:rsid w:val="022E26FA"/>
    <w:rsid w:val="02301FCF"/>
    <w:rsid w:val="02704AC1"/>
    <w:rsid w:val="02866093"/>
    <w:rsid w:val="028A2D48"/>
    <w:rsid w:val="029C58B6"/>
    <w:rsid w:val="02B5140B"/>
    <w:rsid w:val="031632F7"/>
    <w:rsid w:val="03190CB5"/>
    <w:rsid w:val="032E5BBC"/>
    <w:rsid w:val="03305FFE"/>
    <w:rsid w:val="03CD14CD"/>
    <w:rsid w:val="041476CE"/>
    <w:rsid w:val="041871BE"/>
    <w:rsid w:val="04541CF0"/>
    <w:rsid w:val="04826D2E"/>
    <w:rsid w:val="050B6D23"/>
    <w:rsid w:val="05241B93"/>
    <w:rsid w:val="055204AE"/>
    <w:rsid w:val="05720B50"/>
    <w:rsid w:val="05D9472B"/>
    <w:rsid w:val="05DB66F5"/>
    <w:rsid w:val="05F72E03"/>
    <w:rsid w:val="062F6A41"/>
    <w:rsid w:val="0639341C"/>
    <w:rsid w:val="06570EA1"/>
    <w:rsid w:val="065B15E4"/>
    <w:rsid w:val="069B7C33"/>
    <w:rsid w:val="07106873"/>
    <w:rsid w:val="07251ACC"/>
    <w:rsid w:val="07363815"/>
    <w:rsid w:val="073C32D2"/>
    <w:rsid w:val="073F0F06"/>
    <w:rsid w:val="075E138C"/>
    <w:rsid w:val="078F7F8F"/>
    <w:rsid w:val="07AD5E6F"/>
    <w:rsid w:val="07BC03DC"/>
    <w:rsid w:val="07C136C9"/>
    <w:rsid w:val="087F5A5E"/>
    <w:rsid w:val="092F3821"/>
    <w:rsid w:val="093765A0"/>
    <w:rsid w:val="095D1F74"/>
    <w:rsid w:val="09AC0348"/>
    <w:rsid w:val="09B23C11"/>
    <w:rsid w:val="09B87AE0"/>
    <w:rsid w:val="09BF1E8A"/>
    <w:rsid w:val="09E35B78"/>
    <w:rsid w:val="09EF6C13"/>
    <w:rsid w:val="0A2F0DBE"/>
    <w:rsid w:val="0AA479FE"/>
    <w:rsid w:val="0AA51080"/>
    <w:rsid w:val="0B8415DD"/>
    <w:rsid w:val="0B9229CE"/>
    <w:rsid w:val="0BE55E9E"/>
    <w:rsid w:val="0BEB51B8"/>
    <w:rsid w:val="0C050BF8"/>
    <w:rsid w:val="0C13045B"/>
    <w:rsid w:val="0C542D5E"/>
    <w:rsid w:val="0CAD2F48"/>
    <w:rsid w:val="0CC25F19"/>
    <w:rsid w:val="0CC51EAD"/>
    <w:rsid w:val="0D1A5D55"/>
    <w:rsid w:val="0D5F19BA"/>
    <w:rsid w:val="0DA27AF9"/>
    <w:rsid w:val="0DAB2E51"/>
    <w:rsid w:val="0DBF06AB"/>
    <w:rsid w:val="0DD95C10"/>
    <w:rsid w:val="0E372937"/>
    <w:rsid w:val="0EBB5316"/>
    <w:rsid w:val="0ED40186"/>
    <w:rsid w:val="0EE77EB9"/>
    <w:rsid w:val="0EFB3964"/>
    <w:rsid w:val="0FFC5BE6"/>
    <w:rsid w:val="103B4960"/>
    <w:rsid w:val="106A6FF4"/>
    <w:rsid w:val="10710382"/>
    <w:rsid w:val="107169C4"/>
    <w:rsid w:val="10BC7123"/>
    <w:rsid w:val="11666538"/>
    <w:rsid w:val="11916802"/>
    <w:rsid w:val="11A1576A"/>
    <w:rsid w:val="11C75D80"/>
    <w:rsid w:val="127379D4"/>
    <w:rsid w:val="12EC66AC"/>
    <w:rsid w:val="130D3C66"/>
    <w:rsid w:val="13203C57"/>
    <w:rsid w:val="13394A5B"/>
    <w:rsid w:val="138132CD"/>
    <w:rsid w:val="14005579"/>
    <w:rsid w:val="14067033"/>
    <w:rsid w:val="142851FC"/>
    <w:rsid w:val="14A16D5C"/>
    <w:rsid w:val="14DC5FE6"/>
    <w:rsid w:val="15232948"/>
    <w:rsid w:val="152A0AFF"/>
    <w:rsid w:val="153C6A85"/>
    <w:rsid w:val="15427887"/>
    <w:rsid w:val="15602773"/>
    <w:rsid w:val="15C42D02"/>
    <w:rsid w:val="15D7332A"/>
    <w:rsid w:val="17145980"/>
    <w:rsid w:val="17285513"/>
    <w:rsid w:val="17563E2E"/>
    <w:rsid w:val="17716EB9"/>
    <w:rsid w:val="178F7340"/>
    <w:rsid w:val="180B180B"/>
    <w:rsid w:val="18117D55"/>
    <w:rsid w:val="1824217E"/>
    <w:rsid w:val="18B84674"/>
    <w:rsid w:val="18BD1C8B"/>
    <w:rsid w:val="192D0BBE"/>
    <w:rsid w:val="1931674C"/>
    <w:rsid w:val="199B1FCC"/>
    <w:rsid w:val="19D96F98"/>
    <w:rsid w:val="19F94F44"/>
    <w:rsid w:val="19FB0CBC"/>
    <w:rsid w:val="1A004525"/>
    <w:rsid w:val="1A2024D1"/>
    <w:rsid w:val="1A311EBC"/>
    <w:rsid w:val="1A444411"/>
    <w:rsid w:val="1A5B5BFF"/>
    <w:rsid w:val="1AB377E9"/>
    <w:rsid w:val="1AB772D9"/>
    <w:rsid w:val="1AC76DF0"/>
    <w:rsid w:val="1B162E37"/>
    <w:rsid w:val="1B742AD4"/>
    <w:rsid w:val="1BAD248A"/>
    <w:rsid w:val="1BB67591"/>
    <w:rsid w:val="1C4306F9"/>
    <w:rsid w:val="1C6C7C4F"/>
    <w:rsid w:val="1CAE1D97"/>
    <w:rsid w:val="1D1E53EE"/>
    <w:rsid w:val="1E0C16EA"/>
    <w:rsid w:val="1E4D585F"/>
    <w:rsid w:val="1EAF02C7"/>
    <w:rsid w:val="1ED85A70"/>
    <w:rsid w:val="1F43736C"/>
    <w:rsid w:val="1FC102B2"/>
    <w:rsid w:val="202820DF"/>
    <w:rsid w:val="207215AC"/>
    <w:rsid w:val="209F1277"/>
    <w:rsid w:val="210A27A1"/>
    <w:rsid w:val="213056EF"/>
    <w:rsid w:val="217952E8"/>
    <w:rsid w:val="21D342CD"/>
    <w:rsid w:val="21E12E8E"/>
    <w:rsid w:val="22325497"/>
    <w:rsid w:val="2241392C"/>
    <w:rsid w:val="2265586D"/>
    <w:rsid w:val="229E2B2D"/>
    <w:rsid w:val="229E48DB"/>
    <w:rsid w:val="22B804AD"/>
    <w:rsid w:val="2305495A"/>
    <w:rsid w:val="230C5CE8"/>
    <w:rsid w:val="231D13D1"/>
    <w:rsid w:val="231D7EF5"/>
    <w:rsid w:val="232748D0"/>
    <w:rsid w:val="23955CDE"/>
    <w:rsid w:val="23990542"/>
    <w:rsid w:val="23EB7FF4"/>
    <w:rsid w:val="23F21382"/>
    <w:rsid w:val="242157C3"/>
    <w:rsid w:val="24311EAA"/>
    <w:rsid w:val="2460453E"/>
    <w:rsid w:val="246833F2"/>
    <w:rsid w:val="24877D1C"/>
    <w:rsid w:val="24A26904"/>
    <w:rsid w:val="24EA02AB"/>
    <w:rsid w:val="253003BA"/>
    <w:rsid w:val="254774AC"/>
    <w:rsid w:val="26105AEF"/>
    <w:rsid w:val="261E020C"/>
    <w:rsid w:val="26393298"/>
    <w:rsid w:val="265A6D6B"/>
    <w:rsid w:val="26745788"/>
    <w:rsid w:val="26F15921"/>
    <w:rsid w:val="27871DE1"/>
    <w:rsid w:val="279E37F8"/>
    <w:rsid w:val="27B32BD6"/>
    <w:rsid w:val="280653FC"/>
    <w:rsid w:val="28090A48"/>
    <w:rsid w:val="281F64BE"/>
    <w:rsid w:val="285C2E3B"/>
    <w:rsid w:val="28DE0127"/>
    <w:rsid w:val="28E514B5"/>
    <w:rsid w:val="29115E06"/>
    <w:rsid w:val="29B80978"/>
    <w:rsid w:val="29D357B2"/>
    <w:rsid w:val="29E057D9"/>
    <w:rsid w:val="2A3224D8"/>
    <w:rsid w:val="2A4D10C0"/>
    <w:rsid w:val="2ACD564B"/>
    <w:rsid w:val="2B0F6376"/>
    <w:rsid w:val="2B2A115D"/>
    <w:rsid w:val="2B6B13C6"/>
    <w:rsid w:val="2B792007"/>
    <w:rsid w:val="2BA35E11"/>
    <w:rsid w:val="2BAD5B8F"/>
    <w:rsid w:val="2BD4033E"/>
    <w:rsid w:val="2C162AB5"/>
    <w:rsid w:val="2C3562B0"/>
    <w:rsid w:val="2C402085"/>
    <w:rsid w:val="2C75630D"/>
    <w:rsid w:val="2CB573F1"/>
    <w:rsid w:val="2CC25C89"/>
    <w:rsid w:val="2D0E636F"/>
    <w:rsid w:val="2E2C723F"/>
    <w:rsid w:val="2E823302"/>
    <w:rsid w:val="2E8452CD"/>
    <w:rsid w:val="2EDF0755"/>
    <w:rsid w:val="2EE87609"/>
    <w:rsid w:val="2F2919D0"/>
    <w:rsid w:val="2F390A57"/>
    <w:rsid w:val="2F4F1437"/>
    <w:rsid w:val="2F8F3F29"/>
    <w:rsid w:val="2FCD4A51"/>
    <w:rsid w:val="2FED29FE"/>
    <w:rsid w:val="2FEE6EA1"/>
    <w:rsid w:val="306453B6"/>
    <w:rsid w:val="30864474"/>
    <w:rsid w:val="309D08C8"/>
    <w:rsid w:val="309F019C"/>
    <w:rsid w:val="30A43A04"/>
    <w:rsid w:val="31126BC0"/>
    <w:rsid w:val="312863E3"/>
    <w:rsid w:val="31413001"/>
    <w:rsid w:val="3148438F"/>
    <w:rsid w:val="316B7B13"/>
    <w:rsid w:val="319517FA"/>
    <w:rsid w:val="32584AA6"/>
    <w:rsid w:val="327F0285"/>
    <w:rsid w:val="337E46B2"/>
    <w:rsid w:val="33B201E6"/>
    <w:rsid w:val="33F95E15"/>
    <w:rsid w:val="34140EA1"/>
    <w:rsid w:val="34360E17"/>
    <w:rsid w:val="343E5F1E"/>
    <w:rsid w:val="34525525"/>
    <w:rsid w:val="34761214"/>
    <w:rsid w:val="347B3B7E"/>
    <w:rsid w:val="347D07F4"/>
    <w:rsid w:val="35044A71"/>
    <w:rsid w:val="35904557"/>
    <w:rsid w:val="35B175ED"/>
    <w:rsid w:val="36054F45"/>
    <w:rsid w:val="360E0CB2"/>
    <w:rsid w:val="368C4D1E"/>
    <w:rsid w:val="36987B67"/>
    <w:rsid w:val="36BE50F4"/>
    <w:rsid w:val="36D668E1"/>
    <w:rsid w:val="36FB2EA4"/>
    <w:rsid w:val="372A4537"/>
    <w:rsid w:val="37564225"/>
    <w:rsid w:val="376C68FE"/>
    <w:rsid w:val="37A97B52"/>
    <w:rsid w:val="37B564F7"/>
    <w:rsid w:val="37C87FD8"/>
    <w:rsid w:val="37E172EC"/>
    <w:rsid w:val="385E02C6"/>
    <w:rsid w:val="38651CCB"/>
    <w:rsid w:val="38673C95"/>
    <w:rsid w:val="38743CBC"/>
    <w:rsid w:val="38D17360"/>
    <w:rsid w:val="390C1152"/>
    <w:rsid w:val="39627FB8"/>
    <w:rsid w:val="39902D77"/>
    <w:rsid w:val="3A2B2AA0"/>
    <w:rsid w:val="3A6164C2"/>
    <w:rsid w:val="3AC3717D"/>
    <w:rsid w:val="3AD924FC"/>
    <w:rsid w:val="3BAA6B72"/>
    <w:rsid w:val="3C080B7F"/>
    <w:rsid w:val="3C347AE6"/>
    <w:rsid w:val="3D2757A1"/>
    <w:rsid w:val="3D3D6D72"/>
    <w:rsid w:val="3D404AB5"/>
    <w:rsid w:val="3D8250CD"/>
    <w:rsid w:val="3DC920F6"/>
    <w:rsid w:val="3E52684D"/>
    <w:rsid w:val="3EAE1025"/>
    <w:rsid w:val="3F536D21"/>
    <w:rsid w:val="3FDB517F"/>
    <w:rsid w:val="401D10DD"/>
    <w:rsid w:val="40300E10"/>
    <w:rsid w:val="40436D96"/>
    <w:rsid w:val="40CF23D7"/>
    <w:rsid w:val="41067DC3"/>
    <w:rsid w:val="413D1A37"/>
    <w:rsid w:val="418331C2"/>
    <w:rsid w:val="41984EBF"/>
    <w:rsid w:val="41A75102"/>
    <w:rsid w:val="41C04416"/>
    <w:rsid w:val="41CA0DF1"/>
    <w:rsid w:val="421B164C"/>
    <w:rsid w:val="42295B17"/>
    <w:rsid w:val="428E62C2"/>
    <w:rsid w:val="42FF2D1C"/>
    <w:rsid w:val="43104F29"/>
    <w:rsid w:val="43144A19"/>
    <w:rsid w:val="431E31A2"/>
    <w:rsid w:val="437C3823"/>
    <w:rsid w:val="439C056B"/>
    <w:rsid w:val="43A0005B"/>
    <w:rsid w:val="43B104BA"/>
    <w:rsid w:val="44B244EA"/>
    <w:rsid w:val="45486BFC"/>
    <w:rsid w:val="456A6B72"/>
    <w:rsid w:val="45F646BC"/>
    <w:rsid w:val="464949DA"/>
    <w:rsid w:val="468A6DA0"/>
    <w:rsid w:val="46AE2A8F"/>
    <w:rsid w:val="470C4FA6"/>
    <w:rsid w:val="47451645"/>
    <w:rsid w:val="474927B8"/>
    <w:rsid w:val="474D674C"/>
    <w:rsid w:val="477B51D0"/>
    <w:rsid w:val="47AF6ABF"/>
    <w:rsid w:val="47BE4F54"/>
    <w:rsid w:val="47C22C96"/>
    <w:rsid w:val="47DB1818"/>
    <w:rsid w:val="487B2E45"/>
    <w:rsid w:val="489C298C"/>
    <w:rsid w:val="48AB372A"/>
    <w:rsid w:val="49787384"/>
    <w:rsid w:val="4A1E1CDA"/>
    <w:rsid w:val="4A691F10"/>
    <w:rsid w:val="4AA246B9"/>
    <w:rsid w:val="4B786201"/>
    <w:rsid w:val="4BA70FB4"/>
    <w:rsid w:val="4BE412CE"/>
    <w:rsid w:val="4BE8259F"/>
    <w:rsid w:val="4C1B2975"/>
    <w:rsid w:val="4C6D0CF6"/>
    <w:rsid w:val="4C7337B5"/>
    <w:rsid w:val="4C934C01"/>
    <w:rsid w:val="4CAC33D7"/>
    <w:rsid w:val="4D6C356A"/>
    <w:rsid w:val="4D722A68"/>
    <w:rsid w:val="4DA42E3E"/>
    <w:rsid w:val="4DDA685F"/>
    <w:rsid w:val="4E0B07C7"/>
    <w:rsid w:val="4E1E4D63"/>
    <w:rsid w:val="4E5B410B"/>
    <w:rsid w:val="4E606D65"/>
    <w:rsid w:val="4E855D57"/>
    <w:rsid w:val="4EAF3848"/>
    <w:rsid w:val="4F0F42E7"/>
    <w:rsid w:val="4F42646A"/>
    <w:rsid w:val="4F9071D6"/>
    <w:rsid w:val="4FB21842"/>
    <w:rsid w:val="4FE20BB6"/>
    <w:rsid w:val="505428F9"/>
    <w:rsid w:val="50812FC2"/>
    <w:rsid w:val="50BF630C"/>
    <w:rsid w:val="514069D9"/>
    <w:rsid w:val="51597A9B"/>
    <w:rsid w:val="516D3D99"/>
    <w:rsid w:val="518C1C1F"/>
    <w:rsid w:val="529F5982"/>
    <w:rsid w:val="52D72A69"/>
    <w:rsid w:val="53193986"/>
    <w:rsid w:val="532B7B38"/>
    <w:rsid w:val="53BD07B5"/>
    <w:rsid w:val="5498310E"/>
    <w:rsid w:val="54E92678"/>
    <w:rsid w:val="54FF095A"/>
    <w:rsid w:val="5593298A"/>
    <w:rsid w:val="559E70E3"/>
    <w:rsid w:val="55A54E90"/>
    <w:rsid w:val="55F12578"/>
    <w:rsid w:val="56130B60"/>
    <w:rsid w:val="563A7E9B"/>
    <w:rsid w:val="565C42B5"/>
    <w:rsid w:val="565D4125"/>
    <w:rsid w:val="56DC0F52"/>
    <w:rsid w:val="57B91294"/>
    <w:rsid w:val="585039A6"/>
    <w:rsid w:val="58711B6E"/>
    <w:rsid w:val="58931AE5"/>
    <w:rsid w:val="58CC5B26"/>
    <w:rsid w:val="58CE0D6F"/>
    <w:rsid w:val="59376914"/>
    <w:rsid w:val="594D2DC3"/>
    <w:rsid w:val="59833401"/>
    <w:rsid w:val="5987789B"/>
    <w:rsid w:val="59965D30"/>
    <w:rsid w:val="5A0A4028"/>
    <w:rsid w:val="5A221372"/>
    <w:rsid w:val="5A2348E8"/>
    <w:rsid w:val="5A313773"/>
    <w:rsid w:val="5A4D796E"/>
    <w:rsid w:val="5A930628"/>
    <w:rsid w:val="5AA91A93"/>
    <w:rsid w:val="5AFC7E15"/>
    <w:rsid w:val="5B2353A2"/>
    <w:rsid w:val="5B2555BE"/>
    <w:rsid w:val="5B5163B3"/>
    <w:rsid w:val="5B77328F"/>
    <w:rsid w:val="5BAD2149"/>
    <w:rsid w:val="5BE60EF5"/>
    <w:rsid w:val="5C5679F9"/>
    <w:rsid w:val="5CE24DE9"/>
    <w:rsid w:val="5CE564BE"/>
    <w:rsid w:val="5D6D6DA8"/>
    <w:rsid w:val="5D860514"/>
    <w:rsid w:val="5D9F2CDA"/>
    <w:rsid w:val="5DB91071"/>
    <w:rsid w:val="5DF254FF"/>
    <w:rsid w:val="5DF43025"/>
    <w:rsid w:val="5E912F6A"/>
    <w:rsid w:val="5E916AC6"/>
    <w:rsid w:val="5EE412EC"/>
    <w:rsid w:val="5EE56E45"/>
    <w:rsid w:val="5F26402B"/>
    <w:rsid w:val="5F2D4144"/>
    <w:rsid w:val="5F922AF6"/>
    <w:rsid w:val="5FCE4E78"/>
    <w:rsid w:val="600746DC"/>
    <w:rsid w:val="60237BF2"/>
    <w:rsid w:val="602A5424"/>
    <w:rsid w:val="60457B68"/>
    <w:rsid w:val="606F4F9B"/>
    <w:rsid w:val="60CF38D6"/>
    <w:rsid w:val="610C68D8"/>
    <w:rsid w:val="612956DC"/>
    <w:rsid w:val="61581B1D"/>
    <w:rsid w:val="61686012"/>
    <w:rsid w:val="61A30FEA"/>
    <w:rsid w:val="61F335F4"/>
    <w:rsid w:val="620B6B90"/>
    <w:rsid w:val="623B2E12"/>
    <w:rsid w:val="627E3805"/>
    <w:rsid w:val="627F4082"/>
    <w:rsid w:val="62B80AC5"/>
    <w:rsid w:val="62EA2C49"/>
    <w:rsid w:val="63A159FD"/>
    <w:rsid w:val="63B05C41"/>
    <w:rsid w:val="640D4E41"/>
    <w:rsid w:val="646D768E"/>
    <w:rsid w:val="648570CD"/>
    <w:rsid w:val="6517507F"/>
    <w:rsid w:val="65293EFC"/>
    <w:rsid w:val="65397304"/>
    <w:rsid w:val="6578278E"/>
    <w:rsid w:val="66680A54"/>
    <w:rsid w:val="667E3DD4"/>
    <w:rsid w:val="66AA4BC9"/>
    <w:rsid w:val="66CC0605"/>
    <w:rsid w:val="66EC3434"/>
    <w:rsid w:val="672E57FA"/>
    <w:rsid w:val="6760797E"/>
    <w:rsid w:val="676313AA"/>
    <w:rsid w:val="676A0F59"/>
    <w:rsid w:val="677D5E3A"/>
    <w:rsid w:val="67DB0DB0"/>
    <w:rsid w:val="685272C6"/>
    <w:rsid w:val="68751207"/>
    <w:rsid w:val="689E250C"/>
    <w:rsid w:val="68BB130F"/>
    <w:rsid w:val="68D93544"/>
    <w:rsid w:val="68F16ADF"/>
    <w:rsid w:val="69182133"/>
    <w:rsid w:val="69224EEB"/>
    <w:rsid w:val="694A2693"/>
    <w:rsid w:val="694C1F68"/>
    <w:rsid w:val="695A4334"/>
    <w:rsid w:val="69BB7912"/>
    <w:rsid w:val="69EE1271"/>
    <w:rsid w:val="6A0740E0"/>
    <w:rsid w:val="6A1E603C"/>
    <w:rsid w:val="6A2C3B47"/>
    <w:rsid w:val="6A7774B8"/>
    <w:rsid w:val="6AF63170"/>
    <w:rsid w:val="6B3B2294"/>
    <w:rsid w:val="6BC06C3D"/>
    <w:rsid w:val="6BF608B1"/>
    <w:rsid w:val="6C0F54CE"/>
    <w:rsid w:val="6C184383"/>
    <w:rsid w:val="6C5D448C"/>
    <w:rsid w:val="6CA81BAB"/>
    <w:rsid w:val="6CE4695B"/>
    <w:rsid w:val="6D9F2138"/>
    <w:rsid w:val="6DA34120"/>
    <w:rsid w:val="6DF606F4"/>
    <w:rsid w:val="6E1312A6"/>
    <w:rsid w:val="6E6B7334"/>
    <w:rsid w:val="6EDF387E"/>
    <w:rsid w:val="6EF2710D"/>
    <w:rsid w:val="6F743FC6"/>
    <w:rsid w:val="6FAD572A"/>
    <w:rsid w:val="6FCA008A"/>
    <w:rsid w:val="700510C2"/>
    <w:rsid w:val="70076BE8"/>
    <w:rsid w:val="701901B8"/>
    <w:rsid w:val="706C1141"/>
    <w:rsid w:val="7073427E"/>
    <w:rsid w:val="71297032"/>
    <w:rsid w:val="71ED62B2"/>
    <w:rsid w:val="72127AC6"/>
    <w:rsid w:val="72AE69DA"/>
    <w:rsid w:val="72F0605A"/>
    <w:rsid w:val="73781BAB"/>
    <w:rsid w:val="73837758"/>
    <w:rsid w:val="73B027D5"/>
    <w:rsid w:val="7460720F"/>
    <w:rsid w:val="749D3FBF"/>
    <w:rsid w:val="74C657CA"/>
    <w:rsid w:val="75151DA7"/>
    <w:rsid w:val="7516167C"/>
    <w:rsid w:val="756920F3"/>
    <w:rsid w:val="757C5983"/>
    <w:rsid w:val="764400AC"/>
    <w:rsid w:val="778D031B"/>
    <w:rsid w:val="77935205"/>
    <w:rsid w:val="77A14B50"/>
    <w:rsid w:val="77DA6153"/>
    <w:rsid w:val="77E617D9"/>
    <w:rsid w:val="78300CA6"/>
    <w:rsid w:val="787212BF"/>
    <w:rsid w:val="794C7D62"/>
    <w:rsid w:val="796E4E17"/>
    <w:rsid w:val="79865022"/>
    <w:rsid w:val="79B80F53"/>
    <w:rsid w:val="79BD1EA5"/>
    <w:rsid w:val="7A460B98"/>
    <w:rsid w:val="7A5F5873"/>
    <w:rsid w:val="7A97500D"/>
    <w:rsid w:val="7AEF4E49"/>
    <w:rsid w:val="7B1B5C3E"/>
    <w:rsid w:val="7B9D6653"/>
    <w:rsid w:val="7B9F23CB"/>
    <w:rsid w:val="7BD00864"/>
    <w:rsid w:val="7BDA1655"/>
    <w:rsid w:val="7C26600D"/>
    <w:rsid w:val="7C3E1BE4"/>
    <w:rsid w:val="7C574A54"/>
    <w:rsid w:val="7CDE5175"/>
    <w:rsid w:val="7CFE1373"/>
    <w:rsid w:val="7D050953"/>
    <w:rsid w:val="7D847ACA"/>
    <w:rsid w:val="7D871368"/>
    <w:rsid w:val="7DBD4D8A"/>
    <w:rsid w:val="7EA81826"/>
    <w:rsid w:val="7EDC1B88"/>
    <w:rsid w:val="7EF742CC"/>
    <w:rsid w:val="7F317EF7"/>
    <w:rsid w:val="7F8D69DE"/>
    <w:rsid w:val="7FBC3604"/>
    <w:rsid w:val="7FD1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723" w:firstLineChars="200"/>
      <w:jc w:val="both"/>
    </w:pPr>
    <w:rPr>
      <w:rFonts w:ascii="Times New Roman" w:hAnsi="Times New Roman" w:eastAsia="宋体" w:cstheme="minorBidi"/>
      <w:kern w:val="2"/>
      <w:sz w:val="28"/>
      <w:szCs w:val="24"/>
      <w:lang w:val="en-US" w:eastAsia="zh-CN" w:bidi="ar-SA"/>
    </w:rPr>
  </w:style>
  <w:style w:type="paragraph" w:styleId="4">
    <w:name w:val="heading 1"/>
    <w:basedOn w:val="1"/>
    <w:next w:val="1"/>
    <w:link w:val="32"/>
    <w:qFormat/>
    <w:uiPriority w:val="0"/>
    <w:pPr>
      <w:keepNext/>
      <w:keepLines/>
      <w:spacing w:before="240" w:after="200" w:line="240" w:lineRule="auto"/>
      <w:ind w:firstLine="0" w:firstLineChars="0"/>
      <w:jc w:val="center"/>
      <w:outlineLvl w:val="0"/>
    </w:pPr>
    <w:rPr>
      <w:b/>
      <w:kern w:val="44"/>
      <w:sz w:val="44"/>
    </w:rPr>
  </w:style>
  <w:style w:type="paragraph" w:styleId="5">
    <w:name w:val="heading 2"/>
    <w:basedOn w:val="1"/>
    <w:next w:val="6"/>
    <w:link w:val="31"/>
    <w:unhideWhenUsed/>
    <w:qFormat/>
    <w:uiPriority w:val="0"/>
    <w:pPr>
      <w:keepNext/>
      <w:keepLines/>
      <w:spacing w:line="240" w:lineRule="auto"/>
      <w:ind w:firstLine="0" w:firstLineChars="0"/>
      <w:outlineLvl w:val="1"/>
    </w:pPr>
    <w:rPr>
      <w:b/>
      <w:sz w:val="30"/>
    </w:rPr>
  </w:style>
  <w:style w:type="paragraph" w:styleId="7">
    <w:name w:val="heading 3"/>
    <w:basedOn w:val="1"/>
    <w:next w:val="1"/>
    <w:link w:val="30"/>
    <w:qFormat/>
    <w:uiPriority w:val="0"/>
    <w:pPr>
      <w:keepNext/>
      <w:keepLines/>
      <w:tabs>
        <w:tab w:val="left" w:pos="720"/>
      </w:tabs>
      <w:spacing w:line="240" w:lineRule="auto"/>
      <w:outlineLvl w:val="2"/>
    </w:pPr>
    <w:rPr>
      <w:b/>
      <w:bCs/>
      <w:szCs w:val="32"/>
    </w:rPr>
  </w:style>
  <w:style w:type="paragraph" w:styleId="8">
    <w:name w:val="heading 4"/>
    <w:basedOn w:val="1"/>
    <w:next w:val="1"/>
    <w:unhideWhenUsed/>
    <w:qFormat/>
    <w:uiPriority w:val="0"/>
    <w:pPr>
      <w:keepNext/>
      <w:keepLines/>
      <w:spacing w:line="240" w:lineRule="auto"/>
      <w:outlineLvl w:val="3"/>
    </w:pPr>
    <w:rPr>
      <w:b/>
    </w:rPr>
  </w:style>
  <w:style w:type="paragraph" w:styleId="9">
    <w:name w:val="heading 5"/>
    <w:basedOn w:val="1"/>
    <w:next w:val="1"/>
    <w:unhideWhenUsed/>
    <w:qFormat/>
    <w:uiPriority w:val="0"/>
    <w:pPr>
      <w:keepNext/>
      <w:keepLines/>
      <w:spacing w:before="280" w:after="290" w:line="372" w:lineRule="auto"/>
      <w:outlineLvl w:val="4"/>
    </w:pPr>
    <w:rPr>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kern w:val="0"/>
    </w:rPr>
  </w:style>
  <w:style w:type="paragraph" w:styleId="3">
    <w:name w:val="Date"/>
    <w:basedOn w:val="1"/>
    <w:next w:val="1"/>
    <w:qFormat/>
    <w:uiPriority w:val="0"/>
    <w:pPr>
      <w:adjustRightInd w:val="0"/>
      <w:spacing w:line="360" w:lineRule="atLeast"/>
      <w:ind w:firstLine="454"/>
      <w:textAlignment w:val="baseline"/>
    </w:pPr>
    <w:rPr>
      <w:kern w:val="0"/>
    </w:rPr>
  </w:style>
  <w:style w:type="paragraph" w:styleId="6">
    <w:name w:val="Normal Indent"/>
    <w:basedOn w:val="1"/>
    <w:next w:val="1"/>
    <w:qFormat/>
    <w:uiPriority w:val="0"/>
    <w:pPr>
      <w:ind w:firstLine="420"/>
    </w:pPr>
    <w:rPr>
      <w:kern w:val="0"/>
      <w:sz w:val="24"/>
    </w:rPr>
  </w:style>
  <w:style w:type="paragraph" w:styleId="10">
    <w:name w:val="Body Text Indent"/>
    <w:basedOn w:val="1"/>
    <w:next w:val="8"/>
    <w:unhideWhenUsed/>
    <w:qFormat/>
    <w:uiPriority w:val="0"/>
    <w:pPr>
      <w:spacing w:after="120"/>
      <w:ind w:left="420" w:leftChars="200"/>
    </w:pPr>
  </w:style>
  <w:style w:type="paragraph" w:styleId="11">
    <w:name w:val="toc 3"/>
    <w:basedOn w:val="1"/>
    <w:next w:val="1"/>
    <w:qFormat/>
    <w:uiPriority w:val="0"/>
    <w:pPr>
      <w:widowControl/>
      <w:ind w:left="400" w:right="255"/>
    </w:pPr>
    <w:rPr>
      <w:kern w:val="0"/>
      <w:sz w:val="24"/>
    </w:rPr>
  </w:style>
  <w:style w:type="paragraph" w:styleId="12">
    <w:name w:val="Plain Text"/>
    <w:basedOn w:val="1"/>
    <w:qFormat/>
    <w:uiPriority w:val="0"/>
    <w:rPr>
      <w:rFonts w:ascii="宋体" w:hAnsi="Courier New" w:cs="Courier New"/>
      <w:szCs w:val="21"/>
    </w:rPr>
  </w:style>
  <w:style w:type="paragraph" w:styleId="13">
    <w:name w:val="toc 8"/>
    <w:basedOn w:val="1"/>
    <w:next w:val="1"/>
    <w:qFormat/>
    <w:uiPriority w:val="0"/>
    <w:pPr>
      <w:ind w:left="2940" w:leftChars="1400"/>
    </w:p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b/>
    </w:rPr>
  </w:style>
  <w:style w:type="paragraph" w:styleId="17">
    <w:name w:val="List"/>
    <w:basedOn w:val="1"/>
    <w:unhideWhenUsed/>
    <w:qFormat/>
    <w:uiPriority w:val="0"/>
    <w:pPr>
      <w:ind w:left="200" w:hanging="200" w:hangingChars="200"/>
      <w:contextualSpacing/>
    </w:pPr>
    <w:rPr>
      <w:sz w:val="20"/>
      <w:szCs w:val="20"/>
    </w:rPr>
  </w:style>
  <w:style w:type="paragraph" w:styleId="1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0"/>
    <w:next w:val="10"/>
    <w:qFormat/>
    <w:uiPriority w:val="0"/>
    <w:pPr>
      <w:widowControl/>
      <w:ind w:left="0" w:leftChars="0" w:firstLine="210"/>
      <w:jc w:val="left"/>
    </w:pPr>
    <w:rPr>
      <w:kern w:val="0"/>
      <w:sz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22"/>
    <w:rPr>
      <w:b/>
      <w:bCs/>
    </w:rPr>
  </w:style>
  <w:style w:type="character" w:styleId="24">
    <w:name w:val="page number"/>
    <w:basedOn w:val="22"/>
    <w:qFormat/>
    <w:uiPriority w:val="0"/>
  </w:style>
  <w:style w:type="character" w:styleId="25">
    <w:name w:val="Emphasis"/>
    <w:basedOn w:val="22"/>
    <w:qFormat/>
    <w:uiPriority w:val="0"/>
    <w:rPr>
      <w:i/>
    </w:rPr>
  </w:style>
  <w:style w:type="paragraph" w:styleId="26">
    <w:name w:val="List Paragraph"/>
    <w:basedOn w:val="1"/>
    <w:qFormat/>
    <w:uiPriority w:val="99"/>
    <w:pPr>
      <w:ind w:firstLine="420"/>
    </w:pPr>
    <w:rPr>
      <w:kern w:val="0"/>
      <w:sz w:val="20"/>
    </w:rPr>
  </w:style>
  <w:style w:type="paragraph" w:customStyle="1" w:styleId="27">
    <w:name w:val="目录"/>
    <w:basedOn w:val="1"/>
    <w:qFormat/>
    <w:uiPriority w:val="0"/>
    <w:pPr>
      <w:spacing w:before="240" w:after="200" w:line="360" w:lineRule="auto"/>
      <w:ind w:firstLine="0" w:firstLineChars="0"/>
      <w:jc w:val="center"/>
    </w:pPr>
    <w:rPr>
      <w:rFonts w:hint="eastAsia" w:cs="仿宋"/>
      <w:bCs/>
      <w:sz w:val="36"/>
      <w:szCs w:val="32"/>
    </w:rPr>
  </w:style>
  <w:style w:type="paragraph" w:customStyle="1" w:styleId="28">
    <w:name w:val="表格"/>
    <w:basedOn w:val="1"/>
    <w:qFormat/>
    <w:uiPriority w:val="0"/>
    <w:pPr>
      <w:spacing w:line="240" w:lineRule="auto"/>
      <w:ind w:firstLine="0" w:firstLineChars="0"/>
      <w:jc w:val="center"/>
    </w:pPr>
    <w:rPr>
      <w:rFonts w:hint="eastAsia"/>
      <w:sz w:val="21"/>
    </w:rPr>
  </w:style>
  <w:style w:type="paragraph" w:styleId="29">
    <w:name w:val="No Spacing"/>
    <w:basedOn w:val="1"/>
    <w:qFormat/>
    <w:uiPriority w:val="0"/>
    <w:pPr>
      <w:ind w:firstLine="0"/>
    </w:pPr>
  </w:style>
  <w:style w:type="character" w:customStyle="1" w:styleId="30">
    <w:name w:val="标题 3 Char"/>
    <w:link w:val="7"/>
    <w:qFormat/>
    <w:uiPriority w:val="0"/>
    <w:rPr>
      <w:b/>
      <w:bCs/>
      <w:szCs w:val="32"/>
    </w:rPr>
  </w:style>
  <w:style w:type="character" w:customStyle="1" w:styleId="31">
    <w:name w:val="标题 2 Char"/>
    <w:link w:val="5"/>
    <w:qFormat/>
    <w:uiPriority w:val="0"/>
    <w:rPr>
      <w:b/>
      <w:sz w:val="30"/>
    </w:rPr>
  </w:style>
  <w:style w:type="character" w:customStyle="1" w:styleId="32">
    <w:name w:val="标题 1 Char"/>
    <w:link w:val="4"/>
    <w:qFormat/>
    <w:uiPriority w:val="0"/>
    <w:rPr>
      <w:rFonts w:ascii="Times New Roman" w:hAnsi="Times New Roman" w:eastAsia="宋体"/>
      <w:b/>
      <w:kern w:val="44"/>
      <w:sz w:val="44"/>
    </w:rPr>
  </w:style>
  <w:style w:type="paragraph" w:customStyle="1" w:styleId="33">
    <w:name w:val="正文首行缩进 21"/>
    <w:basedOn w:val="34"/>
    <w:qFormat/>
    <w:uiPriority w:val="0"/>
    <w:pPr>
      <w:autoSpaceDE/>
      <w:autoSpaceDN/>
      <w:adjustRightInd/>
      <w:spacing w:after="120" w:line="240" w:lineRule="auto"/>
      <w:ind w:left="420" w:leftChars="200" w:firstLine="420"/>
    </w:pPr>
    <w:rPr>
      <w:rFonts w:ascii="仿宋_GB2312" w:eastAsia="仿宋_GB2312"/>
      <w:sz w:val="24"/>
      <w:szCs w:val="24"/>
    </w:rPr>
  </w:style>
  <w:style w:type="paragraph" w:customStyle="1" w:styleId="34">
    <w:name w:val="正文文本缩进1"/>
    <w:basedOn w:val="1"/>
    <w:qFormat/>
    <w:uiPriority w:val="0"/>
    <w:pPr>
      <w:autoSpaceDE w:val="0"/>
      <w:autoSpaceDN w:val="0"/>
      <w:adjustRightInd w:val="0"/>
      <w:spacing w:line="360" w:lineRule="auto"/>
      <w:ind w:left="567" w:leftChars="270"/>
    </w:pPr>
    <w:rPr>
      <w:rFonts w:ascii="宋体"/>
      <w:color w:val="000000"/>
      <w:sz w:val="32"/>
      <w:szCs w:val="32"/>
    </w:rPr>
  </w:style>
  <w:style w:type="paragraph" w:customStyle="1" w:styleId="35">
    <w:name w:val="纯文本1"/>
    <w:basedOn w:val="1"/>
    <w:qFormat/>
    <w:uiPriority w:val="0"/>
    <w:rPr>
      <w:rFonts w:ascii="宋体" w:hAnsi="Courier New" w:cs="Courier New"/>
      <w:szCs w:val="21"/>
    </w:rPr>
  </w:style>
  <w:style w:type="paragraph" w:customStyle="1" w:styleId="36">
    <w:name w:val="0"/>
    <w:basedOn w:val="1"/>
    <w:qFormat/>
    <w:uiPriority w:val="0"/>
    <w:pPr>
      <w:widowControl/>
      <w:spacing w:line="408" w:lineRule="auto"/>
      <w:ind w:left="1"/>
      <w:textAlignment w:val="bottom"/>
    </w:pPr>
    <w:rPr>
      <w:color w:val="000000"/>
      <w:kern w:val="0"/>
    </w:rPr>
  </w:style>
  <w:style w:type="paragraph" w:customStyle="1" w:styleId="37">
    <w:name w:val="正文缩进1"/>
    <w:basedOn w:val="1"/>
    <w:qFormat/>
    <w:uiPriority w:val="0"/>
    <w:pPr>
      <w:spacing w:line="360" w:lineRule="auto"/>
      <w:ind w:firstLine="200"/>
      <w:jc w:val="left"/>
    </w:pPr>
    <w:rPr>
      <w:rFonts w:ascii="宋体" w:hAnsi="宋体"/>
      <w:sz w:val="24"/>
      <w:szCs w:val="22"/>
    </w:rPr>
  </w:style>
  <w:style w:type="paragraph" w:customStyle="1" w:styleId="38">
    <w:name w:val="索引 11"/>
    <w:basedOn w:val="1"/>
    <w:next w:val="1"/>
    <w:qFormat/>
    <w:uiPriority w:val="0"/>
    <w:pPr>
      <w:spacing w:line="360" w:lineRule="auto"/>
    </w:pPr>
    <w:rPr>
      <w:rFonts w:ascii="仿宋_GB2312"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31135</Words>
  <Characters>32894</Characters>
  <Lines>269</Lines>
  <Paragraphs>75</Paragraphs>
  <TotalTime>28</TotalTime>
  <ScaleCrop>false</ScaleCrop>
  <LinksUpToDate>false</LinksUpToDate>
  <CharactersWithSpaces>35502</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2021-09-03T04:33:00Z</dcterms:created>
  <dc:creator>故事讲到哪了.</dc:creator>
  <cp:lastModifiedBy>yujiang</cp:lastModifiedBy>
  <cp:lastPrinted>2022-04-24T03:32:00Z</cp:lastPrinted>
  <dcterms:modified xsi:type="dcterms:W3CDTF">2022-11-30T08:54:22Z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2C1AA73AD62A4D4ABBC6146BC4C44C8F</vt:lpwstr>
  </property>
  <property fmtid="{D5CDD505-2E9C-101B-9397-08002B2CF9AE}" pid="4" name="commondata">
    <vt:lpwstr>eyJoZGlkIjoiNzM5NWY0OGNjOTcyOThmNWFiODNjODJmMjkxNzYxMDkifQ==</vt:lpwstr>
  </property>
</Properties>
</file>