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0"/>
          <w:szCs w:val="18"/>
        </w:rPr>
      </w:pPr>
    </w:p>
    <w:p>
      <w:pPr>
        <w:pStyle w:val="15"/>
        <w:jc w:val="center"/>
      </w:pPr>
      <w:r>
        <w:rPr>
          <w:rFonts w:hint="eastAsia" w:ascii="宋体" w:hAnsi="宋体"/>
          <w:b/>
          <w:sz w:val="44"/>
          <w:szCs w:val="11"/>
          <w:lang w:eastAsia="zh-CN"/>
        </w:rPr>
        <w:t>核酸检测设备采购项目</w:t>
      </w:r>
    </w:p>
    <w:p>
      <w:pPr>
        <w:tabs>
          <w:tab w:val="left" w:pos="1960"/>
          <w:tab w:val="left" w:pos="3480"/>
          <w:tab w:val="left" w:pos="4980"/>
        </w:tabs>
        <w:spacing w:line="0" w:lineRule="atLeast"/>
        <w:jc w:val="center"/>
        <w:rPr>
          <w:rFonts w:hint="default"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lang w:eastAsia="zh-CN"/>
        </w:rPr>
        <w:t>HYYL-2022-115</w:t>
      </w:r>
    </w:p>
    <w:p>
      <w:pPr>
        <w:pStyle w:val="19"/>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19"/>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刘涛</w:t>
      </w:r>
    </w:p>
    <w:p>
      <w:pPr>
        <w:spacing w:line="720" w:lineRule="exact"/>
        <w:ind w:firstLine="840" w:firstLineChars="300"/>
        <w:rPr>
          <w:rFonts w:hint="eastAsia" w:ascii="宋体" w:hAnsi="宋体" w:eastAsia="宋体"/>
          <w:sz w:val="32"/>
          <w:szCs w:val="32"/>
          <w:lang w:eastAsia="zh-CN"/>
        </w:rPr>
      </w:pPr>
      <w:r>
        <w:rPr>
          <w:rFonts w:ascii="宋体" w:hAnsi="宋体"/>
          <w:b/>
          <w:bCs/>
          <w:sz w:val="28"/>
          <w:szCs w:val="28"/>
        </w:rPr>
        <w:t>联系电话：</w:t>
      </w:r>
      <w:r>
        <w:rPr>
          <w:rFonts w:hint="eastAsia" w:ascii="宋体" w:hAnsi="宋体"/>
          <w:b/>
          <w:bCs/>
          <w:sz w:val="28"/>
          <w:szCs w:val="28"/>
          <w:lang w:eastAsia="zh-CN"/>
        </w:rPr>
        <w:t>19190382352</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val="en-US" w:eastAsia="zh-CN"/>
        </w:rPr>
        <w:t>十一</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3"/>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5"/>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5"/>
          <w:rFonts w:hint="eastAsia" w:ascii="仿宋" w:hAnsi="仿宋" w:eastAsia="仿宋"/>
          <w:b w:val="0"/>
          <w:sz w:val="30"/>
          <w:szCs w:val="30"/>
        </w:rPr>
        <w:t>第一章</w:t>
      </w:r>
      <w:r>
        <w:rPr>
          <w:rStyle w:val="25"/>
          <w:rFonts w:ascii="仿宋" w:hAnsi="仿宋" w:eastAsia="仿宋"/>
          <w:b w:val="0"/>
          <w:sz w:val="30"/>
          <w:szCs w:val="30"/>
        </w:rPr>
        <w:t xml:space="preserve">  </w:t>
      </w:r>
      <w:r>
        <w:rPr>
          <w:rStyle w:val="25"/>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6</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5"/>
          <w:rFonts w:hint="eastAsia" w:ascii="仿宋" w:hAnsi="仿宋" w:eastAsia="仿宋"/>
          <w:b w:val="0"/>
          <w:sz w:val="30"/>
          <w:szCs w:val="30"/>
        </w:rPr>
        <w:t>第二章</w:t>
      </w:r>
      <w:r>
        <w:rPr>
          <w:rStyle w:val="25"/>
          <w:rFonts w:ascii="仿宋" w:hAnsi="仿宋" w:eastAsia="仿宋"/>
          <w:b w:val="0"/>
          <w:sz w:val="30"/>
          <w:szCs w:val="30"/>
        </w:rPr>
        <w:t xml:space="preserve">  </w:t>
      </w:r>
      <w:r>
        <w:rPr>
          <w:rStyle w:val="25"/>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5"/>
          <w:rFonts w:hint="eastAsia" w:ascii="仿宋" w:hAnsi="仿宋" w:eastAsia="仿宋"/>
          <w:b w:val="0"/>
          <w:sz w:val="30"/>
          <w:szCs w:val="30"/>
        </w:rPr>
        <w:t>第三章</w:t>
      </w:r>
      <w:r>
        <w:rPr>
          <w:rStyle w:val="25"/>
          <w:rFonts w:ascii="仿宋" w:hAnsi="仿宋" w:eastAsia="仿宋"/>
          <w:b w:val="0"/>
          <w:sz w:val="30"/>
          <w:szCs w:val="30"/>
        </w:rPr>
        <w:t xml:space="preserve">  </w:t>
      </w:r>
      <w:r>
        <w:rPr>
          <w:rStyle w:val="25"/>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37</w:t>
      </w:r>
      <w:r>
        <w:rPr>
          <w:rFonts w:ascii="仿宋" w:hAnsi="仿宋" w:eastAsia="仿宋"/>
          <w:b w:val="0"/>
          <w:sz w:val="30"/>
          <w:szCs w:val="30"/>
        </w:rPr>
        <w:fldChar w:fldCharType="end"/>
      </w:r>
      <w:r>
        <w:rPr>
          <w:rFonts w:ascii="仿宋" w:hAnsi="仿宋" w:eastAsia="仿宋"/>
          <w:b w:val="0"/>
          <w:sz w:val="30"/>
          <w:szCs w:val="30"/>
        </w:rPr>
        <w:fldChar w:fldCharType="end"/>
      </w:r>
    </w:p>
    <w:p>
      <w:pPr>
        <w:pStyle w:val="13"/>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5"/>
          <w:rFonts w:hint="eastAsia" w:ascii="仿宋" w:hAnsi="仿宋" w:eastAsia="仿宋"/>
          <w:b w:val="0"/>
          <w:sz w:val="30"/>
          <w:szCs w:val="30"/>
        </w:rPr>
        <w:t>第四章</w:t>
      </w:r>
      <w:r>
        <w:rPr>
          <w:rStyle w:val="25"/>
          <w:rFonts w:ascii="仿宋" w:hAnsi="仿宋" w:eastAsia="仿宋"/>
          <w:b w:val="0"/>
          <w:sz w:val="30"/>
          <w:szCs w:val="30"/>
        </w:rPr>
        <w:t xml:space="preserve">  </w:t>
      </w:r>
      <w:r>
        <w:rPr>
          <w:rStyle w:val="25"/>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37</w:t>
      </w:r>
      <w:r>
        <w:rPr>
          <w:rFonts w:ascii="仿宋" w:hAnsi="仿宋" w:eastAsia="仿宋"/>
          <w:b w:val="0"/>
          <w:sz w:val="30"/>
          <w:szCs w:val="30"/>
        </w:rPr>
        <w:fldChar w:fldCharType="end"/>
      </w:r>
      <w:r>
        <w:rPr>
          <w:rFonts w:ascii="仿宋" w:hAnsi="仿宋" w:eastAsia="仿宋"/>
          <w:b w:val="0"/>
          <w:sz w:val="30"/>
          <w:szCs w:val="30"/>
        </w:rPr>
        <w:fldChar w:fldCharType="end"/>
      </w:r>
    </w:p>
    <w:p>
      <w:pPr>
        <w:pStyle w:val="28"/>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8"/>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28"/>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7"/>
        <w:rPr>
          <w:rFonts w:ascii="仿宋" w:hAnsi="仿宋" w:eastAsia="仿宋" w:cs="宋体"/>
          <w:kern w:val="0"/>
          <w:sz w:val="28"/>
          <w:szCs w:val="28"/>
        </w:rPr>
      </w:pPr>
    </w:p>
    <w:p>
      <w:pPr>
        <w:pStyle w:val="17"/>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7"/>
        <w:ind w:left="0" w:firstLine="0"/>
        <w:rPr>
          <w:rFonts w:ascii="仿宋" w:hAnsi="仿宋" w:eastAsia="仿宋"/>
          <w:sz w:val="36"/>
        </w:rPr>
      </w:pPr>
      <w:r>
        <w:rPr>
          <w:rFonts w:hint="eastAsia" w:ascii="仿宋" w:hAnsi="仿宋" w:eastAsia="仿宋"/>
          <w:sz w:val="36"/>
        </w:rPr>
        <w:t>投标须知前附表</w:t>
      </w:r>
      <w:bookmarkEnd w:id="0"/>
    </w:p>
    <w:tbl>
      <w:tblPr>
        <w:tblStyle w:val="20"/>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0"/>
        <w:gridCol w:w="88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810" w:type="dxa"/>
            <w:tcMar>
              <w:top w:w="57" w:type="dxa"/>
              <w:bottom w:w="57" w:type="dxa"/>
            </w:tcMar>
            <w:vAlign w:val="center"/>
          </w:tcPr>
          <w:p>
            <w:pPr>
              <w:pStyle w:val="27"/>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34" w:type="dxa"/>
            <w:tcMar>
              <w:top w:w="57" w:type="dxa"/>
              <w:bottom w:w="57" w:type="dxa"/>
            </w:tcMar>
            <w:vAlign w:val="center"/>
          </w:tcPr>
          <w:p>
            <w:pPr>
              <w:pStyle w:val="27"/>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34" w:type="dxa"/>
            <w:tcBorders>
              <w:bottom w:val="single" w:color="auto" w:sz="4" w:space="0"/>
            </w:tcBorders>
            <w:tcMar>
              <w:top w:w="57" w:type="dxa"/>
              <w:bottom w:w="57" w:type="dxa"/>
            </w:tcMar>
            <w:vAlign w:val="center"/>
          </w:tcPr>
          <w:p>
            <w:pPr>
              <w:pStyle w:val="27"/>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核酸检测设备采购项目</w:t>
            </w:r>
          </w:p>
          <w:p>
            <w:pPr>
              <w:pStyle w:val="27"/>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HYYL-2022-115</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招标内容：采购一批设备（具体内容详见招标文件）</w:t>
            </w:r>
            <w:r>
              <w:rPr>
                <w:rFonts w:hint="eastAsia" w:ascii="仿宋" w:hAnsi="仿宋" w:eastAsia="仿宋"/>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eastAsia="zh-CN"/>
              </w:rPr>
              <w:t>3701900</w:t>
            </w:r>
            <w:r>
              <w:rPr>
                <w:rFonts w:hint="eastAsia" w:ascii="仿宋" w:hAnsi="仿宋" w:eastAsia="仿宋"/>
                <w:sz w:val="24"/>
                <w:szCs w:val="24"/>
                <w:lang w:val="en-US" w:eastAsia="zh-CN"/>
              </w:rPr>
              <w:t>元</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特克斯县卫生健康委员会</w:t>
            </w:r>
          </w:p>
          <w:p>
            <w:pPr>
              <w:pStyle w:val="27"/>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lang w:val="en-US" w:eastAsia="zh-CN"/>
              </w:rPr>
              <w:t xml:space="preserve">15022888007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7"/>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7"/>
              <w:spacing w:line="420" w:lineRule="exact"/>
              <w:ind w:firstLine="480" w:firstLineChars="200"/>
              <w:rPr>
                <w:rFonts w:ascii="仿宋" w:hAnsi="仿宋" w:eastAsia="仿宋"/>
                <w:sz w:val="24"/>
                <w:szCs w:val="24"/>
              </w:rPr>
            </w:pPr>
            <w:r>
              <w:rPr>
                <w:rFonts w:hint="eastAsia" w:ascii="仿宋" w:hAnsi="仿宋" w:eastAsia="仿宋"/>
                <w:sz w:val="24"/>
                <w:szCs w:val="24"/>
                <w:lang w:val="en-US" w:eastAsia="zh-CN"/>
              </w:rPr>
              <w:t>45000</w:t>
            </w:r>
            <w:r>
              <w:rPr>
                <w:rFonts w:hint="eastAsia" w:ascii="仿宋" w:hAnsi="仿宋" w:eastAsia="仿宋"/>
                <w:sz w:val="24"/>
                <w:szCs w:val="24"/>
              </w:rPr>
              <w:t>.00（大写：</w:t>
            </w:r>
            <w:r>
              <w:rPr>
                <w:rFonts w:hint="eastAsia" w:ascii="仿宋" w:hAnsi="仿宋" w:eastAsia="仿宋"/>
                <w:sz w:val="24"/>
                <w:szCs w:val="24"/>
                <w:lang w:val="en-US" w:eastAsia="zh-CN"/>
              </w:rPr>
              <w:t>肆万伍仟</w:t>
            </w:r>
            <w:r>
              <w:rPr>
                <w:rFonts w:hint="eastAsia" w:ascii="仿宋" w:hAnsi="仿宋" w:eastAsia="仿宋"/>
                <w:sz w:val="24"/>
                <w:szCs w:val="24"/>
              </w:rPr>
              <w:t>元整）</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9"/>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9"/>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5"/>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5"/>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7"/>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810" w:type="dxa"/>
            <w:tcMar>
              <w:top w:w="57" w:type="dxa"/>
              <w:bottom w:w="57" w:type="dxa"/>
            </w:tcMar>
            <w:vAlign w:val="center"/>
          </w:tcPr>
          <w:p>
            <w:pPr>
              <w:pStyle w:val="27"/>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834" w:type="dxa"/>
            <w:tcMar>
              <w:top w:w="57" w:type="dxa"/>
              <w:bottom w:w="57" w:type="dxa"/>
            </w:tcMar>
            <w:vAlign w:val="center"/>
          </w:tcPr>
          <w:p>
            <w:pPr>
              <w:pStyle w:val="27"/>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8834" w:type="dxa"/>
            <w:tcMar>
              <w:top w:w="57" w:type="dxa"/>
              <w:bottom w:w="57" w:type="dxa"/>
            </w:tcMar>
            <w:vAlign w:val="center"/>
          </w:tcPr>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1.满足《中华人民共和国政府采购法》第二十二条规定；</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2.落实政府采购政策需满足的资格要求：</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rPr>
                <w:rFonts w:hint="eastAsia"/>
                <w:lang w:val="en-US" w:eastAsia="zh-CN"/>
              </w:rPr>
            </w:pPr>
            <w:r>
              <w:rPr>
                <w:rFonts w:hint="eastAsia" w:ascii="仿宋" w:hAnsi="仿宋" w:eastAsia="仿宋" w:cs="Times New Roman"/>
                <w:kern w:val="2"/>
                <w:sz w:val="24"/>
                <w:szCs w:val="24"/>
                <w:lang w:val="en-US" w:eastAsia="zh-CN" w:bidi="ar-SA"/>
              </w:rPr>
              <w:t>（四）《关于印发&lt;自治区贯彻落实国发〔2022〕12号文件精神推进经济稳增长一揽子政策措施&gt;的通知》（新政发〔2022〕61号）。</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3.法定代表人投标需提供法定代表人身份证，委托代理人投标需提供法定代表人授权委托书及委托代理人身份证；被委托人必须是投标单位法人或正式员工；</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4.具有有效的营业执照且经营范围内包含此次采购内容；</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5.具有有效的行政主管部门颁发的《医疗器械经营许可证》或《医疗器械生产许可证》副本；</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6.有效的第二类医疗器械经营备案凭证；</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提供授权委托人近半年（2022年5月至10月）在本单位的社保缴纳证明及近半年（2022年3月-8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8.提供2020年度-2021年度本单位的财务审计报告；</w:t>
            </w:r>
          </w:p>
          <w:p>
            <w:pPr>
              <w:pStyle w:val="7"/>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7"/>
              <w:ind w:left="0" w:leftChars="0" w:firstLine="0" w:firstLineChars="0"/>
              <w:rPr>
                <w:rFonts w:hint="eastAsia"/>
                <w:highlight w:val="none"/>
                <w:lang w:eastAsia="zh-CN"/>
              </w:rPr>
            </w:pPr>
            <w:r>
              <w:rPr>
                <w:rFonts w:hint="eastAsia" w:ascii="仿宋" w:hAnsi="仿宋" w:eastAsia="仿宋" w:cs="Times New Roman"/>
                <w:kern w:val="2"/>
                <w:sz w:val="24"/>
                <w:szCs w:val="24"/>
                <w:lang w:val="en-US" w:eastAsia="zh-CN" w:bidi="ar-SA"/>
              </w:rPr>
              <w:t>10.本项目不接受联合体投标。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投标截止时间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34" w:type="dxa"/>
            <w:tcMar>
              <w:top w:w="57" w:type="dxa"/>
              <w:bottom w:w="57" w:type="dxa"/>
            </w:tcMar>
            <w:vAlign w:val="center"/>
          </w:tcPr>
          <w:p>
            <w:pPr>
              <w:pStyle w:val="27"/>
              <w:spacing w:line="420" w:lineRule="exact"/>
              <w:ind w:firstLine="0" w:firstLineChars="0"/>
              <w:rPr>
                <w:rFonts w:hint="eastAsia" w:ascii="仿宋" w:hAnsi="仿宋" w:eastAsia="仿宋"/>
                <w:sz w:val="24"/>
                <w:szCs w:val="24"/>
                <w:lang w:eastAsia="zh-CN"/>
              </w:rPr>
            </w:pPr>
            <w:r>
              <w:rPr>
                <w:rFonts w:hint="eastAsia" w:ascii="仿宋" w:hAnsi="仿宋" w:eastAsia="仿宋"/>
                <w:sz w:val="24"/>
                <w:szCs w:val="24"/>
              </w:rPr>
              <w:t>投标文件的数量：正本1份、副本</w:t>
            </w:r>
            <w:r>
              <w:rPr>
                <w:rFonts w:hint="eastAsia" w:ascii="仿宋" w:hAnsi="仿宋" w:eastAsia="仿宋"/>
                <w:sz w:val="24"/>
                <w:szCs w:val="24"/>
                <w:lang w:val="en-US" w:eastAsia="zh-CN"/>
              </w:rPr>
              <w:t>2</w:t>
            </w:r>
            <w:r>
              <w:rPr>
                <w:rFonts w:hint="eastAsia" w:ascii="仿宋" w:hAnsi="仿宋" w:eastAsia="仿宋"/>
                <w:sz w:val="24"/>
                <w:szCs w:val="24"/>
              </w:rPr>
              <w:t>份</w:t>
            </w:r>
            <w:r>
              <w:rPr>
                <w:rFonts w:hint="eastAsia" w:ascii="仿宋" w:hAnsi="仿宋" w:eastAsia="仿宋"/>
                <w:sz w:val="24"/>
                <w:szCs w:val="24"/>
                <w:lang w:eastAsia="zh-CN"/>
              </w:rPr>
              <w:t>，正本副本单独密封。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w:t>
            </w:r>
            <w:r>
              <w:rPr>
                <w:rFonts w:hint="eastAsia" w:ascii="仿宋" w:hAnsi="仿宋" w:eastAsia="仿宋"/>
                <w:sz w:val="24"/>
                <w:szCs w:val="24"/>
                <w:lang w:eastAsia="zh-CN"/>
              </w:rPr>
              <w:t>☑</w:t>
            </w:r>
            <w:r>
              <w:rPr>
                <w:rFonts w:hint="eastAsia" w:ascii="仿宋" w:hAnsi="仿宋" w:eastAsia="仿宋"/>
                <w:sz w:val="24"/>
                <w:szCs w:val="24"/>
              </w:rPr>
              <w:t xml:space="preserve"> Word，可多选，以U盘形式提交，单独密封)</w:t>
            </w:r>
          </w:p>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开标时间：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w:t>
            </w:r>
            <w:r>
              <w:rPr>
                <w:rFonts w:hint="eastAsia" w:ascii="仿宋" w:hAnsi="仿宋" w:eastAsia="仿宋"/>
                <w:sz w:val="24"/>
                <w:szCs w:val="24"/>
              </w:rPr>
              <w:t>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合同履约期限</w:t>
            </w:r>
            <w:r>
              <w:rPr>
                <w:rFonts w:hint="eastAsia" w:ascii="仿宋" w:hAnsi="仿宋" w:eastAsia="仿宋"/>
                <w:sz w:val="24"/>
                <w:szCs w:val="24"/>
              </w:rPr>
              <w:t>：合同签订后</w:t>
            </w:r>
            <w:r>
              <w:rPr>
                <w:rFonts w:hint="eastAsia" w:ascii="仿宋" w:hAnsi="仿宋" w:eastAsia="仿宋"/>
                <w:sz w:val="24"/>
                <w:szCs w:val="24"/>
                <w:lang w:val="en-US" w:eastAsia="zh-CN"/>
              </w:rPr>
              <w:t>15日历天</w:t>
            </w:r>
            <w:r>
              <w:rPr>
                <w:rFonts w:hint="eastAsia" w:ascii="仿宋" w:hAnsi="仿宋" w:eastAsia="仿宋"/>
                <w:sz w:val="24"/>
                <w:szCs w:val="24"/>
              </w:rPr>
              <w:t>内供货交付使用并验收完毕。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810" w:type="dxa"/>
            <w:tcMar>
              <w:top w:w="57" w:type="dxa"/>
              <w:bottom w:w="57" w:type="dxa"/>
            </w:tcMar>
            <w:vAlign w:val="center"/>
          </w:tcPr>
          <w:p>
            <w:pPr>
              <w:pStyle w:val="27"/>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highlight w:val="none"/>
              </w:rPr>
              <w:t>付款方式：最终付款方式以和甲方单位签订合同为</w:t>
            </w:r>
            <w:r>
              <w:rPr>
                <w:rFonts w:hint="eastAsia" w:ascii="仿宋" w:hAnsi="仿宋" w:eastAsia="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34" w:type="dxa"/>
            <w:tcMar>
              <w:top w:w="57" w:type="dxa"/>
              <w:bottom w:w="57" w:type="dxa"/>
            </w:tcMar>
            <w:vAlign w:val="center"/>
          </w:tcPr>
          <w:p>
            <w:pPr>
              <w:pStyle w:val="27"/>
              <w:spacing w:before="156" w:after="156" w:line="420" w:lineRule="exact"/>
              <w:ind w:firstLine="0" w:firstLineChars="0"/>
              <w:rPr>
                <w:rFonts w:ascii="仿宋" w:hAnsi="仿宋" w:eastAsia="仿宋"/>
                <w:sz w:val="24"/>
                <w:szCs w:val="24"/>
              </w:rPr>
            </w:pPr>
            <w:r>
              <w:rPr>
                <w:rFonts w:hint="eastAsia" w:ascii="仿宋" w:hAnsi="仿宋" w:eastAsia="仿宋"/>
                <w:sz w:val="24"/>
                <w:szCs w:val="24"/>
                <w:highlight w:val="none"/>
              </w:rPr>
              <w:t>质保期：</w:t>
            </w:r>
            <w:r>
              <w:rPr>
                <w:rFonts w:hint="eastAsia" w:ascii="仿宋" w:hAnsi="仿宋" w:eastAsia="仿宋"/>
                <w:sz w:val="24"/>
                <w:szCs w:val="24"/>
                <w:highlight w:val="none"/>
                <w:lang w:val="en-US" w:eastAsia="zh-CN"/>
              </w:rPr>
              <w:t xml:space="preserve">1年 </w:t>
            </w:r>
            <w:r>
              <w:rPr>
                <w:rFonts w:hint="eastAsia" w:ascii="仿宋" w:hAnsi="仿宋" w:eastAsia="仿宋"/>
                <w:sz w:val="24"/>
                <w:szCs w:val="24"/>
                <w:highlight w:val="none"/>
              </w:rPr>
              <w:t>。（</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34" w:type="dxa"/>
            <w:tcMar>
              <w:top w:w="57" w:type="dxa"/>
              <w:bottom w:w="57" w:type="dxa"/>
            </w:tcMar>
            <w:vAlign w:val="center"/>
          </w:tcPr>
          <w:p>
            <w:pPr>
              <w:pStyle w:val="28"/>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8"/>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34" w:type="dxa"/>
            <w:tcMar>
              <w:top w:w="57" w:type="dxa"/>
              <w:bottom w:w="57" w:type="dxa"/>
            </w:tcMar>
            <w:vAlign w:val="center"/>
          </w:tcPr>
          <w:p>
            <w:pPr>
              <w:pStyle w:val="28"/>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r>
              <w:rPr>
                <w:rFonts w:hint="eastAsia" w:ascii="仿宋" w:hAnsi="仿宋" w:eastAsia="仿宋" w:cs="仿宋_GB2312"/>
                <w:color w:val="auto"/>
                <w:szCs w:val="24"/>
                <w:lang w:val="en-US" w:eastAsia="zh-CN"/>
              </w:rPr>
              <w:t>2</w:t>
            </w:r>
            <w:r>
              <w:rPr>
                <w:rFonts w:hint="eastAsia" w:ascii="仿宋" w:hAnsi="仿宋" w:eastAsia="仿宋" w:cs="仿宋_GB2312"/>
                <w:color w:val="auto"/>
                <w:szCs w:val="24"/>
              </w:rPr>
              <w:t>0%的扣除，用扣除后的价格参与评审，本项目具体扣除比例为</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34" w:type="dxa"/>
            <w:tcMar>
              <w:top w:w="57" w:type="dxa"/>
              <w:bottom w:w="57" w:type="dxa"/>
            </w:tcMar>
            <w:vAlign w:val="center"/>
          </w:tcPr>
          <w:p>
            <w:pPr>
              <w:pStyle w:val="28"/>
              <w:spacing w:line="420" w:lineRule="exact"/>
              <w:jc w:val="both"/>
              <w:rPr>
                <w:rFonts w:ascii="仿宋" w:hAnsi="仿宋" w:eastAsia="仿宋"/>
                <w:b/>
                <w:color w:val="auto"/>
                <w:szCs w:val="24"/>
              </w:rPr>
            </w:pPr>
            <w:r>
              <w:rPr>
                <w:rFonts w:hint="eastAsia" w:ascii="仿宋" w:hAnsi="仿宋" w:eastAsia="仿宋"/>
                <w:b w:val="0"/>
                <w:bCs/>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34" w:type="dxa"/>
            <w:tcMar>
              <w:top w:w="57" w:type="dxa"/>
              <w:bottom w:w="57" w:type="dxa"/>
            </w:tcMar>
            <w:vAlign w:val="center"/>
          </w:tcPr>
          <w:p>
            <w:pPr>
              <w:pStyle w:val="28"/>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highlight w:val="yellow"/>
              </w:rPr>
            </w:pPr>
            <w:r>
              <w:rPr>
                <w:rFonts w:hint="eastAsia" w:ascii="仿宋" w:hAnsi="仿宋" w:eastAsia="仿宋"/>
                <w:sz w:val="24"/>
                <w:szCs w:val="24"/>
                <w:highlight w:val="none"/>
              </w:rPr>
              <w:t>23</w:t>
            </w:r>
          </w:p>
        </w:tc>
        <w:tc>
          <w:tcPr>
            <w:tcW w:w="8834" w:type="dxa"/>
            <w:tcMar>
              <w:top w:w="57" w:type="dxa"/>
              <w:bottom w:w="57" w:type="dxa"/>
            </w:tcMar>
            <w:vAlign w:val="center"/>
          </w:tcPr>
          <w:p>
            <w:pPr>
              <w:pStyle w:val="28"/>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1、法定代表人投标需提供法定代表人身份证，委托代理人投标需提供法定代表人授权委托书及委托代理人身份证；被委托人必须是投标单位法人或正式员工；</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5月至10月）在本单位的社保缴纳证明及近半年（2022年3月-8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6、提供2020年度-2021年度本单位的财务审计报告或银行资信证明；</w:t>
            </w:r>
          </w:p>
          <w:p>
            <w:pPr>
              <w:pStyle w:val="28"/>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8"/>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r>
              <w:rPr>
                <w:rFonts w:hint="eastAsia" w:ascii="仿宋" w:hAnsi="仿宋" w:eastAsia="仿宋"/>
                <w:b/>
                <w:color w:val="auto"/>
                <w:szCs w:val="24"/>
                <w:highlight w:val="none"/>
                <w:lang w:val="en-US" w:eastAsia="zh-CN"/>
              </w:rPr>
              <w:t>或汇款凭证</w:t>
            </w:r>
            <w:r>
              <w:rPr>
                <w:rFonts w:hint="eastAsia" w:ascii="仿宋" w:hAnsi="仿宋" w:eastAsia="仿宋"/>
                <w:b/>
                <w:color w:val="auto"/>
                <w:szCs w:val="24"/>
                <w:highlight w:val="none"/>
                <w:lang w:eastAsia="zh-CN"/>
              </w:rPr>
              <w:t>；</w:t>
            </w:r>
          </w:p>
          <w:p>
            <w:pPr>
              <w:pStyle w:val="28"/>
              <w:spacing w:line="420" w:lineRule="exact"/>
              <w:jc w:val="both"/>
              <w:rPr>
                <w:rFonts w:ascii="仿宋" w:hAnsi="仿宋" w:eastAsia="仿宋"/>
                <w:color w:val="auto"/>
                <w:szCs w:val="24"/>
                <w:highlight w:val="yellow"/>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34" w:type="dxa"/>
            <w:tcMar>
              <w:top w:w="57" w:type="dxa"/>
              <w:bottom w:w="57" w:type="dxa"/>
            </w:tcMar>
            <w:vAlign w:val="center"/>
          </w:tcPr>
          <w:p>
            <w:pPr>
              <w:pStyle w:val="27"/>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3"/>
        <w:keepNext w:val="0"/>
        <w:keepLines w:val="0"/>
        <w:widowControl/>
        <w:suppressLineNumbers w:val="0"/>
        <w:spacing w:line="450" w:lineRule="atLeast"/>
        <w:jc w:val="center"/>
        <w:rPr>
          <w:rFonts w:hint="eastAsia"/>
          <w:lang w:eastAsia="zh-CN"/>
        </w:rPr>
      </w:pPr>
      <w:r>
        <w:rPr>
          <w:rFonts w:hint="eastAsia" w:ascii="仿宋" w:hAnsi="仿宋" w:eastAsia="仿宋"/>
          <w:sz w:val="31"/>
        </w:rPr>
        <w:br w:type="page"/>
      </w:r>
      <w:bookmarkStart w:id="2" w:name="_Toc5987694"/>
      <w:r>
        <w:rPr>
          <w:rFonts w:hint="eastAsia" w:ascii="仿宋" w:hAnsi="仿宋" w:eastAsia="仿宋"/>
          <w:sz w:val="36"/>
        </w:rPr>
        <w:t xml:space="preserve"> </w:t>
      </w:r>
      <w:r>
        <w:rPr>
          <w:rFonts w:hint="eastAsia" w:ascii="仿宋" w:hAnsi="仿宋" w:eastAsia="仿宋"/>
          <w:sz w:val="36"/>
          <w:szCs w:val="36"/>
        </w:rPr>
        <w:t>招标公告</w:t>
      </w:r>
      <w:bookmarkEnd w:id="2"/>
      <w:bookmarkStart w:id="3" w:name="_Toc399523005"/>
    </w:p>
    <w:p>
      <w:pPr>
        <w:pStyle w:val="16"/>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shd w:val="clear" w:color="auto" w:fill="auto"/>
        </w:rPr>
      </w:pPr>
      <w:r>
        <w:rPr>
          <w:rFonts w:ascii="仿宋" w:hAnsi="仿宋" w:eastAsia="仿宋" w:cs="仿宋"/>
          <w:i w:val="0"/>
          <w:iCs w:val="0"/>
          <w:caps w:val="0"/>
          <w:color w:val="000000"/>
          <w:spacing w:val="0"/>
          <w:sz w:val="27"/>
          <w:szCs w:val="27"/>
          <w:shd w:val="clear" w:color="auto" w:fill="auto"/>
        </w:rPr>
        <w:t>项目概况</w:t>
      </w:r>
    </w:p>
    <w:p>
      <w:pPr>
        <w:pStyle w:val="16"/>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firstLine="540" w:firstLineChars="200"/>
        <w:rPr>
          <w:shd w:val="clear" w:color="auto" w:fill="auto"/>
        </w:rPr>
      </w:pPr>
      <w:r>
        <w:rPr>
          <w:rFonts w:hint="eastAsia" w:ascii="仿宋" w:hAnsi="仿宋" w:eastAsia="仿宋" w:cs="仿宋"/>
          <w:i w:val="0"/>
          <w:iCs w:val="0"/>
          <w:caps w:val="0"/>
          <w:color w:val="000000"/>
          <w:spacing w:val="0"/>
          <w:sz w:val="27"/>
          <w:szCs w:val="27"/>
          <w:shd w:val="clear" w:color="auto" w:fill="auto"/>
          <w:lang w:eastAsia="zh-CN"/>
        </w:rPr>
        <w:t>核酸检测设备采购项目</w:t>
      </w:r>
      <w:r>
        <w:rPr>
          <w:rFonts w:hint="eastAsia" w:ascii="仿宋" w:hAnsi="仿宋" w:eastAsia="仿宋" w:cs="仿宋"/>
          <w:i w:val="0"/>
          <w:iCs w:val="0"/>
          <w:caps w:val="0"/>
          <w:color w:val="000000"/>
          <w:spacing w:val="0"/>
          <w:sz w:val="27"/>
          <w:szCs w:val="27"/>
          <w:shd w:val="clear" w:color="auto" w:fill="auto"/>
        </w:rPr>
        <w:t>招标项目的潜在投标人应在伊宁市经济合作区北京路一品墅新房大厦10楼1004号获取招标文件，并</w:t>
      </w:r>
      <w:r>
        <w:rPr>
          <w:rFonts w:hint="eastAsia" w:ascii="仿宋" w:hAnsi="仿宋" w:eastAsia="仿宋" w:cs="仿宋"/>
          <w:i w:val="0"/>
          <w:iCs w:val="0"/>
          <w:caps w:val="0"/>
          <w:color w:val="000000"/>
          <w:spacing w:val="0"/>
          <w:sz w:val="27"/>
          <w:szCs w:val="27"/>
          <w:highlight w:val="none"/>
          <w:shd w:val="clear" w:color="auto" w:fill="auto"/>
        </w:rPr>
        <w:t>于2022年</w:t>
      </w:r>
      <w:r>
        <w:rPr>
          <w:rFonts w:hint="eastAsia" w:ascii="仿宋" w:hAnsi="仿宋" w:eastAsia="仿宋" w:cs="仿宋"/>
          <w:i w:val="0"/>
          <w:iCs w:val="0"/>
          <w:caps w:val="0"/>
          <w:color w:val="000000"/>
          <w:spacing w:val="0"/>
          <w:sz w:val="27"/>
          <w:szCs w:val="27"/>
          <w:highlight w:val="none"/>
          <w:shd w:val="clear" w:color="auto" w:fill="auto"/>
          <w:lang w:val="en-US" w:eastAsia="zh-CN"/>
        </w:rPr>
        <w:t>12</w:t>
      </w:r>
      <w:r>
        <w:rPr>
          <w:rFonts w:hint="eastAsia" w:ascii="仿宋" w:hAnsi="仿宋" w:eastAsia="仿宋" w:cs="仿宋"/>
          <w:i w:val="0"/>
          <w:iCs w:val="0"/>
          <w:caps w:val="0"/>
          <w:color w:val="000000"/>
          <w:spacing w:val="0"/>
          <w:sz w:val="27"/>
          <w:szCs w:val="27"/>
          <w:highlight w:val="none"/>
          <w:shd w:val="clear" w:color="auto" w:fill="auto"/>
        </w:rPr>
        <w:t>月</w:t>
      </w:r>
      <w:r>
        <w:rPr>
          <w:rFonts w:hint="eastAsia" w:ascii="仿宋" w:hAnsi="仿宋" w:eastAsia="仿宋" w:cs="仿宋"/>
          <w:i w:val="0"/>
          <w:iCs w:val="0"/>
          <w:caps w:val="0"/>
          <w:color w:val="000000"/>
          <w:spacing w:val="0"/>
          <w:sz w:val="27"/>
          <w:szCs w:val="27"/>
          <w:highlight w:val="none"/>
          <w:shd w:val="clear" w:color="auto" w:fill="auto"/>
          <w:lang w:val="en-US" w:eastAsia="zh-CN"/>
        </w:rPr>
        <w:t>12</w:t>
      </w:r>
      <w:r>
        <w:rPr>
          <w:rFonts w:hint="eastAsia" w:ascii="仿宋" w:hAnsi="仿宋" w:eastAsia="仿宋" w:cs="仿宋"/>
          <w:i w:val="0"/>
          <w:iCs w:val="0"/>
          <w:caps w:val="0"/>
          <w:color w:val="000000"/>
          <w:spacing w:val="0"/>
          <w:sz w:val="27"/>
          <w:szCs w:val="27"/>
          <w:highlight w:val="none"/>
          <w:shd w:val="clear" w:color="auto" w:fill="auto"/>
        </w:rPr>
        <w:t>日 1</w:t>
      </w:r>
      <w:r>
        <w:rPr>
          <w:rFonts w:hint="eastAsia" w:ascii="仿宋" w:hAnsi="仿宋" w:eastAsia="仿宋" w:cs="仿宋"/>
          <w:i w:val="0"/>
          <w:iCs w:val="0"/>
          <w:caps w:val="0"/>
          <w:color w:val="000000"/>
          <w:spacing w:val="0"/>
          <w:sz w:val="27"/>
          <w:szCs w:val="27"/>
          <w:highlight w:val="none"/>
          <w:shd w:val="clear" w:color="auto" w:fill="auto"/>
          <w:lang w:val="en-US" w:eastAsia="zh-CN"/>
        </w:rPr>
        <w:t>6</w:t>
      </w:r>
      <w:r>
        <w:rPr>
          <w:rFonts w:hint="eastAsia" w:ascii="仿宋" w:hAnsi="仿宋" w:eastAsia="仿宋" w:cs="仿宋"/>
          <w:i w:val="0"/>
          <w:iCs w:val="0"/>
          <w:caps w:val="0"/>
          <w:color w:val="000000"/>
          <w:spacing w:val="0"/>
          <w:sz w:val="27"/>
          <w:szCs w:val="27"/>
          <w:highlight w:val="none"/>
          <w:shd w:val="clear" w:color="auto" w:fill="auto"/>
        </w:rPr>
        <w:t>:</w:t>
      </w:r>
      <w:r>
        <w:rPr>
          <w:rFonts w:hint="eastAsia" w:ascii="仿宋" w:hAnsi="仿宋" w:eastAsia="仿宋" w:cs="仿宋"/>
          <w:i w:val="0"/>
          <w:iCs w:val="0"/>
          <w:caps w:val="0"/>
          <w:color w:val="000000"/>
          <w:spacing w:val="0"/>
          <w:sz w:val="27"/>
          <w:szCs w:val="27"/>
          <w:highlight w:val="none"/>
          <w:shd w:val="clear" w:color="auto" w:fill="auto"/>
          <w:lang w:val="en-US" w:eastAsia="zh-CN"/>
        </w:rPr>
        <w:t>0</w:t>
      </w:r>
      <w:r>
        <w:rPr>
          <w:rFonts w:hint="eastAsia" w:ascii="仿宋" w:hAnsi="仿宋" w:eastAsia="仿宋" w:cs="仿宋"/>
          <w:i w:val="0"/>
          <w:iCs w:val="0"/>
          <w:caps w:val="0"/>
          <w:color w:val="000000"/>
          <w:spacing w:val="0"/>
          <w:sz w:val="27"/>
          <w:szCs w:val="27"/>
          <w:highlight w:val="none"/>
          <w:shd w:val="clear" w:color="auto" w:fill="auto"/>
        </w:rPr>
        <w:t>0（北京时间）前</w:t>
      </w:r>
      <w:r>
        <w:rPr>
          <w:rFonts w:hint="eastAsia" w:ascii="仿宋" w:hAnsi="仿宋" w:eastAsia="仿宋" w:cs="仿宋"/>
          <w:i w:val="0"/>
          <w:iCs w:val="0"/>
          <w:caps w:val="0"/>
          <w:color w:val="000000"/>
          <w:spacing w:val="0"/>
          <w:sz w:val="27"/>
          <w:szCs w:val="27"/>
          <w:shd w:val="clear" w:color="auto" w:fill="auto"/>
        </w:rPr>
        <w:t>递交投标文件。</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一、项目基本情况</w:t>
      </w:r>
    </w:p>
    <w:p>
      <w:pPr>
        <w:pStyle w:val="16"/>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rPr>
        <w:t>项目编号：</w:t>
      </w:r>
      <w:r>
        <w:rPr>
          <w:rFonts w:hint="eastAsia" w:ascii="仿宋" w:hAnsi="仿宋" w:eastAsia="仿宋" w:cs="仿宋"/>
          <w:i w:val="0"/>
          <w:iCs w:val="0"/>
          <w:caps w:val="0"/>
          <w:color w:val="000000"/>
          <w:spacing w:val="0"/>
          <w:sz w:val="27"/>
          <w:szCs w:val="27"/>
          <w:lang w:eastAsia="zh-CN"/>
        </w:rPr>
        <w:t>HYYL-2022-</w:t>
      </w:r>
      <w:r>
        <w:rPr>
          <w:rFonts w:hint="eastAsia" w:ascii="仿宋" w:hAnsi="仿宋" w:eastAsia="仿宋" w:cs="仿宋"/>
          <w:i w:val="0"/>
          <w:iCs w:val="0"/>
          <w:caps w:val="0"/>
          <w:color w:val="000000"/>
          <w:spacing w:val="0"/>
          <w:sz w:val="27"/>
          <w:szCs w:val="27"/>
          <w:lang w:val="en-US" w:eastAsia="zh-CN"/>
        </w:rPr>
        <w:t>115</w:t>
      </w:r>
    </w:p>
    <w:p>
      <w:pPr>
        <w:pStyle w:val="16"/>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核酸检测设备采购项目</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16"/>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i w:val="0"/>
          <w:iCs w:val="0"/>
          <w:caps w:val="0"/>
          <w:color w:val="000000"/>
          <w:spacing w:val="0"/>
          <w:sz w:val="27"/>
          <w:szCs w:val="27"/>
          <w:lang w:eastAsia="zh-CN"/>
        </w:rPr>
        <w:t>3701900</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lang w:eastAsia="zh-CN"/>
        </w:rPr>
        <w:t>3701900</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标项一</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标项名称:</w:t>
      </w:r>
      <w:r>
        <w:rPr>
          <w:rFonts w:hint="eastAsia" w:ascii="仿宋" w:hAnsi="仿宋" w:eastAsia="仿宋" w:cs="仿宋"/>
          <w:i w:val="0"/>
          <w:iCs w:val="0"/>
          <w:caps w:val="0"/>
          <w:color w:val="000000"/>
          <w:spacing w:val="0"/>
          <w:sz w:val="27"/>
          <w:szCs w:val="27"/>
          <w:lang w:eastAsia="zh-CN"/>
        </w:rPr>
        <w:t>核酸检测设备采购项目</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数量:</w:t>
      </w:r>
      <w:r>
        <w:rPr>
          <w:rFonts w:hint="eastAsia" w:ascii="仿宋" w:hAnsi="仿宋" w:eastAsia="仿宋" w:cs="仿宋"/>
          <w:i w:val="0"/>
          <w:iCs w:val="0"/>
          <w:caps w:val="0"/>
          <w:color w:val="000000"/>
          <w:spacing w:val="0"/>
          <w:sz w:val="27"/>
          <w:szCs w:val="27"/>
          <w:lang w:val="en-US" w:eastAsia="zh-CN"/>
        </w:rPr>
        <w:t>1</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eastAsia="zh-CN"/>
        </w:rPr>
        <w:t>3701900</w:t>
      </w:r>
    </w:p>
    <w:p>
      <w:pPr>
        <w:pStyle w:val="16"/>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简要规格描述或项目基本概况介绍、用途：采购一批设备</w:t>
      </w:r>
      <w:r>
        <w:rPr>
          <w:rFonts w:hint="eastAsia" w:ascii="仿宋" w:hAnsi="仿宋" w:eastAsia="仿宋" w:cs="仿宋"/>
          <w:i w:val="0"/>
          <w:iCs w:val="0"/>
          <w:caps w:val="0"/>
          <w:color w:val="000000"/>
          <w:spacing w:val="0"/>
          <w:sz w:val="27"/>
          <w:szCs w:val="27"/>
          <w:lang w:val="en-US" w:eastAsia="zh-CN"/>
        </w:rPr>
        <w:t>（具体内容详见招标文件）</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240" w:lineRule="auto"/>
        <w:ind w:left="0" w:right="0" w:firstLine="0"/>
        <w:rPr>
          <w:sz w:val="27"/>
          <w:szCs w:val="27"/>
        </w:rPr>
      </w:pPr>
      <w:r>
        <w:rPr>
          <w:rFonts w:hint="eastAsia" w:ascii="仿宋" w:hAnsi="仿宋" w:eastAsia="仿宋" w:cs="仿宋"/>
          <w:i w:val="0"/>
          <w:iCs w:val="0"/>
          <w:caps w:val="0"/>
          <w:color w:val="000000"/>
          <w:spacing w:val="0"/>
          <w:sz w:val="27"/>
          <w:szCs w:val="27"/>
        </w:rPr>
        <w:t>   备注：</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合同履约期限：标项 1</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15</w:t>
      </w:r>
      <w:r>
        <w:rPr>
          <w:rFonts w:hint="eastAsia" w:ascii="仿宋" w:hAnsi="仿宋" w:eastAsia="仿宋" w:cs="仿宋"/>
          <w:i w:val="0"/>
          <w:iCs w:val="0"/>
          <w:caps w:val="0"/>
          <w:color w:val="000000"/>
          <w:spacing w:val="0"/>
          <w:sz w:val="27"/>
          <w:szCs w:val="27"/>
        </w:rPr>
        <w:t>日历</w:t>
      </w:r>
      <w:r>
        <w:rPr>
          <w:rFonts w:hint="eastAsia" w:ascii="仿宋" w:hAnsi="仿宋" w:eastAsia="仿宋" w:cs="仿宋"/>
          <w:i w:val="0"/>
          <w:iCs w:val="0"/>
          <w:caps w:val="0"/>
          <w:color w:val="000000"/>
          <w:spacing w:val="0"/>
          <w:sz w:val="27"/>
          <w:szCs w:val="27"/>
          <w:lang w:val="en-US" w:eastAsia="zh-CN"/>
        </w:rPr>
        <w:t>天</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16"/>
        <w:keepNext w:val="0"/>
        <w:keepLines w:val="0"/>
        <w:widowControl/>
        <w:suppressLineNumbers w:val="0"/>
        <w:spacing w:before="75" w:beforeAutospacing="0" w:after="75" w:afterAutospacing="0" w:line="300" w:lineRule="atLeast"/>
        <w:ind w:left="0" w:right="0"/>
      </w:pPr>
      <w:r>
        <w:rPr>
          <w:rStyle w:val="23"/>
          <w:rFonts w:ascii="黑体" w:hAnsi="宋体" w:eastAsia="黑体" w:cs="黑体"/>
          <w:i w:val="0"/>
          <w:iCs w:val="0"/>
          <w:caps w:val="0"/>
          <w:color w:val="000000"/>
          <w:spacing w:val="0"/>
          <w:sz w:val="27"/>
          <w:szCs w:val="27"/>
        </w:rPr>
        <w:t>二、申请人的资格要求：</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2.落实政府采购政策需满足的资格要求：标项1：</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四</w:t>
      </w:r>
      <w:r>
        <w:rPr>
          <w:rFonts w:hint="eastAsia" w:ascii="仿宋" w:hAnsi="仿宋" w:eastAsia="仿宋" w:cs="仿宋"/>
          <w:i w:val="0"/>
          <w:iCs w:val="0"/>
          <w:caps w:val="0"/>
          <w:color w:val="000000"/>
          <w:spacing w:val="0"/>
          <w:sz w:val="27"/>
          <w:szCs w:val="27"/>
          <w:lang w:eastAsia="zh-CN"/>
        </w:rPr>
        <w:t>）  为进一步贯彻落实自治区人民政府《关于印发&lt;自治区贯彻落实国发〔2022〕12号文件精神推进经济稳增长一揽子政策措施&gt;的通知》（新政发〔2022〕61号）。</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3.法定代表人投标需提供法定代表人身份证，委托代理人投标需提供法定代表人授权委托书及委托代理人身份证；被委托人必须是投标单位法人或正式员工；</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4.具有有效的营业执照且经营范围内包含此次采购内容；</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5.具有有效的行政主管部门颁发的</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医疗器械经营许可证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lang w:val="en-US" w:eastAsia="zh-CN"/>
        </w:rPr>
        <w:t>或</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w:t>
      </w:r>
      <w:r>
        <w:rPr>
          <w:rFonts w:hint="eastAsia" w:ascii="仿宋" w:hAnsi="仿宋" w:eastAsia="仿宋" w:cs="仿宋"/>
          <w:i w:val="0"/>
          <w:iCs w:val="0"/>
          <w:caps w:val="0"/>
          <w:color w:val="000000"/>
          <w:spacing w:val="0"/>
          <w:sz w:val="27"/>
          <w:szCs w:val="27"/>
          <w:highlight w:val="none"/>
          <w:lang w:val="en-US" w:eastAsia="zh-CN"/>
        </w:rPr>
        <w:t>生产</w:t>
      </w:r>
      <w:r>
        <w:rPr>
          <w:rFonts w:hint="eastAsia" w:ascii="仿宋" w:hAnsi="仿宋" w:eastAsia="仿宋" w:cs="仿宋"/>
          <w:i w:val="0"/>
          <w:iCs w:val="0"/>
          <w:caps w:val="0"/>
          <w:color w:val="000000"/>
          <w:spacing w:val="0"/>
          <w:sz w:val="27"/>
          <w:szCs w:val="27"/>
          <w:highlight w:val="none"/>
        </w:rPr>
        <w:t>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副本；</w:t>
      </w:r>
    </w:p>
    <w:p>
      <w:pPr>
        <w:pStyle w:val="16"/>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b w:val="0"/>
          <w:bCs w:val="0"/>
          <w:sz w:val="28"/>
          <w:szCs w:val="28"/>
          <w:highlight w:val="none"/>
          <w:lang w:val="en-US" w:eastAsia="zh-CN"/>
        </w:rPr>
        <w:t>有效的第二类医疗器械经营备案凭证；</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7.提供授权委托人近半年（2022年5月至10月）在本单位的社保缴纳证明及近半年（2022年3月-8月）投标单位依法纳税凭证原件或有电子专用章的完税证明；</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提供</w:t>
      </w:r>
      <w:r>
        <w:rPr>
          <w:rFonts w:hint="eastAsia" w:ascii="仿宋" w:hAnsi="仿宋" w:eastAsia="仿宋" w:cs="仿宋"/>
          <w:i w:val="0"/>
          <w:iCs w:val="0"/>
          <w:caps w:val="0"/>
          <w:color w:val="000000"/>
          <w:spacing w:val="0"/>
          <w:sz w:val="27"/>
          <w:szCs w:val="27"/>
          <w:highlight w:val="none"/>
          <w:lang w:val="en-US" w:eastAsia="zh-CN"/>
        </w:rPr>
        <w:t>2020年度-</w:t>
      </w:r>
      <w:r>
        <w:rPr>
          <w:rFonts w:hint="eastAsia" w:ascii="仿宋" w:hAnsi="仿宋" w:eastAsia="仿宋" w:cs="仿宋"/>
          <w:i w:val="0"/>
          <w:iCs w:val="0"/>
          <w:caps w:val="0"/>
          <w:color w:val="000000"/>
          <w:spacing w:val="0"/>
          <w:sz w:val="27"/>
          <w:szCs w:val="27"/>
          <w:highlight w:val="none"/>
        </w:rPr>
        <w:t>2021年度</w:t>
      </w:r>
      <w:r>
        <w:rPr>
          <w:rFonts w:hint="eastAsia" w:ascii="仿宋" w:hAnsi="仿宋" w:eastAsia="仿宋" w:cs="仿宋"/>
          <w:i w:val="0"/>
          <w:iCs w:val="0"/>
          <w:caps w:val="0"/>
          <w:color w:val="000000"/>
          <w:spacing w:val="0"/>
          <w:sz w:val="27"/>
          <w:szCs w:val="27"/>
          <w:highlight w:val="none"/>
          <w:lang w:val="en-US" w:eastAsia="zh-CN"/>
        </w:rPr>
        <w:t>本单位的</w:t>
      </w:r>
      <w:r>
        <w:rPr>
          <w:rFonts w:hint="eastAsia" w:ascii="仿宋" w:hAnsi="仿宋" w:eastAsia="仿宋" w:cs="仿宋"/>
          <w:i w:val="0"/>
          <w:iCs w:val="0"/>
          <w:caps w:val="0"/>
          <w:color w:val="000000"/>
          <w:spacing w:val="0"/>
          <w:sz w:val="27"/>
          <w:szCs w:val="27"/>
          <w:highlight w:val="none"/>
        </w:rPr>
        <w:t>财务审计报告</w:t>
      </w:r>
      <w:r>
        <w:rPr>
          <w:rFonts w:hint="eastAsia" w:ascii="仿宋" w:hAnsi="仿宋" w:eastAsia="仿宋" w:cs="仿宋"/>
          <w:i w:val="0"/>
          <w:iCs w:val="0"/>
          <w:caps w:val="0"/>
          <w:color w:val="000000"/>
          <w:spacing w:val="0"/>
          <w:sz w:val="27"/>
          <w:szCs w:val="27"/>
          <w:highlight w:val="none"/>
          <w:lang w:eastAsia="zh-CN"/>
        </w:rPr>
        <w:t>；</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9</w:t>
      </w:r>
      <w:r>
        <w:rPr>
          <w:rFonts w:hint="eastAsia" w:ascii="仿宋" w:hAnsi="仿宋" w:eastAsia="仿宋" w:cs="仿宋"/>
          <w:i w:val="0"/>
          <w:iCs w:val="0"/>
          <w:caps w:val="0"/>
          <w:color w:val="000000"/>
          <w:spacing w:val="0"/>
          <w:sz w:val="27"/>
          <w:szCs w:val="27"/>
          <w:highlight w:val="none"/>
        </w:rPr>
        <w:t>.所有投标人不得为“信用中国”网站（www.creditchina.gov.cn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16"/>
        <w:keepNext w:val="0"/>
        <w:keepLines w:val="0"/>
        <w:widowControl/>
        <w:suppressLineNumbers w:val="0"/>
        <w:spacing w:before="75" w:beforeAutospacing="0" w:after="75" w:afterAutospacing="0" w:line="300" w:lineRule="atLeast"/>
        <w:ind w:right="0" w:firstLine="540" w:firstLineChars="20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10.本项目不接受联合体投标。</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三、获取招标文件</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000000"/>
          <w:spacing w:val="0"/>
          <w:sz w:val="27"/>
          <w:szCs w:val="27"/>
          <w:highlight w:val="none"/>
        </w:rPr>
        <w:t>2022年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21</w:t>
      </w:r>
      <w:r>
        <w:rPr>
          <w:rFonts w:hint="eastAsia" w:ascii="仿宋" w:hAnsi="仿宋" w:eastAsia="仿宋" w:cs="仿宋"/>
          <w:i w:val="0"/>
          <w:iCs w:val="0"/>
          <w:caps w:val="0"/>
          <w:color w:val="000000"/>
          <w:spacing w:val="0"/>
          <w:sz w:val="27"/>
          <w:szCs w:val="27"/>
          <w:highlight w:val="none"/>
        </w:rPr>
        <w:t>日至2022年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28</w:t>
      </w:r>
      <w:r>
        <w:rPr>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rPr>
        <w:t>，每天上午10:00至14:00，下午1</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0至</w:t>
      </w:r>
      <w:r>
        <w:rPr>
          <w:rFonts w:hint="eastAsia" w:ascii="仿宋" w:hAnsi="仿宋" w:eastAsia="仿宋" w:cs="仿宋"/>
          <w:i w:val="0"/>
          <w:iCs w:val="0"/>
          <w:caps w:val="0"/>
          <w:color w:val="000000"/>
          <w:spacing w:val="0"/>
          <w:sz w:val="27"/>
          <w:szCs w:val="27"/>
          <w:lang w:val="en-US" w:eastAsia="zh-CN"/>
        </w:rPr>
        <w:t>19</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0（北京时间，法定节假日除外）</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地点：伊宁市经济合作区北京路一品墅新房大厦10楼1004号</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现场获取或者</w:t>
      </w:r>
      <w:r>
        <w:rPr>
          <w:rFonts w:hint="eastAsia" w:ascii="仿宋" w:hAnsi="仿宋" w:eastAsia="仿宋" w:cs="仿宋"/>
          <w:i w:val="0"/>
          <w:iCs w:val="0"/>
          <w:caps w:val="0"/>
          <w:color w:val="000000"/>
          <w:spacing w:val="0"/>
          <w:sz w:val="27"/>
          <w:szCs w:val="27"/>
        </w:rPr>
        <w:t>电子邮箱获取（采用电子邮箱获取，所需提供证件及资料的扫描件发至邮箱</w:t>
      </w:r>
      <w:r>
        <w:rPr>
          <w:rFonts w:hint="eastAsia" w:ascii="仿宋" w:hAnsi="仿宋" w:eastAsia="仿宋" w:cs="仿宋"/>
          <w:i w:val="0"/>
          <w:iCs w:val="0"/>
          <w:caps w:val="0"/>
          <w:color w:val="000000"/>
          <w:spacing w:val="0"/>
          <w:sz w:val="27"/>
          <w:szCs w:val="27"/>
          <w:lang w:val="en-US" w:eastAsia="zh-CN"/>
        </w:rPr>
        <w:t>751897642</w:t>
      </w:r>
      <w:r>
        <w:rPr>
          <w:rFonts w:hint="eastAsia" w:ascii="仿宋" w:hAnsi="仿宋" w:eastAsia="仿宋" w:cs="仿宋"/>
          <w:i w:val="0"/>
          <w:iCs w:val="0"/>
          <w:caps w:val="0"/>
          <w:color w:val="000000"/>
          <w:spacing w:val="0"/>
          <w:sz w:val="27"/>
          <w:szCs w:val="27"/>
        </w:rPr>
        <w:t>@qq.com①资料为加盖公章的PDF格式，邮件标题格式为“xx公司xx项目xx联系人xx联系电话”； </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售价（元）：300</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3"/>
          <w:rFonts w:ascii="黑体" w:hAnsi="宋体" w:eastAsia="黑体" w:cs="黑体"/>
          <w:i w:val="0"/>
          <w:iCs w:val="0"/>
          <w:caps w:val="0"/>
          <w:color w:val="000000"/>
          <w:spacing w:val="0"/>
          <w:sz w:val="27"/>
          <w:szCs w:val="27"/>
        </w:rPr>
        <w:t>四、提交投标文件截止时间、开标时间和地点</w:t>
      </w:r>
    </w:p>
    <w:p>
      <w:pPr>
        <w:pStyle w:val="16"/>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rPr>
        <w:t>提交投标文件截止时间</w:t>
      </w:r>
      <w:r>
        <w:rPr>
          <w:rFonts w:hint="eastAsia" w:ascii="仿宋" w:hAnsi="仿宋" w:eastAsia="仿宋" w:cs="仿宋"/>
          <w:i w:val="0"/>
          <w:iCs w:val="0"/>
          <w:caps w:val="0"/>
          <w:color w:val="000000"/>
          <w:spacing w:val="0"/>
          <w:sz w:val="27"/>
          <w:szCs w:val="27"/>
          <w:highlight w:val="none"/>
        </w:rPr>
        <w:t>：2022年</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p>
    <w:p>
      <w:pPr>
        <w:pStyle w:val="16"/>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投标地点：伊宁市经济合作区北京路一品墅新房大厦10楼1004号</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highlight w:val="none"/>
        </w:rPr>
        <w:t>开标时间：2022年</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r>
        <w:rPr>
          <w:rFonts w:hint="eastAsia" w:ascii="仿宋" w:hAnsi="仿宋" w:eastAsia="仿宋" w:cs="仿宋"/>
          <w:i w:val="0"/>
          <w:iCs w:val="0"/>
          <w:caps w:val="0"/>
          <w:color w:val="000000"/>
          <w:spacing w:val="0"/>
          <w:sz w:val="27"/>
          <w:szCs w:val="27"/>
        </w:rPr>
        <w:t>）</w:t>
      </w:r>
    </w:p>
    <w:p>
      <w:pPr>
        <w:pStyle w:val="1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开标地点：伊宁市经济合作区北京路一品墅新房大厦10楼1004号</w:t>
      </w:r>
    </w:p>
    <w:p>
      <w:pPr>
        <w:pStyle w:val="16"/>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23"/>
          <w:rFonts w:ascii="黑体" w:hAnsi="宋体" w:eastAsia="黑体" w:cs="黑体"/>
          <w:i w:val="0"/>
          <w:iCs w:val="0"/>
          <w:caps w:val="0"/>
          <w:color w:val="000000"/>
          <w:spacing w:val="0"/>
          <w:sz w:val="27"/>
          <w:szCs w:val="27"/>
        </w:rPr>
        <w:t>五、公告期限</w:t>
      </w:r>
    </w:p>
    <w:p>
      <w:pPr>
        <w:pStyle w:val="16"/>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rPr>
        <w:t>自本公告发布之日起5个工作日。</w:t>
      </w:r>
    </w:p>
    <w:p>
      <w:pPr>
        <w:pStyle w:val="16"/>
        <w:keepNext w:val="0"/>
        <w:keepLines w:val="0"/>
        <w:widowControl/>
        <w:numPr>
          <w:ilvl w:val="0"/>
          <w:numId w:val="2"/>
        </w:numPr>
        <w:suppressLineNumbers w:val="0"/>
        <w:spacing w:before="255" w:beforeAutospacing="0" w:after="255" w:afterAutospacing="0" w:line="300" w:lineRule="atLeast"/>
        <w:ind w:left="0" w:right="0"/>
        <w:jc w:val="both"/>
        <w:rPr>
          <w:rFonts w:hint="eastAsia" w:ascii="仿宋" w:hAnsi="仿宋" w:eastAsia="仿宋" w:cs="仿宋"/>
          <w:i w:val="0"/>
          <w:iCs w:val="0"/>
          <w:caps w:val="0"/>
          <w:color w:val="000000"/>
          <w:spacing w:val="0"/>
          <w:sz w:val="27"/>
          <w:szCs w:val="27"/>
          <w:lang w:eastAsia="zh-CN"/>
        </w:rPr>
      </w:pPr>
      <w:r>
        <w:rPr>
          <w:rStyle w:val="23"/>
          <w:rFonts w:ascii="黑体" w:hAnsi="宋体" w:eastAsia="黑体" w:cs="黑体"/>
          <w:i w:val="0"/>
          <w:iCs w:val="0"/>
          <w:caps w:val="0"/>
          <w:color w:val="000000"/>
          <w:spacing w:val="0"/>
          <w:sz w:val="27"/>
          <w:szCs w:val="27"/>
        </w:rPr>
        <w:t>其他补充事宜</w:t>
      </w:r>
    </w:p>
    <w:p>
      <w:pPr>
        <w:pStyle w:val="16"/>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获取招标文件须提供的证明材料：法定代表人授权委托书、委托人身份证、营业执照副本、</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医疗器械经营许可证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或</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w:t>
      </w:r>
      <w:r>
        <w:rPr>
          <w:rFonts w:hint="eastAsia" w:ascii="仿宋" w:hAnsi="仿宋" w:eastAsia="仿宋" w:cs="仿宋"/>
          <w:i w:val="0"/>
          <w:iCs w:val="0"/>
          <w:caps w:val="0"/>
          <w:color w:val="000000"/>
          <w:spacing w:val="0"/>
          <w:sz w:val="27"/>
          <w:szCs w:val="27"/>
          <w:lang w:val="en-US" w:eastAsia="zh-CN"/>
        </w:rPr>
        <w:t>生产</w:t>
      </w:r>
      <w:r>
        <w:rPr>
          <w:rFonts w:hint="eastAsia" w:ascii="仿宋" w:hAnsi="仿宋" w:eastAsia="仿宋" w:cs="仿宋"/>
          <w:i w:val="0"/>
          <w:iCs w:val="0"/>
          <w:caps w:val="0"/>
          <w:color w:val="000000"/>
          <w:spacing w:val="0"/>
          <w:sz w:val="27"/>
          <w:szCs w:val="27"/>
        </w:rPr>
        <w:t>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第二类医疗器械经营备案凭证、提供授权委托人近半年（2022年5月至10月）在本单位的社保缴纳证明及近半年（2022年3月-8月）投标单位依法纳税凭证原件或有电子专用章的完税证明（</w:t>
      </w:r>
      <w:r>
        <w:rPr>
          <w:rFonts w:hint="eastAsia" w:ascii="仿宋" w:hAnsi="仿宋" w:eastAsia="仿宋" w:cs="仿宋"/>
          <w:i w:val="0"/>
          <w:iCs w:val="0"/>
          <w:caps w:val="0"/>
          <w:color w:val="000000"/>
          <w:spacing w:val="0"/>
          <w:sz w:val="27"/>
          <w:szCs w:val="27"/>
          <w:highlight w:val="none"/>
          <w:lang w:val="en-US" w:eastAsia="zh-CN"/>
        </w:rPr>
        <w:t>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、提供</w:t>
      </w:r>
      <w:r>
        <w:rPr>
          <w:rFonts w:hint="eastAsia" w:ascii="仿宋" w:hAnsi="仿宋" w:eastAsia="仿宋" w:cs="仿宋"/>
          <w:i w:val="0"/>
          <w:iCs w:val="0"/>
          <w:caps w:val="0"/>
          <w:color w:val="000000"/>
          <w:spacing w:val="0"/>
          <w:sz w:val="27"/>
          <w:szCs w:val="27"/>
          <w:lang w:val="en-US" w:eastAsia="zh-CN"/>
        </w:rPr>
        <w:t>2020年度-</w:t>
      </w:r>
      <w:r>
        <w:rPr>
          <w:rFonts w:hint="eastAsia" w:ascii="仿宋" w:hAnsi="仿宋" w:eastAsia="仿宋" w:cs="仿宋"/>
          <w:i w:val="0"/>
          <w:iCs w:val="0"/>
          <w:caps w:val="0"/>
          <w:color w:val="000000"/>
          <w:spacing w:val="0"/>
          <w:sz w:val="27"/>
          <w:szCs w:val="27"/>
        </w:rPr>
        <w:t>2021年度</w:t>
      </w:r>
      <w:r>
        <w:rPr>
          <w:rFonts w:hint="eastAsia" w:ascii="仿宋" w:hAnsi="仿宋" w:eastAsia="仿宋" w:cs="仿宋"/>
          <w:i w:val="0"/>
          <w:iCs w:val="0"/>
          <w:caps w:val="0"/>
          <w:color w:val="000000"/>
          <w:spacing w:val="0"/>
          <w:sz w:val="27"/>
          <w:szCs w:val="27"/>
          <w:lang w:val="en-US" w:eastAsia="zh-CN"/>
        </w:rPr>
        <w:t>本单位的</w:t>
      </w:r>
      <w:r>
        <w:rPr>
          <w:rFonts w:hint="eastAsia" w:ascii="仿宋" w:hAnsi="仿宋" w:eastAsia="仿宋" w:cs="仿宋"/>
          <w:i w:val="0"/>
          <w:iCs w:val="0"/>
          <w:caps w:val="0"/>
          <w:color w:val="000000"/>
          <w:spacing w:val="0"/>
          <w:sz w:val="27"/>
          <w:szCs w:val="27"/>
        </w:rPr>
        <w:t>财务审计报告、“信用中国”网站（www.creditchina.gov.cn）、中国政府采购网（www.ccgp.gov.cn）查询结果截图（日期必须在自本公告发布日期之后）。</w:t>
      </w:r>
    </w:p>
    <w:p>
      <w:pPr>
        <w:pStyle w:val="16"/>
        <w:spacing w:line="300" w:lineRule="exact"/>
        <w:ind w:firstLine="560" w:firstLineChars="200"/>
        <w:rPr>
          <w:rFonts w:hint="eastAsia" w:ascii="仿宋" w:hAnsi="仿宋" w:eastAsia="仿宋" w:cs="仿宋"/>
          <w:b/>
          <w:bCs/>
          <w:sz w:val="28"/>
          <w:szCs w:val="28"/>
          <w:lang w:bidi="ar"/>
        </w:rPr>
      </w:pPr>
      <w:r>
        <w:rPr>
          <w:rFonts w:hint="eastAsia" w:ascii="仿宋" w:hAnsi="仿宋" w:eastAsia="仿宋" w:cs="仿宋"/>
          <w:b/>
          <w:bCs/>
          <w:sz w:val="28"/>
          <w:szCs w:val="28"/>
          <w:lang w:bidi="ar"/>
        </w:rPr>
        <w:t>注明：以上证件资料需携带原件备查,资料不全不予出售招标文件。并提供加盖投标单位公章的复印件三份。</w:t>
      </w:r>
    </w:p>
    <w:p>
      <w:pPr>
        <w:pStyle w:val="16"/>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23"/>
          <w:rFonts w:ascii="黑体" w:hAnsi="宋体" w:eastAsia="黑体" w:cs="黑体"/>
          <w:i w:val="0"/>
          <w:iCs w:val="0"/>
          <w:caps w:val="0"/>
          <w:color w:val="000000"/>
          <w:spacing w:val="0"/>
          <w:sz w:val="27"/>
          <w:szCs w:val="27"/>
        </w:rPr>
        <w:t>七、对本次采购提出询问，请按以下方式联系</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称：特克斯县卫生健康委员会</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址：特克斯县</w:t>
      </w:r>
    </w:p>
    <w:p>
      <w:pPr>
        <w:pStyle w:val="16"/>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联系人：杨主任</w:t>
      </w:r>
    </w:p>
    <w:p>
      <w:pPr>
        <w:pStyle w:val="16"/>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15022888007</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称：新疆华域建设工程项目管理咨询有限公司</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址：伊宁市经济合作区北京路一品墅新房大厦10楼1004号</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16"/>
        <w:keepNext w:val="0"/>
        <w:keepLines w:val="0"/>
        <w:widowControl/>
        <w:suppressLineNumbers w:val="0"/>
        <w:spacing w:before="75" w:beforeAutospacing="0" w:after="75" w:afterAutospacing="0"/>
        <w:ind w:left="0" w:right="0" w:firstLine="420"/>
        <w:rPr>
          <w:rFonts w:hint="eastAsia" w:ascii="仿宋" w:hAnsi="仿宋" w:eastAsia="仿宋" w:cs="仿宋"/>
          <w:lang w:val="en-US"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刘涛</w:t>
      </w:r>
    </w:p>
    <w:p>
      <w:pPr>
        <w:pStyle w:val="16"/>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i w:val="0"/>
          <w:iCs w:val="0"/>
          <w:caps w:val="0"/>
          <w:color w:val="000000"/>
          <w:spacing w:val="0"/>
          <w:sz w:val="27"/>
          <w:szCs w:val="27"/>
        </w:rPr>
        <w:t>电 话：</w:t>
      </w:r>
      <w:r>
        <w:rPr>
          <w:rFonts w:hint="eastAsia" w:ascii="仿宋" w:hAnsi="仿宋" w:eastAsia="仿宋" w:cs="仿宋"/>
          <w:i w:val="0"/>
          <w:iCs w:val="0"/>
          <w:caps w:val="0"/>
          <w:color w:val="000000"/>
          <w:spacing w:val="0"/>
          <w:sz w:val="27"/>
          <w:szCs w:val="27"/>
          <w:lang w:val="en-US" w:eastAsia="zh-CN"/>
        </w:rPr>
        <w:t>19190382352</w:t>
      </w:r>
    </w:p>
    <w:p>
      <w:pPr>
        <w:rPr>
          <w:rFonts w:hint="eastAsia"/>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ind w:firstLine="560"/>
        <w:jc w:val="center"/>
        <w:rPr>
          <w:rFonts w:hint="eastAsia" w:ascii="仿宋" w:hAnsi="仿宋" w:eastAsia="仿宋"/>
          <w:b/>
          <w:bCs/>
          <w:sz w:val="36"/>
        </w:rPr>
      </w:pPr>
    </w:p>
    <w:p>
      <w:pPr>
        <w:pStyle w:val="28"/>
        <w:snapToGrid w:val="0"/>
        <w:spacing w:line="312" w:lineRule="auto"/>
        <w:jc w:val="both"/>
        <w:rPr>
          <w:rFonts w:hint="eastAsia" w:ascii="仿宋" w:hAnsi="仿宋" w:eastAsia="仿宋"/>
          <w:b/>
          <w:bCs/>
          <w:sz w:val="36"/>
        </w:rPr>
      </w:pPr>
    </w:p>
    <w:p>
      <w:pPr>
        <w:pStyle w:val="28"/>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8"/>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8"/>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8"/>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附件五 供应商反商业贿赂承诺书</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附件六 中小企业声明函</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七</w:t>
      </w:r>
      <w:r>
        <w:rPr>
          <w:rFonts w:hint="eastAsia" w:ascii="仿宋" w:hAnsi="仿宋" w:eastAsia="仿宋"/>
          <w:color w:val="auto"/>
          <w:sz w:val="28"/>
        </w:rPr>
        <w:t xml:space="preserve"> 开标一览表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八</w:t>
      </w:r>
      <w:r>
        <w:rPr>
          <w:rFonts w:hint="eastAsia" w:ascii="仿宋" w:hAnsi="仿宋" w:eastAsia="仿宋"/>
          <w:color w:val="auto"/>
          <w:sz w:val="28"/>
        </w:rPr>
        <w:t xml:space="preserve"> 投标产品名称、数量、规格分项报价表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九</w:t>
      </w:r>
      <w:r>
        <w:rPr>
          <w:rFonts w:hint="eastAsia" w:ascii="仿宋" w:hAnsi="仿宋" w:eastAsia="仿宋"/>
          <w:color w:val="auto"/>
          <w:sz w:val="28"/>
        </w:rPr>
        <w:t xml:space="preserve"> 技术规格偏离表</w:t>
      </w:r>
    </w:p>
    <w:p>
      <w:pPr>
        <w:pStyle w:val="28"/>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十</w:t>
      </w:r>
      <w:r>
        <w:rPr>
          <w:rFonts w:hint="eastAsia" w:ascii="仿宋" w:hAnsi="仿宋" w:eastAsia="仿宋"/>
          <w:color w:val="auto"/>
          <w:sz w:val="28"/>
        </w:rPr>
        <w:t xml:space="preserve"> 商务条款偏离表</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一</w:t>
      </w:r>
      <w:r>
        <w:rPr>
          <w:rFonts w:hint="eastAsia" w:ascii="仿宋" w:hAnsi="仿宋" w:eastAsia="仿宋"/>
          <w:color w:val="auto"/>
          <w:sz w:val="28"/>
        </w:rPr>
        <w:t xml:space="preserve"> 投标产品近三年相同产品销售业绩表</w:t>
      </w:r>
    </w:p>
    <w:p>
      <w:pPr>
        <w:pStyle w:val="28"/>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二</w:t>
      </w:r>
      <w:r>
        <w:rPr>
          <w:rFonts w:hint="eastAsia" w:ascii="仿宋" w:hAnsi="仿宋" w:eastAsia="仿宋"/>
          <w:color w:val="auto"/>
          <w:sz w:val="28"/>
        </w:rPr>
        <w:t xml:space="preserve"> 投标人认为有必要的其他证明材料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w:t>
      </w:r>
      <w:bookmarkStart w:id="35" w:name="_GoBack"/>
      <w:bookmarkEnd w:id="35"/>
      <w:r>
        <w:rPr>
          <w:rFonts w:hint="eastAsia" w:ascii="仿宋" w:hAnsi="仿宋" w:eastAsia="仿宋"/>
          <w:b/>
          <w:color w:val="auto"/>
          <w:szCs w:val="24"/>
          <w:highlight w:val="none"/>
          <w:lang w:val="en-US" w:eastAsia="zh-CN"/>
        </w:rPr>
        <w:t>理人投标需提供法定代表人授权委托书及委托代理人身份证；被委托人必须是投标单位法人或正式员工；</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5月至10月）在本单位的社保缴纳证明及近半年（2022年3月-8月）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单位注意！</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6、提供2020年度-2021年度本单位的财务审计报告或银行资信证明；</w:t>
      </w:r>
    </w:p>
    <w:p>
      <w:pPr>
        <w:pStyle w:val="28"/>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8"/>
        <w:spacing w:line="420" w:lineRule="exact"/>
        <w:jc w:val="both"/>
        <w:rPr>
          <w:rFonts w:hint="eastAsia"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r>
        <w:rPr>
          <w:rFonts w:hint="eastAsia" w:ascii="仿宋" w:hAnsi="仿宋" w:eastAsia="仿宋"/>
          <w:b/>
          <w:color w:val="auto"/>
          <w:szCs w:val="24"/>
          <w:highlight w:val="none"/>
          <w:lang w:val="en-US" w:eastAsia="zh-CN"/>
        </w:rPr>
        <w:t>或汇款凭证</w:t>
      </w:r>
      <w:r>
        <w:rPr>
          <w:rFonts w:hint="eastAsia" w:ascii="仿宋" w:hAnsi="仿宋" w:eastAsia="仿宋"/>
          <w:b/>
          <w:color w:val="auto"/>
          <w:szCs w:val="24"/>
          <w:highlight w:val="none"/>
          <w:lang w:eastAsia="zh-CN"/>
        </w:rPr>
        <w:t>；</w:t>
      </w:r>
    </w:p>
    <w:p>
      <w:pPr>
        <w:pStyle w:val="28"/>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9、本项目不接受联合体投标。</w:t>
      </w:r>
    </w:p>
    <w:p>
      <w:pPr>
        <w:pStyle w:val="28"/>
        <w:spacing w:line="520" w:lineRule="exact"/>
        <w:jc w:val="both"/>
        <w:rPr>
          <w:rFonts w:ascii="仿宋" w:hAnsi="仿宋" w:eastAsia="仿宋"/>
          <w:color w:val="auto"/>
          <w:sz w:val="28"/>
        </w:rPr>
      </w:pPr>
      <w:r>
        <w:rPr>
          <w:rFonts w:hint="eastAsia" w:ascii="仿宋" w:hAnsi="仿宋" w:eastAsia="仿宋"/>
          <w:bCs/>
          <w:sz w:val="28"/>
          <w:szCs w:val="21"/>
          <w:lang w:val="en-US" w:eastAsia="zh-CN"/>
        </w:rPr>
        <w:t>10、</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28"/>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8"/>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8"/>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8"/>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8"/>
        <w:spacing w:line="540" w:lineRule="exact"/>
        <w:ind w:firstLine="548" w:firstLineChars="196"/>
        <w:jc w:val="both"/>
        <w:rPr>
          <w:rFonts w:ascii="仿宋" w:hAnsi="仿宋" w:eastAsia="仿宋"/>
          <w:b/>
          <w:bCs/>
          <w:color w:val="auto"/>
          <w:sz w:val="28"/>
        </w:rPr>
      </w:pPr>
      <w:r>
        <w:rPr>
          <w:rFonts w:hint="eastAsia" w:ascii="仿宋" w:hAnsi="仿宋" w:eastAsia="仿宋"/>
          <w:b/>
          <w:bCs/>
          <w:color w:val="auto"/>
          <w:sz w:val="28"/>
        </w:rPr>
        <w:t>(5) 投标产品近三年相同产品销售业绩（须提供加盖企业公章的合同或者中标通知书复印件）</w:t>
      </w:r>
    </w:p>
    <w:p>
      <w:pPr>
        <w:pStyle w:val="28"/>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7"/>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w:t>
      </w:r>
      <w:r>
        <w:rPr>
          <w:rFonts w:hint="eastAsia" w:ascii="仿宋" w:hAnsi="仿宋" w:eastAsia="仿宋"/>
          <w:bCs/>
        </w:rPr>
        <w:t>所需的进口机电证（如需要），报关、商检、计量等相关事宜，由供应商负责办理，费用由供应商承担。</w:t>
      </w:r>
    </w:p>
    <w:p>
      <w:pPr>
        <w:pStyle w:val="27"/>
        <w:ind w:firstLine="560"/>
        <w:rPr>
          <w:rFonts w:ascii="仿宋" w:hAnsi="仿宋" w:eastAsia="仿宋"/>
        </w:rPr>
      </w:pPr>
      <w:r>
        <w:rPr>
          <w:rFonts w:hint="eastAsia" w:ascii="仿宋" w:hAnsi="仿宋" w:eastAsia="仿宋"/>
        </w:rPr>
        <w:t>(8) 供应商认为有必要提供的声明及文件资料。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8"/>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28"/>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28"/>
        <w:numPr>
          <w:ilvl w:val="0"/>
          <w:numId w:val="3"/>
        </w:numPr>
        <w:snapToGrid w:val="0"/>
        <w:spacing w:line="540" w:lineRule="exact"/>
        <w:ind w:left="700" w:leftChars="0" w:firstLine="0" w:firstLineChars="0"/>
        <w:rPr>
          <w:rFonts w:hint="eastAsia" w:ascii="仿宋" w:hAnsi="仿宋" w:eastAsia="仿宋"/>
          <w:b/>
          <w:color w:val="auto"/>
          <w:sz w:val="28"/>
        </w:rPr>
      </w:pPr>
      <w:r>
        <w:rPr>
          <w:rFonts w:hint="eastAsia" w:ascii="仿宋" w:hAnsi="仿宋" w:eastAsia="仿宋"/>
          <w:b/>
          <w:color w:val="auto"/>
          <w:sz w:val="28"/>
        </w:rPr>
        <w:t>技术规格偏离表（供应商须对第三章所有技术参数条款逐条列明是否响应，如有偏离，须一一列明）。</w:t>
      </w:r>
    </w:p>
    <w:p>
      <w:pPr>
        <w:widowControl/>
        <w:ind w:firstLine="560" w:firstLineChars="200"/>
        <w:jc w:val="left"/>
        <w:rPr>
          <w:rFonts w:hint="eastAsia" w:ascii="仿宋" w:hAnsi="仿宋" w:eastAsia="仿宋" w:cstheme="minorBidi"/>
          <w:b/>
          <w:color w:val="auto"/>
          <w:kern w:val="2"/>
          <w:sz w:val="28"/>
          <w:szCs w:val="22"/>
          <w:lang w:val="en-US" w:eastAsia="zh-CN" w:bidi="ar-SA"/>
        </w:rPr>
      </w:pPr>
      <w:r>
        <w:rPr>
          <w:rFonts w:hint="eastAsia" w:ascii="仿宋" w:hAnsi="仿宋" w:eastAsia="仿宋" w:cstheme="minorBidi"/>
          <w:b/>
          <w:color w:val="auto"/>
          <w:kern w:val="2"/>
          <w:sz w:val="28"/>
          <w:szCs w:val="22"/>
          <w:lang w:val="en-US" w:eastAsia="zh-CN" w:bidi="ar-SA"/>
        </w:rPr>
        <w:t>对于技术规格 中标注“*”号的技术参数，供应商须在响应文件中按照磋商文件技术规格的要求提供技术应答的证明材料，如技术规格中无特殊要求则应提交本条款规定的技术支持资料。对于供应商提供的响应文件技术应答未按本条款要求提供所投产品技术支持资料（或证明材料）的，或提供的投标产品技术支持资料（或证明材料）不完整，则作为负偏离处理。</w:t>
      </w:r>
    </w:p>
    <w:p>
      <w:pPr>
        <w:pStyle w:val="28"/>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8"/>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28"/>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28"/>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w:t>
      </w:r>
      <w:r>
        <w:rPr>
          <w:rFonts w:hint="eastAsia" w:ascii="仿宋" w:hAnsi="仿宋" w:eastAsia="仿宋"/>
          <w:b/>
          <w:color w:val="auto"/>
          <w:sz w:val="28"/>
          <w:lang w:val="en-US" w:eastAsia="zh-CN"/>
        </w:rPr>
        <w:t>1、2、3、4、5、6、7、8、9</w:t>
      </w:r>
      <w:r>
        <w:rPr>
          <w:rFonts w:hint="eastAsia" w:ascii="仿宋" w:hAnsi="仿宋" w:eastAsia="仿宋"/>
          <w:b/>
          <w:color w:val="auto"/>
          <w:sz w:val="28"/>
        </w:rPr>
        <w:t>项、第8.1.2条中第(1)(2)(3)(4)</w:t>
      </w:r>
      <w:r>
        <w:rPr>
          <w:rFonts w:hint="eastAsia" w:ascii="仿宋" w:hAnsi="仿宋" w:eastAsia="仿宋"/>
          <w:b/>
          <w:color w:val="auto"/>
          <w:sz w:val="28"/>
          <w:lang w:eastAsia="zh-CN"/>
        </w:rPr>
        <w:t>（</w:t>
      </w:r>
      <w:r>
        <w:rPr>
          <w:rFonts w:hint="eastAsia" w:ascii="仿宋" w:hAnsi="仿宋" w:eastAsia="仿宋"/>
          <w:b/>
          <w:color w:val="auto"/>
          <w:sz w:val="28"/>
          <w:lang w:val="en-US" w:eastAsia="zh-CN"/>
        </w:rPr>
        <w:t>5</w:t>
      </w:r>
      <w:r>
        <w:rPr>
          <w:rFonts w:hint="eastAsia" w:ascii="仿宋" w:hAnsi="仿宋" w:eastAsia="仿宋"/>
          <w:b/>
          <w:color w:val="auto"/>
          <w:sz w:val="28"/>
          <w:lang w:eastAsia="zh-CN"/>
        </w:rPr>
        <w:t>）</w:t>
      </w:r>
      <w:r>
        <w:rPr>
          <w:rFonts w:hint="eastAsia" w:ascii="仿宋" w:hAnsi="仿宋" w:eastAsia="仿宋"/>
          <w:b/>
          <w:color w:val="auto"/>
          <w:sz w:val="28"/>
        </w:rPr>
        <w:t>(6)项、第8.1.3条中第(2)(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8"/>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8"/>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8"/>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8"/>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8"/>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8"/>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8"/>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15. 投标文件的</w:t>
      </w:r>
      <w:r>
        <w:rPr>
          <w:rFonts w:hint="eastAsia" w:ascii="仿宋" w:hAnsi="仿宋" w:eastAsia="仿宋"/>
          <w:color w:val="auto"/>
          <w:sz w:val="28"/>
          <w:lang w:eastAsia="zh-CN"/>
        </w:rPr>
        <w:t>内容</w:t>
      </w:r>
      <w:r>
        <w:rPr>
          <w:rFonts w:hint="eastAsia" w:ascii="仿宋" w:hAnsi="仿宋" w:eastAsia="仿宋"/>
          <w:color w:val="auto"/>
          <w:sz w:val="28"/>
        </w:rPr>
        <w:t>书写要求、签署</w:t>
      </w:r>
      <w:r>
        <w:rPr>
          <w:rFonts w:hint="eastAsia" w:ascii="仿宋" w:hAnsi="仿宋" w:eastAsia="仿宋"/>
          <w:color w:val="auto"/>
          <w:sz w:val="28"/>
          <w:lang w:eastAsia="zh-CN"/>
        </w:rPr>
        <w:t>、</w:t>
      </w:r>
      <w:r>
        <w:rPr>
          <w:rFonts w:hint="eastAsia" w:ascii="仿宋" w:hAnsi="仿宋" w:eastAsia="仿宋"/>
          <w:color w:val="auto"/>
          <w:sz w:val="28"/>
        </w:rPr>
        <w:t>份数</w:t>
      </w:r>
      <w:r>
        <w:rPr>
          <w:rFonts w:hint="eastAsia" w:ascii="仿宋" w:hAnsi="仿宋" w:eastAsia="仿宋"/>
          <w:color w:val="auto"/>
          <w:sz w:val="28"/>
          <w:lang w:eastAsia="zh-CN"/>
        </w:rPr>
        <w:t>及</w:t>
      </w:r>
      <w:r>
        <w:rPr>
          <w:rFonts w:hint="eastAsia" w:ascii="仿宋" w:hAnsi="仿宋" w:eastAsia="仿宋"/>
          <w:color w:val="auto"/>
          <w:sz w:val="28"/>
        </w:rPr>
        <w:t>装订</w:t>
      </w:r>
      <w:r>
        <w:rPr>
          <w:rFonts w:hint="eastAsia" w:ascii="仿宋" w:hAnsi="仿宋" w:eastAsia="仿宋"/>
          <w:color w:val="auto"/>
          <w:sz w:val="28"/>
          <w:lang w:eastAsia="zh-CN"/>
        </w:rPr>
        <w:t>。</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highlight w:val="yellow"/>
        </w:rPr>
      </w:pPr>
      <w:r>
        <w:rPr>
          <w:rFonts w:hint="eastAsia" w:ascii="仿宋" w:hAnsi="仿宋" w:eastAsia="仿宋"/>
          <w:sz w:val="28"/>
        </w:rPr>
        <w:t>15.2 投标文件的书写应清楚工整，修改处应由供应商授权代表签字或盖章</w:t>
      </w:r>
      <w:r>
        <w:rPr>
          <w:rFonts w:hint="eastAsia" w:ascii="仿宋" w:hAnsi="仿宋" w:eastAsia="仿宋"/>
          <w:sz w:val="28"/>
          <w:highlight w:val="none"/>
        </w:rPr>
        <w:t>。</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15.4 投标文件应由企业法人或法人授权代表在所有规定签章处逐一签署及加盖单位的公章</w:t>
      </w:r>
      <w:r>
        <w:rPr>
          <w:rFonts w:hint="eastAsia" w:ascii="仿宋" w:hAnsi="仿宋" w:eastAsia="仿宋"/>
          <w:b w:val="0"/>
          <w:bCs/>
          <w:color w:val="auto"/>
          <w:sz w:val="28"/>
          <w:highlight w:val="none"/>
          <w:lang w:eastAsia="zh-CN"/>
        </w:rPr>
        <w:t>，投标文件需逐页加盖单位的公章</w:t>
      </w:r>
      <w:r>
        <w:rPr>
          <w:rFonts w:hint="eastAsia" w:ascii="仿宋" w:hAnsi="仿宋" w:eastAsia="仿宋"/>
          <w:b w:val="0"/>
          <w:bCs/>
          <w:color w:val="auto"/>
          <w:sz w:val="28"/>
          <w:highlight w:val="none"/>
        </w:rPr>
        <w:t>。</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highlight w:val="none"/>
        </w:rPr>
        <w:t>15.5 投标文件的份数：详见《投标须知前附表》。供应商应在投标文</w:t>
      </w:r>
      <w:r>
        <w:rPr>
          <w:rFonts w:hint="eastAsia" w:ascii="仿宋" w:hAnsi="仿宋" w:eastAsia="仿宋"/>
          <w:color w:val="auto"/>
          <w:sz w:val="28"/>
        </w:rPr>
        <w:t>件封面左上角注明“正本”、“副本”字样，一旦正本和副本不符，以正本为准，参考资料不限量</w:t>
      </w:r>
      <w:r>
        <w:rPr>
          <w:rFonts w:hint="eastAsia" w:ascii="仿宋" w:hAnsi="仿宋" w:eastAsia="仿宋"/>
          <w:color w:val="auto"/>
          <w:sz w:val="28"/>
          <w:szCs w:val="28"/>
        </w:rPr>
        <w:t>。</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3</w:t>
      </w:r>
      <w:r>
        <w:rPr>
          <w:rFonts w:hint="eastAsia" w:ascii="仿宋" w:hAnsi="仿宋" w:eastAsia="仿宋"/>
          <w:color w:val="auto"/>
          <w:sz w:val="28"/>
        </w:rPr>
        <w:t>份纳入投标书中。</w:t>
      </w:r>
    </w:p>
    <w:p>
      <w:pPr>
        <w:pStyle w:val="28"/>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15.7 投标文件的装订必须采用胶粘本</w:t>
      </w:r>
      <w:r>
        <w:rPr>
          <w:rFonts w:hint="eastAsia" w:ascii="仿宋" w:hAnsi="仿宋" w:eastAsia="仿宋"/>
          <w:b w:val="0"/>
          <w:bCs/>
          <w:color w:val="auto"/>
          <w:sz w:val="28"/>
          <w:highlight w:val="none"/>
          <w:lang w:val="en-US"/>
        </w:rPr>
        <w:t>并编</w:t>
      </w:r>
      <w:r>
        <w:rPr>
          <w:rFonts w:hint="eastAsia" w:ascii="仿宋" w:hAnsi="仿宋" w:eastAsia="仿宋"/>
          <w:b w:val="0"/>
          <w:bCs/>
          <w:color w:val="auto"/>
          <w:sz w:val="28"/>
          <w:highlight w:val="none"/>
          <w:lang w:val="en-US" w:eastAsia="zh-CN"/>
        </w:rPr>
        <w:t>页</w:t>
      </w:r>
      <w:r>
        <w:rPr>
          <w:rFonts w:hint="eastAsia" w:ascii="仿宋" w:hAnsi="仿宋" w:eastAsia="仿宋"/>
          <w:b w:val="0"/>
          <w:bCs/>
          <w:color w:val="auto"/>
          <w:sz w:val="28"/>
          <w:highlight w:val="none"/>
          <w:lang w:val="en-US"/>
        </w:rPr>
        <w:t>码</w:t>
      </w:r>
      <w:r>
        <w:rPr>
          <w:rFonts w:hint="eastAsia" w:ascii="仿宋" w:hAnsi="仿宋" w:eastAsia="仿宋"/>
          <w:b w:val="0"/>
          <w:bCs/>
          <w:color w:val="auto"/>
          <w:sz w:val="28"/>
          <w:highlight w:val="none"/>
        </w:rPr>
        <w:t>，不允许任何活页形式装订（非胶粘方式装订的投标书一律视同活页装订），活页方式装订视为投标无效。</w:t>
      </w:r>
    </w:p>
    <w:p>
      <w:pPr>
        <w:pStyle w:val="28"/>
        <w:spacing w:line="540" w:lineRule="exact"/>
        <w:ind w:firstLine="560" w:firstLineChars="200"/>
        <w:jc w:val="both"/>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15.8 如果虚假应标将会导致废标，并将虚假应标投标公司及生产厂家上报政府采购部门并列入黑名单。</w:t>
      </w:r>
    </w:p>
    <w:p>
      <w:pPr>
        <w:pStyle w:val="40"/>
        <w:numPr>
          <w:ilvl w:val="0"/>
          <w:numId w:val="0"/>
        </w:numPr>
        <w:tabs>
          <w:tab w:val="left" w:pos="1515"/>
        </w:tabs>
        <w:spacing w:line="360" w:lineRule="auto"/>
        <w:ind w:leftChars="200" w:right="567" w:rightChars="0"/>
        <w:jc w:val="both"/>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val="en-US" w:eastAsia="zh-CN"/>
        </w:rPr>
        <w:t xml:space="preserve">15.9  </w:t>
      </w:r>
      <w:r>
        <w:rPr>
          <w:rFonts w:hint="eastAsia" w:ascii="仿宋" w:hAnsi="仿宋" w:eastAsia="仿宋" w:cstheme="minorBidi"/>
          <w:b w:val="0"/>
          <w:bCs/>
          <w:color w:val="auto"/>
          <w:kern w:val="2"/>
          <w:sz w:val="28"/>
          <w:szCs w:val="22"/>
          <w:highlight w:val="none"/>
          <w:lang w:val="en-US" w:eastAsia="zh-CN" w:bidi="ar-SA"/>
        </w:rPr>
        <w:t>投标人应完整地编写投标文件，投标文件应包括“开标一览表及电子投标文件”和“正、副本投标文件”的投标文件。以上文件分别密封递交、否则按废标处理。投标人应承担封装失误产生的任何后果。</w:t>
      </w:r>
    </w:p>
    <w:p>
      <w:pPr>
        <w:pStyle w:val="28"/>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7"/>
        <w:spacing w:line="540" w:lineRule="exact"/>
        <w:ind w:firstLine="562"/>
        <w:rPr>
          <w:rFonts w:ascii="仿宋" w:hAnsi="仿宋" w:eastAsia="仿宋"/>
          <w:b/>
          <w:bCs/>
        </w:rPr>
      </w:pPr>
      <w:r>
        <w:rPr>
          <w:rFonts w:hint="eastAsia" w:ascii="仿宋" w:hAnsi="仿宋" w:eastAsia="仿宋"/>
          <w:b/>
          <w:bCs/>
        </w:rPr>
        <w:t>16.1投标保证金金额：</w:t>
      </w:r>
    </w:p>
    <w:p>
      <w:pPr>
        <w:pStyle w:val="27"/>
        <w:spacing w:line="540" w:lineRule="exact"/>
        <w:ind w:firstLine="1400" w:firstLineChars="500"/>
        <w:rPr>
          <w:rFonts w:ascii="仿宋" w:hAnsi="仿宋" w:eastAsia="仿宋"/>
          <w:b/>
          <w:bCs/>
        </w:rPr>
      </w:pPr>
      <w:r>
        <w:rPr>
          <w:rFonts w:hint="eastAsia" w:ascii="仿宋" w:hAnsi="仿宋" w:eastAsia="仿宋"/>
          <w:b/>
          <w:bCs/>
          <w:lang w:val="en-US" w:eastAsia="zh-CN"/>
        </w:rPr>
        <w:t>45</w:t>
      </w:r>
      <w:r>
        <w:rPr>
          <w:rFonts w:hint="eastAsia" w:ascii="仿宋" w:hAnsi="仿宋" w:eastAsia="仿宋"/>
          <w:b/>
          <w:bCs/>
        </w:rPr>
        <w:t>000.00（大写：</w:t>
      </w:r>
      <w:r>
        <w:rPr>
          <w:rFonts w:hint="eastAsia" w:ascii="仿宋" w:hAnsi="仿宋" w:eastAsia="仿宋"/>
          <w:b/>
          <w:bCs/>
          <w:lang w:val="en-US" w:eastAsia="zh-CN"/>
        </w:rPr>
        <w:t>肆万伍仟</w:t>
      </w:r>
      <w:r>
        <w:rPr>
          <w:rFonts w:hint="eastAsia" w:ascii="仿宋" w:hAnsi="仿宋" w:eastAsia="仿宋"/>
          <w:b/>
          <w:bCs/>
        </w:rPr>
        <w:t>元整）</w:t>
      </w:r>
    </w:p>
    <w:p>
      <w:pPr>
        <w:pStyle w:val="27"/>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7"/>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8"/>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28"/>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7"/>
        <w:spacing w:line="540" w:lineRule="exact"/>
        <w:ind w:firstLine="560"/>
        <w:rPr>
          <w:rFonts w:ascii="仿宋" w:hAnsi="仿宋" w:eastAsia="仿宋"/>
        </w:rPr>
      </w:pPr>
      <w:r>
        <w:rPr>
          <w:rFonts w:hint="eastAsia" w:ascii="仿宋" w:hAnsi="仿宋" w:eastAsia="仿宋"/>
        </w:rPr>
        <w:t>a. 按29条规定签定合同；</w:t>
      </w:r>
    </w:p>
    <w:p>
      <w:pPr>
        <w:pStyle w:val="27"/>
        <w:spacing w:line="540" w:lineRule="exact"/>
        <w:ind w:firstLine="560"/>
        <w:rPr>
          <w:rFonts w:ascii="仿宋" w:hAnsi="仿宋" w:eastAsia="仿宋"/>
        </w:rPr>
      </w:pPr>
      <w:r>
        <w:rPr>
          <w:rFonts w:hint="eastAsia" w:ascii="仿宋" w:hAnsi="仿宋" w:eastAsia="仿宋"/>
        </w:rPr>
        <w:t>b. 第32条有关缴纳中标服务费的规定；</w:t>
      </w:r>
    </w:p>
    <w:p>
      <w:pPr>
        <w:pStyle w:val="27"/>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供应商应将填好的开标一览表及电子版投标文件单独密封一份在信袋内，在密封处加盖公章，在信袋上注明“开标一览表”和“电子版投标文件”字样，作为投标文件的一部分。</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28"/>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8"/>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8"/>
        <w:snapToGrid w:val="0"/>
        <w:spacing w:line="540" w:lineRule="exact"/>
        <w:ind w:firstLine="560" w:firstLineChars="200"/>
        <w:rPr>
          <w:rFonts w:hint="eastAsia" w:ascii="仿宋" w:hAnsi="仿宋" w:eastAsia="仿宋"/>
          <w:color w:val="auto"/>
          <w:sz w:val="28"/>
          <w:highlight w:val="none"/>
          <w:lang w:eastAsia="zh-CN"/>
        </w:rPr>
      </w:pPr>
      <w:r>
        <w:rPr>
          <w:rFonts w:hint="eastAsia" w:ascii="仿宋" w:hAnsi="仿宋" w:eastAsia="仿宋"/>
          <w:color w:val="auto"/>
          <w:sz w:val="28"/>
          <w:highlight w:val="none"/>
        </w:rPr>
        <w:t>⑸注明“开标前不准启封”，“正本”，“副本”，“开标一览表”，“电子版投标文件”。投标书密封口处必须加盖</w:t>
      </w:r>
      <w:r>
        <w:rPr>
          <w:rFonts w:hint="eastAsia" w:ascii="仿宋" w:hAnsi="仿宋" w:eastAsia="仿宋"/>
          <w:color w:val="auto"/>
          <w:sz w:val="28"/>
          <w:highlight w:val="none"/>
          <w:lang w:val="en-US" w:eastAsia="zh-CN"/>
        </w:rPr>
        <w:t>公</w:t>
      </w:r>
      <w:r>
        <w:rPr>
          <w:rFonts w:hint="eastAsia" w:ascii="仿宋" w:hAnsi="仿宋" w:eastAsia="仿宋"/>
          <w:color w:val="auto"/>
          <w:sz w:val="28"/>
          <w:highlight w:val="none"/>
        </w:rPr>
        <w:t>章、正本、副本投标文件、开标一览表、电子投标文件分别单独密封，否则将被拒绝接受</w:t>
      </w:r>
      <w:r>
        <w:rPr>
          <w:rFonts w:hint="eastAsia" w:ascii="仿宋" w:hAnsi="仿宋" w:eastAsia="仿宋"/>
          <w:color w:val="auto"/>
          <w:sz w:val="28"/>
          <w:highlight w:val="none"/>
          <w:lang w:eastAsia="zh-CN"/>
        </w:rPr>
        <w:t>。</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8"/>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0"/>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0"/>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8"/>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8"/>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8"/>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8"/>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hint="eastAsia" w:ascii="仿宋" w:hAnsi="仿宋" w:eastAsia="仿宋"/>
          <w:b/>
          <w:color w:val="auto"/>
          <w:sz w:val="28"/>
          <w:lang w:val="en-US" w:eastAsia="zh-CN"/>
        </w:rPr>
        <w:t>8</w:t>
      </w:r>
      <w:r>
        <w:rPr>
          <w:rFonts w:hint="eastAsia" w:ascii="仿宋" w:hAnsi="仿宋" w:eastAsia="仿宋"/>
          <w:b/>
          <w:color w:val="auto"/>
          <w:sz w:val="28"/>
        </w:rPr>
        <w:t>项规定的内容对各供应商的投标文件进行资格审查。资格审查不合格的，其投标无效。</w:t>
      </w:r>
    </w:p>
    <w:p>
      <w:pPr>
        <w:pStyle w:val="28"/>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28"/>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28"/>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8"/>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投标文件没有按照规定在所有规定签章处逐一签署及加盖单位公章的；</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7"/>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1"/>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1"/>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1"/>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w:t>
      </w:r>
      <w:r>
        <w:rPr>
          <w:rFonts w:hint="eastAsia" w:ascii="仿宋" w:hAnsi="仿宋" w:eastAsia="仿宋"/>
          <w:sz w:val="28"/>
          <w:lang w:val="en-US" w:eastAsia="zh-CN"/>
        </w:rPr>
        <w:t>0</w:t>
      </w:r>
      <w:r>
        <w:rPr>
          <w:rFonts w:hint="eastAsia" w:ascii="仿宋" w:hAnsi="仿宋" w:eastAsia="仿宋"/>
          <w:sz w:val="28"/>
        </w:rPr>
        <w:t>%，其中价格满分为30分，商务条件满分为</w:t>
      </w:r>
      <w:r>
        <w:rPr>
          <w:rFonts w:hint="eastAsia" w:ascii="仿宋" w:hAnsi="仿宋" w:eastAsia="仿宋"/>
          <w:sz w:val="28"/>
          <w:lang w:val="en-US" w:eastAsia="zh-CN"/>
        </w:rPr>
        <w:t>10</w:t>
      </w:r>
      <w:r>
        <w:rPr>
          <w:rFonts w:hint="eastAsia" w:ascii="仿宋" w:hAnsi="仿宋" w:eastAsia="仿宋"/>
          <w:sz w:val="28"/>
        </w:rPr>
        <w:t>分；技术部分权重占</w:t>
      </w:r>
      <w:r>
        <w:rPr>
          <w:rFonts w:hint="eastAsia" w:ascii="仿宋" w:hAnsi="仿宋" w:eastAsia="仿宋"/>
          <w:sz w:val="28"/>
          <w:lang w:val="en-US" w:eastAsia="zh-CN"/>
        </w:rPr>
        <w:t>60</w:t>
      </w:r>
      <w:r>
        <w:rPr>
          <w:rFonts w:hint="eastAsia" w:ascii="仿宋" w:hAnsi="仿宋" w:eastAsia="仿宋"/>
          <w:sz w:val="28"/>
        </w:rPr>
        <w:t>%，满分为</w:t>
      </w:r>
      <w:r>
        <w:rPr>
          <w:rFonts w:hint="eastAsia" w:ascii="仿宋" w:hAnsi="仿宋" w:eastAsia="仿宋"/>
          <w:sz w:val="28"/>
          <w:lang w:val="en-US" w:eastAsia="zh-CN"/>
        </w:rPr>
        <w:t>60</w:t>
      </w:r>
      <w:r>
        <w:rPr>
          <w:rFonts w:hint="eastAsia" w:ascii="仿宋" w:hAnsi="仿宋" w:eastAsia="仿宋"/>
          <w:sz w:val="28"/>
        </w:rPr>
        <w:t>分。供应商两部分的分值相加，即为该供应商的综合评估分。</w:t>
      </w:r>
    </w:p>
    <w:p>
      <w:pPr>
        <w:rPr>
          <w:rFonts w:ascii="仿宋" w:hAnsi="仿宋" w:eastAsia="仿宋"/>
          <w:b/>
          <w:bCs/>
          <w:sz w:val="28"/>
        </w:rPr>
      </w:pPr>
      <w:r>
        <w:rPr>
          <w:rFonts w:hint="eastAsia" w:ascii="仿宋" w:hAnsi="仿宋" w:eastAsia="仿宋"/>
          <w:b/>
          <w:bCs/>
          <w:sz w:val="28"/>
        </w:rPr>
        <w:t>具体分值见下表：</w:t>
      </w:r>
    </w:p>
    <w:p>
      <w:pPr>
        <w:pStyle w:val="31"/>
        <w:numPr>
          <w:ilvl w:val="0"/>
          <w:numId w:val="4"/>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lang w:val="en-US" w:eastAsia="zh-CN"/>
        </w:rPr>
        <w:t>40</w:t>
      </w:r>
      <w:r>
        <w:rPr>
          <w:rFonts w:hint="eastAsia" w:ascii="仿宋" w:hAnsi="仿宋" w:eastAsia="仿宋"/>
          <w:b w:val="0"/>
          <w:sz w:val="24"/>
          <w:szCs w:val="24"/>
        </w:rPr>
        <w:t>分</w:t>
      </w:r>
      <w:r>
        <w:rPr>
          <w:rFonts w:hint="eastAsia" w:ascii="仿宋" w:hAnsi="仿宋" w:eastAsia="仿宋"/>
          <w:b w:val="0"/>
          <w:sz w:val="28"/>
        </w:rPr>
        <w:t>）</w:t>
      </w:r>
    </w:p>
    <w:tbl>
      <w:tblPr>
        <w:tblStyle w:val="20"/>
        <w:tblW w:w="10100"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1090"/>
        <w:gridCol w:w="1787"/>
        <w:gridCol w:w="5743"/>
        <w:gridCol w:w="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090" w:type="dxa"/>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评审项目</w:t>
            </w:r>
          </w:p>
        </w:tc>
        <w:tc>
          <w:tcPr>
            <w:tcW w:w="1787" w:type="dxa"/>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c>
          <w:tcPr>
            <w:tcW w:w="6178" w:type="dxa"/>
            <w:gridSpan w:val="2"/>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90" w:type="dxa"/>
            <w:tcBorders>
              <w:top w:val="single" w:color="000000" w:sz="4" w:space="0"/>
              <w:left w:val="nil"/>
              <w:bottom w:val="single" w:color="000000" w:sz="4" w:space="0"/>
              <w:right w:val="single" w:color="000000" w:sz="4" w:space="0"/>
            </w:tcBorders>
            <w:noWrap w:val="0"/>
            <w:vAlign w:val="center"/>
          </w:tcPr>
          <w:p>
            <w:pPr>
              <w:pStyle w:val="32"/>
              <w:spacing w:line="360" w:lineRule="exact"/>
              <w:rPr>
                <w:rFonts w:hint="eastAsia" w:ascii="仿宋" w:hAnsi="仿宋" w:eastAsia="仿宋" w:cs="Times New Roman"/>
                <w:bCs/>
                <w:color w:val="auto"/>
                <w:kern w:val="0"/>
                <w:sz w:val="24"/>
                <w:szCs w:val="24"/>
                <w:lang w:val="en-US" w:eastAsia="zh-CN" w:bidi="ar-SA"/>
              </w:rPr>
            </w:pPr>
            <w:r>
              <w:rPr>
                <w:rFonts w:hint="eastAsia" w:ascii="仿宋" w:hAnsi="仿宋" w:eastAsia="仿宋" w:cs="Times New Roman"/>
                <w:bCs/>
                <w:color w:val="auto"/>
                <w:kern w:val="0"/>
                <w:sz w:val="24"/>
                <w:szCs w:val="24"/>
                <w:lang w:val="en-US" w:eastAsia="zh-CN" w:bidi="ar-SA"/>
              </w:rPr>
              <w:t>报价得分</w:t>
            </w:r>
          </w:p>
        </w:tc>
        <w:tc>
          <w:tcPr>
            <w:tcW w:w="1787" w:type="dxa"/>
            <w:tcBorders>
              <w:top w:val="single" w:color="000000" w:sz="4" w:space="0"/>
              <w:left w:val="nil"/>
              <w:bottom w:val="single" w:color="000000" w:sz="4" w:space="0"/>
              <w:right w:val="single" w:color="000000" w:sz="4" w:space="0"/>
            </w:tcBorders>
            <w:noWrap w:val="0"/>
            <w:vAlign w:val="center"/>
          </w:tcPr>
          <w:p>
            <w:pPr>
              <w:pStyle w:val="32"/>
              <w:spacing w:line="360" w:lineRule="exact"/>
              <w:rPr>
                <w:rFonts w:hint="eastAsia" w:ascii="仿宋" w:hAnsi="仿宋" w:eastAsia="仿宋" w:cs="Times New Roman"/>
                <w:bCs/>
                <w:color w:val="auto"/>
                <w:kern w:val="0"/>
                <w:sz w:val="24"/>
                <w:szCs w:val="24"/>
                <w:lang w:val="en-US" w:eastAsia="zh-CN" w:bidi="ar-SA"/>
              </w:rPr>
            </w:pPr>
            <w:r>
              <w:rPr>
                <w:rFonts w:hint="eastAsia" w:ascii="仿宋" w:hAnsi="仿宋" w:eastAsia="仿宋"/>
                <w:bCs/>
                <w:color w:val="auto"/>
                <w:sz w:val="24"/>
                <w:szCs w:val="24"/>
              </w:rPr>
              <w:t>价格</w:t>
            </w:r>
            <w:r>
              <w:rPr>
                <w:rFonts w:hint="eastAsia" w:ascii="仿宋" w:hAnsi="仿宋" w:eastAsia="仿宋"/>
                <w:bCs/>
                <w:color w:val="auto"/>
                <w:sz w:val="24"/>
                <w:szCs w:val="24"/>
                <w:lang w:val="en-US" w:eastAsia="zh-CN"/>
              </w:rPr>
              <w:t>(</w:t>
            </w:r>
            <w:r>
              <w:rPr>
                <w:rFonts w:hint="eastAsia" w:ascii="仿宋" w:hAnsi="仿宋" w:eastAsia="仿宋"/>
                <w:bCs/>
                <w:color w:val="auto"/>
                <w:sz w:val="24"/>
                <w:szCs w:val="24"/>
              </w:rPr>
              <w:t>30分</w:t>
            </w:r>
            <w:r>
              <w:rPr>
                <w:rFonts w:hint="eastAsia" w:ascii="仿宋" w:hAnsi="仿宋" w:eastAsia="仿宋"/>
                <w:bCs/>
                <w:color w:val="auto"/>
                <w:sz w:val="24"/>
                <w:szCs w:val="24"/>
                <w:lang w:val="en-US" w:eastAsia="zh-CN"/>
              </w:rPr>
              <w:t>)</w:t>
            </w:r>
          </w:p>
        </w:tc>
        <w:tc>
          <w:tcPr>
            <w:tcW w:w="5743"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投标报价得分=(评标基准价／投标报价)×30%×100</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标书量质</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标书质量（4 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根据投标文件目录、页码指向准确，内容无涂改、错页、漏页现象，装订规范，双面打印等情况进行综合评定，优秀的得 4 分，较好的得 2 分，一般的得 1 分；</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相关项目业绩</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相关项目业绩</w:t>
            </w: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根据投标人近三年类似项目业绩情况进行评定： 经营业绩根据投标文件所提供的投标截止日前三年内类似经营业绩进行比较：（附合同和中标通知书复印件，每一份合同及中标通知书加 1 分，直至满 3 分。</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其它有利 投标资料</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其它有利投标资料(</w:t>
            </w:r>
            <w:r>
              <w:rPr>
                <w:rFonts w:hint="default"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其它有利投标资料 </w:t>
            </w:r>
            <w:r>
              <w:rPr>
                <w:rFonts w:hint="eastAsia" w:ascii="仿宋" w:hAnsi="仿宋" w:eastAsia="仿宋" w:cs="仿宋"/>
                <w:color w:val="000000"/>
                <w:sz w:val="24"/>
                <w:szCs w:val="24"/>
                <w:lang w:val="en-US" w:eastAsia="zh-CN"/>
              </w:rPr>
              <w:t>1-</w:t>
            </w:r>
            <w:r>
              <w:rPr>
                <w:rFonts w:hint="default"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分。</w:t>
            </w:r>
          </w:p>
        </w:tc>
        <w:tc>
          <w:tcPr>
            <w:tcW w:w="435" w:type="dxa"/>
            <w:noWrap w:val="0"/>
            <w:vAlign w:val="center"/>
          </w:tcPr>
          <w:p>
            <w:pPr>
              <w:widowControl/>
              <w:jc w:val="left"/>
              <w:rPr>
                <w:rFonts w:hint="eastAsia" w:ascii="仿宋" w:hAnsi="仿宋" w:eastAsia="仿宋" w:cs="仿宋"/>
                <w:kern w:val="0"/>
                <w:sz w:val="20"/>
                <w:szCs w:val="20"/>
              </w:rPr>
            </w:pPr>
          </w:p>
        </w:tc>
      </w:tr>
    </w:tbl>
    <w:p>
      <w:pPr>
        <w:pStyle w:val="31"/>
        <w:numPr>
          <w:ilvl w:val="0"/>
          <w:numId w:val="4"/>
        </w:numPr>
        <w:spacing w:beforeLines="50" w:afterLines="50" w:line="460" w:lineRule="exact"/>
        <w:ind w:left="0" w:leftChars="0" w:firstLine="560" w:firstLineChars="0"/>
        <w:jc w:val="left"/>
        <w:rPr>
          <w:rFonts w:hint="eastAsia" w:ascii="仿宋" w:hAnsi="仿宋" w:eastAsia="仿宋"/>
          <w:b w:val="0"/>
          <w:kern w:val="0"/>
          <w:sz w:val="28"/>
        </w:rPr>
      </w:pPr>
      <w:r>
        <w:rPr>
          <w:rFonts w:hint="eastAsia" w:ascii="仿宋" w:hAnsi="仿宋" w:eastAsia="仿宋"/>
          <w:b w:val="0"/>
          <w:kern w:val="0"/>
          <w:sz w:val="28"/>
        </w:rPr>
        <w:t>技术部分（</w:t>
      </w:r>
      <w:r>
        <w:rPr>
          <w:rFonts w:hint="eastAsia" w:ascii="仿宋" w:hAnsi="仿宋" w:eastAsia="仿宋"/>
          <w:b w:val="0"/>
          <w:kern w:val="0"/>
          <w:sz w:val="24"/>
          <w:szCs w:val="24"/>
          <w:lang w:val="en-US" w:eastAsia="zh-CN"/>
        </w:rPr>
        <w:t>60</w:t>
      </w:r>
      <w:r>
        <w:rPr>
          <w:rFonts w:hint="eastAsia" w:ascii="仿宋" w:hAnsi="仿宋" w:eastAsia="仿宋"/>
          <w:b w:val="0"/>
          <w:kern w:val="0"/>
          <w:sz w:val="24"/>
          <w:szCs w:val="24"/>
        </w:rPr>
        <w:t>分</w:t>
      </w:r>
      <w:r>
        <w:rPr>
          <w:rFonts w:hint="eastAsia" w:ascii="仿宋" w:hAnsi="仿宋" w:eastAsia="仿宋"/>
          <w:b w:val="0"/>
          <w:kern w:val="0"/>
          <w:sz w:val="28"/>
        </w:rPr>
        <w:t>）</w:t>
      </w:r>
    </w:p>
    <w:tbl>
      <w:tblPr>
        <w:tblStyle w:val="20"/>
        <w:tblW w:w="9458" w:type="dxa"/>
        <w:tblInd w:w="-19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409"/>
        <w:gridCol w:w="1501"/>
        <w:gridCol w:w="5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04" w:type="dxa"/>
            <w:tcBorders>
              <w:top w:val="single" w:color="000000" w:sz="6" w:space="0"/>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09"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评审项目</w:t>
            </w: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04" w:type="dxa"/>
            <w:vMerge w:val="restart"/>
            <w:tcBorders>
              <w:top w:val="nil"/>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09" w:type="dxa"/>
            <w:vMerge w:val="restart"/>
            <w:tcBorders>
              <w:top w:val="nil"/>
              <w:left w:val="nil"/>
              <w:bottom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根据所投产品（设备符合性）</w:t>
            </w:r>
          </w:p>
        </w:tc>
        <w:tc>
          <w:tcPr>
            <w:tcW w:w="1501" w:type="dxa"/>
            <w:vMerge w:val="restart"/>
            <w:tcBorders>
              <w:top w:val="nil"/>
              <w:left w:val="nil"/>
              <w:bottom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设备符合性</w:t>
            </w: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投标方在应标过程中应充分替用户考虑，在产品选型过程保证提供的设备满足用户对设备档次的基本需求的根据提供产品的档次情况进行综合对比打分（1-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8" w:hRule="atLeast"/>
        </w:trPr>
        <w:tc>
          <w:tcPr>
            <w:tcW w:w="80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hint="eastAsia" w:ascii="仿宋" w:hAnsi="仿宋" w:eastAsia="仿宋" w:cs="仿宋"/>
                <w:color w:val="000000"/>
                <w:sz w:val="24"/>
                <w:szCs w:val="24"/>
              </w:rPr>
            </w:pPr>
          </w:p>
        </w:tc>
        <w:tc>
          <w:tcPr>
            <w:tcW w:w="1409"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1501"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5744" w:type="dxa"/>
            <w:tcBorders>
              <w:top w:val="single" w:color="000000" w:sz="6" w:space="0"/>
              <w:left w:val="nil"/>
              <w:bottom w:val="single" w:color="000000" w:sz="4"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投标方所投产品具有一定的品牌知名度和市场认可情况（1-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hint="eastAsia" w:ascii="仿宋" w:hAnsi="仿宋" w:eastAsia="仿宋" w:cs="仿宋"/>
                <w:color w:val="000000"/>
                <w:sz w:val="24"/>
                <w:szCs w:val="24"/>
              </w:rPr>
            </w:pPr>
          </w:p>
        </w:tc>
        <w:tc>
          <w:tcPr>
            <w:tcW w:w="1409"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1501"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投标方所投主要产品能够与用户现有设备以及整个系统进行兼容得（1-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 w:hRule="atLeast"/>
        </w:trPr>
        <w:tc>
          <w:tcPr>
            <w:tcW w:w="804" w:type="dxa"/>
            <w:tcBorders>
              <w:top w:val="single" w:color="000000" w:sz="6" w:space="0"/>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09" w:type="dxa"/>
            <w:tcBorders>
              <w:top w:val="single" w:color="000000" w:sz="6" w:space="0"/>
              <w:left w:val="nil"/>
              <w:bottom w:val="single" w:color="auto" w:sz="4"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配套产品配置及性能指标</w:t>
            </w: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配置及性能指标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w:t>
            </w:r>
            <w:r>
              <w:rPr>
                <w:rFonts w:hint="eastAsia" w:ascii="仿宋" w:hAnsi="仿宋" w:eastAsia="仿宋" w:cs="仿宋"/>
                <w:color w:val="000000"/>
                <w:sz w:val="24"/>
                <w:szCs w:val="24"/>
                <w:highlight w:val="none"/>
                <w:lang w:eastAsia="zh-CN"/>
              </w:rPr>
              <w:t>）</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根据所投产品的配置与性能指标的响应程度打分，所投产品所有技术参数全部满足的招标文件要求的得基本分 </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分，每有一项重要★技术指标低于招标文件要求的扣 5分，每有一项技术指标低于要求的扣</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分，此项最高得 </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分，最低得 0 分。以投标人提供响应招标文件的相关机构出具的关于本次招标主要产品的检测报告中的检测结果数据为依据进行评分。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804" w:type="dxa"/>
            <w:tcBorders>
              <w:top w:val="nil"/>
              <w:left w:val="single" w:color="000000" w:sz="6"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p>
            <w:pPr>
              <w:spacing w:before="80" w:line="360" w:lineRule="exact"/>
              <w:jc w:val="center"/>
              <w:rPr>
                <w:rFonts w:hint="eastAsia" w:ascii="仿宋" w:hAnsi="仿宋" w:eastAsia="仿宋" w:cs="仿宋"/>
                <w:color w:val="000000"/>
                <w:sz w:val="24"/>
                <w:szCs w:val="24"/>
              </w:rPr>
            </w:pPr>
          </w:p>
        </w:tc>
        <w:tc>
          <w:tcPr>
            <w:tcW w:w="1409" w:type="dxa"/>
            <w:tcBorders>
              <w:top w:val="nil"/>
              <w:left w:val="nil"/>
              <w:bottom w:val="single" w:color="000000" w:sz="6"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产品来源</w:t>
            </w:r>
          </w:p>
          <w:p>
            <w:pPr>
              <w:spacing w:before="80" w:line="360" w:lineRule="exact"/>
              <w:jc w:val="center"/>
              <w:rPr>
                <w:rFonts w:hint="eastAsia" w:ascii="仿宋" w:hAnsi="仿宋" w:eastAsia="仿宋" w:cs="仿宋"/>
                <w:color w:val="000000"/>
                <w:sz w:val="24"/>
                <w:szCs w:val="24"/>
              </w:rPr>
            </w:pP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产品来源情况（</w:t>
            </w:r>
            <w:r>
              <w:rPr>
                <w:rFonts w:hint="default"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投标人为代理商的投标文件中提供了产品来源说明的得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投标文件中未提供的不得分；</w:t>
            </w:r>
          </w:p>
          <w:p>
            <w:pPr>
              <w:spacing w:before="80" w:line="360" w:lineRule="exact"/>
              <w:jc w:val="left"/>
              <w:rPr>
                <w:rFonts w:hint="eastAsia"/>
              </w:rPr>
            </w:pPr>
            <w:r>
              <w:rPr>
                <w:rFonts w:hint="eastAsia" w:ascii="仿宋" w:hAnsi="仿宋" w:eastAsia="仿宋" w:cs="仿宋"/>
                <w:color w:val="000000"/>
                <w:sz w:val="24"/>
                <w:szCs w:val="24"/>
              </w:rPr>
              <w:t>投标人为制造商的，投标文件中提供生产企业声明函（格式拟）得 1 分，投标文件中未提供的不得分。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restart"/>
            <w:tcBorders>
              <w:top w:val="single" w:color="auto" w:sz="4" w:space="0"/>
              <w:left w:val="single" w:color="000000" w:sz="6" w:space="0"/>
              <w:right w:val="single" w:color="auto" w:sz="4" w:space="0"/>
            </w:tcBorders>
            <w:noWrap w:val="0"/>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09" w:type="dxa"/>
            <w:vMerge w:val="restart"/>
            <w:tcBorders>
              <w:top w:val="single" w:color="auto" w:sz="4" w:space="0"/>
              <w:left w:val="nil"/>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质保承诺、售后服务体系及服务情况</w:t>
            </w:r>
          </w:p>
        </w:tc>
        <w:tc>
          <w:tcPr>
            <w:tcW w:w="1501" w:type="dxa"/>
            <w:tcBorders>
              <w:top w:val="nil"/>
              <w:left w:val="nil"/>
              <w:bottom w:val="single" w:color="000000" w:sz="6" w:space="0"/>
              <w:right w:val="single" w:color="auto" w:sz="4" w:space="0"/>
            </w:tcBorders>
            <w:noWrap w:val="0"/>
            <w:vAlign w:val="top"/>
          </w:tcPr>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质保年限（2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满足招标文件质保年限的得基本分 0 分，每增加一年加 1 分，此项最高不超过 2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continue"/>
            <w:tcBorders>
              <w:left w:val="single" w:color="000000" w:sz="6" w:space="0"/>
              <w:right w:val="single" w:color="auto" w:sz="4" w:space="0"/>
            </w:tcBorders>
            <w:noWrap w:val="0"/>
            <w:vAlign w:val="center"/>
          </w:tcPr>
          <w:p>
            <w:pPr>
              <w:widowControl/>
              <w:jc w:val="center"/>
              <w:rPr>
                <w:rFonts w:hint="eastAsia" w:ascii="仿宋" w:hAnsi="仿宋" w:eastAsia="仿宋" w:cs="仿宋"/>
                <w:color w:val="000000"/>
                <w:sz w:val="24"/>
                <w:szCs w:val="24"/>
              </w:rPr>
            </w:pPr>
          </w:p>
        </w:tc>
        <w:tc>
          <w:tcPr>
            <w:tcW w:w="1409" w:type="dxa"/>
            <w:vMerge w:val="continue"/>
            <w:tcBorders>
              <w:left w:val="nil"/>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tc>
        <w:tc>
          <w:tcPr>
            <w:tcW w:w="1501" w:type="dxa"/>
            <w:tcBorders>
              <w:top w:val="nil"/>
              <w:left w:val="nil"/>
              <w:bottom w:val="single" w:color="000000" w:sz="6" w:space="0"/>
              <w:right w:val="single" w:color="auto" w:sz="4" w:space="0"/>
            </w:tcBorders>
            <w:noWrap w:val="0"/>
            <w:vAlign w:val="top"/>
          </w:tcPr>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售后服务响应时间（</w:t>
            </w:r>
            <w:r>
              <w:rPr>
                <w:rFonts w:hint="default"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投标人明确列有售后服务响应时间的得 </w:t>
            </w:r>
            <w:r>
              <w:rPr>
                <w:rFonts w:hint="eastAsia" w:ascii="仿宋" w:hAnsi="仿宋" w:eastAsia="仿宋" w:cs="仿宋"/>
                <w:color w:val="000000"/>
                <w:sz w:val="24"/>
                <w:szCs w:val="24"/>
                <w:lang w:val="en-US" w:eastAsia="zh-CN"/>
              </w:rPr>
              <w:t>1-</w:t>
            </w:r>
            <w:r>
              <w:rPr>
                <w:rFonts w:hint="default"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分，优于其他投标人的得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 xml:space="preserve"> 2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804" w:type="dxa"/>
            <w:vMerge w:val="continue"/>
            <w:tcBorders>
              <w:left w:val="single" w:color="000000" w:sz="6"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 w:val="24"/>
                <w:szCs w:val="24"/>
              </w:rPr>
            </w:pPr>
          </w:p>
        </w:tc>
        <w:tc>
          <w:tcPr>
            <w:tcW w:w="1409" w:type="dxa"/>
            <w:vMerge w:val="continue"/>
            <w:tcBorders>
              <w:left w:val="nil"/>
              <w:bottom w:val="single" w:color="auto" w:sz="4"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tc>
        <w:tc>
          <w:tcPr>
            <w:tcW w:w="1501" w:type="dxa"/>
            <w:tcBorders>
              <w:top w:val="nil"/>
              <w:left w:val="nil"/>
              <w:bottom w:val="single" w:color="auto" w:sz="4"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售后服务体系（</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投标文件中有明确售后服务体系，在疆内设有技术服务机构并提供相关证明材料的得 2 分，在国内设有技术运营服务机构并提供相关证明材料的得 1 分。（需提供房产租赁合同或房产证等证明材料，无此项得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04" w:type="dxa"/>
            <w:tcBorders>
              <w:top w:val="single" w:color="auto" w:sz="4" w:space="0"/>
              <w:left w:val="single" w:color="000000" w:sz="6"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409"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Times New Roman"/>
                <w:bCs/>
                <w:color w:val="auto"/>
                <w:kern w:val="0"/>
                <w:sz w:val="24"/>
                <w:szCs w:val="24"/>
                <w:lang w:val="en-US" w:eastAsia="zh-CN" w:bidi="ar-SA"/>
              </w:rPr>
            </w:pPr>
            <w:r>
              <w:rPr>
                <w:rFonts w:hint="eastAsia" w:ascii="仿宋" w:hAnsi="仿宋" w:eastAsia="仿宋" w:cs="Times New Roman"/>
                <w:bCs/>
                <w:color w:val="auto"/>
                <w:kern w:val="0"/>
                <w:sz w:val="24"/>
                <w:szCs w:val="24"/>
                <w:lang w:val="en-US" w:eastAsia="zh-CN" w:bidi="ar-SA"/>
              </w:rPr>
              <w:t>配送及安装</w:t>
            </w:r>
          </w:p>
          <w:p>
            <w:pPr>
              <w:widowControl/>
              <w:jc w:val="center"/>
              <w:rPr>
                <w:rFonts w:hint="eastAsia" w:ascii="仿宋" w:hAnsi="仿宋" w:eastAsia="仿宋" w:cs="仿宋"/>
                <w:color w:val="000000"/>
                <w:sz w:val="24"/>
                <w:szCs w:val="24"/>
                <w:lang w:val="en-US" w:eastAsia="zh-CN"/>
              </w:rPr>
            </w:pPr>
            <w:r>
              <w:rPr>
                <w:rFonts w:hint="eastAsia" w:ascii="仿宋" w:hAnsi="仿宋" w:eastAsia="仿宋" w:cs="Times New Roman"/>
                <w:bCs/>
                <w:color w:val="auto"/>
                <w:kern w:val="0"/>
                <w:sz w:val="24"/>
                <w:szCs w:val="24"/>
                <w:lang w:val="en-US" w:eastAsia="zh-CN" w:bidi="ar-SA"/>
              </w:rPr>
              <w:t>验收方案</w:t>
            </w:r>
          </w:p>
        </w:tc>
        <w:tc>
          <w:tcPr>
            <w:tcW w:w="1501" w:type="dxa"/>
            <w:tcBorders>
              <w:top w:val="single" w:color="auto" w:sz="4" w:space="0"/>
              <w:left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配送及安装验收（3 分）</w:t>
            </w:r>
          </w:p>
        </w:tc>
        <w:tc>
          <w:tcPr>
            <w:tcW w:w="5744" w:type="dxa"/>
            <w:tcBorders>
              <w:top w:val="single" w:color="000000" w:sz="4" w:space="0"/>
              <w:left w:val="nil"/>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（配送车辆安排、货物到指定地点的时间，是否能承诺按用户要求配送到指定地点、安装人员安排、安装实施方案、验收方案等）根据所提供内容分以下四档打分：优(3 分)；良(2 分)；中(1 分)；差(0 分)（得差 0 分值为无此项说明）</w:t>
            </w:r>
          </w:p>
        </w:tc>
      </w:tr>
    </w:tbl>
    <w:p>
      <w:pPr>
        <w:pStyle w:val="31"/>
        <w:numPr>
          <w:ilvl w:val="0"/>
          <w:numId w:val="0"/>
        </w:numPr>
        <w:spacing w:beforeLines="50" w:afterLines="50" w:line="460" w:lineRule="exact"/>
        <w:ind w:left="560" w:leftChars="0"/>
        <w:jc w:val="left"/>
        <w:rPr>
          <w:rFonts w:hint="eastAsia" w:ascii="仿宋" w:hAnsi="仿宋" w:eastAsia="仿宋"/>
          <w:b w:val="0"/>
          <w:kern w:val="0"/>
          <w:sz w:val="28"/>
        </w:rPr>
      </w:pPr>
    </w:p>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8"/>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根据中华人民共和国财政部、《财政部工业和信息化部关于印发&lt;政府采购促进中小企业发展暂行办法&gt;的通知》（财库〔2020〕46号）文</w:t>
      </w:r>
      <w:r>
        <w:rPr>
          <w:rFonts w:hint="eastAsia" w:ascii="仿宋" w:hAnsi="仿宋" w:eastAsia="仿宋"/>
          <w:sz w:val="28"/>
          <w:lang w:eastAsia="zh-CN"/>
        </w:rPr>
        <w:t>、 《关于印发&lt;自治区贯彻落实国发〔2022〕12号文件精神推进经济稳增长一揽子政策措施&gt;的通知》（新政发〔2022〕61号）</w:t>
      </w:r>
      <w:r>
        <w:rPr>
          <w:rFonts w:hint="eastAsia" w:ascii="仿宋" w:hAnsi="仿宋" w:eastAsia="仿宋"/>
          <w:sz w:val="28"/>
          <w:lang w:val="en-US" w:eastAsia="zh-CN"/>
        </w:rPr>
        <w:t>文件</w:t>
      </w:r>
      <w:r>
        <w:rPr>
          <w:rFonts w:hint="eastAsia" w:ascii="仿宋" w:hAnsi="仿宋" w:eastAsia="仿宋"/>
          <w:sz w:val="28"/>
        </w:rPr>
        <w:t>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①符合中小企业划分标准（按《财政部工业和信息化部关于印发&lt;政府采购促进中小企业发展暂行办法&gt;的通知》（财库〔2020〕46号）文件的规定执行）；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7"/>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9"/>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28"/>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8"/>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按照国家发改价格（2011）534号文及发改办价格[2015]299号文计算，项目招标代理服务费由中标人支付。</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8"/>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28"/>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28"/>
        <w:spacing w:line="400" w:lineRule="exact"/>
        <w:ind w:firstLine="560" w:firstLineChars="200"/>
        <w:jc w:val="both"/>
        <w:rPr>
          <w:rFonts w:hint="default" w:ascii="仿宋" w:hAnsi="仿宋" w:eastAsia="仿宋"/>
          <w:color w:val="auto"/>
          <w:sz w:val="28"/>
          <w:lang w:val="en-US" w:eastAsia="zh-CN"/>
        </w:rPr>
      </w:pPr>
      <w:r>
        <w:rPr>
          <w:rFonts w:hint="eastAsia" w:ascii="仿宋" w:hAnsi="仿宋" w:eastAsia="仿宋"/>
          <w:color w:val="auto"/>
          <w:sz w:val="28"/>
        </w:rPr>
        <w:t>联 系 人：</w:t>
      </w:r>
      <w:r>
        <w:rPr>
          <w:rFonts w:hint="eastAsia" w:ascii="仿宋" w:hAnsi="仿宋" w:eastAsia="仿宋"/>
          <w:color w:val="auto"/>
          <w:sz w:val="28"/>
          <w:lang w:eastAsia="zh-CN"/>
        </w:rPr>
        <w:t>刘涛</w:t>
      </w:r>
    </w:p>
    <w:p>
      <w:pPr>
        <w:pStyle w:val="28"/>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3"/>
    <w:p>
      <w:pPr>
        <w:pStyle w:val="17"/>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4" w:name="_Toc5987697"/>
      <w:bookmarkStart w:id="5" w:name="_Toc5987696"/>
    </w:p>
    <w:p>
      <w:pPr>
        <w:pStyle w:val="17"/>
        <w:numPr>
          <w:ilvl w:val="0"/>
          <w:numId w:val="5"/>
        </w:numPr>
        <w:ind w:left="0" w:firstLine="0"/>
        <w:rPr>
          <w:rFonts w:hint="eastAsia" w:ascii="仿宋" w:hAnsi="仿宋" w:eastAsia="仿宋"/>
          <w:spacing w:val="1"/>
          <w:kern w:val="0"/>
          <w:sz w:val="28"/>
          <w:szCs w:val="28"/>
          <w:highlight w:val="none"/>
        </w:rPr>
      </w:pPr>
      <w:r>
        <w:rPr>
          <w:rFonts w:hint="eastAsia" w:ascii="仿宋" w:hAnsi="仿宋" w:eastAsia="仿宋"/>
          <w:kern w:val="0"/>
          <w:sz w:val="28"/>
          <w:szCs w:val="28"/>
          <w:highlight w:val="none"/>
        </w:rPr>
        <w:t>招标内容及技术要</w:t>
      </w:r>
      <w:r>
        <w:rPr>
          <w:rFonts w:hint="eastAsia" w:ascii="仿宋" w:hAnsi="仿宋" w:eastAsia="仿宋"/>
          <w:spacing w:val="1"/>
          <w:kern w:val="0"/>
          <w:sz w:val="28"/>
          <w:szCs w:val="28"/>
          <w:highlight w:val="none"/>
        </w:rPr>
        <w:t>求</w:t>
      </w:r>
      <w:bookmarkEnd w:id="4"/>
      <w:bookmarkEnd w:id="5"/>
    </w:p>
    <w:p>
      <w:pPr>
        <w:numPr>
          <w:ilvl w:val="0"/>
          <w:numId w:val="0"/>
        </w:numPr>
        <w:rPr>
          <w:rFonts w:hint="eastAsia"/>
          <w:lang w:val="en-US" w:eastAsia="zh-CN"/>
        </w:rPr>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核酸检测设备采购项目需求及参数</w:t>
      </w:r>
    </w:p>
    <w:p>
      <w:pPr>
        <w:pStyle w:val="15"/>
        <w:rPr>
          <w:rFonts w:hint="eastAsia"/>
          <w:lang w:val="en-US" w:eastAsia="zh-CN"/>
        </w:rPr>
      </w:pPr>
    </w:p>
    <w:tbl>
      <w:tblPr>
        <w:tblStyle w:val="20"/>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5"/>
        <w:gridCol w:w="3937"/>
        <w:gridCol w:w="14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2" w:hRule="atLeast"/>
          <w:jc w:val="center"/>
        </w:trPr>
        <w:tc>
          <w:tcPr>
            <w:tcW w:w="1105" w:type="dxa"/>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序号</w:t>
            </w:r>
          </w:p>
        </w:tc>
        <w:tc>
          <w:tcPr>
            <w:tcW w:w="3937" w:type="dxa"/>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货物名称</w:t>
            </w:r>
          </w:p>
        </w:tc>
        <w:tc>
          <w:tcPr>
            <w:tcW w:w="1410" w:type="dxa"/>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数量</w:t>
            </w:r>
          </w:p>
        </w:tc>
        <w:tc>
          <w:tcPr>
            <w:tcW w:w="1966" w:type="dxa"/>
            <w:noWrap w:val="0"/>
            <w:vAlign w:val="center"/>
          </w:tcPr>
          <w:p>
            <w:pPr>
              <w:widowControl/>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1</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实时荧光定量PCR检测系统</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2</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全自动医用 PCR 分析仪</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1105" w:type="dxa"/>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全自动核酸提取仪</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rPr>
              <w:t>4</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过氧化氢消毒机（器）</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7"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5</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单道可调F2移液器</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rPr>
              <w:t>6</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highlight w:val="none"/>
                <w:u w:val="none"/>
                <w:lang w:val="en-US" w:eastAsia="zh-CN" w:bidi="ar-SA"/>
              </w:rPr>
            </w:pPr>
            <w:r>
              <w:rPr>
                <w:rFonts w:hint="eastAsia" w:ascii="宋体" w:hAnsi="宋体" w:eastAsia="宋体" w:cs="宋体"/>
                <w:b w:val="0"/>
                <w:bCs/>
                <w:i w:val="0"/>
                <w:color w:val="000000"/>
                <w:kern w:val="0"/>
                <w:sz w:val="24"/>
                <w:szCs w:val="24"/>
                <w:highlight w:val="none"/>
                <w:u w:val="none"/>
                <w:lang w:val="en-US" w:eastAsia="zh-CN" w:bidi="ar-SA"/>
              </w:rPr>
              <w:t>多道可调F2移液器</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7</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空调排风机</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105" w:type="dxa"/>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8</w:t>
            </w:r>
          </w:p>
        </w:tc>
        <w:tc>
          <w:tcPr>
            <w:tcW w:w="3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空调滤芯</w:t>
            </w:r>
          </w:p>
        </w:tc>
        <w:tc>
          <w:tcPr>
            <w:tcW w:w="14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r>
    </w:tbl>
    <w:p>
      <w:pPr>
        <w:ind w:firstLine="3360" w:firstLineChars="16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numPr>
          <w:ilvl w:val="0"/>
          <w:numId w:val="6"/>
        </w:numPr>
        <w:jc w:val="center"/>
        <w:rPr>
          <w:rFonts w:hint="eastAsia" w:ascii="宋体" w:hAnsi="宋体" w:eastAsia="宋体" w:cs="宋体"/>
          <w:b/>
          <w:bCs/>
          <w:sz w:val="24"/>
          <w:szCs w:val="24"/>
        </w:rPr>
      </w:pPr>
      <w:r>
        <w:rPr>
          <w:rFonts w:hint="eastAsia" w:ascii="宋体" w:hAnsi="宋体" w:eastAsia="宋体" w:cs="宋体"/>
          <w:b/>
          <w:bCs/>
          <w:sz w:val="24"/>
          <w:szCs w:val="24"/>
        </w:rPr>
        <w:t>荧光定量PCR仪技术参数表</w:t>
      </w:r>
    </w:p>
    <w:p>
      <w:pPr>
        <w:ind w:left="-720" w:leftChars="-343"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p>
    <w:tbl>
      <w:tblPr>
        <w:tblStyle w:val="2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502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技术参数名称</w:t>
            </w:r>
          </w:p>
        </w:tc>
        <w:tc>
          <w:tcPr>
            <w:tcW w:w="5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实时荧光定量PCR</w:t>
            </w:r>
          </w:p>
          <w:p>
            <w:pPr>
              <w:jc w:val="center"/>
              <w:rPr>
                <w:rFonts w:hint="eastAsia" w:ascii="宋体" w:hAnsi="宋体" w:eastAsia="宋体" w:cs="宋体"/>
                <w:sz w:val="24"/>
                <w:szCs w:val="24"/>
              </w:rPr>
            </w:pPr>
            <w:r>
              <w:rPr>
                <w:rFonts w:hint="eastAsia" w:ascii="宋体" w:hAnsi="宋体" w:eastAsia="宋体" w:cs="宋体"/>
                <w:sz w:val="24"/>
                <w:szCs w:val="24"/>
              </w:rPr>
              <w:t>检测系统主要技术参数</w:t>
            </w:r>
          </w:p>
        </w:tc>
        <w:tc>
          <w:tcPr>
            <w:tcW w:w="206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*激发光源</w:t>
            </w:r>
          </w:p>
        </w:tc>
        <w:tc>
          <w:tcPr>
            <w:tcW w:w="502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大功率LED光源</w:t>
            </w:r>
          </w:p>
        </w:tc>
        <w:tc>
          <w:tcPr>
            <w:tcW w:w="2066" w:type="dxa"/>
            <w:noWrap w:val="0"/>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*检测器</w:t>
            </w:r>
          </w:p>
        </w:tc>
        <w:tc>
          <w:tcPr>
            <w:tcW w:w="5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高灵敏度光电传感器</w:t>
            </w:r>
          </w:p>
        </w:tc>
        <w:tc>
          <w:tcPr>
            <w:tcW w:w="2066" w:type="dxa"/>
            <w:noWrap w:val="0"/>
            <w:vAlign w:val="center"/>
          </w:tcPr>
          <w:p>
            <w:pP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*样本容量</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96孔＊0.2ml </w:t>
            </w:r>
          </w:p>
        </w:tc>
        <w:tc>
          <w:tcPr>
            <w:tcW w:w="2066" w:type="dxa"/>
            <w:noWrap w:val="0"/>
            <w:vAlign w:val="center"/>
          </w:tcPr>
          <w:p>
            <w:pPr>
              <w:snapToGrid w:val="0"/>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荧光检测波长</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（可选配置多种通道）</w:t>
            </w:r>
          </w:p>
        </w:tc>
        <w:tc>
          <w:tcPr>
            <w:tcW w:w="5025" w:type="dxa"/>
            <w:noWrap w:val="0"/>
            <w:vAlign w:val="center"/>
          </w:tcPr>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通道1:</w:t>
            </w:r>
            <w:r>
              <w:rPr>
                <w:rFonts w:hint="eastAsia" w:ascii="宋体" w:hAnsi="宋体" w:eastAsia="宋体" w:cs="宋体"/>
                <w:color w:val="000000"/>
                <w:sz w:val="24"/>
                <w:szCs w:val="24"/>
              </w:rPr>
              <w:t>470nm-510nm</w:t>
            </w:r>
          </w:p>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通道2:</w:t>
            </w:r>
            <w:r>
              <w:rPr>
                <w:rFonts w:hint="eastAsia" w:ascii="宋体" w:hAnsi="宋体" w:eastAsia="宋体" w:cs="宋体"/>
                <w:color w:val="000000"/>
                <w:sz w:val="24"/>
                <w:szCs w:val="24"/>
              </w:rPr>
              <w:t>530nm-565nm</w:t>
            </w:r>
          </w:p>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通道3:</w:t>
            </w:r>
            <w:r>
              <w:rPr>
                <w:rFonts w:hint="eastAsia" w:ascii="宋体" w:hAnsi="宋体" w:eastAsia="宋体" w:cs="宋体"/>
                <w:color w:val="000000"/>
                <w:sz w:val="24"/>
                <w:szCs w:val="24"/>
              </w:rPr>
              <w:t>580nm-620nm</w:t>
            </w:r>
          </w:p>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通道4:</w:t>
            </w:r>
            <w:r>
              <w:rPr>
                <w:rFonts w:hint="eastAsia" w:ascii="宋体" w:hAnsi="宋体" w:eastAsia="宋体" w:cs="宋体"/>
                <w:color w:val="000000"/>
                <w:sz w:val="24"/>
                <w:szCs w:val="24"/>
              </w:rPr>
              <w:t>630nm-665nm</w:t>
            </w:r>
          </w:p>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通道5: </w:t>
            </w:r>
            <w:r>
              <w:rPr>
                <w:rFonts w:hint="eastAsia" w:ascii="宋体" w:hAnsi="宋体" w:eastAsia="宋体" w:cs="宋体"/>
                <w:color w:val="000000"/>
                <w:sz w:val="24"/>
                <w:szCs w:val="24"/>
              </w:rPr>
              <w:t>预留</w:t>
            </w:r>
          </w:p>
          <w:p>
            <w:pPr>
              <w:snapToGrid w:val="0"/>
              <w:rPr>
                <w:rFonts w:hint="eastAsia" w:ascii="宋体" w:hAnsi="宋体" w:eastAsia="宋体" w:cs="宋体"/>
                <w:color w:val="000000"/>
                <w:sz w:val="24"/>
                <w:szCs w:val="24"/>
              </w:rPr>
            </w:pPr>
            <w:r>
              <w:rPr>
                <w:rFonts w:hint="eastAsia" w:ascii="宋体" w:hAnsi="宋体" w:eastAsia="宋体" w:cs="宋体"/>
                <w:b/>
                <w:color w:val="000000"/>
                <w:sz w:val="24"/>
                <w:szCs w:val="24"/>
              </w:rPr>
              <w:t>通道6:</w:t>
            </w:r>
            <w:r>
              <w:rPr>
                <w:rFonts w:hint="eastAsia" w:ascii="宋体" w:hAnsi="宋体" w:eastAsia="宋体" w:cs="宋体"/>
                <w:color w:val="000000"/>
                <w:sz w:val="24"/>
                <w:szCs w:val="24"/>
              </w:rPr>
              <w:t xml:space="preserve"> 预留</w:t>
            </w:r>
          </w:p>
        </w:tc>
        <w:tc>
          <w:tcPr>
            <w:tcW w:w="2066" w:type="dxa"/>
            <w:noWrap w:val="0"/>
            <w:vAlign w:val="center"/>
          </w:tcPr>
          <w:p>
            <w:pPr>
              <w:rPr>
                <w:rFonts w:hint="eastAsia" w:ascii="宋体" w:hAnsi="宋体" w:eastAsia="宋体"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可检测的荧光素及染料</w:t>
            </w:r>
          </w:p>
        </w:tc>
        <w:tc>
          <w:tcPr>
            <w:tcW w:w="5025" w:type="dxa"/>
            <w:noWrap w:val="0"/>
            <w:vAlign w:val="center"/>
          </w:tcPr>
          <w:p>
            <w:pPr>
              <w:snapToGrid w:val="0"/>
              <w:jc w:val="left"/>
              <w:rPr>
                <w:rFonts w:hint="eastAsia" w:ascii="宋体" w:hAnsi="宋体" w:eastAsia="宋体" w:cs="宋体"/>
                <w:sz w:val="24"/>
                <w:szCs w:val="24"/>
              </w:rPr>
            </w:pPr>
            <w:r>
              <w:rPr>
                <w:rFonts w:hint="eastAsia" w:ascii="宋体" w:hAnsi="宋体" w:eastAsia="宋体" w:cs="宋体"/>
                <w:sz w:val="24"/>
                <w:szCs w:val="24"/>
              </w:rPr>
              <w:t>FAM,SYBR，VIC, HEX, Joe, TET，TMRA，CY3，ROX, Texas Red, CY5</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检测方式</w:t>
            </w:r>
          </w:p>
        </w:tc>
        <w:tc>
          <w:tcPr>
            <w:tcW w:w="5025" w:type="dxa"/>
            <w:noWrap w:val="0"/>
            <w:vAlign w:val="center"/>
          </w:tcPr>
          <w:p>
            <w:pPr>
              <w:snapToGrid w:val="0"/>
              <w:rPr>
                <w:rFonts w:hint="eastAsia" w:ascii="宋体" w:hAnsi="宋体" w:eastAsia="宋体" w:cs="宋体"/>
                <w:sz w:val="24"/>
                <w:szCs w:val="24"/>
              </w:rPr>
            </w:pPr>
            <w:r>
              <w:rPr>
                <w:rFonts w:hint="eastAsia" w:ascii="宋体" w:hAnsi="宋体" w:eastAsia="宋体" w:cs="宋体"/>
                <w:sz w:val="24"/>
                <w:szCs w:val="24"/>
              </w:rPr>
              <w:t>反应管的底部侧面激发、检测</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激发、检测光的传输模式</w:t>
            </w:r>
          </w:p>
        </w:tc>
        <w:tc>
          <w:tcPr>
            <w:tcW w:w="5025" w:type="dxa"/>
            <w:noWrap w:val="0"/>
            <w:vAlign w:val="center"/>
          </w:tcPr>
          <w:p>
            <w:pPr>
              <w:snapToGrid w:val="0"/>
              <w:rPr>
                <w:rFonts w:hint="eastAsia" w:ascii="宋体" w:hAnsi="宋体" w:eastAsia="宋体" w:cs="宋体"/>
                <w:sz w:val="24"/>
                <w:szCs w:val="24"/>
              </w:rPr>
            </w:pPr>
            <w:r>
              <w:rPr>
                <w:rFonts w:hint="eastAsia" w:ascii="宋体" w:hAnsi="宋体" w:eastAsia="宋体" w:cs="宋体"/>
                <w:sz w:val="24"/>
                <w:szCs w:val="24"/>
              </w:rPr>
              <w:t>每一反应孔独立的光纤传输</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软件应用模式</w:t>
            </w:r>
          </w:p>
        </w:tc>
        <w:tc>
          <w:tcPr>
            <w:tcW w:w="5025" w:type="dxa"/>
            <w:noWrap w:val="0"/>
            <w:vAlign w:val="center"/>
          </w:tcPr>
          <w:p>
            <w:pPr>
              <w:snapToGrid w:val="0"/>
              <w:rPr>
                <w:rFonts w:hint="eastAsia" w:ascii="宋体" w:hAnsi="宋体" w:eastAsia="宋体" w:cs="宋体"/>
                <w:sz w:val="24"/>
                <w:szCs w:val="24"/>
              </w:rPr>
            </w:pPr>
            <w:r>
              <w:rPr>
                <w:rFonts w:hint="eastAsia" w:ascii="宋体" w:hAnsi="宋体" w:eastAsia="宋体" w:cs="宋体"/>
                <w:sz w:val="24"/>
                <w:szCs w:val="24"/>
              </w:rPr>
              <w:t>定量/定性、熔解曲线、多管多项目分析、相对定量、等位基因、HRM、SAT实时荧光等温扩增</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模块温度范围</w:t>
            </w:r>
          </w:p>
        </w:tc>
        <w:tc>
          <w:tcPr>
            <w:tcW w:w="5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4℃-99℃</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检测动力学范围</w:t>
            </w:r>
          </w:p>
        </w:tc>
        <w:tc>
          <w:tcPr>
            <w:tcW w:w="5025" w:type="dxa"/>
            <w:noWrap w:val="0"/>
            <w:vAlign w:val="center"/>
          </w:tcPr>
          <w:p>
            <w:pPr>
              <w:jc w:val="center"/>
              <w:rPr>
                <w:rFonts w:hint="eastAsia" w:ascii="宋体" w:hAnsi="宋体" w:eastAsia="宋体" w:cs="宋体"/>
                <w:sz w:val="24"/>
                <w:szCs w:val="24"/>
                <w:vertAlign w:val="superscript"/>
              </w:rPr>
            </w:pPr>
            <w:r>
              <w:rPr>
                <w:rFonts w:hint="eastAsia" w:ascii="宋体" w:hAnsi="宋体" w:eastAsia="宋体" w:cs="宋体"/>
                <w:sz w:val="24"/>
                <w:szCs w:val="24"/>
              </w:rPr>
              <w:t>10</w:t>
            </w:r>
            <w:r>
              <w:rPr>
                <w:rFonts w:hint="eastAsia" w:ascii="宋体" w:hAnsi="宋体" w:eastAsia="宋体" w:cs="宋体"/>
                <w:sz w:val="24"/>
                <w:szCs w:val="24"/>
                <w:vertAlign w:val="superscript"/>
              </w:rPr>
              <w:t>0</w:t>
            </w:r>
            <w:r>
              <w:rPr>
                <w:rFonts w:hint="eastAsia" w:ascii="宋体" w:hAnsi="宋体" w:eastAsia="宋体" w:cs="宋体"/>
                <w:sz w:val="24"/>
                <w:szCs w:val="24"/>
                <w:vertAlign w:val="superscript"/>
              </w:rPr>
              <w:softHyphen/>
            </w:r>
            <w:r>
              <w:rPr>
                <w:rFonts w:hint="eastAsia" w:ascii="宋体" w:hAnsi="宋体" w:eastAsia="宋体" w:cs="宋体"/>
                <w:sz w:val="24"/>
                <w:szCs w:val="24"/>
              </w:rPr>
              <w:t>-10</w:t>
            </w:r>
            <w:r>
              <w:rPr>
                <w:rFonts w:hint="eastAsia" w:ascii="宋体" w:hAnsi="宋体" w:eastAsia="宋体" w:cs="宋体"/>
                <w:color w:val="000000"/>
                <w:sz w:val="24"/>
                <w:szCs w:val="24"/>
                <w:vertAlign w:val="superscript"/>
              </w:rPr>
              <w:t>10</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最小检测模板</w:t>
            </w:r>
          </w:p>
        </w:tc>
        <w:tc>
          <w:tcPr>
            <w:tcW w:w="5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单个拷贝</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反应容积</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15ul-100ul</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控温模式</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半导体热电模块</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升温速率(MAX)</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4℃/S</w:t>
            </w:r>
          </w:p>
        </w:tc>
        <w:tc>
          <w:tcPr>
            <w:tcW w:w="2066" w:type="dxa"/>
            <w:noWrap w:val="0"/>
            <w:vAlign w:val="center"/>
          </w:tcPr>
          <w:p>
            <w:pPr>
              <w:rPr>
                <w:rFonts w:hint="eastAsia" w:ascii="宋体" w:hAnsi="宋体" w:eastAsia="宋体" w:cs="宋体"/>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*温控精度</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（HRM高分辨熔解曲线）</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2066" w:type="dxa"/>
            <w:noWrap w:val="0"/>
            <w:vAlign w:val="center"/>
          </w:tcPr>
          <w:p>
            <w:pPr>
              <w:rPr>
                <w:rFonts w:hint="eastAsia" w:ascii="宋体" w:hAnsi="宋体" w:eastAsia="宋体" w:cs="宋体"/>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样品间温度</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均匀性</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重量</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18Kg</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体积(W*D*H)</w:t>
            </w:r>
          </w:p>
        </w:tc>
        <w:tc>
          <w:tcPr>
            <w:tcW w:w="5025"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386mm*534mm*</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258mm</w:t>
            </w:r>
            <w:r>
              <w:rPr>
                <w:rFonts w:hint="eastAsia" w:ascii="宋体" w:hAnsi="宋体" w:eastAsia="宋体" w:cs="宋体"/>
                <w:color w:val="000000"/>
                <w:sz w:val="24"/>
                <w:szCs w:val="24"/>
                <w:lang w:val="en-US" w:eastAsia="zh-CN"/>
              </w:rPr>
              <w:t>或小于该参数</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断电保护</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有断电保护功能</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输入电源</w:t>
            </w:r>
          </w:p>
        </w:tc>
        <w:tc>
          <w:tcPr>
            <w:tcW w:w="5025"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AC200V-240V  50HZ</w:t>
            </w:r>
          </w:p>
        </w:tc>
        <w:tc>
          <w:tcPr>
            <w:tcW w:w="2066" w:type="dxa"/>
            <w:noWrap w:val="0"/>
            <w:vAlign w:val="center"/>
          </w:tcPr>
          <w:p>
            <w:pPr>
              <w:rPr>
                <w:rFonts w:hint="eastAsia" w:ascii="宋体" w:hAnsi="宋体" w:eastAsia="宋体" w:cs="宋体"/>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4" w:type="dxa"/>
            <w:noWrap w:val="0"/>
            <w:vAlign w:val="center"/>
          </w:tcPr>
          <w:p>
            <w:pPr>
              <w:rPr>
                <w:rFonts w:hint="eastAsia" w:ascii="宋体" w:hAnsi="宋体" w:eastAsia="宋体" w:cs="宋体"/>
                <w:sz w:val="24"/>
                <w:szCs w:val="24"/>
              </w:rPr>
            </w:pPr>
            <w:r>
              <w:rPr>
                <w:rFonts w:hint="eastAsia" w:ascii="宋体" w:hAnsi="宋体" w:eastAsia="宋体" w:cs="宋体"/>
                <w:b/>
                <w:sz w:val="24"/>
                <w:szCs w:val="24"/>
              </w:rPr>
              <w:t>耗能</w:t>
            </w:r>
          </w:p>
        </w:tc>
        <w:tc>
          <w:tcPr>
            <w:tcW w:w="50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≤850VA</w:t>
            </w:r>
          </w:p>
        </w:tc>
        <w:tc>
          <w:tcPr>
            <w:tcW w:w="2066" w:type="dxa"/>
            <w:noWrap w:val="0"/>
            <w:vAlign w:val="center"/>
          </w:tcPr>
          <w:p>
            <w:pPr>
              <w:rPr>
                <w:rFonts w:hint="eastAsia" w:ascii="宋体" w:hAnsi="宋体" w:eastAsia="宋体" w:cs="宋体"/>
                <w:bCs/>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34"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操作系统</w:t>
            </w:r>
          </w:p>
        </w:tc>
        <w:tc>
          <w:tcPr>
            <w:tcW w:w="5025" w:type="dxa"/>
            <w:noWrap w:val="0"/>
            <w:vAlign w:val="center"/>
          </w:tcPr>
          <w:p>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中、英文Win 7/8/10</w:t>
            </w:r>
          </w:p>
        </w:tc>
        <w:tc>
          <w:tcPr>
            <w:tcW w:w="2066" w:type="dxa"/>
            <w:noWrap w:val="0"/>
            <w:vAlign w:val="center"/>
          </w:tcPr>
          <w:p>
            <w:pPr>
              <w:rPr>
                <w:rFonts w:hint="eastAsia" w:ascii="宋体" w:hAnsi="宋体" w:eastAsia="宋体" w:cs="宋体"/>
                <w:color w:val="FF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热 盖</w:t>
            </w:r>
          </w:p>
        </w:tc>
        <w:tc>
          <w:tcPr>
            <w:tcW w:w="5025"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电子自动热盖</w:t>
            </w:r>
          </w:p>
        </w:tc>
        <w:tc>
          <w:tcPr>
            <w:tcW w:w="2066" w:type="dxa"/>
            <w:noWrap w:val="0"/>
            <w:vAlign w:val="center"/>
          </w:tcPr>
          <w:p>
            <w:pPr>
              <w:rPr>
                <w:rFonts w:hint="eastAsia" w:ascii="宋体" w:hAnsi="宋体" w:eastAsia="宋体" w:cs="宋体"/>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操作软件</w:t>
            </w:r>
          </w:p>
        </w:tc>
        <w:tc>
          <w:tcPr>
            <w:tcW w:w="5025" w:type="dxa"/>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全中文/全英文</w:t>
            </w:r>
          </w:p>
        </w:tc>
        <w:tc>
          <w:tcPr>
            <w:tcW w:w="2066" w:type="dxa"/>
            <w:noWrap w:val="0"/>
            <w:vAlign w:val="center"/>
          </w:tcPr>
          <w:p>
            <w:pPr>
              <w:rPr>
                <w:rFonts w:hint="eastAsia" w:ascii="宋体" w:hAnsi="宋体" w:eastAsia="宋体" w:cs="宋体"/>
                <w:color w:val="FFC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注册认证</w:t>
            </w:r>
          </w:p>
        </w:tc>
        <w:tc>
          <w:tcPr>
            <w:tcW w:w="5025" w:type="dxa"/>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CFDA、CE</w:t>
            </w:r>
          </w:p>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TUV ISO</w:t>
            </w:r>
            <w:r>
              <w:rPr>
                <w:rFonts w:hint="eastAsia" w:ascii="宋体" w:hAnsi="宋体" w:eastAsia="宋体" w:cs="宋体"/>
                <w:b/>
                <w:color w:val="000000" w:themeColor="text1"/>
                <w:sz w:val="24"/>
                <w:szCs w:val="24"/>
                <w:highlight w:val="none"/>
                <w14:textFill>
                  <w14:solidFill>
                    <w14:schemeClr w14:val="tx1"/>
                  </w14:solidFill>
                </w14:textFill>
              </w:rPr>
              <w:t>13485:2016</w:t>
            </w:r>
          </w:p>
        </w:tc>
        <w:tc>
          <w:tcPr>
            <w:tcW w:w="2066" w:type="dxa"/>
            <w:noWrap w:val="0"/>
            <w:vAlign w:val="center"/>
          </w:tcPr>
          <w:p>
            <w:pPr>
              <w:rPr>
                <w:rFonts w:hint="eastAsia" w:ascii="宋体" w:hAnsi="宋体" w:eastAsia="宋体" w:cs="宋体"/>
                <w:bCs/>
                <w:color w:val="FFC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34"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备注</w:t>
            </w:r>
          </w:p>
        </w:tc>
        <w:tc>
          <w:tcPr>
            <w:tcW w:w="5025" w:type="dxa"/>
            <w:noWrap w:val="0"/>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须提供中英文对照说明书或中文说明书</w:t>
            </w:r>
          </w:p>
        </w:tc>
        <w:tc>
          <w:tcPr>
            <w:tcW w:w="2066" w:type="dxa"/>
            <w:noWrap w:val="0"/>
            <w:vAlign w:val="center"/>
          </w:tcPr>
          <w:p>
            <w:pPr>
              <w:snapToGrid w:val="0"/>
              <w:rPr>
                <w:rFonts w:hint="eastAsia" w:ascii="宋体" w:hAnsi="宋体" w:eastAsia="宋体" w:cs="宋体"/>
                <w:bCs/>
                <w:color w:val="FFC000"/>
                <w:sz w:val="24"/>
                <w:szCs w:val="24"/>
              </w:rPr>
            </w:pPr>
          </w:p>
        </w:tc>
      </w:tr>
    </w:tbl>
    <w:p>
      <w:pPr>
        <w:ind w:left="5216" w:leftChars="1972" w:hanging="1075" w:hangingChars="448"/>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全自动医用 PCR 分析</w:t>
      </w:r>
      <w:r>
        <w:rPr>
          <w:rFonts w:hint="eastAsia" w:ascii="宋体" w:hAnsi="宋体" w:eastAsia="宋体" w:cs="宋体"/>
          <w:b/>
          <w:bCs/>
          <w:sz w:val="24"/>
          <w:szCs w:val="24"/>
          <w:lang w:val="en-US" w:eastAsia="zh-CN"/>
        </w:rPr>
        <w:t>仪</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样本容量： 96 通量；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反应体系：15-100uL； </w:t>
      </w:r>
    </w:p>
    <w:p>
      <w:pPr>
        <w:spacing w:line="360" w:lineRule="auto"/>
        <w:jc w:val="left"/>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3. 适用耗材：0.2ml PCR 管，8 联排管，96 孔板；</w:t>
      </w:r>
      <w:r>
        <w:rPr>
          <w:rFonts w:hint="eastAsia" w:ascii="宋体" w:hAnsi="宋体" w:eastAsia="宋体" w:cs="宋体"/>
          <w:color w:val="FF0000"/>
          <w:sz w:val="24"/>
          <w:szCs w:val="24"/>
        </w:rPr>
        <w:t xml:space="preserve"> </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4. 检测时长：</w:t>
      </w:r>
      <w:r>
        <w:rPr>
          <w:rFonts w:hint="eastAsia" w:ascii="宋体" w:hAnsi="宋体" w:eastAsia="宋体" w:cs="宋体"/>
          <w:sz w:val="24"/>
          <w:szCs w:val="24"/>
          <w:lang w:val="en-US" w:eastAsia="zh-CN"/>
        </w:rPr>
        <w:t>≤</w:t>
      </w:r>
      <w:r>
        <w:rPr>
          <w:rFonts w:hint="eastAsia" w:ascii="宋体" w:hAnsi="宋体" w:eastAsia="宋体" w:cs="宋体"/>
          <w:sz w:val="24"/>
          <w:szCs w:val="24"/>
        </w:rPr>
        <w:t>7 秒</w:t>
      </w:r>
      <w:r>
        <w:rPr>
          <w:rFonts w:hint="eastAsia" w:ascii="宋体" w:hAnsi="宋体" w:eastAsia="宋体" w:cs="宋体"/>
          <w:sz w:val="24"/>
          <w:szCs w:val="24"/>
          <w:lang w:eastAsia="zh-CN"/>
        </w:rPr>
        <w:t>，</w:t>
      </w:r>
      <w:r>
        <w:rPr>
          <w:rFonts w:hint="eastAsia" w:ascii="宋体" w:hAnsi="宋体" w:eastAsia="宋体" w:cs="宋体"/>
          <w:sz w:val="24"/>
          <w:szCs w:val="24"/>
        </w:rPr>
        <w:t>完成 96 孔位的 6 种荧光通道的逐孔扫描</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 ※最大升降温速率：≥5℃/s；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6. 温度范围：4.0℃～99.0℃，温度准确性：≤0.5℃； </w:t>
      </w:r>
    </w:p>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highlight w:val="none"/>
        </w:rPr>
        <w:t>7. ※多区温控：8 分区独立控温方式；</w:t>
      </w:r>
      <w:r>
        <w:rPr>
          <w:rFonts w:hint="eastAsia" w:ascii="宋体" w:hAnsi="宋体" w:eastAsia="宋体" w:cs="宋体"/>
          <w:sz w:val="24"/>
          <w:szCs w:val="24"/>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8. 热循环系统：基于 Peltier 技术的半导体热电模块；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9. ※热盖性能：温度 50℃~108℃，热盖运行采用高精度多级传动机构，运行平</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稳，位置精准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10. 激发光源：LED 免维护光源，独特的恒流电源设计，使 LED 光源稳定可靠；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11. ※荧光检测模式：侧面扫描检测；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12. 动态范围：≥10 个数量级；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13. 指示灯：三种不同颜色的状态指示灯，准确反应实验状态；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14. 4 色激发光通道和 4 色检测光通道，另有 2 色定制通道，根据客户需求定制染料，可同时检测 6 个靶标；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15. 光学激发检测范围：300-800 nm/500-800 nm，可支持“FAM，SYBR-Green，</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HEX，JOE，VIC，TET，ROX，Texas-Red，CY5”等多种染料；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16. 数据稳定性好：6 个通道间有较强的抗干扰性；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17. 内部结构：独特的转盘设计，确保荧光采集激发光的一致性，每个通道互不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干扰；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18. 分析软件应用：定性/绝对定量、标准溶解曲线、相对定量、终点法等基因分型，可自动进行数据分析、比对、作图；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19. 扫描模式：全板扫描，指定行扫描；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20. 有断电保护功能，保留数据不丢失；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21. 控温模式：试管控温，模块控温；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22. 检测组件：光电二极管检测系统；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23. ※激发和检测通道传播介质：双向 192 根稳定的耐高温光导纤维，稳定的光纤安装方式，光纤通光率强，灵敏度高，损耗小；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24. 荧光线性：线性回归系数 r≥0.99；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25. 报告模式：支持自定义报告单，EXCEL 、CSV 等导出格式；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26. 电源输入：</w:t>
      </w:r>
      <w:r>
        <w:rPr>
          <w:rFonts w:hint="eastAsia" w:ascii="宋体" w:hAnsi="宋体" w:eastAsia="宋体" w:cs="宋体"/>
          <w:sz w:val="24"/>
          <w:szCs w:val="24"/>
          <w:lang w:val="en-US" w:eastAsia="zh-CN"/>
        </w:rPr>
        <w:t>≥</w:t>
      </w:r>
      <w:r>
        <w:rPr>
          <w:rFonts w:hint="eastAsia" w:ascii="宋体" w:hAnsi="宋体" w:eastAsia="宋体" w:cs="宋体"/>
          <w:sz w:val="24"/>
          <w:szCs w:val="24"/>
        </w:rPr>
        <w:t>220V、</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50Hz；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27. ※接口方式：随设备配置了两根连接线，USB 转串口线、RS232 串口线，两</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根线均可独立使用，可根据客户需求选择合适的连接线；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配套试剂：开放平台，适用于国内外厂家所开发的临床试剂；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 xml:space="preserve">. 注册证书：可提供有效期内的第三类 NMPA 注册证；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31. 软件：加热程序可以从外部导入，并在实验中直接编辑；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 软件界面可缩放，方便用户操作；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 包含中英文版，方便用户选择；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 可根据模板创建实验，方便用户操作，无需重复设置；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4. 可自动禁止电脑休眠；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最近打开的实验和模板可按实验类型分类显示，方便用户打开查</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看； </w:t>
      </w:r>
    </w:p>
    <w:p>
      <w:pPr>
        <w:numPr>
          <w:ilvl w:val="0"/>
          <w:numId w:val="7"/>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强大的报表设计编辑功能 </w:t>
      </w:r>
      <w:r>
        <w:rPr>
          <w:rFonts w:hint="eastAsia" w:ascii="宋体" w:hAnsi="宋体" w:eastAsia="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17"/>
        <w:rPr>
          <w:rFonts w:hint="eastAsia" w:ascii="宋体" w:hAnsi="宋体" w:eastAsia="宋体" w:cs="宋体"/>
          <w:sz w:val="24"/>
          <w:szCs w:val="24"/>
          <w:lang w:val="en-US"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全自动核酸提取仪</w:t>
      </w:r>
      <w:r>
        <w:rPr>
          <w:rFonts w:hint="eastAsia" w:ascii="宋体" w:hAnsi="宋体" w:eastAsia="宋体" w:cs="宋体"/>
          <w:sz w:val="24"/>
          <w:szCs w:val="24"/>
          <w:lang w:val="en-US" w:eastAsia="zh-CN"/>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1、磁棒套：磁棒套自动装载功能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2、加热板：升降式加热板位，可避免试剂挥发，升温速度快，温控效果好</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3、防滴落设计：磁珠防滴落设计，保障实验结果准确可靠</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4、设备外观</w:t>
      </w:r>
      <w:r>
        <w:rPr>
          <w:rFonts w:hint="eastAsia" w:ascii="宋体" w:hAnsi="宋体" w:eastAsia="宋体" w:cs="宋体"/>
          <w:sz w:val="24"/>
          <w:szCs w:val="24"/>
        </w:rPr>
        <w:tab/>
      </w:r>
      <w:r>
        <w:rPr>
          <w:rFonts w:hint="eastAsia" w:ascii="宋体" w:hAnsi="宋体" w:eastAsia="宋体" w:cs="宋体"/>
          <w:sz w:val="24"/>
          <w:szCs w:val="24"/>
        </w:rPr>
        <w:t>体积小，重量轻，节省实验室空间</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5、试剂应用范围：支持6连条小人份试剂避免试剂浪费，开放式平台，应用范围广，可适配市面上大部分同类别检测</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6、样本通量：可同时在线1-96个样品的核酸提取</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7、处理体积：20ul-1000ul</w:t>
      </w:r>
      <w:r>
        <w:rPr>
          <w:rFonts w:hint="eastAsia" w:ascii="宋体" w:hAnsi="宋体" w:cs="宋体"/>
          <w:sz w:val="24"/>
          <w:szCs w:val="24"/>
          <w:lang w:val="en-US" w:eastAsia="zh-CN"/>
        </w:rPr>
        <w:t xml:space="preserve">     </w:t>
      </w:r>
      <w:r>
        <w:rPr>
          <w:rFonts w:hint="eastAsia" w:ascii="宋体" w:hAnsi="宋体" w:eastAsia="宋体" w:cs="宋体"/>
          <w:sz w:val="24"/>
          <w:szCs w:val="24"/>
        </w:rPr>
        <w:t>8、磁珠回收率＞95%</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9、※提取纯化孔间差异：经过提取纯化后产物的浓度孔间差异＜2%</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10、支持板类型：96孔深孔板</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11、※深孔板位≥8位，采用旋转式(非平板矩阵式)板位排布</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12、温控模式：96孔可升降式加热板位</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13、温控温度：室温-100℃，受热均匀</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14、温度控制：温度设定在65℃，温度值在设定值的±1℃内，波动度≤±1℃</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15、磁棒模块、磁套模块结构：磁棒模块、磁套模块均采用电机精准控制结构，运动低噪声，低磨损，保证仪器长时间运行</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16、模块独立性：磁棒架、磁套架均采用独立模块，可避免仪器振动、共振</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17、震荡模式：多种震荡方式，震荡频率、振幅可调</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18、杀菌消毒：具有内置可定时紫外消毒功能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19、显示屏：</w:t>
      </w:r>
      <w:r>
        <w:rPr>
          <w:rFonts w:hint="eastAsia" w:ascii="宋体" w:hAnsi="宋体" w:eastAsia="宋体" w:cs="宋体"/>
          <w:sz w:val="24"/>
          <w:szCs w:val="24"/>
          <w:lang w:val="en-US" w:eastAsia="zh-CN"/>
        </w:rPr>
        <w:t>≥</w:t>
      </w:r>
      <w:r>
        <w:rPr>
          <w:rFonts w:hint="eastAsia" w:ascii="宋体" w:hAnsi="宋体" w:eastAsia="宋体" w:cs="宋体"/>
          <w:sz w:val="24"/>
          <w:szCs w:val="24"/>
        </w:rPr>
        <w:t>7寸触控彩色屏幕，支持中英文界面，简单易用</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20、程序管理：支持中英文界面切换、新建、编辑、删除模式程序，自由灵活编辑提取程序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21、相关资质：取得国家ISO9001、ISO13485质量管理体系认证</w:t>
      </w:r>
    </w:p>
    <w:p>
      <w:pPr>
        <w:numPr>
          <w:ilvl w:val="0"/>
          <w:numId w:val="8"/>
        </w:numPr>
        <w:snapToGrid/>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lang w:val="en-US"/>
        </w:rPr>
      </w:pPr>
      <w:r>
        <w:rPr>
          <w:rFonts w:hint="eastAsia" w:ascii="宋体" w:hAnsi="宋体" w:eastAsia="宋体" w:cs="宋体"/>
          <w:b/>
          <w:bCs/>
          <w:i w:val="0"/>
          <w:iCs w:val="0"/>
          <w:color w:val="000000"/>
          <w:kern w:val="0"/>
          <w:sz w:val="24"/>
          <w:szCs w:val="24"/>
          <w:u w:val="none"/>
          <w:lang w:val="en-US" w:eastAsia="zh-CN" w:bidi="ar"/>
        </w:rPr>
        <w:t>过氧化氢消毒机（器）</w:t>
      </w:r>
      <w:r>
        <w:rPr>
          <w:rFonts w:hint="eastAsia" w:ascii="宋体" w:hAnsi="宋体" w:eastAsia="宋体" w:cs="宋体"/>
          <w:b/>
          <w:bCs/>
          <w:i w:val="0"/>
          <w:caps w:val="0"/>
          <w:spacing w:val="0"/>
          <w:w w:val="100"/>
          <w:sz w:val="24"/>
          <w:szCs w:val="24"/>
          <w:lang w:val="en-US" w:eastAsia="zh-CN"/>
        </w:rPr>
        <w:t xml:space="preserve"> </w:t>
      </w:r>
    </w:p>
    <w:p>
      <w:pPr>
        <w:keepLines w:val="0"/>
        <w:widowControl/>
        <w:numPr>
          <w:ilvl w:val="0"/>
          <w:numId w:val="9"/>
        </w:numPr>
        <w:suppressLineNumbers w:val="0"/>
        <w:snapToGrid/>
        <w:spacing w:before="0" w:beforeAutospacing="0" w:after="0" w:afterAutospacing="0" w:line="240" w:lineRule="auto"/>
        <w:ind w:left="425" w:leftChars="0" w:hanging="425"/>
        <w:jc w:val="left"/>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rPr>
        <w:t>※</w:t>
      </w:r>
      <w:r>
        <w:rPr>
          <w:rFonts w:hint="eastAsia" w:ascii="宋体" w:hAnsi="宋体" w:eastAsia="宋体" w:cs="宋体"/>
          <w:b w:val="0"/>
          <w:i w:val="0"/>
          <w:caps w:val="0"/>
          <w:spacing w:val="0"/>
          <w:w w:val="100"/>
          <w:sz w:val="24"/>
          <w:szCs w:val="24"/>
          <w:lang w:val="en-US" w:eastAsia="zh-CN"/>
        </w:rPr>
        <w:t>过氧化氢消毒机的制造商必须具备《消毒产品生产企业卫生许可证》。</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消毒机适用于医院，救护车，实验室，动物房，细胞房等洁净空间消毒灭菌</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环境条件：温度-4℃－38℃，湿度5%－90%RH</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可优于此项参数</w:t>
      </w:r>
      <w:r>
        <w:rPr>
          <w:rFonts w:hint="eastAsia" w:ascii="宋体" w:hAnsi="宋体" w:eastAsia="宋体" w:cs="宋体"/>
          <w:b w:val="0"/>
          <w:i w:val="0"/>
          <w:caps w:val="0"/>
          <w:spacing w:val="0"/>
          <w:w w:val="100"/>
          <w:sz w:val="24"/>
          <w:szCs w:val="24"/>
          <w:lang w:eastAsia="zh-CN"/>
        </w:rPr>
        <w:t>）</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产品体积小巧，带单个手柄便携，设备便捷化操作，具有圆形触摸人机交互真彩色显示屏，可以实现设备的启动，停止，暂停，提供操作视频</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产品的消毒灌容量≥1.5L且≤2L，其对应单台单次有效消毒达到</w:t>
      </w:r>
      <w:r>
        <w:rPr>
          <w:rFonts w:hint="eastAsia" w:ascii="宋体" w:hAnsi="宋体" w:eastAsia="宋体" w:cs="宋体"/>
          <w:b w:val="0"/>
          <w:i w:val="0"/>
          <w:caps w:val="0"/>
          <w:spacing w:val="0"/>
          <w:w w:val="100"/>
          <w:sz w:val="24"/>
          <w:szCs w:val="24"/>
          <w:lang w:val="en-US" w:eastAsia="zh-CN"/>
        </w:rPr>
        <w:t>≥</w:t>
      </w:r>
      <w:r>
        <w:rPr>
          <w:rFonts w:hint="eastAsia" w:ascii="宋体" w:hAnsi="宋体" w:eastAsia="宋体" w:cs="宋体"/>
          <w:b w:val="0"/>
          <w:i w:val="0"/>
          <w:caps w:val="0"/>
          <w:spacing w:val="0"/>
          <w:w w:val="100"/>
          <w:sz w:val="24"/>
          <w:szCs w:val="24"/>
        </w:rPr>
        <w:t>750立方米空间大小，需提供第三方CNAS+CNA实验室出具检测报告复印件证明其消毒空间大小，需提供该检测机构的电话查验真实性</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t>※</w:t>
      </w:r>
      <w:r>
        <w:rPr>
          <w:rFonts w:hint="eastAsia" w:ascii="宋体" w:hAnsi="宋体" w:eastAsia="宋体" w:cs="宋体"/>
          <w:b w:val="0"/>
          <w:i w:val="0"/>
          <w:caps w:val="0"/>
          <w:spacing w:val="0"/>
          <w:w w:val="100"/>
          <w:sz w:val="24"/>
          <w:szCs w:val="24"/>
        </w:rPr>
        <w:t>配套使用的消毒液（含型号），必须具有中国人民共和国消毒产品备案，且主要成分为过氧化氢 。过氧化氢浓度大于7%且≤7.8%，需提供带“消毒备案网站水印”的检测报告页复印件并需取得该液体生产厂家或责任单位对项目的授权书。</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t>※</w:t>
      </w:r>
      <w:r>
        <w:rPr>
          <w:rFonts w:hint="eastAsia" w:ascii="宋体" w:hAnsi="宋体" w:eastAsia="宋体" w:cs="宋体"/>
          <w:b w:val="0"/>
          <w:i w:val="0"/>
          <w:caps w:val="0"/>
          <w:spacing w:val="0"/>
          <w:w w:val="100"/>
          <w:sz w:val="24"/>
          <w:szCs w:val="24"/>
        </w:rPr>
        <w:t>产品使用配套消毒液</w:t>
      </w:r>
      <w:r>
        <w:rPr>
          <w:rFonts w:hint="eastAsia" w:ascii="宋体" w:hAnsi="宋体" w:eastAsia="宋体" w:cs="宋体"/>
          <w:b w:val="0"/>
          <w:i w:val="0"/>
          <w:caps w:val="0"/>
          <w:spacing w:val="0"/>
          <w:w w:val="100"/>
          <w:sz w:val="24"/>
          <w:szCs w:val="24"/>
          <w:lang w:val="en-US" w:eastAsia="zh-CN"/>
        </w:rPr>
        <w:t>≥</w:t>
      </w:r>
      <w:r>
        <w:rPr>
          <w:rFonts w:hint="eastAsia" w:ascii="宋体" w:hAnsi="宋体" w:eastAsia="宋体" w:cs="宋体"/>
          <w:b w:val="0"/>
          <w:i w:val="0"/>
          <w:caps w:val="0"/>
          <w:spacing w:val="0"/>
          <w:w w:val="100"/>
          <w:sz w:val="24"/>
          <w:szCs w:val="24"/>
        </w:rPr>
        <w:t>2ml/立方米的用量可同时灭杀白色葡萄球菌和空气中自然菌，符合《消毒技术规范》（2002年版）2.1.3中模拟现场和现场试验测试要求，消毒合格，并提供CNAS+CMA 、iLac MRA共同认证资质证体系检测机构的检测报告复印件，需提供该检测机构的电话查验真实性</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产品具备消毒产品备案，在全国消毒产品备案网站可查询</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 配套使用的消毒液在54摄氏度条件下放置14天，其有效成分下降率≤</w:t>
      </w:r>
      <w:r>
        <w:rPr>
          <w:rFonts w:hint="eastAsia" w:ascii="宋体" w:hAnsi="宋体" w:eastAsia="宋体" w:cs="宋体"/>
          <w:b w:val="0"/>
          <w:i w:val="0"/>
          <w:caps w:val="0"/>
          <w:spacing w:val="0"/>
          <w:w w:val="100"/>
          <w:sz w:val="24"/>
          <w:szCs w:val="24"/>
          <w:lang w:val="en-US" w:eastAsia="zh-CN"/>
        </w:rPr>
        <w:t>1</w:t>
      </w:r>
      <w:r>
        <w:rPr>
          <w:rFonts w:hint="eastAsia" w:ascii="宋体" w:hAnsi="宋体" w:eastAsia="宋体" w:cs="宋体"/>
          <w:b w:val="0"/>
          <w:i w:val="0"/>
          <w:caps w:val="0"/>
          <w:spacing w:val="0"/>
          <w:w w:val="100"/>
          <w:sz w:val="24"/>
          <w:szCs w:val="24"/>
        </w:rPr>
        <w:t>%，以保证消毒液的稳定性，提供相对应的检测报告复印件</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设备不得采用固定消毒液储存罐体，需采用单独包装，一次性更换，以避免二次污染</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★设备提供手机免费软件控制APP，可通过手机进行设备用量调节，启动，暂停，停止等功能，需提供软件实际操作视频</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系统具备消毒数据的存储功能，且</w:t>
      </w:r>
      <w:r>
        <w:rPr>
          <w:rFonts w:hint="eastAsia" w:ascii="宋体" w:hAnsi="宋体" w:eastAsia="宋体" w:cs="宋体"/>
          <w:b w:val="0"/>
          <w:i w:val="0"/>
          <w:caps w:val="0"/>
          <w:spacing w:val="0"/>
          <w:w w:val="100"/>
          <w:sz w:val="24"/>
          <w:szCs w:val="24"/>
          <w:lang w:val="en-US" w:eastAsia="zh-CN"/>
        </w:rPr>
        <w:t>≥</w:t>
      </w:r>
      <w:r>
        <w:rPr>
          <w:rFonts w:hint="eastAsia" w:ascii="宋体" w:hAnsi="宋体" w:eastAsia="宋体" w:cs="宋体"/>
          <w:b w:val="0"/>
          <w:i w:val="0"/>
          <w:caps w:val="0"/>
          <w:spacing w:val="0"/>
          <w:w w:val="100"/>
          <w:sz w:val="24"/>
          <w:szCs w:val="24"/>
        </w:rPr>
        <w:t>10万组，数据的备份、恢复和导出功能</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设备</w:t>
      </w:r>
      <w:r>
        <w:rPr>
          <w:rFonts w:hint="eastAsia" w:ascii="宋体" w:hAnsi="宋体" w:eastAsia="宋体" w:cs="宋体"/>
          <w:b w:val="0"/>
          <w:i w:val="0"/>
          <w:caps w:val="0"/>
          <w:spacing w:val="0"/>
          <w:w w:val="100"/>
          <w:sz w:val="24"/>
          <w:szCs w:val="24"/>
          <w:lang w:val="en-US" w:eastAsia="zh-CN"/>
        </w:rPr>
        <w:t>选</w:t>
      </w:r>
      <w:r>
        <w:rPr>
          <w:rFonts w:hint="eastAsia" w:ascii="宋体" w:hAnsi="宋体" w:eastAsia="宋体" w:cs="宋体"/>
          <w:b w:val="0"/>
          <w:i w:val="0"/>
          <w:caps w:val="0"/>
          <w:spacing w:val="0"/>
          <w:w w:val="100"/>
          <w:sz w:val="24"/>
          <w:szCs w:val="24"/>
        </w:rPr>
        <w:t>配有过氧化氢液体浓度检测仪，即时读数，数显浓度，读数精确到0.1%</w:t>
      </w:r>
    </w:p>
    <w:p>
      <w:pPr>
        <w:numPr>
          <w:ilvl w:val="0"/>
          <w:numId w:val="9"/>
        </w:numPr>
        <w:snapToGrid/>
        <w:spacing w:before="0" w:beforeAutospacing="0" w:after="0" w:afterAutospacing="0" w:line="360" w:lineRule="auto"/>
        <w:ind w:left="425" w:leftChars="0" w:hanging="425"/>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设备</w:t>
      </w:r>
      <w:r>
        <w:rPr>
          <w:rFonts w:hint="eastAsia" w:ascii="宋体" w:hAnsi="宋体" w:eastAsia="宋体" w:cs="宋体"/>
          <w:b w:val="0"/>
          <w:i w:val="0"/>
          <w:caps w:val="0"/>
          <w:spacing w:val="0"/>
          <w:w w:val="100"/>
          <w:sz w:val="24"/>
          <w:szCs w:val="24"/>
          <w:lang w:val="en-US" w:eastAsia="zh-CN"/>
        </w:rPr>
        <w:t>选</w:t>
      </w:r>
      <w:r>
        <w:rPr>
          <w:rFonts w:hint="eastAsia" w:ascii="宋体" w:hAnsi="宋体" w:eastAsia="宋体" w:cs="宋体"/>
          <w:b w:val="0"/>
          <w:i w:val="0"/>
          <w:caps w:val="0"/>
          <w:spacing w:val="0"/>
          <w:w w:val="100"/>
          <w:sz w:val="24"/>
          <w:szCs w:val="24"/>
        </w:rPr>
        <w:t>配有空间过氧化氢浓度检测仪，即时读数，读数精确到0.1ppm</w:t>
      </w:r>
    </w:p>
    <w:p>
      <w:pPr>
        <w:pStyle w:val="15"/>
        <w:rPr>
          <w:rFonts w:hint="eastAsia" w:ascii="宋体" w:hAnsi="宋体" w:eastAsia="宋体" w:cs="宋体"/>
          <w:b w:val="0"/>
          <w:i w:val="0"/>
          <w:caps w:val="0"/>
          <w:spacing w:val="0"/>
          <w:w w:val="100"/>
          <w:sz w:val="24"/>
          <w:szCs w:val="24"/>
        </w:rPr>
      </w:pPr>
    </w:p>
    <w:p>
      <w:pPr>
        <w:rPr>
          <w:rFonts w:hint="eastAsia" w:ascii="宋体" w:hAnsi="宋体" w:eastAsia="宋体" w:cs="宋体"/>
          <w:sz w:val="24"/>
          <w:szCs w:val="24"/>
        </w:rPr>
      </w:pPr>
    </w:p>
    <w:p>
      <w:pPr>
        <w:rPr>
          <w:rFonts w:hint="eastAsia" w:ascii="宋体" w:hAnsi="宋体" w:eastAsia="宋体" w:cs="宋体"/>
          <w:color w:val="000000"/>
          <w:sz w:val="24"/>
          <w:szCs w:val="24"/>
        </w:rPr>
      </w:pPr>
      <w:r>
        <w:rPr>
          <w:rStyle w:val="23"/>
          <w:rFonts w:hint="eastAsia" w:ascii="宋体" w:hAnsi="宋体" w:eastAsia="宋体" w:cs="宋体"/>
          <w:b/>
          <w:bCs w:val="0"/>
          <w:color w:val="000000"/>
          <w:sz w:val="24"/>
          <w:szCs w:val="24"/>
          <w:lang w:val="en-US" w:eastAsia="zh-CN"/>
        </w:rPr>
        <w:br w:type="page"/>
      </w:r>
    </w:p>
    <w:p>
      <w:pPr>
        <w:numPr>
          <w:ilvl w:val="0"/>
          <w:numId w:val="8"/>
        </w:numPr>
        <w:ind w:left="0" w:leftChars="0" w:firstLine="0" w:firstLineChars="0"/>
        <w:jc w:val="center"/>
        <w:rPr>
          <w:rFonts w:hint="eastAsia" w:ascii="宋体" w:hAnsi="宋体" w:eastAsia="宋体" w:cs="宋体"/>
          <w:color w:val="000000"/>
          <w:sz w:val="24"/>
          <w:szCs w:val="24"/>
        </w:rPr>
      </w:pPr>
      <w:r>
        <w:rPr>
          <w:rStyle w:val="23"/>
          <w:rFonts w:hint="eastAsia" w:ascii="宋体" w:hAnsi="宋体" w:eastAsia="宋体" w:cs="宋体"/>
          <w:b/>
          <w:bCs w:val="0"/>
          <w:color w:val="000000"/>
          <w:sz w:val="24"/>
          <w:szCs w:val="24"/>
          <w:lang w:val="en-US" w:eastAsia="zh-CN"/>
        </w:rPr>
        <w:t>单道可调F2移液器</w:t>
      </w:r>
      <w:r>
        <w:rPr>
          <w:rStyle w:val="23"/>
          <w:rFonts w:hint="eastAsia" w:ascii="宋体" w:hAnsi="宋体" w:eastAsia="宋体" w:cs="宋体"/>
          <w:b/>
          <w:bCs w:val="0"/>
          <w:color w:val="000000"/>
          <w:sz w:val="24"/>
          <w:szCs w:val="24"/>
        </w:rPr>
        <w:t>技术</w:t>
      </w:r>
      <w:r>
        <w:rPr>
          <w:rStyle w:val="23"/>
          <w:rFonts w:hint="eastAsia" w:ascii="宋体" w:hAnsi="宋体" w:eastAsia="宋体" w:cs="宋体"/>
          <w:b/>
          <w:bCs w:val="0"/>
          <w:color w:val="000000"/>
          <w:sz w:val="24"/>
          <w:szCs w:val="24"/>
          <w:lang w:val="en-US" w:eastAsia="zh-CN"/>
        </w:rPr>
        <w:t>参数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sz w:val="24"/>
          <w:szCs w:val="24"/>
          <w:lang w:val="en-US" w:eastAsia="zh-CN"/>
        </w:rPr>
        <w:t>一、产品特点</w:t>
      </w:r>
    </w:p>
    <w:p>
      <w:pPr>
        <w:spacing w:line="300" w:lineRule="auto"/>
        <w:jc w:val="left"/>
        <w:rPr>
          <w:rFonts w:hint="eastAsia" w:ascii="宋体" w:hAnsi="宋体" w:eastAsia="宋体" w:cs="宋体"/>
          <w:sz w:val="24"/>
          <w:szCs w:val="24"/>
          <w:lang w:eastAsia="zh-CN"/>
        </w:rPr>
      </w:pPr>
      <w:r>
        <w:rPr>
          <w:rFonts w:hint="eastAsia" w:ascii="宋体" w:hAnsi="宋体" w:eastAsia="宋体" w:cs="宋体"/>
          <w:sz w:val="24"/>
          <w:szCs w:val="24"/>
        </w:rPr>
        <w:t>1、连续可调单道移液器的量程涵盖：0.2-2l, 0.5-5l, 1-10l, 2-20l, 10-100l, 20-200l, 100-1000l, 0.5-5ml, 1-10</w:t>
      </w:r>
      <w:r>
        <w:rPr>
          <w:rFonts w:hint="eastAsia" w:ascii="宋体" w:hAnsi="宋体" w:eastAsia="宋体" w:cs="宋体"/>
          <w:color w:val="000000" w:themeColor="text1"/>
          <w:sz w:val="24"/>
          <w:szCs w:val="24"/>
          <w14:textFill>
            <w14:solidFill>
              <w14:schemeClr w14:val="tx1"/>
            </w14:solidFill>
          </w14:textFill>
        </w:rPr>
        <w:t>ml；</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2、</w:t>
      </w:r>
      <w:r>
        <w:rPr>
          <w:rFonts w:hint="eastAsia" w:ascii="宋体" w:hAnsi="宋体" w:eastAsia="宋体" w:cs="宋体"/>
          <w:b/>
          <w:sz w:val="24"/>
          <w:szCs w:val="24"/>
        </w:rPr>
        <w:t>无需拆卸即可整支高温高压灭菌</w:t>
      </w:r>
      <w:r>
        <w:rPr>
          <w:rFonts w:hint="eastAsia" w:ascii="宋体" w:hAnsi="宋体" w:eastAsia="宋体" w:cs="宋体"/>
          <w:sz w:val="24"/>
          <w:szCs w:val="24"/>
        </w:rPr>
        <w:t>，同时可整支紫外消毒；</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Cs/>
          <w:sz w:val="24"/>
          <w:szCs w:val="24"/>
        </w:rPr>
        <w:t>符合人体工程学设计，活塞极轻，弯钩状指靠使移液器在不握移液器的情况下也能钩在手上。移液时甚至不用握住移液器；</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sz w:val="24"/>
          <w:szCs w:val="24"/>
        </w:rPr>
        <w:t>低于50ul量程的移液器</w:t>
      </w:r>
      <w:r>
        <w:rPr>
          <w:rFonts w:hint="eastAsia" w:ascii="宋体" w:hAnsi="宋体" w:eastAsia="宋体" w:cs="宋体"/>
          <w:b/>
          <w:sz w:val="24"/>
          <w:szCs w:val="24"/>
        </w:rPr>
        <w:t>双活塞设计</w:t>
      </w:r>
      <w:r>
        <w:rPr>
          <w:rFonts w:hint="eastAsia" w:ascii="宋体" w:hAnsi="宋体" w:eastAsia="宋体" w:cs="宋体"/>
          <w:sz w:val="24"/>
          <w:szCs w:val="24"/>
        </w:rPr>
        <w:t>，确保移液器具有强吹出能力；</w:t>
      </w:r>
    </w:p>
    <w:p>
      <w:pP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bCs/>
          <w:sz w:val="24"/>
          <w:szCs w:val="24"/>
        </w:rPr>
        <w:t>液量调节装置：所显示的数字后</w:t>
      </w:r>
      <w:r>
        <w:rPr>
          <w:rFonts w:hint="eastAsia" w:ascii="宋体" w:hAnsi="宋体" w:eastAsia="宋体" w:cs="宋体"/>
          <w:sz w:val="24"/>
          <w:szCs w:val="24"/>
        </w:rPr>
        <w:t>带微量刻度尺，设定移液量有指针指示。调节时步进为一个刻度且指针只会停止于刻度线上</w:t>
      </w:r>
      <w:r>
        <w:rPr>
          <w:rFonts w:hint="eastAsia" w:ascii="宋体" w:hAnsi="宋体" w:eastAsia="宋体" w:cs="宋体"/>
          <w:bCs/>
          <w:sz w:val="24"/>
          <w:szCs w:val="24"/>
        </w:rPr>
        <w:t>；</w:t>
      </w:r>
    </w:p>
    <w:p>
      <w:pP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
          <w:bCs/>
          <w:sz w:val="24"/>
          <w:szCs w:val="24"/>
        </w:rPr>
        <w:t>双控按钮设计</w:t>
      </w:r>
      <w:r>
        <w:rPr>
          <w:rFonts w:hint="eastAsia" w:ascii="宋体" w:hAnsi="宋体" w:eastAsia="宋体" w:cs="宋体"/>
          <w:bCs/>
          <w:sz w:val="24"/>
          <w:szCs w:val="24"/>
        </w:rPr>
        <w:t>:顶部旋转式按钮帽确保流畅稳定的移液，底部液量调节按钮用于精细的移液操作，有效预防移液中间的误操作；</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、黑色背景，白色超大数字显示，带微量刻度尺；</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、方便在实验室校准，提供网上</w:t>
      </w:r>
      <w:r>
        <w:rPr>
          <w:rFonts w:hint="eastAsia" w:ascii="宋体" w:hAnsi="宋体" w:eastAsia="宋体" w:cs="宋体"/>
          <w:b/>
          <w:sz w:val="24"/>
          <w:szCs w:val="24"/>
        </w:rPr>
        <w:t>在线校准软件</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、配有</w:t>
      </w:r>
      <w:r>
        <w:rPr>
          <w:rFonts w:hint="eastAsia" w:ascii="宋体" w:hAnsi="宋体" w:eastAsia="宋体" w:cs="宋体"/>
          <w:b/>
          <w:sz w:val="24"/>
          <w:szCs w:val="24"/>
        </w:rPr>
        <w:t>ID标签</w:t>
      </w:r>
      <w:r>
        <w:rPr>
          <w:rFonts w:hint="eastAsia" w:ascii="宋体" w:hAnsi="宋体" w:eastAsia="宋体" w:cs="宋体"/>
          <w:sz w:val="24"/>
          <w:szCs w:val="24"/>
        </w:rPr>
        <w:t>，包括3枚预置标签和空白标签，方便区分；</w:t>
      </w:r>
    </w:p>
    <w:p>
      <w:pPr>
        <w:spacing w:line="300" w:lineRule="auto"/>
        <w:jc w:val="left"/>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、标配校准保养工具，易于维修保养。</w:t>
      </w:r>
      <w:r>
        <w:rPr>
          <w:rFonts w:hint="eastAsia" w:ascii="宋体" w:hAnsi="宋体" w:eastAsia="宋体" w:cs="宋体"/>
          <w:b/>
          <w:sz w:val="24"/>
          <w:szCs w:val="24"/>
        </w:rPr>
        <w:t>当地具有授权的维修中心；</w:t>
      </w:r>
    </w:p>
    <w:p>
      <w:pPr>
        <w:spacing w:line="300" w:lineRule="auto"/>
        <w:rPr>
          <w:rFonts w:hint="eastAsia" w:ascii="宋体" w:hAnsi="宋体" w:eastAsia="宋体" w:cs="宋体"/>
          <w:bCs/>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bCs/>
          <w:sz w:val="24"/>
          <w:szCs w:val="24"/>
        </w:rPr>
        <w:t>色彩靓丽，不同色彩标记不同的量程，易于辨识，可配合同样颜色标记的吸头配合使用；</w:t>
      </w:r>
    </w:p>
    <w:p>
      <w:pPr>
        <w:spacing w:line="30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、使用标准配备工具，可在实验室方便快捷地进行校准和维修；</w:t>
      </w: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六、</w:t>
      </w:r>
      <w:r>
        <w:rPr>
          <w:rStyle w:val="23"/>
          <w:rFonts w:hint="eastAsia" w:ascii="宋体" w:hAnsi="宋体" w:eastAsia="宋体" w:cs="宋体"/>
          <w:b/>
          <w:bCs w:val="0"/>
          <w:color w:val="000000"/>
          <w:sz w:val="24"/>
          <w:szCs w:val="24"/>
          <w:lang w:val="en-US" w:eastAsia="zh-CN"/>
        </w:rPr>
        <w:t>多道可调F2移液器</w:t>
      </w:r>
      <w:r>
        <w:rPr>
          <w:rStyle w:val="23"/>
          <w:rFonts w:hint="eastAsia" w:ascii="宋体" w:hAnsi="宋体" w:eastAsia="宋体" w:cs="宋体"/>
          <w:b/>
          <w:bCs w:val="0"/>
          <w:color w:val="000000"/>
          <w:sz w:val="24"/>
          <w:szCs w:val="24"/>
        </w:rPr>
        <w:t>技术</w:t>
      </w:r>
      <w:r>
        <w:rPr>
          <w:rStyle w:val="23"/>
          <w:rFonts w:hint="eastAsia" w:ascii="宋体" w:hAnsi="宋体" w:eastAsia="宋体" w:cs="宋体"/>
          <w:b/>
          <w:bCs w:val="0"/>
          <w:color w:val="000000"/>
          <w:sz w:val="24"/>
          <w:szCs w:val="24"/>
          <w:lang w:val="en-US" w:eastAsia="zh-CN"/>
        </w:rPr>
        <w:t>参数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color w:val="000000"/>
          <w:kern w:val="0"/>
          <w:sz w:val="24"/>
          <w:szCs w:val="24"/>
          <w:lang w:val="en-US" w:eastAsia="zh-CN" w:bidi="ar-SA"/>
        </w:rPr>
        <w:t xml:space="preserve"> </w:t>
      </w:r>
      <w:r>
        <w:rPr>
          <w:rFonts w:hint="eastAsia" w:ascii="宋体" w:hAnsi="宋体" w:eastAsia="宋体" w:cs="宋体"/>
          <w:b/>
          <w:bCs/>
          <w:sz w:val="24"/>
          <w:szCs w:val="24"/>
          <w:lang w:val="en-US" w:eastAsia="zh-CN"/>
        </w:rPr>
        <w:t>一、产品特点</w:t>
      </w:r>
    </w:p>
    <w:p>
      <w:pPr>
        <w:spacing w:line="300" w:lineRule="auto"/>
        <w:jc w:val="left"/>
        <w:rPr>
          <w:rFonts w:hint="eastAsia" w:ascii="宋体" w:hAnsi="宋体" w:eastAsia="宋体" w:cs="宋体"/>
          <w:sz w:val="24"/>
          <w:szCs w:val="24"/>
        </w:rPr>
      </w:pPr>
      <w:r>
        <w:rPr>
          <w:rFonts w:hint="eastAsia" w:ascii="宋体" w:hAnsi="宋体" w:eastAsia="宋体" w:cs="宋体"/>
          <w:sz w:val="24"/>
          <w:szCs w:val="24"/>
        </w:rPr>
        <w:t>1、连续可调多道移液器的量程涵盖：8道和12道量程从1-10l, 5-50l, 10-100l,至30-300l, 可配合384孔板使用的16道1-10l, 5-50l移液器；</w:t>
      </w:r>
    </w:p>
    <w:p>
      <w:pP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sz w:val="24"/>
          <w:szCs w:val="24"/>
        </w:rPr>
        <w:t>2、采用极佳的耐热材质，</w:t>
      </w:r>
      <w:r>
        <w:rPr>
          <w:rFonts w:hint="eastAsia" w:ascii="宋体" w:hAnsi="宋体" w:eastAsia="宋体" w:cs="宋体"/>
          <w:b/>
          <w:sz w:val="24"/>
          <w:szCs w:val="24"/>
        </w:rPr>
        <w:t>可整支高温高压灭菌</w:t>
      </w:r>
      <w:r>
        <w:rPr>
          <w:rFonts w:hint="eastAsia" w:ascii="宋体" w:hAnsi="宋体" w:eastAsia="宋体" w:cs="宋体"/>
          <w:sz w:val="24"/>
          <w:szCs w:val="24"/>
        </w:rPr>
        <w:t>，无需拆卸。并且可整支紫外消毒；</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Cs/>
          <w:sz w:val="24"/>
          <w:szCs w:val="24"/>
        </w:rPr>
        <w:t>符合人体工程学设计，活塞极轻，弯钩状指靠使移液器在不握移液器的情况下也能钩在手上。移液时甚至不用握住移液器；</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sz w:val="24"/>
          <w:szCs w:val="24"/>
        </w:rPr>
        <w:t>低于50ul量程的移液器</w:t>
      </w:r>
      <w:r>
        <w:rPr>
          <w:rFonts w:hint="eastAsia" w:ascii="宋体" w:hAnsi="宋体" w:eastAsia="宋体" w:cs="宋体"/>
          <w:b/>
          <w:sz w:val="24"/>
          <w:szCs w:val="24"/>
        </w:rPr>
        <w:t>双活塞设计</w:t>
      </w:r>
      <w:r>
        <w:rPr>
          <w:rFonts w:hint="eastAsia" w:ascii="宋体" w:hAnsi="宋体" w:eastAsia="宋体" w:cs="宋体"/>
          <w:sz w:val="24"/>
          <w:szCs w:val="24"/>
        </w:rPr>
        <w:t>，确保移液器具有强吹出能力；</w:t>
      </w:r>
    </w:p>
    <w:p>
      <w:pP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bCs/>
          <w:sz w:val="24"/>
          <w:szCs w:val="24"/>
        </w:rPr>
        <w:t>液量调节装置：所显示的数字后</w:t>
      </w:r>
      <w:r>
        <w:rPr>
          <w:rFonts w:hint="eastAsia" w:ascii="宋体" w:hAnsi="宋体" w:eastAsia="宋体" w:cs="宋体"/>
          <w:sz w:val="24"/>
          <w:szCs w:val="24"/>
        </w:rPr>
        <w:t>带微量刻度尺，设定移液量有指针指示。调节时步进为一个刻度且指针只会停止于刻度线上</w:t>
      </w:r>
      <w:r>
        <w:rPr>
          <w:rFonts w:hint="eastAsia" w:ascii="宋体" w:hAnsi="宋体" w:eastAsia="宋体" w:cs="宋体"/>
          <w:bCs/>
          <w:sz w:val="24"/>
          <w:szCs w:val="24"/>
        </w:rPr>
        <w:t>；</w:t>
      </w:r>
    </w:p>
    <w:p>
      <w:pP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
          <w:bCs/>
          <w:sz w:val="24"/>
          <w:szCs w:val="24"/>
        </w:rPr>
        <w:t>双控按钮设计</w:t>
      </w:r>
      <w:r>
        <w:rPr>
          <w:rFonts w:hint="eastAsia" w:ascii="宋体" w:hAnsi="宋体" w:eastAsia="宋体" w:cs="宋体"/>
          <w:bCs/>
          <w:sz w:val="24"/>
          <w:szCs w:val="24"/>
        </w:rPr>
        <w:t>:顶部旋转式按钮帽确保流畅稳定的移液，底部液量调节按钮用于精细的移液操作，有效预防移液中间的误操作；</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、黑色背景，白色超大数字显示，带微量刻度尺；</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、方便在实验室校准，提供网上</w:t>
      </w:r>
      <w:r>
        <w:rPr>
          <w:rFonts w:hint="eastAsia" w:ascii="宋体" w:hAnsi="宋体" w:eastAsia="宋体" w:cs="宋体"/>
          <w:b/>
          <w:sz w:val="24"/>
          <w:szCs w:val="24"/>
        </w:rPr>
        <w:t>在线校准软件</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、配有</w:t>
      </w:r>
      <w:r>
        <w:rPr>
          <w:rFonts w:hint="eastAsia" w:ascii="宋体" w:hAnsi="宋体" w:eastAsia="宋体" w:cs="宋体"/>
          <w:b/>
          <w:sz w:val="24"/>
          <w:szCs w:val="24"/>
        </w:rPr>
        <w:t>ID标签</w:t>
      </w:r>
      <w:r>
        <w:rPr>
          <w:rFonts w:hint="eastAsia" w:ascii="宋体" w:hAnsi="宋体" w:eastAsia="宋体" w:cs="宋体"/>
          <w:sz w:val="24"/>
          <w:szCs w:val="24"/>
        </w:rPr>
        <w:t>，包括3枚预置标签和空白标签，方便区分；</w:t>
      </w:r>
    </w:p>
    <w:p>
      <w:pPr>
        <w:spacing w:line="300" w:lineRule="auto"/>
        <w:jc w:val="left"/>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、标配校准保养工具，易于维修保养。</w:t>
      </w:r>
      <w:r>
        <w:rPr>
          <w:rFonts w:hint="eastAsia" w:ascii="宋体" w:hAnsi="宋体" w:eastAsia="宋体" w:cs="宋体"/>
          <w:b/>
          <w:sz w:val="24"/>
          <w:szCs w:val="24"/>
        </w:rPr>
        <w:t>当地具有授权的维修中心；</w:t>
      </w:r>
    </w:p>
    <w:p>
      <w:pPr>
        <w:spacing w:line="300" w:lineRule="auto"/>
        <w:rPr>
          <w:rFonts w:hint="eastAsia" w:ascii="宋体" w:hAnsi="宋体" w:eastAsia="宋体" w:cs="宋体"/>
          <w:bCs/>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bCs/>
          <w:sz w:val="24"/>
          <w:szCs w:val="24"/>
        </w:rPr>
        <w:t>色彩靓丽，不同色彩标记不同的量程，易于辨识，可配合同样颜色标记的吸头配合使用；</w:t>
      </w:r>
    </w:p>
    <w:p>
      <w:pPr>
        <w:spacing w:line="300" w:lineRule="auto"/>
        <w:rPr>
          <w:rFonts w:hint="eastAsia" w:ascii="宋体" w:hAnsi="宋体" w:eastAsia="宋体" w:cs="宋体"/>
          <w:b/>
          <w:bCs/>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、使用标准配备工具，可在实验室方便快捷地进行校准和维修；</w:t>
      </w:r>
    </w:p>
    <w:p>
      <w:pPr>
        <w:pStyle w:val="15"/>
        <w:numPr>
          <w:ilvl w:val="0"/>
          <w:numId w:val="10"/>
        </w:num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空调排风机</w:t>
      </w:r>
    </w:p>
    <w:p>
      <w:pPr>
        <w:pStyle w:val="15"/>
        <w:numPr>
          <w:ilvl w:val="0"/>
          <w:numId w:val="0"/>
        </w:num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电源：≥380v</w:t>
      </w:r>
    </w:p>
    <w:p>
      <w:pPr>
        <w:pStyle w:val="15"/>
        <w:numPr>
          <w:ilvl w:val="0"/>
          <w:numId w:val="0"/>
        </w:num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频率：≥50hz</w:t>
      </w:r>
    </w:p>
    <w:p>
      <w:pPr>
        <w:pStyle w:val="15"/>
        <w:numPr>
          <w:ilvl w:val="0"/>
          <w:numId w:val="0"/>
        </w:num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功率：≤4kw</w:t>
      </w:r>
    </w:p>
    <w:p>
      <w:pPr>
        <w:pStyle w:val="15"/>
        <w:numPr>
          <w:ilvl w:val="0"/>
          <w:numId w:val="0"/>
        </w:num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控制输入：0-10v</w:t>
      </w:r>
    </w:p>
    <w:p>
      <w:pPr>
        <w:pStyle w:val="15"/>
        <w:numPr>
          <w:ilvl w:val="0"/>
          <w:numId w:val="0"/>
        </w:numPr>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风量：≥0-7000m³/h</w:t>
      </w:r>
    </w:p>
    <w:p>
      <w:pPr>
        <w:pStyle w:val="15"/>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安装尺寸：根据现场布局所定。</w:t>
      </w:r>
    </w:p>
    <w:p>
      <w:pPr>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八、空调滤芯参数</w:t>
      </w:r>
    </w:p>
    <w:p>
      <w:pPr>
        <w:pStyle w:val="15"/>
        <w:jc w:val="center"/>
        <w:rPr>
          <w:rFonts w:hint="eastAsia" w:ascii="宋体" w:hAnsi="宋体" w:eastAsia="宋体" w:cs="宋体"/>
          <w:b/>
          <w:bCs/>
          <w:sz w:val="24"/>
          <w:szCs w:val="24"/>
          <w:highlight w:val="none"/>
          <w:lang w:val="en-US" w:eastAsia="zh-CN"/>
        </w:rPr>
      </w:pPr>
    </w:p>
    <w:p>
      <w:pPr>
        <w:pStyle w:val="15"/>
        <w:numPr>
          <w:ilvl w:val="0"/>
          <w:numId w:val="11"/>
        </w:numPr>
        <w:spacing w:line="60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板式初效过滤器：规格495*495*45   </w:t>
      </w:r>
    </w:p>
    <w:p>
      <w:pPr>
        <w:pStyle w:val="15"/>
        <w:numPr>
          <w:ilvl w:val="0"/>
          <w:numId w:val="11"/>
        </w:numPr>
        <w:spacing w:line="60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板式初效过滤器：规格290*495*45</w:t>
      </w:r>
    </w:p>
    <w:p>
      <w:pPr>
        <w:pStyle w:val="15"/>
        <w:numPr>
          <w:ilvl w:val="0"/>
          <w:numId w:val="11"/>
        </w:numPr>
        <w:spacing w:line="60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铝合金金边框袋式中效过滤器：规格592*490*381*5P</w:t>
      </w:r>
    </w:p>
    <w:p>
      <w:pPr>
        <w:pStyle w:val="15"/>
        <w:numPr>
          <w:ilvl w:val="0"/>
          <w:numId w:val="11"/>
        </w:numPr>
        <w:spacing w:line="60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铝合金金边框袋式中效过滤器：规格592*281*381*5p</w:t>
      </w:r>
    </w:p>
    <w:p>
      <w:pPr>
        <w:pStyle w:val="15"/>
        <w:numPr>
          <w:ilvl w:val="0"/>
          <w:numId w:val="11"/>
        </w:numPr>
        <w:spacing w:line="60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高效过滤器：规格630*630*90</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备注：（1）如果以上技术参数表述有某个特定品牌的规格型号，投标单位可参照该项目的技术标准选择其他品牌产品替代，并做出说明，原则上不能降低投标产品性能。</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480" w:lineRule="auto"/>
        <w:ind w:left="1004" w:leftChars="345" w:right="-231" w:rightChars="-110" w:hanging="280" w:hangingChars="100"/>
        <w:rPr>
          <w:rFonts w:hint="eastAsia" w:ascii="仿宋" w:hAnsi="仿宋" w:eastAsia="仿宋"/>
          <w:b/>
          <w:color w:val="auto"/>
          <w:sz w:val="28"/>
          <w:szCs w:val="21"/>
          <w:lang w:val="en-CA"/>
        </w:rPr>
      </w:pPr>
      <w:r>
        <w:rPr>
          <w:rFonts w:hint="eastAsia" w:ascii="仿宋" w:hAnsi="仿宋" w:eastAsia="仿宋"/>
          <w:b/>
          <w:color w:val="auto"/>
          <w:sz w:val="28"/>
          <w:szCs w:val="21"/>
          <w:lang w:val="en-US" w:eastAsia="zh-CN"/>
        </w:rPr>
        <w:t>   （3）标书中需附所投产品的品牌、规格、参数和清晰图例。</w:t>
      </w:r>
    </w:p>
    <w:p>
      <w:pPr>
        <w:pStyle w:val="5"/>
      </w:pPr>
    </w:p>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pStyle w:val="18"/>
        <w:ind w:left="0" w:leftChars="0" w:firstLine="0" w:firstLineChars="0"/>
        <w:rPr>
          <w:rStyle w:val="34"/>
          <w:rFonts w:hint="eastAsia" w:ascii="仿宋" w:hAnsi="仿宋" w:eastAsia="仿宋" w:cs="仿宋"/>
          <w:sz w:val="36"/>
          <w:szCs w:val="36"/>
        </w:rPr>
      </w:pPr>
    </w:p>
    <w:p>
      <w:pPr>
        <w:tabs>
          <w:tab w:val="left" w:pos="315"/>
        </w:tabs>
        <w:snapToGrid w:val="0"/>
        <w:spacing w:line="312" w:lineRule="auto"/>
        <w:jc w:val="center"/>
        <w:rPr>
          <w:rStyle w:val="34"/>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4"/>
          <w:rFonts w:hint="eastAsia" w:ascii="仿宋" w:hAnsi="仿宋" w:eastAsia="仿宋" w:cs="仿宋"/>
          <w:sz w:val="36"/>
          <w:szCs w:val="36"/>
        </w:rPr>
        <w:t xml:space="preserve">第四章 </w:t>
      </w:r>
      <w:r>
        <w:rPr>
          <w:rStyle w:val="34"/>
          <w:rFonts w:ascii="仿宋" w:hAnsi="仿宋" w:eastAsia="仿宋" w:cs="仿宋"/>
          <w:sz w:val="36"/>
          <w:szCs w:val="36"/>
        </w:rPr>
        <w:t xml:space="preserve"> </w:t>
      </w:r>
      <w:r>
        <w:rPr>
          <w:rStyle w:val="34"/>
          <w:rFonts w:hint="eastAsia" w:ascii="仿宋" w:hAnsi="仿宋" w:eastAsia="仿宋" w:cs="仿宋"/>
          <w:sz w:val="36"/>
          <w:szCs w:val="36"/>
        </w:rPr>
        <w:t>合同主要条款</w:t>
      </w:r>
    </w:p>
    <w:p>
      <w:pPr>
        <w:pStyle w:val="27"/>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7"/>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7"/>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7"/>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7"/>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7"/>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7"/>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7"/>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7"/>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7"/>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7"/>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7"/>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7"/>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7"/>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7"/>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7"/>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7"/>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7"/>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7"/>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7"/>
        <w:spacing w:line="520" w:lineRule="exact"/>
        <w:ind w:firstLine="562"/>
        <w:rPr>
          <w:rFonts w:ascii="仿宋" w:hAnsi="仿宋" w:eastAsia="仿宋" w:cs="仿宋"/>
          <w:b/>
          <w:highlight w:val="none"/>
        </w:rPr>
      </w:pPr>
      <w:r>
        <w:rPr>
          <w:rFonts w:hint="eastAsia" w:ascii="仿宋" w:hAnsi="仿宋" w:eastAsia="仿宋" w:cs="仿宋"/>
          <w:b/>
          <w:highlight w:val="none"/>
        </w:rPr>
        <w:t>备注：最终付款方式以和甲方单位签订合同为主。</w:t>
      </w:r>
    </w:p>
    <w:p>
      <w:pPr>
        <w:pStyle w:val="27"/>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7"/>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7"/>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7"/>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7"/>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7"/>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7"/>
        <w:spacing w:line="520" w:lineRule="exact"/>
        <w:ind w:firstLine="560"/>
        <w:rPr>
          <w:rFonts w:hint="eastAsia" w:ascii="仿宋" w:hAnsi="仿宋" w:eastAsia="仿宋"/>
          <w:sz w:val="28"/>
          <w:szCs w:val="28"/>
          <w:highlight w:val="none"/>
          <w:lang w:val="en-US" w:eastAsia="zh-CN"/>
        </w:rPr>
      </w:pPr>
      <w:r>
        <w:rPr>
          <w:rFonts w:hint="eastAsia" w:ascii="仿宋" w:hAnsi="仿宋" w:eastAsia="仿宋" w:cs="仿宋"/>
          <w:szCs w:val="22"/>
          <w:highlight w:val="none"/>
        </w:rPr>
        <w:t>6. 交货期：</w:t>
      </w:r>
      <w:r>
        <w:rPr>
          <w:rFonts w:hint="eastAsia" w:ascii="仿宋" w:hAnsi="仿宋" w:eastAsia="仿宋"/>
          <w:sz w:val="28"/>
          <w:szCs w:val="28"/>
          <w:highlight w:val="none"/>
          <w:lang w:val="en-US" w:eastAsia="zh-CN"/>
        </w:rPr>
        <w:t>合同签订后</w:t>
      </w:r>
      <w:r>
        <w:rPr>
          <w:rFonts w:hint="default" w:ascii="仿宋" w:hAnsi="仿宋" w:eastAsia="仿宋"/>
          <w:sz w:val="28"/>
          <w:szCs w:val="28"/>
          <w:highlight w:val="none"/>
          <w:lang w:val="en-US" w:eastAsia="zh-CN"/>
        </w:rPr>
        <w:t>15</w:t>
      </w:r>
      <w:r>
        <w:rPr>
          <w:rFonts w:hint="eastAsia" w:ascii="仿宋" w:hAnsi="仿宋" w:eastAsia="仿宋"/>
          <w:sz w:val="28"/>
          <w:szCs w:val="28"/>
          <w:highlight w:val="none"/>
          <w:lang w:val="en-US" w:eastAsia="zh-CN"/>
        </w:rPr>
        <w:t>日历天内供货交付使用并验收完毕；</w:t>
      </w:r>
    </w:p>
    <w:p>
      <w:pPr>
        <w:pStyle w:val="27"/>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7"/>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7"/>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7"/>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7"/>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7"/>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7"/>
        <w:spacing w:line="520" w:lineRule="exact"/>
        <w:ind w:firstLine="562"/>
        <w:rPr>
          <w:rFonts w:hint="eastAsia" w:ascii="仿宋" w:hAnsi="仿宋" w:eastAsia="仿宋"/>
          <w:b/>
          <w:bCs/>
          <w:color w:val="auto"/>
          <w:highlight w:val="none"/>
          <w:lang w:val="en-US" w:eastAsia="zh-CN"/>
        </w:rPr>
      </w:pPr>
      <w:r>
        <w:rPr>
          <w:rFonts w:ascii="仿宋" w:hAnsi="仿宋" w:eastAsia="仿宋" w:cs="仿宋"/>
          <w:b/>
          <w:bCs/>
          <w:color w:val="auto"/>
          <w:highlight w:val="none"/>
        </w:rPr>
        <w:t>9.1</w:t>
      </w:r>
      <w:r>
        <w:rPr>
          <w:rFonts w:hint="eastAsia" w:ascii="仿宋" w:hAnsi="仿宋" w:eastAsia="仿宋" w:cs="仿宋"/>
          <w:b/>
          <w:bCs/>
          <w:color w:val="auto"/>
          <w:highlight w:val="none"/>
        </w:rPr>
        <w:t>质保期：</w:t>
      </w:r>
      <w:r>
        <w:rPr>
          <w:rFonts w:hint="eastAsia" w:ascii="仿宋" w:hAnsi="仿宋" w:eastAsia="仿宋" w:cs="仿宋"/>
          <w:b/>
          <w:bCs/>
          <w:color w:val="auto"/>
          <w:highlight w:val="none"/>
          <w:lang w:val="en-US" w:eastAsia="zh-CN"/>
        </w:rPr>
        <w:t>1年</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 xml:space="preserve"> </w:t>
      </w:r>
    </w:p>
    <w:p>
      <w:pPr>
        <w:pStyle w:val="27"/>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7"/>
        <w:spacing w:line="520" w:lineRule="exact"/>
        <w:ind w:firstLine="560"/>
        <w:rPr>
          <w:rFonts w:ascii="仿宋" w:hAnsi="仿宋" w:eastAsia="仿宋"/>
          <w:highlight w:val="none"/>
        </w:rPr>
      </w:pPr>
      <w:r>
        <w:rPr>
          <w:rFonts w:ascii="仿宋" w:hAnsi="仿宋" w:eastAsia="仿宋" w:cs="仿宋"/>
          <w:highlight w:val="none"/>
        </w:rPr>
        <w:t xml:space="preserve">9.3 </w:t>
      </w:r>
      <w:r>
        <w:rPr>
          <w:rFonts w:hint="eastAsia" w:ascii="仿宋" w:hAnsi="仿宋" w:eastAsia="仿宋" w:cs="仿宋"/>
          <w:highlight w:val="none"/>
        </w:rPr>
        <w:t>自产品验收合格之日起</w:t>
      </w:r>
      <w:r>
        <w:rPr>
          <w:rFonts w:hint="eastAsia" w:ascii="仿宋" w:hAnsi="仿宋" w:eastAsia="仿宋" w:cs="仿宋"/>
          <w:highlight w:val="none"/>
          <w:lang w:val="en-US" w:eastAsia="zh-CN"/>
        </w:rPr>
        <w:t>2</w:t>
      </w:r>
      <w:r>
        <w:rPr>
          <w:rFonts w:hint="eastAsia" w:ascii="仿宋" w:hAnsi="仿宋" w:eastAsia="仿宋" w:cs="仿宋"/>
          <w:highlight w:val="none"/>
        </w:rPr>
        <w:t>年内提供所涉软件的免费升级服务，如“第三章招标内容及技术要求”中技术参数中有特别要求的请根据文件要求。</w:t>
      </w:r>
    </w:p>
    <w:p>
      <w:pPr>
        <w:pStyle w:val="27"/>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7"/>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7"/>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7"/>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7"/>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7"/>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7"/>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7"/>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7"/>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7"/>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7"/>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7"/>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7"/>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10"/>
      </w:pPr>
    </w:p>
    <w:p>
      <w:pPr>
        <w:jc w:val="center"/>
        <w:rPr>
          <w:rFonts w:hint="eastAsia" w:ascii="仿宋" w:hAnsi="仿宋" w:eastAsia="仿宋"/>
          <w:b/>
          <w:lang w:eastAsia="zh-CN"/>
        </w:rPr>
      </w:pPr>
      <w:r>
        <w:rPr>
          <w:rFonts w:hint="eastAsia" w:ascii="仿宋" w:hAnsi="仿宋" w:eastAsia="仿宋"/>
          <w:b/>
          <w:sz w:val="36"/>
        </w:rPr>
        <w:t>附件：投标书格式</w:t>
      </w:r>
      <w:r>
        <w:rPr>
          <w:rFonts w:hint="eastAsia" w:ascii="仿宋" w:hAnsi="仿宋" w:eastAsia="仿宋"/>
          <w:b/>
          <w:sz w:val="36"/>
          <w:lang w:eastAsia="zh-CN"/>
        </w:rPr>
        <w:t>（</w:t>
      </w:r>
      <w:r>
        <w:rPr>
          <w:rFonts w:hint="eastAsia" w:ascii="仿宋" w:hAnsi="仿宋" w:eastAsia="仿宋"/>
          <w:b/>
          <w:sz w:val="36"/>
          <w:lang w:val="en-US" w:eastAsia="zh-CN"/>
        </w:rPr>
        <w:t>未提供的格式需自拟</w:t>
      </w:r>
      <w:r>
        <w:rPr>
          <w:rFonts w:hint="eastAsia" w:ascii="仿宋" w:hAnsi="仿宋" w:eastAsia="仿宋"/>
          <w:b/>
          <w:sz w:val="36"/>
          <w:lang w:eastAsia="zh-CN"/>
        </w:rPr>
        <w:t>）</w:t>
      </w:r>
    </w:p>
    <w:p>
      <w:pPr>
        <w:pStyle w:val="30"/>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hint="eastAsia"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w:t>
      </w:r>
      <w:r>
        <w:rPr>
          <w:rFonts w:hint="eastAsia" w:ascii="仿宋" w:hAnsi="仿宋" w:eastAsia="仿宋"/>
          <w:sz w:val="44"/>
          <w:lang w:val="en-US" w:eastAsia="zh-CN"/>
        </w:rPr>
        <w:t>地址</w:t>
      </w:r>
      <w:r>
        <w:rPr>
          <w:rFonts w:hint="eastAsia" w:ascii="仿宋" w:hAnsi="仿宋" w:eastAsia="仿宋"/>
          <w:sz w:val="44"/>
        </w:rPr>
        <w:t>：</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w:t>
      </w:r>
      <w:r>
        <w:rPr>
          <w:rFonts w:hint="eastAsia" w:ascii="仿宋" w:hAnsi="仿宋" w:eastAsia="仿宋"/>
          <w:sz w:val="44"/>
          <w:lang w:val="en-US" w:eastAsia="zh-CN"/>
        </w:rPr>
        <w:t>联系人及电话</w:t>
      </w:r>
      <w:r>
        <w:rPr>
          <w:rFonts w:hint="eastAsia" w:ascii="仿宋" w:hAnsi="仿宋" w:eastAsia="仿宋"/>
          <w:sz w:val="44"/>
        </w:rPr>
        <w:t>：</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1"/>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r>
        <w:rPr>
          <w:rFonts w:hint="eastAsia" w:ascii="仿宋" w:hAnsi="仿宋" w:eastAsia="仿宋"/>
          <w:sz w:val="28"/>
          <w:lang w:val="en-US" w:eastAsia="zh-CN"/>
        </w:rPr>
        <w:t xml:space="preserve">         </w:t>
      </w:r>
      <w:r>
        <w:rPr>
          <w:rFonts w:hint="eastAsia" w:ascii="仿宋" w:hAnsi="仿宋" w:eastAsia="仿宋"/>
          <w:sz w:val="28"/>
        </w:rPr>
        <w:t>传       真：</w:t>
      </w:r>
      <w:r>
        <w:rPr>
          <w:rFonts w:hint="eastAsia" w:ascii="仿宋" w:hAnsi="仿宋" w:eastAsia="仿宋"/>
          <w:sz w:val="28"/>
          <w:lang w:val="en-US" w:eastAsia="zh-CN"/>
        </w:rPr>
        <w:t xml:space="preserve">         </w:t>
      </w: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r>
        <w:rPr>
          <w:rFonts w:hint="eastAsia" w:ascii="仿宋" w:hAnsi="仿宋" w:eastAsia="仿宋"/>
          <w:sz w:val="28"/>
          <w:lang w:val="en-US" w:eastAsia="zh-CN"/>
        </w:rPr>
        <w:t xml:space="preserve">                       </w:t>
      </w:r>
      <w:r>
        <w:rPr>
          <w:rFonts w:hint="eastAsia" w:ascii="仿宋" w:hAnsi="仿宋" w:eastAsia="仿宋"/>
          <w:sz w:val="28"/>
        </w:rPr>
        <w:t>授权代表签字：</w:t>
      </w: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4877" w:firstLineChars="1742"/>
        <w:rPr>
          <w:rFonts w:ascii="仿宋" w:hAnsi="仿宋" w:eastAsia="仿宋"/>
          <w:b/>
          <w:sz w:val="28"/>
        </w:rPr>
      </w:pPr>
      <w:r>
        <w:rPr>
          <w:rFonts w:hint="eastAsia" w:ascii="仿宋" w:hAnsi="仿宋" w:eastAsia="仿宋"/>
          <w:sz w:val="28"/>
        </w:rPr>
        <w:t>年   月    日</w:t>
      </w: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7"/>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ascii="仿宋" w:hAnsi="仿宋" w:eastAsia="仿宋"/>
        </w:rPr>
        <w:t>特此证明</w:t>
      </w:r>
    </w:p>
    <w:p>
      <w:pPr>
        <w:pStyle w:val="27"/>
        <w:ind w:firstLine="560"/>
        <w:rPr>
          <w:rFonts w:ascii="仿宋" w:hAnsi="仿宋" w:eastAsia="仿宋"/>
        </w:rPr>
      </w:pPr>
    </w:p>
    <w:p>
      <w:pPr>
        <w:pStyle w:val="27"/>
        <w:ind w:firstLine="560"/>
        <w:rPr>
          <w:rFonts w:ascii="仿宋" w:hAnsi="仿宋" w:eastAsia="仿宋"/>
        </w:rPr>
      </w:pPr>
    </w:p>
    <w:p>
      <w:pPr>
        <w:pStyle w:val="27"/>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7"/>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7"/>
        <w:ind w:firstLine="4200" w:firstLineChars="1500"/>
        <w:rPr>
          <w:rFonts w:ascii="仿宋" w:hAnsi="仿宋" w:eastAsia="仿宋"/>
          <w:u w:val="single"/>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ascii="仿宋" w:hAnsi="仿宋" w:eastAsia="仿宋"/>
          <w:u w:val="single"/>
        </w:rPr>
      </w:pPr>
    </w:p>
    <w:p>
      <w:pPr>
        <w:pStyle w:val="27"/>
        <w:ind w:firstLine="4200" w:firstLineChars="1500"/>
        <w:rPr>
          <w:rFonts w:hint="eastAsia" w:ascii="仿宋" w:hAnsi="仿宋" w:eastAsia="仿宋"/>
          <w:u w:val="single"/>
        </w:rPr>
      </w:pPr>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7"/>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7"/>
        <w:spacing w:line="580" w:lineRule="exact"/>
        <w:ind w:firstLine="560"/>
        <w:rPr>
          <w:rFonts w:ascii="仿宋" w:hAnsi="仿宋" w:eastAsia="仿宋"/>
        </w:rPr>
      </w:pPr>
      <w:r>
        <w:rPr>
          <w:rFonts w:ascii="仿宋" w:hAnsi="仿宋" w:eastAsia="仿宋"/>
        </w:rPr>
        <w:t xml:space="preserve"> </w:t>
      </w:r>
    </w:p>
    <w:p>
      <w:pPr>
        <w:pStyle w:val="27"/>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7"/>
        <w:spacing w:line="580" w:lineRule="exact"/>
        <w:ind w:firstLine="560"/>
        <w:rPr>
          <w:rFonts w:hint="default" w:ascii="仿宋" w:hAnsi="仿宋" w:eastAsia="仿宋"/>
          <w:lang w:val="en-US" w:eastAsia="zh-CN"/>
        </w:rPr>
      </w:pPr>
      <w:r>
        <w:rPr>
          <w:rFonts w:ascii="仿宋" w:hAnsi="仿宋" w:eastAsia="仿宋"/>
        </w:rPr>
        <w:t xml:space="preserve"> </w:t>
      </w:r>
      <w:r>
        <w:rPr>
          <w:rFonts w:hint="eastAsia" w:ascii="仿宋" w:hAnsi="仿宋" w:eastAsia="仿宋"/>
          <w:lang w:val="en-US" w:eastAsia="zh-CN"/>
        </w:rPr>
        <w:t>附件：法定代表人身份证及委托人身份证</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7"/>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7"/>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7"/>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jc w:val="both"/>
        <w:rPr>
          <w:rFonts w:ascii="仿宋" w:hAnsi="仿宋" w:eastAsia="仿宋"/>
        </w:rPr>
      </w:pPr>
    </w:p>
    <w:p>
      <w:pPr>
        <w:pStyle w:val="4"/>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7"/>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7"/>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7"/>
        <w:spacing w:line="580" w:lineRule="exact"/>
        <w:ind w:firstLine="560"/>
        <w:rPr>
          <w:rFonts w:ascii="仿宋" w:hAnsi="仿宋" w:eastAsia="仿宋"/>
        </w:rPr>
      </w:pPr>
      <w:r>
        <w:rPr>
          <w:rFonts w:hint="eastAsia" w:ascii="仿宋" w:hAnsi="仿宋" w:eastAsia="仿宋"/>
        </w:rPr>
        <w:t>1）我方的资格声明，各有  份正本，  份副本。</w:t>
      </w:r>
    </w:p>
    <w:p>
      <w:pPr>
        <w:pStyle w:val="27"/>
        <w:spacing w:line="580" w:lineRule="exact"/>
        <w:ind w:firstLine="560"/>
        <w:rPr>
          <w:rFonts w:ascii="仿宋" w:hAnsi="仿宋" w:eastAsia="仿宋"/>
        </w:rPr>
      </w:pPr>
      <w:r>
        <w:rPr>
          <w:rFonts w:hint="eastAsia" w:ascii="仿宋" w:hAnsi="仿宋" w:eastAsia="仿宋"/>
        </w:rPr>
        <w:t>2）下述签字人证明本资格文件中的内容是真实的和正确的</w:t>
      </w:r>
      <w:r>
        <w:rPr>
          <w:rFonts w:hint="eastAsia" w:ascii="仿宋" w:hAnsi="仿宋" w:eastAsia="仿宋"/>
          <w:lang w:eastAsia="zh-CN"/>
        </w:rPr>
        <w:t>。</w:t>
      </w:r>
      <w:r>
        <w:rPr>
          <w:rFonts w:hint="eastAsia" w:ascii="仿宋" w:hAnsi="仿宋" w:eastAsia="仿宋"/>
        </w:rPr>
        <w:t>下述签字人知道，招标人可能要求其提供进一步的资格材料并同意按招标人的要求提交。</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hint="eastAsia" w:ascii="仿宋" w:hAnsi="仿宋" w:eastAsia="仿宋"/>
        </w:rPr>
        <w:t xml:space="preserve">供应商：    （公章）  </w:t>
      </w:r>
    </w:p>
    <w:p>
      <w:pPr>
        <w:pStyle w:val="27"/>
        <w:spacing w:line="580" w:lineRule="exact"/>
        <w:ind w:firstLine="560"/>
        <w:rPr>
          <w:rFonts w:ascii="仿宋" w:hAnsi="仿宋" w:eastAsia="仿宋"/>
        </w:rPr>
      </w:pPr>
      <w:r>
        <w:rPr>
          <w:rFonts w:hint="eastAsia" w:ascii="仿宋" w:hAnsi="仿宋" w:eastAsia="仿宋"/>
        </w:rPr>
        <w:t xml:space="preserve">      </w:t>
      </w:r>
    </w:p>
    <w:p>
      <w:pPr>
        <w:pStyle w:val="27"/>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7"/>
        <w:spacing w:line="580" w:lineRule="exact"/>
        <w:ind w:firstLine="560"/>
        <w:rPr>
          <w:rFonts w:ascii="仿宋" w:hAnsi="仿宋" w:eastAsia="仿宋"/>
        </w:rPr>
      </w:pPr>
      <w:r>
        <w:rPr>
          <w:rFonts w:hint="eastAsia" w:ascii="仿宋" w:hAnsi="仿宋" w:eastAsia="仿宋"/>
        </w:rPr>
        <w:t xml:space="preserve">   </w:t>
      </w:r>
    </w:p>
    <w:p>
      <w:pPr>
        <w:pStyle w:val="27"/>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both"/>
        <w:rPr>
          <w:rFonts w:ascii="仿宋" w:hAnsi="仿宋" w:eastAsia="仿宋"/>
          <w:b/>
          <w:sz w:val="10"/>
          <w:szCs w:val="10"/>
          <w:highlight w:val="yellow"/>
        </w:rPr>
      </w:pPr>
    </w:p>
    <w:p>
      <w:pPr>
        <w:pStyle w:val="27"/>
        <w:spacing w:line="580" w:lineRule="exact"/>
        <w:ind w:firstLine="560"/>
        <w:rPr>
          <w:rFonts w:ascii="仿宋" w:hAnsi="仿宋" w:eastAsia="仿宋"/>
        </w:rPr>
      </w:pPr>
      <w:r>
        <w:rPr>
          <w:rFonts w:hint="eastAsia" w:ascii="仿宋" w:hAnsi="仿宋" w:eastAsia="仿宋"/>
        </w:rPr>
        <w:t>本人以企业法定代表人的身份郑重承诺：</w:t>
      </w:r>
    </w:p>
    <w:p>
      <w:pPr>
        <w:pStyle w:val="27"/>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7"/>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7"/>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7"/>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7"/>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7"/>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7"/>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7"/>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7"/>
        <w:spacing w:line="580" w:lineRule="exact"/>
        <w:ind w:firstLine="560"/>
        <w:rPr>
          <w:rFonts w:ascii="仿宋" w:hAnsi="仿宋" w:eastAsia="仿宋"/>
        </w:rPr>
      </w:pPr>
      <w:r>
        <w:rPr>
          <w:rFonts w:hint="eastAsia" w:ascii="仿宋" w:hAnsi="仿宋" w:eastAsia="仿宋"/>
        </w:rPr>
        <w:t>供应商：（公章）</w:t>
      </w:r>
    </w:p>
    <w:p>
      <w:pPr>
        <w:pStyle w:val="27"/>
        <w:spacing w:line="580" w:lineRule="exact"/>
        <w:ind w:firstLine="560"/>
        <w:rPr>
          <w:rFonts w:ascii="仿宋" w:hAnsi="仿宋" w:eastAsia="仿宋"/>
        </w:rPr>
      </w:pPr>
    </w:p>
    <w:p>
      <w:pPr>
        <w:pStyle w:val="27"/>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6" w:name="_Toc435087575"/>
      <w:r>
        <w:rPr>
          <w:rFonts w:hint="eastAsia" w:ascii="仿宋" w:hAnsi="仿宋" w:eastAsia="仿宋"/>
          <w:sz w:val="28"/>
        </w:rPr>
        <w:t>附件</w:t>
      </w:r>
      <w:bookmarkEnd w:id="6"/>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7"/>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562"/>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六</w:t>
      </w:r>
    </w:p>
    <w:p>
      <w:pPr>
        <w:widowControl/>
        <w:spacing w:line="440" w:lineRule="exact"/>
        <w:ind w:firstLine="280" w:firstLineChars="100"/>
        <w:jc w:val="left"/>
        <w:rPr>
          <w:rFonts w:hint="eastAsia" w:ascii="仿宋" w:hAnsi="仿宋" w:eastAsia="仿宋" w:cs="仿宋"/>
          <w:b/>
          <w:bCs/>
          <w:color w:val="000000"/>
          <w:sz w:val="28"/>
          <w:szCs w:val="28"/>
        </w:rPr>
      </w:pPr>
      <w:r>
        <w:rPr>
          <w:rFonts w:hint="eastAsia" w:ascii="仿宋" w:hAnsi="仿宋" w:eastAsia="仿宋" w:cs="仿宋"/>
          <w:color w:val="000000"/>
          <w:sz w:val="28"/>
          <w:szCs w:val="28"/>
        </w:rPr>
        <w:t>中小微企业声明函及其他资料（如中小微企业需提供下列资料，如为大型企业可不提供）</w:t>
      </w:r>
    </w:p>
    <w:p>
      <w:pPr>
        <w:shd w:val="clear" w:color="auto" w:fill="FFFFFF"/>
        <w:spacing w:line="440" w:lineRule="exact"/>
        <w:jc w:val="center"/>
        <w:outlineLvl w:val="0"/>
        <w:rPr>
          <w:rFonts w:hint="eastAsia" w:ascii="仿宋" w:hAnsi="仿宋" w:eastAsia="仿宋" w:cs="仿宋"/>
          <w:color w:val="000000"/>
          <w:sz w:val="28"/>
          <w:szCs w:val="28"/>
        </w:rPr>
      </w:pPr>
      <w:bookmarkStart w:id="7" w:name="_Toc25486"/>
      <w:bookmarkStart w:id="8" w:name="_Toc25559"/>
      <w:bookmarkStart w:id="9" w:name="_Toc21273"/>
      <w:bookmarkStart w:id="10" w:name="_Toc1013"/>
      <w:bookmarkStart w:id="11" w:name="_Toc12018"/>
      <w:bookmarkStart w:id="12" w:name="_Toc17062"/>
      <w:bookmarkStart w:id="13" w:name="_Toc15770"/>
      <w:r>
        <w:rPr>
          <w:rFonts w:hint="eastAsia" w:ascii="仿宋" w:hAnsi="仿宋" w:eastAsia="仿宋" w:cs="仿宋"/>
          <w:b/>
          <w:bCs/>
          <w:color w:val="000000"/>
          <w:sz w:val="28"/>
          <w:szCs w:val="28"/>
        </w:rPr>
        <w:t>中小企业声明函（货物）</w:t>
      </w:r>
      <w:bookmarkEnd w:id="7"/>
      <w:bookmarkEnd w:id="8"/>
      <w:bookmarkEnd w:id="9"/>
      <w:bookmarkEnd w:id="10"/>
      <w:bookmarkEnd w:id="11"/>
      <w:bookmarkEnd w:id="12"/>
      <w:bookmarkEnd w:id="13"/>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本公司郑重声明，根据《政府采购促进中小企业发展管理办法》（财库[2020]46号）的规定，本公司参加</w:t>
      </w:r>
      <w:r>
        <w:rPr>
          <w:rFonts w:hint="eastAsia" w:ascii="仿宋" w:hAnsi="仿宋" w:eastAsia="仿宋" w:cs="仿宋"/>
          <w:color w:val="000000"/>
          <w:sz w:val="28"/>
          <w:szCs w:val="28"/>
          <w:u w:val="single"/>
        </w:rPr>
        <w:t xml:space="preserve">  （单位名称）  </w:t>
      </w:r>
      <w:r>
        <w:rPr>
          <w:rFonts w:hint="eastAsia" w:ascii="仿宋" w:hAnsi="仿宋" w:eastAsia="仿宋" w:cs="仿宋"/>
          <w:color w:val="000000"/>
          <w:sz w:val="28"/>
          <w:szCs w:val="28"/>
        </w:rPr>
        <w:t>的</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采购活动，提供的货物全部由符合政策要求的中小企业制造。相关企业的具体情况如下：</w:t>
      </w:r>
    </w:p>
    <w:p>
      <w:pPr>
        <w:widowControl/>
        <w:numPr>
          <w:ilvl w:val="0"/>
          <w:numId w:val="12"/>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widowControl/>
        <w:numPr>
          <w:ilvl w:val="0"/>
          <w:numId w:val="12"/>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pStyle w:val="55"/>
        <w:rPr>
          <w:rFonts w:hint="eastAsia" w:ascii="仿宋" w:hAnsi="仿宋" w:eastAsia="仿宋" w:cs="仿宋"/>
          <w:sz w:val="28"/>
          <w:szCs w:val="28"/>
        </w:rPr>
      </w:pPr>
      <w:r>
        <w:rPr>
          <w:rFonts w:hint="eastAsia" w:ascii="仿宋" w:hAnsi="仿宋" w:eastAsia="仿宋" w:cs="仿宋"/>
          <w:sz w:val="28"/>
          <w:szCs w:val="28"/>
        </w:rPr>
        <w:t>……</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以上企业，不属于大企业的分支机构，不存在控股股东为大企业的情形，也不存在与大企业的负责人为同一人的情形。</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本企业对上述声明的真实性负责。如有虚假，将依法承担相应责任。</w:t>
      </w:r>
    </w:p>
    <w:p>
      <w:pPr>
        <w:pStyle w:val="57"/>
        <w:spacing w:line="500" w:lineRule="exact"/>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供应商名称：</w:t>
      </w:r>
      <w:r>
        <w:rPr>
          <w:rFonts w:hint="eastAsia" w:ascii="仿宋" w:hAnsi="仿宋" w:eastAsia="仿宋" w:cs="仿宋"/>
          <w:color w:val="000000"/>
          <w:sz w:val="28"/>
          <w:szCs w:val="28"/>
          <w:u w:val="single"/>
        </w:rPr>
        <w:t xml:space="preserve">       （盖公章）      </w:t>
      </w:r>
    </w:p>
    <w:p>
      <w:pPr>
        <w:widowControl/>
        <w:spacing w:line="480" w:lineRule="exact"/>
        <w:ind w:right="360"/>
        <w:jc w:val="center"/>
        <w:rPr>
          <w:rFonts w:hint="eastAsia" w:ascii="仿宋" w:hAnsi="仿宋" w:eastAsia="仿宋" w:cs="仿宋"/>
          <w:color w:val="000000"/>
          <w:sz w:val="22"/>
          <w:szCs w:val="21"/>
        </w:rPr>
      </w:pPr>
      <w:r>
        <w:rPr>
          <w:rFonts w:hint="eastAsia" w:ascii="仿宋" w:hAnsi="仿宋" w:eastAsia="仿宋" w:cs="仿宋"/>
          <w:color w:val="000000"/>
          <w:sz w:val="28"/>
          <w:szCs w:val="28"/>
        </w:rPr>
        <w:t xml:space="preserve">                           日期：  年  月  日</w:t>
      </w:r>
    </w:p>
    <w:p>
      <w:pPr>
        <w:pStyle w:val="55"/>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说明：</w:t>
      </w:r>
    </w:p>
    <w:p>
      <w:pPr>
        <w:pStyle w:val="55"/>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1、从业人员、营业收入、资产总额填报上一年度数据，无上一年度数据的新成立企业可不填报。</w:t>
      </w:r>
    </w:p>
    <w:p>
      <w:pPr>
        <w:widowControl/>
        <w:spacing w:line="440" w:lineRule="exact"/>
        <w:jc w:val="left"/>
        <w:rPr>
          <w:rFonts w:hint="eastAsia" w:ascii="仿宋" w:hAnsi="仿宋" w:eastAsia="仿宋" w:cs="仿宋"/>
          <w:color w:val="000000"/>
          <w:kern w:val="0"/>
          <w:sz w:val="28"/>
          <w:szCs w:val="21"/>
        </w:rPr>
      </w:pPr>
      <w:r>
        <w:rPr>
          <w:rFonts w:hint="eastAsia" w:ascii="仿宋" w:hAnsi="仿宋" w:eastAsia="仿宋" w:cs="仿宋"/>
          <w:color w:val="000000"/>
          <w:sz w:val="28"/>
          <w:szCs w:val="21"/>
        </w:rPr>
        <w:t>2、</w:t>
      </w:r>
      <w:r>
        <w:rPr>
          <w:rFonts w:hint="eastAsia" w:ascii="仿宋" w:hAnsi="仿宋" w:eastAsia="仿宋" w:cs="仿宋"/>
          <w:color w:val="000000"/>
          <w:kern w:val="0"/>
          <w:sz w:val="28"/>
          <w:szCs w:val="21"/>
        </w:rPr>
        <w:t>若所有货物均为监狱企业或残疾人企业制造，供应商须提供监狱企业或残疾人企业声明函（格式自拟）</w:t>
      </w:r>
    </w:p>
    <w:p>
      <w:pPr>
        <w:pStyle w:val="55"/>
        <w:spacing w:line="440" w:lineRule="exact"/>
        <w:ind w:firstLine="0"/>
        <w:rPr>
          <w:rFonts w:hint="eastAsia" w:ascii="仿宋" w:hAnsi="仿宋" w:eastAsia="仿宋" w:cs="仿宋"/>
          <w:spacing w:val="0"/>
          <w:sz w:val="28"/>
          <w:szCs w:val="22"/>
        </w:rPr>
      </w:pPr>
      <w:r>
        <w:rPr>
          <w:rFonts w:hint="eastAsia" w:ascii="仿宋" w:hAnsi="仿宋" w:eastAsia="仿宋" w:cs="仿宋"/>
          <w:spacing w:val="0"/>
          <w:sz w:val="28"/>
          <w:szCs w:val="22"/>
        </w:rPr>
        <w:t>3、中标的供应商的《中小微企业声明函》将作为中标结果公告一并公示。</w:t>
      </w:r>
    </w:p>
    <w:p>
      <w:pPr>
        <w:pStyle w:val="14"/>
        <w:rPr>
          <w:rFonts w:hint="eastAsia"/>
          <w:lang w:eastAsia="zh-CN"/>
        </w:rPr>
      </w:pPr>
    </w:p>
    <w:p>
      <w:pPr>
        <w:pStyle w:val="14"/>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hint="eastAsia" w:ascii="仿宋" w:hAnsi="仿宋" w:eastAsia="仿宋"/>
          <w:b/>
          <w:sz w:val="28"/>
          <w:lang w:val="en-US" w:eastAsia="zh-CN"/>
        </w:rPr>
      </w:pPr>
      <w:r>
        <w:rPr>
          <w:rFonts w:hint="eastAsia" w:ascii="仿宋" w:hAnsi="仿宋" w:eastAsia="仿宋"/>
          <w:sz w:val="28"/>
        </w:rPr>
        <w:t>附件</w:t>
      </w:r>
      <w:r>
        <w:rPr>
          <w:rFonts w:hint="eastAsia" w:ascii="仿宋" w:hAnsi="仿宋" w:eastAsia="仿宋"/>
          <w:sz w:val="28"/>
          <w:lang w:val="en-US" w:eastAsia="zh-CN"/>
        </w:rPr>
        <w:t>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20"/>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2" w:hRule="exact"/>
          <w:jc w:val="center"/>
        </w:trPr>
        <w:tc>
          <w:tcPr>
            <w:tcW w:w="779"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5"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4"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1"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hint="eastAsia" w:ascii="仿宋" w:hAnsi="仿宋" w:eastAsia="仿宋"/>
                <w:sz w:val="28"/>
                <w:szCs w:val="28"/>
                <w:lang w:eastAsia="zh-CN"/>
              </w:rPr>
            </w:pPr>
            <w:r>
              <w:rPr>
                <w:rFonts w:hint="eastAsia" w:ascii="仿宋" w:hAnsi="仿宋" w:eastAsia="仿宋" w:cs="仿宋"/>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79"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5" w:type="dxa"/>
            <w:vAlign w:val="center"/>
          </w:tcPr>
          <w:p>
            <w:pPr>
              <w:snapToGrid w:val="0"/>
              <w:jc w:val="center"/>
              <w:rPr>
                <w:rFonts w:ascii="仿宋" w:hAnsi="仿宋" w:eastAsia="仿宋"/>
                <w:sz w:val="28"/>
                <w:szCs w:val="28"/>
              </w:rPr>
            </w:pPr>
          </w:p>
        </w:tc>
        <w:tc>
          <w:tcPr>
            <w:tcW w:w="2054"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1"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2"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2734"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2"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734" w:type="dxa"/>
            <w:gridSpan w:val="2"/>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备注</w:t>
            </w:r>
          </w:p>
        </w:tc>
        <w:tc>
          <w:tcPr>
            <w:tcW w:w="12272" w:type="dxa"/>
            <w:gridSpan w:val="7"/>
            <w:vAlign w:val="center"/>
          </w:tcPr>
          <w:p>
            <w:pPr>
              <w:snapToGrid w:val="0"/>
              <w:jc w:val="left"/>
              <w:rPr>
                <w:rFonts w:hint="eastAsia" w:ascii="仿宋" w:hAnsi="仿宋" w:eastAsia="仿宋"/>
                <w:sz w:val="28"/>
                <w:szCs w:val="28"/>
              </w:rPr>
            </w:pP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spacing w:line="400" w:lineRule="exact"/>
        <w:ind w:right="560"/>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八</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7"/>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20"/>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9"/>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9"/>
        <w:spacing w:line="460" w:lineRule="exact"/>
        <w:ind w:right="-15" w:firstLine="562" w:firstLineChars="200"/>
        <w:rPr>
          <w:rFonts w:ascii="仿宋" w:hAnsi="仿宋" w:eastAsia="仿宋"/>
          <w:b/>
          <w:sz w:val="28"/>
        </w:rPr>
      </w:pPr>
    </w:p>
    <w:p>
      <w:pPr>
        <w:pStyle w:val="9"/>
        <w:spacing w:line="460" w:lineRule="exact"/>
        <w:ind w:right="-15" w:firstLine="1120" w:firstLineChars="400"/>
        <w:jc w:val="right"/>
        <w:rPr>
          <w:rFonts w:hint="eastAsia" w:ascii="仿宋" w:hAnsi="仿宋" w:eastAsia="仿宋"/>
          <w:lang w:eastAsia="zh-CN"/>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w:t>
      </w:r>
      <w:r>
        <w:rPr>
          <w:rFonts w:hint="eastAsia" w:ascii="仿宋" w:hAnsi="仿宋" w:eastAsia="仿宋"/>
          <w:sz w:val="28"/>
          <w:lang w:val="en-US" w:eastAsia="zh-CN"/>
        </w:rPr>
        <w:t>九</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20"/>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hint="eastAsia" w:ascii="仿宋" w:hAnsi="仿宋" w:eastAsia="仿宋"/>
          <w:b/>
          <w:sz w:val="28"/>
        </w:rPr>
      </w:pPr>
      <w:r>
        <w:rPr>
          <w:rFonts w:hint="eastAsia" w:ascii="仿宋" w:hAnsi="仿宋" w:eastAsia="仿宋"/>
          <w:b/>
          <w:sz w:val="28"/>
        </w:rPr>
        <w:t>（供应商须对第三章所有技术参数条款逐条列明是否响应，如有偏离，须一一列明）</w:t>
      </w:r>
    </w:p>
    <w:p>
      <w:pPr>
        <w:pStyle w:val="15"/>
        <w:ind w:firstLine="440" w:firstLineChars="200"/>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lang w:eastAsia="zh-CN"/>
        </w:rPr>
        <w:t>投标单位</w:t>
      </w:r>
      <w:r>
        <w:rPr>
          <w:rFonts w:hint="eastAsia" w:asciiTheme="minorEastAsia" w:hAnsiTheme="minorEastAsia" w:eastAsiaTheme="minorEastAsia" w:cstheme="minorEastAsia"/>
          <w:sz w:val="22"/>
          <w:szCs w:val="24"/>
        </w:rPr>
        <w:t>应点对点应答本</w:t>
      </w:r>
      <w:r>
        <w:rPr>
          <w:rFonts w:hint="eastAsia" w:asciiTheme="minorEastAsia" w:hAnsiTheme="minorEastAsia" w:eastAsiaTheme="minorEastAsia" w:cstheme="minorEastAsia"/>
          <w:sz w:val="22"/>
          <w:szCs w:val="24"/>
          <w:lang w:val="en-US" w:eastAsia="zh-CN"/>
        </w:rPr>
        <w:t>招标</w:t>
      </w:r>
      <w:r>
        <w:rPr>
          <w:rFonts w:hint="eastAsia" w:asciiTheme="minorEastAsia" w:hAnsiTheme="minorEastAsia" w:eastAsiaTheme="minorEastAsia" w:cstheme="minorEastAsia"/>
          <w:sz w:val="22"/>
          <w:szCs w:val="24"/>
        </w:rPr>
        <w:t>文件“货物需求”“</w:t>
      </w:r>
      <w:r>
        <w:rPr>
          <w:rFonts w:hint="eastAsia" w:asciiTheme="minorEastAsia" w:hAnsiTheme="minorEastAsia" w:eastAsiaTheme="minorEastAsia" w:cstheme="minorEastAsia"/>
          <w:sz w:val="22"/>
          <w:szCs w:val="24"/>
          <w:lang w:val="en-US" w:eastAsia="zh-CN"/>
        </w:rPr>
        <w:t>*</w:t>
      </w:r>
      <w:r>
        <w:rPr>
          <w:rFonts w:hint="eastAsia" w:asciiTheme="minorEastAsia" w:hAnsiTheme="minorEastAsia" w:eastAsiaTheme="minorEastAsia" w:cstheme="minorEastAsia"/>
          <w:sz w:val="22"/>
          <w:szCs w:val="24"/>
        </w:rPr>
        <w:t>”标记的主要</w:t>
      </w:r>
      <w:r>
        <w:rPr>
          <w:rFonts w:hint="eastAsia" w:asciiTheme="minorEastAsia" w:hAnsiTheme="minorEastAsia" w:eastAsiaTheme="minorEastAsia" w:cstheme="minorEastAsia"/>
          <w:sz w:val="22"/>
          <w:szCs w:val="24"/>
          <w:lang w:eastAsia="zh-CN"/>
        </w:rPr>
        <w:t>参数</w:t>
      </w:r>
      <w:r>
        <w:rPr>
          <w:rFonts w:hint="eastAsia" w:asciiTheme="minorEastAsia" w:hAnsiTheme="minorEastAsia" w:eastAsiaTheme="minorEastAsia" w:cstheme="minorEastAsia"/>
          <w:sz w:val="22"/>
          <w:szCs w:val="24"/>
        </w:rPr>
        <w:t>。应给予明确的“无偏离”或“负偏离”的应答，并作出具体、详细的说明和提供所要求的证明材料。</w:t>
      </w:r>
    </w:p>
    <w:p>
      <w:pPr>
        <w:ind w:right="848"/>
        <w:jc w:val="right"/>
        <w:rPr>
          <w:rFonts w:hint="eastAsia" w:ascii="仿宋" w:hAnsi="仿宋" w:eastAsia="仿宋"/>
          <w:sz w:val="28"/>
          <w:lang w:eastAsia="zh-CN"/>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w:t>
      </w:r>
      <w:r>
        <w:rPr>
          <w:rFonts w:hint="eastAsia" w:ascii="仿宋" w:hAnsi="仿宋" w:eastAsia="仿宋"/>
          <w:sz w:val="28"/>
          <w:lang w:val="en-US" w:eastAsia="zh-CN"/>
        </w:rPr>
        <w:t>十</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sz w:val="31"/>
        </w:rPr>
        <w:t>（供应商须对</w:t>
      </w:r>
      <w:r>
        <w:rPr>
          <w:rFonts w:hint="eastAsia" w:ascii="仿宋" w:hAnsi="仿宋" w:eastAsia="仿宋"/>
          <w:sz w:val="31"/>
          <w:lang w:eastAsia="zh-CN"/>
        </w:rPr>
        <w:t>重要商务</w:t>
      </w:r>
      <w:r>
        <w:rPr>
          <w:rFonts w:hint="eastAsia" w:ascii="仿宋" w:hAnsi="仿宋" w:eastAsia="仿宋"/>
          <w:sz w:val="31"/>
        </w:rPr>
        <w:t>条款列明是否响应，如有偏离，须一一列明）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hint="eastAsia" w:ascii="仿宋" w:hAnsi="仿宋" w:eastAsia="仿宋"/>
          <w:sz w:val="24"/>
          <w:lang w:val="en-US" w:eastAsia="zh-CN"/>
        </w:rPr>
      </w:pPr>
      <w:r>
        <w:rPr>
          <w:rFonts w:hint="eastAsia" w:ascii="仿宋" w:hAnsi="仿宋" w:eastAsia="仿宋"/>
          <w:sz w:val="28"/>
        </w:rPr>
        <w:br w:type="page"/>
      </w:r>
      <w:r>
        <w:rPr>
          <w:rFonts w:hint="eastAsia" w:ascii="仿宋" w:hAnsi="仿宋" w:eastAsia="仿宋"/>
          <w:sz w:val="28"/>
        </w:rPr>
        <w:t>附件十</w:t>
      </w:r>
      <w:r>
        <w:rPr>
          <w:rFonts w:hint="eastAsia" w:ascii="仿宋" w:hAnsi="仿宋" w:eastAsia="仿宋"/>
          <w:sz w:val="28"/>
          <w:lang w:val="en-US" w:eastAsia="zh-CN"/>
        </w:rPr>
        <w:t>一</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w:t>
      </w:r>
      <w:r>
        <w:rPr>
          <w:rFonts w:hint="eastAsia" w:ascii="仿宋" w:hAnsi="仿宋" w:eastAsia="仿宋"/>
          <w:b/>
          <w:sz w:val="28"/>
          <w:szCs w:val="28"/>
          <w:lang w:eastAsia="zh-CN"/>
        </w:rPr>
        <w:t>或</w:t>
      </w:r>
      <w:r>
        <w:rPr>
          <w:rFonts w:hint="eastAsia" w:ascii="仿宋" w:hAnsi="仿宋" w:eastAsia="仿宋"/>
          <w:b/>
          <w:sz w:val="28"/>
          <w:szCs w:val="28"/>
        </w:rPr>
        <w:t>合同等的复印件）。</w:t>
      </w:r>
    </w:p>
    <w:p>
      <w:pPr>
        <w:ind w:firstLine="560"/>
      </w:pPr>
      <w:r>
        <w:rPr>
          <w:rFonts w:hint="eastAsia" w:ascii="仿宋" w:hAnsi="仿宋" w:eastAsia="仿宋"/>
          <w:sz w:val="28"/>
        </w:rPr>
        <w:t>投标单位授权代表人签字：                                                  投标单位公章：</w:t>
      </w:r>
    </w:p>
    <w:p>
      <w:pPr>
        <w:pStyle w:val="14"/>
        <w:spacing w:after="0" w:line="240" w:lineRule="auto"/>
        <w:ind w:left="0" w:firstLine="0" w:firstLineChars="0"/>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p>
    <w:p>
      <w:pPr>
        <w:widowControl/>
        <w:spacing w:line="440" w:lineRule="exact"/>
        <w:ind w:firstLine="280" w:firstLineChars="100"/>
        <w:jc w:val="right"/>
        <w:outlineLvl w:val="0"/>
        <w:rPr>
          <w:rFonts w:hint="eastAsia" w:ascii="仿宋" w:hAnsi="仿宋" w:eastAsia="仿宋" w:cs="仿宋"/>
          <w:sz w:val="28"/>
        </w:rPr>
      </w:pPr>
      <w:bookmarkStart w:id="14" w:name="_Toc9529"/>
      <w:bookmarkStart w:id="15" w:name="_Toc20351"/>
      <w:bookmarkStart w:id="16" w:name="_Toc1335"/>
      <w:bookmarkStart w:id="17" w:name="_Toc16469"/>
      <w:bookmarkStart w:id="18" w:name="_Toc226"/>
      <w:bookmarkStart w:id="19" w:name="_Toc26325"/>
      <w:r>
        <w:rPr>
          <w:rFonts w:hint="eastAsia" w:ascii="仿宋" w:hAnsi="仿宋" w:eastAsia="仿宋" w:cs="仿宋"/>
          <w:sz w:val="28"/>
        </w:rPr>
        <w:t>附件十</w:t>
      </w:r>
      <w:bookmarkEnd w:id="14"/>
      <w:bookmarkEnd w:id="15"/>
      <w:bookmarkEnd w:id="16"/>
      <w:bookmarkEnd w:id="17"/>
      <w:bookmarkEnd w:id="18"/>
      <w:bookmarkEnd w:id="19"/>
      <w:r>
        <w:rPr>
          <w:rFonts w:hint="eastAsia" w:ascii="仿宋" w:hAnsi="仿宋" w:eastAsia="仿宋" w:cs="仿宋"/>
          <w:sz w:val="28"/>
          <w:lang w:val="en-US" w:eastAsia="zh-CN"/>
        </w:rPr>
        <w:t>二</w:t>
      </w:r>
      <w:r>
        <w:rPr>
          <w:rFonts w:hint="eastAsia" w:ascii="仿宋" w:hAnsi="仿宋" w:eastAsia="仿宋" w:cs="仿宋"/>
          <w:sz w:val="28"/>
        </w:rPr>
        <w:t xml:space="preserve"> </w:t>
      </w:r>
    </w:p>
    <w:p>
      <w:pPr>
        <w:spacing w:line="360" w:lineRule="atLeast"/>
        <w:ind w:firstLine="723"/>
        <w:jc w:val="center"/>
        <w:outlineLvl w:val="0"/>
        <w:rPr>
          <w:rFonts w:hint="eastAsia" w:ascii="仿宋" w:hAnsi="仿宋" w:eastAsia="仿宋"/>
          <w:b/>
          <w:sz w:val="36"/>
        </w:rPr>
      </w:pPr>
      <w:bookmarkStart w:id="20" w:name="_Toc6882"/>
      <w:bookmarkStart w:id="21" w:name="_Toc26718"/>
      <w:bookmarkStart w:id="22" w:name="_Toc700"/>
      <w:bookmarkStart w:id="23" w:name="_Toc28888"/>
      <w:bookmarkStart w:id="24" w:name="_Toc11875"/>
      <w:bookmarkStart w:id="25" w:name="_Toc19726"/>
      <w:bookmarkStart w:id="26" w:name="_Toc22561"/>
      <w:r>
        <w:rPr>
          <w:rFonts w:hint="eastAsia" w:ascii="仿宋" w:hAnsi="仿宋" w:eastAsia="仿宋"/>
          <w:b/>
          <w:sz w:val="36"/>
        </w:rPr>
        <w:t>投标人认为有必要的其他证明材料</w:t>
      </w:r>
      <w:bookmarkEnd w:id="20"/>
      <w:bookmarkEnd w:id="21"/>
      <w:bookmarkEnd w:id="22"/>
      <w:bookmarkEnd w:id="23"/>
      <w:bookmarkEnd w:id="24"/>
      <w:bookmarkEnd w:id="25"/>
      <w:bookmarkEnd w:id="26"/>
    </w:p>
    <w:p>
      <w:pPr>
        <w:spacing w:line="360" w:lineRule="atLeast"/>
        <w:ind w:firstLine="723"/>
        <w:jc w:val="center"/>
        <w:outlineLvl w:val="0"/>
        <w:rPr>
          <w:rFonts w:ascii="仿宋" w:hAnsi="仿宋" w:eastAsia="仿宋"/>
          <w:b/>
          <w:sz w:val="36"/>
        </w:rPr>
      </w:pPr>
      <w:bookmarkStart w:id="27" w:name="_Toc17008"/>
      <w:bookmarkStart w:id="28" w:name="_Toc14280"/>
      <w:bookmarkStart w:id="29" w:name="_Toc14357"/>
      <w:bookmarkStart w:id="30" w:name="_Toc1572"/>
      <w:bookmarkStart w:id="31" w:name="_Toc18233"/>
      <w:bookmarkStart w:id="32" w:name="_Toc22572"/>
      <w:bookmarkStart w:id="33" w:name="_Toc11709"/>
      <w:bookmarkStart w:id="34" w:name="_Toc6293"/>
      <w:r>
        <w:rPr>
          <w:rFonts w:hint="eastAsia" w:ascii="仿宋" w:hAnsi="仿宋" w:eastAsia="仿宋"/>
          <w:b/>
          <w:sz w:val="36"/>
        </w:rPr>
        <w:t>（此项包含资格审查资料）</w:t>
      </w:r>
      <w:bookmarkEnd w:id="27"/>
      <w:bookmarkEnd w:id="28"/>
      <w:bookmarkEnd w:id="29"/>
      <w:bookmarkEnd w:id="30"/>
      <w:bookmarkEnd w:id="31"/>
      <w:bookmarkEnd w:id="32"/>
      <w:bookmarkEnd w:id="33"/>
      <w:bookmarkEnd w:id="34"/>
    </w:p>
    <w:p>
      <w:pPr>
        <w:pStyle w:val="14"/>
        <w:spacing w:after="0" w:line="240" w:lineRule="auto"/>
        <w:ind w:left="0" w:firstLine="0" w:firstLineChars="0"/>
      </w:pPr>
    </w:p>
    <w:sectPr>
      <w:pgSz w:w="11906" w:h="16838"/>
      <w:pgMar w:top="1440" w:right="1077" w:bottom="1440" w:left="107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宋体;SimSun">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92BA"/>
    <w:multiLevelType w:val="singleLevel"/>
    <w:tmpl w:val="932692BA"/>
    <w:lvl w:ilvl="0" w:tentative="0">
      <w:start w:val="1"/>
      <w:numFmt w:val="decimal"/>
      <w:lvlText w:val="%1."/>
      <w:lvlJc w:val="left"/>
      <w:pPr>
        <w:ind w:left="425" w:hanging="425"/>
      </w:pPr>
      <w:rPr>
        <w:rFonts w:hint="default"/>
      </w:rPr>
    </w:lvl>
  </w:abstractNum>
  <w:abstractNum w:abstractNumId="1">
    <w:nsid w:val="D246A7D1"/>
    <w:multiLevelType w:val="singleLevel"/>
    <w:tmpl w:val="D246A7D1"/>
    <w:lvl w:ilvl="0" w:tentative="0">
      <w:start w:val="7"/>
      <w:numFmt w:val="chineseCounting"/>
      <w:suff w:val="nothing"/>
      <w:lvlText w:val="%1、"/>
      <w:lvlJc w:val="left"/>
      <w:rPr>
        <w:rFonts w:hint="eastAsia"/>
      </w:rPr>
    </w:lvl>
  </w:abstractNum>
  <w:abstractNum w:abstractNumId="2">
    <w:nsid w:val="D5A7618B"/>
    <w:multiLevelType w:val="singleLevel"/>
    <w:tmpl w:val="D5A7618B"/>
    <w:lvl w:ilvl="0" w:tentative="0">
      <w:start w:val="3"/>
      <w:numFmt w:val="chineseCounting"/>
      <w:suff w:val="space"/>
      <w:lvlText w:val="第%1章"/>
      <w:lvlJc w:val="left"/>
      <w:rPr>
        <w:rFonts w:hint="eastAsia"/>
      </w:rPr>
    </w:lvl>
  </w:abstractNum>
  <w:abstractNum w:abstractNumId="3">
    <w:nsid w:val="D7332DDE"/>
    <w:multiLevelType w:val="singleLevel"/>
    <w:tmpl w:val="D7332DDE"/>
    <w:lvl w:ilvl="0" w:tentative="0">
      <w:start w:val="1"/>
      <w:numFmt w:val="decimal"/>
      <w:suff w:val="nothing"/>
      <w:lvlText w:val="%1、"/>
      <w:lvlJc w:val="left"/>
    </w:lvl>
  </w:abstractNum>
  <w:abstractNum w:abstractNumId="4">
    <w:nsid w:val="0E5EF7B6"/>
    <w:multiLevelType w:val="singleLevel"/>
    <w:tmpl w:val="0E5EF7B6"/>
    <w:lvl w:ilvl="0" w:tentative="0">
      <w:start w:val="6"/>
      <w:numFmt w:val="chineseCounting"/>
      <w:suff w:val="nothing"/>
      <w:lvlText w:val="%1、"/>
      <w:lvlJc w:val="left"/>
      <w:rPr>
        <w:rFonts w:hint="eastAsia"/>
      </w:rPr>
    </w:lvl>
  </w:abstractNum>
  <w:abstractNum w:abstractNumId="5">
    <w:nsid w:val="198F0C7F"/>
    <w:multiLevelType w:val="singleLevel"/>
    <w:tmpl w:val="198F0C7F"/>
    <w:lvl w:ilvl="0" w:tentative="0">
      <w:start w:val="2"/>
      <w:numFmt w:val="decimal"/>
      <w:suff w:val="space"/>
      <w:lvlText w:val="(%1)"/>
      <w:lvlJc w:val="left"/>
      <w:pPr>
        <w:ind w:left="700" w:leftChars="0" w:firstLine="0" w:firstLineChars="0"/>
      </w:pPr>
    </w:lvl>
  </w:abstractNum>
  <w:abstractNum w:abstractNumId="6">
    <w:nsid w:val="1EF2C9E5"/>
    <w:multiLevelType w:val="singleLevel"/>
    <w:tmpl w:val="1EF2C9E5"/>
    <w:lvl w:ilvl="0" w:tentative="0">
      <w:start w:val="1"/>
      <w:numFmt w:val="chineseCounting"/>
      <w:suff w:val="space"/>
      <w:lvlText w:val="%1、"/>
      <w:lvlJc w:val="left"/>
      <w:rPr>
        <w:rFonts w:hint="eastAsia"/>
      </w:rPr>
    </w:lvl>
  </w:abstractNum>
  <w:abstractNum w:abstractNumId="7">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6"/>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8">
    <w:nsid w:val="3165FDD7"/>
    <w:multiLevelType w:val="singleLevel"/>
    <w:tmpl w:val="3165FDD7"/>
    <w:lvl w:ilvl="0" w:tentative="0">
      <w:start w:val="1"/>
      <w:numFmt w:val="decimal"/>
      <w:suff w:val="space"/>
      <w:lvlText w:val="%1、"/>
      <w:lvlJc w:val="left"/>
    </w:lvl>
  </w:abstractNum>
  <w:abstractNum w:abstractNumId="9">
    <w:nsid w:val="38838A43"/>
    <w:multiLevelType w:val="singleLevel"/>
    <w:tmpl w:val="38838A43"/>
    <w:lvl w:ilvl="0" w:tentative="0">
      <w:start w:val="4"/>
      <w:numFmt w:val="chineseCounting"/>
      <w:suff w:val="space"/>
      <w:lvlText w:val="%1、"/>
      <w:lvlJc w:val="left"/>
      <w:rPr>
        <w:rFonts w:hint="eastAsia"/>
      </w:rPr>
    </w:lvl>
  </w:abstractNum>
  <w:abstractNum w:abstractNumId="10">
    <w:nsid w:val="3F827A3B"/>
    <w:multiLevelType w:val="singleLevel"/>
    <w:tmpl w:val="3F827A3B"/>
    <w:lvl w:ilvl="0" w:tentative="0">
      <w:start w:val="6"/>
      <w:numFmt w:val="decimal"/>
      <w:suff w:val="space"/>
      <w:lvlText w:val="%1."/>
      <w:lvlJc w:val="left"/>
    </w:lvl>
  </w:abstractNum>
  <w:abstractNum w:abstractNumId="11">
    <w:nsid w:val="594A2C79"/>
    <w:multiLevelType w:val="singleLevel"/>
    <w:tmpl w:val="594A2C79"/>
    <w:lvl w:ilvl="0" w:tentative="0">
      <w:start w:val="1"/>
      <w:numFmt w:val="upperLetter"/>
      <w:suff w:val="nothing"/>
      <w:lvlText w:val="%1、"/>
      <w:lvlJc w:val="left"/>
    </w:lvl>
  </w:abstractNum>
  <w:num w:numId="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1"/>
  </w:num>
  <w:num w:numId="5">
    <w:abstractNumId w:val="2"/>
  </w:num>
  <w:num w:numId="6">
    <w:abstractNumId w:val="6"/>
  </w:num>
  <w:num w:numId="7">
    <w:abstractNumId w:val="10"/>
  </w:num>
  <w:num w:numId="8">
    <w:abstractNumId w:val="9"/>
  </w:num>
  <w:num w:numId="9">
    <w:abstractNumId w:val="0"/>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37B27CB"/>
    <w:rsid w:val="041E1573"/>
    <w:rsid w:val="04C92E7C"/>
    <w:rsid w:val="058461F6"/>
    <w:rsid w:val="05DA31BD"/>
    <w:rsid w:val="065E7E3A"/>
    <w:rsid w:val="068165DD"/>
    <w:rsid w:val="076D15CF"/>
    <w:rsid w:val="088957A5"/>
    <w:rsid w:val="0B430CF5"/>
    <w:rsid w:val="0B58315E"/>
    <w:rsid w:val="0CC81C89"/>
    <w:rsid w:val="0D9B5179"/>
    <w:rsid w:val="0DA247BD"/>
    <w:rsid w:val="0F096FF4"/>
    <w:rsid w:val="0F8535BC"/>
    <w:rsid w:val="118B79E8"/>
    <w:rsid w:val="1191565A"/>
    <w:rsid w:val="11D22BC7"/>
    <w:rsid w:val="12453899"/>
    <w:rsid w:val="124E7DE1"/>
    <w:rsid w:val="12AA3961"/>
    <w:rsid w:val="1393198B"/>
    <w:rsid w:val="13F311A7"/>
    <w:rsid w:val="14093336"/>
    <w:rsid w:val="154D2051"/>
    <w:rsid w:val="15F22654"/>
    <w:rsid w:val="16707736"/>
    <w:rsid w:val="173659BE"/>
    <w:rsid w:val="1766157D"/>
    <w:rsid w:val="18376959"/>
    <w:rsid w:val="18F11EC7"/>
    <w:rsid w:val="18F32B6E"/>
    <w:rsid w:val="193B1F4D"/>
    <w:rsid w:val="1B0253E5"/>
    <w:rsid w:val="1BD970CF"/>
    <w:rsid w:val="1C403DE3"/>
    <w:rsid w:val="1C4D3D80"/>
    <w:rsid w:val="1E05302F"/>
    <w:rsid w:val="1EBC754B"/>
    <w:rsid w:val="1F4C7986"/>
    <w:rsid w:val="1FA163D0"/>
    <w:rsid w:val="209D41F0"/>
    <w:rsid w:val="214846AF"/>
    <w:rsid w:val="216A233C"/>
    <w:rsid w:val="224B7D46"/>
    <w:rsid w:val="22F04287"/>
    <w:rsid w:val="231625AB"/>
    <w:rsid w:val="23780394"/>
    <w:rsid w:val="23D63CAC"/>
    <w:rsid w:val="251960E8"/>
    <w:rsid w:val="25985076"/>
    <w:rsid w:val="25BB3E87"/>
    <w:rsid w:val="25E65235"/>
    <w:rsid w:val="260B5F94"/>
    <w:rsid w:val="261849A4"/>
    <w:rsid w:val="265E6CAC"/>
    <w:rsid w:val="26897B0F"/>
    <w:rsid w:val="28030C65"/>
    <w:rsid w:val="283C15F6"/>
    <w:rsid w:val="294A7C23"/>
    <w:rsid w:val="299B5B9F"/>
    <w:rsid w:val="29B36EDE"/>
    <w:rsid w:val="2B034B3B"/>
    <w:rsid w:val="2C6C6FE1"/>
    <w:rsid w:val="2CA21FC6"/>
    <w:rsid w:val="2CD670A4"/>
    <w:rsid w:val="2D00217A"/>
    <w:rsid w:val="2DB674CD"/>
    <w:rsid w:val="30791174"/>
    <w:rsid w:val="32216943"/>
    <w:rsid w:val="357B2A2D"/>
    <w:rsid w:val="365D61A8"/>
    <w:rsid w:val="37D504D2"/>
    <w:rsid w:val="38667294"/>
    <w:rsid w:val="387B68CE"/>
    <w:rsid w:val="38D14A81"/>
    <w:rsid w:val="38D66D3A"/>
    <w:rsid w:val="38FC773D"/>
    <w:rsid w:val="39397EA6"/>
    <w:rsid w:val="3AB25F7C"/>
    <w:rsid w:val="3AD25AB1"/>
    <w:rsid w:val="3C7D64D3"/>
    <w:rsid w:val="3D2B1E4D"/>
    <w:rsid w:val="3EF14F0B"/>
    <w:rsid w:val="3F35360A"/>
    <w:rsid w:val="3FD619D4"/>
    <w:rsid w:val="3FDA3461"/>
    <w:rsid w:val="40A56EEF"/>
    <w:rsid w:val="40F339E4"/>
    <w:rsid w:val="412330B1"/>
    <w:rsid w:val="41AA52D8"/>
    <w:rsid w:val="421B2732"/>
    <w:rsid w:val="42A64E80"/>
    <w:rsid w:val="432B6F1B"/>
    <w:rsid w:val="45772680"/>
    <w:rsid w:val="459634F9"/>
    <w:rsid w:val="461D282F"/>
    <w:rsid w:val="462315DF"/>
    <w:rsid w:val="46AC7713"/>
    <w:rsid w:val="46ED5036"/>
    <w:rsid w:val="47C57ED2"/>
    <w:rsid w:val="47EC043B"/>
    <w:rsid w:val="488266F6"/>
    <w:rsid w:val="491F0323"/>
    <w:rsid w:val="4A585C17"/>
    <w:rsid w:val="4A9676AC"/>
    <w:rsid w:val="4B1C02D9"/>
    <w:rsid w:val="4BB05D9D"/>
    <w:rsid w:val="4BC8030C"/>
    <w:rsid w:val="4C3A41DC"/>
    <w:rsid w:val="4C5C0D5C"/>
    <w:rsid w:val="4C666461"/>
    <w:rsid w:val="4C9E64A7"/>
    <w:rsid w:val="4CB03DD6"/>
    <w:rsid w:val="4E595D8B"/>
    <w:rsid w:val="4F457671"/>
    <w:rsid w:val="53377679"/>
    <w:rsid w:val="53D855EF"/>
    <w:rsid w:val="547F00FE"/>
    <w:rsid w:val="554C5669"/>
    <w:rsid w:val="57494B6A"/>
    <w:rsid w:val="58A353CE"/>
    <w:rsid w:val="5A2A2ED3"/>
    <w:rsid w:val="5AA85F50"/>
    <w:rsid w:val="5BA303C3"/>
    <w:rsid w:val="5BC338CB"/>
    <w:rsid w:val="5C7D2D1D"/>
    <w:rsid w:val="6029607F"/>
    <w:rsid w:val="60F847E6"/>
    <w:rsid w:val="616771CA"/>
    <w:rsid w:val="620944A8"/>
    <w:rsid w:val="62606BB5"/>
    <w:rsid w:val="62914D2C"/>
    <w:rsid w:val="630E7CA9"/>
    <w:rsid w:val="631F28F3"/>
    <w:rsid w:val="645B4BB8"/>
    <w:rsid w:val="64C70E38"/>
    <w:rsid w:val="65AB3C6E"/>
    <w:rsid w:val="66A56E93"/>
    <w:rsid w:val="66DD6549"/>
    <w:rsid w:val="67A361F6"/>
    <w:rsid w:val="69DD5937"/>
    <w:rsid w:val="6A185777"/>
    <w:rsid w:val="6A2D03C2"/>
    <w:rsid w:val="6CFC72E6"/>
    <w:rsid w:val="6FE95F5B"/>
    <w:rsid w:val="70DB6F2A"/>
    <w:rsid w:val="710220D3"/>
    <w:rsid w:val="71A24191"/>
    <w:rsid w:val="71F407E5"/>
    <w:rsid w:val="7248337C"/>
    <w:rsid w:val="73010F77"/>
    <w:rsid w:val="7496678D"/>
    <w:rsid w:val="754A19F1"/>
    <w:rsid w:val="75D211D2"/>
    <w:rsid w:val="77AC5CFF"/>
    <w:rsid w:val="791518AB"/>
    <w:rsid w:val="797D245A"/>
    <w:rsid w:val="79995155"/>
    <w:rsid w:val="79A93532"/>
    <w:rsid w:val="7A5B7883"/>
    <w:rsid w:val="7A7F71CE"/>
    <w:rsid w:val="7AC26BB9"/>
    <w:rsid w:val="7B04197C"/>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rPr>
  </w:style>
  <w:style w:type="paragraph" w:styleId="7">
    <w:name w:val="Body Text"/>
    <w:basedOn w:val="1"/>
    <w:next w:val="1"/>
    <w:qFormat/>
    <w:uiPriority w:val="0"/>
    <w:pPr>
      <w:spacing w:after="120"/>
    </w:pPr>
  </w:style>
  <w:style w:type="paragraph" w:styleId="8">
    <w:name w:val="Body Text Indent"/>
    <w:basedOn w:val="1"/>
    <w:next w:val="6"/>
    <w:qFormat/>
    <w:uiPriority w:val="0"/>
    <w:pPr>
      <w:spacing w:line="800" w:lineRule="exact"/>
      <w:ind w:left="315" w:leftChars="150" w:firstLine="664" w:firstLineChars="237"/>
    </w:pPr>
    <w:rPr>
      <w:rFonts w:ascii="仿宋_GB2312" w:eastAsia="仿宋_GB2312"/>
      <w:sz w:val="28"/>
    </w:rPr>
  </w:style>
  <w:style w:type="paragraph" w:styleId="9">
    <w:name w:val="Plain Text"/>
    <w:basedOn w:val="1"/>
    <w:qFormat/>
    <w:uiPriority w:val="0"/>
    <w:rPr>
      <w:rFonts w:ascii="宋体" w:hAnsi="Courier New" w:cstheme="minorBidi"/>
      <w:sz w:val="11"/>
      <w:szCs w:val="22"/>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ind w:firstLine="200" w:firstLineChars="200"/>
      <w:jc w:val="left"/>
    </w:pPr>
    <w:rPr>
      <w:b/>
      <w:bCs/>
      <w:caps/>
      <w:sz w:val="20"/>
    </w:rPr>
  </w:style>
  <w:style w:type="paragraph" w:styleId="14">
    <w:name w:val="List"/>
    <w:basedOn w:val="1"/>
    <w:qFormat/>
    <w:uiPriority w:val="0"/>
    <w:pPr>
      <w:ind w:left="200" w:hanging="200" w:hangingChars="200"/>
    </w:pPr>
  </w:style>
  <w:style w:type="paragraph" w:styleId="15">
    <w:name w:val="footnote text"/>
    <w:basedOn w:val="1"/>
    <w:qFormat/>
    <w:uiPriority w:val="0"/>
    <w:pPr>
      <w:snapToGrid w:val="0"/>
      <w:jc w:val="left"/>
    </w:pPr>
    <w:rPr>
      <w:sz w:val="18"/>
    </w:r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Title"/>
    <w:basedOn w:val="1"/>
    <w:next w:val="1"/>
    <w:link w:val="34"/>
    <w:qFormat/>
    <w:uiPriority w:val="0"/>
    <w:pPr>
      <w:spacing w:before="240" w:after="60"/>
      <w:ind w:left="425" w:hanging="425"/>
      <w:jc w:val="center"/>
      <w:outlineLvl w:val="0"/>
    </w:pPr>
    <w:rPr>
      <w:rFonts w:ascii="Arial" w:hAnsi="Arial" w:cs="Arial"/>
      <w:b/>
      <w:bCs/>
      <w:sz w:val="32"/>
      <w:szCs w:val="32"/>
    </w:rPr>
  </w:style>
  <w:style w:type="paragraph" w:styleId="18">
    <w:name w:val="Body Text First Indent"/>
    <w:basedOn w:val="7"/>
    <w:qFormat/>
    <w:uiPriority w:val="0"/>
    <w:pPr>
      <w:autoSpaceDE w:val="0"/>
      <w:autoSpaceDN w:val="0"/>
      <w:adjustRightInd w:val="0"/>
      <w:spacing w:after="120" w:line="312" w:lineRule="atLeast"/>
      <w:ind w:firstLine="420"/>
    </w:pPr>
    <w:rPr>
      <w:rFonts w:ascii="宋体"/>
      <w:kern w:val="0"/>
    </w:rPr>
  </w:style>
  <w:style w:type="paragraph" w:styleId="19">
    <w:name w:val="Body Text First Indent 2"/>
    <w:basedOn w:val="7"/>
    <w:qFormat/>
    <w:uiPriority w:val="0"/>
    <w:pPr>
      <w:spacing w:line="240" w:lineRule="auto"/>
      <w:ind w:left="420" w:leftChars="200" w:firstLine="420" w:firstLineChars="200"/>
    </w:pPr>
    <w:rPr>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HTML Sample"/>
    <w:basedOn w:val="22"/>
    <w:qFormat/>
    <w:uiPriority w:val="0"/>
    <w:rPr>
      <w:rFonts w:ascii="Courier New" w:hAnsi="Courier New"/>
    </w:r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Default Text"/>
    <w:link w:val="44"/>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29">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0">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答复表头"/>
    <w:basedOn w:val="33"/>
    <w:next w:val="1"/>
    <w:qFormat/>
    <w:uiPriority w:val="0"/>
    <w:pPr>
      <w:tabs>
        <w:tab w:val="left" w:pos="480"/>
      </w:tabs>
    </w:pPr>
  </w:style>
  <w:style w:type="paragraph" w:customStyle="1" w:styleId="3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4">
    <w:name w:val="标题 Char"/>
    <w:basedOn w:val="22"/>
    <w:link w:val="17"/>
    <w:qFormat/>
    <w:uiPriority w:val="0"/>
    <w:rPr>
      <w:rFonts w:ascii="Arial" w:hAnsi="Arial" w:cs="Arial"/>
      <w:b/>
      <w:bCs/>
      <w:sz w:val="32"/>
      <w:szCs w:val="32"/>
    </w:rPr>
  </w:style>
  <w:style w:type="character" w:customStyle="1" w:styleId="35">
    <w:name w:val="7）页眉页脚"/>
    <w:qFormat/>
    <w:uiPriority w:val="0"/>
    <w:rPr>
      <w:rFonts w:ascii="仿宋_GB2312" w:eastAsia="仿宋_GB2312"/>
      <w:b/>
      <w:i/>
      <w:sz w:val="18"/>
      <w:vertAlign w:val="baseline"/>
    </w:rPr>
  </w:style>
  <w:style w:type="paragraph" w:customStyle="1" w:styleId="36">
    <w:name w:val="Char"/>
    <w:basedOn w:val="1"/>
    <w:qFormat/>
    <w:uiPriority w:val="0"/>
    <w:rPr>
      <w:rFonts w:ascii="Tahoma" w:hAnsi="Tahoma" w:cs="仿宋_GB2312"/>
      <w:sz w:val="24"/>
      <w:szCs w:val="28"/>
    </w:rPr>
  </w:style>
  <w:style w:type="paragraph" w:customStyle="1" w:styleId="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NormalCharacter"/>
    <w:link w:val="39"/>
    <w:qFormat/>
    <w:uiPriority w:val="0"/>
  </w:style>
  <w:style w:type="paragraph" w:customStyle="1" w:styleId="39">
    <w:name w:val="UserStyle_0"/>
    <w:basedOn w:val="1"/>
    <w:link w:val="38"/>
    <w:qFormat/>
    <w:uiPriority w:val="0"/>
    <w:pPr>
      <w:textAlignment w:val="baseline"/>
    </w:pPr>
  </w:style>
  <w:style w:type="paragraph" w:styleId="40">
    <w:name w:val="List Paragraph"/>
    <w:basedOn w:val="1"/>
    <w:qFormat/>
    <w:uiPriority w:val="34"/>
    <w:pPr>
      <w:ind w:firstLine="420" w:firstLineChars="200"/>
    </w:pPr>
    <w:rPr>
      <w:rFonts w:ascii="Calibri" w:hAnsi="Calibri"/>
      <w:szCs w:val="22"/>
    </w:rPr>
  </w:style>
  <w:style w:type="character" w:customStyle="1" w:styleId="41">
    <w:name w:val="Heading 1 Char"/>
    <w:link w:val="3"/>
    <w:qFormat/>
    <w:uiPriority w:val="0"/>
    <w:rPr>
      <w:b/>
      <w:kern w:val="44"/>
      <w:sz w:val="44"/>
      <w:szCs w:val="20"/>
    </w:rPr>
  </w:style>
  <w:style w:type="paragraph" w:customStyle="1" w:styleId="42">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3">
    <w:name w:val="列出段落1"/>
    <w:basedOn w:val="1"/>
    <w:qFormat/>
    <w:uiPriority w:val="99"/>
    <w:pPr>
      <w:ind w:firstLine="420" w:firstLineChars="200"/>
    </w:pPr>
  </w:style>
  <w:style w:type="character" w:customStyle="1" w:styleId="44">
    <w:name w:val="Default Text Char"/>
    <w:link w:val="28"/>
    <w:qFormat/>
    <w:uiPriority w:val="0"/>
    <w:rPr>
      <w:rFonts w:asciiTheme="minorHAnsi" w:hAnsiTheme="minorHAnsi" w:eastAsiaTheme="minorEastAsia" w:cstheme="minorBidi"/>
      <w:color w:val="000000"/>
      <w:kern w:val="2"/>
      <w:sz w:val="24"/>
      <w:szCs w:val="22"/>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6">
    <w:name w:val="head 1.1.1"/>
    <w:basedOn w:val="40"/>
    <w:qFormat/>
    <w:uiPriority w:val="0"/>
    <w:pPr>
      <w:numPr>
        <w:ilvl w:val="2"/>
        <w:numId w:val="1"/>
      </w:numPr>
      <w:spacing w:line="240" w:lineRule="auto"/>
      <w:ind w:firstLine="0" w:firstLineChars="0"/>
    </w:pPr>
    <w:rPr>
      <w:bCs/>
    </w:rPr>
  </w:style>
  <w:style w:type="character" w:customStyle="1" w:styleId="47">
    <w:name w:val="标题 1 Char"/>
    <w:basedOn w:val="22"/>
    <w:link w:val="3"/>
    <w:qFormat/>
    <w:uiPriority w:val="0"/>
    <w:rPr>
      <w:rFonts w:ascii="Times New Roman" w:hAnsi="Times New Roman" w:cs="Times New Roman"/>
      <w:b/>
      <w:bCs/>
      <w:kern w:val="44"/>
      <w:sz w:val="44"/>
      <w:szCs w:val="44"/>
    </w:rPr>
  </w:style>
  <w:style w:type="character" w:customStyle="1" w:styleId="48">
    <w:name w:val="UP标题3 Char Char"/>
    <w:link w:val="49"/>
    <w:qFormat/>
    <w:uiPriority w:val="0"/>
    <w:rPr>
      <w:rFonts w:ascii="黑体" w:hAnsi="Times New Roman" w:eastAsia="黑体" w:cs="宋体"/>
      <w:sz w:val="28"/>
      <w:szCs w:val="28"/>
    </w:rPr>
  </w:style>
  <w:style w:type="paragraph" w:customStyle="1" w:styleId="49">
    <w:name w:val="UP标题3"/>
    <w:basedOn w:val="1"/>
    <w:link w:val="48"/>
    <w:qFormat/>
    <w:uiPriority w:val="0"/>
    <w:pPr>
      <w:spacing w:line="360" w:lineRule="auto"/>
      <w:ind w:firstLine="149" w:firstLineChars="149"/>
    </w:pPr>
    <w:rPr>
      <w:rFonts w:ascii="黑体" w:eastAsia="黑体" w:cs="宋体"/>
      <w:sz w:val="28"/>
      <w:szCs w:val="28"/>
    </w:rPr>
  </w:style>
  <w:style w:type="paragraph" w:customStyle="1" w:styleId="5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1">
    <w:name w:val="font31"/>
    <w:basedOn w:val="22"/>
    <w:qFormat/>
    <w:uiPriority w:val="0"/>
    <w:rPr>
      <w:rFonts w:hint="eastAsia" w:ascii="宋体" w:hAnsi="宋体" w:eastAsia="宋体" w:cs="宋体"/>
      <w:color w:val="000000"/>
      <w:sz w:val="22"/>
      <w:szCs w:val="22"/>
      <w:u w:val="none"/>
    </w:rPr>
  </w:style>
  <w:style w:type="character" w:customStyle="1" w:styleId="52">
    <w:name w:val="font01"/>
    <w:basedOn w:val="22"/>
    <w:qFormat/>
    <w:uiPriority w:val="0"/>
    <w:rPr>
      <w:rFonts w:hint="eastAsia" w:ascii="宋体" w:hAnsi="宋体" w:eastAsia="宋体" w:cs="宋体"/>
      <w:b/>
      <w:color w:val="000000"/>
      <w:sz w:val="36"/>
      <w:szCs w:val="36"/>
      <w:u w:val="none"/>
    </w:rPr>
  </w:style>
  <w:style w:type="character" w:customStyle="1" w:styleId="53">
    <w:name w:val="font11"/>
    <w:basedOn w:val="22"/>
    <w:qFormat/>
    <w:uiPriority w:val="0"/>
    <w:rPr>
      <w:rFonts w:hint="eastAsia" w:ascii="仿宋" w:hAnsi="仿宋" w:eastAsia="仿宋" w:cs="仿宋"/>
      <w:color w:val="000000"/>
      <w:sz w:val="30"/>
      <w:szCs w:val="30"/>
      <w:u w:val="none"/>
    </w:rPr>
  </w:style>
  <w:style w:type="paragraph" w:customStyle="1" w:styleId="54">
    <w:name w:val="列出段落11"/>
    <w:basedOn w:val="1"/>
    <w:next w:val="43"/>
    <w:qFormat/>
    <w:uiPriority w:val="34"/>
    <w:pPr>
      <w:ind w:firstLine="420" w:firstLineChars="200"/>
    </w:pPr>
  </w:style>
  <w:style w:type="paragraph" w:customStyle="1" w:styleId="55">
    <w:name w:val="正"/>
    <w:basedOn w:val="56"/>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6">
    <w:name w:val="正文_1"/>
    <w:next w:val="55"/>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7">
    <w:name w:val="正文_13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_2_0"/>
    <w:basedOn w:val="57"/>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28040</Words>
  <Characters>30523</Characters>
  <Lines>304</Lines>
  <Paragraphs>85</Paragraphs>
  <TotalTime>4</TotalTime>
  <ScaleCrop>false</ScaleCrop>
  <LinksUpToDate>false</LinksUpToDate>
  <CharactersWithSpaces>32711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2022-12-12T03:11:00Z</cp:lastPrinted>
  <dcterms:modified xsi:type="dcterms:W3CDTF">2022-12-12T03:11:20Z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3293477181194FEC98E331BCEB09F31E</vt:lpwstr>
  </property>
</Properties>
</file>