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20" w:firstLineChars="0"/>
        <w:jc w:val="right"/>
        <w:outlineLvl w:val="0"/>
        <w:rPr>
          <w:rFonts w:hint="eastAsia" w:ascii="宋体" w:hAnsi="宋体" w:eastAsia="宋体" w:cs="宋体"/>
          <w:b/>
          <w:sz w:val="32"/>
          <w:szCs w:val="32"/>
          <w:lang w:val="en-US"/>
        </w:rPr>
      </w:pPr>
      <w:bookmarkStart w:id="0" w:name="_Toc11650"/>
      <w:bookmarkStart w:id="1" w:name="_Toc4613"/>
      <w:bookmarkStart w:id="2" w:name="_Toc183682338"/>
      <w:bookmarkStart w:id="3" w:name="_Toc217446030"/>
      <w:bookmarkStart w:id="4" w:name="_Toc279996676"/>
      <w:r>
        <w:rPr>
          <w:rFonts w:hint="eastAsia" w:ascii="宋体" w:hAnsi="宋体" w:eastAsia="宋体" w:cs="宋体"/>
          <w:b/>
          <w:sz w:val="32"/>
          <w:szCs w:val="32"/>
        </w:rPr>
        <w:t>项目编码：</w:t>
      </w:r>
      <w:r>
        <w:rPr>
          <w:rFonts w:hint="eastAsia" w:ascii="宋体" w:hAnsi="宋体" w:eastAsia="宋体" w:cs="宋体"/>
          <w:b/>
          <w:sz w:val="32"/>
          <w:szCs w:val="32"/>
          <w:lang w:val="en-US" w:eastAsia="zh-CN"/>
        </w:rPr>
        <w:t>HYYL-2022-119</w:t>
      </w:r>
      <w:bookmarkEnd w:id="0"/>
      <w:bookmarkEnd w:id="1"/>
    </w:p>
    <w:p>
      <w:pPr>
        <w:autoSpaceDE w:val="0"/>
        <w:autoSpaceDN w:val="0"/>
        <w:adjustRightInd w:val="0"/>
        <w:rPr>
          <w:rFonts w:hint="eastAsia" w:ascii="宋体" w:hAnsi="宋体" w:eastAsia="宋体" w:cs="宋体"/>
          <w:b/>
          <w:sz w:val="58"/>
          <w:szCs w:val="58"/>
        </w:rPr>
      </w:pPr>
    </w:p>
    <w:p>
      <w:pPr>
        <w:pStyle w:val="5"/>
        <w:outlineLvl w:val="9"/>
        <w:rPr>
          <w:rFonts w:hint="eastAsia" w:ascii="宋体" w:hAnsi="宋体" w:eastAsia="宋体" w:cs="宋体"/>
        </w:rPr>
      </w:pPr>
    </w:p>
    <w:p>
      <w:pPr>
        <w:autoSpaceDE w:val="0"/>
        <w:autoSpaceDN w:val="0"/>
        <w:adjustRightInd w:val="0"/>
        <w:jc w:val="center"/>
        <w:outlineLvl w:val="0"/>
        <w:rPr>
          <w:rFonts w:hint="eastAsia" w:ascii="宋体" w:hAnsi="宋体" w:eastAsia="宋体" w:cs="宋体"/>
          <w:b/>
          <w:sz w:val="48"/>
          <w:szCs w:val="48"/>
          <w:lang w:eastAsia="zh-CN"/>
        </w:rPr>
      </w:pPr>
      <w:bookmarkStart w:id="5" w:name="_Toc9665"/>
      <w:bookmarkStart w:id="6" w:name="_Toc29667"/>
      <w:r>
        <w:rPr>
          <w:rFonts w:hint="eastAsia" w:ascii="宋体" w:hAnsi="宋体" w:eastAsia="宋体" w:cs="宋体"/>
          <w:b/>
          <w:sz w:val="52"/>
          <w:szCs w:val="52"/>
          <w:lang w:eastAsia="zh-CN"/>
        </w:rPr>
        <w:t>农业科技智能温室附属设施配套项目-科技创区水网改造提升项目</w:t>
      </w:r>
      <w:bookmarkEnd w:id="5"/>
      <w:bookmarkEnd w:id="6"/>
    </w:p>
    <w:p>
      <w:pPr>
        <w:autoSpaceDE w:val="0"/>
        <w:autoSpaceDN w:val="0"/>
        <w:adjustRightInd w:val="0"/>
        <w:jc w:val="center"/>
        <w:rPr>
          <w:rFonts w:hint="eastAsia" w:ascii="宋体" w:hAnsi="宋体" w:eastAsia="宋体" w:cs="宋体"/>
          <w:b/>
          <w:sz w:val="54"/>
          <w:szCs w:val="54"/>
        </w:rPr>
      </w:pPr>
    </w:p>
    <w:p>
      <w:pPr>
        <w:pStyle w:val="5"/>
        <w:outlineLvl w:val="9"/>
        <w:rPr>
          <w:rFonts w:hint="eastAsia" w:ascii="宋体" w:hAnsi="宋体" w:eastAsia="宋体" w:cs="宋体"/>
        </w:rPr>
      </w:pPr>
    </w:p>
    <w:p>
      <w:pPr>
        <w:autoSpaceDE w:val="0"/>
        <w:autoSpaceDN w:val="0"/>
        <w:adjustRightInd w:val="0"/>
        <w:jc w:val="center"/>
        <w:outlineLvl w:val="0"/>
        <w:rPr>
          <w:rFonts w:hint="eastAsia" w:ascii="宋体" w:hAnsi="宋体" w:eastAsia="宋体" w:cs="宋体"/>
          <w:b/>
          <w:sz w:val="72"/>
          <w:szCs w:val="72"/>
          <w14:shadow w14:blurRad="50800" w14:dist="38100" w14:dir="2700000" w14:sx="100000" w14:sy="100000" w14:kx="0" w14:ky="0" w14:algn="tl">
            <w14:srgbClr w14:val="000000">
              <w14:alpha w14:val="60000"/>
            </w14:srgbClr>
          </w14:shadow>
        </w:rPr>
      </w:pPr>
      <w:r>
        <w:rPr>
          <w:rFonts w:hint="eastAsia" w:ascii="宋体" w:hAnsi="宋体" w:eastAsia="宋体" w:cs="宋体"/>
          <w:b/>
          <w:sz w:val="84"/>
          <w:szCs w:val="84"/>
        </w:rPr>
        <w:t xml:space="preserve"> </w:t>
      </w:r>
      <w:bookmarkStart w:id="7" w:name="_Toc31058"/>
      <w:bookmarkStart w:id="8" w:name="_Toc19401"/>
      <w:r>
        <w:rPr>
          <w:rFonts w:hint="eastAsia" w:ascii="宋体" w:hAnsi="宋体" w:eastAsia="宋体" w:cs="宋体"/>
          <w:b/>
          <w:sz w:val="72"/>
          <w:szCs w:val="72"/>
          <w14:shadow w14:blurRad="50800" w14:dist="38100" w14:dir="2700000" w14:sx="100000" w14:sy="100000" w14:kx="0" w14:ky="0" w14:algn="tl">
            <w14:srgbClr w14:val="000000">
              <w14:alpha w14:val="60000"/>
            </w14:srgbClr>
          </w14:shadow>
        </w:rPr>
        <w:t>竞争性谈判文件</w:t>
      </w:r>
      <w:bookmarkEnd w:id="7"/>
      <w:bookmarkEnd w:id="8"/>
    </w:p>
    <w:p>
      <w:pPr>
        <w:autoSpaceDE w:val="0"/>
        <w:autoSpaceDN w:val="0"/>
        <w:adjustRightInd w:val="0"/>
        <w:jc w:val="both"/>
        <w:rPr>
          <w:rFonts w:hint="eastAsia" w:ascii="宋体" w:hAnsi="宋体" w:eastAsia="宋体" w:cs="宋体"/>
          <w:b/>
          <w:sz w:val="84"/>
          <w:szCs w:val="84"/>
        </w:rPr>
      </w:pPr>
    </w:p>
    <w:p>
      <w:pPr>
        <w:autoSpaceDE w:val="0"/>
        <w:autoSpaceDN w:val="0"/>
        <w:adjustRightInd w:val="0"/>
        <w:jc w:val="both"/>
        <w:rPr>
          <w:rFonts w:hint="eastAsia" w:ascii="宋体" w:hAnsi="宋体" w:eastAsia="宋体" w:cs="宋体"/>
          <w:b/>
          <w:sz w:val="84"/>
          <w:szCs w:val="84"/>
        </w:rPr>
      </w:pPr>
    </w:p>
    <w:p>
      <w:pPr>
        <w:pStyle w:val="5"/>
        <w:outlineLvl w:val="9"/>
        <w:rPr>
          <w:rFonts w:hint="eastAsia" w:ascii="宋体" w:hAnsi="宋体" w:eastAsia="宋体" w:cs="宋体"/>
        </w:rPr>
      </w:pPr>
    </w:p>
    <w:p>
      <w:pPr>
        <w:autoSpaceDE w:val="0"/>
        <w:autoSpaceDN w:val="0"/>
        <w:adjustRightInd w:val="0"/>
        <w:jc w:val="both"/>
        <w:rPr>
          <w:rFonts w:hint="eastAsia" w:ascii="宋体" w:hAnsi="宋体" w:eastAsia="宋体" w:cs="宋体"/>
          <w:b/>
          <w:sz w:val="84"/>
          <w:szCs w:val="84"/>
        </w:rPr>
      </w:pPr>
    </w:p>
    <w:p>
      <w:pPr>
        <w:ind w:firstLine="643" w:firstLineChars="200"/>
        <w:outlineLvl w:val="0"/>
        <w:rPr>
          <w:rFonts w:hint="eastAsia" w:ascii="宋体" w:hAnsi="宋体" w:eastAsia="宋体" w:cs="宋体"/>
          <w:b/>
          <w:bCs/>
          <w:sz w:val="32"/>
          <w:szCs w:val="32"/>
          <w:lang w:val="zh-CN"/>
        </w:rPr>
      </w:pPr>
      <w:bookmarkStart w:id="9" w:name="_Toc13995"/>
      <w:bookmarkStart w:id="10" w:name="_Toc16511"/>
      <w:r>
        <w:rPr>
          <w:rFonts w:hint="eastAsia" w:ascii="宋体" w:hAnsi="宋体" w:eastAsia="宋体" w:cs="宋体"/>
          <w:b/>
          <w:bCs/>
          <w:sz w:val="32"/>
          <w:szCs w:val="32"/>
          <w:lang w:val="zh-CN"/>
        </w:rPr>
        <w:t>招  标  人：</w:t>
      </w:r>
      <w:r>
        <w:rPr>
          <w:rFonts w:hint="eastAsia" w:ascii="宋体" w:hAnsi="宋体" w:eastAsia="宋体" w:cs="宋体"/>
          <w:b/>
          <w:bCs/>
          <w:sz w:val="32"/>
          <w:szCs w:val="32"/>
          <w:lang w:val="zh-CN" w:eastAsia="zh-CN"/>
        </w:rPr>
        <w:t>新疆伊犁国家农业科技园区管理委员会</w:t>
      </w:r>
      <w:bookmarkEnd w:id="9"/>
      <w:bookmarkEnd w:id="10"/>
    </w:p>
    <w:p>
      <w:pPr>
        <w:ind w:firstLine="643" w:firstLineChars="200"/>
        <w:rPr>
          <w:rFonts w:hint="eastAsia" w:ascii="宋体" w:hAnsi="宋体" w:eastAsia="宋体" w:cs="宋体"/>
          <w:b/>
          <w:bCs/>
          <w:sz w:val="32"/>
          <w:szCs w:val="32"/>
          <w:lang w:val="zh-CN"/>
        </w:rPr>
      </w:pPr>
    </w:p>
    <w:p>
      <w:pPr>
        <w:rPr>
          <w:rFonts w:hint="eastAsia" w:ascii="宋体" w:hAnsi="宋体" w:eastAsia="宋体" w:cs="宋体"/>
          <w:b/>
          <w:bCs/>
          <w:sz w:val="32"/>
          <w:szCs w:val="32"/>
          <w:lang w:val="zh-CN"/>
        </w:rPr>
      </w:pPr>
    </w:p>
    <w:p>
      <w:pPr>
        <w:ind w:left="-294" w:leftChars="-140" w:firstLine="938" w:firstLineChars="235"/>
        <w:rPr>
          <w:rFonts w:hint="eastAsia" w:ascii="宋体" w:hAnsi="宋体" w:eastAsia="宋体" w:cs="宋体"/>
          <w:b/>
          <w:bCs/>
          <w:sz w:val="32"/>
          <w:szCs w:val="32"/>
        </w:rPr>
      </w:pPr>
      <w:r>
        <w:rPr>
          <w:rFonts w:hint="eastAsia" w:ascii="宋体" w:hAnsi="宋体" w:eastAsia="宋体" w:cs="宋体"/>
          <w:b/>
          <w:bCs/>
          <w:spacing w:val="39"/>
          <w:sz w:val="32"/>
          <w:szCs w:val="32"/>
          <w:lang w:val="zh-CN"/>
        </w:rPr>
        <w:t>招标代理</w:t>
      </w:r>
      <w:r>
        <w:rPr>
          <w:rFonts w:hint="eastAsia" w:ascii="宋体" w:hAnsi="宋体" w:eastAsia="宋体" w:cs="宋体"/>
          <w:b/>
          <w:bCs/>
          <w:sz w:val="32"/>
          <w:szCs w:val="32"/>
          <w:lang w:val="zh-CN"/>
        </w:rPr>
        <w:t>：</w:t>
      </w:r>
      <w:r>
        <w:rPr>
          <w:rFonts w:hint="eastAsia" w:ascii="宋体" w:hAnsi="宋体" w:eastAsia="宋体" w:cs="宋体"/>
          <w:b/>
          <w:bCs/>
          <w:sz w:val="32"/>
          <w:szCs w:val="32"/>
          <w:lang w:val="zh-CN" w:eastAsia="zh-CN"/>
        </w:rPr>
        <w:t>新疆华域建设工程项目管理咨询有限公司</w:t>
      </w:r>
      <w:r>
        <w:rPr>
          <w:rFonts w:hint="eastAsia" w:ascii="宋体" w:hAnsi="宋体" w:eastAsia="宋体" w:cs="宋体"/>
          <w:b/>
          <w:bCs/>
          <w:sz w:val="32"/>
          <w:szCs w:val="32"/>
        </w:rPr>
        <w:t xml:space="preserve"> </w:t>
      </w:r>
    </w:p>
    <w:p>
      <w:pPr>
        <w:rPr>
          <w:rFonts w:hint="eastAsia" w:ascii="宋体" w:hAnsi="宋体" w:eastAsia="宋体" w:cs="宋体"/>
          <w:b/>
          <w:bCs/>
          <w:sz w:val="32"/>
          <w:szCs w:val="32"/>
          <w:lang w:val="zh-CN"/>
        </w:rPr>
      </w:pPr>
    </w:p>
    <w:p>
      <w:pPr>
        <w:rPr>
          <w:rFonts w:hint="eastAsia" w:ascii="宋体" w:hAnsi="宋体" w:eastAsia="宋体" w:cs="宋体"/>
          <w:b/>
          <w:bCs/>
          <w:sz w:val="32"/>
          <w:szCs w:val="32"/>
          <w:lang w:val="zh-CN"/>
        </w:rPr>
      </w:pPr>
    </w:p>
    <w:p>
      <w:pPr>
        <w:jc w:val="center"/>
        <w:rPr>
          <w:rFonts w:hint="eastAsia" w:ascii="宋体" w:hAnsi="宋体" w:eastAsia="宋体" w:cs="宋体"/>
          <w:sz w:val="44"/>
          <w:szCs w:val="44"/>
          <w:lang w:eastAsia="zh-CN"/>
        </w:rPr>
        <w:sectPr>
          <w:headerReference r:id="rId4" w:type="first"/>
          <w:headerReference r:id="rId3" w:type="default"/>
          <w:footerReference r:id="rId5" w:type="default"/>
          <w:pgSz w:w="11907" w:h="16840"/>
          <w:pgMar w:top="1440" w:right="1474" w:bottom="1440" w:left="1474" w:header="851" w:footer="992" w:gutter="0"/>
          <w:pgBorders w:offsetFrom="page">
            <w:top w:val="none" w:sz="0" w:space="0"/>
            <w:left w:val="none" w:sz="0" w:space="0"/>
            <w:bottom w:val="none" w:sz="0" w:space="0"/>
            <w:right w:val="none" w:sz="0" w:space="0"/>
          </w:pgBorders>
          <w:pgNumType w:start="1"/>
          <w:cols w:space="720" w:num="1"/>
          <w:titlePg/>
          <w:docGrid w:linePitch="312" w:charSpace="0"/>
        </w:sectPr>
      </w:pPr>
      <w:r>
        <w:rPr>
          <w:rFonts w:hint="eastAsia" w:ascii="宋体" w:hAnsi="宋体" w:eastAsia="宋体" w:cs="宋体"/>
          <w:b/>
          <w:bCs/>
          <w:sz w:val="32"/>
          <w:szCs w:val="32"/>
          <w:lang w:val="zh-CN"/>
        </w:rPr>
        <w:t>编制日期：202</w:t>
      </w:r>
      <w:r>
        <w:rPr>
          <w:rFonts w:hint="eastAsia" w:ascii="宋体" w:hAnsi="宋体" w:eastAsia="宋体" w:cs="宋体"/>
          <w:b/>
          <w:bCs/>
          <w:sz w:val="32"/>
          <w:szCs w:val="32"/>
          <w:lang w:val="en-US" w:eastAsia="zh-CN"/>
        </w:rPr>
        <w:t>2</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12</w:t>
      </w:r>
      <w:r>
        <w:rPr>
          <w:rFonts w:hint="eastAsia" w:ascii="宋体" w:hAnsi="宋体" w:eastAsia="宋体" w:cs="宋体"/>
          <w:b/>
          <w:bCs/>
          <w:sz w:val="32"/>
          <w:szCs w:val="32"/>
          <w:lang w:val="zh-CN"/>
        </w:rPr>
        <w:t>月</w:t>
      </w:r>
    </w:p>
    <w:p>
      <w:pPr>
        <w:spacing w:before="0" w:beforeLines="0" w:after="0" w:afterLines="0" w:line="240" w:lineRule="auto"/>
        <w:ind w:left="0" w:leftChars="0" w:right="0" w:rightChars="0" w:firstLine="0" w:firstLineChars="0"/>
        <w:jc w:val="center"/>
        <w:rPr>
          <w:rFonts w:hint="eastAsia" w:ascii="宋体" w:hAnsi="宋体" w:eastAsia="宋体" w:cs="宋体"/>
          <w:b/>
          <w:bCs/>
          <w:sz w:val="44"/>
          <w:szCs w:val="40"/>
        </w:rPr>
      </w:pPr>
      <w:r>
        <w:rPr>
          <w:rFonts w:hint="eastAsia" w:ascii="宋体" w:hAnsi="宋体" w:eastAsia="宋体" w:cs="宋体"/>
          <w:b/>
          <w:bCs/>
          <w:sz w:val="44"/>
          <w:szCs w:val="40"/>
        </w:rPr>
        <w:br w:type="page"/>
      </w:r>
    </w:p>
    <w:p>
      <w:pPr>
        <w:spacing w:before="0" w:beforeLines="0" w:after="0" w:afterLines="0" w:line="240" w:lineRule="auto"/>
        <w:ind w:left="0" w:leftChars="0" w:right="0" w:rightChars="0" w:firstLine="0" w:firstLineChars="0"/>
        <w:jc w:val="center"/>
        <w:rPr>
          <w:b/>
          <w:bCs/>
          <w:sz w:val="40"/>
          <w:szCs w:val="36"/>
        </w:rPr>
      </w:pPr>
      <w:r>
        <w:rPr>
          <w:rFonts w:ascii="宋体" w:hAnsi="宋体" w:eastAsia="宋体"/>
          <w:b/>
          <w:bCs/>
          <w:sz w:val="40"/>
          <w:szCs w:val="36"/>
        </w:rPr>
        <w:t>目</w:t>
      </w:r>
      <w:r>
        <w:rPr>
          <w:rFonts w:hint="eastAsia" w:ascii="宋体" w:hAnsi="宋体" w:eastAsia="宋体"/>
          <w:b/>
          <w:bCs/>
          <w:sz w:val="40"/>
          <w:szCs w:val="36"/>
          <w:lang w:val="en-US" w:eastAsia="zh-CN"/>
        </w:rPr>
        <w:t xml:space="preserve">    </w:t>
      </w:r>
      <w:r>
        <w:rPr>
          <w:rFonts w:ascii="宋体" w:hAnsi="宋体" w:eastAsia="宋体"/>
          <w:b/>
          <w:bCs/>
          <w:sz w:val="40"/>
          <w:szCs w:val="36"/>
        </w:rPr>
        <w:t>录</w:t>
      </w:r>
    </w:p>
    <w:p>
      <w:pPr>
        <w:pStyle w:val="26"/>
        <w:tabs>
          <w:tab w:val="right" w:leader="dot" w:pos="8959"/>
          <w:tab w:val="clear" w:pos="8398"/>
        </w:tabs>
      </w:pPr>
      <w:r>
        <w:rPr>
          <w:rFonts w:hint="eastAsia" w:ascii="宋体" w:hAnsi="宋体" w:eastAsia="宋体" w:cs="宋体"/>
          <w:b/>
          <w:bCs/>
          <w:sz w:val="48"/>
          <w:szCs w:val="48"/>
        </w:rPr>
        <w:fldChar w:fldCharType="begin"/>
      </w:r>
      <w:r>
        <w:rPr>
          <w:rFonts w:hint="eastAsia" w:ascii="宋体" w:hAnsi="宋体" w:eastAsia="宋体" w:cs="宋体"/>
          <w:b/>
          <w:bCs/>
          <w:sz w:val="48"/>
          <w:szCs w:val="48"/>
        </w:rPr>
        <w:instrText xml:space="preserve">TOC \o "1-1" \h \u </w:instrText>
      </w:r>
      <w:r>
        <w:rPr>
          <w:rFonts w:hint="eastAsia" w:ascii="宋体" w:hAnsi="宋体" w:eastAsia="宋体" w:cs="宋体"/>
          <w:b/>
          <w:bCs/>
          <w:sz w:val="48"/>
          <w:szCs w:val="48"/>
        </w:rPr>
        <w:fldChar w:fldCharType="separate"/>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_Toc1832 </w:instrText>
      </w:r>
      <w:r>
        <w:rPr>
          <w:rFonts w:hint="eastAsia" w:ascii="宋体" w:hAnsi="宋体" w:eastAsia="宋体" w:cs="宋体"/>
          <w:bCs/>
          <w:szCs w:val="48"/>
        </w:rPr>
        <w:fldChar w:fldCharType="separate"/>
      </w:r>
      <w:r>
        <w:rPr>
          <w:rFonts w:hint="eastAsia" w:ascii="宋体" w:hAnsi="宋体" w:eastAsia="宋体" w:cs="宋体"/>
          <w:bCs/>
          <w:szCs w:val="36"/>
          <w:lang w:val="en-US" w:eastAsia="zh-CN"/>
        </w:rPr>
        <w:t>第一章 竞争性谈判公告</w:t>
      </w:r>
      <w:r>
        <w:tab/>
      </w:r>
      <w:r>
        <w:fldChar w:fldCharType="begin"/>
      </w:r>
      <w:r>
        <w:instrText xml:space="preserve"> PAGEREF _Toc1832 \h </w:instrText>
      </w:r>
      <w:r>
        <w:fldChar w:fldCharType="separate"/>
      </w:r>
      <w:r>
        <w:t>5</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_Toc15515 </w:instrText>
      </w:r>
      <w:r>
        <w:rPr>
          <w:rFonts w:hint="eastAsia" w:ascii="宋体" w:hAnsi="宋体" w:eastAsia="宋体" w:cs="宋体"/>
          <w:bCs/>
          <w:szCs w:val="48"/>
        </w:rPr>
        <w:fldChar w:fldCharType="separate"/>
      </w:r>
      <w:r>
        <w:rPr>
          <w:rFonts w:hint="eastAsia" w:ascii="宋体" w:hAnsi="宋体" w:eastAsia="宋体" w:cs="宋体"/>
          <w:szCs w:val="36"/>
          <w:lang w:val="en-US" w:eastAsia="zh-CN"/>
        </w:rPr>
        <w:t xml:space="preserve">第二章 </w:t>
      </w:r>
      <w:r>
        <w:rPr>
          <w:rFonts w:hint="eastAsia" w:ascii="宋体" w:hAnsi="宋体" w:eastAsia="宋体" w:cs="宋体"/>
          <w:szCs w:val="36"/>
          <w:lang w:eastAsia="zh-CN"/>
        </w:rPr>
        <w:t>投标人</w:t>
      </w:r>
      <w:r>
        <w:rPr>
          <w:rFonts w:hint="eastAsia" w:ascii="宋体" w:hAnsi="宋体" w:eastAsia="宋体" w:cs="宋体"/>
          <w:szCs w:val="36"/>
        </w:rPr>
        <w:t>须知</w:t>
      </w:r>
      <w:r>
        <w:tab/>
      </w:r>
      <w:r>
        <w:fldChar w:fldCharType="begin"/>
      </w:r>
      <w:r>
        <w:instrText xml:space="preserve"> PAGEREF _Toc15515 \h </w:instrText>
      </w:r>
      <w:r>
        <w:fldChar w:fldCharType="separate"/>
      </w:r>
      <w:r>
        <w:t>9</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_Toc14297 </w:instrText>
      </w:r>
      <w:r>
        <w:rPr>
          <w:rFonts w:hint="eastAsia" w:ascii="宋体" w:hAnsi="宋体" w:eastAsia="宋体" w:cs="宋体"/>
          <w:bCs/>
          <w:szCs w:val="48"/>
        </w:rPr>
        <w:fldChar w:fldCharType="separate"/>
      </w:r>
      <w:r>
        <w:rPr>
          <w:rFonts w:hint="eastAsia" w:ascii="宋体" w:hAnsi="宋体" w:eastAsia="宋体" w:cs="宋体"/>
          <w:kern w:val="44"/>
          <w:szCs w:val="36"/>
          <w:lang w:val="en-US" w:eastAsia="zh-CN" w:bidi="ar-SA"/>
        </w:rPr>
        <w:t>第三章  评审方法及标准</w:t>
      </w:r>
      <w:r>
        <w:tab/>
      </w:r>
      <w:r>
        <w:fldChar w:fldCharType="begin"/>
      </w:r>
      <w:r>
        <w:instrText xml:space="preserve"> PAGEREF _Toc14297 \h </w:instrText>
      </w:r>
      <w:r>
        <w:fldChar w:fldCharType="separate"/>
      </w:r>
      <w:r>
        <w:t>32</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_Toc27742 </w:instrText>
      </w:r>
      <w:r>
        <w:rPr>
          <w:rFonts w:hint="eastAsia" w:ascii="宋体" w:hAnsi="宋体" w:eastAsia="宋体" w:cs="宋体"/>
          <w:bCs/>
          <w:szCs w:val="48"/>
        </w:rPr>
        <w:fldChar w:fldCharType="separate"/>
      </w:r>
      <w:r>
        <w:rPr>
          <w:rFonts w:hint="eastAsia" w:ascii="宋体" w:hAnsi="宋体" w:eastAsia="宋体" w:cs="宋体"/>
          <w:kern w:val="44"/>
          <w:szCs w:val="36"/>
          <w:lang w:val="en-US" w:eastAsia="zh-CN" w:bidi="ar-SA"/>
        </w:rPr>
        <w:t>第四章 响应谈判文件格式</w:t>
      </w:r>
      <w:r>
        <w:tab/>
      </w:r>
      <w:r>
        <w:fldChar w:fldCharType="begin"/>
      </w:r>
      <w:r>
        <w:instrText xml:space="preserve"> PAGEREF _Toc27742 \h </w:instrText>
      </w:r>
      <w:r>
        <w:fldChar w:fldCharType="separate"/>
      </w:r>
      <w:r>
        <w:t>41</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_Toc9845 </w:instrText>
      </w:r>
      <w:r>
        <w:rPr>
          <w:rFonts w:hint="eastAsia" w:ascii="宋体" w:hAnsi="宋体" w:eastAsia="宋体" w:cs="宋体"/>
          <w:bCs/>
          <w:szCs w:val="48"/>
        </w:rPr>
        <w:fldChar w:fldCharType="separate"/>
      </w:r>
      <w:r>
        <w:rPr>
          <w:rFonts w:hint="eastAsia" w:ascii="宋体" w:hAnsi="宋体" w:eastAsia="宋体" w:cs="宋体"/>
          <w:szCs w:val="28"/>
        </w:rPr>
        <w:t>一、法定代表人</w:t>
      </w:r>
      <w:r>
        <w:rPr>
          <w:rFonts w:hint="eastAsia" w:ascii="宋体" w:hAnsi="宋体" w:eastAsia="宋体" w:cs="宋体"/>
          <w:szCs w:val="28"/>
          <w:lang w:eastAsia="zh-CN"/>
        </w:rPr>
        <w:t>（企业注册人）</w:t>
      </w:r>
      <w:r>
        <w:rPr>
          <w:rFonts w:hint="eastAsia" w:ascii="宋体" w:hAnsi="宋体" w:eastAsia="宋体" w:cs="宋体"/>
          <w:szCs w:val="28"/>
        </w:rPr>
        <w:t>授权书</w:t>
      </w:r>
      <w:r>
        <w:tab/>
      </w:r>
      <w:r>
        <w:fldChar w:fldCharType="begin"/>
      </w:r>
      <w:r>
        <w:instrText xml:space="preserve"> PAGEREF _Toc9845 \h </w:instrText>
      </w:r>
      <w:r>
        <w:fldChar w:fldCharType="separate"/>
      </w:r>
      <w:r>
        <w:t>43</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_Toc23741 </w:instrText>
      </w:r>
      <w:r>
        <w:rPr>
          <w:rFonts w:hint="eastAsia" w:ascii="宋体" w:hAnsi="宋体" w:eastAsia="宋体" w:cs="宋体"/>
          <w:bCs/>
          <w:szCs w:val="48"/>
        </w:rPr>
        <w:fldChar w:fldCharType="separate"/>
      </w:r>
      <w:r>
        <w:rPr>
          <w:rFonts w:hint="eastAsia" w:ascii="宋体" w:hAnsi="宋体" w:eastAsia="宋体" w:cs="宋体"/>
          <w:szCs w:val="32"/>
        </w:rPr>
        <w:t>二、</w:t>
      </w:r>
      <w:r>
        <w:rPr>
          <w:rFonts w:hint="eastAsia" w:ascii="宋体" w:hAnsi="宋体" w:eastAsia="宋体" w:cs="宋体"/>
          <w:szCs w:val="32"/>
          <w:lang w:val="zh-CN"/>
        </w:rPr>
        <w:t>法定代表人</w:t>
      </w:r>
      <w:r>
        <w:rPr>
          <w:rFonts w:hint="eastAsia" w:ascii="宋体" w:hAnsi="宋体" w:eastAsia="宋体" w:cs="宋体"/>
          <w:szCs w:val="32"/>
          <w:lang w:val="zh-CN" w:eastAsia="zh-CN"/>
        </w:rPr>
        <w:t>（企业注册人）</w:t>
      </w:r>
      <w:r>
        <w:rPr>
          <w:rFonts w:hint="eastAsia" w:ascii="宋体" w:hAnsi="宋体" w:eastAsia="宋体" w:cs="宋体"/>
          <w:szCs w:val="32"/>
          <w:lang w:val="zh-CN"/>
        </w:rPr>
        <w:t>身份证明书</w:t>
      </w:r>
      <w:r>
        <w:tab/>
      </w:r>
      <w:r>
        <w:fldChar w:fldCharType="begin"/>
      </w:r>
      <w:r>
        <w:instrText xml:space="preserve"> PAGEREF _Toc23741 \h </w:instrText>
      </w:r>
      <w:r>
        <w:fldChar w:fldCharType="separate"/>
      </w:r>
      <w:r>
        <w:t>44</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_Toc10092 </w:instrText>
      </w:r>
      <w:r>
        <w:rPr>
          <w:rFonts w:hint="eastAsia" w:ascii="宋体" w:hAnsi="宋体" w:eastAsia="宋体" w:cs="宋体"/>
          <w:bCs/>
          <w:szCs w:val="48"/>
        </w:rPr>
        <w:fldChar w:fldCharType="separate"/>
      </w:r>
      <w:r>
        <w:rPr>
          <w:rFonts w:hint="eastAsia" w:ascii="宋体" w:hAnsi="宋体" w:eastAsia="宋体" w:cs="宋体"/>
          <w:szCs w:val="32"/>
        </w:rPr>
        <w:t>三、</w:t>
      </w:r>
      <w:r>
        <w:rPr>
          <w:rFonts w:hint="eastAsia" w:ascii="宋体" w:hAnsi="宋体" w:eastAsia="宋体" w:cs="宋体"/>
          <w:szCs w:val="32"/>
          <w:lang w:eastAsia="zh-CN"/>
        </w:rPr>
        <w:t>响应</w:t>
      </w:r>
      <w:r>
        <w:rPr>
          <w:rFonts w:hint="eastAsia" w:ascii="宋体" w:hAnsi="宋体" w:eastAsia="宋体" w:cs="宋体"/>
          <w:szCs w:val="32"/>
        </w:rPr>
        <w:t>函</w:t>
      </w:r>
      <w:r>
        <w:tab/>
      </w:r>
      <w:r>
        <w:fldChar w:fldCharType="begin"/>
      </w:r>
      <w:r>
        <w:instrText xml:space="preserve"> PAGEREF _Toc10092 \h </w:instrText>
      </w:r>
      <w:r>
        <w:fldChar w:fldCharType="separate"/>
      </w:r>
      <w:r>
        <w:t>45</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_Toc27957 </w:instrText>
      </w:r>
      <w:r>
        <w:rPr>
          <w:rFonts w:hint="eastAsia" w:ascii="宋体" w:hAnsi="宋体" w:eastAsia="宋体" w:cs="宋体"/>
          <w:bCs/>
          <w:szCs w:val="48"/>
        </w:rPr>
        <w:fldChar w:fldCharType="separate"/>
      </w:r>
      <w:r>
        <w:rPr>
          <w:rFonts w:hint="eastAsia" w:ascii="宋体" w:hAnsi="宋体" w:eastAsia="宋体" w:cs="宋体"/>
          <w:szCs w:val="32"/>
        </w:rPr>
        <w:t>四、</w:t>
      </w:r>
      <w:r>
        <w:rPr>
          <w:rFonts w:hint="eastAsia" w:ascii="宋体" w:hAnsi="宋体" w:eastAsia="宋体" w:cs="宋体"/>
          <w:szCs w:val="32"/>
          <w:lang w:val="zh-CN"/>
        </w:rPr>
        <w:t>投标人承诺书</w:t>
      </w:r>
      <w:r>
        <w:tab/>
      </w:r>
      <w:r>
        <w:fldChar w:fldCharType="begin"/>
      </w:r>
      <w:r>
        <w:instrText xml:space="preserve"> PAGEREF _Toc27957 \h </w:instrText>
      </w:r>
      <w:r>
        <w:fldChar w:fldCharType="separate"/>
      </w:r>
      <w:r>
        <w:t>46</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_Toc7946 </w:instrText>
      </w:r>
      <w:r>
        <w:rPr>
          <w:rFonts w:hint="eastAsia" w:ascii="宋体" w:hAnsi="宋体" w:eastAsia="宋体" w:cs="宋体"/>
          <w:bCs/>
          <w:szCs w:val="48"/>
        </w:rPr>
        <w:fldChar w:fldCharType="separate"/>
      </w:r>
      <w:r>
        <w:rPr>
          <w:rFonts w:hint="eastAsia" w:ascii="宋体" w:hAnsi="宋体" w:eastAsia="宋体" w:cs="宋体"/>
          <w:bCs w:val="0"/>
          <w:szCs w:val="32"/>
          <w:lang w:eastAsia="zh-CN"/>
        </w:rPr>
        <w:t>五、</w:t>
      </w:r>
      <w:r>
        <w:rPr>
          <w:rFonts w:hint="eastAsia" w:ascii="宋体" w:hAnsi="宋体" w:eastAsia="宋体" w:cs="宋体"/>
          <w:bCs w:val="0"/>
          <w:szCs w:val="32"/>
          <w:lang w:val="en-US" w:eastAsia="zh-CN"/>
        </w:rPr>
        <w:t>承诺及声明函</w:t>
      </w:r>
      <w:r>
        <w:tab/>
      </w:r>
      <w:r>
        <w:fldChar w:fldCharType="begin"/>
      </w:r>
      <w:r>
        <w:instrText xml:space="preserve"> PAGEREF _Toc7946 \h </w:instrText>
      </w:r>
      <w:r>
        <w:fldChar w:fldCharType="separate"/>
      </w:r>
      <w:r>
        <w:t>47</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_Toc25070 </w:instrText>
      </w:r>
      <w:r>
        <w:rPr>
          <w:rFonts w:hint="eastAsia" w:ascii="宋体" w:hAnsi="宋体" w:eastAsia="宋体" w:cs="宋体"/>
          <w:bCs/>
          <w:szCs w:val="48"/>
        </w:rPr>
        <w:fldChar w:fldCharType="separate"/>
      </w:r>
      <w:r>
        <w:rPr>
          <w:rFonts w:hint="eastAsia" w:ascii="宋体" w:hAnsi="宋体" w:eastAsia="宋体" w:cs="宋体"/>
          <w:bCs/>
          <w:szCs w:val="32"/>
          <w:lang w:eastAsia="zh-CN"/>
        </w:rPr>
        <w:t>六</w:t>
      </w:r>
      <w:r>
        <w:rPr>
          <w:rFonts w:hint="eastAsia" w:ascii="宋体" w:hAnsi="宋体" w:eastAsia="宋体" w:cs="宋体"/>
          <w:bCs/>
          <w:szCs w:val="32"/>
        </w:rPr>
        <w:t>、</w:t>
      </w:r>
      <w:r>
        <w:rPr>
          <w:rFonts w:hint="eastAsia" w:ascii="宋体" w:hAnsi="宋体" w:cs="宋体"/>
          <w:bCs/>
          <w:szCs w:val="32"/>
          <w:lang w:eastAsia="zh-CN"/>
        </w:rPr>
        <w:t>（</w:t>
      </w:r>
      <w:r>
        <w:rPr>
          <w:rFonts w:hint="eastAsia" w:ascii="宋体" w:hAnsi="宋体" w:cs="宋体"/>
          <w:bCs/>
          <w:szCs w:val="32"/>
          <w:lang w:val="en-US" w:eastAsia="zh-CN"/>
        </w:rPr>
        <w:t>1</w:t>
      </w:r>
      <w:r>
        <w:rPr>
          <w:rFonts w:hint="eastAsia" w:ascii="宋体" w:hAnsi="宋体" w:cs="宋体"/>
          <w:bCs/>
          <w:szCs w:val="32"/>
          <w:lang w:eastAsia="zh-CN"/>
        </w:rPr>
        <w:t>）</w:t>
      </w:r>
      <w:r>
        <w:rPr>
          <w:rFonts w:hint="eastAsia" w:ascii="宋体" w:hAnsi="宋体" w:eastAsia="宋体" w:cs="宋体"/>
          <w:bCs/>
          <w:szCs w:val="32"/>
          <w:lang w:eastAsia="zh-CN"/>
        </w:rPr>
        <w:t>投标人首次</w:t>
      </w:r>
      <w:r>
        <w:rPr>
          <w:rFonts w:hint="eastAsia" w:ascii="宋体" w:hAnsi="宋体" w:eastAsia="宋体" w:cs="宋体"/>
          <w:bCs/>
          <w:szCs w:val="32"/>
        </w:rPr>
        <w:t>报价单</w:t>
      </w:r>
      <w:r>
        <w:tab/>
      </w:r>
      <w:r>
        <w:fldChar w:fldCharType="begin"/>
      </w:r>
      <w:r>
        <w:instrText xml:space="preserve"> PAGEREF _Toc25070 \h </w:instrText>
      </w:r>
      <w:r>
        <w:fldChar w:fldCharType="separate"/>
      </w:r>
      <w:r>
        <w:t>50</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_Toc10831 </w:instrText>
      </w:r>
      <w:r>
        <w:rPr>
          <w:rFonts w:hint="eastAsia" w:ascii="宋体" w:hAnsi="宋体" w:eastAsia="宋体" w:cs="宋体"/>
          <w:bCs/>
          <w:szCs w:val="48"/>
        </w:rPr>
        <w:fldChar w:fldCharType="separate"/>
      </w:r>
      <w:r>
        <w:rPr>
          <w:rFonts w:hint="eastAsia" w:ascii="宋体" w:hAnsi="宋体" w:eastAsia="宋体" w:cs="宋体"/>
          <w:bCs/>
          <w:szCs w:val="32"/>
          <w:lang w:eastAsia="zh-CN"/>
        </w:rPr>
        <w:t>七</w:t>
      </w:r>
      <w:r>
        <w:rPr>
          <w:rFonts w:hint="eastAsia" w:ascii="宋体" w:hAnsi="宋体" w:eastAsia="宋体" w:cs="宋体"/>
          <w:bCs/>
          <w:szCs w:val="32"/>
        </w:rPr>
        <w:t>、</w:t>
      </w:r>
      <w:r>
        <w:rPr>
          <w:rFonts w:hint="eastAsia" w:ascii="宋体" w:hAnsi="宋体" w:eastAsia="宋体" w:cs="宋体"/>
          <w:bCs/>
          <w:szCs w:val="32"/>
          <w:lang w:eastAsia="zh-CN"/>
        </w:rPr>
        <w:t>已标价工程量清单</w:t>
      </w:r>
      <w:r>
        <w:tab/>
      </w:r>
      <w:r>
        <w:fldChar w:fldCharType="begin"/>
      </w:r>
      <w:r>
        <w:instrText xml:space="preserve"> PAGEREF _Toc10831 \h </w:instrText>
      </w:r>
      <w:r>
        <w:fldChar w:fldCharType="separate"/>
      </w:r>
      <w:r>
        <w:t>52</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_Toc3956 </w:instrText>
      </w:r>
      <w:r>
        <w:rPr>
          <w:rFonts w:hint="eastAsia" w:ascii="宋体" w:hAnsi="宋体" w:eastAsia="宋体" w:cs="宋体"/>
          <w:bCs/>
          <w:szCs w:val="48"/>
        </w:rPr>
        <w:fldChar w:fldCharType="separate"/>
      </w:r>
      <w:r>
        <w:rPr>
          <w:rFonts w:hint="eastAsia" w:ascii="宋体" w:hAnsi="宋体" w:eastAsia="宋体" w:cs="宋体"/>
          <w:bCs/>
          <w:szCs w:val="32"/>
          <w:lang w:eastAsia="zh-CN"/>
        </w:rPr>
        <w:t>八</w:t>
      </w:r>
      <w:r>
        <w:rPr>
          <w:rFonts w:hint="eastAsia" w:ascii="宋体" w:hAnsi="宋体" w:eastAsia="宋体" w:cs="宋体"/>
          <w:bCs/>
          <w:szCs w:val="32"/>
        </w:rPr>
        <w:t>、</w:t>
      </w:r>
      <w:r>
        <w:rPr>
          <w:rFonts w:hint="eastAsia" w:ascii="宋体" w:hAnsi="宋体" w:eastAsia="宋体" w:cs="宋体"/>
          <w:bCs/>
          <w:szCs w:val="32"/>
          <w:lang w:eastAsia="zh-CN"/>
        </w:rPr>
        <w:t>（</w:t>
      </w:r>
      <w:r>
        <w:rPr>
          <w:rFonts w:hint="eastAsia" w:ascii="宋体" w:hAnsi="宋体" w:eastAsia="宋体" w:cs="宋体"/>
          <w:bCs/>
          <w:szCs w:val="32"/>
          <w:lang w:val="en-US" w:eastAsia="zh-CN"/>
        </w:rPr>
        <w:t>1</w:t>
      </w:r>
      <w:r>
        <w:rPr>
          <w:rFonts w:hint="eastAsia" w:ascii="宋体" w:hAnsi="宋体" w:eastAsia="宋体" w:cs="宋体"/>
          <w:bCs/>
          <w:szCs w:val="32"/>
          <w:lang w:eastAsia="zh-CN"/>
        </w:rPr>
        <w:t>）</w:t>
      </w:r>
      <w:r>
        <w:rPr>
          <w:rFonts w:hint="eastAsia" w:ascii="宋体" w:hAnsi="宋体" w:eastAsia="宋体" w:cs="宋体"/>
          <w:bCs/>
          <w:kern w:val="0"/>
          <w:szCs w:val="32"/>
          <w:lang w:eastAsia="zh-CN"/>
        </w:rPr>
        <w:t>投标人</w:t>
      </w:r>
      <w:r>
        <w:rPr>
          <w:rFonts w:hint="eastAsia" w:ascii="宋体" w:hAnsi="宋体" w:eastAsia="宋体" w:cs="宋体"/>
          <w:bCs/>
          <w:kern w:val="0"/>
          <w:szCs w:val="32"/>
        </w:rPr>
        <w:t>基本情况表</w:t>
      </w:r>
      <w:r>
        <w:tab/>
      </w:r>
      <w:r>
        <w:fldChar w:fldCharType="begin"/>
      </w:r>
      <w:r>
        <w:instrText xml:space="preserve"> PAGEREF _Toc3956 \h </w:instrText>
      </w:r>
      <w:r>
        <w:fldChar w:fldCharType="separate"/>
      </w:r>
      <w:r>
        <w:t>53</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_Toc4319 </w:instrText>
      </w:r>
      <w:r>
        <w:rPr>
          <w:rFonts w:hint="eastAsia" w:ascii="宋体" w:hAnsi="宋体" w:eastAsia="宋体" w:cs="宋体"/>
          <w:bCs/>
          <w:szCs w:val="48"/>
        </w:rPr>
        <w:fldChar w:fldCharType="separate"/>
      </w:r>
      <w:r>
        <w:rPr>
          <w:rFonts w:hint="eastAsia" w:ascii="宋体" w:hAnsi="宋体" w:eastAsia="宋体" w:cs="宋体"/>
          <w:bCs/>
          <w:kern w:val="0"/>
          <w:szCs w:val="32"/>
          <w:lang w:eastAsia="zh-CN"/>
        </w:rPr>
        <w:t>九</w:t>
      </w:r>
      <w:r>
        <w:rPr>
          <w:rFonts w:hint="eastAsia" w:ascii="宋体" w:hAnsi="宋体" w:eastAsia="宋体" w:cs="宋体"/>
          <w:bCs/>
          <w:kern w:val="0"/>
          <w:szCs w:val="32"/>
        </w:rPr>
        <w:t>、技术指标服务要求响应偏离表</w:t>
      </w:r>
      <w:r>
        <w:tab/>
      </w:r>
      <w:r>
        <w:fldChar w:fldCharType="begin"/>
      </w:r>
      <w:r>
        <w:instrText xml:space="preserve"> PAGEREF _Toc4319 \h </w:instrText>
      </w:r>
      <w:r>
        <w:fldChar w:fldCharType="separate"/>
      </w:r>
      <w:r>
        <w:t>59</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_Toc30462 </w:instrText>
      </w:r>
      <w:r>
        <w:rPr>
          <w:rFonts w:hint="eastAsia" w:ascii="宋体" w:hAnsi="宋体" w:eastAsia="宋体" w:cs="宋体"/>
          <w:bCs/>
          <w:szCs w:val="48"/>
        </w:rPr>
        <w:fldChar w:fldCharType="separate"/>
      </w:r>
      <w:r>
        <w:rPr>
          <w:rFonts w:hint="eastAsia" w:ascii="宋体" w:hAnsi="宋体" w:eastAsia="宋体" w:cs="宋体"/>
          <w:szCs w:val="32"/>
          <w:lang w:eastAsia="zh-CN"/>
        </w:rPr>
        <w:t>十</w:t>
      </w:r>
      <w:r>
        <w:rPr>
          <w:rFonts w:hint="eastAsia" w:ascii="宋体" w:hAnsi="宋体" w:eastAsia="宋体" w:cs="宋体"/>
          <w:szCs w:val="32"/>
        </w:rPr>
        <w:t xml:space="preserve"> </w:t>
      </w:r>
      <w:r>
        <w:rPr>
          <w:rFonts w:hint="eastAsia" w:ascii="宋体" w:hAnsi="宋体" w:eastAsia="宋体" w:cs="宋体"/>
          <w:szCs w:val="32"/>
          <w:lang w:eastAsia="zh-CN"/>
        </w:rPr>
        <w:t>、</w:t>
      </w:r>
      <w:r>
        <w:rPr>
          <w:rFonts w:hint="eastAsia" w:ascii="宋体" w:hAnsi="宋体" w:eastAsia="宋体" w:cs="宋体"/>
          <w:szCs w:val="32"/>
        </w:rPr>
        <w:t>商务及技术</w:t>
      </w:r>
      <w:r>
        <w:rPr>
          <w:rFonts w:hint="eastAsia" w:ascii="宋体" w:hAnsi="宋体" w:eastAsia="宋体" w:cs="宋体"/>
          <w:szCs w:val="32"/>
          <w:lang w:eastAsia="zh-CN"/>
        </w:rPr>
        <w:t>部分</w:t>
      </w:r>
      <w:r>
        <w:tab/>
      </w:r>
      <w:r>
        <w:fldChar w:fldCharType="begin"/>
      </w:r>
      <w:r>
        <w:instrText xml:space="preserve"> PAGEREF _Toc30462 \h </w:instrText>
      </w:r>
      <w:r>
        <w:fldChar w:fldCharType="separate"/>
      </w:r>
      <w:r>
        <w:t>60</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_Toc3553 </w:instrText>
      </w:r>
      <w:r>
        <w:rPr>
          <w:rFonts w:hint="eastAsia" w:ascii="宋体" w:hAnsi="宋体" w:eastAsia="宋体" w:cs="宋体"/>
          <w:bCs/>
          <w:szCs w:val="48"/>
        </w:rPr>
        <w:fldChar w:fldCharType="separate"/>
      </w:r>
      <w:r>
        <w:rPr>
          <w:rFonts w:hint="eastAsia" w:ascii="宋体" w:hAnsi="宋体" w:eastAsia="宋体" w:cs="宋体"/>
          <w:szCs w:val="36"/>
          <w:lang w:eastAsia="zh-CN"/>
        </w:rPr>
        <w:t>第</w:t>
      </w:r>
      <w:r>
        <w:rPr>
          <w:rFonts w:hint="eastAsia" w:ascii="宋体" w:hAnsi="宋体" w:eastAsia="宋体" w:cs="宋体"/>
          <w:szCs w:val="36"/>
          <w:lang w:val="en-US" w:eastAsia="zh-CN"/>
        </w:rPr>
        <w:t>五</w:t>
      </w:r>
      <w:r>
        <w:rPr>
          <w:rFonts w:hint="eastAsia" w:ascii="宋体" w:hAnsi="宋体" w:eastAsia="宋体" w:cs="宋体"/>
          <w:szCs w:val="36"/>
          <w:lang w:eastAsia="zh-CN"/>
        </w:rPr>
        <w:t>章</w:t>
      </w:r>
      <w:r>
        <w:rPr>
          <w:rFonts w:hint="eastAsia" w:ascii="宋体" w:hAnsi="宋体" w:eastAsia="宋体" w:cs="宋体"/>
          <w:szCs w:val="36"/>
          <w:lang w:val="en-US" w:eastAsia="zh-CN"/>
        </w:rPr>
        <w:t xml:space="preserve"> </w:t>
      </w:r>
      <w:r>
        <w:rPr>
          <w:rFonts w:hint="eastAsia" w:ascii="宋体" w:hAnsi="宋体" w:eastAsia="宋体" w:cs="宋体"/>
          <w:szCs w:val="36"/>
        </w:rPr>
        <w:t>采购项目清单及参数要求</w:t>
      </w:r>
      <w:r>
        <w:tab/>
      </w:r>
      <w:r>
        <w:fldChar w:fldCharType="begin"/>
      </w:r>
      <w:r>
        <w:instrText xml:space="preserve"> PAGEREF _Toc3553 \h </w:instrText>
      </w:r>
      <w:r>
        <w:fldChar w:fldCharType="separate"/>
      </w:r>
      <w:r>
        <w:t>61</w:t>
      </w:r>
      <w:r>
        <w:fldChar w:fldCharType="end"/>
      </w:r>
      <w:r>
        <w:rPr>
          <w:rFonts w:hint="eastAsia" w:ascii="宋体" w:hAnsi="宋体" w:eastAsia="宋体" w:cs="宋体"/>
          <w:bCs/>
          <w:szCs w:val="48"/>
        </w:rPr>
        <w:fldChar w:fldCharType="end"/>
      </w:r>
    </w:p>
    <w:p>
      <w:pPr>
        <w:pStyle w:val="26"/>
        <w:tabs>
          <w:tab w:val="right" w:leader="dot" w:pos="8959"/>
          <w:tab w:val="clear" w:pos="8398"/>
        </w:tabs>
      </w:pPr>
      <w:r>
        <w:rPr>
          <w:rFonts w:hint="eastAsia" w:ascii="宋体" w:hAnsi="宋体" w:eastAsia="宋体" w:cs="宋体"/>
          <w:bCs/>
          <w:szCs w:val="48"/>
        </w:rPr>
        <w:fldChar w:fldCharType="begin"/>
      </w:r>
      <w:r>
        <w:rPr>
          <w:rFonts w:hint="eastAsia" w:ascii="宋体" w:hAnsi="宋体" w:eastAsia="宋体" w:cs="宋体"/>
          <w:bCs/>
          <w:szCs w:val="48"/>
        </w:rPr>
        <w:instrText xml:space="preserve"> HYPERLINK \l _Toc4141 </w:instrText>
      </w:r>
      <w:r>
        <w:rPr>
          <w:rFonts w:hint="eastAsia" w:ascii="宋体" w:hAnsi="宋体" w:eastAsia="宋体" w:cs="宋体"/>
          <w:bCs/>
          <w:szCs w:val="48"/>
        </w:rPr>
        <w:fldChar w:fldCharType="separate"/>
      </w:r>
      <w:r>
        <w:rPr>
          <w:rFonts w:hint="eastAsia" w:ascii="宋体" w:hAnsi="宋体" w:eastAsia="宋体" w:cs="宋体"/>
          <w:szCs w:val="36"/>
        </w:rPr>
        <w:t>第</w:t>
      </w:r>
      <w:r>
        <w:rPr>
          <w:rFonts w:hint="eastAsia" w:ascii="宋体" w:hAnsi="宋体" w:eastAsia="宋体" w:cs="宋体"/>
          <w:szCs w:val="36"/>
          <w:lang w:eastAsia="zh-CN"/>
        </w:rPr>
        <w:t>六</w:t>
      </w:r>
      <w:r>
        <w:rPr>
          <w:rFonts w:hint="eastAsia" w:ascii="宋体" w:hAnsi="宋体" w:eastAsia="宋体" w:cs="宋体"/>
          <w:szCs w:val="36"/>
        </w:rPr>
        <w:t>章  合同主要条款</w:t>
      </w:r>
      <w:r>
        <w:tab/>
      </w:r>
      <w:r>
        <w:fldChar w:fldCharType="begin"/>
      </w:r>
      <w:r>
        <w:instrText xml:space="preserve"> PAGEREF _Toc4141 \h </w:instrText>
      </w:r>
      <w:r>
        <w:fldChar w:fldCharType="separate"/>
      </w:r>
      <w:r>
        <w:t>62</w:t>
      </w:r>
      <w:r>
        <w:fldChar w:fldCharType="end"/>
      </w:r>
      <w:r>
        <w:rPr>
          <w:rFonts w:hint="eastAsia" w:ascii="宋体" w:hAnsi="宋体" w:eastAsia="宋体" w:cs="宋体"/>
          <w:bCs/>
          <w:szCs w:val="48"/>
        </w:rPr>
        <w:fldChar w:fldCharType="end"/>
      </w:r>
    </w:p>
    <w:p>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both"/>
        <w:textAlignment w:val="auto"/>
        <w:rPr>
          <w:rFonts w:hint="eastAsia" w:ascii="宋体" w:hAnsi="宋体" w:eastAsia="宋体" w:cs="宋体"/>
          <w:b/>
          <w:bCs/>
          <w:sz w:val="48"/>
          <w:szCs w:val="48"/>
        </w:rPr>
        <w:sectPr>
          <w:type w:val="continuous"/>
          <w:pgSz w:w="11907" w:h="16840"/>
          <w:pgMar w:top="1440" w:right="1474" w:bottom="1440" w:left="1474" w:header="851" w:footer="992" w:gutter="0"/>
          <w:pgBorders w:offsetFrom="page">
            <w:top w:val="none" w:sz="0" w:space="0"/>
            <w:left w:val="none" w:sz="0" w:space="0"/>
            <w:bottom w:val="none" w:sz="0" w:space="0"/>
            <w:right w:val="none" w:sz="0" w:space="0"/>
          </w:pgBorders>
          <w:pgNumType w:start="1"/>
          <w:cols w:space="720" w:num="1"/>
          <w:docGrid w:linePitch="312" w:charSpace="0"/>
        </w:sectPr>
      </w:pPr>
      <w:r>
        <w:rPr>
          <w:rFonts w:hint="eastAsia" w:ascii="宋体" w:hAnsi="宋体" w:eastAsia="宋体" w:cs="宋体"/>
          <w:bCs/>
          <w:szCs w:val="48"/>
        </w:rPr>
        <w:fldChar w:fldCharType="end"/>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lang w:val="en-US" w:eastAsia="zh-CN"/>
        </w:rPr>
      </w:pPr>
      <w:bookmarkStart w:id="11" w:name="_Toc18092"/>
      <w:bookmarkStart w:id="12" w:name="_Toc32396"/>
      <w:bookmarkStart w:id="13" w:name="_Toc12080"/>
      <w:bookmarkStart w:id="14" w:name="_Toc28617"/>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lang w:val="en-US" w:eastAsia="zh-CN"/>
        </w:rPr>
      </w:pPr>
      <w:bookmarkStart w:id="15" w:name="_Toc824"/>
      <w:r>
        <w:rPr>
          <w:rFonts w:hint="eastAsia" w:ascii="宋体" w:hAnsi="宋体" w:eastAsia="宋体" w:cs="宋体"/>
          <w:b/>
          <w:bCs/>
          <w:sz w:val="36"/>
          <w:szCs w:val="36"/>
          <w:lang w:val="en-US" w:eastAsia="zh-CN"/>
        </w:rPr>
        <w:t>电子交易须知</w:t>
      </w:r>
      <w:bookmarkEnd w:id="15"/>
    </w:p>
    <w:p>
      <w:pPr>
        <w:pStyle w:val="222"/>
        <w:spacing w:line="360" w:lineRule="auto"/>
        <w:ind w:left="0" w:leftChars="0" w:right="-10"/>
        <w:rPr>
          <w:rFonts w:hint="eastAsia" w:ascii="宋体" w:hAnsi="宋体"/>
          <w:color w:val="000000"/>
          <w:highlight w:val="none"/>
        </w:rPr>
      </w:pPr>
      <w:r>
        <w:rPr>
          <w:rFonts w:hint="eastAsia" w:ascii="宋体" w:hAnsi="宋体"/>
          <w:color w:val="000000"/>
          <w:highlight w:val="none"/>
        </w:rPr>
        <w:t>1、电子标书加盖法人章的两种方式:一种为法人电子章；另一种为纸质手写版盖章后扫描，两种方式的任意一种在评审时均予认可。</w:t>
      </w:r>
    </w:p>
    <w:p>
      <w:pPr>
        <w:pStyle w:val="222"/>
        <w:spacing w:line="360" w:lineRule="auto"/>
        <w:ind w:left="0" w:leftChars="0" w:right="-10"/>
        <w:rPr>
          <w:rFonts w:hint="eastAsia" w:ascii="宋体" w:hAnsi="宋体"/>
          <w:color w:val="000000"/>
          <w:highlight w:val="none"/>
        </w:rPr>
      </w:pPr>
      <w:r>
        <w:rPr>
          <w:rFonts w:hint="eastAsia" w:ascii="宋体" w:hAnsi="宋体"/>
          <w:color w:val="000000"/>
          <w:highlight w:val="none"/>
        </w:rPr>
        <w:t>2、响应文件解密时间：响应文件解密时间30分钟，开标前需供应商用CA证书登录政采云平台开标大厅签到，在30分钟解密时间内输入CA证书PIN码解密响应文件。在30分钟解密时间内未进行解密的供应商将导致废标。（解密时间开始时政采云平台将以短信形式向供应商在政采云平台预留的手机号发送短信通知，请供应商及时关注。）</w:t>
      </w:r>
    </w:p>
    <w:p>
      <w:pPr>
        <w:pStyle w:val="222"/>
        <w:spacing w:line="360" w:lineRule="auto"/>
        <w:ind w:left="0" w:leftChars="0" w:right="-10"/>
        <w:rPr>
          <w:rFonts w:hint="eastAsia" w:ascii="宋体" w:hAnsi="宋体"/>
          <w:color w:val="000000"/>
          <w:highlight w:val="none"/>
        </w:rPr>
      </w:pPr>
      <w:r>
        <w:rPr>
          <w:rFonts w:hint="eastAsia" w:ascii="宋体" w:hAnsi="宋体"/>
          <w:color w:val="000000"/>
          <w:highlight w:val="none"/>
        </w:rPr>
        <w:t>3、供应商报价CA签字确认：报价文件开启后将开启签字时段，供应商须在20分钟内用CA证书对报价进行签字确认。</w:t>
      </w:r>
    </w:p>
    <w:p>
      <w:pPr>
        <w:pStyle w:val="222"/>
        <w:spacing w:line="360" w:lineRule="auto"/>
        <w:ind w:left="0" w:leftChars="0" w:right="-10"/>
        <w:rPr>
          <w:rFonts w:hint="eastAsia" w:ascii="宋体" w:hAnsi="宋体"/>
          <w:color w:val="000000"/>
          <w:highlight w:val="none"/>
        </w:rPr>
      </w:pPr>
      <w:r>
        <w:rPr>
          <w:rFonts w:hint="eastAsia" w:ascii="宋体" w:hAnsi="宋体"/>
          <w:color w:val="000000"/>
          <w:highlight w:val="none"/>
        </w:rPr>
        <w:t>4、备注:</w:t>
      </w:r>
    </w:p>
    <w:p>
      <w:pPr>
        <w:pStyle w:val="222"/>
        <w:spacing w:line="360" w:lineRule="auto"/>
        <w:ind w:left="0" w:leftChars="0" w:right="-10"/>
        <w:rPr>
          <w:rFonts w:hint="eastAsia" w:ascii="宋体" w:hAnsi="宋体" w:eastAsia="宋体"/>
          <w:color w:val="000000"/>
          <w:highlight w:val="none"/>
          <w:lang w:val="en-US" w:eastAsia="zh-CN"/>
        </w:rPr>
      </w:pPr>
      <w:r>
        <w:rPr>
          <w:rFonts w:hint="eastAsia" w:ascii="宋体" w:hAnsi="宋体"/>
          <w:color w:val="000000"/>
          <w:highlight w:val="none"/>
        </w:rPr>
        <w:t>（1）本次采购采用电子交易方式，电子交易平台为“政府采购云平台（www.zcygov.cn）”。供应商参与本项目电子交易活动前，应注册成为政府采购云平台供应商。编制电子投标文件前还需申领CA证书并绑定帐号</w:t>
      </w:r>
      <w:r>
        <w:rPr>
          <w:rFonts w:hint="eastAsia" w:ascii="宋体" w:hAnsi="宋体"/>
          <w:color w:val="000000"/>
          <w:highlight w:val="none"/>
          <w:lang w:val="en-US" w:eastAsia="zh-CN"/>
        </w:rPr>
        <w:t>。</w:t>
      </w:r>
    </w:p>
    <w:p>
      <w:pPr>
        <w:pStyle w:val="222"/>
        <w:spacing w:line="360" w:lineRule="auto"/>
        <w:ind w:left="0" w:leftChars="0" w:right="-10"/>
        <w:rPr>
          <w:rFonts w:hint="eastAsia" w:ascii="宋体" w:hAnsi="宋体"/>
          <w:color w:val="000000"/>
          <w:highlight w:val="none"/>
        </w:rPr>
      </w:pPr>
      <w:r>
        <w:rPr>
          <w:rFonts w:hint="eastAsia" w:ascii="宋体" w:hAnsi="宋体"/>
          <w:color w:val="000000"/>
          <w:highlight w:val="none"/>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222"/>
        <w:spacing w:line="360" w:lineRule="auto"/>
        <w:ind w:left="0" w:leftChars="0" w:right="-10"/>
        <w:rPr>
          <w:rFonts w:hint="eastAsia" w:ascii="宋体" w:hAnsi="宋体"/>
          <w:color w:val="000000"/>
          <w:highlight w:val="none"/>
        </w:rPr>
      </w:pPr>
      <w:r>
        <w:rPr>
          <w:rFonts w:hint="eastAsia" w:ascii="宋体" w:hAnsi="宋体"/>
          <w:color w:val="000000"/>
          <w:highlight w:val="none"/>
        </w:rPr>
        <w:t>（3）供应商应当在投标截止时间前，将“电子招投标供应商客户端”生成的“电子加密投标文件”上传电子交易平台。</w:t>
      </w:r>
    </w:p>
    <w:p>
      <w:pPr>
        <w:spacing w:line="440" w:lineRule="exact"/>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ascii="宋体" w:hAnsi="宋体" w:eastAsia="黑体" w:cs="宋体"/>
          <w:b/>
          <w:sz w:val="32"/>
          <w:szCs w:val="32"/>
        </w:rPr>
      </w:pPr>
      <w:bookmarkStart w:id="16" w:name="_Toc1832"/>
      <w:r>
        <w:rPr>
          <w:rFonts w:hint="eastAsia" w:ascii="宋体" w:hAnsi="宋体" w:eastAsia="宋体" w:cs="宋体"/>
          <w:b/>
          <w:bCs/>
          <w:sz w:val="36"/>
          <w:szCs w:val="36"/>
          <w:lang w:val="en-US" w:eastAsia="zh-CN"/>
        </w:rPr>
        <w:t>第一章 竞争性谈判公告</w:t>
      </w:r>
      <w:bookmarkEnd w:id="16"/>
    </w:p>
    <w:tbl>
      <w:tblPr>
        <w:tblStyle w:val="21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9780" w:type="dxa"/>
            <w:noWrap w:val="0"/>
            <w:vAlign w:val="top"/>
          </w:tcPr>
          <w:p>
            <w:pPr>
              <w:widowControl w:val="0"/>
              <w:spacing w:line="460" w:lineRule="exact"/>
              <w:jc w:val="both"/>
              <w:rPr>
                <w:rFonts w:ascii="宋体" w:hAnsi="宋体"/>
                <w:bCs/>
                <w:kern w:val="0"/>
                <w:sz w:val="24"/>
                <w:szCs w:val="20"/>
                <w:highlight w:val="none"/>
                <w:shd w:val="clear" w:color="050000" w:fill="auto"/>
              </w:rPr>
            </w:pPr>
            <w:r>
              <w:rPr>
                <w:rFonts w:hint="eastAsia" w:ascii="宋体" w:hAnsi="宋体"/>
                <w:bCs/>
                <w:kern w:val="0"/>
                <w:sz w:val="24"/>
                <w:szCs w:val="20"/>
                <w:shd w:val="clear" w:color="050000" w:fill="auto"/>
              </w:rPr>
              <w:t xml:space="preserve">    </w:t>
            </w:r>
            <w:r>
              <w:rPr>
                <w:rFonts w:hint="eastAsia" w:ascii="宋体" w:hAnsi="宋体"/>
                <w:bCs/>
                <w:kern w:val="0"/>
                <w:sz w:val="24"/>
                <w:szCs w:val="20"/>
                <w:highlight w:val="none"/>
                <w:shd w:val="clear" w:color="050000" w:fill="auto"/>
              </w:rPr>
              <w:t>项目概况</w:t>
            </w:r>
          </w:p>
          <w:p>
            <w:pPr>
              <w:widowControl w:val="0"/>
              <w:spacing w:line="460" w:lineRule="exact"/>
              <w:ind w:firstLine="480" w:firstLineChars="200"/>
              <w:jc w:val="both"/>
              <w:rPr>
                <w:rFonts w:ascii="宋体" w:hAnsi="宋体"/>
                <w:bCs/>
                <w:kern w:val="0"/>
                <w:sz w:val="24"/>
                <w:szCs w:val="20"/>
                <w:shd w:val="clear" w:color="050000" w:fill="auto"/>
              </w:rPr>
            </w:pPr>
            <w:r>
              <w:rPr>
                <w:rFonts w:hint="eastAsia" w:cs="宋体"/>
                <w:kern w:val="0"/>
                <w:sz w:val="24"/>
                <w:szCs w:val="24"/>
                <w:highlight w:val="none"/>
                <w:u w:val="single"/>
                <w:lang w:val="en-US" w:eastAsia="zh-CN"/>
              </w:rPr>
              <w:t xml:space="preserve"> 农业科技智能温室附属设施配套项目-科技创区水网改造提升项目 </w:t>
            </w:r>
            <w:r>
              <w:rPr>
                <w:rFonts w:hint="eastAsia" w:cs="宋体"/>
                <w:kern w:val="0"/>
                <w:sz w:val="24"/>
                <w:szCs w:val="24"/>
                <w:highlight w:val="none"/>
              </w:rPr>
              <w:t>的潜在投标人应在</w:t>
            </w:r>
            <w:r>
              <w:rPr>
                <w:rFonts w:ascii="宋体" w:hAnsi="宋体" w:cs="Times New Roman"/>
                <w:bCs/>
                <w:sz w:val="24"/>
                <w:szCs w:val="20"/>
                <w:highlight w:val="none"/>
                <w:shd w:val="clear" w:color="050000" w:fill="auto"/>
              </w:rPr>
              <w:t>政采云平台线上获取获取采购文件</w:t>
            </w:r>
            <w:r>
              <w:rPr>
                <w:rFonts w:hint="eastAsia" w:ascii="宋体" w:hAnsi="宋体" w:cs="宋体"/>
                <w:color w:val="000000"/>
                <w:kern w:val="0"/>
                <w:sz w:val="24"/>
                <w:szCs w:val="24"/>
                <w:highlight w:val="none"/>
              </w:rPr>
              <w:t>，并于</w:t>
            </w:r>
            <w:r>
              <w:rPr>
                <w:rFonts w:hint="eastAsia" w:ascii="宋体" w:hAnsi="宋体" w:cs="宋体"/>
                <w:color w:val="000000"/>
                <w:kern w:val="0"/>
                <w:sz w:val="24"/>
                <w:szCs w:val="24"/>
                <w:highlight w:val="none"/>
                <w:u w:val="single"/>
                <w:lang w:eastAsia="zh-CN"/>
              </w:rPr>
              <w:t>2022年12月</w:t>
            </w:r>
            <w:r>
              <w:rPr>
                <w:rFonts w:hint="eastAsia" w:ascii="宋体" w:hAnsi="宋体" w:cs="宋体"/>
                <w:color w:val="000000"/>
                <w:kern w:val="0"/>
                <w:sz w:val="24"/>
                <w:szCs w:val="24"/>
                <w:highlight w:val="none"/>
                <w:u w:val="single"/>
                <w:lang w:val="en-US" w:eastAsia="zh-CN"/>
              </w:rPr>
              <w:t>09</w:t>
            </w:r>
            <w:r>
              <w:rPr>
                <w:rFonts w:hint="eastAsia" w:ascii="宋体" w:hAnsi="宋体" w:cs="宋体"/>
                <w:color w:val="000000"/>
                <w:kern w:val="0"/>
                <w:sz w:val="24"/>
                <w:szCs w:val="24"/>
                <w:highlight w:val="none"/>
                <w:u w:val="single"/>
                <w:lang w:eastAsia="zh-CN"/>
              </w:rPr>
              <w:t>日11：</w:t>
            </w:r>
            <w:r>
              <w:rPr>
                <w:rFonts w:hint="eastAsia" w:ascii="宋体" w:hAnsi="宋体" w:cs="宋体"/>
                <w:color w:val="000000"/>
                <w:kern w:val="0"/>
                <w:sz w:val="24"/>
                <w:szCs w:val="24"/>
                <w:highlight w:val="none"/>
                <w:u w:val="single"/>
                <w:lang w:val="en-US" w:eastAsia="zh-CN"/>
              </w:rPr>
              <w:t>0</w:t>
            </w:r>
            <w:r>
              <w:rPr>
                <w:rFonts w:hint="eastAsia" w:ascii="宋体" w:hAnsi="宋体" w:cs="宋体"/>
                <w:color w:val="000000"/>
                <w:kern w:val="0"/>
                <w:sz w:val="24"/>
                <w:szCs w:val="24"/>
                <w:highlight w:val="none"/>
                <w:u w:val="single"/>
                <w:lang w:eastAsia="zh-CN"/>
              </w:rPr>
              <w:t>0</w:t>
            </w:r>
            <w:r>
              <w:rPr>
                <w:rFonts w:hint="eastAsia" w:ascii="宋体" w:hAnsi="宋体" w:cs="宋体"/>
                <w:color w:val="000000"/>
                <w:kern w:val="0"/>
                <w:sz w:val="24"/>
                <w:szCs w:val="24"/>
                <w:highlight w:val="none"/>
                <w:u w:val="single"/>
              </w:rPr>
              <w:t>（北京时间）</w:t>
            </w:r>
            <w:r>
              <w:rPr>
                <w:rFonts w:hint="eastAsia" w:cs="宋体"/>
                <w:color w:val="000000"/>
                <w:kern w:val="0"/>
                <w:sz w:val="24"/>
                <w:szCs w:val="24"/>
                <w:highlight w:val="none"/>
              </w:rPr>
              <w:t>前递交投标文件</w:t>
            </w:r>
            <w:r>
              <w:rPr>
                <w:rFonts w:hint="eastAsia" w:ascii="宋体" w:hAnsi="宋体"/>
                <w:bCs/>
                <w:kern w:val="0"/>
                <w:sz w:val="24"/>
                <w:szCs w:val="20"/>
                <w:highlight w:val="none"/>
                <w:shd w:val="clear" w:color="050000" w:fill="auto"/>
              </w:rPr>
              <w:t>。</w:t>
            </w:r>
          </w:p>
        </w:tc>
      </w:tr>
    </w:tbl>
    <w:p>
      <w:pPr>
        <w:widowControl/>
        <w:spacing w:line="460" w:lineRule="exact"/>
        <w:ind w:firstLine="482" w:firstLineChars="200"/>
        <w:jc w:val="left"/>
        <w:outlineLvl w:val="0"/>
        <w:rPr>
          <w:rFonts w:ascii="宋体" w:hAnsi="宋体"/>
          <w:b/>
          <w:bCs/>
          <w:kern w:val="0"/>
          <w:sz w:val="24"/>
        </w:rPr>
      </w:pPr>
      <w:bookmarkStart w:id="17" w:name="_Toc18652"/>
      <w:bookmarkStart w:id="18" w:name="_Toc18556"/>
      <w:bookmarkStart w:id="19" w:name="_Toc19199"/>
      <w:r>
        <w:rPr>
          <w:rFonts w:hint="eastAsia" w:ascii="宋体" w:hAnsi="宋体"/>
          <w:b/>
          <w:bCs/>
          <w:kern w:val="0"/>
          <w:sz w:val="24"/>
        </w:rPr>
        <w:t>一、项目基本情况</w:t>
      </w:r>
      <w:bookmarkEnd w:id="17"/>
      <w:bookmarkEnd w:id="18"/>
      <w:bookmarkEnd w:id="19"/>
    </w:p>
    <w:p>
      <w:pPr>
        <w:widowControl/>
        <w:spacing w:line="460" w:lineRule="exact"/>
        <w:ind w:firstLine="480" w:firstLineChars="200"/>
        <w:jc w:val="left"/>
        <w:outlineLvl w:val="0"/>
        <w:rPr>
          <w:rFonts w:hint="eastAsia" w:ascii="宋体" w:hAnsi="宋体" w:eastAsia="宋体"/>
          <w:b/>
          <w:bCs/>
          <w:kern w:val="0"/>
          <w:sz w:val="24"/>
          <w:lang w:val="en-US" w:eastAsia="zh-CN"/>
        </w:rPr>
      </w:pPr>
      <w:bookmarkStart w:id="20" w:name="_Toc20366"/>
      <w:bookmarkStart w:id="21" w:name="_Toc11062"/>
      <w:r>
        <w:rPr>
          <w:rFonts w:hint="eastAsia" w:ascii="宋体" w:hAnsi="宋体"/>
          <w:bCs/>
          <w:kern w:val="0"/>
          <w:sz w:val="24"/>
          <w:shd w:val="clear" w:color="050000" w:fill="auto"/>
        </w:rPr>
        <w:t>(1)项目编号：HYYL-2022-119</w:t>
      </w:r>
      <w:bookmarkEnd w:id="20"/>
      <w:bookmarkEnd w:id="21"/>
      <w:r>
        <w:rPr>
          <w:rFonts w:hint="eastAsia" w:ascii="宋体" w:hAnsi="宋体" w:cs="Arial"/>
          <w:kern w:val="0"/>
          <w:sz w:val="24"/>
          <w:szCs w:val="24"/>
          <w:lang w:val="en-US" w:eastAsia="zh-CN"/>
        </w:rPr>
        <w:t xml:space="preserve"> </w:t>
      </w:r>
    </w:p>
    <w:p>
      <w:pPr>
        <w:widowControl/>
        <w:spacing w:line="460" w:lineRule="exact"/>
        <w:ind w:firstLine="480" w:firstLineChars="200"/>
        <w:jc w:val="left"/>
        <w:rPr>
          <w:rFonts w:hint="eastAsia" w:ascii="宋体" w:hAnsi="宋体"/>
          <w:bCs/>
          <w:spacing w:val="-4"/>
          <w:kern w:val="0"/>
          <w:sz w:val="24"/>
          <w:shd w:val="clear" w:color="050000" w:fill="auto"/>
          <w:lang w:val="en-US" w:eastAsia="zh-CN"/>
        </w:rPr>
      </w:pPr>
      <w:r>
        <w:rPr>
          <w:rFonts w:hint="eastAsia" w:ascii="宋体" w:hAnsi="宋体"/>
          <w:bCs/>
          <w:kern w:val="0"/>
          <w:sz w:val="24"/>
          <w:shd w:val="clear" w:color="050000" w:fill="auto"/>
        </w:rPr>
        <w:t>(2)</w:t>
      </w:r>
      <w:r>
        <w:rPr>
          <w:rFonts w:hint="eastAsia" w:ascii="宋体" w:hAnsi="宋体"/>
          <w:bCs/>
          <w:spacing w:val="-4"/>
          <w:kern w:val="0"/>
          <w:sz w:val="24"/>
          <w:shd w:val="clear" w:color="050000" w:fill="auto"/>
        </w:rPr>
        <w:t>项目名称：</w:t>
      </w:r>
      <w:r>
        <w:rPr>
          <w:rFonts w:hint="eastAsia" w:ascii="宋体" w:hAnsi="宋体"/>
          <w:bCs/>
          <w:spacing w:val="-4"/>
          <w:kern w:val="0"/>
          <w:sz w:val="24"/>
          <w:shd w:val="clear" w:color="050000" w:fill="auto"/>
          <w:lang w:eastAsia="zh-CN"/>
        </w:rPr>
        <w:t>农业科技智能温室附属设施配套项目</w:t>
      </w:r>
      <w:r>
        <w:rPr>
          <w:rFonts w:hint="eastAsia" w:ascii="宋体" w:hAnsi="宋体"/>
          <w:bCs/>
          <w:spacing w:val="-4"/>
          <w:kern w:val="0"/>
          <w:sz w:val="24"/>
          <w:shd w:val="clear" w:color="050000" w:fill="auto"/>
          <w:lang w:val="en-US" w:eastAsia="zh-CN"/>
        </w:rPr>
        <w:t>-</w:t>
      </w:r>
      <w:r>
        <w:rPr>
          <w:rFonts w:hint="eastAsia" w:ascii="宋体" w:hAnsi="宋体"/>
          <w:bCs/>
          <w:spacing w:val="-4"/>
          <w:kern w:val="0"/>
          <w:sz w:val="24"/>
          <w:shd w:val="clear" w:color="050000" w:fill="auto"/>
          <w:lang w:eastAsia="zh-CN"/>
        </w:rPr>
        <w:t>科技创区水网改造提升项目</w:t>
      </w:r>
      <w:r>
        <w:rPr>
          <w:rFonts w:hint="eastAsia" w:ascii="宋体" w:hAnsi="宋体"/>
          <w:bCs/>
          <w:spacing w:val="-4"/>
          <w:kern w:val="0"/>
          <w:sz w:val="24"/>
          <w:shd w:val="clear" w:color="050000" w:fill="auto"/>
          <w:lang w:val="en-US" w:eastAsia="zh-CN"/>
        </w:rPr>
        <w:t xml:space="preserve"> </w:t>
      </w:r>
    </w:p>
    <w:p>
      <w:pPr>
        <w:widowControl/>
        <w:spacing w:line="46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(3)预算金额：</w:t>
      </w:r>
      <w:r>
        <w:rPr>
          <w:rFonts w:hint="eastAsia" w:ascii="宋体" w:hAnsi="宋体" w:cs="宋体"/>
          <w:bCs/>
          <w:sz w:val="24"/>
          <w:szCs w:val="24"/>
          <w:highlight w:val="none"/>
          <w:lang w:val="en-US" w:eastAsia="zh-CN"/>
        </w:rPr>
        <w:t>1200606.66</w:t>
      </w:r>
      <w:r>
        <w:rPr>
          <w:rFonts w:hint="eastAsia" w:ascii="宋体" w:hAnsi="宋体" w:cs="宋体"/>
          <w:bCs/>
          <w:kern w:val="0"/>
          <w:sz w:val="24"/>
          <w:szCs w:val="24"/>
          <w:highlight w:val="none"/>
        </w:rPr>
        <w:t>元；</w:t>
      </w:r>
    </w:p>
    <w:p>
      <w:pPr>
        <w:widowControl/>
        <w:spacing w:line="460" w:lineRule="exact"/>
        <w:ind w:firstLine="480" w:firstLineChars="200"/>
        <w:jc w:val="left"/>
        <w:rPr>
          <w:rFonts w:hint="eastAsia" w:ascii="宋体" w:hAnsi="宋体" w:eastAsia="宋体" w:cs="宋体"/>
          <w:bCs/>
          <w:spacing w:val="-4"/>
          <w:sz w:val="24"/>
          <w:szCs w:val="24"/>
          <w:lang w:eastAsia="zh-CN"/>
        </w:rPr>
      </w:pPr>
      <w:r>
        <w:rPr>
          <w:rFonts w:hint="eastAsia" w:ascii="宋体" w:hAnsi="宋体"/>
          <w:bCs/>
          <w:kern w:val="0"/>
          <w:sz w:val="24"/>
          <w:shd w:val="clear" w:color="050000" w:fill="auto"/>
        </w:rPr>
        <w:t>(4)采购需求：</w:t>
      </w:r>
    </w:p>
    <w:p>
      <w:pPr>
        <w:widowControl/>
        <w:spacing w:line="460" w:lineRule="exact"/>
        <w:ind w:firstLine="464" w:firstLineChars="200"/>
        <w:jc w:val="left"/>
        <w:rPr>
          <w:rFonts w:hint="eastAsia" w:ascii="宋体" w:hAnsi="宋体" w:eastAsia="宋体" w:cs="宋体"/>
          <w:bCs/>
          <w:spacing w:val="-4"/>
          <w:sz w:val="24"/>
          <w:szCs w:val="24"/>
          <w:lang w:val="en-US" w:eastAsia="zh-CN"/>
        </w:rPr>
      </w:pPr>
      <w:r>
        <w:rPr>
          <w:rFonts w:hint="eastAsia" w:ascii="宋体" w:hAnsi="宋体" w:cs="宋体"/>
          <w:bCs/>
          <w:spacing w:val="-4"/>
          <w:sz w:val="24"/>
          <w:szCs w:val="24"/>
        </w:rPr>
        <w:t>   标项名称:</w:t>
      </w:r>
      <w:r>
        <w:rPr>
          <w:rFonts w:hint="eastAsia" w:ascii="宋体" w:hAnsi="宋体" w:cs="宋体"/>
          <w:bCs/>
          <w:spacing w:val="-4"/>
          <w:sz w:val="24"/>
          <w:szCs w:val="24"/>
          <w:lang w:val="en-US" w:eastAsia="zh-CN"/>
        </w:rPr>
        <w:t xml:space="preserve"> 农业科技智能温室附属设施配套项目-科技创区水网改造提升项目</w:t>
      </w:r>
    </w:p>
    <w:p>
      <w:pPr>
        <w:widowControl/>
        <w:spacing w:line="460" w:lineRule="exact"/>
        <w:ind w:firstLine="464" w:firstLineChars="200"/>
        <w:jc w:val="left"/>
        <w:rPr>
          <w:rFonts w:hint="default" w:ascii="宋体" w:hAnsi="宋体" w:eastAsia="宋体" w:cs="宋体"/>
          <w:bCs/>
          <w:spacing w:val="-4"/>
          <w:sz w:val="24"/>
          <w:szCs w:val="24"/>
          <w:lang w:val="en-US" w:eastAsia="zh-CN"/>
        </w:rPr>
      </w:pPr>
      <w:r>
        <w:rPr>
          <w:rFonts w:hint="eastAsia" w:ascii="宋体" w:hAnsi="宋体" w:cs="宋体"/>
          <w:bCs/>
          <w:spacing w:val="-4"/>
          <w:sz w:val="24"/>
          <w:szCs w:val="24"/>
        </w:rPr>
        <w:t>   数量:</w:t>
      </w:r>
      <w:r>
        <w:rPr>
          <w:rFonts w:hint="eastAsia" w:ascii="宋体" w:hAnsi="宋体" w:cs="宋体"/>
          <w:bCs/>
          <w:spacing w:val="-4"/>
          <w:sz w:val="24"/>
          <w:szCs w:val="24"/>
          <w:lang w:val="en-US" w:eastAsia="zh-CN"/>
        </w:rPr>
        <w:t>1项</w:t>
      </w:r>
    </w:p>
    <w:p>
      <w:pPr>
        <w:widowControl/>
        <w:spacing w:line="460" w:lineRule="exact"/>
        <w:ind w:firstLine="464" w:firstLineChars="200"/>
        <w:jc w:val="left"/>
        <w:rPr>
          <w:rFonts w:hint="eastAsia" w:ascii="宋体" w:hAnsi="宋体" w:cs="宋体"/>
          <w:bCs/>
          <w:spacing w:val="-4"/>
          <w:sz w:val="24"/>
          <w:szCs w:val="24"/>
        </w:rPr>
      </w:pPr>
      <w:r>
        <w:rPr>
          <w:rFonts w:hint="eastAsia" w:ascii="宋体" w:hAnsi="宋体" w:cs="宋体"/>
          <w:bCs/>
          <w:spacing w:val="-4"/>
          <w:sz w:val="24"/>
          <w:szCs w:val="24"/>
        </w:rPr>
        <w:t>   预算金额（元）:</w:t>
      </w:r>
      <w:r>
        <w:rPr>
          <w:rFonts w:hint="eastAsia" w:ascii="宋体" w:hAnsi="宋体" w:cs="宋体"/>
          <w:bCs/>
          <w:spacing w:val="-4"/>
          <w:sz w:val="24"/>
          <w:szCs w:val="24"/>
          <w:lang w:val="en-US" w:eastAsia="zh-CN"/>
        </w:rPr>
        <w:t xml:space="preserve">1200606.66 </w:t>
      </w:r>
    </w:p>
    <w:p>
      <w:pPr>
        <w:widowControl/>
        <w:spacing w:line="460" w:lineRule="exact"/>
        <w:ind w:firstLine="464" w:firstLineChars="200"/>
        <w:jc w:val="left"/>
        <w:rPr>
          <w:rFonts w:hint="eastAsia" w:ascii="宋体" w:hAnsi="宋体" w:cs="宋体"/>
          <w:bCs/>
          <w:spacing w:val="-4"/>
          <w:sz w:val="24"/>
          <w:szCs w:val="24"/>
          <w:lang w:eastAsia="zh-CN"/>
        </w:rPr>
      </w:pPr>
      <w:r>
        <w:rPr>
          <w:rFonts w:hint="eastAsia" w:ascii="宋体" w:hAnsi="宋体" w:cs="宋体"/>
          <w:bCs/>
          <w:spacing w:val="-4"/>
          <w:sz w:val="24"/>
          <w:szCs w:val="24"/>
        </w:rPr>
        <w:t>   简要规格描述或项目基本概况介绍、用途：科技创区水网改造提升项目</w:t>
      </w:r>
      <w:r>
        <w:rPr>
          <w:rFonts w:hint="eastAsia" w:ascii="宋体" w:hAnsi="宋体" w:cs="宋体"/>
          <w:bCs/>
          <w:spacing w:val="-4"/>
          <w:sz w:val="24"/>
          <w:szCs w:val="24"/>
          <w:lang w:val="en-US" w:eastAsia="zh-CN"/>
        </w:rPr>
        <w:t>（具体内容详见招标文件）</w:t>
      </w:r>
      <w:r>
        <w:rPr>
          <w:rFonts w:hint="eastAsia" w:ascii="宋体" w:hAnsi="宋体" w:cs="宋体"/>
          <w:bCs/>
          <w:spacing w:val="-4"/>
          <w:sz w:val="24"/>
          <w:szCs w:val="24"/>
        </w:rPr>
        <w:t>。</w:t>
      </w:r>
    </w:p>
    <w:p>
      <w:pPr>
        <w:widowControl/>
        <w:spacing w:line="460" w:lineRule="exact"/>
        <w:ind w:firstLine="464" w:firstLineChars="200"/>
        <w:jc w:val="left"/>
        <w:rPr>
          <w:rFonts w:hint="eastAsia" w:ascii="宋体" w:hAnsi="宋体" w:cs="宋体"/>
          <w:bCs/>
          <w:spacing w:val="-4"/>
          <w:sz w:val="24"/>
          <w:szCs w:val="24"/>
        </w:rPr>
      </w:pPr>
      <w:r>
        <w:rPr>
          <w:rFonts w:hint="eastAsia" w:ascii="宋体" w:hAnsi="宋体" w:cs="宋体"/>
          <w:bCs/>
          <w:spacing w:val="-4"/>
          <w:sz w:val="24"/>
          <w:szCs w:val="24"/>
        </w:rPr>
        <w:t>   备注：</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（5）合同履约期限：</w:t>
      </w:r>
      <w:r>
        <w:rPr>
          <w:rFonts w:hint="eastAsia" w:ascii="宋体" w:hAnsi="宋体" w:cs="宋体"/>
          <w:bCs/>
          <w:spacing w:val="-4"/>
          <w:sz w:val="24"/>
          <w:szCs w:val="24"/>
          <w:lang w:eastAsia="zh-CN"/>
        </w:rPr>
        <w:t>合同签订后</w:t>
      </w:r>
      <w:r>
        <w:rPr>
          <w:rFonts w:hint="eastAsia" w:ascii="宋体" w:hAnsi="宋体" w:cs="宋体"/>
          <w:bCs/>
          <w:spacing w:val="-4"/>
          <w:sz w:val="24"/>
          <w:szCs w:val="24"/>
          <w:lang w:val="en-US" w:eastAsia="zh-CN"/>
        </w:rPr>
        <w:t>15</w:t>
      </w:r>
      <w:r>
        <w:rPr>
          <w:rFonts w:hint="eastAsia" w:ascii="宋体" w:hAnsi="宋体" w:cs="宋体"/>
          <w:bCs/>
          <w:spacing w:val="-4"/>
          <w:sz w:val="24"/>
          <w:szCs w:val="24"/>
          <w:lang w:eastAsia="zh-CN"/>
        </w:rPr>
        <w:t>日历天</w:t>
      </w:r>
      <w:r>
        <w:rPr>
          <w:rFonts w:hint="eastAsia" w:ascii="宋体" w:hAnsi="宋体" w:cs="宋体"/>
          <w:bCs/>
          <w:spacing w:val="-4"/>
          <w:sz w:val="24"/>
          <w:szCs w:val="24"/>
        </w:rPr>
        <w:t>内交付使用；   </w:t>
      </w:r>
    </w:p>
    <w:p>
      <w:pPr>
        <w:widowControl/>
        <w:spacing w:line="460" w:lineRule="exact"/>
        <w:ind w:firstLine="464" w:firstLineChars="200"/>
        <w:jc w:val="left"/>
      </w:pPr>
      <w:r>
        <w:rPr>
          <w:rFonts w:hint="eastAsia" w:ascii="宋体" w:hAnsi="宋体" w:cs="宋体"/>
          <w:bCs/>
          <w:spacing w:val="-4"/>
          <w:sz w:val="24"/>
          <w:szCs w:val="24"/>
        </w:rPr>
        <w:t>（6）本项目（否）接受联合体投标。  </w:t>
      </w:r>
    </w:p>
    <w:p>
      <w:pPr>
        <w:widowControl/>
        <w:spacing w:line="460" w:lineRule="exact"/>
        <w:ind w:firstLine="482" w:firstLineChars="200"/>
        <w:jc w:val="left"/>
        <w:outlineLvl w:val="0"/>
        <w:rPr>
          <w:rFonts w:ascii="宋体" w:hAnsi="宋体"/>
          <w:b/>
          <w:bCs/>
          <w:kern w:val="0"/>
          <w:sz w:val="24"/>
          <w:shd w:val="clear" w:color="050000" w:fill="auto"/>
        </w:rPr>
      </w:pPr>
      <w:bookmarkStart w:id="22" w:name="_Toc8213"/>
      <w:bookmarkStart w:id="23" w:name="_Toc32314"/>
      <w:bookmarkStart w:id="24" w:name="_Toc30544"/>
      <w:r>
        <w:rPr>
          <w:rFonts w:hint="eastAsia" w:ascii="宋体" w:hAnsi="宋体"/>
          <w:b/>
          <w:bCs/>
          <w:kern w:val="0"/>
          <w:sz w:val="24"/>
          <w:shd w:val="clear" w:color="050000" w:fill="auto"/>
        </w:rPr>
        <w:t>二、申请人的资格要求</w:t>
      </w:r>
      <w:bookmarkEnd w:id="22"/>
      <w:bookmarkEnd w:id="23"/>
      <w:bookmarkEnd w:id="24"/>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bCs/>
          <w:kern w:val="0"/>
          <w:sz w:val="24"/>
          <w:shd w:val="clear" w:color="050000" w:fill="auto"/>
        </w:rPr>
      </w:pPr>
      <w:r>
        <w:rPr>
          <w:rFonts w:hint="eastAsia" w:ascii="宋体" w:hAnsi="宋体"/>
          <w:bCs/>
          <w:kern w:val="0"/>
          <w:sz w:val="24"/>
          <w:shd w:val="clear" w:color="050000" w:fill="auto"/>
          <w:lang w:val="en-US" w:eastAsia="zh-CN"/>
        </w:rPr>
        <w:t>1、</w:t>
      </w:r>
      <w:r>
        <w:rPr>
          <w:rFonts w:hint="eastAsia" w:ascii="宋体" w:hAnsi="宋体"/>
          <w:bCs/>
          <w:kern w:val="0"/>
          <w:sz w:val="24"/>
          <w:shd w:val="clear" w:color="050000" w:fill="auto"/>
        </w:rPr>
        <w:t>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bCs/>
          <w:kern w:val="0"/>
          <w:sz w:val="24"/>
          <w:shd w:val="clear" w:color="050000" w:fill="auto"/>
        </w:rPr>
      </w:pPr>
      <w:r>
        <w:rPr>
          <w:rFonts w:hint="eastAsia" w:ascii="宋体" w:hAnsi="宋体"/>
          <w:bCs/>
          <w:kern w:val="0"/>
          <w:sz w:val="24"/>
          <w:shd w:val="clear" w:color="050000" w:fill="auto"/>
        </w:rPr>
        <w:t>2</w:t>
      </w:r>
      <w:r>
        <w:rPr>
          <w:rFonts w:hint="eastAsia" w:ascii="宋体" w:hAnsi="宋体"/>
          <w:bCs/>
          <w:kern w:val="0"/>
          <w:sz w:val="24"/>
          <w:shd w:val="clear" w:color="050000" w:fill="auto"/>
          <w:lang w:eastAsia="zh-CN"/>
        </w:rPr>
        <w:t>、</w:t>
      </w:r>
      <w:r>
        <w:rPr>
          <w:rFonts w:hint="eastAsia" w:ascii="宋体" w:hAnsi="宋体"/>
          <w:bCs/>
          <w:kern w:val="0"/>
          <w:sz w:val="24"/>
          <w:shd w:val="clear" w:color="050000" w:fill="auto"/>
        </w:rPr>
        <w:t>落实政府采购政策需满足的资格要求：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bCs/>
          <w:kern w:val="0"/>
          <w:sz w:val="24"/>
          <w:shd w:val="clear" w:color="050000" w:fill="auto"/>
        </w:rPr>
      </w:pPr>
      <w:r>
        <w:rPr>
          <w:rFonts w:hint="eastAsia" w:ascii="宋体" w:hAnsi="宋体"/>
          <w:bCs/>
          <w:kern w:val="0"/>
          <w:sz w:val="24"/>
          <w:shd w:val="clear" w:color="050000" w:fill="auto"/>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bCs/>
          <w:kern w:val="0"/>
          <w:sz w:val="24"/>
          <w:shd w:val="clear" w:color="050000" w:fill="auto"/>
        </w:rPr>
      </w:pPr>
      <w:r>
        <w:rPr>
          <w:rFonts w:hint="eastAsia" w:ascii="宋体" w:hAnsi="宋体"/>
          <w:bCs/>
          <w:kern w:val="0"/>
          <w:sz w:val="24"/>
          <w:shd w:val="clear" w:color="050000" w:fill="auto"/>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bCs/>
          <w:kern w:val="0"/>
          <w:sz w:val="24"/>
          <w:shd w:val="clear" w:color="050000" w:fill="auto"/>
        </w:rPr>
      </w:pPr>
      <w:r>
        <w:rPr>
          <w:rFonts w:hint="eastAsia" w:ascii="宋体" w:hAnsi="宋体"/>
          <w:bCs/>
          <w:kern w:val="0"/>
          <w:sz w:val="24"/>
          <w:shd w:val="clear" w:color="050000" w:fill="auto"/>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pPr>
      <w:r>
        <w:rPr>
          <w:rFonts w:hint="eastAsia" w:ascii="宋体" w:hAnsi="宋体"/>
          <w:bCs/>
          <w:kern w:val="0"/>
          <w:sz w:val="24"/>
          <w:shd w:val="clear" w:color="050000" w:fill="auto"/>
          <w:lang w:val="en-US" w:eastAsia="zh-CN"/>
        </w:rPr>
        <w:t>3、</w:t>
      </w:r>
      <w:r>
        <w:rPr>
          <w:rFonts w:ascii="宋体" w:hAnsi="宋体"/>
          <w:bCs/>
          <w:kern w:val="0"/>
          <w:sz w:val="24"/>
          <w:shd w:val="clear" w:color="050000" w:fill="auto"/>
        </w:rPr>
        <w:t>采购项目需要落实的政府采购政策</w:t>
      </w:r>
      <w:r>
        <w:rPr>
          <w:rFonts w:hint="eastAsia" w:ascii="宋体" w:hAnsi="宋体"/>
          <w:bCs/>
          <w:kern w:val="0"/>
          <w:sz w:val="24"/>
          <w:shd w:val="clear" w:color="050000" w:fill="auto"/>
        </w:rPr>
        <w:t>：</w:t>
      </w:r>
      <w:r>
        <w:rPr>
          <w:rFonts w:hint="eastAsia" w:ascii="宋体" w:hAnsi="宋体" w:cs="宋体"/>
          <w:bCs/>
          <w:kern w:val="0"/>
          <w:sz w:val="24"/>
          <w:shd w:val="clear" w:color="050000" w:fill="auto"/>
        </w:rPr>
        <w:t>供应商应为中小企业或小微企业或监狱企业或残疾人福利企业</w:t>
      </w:r>
      <w:r>
        <w:rPr>
          <w:rFonts w:ascii="宋体" w:hAnsi="宋体"/>
          <w:bCs/>
          <w:kern w:val="0"/>
          <w:sz w:val="24"/>
          <w:shd w:val="clear" w:color="050000" w:fill="auto"/>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rPr>
      </w:pPr>
      <w:r>
        <w:rPr>
          <w:rFonts w:hint="eastAsia" w:ascii="宋体" w:hAnsi="宋体"/>
          <w:b w:val="0"/>
          <w:bCs/>
          <w:sz w:val="24"/>
          <w:szCs w:val="22"/>
          <w:highlight w:val="none"/>
          <w:shd w:val="clear" w:color="050000" w:fill="auto"/>
          <w:lang w:val="en-US" w:eastAsia="zh-CN"/>
        </w:rPr>
        <w:t>4、</w:t>
      </w:r>
      <w:r>
        <w:rPr>
          <w:rFonts w:ascii="宋体" w:hAnsi="宋体" w:eastAsia="宋体"/>
          <w:b w:val="0"/>
          <w:bCs/>
          <w:sz w:val="24"/>
          <w:szCs w:val="22"/>
          <w:highlight w:val="none"/>
          <w:shd w:val="clear" w:color="050000" w:fill="auto"/>
        </w:rPr>
        <w:t>本项目的特定</w:t>
      </w:r>
      <w:r>
        <w:rPr>
          <w:rFonts w:hint="eastAsia" w:ascii="宋体" w:hAnsi="宋体" w:cs="宋体"/>
          <w:bCs/>
          <w:kern w:val="0"/>
          <w:sz w:val="24"/>
          <w:szCs w:val="22"/>
          <w:highlight w:val="none"/>
          <w:shd w:val="clear" w:color="050000" w:fill="auto"/>
        </w:rPr>
        <w:t>资格要求：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rPr>
      </w:pPr>
      <w:r>
        <w:rPr>
          <w:rFonts w:hint="eastAsia" w:ascii="宋体" w:hAnsi="宋体" w:cs="宋体"/>
          <w:bCs/>
          <w:kern w:val="0"/>
          <w:sz w:val="24"/>
          <w:szCs w:val="22"/>
          <w:highlight w:val="none"/>
          <w:shd w:val="clear" w:color="050000" w:fill="auto"/>
          <w:lang w:val="en-US" w:eastAsia="zh-CN"/>
        </w:rPr>
        <w:t>（1）</w:t>
      </w:r>
      <w:r>
        <w:rPr>
          <w:rFonts w:hint="eastAsia" w:ascii="宋体" w:hAnsi="宋体" w:cs="宋体"/>
          <w:bCs/>
          <w:kern w:val="0"/>
          <w:sz w:val="24"/>
          <w:szCs w:val="22"/>
          <w:highlight w:val="none"/>
          <w:shd w:val="clear" w:color="050000" w:fill="auto"/>
        </w:rPr>
        <w:t>法定代表人投标需提供法定代表人身份证，委托代理人投标需提供法定代表人授权委托书及</w:t>
      </w:r>
      <w:r>
        <w:rPr>
          <w:rFonts w:hint="eastAsia" w:ascii="宋体" w:hAnsi="宋体" w:cs="宋体"/>
          <w:bCs/>
          <w:kern w:val="0"/>
          <w:sz w:val="24"/>
          <w:szCs w:val="22"/>
          <w:highlight w:val="none"/>
          <w:shd w:val="clear" w:color="050000" w:fill="auto"/>
          <w:lang w:val="en-US" w:eastAsia="zh-CN"/>
        </w:rPr>
        <w:t>授权委托人</w:t>
      </w:r>
      <w:r>
        <w:rPr>
          <w:rFonts w:hint="eastAsia" w:ascii="宋体" w:hAnsi="宋体" w:cs="宋体"/>
          <w:bCs/>
          <w:kern w:val="0"/>
          <w:sz w:val="24"/>
          <w:szCs w:val="22"/>
          <w:highlight w:val="none"/>
          <w:shd w:val="clear" w:color="050000" w:fill="auto"/>
        </w:rPr>
        <w:t>身份证；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lang w:val="en-US" w:eastAsia="zh-CN"/>
        </w:rPr>
      </w:pPr>
      <w:r>
        <w:rPr>
          <w:rFonts w:hint="eastAsia" w:ascii="宋体" w:hAnsi="宋体" w:cs="宋体"/>
          <w:bCs/>
          <w:kern w:val="0"/>
          <w:sz w:val="24"/>
          <w:szCs w:val="22"/>
          <w:highlight w:val="none"/>
          <w:shd w:val="clear" w:color="050000" w:fill="auto"/>
          <w:lang w:val="en-US" w:eastAsia="zh-CN"/>
        </w:rPr>
        <w:t>（2）投标人须持有工商行政管理部门核发的有效企业营业执照并具有独立法人资格；</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lang w:val="en-US" w:eastAsia="zh-CN"/>
        </w:rPr>
      </w:pPr>
      <w:r>
        <w:rPr>
          <w:rFonts w:hint="eastAsia" w:ascii="宋体" w:hAnsi="宋体" w:cs="宋体"/>
          <w:bCs/>
          <w:kern w:val="0"/>
          <w:sz w:val="24"/>
          <w:szCs w:val="22"/>
          <w:highlight w:val="none"/>
          <w:shd w:val="clear" w:color="050000" w:fill="auto"/>
          <w:lang w:val="en-US" w:eastAsia="zh-CN"/>
        </w:rPr>
        <w:t>（3）投标人须具备水利水电工程施工总承包三级(含)以上资质等级，并取得安全生产许可证；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lang w:val="en-US" w:eastAsia="zh-CN"/>
        </w:rPr>
      </w:pPr>
      <w:r>
        <w:rPr>
          <w:rFonts w:hint="eastAsia" w:ascii="宋体" w:hAnsi="宋体" w:cs="宋体"/>
          <w:bCs/>
          <w:kern w:val="0"/>
          <w:sz w:val="24"/>
          <w:szCs w:val="22"/>
          <w:highlight w:val="none"/>
          <w:shd w:val="clear" w:color="050000" w:fill="auto"/>
          <w:lang w:val="en-US" w:eastAsia="zh-CN"/>
        </w:rPr>
        <w:t>（4）项目负责人须具备水利水电工程专业贰级及以上注册建造师执业资格，具备有效的安全生产考核合格证书，且未担任其他在建工程项目的项目负责人；并在人员、设备、资金等方面具有相应的施工能力；</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lang w:eastAsia="zh-CN"/>
        </w:rPr>
      </w:pPr>
      <w:r>
        <w:rPr>
          <w:rFonts w:hint="eastAsia" w:ascii="宋体" w:hAnsi="宋体" w:cs="宋体"/>
          <w:bCs/>
          <w:kern w:val="0"/>
          <w:sz w:val="24"/>
          <w:szCs w:val="22"/>
          <w:highlight w:val="none"/>
          <w:shd w:val="clear" w:color="050000" w:fill="auto"/>
          <w:lang w:val="en-US" w:eastAsia="zh-CN"/>
        </w:rPr>
        <w:t>（5）外省企业须办理进疆备案《新疆维吾尔自治区区外进疆建筑企业信息报送册》；</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lang w:val="en-US" w:eastAsia="zh-CN"/>
        </w:rPr>
      </w:pPr>
      <w:r>
        <w:rPr>
          <w:rFonts w:hint="eastAsia" w:ascii="宋体" w:hAnsi="宋体" w:cs="宋体"/>
          <w:bCs/>
          <w:kern w:val="0"/>
          <w:sz w:val="24"/>
          <w:szCs w:val="22"/>
          <w:highlight w:val="none"/>
          <w:shd w:val="clear" w:color="050000" w:fill="auto"/>
          <w:lang w:val="en-US" w:eastAsia="zh-CN"/>
        </w:rPr>
        <w:t>（6）所有投标人不得为“信用中国”网站（www.creditchina.gov.cn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kern w:val="0"/>
          <w:sz w:val="24"/>
          <w:szCs w:val="22"/>
          <w:highlight w:val="none"/>
          <w:shd w:val="clear" w:color="050000" w:fill="auto"/>
          <w:lang w:val="en-US" w:eastAsia="zh-CN" w:bidi="ar-SA"/>
        </w:rPr>
      </w:pPr>
      <w:r>
        <w:rPr>
          <w:rFonts w:hint="eastAsia" w:ascii="宋体" w:hAnsi="宋体" w:cs="宋体"/>
          <w:bCs/>
          <w:kern w:val="0"/>
          <w:sz w:val="24"/>
          <w:szCs w:val="22"/>
          <w:highlight w:val="none"/>
          <w:shd w:val="clear" w:color="050000" w:fill="auto"/>
          <w:lang w:val="en-US" w:eastAsia="zh-CN"/>
        </w:rPr>
        <w:t>5、本项目不接受联合体投标。</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outlineLvl w:val="0"/>
        <w:rPr>
          <w:rFonts w:ascii="宋体" w:hAnsi="宋体"/>
          <w:b/>
          <w:bCs/>
          <w:kern w:val="0"/>
          <w:sz w:val="24"/>
          <w:shd w:val="clear" w:color="050000" w:fill="auto"/>
        </w:rPr>
      </w:pPr>
      <w:bookmarkStart w:id="25" w:name="_Toc27967"/>
      <w:bookmarkStart w:id="26" w:name="_Toc12882"/>
      <w:bookmarkStart w:id="27" w:name="_Toc15606"/>
      <w:r>
        <w:rPr>
          <w:rFonts w:hint="eastAsia" w:ascii="宋体" w:hAnsi="宋体"/>
          <w:b/>
          <w:bCs/>
          <w:kern w:val="0"/>
          <w:sz w:val="24"/>
          <w:shd w:val="clear" w:color="050000" w:fill="auto"/>
        </w:rPr>
        <w:t>三、获取招标文件</w:t>
      </w:r>
      <w:bookmarkEnd w:id="25"/>
      <w:bookmarkEnd w:id="26"/>
      <w:bookmarkEnd w:id="27"/>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kern w:val="0"/>
          <w:sz w:val="24"/>
          <w:highlight w:val="none"/>
          <w:shd w:val="clear" w:color="050000" w:fill="auto"/>
        </w:rPr>
      </w:pPr>
      <w:r>
        <w:rPr>
          <w:rFonts w:hint="eastAsia" w:ascii="宋体" w:hAnsi="宋体"/>
          <w:kern w:val="0"/>
          <w:sz w:val="24"/>
          <w:highlight w:val="none"/>
          <w:shd w:val="clear" w:color="050000" w:fill="auto"/>
        </w:rPr>
        <w:t>时间：2022年</w:t>
      </w:r>
      <w:r>
        <w:rPr>
          <w:rFonts w:hint="eastAsia" w:ascii="宋体" w:hAnsi="宋体"/>
          <w:kern w:val="0"/>
          <w:sz w:val="24"/>
          <w:highlight w:val="none"/>
          <w:shd w:val="clear" w:color="050000" w:fill="auto"/>
          <w:lang w:val="en-US" w:eastAsia="zh-CN"/>
        </w:rPr>
        <w:t>12</w:t>
      </w:r>
      <w:r>
        <w:rPr>
          <w:rFonts w:hint="eastAsia" w:ascii="宋体" w:hAnsi="宋体"/>
          <w:kern w:val="0"/>
          <w:sz w:val="24"/>
          <w:highlight w:val="none"/>
          <w:shd w:val="clear" w:color="050000" w:fill="auto"/>
        </w:rPr>
        <w:t>月</w:t>
      </w:r>
      <w:r>
        <w:rPr>
          <w:rFonts w:hint="eastAsia" w:ascii="宋体" w:hAnsi="宋体"/>
          <w:kern w:val="0"/>
          <w:sz w:val="24"/>
          <w:highlight w:val="none"/>
          <w:shd w:val="clear" w:color="050000" w:fill="auto"/>
          <w:lang w:val="en-US" w:eastAsia="zh-CN"/>
        </w:rPr>
        <w:t>05</w:t>
      </w:r>
      <w:r>
        <w:rPr>
          <w:rFonts w:hint="eastAsia" w:ascii="宋体" w:hAnsi="宋体"/>
          <w:kern w:val="0"/>
          <w:sz w:val="24"/>
          <w:highlight w:val="none"/>
          <w:shd w:val="clear" w:color="050000" w:fill="auto"/>
        </w:rPr>
        <w:t>日起至2022年</w:t>
      </w:r>
      <w:r>
        <w:rPr>
          <w:rFonts w:hint="eastAsia" w:ascii="宋体" w:hAnsi="宋体"/>
          <w:kern w:val="0"/>
          <w:sz w:val="24"/>
          <w:highlight w:val="none"/>
          <w:shd w:val="clear" w:color="050000" w:fill="auto"/>
          <w:lang w:val="en-US" w:eastAsia="zh-CN"/>
        </w:rPr>
        <w:t>12</w:t>
      </w:r>
      <w:r>
        <w:rPr>
          <w:rFonts w:hint="eastAsia" w:ascii="宋体" w:hAnsi="宋体"/>
          <w:kern w:val="0"/>
          <w:sz w:val="24"/>
          <w:highlight w:val="none"/>
          <w:shd w:val="clear" w:color="050000" w:fill="auto"/>
        </w:rPr>
        <w:t>月</w:t>
      </w:r>
      <w:r>
        <w:rPr>
          <w:rFonts w:hint="eastAsia" w:ascii="宋体" w:hAnsi="宋体"/>
          <w:kern w:val="0"/>
          <w:sz w:val="24"/>
          <w:highlight w:val="none"/>
          <w:shd w:val="clear" w:color="050000" w:fill="auto"/>
          <w:lang w:val="en-US" w:eastAsia="zh-CN"/>
        </w:rPr>
        <w:t>08</w:t>
      </w:r>
      <w:r>
        <w:rPr>
          <w:rFonts w:hint="eastAsia" w:ascii="宋体" w:hAnsi="宋体"/>
          <w:kern w:val="0"/>
          <w:sz w:val="24"/>
          <w:highlight w:val="none"/>
          <w:shd w:val="clear" w:color="050000" w:fill="auto"/>
        </w:rPr>
        <w:t>日，每日上午10:00-14:00时，</w:t>
      </w:r>
      <w:r>
        <w:rPr>
          <w:rFonts w:hint="eastAsia" w:ascii="宋体" w:hAnsi="宋体"/>
          <w:kern w:val="0"/>
          <w:sz w:val="24"/>
          <w:highlight w:val="none"/>
          <w:shd w:val="clear" w:color="050000" w:fill="auto"/>
          <w:lang w:eastAsia="zh-CN"/>
        </w:rPr>
        <w:t>上午</w:t>
      </w:r>
      <w:r>
        <w:rPr>
          <w:rFonts w:hint="eastAsia" w:ascii="宋体" w:hAnsi="宋体"/>
          <w:kern w:val="0"/>
          <w:sz w:val="24"/>
          <w:highlight w:val="none"/>
          <w:shd w:val="clear" w:color="050000" w:fill="auto"/>
        </w:rPr>
        <w:t>15:30-19:30时（京时，下同；法定节假日除外）；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cs="Times New Roman"/>
          <w:bCs/>
          <w:sz w:val="24"/>
          <w:szCs w:val="20"/>
          <w:highlight w:val="none"/>
          <w:shd w:val="clear" w:color="050000" w:fill="auto"/>
        </w:rPr>
      </w:pPr>
      <w:r>
        <w:rPr>
          <w:rFonts w:hint="eastAsia" w:ascii="宋体" w:hAnsi="宋体" w:cs="Times New Roman"/>
          <w:sz w:val="24"/>
          <w:highlight w:val="none"/>
          <w:shd w:val="clear" w:color="050000" w:fill="auto"/>
        </w:rPr>
        <w:t>地</w:t>
      </w:r>
      <w:r>
        <w:rPr>
          <w:rFonts w:hint="eastAsia" w:ascii="宋体" w:hAnsi="宋体" w:cs="Times New Roman"/>
          <w:bCs/>
          <w:sz w:val="24"/>
          <w:szCs w:val="20"/>
          <w:highlight w:val="none"/>
          <w:shd w:val="clear" w:color="050000" w:fill="auto"/>
        </w:rPr>
        <w:t>点：新疆政采云平台线上获取；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cs="Times New Roman"/>
          <w:bCs/>
          <w:sz w:val="24"/>
          <w:szCs w:val="20"/>
          <w:highlight w:val="none"/>
          <w:shd w:val="clear" w:color="050000" w:fill="auto"/>
        </w:rPr>
      </w:pPr>
      <w:r>
        <w:rPr>
          <w:rFonts w:hint="eastAsia" w:ascii="宋体" w:hAnsi="宋体" w:cs="Times New Roman"/>
          <w:bCs/>
          <w:sz w:val="24"/>
          <w:szCs w:val="20"/>
          <w:highlight w:val="none"/>
          <w:shd w:val="clear" w:color="050000" w:fill="auto"/>
        </w:rPr>
        <w:t xml:space="preserve">方式：供应商登陆政采云平台http://www.zcygov.cn/，在线申请获取采购文件（登录政府采购云平台 → 项目采购 → 获取采购文件 → 申请，审核通过后可下载招标文件，如有操作性问题，可与政采云在线客服进行咨询，咨询电话：400-881-7190）；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kern w:val="0"/>
          <w:sz w:val="24"/>
          <w:highlight w:val="none"/>
        </w:rPr>
      </w:pPr>
      <w:r>
        <w:rPr>
          <w:rFonts w:hint="eastAsia" w:ascii="宋体" w:hAnsi="宋体" w:cs="Times New Roman"/>
          <w:sz w:val="24"/>
          <w:highlight w:val="none"/>
          <w:shd w:val="clear" w:color="050000" w:fill="auto"/>
        </w:rPr>
        <w:t>售价</w:t>
      </w:r>
      <w:r>
        <w:rPr>
          <w:rFonts w:hint="eastAsia" w:ascii="宋体" w:hAnsi="宋体" w:cs="Times New Roman"/>
          <w:sz w:val="24"/>
          <w:highlight w:val="none"/>
        </w:rPr>
        <w:t>：0元/本；</w:t>
      </w:r>
      <w:r>
        <w:rPr>
          <w:rFonts w:hint="eastAsia" w:ascii="宋体" w:hAnsi="宋体"/>
          <w:kern w:val="0"/>
          <w:sz w:val="24"/>
          <w:highlight w:val="none"/>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outlineLvl w:val="0"/>
        <w:rPr>
          <w:rFonts w:ascii="宋体" w:hAnsi="宋体"/>
          <w:b/>
          <w:bCs/>
          <w:kern w:val="0"/>
          <w:sz w:val="24"/>
          <w:highlight w:val="none"/>
        </w:rPr>
      </w:pPr>
      <w:bookmarkStart w:id="28" w:name="_Toc6913"/>
      <w:bookmarkStart w:id="29" w:name="_Toc4111"/>
      <w:bookmarkStart w:id="30" w:name="_Toc23957"/>
      <w:r>
        <w:rPr>
          <w:rFonts w:hint="eastAsia" w:ascii="宋体" w:hAnsi="宋体"/>
          <w:b/>
          <w:bCs/>
          <w:kern w:val="0"/>
          <w:sz w:val="24"/>
        </w:rPr>
        <w:t>四、提交投标文件截</w:t>
      </w:r>
      <w:r>
        <w:rPr>
          <w:rFonts w:hint="eastAsia" w:ascii="宋体" w:hAnsi="宋体"/>
          <w:b/>
          <w:bCs/>
          <w:kern w:val="0"/>
          <w:sz w:val="24"/>
          <w:highlight w:val="none"/>
        </w:rPr>
        <w:t>止时间、开标时间和地点</w:t>
      </w:r>
      <w:bookmarkEnd w:id="28"/>
      <w:bookmarkEnd w:id="29"/>
      <w:bookmarkEnd w:id="30"/>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kern w:val="0"/>
          <w:sz w:val="24"/>
          <w:highlight w:val="none"/>
        </w:rPr>
      </w:pPr>
      <w:r>
        <w:rPr>
          <w:rFonts w:hint="eastAsia" w:ascii="宋体" w:hAnsi="宋体"/>
          <w:kern w:val="0"/>
          <w:sz w:val="24"/>
          <w:highlight w:val="none"/>
        </w:rPr>
        <w:t>2022年</w:t>
      </w:r>
      <w:r>
        <w:rPr>
          <w:rFonts w:hint="eastAsia" w:ascii="宋体" w:hAnsi="宋体"/>
          <w:kern w:val="0"/>
          <w:sz w:val="24"/>
          <w:highlight w:val="none"/>
          <w:lang w:eastAsia="zh-CN"/>
        </w:rPr>
        <w:t>12月</w:t>
      </w:r>
      <w:r>
        <w:rPr>
          <w:rFonts w:hint="eastAsia" w:ascii="宋体" w:hAnsi="宋体"/>
          <w:kern w:val="0"/>
          <w:sz w:val="24"/>
          <w:highlight w:val="none"/>
          <w:lang w:val="en-US" w:eastAsia="zh-CN"/>
        </w:rPr>
        <w:t>09</w:t>
      </w:r>
      <w:r>
        <w:rPr>
          <w:rFonts w:hint="eastAsia" w:ascii="宋体" w:hAnsi="宋体"/>
          <w:kern w:val="0"/>
          <w:sz w:val="24"/>
          <w:highlight w:val="none"/>
          <w:lang w:eastAsia="zh-CN"/>
        </w:rPr>
        <w:t>日</w:t>
      </w:r>
      <w:r>
        <w:rPr>
          <w:rFonts w:hint="eastAsia" w:ascii="宋体" w:hAnsi="宋体"/>
          <w:kern w:val="0"/>
          <w:sz w:val="24"/>
          <w:highlight w:val="none"/>
          <w:lang w:val="en-US" w:eastAsia="zh-CN"/>
        </w:rPr>
        <w:t>11</w:t>
      </w:r>
      <w:r>
        <w:rPr>
          <w:rFonts w:hint="eastAsia" w:ascii="宋体" w:hAnsi="宋体"/>
          <w:kern w:val="0"/>
          <w:sz w:val="24"/>
          <w:highlight w:val="none"/>
          <w:lang w:eastAsia="zh-CN"/>
        </w:rPr>
        <w:t>点</w:t>
      </w:r>
      <w:r>
        <w:rPr>
          <w:rFonts w:hint="eastAsia" w:ascii="宋体" w:hAnsi="宋体"/>
          <w:kern w:val="0"/>
          <w:sz w:val="24"/>
          <w:highlight w:val="none"/>
          <w:lang w:val="en-US" w:eastAsia="zh-CN"/>
        </w:rPr>
        <w:t>0</w:t>
      </w:r>
      <w:r>
        <w:rPr>
          <w:rFonts w:hint="eastAsia" w:ascii="宋体" w:hAnsi="宋体"/>
          <w:kern w:val="0"/>
          <w:sz w:val="24"/>
          <w:highlight w:val="none"/>
          <w:lang w:eastAsia="zh-CN"/>
        </w:rPr>
        <w:t>0分</w:t>
      </w:r>
      <w:r>
        <w:rPr>
          <w:rFonts w:hint="eastAsia" w:ascii="宋体" w:hAnsi="宋体"/>
          <w:kern w:val="0"/>
          <w:sz w:val="24"/>
          <w:highlight w:val="none"/>
        </w:rPr>
        <w:t>（北京时间）；</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Times New Roman"/>
          <w:sz w:val="24"/>
          <w:highlight w:val="none"/>
          <w:shd w:val="clear" w:color="050000" w:fill="auto"/>
        </w:rPr>
      </w:pPr>
      <w:bookmarkStart w:id="31" w:name="_Toc25835"/>
      <w:r>
        <w:rPr>
          <w:rFonts w:ascii="宋体" w:hAnsi="宋体" w:cs="Times New Roman"/>
          <w:sz w:val="24"/>
          <w:highlight w:val="none"/>
          <w:shd w:val="clear" w:color="050000" w:fill="auto"/>
        </w:rPr>
        <w:t>提交投标文件截止时间：2022年</w:t>
      </w:r>
      <w:r>
        <w:rPr>
          <w:rFonts w:hint="eastAsia" w:ascii="宋体" w:hAnsi="宋体"/>
          <w:kern w:val="0"/>
          <w:sz w:val="24"/>
          <w:highlight w:val="none"/>
          <w:lang w:eastAsia="zh-CN"/>
        </w:rPr>
        <w:t>12月</w:t>
      </w:r>
      <w:r>
        <w:rPr>
          <w:rFonts w:hint="eastAsia" w:ascii="宋体" w:hAnsi="宋体"/>
          <w:kern w:val="0"/>
          <w:sz w:val="24"/>
          <w:highlight w:val="none"/>
          <w:lang w:val="en-US" w:eastAsia="zh-CN"/>
        </w:rPr>
        <w:t>09</w:t>
      </w:r>
      <w:r>
        <w:rPr>
          <w:rFonts w:hint="eastAsia" w:ascii="宋体" w:hAnsi="宋体"/>
          <w:kern w:val="0"/>
          <w:sz w:val="24"/>
          <w:highlight w:val="none"/>
          <w:lang w:eastAsia="zh-CN"/>
        </w:rPr>
        <w:t>日</w:t>
      </w:r>
      <w:r>
        <w:rPr>
          <w:rFonts w:hint="eastAsia" w:ascii="宋体" w:hAnsi="宋体"/>
          <w:kern w:val="0"/>
          <w:sz w:val="24"/>
          <w:highlight w:val="none"/>
          <w:lang w:val="en-US" w:eastAsia="zh-CN"/>
        </w:rPr>
        <w:t>11</w:t>
      </w:r>
      <w:r>
        <w:rPr>
          <w:rFonts w:hint="eastAsia" w:ascii="宋体" w:hAnsi="宋体"/>
          <w:kern w:val="0"/>
          <w:sz w:val="24"/>
          <w:highlight w:val="none"/>
          <w:lang w:eastAsia="zh-CN"/>
        </w:rPr>
        <w:t>点</w:t>
      </w:r>
      <w:r>
        <w:rPr>
          <w:rFonts w:hint="eastAsia" w:ascii="宋体" w:hAnsi="宋体"/>
          <w:kern w:val="0"/>
          <w:sz w:val="24"/>
          <w:highlight w:val="none"/>
          <w:lang w:val="en-US" w:eastAsia="zh-CN"/>
        </w:rPr>
        <w:t>0</w:t>
      </w:r>
      <w:r>
        <w:rPr>
          <w:rFonts w:hint="eastAsia" w:ascii="宋体" w:hAnsi="宋体"/>
          <w:kern w:val="0"/>
          <w:sz w:val="24"/>
          <w:highlight w:val="none"/>
          <w:lang w:eastAsia="zh-CN"/>
        </w:rPr>
        <w:t>0分</w:t>
      </w:r>
      <w:r>
        <w:rPr>
          <w:rFonts w:hint="eastAsia" w:ascii="宋体" w:hAnsi="宋体"/>
          <w:kern w:val="0"/>
          <w:sz w:val="24"/>
          <w:highlight w:val="none"/>
        </w:rPr>
        <w:t>（北京时间</w:t>
      </w:r>
      <w:r>
        <w:rPr>
          <w:rFonts w:hint="eastAsia" w:ascii="宋体" w:hAnsi="宋体"/>
          <w:kern w:val="0"/>
          <w:sz w:val="24"/>
          <w:highlight w:val="none"/>
          <w:lang w:eastAsia="zh-CN"/>
        </w:rPr>
        <w:t>）</w:t>
      </w:r>
      <w:r>
        <w:rPr>
          <w:rFonts w:hint="eastAsia" w:ascii="宋体" w:hAnsi="宋体" w:cs="Times New Roman"/>
          <w:sz w:val="24"/>
          <w:highlight w:val="none"/>
          <w:shd w:val="clear" w:color="050000" w:fill="auto"/>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Times New Roman"/>
          <w:sz w:val="24"/>
          <w:highlight w:val="none"/>
          <w:shd w:val="clear" w:color="050000" w:fill="auto"/>
        </w:rPr>
      </w:pPr>
      <w:r>
        <w:rPr>
          <w:rFonts w:ascii="宋体" w:hAnsi="宋体" w:cs="Times New Roman"/>
          <w:sz w:val="24"/>
          <w:highlight w:val="none"/>
          <w:shd w:val="clear" w:color="050000" w:fill="auto"/>
        </w:rPr>
        <w:t>投标地点：</w:t>
      </w:r>
      <w:r>
        <w:rPr>
          <w:rFonts w:hint="eastAsia" w:ascii="宋体" w:hAnsi="宋体" w:cs="Times New Roman"/>
          <w:bCs/>
          <w:sz w:val="24"/>
          <w:szCs w:val="20"/>
          <w:highlight w:val="none"/>
          <w:shd w:val="clear" w:color="050000" w:fill="auto"/>
        </w:rPr>
        <w:t>政采云平台客户端投标；</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Times New Roman"/>
          <w:sz w:val="24"/>
          <w:highlight w:val="none"/>
          <w:shd w:val="clear" w:color="050000" w:fill="auto"/>
        </w:rPr>
      </w:pPr>
      <w:r>
        <w:rPr>
          <w:rFonts w:ascii="宋体" w:hAnsi="宋体" w:cs="Times New Roman"/>
          <w:sz w:val="24"/>
          <w:highlight w:val="none"/>
          <w:shd w:val="clear" w:color="050000" w:fill="auto"/>
        </w:rPr>
        <w:t>开标时间：2022年</w:t>
      </w:r>
      <w:r>
        <w:rPr>
          <w:rFonts w:hint="eastAsia" w:ascii="宋体" w:hAnsi="宋体"/>
          <w:kern w:val="0"/>
          <w:sz w:val="24"/>
          <w:highlight w:val="none"/>
          <w:lang w:eastAsia="zh-CN"/>
        </w:rPr>
        <w:t>12月</w:t>
      </w:r>
      <w:r>
        <w:rPr>
          <w:rFonts w:hint="eastAsia" w:ascii="宋体" w:hAnsi="宋体"/>
          <w:kern w:val="0"/>
          <w:sz w:val="24"/>
          <w:highlight w:val="none"/>
          <w:lang w:val="en-US" w:eastAsia="zh-CN"/>
        </w:rPr>
        <w:t>09</w:t>
      </w:r>
      <w:r>
        <w:rPr>
          <w:rFonts w:hint="eastAsia" w:ascii="宋体" w:hAnsi="宋体"/>
          <w:kern w:val="0"/>
          <w:sz w:val="24"/>
          <w:highlight w:val="none"/>
          <w:lang w:eastAsia="zh-CN"/>
        </w:rPr>
        <w:t>日</w:t>
      </w:r>
      <w:r>
        <w:rPr>
          <w:rFonts w:hint="eastAsia" w:ascii="宋体" w:hAnsi="宋体"/>
          <w:kern w:val="0"/>
          <w:sz w:val="24"/>
          <w:highlight w:val="none"/>
          <w:lang w:val="en-US" w:eastAsia="zh-CN"/>
        </w:rPr>
        <w:t>11</w:t>
      </w:r>
      <w:r>
        <w:rPr>
          <w:rFonts w:hint="eastAsia" w:ascii="宋体" w:hAnsi="宋体"/>
          <w:kern w:val="0"/>
          <w:sz w:val="24"/>
          <w:highlight w:val="none"/>
          <w:lang w:eastAsia="zh-CN"/>
        </w:rPr>
        <w:t>点</w:t>
      </w:r>
      <w:r>
        <w:rPr>
          <w:rFonts w:hint="eastAsia" w:ascii="宋体" w:hAnsi="宋体"/>
          <w:kern w:val="0"/>
          <w:sz w:val="24"/>
          <w:highlight w:val="none"/>
          <w:lang w:val="en-US" w:eastAsia="zh-CN"/>
        </w:rPr>
        <w:t>00</w:t>
      </w:r>
      <w:r>
        <w:rPr>
          <w:rFonts w:hint="eastAsia" w:ascii="宋体" w:hAnsi="宋体"/>
          <w:kern w:val="0"/>
          <w:sz w:val="24"/>
          <w:highlight w:val="none"/>
          <w:lang w:eastAsia="zh-CN"/>
        </w:rPr>
        <w:t>分</w:t>
      </w:r>
      <w:r>
        <w:rPr>
          <w:rFonts w:hint="eastAsia" w:ascii="宋体" w:hAnsi="宋体"/>
          <w:kern w:val="0"/>
          <w:sz w:val="24"/>
          <w:highlight w:val="none"/>
        </w:rPr>
        <w:t>（北京时间</w:t>
      </w:r>
      <w:r>
        <w:rPr>
          <w:rFonts w:hint="eastAsia" w:ascii="宋体" w:hAnsi="宋体"/>
          <w:kern w:val="0"/>
          <w:sz w:val="24"/>
          <w:highlight w:val="none"/>
          <w:lang w:eastAsia="zh-CN"/>
        </w:rPr>
        <w:t>）</w:t>
      </w:r>
      <w:r>
        <w:rPr>
          <w:rFonts w:hint="eastAsia" w:ascii="宋体" w:hAnsi="宋体" w:cs="Times New Roman"/>
          <w:sz w:val="24"/>
          <w:highlight w:val="none"/>
          <w:shd w:val="clear" w:color="050000" w:fill="auto"/>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Times New Roman"/>
          <w:sz w:val="24"/>
          <w:highlight w:val="none"/>
          <w:shd w:val="clear" w:color="050000" w:fill="auto"/>
        </w:rPr>
      </w:pPr>
      <w:r>
        <w:rPr>
          <w:rFonts w:ascii="宋体" w:hAnsi="宋体" w:cs="Times New Roman"/>
          <w:sz w:val="24"/>
          <w:highlight w:val="none"/>
          <w:shd w:val="clear" w:color="050000" w:fill="auto"/>
        </w:rPr>
        <w:t>开标地点</w:t>
      </w:r>
      <w:r>
        <w:rPr>
          <w:rFonts w:hint="eastAsia" w:ascii="宋体" w:hAnsi="宋体" w:cs="Times New Roman"/>
          <w:bCs/>
          <w:sz w:val="24"/>
          <w:szCs w:val="20"/>
          <w:highlight w:val="none"/>
          <w:shd w:val="clear" w:color="050000" w:fill="auto"/>
        </w:rPr>
        <w:t>：政采云电子开标大厅；</w:t>
      </w:r>
    </w:p>
    <w:p>
      <w:pPr>
        <w:keepNext w:val="0"/>
        <w:keepLines w:val="0"/>
        <w:pageBreakBefore w:val="0"/>
        <w:widowControl/>
        <w:numPr>
          <w:ilvl w:val="0"/>
          <w:numId w:val="4"/>
        </w:numPr>
        <w:tabs>
          <w:tab w:val="left" w:pos="4980"/>
          <w:tab w:val="right" w:pos="8312"/>
        </w:tabs>
        <w:kinsoku/>
        <w:wordWrap/>
        <w:overflowPunct/>
        <w:topLinePunct w:val="0"/>
        <w:autoSpaceDE/>
        <w:autoSpaceDN/>
        <w:bidi w:val="0"/>
        <w:adjustRightInd/>
        <w:snapToGrid/>
        <w:spacing w:line="440" w:lineRule="exact"/>
        <w:ind w:firstLine="482" w:firstLineChars="200"/>
        <w:jc w:val="left"/>
        <w:textAlignment w:val="auto"/>
        <w:outlineLvl w:val="0"/>
        <w:rPr>
          <w:rFonts w:ascii="宋体" w:hAnsi="宋体"/>
          <w:b/>
          <w:bCs/>
          <w:kern w:val="0"/>
          <w:sz w:val="24"/>
          <w:highlight w:val="none"/>
        </w:rPr>
      </w:pPr>
      <w:bookmarkStart w:id="32" w:name="_Toc7543"/>
      <w:bookmarkStart w:id="33" w:name="_Toc6326"/>
      <w:r>
        <w:rPr>
          <w:rFonts w:hint="eastAsia" w:ascii="宋体" w:hAnsi="宋体"/>
          <w:b/>
          <w:bCs/>
          <w:kern w:val="0"/>
          <w:sz w:val="24"/>
          <w:highlight w:val="none"/>
        </w:rPr>
        <w:t>招标公告期限：</w:t>
      </w:r>
      <w:bookmarkEnd w:id="31"/>
      <w:bookmarkEnd w:id="32"/>
      <w:bookmarkEnd w:id="33"/>
    </w:p>
    <w:p>
      <w:pPr>
        <w:keepNext w:val="0"/>
        <w:keepLines w:val="0"/>
        <w:pageBreakBefore w:val="0"/>
        <w:widowControl/>
        <w:tabs>
          <w:tab w:val="left" w:pos="4980"/>
          <w:tab w:val="right" w:pos="8312"/>
        </w:tabs>
        <w:kinsoku/>
        <w:wordWrap/>
        <w:overflowPunct/>
        <w:topLinePunct w:val="0"/>
        <w:autoSpaceDE/>
        <w:autoSpaceDN/>
        <w:bidi w:val="0"/>
        <w:adjustRightInd/>
        <w:snapToGrid/>
        <w:spacing w:line="440" w:lineRule="exact"/>
        <w:ind w:firstLine="480" w:firstLineChars="200"/>
        <w:jc w:val="left"/>
        <w:textAlignment w:val="auto"/>
        <w:rPr>
          <w:rFonts w:ascii="宋体" w:hAnsi="宋体"/>
          <w:kern w:val="0"/>
          <w:sz w:val="24"/>
          <w:highlight w:val="none"/>
        </w:rPr>
      </w:pPr>
      <w:r>
        <w:rPr>
          <w:rFonts w:hint="eastAsia" w:ascii="宋体" w:hAnsi="宋体"/>
          <w:kern w:val="0"/>
          <w:sz w:val="24"/>
          <w:highlight w:val="none"/>
        </w:rPr>
        <w:t>自本公告发出之日起5个工作日</w:t>
      </w:r>
    </w:p>
    <w:p>
      <w:pPr>
        <w:widowControl/>
        <w:tabs>
          <w:tab w:val="left" w:pos="4980"/>
          <w:tab w:val="right" w:pos="8312"/>
        </w:tabs>
        <w:spacing w:line="460" w:lineRule="exact"/>
        <w:ind w:firstLine="482" w:firstLineChars="200"/>
        <w:jc w:val="left"/>
        <w:outlineLvl w:val="0"/>
        <w:rPr>
          <w:rFonts w:ascii="宋体" w:hAnsi="宋体"/>
          <w:b/>
          <w:bCs/>
          <w:kern w:val="0"/>
          <w:sz w:val="24"/>
          <w:highlight w:val="none"/>
        </w:rPr>
      </w:pPr>
      <w:bookmarkStart w:id="34" w:name="_Toc15954"/>
      <w:bookmarkStart w:id="35" w:name="_Toc22988"/>
      <w:bookmarkStart w:id="36" w:name="_Toc31560"/>
      <w:r>
        <w:rPr>
          <w:rFonts w:hint="eastAsia" w:ascii="宋体" w:hAnsi="宋体"/>
          <w:b/>
          <w:bCs/>
          <w:kern w:val="0"/>
          <w:sz w:val="24"/>
          <w:highlight w:val="none"/>
        </w:rPr>
        <w:t>六、其他补充事宜</w:t>
      </w:r>
      <w:bookmarkEnd w:id="34"/>
      <w:bookmarkEnd w:id="35"/>
      <w:bookmarkEnd w:id="36"/>
    </w:p>
    <w:p>
      <w:pPr>
        <w:spacing w:line="440" w:lineRule="exact"/>
        <w:ind w:firstLine="480" w:firstLineChars="200"/>
        <w:rPr>
          <w:rFonts w:hint="eastAsia" w:ascii="宋体" w:hAnsi="宋体" w:cs="Times New Roman"/>
          <w:bCs/>
          <w:sz w:val="24"/>
          <w:szCs w:val="20"/>
          <w:highlight w:val="none"/>
          <w:shd w:val="clear" w:color="050000" w:fill="auto"/>
          <w:lang w:eastAsia="zh-CN"/>
        </w:rPr>
      </w:pPr>
      <w:bookmarkStart w:id="37" w:name="_Toc10170"/>
      <w:r>
        <w:rPr>
          <w:rFonts w:hint="eastAsia" w:ascii="宋体" w:hAnsi="宋体" w:cs="Times New Roman"/>
          <w:bCs/>
          <w:sz w:val="24"/>
          <w:szCs w:val="20"/>
          <w:highlight w:val="none"/>
          <w:shd w:val="clear" w:color="050000" w:fill="auto"/>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spacing w:line="440" w:lineRule="exact"/>
        <w:ind w:firstLine="480" w:firstLineChars="200"/>
        <w:rPr>
          <w:rFonts w:hint="eastAsia" w:ascii="宋体" w:hAnsi="宋体" w:cs="Times New Roman"/>
          <w:bCs/>
          <w:sz w:val="24"/>
          <w:szCs w:val="20"/>
          <w:highlight w:val="none"/>
          <w:shd w:val="clear" w:color="050000" w:fill="auto"/>
          <w:lang w:eastAsia="zh-CN"/>
        </w:rPr>
      </w:pPr>
      <w:r>
        <w:rPr>
          <w:rFonts w:hint="eastAsia" w:ascii="宋体" w:hAnsi="宋体" w:cs="Times New Roman"/>
          <w:bCs/>
          <w:sz w:val="24"/>
          <w:szCs w:val="20"/>
          <w:highlight w:val="none"/>
          <w:shd w:val="clear" w:color="050000" w:fill="auto"/>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line="440" w:lineRule="exact"/>
        <w:ind w:firstLine="480" w:firstLineChars="200"/>
        <w:rPr>
          <w:rFonts w:hint="eastAsia" w:ascii="宋体" w:hAnsi="宋体" w:cs="Times New Roman"/>
          <w:bCs/>
          <w:sz w:val="24"/>
          <w:szCs w:val="20"/>
          <w:highlight w:val="none"/>
          <w:shd w:val="clear" w:color="050000" w:fill="auto"/>
          <w:lang w:eastAsia="zh-CN"/>
        </w:rPr>
      </w:pPr>
      <w:r>
        <w:rPr>
          <w:rFonts w:hint="eastAsia" w:ascii="宋体" w:hAnsi="宋体" w:cs="Times New Roman"/>
          <w:bCs/>
          <w:sz w:val="24"/>
          <w:szCs w:val="20"/>
          <w:highlight w:val="none"/>
          <w:shd w:val="clear" w:color="050000" w:fill="auto"/>
        </w:rPr>
        <w:t>3、供应商应当在投标截止时间前，将“电子招投标供应商客户端”生成的“电子加密投标文件”上传电子交易平台。</w:t>
      </w:r>
    </w:p>
    <w:p>
      <w:pPr>
        <w:spacing w:line="440" w:lineRule="exact"/>
        <w:ind w:firstLine="480" w:firstLineChars="200"/>
        <w:rPr>
          <w:rFonts w:hint="eastAsia" w:ascii="宋体" w:hAnsi="宋体" w:cs="Times New Roman"/>
          <w:bCs/>
          <w:sz w:val="24"/>
          <w:szCs w:val="20"/>
          <w:highlight w:val="none"/>
          <w:shd w:val="clear" w:color="050000" w:fill="auto"/>
        </w:rPr>
      </w:pPr>
      <w:r>
        <w:rPr>
          <w:rFonts w:hint="eastAsia" w:ascii="宋体" w:hAnsi="宋体" w:cs="Times New Roman"/>
          <w:bCs/>
          <w:sz w:val="24"/>
          <w:szCs w:val="20"/>
          <w:highlight w:val="none"/>
          <w:shd w:val="clear" w:color="050000" w:fill="auto"/>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 </w:t>
      </w:r>
    </w:p>
    <w:p>
      <w:pPr>
        <w:widowControl/>
        <w:tabs>
          <w:tab w:val="left" w:pos="4980"/>
          <w:tab w:val="right" w:pos="8312"/>
        </w:tabs>
        <w:spacing w:line="460" w:lineRule="exact"/>
        <w:ind w:firstLine="414" w:firstLineChars="200"/>
        <w:jc w:val="left"/>
        <w:outlineLvl w:val="0"/>
        <w:rPr>
          <w:rFonts w:ascii="宋体" w:hAnsi="宋体"/>
          <w:b/>
          <w:bCs/>
          <w:kern w:val="0"/>
          <w:sz w:val="24"/>
          <w:highlight w:val="none"/>
        </w:rPr>
      </w:pPr>
      <w:bookmarkStart w:id="38" w:name="_Toc16574"/>
      <w:bookmarkStart w:id="39" w:name="_Toc5857"/>
      <w:r>
        <w:rPr>
          <w:rFonts w:hint="eastAsia" w:ascii="宋体" w:hAnsi="宋体"/>
          <w:b/>
          <w:bCs/>
          <w:spacing w:val="-17"/>
          <w:kern w:val="0"/>
          <w:sz w:val="24"/>
          <w:szCs w:val="24"/>
          <w:highlight w:val="none"/>
        </w:rPr>
        <w:t>七、</w:t>
      </w:r>
      <w:r>
        <w:rPr>
          <w:rFonts w:hint="eastAsia" w:ascii="宋体" w:hAnsi="宋体"/>
          <w:b/>
          <w:bCs/>
          <w:kern w:val="0"/>
          <w:sz w:val="24"/>
          <w:szCs w:val="24"/>
          <w:highlight w:val="none"/>
        </w:rPr>
        <w:t>联系方式：</w:t>
      </w:r>
      <w:bookmarkEnd w:id="37"/>
      <w:bookmarkEnd w:id="38"/>
      <w:bookmarkEnd w:id="39"/>
      <w:bookmarkStart w:id="361" w:name="_GoBack"/>
      <w:bookmarkEnd w:id="361"/>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rPr>
      </w:pPr>
      <w:r>
        <w:rPr>
          <w:rFonts w:hint="eastAsia" w:ascii="宋体" w:hAnsi="宋体"/>
          <w:kern w:val="0"/>
          <w:sz w:val="24"/>
          <w:shd w:val="clear" w:color="050000" w:fill="auto"/>
        </w:rPr>
        <w:t>1.采购人信息</w:t>
      </w:r>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lang w:eastAsia="zh-CN"/>
        </w:rPr>
      </w:pPr>
      <w:r>
        <w:rPr>
          <w:rFonts w:hint="eastAsia" w:ascii="宋体" w:hAnsi="宋体"/>
          <w:kern w:val="0"/>
          <w:sz w:val="24"/>
          <w:shd w:val="clear" w:color="050000" w:fill="auto"/>
        </w:rPr>
        <w:t>名 称：</w:t>
      </w:r>
      <w:r>
        <w:rPr>
          <w:rFonts w:hint="eastAsia" w:ascii="宋体" w:hAnsi="宋体"/>
          <w:kern w:val="0"/>
          <w:sz w:val="24"/>
          <w:shd w:val="clear" w:color="050000" w:fill="auto"/>
          <w:lang w:eastAsia="zh-CN"/>
        </w:rPr>
        <w:t>新疆伊犁国家农业科技园区管理委员会</w:t>
      </w:r>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lang w:val="en-US" w:eastAsia="zh-CN"/>
        </w:rPr>
      </w:pPr>
      <w:r>
        <w:rPr>
          <w:rFonts w:hint="eastAsia" w:ascii="宋体" w:hAnsi="宋体"/>
          <w:kern w:val="0"/>
          <w:sz w:val="24"/>
          <w:shd w:val="clear" w:color="050000" w:fill="auto"/>
        </w:rPr>
        <w:t>联系方式：</w:t>
      </w:r>
      <w:r>
        <w:rPr>
          <w:rFonts w:hint="eastAsia" w:ascii="宋体" w:hAnsi="宋体"/>
          <w:kern w:val="0"/>
          <w:sz w:val="24"/>
          <w:shd w:val="clear" w:color="050000" w:fill="auto"/>
          <w:lang w:val="en-US" w:eastAsia="zh-CN"/>
        </w:rPr>
        <w:t>高工  15569270001</w:t>
      </w:r>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rPr>
      </w:pPr>
      <w:r>
        <w:rPr>
          <w:rFonts w:hint="eastAsia" w:ascii="宋体" w:hAnsi="宋体"/>
          <w:kern w:val="0"/>
          <w:sz w:val="24"/>
          <w:shd w:val="clear" w:color="050000" w:fill="auto"/>
        </w:rPr>
        <w:t>2.采购代理机构信息</w:t>
      </w:r>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lang w:eastAsia="zh-CN"/>
        </w:rPr>
      </w:pPr>
      <w:r>
        <w:rPr>
          <w:rFonts w:hint="eastAsia" w:ascii="宋体" w:hAnsi="宋体"/>
          <w:kern w:val="0"/>
          <w:sz w:val="24"/>
          <w:shd w:val="clear" w:color="050000" w:fill="auto"/>
        </w:rPr>
        <w:t>名 称：</w:t>
      </w:r>
      <w:r>
        <w:rPr>
          <w:rFonts w:hint="eastAsia" w:ascii="宋体" w:hAnsi="宋体"/>
          <w:kern w:val="0"/>
          <w:sz w:val="24"/>
          <w:shd w:val="clear" w:color="050000" w:fill="auto"/>
          <w:lang w:eastAsia="zh-CN"/>
        </w:rPr>
        <w:t>新疆华域建设工程项目管理咨询有限公司</w:t>
      </w:r>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lang w:eastAsia="zh-CN"/>
        </w:rPr>
      </w:pPr>
      <w:r>
        <w:rPr>
          <w:rFonts w:hint="eastAsia" w:ascii="宋体" w:hAnsi="宋体"/>
          <w:kern w:val="0"/>
          <w:sz w:val="24"/>
          <w:shd w:val="clear" w:color="050000" w:fill="auto"/>
        </w:rPr>
        <w:t>地 址：</w:t>
      </w:r>
      <w:r>
        <w:rPr>
          <w:rFonts w:hint="eastAsia" w:ascii="宋体" w:hAnsi="宋体"/>
          <w:kern w:val="0"/>
          <w:sz w:val="24"/>
          <w:shd w:val="clear" w:color="050000" w:fill="auto"/>
          <w:lang w:eastAsia="zh-CN"/>
        </w:rPr>
        <w:t>伊宁市经济合作区北京路一品墅新房大厦10楼1004号</w:t>
      </w:r>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rPr>
      </w:pPr>
      <w:r>
        <w:rPr>
          <w:rFonts w:hint="eastAsia" w:ascii="宋体" w:hAnsi="宋体"/>
          <w:kern w:val="0"/>
          <w:sz w:val="24"/>
          <w:shd w:val="clear" w:color="050000" w:fill="auto"/>
        </w:rPr>
        <w:t>3.项目联系方式</w:t>
      </w:r>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lang w:val="en-US" w:eastAsia="zh-CN"/>
        </w:rPr>
      </w:pPr>
      <w:r>
        <w:rPr>
          <w:rFonts w:hint="eastAsia" w:ascii="宋体" w:hAnsi="宋体"/>
          <w:kern w:val="0"/>
          <w:sz w:val="24"/>
          <w:shd w:val="clear" w:color="050000" w:fill="auto"/>
        </w:rPr>
        <w:t>项目联系人：</w:t>
      </w:r>
      <w:r>
        <w:rPr>
          <w:rFonts w:hint="eastAsia" w:ascii="宋体" w:hAnsi="宋体"/>
          <w:kern w:val="0"/>
          <w:sz w:val="24"/>
          <w:shd w:val="clear" w:color="050000" w:fill="auto"/>
          <w:lang w:val="en-US" w:eastAsia="zh-CN"/>
        </w:rPr>
        <w:t>朱工</w:t>
      </w:r>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lang w:val="en-US" w:eastAsia="zh-CN"/>
        </w:rPr>
      </w:pPr>
      <w:r>
        <w:rPr>
          <w:rFonts w:hint="eastAsia" w:ascii="宋体" w:hAnsi="宋体"/>
          <w:kern w:val="0"/>
          <w:sz w:val="24"/>
          <w:shd w:val="clear" w:color="050000" w:fill="auto"/>
        </w:rPr>
        <w:t>电 话：19309999018</w:t>
      </w:r>
      <w:r>
        <w:rPr>
          <w:rFonts w:hint="eastAsia" w:ascii="宋体" w:hAnsi="宋体"/>
          <w:kern w:val="0"/>
          <w:sz w:val="24"/>
          <w:shd w:val="clear" w:color="050000" w:fill="auto"/>
          <w:lang w:val="en-US" w:eastAsia="zh-CN"/>
        </w:rPr>
        <w:t xml:space="preserve"> </w:t>
      </w:r>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lang w:val="en-US" w:eastAsia="zh-CN"/>
        </w:rPr>
      </w:pPr>
      <w:r>
        <w:rPr>
          <w:rFonts w:hint="eastAsia" w:ascii="宋体" w:hAnsi="宋体"/>
          <w:kern w:val="0"/>
          <w:sz w:val="24"/>
          <w:shd w:val="clear" w:color="050000" w:fill="auto"/>
          <w:lang w:val="en-US" w:eastAsia="zh-CN"/>
        </w:rPr>
        <w:t>4.同级政府采购监督管理部门名称：伊犁州财政局国库处 </w:t>
      </w:r>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lang w:val="en-US" w:eastAsia="zh-CN"/>
        </w:rPr>
      </w:pPr>
      <w:r>
        <w:rPr>
          <w:rFonts w:hint="eastAsia" w:ascii="宋体" w:hAnsi="宋体"/>
          <w:kern w:val="0"/>
          <w:sz w:val="24"/>
          <w:shd w:val="clear" w:color="050000" w:fill="auto"/>
          <w:lang w:val="en-US" w:eastAsia="zh-CN"/>
        </w:rPr>
        <w:t>联系人：赵文君 </w:t>
      </w:r>
    </w:p>
    <w:p>
      <w:pPr>
        <w:widowControl/>
        <w:tabs>
          <w:tab w:val="left" w:pos="4980"/>
          <w:tab w:val="right" w:pos="8312"/>
        </w:tabs>
        <w:spacing w:line="460" w:lineRule="exact"/>
        <w:ind w:firstLine="480" w:firstLineChars="200"/>
        <w:jc w:val="left"/>
        <w:rPr>
          <w:rFonts w:hint="eastAsia" w:ascii="宋体" w:hAnsi="宋体"/>
          <w:kern w:val="0"/>
          <w:sz w:val="24"/>
          <w:shd w:val="clear" w:color="050000" w:fill="auto"/>
        </w:rPr>
      </w:pPr>
      <w:r>
        <w:rPr>
          <w:rFonts w:hint="eastAsia" w:ascii="宋体" w:hAnsi="宋体"/>
          <w:kern w:val="0"/>
          <w:sz w:val="24"/>
          <w:shd w:val="clear" w:color="050000" w:fill="auto"/>
          <w:lang w:val="en-US" w:eastAsia="zh-CN"/>
        </w:rPr>
        <w:t>监督投诉电话：0999-8075070</w:t>
      </w: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20"/>
        <w:textAlignment w:val="auto"/>
        <w:rPr>
          <w:rFonts w:hint="eastAsia" w:ascii="宋体" w:hAnsi="宋体" w:eastAsia="宋体" w:cs="宋体"/>
          <w:kern w:val="2"/>
          <w:sz w:val="24"/>
          <w:szCs w:val="24"/>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kern w:val="2"/>
          <w:sz w:val="27"/>
          <w:szCs w:val="27"/>
          <w:lang w:val="en-US" w:eastAsia="zh-CN" w:bidi="ar-SA"/>
        </w:rPr>
      </w:pP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宋体" w:hAnsi="宋体" w:eastAsia="宋体" w:cs="宋体"/>
          <w:kern w:val="2"/>
          <w:sz w:val="27"/>
          <w:szCs w:val="27"/>
          <w:lang w:val="en-US" w:eastAsia="zh-CN" w:bidi="ar-SA"/>
        </w:rPr>
      </w:pPr>
    </w:p>
    <w:p>
      <w:pPr>
        <w:pStyle w:val="4"/>
        <w:numPr>
          <w:ilvl w:val="0"/>
          <w:numId w:val="0"/>
        </w:numPr>
        <w:spacing w:line="240" w:lineRule="atLeast"/>
        <w:jc w:val="center"/>
        <w:rPr>
          <w:rFonts w:hint="eastAsia" w:ascii="宋体" w:hAnsi="宋体" w:eastAsia="宋体" w:cs="宋体"/>
          <w:sz w:val="36"/>
          <w:szCs w:val="36"/>
        </w:rPr>
      </w:pPr>
      <w:bookmarkStart w:id="40" w:name="_Toc15515"/>
      <w:r>
        <w:rPr>
          <w:rFonts w:hint="eastAsia" w:ascii="宋体" w:hAnsi="宋体" w:eastAsia="宋体" w:cs="宋体"/>
          <w:sz w:val="36"/>
          <w:szCs w:val="36"/>
          <w:lang w:val="en-US" w:eastAsia="zh-CN"/>
        </w:rPr>
        <w:t xml:space="preserve">第二章 </w:t>
      </w:r>
      <w:r>
        <w:rPr>
          <w:rFonts w:hint="eastAsia" w:ascii="宋体" w:hAnsi="宋体" w:eastAsia="宋体" w:cs="宋体"/>
          <w:sz w:val="36"/>
          <w:szCs w:val="36"/>
          <w:lang w:eastAsia="zh-CN"/>
        </w:rPr>
        <w:t>投标人</w:t>
      </w:r>
      <w:r>
        <w:rPr>
          <w:rFonts w:hint="eastAsia" w:ascii="宋体" w:hAnsi="宋体" w:eastAsia="宋体" w:cs="宋体"/>
          <w:sz w:val="36"/>
          <w:szCs w:val="36"/>
        </w:rPr>
        <w:t>须知</w:t>
      </w:r>
      <w:bookmarkEnd w:id="2"/>
      <w:bookmarkEnd w:id="3"/>
      <w:bookmarkEnd w:id="4"/>
      <w:bookmarkEnd w:id="11"/>
      <w:bookmarkEnd w:id="12"/>
      <w:bookmarkEnd w:id="13"/>
      <w:bookmarkEnd w:id="14"/>
      <w:bookmarkEnd w:id="40"/>
      <w:bookmarkStart w:id="41" w:name="_Toc184283909"/>
      <w:bookmarkStart w:id="42" w:name="_Toc184274915"/>
      <w:bookmarkStart w:id="43" w:name="_Toc213397010"/>
      <w:bookmarkStart w:id="44" w:name="_Toc279996678"/>
      <w:bookmarkStart w:id="45" w:name="_Toc217446032"/>
      <w:bookmarkStart w:id="46" w:name="_Toc189727030"/>
      <w:bookmarkStart w:id="47" w:name="_Toc213396760"/>
      <w:bookmarkStart w:id="48" w:name="_Toc213496268"/>
      <w:bookmarkStart w:id="49" w:name="_Toc213396946"/>
      <w:bookmarkStart w:id="50" w:name="_Toc89075871"/>
      <w:bookmarkStart w:id="51" w:name="_Toc183582202"/>
      <w:bookmarkStart w:id="52" w:name="_Toc77400776"/>
      <w:bookmarkStart w:id="53" w:name="_Toc183682339"/>
    </w:p>
    <w:p>
      <w:pPr>
        <w:pStyle w:val="4"/>
        <w:spacing w:line="240" w:lineRule="atLeast"/>
        <w:jc w:val="center"/>
        <w:rPr>
          <w:rFonts w:hint="eastAsia" w:ascii="宋体" w:hAnsi="宋体" w:eastAsia="宋体" w:cs="宋体"/>
        </w:rPr>
      </w:pPr>
      <w:bookmarkStart w:id="54" w:name="_Toc6917"/>
      <w:bookmarkStart w:id="55" w:name="_Toc18802"/>
      <w:bookmarkStart w:id="56" w:name="_Toc28745"/>
      <w:bookmarkStart w:id="57" w:name="_Toc13682"/>
      <w:bookmarkStart w:id="58" w:name="_Toc23180"/>
      <w:r>
        <w:rPr>
          <w:rFonts w:hint="eastAsia" w:ascii="宋体" w:hAnsi="宋体" w:eastAsia="宋体" w:cs="宋体"/>
          <w:lang w:eastAsia="zh-CN"/>
        </w:rPr>
        <w:t>投标人</w:t>
      </w:r>
      <w:r>
        <w:rPr>
          <w:rFonts w:hint="eastAsia" w:ascii="宋体" w:hAnsi="宋体" w:eastAsia="宋体" w:cs="宋体"/>
        </w:rPr>
        <w:t>须知前附表</w:t>
      </w:r>
      <w:bookmarkEnd w:id="41"/>
      <w:bookmarkEnd w:id="42"/>
      <w:bookmarkEnd w:id="43"/>
      <w:bookmarkEnd w:id="44"/>
      <w:bookmarkEnd w:id="45"/>
      <w:bookmarkEnd w:id="46"/>
      <w:bookmarkEnd w:id="47"/>
      <w:bookmarkEnd w:id="48"/>
      <w:bookmarkEnd w:id="49"/>
      <w:bookmarkEnd w:id="54"/>
      <w:bookmarkEnd w:id="55"/>
      <w:bookmarkEnd w:id="56"/>
      <w:bookmarkEnd w:id="57"/>
      <w:bookmarkEnd w:id="58"/>
    </w:p>
    <w:tbl>
      <w:tblPr>
        <w:tblStyle w:val="38"/>
        <w:tblW w:w="98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97"/>
        <w:gridCol w:w="2561"/>
        <w:gridCol w:w="60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1"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条款号</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条款名称</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编列内容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exact"/>
          <w:jc w:val="center"/>
        </w:trPr>
        <w:tc>
          <w:tcPr>
            <w:tcW w:w="9870" w:type="dxa"/>
            <w:gridSpan w:val="3"/>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一、总则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7" w:hRule="atLeas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eastAsia="宋体" w:cs="宋体"/>
                <w:b w:val="0"/>
                <w:bCs w:val="0"/>
                <w:i w:val="0"/>
                <w:iCs w:val="0"/>
                <w:sz w:val="24"/>
                <w:szCs w:val="24"/>
                <w:lang w:eastAsia="zh-CN"/>
              </w:rPr>
              <w:t>农业科技智能温室附属设施配套项目-科技创区水网改造提升项目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9" w:hRule="atLeas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项目内容</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科技创区水网改造提升项目（具体内容详见招标文件）。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6" w:hRule="atLeas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项目要求（谈判范围）</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全套施工图、</w:t>
            </w:r>
            <w:r>
              <w:rPr>
                <w:rFonts w:hint="eastAsia" w:ascii="宋体" w:hAnsi="宋体" w:eastAsia="宋体" w:cs="宋体"/>
                <w:sz w:val="24"/>
                <w:szCs w:val="24"/>
                <w:lang w:eastAsia="zh-CN"/>
              </w:rPr>
              <w:t>采购</w:t>
            </w:r>
            <w:r>
              <w:rPr>
                <w:rFonts w:hint="eastAsia" w:ascii="宋体" w:hAnsi="宋体" w:eastAsia="宋体" w:cs="宋体"/>
                <w:sz w:val="24"/>
                <w:szCs w:val="24"/>
              </w:rPr>
              <w:t>文件、工程量清单、补疑文件所示范围全部内容</w:t>
            </w:r>
            <w:r>
              <w:rPr>
                <w:rFonts w:hint="eastAsia" w:ascii="宋体" w:hAnsi="宋体" w:eastAsia="宋体" w:cs="宋体"/>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2" w:hRule="atLeas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第4款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采购方式</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竞争性谈判采购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1" w:hRule="atLeas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第5款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工期/质量标准</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工期：15日历天   质量标准：合格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2"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第6款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称：新疆伊犁国家农业科技园区管理委员会</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联系人：高工 电  话：</w:t>
            </w:r>
            <w:r>
              <w:rPr>
                <w:rFonts w:hint="eastAsia" w:ascii="宋体" w:hAnsi="宋体"/>
                <w:kern w:val="0"/>
                <w:sz w:val="24"/>
                <w:shd w:val="clear" w:color="050000" w:fill="auto"/>
                <w:lang w:val="en-US" w:eastAsia="zh-CN"/>
              </w:rPr>
              <w:t>15569270001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14"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第7款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称：新疆华域建设工程项目管理咨询有限公司</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址：伊宁市经济合作区北京路一品墅新房大厦10楼1004号</w:t>
            </w:r>
          </w:p>
          <w:p>
            <w:pPr>
              <w:keepNext w:val="0"/>
              <w:keepLines w:val="0"/>
              <w:pageBreakBefore w:val="0"/>
              <w:kinsoku/>
              <w:wordWrap/>
              <w:overflowPunct/>
              <w:topLinePunct w:val="0"/>
              <w:bidi w:val="0"/>
              <w:adjustRightInd/>
              <w:snapToGrid/>
              <w:spacing w:line="46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kern w:val="0"/>
                <w:sz w:val="24"/>
                <w:shd w:val="clear" w:color="050000" w:fill="auto"/>
              </w:rPr>
              <w:t>19309999018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20"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第8款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供应商基本资格条件</w:t>
            </w:r>
          </w:p>
        </w:tc>
        <w:tc>
          <w:tcPr>
            <w:tcW w:w="6012" w:type="dxa"/>
            <w:tcBorders>
              <w:lef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bCs/>
                <w:kern w:val="0"/>
                <w:sz w:val="24"/>
                <w:shd w:val="clear" w:color="050000" w:fill="auto"/>
              </w:rPr>
            </w:pPr>
            <w:r>
              <w:rPr>
                <w:rFonts w:hint="eastAsia" w:ascii="宋体" w:hAnsi="宋体"/>
                <w:bCs/>
                <w:kern w:val="0"/>
                <w:sz w:val="24"/>
                <w:shd w:val="clear" w:color="050000" w:fill="auto"/>
                <w:lang w:val="en-US" w:eastAsia="zh-CN"/>
              </w:rPr>
              <w:t>1、</w:t>
            </w:r>
            <w:r>
              <w:rPr>
                <w:rFonts w:hint="eastAsia" w:ascii="宋体" w:hAnsi="宋体"/>
                <w:bCs/>
                <w:kern w:val="0"/>
                <w:sz w:val="24"/>
                <w:shd w:val="clear" w:color="050000" w:fill="auto"/>
              </w:rPr>
              <w:t>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rPr>
            </w:pPr>
            <w:r>
              <w:rPr>
                <w:rFonts w:hint="eastAsia" w:ascii="宋体" w:hAnsi="宋体"/>
                <w:b w:val="0"/>
                <w:bCs/>
                <w:sz w:val="24"/>
                <w:szCs w:val="22"/>
                <w:highlight w:val="none"/>
                <w:shd w:val="clear" w:color="050000" w:fill="auto"/>
                <w:lang w:val="en-US" w:eastAsia="zh-CN"/>
              </w:rPr>
              <w:t>2、</w:t>
            </w:r>
            <w:r>
              <w:rPr>
                <w:rFonts w:ascii="宋体" w:hAnsi="宋体" w:eastAsia="宋体"/>
                <w:b w:val="0"/>
                <w:bCs/>
                <w:sz w:val="24"/>
                <w:szCs w:val="22"/>
                <w:highlight w:val="none"/>
                <w:shd w:val="clear" w:color="050000" w:fill="auto"/>
              </w:rPr>
              <w:t>本项目的特定</w:t>
            </w:r>
            <w:r>
              <w:rPr>
                <w:rFonts w:hint="eastAsia" w:ascii="宋体" w:hAnsi="宋体" w:cs="宋体"/>
                <w:bCs/>
                <w:kern w:val="0"/>
                <w:sz w:val="24"/>
                <w:szCs w:val="22"/>
                <w:highlight w:val="none"/>
                <w:shd w:val="clear" w:color="050000" w:fill="auto"/>
              </w:rPr>
              <w:t>资格要求：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rPr>
            </w:pPr>
            <w:r>
              <w:rPr>
                <w:rFonts w:hint="eastAsia" w:ascii="宋体" w:hAnsi="宋体" w:cs="宋体"/>
                <w:bCs/>
                <w:kern w:val="0"/>
                <w:sz w:val="24"/>
                <w:szCs w:val="22"/>
                <w:highlight w:val="none"/>
                <w:shd w:val="clear" w:color="050000" w:fill="auto"/>
                <w:lang w:val="en-US" w:eastAsia="zh-CN"/>
              </w:rPr>
              <w:t>（1）</w:t>
            </w:r>
            <w:r>
              <w:rPr>
                <w:rFonts w:hint="eastAsia" w:ascii="宋体" w:hAnsi="宋体" w:cs="宋体"/>
                <w:bCs/>
                <w:kern w:val="0"/>
                <w:sz w:val="24"/>
                <w:szCs w:val="22"/>
                <w:highlight w:val="none"/>
                <w:shd w:val="clear" w:color="050000" w:fill="auto"/>
              </w:rPr>
              <w:t>法定代表人投标需提供法定代表人身份证，委托代理人投标需提供法定代表人授权委托书及</w:t>
            </w:r>
            <w:r>
              <w:rPr>
                <w:rFonts w:hint="eastAsia" w:ascii="宋体" w:hAnsi="宋体" w:cs="宋体"/>
                <w:bCs/>
                <w:kern w:val="0"/>
                <w:sz w:val="24"/>
                <w:szCs w:val="22"/>
                <w:highlight w:val="none"/>
                <w:shd w:val="clear" w:color="050000" w:fill="auto"/>
                <w:lang w:val="en-US" w:eastAsia="zh-CN"/>
              </w:rPr>
              <w:t>授权委托人</w:t>
            </w:r>
            <w:r>
              <w:rPr>
                <w:rFonts w:hint="eastAsia" w:ascii="宋体" w:hAnsi="宋体" w:cs="宋体"/>
                <w:bCs/>
                <w:kern w:val="0"/>
                <w:sz w:val="24"/>
                <w:szCs w:val="22"/>
                <w:highlight w:val="none"/>
                <w:shd w:val="clear" w:color="050000" w:fill="auto"/>
              </w:rPr>
              <w:t>身份证；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lang w:val="en-US" w:eastAsia="zh-CN"/>
              </w:rPr>
            </w:pPr>
            <w:r>
              <w:rPr>
                <w:rFonts w:hint="eastAsia" w:ascii="宋体" w:hAnsi="宋体" w:cs="宋体"/>
                <w:bCs/>
                <w:kern w:val="0"/>
                <w:sz w:val="24"/>
                <w:szCs w:val="22"/>
                <w:highlight w:val="none"/>
                <w:shd w:val="clear" w:color="050000" w:fill="auto"/>
                <w:lang w:val="en-US" w:eastAsia="zh-CN"/>
              </w:rPr>
              <w:t>（2）投标人须持有工商行政管理部门核发的有效企业营业执照并具有独立法人资格；</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lang w:val="en-US" w:eastAsia="zh-CN"/>
              </w:rPr>
            </w:pPr>
            <w:r>
              <w:rPr>
                <w:rFonts w:hint="eastAsia" w:ascii="宋体" w:hAnsi="宋体" w:cs="宋体"/>
                <w:bCs/>
                <w:kern w:val="0"/>
                <w:sz w:val="24"/>
                <w:szCs w:val="22"/>
                <w:highlight w:val="none"/>
                <w:shd w:val="clear" w:color="050000" w:fill="auto"/>
                <w:lang w:val="en-US" w:eastAsia="zh-CN"/>
              </w:rPr>
              <w:t>（3）投标人须具备水利水电工程施工总承包三级(含)以上资质等级，并取得安全生产许可证；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lang w:val="en-US" w:eastAsia="zh-CN"/>
              </w:rPr>
            </w:pPr>
            <w:r>
              <w:rPr>
                <w:rFonts w:hint="eastAsia" w:ascii="宋体" w:hAnsi="宋体" w:cs="宋体"/>
                <w:bCs/>
                <w:kern w:val="0"/>
                <w:sz w:val="24"/>
                <w:szCs w:val="22"/>
                <w:highlight w:val="none"/>
                <w:shd w:val="clear" w:color="050000" w:fill="auto"/>
                <w:lang w:val="en-US" w:eastAsia="zh-CN"/>
              </w:rPr>
              <w:t>（4）项目负责人须具备水利水电工程专业贰级及以上注册建造师执业资格，具备有效的安全生产考核合格证书，且未担任其他在建工程项目的项目负责人；并在人员、设备、资金等方面具有相应的施工能力；</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lang w:eastAsia="zh-CN"/>
              </w:rPr>
            </w:pPr>
            <w:r>
              <w:rPr>
                <w:rFonts w:hint="eastAsia" w:ascii="宋体" w:hAnsi="宋体" w:cs="宋体"/>
                <w:bCs/>
                <w:kern w:val="0"/>
                <w:sz w:val="24"/>
                <w:szCs w:val="22"/>
                <w:highlight w:val="none"/>
                <w:shd w:val="clear" w:color="050000" w:fill="auto"/>
                <w:lang w:val="en-US" w:eastAsia="zh-CN"/>
              </w:rPr>
              <w:t>（5）外省企业须办理进疆备案《新疆维吾尔自治区区外进疆建筑企业信息报送册》；</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kern w:val="0"/>
                <w:sz w:val="24"/>
                <w:szCs w:val="22"/>
                <w:highlight w:val="none"/>
                <w:shd w:val="clear" w:color="050000" w:fill="auto"/>
                <w:lang w:val="en-US" w:eastAsia="zh-CN"/>
              </w:rPr>
            </w:pPr>
            <w:r>
              <w:rPr>
                <w:rFonts w:hint="eastAsia" w:ascii="宋体" w:hAnsi="宋体" w:cs="宋体"/>
                <w:bCs/>
                <w:kern w:val="0"/>
                <w:sz w:val="24"/>
                <w:szCs w:val="22"/>
                <w:highlight w:val="none"/>
                <w:shd w:val="clear" w:color="050000" w:fill="auto"/>
                <w:lang w:val="en-US" w:eastAsia="zh-CN"/>
              </w:rPr>
              <w:t>（6）所有投标人不得为“信用中国”网站（www.creditchina.gov.cn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kern w:val="0"/>
                <w:sz w:val="24"/>
                <w:szCs w:val="22"/>
                <w:highlight w:val="none"/>
                <w:shd w:val="clear" w:color="050000" w:fill="auto"/>
                <w:lang w:val="en-US" w:eastAsia="zh-CN" w:bidi="ar-SA"/>
              </w:rPr>
            </w:pPr>
            <w:r>
              <w:rPr>
                <w:rFonts w:hint="eastAsia" w:ascii="宋体" w:hAnsi="宋体" w:cs="宋体"/>
                <w:bCs/>
                <w:kern w:val="0"/>
                <w:sz w:val="24"/>
                <w:szCs w:val="22"/>
                <w:highlight w:val="none"/>
                <w:shd w:val="clear" w:color="050000" w:fill="auto"/>
                <w:lang w:val="en-US" w:eastAsia="zh-CN"/>
              </w:rPr>
              <w:t>5、本项目不接受联合体投标。</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第9款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联合体形式</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□接受        ☑不接受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8"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第10款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现场考察或者召开开标前答疑会</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☑不采用</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现场考察或者召开开标前答疑会时间： </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现场考察或者召开开标前答疑会地点：</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第11款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采购进口产品</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□允许（若财政部门批准采购进口产品的）  ☑不允许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5" w:hRule="exact"/>
          <w:jc w:val="center"/>
        </w:trPr>
        <w:tc>
          <w:tcPr>
            <w:tcW w:w="1297" w:type="dxa"/>
            <w:vMerge w:val="restart"/>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第12款</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政府采购支持政策</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政府采购强制采购：标记★符号的节能产品</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《节能产品政府采购清单》目录内的强制采购节能产品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38" w:hRule="exact"/>
          <w:jc w:val="center"/>
        </w:trPr>
        <w:tc>
          <w:tcPr>
            <w:tcW w:w="1297" w:type="dxa"/>
            <w:vMerge w:val="continue"/>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政府采购优先采购：(1)非标记★符号的节能产品；(2)环境标志产品</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产品为《节能产品政府采购清单》内非标记★符号的节能产品及《环境标志产品政府采购清单》内的产品：响应文件中对所响应谈判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8" w:hRule="exact"/>
          <w:jc w:val="center"/>
        </w:trPr>
        <w:tc>
          <w:tcPr>
            <w:tcW w:w="1297" w:type="dxa"/>
            <w:vMerge w:val="continue"/>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支持中小企业发展</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本项目给予小型和微型企业产品的价格给予3%的扣除，用扣除后的价格参与评审。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39" w:hRule="exact"/>
          <w:jc w:val="center"/>
        </w:trPr>
        <w:tc>
          <w:tcPr>
            <w:tcW w:w="1297" w:type="dxa"/>
            <w:vMerge w:val="continue"/>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政府采购支持监狱企业发展</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监狱企业参加政府采购活动时，应当提供由省级以上监狱管理局、戒毒管理局（含新疆生产建设兵团）出具的属于监狱企业的证明文件。</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在政府采购活动中，监狱企业视同小型、微型企业，享受预留份额、评审中价格扣除等政府采购促进中小企业发展的政府采购政策。本项目具体扣除比例为3%。</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有制服采购项目的部门，应加强对政府采购预算和计划编制工作的统筹，预留本部门制服采购项目预算总额的30%以上，专门面向监狱企业采购。②省级以上政府部门组织的公务员考试、招生考试、等级考试、资格考试的试卷印刷项目原则上应当在符合有关资质的监狱企业范围内采购。③各地在免费教科书政府采购工作中，应当根据符合教科书印制资质的监狱企业情况，提出由监狱企业印刷的比例要求。④各地区可以结合本地区实际，对监狱企业生产的办公用品、家具用具、车辆维修和提供的保养服务、消防设备等，提出预留份额等政府采购支持措施，加大对监狱企业产品的采购力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9" w:hRule="exact"/>
          <w:jc w:val="center"/>
        </w:trPr>
        <w:tc>
          <w:tcPr>
            <w:tcW w:w="1297" w:type="dxa"/>
            <w:vMerge w:val="continue"/>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促进残疾人就业</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审中价格扣除等促进中小企业发展的政府采购政策。本项目具体扣除比例为3%。</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exact"/>
          <w:jc w:val="center"/>
        </w:trPr>
        <w:tc>
          <w:tcPr>
            <w:tcW w:w="9870" w:type="dxa"/>
            <w:gridSpan w:val="3"/>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二、竞争性谈判文件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4"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第13款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提交电子投标文件的截止时间</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2022-12-</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上午11: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exact"/>
          <w:jc w:val="center"/>
        </w:trPr>
        <w:tc>
          <w:tcPr>
            <w:tcW w:w="9870" w:type="dxa"/>
            <w:gridSpan w:val="3"/>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三、响应文件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第14款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cs="宋体"/>
                <w:bCs/>
                <w:spacing w:val="-4"/>
                <w:sz w:val="24"/>
                <w:szCs w:val="24"/>
                <w:lang w:val="en-US" w:eastAsia="zh-CN"/>
              </w:rPr>
              <w:t xml:space="preserve">1200606.66 </w:t>
            </w:r>
            <w:r>
              <w:rPr>
                <w:rFonts w:hint="eastAsia" w:ascii="宋体" w:hAnsi="宋体" w:eastAsia="宋体" w:cs="宋体"/>
                <w:color w:val="auto"/>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9"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第15款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业绩要求</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b w:val="0"/>
                <w:bCs w:val="0"/>
                <w:kern w:val="2"/>
                <w:sz w:val="24"/>
                <w:szCs w:val="24"/>
                <w:highlight w:val="none"/>
                <w:lang w:val="en-US" w:eastAsia="zh-CN" w:bidi="ar-SA"/>
              </w:rPr>
              <w:t>投标单位提供</w:t>
            </w:r>
            <w:r>
              <w:rPr>
                <w:rFonts w:hint="eastAsia" w:ascii="宋体" w:hAnsi="宋体" w:eastAsia="宋体" w:cs="宋体"/>
                <w:i w:val="0"/>
                <w:iCs w:val="0"/>
                <w:color w:val="auto"/>
                <w:sz w:val="24"/>
                <w:szCs w:val="24"/>
                <w:highlight w:val="none"/>
                <w:lang w:val="en-US" w:eastAsia="zh-CN"/>
              </w:rPr>
              <w:t>近三年（2019年至今）类似项目业绩。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85"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第16款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谈判保证金</w:t>
            </w:r>
          </w:p>
        </w:tc>
        <w:tc>
          <w:tcPr>
            <w:tcW w:w="6012" w:type="dxa"/>
            <w:tcBorders>
              <w:left w:val="single" w:color="auto" w:sz="4" w:space="0"/>
            </w:tcBorders>
            <w:noWrap w:val="0"/>
            <w:vAlign w:val="top"/>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1、金额：人民币壹万</w:t>
            </w:r>
            <w:r>
              <w:rPr>
                <w:rFonts w:hint="eastAsia" w:ascii="宋体" w:hAnsi="宋体" w:cs="宋体"/>
                <w:color w:val="auto"/>
                <w:sz w:val="24"/>
                <w:szCs w:val="24"/>
                <w:lang w:val="en-US" w:eastAsia="zh-CN"/>
              </w:rPr>
              <w:t>贰</w:t>
            </w:r>
            <w:r>
              <w:rPr>
                <w:rFonts w:hint="eastAsia" w:ascii="宋体" w:hAnsi="宋体" w:eastAsia="宋体" w:cs="宋体"/>
                <w:color w:val="auto"/>
                <w:sz w:val="24"/>
                <w:szCs w:val="24"/>
                <w:lang w:val="en-US" w:eastAsia="zh-CN"/>
              </w:rPr>
              <w:t>仟元整（12000元）；</w:t>
            </w:r>
          </w:p>
          <w:p>
            <w:pPr>
              <w:keepNext w:val="0"/>
              <w:keepLines w:val="0"/>
              <w:pageBreakBefore w:val="0"/>
              <w:kinsoku/>
              <w:wordWrap/>
              <w:overflowPunct/>
              <w:topLinePunct w:val="0"/>
              <w:bidi w:val="0"/>
              <w:adjustRightInd/>
              <w:snapToGrid/>
              <w:spacing w:line="46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2、形式：由供应商的基本账户银行电汇转出或保函</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3、递交时间：在竞争性谈判截止时间前递交（具体以到账时间为准）；</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4、账户信息：则递交至下述账户：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账户信息：新疆华域建设工程项目管理咨询有限公司伊犁分公司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开户行：中国工商银行股份有限公司伊宁阿合买提江街支行</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银行账号：3006023109200131786</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各供应商必须在谈判截止时间前交到指定账户。供应商未按照竞争性谈判文件要求提交谈判保证金的，谈判无效。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第17款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谈判有效期</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90日历日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2"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第18款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电子投标文件解密时间</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开标时间后30分钟内（2022年12月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日上午11: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0前）供应商登录“政采云”平台，用“项目采购-开标评标”功能进行解密投标文件。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exact"/>
          <w:jc w:val="center"/>
        </w:trPr>
        <w:tc>
          <w:tcPr>
            <w:tcW w:w="9870" w:type="dxa"/>
            <w:gridSpan w:val="3"/>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四、响应文件的递交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63"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第19款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投标文件份数</w:t>
            </w:r>
          </w:p>
        </w:tc>
        <w:tc>
          <w:tcPr>
            <w:tcW w:w="6012" w:type="dxa"/>
            <w:tcBorders>
              <w:left w:val="single" w:color="auto" w:sz="4" w:space="0"/>
            </w:tcBorders>
            <w:noWrap w:val="0"/>
            <w:vAlign w:val="center"/>
          </w:tcPr>
          <w:p>
            <w:pPr>
              <w:pStyle w:val="221"/>
              <w:adjustRightInd w:val="0"/>
              <w:snapToGrid w:val="0"/>
              <w:spacing w:before="156" w:beforeLines="50" w:line="360" w:lineRule="auto"/>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☑采用不见面开标</w:t>
            </w:r>
          </w:p>
          <w:p>
            <w:pPr>
              <w:pStyle w:val="221"/>
              <w:adjustRightInd w:val="0"/>
              <w:snapToGrid w:val="0"/>
              <w:spacing w:before="156" w:beforeLines="50" w:line="360" w:lineRule="auto"/>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（1）本项目采用远程不见面电子标的方式</w:t>
            </w:r>
            <w:r>
              <w:rPr>
                <w:rFonts w:hint="eastAsia" w:ascii="宋体" w:hAnsi="宋体" w:cs="宋体"/>
                <w:color w:val="000000"/>
                <w:sz w:val="24"/>
                <w:szCs w:val="24"/>
                <w:highlight w:val="none"/>
                <w:lang w:val="en-US" w:eastAsia="zh-CN" w:bidi="ar"/>
              </w:rPr>
              <w:t>谈判</w:t>
            </w:r>
            <w:r>
              <w:rPr>
                <w:rFonts w:hint="eastAsia" w:ascii="宋体" w:hAnsi="宋体" w:cs="宋体"/>
                <w:color w:val="000000"/>
                <w:sz w:val="24"/>
                <w:szCs w:val="24"/>
                <w:highlight w:val="none"/>
                <w:lang w:bidi="ar"/>
              </w:rPr>
              <w:t>，供应商</w:t>
            </w:r>
            <w:r>
              <w:rPr>
                <w:rFonts w:hint="eastAsia" w:ascii="宋体" w:hAnsi="宋体" w:cs="宋体"/>
                <w:color w:val="000000"/>
                <w:sz w:val="24"/>
                <w:szCs w:val="24"/>
                <w:highlight w:val="none"/>
                <w:lang w:val="en-US" w:eastAsia="zh-CN" w:bidi="ar"/>
              </w:rPr>
              <w:t>谈判</w:t>
            </w:r>
            <w:r>
              <w:rPr>
                <w:rFonts w:hint="eastAsia" w:ascii="宋体" w:hAnsi="宋体" w:cs="宋体"/>
                <w:color w:val="000000"/>
                <w:sz w:val="24"/>
                <w:szCs w:val="24"/>
                <w:highlight w:val="none"/>
                <w:lang w:bidi="ar"/>
              </w:rPr>
              <w:t>时无需提供纸质响应文件，须在响应文件递交截止时间前将</w:t>
            </w:r>
            <w:r>
              <w:rPr>
                <w:rFonts w:hint="eastAsia" w:ascii="宋体" w:hAnsi="宋体" w:cs="宋体"/>
                <w:color w:val="000000"/>
                <w:sz w:val="24"/>
                <w:szCs w:val="24"/>
                <w:highlight w:val="none"/>
                <w:lang w:val="en-US" w:eastAsia="zh-CN" w:bidi="ar"/>
              </w:rPr>
              <w:t>加密</w:t>
            </w:r>
            <w:r>
              <w:rPr>
                <w:rFonts w:hint="eastAsia" w:ascii="宋体" w:hAnsi="宋体" w:cs="宋体"/>
                <w:color w:val="000000"/>
                <w:sz w:val="24"/>
                <w:szCs w:val="24"/>
                <w:highlight w:val="none"/>
                <w:lang w:bidi="ar"/>
              </w:rPr>
              <w:t>电子投标文件上传到新疆政采云平台对应位置。</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cs="宋体"/>
                <w:color w:val="000000"/>
                <w:sz w:val="24"/>
                <w:szCs w:val="24"/>
                <w:highlight w:val="none"/>
                <w:lang w:bidi="ar"/>
              </w:rPr>
              <w:t>（2）</w:t>
            </w:r>
            <w:r>
              <w:rPr>
                <w:rFonts w:hint="eastAsia" w:ascii="宋体" w:hAnsi="宋体" w:cs="宋体"/>
                <w:color w:val="000000"/>
                <w:sz w:val="24"/>
                <w:szCs w:val="24"/>
                <w:highlight w:val="none"/>
                <w:lang w:val="en-US" w:eastAsia="zh-CN" w:bidi="ar"/>
              </w:rPr>
              <w:t>中标</w:t>
            </w:r>
            <w:r>
              <w:rPr>
                <w:rFonts w:hint="eastAsia" w:ascii="宋体" w:hAnsi="宋体" w:cs="宋体"/>
                <w:color w:val="000000"/>
                <w:sz w:val="24"/>
                <w:szCs w:val="24"/>
                <w:highlight w:val="none"/>
                <w:lang w:bidi="ar"/>
              </w:rPr>
              <w:t>的供应商在领取成交通知书时须向采购代理机构递交纸质响应文件</w:t>
            </w:r>
            <w:r>
              <w:rPr>
                <w:rFonts w:hint="eastAsia" w:ascii="宋体" w:hAnsi="宋体" w:cs="宋体"/>
                <w:color w:val="000000"/>
                <w:sz w:val="24"/>
                <w:szCs w:val="24"/>
                <w:highlight w:val="none"/>
                <w:lang w:val="en-US" w:eastAsia="zh-CN" w:bidi="ar"/>
              </w:rPr>
              <w:t>一正两副</w:t>
            </w:r>
            <w:r>
              <w:rPr>
                <w:rFonts w:hint="eastAsia" w:ascii="宋体" w:hAnsi="宋体" w:cs="宋体"/>
                <w:color w:val="000000"/>
                <w:sz w:val="24"/>
                <w:szCs w:val="24"/>
                <w:highlight w:val="none"/>
                <w:lang w:bidi="ar"/>
              </w:rPr>
              <w:t>、U盘</w:t>
            </w:r>
            <w:r>
              <w:rPr>
                <w:rFonts w:hint="eastAsia" w:ascii="宋体" w:hAnsi="宋体" w:cs="宋体"/>
                <w:color w:val="000000"/>
                <w:sz w:val="24"/>
                <w:szCs w:val="24"/>
                <w:highlight w:val="none"/>
                <w:lang w:val="en-US" w:eastAsia="zh-CN" w:bidi="ar"/>
              </w:rPr>
              <w:t>一</w:t>
            </w:r>
            <w:r>
              <w:rPr>
                <w:rFonts w:hint="eastAsia" w:ascii="宋体" w:hAnsi="宋体" w:cs="宋体"/>
                <w:color w:val="000000"/>
                <w:sz w:val="24"/>
                <w:szCs w:val="24"/>
                <w:highlight w:val="none"/>
                <w:lang w:bidi="ar"/>
              </w:rPr>
              <w:t>份</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bidi="ar"/>
              </w:rPr>
              <w:t>格式为PDF</w:t>
            </w:r>
            <w:r>
              <w:rPr>
                <w:rFonts w:hint="eastAsia" w:ascii="宋体" w:hAnsi="宋体" w:cs="宋体"/>
                <w:color w:val="000000"/>
                <w:sz w:val="24"/>
                <w:szCs w:val="24"/>
                <w:highlight w:val="none"/>
                <w:lang w:val="en-US" w:eastAsia="zh-CN" w:bidi="ar"/>
              </w:rPr>
              <w:t>或Word</w:t>
            </w:r>
            <w:r>
              <w:rPr>
                <w:rFonts w:hint="eastAsia" w:ascii="宋体" w:hAnsi="宋体" w:cs="宋体"/>
                <w:color w:val="000000"/>
                <w:sz w:val="24"/>
                <w:szCs w:val="24"/>
                <w:highlight w:val="none"/>
                <w:lang w:bidi="ar"/>
              </w:rPr>
              <w:t>的电子响应文件</w:t>
            </w:r>
            <w:r>
              <w:rPr>
                <w:rFonts w:hint="eastAsia" w:ascii="宋体" w:hAnsi="宋体" w:cs="宋体"/>
                <w:color w:val="000000"/>
                <w:sz w:val="24"/>
                <w:szCs w:val="24"/>
                <w:highlight w:val="none"/>
                <w:lang w:val="en-US" w:eastAsia="zh-CN" w:bidi="ar"/>
              </w:rPr>
              <w:t>一</w:t>
            </w:r>
            <w:r>
              <w:rPr>
                <w:rFonts w:hint="eastAsia" w:ascii="宋体" w:hAnsi="宋体" w:cs="宋体"/>
                <w:color w:val="000000"/>
                <w:sz w:val="24"/>
                <w:szCs w:val="24"/>
                <w:highlight w:val="none"/>
                <w:lang w:bidi="ar"/>
              </w:rPr>
              <w:t>份。</w:t>
            </w:r>
            <w:r>
              <w:rPr>
                <w:rFonts w:hint="eastAsia" w:ascii="宋体" w:hAnsi="宋体" w:cs="宋体"/>
                <w:color w:val="000000"/>
                <w:sz w:val="24"/>
                <w:szCs w:val="24"/>
                <w:highlight w:val="none"/>
                <w:lang w:eastAsia="zh-CN"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4"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第20款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投标地点（网址）</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电子版投标文件提交至政采云平台在线投标，投标人无需到达评标现场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2"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第21款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样品</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□有，对样品的要求：</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(1)样品制作的标准和要求......;</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(2)样品的评审方法以及评审标准......;</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(3)随样品提交由...(检测机构)出据的针对...(检测内容)的检测报告。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exact"/>
          <w:jc w:val="center"/>
        </w:trPr>
        <w:tc>
          <w:tcPr>
            <w:tcW w:w="9870" w:type="dxa"/>
            <w:gridSpan w:val="3"/>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五、谈判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0"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第22款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谈判时间和地点</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谈判时间：竞争性谈判截止时间的同一时间</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谈判地点：响应文件的递交地点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95"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第23款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评审办法</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□综合评分法</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□最低评标价法√</w:t>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谈判小组应当从质量和服务均能满足采购文件实质性响应要求的供应商中，按照最后报价由低到高的顺序提出≥3名成交候选人。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62"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第24款</w:t>
            </w:r>
          </w:p>
        </w:tc>
        <w:tc>
          <w:tcPr>
            <w:tcW w:w="2561" w:type="dxa"/>
            <w:tcBorders>
              <w:right w:val="single" w:color="auto" w:sz="4" w:space="0"/>
            </w:tcBorders>
            <w:noWrap w:val="0"/>
            <w:vAlign w:val="center"/>
          </w:tcPr>
          <w:p>
            <w:pPr>
              <w:pStyle w:val="221"/>
              <w:adjustRightInd w:val="0"/>
              <w:snapToGrid w:val="0"/>
              <w:spacing w:before="156" w:beforeLines="50"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投标报价说明</w:t>
            </w:r>
          </w:p>
        </w:tc>
        <w:tc>
          <w:tcPr>
            <w:tcW w:w="6012" w:type="dxa"/>
            <w:tcBorders>
              <w:left w:val="single" w:color="auto" w:sz="4" w:space="0"/>
            </w:tcBorders>
            <w:noWrap w:val="0"/>
            <w:vAlign w:val="center"/>
          </w:tcPr>
          <w:p>
            <w:pPr>
              <w:pStyle w:val="37"/>
              <w:tabs>
                <w:tab w:val="left" w:pos="180"/>
                <w:tab w:val="left" w:pos="540"/>
              </w:tabs>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highlight w:val="none"/>
                <w:lang w:val="en-US" w:eastAsia="zh-CN"/>
              </w:rPr>
              <w:t>1、本项目采购方式为竞争性谈判，报价采用二轮报价方式进行，且投标供应商的第二轮报价为针对本项目的最终报价。不接受可选择或可调整的投标方案和报价，任何有选择的或可调整的投标方案和报价将被视为非响应性投标而被拒绝。如出现第二轮报价大于第一轮报价的情况，其投标将被拒绝。2、参加投标的供应商需在政采云平台规定的报价时间内进行二轮报价，若投标供应商未在规定报价时间内向政采云平台提交所投项目二轮报价的（以政采云平台收到二轮报价的时间为准），视为自动放弃该项目的投标。二轮报价时长截止后不做任何延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2"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推荐的成交候选人数</w:t>
            </w:r>
            <w:r>
              <w:rPr>
                <w:rFonts w:hint="eastAsia" w:ascii="宋体" w:hAnsi="宋体" w:eastAsia="宋体" w:cs="宋体"/>
                <w:b w:val="0"/>
                <w:bCs w:val="0"/>
                <w:color w:val="auto"/>
                <w:sz w:val="24"/>
                <w:szCs w:val="24"/>
                <w:lang w:val="en-US" w:eastAsia="zh-CN"/>
              </w:rPr>
              <w:t>量</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不少于3个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exact"/>
          <w:jc w:val="center"/>
        </w:trPr>
        <w:tc>
          <w:tcPr>
            <w:tcW w:w="9870" w:type="dxa"/>
            <w:gridSpan w:val="3"/>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六、成交结果信息公布与授予合同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款</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财政部门指定的媒体</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新疆政府采购网（http://www.ccgp-xinjiang.gov.cn）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3" w:hRule="exact"/>
          <w:jc w:val="center"/>
        </w:trPr>
        <w:tc>
          <w:tcPr>
            <w:tcW w:w="9870" w:type="dxa"/>
            <w:gridSpan w:val="3"/>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七、其他规定及说明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2"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采购代理服务费</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根据国家计委《招标代理服务收费管理暂行办法》（计价格[2002]1980号）所规定标准由中标单位向招标代理机构支付。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exact"/>
          <w:jc w:val="center"/>
        </w:trPr>
        <w:tc>
          <w:tcPr>
            <w:tcW w:w="1297" w:type="dxa"/>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561"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6012"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合同内另行签订</w:t>
            </w:r>
          </w:p>
        </w:tc>
      </w:tr>
    </w:tbl>
    <w:p>
      <w:pPr>
        <w:rPr>
          <w:rFonts w:hint="eastAsia" w:ascii="宋体" w:hAnsi="宋体" w:eastAsia="宋体" w:cs="宋体"/>
        </w:rPr>
      </w:pPr>
    </w:p>
    <w:bookmarkEnd w:id="50"/>
    <w:bookmarkEnd w:id="51"/>
    <w:bookmarkEnd w:id="52"/>
    <w:bookmarkEnd w:id="53"/>
    <w:p>
      <w:pPr>
        <w:pStyle w:val="5"/>
        <w:spacing w:line="240" w:lineRule="atLeast"/>
        <w:jc w:val="center"/>
        <w:rPr>
          <w:rFonts w:hint="eastAsia" w:ascii="宋体" w:hAnsi="宋体" w:eastAsia="宋体" w:cs="宋体"/>
          <w:sz w:val="32"/>
          <w:szCs w:val="32"/>
        </w:rPr>
      </w:pPr>
      <w:bookmarkStart w:id="59" w:name="_Toc89075873"/>
      <w:bookmarkStart w:id="60" w:name="_Toc279996679"/>
      <w:bookmarkStart w:id="61" w:name="_Toc217446033"/>
      <w:bookmarkStart w:id="62" w:name="_Toc77400778"/>
      <w:bookmarkStart w:id="63" w:name="_Toc183682341"/>
      <w:bookmarkStart w:id="64" w:name="_Toc183582204"/>
      <w:bookmarkStart w:id="65" w:name="_Toc217446070"/>
      <w:bookmarkStart w:id="66" w:name="_Toc183582240"/>
      <w:bookmarkStart w:id="67" w:name="_Toc183682377"/>
      <w:r>
        <w:rPr>
          <w:rFonts w:hint="eastAsia" w:ascii="宋体" w:hAnsi="宋体" w:eastAsia="宋体" w:cs="宋体"/>
          <w:sz w:val="32"/>
          <w:szCs w:val="32"/>
        </w:rPr>
        <w:br w:type="page"/>
      </w:r>
      <w:bookmarkStart w:id="68" w:name="_Toc19741"/>
      <w:r>
        <w:rPr>
          <w:rFonts w:hint="eastAsia" w:ascii="宋体" w:hAnsi="宋体" w:eastAsia="宋体" w:cs="宋体"/>
          <w:sz w:val="32"/>
          <w:szCs w:val="32"/>
        </w:rPr>
        <w:t>一、总  则</w:t>
      </w:r>
      <w:bookmarkEnd w:id="59"/>
      <w:bookmarkEnd w:id="60"/>
      <w:bookmarkEnd w:id="61"/>
      <w:bookmarkEnd w:id="62"/>
      <w:bookmarkEnd w:id="63"/>
      <w:bookmarkEnd w:id="64"/>
      <w:bookmarkEnd w:id="68"/>
    </w:p>
    <w:p>
      <w:pPr>
        <w:pStyle w:val="5"/>
        <w:spacing w:before="0" w:after="0" w:line="360" w:lineRule="auto"/>
        <w:rPr>
          <w:rFonts w:hint="eastAsia" w:ascii="宋体" w:hAnsi="宋体" w:eastAsia="宋体" w:cs="宋体"/>
          <w:sz w:val="24"/>
          <w:szCs w:val="24"/>
        </w:rPr>
      </w:pPr>
      <w:bookmarkStart w:id="69" w:name="_Toc487824924"/>
      <w:bookmarkStart w:id="70" w:name="_Toc14139"/>
      <w:r>
        <w:rPr>
          <w:rFonts w:hint="eastAsia" w:ascii="宋体" w:hAnsi="宋体" w:eastAsia="宋体" w:cs="宋体"/>
          <w:sz w:val="24"/>
          <w:szCs w:val="24"/>
          <w:lang w:val="zh-CN"/>
        </w:rPr>
        <w:t>1、总则</w:t>
      </w:r>
      <w:bookmarkEnd w:id="69"/>
      <w:bookmarkEnd w:id="70"/>
    </w:p>
    <w:p>
      <w:pPr>
        <w:autoSpaceDE w:val="0"/>
        <w:autoSpaceDN w:val="0"/>
        <w:adjustRightIn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项目概况</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本项目概况已在</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须知前附表中列清。</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谈判范围</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本项目谈判范围已在投标人须知前附表中列清，投标人除非接到采购人发布的《竞争性谈判文件补充》，否则不得擅自增加或减少项目谈判范围。</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本工程工期要求、质量要求已在</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须知前附表中列清。</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项目资金</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本项目的资金来源已在</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须知前附表列清。</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谈判方式及备案</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本项目谈判方式已在</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须知前附表列清。</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合格投标人</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投标人</w:t>
      </w:r>
      <w:r>
        <w:rPr>
          <w:rFonts w:hint="eastAsia" w:ascii="宋体" w:hAnsi="宋体" w:eastAsia="宋体" w:cs="宋体"/>
          <w:sz w:val="24"/>
          <w:szCs w:val="24"/>
        </w:rPr>
        <w:t>资质要求已在</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须知前附表列清。</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本项目采用资格后审方式确定合格</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采购人有权要求各投标人提供更为完整、更详细的投标人资料，以便资格审查。</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投标人费用</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1.6.1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投标人应承担其编制响应文件与递交响应文件所涉及的一切费用，不论谈判结果如何，采购人对上述费用不做任何补偿。</w:t>
      </w:r>
    </w:p>
    <w:p>
      <w:pPr>
        <w:pStyle w:val="2"/>
        <w:jc w:val="center"/>
        <w:outlineLvl w:val="0"/>
        <w:rPr>
          <w:rFonts w:hint="default" w:ascii="宋体" w:hAnsi="宋体" w:eastAsia="宋体" w:cs="宋体"/>
          <w:b/>
          <w:kern w:val="2"/>
          <w:sz w:val="32"/>
          <w:szCs w:val="32"/>
          <w:lang w:val="en-US" w:eastAsia="zh-CN" w:bidi="ar-SA"/>
        </w:rPr>
      </w:pPr>
      <w:bookmarkStart w:id="71" w:name="_Toc10579"/>
      <w:r>
        <w:rPr>
          <w:rFonts w:hint="eastAsia" w:ascii="宋体" w:hAnsi="宋体" w:eastAsia="宋体" w:cs="宋体"/>
          <w:b/>
          <w:kern w:val="2"/>
          <w:sz w:val="32"/>
          <w:szCs w:val="32"/>
          <w:lang w:val="en-US" w:eastAsia="zh-CN" w:bidi="ar-SA"/>
        </w:rPr>
        <w:t>二、谈判文件</w:t>
      </w:r>
      <w:bookmarkEnd w:id="71"/>
    </w:p>
    <w:p>
      <w:pPr>
        <w:pStyle w:val="5"/>
        <w:spacing w:before="0" w:after="0" w:line="360" w:lineRule="auto"/>
        <w:rPr>
          <w:rFonts w:hint="eastAsia" w:ascii="宋体" w:hAnsi="宋体" w:eastAsia="宋体" w:cs="宋体"/>
          <w:sz w:val="24"/>
          <w:szCs w:val="24"/>
          <w:lang w:val="zh-CN"/>
        </w:rPr>
      </w:pPr>
      <w:bookmarkStart w:id="72" w:name="_Toc487824925"/>
      <w:bookmarkStart w:id="73" w:name="_Toc5172"/>
      <w:r>
        <w:rPr>
          <w:rFonts w:hint="eastAsia" w:ascii="宋体" w:hAnsi="宋体" w:eastAsia="宋体" w:cs="宋体"/>
          <w:sz w:val="24"/>
          <w:szCs w:val="24"/>
          <w:lang w:val="zh-CN"/>
        </w:rPr>
        <w:t>2、</w:t>
      </w:r>
      <w:bookmarkEnd w:id="72"/>
      <w:r>
        <w:rPr>
          <w:rFonts w:hint="eastAsia" w:ascii="宋体" w:hAnsi="宋体" w:eastAsia="宋体" w:cs="宋体"/>
          <w:sz w:val="24"/>
          <w:szCs w:val="24"/>
          <w:lang w:val="zh-CN"/>
        </w:rPr>
        <w:t>竞争性谈判文件</w:t>
      </w:r>
      <w:bookmarkEnd w:id="73"/>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2.1 竞争性谈判文件用以阐明所谈判的内容，谈判程序及合同条款，包括：</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2.1.1 竞争性谈判文件；</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2.1.2 投标人须知；</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2.1.3</w:t>
      </w:r>
      <w:r>
        <w:rPr>
          <w:rFonts w:hint="eastAsia" w:ascii="宋体" w:hAnsi="宋体" w:eastAsia="宋体" w:cs="宋体"/>
          <w:sz w:val="24"/>
          <w:szCs w:val="24"/>
        </w:rPr>
        <w:t xml:space="preserve"> </w:t>
      </w:r>
      <w:r>
        <w:rPr>
          <w:rFonts w:hint="eastAsia" w:ascii="宋体" w:hAnsi="宋体" w:eastAsia="宋体" w:cs="宋体"/>
          <w:sz w:val="24"/>
          <w:szCs w:val="24"/>
          <w:lang w:val="zh-CN"/>
        </w:rPr>
        <w:t>技术规格与项目要求；</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2.1.4 合同条款；</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2.1.5</w:t>
      </w:r>
      <w:r>
        <w:rPr>
          <w:rFonts w:hint="eastAsia" w:ascii="宋体" w:hAnsi="宋体" w:eastAsia="宋体" w:cs="宋体"/>
          <w:sz w:val="24"/>
          <w:szCs w:val="24"/>
        </w:rPr>
        <w:t xml:space="preserve"> 其他。</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2.2投标人应仔细阅读竞争性谈判文件中的所有内容。采购代理机构将拒绝未按竞争性谈判文件的要求提供全部资料或提交的响应竞争性谈判文件未对竞争性谈判文件作出实质性响应的投标人。</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2.3 任何要求澄清竞争性谈判文件的投标人，均应在投标人截止日期</w:t>
      </w:r>
      <w:r>
        <w:rPr>
          <w:rFonts w:hint="eastAsia" w:ascii="宋体" w:hAnsi="宋体" w:eastAsia="宋体" w:cs="宋体"/>
          <w:sz w:val="24"/>
          <w:szCs w:val="24"/>
        </w:rPr>
        <w:t>3个工作日</w:t>
      </w:r>
      <w:r>
        <w:rPr>
          <w:rFonts w:hint="eastAsia" w:ascii="宋体" w:hAnsi="宋体" w:eastAsia="宋体" w:cs="宋体"/>
          <w:sz w:val="24"/>
          <w:szCs w:val="24"/>
          <w:lang w:val="zh-CN"/>
        </w:rPr>
        <w:t>前以书面形式或传真通知采购代理机构。采购代理机构将以书面形式予以答复，同时将书面通知每个购买竞争性谈判文件的投标人。投标人不得与采购人私下就谈判的有关实质性的问题进行交流。</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2.4、竞争性谈判文件的修改</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2.4.1 在投标人截止时间</w:t>
      </w:r>
      <w:r>
        <w:rPr>
          <w:rFonts w:hint="eastAsia" w:ascii="宋体" w:hAnsi="宋体" w:eastAsia="宋体" w:cs="宋体"/>
          <w:sz w:val="24"/>
          <w:szCs w:val="24"/>
        </w:rPr>
        <w:t>3个工作日</w:t>
      </w:r>
      <w:r>
        <w:rPr>
          <w:rFonts w:hint="eastAsia" w:ascii="宋体" w:hAnsi="宋体" w:eastAsia="宋体" w:cs="宋体"/>
          <w:sz w:val="24"/>
          <w:szCs w:val="24"/>
          <w:lang w:val="zh-CN"/>
        </w:rPr>
        <w:t>以前，采购人都可能以《竞争性谈判文件补充》的方式修改竞争性谈判文件，不足</w:t>
      </w:r>
      <w:r>
        <w:rPr>
          <w:rFonts w:hint="eastAsia" w:ascii="宋体" w:hAnsi="宋体" w:eastAsia="宋体" w:cs="宋体"/>
          <w:sz w:val="24"/>
          <w:szCs w:val="24"/>
        </w:rPr>
        <w:t>3工作</w:t>
      </w:r>
      <w:r>
        <w:rPr>
          <w:rFonts w:hint="eastAsia" w:ascii="宋体" w:hAnsi="宋体" w:eastAsia="宋体" w:cs="宋体"/>
          <w:sz w:val="24"/>
          <w:szCs w:val="24"/>
          <w:lang w:val="zh-CN"/>
        </w:rPr>
        <w:t>日的，采购人、采购代理机构应当顺延提交首次响应竞争性谈判文件截止时间。并将以书面形式通知所有购买竞争性谈判文件的投标人。</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2.4.2 《竞争性谈判文件补充》作为竞争性谈判文件的组成部分，对投标人具有同等约束力。如果竞争性谈判文件补充内容与在此竞争性谈判文件补充发出之前的竞争性谈判文件等书面材料中相关内容相冲突，请投标人执行竞争性谈判文件补充的相关内容，先前发出的竞争性谈判文件等书面材料中相关内容自动废止。</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2.4.3 为使投标人在编制响应竞争性谈判文件时把《竞争性谈判文件补充》内容考虑进去，采购人可以相应延长投标人截止日期，具体时间将在《竞争性谈判文件补充》中写明。</w:t>
      </w:r>
      <w:bookmarkStart w:id="74" w:name="_Toc438371762"/>
      <w:bookmarkStart w:id="75" w:name="_Toc438370540"/>
      <w:bookmarkStart w:id="76" w:name="_Toc438371575"/>
      <w:bookmarkStart w:id="77" w:name="_Toc438371393"/>
      <w:bookmarkStart w:id="78" w:name="_Toc438354311"/>
      <w:bookmarkStart w:id="79" w:name="_Toc438371210"/>
    </w:p>
    <w:p>
      <w:pPr>
        <w:pStyle w:val="2"/>
        <w:jc w:val="center"/>
        <w:outlineLvl w:val="0"/>
        <w:rPr>
          <w:rFonts w:hint="eastAsia"/>
          <w:lang w:val="zh-CN"/>
        </w:rPr>
      </w:pPr>
      <w:bookmarkStart w:id="80" w:name="_Toc352"/>
      <w:r>
        <w:rPr>
          <w:rFonts w:hint="eastAsia" w:ascii="宋体" w:hAnsi="宋体" w:eastAsia="宋体" w:cs="宋体"/>
          <w:b/>
          <w:kern w:val="2"/>
          <w:sz w:val="32"/>
          <w:szCs w:val="32"/>
          <w:lang w:val="en-US" w:eastAsia="zh-CN" w:bidi="ar-SA"/>
        </w:rPr>
        <w:t>三、响应文件</w:t>
      </w:r>
      <w:bookmarkEnd w:id="80"/>
    </w:p>
    <w:p>
      <w:pPr>
        <w:pStyle w:val="5"/>
        <w:spacing w:before="0" w:after="0" w:line="360" w:lineRule="auto"/>
        <w:rPr>
          <w:rFonts w:hint="eastAsia" w:ascii="宋体" w:hAnsi="宋体" w:eastAsia="宋体" w:cs="宋体"/>
          <w:bCs/>
          <w:sz w:val="24"/>
          <w:szCs w:val="24"/>
        </w:rPr>
      </w:pPr>
      <w:bookmarkStart w:id="81" w:name="_Toc31550"/>
      <w:r>
        <w:rPr>
          <w:rFonts w:hint="eastAsia" w:ascii="宋体" w:hAnsi="宋体" w:eastAsia="宋体" w:cs="宋体"/>
          <w:bCs/>
          <w:sz w:val="24"/>
          <w:szCs w:val="24"/>
        </w:rPr>
        <w:t>3、</w:t>
      </w:r>
      <w:r>
        <w:rPr>
          <w:rFonts w:hint="eastAsia" w:ascii="宋体" w:hAnsi="宋体" w:eastAsia="宋体" w:cs="宋体"/>
          <w:bCs/>
          <w:sz w:val="24"/>
          <w:szCs w:val="24"/>
          <w:lang w:eastAsia="zh-CN"/>
        </w:rPr>
        <w:t>响应文件</w:t>
      </w:r>
      <w:bookmarkEnd w:id="81"/>
    </w:p>
    <w:p>
      <w:pPr>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sz w:val="24"/>
          <w:szCs w:val="24"/>
          <w:lang w:val="zh-CN"/>
        </w:rPr>
        <w:t>投标人应按照竞争性谈判文件的规定和要求编制响应文件。投标人编写的响应文件应包括下列部分：</w:t>
      </w:r>
    </w:p>
    <w:p>
      <w:pPr>
        <w:spacing w:line="360" w:lineRule="auto"/>
        <w:rPr>
          <w:rFonts w:hint="eastAsia" w:ascii="宋体" w:hAnsi="宋体" w:eastAsia="宋体" w:cs="宋体"/>
          <w:sz w:val="24"/>
          <w:szCs w:val="24"/>
          <w:lang w:val="zh-CN"/>
        </w:rPr>
      </w:pPr>
      <w:r>
        <w:rPr>
          <w:rFonts w:hint="eastAsia" w:ascii="宋体" w:hAnsi="宋体" w:eastAsia="宋体" w:cs="宋体"/>
          <w:sz w:val="24"/>
          <w:szCs w:val="24"/>
        </w:rPr>
        <w:t>3.1</w:t>
      </w:r>
      <w:r>
        <w:rPr>
          <w:rFonts w:hint="eastAsia" w:ascii="宋体" w:hAnsi="宋体" w:eastAsia="宋体" w:cs="宋体"/>
          <w:sz w:val="24"/>
          <w:szCs w:val="24"/>
          <w:lang w:val="zh-CN"/>
        </w:rPr>
        <w:t xml:space="preserve"> 报价部分。投标人按照竞争性谈判文件要求填写的“投标人报价单”。 本次报价要求：</w:t>
      </w:r>
    </w:p>
    <w:p>
      <w:pPr>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sz w:val="24"/>
          <w:szCs w:val="24"/>
          <w:lang w:val="zh-CN"/>
        </w:rPr>
        <w:t>（1）投标人的报价是投标人响应采购项目要求的全部货物内容的价格体现，包括投标人完成本项目所需的一切费用。</w:t>
      </w:r>
    </w:p>
    <w:p>
      <w:pPr>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sz w:val="24"/>
          <w:szCs w:val="24"/>
          <w:lang w:val="zh-CN"/>
        </w:rPr>
        <w:t>（2）投标人每种货物只允许有一个报价，并且在合同履行过程中是固定不变的，除竞争性谈判文件另有约定的，任何其他有选择或可调整的报价将不予接受。</w:t>
      </w:r>
    </w:p>
    <w:p>
      <w:pPr>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rPr>
        <w:t xml:space="preserve"> 投标人应对投标货物提供完整的详细的书面说明。</w:t>
      </w:r>
      <w:r>
        <w:rPr>
          <w:rFonts w:hint="eastAsia" w:ascii="宋体" w:hAnsi="宋体" w:eastAsia="宋体" w:cs="宋体"/>
          <w:b/>
          <w:bCs/>
          <w:color w:val="000000"/>
          <w:sz w:val="24"/>
          <w:u w:val="single"/>
        </w:rPr>
        <w:t>* 报价所有技术规格及商务指标必须完全符合竞争性谈判文件要求（不能负偏离），否则将视为无效报价。</w:t>
      </w:r>
    </w:p>
    <w:p>
      <w:pPr>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谈判小组有权对认为低于成本的报价要求投标人进行解释说明，但此解释说明只限制在现有竞争性谈判文件所示范围之内，并不得对谈判小组的评审做出实质性影响，否则谈判小组将否决其投标人，如谈判小组认为投标人对其低于成本价的解释未满足竞争性谈判文件要求，则谈判小组将否决其投标人。</w:t>
      </w:r>
    </w:p>
    <w:p>
      <w:pPr>
        <w:spacing w:line="360" w:lineRule="auto"/>
        <w:ind w:firstLine="705" w:firstLineChars="294"/>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 本项目设定投标人最高限价。投标人报价不得超过最高限价，否则谈判小组将否决其投标人。</w:t>
      </w:r>
    </w:p>
    <w:p>
      <w:pPr>
        <w:spacing w:line="360" w:lineRule="auto"/>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lang w:val="zh-CN"/>
        </w:rPr>
        <w:t xml:space="preserve"> 响应文件由以下几个部分</w:t>
      </w:r>
      <w:r>
        <w:rPr>
          <w:rFonts w:hint="eastAsia" w:ascii="宋体" w:hAnsi="宋体" w:eastAsia="宋体" w:cs="宋体"/>
          <w:sz w:val="24"/>
          <w:szCs w:val="24"/>
        </w:rPr>
        <w:t>组成：</w:t>
      </w:r>
    </w:p>
    <w:p>
      <w:pPr>
        <w:pStyle w:val="3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( 1 )  商务部分主要内容：营业执照、</w:t>
      </w:r>
      <w:r>
        <w:rPr>
          <w:rFonts w:hint="eastAsia" w:ascii="宋体" w:hAnsi="宋体" w:eastAsia="宋体" w:cs="宋体"/>
          <w:sz w:val="24"/>
          <w:szCs w:val="24"/>
          <w:lang w:eastAsia="zh-CN"/>
        </w:rPr>
        <w:t>资质证书、</w:t>
      </w:r>
      <w:r>
        <w:rPr>
          <w:rFonts w:hint="eastAsia" w:ascii="宋体" w:hAnsi="宋体" w:cs="宋体"/>
          <w:bCs/>
          <w:kern w:val="0"/>
          <w:sz w:val="24"/>
          <w:szCs w:val="22"/>
          <w:highlight w:val="none"/>
          <w:shd w:val="clear" w:color="050000" w:fill="auto"/>
          <w:lang w:val="en-US" w:eastAsia="zh-CN"/>
        </w:rPr>
        <w:t>安全生产许可证、注册建造师执业资格证及有效的安全生产考核合格证书</w:t>
      </w:r>
      <w:r>
        <w:rPr>
          <w:rFonts w:hint="eastAsia" w:ascii="宋体" w:hAnsi="宋体" w:eastAsia="宋体" w:cs="宋体"/>
          <w:sz w:val="24"/>
          <w:szCs w:val="24"/>
          <w:lang w:eastAsia="zh-CN"/>
        </w:rPr>
        <w:t>、</w:t>
      </w:r>
      <w:r>
        <w:rPr>
          <w:rFonts w:hint="eastAsia" w:eastAsia="宋体" w:cs="宋体"/>
          <w:b w:val="0"/>
          <w:bCs w:val="0"/>
          <w:kern w:val="2"/>
          <w:sz w:val="24"/>
          <w:szCs w:val="24"/>
          <w:highlight w:val="none"/>
          <w:lang w:val="en-US" w:eastAsia="zh-CN" w:bidi="ar-SA"/>
        </w:rPr>
        <w:t>提供投标企业近三年（2019年至今）类似项目业绩</w:t>
      </w:r>
      <w:r>
        <w:rPr>
          <w:rFonts w:hint="eastAsia" w:ascii="宋体" w:hAnsi="宋体" w:eastAsia="宋体" w:cs="宋体"/>
          <w:sz w:val="24"/>
          <w:szCs w:val="24"/>
          <w:lang w:val="en-US" w:eastAsia="zh-CN"/>
        </w:rPr>
        <w:t>、提供</w:t>
      </w:r>
      <w:r>
        <w:rPr>
          <w:rFonts w:hint="eastAsia" w:eastAsia="宋体" w:cs="宋体"/>
          <w:sz w:val="24"/>
          <w:szCs w:val="24"/>
          <w:lang w:val="en-US" w:eastAsia="zh-CN"/>
        </w:rPr>
        <w:t>本单位被授权人及拟派项目经理</w:t>
      </w:r>
      <w:r>
        <w:rPr>
          <w:rFonts w:hint="eastAsia" w:ascii="宋体" w:hAnsi="宋体" w:eastAsia="宋体" w:cs="宋体"/>
          <w:sz w:val="24"/>
          <w:szCs w:val="24"/>
          <w:lang w:val="en-US" w:eastAsia="zh-CN"/>
        </w:rPr>
        <w:t>近</w:t>
      </w:r>
      <w:r>
        <w:rPr>
          <w:rFonts w:hint="eastAsia" w:eastAsia="宋体" w:cs="宋体"/>
          <w:sz w:val="24"/>
          <w:szCs w:val="24"/>
          <w:lang w:val="en-US" w:eastAsia="zh-CN"/>
        </w:rPr>
        <w:t>三个月</w:t>
      </w:r>
      <w:r>
        <w:rPr>
          <w:rFonts w:hint="eastAsia" w:ascii="宋体" w:hAnsi="宋体" w:eastAsia="宋体" w:cs="宋体"/>
          <w:sz w:val="24"/>
          <w:szCs w:val="24"/>
          <w:lang w:val="en-US" w:eastAsia="zh-CN"/>
        </w:rPr>
        <w:t>的社保缴纳证明</w:t>
      </w:r>
      <w:r>
        <w:rPr>
          <w:rFonts w:hint="eastAsia" w:eastAsia="宋体" w:cs="宋体"/>
          <w:b w:val="0"/>
          <w:bCs w:val="0"/>
          <w:sz w:val="24"/>
          <w:szCs w:val="24"/>
          <w:lang w:val="en-US" w:eastAsia="zh-CN"/>
        </w:rPr>
        <w:t>、</w:t>
      </w:r>
      <w:r>
        <w:rPr>
          <w:rFonts w:hint="eastAsia" w:ascii="宋体" w:hAnsi="宋体" w:eastAsia="宋体" w:cs="宋体"/>
          <w:b w:val="0"/>
          <w:bCs w:val="0"/>
          <w:sz w:val="24"/>
          <w:szCs w:val="24"/>
          <w:highlight w:val="none"/>
          <w:lang w:val="en-US" w:eastAsia="zh-CN"/>
        </w:rPr>
        <w:t>近2年（</w:t>
      </w:r>
      <w:r>
        <w:rPr>
          <w:rFonts w:hint="eastAsia" w:ascii="宋体" w:hAnsi="宋体" w:cs="宋体"/>
          <w:b w:val="0"/>
          <w:bCs w:val="0"/>
          <w:sz w:val="24"/>
          <w:szCs w:val="24"/>
          <w:highlight w:val="none"/>
          <w:lang w:val="en-US" w:eastAsia="zh-CN"/>
        </w:rPr>
        <w:t>2020</w:t>
      </w:r>
      <w:r>
        <w:rPr>
          <w:rFonts w:hint="eastAsia" w:ascii="宋体" w:hAnsi="宋体" w:eastAsia="宋体" w:cs="宋体"/>
          <w:b w:val="0"/>
          <w:bCs w:val="0"/>
          <w:sz w:val="24"/>
          <w:szCs w:val="24"/>
          <w:highlight w:val="none"/>
          <w:lang w:val="en-US" w:eastAsia="zh-CN"/>
        </w:rPr>
        <w:t>-20</w:t>
      </w:r>
      <w:r>
        <w:rPr>
          <w:rFonts w:hint="eastAsia" w:ascii="宋体" w:hAnsi="宋体" w:cs="宋体"/>
          <w:b w:val="0"/>
          <w:bCs w:val="0"/>
          <w:sz w:val="24"/>
          <w:szCs w:val="24"/>
          <w:highlight w:val="none"/>
          <w:lang w:val="en-US" w:eastAsia="zh-CN"/>
        </w:rPr>
        <w:t>19</w:t>
      </w:r>
      <w:r>
        <w:rPr>
          <w:rFonts w:hint="eastAsia" w:ascii="宋体" w:hAnsi="宋体" w:eastAsia="宋体" w:cs="宋体"/>
          <w:b w:val="0"/>
          <w:bCs w:val="0"/>
          <w:sz w:val="24"/>
          <w:szCs w:val="24"/>
          <w:highlight w:val="none"/>
          <w:lang w:val="en-US" w:eastAsia="zh-CN"/>
        </w:rPr>
        <w:t>年度）财务审计报告</w:t>
      </w:r>
      <w:r>
        <w:rPr>
          <w:rFonts w:hint="eastAsia" w:cs="宋体"/>
          <w:b w:val="0"/>
          <w:bCs w:val="0"/>
          <w:sz w:val="24"/>
          <w:szCs w:val="24"/>
          <w:highlight w:val="none"/>
          <w:lang w:val="en-US" w:eastAsia="zh-CN"/>
        </w:rPr>
        <w:t>、</w:t>
      </w:r>
      <w:r>
        <w:rPr>
          <w:rFonts w:hint="eastAsia" w:ascii="宋体" w:hAnsi="宋体" w:cs="宋体"/>
          <w:bCs/>
          <w:kern w:val="0"/>
          <w:sz w:val="24"/>
          <w:szCs w:val="22"/>
          <w:highlight w:val="none"/>
          <w:shd w:val="clear" w:color="050000" w:fill="auto"/>
          <w:lang w:val="en-US" w:eastAsia="zh-CN"/>
        </w:rPr>
        <w:t>外省企业须办理进疆备案《新疆维吾尔自治区区外进疆建筑企业信息报送册》、法定代表人投标需提供法定代表人身份证，委托代理人投标需提供法定代表人授权委托书及授权委托人身份证</w:t>
      </w:r>
      <w:r>
        <w:rPr>
          <w:rFonts w:hint="eastAsia" w:ascii="宋体" w:hAnsi="宋体" w:eastAsia="宋体" w:cs="宋体"/>
          <w:sz w:val="24"/>
          <w:szCs w:val="24"/>
        </w:rPr>
        <w:t>、</w:t>
      </w:r>
      <w:r>
        <w:rPr>
          <w:rFonts w:hint="eastAsia" w:eastAsia="宋体" w:cs="宋体"/>
          <w:sz w:val="24"/>
          <w:szCs w:val="24"/>
          <w:lang w:eastAsia="zh-CN"/>
        </w:rPr>
        <w:t>投标人</w:t>
      </w:r>
      <w:r>
        <w:rPr>
          <w:rFonts w:hint="eastAsia" w:ascii="宋体" w:hAnsi="宋体" w:eastAsia="宋体" w:cs="宋体"/>
          <w:sz w:val="24"/>
          <w:szCs w:val="24"/>
        </w:rPr>
        <w:t>报价单、承诺书、法人身份证明书、报价明细表、</w:t>
      </w:r>
      <w:r>
        <w:rPr>
          <w:rFonts w:hint="eastAsia" w:eastAsia="宋体" w:cs="宋体"/>
          <w:sz w:val="24"/>
          <w:szCs w:val="24"/>
          <w:lang w:eastAsia="zh-CN"/>
        </w:rPr>
        <w:t>投标人</w:t>
      </w:r>
      <w:r>
        <w:rPr>
          <w:rFonts w:hint="eastAsia" w:ascii="宋体" w:hAnsi="宋体" w:eastAsia="宋体" w:cs="宋体"/>
          <w:sz w:val="24"/>
          <w:szCs w:val="24"/>
        </w:rPr>
        <w:t>基本情况表、技术指标服务要求响应偏离表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投标保证金</w:t>
      </w:r>
      <w:r>
        <w:rPr>
          <w:rFonts w:hint="eastAsia" w:eastAsia="宋体" w:cs="宋体"/>
          <w:sz w:val="24"/>
          <w:szCs w:val="24"/>
          <w:lang w:val="en-US" w:eastAsia="zh-CN"/>
        </w:rPr>
        <w:t>汇款凭证或保函等</w:t>
      </w:r>
      <w:r>
        <w:rPr>
          <w:rFonts w:hint="eastAsia" w:ascii="宋体" w:hAnsi="宋体" w:eastAsia="宋体" w:cs="宋体"/>
          <w:sz w:val="24"/>
          <w:szCs w:val="24"/>
          <w:lang w:val="en-US" w:eastAsia="zh-CN"/>
        </w:rPr>
        <w:t>。</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( 2 )  技术部分主要内容：</w:t>
      </w:r>
      <w:bookmarkStart w:id="82" w:name="_Toc183682355"/>
      <w:bookmarkStart w:id="83" w:name="_Toc183582218"/>
      <w:bookmarkStart w:id="84" w:name="_Toc217446049"/>
      <w:bookmarkStart w:id="85" w:name="_Toc279996695"/>
    </w:p>
    <w:p>
      <w:pPr>
        <w:spacing w:line="360" w:lineRule="auto"/>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eastAsia="zh-CN"/>
        </w:rPr>
        <w:t>工程</w:t>
      </w:r>
      <w:r>
        <w:rPr>
          <w:rFonts w:hint="eastAsia" w:ascii="宋体" w:hAnsi="宋体" w:eastAsia="宋体" w:cs="宋体"/>
          <w:sz w:val="24"/>
          <w:szCs w:val="24"/>
        </w:rPr>
        <w:t>所需设施、设备一览表</w:t>
      </w:r>
    </w:p>
    <w:p>
      <w:pPr>
        <w:spacing w:line="360" w:lineRule="auto"/>
        <w:rPr>
          <w:rFonts w:hint="eastAsia" w:ascii="宋体" w:hAnsi="宋体" w:eastAsia="宋体" w:cs="宋体"/>
          <w:sz w:val="24"/>
          <w:szCs w:val="24"/>
        </w:rPr>
      </w:pPr>
      <w:r>
        <w:rPr>
          <w:rFonts w:hint="eastAsia" w:ascii="宋体" w:hAnsi="宋体" w:eastAsia="宋体" w:cs="宋体"/>
          <w:sz w:val="24"/>
          <w:szCs w:val="24"/>
        </w:rPr>
        <w:t>施工方案与技术措施；</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工作周期及人员配备</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供应商需要补充的其他文件和说明</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val="en-US"/>
        </w:rPr>
      </w:pPr>
      <w:r>
        <w:rPr>
          <w:rFonts w:hint="eastAsia" w:ascii="宋体" w:hAnsi="宋体" w:eastAsia="宋体" w:cs="宋体"/>
          <w:sz w:val="24"/>
          <w:szCs w:val="24"/>
        </w:rPr>
        <w:t>其他承诺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服务承诺书、不参与围标串标承诺书、反商业贿赂承诺书</w:t>
      </w:r>
      <w:r>
        <w:rPr>
          <w:rFonts w:hint="eastAsia" w:ascii="宋体" w:hAnsi="宋体" w:eastAsia="宋体" w:cs="宋体"/>
          <w:sz w:val="24"/>
          <w:szCs w:val="24"/>
        </w:rPr>
        <w:t>等</w:t>
      </w:r>
      <w:r>
        <w:rPr>
          <w:rFonts w:hint="eastAsia" w:ascii="宋体" w:hAnsi="宋体" w:eastAsia="宋体" w:cs="宋体"/>
          <w:sz w:val="24"/>
          <w:szCs w:val="24"/>
          <w:lang w:eastAsia="zh-CN"/>
        </w:rPr>
        <w:t>），格式自拟。</w:t>
      </w:r>
    </w:p>
    <w:p>
      <w:pPr>
        <w:spacing w:line="360" w:lineRule="auto"/>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lang w:eastAsia="zh-CN"/>
        </w:rPr>
        <w:t>响应文件</w:t>
      </w:r>
      <w:r>
        <w:rPr>
          <w:rFonts w:hint="eastAsia" w:ascii="宋体" w:hAnsi="宋体" w:eastAsia="宋体" w:cs="宋体"/>
          <w:sz w:val="24"/>
          <w:szCs w:val="24"/>
        </w:rPr>
        <w:t>格式</w:t>
      </w:r>
      <w:bookmarkEnd w:id="82"/>
      <w:bookmarkEnd w:id="83"/>
      <w:bookmarkEnd w:id="84"/>
      <w:bookmarkEnd w:id="85"/>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投标人</w:t>
      </w:r>
      <w:r>
        <w:rPr>
          <w:rFonts w:hint="eastAsia" w:ascii="宋体" w:hAnsi="宋体" w:eastAsia="宋体" w:cs="宋体"/>
          <w:sz w:val="24"/>
          <w:szCs w:val="24"/>
        </w:rPr>
        <w:t>应按照竞争性谈判文件第三章中提供的“</w:t>
      </w:r>
      <w:r>
        <w:rPr>
          <w:rFonts w:hint="eastAsia" w:ascii="宋体" w:hAnsi="宋体" w:eastAsia="宋体" w:cs="宋体"/>
          <w:sz w:val="24"/>
          <w:szCs w:val="24"/>
          <w:lang w:eastAsia="zh-CN"/>
        </w:rPr>
        <w:t>响应文件</w:t>
      </w:r>
      <w:r>
        <w:rPr>
          <w:rFonts w:hint="eastAsia" w:ascii="宋体" w:hAnsi="宋体" w:eastAsia="宋体" w:cs="宋体"/>
          <w:sz w:val="24"/>
          <w:szCs w:val="24"/>
        </w:rPr>
        <w:t>格式”填写相关内容。</w:t>
      </w:r>
    </w:p>
    <w:p>
      <w:pPr>
        <w:spacing w:line="360"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rPr>
        <w:t>（2） 对于没有格式要求的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自行编写。</w:t>
      </w:r>
    </w:p>
    <w:bookmarkEnd w:id="74"/>
    <w:bookmarkEnd w:id="75"/>
    <w:bookmarkEnd w:id="76"/>
    <w:bookmarkEnd w:id="77"/>
    <w:bookmarkEnd w:id="78"/>
    <w:bookmarkEnd w:id="79"/>
    <w:p>
      <w:pPr>
        <w:spacing w:line="360" w:lineRule="auto"/>
        <w:outlineLvl w:val="1"/>
        <w:rPr>
          <w:rFonts w:hint="eastAsia" w:ascii="宋体" w:hAnsi="宋体" w:eastAsia="宋体" w:cs="宋体"/>
          <w:color w:val="auto"/>
          <w:sz w:val="24"/>
          <w:szCs w:val="24"/>
          <w:lang w:val="zh-CN"/>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 xml:space="preserve"> 响应竞争性谈判文件的密封、标记和递交</w:t>
      </w:r>
    </w:p>
    <w:p>
      <w:pPr>
        <w:pStyle w:val="215"/>
        <w:spacing w:line="460" w:lineRule="exact"/>
        <w:ind w:firstLine="560"/>
        <w:jc w:val="both"/>
        <w:rPr>
          <w:rFonts w:hint="eastAsia" w:ascii="宋体" w:hAnsi="宋体" w:eastAsia="宋体" w:cs="宋体"/>
          <w:color w:val="auto"/>
          <w:kern w:val="2"/>
          <w:sz w:val="24"/>
          <w:szCs w:val="24"/>
          <w:lang w:val="en-US" w:eastAsia="zh-CN" w:bidi="ar-SA"/>
        </w:rPr>
      </w:pPr>
      <w:bookmarkStart w:id="86" w:name="_Toc7278"/>
      <w:bookmarkStart w:id="87" w:name="_Toc487824926"/>
      <w:r>
        <w:rPr>
          <w:rFonts w:hint="eastAsia" w:ascii="宋体" w:hAnsi="宋体" w:eastAsia="宋体" w:cs="宋体"/>
          <w:color w:val="auto"/>
          <w:kern w:val="2"/>
          <w:sz w:val="24"/>
          <w:szCs w:val="24"/>
          <w:lang w:val="en-US" w:eastAsia="zh-CN" w:bidi="ar-SA"/>
        </w:rPr>
        <w:t>4.1 “电子加密投标文件”的递交：在线上传递交。供应商应在投标截止时间前将“电子加密投标文件”成功上传递交至“政府采购云平台”，否则投标无效。</w:t>
      </w:r>
    </w:p>
    <w:p>
      <w:pPr>
        <w:pStyle w:val="215"/>
        <w:spacing w:line="460" w:lineRule="exact"/>
        <w:ind w:firstLine="56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4.2 “电子加密投标文件”成功上传递交后，供应商可自行打印投标文件接收回执。</w:t>
      </w:r>
    </w:p>
    <w:p>
      <w:pPr>
        <w:pStyle w:val="215"/>
        <w:spacing w:line="460" w:lineRule="exact"/>
        <w:ind w:firstLine="56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4.3 投标文件如果未按上述规定解密、上传，采购人或采购代理机构将视为无效投标。</w:t>
      </w:r>
    </w:p>
    <w:p>
      <w:pPr>
        <w:pStyle w:val="215"/>
        <w:spacing w:line="460" w:lineRule="exact"/>
        <w:jc w:val="both"/>
        <w:outlineLvl w:val="1"/>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5、响应文件的补充，修改或者撤回</w:t>
      </w:r>
    </w:p>
    <w:p>
      <w:pPr>
        <w:pStyle w:val="215"/>
        <w:spacing w:line="460" w:lineRule="exact"/>
        <w:ind w:firstLine="56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 供应商在本章第11.1款规定的谈判截止时间前，可以对所提交的响应文件进行补充、修改或者撤回，并书面通知采购人或者采购代理机构。补充、修改的内容应当按照竞争性谈判文件要求签署、盖章、密封后，作为响应文件的组成部分。该通知应有供应商法定代表人或其委托代理人签字。</w:t>
      </w:r>
    </w:p>
    <w:p>
      <w:pPr>
        <w:pStyle w:val="215"/>
        <w:spacing w:line="460" w:lineRule="exact"/>
        <w:ind w:firstLine="56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5.2 补充、修改的内容与响应文件不一致时，以补充、修改的内容为准。</w:t>
      </w:r>
    </w:p>
    <w:p>
      <w:pPr>
        <w:pStyle w:val="215"/>
        <w:spacing w:line="460" w:lineRule="exact"/>
        <w:ind w:firstLine="56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5.3 供应商根据竞争性谈判文件的规定和采购项目的实际情况，拟在成交后将成交项目的非主体、非关键性工作分包的，应当在响应文件中载明分包承担主体，分包承担主体应当具备相应资质条件且不得再次分包。</w:t>
      </w:r>
    </w:p>
    <w:p>
      <w:pPr>
        <w:pStyle w:val="215"/>
        <w:spacing w:line="760" w:lineRule="exact"/>
        <w:jc w:val="center"/>
        <w:outlineLvl w:val="0"/>
        <w:rPr>
          <w:rFonts w:hint="eastAsia" w:ascii="宋体" w:hAnsi="宋体" w:eastAsia="宋体" w:cs="宋体"/>
          <w:b/>
          <w:color w:val="auto"/>
          <w:kern w:val="2"/>
          <w:sz w:val="32"/>
          <w:szCs w:val="32"/>
          <w:lang w:val="en-US" w:eastAsia="zh-CN" w:bidi="ar-SA"/>
        </w:rPr>
      </w:pPr>
      <w:bookmarkStart w:id="88" w:name="_Toc12672"/>
      <w:r>
        <w:rPr>
          <w:rFonts w:hint="eastAsia" w:ascii="宋体" w:hAnsi="宋体" w:eastAsia="宋体" w:cs="宋体"/>
          <w:b/>
          <w:color w:val="auto"/>
          <w:kern w:val="2"/>
          <w:sz w:val="32"/>
          <w:szCs w:val="32"/>
          <w:lang w:val="en-US" w:eastAsia="zh-CN" w:bidi="ar-SA"/>
        </w:rPr>
        <w:t>四、响应文件的递交</w:t>
      </w:r>
      <w:bookmarkEnd w:id="88"/>
    </w:p>
    <w:p>
      <w:pPr>
        <w:pStyle w:val="215"/>
        <w:spacing w:line="460" w:lineRule="exact"/>
        <w:jc w:val="both"/>
        <w:outlineLvl w:val="1"/>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6. 响应文件的递交与接收</w:t>
      </w:r>
    </w:p>
    <w:p>
      <w:pPr>
        <w:pStyle w:val="215"/>
        <w:spacing w:line="460" w:lineRule="exact"/>
        <w:ind w:firstLine="56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6.1 投标人应在本章第11.1款规定的提交投标文件截止时间前，将投标文件送达投标须知前附表中指定的地点（网址）。在截止时间后送达的投标文件，采购人、采购代理机构应当拒收。</w:t>
      </w:r>
    </w:p>
    <w:p>
      <w:pPr>
        <w:pStyle w:val="5"/>
        <w:spacing w:before="0" w:after="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、谈判保证金</w:t>
      </w:r>
      <w:bookmarkEnd w:id="86"/>
      <w:bookmarkEnd w:id="87"/>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谈判保证金数额详见投标人须知。</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谈判保证金用于应对本次谈判因投标人违规、违约而产生的风险。</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谈判保证金以银行电汇或网银转账</w:t>
      </w:r>
      <w:r>
        <w:rPr>
          <w:rFonts w:hint="eastAsia" w:ascii="宋体" w:hAnsi="宋体" w:eastAsia="宋体" w:cs="宋体"/>
          <w:sz w:val="24"/>
          <w:szCs w:val="24"/>
          <w:lang w:val="en-US" w:eastAsia="zh-CN"/>
        </w:rPr>
        <w:t>或保函</w:t>
      </w:r>
      <w:r>
        <w:rPr>
          <w:rFonts w:hint="eastAsia" w:ascii="宋体" w:hAnsi="宋体" w:eastAsia="宋体" w:cs="宋体"/>
          <w:sz w:val="24"/>
          <w:szCs w:val="24"/>
          <w:lang w:val="zh-CN"/>
        </w:rPr>
        <w:t>交付。对未按要求提交保证金的投标人，采购代理机构将视为不响应投标人予以拒绝。</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未成交人的谈判保证金，将在定标结束后</w:t>
      </w:r>
      <w:r>
        <w:rPr>
          <w:rFonts w:hint="eastAsia" w:ascii="宋体" w:hAnsi="宋体" w:eastAsia="宋体" w:cs="宋体"/>
          <w:sz w:val="24"/>
          <w:szCs w:val="24"/>
        </w:rPr>
        <w:t>5</w:t>
      </w:r>
      <w:r>
        <w:rPr>
          <w:rFonts w:hint="eastAsia" w:ascii="宋体" w:hAnsi="宋体" w:eastAsia="宋体" w:cs="宋体"/>
          <w:sz w:val="24"/>
          <w:szCs w:val="24"/>
          <w:lang w:val="zh-CN"/>
        </w:rPr>
        <w:t>日内退还（不计息）。</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.5 发生以下情况谈判保证金可能不予退还：</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.5.1 投标人在投标人有效期内撤回投标人的；</w:t>
      </w:r>
    </w:p>
    <w:p>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.5.2 成交人未能做到按规定签定合同的。</w:t>
      </w:r>
    </w:p>
    <w:p>
      <w:pPr>
        <w:pStyle w:val="5"/>
        <w:spacing w:before="0" w:after="0" w:line="360" w:lineRule="auto"/>
        <w:rPr>
          <w:rFonts w:hint="eastAsia" w:ascii="宋体" w:hAnsi="宋体" w:eastAsia="宋体" w:cs="宋体"/>
          <w:sz w:val="24"/>
          <w:szCs w:val="24"/>
          <w:lang w:val="zh-CN"/>
        </w:rPr>
      </w:pPr>
      <w:bookmarkStart w:id="89" w:name="_Toc487824927"/>
      <w:bookmarkStart w:id="90" w:name="_Toc1382"/>
      <w:r>
        <w:rPr>
          <w:rFonts w:hint="eastAsia" w:ascii="宋体" w:hAnsi="宋体" w:eastAsia="宋体" w:cs="宋体"/>
          <w:sz w:val="24"/>
          <w:szCs w:val="24"/>
          <w:lang w:val="en-US" w:eastAsia="zh-CN"/>
        </w:rPr>
        <w:t>8</w:t>
      </w:r>
      <w:r>
        <w:rPr>
          <w:rFonts w:hint="eastAsia" w:ascii="宋体" w:hAnsi="宋体" w:eastAsia="宋体" w:cs="宋体"/>
          <w:sz w:val="24"/>
          <w:szCs w:val="24"/>
          <w:lang w:val="zh-CN"/>
        </w:rPr>
        <w:t>、现场踏勘</w:t>
      </w:r>
      <w:bookmarkEnd w:id="89"/>
      <w:bookmarkEnd w:id="90"/>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投标人</w:t>
      </w:r>
      <w:r>
        <w:rPr>
          <w:rFonts w:hint="eastAsia" w:ascii="宋体" w:hAnsi="宋体" w:eastAsia="宋体" w:cs="宋体"/>
          <w:sz w:val="24"/>
          <w:szCs w:val="24"/>
        </w:rPr>
        <w:t>自行在开标前对施工现场和周围环境进行勘察，以获取须</w:t>
      </w:r>
      <w:r>
        <w:rPr>
          <w:rFonts w:hint="eastAsia" w:ascii="宋体" w:hAnsi="宋体" w:eastAsia="宋体" w:cs="宋体"/>
          <w:sz w:val="24"/>
          <w:szCs w:val="24"/>
          <w:lang w:eastAsia="zh-CN"/>
        </w:rPr>
        <w:t>投标人</w:t>
      </w:r>
      <w:r>
        <w:rPr>
          <w:rFonts w:hint="eastAsia" w:ascii="宋体" w:hAnsi="宋体" w:eastAsia="宋体" w:cs="宋体"/>
          <w:sz w:val="24"/>
          <w:szCs w:val="24"/>
        </w:rPr>
        <w:t>自己负责的有关编制</w:t>
      </w:r>
      <w:r>
        <w:rPr>
          <w:rFonts w:hint="eastAsia" w:ascii="宋体" w:hAnsi="宋体" w:eastAsia="宋体" w:cs="宋体"/>
          <w:sz w:val="24"/>
          <w:szCs w:val="24"/>
          <w:lang w:eastAsia="zh-CN"/>
        </w:rPr>
        <w:t>响应文件</w:t>
      </w:r>
      <w:r>
        <w:rPr>
          <w:rFonts w:hint="eastAsia" w:ascii="宋体" w:hAnsi="宋体" w:eastAsia="宋体" w:cs="宋体"/>
          <w:sz w:val="24"/>
          <w:szCs w:val="24"/>
        </w:rPr>
        <w:t>和签署合同所需的所有资料。勘察现场所发生的费用由</w:t>
      </w:r>
      <w:r>
        <w:rPr>
          <w:rFonts w:hint="eastAsia" w:ascii="宋体" w:hAnsi="宋体" w:eastAsia="宋体" w:cs="宋体"/>
          <w:sz w:val="24"/>
          <w:szCs w:val="24"/>
          <w:lang w:eastAsia="zh-CN"/>
        </w:rPr>
        <w:t>投标人</w:t>
      </w:r>
      <w:r>
        <w:rPr>
          <w:rFonts w:hint="eastAsia" w:ascii="宋体" w:hAnsi="宋体" w:eastAsia="宋体" w:cs="宋体"/>
          <w:sz w:val="24"/>
          <w:szCs w:val="24"/>
        </w:rPr>
        <w:t>自己承担。</w:t>
      </w:r>
    </w:p>
    <w:p>
      <w:pPr>
        <w:pStyle w:val="215"/>
        <w:spacing w:line="760" w:lineRule="exact"/>
        <w:jc w:val="center"/>
        <w:outlineLvl w:val="0"/>
        <w:rPr>
          <w:rFonts w:hint="eastAsia" w:ascii="宋体" w:hAnsi="宋体" w:eastAsia="宋体" w:cs="宋体"/>
          <w:b/>
          <w:color w:val="auto"/>
          <w:kern w:val="2"/>
          <w:sz w:val="32"/>
          <w:szCs w:val="32"/>
          <w:lang w:val="en-US" w:eastAsia="zh-CN" w:bidi="ar-SA"/>
        </w:rPr>
      </w:pPr>
      <w:bookmarkStart w:id="91" w:name="_Toc10230"/>
      <w:r>
        <w:rPr>
          <w:rFonts w:hint="eastAsia" w:ascii="宋体" w:hAnsi="宋体" w:eastAsia="宋体" w:cs="宋体"/>
          <w:b/>
          <w:color w:val="auto"/>
          <w:kern w:val="2"/>
          <w:sz w:val="32"/>
          <w:szCs w:val="32"/>
          <w:lang w:val="en-US" w:eastAsia="zh-CN" w:bidi="ar-SA"/>
        </w:rPr>
        <w:t>五、谈判</w:t>
      </w:r>
      <w:bookmarkEnd w:id="91"/>
    </w:p>
    <w:p>
      <w:pPr>
        <w:pStyle w:val="5"/>
        <w:spacing w:before="0" w:after="0" w:line="360" w:lineRule="auto"/>
        <w:rPr>
          <w:rFonts w:hint="eastAsia" w:ascii="宋体" w:hAnsi="宋体" w:eastAsia="宋体" w:cs="宋体"/>
          <w:sz w:val="24"/>
          <w:szCs w:val="24"/>
          <w:lang w:val="zh-CN"/>
        </w:rPr>
      </w:pPr>
      <w:bookmarkStart w:id="92" w:name="_Toc10678"/>
      <w:r>
        <w:rPr>
          <w:rFonts w:hint="eastAsia" w:ascii="宋体" w:hAnsi="宋体" w:eastAsia="宋体" w:cs="宋体"/>
          <w:sz w:val="24"/>
          <w:szCs w:val="24"/>
          <w:lang w:val="en-US" w:eastAsia="zh-CN"/>
        </w:rPr>
        <w:t>9</w:t>
      </w:r>
      <w:r>
        <w:rPr>
          <w:rFonts w:hint="eastAsia" w:ascii="宋体" w:hAnsi="宋体" w:eastAsia="宋体" w:cs="宋体"/>
          <w:sz w:val="24"/>
          <w:szCs w:val="24"/>
          <w:lang w:val="zh-CN"/>
        </w:rPr>
        <w:t>、谈判程序</w:t>
      </w:r>
      <w:bookmarkEnd w:id="92"/>
    </w:p>
    <w:p>
      <w:pPr>
        <w:autoSpaceDE w:val="0"/>
        <w:autoSpaceDN w:val="0"/>
        <w:adjustRightInd w:val="0"/>
        <w:spacing w:line="360" w:lineRule="auto"/>
        <w:rPr>
          <w:rFonts w:hint="eastAsia" w:ascii="宋体" w:hAnsi="宋体" w:eastAsia="宋体" w:cs="宋体"/>
          <w:b/>
          <w:sz w:val="24"/>
          <w:szCs w:val="24"/>
        </w:rPr>
      </w:pPr>
      <w:r>
        <w:rPr>
          <w:rFonts w:hint="eastAsia" w:ascii="宋体" w:hAnsi="宋体" w:eastAsia="宋体" w:cs="宋体"/>
          <w:b/>
          <w:sz w:val="24"/>
          <w:szCs w:val="24"/>
        </w:rPr>
        <w:t>1、谈判</w:t>
      </w:r>
    </w:p>
    <w:p>
      <w:pPr>
        <w:pStyle w:val="133"/>
        <w:numPr>
          <w:ilvl w:val="0"/>
          <w:numId w:val="0"/>
        </w:numPr>
        <w:tabs>
          <w:tab w:val="clear" w:pos="709"/>
        </w:tabs>
        <w:spacing w:line="4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采购人、采购代理机构应当通过发布公告、从省级以上财政部门建立的供应商库中随机抽取或者采购人和评审专家分别书面推荐的方式邀请不少于3家符合相应资格条件的供应商参与竞争性谈判采购活动。</w:t>
      </w:r>
    </w:p>
    <w:p>
      <w:pPr>
        <w:pStyle w:val="133"/>
        <w:numPr>
          <w:ilvl w:val="0"/>
          <w:numId w:val="0"/>
        </w:numPr>
        <w:tabs>
          <w:tab w:val="clear" w:pos="709"/>
        </w:tabs>
        <w:spacing w:line="4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采取采购人和评审专家书面推荐方式选择供应商的，采购人和评审专家应当各自出具书面推荐意见。采购人推荐供应商的比例不得高于推荐供应商总数的50%。</w:t>
      </w:r>
    </w:p>
    <w:p>
      <w:pPr>
        <w:pStyle w:val="215"/>
        <w:spacing w:line="460" w:lineRule="exact"/>
        <w:ind w:firstLine="56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 采购组织机构将按照招标文件规定的时间通过“政府采购云平台”组织开标，所有供应商均应当准时在线参加。供应商自行承担因不参加在线开标而产生的不利后果。</w:t>
      </w:r>
    </w:p>
    <w:p>
      <w:pPr>
        <w:autoSpaceDE w:val="0"/>
        <w:autoSpaceDN w:val="0"/>
        <w:adjustRightIn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1.3谈判程序</w:t>
      </w:r>
    </w:p>
    <w:p>
      <w:pPr>
        <w:autoSpaceDE w:val="0"/>
        <w:autoSpaceDN w:val="0"/>
        <w:adjustRightIn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1.3.1成立谈判小组。谈判小组由采购人的代表和有关专家共三人以上的单数组成，其中专家的人数不得少于成员总数的三分之二。</w:t>
      </w:r>
    </w:p>
    <w:p>
      <w:pPr>
        <w:pStyle w:val="33"/>
        <w:spacing w:line="360" w:lineRule="auto"/>
        <w:ind w:firstLine="48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1.3.2制定谈判文件。谈判文件应当明确谈判程序、谈判内容、合同草案的条款以及评定成交的标准等事项。</w:t>
      </w:r>
    </w:p>
    <w:p>
      <w:pPr>
        <w:pStyle w:val="33"/>
        <w:spacing w:line="360" w:lineRule="auto"/>
        <w:ind w:firstLine="48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1.3.3确定邀请参加谈判的供应商名单。谈判小组从符合相应资格条件的供应商名单中确定不少于三家的供应商参加谈判，并向其提供谈判文件。</w:t>
      </w:r>
    </w:p>
    <w:p>
      <w:pPr>
        <w:autoSpaceDE w:val="0"/>
        <w:autoSpaceDN w:val="0"/>
        <w:adjustRightInd w:val="0"/>
        <w:spacing w:line="240" w:lineRule="auto"/>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1.3.4谈判。</w:t>
      </w:r>
    </w:p>
    <w:p>
      <w:pPr>
        <w:autoSpaceDE w:val="0"/>
        <w:autoSpaceDN w:val="0"/>
        <w:adjustRightInd w:val="0"/>
        <w:spacing w:line="360" w:lineRule="auto"/>
        <w:ind w:firstLine="562" w:firstLineChars="200"/>
        <w:jc w:val="left"/>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（1）向各投标供应商发出电子加密投标文件【开始解密】通知，各投标供应商代表应当在接到解密通知后30分钟内自行完成“电子加密投标文件”的在线解密，如未按时解密则视为无效投标。</w:t>
      </w:r>
    </w:p>
    <w:p>
      <w:pPr>
        <w:autoSpaceDE w:val="0"/>
        <w:autoSpaceDN w:val="0"/>
        <w:adjustRightInd w:val="0"/>
        <w:spacing w:line="360" w:lineRule="auto"/>
        <w:ind w:firstLine="562" w:firstLineChars="200"/>
        <w:jc w:val="left"/>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（2） 开启《报价一览表》，公布投标供应商报价，各投标供应商代表应当在</w:t>
      </w:r>
      <w:r>
        <w:rPr>
          <w:rFonts w:hint="eastAsia" w:ascii="宋体" w:hAnsi="宋体" w:cs="宋体"/>
          <w:b/>
          <w:kern w:val="0"/>
          <w:sz w:val="28"/>
          <w:szCs w:val="28"/>
          <w:lang w:val="en-US" w:eastAsia="zh-CN" w:bidi="ar-SA"/>
        </w:rPr>
        <w:t>2</w:t>
      </w:r>
      <w:r>
        <w:rPr>
          <w:rFonts w:hint="eastAsia" w:ascii="宋体" w:hAnsi="宋体" w:eastAsia="宋体" w:cs="宋体"/>
          <w:b/>
          <w:kern w:val="0"/>
          <w:sz w:val="28"/>
          <w:szCs w:val="28"/>
          <w:lang w:val="en-US" w:eastAsia="zh-CN" w:bidi="ar-SA"/>
        </w:rPr>
        <w:t>0分钟内CA签字确认。</w:t>
      </w:r>
    </w:p>
    <w:p>
      <w:pPr>
        <w:autoSpaceDE w:val="0"/>
        <w:autoSpaceDN w:val="0"/>
        <w:adjustRightInd w:val="0"/>
        <w:spacing w:line="360" w:lineRule="auto"/>
        <w:ind w:firstLine="562" w:firstLineChars="200"/>
        <w:jc w:val="left"/>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3）开启资格证明文件，由采购人在监督下进行资格审查；评审小组对通过资格审查的投标供应商进行符合性审查（资格审查及符合性审查要求条款复印件需加盖投标供应商电子签章并逐条上传至政采云平台开评标管理资格审查及符合性审查处）。</w:t>
      </w:r>
    </w:p>
    <w:p>
      <w:pPr>
        <w:pStyle w:val="33"/>
        <w:spacing w:line="460" w:lineRule="exact"/>
        <w:ind w:firstLine="562" w:firstLineChars="200"/>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4）谈判小组所有成员集中与单一供应商按照谈判大会供应商签到的逆顺序分别进行谈判及进行报价。在谈判中，谈判的任何一方不得透露与谈判有关的其他供应商的技术资料、价格和其他信息。谈判文件有实质性变动的，谈判小组应当以书面形式通知所有参加谈判的供应商。</w:t>
      </w:r>
    </w:p>
    <w:p>
      <w:pPr>
        <w:autoSpaceDE w:val="0"/>
        <w:autoSpaceDN w:val="0"/>
        <w:adjustRightInd w:val="0"/>
        <w:spacing w:line="360" w:lineRule="auto"/>
        <w:ind w:firstLine="562" w:firstLineChars="200"/>
        <w:jc w:val="left"/>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（5）开启报价文件，核实政策价格认定资料，扣除优惠报价，汇总报价得分。</w:t>
      </w:r>
    </w:p>
    <w:p>
      <w:pPr>
        <w:autoSpaceDE w:val="0"/>
        <w:autoSpaceDN w:val="0"/>
        <w:adjustRightInd w:val="0"/>
        <w:spacing w:line="360" w:lineRule="auto"/>
        <w:ind w:firstLine="562" w:firstLineChars="200"/>
        <w:jc w:val="left"/>
        <w:rPr>
          <w:rFonts w:hint="eastAsia" w:ascii="宋体" w:hAnsi="宋体" w:eastAsia="宋体" w:cs="宋体"/>
          <w:sz w:val="28"/>
          <w:szCs w:val="28"/>
        </w:rPr>
      </w:pPr>
      <w:r>
        <w:rPr>
          <w:rFonts w:hint="eastAsia" w:ascii="宋体" w:hAnsi="宋体" w:eastAsia="宋体" w:cs="宋体"/>
          <w:b/>
          <w:kern w:val="0"/>
          <w:sz w:val="28"/>
          <w:szCs w:val="28"/>
          <w:lang w:val="en-US" w:eastAsia="zh-CN" w:bidi="ar-SA"/>
        </w:rPr>
        <w:t>（6）通过电子交易平台公布无效供应商名单及导致无效的原因。</w:t>
      </w:r>
    </w:p>
    <w:p>
      <w:pPr>
        <w:pStyle w:val="133"/>
        <w:numPr>
          <w:ilvl w:val="0"/>
          <w:numId w:val="0"/>
        </w:numPr>
        <w:tabs>
          <w:tab w:val="clear" w:pos="709"/>
        </w:tabs>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1.3.5确定成交供应商。谈判结束后，谈判小组应当要求所有参加谈判的供应商在规定时间内分别进行最后报价，采购人从谈判小组提出的成交候选人中根据符合采购需求、质量和服务相等且最后报价最低的原则确定成交供应商，并将结果通知所有参加谈判的未成交的供应商。</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1.4 本次采购应实现节约能源、保护环境、扶持不发达地区和少数民族地区、促进中小企业发展等目标。在技术、服务等指标满足采购需求的前提下，优先采购节能产品。</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 供应商应当遵循公平竞争的原则，不得恶意串通，不得妨碍其他供应商的竞争行为，不得损害采购人或者其他供应商的合法权益。</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在评审过程中发现供应商有上述情形的，谈判小组应当认定其谈判无效，并书面报告本级财政部门。</w:t>
      </w:r>
    </w:p>
    <w:p>
      <w:pPr>
        <w:pStyle w:val="215"/>
        <w:spacing w:line="460" w:lineRule="exact"/>
        <w:ind w:firstLine="560"/>
        <w:jc w:val="both"/>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w:t>
      </w:r>
      <w:r>
        <w:rPr>
          <w:rFonts w:hint="eastAsia" w:ascii="宋体" w:hAnsi="宋体" w:eastAsia="宋体" w:cs="宋体"/>
          <w:b/>
          <w:color w:val="auto"/>
          <w:sz w:val="28"/>
          <w:szCs w:val="28"/>
        </w:rPr>
        <w:t>.6 有下列情形之一的，视为供应商串通谈判，其谈判无效,并对供应商依照《政府采购法》第七十七条的规定追究法律责任：</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（一）不同供应商的响应文件由同一单位或者个人编制；</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（二）不同供应商委托同一单位或者个人办理谈判事宜；</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（三）不同供应商的响应文件载明的项目管理成员或者联系人员为同一人；</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（四）不同供应商的响应文件异常一致或者谈判报价呈规律性差异；</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（五）不同供应商的响应文件相互混上传；</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（六）不同供应商的谈判保证金从同一单位或者个人的账户转出。</w:t>
      </w:r>
    </w:p>
    <w:p>
      <w:pPr>
        <w:pStyle w:val="215"/>
        <w:spacing w:line="460" w:lineRule="exact"/>
        <w:jc w:val="both"/>
        <w:outlineLvl w:val="1"/>
        <w:rPr>
          <w:rFonts w:hint="eastAsia" w:ascii="宋体" w:hAnsi="宋体" w:eastAsia="宋体" w:cs="宋体"/>
          <w:b/>
          <w:color w:val="auto"/>
          <w:kern w:val="2"/>
          <w:sz w:val="24"/>
          <w:szCs w:val="24"/>
          <w:lang w:val="zh-CN" w:eastAsia="zh-CN" w:bidi="ar-SA"/>
        </w:rPr>
      </w:pPr>
      <w:r>
        <w:rPr>
          <w:rFonts w:hint="eastAsia" w:ascii="宋体" w:hAnsi="宋体" w:eastAsia="宋体" w:cs="宋体"/>
          <w:b/>
          <w:color w:val="auto"/>
          <w:kern w:val="2"/>
          <w:sz w:val="24"/>
          <w:szCs w:val="24"/>
          <w:lang w:val="en-US" w:eastAsia="zh-CN" w:bidi="ar-SA"/>
        </w:rPr>
        <w:t>10、</w:t>
      </w:r>
      <w:r>
        <w:rPr>
          <w:rFonts w:hint="eastAsia" w:ascii="宋体" w:hAnsi="宋体" w:eastAsia="宋体" w:cs="宋体"/>
          <w:b/>
          <w:color w:val="auto"/>
          <w:kern w:val="2"/>
          <w:sz w:val="24"/>
          <w:szCs w:val="24"/>
          <w:lang w:val="zh-CN" w:eastAsia="zh-CN" w:bidi="ar-SA"/>
        </w:rPr>
        <w:t xml:space="preserve"> 谈判小组</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10.1竞争性谈判小组由采购人代表和评审专家共3人以上单数组成，其中评审专家人数不得少于竞争性谈判小组成员总数的2/3。采购人不得以评审专家身份参加本部门或本单位采购项目的评审。采购代理机构人员不得参加本机构代理的采购项目的评审。</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达到公开招标数额标准的货物或者服务采购项目，或者达到招标规模标准的政府采购工程，竞争性谈判小组应当由5人以上单数组成。</w:t>
      </w:r>
    </w:p>
    <w:p>
      <w:pPr>
        <w:spacing w:line="460" w:lineRule="exact"/>
        <w:ind w:firstLine="240" w:firstLineChars="1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10.2采用竞争性谈判方式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10.3竞争性谈判小组在采购活动过程中应当履行下列职责：</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（一）确认或者制定谈判文件；</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（二）从符合相应资格条件的供应商名单中确定不少于3家的供应商参加谈判；</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（三）审查供应商的响应文件并作出评价；</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（四）要求供应商解释或者澄清其响应文件；</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（五）编写评审报告；</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（六）告知采购人、采购代理机构在评审过程中发现的供应商的违法违规行为。</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10.4竞争性谈判小组成员应当履行下列义务：</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（一）遵纪守法，客观、公正、廉洁地履行职责；</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（二）根据采购文件的规定独立进行评审，对个人的评审意见承担法律责任；</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（三）参与评审报告的起草；</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（四）配合采购人、采购代理机构答复供应商提出的质疑；</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（五）配合财政部门的投诉处理和监督检查工作。</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10.5 采购人或者采购代理机构负责组织评审工作，并履行下列职责：</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10.5.1核对评审专家身份和采购人代表授权函，对评审专家在政府采购活动中的职责履行情况予以记录，并及时将有关违法违规行为向财政部门报告；</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10.5.2宣布评审纪律；</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10.5.3公布供应商名单，告知评审专家应当回避的情形；</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10.5.4组织竞争性谈判小组推选组长,采购人代表不得担任组长；</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10.5.5在评审期间采取必要的通讯管理措施,保证评审活动不受外界干扰；</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10.5.6根据竞争性谈判小组的要求介绍政府采购相关政策法规、竞争性谈判文件；</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10.5.7维护评审秩序，监督竞争性谈判小组依照竞争性谈判文件规定的评审程序、方法和标准进行独立评审，及时制止和纠正采购人代表、评审专家的倾向性言论或者违法违规行为；</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10.5.8核对评审结果，有本竞争性谈判文件供应商须知正文第25.10条规定情形的，要求竞争性谈判小组复核或者书面说明理由，竞争性谈判小组拒绝的，应予记录并向本级财政部门报告；</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10.5.9评审工作完成后，按照规定向评审专家支付劳务报酬和异地评审差旅费，不得向评审专家以外的其他人员支付评审劳务报酬；</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10.5.10处理与评审有关的其他事项。</w:t>
      </w:r>
    </w:p>
    <w:p>
      <w:pPr>
        <w:spacing w:line="460" w:lineRule="exact"/>
        <w:ind w:firstLine="561"/>
        <w:rPr>
          <w:rFonts w:hint="eastAsia" w:ascii="宋体" w:hAnsi="宋体" w:eastAsia="宋体" w:cs="宋体"/>
          <w:sz w:val="28"/>
          <w:szCs w:val="28"/>
        </w:rPr>
      </w:pPr>
      <w:r>
        <w:rPr>
          <w:rFonts w:hint="eastAsia" w:ascii="宋体" w:hAnsi="宋体" w:eastAsia="宋体" w:cs="宋体"/>
          <w:b/>
          <w:bCs/>
          <w:sz w:val="28"/>
          <w:szCs w:val="28"/>
        </w:rPr>
        <w:t>采购人可以在评审前说明项目背景和采购需求，说明内容不得含有歧视性、倾向性意见，不得超出竞争性谈判文件所述范围。说明应当提交书面材料，并随采购文件一并存档。</w:t>
      </w:r>
    </w:p>
    <w:p>
      <w:pPr>
        <w:spacing w:line="460" w:lineRule="exact"/>
        <w:ind w:firstLine="561"/>
        <w:rPr>
          <w:rFonts w:hint="eastAsia" w:ascii="宋体" w:hAnsi="宋体" w:eastAsia="宋体" w:cs="宋体"/>
          <w:b/>
          <w:bCs/>
          <w:sz w:val="28"/>
          <w:szCs w:val="28"/>
        </w:rPr>
      </w:pPr>
      <w:r>
        <w:rPr>
          <w:rFonts w:hint="eastAsia" w:ascii="宋体" w:hAnsi="宋体" w:eastAsia="宋体" w:cs="宋体"/>
          <w:b/>
          <w:bCs/>
          <w:sz w:val="28"/>
          <w:szCs w:val="28"/>
        </w:rPr>
        <w:t>竞争性谈判小组成员名单在评审结果公告前应当保密。</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10.6 采购人或者采购代理机构应当从省级以上财政部门设立的政府采购评审专家库中，通过随机方式抽取评审专家。</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对技术复杂、专业性强的采购项目，通过随机方式难以确定合适评审专家的，经主管预算单位同意，采购人可以自行选定相应专业领域的评审专家。</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10.7 评审中因竞争性谈判小组成员缺席、回避或者健康等特殊原因导致竞争性谈判小组组成不符合《中华人民共和国政府采购法》《中华人民共和国政府采购法实施条例》等法规相关规定的，采购人或者采购代理机构应当依法补足后继续评审。被更换的竞争性谈判小组成员所作出的评审意见无效。</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无法及时补足竞争性谈判小组成员的，采购人或者采购代理机构应当停止评审活动，封存所有响应文件和谈判资料，依法重新组建竞争性谈判小组进行评审。原竞争性谈判小组所作出的评审意见无效。</w:t>
      </w:r>
    </w:p>
    <w:p>
      <w:pPr>
        <w:spacing w:line="460" w:lineRule="exact"/>
        <w:ind w:firstLine="56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采购人或者采购代理机构应当将变更、重新组建竞争性谈判小组的情况予以记录，并随采购文件一并存档。</w:t>
      </w:r>
    </w:p>
    <w:p>
      <w:pPr>
        <w:spacing w:line="460" w:lineRule="exact"/>
        <w:ind w:firstLine="561"/>
        <w:jc w:val="left"/>
        <w:rPr>
          <w:rFonts w:hint="eastAsia" w:ascii="宋体" w:hAnsi="宋体" w:eastAsia="宋体" w:cs="宋体"/>
          <w:b/>
          <w:sz w:val="28"/>
          <w:szCs w:val="28"/>
        </w:rPr>
      </w:pPr>
      <w:r>
        <w:rPr>
          <w:rFonts w:hint="eastAsia" w:ascii="宋体" w:hAnsi="宋体" w:eastAsia="宋体" w:cs="宋体"/>
          <w:b/>
          <w:sz w:val="28"/>
          <w:szCs w:val="28"/>
          <w:lang w:val="en-US" w:eastAsia="zh-CN"/>
        </w:rPr>
        <w:t>10</w:t>
      </w:r>
      <w:r>
        <w:rPr>
          <w:rFonts w:hint="eastAsia" w:ascii="宋体" w:hAnsi="宋体" w:eastAsia="宋体" w:cs="宋体"/>
          <w:b/>
          <w:sz w:val="28"/>
          <w:szCs w:val="28"/>
        </w:rPr>
        <w:t xml:space="preserve">.8 </w:t>
      </w:r>
      <w:r>
        <w:rPr>
          <w:rFonts w:hint="eastAsia" w:ascii="宋体" w:hAnsi="宋体" w:eastAsia="宋体" w:cs="宋体"/>
          <w:b/>
          <w:spacing w:val="-6"/>
          <w:sz w:val="28"/>
          <w:szCs w:val="28"/>
        </w:rPr>
        <w:t>采购人委派代表参加评审委员会的,采购人代表不得担任竞争性谈判小组组长</w:t>
      </w:r>
      <w:r>
        <w:rPr>
          <w:rFonts w:hint="eastAsia" w:ascii="宋体" w:hAnsi="宋体" w:eastAsia="宋体" w:cs="宋体"/>
          <w:snapToGrid w:val="0"/>
          <w:color w:val="444444"/>
          <w:spacing w:val="-6"/>
          <w:sz w:val="28"/>
          <w:szCs w:val="28"/>
        </w:rPr>
        <w:t>。</w:t>
      </w:r>
      <w:r>
        <w:rPr>
          <w:rFonts w:hint="eastAsia" w:ascii="宋体" w:hAnsi="宋体" w:eastAsia="宋体" w:cs="宋体"/>
          <w:b/>
          <w:spacing w:val="-6"/>
          <w:sz w:val="28"/>
          <w:szCs w:val="28"/>
        </w:rPr>
        <w:t>除授权代表外,采购人可以委派纪检监察等相关人员进入评审现场,对评审工作实施监督,但不得超过２人。</w:t>
      </w:r>
    </w:p>
    <w:p>
      <w:pPr>
        <w:pStyle w:val="33"/>
        <w:widowControl w:val="0"/>
        <w:shd w:val="clear" w:color="auto" w:fill="FFFFFF"/>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10</w:t>
      </w:r>
      <w:r>
        <w:rPr>
          <w:rFonts w:hint="eastAsia" w:ascii="宋体" w:hAnsi="宋体" w:eastAsia="宋体" w:cs="宋体"/>
          <w:b/>
          <w:bCs/>
          <w:sz w:val="28"/>
          <w:szCs w:val="28"/>
        </w:rPr>
        <w:t>.9 竞争性谈判小组及其成员不得有下列行为：</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（一）确定参与评审至评审结束前私自接触供应商；</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（二）接受供应商提出的与响应文件不一致的澄清或者说明，本竞争性谈判文件供应商须知正文第25.2条规定的情形除外；</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（三）违反评审纪律发表倾向性意见或者征询采购人的倾向性意见；</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（四）对需要专业判断的主观评审因素协商评分；</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（五）在评审过程中擅离职守，影响评审程序正常进行的；</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（六）记录、复制或者带走任何评审资料；</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（七）其他不遵守评审纪律的行为。</w:t>
      </w:r>
    </w:p>
    <w:p>
      <w:pPr>
        <w:pStyle w:val="215"/>
        <w:spacing w:line="46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竞争性谈判小组成员有以上第一至五项行为之一的，其评审意见无效，并不得获取评审劳务报酬和报销异地评审差旅费。</w:t>
      </w:r>
    </w:p>
    <w:p>
      <w:pPr>
        <w:pStyle w:val="33"/>
        <w:widowControl w:val="0"/>
        <w:snapToGrid w:val="0"/>
        <w:spacing w:line="460" w:lineRule="exact"/>
        <w:jc w:val="both"/>
        <w:rPr>
          <w:rFonts w:hint="eastAsia" w:ascii="宋体" w:hAnsi="宋体" w:eastAsia="宋体" w:cs="宋体"/>
          <w:color w:val="000000"/>
          <w:kern w:val="2"/>
          <w:sz w:val="24"/>
          <w:szCs w:val="24"/>
          <w:lang w:val="en-US" w:eastAsia="zh-CN" w:bidi="ar-SA"/>
        </w:rPr>
      </w:pPr>
      <w:r>
        <w:rPr>
          <w:rFonts w:hint="eastAsia" w:ascii="仿宋_GB2312" w:hAnsi="仿宋_GB2312" w:eastAsia="仿宋_GB2312" w:cs="仿宋_GB2312"/>
          <w:sz w:val="28"/>
          <w:szCs w:val="28"/>
        </w:rPr>
        <w:t xml:space="preserve">    </w:t>
      </w:r>
      <w:r>
        <w:rPr>
          <w:rFonts w:hint="eastAsia" w:ascii="宋体" w:hAnsi="宋体" w:eastAsia="宋体" w:cs="宋体"/>
          <w:color w:val="000000"/>
          <w:kern w:val="2"/>
          <w:sz w:val="24"/>
          <w:szCs w:val="24"/>
          <w:lang w:val="en-US" w:eastAsia="zh-CN" w:bidi="ar-SA"/>
        </w:rPr>
        <w:t>10.10竞争性谈判小组成员要严格遵守评审时间，主动出具身份证明，遵守评审工作纪律和评审回避的相关规定。在评审工作开始前，将手机等通讯工具或相关电子设备交由采购人或采购代理机构统一保管，拒不上交的，采购人或采购代理机构可以拒绝其参加评审工作并向财政部门报告。</w:t>
      </w:r>
    </w:p>
    <w:p>
      <w:pPr>
        <w:pStyle w:val="33"/>
        <w:widowControl w:val="0"/>
        <w:snapToGrid w:val="0"/>
        <w:spacing w:line="4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竞争性谈判小组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pStyle w:val="215"/>
        <w:spacing w:line="460" w:lineRule="exact"/>
        <w:jc w:val="both"/>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11</w:t>
      </w:r>
      <w:r>
        <w:rPr>
          <w:rFonts w:hint="eastAsia" w:ascii="宋体" w:hAnsi="宋体" w:eastAsia="宋体" w:cs="宋体"/>
          <w:b/>
          <w:bCs/>
          <w:color w:val="auto"/>
          <w:sz w:val="28"/>
          <w:szCs w:val="28"/>
        </w:rPr>
        <w:t>. 评审</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11.1 竞争性谈判小组按照第三章“评审方法及标准”规定的评审方法、评审因素、标准和程序以及有关法律、法规及规章对响应文件进行评审，竞争性谈判小组应当对符合资格的供应商的响应文件进行符合性审查，以确定其是否满足竞争性谈判文件的实质性要求。</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11.2 谈判小组应当根据评审记录和评审结果编写评审报告，其主要内容包括：</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（一）邀请供应商参加采购活动的具体方式和相关情况，以及参加采购活动的供应商名单；</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（二）评审日期和地点，谈判小组成员名单；</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（三）评审情况记录和说明，包括对供应商的资格审查情况、供应商响应文件评审情况、谈判情况、报价情况等；</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（四）提出的成交候选人的名单及理由。</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3"/>
        <w:widowControl w:val="0"/>
        <w:shd w:val="clear" w:color="auto" w:fill="FFFFFF"/>
        <w:spacing w:line="460" w:lineRule="exact"/>
        <w:ind w:firstLine="562"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b/>
          <w:bCs/>
          <w:sz w:val="28"/>
          <w:szCs w:val="28"/>
          <w:lang w:val="en-US" w:eastAsia="zh-CN"/>
        </w:rPr>
        <w:t>11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 xml:space="preserve"> 本项目评审方法为</w:t>
      </w:r>
      <w:r>
        <w:rPr>
          <w:rFonts w:hint="eastAsia" w:ascii="宋体" w:hAnsi="宋体" w:eastAsia="宋体" w:cs="宋体"/>
          <w:color w:val="000000"/>
          <w:kern w:val="2"/>
          <w:sz w:val="24"/>
          <w:szCs w:val="24"/>
          <w:lang w:val="en-US" w:eastAsia="zh-CN" w:bidi="ar-SA"/>
        </w:rPr>
        <w:t>响应文件满足竞争性谈判文件实质性要求，且最后报价最低的供应商为成交候选人的评审方法。</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11.3.1 评审时，除了算术修正和落实政府采购政策需进行的价格扣除外，不能对供应商的价格进行任何调整。</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11.3.2 因落实政府采购政策进行价格调整的，以调整后的价格计算供应商报价。</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11.4 谈判小组发现竞争性谈判文件存在歧义、重大缺陷导致评审工作无法进行，或者竞争性谈判文件内容违反国家有关强制性规定的，应当停止评审工作，与采购人或者采购代理机构沟通并作书面记录。采购人或者采购代理机构确认后，应当修改竞争性谈判文件，重新组织采购活动。</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11.4 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11.6 采购人、采购代理机构应当采取必要措施加强评审现场管理，与评审工作无关的人员不得进入评审现场，保证谈判在严格保密的情况下进行。除采购人代表、评审现场组织人员外，采购人的其他工作人员以及与评审工作无关的人员不得进入谈判现场。各级财政部门对评审活动相关各方违反评审工作纪律及要求的行为，要依法严肃处理。</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有关人员对评审情况以及在谈判过程中获悉的国家秘密、商业秘密负有保密责任。</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11.7谈判小组应当从质量和服务均能满足采购文件实质性响应要求的供应商中，按照最后报价由低到高的顺序提出3名以上成交候选人，并编写评审报告。</w:t>
      </w:r>
    </w:p>
    <w:p>
      <w:pPr>
        <w:pStyle w:val="215"/>
        <w:spacing w:line="460" w:lineRule="exact"/>
        <w:jc w:val="both"/>
        <w:outlineLvl w:val="1"/>
        <w:rPr>
          <w:rFonts w:ascii="仿宋_GB2312" w:hAnsi="仿宋_GB2312" w:eastAsia="仿宋_GB2312" w:cs="仿宋_GB2312"/>
          <w:b/>
          <w:bCs/>
          <w:sz w:val="28"/>
          <w:szCs w:val="28"/>
        </w:rPr>
      </w:pPr>
      <w:r>
        <w:rPr>
          <w:rFonts w:hint="eastAsia" w:ascii="宋体" w:hAnsi="宋体" w:eastAsia="宋体" w:cs="宋体"/>
          <w:b/>
          <w:bCs/>
          <w:sz w:val="28"/>
          <w:szCs w:val="28"/>
          <w:lang w:val="en-US" w:eastAsia="zh-CN"/>
        </w:rPr>
        <w:t>12</w:t>
      </w:r>
      <w:r>
        <w:rPr>
          <w:rFonts w:hint="eastAsia" w:ascii="宋体" w:hAnsi="宋体" w:eastAsia="宋体" w:cs="宋体"/>
          <w:b/>
          <w:bCs/>
          <w:sz w:val="28"/>
          <w:szCs w:val="28"/>
        </w:rPr>
        <w:t>. 确定成交供应商</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12.1 采购代理机构应当在评审结束后2个工作日内将评审报告送采购人确认。</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12.2 采购人或者采购代理机构应当在成交供应商确定后2个工作日内，在省级以上财政部门指定的媒体上公告成交结果，同时向成交供应商发出成交通知书，并将竞争性谈判文件随成交结果同时公告。成交结果公告应当包括以下内容：</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（一）采购人和采购代理机构的名称、地址和联系方式；</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（二）项目名称和项目编号；</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（三）成交供应商名称、地址和成交金额；</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（四）主要成交标的的名称、规格型号、数量、单价、服务要求；</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（五）谈判小组成员名单及单一来源采购人员名单。</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采用书面推荐供应商参加采购活动的，还应当公告采购人和评审专家的推荐意见。</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12.3 采购人与成交供应商应当在成交通知书发出之日起30日内，按照采购文件确定的合同文本以及采购标的、规格型号、采购金额、采购数量、技术和服务要求等事项签订政府采购合同。</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12.4 采购人或者采购代理机构应当在采购活动结束后及时退还供应商的保证金，但因供应商自身原因导致无法及时退还的除外。未成交供应商的保证金应当在成交通知书发出后5个工作日内退还，成交供应商的保证金应当在采购合同签订后5个工作日内退还。</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有下列情形之一的，保证金不予退还：</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（一）供应商在提交响应文件截止时间后撤回响应文件的；</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（二）供应商在响应文件中提供虚假材料的；</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（三）除因不可抗力或谈判文件认可的情形以外，成交供应商不与采购人签订合同的；</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（四）供应商与采购人、其他供应商或者采购代理机构恶意串通的；</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（五）采购文件规定的其他情形。</w:t>
      </w:r>
    </w:p>
    <w:p>
      <w:pPr>
        <w:pStyle w:val="215"/>
        <w:spacing w:line="460" w:lineRule="exact"/>
        <w:jc w:val="both"/>
        <w:outlineLvl w:val="1"/>
        <w:rPr>
          <w:rFonts w:hint="eastAsia" w:ascii="宋体" w:hAnsi="宋体" w:eastAsia="宋体" w:cs="宋体"/>
          <w:b/>
          <w:bCs/>
          <w:sz w:val="28"/>
          <w:szCs w:val="28"/>
        </w:rPr>
      </w:pPr>
      <w:r>
        <w:rPr>
          <w:rFonts w:hint="eastAsia" w:ascii="宋体" w:hAnsi="宋体" w:eastAsia="宋体" w:cs="宋体"/>
          <w:b/>
          <w:bCs/>
          <w:sz w:val="28"/>
          <w:szCs w:val="28"/>
          <w:lang w:val="en-US" w:eastAsia="zh-CN"/>
        </w:rPr>
        <w:t>13</w:t>
      </w:r>
      <w:r>
        <w:rPr>
          <w:rFonts w:hint="eastAsia" w:ascii="宋体" w:hAnsi="宋体" w:eastAsia="宋体" w:cs="宋体"/>
          <w:b/>
          <w:bCs/>
          <w:sz w:val="28"/>
          <w:szCs w:val="28"/>
        </w:rPr>
        <w:t>. 谈判终止</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13.1 出现下列情形之一的，采购人或者采购代理机构应当终止竞争性谈判采购活动，发布项目终止公告并说明原因，重新开展采购活动：</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（一）因情况变化，不再符合规定的竞争性谈判采购方式适用情形的；</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（二）出现影响采购公正的违法、违规行为的；</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（三）在采购过程中符合竞争要求的供应商或者报价未超过采购预算的供应商不足3家的，但技术复杂或者性质特殊，不能确定详细规格或者具体要求的情形除外。</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13.2 在采购活动中因重大变故，采购任务取消的，采购人或者采购代理机构应当终止采购活动，通知所有参加采购活动的供应商，并将项目实施情况和采购任务取消原因报送本级财政部门。</w:t>
      </w:r>
    </w:p>
    <w:p>
      <w:pPr>
        <w:pStyle w:val="215"/>
        <w:spacing w:line="460" w:lineRule="exact"/>
        <w:jc w:val="both"/>
        <w:outlineLvl w:val="1"/>
        <w:rPr>
          <w:rFonts w:hint="eastAsia" w:ascii="宋体" w:hAnsi="宋体" w:eastAsia="宋体" w:cs="宋体"/>
          <w:b/>
          <w:bCs/>
          <w:sz w:val="28"/>
          <w:szCs w:val="28"/>
        </w:rPr>
      </w:pPr>
      <w:r>
        <w:rPr>
          <w:rFonts w:hint="eastAsia" w:ascii="宋体" w:hAnsi="宋体" w:eastAsia="宋体" w:cs="宋体"/>
          <w:b/>
          <w:bCs/>
          <w:sz w:val="28"/>
          <w:szCs w:val="28"/>
          <w:lang w:val="en-US" w:eastAsia="zh-CN"/>
        </w:rPr>
        <w:t>14</w:t>
      </w:r>
      <w:r>
        <w:rPr>
          <w:rFonts w:hint="eastAsia" w:ascii="宋体" w:hAnsi="宋体" w:eastAsia="宋体" w:cs="宋体"/>
          <w:b/>
          <w:bCs/>
          <w:sz w:val="28"/>
          <w:szCs w:val="28"/>
        </w:rPr>
        <w:t>. 重新评审</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pPr>
        <w:pStyle w:val="215"/>
        <w:spacing w:line="460" w:lineRule="exact"/>
        <w:jc w:val="both"/>
        <w:outlineLvl w:val="1"/>
        <w:rPr>
          <w:rFonts w:hint="eastAsia" w:ascii="宋体" w:hAnsi="宋体" w:eastAsia="宋体" w:cs="宋体"/>
          <w:b/>
          <w:bCs/>
          <w:sz w:val="28"/>
          <w:szCs w:val="28"/>
        </w:rPr>
      </w:pPr>
      <w:r>
        <w:rPr>
          <w:rFonts w:hint="eastAsia" w:ascii="宋体" w:hAnsi="宋体" w:eastAsia="宋体" w:cs="宋体"/>
          <w:b/>
          <w:bCs/>
          <w:sz w:val="28"/>
          <w:szCs w:val="28"/>
          <w:lang w:val="en-US" w:eastAsia="zh-CN"/>
        </w:rPr>
        <w:t>15</w:t>
      </w:r>
      <w:r>
        <w:rPr>
          <w:rFonts w:hint="eastAsia" w:ascii="宋体" w:hAnsi="宋体" w:eastAsia="宋体" w:cs="宋体"/>
          <w:b/>
          <w:bCs/>
          <w:sz w:val="28"/>
          <w:szCs w:val="28"/>
        </w:rPr>
        <w:t>. 保密与纪律事项</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15.1 谈判小组成员以及与评审工作有关的人员不得泄露评审情况以及谈判过程中获悉的国家秘密、商业秘密。</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谈判过程保密是指谈判开始后谈判小组对供应商资格审查开始至成交公告期结束、成交通知书发出等与项目相关所有的文字、谈判小组的对话、音视频等相关资料的保密，如与采购项目相关的采购人、采购代理机构、谈判小组及公共资源交易中心人员及其他相关人员泄密，从而导致评审结果出现不公正性，我公司将根据《政府采购法》《政府采购法实施条例》及相关法律法规规定将责任人提请上级行政主管部门追究其责任；构成犯罪的，将提请司法机关依法追究其刑事责任。</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15.2 供应商不得与采购人、采购代理机构、其他供应商恶意串通；不得向采购人、采购代理机构或者谈判小组成员行贿或者提供其他不正当利益；不得提供虚假材料谋取成交；不得以任何方式干扰、影响采购工作。</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15.3 有下列情形之一的，属于恶意串通，成交无效，并依照《政府采购法》第七十七条的规定追究法律责任：</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15.3.1 供应商直接或者间接从采购人、采购代理机构获得其他供应商的情况，并修改其响应文件的；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15.3.2 采购人、采购代理机构授意供应商撤换、修改响应文件的；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15.3.3 供应商之间协商技术方案、合同条款以及报价等响应文件实质性内容的;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15.3.4 属于同一集团、协会、商会等组织成员的供应商按照该组织要求协同参加政府采购活动的；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15.3.5 供应商之间事先约定由某一特定供应商成交的；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15.3.6 供应商之间商定部分供应商放弃提交响应文件或者退出谈判或者放弃成交的；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15.3.7 供应商与采购人、采购代理机构以及评标委员会成员之间、供应商相互之间，为谋求特定供应商成交或者排斥其他供应商的其他串通行为的。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15.3.8 法律、行政法规或规章规定的其他串通行为。</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15.4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（一）提供虚假材料谋取成交的；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（二）采取不正当手段诋毁、排挤其他供应商的；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（三）与采购人、其他供应商或者采购代理机构恶意串通的；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（四）向采购人、采购代理机构行贿或者提供其他不正当利益的；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（五）在采购过程中与采购人进行协商谈判的；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（六）拒绝有关部门监督检查或者提供虚假情况的。</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供应商有上述第（一）至（五）项情形之一的，成交无效。</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15.5 供应商有下列情形之一的，依照《政府采购法》第七十七条第一款的规定追究法律责任：</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（一）向谈判小组成员行贿或者提供其他不正当利益；</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（二）成交后无正当理由拒不与采购人签订政府采购合同；</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（三）未按照采购文件确定的事项签订政府采购合同；</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（四）将政府采购合同转包；</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（五）提供假冒伪劣产品；</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（六）擅自变更、中止或者终止政府采购合同。</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供应商有上述第一项规定情形的，成交无效。评审阶段资格发生变化，供应商未依照《政府采购法实施条例》第二十一条的规定通知采购人和采购代理机构的，处以采购金额5‰的罚款，列入不良行为记录名单，成交无效。</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15.6 供应商捏造事实、提供虚假材料或者以非法手段取得证明材料进行投诉的，由财政部门列入不良行为记录名单，禁止其1至3年内参加政府采购活动。</w:t>
      </w:r>
    </w:p>
    <w:p>
      <w:pPr>
        <w:pStyle w:val="215"/>
        <w:spacing w:line="760" w:lineRule="exact"/>
        <w:jc w:val="center"/>
        <w:outlineLvl w:val="0"/>
        <w:rPr>
          <w:rFonts w:hint="eastAsia" w:ascii="宋体" w:hAnsi="宋体" w:eastAsia="宋体" w:cs="宋体"/>
          <w:b/>
          <w:color w:val="auto"/>
          <w:kern w:val="2"/>
          <w:sz w:val="32"/>
          <w:szCs w:val="32"/>
          <w:lang w:val="en-US" w:eastAsia="zh-CN" w:bidi="ar-SA"/>
        </w:rPr>
      </w:pPr>
      <w:bookmarkStart w:id="93" w:name="_Toc24830"/>
      <w:r>
        <w:rPr>
          <w:rFonts w:hint="eastAsia" w:ascii="宋体" w:hAnsi="宋体" w:eastAsia="宋体" w:cs="宋体"/>
          <w:b/>
          <w:color w:val="auto"/>
          <w:kern w:val="2"/>
          <w:sz w:val="32"/>
          <w:szCs w:val="32"/>
          <w:lang w:val="en-US" w:eastAsia="zh-CN" w:bidi="ar-SA"/>
        </w:rPr>
        <w:t>六、成交结果信息公布与授予合同</w:t>
      </w:r>
      <w:bookmarkEnd w:id="93"/>
    </w:p>
    <w:p>
      <w:pPr>
        <w:pStyle w:val="215"/>
        <w:spacing w:line="4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16</w:t>
      </w:r>
      <w:r>
        <w:rPr>
          <w:rFonts w:hint="eastAsia" w:ascii="宋体" w:hAnsi="宋体" w:eastAsia="宋体" w:cs="宋体"/>
          <w:b/>
          <w:bCs/>
          <w:sz w:val="28"/>
          <w:szCs w:val="28"/>
        </w:rPr>
        <w:t>. 成交信息的公布</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16.1 采购人或者采购代理机构应当在成交供应商确定后2个工作日内，在省级以上财政部门指定的媒体上公告成交结果，同时向成交供应商发出成交通知书，并将竞争性谈判文件随成交结果同时公告。</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16.2 成交通知书对采购人和成交供应商具有同等法律效力。</w:t>
      </w:r>
    </w:p>
    <w:p>
      <w:pPr>
        <w:pStyle w:val="215"/>
        <w:spacing w:line="4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17</w:t>
      </w:r>
      <w:r>
        <w:rPr>
          <w:rFonts w:hint="eastAsia" w:ascii="宋体" w:hAnsi="宋体" w:eastAsia="宋体" w:cs="宋体"/>
          <w:b/>
          <w:bCs/>
          <w:sz w:val="28"/>
          <w:szCs w:val="28"/>
        </w:rPr>
        <w:t>. 询问及质疑</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17.1 供应商对政府采购活动事项有疑问的，可以向采购人或采购代理机构提出询问。采购人或采购代理机构将在三个工作日内作出答复。</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17.2 供应商若认为竞争性谈判文件、谈判过程和成交结果使自己的权益受到损害，应当在下列时间内以书面形式向采购人或采购代理机构提出：</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17.2.1 关于采购过程的质疑，应在采购程序环节结束之日起7个工作日内提出。</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17.2.2 关于成交结果的质疑，应在成交结果信息发布后7个工作日内提出。</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17.3 供应商提出质疑的，应提供质疑书原件。采购人或采购代理机构应当向质疑供应商签收回执。</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17.4 质疑书应当包括下列内容：</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17.4.1 质疑供应商的名称、地址及有效联系方式；</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17.4.2 质疑事项；</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17.4.3 事实依据及相关证明材料；</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17.4.4 相关请求及主张。</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17.5 质疑书应当由供应商法定代表人或其授权的代理人签字并加盖供应商单位章，质疑书由授权的代理人签字的应附供应商法定代表人委托授权书。</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17.6 采购人或采购代理机构将在签收回执之日起七个工作日内作出书面答复，并以书面形式通知质疑供应商和其他有关的供应商。</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17.7 供应商对采购人或采购代理机构的答复不满意，或采购人或采购代理机构未在规定的期限作出答复的，可在答复期满后15个工作日内，按政府采购相关法律法规规章的规定及程序，向同级财政部门提出投诉。</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17.8 参与政府采购活动的供应商对评审过程或者结果提出质疑的，采购人或采购代理机构可以组织原谈判小组协助处理质疑事项，并依据谈判小组出具的意见进行答复。质疑答复导致成交结果改变的，采购人或采购代理机构应当将相关情况报财政部门备案。</w:t>
      </w:r>
    </w:p>
    <w:p>
      <w:pPr>
        <w:pStyle w:val="215"/>
        <w:numPr>
          <w:ilvl w:val="0"/>
          <w:numId w:val="0"/>
        </w:numPr>
        <w:spacing w:line="4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18</w:t>
      </w:r>
      <w:r>
        <w:rPr>
          <w:rFonts w:hint="eastAsia" w:ascii="宋体" w:hAnsi="宋体" w:cs="宋体"/>
          <w:b/>
          <w:bCs/>
          <w:sz w:val="28"/>
          <w:szCs w:val="28"/>
          <w:lang w:val="en-US" w:eastAsia="zh-CN"/>
        </w:rPr>
        <w:t>.</w:t>
      </w:r>
      <w:r>
        <w:rPr>
          <w:rFonts w:hint="eastAsia" w:ascii="宋体" w:hAnsi="宋体" w:eastAsia="宋体" w:cs="宋体"/>
          <w:b/>
          <w:bCs/>
          <w:sz w:val="28"/>
          <w:szCs w:val="28"/>
        </w:rPr>
        <w:t>成交通知</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18.1 成交供应商确定后，采购人或采购代理机构将以书面形式向成交供应商发出成交通知书。成交通知书对采购人和成交供应商具有同等法律效力。成交通知书发出后，采购人不得违法改变成交结果，成交供应商无正当理由不得放弃成交。</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18.2 成交供应商在收到采购代理机构的成交通知书后10日内，应按照供应商须知前附表的规定，向采购人提交履约担保。联合体成交的，履约担保由联合体各方或联合体中牵头人的名义提交。</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18.3 竞争性谈判要求成交供应商提交履约保证金的，供应商应当以支票、汇票、本票或者金融机构、担保机构出具的保函等非现金形式提交。成交供应商没有按照规定提交履约担保的，视为放弃成交资格，其谈判保证金不予退还。</w:t>
      </w:r>
    </w:p>
    <w:p>
      <w:pPr>
        <w:pStyle w:val="215"/>
        <w:numPr>
          <w:ilvl w:val="0"/>
          <w:numId w:val="0"/>
        </w:numPr>
        <w:spacing w:line="4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19.</w:t>
      </w:r>
      <w:r>
        <w:rPr>
          <w:rFonts w:hint="eastAsia" w:ascii="宋体" w:hAnsi="宋体" w:eastAsia="宋体" w:cs="宋体"/>
          <w:b/>
          <w:bCs/>
          <w:sz w:val="28"/>
          <w:szCs w:val="28"/>
        </w:rPr>
        <w:t>签订合同</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19.1 采购人与成交供应商应当在成交通知书发出之日起30日内，按照采购文件确定的合同文本以及采购标的、规格型号、采购金额、采购数量、技术和服务要求等事项签订政府采购合同。</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19.2 政府采购合同应当包括采购人与成交供应商的名称和住所、标的、数量、质量、价款或者报酬、履行期限及地点和方式、验收要求、违约责任、解决争议的方法等内容。</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19.3 采购人与成交供应商应当根据合同的约定依法履行合同义务。</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政府采购合同的履行、违约责任和解决争议的方法等适用《中华人民共和国合同法》。</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除不可抗力等因素外，成交通知书发出后，采购人改变成交结果，或者成交供应商拒绝签订政府采购合同的，应当承担相应的法律责任。</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成交供应商拒绝签订政府采购合同的，采购人可以按照财政部令第74号《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19.4 在采购活动中因重大变故，采购任务取消的，采购人或者采购代理机构应当终止采购活动，通知所有参加采购活动的供应商，并将项目实施情况和采购任务取消原因报送本级财政部门。</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19.5 采购人或者采购代理机构应当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19.6 采购人应当加强对成交供应商的履约管理，并按照采购合同约定，及时向成交供应商支付采购资金。对于成交供应商违反采购合同约定的行为，采购人应当及时处理，依法追究其违约责任。</w:t>
      </w:r>
    </w:p>
    <w:p>
      <w:pPr>
        <w:pStyle w:val="215"/>
        <w:spacing w:line="46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19.7 成交供应商应当按照合同约定履行义务。成交供应商不得向他人转让成交项目，也不得将成交项目分包后分别向他人转让。合同分包需在响应文件中予以说明，并需经采购人同意。否则，采购人有权取消成交供应商的成交资格。</w:t>
      </w:r>
    </w:p>
    <w:p>
      <w:pPr>
        <w:pStyle w:val="215"/>
        <w:spacing w:line="46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19.8 成交供应商有下列情形之一的，责令限期改正，情节严重的，列入不良行为记录名单，在1至3年内禁止参加政府采购活动，并予以通报：</w:t>
      </w:r>
    </w:p>
    <w:p>
      <w:pPr>
        <w:pStyle w:val="215"/>
        <w:spacing w:line="46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（一）未按照采购文件确定的事项签订政府采购合同，或者与采购人另行订立背离合同实质性内容的协议的；</w:t>
      </w:r>
    </w:p>
    <w:p>
      <w:pPr>
        <w:pStyle w:val="215"/>
        <w:spacing w:line="46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（二）成交后无正当理由不与采购人签订合同的；</w:t>
      </w:r>
    </w:p>
    <w:p>
      <w:pPr>
        <w:pStyle w:val="215"/>
        <w:spacing w:line="46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（三）拒绝履行合同义务的。</w:t>
      </w:r>
    </w:p>
    <w:p>
      <w:pPr>
        <w:pStyle w:val="215"/>
        <w:spacing w:line="46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19.9 政府采购合同的双方当事人不得擅自变更、中止或者终止合同。</w:t>
      </w:r>
    </w:p>
    <w:p>
      <w:pPr>
        <w:pStyle w:val="215"/>
        <w:spacing w:line="4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政府采购合同继续履行将损害国家利益和社会公共利益的，双方当事人应当变更、中止或者终止合同。有过错的一方应当承担赔偿责任，双方都有过错的，各自承担相应的责任。</w:t>
      </w:r>
    </w:p>
    <w:p>
      <w:pPr>
        <w:pStyle w:val="215"/>
        <w:spacing w:line="4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19.10 采购人应当自政府采购合同签订之日起2个工作日内,将政府采购合同在省级以上人民政府财政部门指定的媒体上公告,但政府采购合同中涉及国家秘密、商业秘密的内容除外。</w:t>
      </w:r>
    </w:p>
    <w:p>
      <w:pPr>
        <w:pStyle w:val="215"/>
        <w:spacing w:line="4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20、</w:t>
      </w:r>
      <w:r>
        <w:rPr>
          <w:rFonts w:hint="eastAsia" w:ascii="宋体" w:hAnsi="宋体" w:eastAsia="宋体" w:cs="宋体"/>
          <w:b/>
          <w:bCs/>
          <w:sz w:val="28"/>
          <w:szCs w:val="28"/>
        </w:rPr>
        <w:t>政府采购合同履行中数量的变更</w:t>
      </w:r>
    </w:p>
    <w:p>
      <w:pPr>
        <w:pStyle w:val="215"/>
        <w:spacing w:line="460" w:lineRule="exact"/>
        <w:jc w:val="both"/>
        <w:rPr>
          <w:rFonts w:hint="eastAsia" w:ascii="仿宋_GB2312" w:hAnsi="仿宋_GB2312" w:eastAsia="仿宋_GB2312" w:cs="仿宋_GB2312"/>
          <w:b/>
          <w:bCs/>
          <w:sz w:val="36"/>
          <w:szCs w:val="36"/>
        </w:rPr>
      </w:pPr>
      <w:r>
        <w:rPr>
          <w:rFonts w:hint="eastAsia" w:ascii="宋体" w:hAnsi="宋体" w:eastAsia="宋体" w:cs="宋体"/>
          <w:color w:val="000000"/>
          <w:kern w:val="2"/>
          <w:sz w:val="24"/>
          <w:szCs w:val="24"/>
          <w:lang w:val="en-US" w:eastAsia="zh-CN" w:bidi="ar-SA"/>
        </w:rPr>
        <w:t>20.1 政府采购合同履行中，采购人需追加与合同标的相同的货物、工程或者服务的，在不改变合同其他条款的前提下，可以与成交供应商协商签订补充合同，但所有补充合同的采购金额不得超过原合同采购金额的10%。</w:t>
      </w:r>
    </w:p>
    <w:p>
      <w:pPr>
        <w:pStyle w:val="215"/>
        <w:spacing w:line="760" w:lineRule="exact"/>
        <w:jc w:val="center"/>
        <w:outlineLvl w:val="0"/>
        <w:rPr>
          <w:rFonts w:hint="eastAsia" w:ascii="宋体" w:hAnsi="宋体" w:eastAsia="宋体" w:cs="宋体"/>
          <w:b/>
          <w:color w:val="auto"/>
          <w:kern w:val="2"/>
          <w:sz w:val="32"/>
          <w:szCs w:val="32"/>
          <w:lang w:val="en-US" w:eastAsia="zh-CN" w:bidi="ar-SA"/>
        </w:rPr>
      </w:pPr>
      <w:bookmarkStart w:id="94" w:name="_Toc3547"/>
      <w:r>
        <w:rPr>
          <w:rFonts w:hint="eastAsia" w:ascii="宋体" w:hAnsi="宋体" w:eastAsia="宋体" w:cs="宋体"/>
          <w:b/>
          <w:color w:val="auto"/>
          <w:kern w:val="2"/>
          <w:sz w:val="32"/>
          <w:szCs w:val="32"/>
          <w:lang w:val="en-US" w:eastAsia="zh-CN" w:bidi="ar-SA"/>
        </w:rPr>
        <w:t>七、其他规定</w:t>
      </w:r>
      <w:bookmarkEnd w:id="94"/>
    </w:p>
    <w:p>
      <w:pPr>
        <w:pStyle w:val="215"/>
        <w:spacing w:line="4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21、</w:t>
      </w:r>
      <w:r>
        <w:rPr>
          <w:rFonts w:hint="eastAsia" w:ascii="宋体" w:hAnsi="宋体" w:eastAsia="宋体" w:cs="宋体"/>
          <w:b/>
          <w:bCs/>
          <w:sz w:val="28"/>
          <w:szCs w:val="28"/>
        </w:rPr>
        <w:t xml:space="preserve"> 采购代理服务费</w:t>
      </w:r>
    </w:p>
    <w:p>
      <w:pPr>
        <w:pStyle w:val="215"/>
        <w:spacing w:line="46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宋体" w:hAnsi="宋体" w:eastAsia="宋体" w:cs="宋体"/>
          <w:color w:val="000000"/>
          <w:kern w:val="2"/>
          <w:sz w:val="24"/>
          <w:szCs w:val="24"/>
          <w:lang w:val="en-US" w:eastAsia="zh-CN" w:bidi="ar-SA"/>
        </w:rPr>
        <w:t>成交供应商应按供应商须知前附表规定交纳采购代理服务费。</w:t>
      </w:r>
    </w:p>
    <w:p>
      <w:pPr>
        <w:pStyle w:val="215"/>
        <w:spacing w:line="4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22、</w:t>
      </w:r>
      <w:r>
        <w:rPr>
          <w:rFonts w:hint="eastAsia" w:ascii="宋体" w:hAnsi="宋体" w:eastAsia="宋体" w:cs="宋体"/>
          <w:b/>
          <w:bCs/>
          <w:sz w:val="28"/>
          <w:szCs w:val="28"/>
        </w:rPr>
        <w:t>其他规定</w:t>
      </w:r>
    </w:p>
    <w:p>
      <w:pPr>
        <w:pStyle w:val="33"/>
        <w:widowControl w:val="0"/>
        <w:shd w:val="clear" w:color="auto" w:fill="FFFFFF"/>
        <w:spacing w:line="4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22.1 采购人、采购代理机构应当建立真实完整的采购档案，妥善保存每项采购活动的采购文件。</w:t>
      </w:r>
    </w:p>
    <w:p>
      <w:pPr>
        <w:pStyle w:val="215"/>
        <w:spacing w:line="46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22.2 竞争性谈判文件的其他规定见供应商须知前附表。</w:t>
      </w:r>
    </w:p>
    <w:p>
      <w:pPr>
        <w:pStyle w:val="215"/>
        <w:spacing w:line="46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22.3 本竞争性谈判文件是根据《中华人民共和国政府采购法》、《中华人民共和国政府采购法实施条例》、《政府采购非招标采购方式管理办法》的规定编制，解释权属新疆开创纪元全过程项目管理有限公司。</w:t>
      </w:r>
    </w:p>
    <w:p>
      <w:pPr>
        <w:pStyle w:val="215"/>
        <w:spacing w:line="46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22.3 参与本次谈判的供应商应当有商务、技术人员对谈判小组成员提出的商务、技术问题进行答疑。</w:t>
      </w:r>
    </w:p>
    <w:p>
      <w:pPr>
        <w:pStyle w:val="215"/>
        <w:spacing w:line="560" w:lineRule="exact"/>
        <w:jc w:val="both"/>
        <w:rPr>
          <w:rFonts w:hint="eastAsia" w:ascii="仿宋_GB2312" w:hAnsi="仿宋_GB2312" w:eastAsia="仿宋_GB2312" w:cs="仿宋_GB2312"/>
          <w:sz w:val="28"/>
          <w:szCs w:val="28"/>
        </w:rPr>
      </w:pPr>
    </w:p>
    <w:p>
      <w:pPr>
        <w:pStyle w:val="215"/>
        <w:spacing w:after="120" w:afterLines="50" w:line="560" w:lineRule="exact"/>
        <w:jc w:val="center"/>
        <w:outlineLvl w:val="0"/>
        <w:rPr>
          <w:rFonts w:hint="eastAsia" w:ascii="宋体" w:hAnsi="宋体" w:eastAsia="宋体" w:cs="宋体"/>
          <w:b/>
          <w:color w:val="auto"/>
          <w:kern w:val="44"/>
          <w:sz w:val="36"/>
          <w:szCs w:val="36"/>
          <w:lang w:val="en-US" w:eastAsia="zh-CN" w:bidi="ar-SA"/>
        </w:rPr>
      </w:pPr>
      <w:bookmarkStart w:id="95" w:name="_Toc14297"/>
      <w:r>
        <w:rPr>
          <w:rFonts w:hint="eastAsia" w:ascii="宋体" w:hAnsi="宋体" w:eastAsia="宋体" w:cs="宋体"/>
          <w:b/>
          <w:color w:val="auto"/>
          <w:kern w:val="44"/>
          <w:sz w:val="36"/>
          <w:szCs w:val="36"/>
          <w:lang w:val="en-US" w:eastAsia="zh-CN" w:bidi="ar-SA"/>
        </w:rPr>
        <w:t>第三章  评审方法及标准</w:t>
      </w:r>
      <w:bookmarkEnd w:id="95"/>
    </w:p>
    <w:p>
      <w:pPr>
        <w:pStyle w:val="215"/>
        <w:spacing w:line="440" w:lineRule="exact"/>
        <w:jc w:val="both"/>
        <w:rPr>
          <w:rFonts w:hint="eastAsia" w:ascii="宋体" w:hAnsi="宋体" w:eastAsia="宋体" w:cs="宋体"/>
          <w:b/>
          <w:bCs/>
          <w:sz w:val="28"/>
          <w:szCs w:val="28"/>
        </w:rPr>
      </w:pPr>
      <w:r>
        <w:rPr>
          <w:rFonts w:hint="eastAsia" w:ascii="宋体" w:hAnsi="宋体" w:eastAsia="宋体" w:cs="宋体"/>
          <w:b/>
          <w:bCs/>
          <w:sz w:val="28"/>
          <w:szCs w:val="28"/>
        </w:rPr>
        <w:t>一、总则</w:t>
      </w:r>
    </w:p>
    <w:p>
      <w:pPr>
        <w:pStyle w:val="215"/>
        <w:spacing w:line="440" w:lineRule="exact"/>
        <w:ind w:firstLine="561"/>
        <w:jc w:val="both"/>
        <w:rPr>
          <w:rFonts w:hint="eastAsia" w:ascii="宋体" w:hAnsi="宋体" w:eastAsia="宋体" w:cs="宋体"/>
          <w:b/>
          <w:bCs/>
          <w:sz w:val="28"/>
          <w:szCs w:val="28"/>
        </w:rPr>
      </w:pPr>
      <w:r>
        <w:rPr>
          <w:rFonts w:hint="eastAsia" w:ascii="宋体" w:hAnsi="宋体" w:eastAsia="宋体" w:cs="宋体"/>
          <w:b/>
          <w:bCs/>
          <w:sz w:val="28"/>
          <w:szCs w:val="28"/>
        </w:rPr>
        <w:t>1．谈判小组</w:t>
      </w:r>
    </w:p>
    <w:p>
      <w:pPr>
        <w:pStyle w:val="215"/>
        <w:spacing w:line="440" w:lineRule="exact"/>
        <w:ind w:firstLine="561"/>
        <w:jc w:val="both"/>
        <w:rPr>
          <w:rFonts w:ascii="仿宋_GB2312" w:hAnsi="仿宋_GB2312" w:eastAsia="仿宋_GB2312" w:cs="仿宋_GB2312"/>
          <w:sz w:val="28"/>
          <w:szCs w:val="28"/>
        </w:rPr>
      </w:pPr>
      <w:r>
        <w:rPr>
          <w:rFonts w:hint="eastAsia" w:ascii="宋体" w:hAnsi="宋体" w:eastAsia="宋体" w:cs="宋体"/>
          <w:color w:val="000000"/>
          <w:kern w:val="2"/>
          <w:sz w:val="24"/>
          <w:szCs w:val="24"/>
          <w:lang w:val="en-US" w:eastAsia="zh-CN" w:bidi="ar-SA"/>
        </w:rPr>
        <w:t>1.1评审由依法组成的谈判小组负责,其组成方式详供应商须知正文。</w:t>
      </w:r>
    </w:p>
    <w:p>
      <w:pPr>
        <w:pStyle w:val="33"/>
        <w:widowControl w:val="0"/>
        <w:shd w:val="clear" w:color="auto" w:fill="FFFFFF"/>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 评审方法</w:t>
      </w:r>
    </w:p>
    <w:p>
      <w:pPr>
        <w:pStyle w:val="33"/>
        <w:widowControl w:val="0"/>
        <w:shd w:val="clear" w:color="auto" w:fill="FFFFFF"/>
        <w:spacing w:line="440" w:lineRule="exact"/>
        <w:ind w:firstLine="562"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b/>
          <w:bCs/>
          <w:sz w:val="28"/>
          <w:szCs w:val="28"/>
        </w:rPr>
        <w:t>2.1 本项目评标方法为</w:t>
      </w:r>
      <w:r>
        <w:rPr>
          <w:rFonts w:hint="eastAsia" w:ascii="宋体" w:hAnsi="宋体" w:eastAsia="宋体" w:cs="宋体"/>
          <w:color w:val="000000"/>
          <w:kern w:val="2"/>
          <w:sz w:val="24"/>
          <w:szCs w:val="24"/>
          <w:lang w:val="en-US" w:eastAsia="zh-CN" w:bidi="ar-SA"/>
        </w:rPr>
        <w:t>响应文件满足竞争性谈判文件实质性要求，且最后报价最低的供应商为成交候选人的评审方法。</w:t>
      </w:r>
    </w:p>
    <w:p>
      <w:pPr>
        <w:pStyle w:val="33"/>
        <w:widowControl w:val="0"/>
        <w:shd w:val="clear" w:color="auto" w:fill="FFFFFF"/>
        <w:spacing w:line="44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2.1.1 评审时，除了算术修正和落实政府采购政策需进行的价格扣除外，不能对供应商的价格进行任何调整。</w:t>
      </w:r>
    </w:p>
    <w:p>
      <w:pPr>
        <w:pStyle w:val="33"/>
        <w:widowControl w:val="0"/>
        <w:shd w:val="clear" w:color="auto" w:fill="FFFFFF"/>
        <w:spacing w:line="44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2.1.2 因落实政府采购政策进行价格调整的，以调整后的价格计算供应商报价。</w:t>
      </w:r>
    </w:p>
    <w:p>
      <w:pPr>
        <w:spacing w:line="440" w:lineRule="exact"/>
        <w:ind w:firstLine="562" w:firstLineChars="200"/>
        <w:rPr>
          <w:rFonts w:hint="eastAsia" w:ascii="宋体" w:hAnsi="宋体" w:eastAsia="宋体" w:cs="宋体"/>
          <w:b/>
          <w:bCs/>
          <w:color w:val="000000"/>
          <w:sz w:val="28"/>
        </w:rPr>
      </w:pPr>
      <w:r>
        <w:rPr>
          <w:rFonts w:hint="eastAsia" w:ascii="宋体" w:hAnsi="宋体" w:eastAsia="宋体" w:cs="宋体"/>
          <w:b/>
          <w:bCs/>
          <w:color w:val="000000"/>
          <w:kern w:val="0"/>
          <w:sz w:val="28"/>
          <w:szCs w:val="28"/>
        </w:rPr>
        <w:t xml:space="preserve">3. </w:t>
      </w:r>
      <w:r>
        <w:rPr>
          <w:rFonts w:hint="eastAsia" w:ascii="宋体" w:hAnsi="宋体" w:eastAsia="宋体" w:cs="宋体"/>
          <w:b/>
          <w:bCs/>
          <w:color w:val="000000"/>
          <w:sz w:val="28"/>
        </w:rPr>
        <w:t>评审原则</w:t>
      </w:r>
    </w:p>
    <w:p>
      <w:pPr>
        <w:spacing w:line="440" w:lineRule="exact"/>
        <w:ind w:firstLine="480" w:firstLineChars="200"/>
        <w:outlineLvl w:val="0"/>
        <w:rPr>
          <w:rFonts w:hint="eastAsia" w:ascii="宋体" w:hAnsi="宋体" w:eastAsia="宋体" w:cs="宋体"/>
          <w:color w:val="000000"/>
          <w:kern w:val="2"/>
          <w:sz w:val="24"/>
          <w:szCs w:val="24"/>
          <w:lang w:val="en-US" w:eastAsia="zh-CN" w:bidi="ar-SA"/>
        </w:rPr>
      </w:pPr>
      <w:bookmarkStart w:id="96" w:name="_Toc14832"/>
      <w:bookmarkStart w:id="97" w:name="_Toc16078"/>
      <w:r>
        <w:rPr>
          <w:rFonts w:hint="eastAsia" w:ascii="宋体" w:hAnsi="宋体" w:eastAsia="宋体" w:cs="宋体"/>
          <w:color w:val="000000"/>
          <w:kern w:val="2"/>
          <w:sz w:val="24"/>
          <w:szCs w:val="24"/>
          <w:lang w:val="en-US" w:eastAsia="zh-CN" w:bidi="ar-SA"/>
        </w:rPr>
        <w:t>3.1 在谈判过程中，谈判小组可以根据谈判文件和谈判情况实质性变动采购需求中的技术、服务要求以及合同草案条款，但不得变动谈判文件中的其他内容。实质性变动的内容，须经采购人代表确认。</w:t>
      </w:r>
      <w:bookmarkEnd w:id="96"/>
      <w:bookmarkEnd w:id="97"/>
    </w:p>
    <w:p>
      <w:pPr>
        <w:spacing w:line="440" w:lineRule="exact"/>
        <w:ind w:firstLine="480" w:firstLineChars="200"/>
        <w:outlineLvl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w:t>
      </w:r>
      <w:bookmarkStart w:id="98" w:name="_Toc5335"/>
      <w:bookmarkStart w:id="99" w:name="_Toc5907"/>
      <w:r>
        <w:rPr>
          <w:rFonts w:hint="eastAsia" w:ascii="宋体" w:hAnsi="宋体" w:eastAsia="宋体" w:cs="宋体"/>
          <w:color w:val="000000"/>
          <w:kern w:val="2"/>
          <w:sz w:val="24"/>
          <w:szCs w:val="24"/>
          <w:lang w:val="en-US" w:eastAsia="zh-CN" w:bidi="ar-SA"/>
        </w:rPr>
        <w:t>对谈判文件作出的实质性变动是谈判文件的有效组成部分，谈判小组应当及时以书面形式同时通知所有参加谈判的供应商。</w:t>
      </w:r>
      <w:bookmarkEnd w:id="98"/>
      <w:bookmarkEnd w:id="99"/>
    </w:p>
    <w:p>
      <w:pPr>
        <w:spacing w:line="440" w:lineRule="exact"/>
        <w:ind w:firstLine="480" w:firstLineChars="200"/>
        <w:outlineLvl w:val="0"/>
        <w:rPr>
          <w:rFonts w:hint="eastAsia" w:ascii="宋体" w:hAnsi="宋体" w:eastAsia="宋体" w:cs="宋体"/>
          <w:color w:val="000000"/>
          <w:kern w:val="2"/>
          <w:sz w:val="24"/>
          <w:szCs w:val="24"/>
          <w:lang w:val="en-US" w:eastAsia="zh-CN" w:bidi="ar-SA"/>
        </w:rPr>
      </w:pPr>
      <w:bookmarkStart w:id="100" w:name="_Toc17694"/>
      <w:bookmarkStart w:id="101" w:name="_Toc4869"/>
      <w:r>
        <w:rPr>
          <w:rFonts w:hint="eastAsia" w:ascii="宋体" w:hAnsi="宋体" w:eastAsia="宋体" w:cs="宋体"/>
          <w:color w:val="000000"/>
          <w:kern w:val="2"/>
          <w:sz w:val="24"/>
          <w:szCs w:val="24"/>
          <w:lang w:val="en-US" w:eastAsia="zh-CN" w:bidi="ar-SA"/>
        </w:rPr>
        <w:t>3.2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bookmarkEnd w:id="100"/>
      <w:bookmarkEnd w:id="101"/>
    </w:p>
    <w:p>
      <w:pPr>
        <w:pStyle w:val="215"/>
        <w:spacing w:line="44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 评审纪律</w:t>
      </w:r>
    </w:p>
    <w:p>
      <w:pPr>
        <w:pStyle w:val="215"/>
        <w:spacing w:line="440" w:lineRule="exact"/>
        <w:ind w:firstLine="480" w:firstLineChars="200"/>
        <w:jc w:val="both"/>
        <w:rPr>
          <w:rFonts w:hint="eastAsia" w:ascii="宋体" w:hAnsi="宋体" w:eastAsia="宋体" w:cs="宋体"/>
          <w:color w:val="auto"/>
          <w:sz w:val="28"/>
          <w:szCs w:val="28"/>
        </w:rPr>
      </w:pPr>
      <w:r>
        <w:rPr>
          <w:rFonts w:hint="eastAsia" w:ascii="宋体" w:hAnsi="宋体" w:eastAsia="宋体" w:cs="宋体"/>
          <w:color w:val="000000"/>
          <w:kern w:val="2"/>
          <w:sz w:val="24"/>
          <w:szCs w:val="24"/>
          <w:lang w:val="en-US" w:eastAsia="zh-CN" w:bidi="ar-SA"/>
        </w:rPr>
        <w:t>3.3.1 采购人委派代表参加谈判小组的，要向采购代理机构出具授权函。除授权代表外，采购人可以委派纪检监察等相关人员进入评审现场，对评审工作实施监督，但不得超过２人。采购人需要在评审前介绍项目背景和技术需求的，应当事先提交书面介绍材料，介绍内容不得存在歧视性、倾向性意见，不得超出采购文件所述范围，书面介绍材料作为采购项目文件随其他文件一并存档。</w:t>
      </w:r>
      <w:r>
        <w:rPr>
          <w:rFonts w:hint="eastAsia" w:ascii="宋体" w:hAnsi="宋体" w:eastAsia="宋体" w:cs="宋体"/>
          <w:b/>
          <w:bCs/>
          <w:color w:val="auto"/>
          <w:sz w:val="28"/>
          <w:szCs w:val="28"/>
        </w:rPr>
        <w:t>谈判小组应当推选组长，但采购人代表不得担任组长</w:t>
      </w:r>
      <w:r>
        <w:rPr>
          <w:rFonts w:hint="eastAsia" w:ascii="宋体" w:hAnsi="宋体" w:eastAsia="宋体" w:cs="宋体"/>
          <w:color w:val="auto"/>
          <w:sz w:val="28"/>
          <w:szCs w:val="28"/>
        </w:rPr>
        <w:t>。</w:t>
      </w:r>
    </w:p>
    <w:p>
      <w:pPr>
        <w:pStyle w:val="215"/>
        <w:spacing w:line="44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3.3.2 谈判小组成员要严格遵守评审时间，主动出具身份证明，遵守评审工作纪律和评审回避的相关规定。在评审工作开始前，将手机等通讯工具或相关电子设备交由采购人或采购代理机构统一保管，拒不上交的，采购人或采购代理机构可以拒绝其参加评审工作并向财政部门报告。</w:t>
      </w:r>
    </w:p>
    <w:p>
      <w:pPr>
        <w:pStyle w:val="215"/>
        <w:spacing w:line="44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3.3.3 谈判小组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审，不得记录、复制或带走任何评审资料。除资格性审查认定错误和价格计算错误外，采购人或者采购代理机构不得以任何理由组织重新评审。采购人、采购代理机构发现谈判小组、询价小组未按照采购文件规定的评定成交的标准进行评审的，应当重新开展采购活动，并同时书面报告本级财政部门。出现上述除外情形的，谈判小组应当现场修改评审结果，并在评审报告中明确记载。</w:t>
      </w:r>
    </w:p>
    <w:p>
      <w:pPr>
        <w:pStyle w:val="215"/>
        <w:spacing w:line="44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3.3.4 谈判小组成员不得私自泄露评审内容。谈判过程应严格遵守保密制度。谈判开始,直到授予供应商合同止，凡是属于审查、澄清、评价和比较的有关资料以及成交建议等均不得向供应商或其他无关的人员透露。</w:t>
      </w:r>
    </w:p>
    <w:p>
      <w:pPr>
        <w:pStyle w:val="215"/>
        <w:spacing w:line="44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3.3.5 采购人、采购代理机构要加强评审现场管理，与评审工作无关的人员不得进入评审现场。各级财政部门对评审活动相关各方违反评审工作纪律及要求的行为，要依法严肃处理。</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 竞争性谈判小组在采购活动过程中应当履行下列职责：</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(一)确认或者制定谈判文件；</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(二)从符合相应资格条件的供应商名单中确定不少于3家的供应商参加谈判；</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(三)审查供应商的响应文件并作出评价；</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(四)要求供应商解释或者澄清其响应文件；</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(五)编写评审报告；</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(六)告知采购人、采购代理机构在评审过程中发现的供应商的违法违规行为。</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3.5 竞争性谈判小组成员应当履行下列义务：</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(一)遵纪守法，客观、公正、廉洁地履行职责；</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(二)根据采购文件的规定独立进行评审，对个人的评审意见承担法律责任；</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(三)参与评审报告的起草；</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(四)配合采购人、采购代理机构答复供应商提出的质疑；</w:t>
      </w:r>
    </w:p>
    <w:p>
      <w:pPr>
        <w:spacing w:line="440" w:lineRule="exact"/>
        <w:ind w:firstLine="53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(五)配合财政部门的投诉处理和监督检查工作。。</w:t>
      </w:r>
    </w:p>
    <w:p>
      <w:pPr>
        <w:pStyle w:val="215"/>
        <w:spacing w:line="440" w:lineRule="exact"/>
        <w:jc w:val="both"/>
        <w:rPr>
          <w:rFonts w:hint="eastAsia" w:ascii="宋体" w:hAnsi="宋体" w:eastAsia="宋体" w:cs="宋体"/>
          <w:b/>
          <w:bCs/>
          <w:sz w:val="28"/>
          <w:szCs w:val="28"/>
        </w:rPr>
      </w:pPr>
      <w:r>
        <w:rPr>
          <w:rFonts w:hint="eastAsia" w:ascii="宋体" w:hAnsi="宋体" w:eastAsia="宋体" w:cs="宋体"/>
          <w:b/>
          <w:bCs/>
          <w:sz w:val="28"/>
          <w:szCs w:val="28"/>
        </w:rPr>
        <w:t xml:space="preserve">二、评审程序  </w:t>
      </w:r>
    </w:p>
    <w:p>
      <w:pPr>
        <w:pStyle w:val="215"/>
        <w:spacing w:line="440" w:lineRule="exact"/>
        <w:jc w:val="both"/>
        <w:rPr>
          <w:rFonts w:ascii="仿宋_GB2312" w:hAnsi="仿宋_GB2312" w:eastAsia="仿宋_GB2312" w:cs="仿宋_GB2312"/>
          <w:b/>
          <w:bCs/>
          <w:sz w:val="28"/>
          <w:szCs w:val="28"/>
        </w:rPr>
      </w:pPr>
      <w:r>
        <w:rPr>
          <w:rFonts w:hint="eastAsia" w:ascii="宋体" w:hAnsi="宋体" w:eastAsia="宋体" w:cs="宋体"/>
          <w:b/>
          <w:bCs/>
          <w:sz w:val="28"/>
          <w:szCs w:val="28"/>
        </w:rPr>
        <w:t xml:space="preserve">    4．响应文件的初步评审 </w:t>
      </w:r>
      <w:r>
        <w:rPr>
          <w:rFonts w:hint="eastAsia" w:ascii="仿宋_GB2312" w:hAnsi="仿宋_GB2312" w:eastAsia="仿宋_GB2312" w:cs="仿宋_GB2312"/>
          <w:b/>
          <w:bCs/>
          <w:sz w:val="28"/>
          <w:szCs w:val="28"/>
        </w:rPr>
        <w:t xml:space="preserve">   </w:t>
      </w:r>
    </w:p>
    <w:p>
      <w:pPr>
        <w:pStyle w:val="215"/>
        <w:spacing w:line="44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4.1 初步评审分为资格性检查和符合性检查。</w:t>
      </w:r>
    </w:p>
    <w:p>
      <w:pPr>
        <w:pStyle w:val="215"/>
        <w:spacing w:line="440" w:lineRule="exact"/>
        <w:ind w:firstLine="560"/>
        <w:jc w:val="both"/>
        <w:rPr>
          <w:rFonts w:hint="eastAsia" w:ascii="仿宋_GB2312" w:hAnsi="仿宋_GB2312" w:eastAsia="仿宋_GB2312" w:cs="仿宋_GB2312"/>
          <w:sz w:val="28"/>
          <w:szCs w:val="28"/>
        </w:rPr>
      </w:pPr>
    </w:p>
    <w:p>
      <w:pPr>
        <w:snapToGrid w:val="0"/>
        <w:spacing w:line="500" w:lineRule="exact"/>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资格性检查表</w:t>
      </w:r>
    </w:p>
    <w:p>
      <w:pPr>
        <w:snapToGrid w:val="0"/>
        <w:spacing w:line="500" w:lineRule="exact"/>
        <w:jc w:val="center"/>
        <w:rPr>
          <w:rFonts w:hint="eastAsia" w:ascii="宋体" w:hAnsi="宋体" w:eastAsia="宋体" w:cs="宋体"/>
          <w:b/>
          <w:bCs/>
          <w:color w:val="000000"/>
          <w:kern w:val="0"/>
          <w:sz w:val="36"/>
          <w:szCs w:val="36"/>
          <w:lang w:eastAsia="zh-CN"/>
        </w:rPr>
      </w:pPr>
      <w:r>
        <w:rPr>
          <w:rFonts w:hint="eastAsia" w:ascii="宋体" w:hAnsi="宋体" w:eastAsia="宋体" w:cs="宋体"/>
          <w:b/>
          <w:bCs/>
          <w:color w:val="000000"/>
          <w:kern w:val="0"/>
          <w:sz w:val="32"/>
          <w:szCs w:val="32"/>
          <w:lang w:eastAsia="zh-CN"/>
        </w:rPr>
        <w:t>（</w:t>
      </w:r>
      <w:r>
        <w:rPr>
          <w:rFonts w:hint="eastAsia" w:ascii="宋体" w:hAnsi="宋体" w:eastAsia="宋体" w:cs="宋体"/>
          <w:b/>
          <w:bCs/>
          <w:color w:val="000000"/>
          <w:kern w:val="0"/>
          <w:sz w:val="32"/>
          <w:szCs w:val="32"/>
          <w:lang w:val="en-US" w:eastAsia="zh-CN"/>
        </w:rPr>
        <w:t>以下评审内容复印件均需要加盖供应商电子签章逐条上传至政采云开评标管理资格审查项</w:t>
      </w:r>
      <w:r>
        <w:rPr>
          <w:rFonts w:hint="eastAsia" w:ascii="宋体" w:hAnsi="宋体" w:eastAsia="宋体" w:cs="宋体"/>
          <w:b/>
          <w:bCs/>
          <w:color w:val="000000"/>
          <w:kern w:val="0"/>
          <w:sz w:val="32"/>
          <w:szCs w:val="32"/>
          <w:lang w:eastAsia="zh-CN"/>
        </w:rPr>
        <w:t>）</w:t>
      </w:r>
    </w:p>
    <w:tbl>
      <w:tblPr>
        <w:tblStyle w:val="38"/>
        <w:tblW w:w="100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6550"/>
        <w:gridCol w:w="795"/>
        <w:gridCol w:w="795"/>
        <w:gridCol w:w="795"/>
        <w:gridCol w:w="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restart"/>
            <w:tcBorders>
              <w:right w:val="single" w:color="auto" w:sz="4" w:space="0"/>
            </w:tcBorders>
            <w:noWrap w:val="0"/>
            <w:vAlign w:val="center"/>
          </w:tcPr>
          <w:p>
            <w:pPr>
              <w:spacing w:line="440" w:lineRule="exact"/>
              <w:ind w:firstLine="2666" w:firstLineChars="1130"/>
              <w:rPr>
                <w:rFonts w:ascii="宋体" w:hAnsi="宋体"/>
                <w:spacing w:val="-2"/>
                <w:sz w:val="24"/>
                <w:szCs w:val="24"/>
              </w:rPr>
            </w:pPr>
            <w:r>
              <w:rPr>
                <w:rFonts w:hint="eastAsia" w:ascii="宋体" w:hAnsi="宋体"/>
                <w:spacing w:val="-2"/>
                <w:sz w:val="24"/>
                <w:szCs w:val="24"/>
              </w:rPr>
              <w:t>评审内容</w:t>
            </w:r>
          </w:p>
        </w:tc>
        <w:tc>
          <w:tcPr>
            <w:tcW w:w="2850" w:type="dxa"/>
            <w:gridSpan w:val="4"/>
            <w:tcBorders>
              <w:left w:val="single" w:color="auto" w:sz="4" w:space="0"/>
              <w:bottom w:val="single" w:color="auto" w:sz="4" w:space="0"/>
            </w:tcBorders>
            <w:noWrap w:val="0"/>
            <w:vAlign w:val="center"/>
          </w:tcPr>
          <w:p>
            <w:pPr>
              <w:spacing w:line="440" w:lineRule="exact"/>
              <w:ind w:firstLine="424" w:firstLineChars="180"/>
              <w:rPr>
                <w:rFonts w:ascii="宋体" w:hAnsi="宋体"/>
                <w:spacing w:val="-2"/>
                <w:sz w:val="24"/>
                <w:szCs w:val="24"/>
              </w:rPr>
            </w:pPr>
            <w:r>
              <w:rPr>
                <w:rFonts w:hint="eastAsia" w:ascii="宋体" w:hAnsi="宋体"/>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continue"/>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795" w:type="dxa"/>
            <w:tcBorders>
              <w:top w:val="single" w:color="auto" w:sz="4" w:space="0"/>
              <w:left w:val="single" w:color="auto" w:sz="4" w:space="0"/>
              <w:right w:val="single" w:color="auto" w:sz="4" w:space="0"/>
            </w:tcBorders>
            <w:noWrap w:val="0"/>
            <w:vAlign w:val="top"/>
          </w:tcPr>
          <w:p>
            <w:pPr>
              <w:spacing w:line="440" w:lineRule="exact"/>
              <w:ind w:firstLine="424" w:firstLineChars="180"/>
              <w:rPr>
                <w:rFonts w:ascii="宋体" w:hAnsi="宋体"/>
                <w:spacing w:val="-2"/>
                <w:sz w:val="24"/>
                <w:szCs w:val="24"/>
              </w:rPr>
            </w:pPr>
            <w:r>
              <w:rPr>
                <w:rFonts w:hint="eastAsia" w:ascii="宋体" w:hAnsi="宋体"/>
                <w:spacing w:val="-2"/>
                <w:sz w:val="24"/>
                <w:szCs w:val="24"/>
              </w:rPr>
              <w:t>1</w:t>
            </w:r>
          </w:p>
        </w:tc>
        <w:tc>
          <w:tcPr>
            <w:tcW w:w="795" w:type="dxa"/>
            <w:tcBorders>
              <w:top w:val="single" w:color="auto" w:sz="4" w:space="0"/>
              <w:left w:val="single" w:color="auto" w:sz="4" w:space="0"/>
            </w:tcBorders>
            <w:noWrap w:val="0"/>
            <w:vAlign w:val="top"/>
          </w:tcPr>
          <w:p>
            <w:pPr>
              <w:spacing w:line="440" w:lineRule="exact"/>
              <w:ind w:firstLine="424" w:firstLineChars="180"/>
              <w:rPr>
                <w:rFonts w:ascii="宋体" w:hAnsi="宋体"/>
                <w:spacing w:val="-2"/>
                <w:sz w:val="24"/>
                <w:szCs w:val="24"/>
              </w:rPr>
            </w:pPr>
            <w:r>
              <w:rPr>
                <w:rFonts w:hint="eastAsia" w:ascii="宋体" w:hAnsi="宋体"/>
                <w:spacing w:val="-2"/>
                <w:sz w:val="24"/>
                <w:szCs w:val="24"/>
              </w:rPr>
              <w:t>2</w:t>
            </w:r>
          </w:p>
        </w:tc>
        <w:tc>
          <w:tcPr>
            <w:tcW w:w="795" w:type="dxa"/>
            <w:noWrap w:val="0"/>
            <w:vAlign w:val="center"/>
          </w:tcPr>
          <w:p>
            <w:pPr>
              <w:spacing w:line="440" w:lineRule="exact"/>
              <w:ind w:firstLine="424" w:firstLineChars="180"/>
              <w:jc w:val="center"/>
              <w:rPr>
                <w:rFonts w:ascii="宋体" w:hAnsi="宋体"/>
                <w:spacing w:val="-2"/>
                <w:sz w:val="24"/>
                <w:szCs w:val="24"/>
              </w:rPr>
            </w:pPr>
            <w:r>
              <w:rPr>
                <w:rFonts w:hint="eastAsia" w:ascii="宋体" w:hAnsi="宋体"/>
                <w:spacing w:val="-2"/>
                <w:sz w:val="24"/>
                <w:szCs w:val="24"/>
              </w:rPr>
              <w:t>3</w:t>
            </w:r>
          </w:p>
        </w:tc>
        <w:tc>
          <w:tcPr>
            <w:tcW w:w="465" w:type="dxa"/>
            <w:noWrap w:val="0"/>
            <w:vAlign w:val="center"/>
          </w:tcPr>
          <w:p>
            <w:pPr>
              <w:jc w:val="center"/>
              <w:rPr>
                <w:rFonts w:ascii="宋体" w:hAnsi="宋体"/>
                <w:b/>
                <w:sz w:val="24"/>
                <w:szCs w:val="24"/>
              </w:rPr>
            </w:pPr>
            <w:r>
              <w:rPr>
                <w:rFonts w:hint="eastAsia" w:ascii="宋体" w:hAnsi="宋体"/>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8" w:hRule="atLeast"/>
          <w:jc w:val="center"/>
        </w:trPr>
        <w:tc>
          <w:tcPr>
            <w:tcW w:w="662" w:type="dxa"/>
            <w:noWrap w:val="0"/>
            <w:vAlign w:val="center"/>
          </w:tcPr>
          <w:p>
            <w:pPr>
              <w:jc w:val="center"/>
              <w:rPr>
                <w:rFonts w:ascii="宋体" w:hAnsi="宋体"/>
                <w:sz w:val="24"/>
                <w:szCs w:val="24"/>
              </w:rPr>
            </w:pPr>
            <w:r>
              <w:rPr>
                <w:rFonts w:ascii="宋体" w:hAnsi="宋体"/>
                <w:sz w:val="24"/>
                <w:szCs w:val="24"/>
              </w:rPr>
              <w:t>1</w:t>
            </w:r>
          </w:p>
        </w:tc>
        <w:tc>
          <w:tcPr>
            <w:tcW w:w="6550" w:type="dxa"/>
            <w:tcBorders>
              <w:right w:val="single" w:color="auto" w:sz="4" w:space="0"/>
            </w:tcBorders>
            <w:noWrap w:val="0"/>
            <w:vAlign w:val="center"/>
          </w:tcPr>
          <w:p>
            <w:pPr>
              <w:spacing w:line="440" w:lineRule="exact"/>
              <w:rPr>
                <w:rFonts w:ascii="宋体" w:hAnsi="宋体"/>
                <w:spacing w:val="-2"/>
                <w:sz w:val="24"/>
                <w:szCs w:val="24"/>
              </w:rPr>
            </w:pPr>
            <w:r>
              <w:rPr>
                <w:rFonts w:hint="eastAsia" w:ascii="宋体" w:hAnsi="宋体"/>
                <w:spacing w:val="-2"/>
                <w:sz w:val="24"/>
                <w:szCs w:val="24"/>
              </w:rPr>
              <w:t>投标人须持有工商行政管理部门核发的有效企业营业执照并具有独立法人资格；</w:t>
            </w:r>
          </w:p>
        </w:tc>
        <w:tc>
          <w:tcPr>
            <w:tcW w:w="795"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65" w:type="dxa"/>
            <w:tcBorders>
              <w:left w:val="single" w:color="auto" w:sz="4" w:space="0"/>
            </w:tcBorders>
            <w:noWrap w:val="0"/>
            <w:vAlign w:val="top"/>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noWrap w:val="0"/>
            <w:vAlign w:val="center"/>
          </w:tcPr>
          <w:p>
            <w:pPr>
              <w:jc w:val="center"/>
              <w:rPr>
                <w:rFonts w:ascii="宋体" w:hAnsi="宋体"/>
                <w:sz w:val="24"/>
                <w:szCs w:val="24"/>
              </w:rPr>
            </w:pPr>
            <w:r>
              <w:rPr>
                <w:rFonts w:hint="eastAsia" w:ascii="宋体" w:hAnsi="宋体"/>
                <w:sz w:val="24"/>
                <w:szCs w:val="24"/>
              </w:rPr>
              <w:t>2</w:t>
            </w:r>
          </w:p>
        </w:tc>
        <w:tc>
          <w:tcPr>
            <w:tcW w:w="6550" w:type="dxa"/>
            <w:tcBorders>
              <w:right w:val="single" w:color="auto" w:sz="4" w:space="0"/>
            </w:tcBorders>
            <w:noWrap w:val="0"/>
            <w:vAlign w:val="center"/>
          </w:tcPr>
          <w:p>
            <w:pPr>
              <w:spacing w:line="440" w:lineRule="exact"/>
              <w:rPr>
                <w:rFonts w:hint="default" w:ascii="宋体" w:hAnsi="宋体" w:eastAsia="宋体"/>
                <w:spacing w:val="-2"/>
                <w:sz w:val="24"/>
                <w:szCs w:val="24"/>
                <w:lang w:val="en-US" w:eastAsia="zh-CN"/>
              </w:rPr>
            </w:pPr>
            <w:r>
              <w:rPr>
                <w:rFonts w:hint="eastAsia" w:ascii="宋体" w:hAnsi="宋体"/>
                <w:spacing w:val="-2"/>
                <w:sz w:val="24"/>
                <w:szCs w:val="24"/>
              </w:rPr>
              <w:t>投标人须具备</w:t>
            </w:r>
            <w:r>
              <w:rPr>
                <w:rFonts w:hint="eastAsia" w:ascii="宋体" w:hAnsi="宋体"/>
                <w:spacing w:val="-2"/>
                <w:sz w:val="24"/>
                <w:szCs w:val="24"/>
                <w:lang w:eastAsia="zh-CN"/>
              </w:rPr>
              <w:t>水利水电工程施工总承包三级</w:t>
            </w:r>
            <w:r>
              <w:rPr>
                <w:rFonts w:hint="eastAsia" w:ascii="宋体" w:hAnsi="宋体"/>
                <w:spacing w:val="-2"/>
                <w:sz w:val="24"/>
                <w:szCs w:val="24"/>
              </w:rPr>
              <w:t>(含)以上资质等级，并取得安全生产许可证；</w:t>
            </w:r>
          </w:p>
        </w:tc>
        <w:tc>
          <w:tcPr>
            <w:tcW w:w="795"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65" w:type="dxa"/>
            <w:tcBorders>
              <w:left w:val="single" w:color="auto" w:sz="4" w:space="0"/>
            </w:tcBorders>
            <w:noWrap w:val="0"/>
            <w:vAlign w:val="top"/>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62" w:type="dxa"/>
            <w:noWrap w:val="0"/>
            <w:vAlign w:val="center"/>
          </w:tcPr>
          <w:p>
            <w:pPr>
              <w:jc w:val="center"/>
              <w:rPr>
                <w:rFonts w:ascii="宋体" w:hAnsi="宋体"/>
                <w:sz w:val="24"/>
                <w:szCs w:val="24"/>
              </w:rPr>
            </w:pPr>
            <w:r>
              <w:rPr>
                <w:rFonts w:hint="eastAsia" w:ascii="宋体" w:hAnsi="宋体"/>
                <w:sz w:val="24"/>
                <w:szCs w:val="24"/>
              </w:rPr>
              <w:t>3</w:t>
            </w:r>
          </w:p>
        </w:tc>
        <w:tc>
          <w:tcPr>
            <w:tcW w:w="6550" w:type="dxa"/>
            <w:tcBorders>
              <w:right w:val="single" w:color="auto" w:sz="4" w:space="0"/>
            </w:tcBorders>
            <w:noWrap w:val="0"/>
            <w:vAlign w:val="center"/>
          </w:tcPr>
          <w:p>
            <w:pPr>
              <w:spacing w:line="440" w:lineRule="exact"/>
              <w:rPr>
                <w:rFonts w:ascii="宋体" w:hAnsi="宋体"/>
                <w:spacing w:val="-2"/>
                <w:sz w:val="24"/>
                <w:szCs w:val="24"/>
              </w:rPr>
            </w:pPr>
            <w:r>
              <w:rPr>
                <w:rFonts w:hint="eastAsia" w:ascii="宋体" w:hAnsi="宋体"/>
                <w:spacing w:val="-2"/>
                <w:sz w:val="24"/>
                <w:szCs w:val="24"/>
              </w:rPr>
              <w:t>法定代表人投标需提供法定代表人身份证，委托代理人投标需提供法定代表人授权委托书及授权委托人身份证；</w:t>
            </w:r>
          </w:p>
        </w:tc>
        <w:tc>
          <w:tcPr>
            <w:tcW w:w="795"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65" w:type="dxa"/>
            <w:tcBorders>
              <w:left w:val="single" w:color="auto" w:sz="4" w:space="0"/>
            </w:tcBorders>
            <w:noWrap w:val="0"/>
            <w:vAlign w:val="top"/>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noWrap w:val="0"/>
            <w:vAlign w:val="center"/>
          </w:tcPr>
          <w:p>
            <w:pPr>
              <w:jc w:val="center"/>
              <w:rPr>
                <w:rFonts w:hint="eastAsia" w:ascii="宋体" w:hAnsi="宋体"/>
                <w:sz w:val="24"/>
                <w:szCs w:val="24"/>
              </w:rPr>
            </w:pPr>
          </w:p>
        </w:tc>
        <w:tc>
          <w:tcPr>
            <w:tcW w:w="6550" w:type="dxa"/>
            <w:tcBorders>
              <w:right w:val="single" w:color="auto" w:sz="4" w:space="0"/>
            </w:tcBorders>
            <w:noWrap w:val="0"/>
            <w:vAlign w:val="center"/>
          </w:tcPr>
          <w:p>
            <w:pPr>
              <w:spacing w:line="440" w:lineRule="exact"/>
              <w:rPr>
                <w:rFonts w:ascii="宋体" w:hAnsi="宋体"/>
                <w:sz w:val="24"/>
                <w:szCs w:val="24"/>
              </w:rPr>
            </w:pPr>
            <w:r>
              <w:rPr>
                <w:rFonts w:hint="eastAsia" w:ascii="宋体" w:hAnsi="宋体" w:cs="宋体"/>
                <w:bCs/>
                <w:kern w:val="0"/>
                <w:sz w:val="24"/>
                <w:szCs w:val="22"/>
                <w:highlight w:val="none"/>
                <w:shd w:val="clear" w:color="050000" w:fill="auto"/>
                <w:lang w:val="en-US" w:eastAsia="zh-CN"/>
              </w:rPr>
              <w:t>提供本单位被授权人及拟派项目经理近三个月的社保缴纳证明；</w:t>
            </w:r>
          </w:p>
        </w:tc>
        <w:tc>
          <w:tcPr>
            <w:tcW w:w="795"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65" w:type="dxa"/>
            <w:tcBorders>
              <w:left w:val="single" w:color="auto" w:sz="4" w:space="0"/>
            </w:tcBorders>
            <w:noWrap w:val="0"/>
            <w:vAlign w:val="top"/>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noWrap w:val="0"/>
            <w:vAlign w:val="center"/>
          </w:tcPr>
          <w:p>
            <w:pPr>
              <w:jc w:val="center"/>
              <w:rPr>
                <w:rFonts w:ascii="宋体" w:hAnsi="宋体"/>
                <w:sz w:val="24"/>
                <w:szCs w:val="24"/>
              </w:rPr>
            </w:pPr>
            <w:r>
              <w:rPr>
                <w:rFonts w:hint="eastAsia" w:ascii="宋体" w:hAnsi="宋体"/>
                <w:sz w:val="24"/>
                <w:szCs w:val="24"/>
              </w:rPr>
              <w:t>4</w:t>
            </w:r>
          </w:p>
        </w:tc>
        <w:tc>
          <w:tcPr>
            <w:tcW w:w="6550" w:type="dxa"/>
            <w:tcBorders>
              <w:right w:val="single" w:color="auto" w:sz="4" w:space="0"/>
            </w:tcBorders>
            <w:noWrap w:val="0"/>
            <w:vAlign w:val="center"/>
          </w:tcPr>
          <w:p>
            <w:pPr>
              <w:spacing w:line="440" w:lineRule="exact"/>
              <w:rPr>
                <w:rFonts w:hint="eastAsia" w:ascii="宋体" w:hAnsi="宋体" w:eastAsia="宋体"/>
                <w:sz w:val="24"/>
                <w:szCs w:val="24"/>
                <w:lang w:eastAsia="zh-CN"/>
              </w:rPr>
            </w:pPr>
            <w:r>
              <w:rPr>
                <w:rFonts w:ascii="宋体" w:hAnsi="宋体"/>
                <w:sz w:val="24"/>
                <w:szCs w:val="24"/>
              </w:rPr>
              <w:t>项目负责人须具备水利水电工程专业贰级及以上注册建造师执业资格，具备有效的安全生产考核合格证书，且未担任其他在建工程项目的项目负责人；并在人员、设备、资金等方面具有相应的施工能力</w:t>
            </w:r>
            <w:r>
              <w:rPr>
                <w:rFonts w:hint="eastAsia" w:ascii="宋体" w:hAnsi="宋体"/>
                <w:sz w:val="24"/>
                <w:szCs w:val="24"/>
                <w:lang w:eastAsia="zh-CN"/>
              </w:rPr>
              <w:t>；</w:t>
            </w:r>
          </w:p>
        </w:tc>
        <w:tc>
          <w:tcPr>
            <w:tcW w:w="795"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65" w:type="dxa"/>
            <w:tcBorders>
              <w:left w:val="single" w:color="auto" w:sz="4" w:space="0"/>
            </w:tcBorders>
            <w:noWrap w:val="0"/>
            <w:vAlign w:val="top"/>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5</w:t>
            </w:r>
          </w:p>
        </w:tc>
        <w:tc>
          <w:tcPr>
            <w:tcW w:w="6550" w:type="dxa"/>
            <w:tcBorders>
              <w:right w:val="single" w:color="auto" w:sz="4" w:space="0"/>
            </w:tcBorders>
            <w:noWrap w:val="0"/>
            <w:vAlign w:val="center"/>
          </w:tcPr>
          <w:p>
            <w:pPr>
              <w:spacing w:line="440" w:lineRule="exact"/>
              <w:rPr>
                <w:rFonts w:hint="eastAsia" w:ascii="宋体" w:hAnsi="宋体"/>
                <w:sz w:val="24"/>
                <w:szCs w:val="24"/>
              </w:rPr>
            </w:pPr>
            <w:r>
              <w:rPr>
                <w:rFonts w:hint="eastAsia" w:ascii="宋体" w:hAnsi="宋体"/>
                <w:sz w:val="24"/>
                <w:szCs w:val="24"/>
              </w:rPr>
              <w:t>外省企业须办理进疆备案《新疆维吾尔自治区区外进疆建筑企业信息报送册》；</w:t>
            </w:r>
          </w:p>
        </w:tc>
        <w:tc>
          <w:tcPr>
            <w:tcW w:w="795"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65" w:type="dxa"/>
            <w:tcBorders>
              <w:left w:val="single" w:color="auto" w:sz="4" w:space="0"/>
            </w:tcBorders>
            <w:noWrap w:val="0"/>
            <w:vAlign w:val="top"/>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6</w:t>
            </w:r>
          </w:p>
        </w:tc>
        <w:tc>
          <w:tcPr>
            <w:tcW w:w="6550" w:type="dxa"/>
            <w:tcBorders>
              <w:right w:val="single" w:color="auto" w:sz="4" w:space="0"/>
            </w:tcBorders>
            <w:noWrap w:val="0"/>
            <w:vAlign w:val="center"/>
          </w:tcPr>
          <w:p>
            <w:pPr>
              <w:spacing w:line="440" w:lineRule="exact"/>
              <w:rPr>
                <w:rFonts w:hint="eastAsia" w:ascii="宋体" w:hAnsi="宋体" w:eastAsia="宋体"/>
                <w:sz w:val="24"/>
                <w:szCs w:val="24"/>
                <w:lang w:eastAsia="zh-CN"/>
              </w:rPr>
            </w:pPr>
            <w:r>
              <w:rPr>
                <w:rFonts w:hint="eastAsia" w:ascii="宋体" w:hAnsi="宋体"/>
                <w:sz w:val="24"/>
                <w:szCs w:val="24"/>
              </w:rPr>
              <w:t>投标保证金汇款凭证或保函</w:t>
            </w:r>
            <w:r>
              <w:rPr>
                <w:rFonts w:hint="eastAsia" w:ascii="宋体" w:hAnsi="宋体"/>
                <w:sz w:val="24"/>
                <w:szCs w:val="24"/>
                <w:lang w:eastAsia="zh-CN"/>
              </w:rPr>
              <w:t>；</w:t>
            </w:r>
          </w:p>
        </w:tc>
        <w:tc>
          <w:tcPr>
            <w:tcW w:w="795"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65" w:type="dxa"/>
            <w:tcBorders>
              <w:left w:val="single" w:color="auto" w:sz="4" w:space="0"/>
            </w:tcBorders>
            <w:noWrap w:val="0"/>
            <w:vAlign w:val="top"/>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7</w:t>
            </w:r>
          </w:p>
        </w:tc>
        <w:tc>
          <w:tcPr>
            <w:tcW w:w="6550" w:type="dxa"/>
            <w:tcBorders>
              <w:right w:val="single" w:color="auto" w:sz="4" w:space="0"/>
            </w:tcBorders>
            <w:noWrap w:val="0"/>
            <w:vAlign w:val="center"/>
          </w:tcPr>
          <w:p>
            <w:pPr>
              <w:spacing w:line="440" w:lineRule="exact"/>
              <w:rPr>
                <w:rFonts w:hint="eastAsia" w:ascii="宋体" w:hAnsi="宋体"/>
                <w:sz w:val="24"/>
                <w:szCs w:val="24"/>
              </w:rPr>
            </w:pPr>
            <w:r>
              <w:rPr>
                <w:rFonts w:hint="eastAsia" w:ascii="宋体" w:hAnsi="宋体" w:cs="宋体"/>
                <w:bCs/>
                <w:kern w:val="0"/>
                <w:sz w:val="24"/>
                <w:szCs w:val="22"/>
                <w:highlight w:val="none"/>
                <w:shd w:val="clear" w:color="050000" w:fill="auto"/>
                <w:lang w:val="en-US" w:eastAsia="zh-CN"/>
              </w:rPr>
              <w:t>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tc>
        <w:tc>
          <w:tcPr>
            <w:tcW w:w="795"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95"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65" w:type="dxa"/>
            <w:tcBorders>
              <w:left w:val="single" w:color="auto" w:sz="4" w:space="0"/>
            </w:tcBorders>
            <w:noWrap w:val="0"/>
            <w:vAlign w:val="top"/>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7212" w:type="dxa"/>
            <w:gridSpan w:val="2"/>
            <w:tcBorders>
              <w:right w:val="single" w:color="auto" w:sz="4" w:space="0"/>
            </w:tcBorders>
            <w:noWrap w:val="0"/>
            <w:vAlign w:val="top"/>
          </w:tcPr>
          <w:p>
            <w:pPr>
              <w:spacing w:line="440" w:lineRule="exact"/>
              <w:ind w:firstLine="424" w:firstLineChars="180"/>
              <w:rPr>
                <w:rFonts w:ascii="宋体" w:hAnsi="宋体"/>
                <w:spacing w:val="-2"/>
                <w:sz w:val="24"/>
                <w:szCs w:val="24"/>
              </w:rPr>
            </w:pPr>
            <w:r>
              <w:rPr>
                <w:rFonts w:hint="eastAsia" w:ascii="宋体" w:hAnsi="宋体"/>
                <w:spacing w:val="-2"/>
                <w:sz w:val="24"/>
                <w:szCs w:val="24"/>
              </w:rPr>
              <w:t>结论：是否通过评审</w:t>
            </w:r>
          </w:p>
        </w:tc>
        <w:tc>
          <w:tcPr>
            <w:tcW w:w="795" w:type="dxa"/>
            <w:tcBorders>
              <w:left w:val="single" w:color="auto" w:sz="4" w:space="0"/>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795" w:type="dxa"/>
            <w:tcBorders>
              <w:left w:val="single" w:color="auto" w:sz="4" w:space="0"/>
            </w:tcBorders>
            <w:noWrap w:val="0"/>
            <w:vAlign w:val="top"/>
          </w:tcPr>
          <w:p>
            <w:pPr>
              <w:spacing w:line="440" w:lineRule="exact"/>
              <w:ind w:firstLine="424" w:firstLineChars="180"/>
              <w:rPr>
                <w:rFonts w:ascii="宋体" w:hAnsi="宋体"/>
                <w:spacing w:val="-2"/>
                <w:sz w:val="24"/>
                <w:szCs w:val="24"/>
              </w:rPr>
            </w:pPr>
          </w:p>
        </w:tc>
        <w:tc>
          <w:tcPr>
            <w:tcW w:w="795" w:type="dxa"/>
            <w:noWrap w:val="0"/>
            <w:vAlign w:val="top"/>
          </w:tcPr>
          <w:p>
            <w:pPr>
              <w:spacing w:line="440" w:lineRule="exact"/>
              <w:ind w:firstLine="424" w:firstLineChars="180"/>
              <w:rPr>
                <w:rFonts w:ascii="宋体" w:hAnsi="宋体"/>
                <w:spacing w:val="-2"/>
                <w:sz w:val="24"/>
                <w:szCs w:val="24"/>
              </w:rPr>
            </w:pPr>
          </w:p>
        </w:tc>
        <w:tc>
          <w:tcPr>
            <w:tcW w:w="465" w:type="dxa"/>
            <w:noWrap w:val="0"/>
            <w:vAlign w:val="top"/>
          </w:tcPr>
          <w:p>
            <w:pPr>
              <w:rPr>
                <w:rFonts w:ascii="宋体" w:hAnsi="宋体"/>
                <w:sz w:val="24"/>
                <w:szCs w:val="24"/>
              </w:rPr>
            </w:pPr>
          </w:p>
        </w:tc>
      </w:tr>
    </w:tbl>
    <w:p>
      <w:pPr>
        <w:pStyle w:val="37"/>
        <w:ind w:left="0" w:leftChars="0" w:firstLine="0" w:firstLineChars="0"/>
        <w:rPr>
          <w:b/>
          <w:bCs/>
          <w:sz w:val="28"/>
          <w:szCs w:val="28"/>
        </w:rPr>
      </w:pPr>
      <w:r>
        <w:rPr>
          <w:rFonts w:hint="eastAsia"/>
          <w:b/>
          <w:bCs/>
          <w:sz w:val="28"/>
          <w:szCs w:val="28"/>
        </w:rPr>
        <w:t>注：未通过资格审查的供应商不得进入下一评审阶段</w:t>
      </w:r>
    </w:p>
    <w:p>
      <w:pPr>
        <w:pStyle w:val="215"/>
        <w:spacing w:line="420" w:lineRule="exact"/>
        <w:ind w:firstLine="561"/>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4.1.2 符合性检查。依据竞争性谈判文件的规定，从响应文件的有效性、完整性和对竞争性谈判文件的响应程度进行审查，以确定是否对竞争性谈判文件的实质性要求作出响应。谈判小组评审响应文件的响应性只根据响应文件真实无误的内容，而不依据外部的证据，但响应文件有不真实、不正确的内容时除外。</w:t>
      </w:r>
    </w:p>
    <w:p>
      <w:pPr>
        <w:pStyle w:val="215"/>
        <w:spacing w:line="420" w:lineRule="exact"/>
        <w:ind w:firstLine="561"/>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4.1.3 供应商不得通过修正或撤销不符合要求的偏离从而使其响应成为实质上的响应。</w:t>
      </w:r>
    </w:p>
    <w:p>
      <w:pPr>
        <w:pStyle w:val="215"/>
        <w:spacing w:line="42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4.2 出现下列情形之一的，采购人或者采购代理机构应当终止竞争性谈判采购活动，发布项目终止公告并说明原因，重新开展采购活动：</w:t>
      </w:r>
    </w:p>
    <w:p>
      <w:pPr>
        <w:pStyle w:val="215"/>
        <w:spacing w:line="42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（一）因情况变化，不再符合规定的竞争性谈判采购方式适用情形的；</w:t>
      </w:r>
    </w:p>
    <w:p>
      <w:pPr>
        <w:pStyle w:val="215"/>
        <w:spacing w:line="42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（二）出现影响采购公正的违法、违规行为的；</w:t>
      </w:r>
    </w:p>
    <w:p>
      <w:pPr>
        <w:pStyle w:val="215"/>
        <w:spacing w:line="420" w:lineRule="exact"/>
        <w:ind w:firstLine="56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（三）在采购过程中符合竞争要求的供应商或者报价未超过采购预算的供应商不足3家的，但财政部令第74号《政府采购非招标采购方式管理办法》第二十七条第二款规定的情形除外。</w:t>
      </w:r>
    </w:p>
    <w:p>
      <w:pPr>
        <w:pStyle w:val="215"/>
        <w:spacing w:line="420" w:lineRule="exact"/>
        <w:ind w:firstLine="56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4.3 废标后，除采购任务取消情形外，采购单位应当重新组织招标。需要采取其他采购方式的，应当在采购活动开始前获得设区的市、自治州以上人民政府财政部门的批准。</w:t>
      </w:r>
    </w:p>
    <w:p>
      <w:pPr>
        <w:pStyle w:val="9"/>
        <w:ind w:left="0" w:leftChars="0" w:firstLine="0" w:firstLineChars="0"/>
        <w:rPr>
          <w:rFonts w:hint="eastAsia" w:ascii="仿宋_GB2312" w:hAnsi="仿宋_GB2312" w:cs="仿宋_GB2312"/>
          <w:b/>
          <w:bCs/>
          <w:color w:val="000000"/>
          <w:kern w:val="0"/>
          <w:sz w:val="36"/>
          <w:szCs w:val="36"/>
          <w:highlight w:val="yellow"/>
        </w:rPr>
      </w:pPr>
    </w:p>
    <w:p>
      <w:pPr>
        <w:pStyle w:val="9"/>
        <w:ind w:left="0" w:leftChars="0" w:firstLine="0" w:firstLineChars="0"/>
        <w:rPr>
          <w:rFonts w:hint="eastAsia" w:ascii="仿宋_GB2312" w:hAnsi="仿宋_GB2312" w:cs="仿宋_GB2312"/>
          <w:b/>
          <w:bCs/>
          <w:color w:val="000000"/>
          <w:kern w:val="0"/>
          <w:sz w:val="36"/>
          <w:szCs w:val="36"/>
          <w:highlight w:val="yellow"/>
        </w:rPr>
      </w:pPr>
    </w:p>
    <w:p>
      <w:pPr>
        <w:pStyle w:val="9"/>
        <w:ind w:left="0" w:leftChars="0" w:firstLine="0" w:firstLineChars="0"/>
        <w:rPr>
          <w:rFonts w:hint="eastAsia" w:ascii="仿宋_GB2312" w:hAnsi="仿宋_GB2312" w:cs="仿宋_GB2312"/>
          <w:b/>
          <w:bCs/>
          <w:color w:val="000000"/>
          <w:kern w:val="0"/>
          <w:sz w:val="36"/>
          <w:szCs w:val="36"/>
          <w:highlight w:val="yellow"/>
        </w:rPr>
      </w:pPr>
    </w:p>
    <w:p>
      <w:pPr>
        <w:pStyle w:val="9"/>
        <w:ind w:left="0" w:leftChars="0" w:firstLine="0" w:firstLineChars="0"/>
        <w:rPr>
          <w:rFonts w:hint="eastAsia" w:ascii="仿宋_GB2312" w:hAnsi="仿宋_GB2312" w:cs="仿宋_GB2312"/>
          <w:b/>
          <w:bCs/>
          <w:color w:val="000000"/>
          <w:kern w:val="0"/>
          <w:sz w:val="36"/>
          <w:szCs w:val="36"/>
          <w:highlight w:val="yellow"/>
        </w:rPr>
      </w:pPr>
    </w:p>
    <w:p>
      <w:pPr>
        <w:pStyle w:val="9"/>
        <w:ind w:left="0" w:leftChars="0" w:firstLine="0" w:firstLineChars="0"/>
        <w:rPr>
          <w:rFonts w:hint="eastAsia" w:ascii="仿宋_GB2312" w:hAnsi="仿宋_GB2312" w:cs="仿宋_GB2312"/>
          <w:b/>
          <w:bCs/>
          <w:color w:val="000000"/>
          <w:kern w:val="0"/>
          <w:sz w:val="36"/>
          <w:szCs w:val="36"/>
          <w:highlight w:val="yellow"/>
        </w:rPr>
      </w:pPr>
    </w:p>
    <w:p>
      <w:pPr>
        <w:snapToGrid w:val="0"/>
        <w:spacing w:line="500" w:lineRule="exact"/>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符合性检查表</w:t>
      </w:r>
    </w:p>
    <w:p>
      <w:pPr>
        <w:snapToGrid w:val="0"/>
        <w:spacing w:line="500" w:lineRule="exact"/>
        <w:jc w:val="center"/>
        <w:rPr>
          <w:rFonts w:hint="eastAsia" w:ascii="宋体" w:hAnsi="宋体" w:eastAsia="宋体" w:cs="宋体"/>
          <w:b/>
          <w:bCs/>
          <w:color w:val="000000"/>
          <w:kern w:val="0"/>
          <w:sz w:val="36"/>
          <w:szCs w:val="36"/>
          <w:lang w:eastAsia="zh-CN"/>
        </w:rPr>
      </w:pPr>
      <w:r>
        <w:rPr>
          <w:rFonts w:hint="eastAsia" w:ascii="宋体" w:hAnsi="宋体" w:eastAsia="宋体" w:cs="宋体"/>
          <w:b/>
          <w:bCs/>
          <w:color w:val="000000"/>
          <w:kern w:val="0"/>
          <w:sz w:val="32"/>
          <w:szCs w:val="32"/>
          <w:lang w:eastAsia="zh-CN"/>
        </w:rPr>
        <w:t>（</w:t>
      </w:r>
      <w:r>
        <w:rPr>
          <w:rFonts w:hint="eastAsia" w:ascii="宋体" w:hAnsi="宋体" w:eastAsia="宋体" w:cs="宋体"/>
          <w:b/>
          <w:bCs/>
          <w:color w:val="000000"/>
          <w:kern w:val="0"/>
          <w:sz w:val="32"/>
          <w:szCs w:val="32"/>
          <w:lang w:val="en-US" w:eastAsia="zh-CN"/>
        </w:rPr>
        <w:t>以下评审内容复印件均需要加盖供应商电子签章逐条上传至政采云开评标管理符合性审查项</w:t>
      </w:r>
      <w:r>
        <w:rPr>
          <w:rFonts w:hint="eastAsia" w:ascii="宋体" w:hAnsi="宋体" w:eastAsia="宋体" w:cs="宋体"/>
          <w:b/>
          <w:bCs/>
          <w:color w:val="000000"/>
          <w:kern w:val="0"/>
          <w:sz w:val="32"/>
          <w:szCs w:val="32"/>
          <w:lang w:eastAsia="zh-CN"/>
        </w:rPr>
        <w:t>）</w:t>
      </w:r>
    </w:p>
    <w:p>
      <w:pPr>
        <w:pStyle w:val="220"/>
        <w:rPr>
          <w:rFonts w:hint="eastAsia"/>
        </w:rPr>
      </w:pPr>
    </w:p>
    <w:tbl>
      <w:tblPr>
        <w:tblStyle w:val="38"/>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8"/>
        <w:gridCol w:w="2306"/>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14"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564" w:type="dxa"/>
            <w:gridSpan w:val="2"/>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评审因素</w:t>
            </w:r>
          </w:p>
        </w:tc>
        <w:tc>
          <w:tcPr>
            <w:tcW w:w="4970"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4" w:type="dxa"/>
            <w:vMerge w:val="restart"/>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58" w:type="dxa"/>
            <w:vMerge w:val="restart"/>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有效性审查</w:t>
            </w:r>
          </w:p>
        </w:tc>
        <w:tc>
          <w:tcPr>
            <w:tcW w:w="2306" w:type="dxa"/>
            <w:noWrap w:val="0"/>
            <w:vAlign w:val="center"/>
          </w:tcPr>
          <w:p>
            <w:pPr>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响应文件签署</w:t>
            </w:r>
          </w:p>
        </w:tc>
        <w:tc>
          <w:tcPr>
            <w:tcW w:w="4970" w:type="dxa"/>
            <w:noWrap w:val="0"/>
            <w:vAlign w:val="center"/>
          </w:tcPr>
          <w:p>
            <w:pPr>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响应文件上法定代表人或其授权代理人的签字、供应商的单位章齐全符合竞争性谈判文件规定。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14" w:type="dxa"/>
            <w:vMerge w:val="continue"/>
            <w:noWrap w:val="0"/>
            <w:vAlign w:val="center"/>
          </w:tcPr>
          <w:p>
            <w:pPr>
              <w:jc w:val="center"/>
              <w:rPr>
                <w:rFonts w:hint="eastAsia" w:ascii="宋体" w:hAnsi="宋体" w:eastAsia="宋体" w:cs="宋体"/>
                <w:color w:val="000000"/>
                <w:kern w:val="0"/>
                <w:sz w:val="24"/>
                <w:szCs w:val="24"/>
              </w:rPr>
            </w:pPr>
          </w:p>
        </w:tc>
        <w:tc>
          <w:tcPr>
            <w:tcW w:w="1258" w:type="dxa"/>
            <w:vMerge w:val="continue"/>
            <w:noWrap w:val="0"/>
            <w:vAlign w:val="center"/>
          </w:tcPr>
          <w:p>
            <w:pPr>
              <w:jc w:val="center"/>
              <w:rPr>
                <w:rFonts w:hint="eastAsia" w:ascii="宋体" w:hAnsi="宋体" w:eastAsia="宋体" w:cs="宋体"/>
                <w:color w:val="000000"/>
                <w:kern w:val="0"/>
                <w:sz w:val="24"/>
                <w:szCs w:val="24"/>
              </w:rPr>
            </w:pPr>
          </w:p>
        </w:tc>
        <w:tc>
          <w:tcPr>
            <w:tcW w:w="2306" w:type="dxa"/>
            <w:noWrap w:val="0"/>
            <w:vAlign w:val="center"/>
          </w:tcPr>
          <w:p>
            <w:pPr>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法定代表人身份证明及授权委托书</w:t>
            </w:r>
          </w:p>
        </w:tc>
        <w:tc>
          <w:tcPr>
            <w:tcW w:w="4970" w:type="dxa"/>
            <w:noWrap w:val="0"/>
            <w:vAlign w:val="center"/>
          </w:tcPr>
          <w:p>
            <w:pPr>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法定代表人身份证明及授权委托书有效，且符合竞争性谈判文件规定的格式。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14" w:type="dxa"/>
            <w:vMerge w:val="continue"/>
            <w:noWrap w:val="0"/>
            <w:vAlign w:val="center"/>
          </w:tcPr>
          <w:p>
            <w:pPr>
              <w:jc w:val="center"/>
              <w:rPr>
                <w:rFonts w:hint="eastAsia" w:ascii="宋体" w:hAnsi="宋体" w:eastAsia="宋体" w:cs="宋体"/>
                <w:color w:val="000000"/>
                <w:kern w:val="0"/>
                <w:sz w:val="24"/>
                <w:szCs w:val="24"/>
              </w:rPr>
            </w:pPr>
          </w:p>
        </w:tc>
        <w:tc>
          <w:tcPr>
            <w:tcW w:w="1258" w:type="dxa"/>
            <w:vMerge w:val="continue"/>
            <w:noWrap w:val="0"/>
            <w:vAlign w:val="center"/>
          </w:tcPr>
          <w:p>
            <w:pPr>
              <w:jc w:val="center"/>
              <w:rPr>
                <w:rFonts w:hint="eastAsia" w:ascii="宋体" w:hAnsi="宋体" w:eastAsia="宋体" w:cs="宋体"/>
                <w:color w:val="000000"/>
                <w:kern w:val="0"/>
                <w:sz w:val="24"/>
                <w:szCs w:val="24"/>
              </w:rPr>
            </w:pPr>
          </w:p>
        </w:tc>
        <w:tc>
          <w:tcPr>
            <w:tcW w:w="2306" w:type="dxa"/>
            <w:noWrap w:val="0"/>
            <w:vAlign w:val="center"/>
          </w:tcPr>
          <w:p>
            <w:pPr>
              <w:spacing w:line="300" w:lineRule="exact"/>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报价唯一</w:t>
            </w:r>
          </w:p>
        </w:tc>
        <w:tc>
          <w:tcPr>
            <w:tcW w:w="4970" w:type="dxa"/>
            <w:noWrap w:val="0"/>
            <w:vAlign w:val="center"/>
          </w:tcPr>
          <w:p>
            <w:pPr>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lang w:val="zh-CN"/>
              </w:rPr>
              <w:t>其报价</w:t>
            </w:r>
            <w:r>
              <w:rPr>
                <w:rFonts w:hint="eastAsia" w:ascii="宋体" w:hAnsi="宋体" w:eastAsia="宋体" w:cs="宋体"/>
                <w:color w:val="000000"/>
                <w:sz w:val="24"/>
                <w:szCs w:val="24"/>
              </w:rPr>
              <w:t>(含首次及最后报价)</w:t>
            </w:r>
            <w:r>
              <w:rPr>
                <w:rFonts w:hint="eastAsia" w:ascii="宋体" w:hAnsi="宋体" w:eastAsia="宋体" w:cs="宋体"/>
                <w:sz w:val="24"/>
                <w:szCs w:val="24"/>
                <w:lang w:val="zh-CN"/>
              </w:rPr>
              <w:t>未超过采购预算金额或者最高限价</w:t>
            </w:r>
            <w:r>
              <w:rPr>
                <w:rFonts w:hint="eastAsia" w:ascii="宋体" w:hAnsi="宋体" w:eastAsia="宋体" w:cs="宋体"/>
                <w:color w:val="000000"/>
                <w:sz w:val="24"/>
                <w:szCs w:val="24"/>
                <w:lang w:val="zh-CN"/>
              </w:rPr>
              <w:t>，且</w:t>
            </w:r>
            <w:r>
              <w:rPr>
                <w:rFonts w:hint="eastAsia" w:ascii="宋体" w:hAnsi="宋体" w:eastAsia="宋体" w:cs="宋体"/>
                <w:color w:val="000000"/>
                <w:sz w:val="24"/>
                <w:szCs w:val="24"/>
              </w:rPr>
              <w:t>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14"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58"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完整性审查</w:t>
            </w:r>
          </w:p>
        </w:tc>
        <w:tc>
          <w:tcPr>
            <w:tcW w:w="2306" w:type="dxa"/>
            <w:noWrap w:val="0"/>
            <w:vAlign w:val="center"/>
          </w:tcPr>
          <w:p>
            <w:pPr>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sz w:val="24"/>
                <w:szCs w:val="24"/>
                <w:lang w:val="zh-CN"/>
              </w:rPr>
              <w:t>响应文件</w:t>
            </w:r>
            <w:r>
              <w:rPr>
                <w:rFonts w:hint="eastAsia" w:ascii="宋体" w:hAnsi="宋体" w:eastAsia="宋体" w:cs="宋体"/>
                <w:color w:val="000000"/>
                <w:sz w:val="24"/>
                <w:szCs w:val="24"/>
                <w:lang w:val="en-US" w:eastAsia="zh-CN"/>
              </w:rPr>
              <w:t>递交要求</w:t>
            </w:r>
          </w:p>
        </w:tc>
        <w:tc>
          <w:tcPr>
            <w:tcW w:w="4970" w:type="dxa"/>
            <w:noWrap w:val="0"/>
            <w:vAlign w:val="center"/>
          </w:tcPr>
          <w:p>
            <w:pPr>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lang w:val="zh-CN"/>
              </w:rPr>
              <w:t>投标文件</w:t>
            </w:r>
            <w:r>
              <w:rPr>
                <w:rFonts w:hint="eastAsia" w:ascii="宋体" w:hAnsi="宋体" w:cs="宋体"/>
                <w:color w:val="000000"/>
                <w:sz w:val="24"/>
                <w:szCs w:val="24"/>
                <w:lang w:val="zh-CN"/>
              </w:rPr>
              <w:t>是否</w:t>
            </w:r>
            <w:r>
              <w:rPr>
                <w:rFonts w:hint="eastAsia" w:ascii="宋体" w:hAnsi="宋体" w:eastAsia="宋体" w:cs="宋体"/>
                <w:color w:val="000000"/>
                <w:sz w:val="24"/>
                <w:szCs w:val="24"/>
                <w:lang w:val="zh-CN"/>
              </w:rPr>
              <w:t>按照按招标文件要求上传、解密、签署电子章的</w:t>
            </w:r>
            <w:r>
              <w:rPr>
                <w:rFonts w:hint="eastAsia" w:ascii="宋体" w:hAnsi="宋体" w:cs="宋体"/>
                <w:color w:val="00000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vMerge w:val="restart"/>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58" w:type="dxa"/>
            <w:vMerge w:val="restart"/>
            <w:noWrap w:val="0"/>
            <w:vAlign w:val="center"/>
          </w:tcPr>
          <w:p>
            <w:pPr>
              <w:jc w:val="center"/>
              <w:rPr>
                <w:rFonts w:hint="eastAsia" w:ascii="宋体" w:hAnsi="宋体" w:eastAsia="宋体" w:cs="宋体"/>
                <w:color w:val="000000"/>
                <w:sz w:val="24"/>
                <w:szCs w:val="24"/>
                <w:lang w:val="zh-CN"/>
              </w:rPr>
            </w:pPr>
            <w:r>
              <w:rPr>
                <w:rFonts w:hint="eastAsia" w:ascii="宋体" w:hAnsi="宋体" w:eastAsia="宋体" w:cs="宋体"/>
                <w:color w:val="000000"/>
                <w:kern w:val="0"/>
                <w:sz w:val="24"/>
                <w:szCs w:val="24"/>
              </w:rPr>
              <w:t>对</w:t>
            </w:r>
            <w:r>
              <w:rPr>
                <w:rFonts w:hint="eastAsia" w:ascii="宋体" w:hAnsi="宋体" w:eastAsia="宋体" w:cs="宋体"/>
                <w:color w:val="000000"/>
                <w:sz w:val="24"/>
                <w:szCs w:val="24"/>
              </w:rPr>
              <w:t>竞争性谈判</w:t>
            </w:r>
            <w:r>
              <w:rPr>
                <w:rFonts w:hint="eastAsia" w:ascii="宋体" w:hAnsi="宋体" w:eastAsia="宋体" w:cs="宋体"/>
                <w:color w:val="000000"/>
                <w:kern w:val="0"/>
                <w:sz w:val="24"/>
                <w:szCs w:val="24"/>
              </w:rPr>
              <w:t>文件的响应程度审查</w:t>
            </w:r>
          </w:p>
        </w:tc>
        <w:tc>
          <w:tcPr>
            <w:tcW w:w="2306" w:type="dxa"/>
            <w:noWrap w:val="0"/>
            <w:vAlign w:val="center"/>
          </w:tcPr>
          <w:p>
            <w:pPr>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采购内容</w:t>
            </w:r>
          </w:p>
        </w:tc>
        <w:tc>
          <w:tcPr>
            <w:tcW w:w="4970" w:type="dxa"/>
            <w:noWrap w:val="0"/>
            <w:vAlign w:val="center"/>
          </w:tcPr>
          <w:p>
            <w:pPr>
              <w:spacing w:line="300" w:lineRule="exact"/>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对</w:t>
            </w:r>
            <w:r>
              <w:rPr>
                <w:rFonts w:hint="eastAsia" w:ascii="宋体" w:hAnsi="宋体" w:eastAsia="宋体" w:cs="宋体"/>
                <w:color w:val="000000"/>
                <w:sz w:val="24"/>
                <w:szCs w:val="24"/>
              </w:rPr>
              <w:t>竞争性谈判</w:t>
            </w:r>
            <w:r>
              <w:rPr>
                <w:rFonts w:hint="eastAsia" w:ascii="宋体" w:hAnsi="宋体" w:eastAsia="宋体" w:cs="宋体"/>
                <w:color w:val="000000"/>
                <w:sz w:val="24"/>
                <w:szCs w:val="24"/>
                <w:lang w:val="zh-CN"/>
              </w:rPr>
              <w:t>文件规定的</w:t>
            </w:r>
            <w:r>
              <w:rPr>
                <w:rFonts w:hint="eastAsia" w:ascii="宋体" w:hAnsi="宋体" w:eastAsia="宋体" w:cs="宋体"/>
                <w:color w:val="000000"/>
                <w:kern w:val="0"/>
                <w:sz w:val="24"/>
                <w:szCs w:val="24"/>
                <w:lang w:val="en-US" w:eastAsia="zh-CN"/>
              </w:rPr>
              <w:t>采购内容</w:t>
            </w:r>
            <w:r>
              <w:rPr>
                <w:rFonts w:hint="eastAsia" w:ascii="宋体" w:hAnsi="宋体" w:eastAsia="宋体" w:cs="宋体"/>
                <w:color w:val="000000"/>
                <w:sz w:val="24"/>
                <w:szCs w:val="24"/>
                <w:lang w:val="zh-CN"/>
              </w:rPr>
              <w:t>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vMerge w:val="continue"/>
            <w:noWrap w:val="0"/>
            <w:vAlign w:val="center"/>
          </w:tcPr>
          <w:p>
            <w:pPr>
              <w:jc w:val="center"/>
              <w:rPr>
                <w:rFonts w:hint="eastAsia" w:ascii="宋体" w:hAnsi="宋体" w:eastAsia="宋体" w:cs="宋体"/>
                <w:color w:val="000000"/>
                <w:kern w:val="0"/>
                <w:sz w:val="24"/>
                <w:szCs w:val="24"/>
              </w:rPr>
            </w:pPr>
          </w:p>
        </w:tc>
        <w:tc>
          <w:tcPr>
            <w:tcW w:w="1258" w:type="dxa"/>
            <w:vMerge w:val="continue"/>
            <w:noWrap w:val="0"/>
            <w:vAlign w:val="center"/>
          </w:tcPr>
          <w:p>
            <w:pPr>
              <w:rPr>
                <w:rFonts w:hint="eastAsia" w:ascii="宋体" w:hAnsi="宋体" w:eastAsia="宋体" w:cs="宋体"/>
                <w:color w:val="000000"/>
                <w:kern w:val="0"/>
                <w:sz w:val="24"/>
                <w:szCs w:val="24"/>
              </w:rPr>
            </w:pPr>
          </w:p>
        </w:tc>
        <w:tc>
          <w:tcPr>
            <w:tcW w:w="2306" w:type="dxa"/>
            <w:noWrap w:val="0"/>
            <w:vAlign w:val="center"/>
          </w:tcPr>
          <w:p>
            <w:pPr>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技术</w:t>
            </w:r>
            <w:r>
              <w:rPr>
                <w:rFonts w:hint="eastAsia" w:ascii="宋体" w:hAnsi="宋体" w:eastAsia="宋体" w:cs="宋体"/>
                <w:color w:val="000000"/>
                <w:kern w:val="0"/>
                <w:sz w:val="24"/>
                <w:szCs w:val="24"/>
                <w:lang w:val="en-US" w:eastAsia="zh-CN"/>
              </w:rPr>
              <w:t>要求</w:t>
            </w:r>
          </w:p>
        </w:tc>
        <w:tc>
          <w:tcPr>
            <w:tcW w:w="4970" w:type="dxa"/>
            <w:noWrap w:val="0"/>
            <w:vAlign w:val="center"/>
          </w:tcPr>
          <w:p>
            <w:pPr>
              <w:spacing w:line="300" w:lineRule="exact"/>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是否</w:t>
            </w:r>
            <w:r>
              <w:rPr>
                <w:rFonts w:hint="eastAsia" w:ascii="宋体" w:hAnsi="宋体" w:eastAsia="宋体" w:cs="宋体"/>
                <w:color w:val="000000"/>
                <w:kern w:val="0"/>
                <w:sz w:val="24"/>
                <w:szCs w:val="24"/>
              </w:rPr>
              <w:t>满足</w:t>
            </w:r>
            <w:r>
              <w:rPr>
                <w:rFonts w:hint="eastAsia" w:ascii="宋体" w:hAnsi="宋体" w:eastAsia="宋体" w:cs="宋体"/>
                <w:color w:val="000000"/>
                <w:sz w:val="24"/>
                <w:szCs w:val="24"/>
              </w:rPr>
              <w:t>竞争性谈判</w:t>
            </w:r>
            <w:r>
              <w:rPr>
                <w:rFonts w:hint="eastAsia" w:ascii="宋体" w:hAnsi="宋体" w:eastAsia="宋体" w:cs="宋体"/>
                <w:color w:val="000000"/>
                <w:kern w:val="0"/>
                <w:sz w:val="24"/>
                <w:szCs w:val="24"/>
              </w:rPr>
              <w:t>文件提出的</w:t>
            </w:r>
            <w:r>
              <w:rPr>
                <w:rFonts w:hint="eastAsia" w:ascii="宋体" w:hAnsi="宋体" w:eastAsia="宋体" w:cs="宋体"/>
                <w:color w:val="000000"/>
                <w:kern w:val="0"/>
                <w:sz w:val="24"/>
                <w:szCs w:val="24"/>
                <w:lang w:val="zh-CN"/>
              </w:rPr>
              <w:t>施工方案</w:t>
            </w:r>
            <w:r>
              <w:rPr>
                <w:rFonts w:hint="eastAsia" w:ascii="宋体" w:hAnsi="宋体" w:eastAsia="宋体" w:cs="宋体"/>
                <w:color w:val="000000"/>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vMerge w:val="continue"/>
            <w:noWrap w:val="0"/>
            <w:vAlign w:val="center"/>
          </w:tcPr>
          <w:p>
            <w:pPr>
              <w:jc w:val="center"/>
              <w:rPr>
                <w:rFonts w:hint="eastAsia" w:ascii="宋体" w:hAnsi="宋体" w:eastAsia="宋体" w:cs="宋体"/>
                <w:color w:val="000000"/>
                <w:kern w:val="0"/>
                <w:sz w:val="24"/>
                <w:szCs w:val="24"/>
              </w:rPr>
            </w:pPr>
          </w:p>
        </w:tc>
        <w:tc>
          <w:tcPr>
            <w:tcW w:w="1258" w:type="dxa"/>
            <w:vMerge w:val="continue"/>
            <w:noWrap w:val="0"/>
            <w:vAlign w:val="center"/>
          </w:tcPr>
          <w:p>
            <w:pPr>
              <w:rPr>
                <w:rFonts w:hint="eastAsia" w:ascii="宋体" w:hAnsi="宋体" w:eastAsia="宋体" w:cs="宋体"/>
                <w:color w:val="000000"/>
                <w:kern w:val="0"/>
                <w:sz w:val="24"/>
                <w:szCs w:val="24"/>
              </w:rPr>
            </w:pPr>
          </w:p>
        </w:tc>
        <w:tc>
          <w:tcPr>
            <w:tcW w:w="2306" w:type="dxa"/>
            <w:noWrap w:val="0"/>
            <w:vAlign w:val="center"/>
          </w:tcPr>
          <w:p>
            <w:pPr>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商务要求</w:t>
            </w:r>
          </w:p>
        </w:tc>
        <w:tc>
          <w:tcPr>
            <w:tcW w:w="4970" w:type="dxa"/>
            <w:noWrap w:val="0"/>
            <w:vAlign w:val="center"/>
          </w:tcPr>
          <w:p>
            <w:pPr>
              <w:spacing w:line="300" w:lineRule="exact"/>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是否</w:t>
            </w:r>
            <w:r>
              <w:rPr>
                <w:rFonts w:hint="eastAsia" w:ascii="宋体" w:hAnsi="宋体" w:eastAsia="宋体" w:cs="宋体"/>
                <w:color w:val="000000"/>
                <w:kern w:val="0"/>
                <w:sz w:val="24"/>
                <w:szCs w:val="24"/>
              </w:rPr>
              <w:t>满足</w:t>
            </w:r>
            <w:r>
              <w:rPr>
                <w:rFonts w:hint="eastAsia" w:ascii="宋体" w:hAnsi="宋体" w:eastAsia="宋体" w:cs="宋体"/>
                <w:color w:val="000000"/>
                <w:sz w:val="24"/>
                <w:szCs w:val="24"/>
              </w:rPr>
              <w:t>竞争性谈判</w:t>
            </w:r>
            <w:r>
              <w:rPr>
                <w:rFonts w:hint="eastAsia" w:ascii="宋体" w:hAnsi="宋体" w:eastAsia="宋体" w:cs="宋体"/>
                <w:color w:val="000000"/>
                <w:kern w:val="0"/>
                <w:sz w:val="24"/>
                <w:szCs w:val="24"/>
              </w:rPr>
              <w:t>文件</w:t>
            </w:r>
            <w:r>
              <w:rPr>
                <w:rFonts w:hint="eastAsia" w:ascii="宋体" w:hAnsi="宋体" w:eastAsia="宋体" w:cs="宋体"/>
                <w:color w:val="000000"/>
                <w:kern w:val="0"/>
                <w:sz w:val="24"/>
                <w:szCs w:val="24"/>
                <w:lang w:val="en-US" w:eastAsia="zh-CN"/>
              </w:rPr>
              <w:t>商务条款要求</w:t>
            </w:r>
            <w:r>
              <w:rPr>
                <w:rFonts w:hint="eastAsia" w:ascii="宋体" w:hAnsi="宋体" w:eastAsia="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Merge w:val="continue"/>
            <w:noWrap w:val="0"/>
            <w:vAlign w:val="center"/>
          </w:tcPr>
          <w:p>
            <w:pPr>
              <w:jc w:val="center"/>
              <w:rPr>
                <w:rFonts w:hint="eastAsia" w:ascii="宋体" w:hAnsi="宋体" w:eastAsia="宋体" w:cs="宋体"/>
                <w:color w:val="000000"/>
                <w:kern w:val="0"/>
                <w:sz w:val="24"/>
                <w:szCs w:val="24"/>
              </w:rPr>
            </w:pPr>
          </w:p>
        </w:tc>
        <w:tc>
          <w:tcPr>
            <w:tcW w:w="1258" w:type="dxa"/>
            <w:vMerge w:val="continue"/>
            <w:noWrap w:val="0"/>
            <w:vAlign w:val="center"/>
          </w:tcPr>
          <w:p>
            <w:pPr>
              <w:rPr>
                <w:rFonts w:hint="eastAsia" w:ascii="宋体" w:hAnsi="宋体" w:eastAsia="宋体" w:cs="宋体"/>
                <w:color w:val="000000"/>
                <w:kern w:val="0"/>
                <w:sz w:val="24"/>
                <w:szCs w:val="24"/>
              </w:rPr>
            </w:pPr>
          </w:p>
        </w:tc>
        <w:tc>
          <w:tcPr>
            <w:tcW w:w="2306" w:type="dxa"/>
            <w:noWrap w:val="0"/>
            <w:vAlign w:val="center"/>
          </w:tcPr>
          <w:p>
            <w:pPr>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合同履约期限</w:t>
            </w:r>
          </w:p>
        </w:tc>
        <w:tc>
          <w:tcPr>
            <w:tcW w:w="4970" w:type="dxa"/>
            <w:noWrap w:val="0"/>
            <w:vAlign w:val="center"/>
          </w:tcPr>
          <w:p>
            <w:pPr>
              <w:spacing w:line="300" w:lineRule="exact"/>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是否</w:t>
            </w:r>
            <w:r>
              <w:rPr>
                <w:rFonts w:hint="eastAsia" w:ascii="宋体" w:hAnsi="宋体" w:eastAsia="宋体" w:cs="宋体"/>
                <w:color w:val="000000"/>
                <w:kern w:val="0"/>
                <w:sz w:val="24"/>
                <w:szCs w:val="24"/>
              </w:rPr>
              <w:t>满足</w:t>
            </w:r>
            <w:r>
              <w:rPr>
                <w:rFonts w:hint="eastAsia" w:ascii="宋体" w:hAnsi="宋体" w:eastAsia="宋体" w:cs="宋体"/>
                <w:color w:val="000000"/>
                <w:sz w:val="24"/>
                <w:szCs w:val="24"/>
              </w:rPr>
              <w:t>竞争性谈判</w:t>
            </w:r>
            <w:r>
              <w:rPr>
                <w:rFonts w:hint="eastAsia" w:ascii="宋体" w:hAnsi="宋体" w:eastAsia="宋体" w:cs="宋体"/>
                <w:color w:val="000000"/>
                <w:kern w:val="0"/>
                <w:sz w:val="24"/>
                <w:szCs w:val="24"/>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vMerge w:val="continue"/>
            <w:noWrap w:val="0"/>
            <w:vAlign w:val="center"/>
          </w:tcPr>
          <w:p>
            <w:pPr>
              <w:jc w:val="center"/>
              <w:rPr>
                <w:rFonts w:hint="eastAsia" w:ascii="宋体" w:hAnsi="宋体" w:eastAsia="宋体" w:cs="宋体"/>
                <w:color w:val="000000"/>
                <w:kern w:val="0"/>
                <w:sz w:val="24"/>
                <w:szCs w:val="24"/>
              </w:rPr>
            </w:pPr>
          </w:p>
        </w:tc>
        <w:tc>
          <w:tcPr>
            <w:tcW w:w="1258" w:type="dxa"/>
            <w:vMerge w:val="continue"/>
            <w:noWrap w:val="0"/>
            <w:vAlign w:val="center"/>
          </w:tcPr>
          <w:p>
            <w:pPr>
              <w:rPr>
                <w:rFonts w:hint="eastAsia" w:ascii="宋体" w:hAnsi="宋体" w:eastAsia="宋体" w:cs="宋体"/>
                <w:color w:val="000000"/>
                <w:kern w:val="0"/>
                <w:sz w:val="24"/>
                <w:szCs w:val="24"/>
              </w:rPr>
            </w:pPr>
          </w:p>
        </w:tc>
        <w:tc>
          <w:tcPr>
            <w:tcW w:w="2306" w:type="dxa"/>
            <w:noWrap w:val="0"/>
            <w:vAlign w:val="center"/>
          </w:tcPr>
          <w:p>
            <w:pPr>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谈判有效期</w:t>
            </w:r>
          </w:p>
        </w:tc>
        <w:tc>
          <w:tcPr>
            <w:tcW w:w="4970" w:type="dxa"/>
            <w:noWrap w:val="0"/>
            <w:vAlign w:val="center"/>
          </w:tcPr>
          <w:p>
            <w:pPr>
              <w:spacing w:line="300" w:lineRule="exact"/>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是否</w:t>
            </w:r>
            <w:r>
              <w:rPr>
                <w:rFonts w:hint="eastAsia" w:ascii="宋体" w:hAnsi="宋体" w:eastAsia="宋体" w:cs="宋体"/>
                <w:color w:val="000000"/>
                <w:kern w:val="0"/>
                <w:sz w:val="24"/>
                <w:szCs w:val="24"/>
              </w:rPr>
              <w:t>满足</w:t>
            </w:r>
            <w:r>
              <w:rPr>
                <w:rFonts w:hint="eastAsia" w:ascii="宋体" w:hAnsi="宋体" w:eastAsia="宋体" w:cs="宋体"/>
                <w:color w:val="000000"/>
                <w:sz w:val="24"/>
                <w:szCs w:val="24"/>
              </w:rPr>
              <w:t>竞争性谈判</w:t>
            </w:r>
            <w:r>
              <w:rPr>
                <w:rFonts w:hint="eastAsia" w:ascii="宋体" w:hAnsi="宋体" w:eastAsia="宋体" w:cs="宋体"/>
                <w:color w:val="000000"/>
                <w:kern w:val="0"/>
                <w:sz w:val="24"/>
                <w:szCs w:val="24"/>
              </w:rPr>
              <w:t>文件</w:t>
            </w:r>
            <w:r>
              <w:rPr>
                <w:rFonts w:hint="eastAsia" w:ascii="宋体" w:hAnsi="宋体" w:eastAsia="宋体" w:cs="宋体"/>
                <w:color w:val="000000"/>
                <w:sz w:val="24"/>
                <w:szCs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714" w:type="dxa"/>
            <w:vMerge w:val="continue"/>
            <w:noWrap w:val="0"/>
            <w:vAlign w:val="center"/>
          </w:tcPr>
          <w:p>
            <w:pPr>
              <w:jc w:val="center"/>
              <w:rPr>
                <w:rFonts w:hint="eastAsia" w:ascii="宋体" w:hAnsi="宋体" w:eastAsia="宋体" w:cs="宋体"/>
                <w:color w:val="000000"/>
                <w:kern w:val="0"/>
                <w:sz w:val="24"/>
                <w:szCs w:val="24"/>
              </w:rPr>
            </w:pPr>
          </w:p>
        </w:tc>
        <w:tc>
          <w:tcPr>
            <w:tcW w:w="1258" w:type="dxa"/>
            <w:vMerge w:val="continue"/>
            <w:noWrap w:val="0"/>
            <w:vAlign w:val="center"/>
          </w:tcPr>
          <w:p>
            <w:pPr>
              <w:rPr>
                <w:rFonts w:hint="eastAsia" w:ascii="宋体" w:hAnsi="宋体" w:eastAsia="宋体" w:cs="宋体"/>
                <w:color w:val="000000"/>
                <w:sz w:val="24"/>
                <w:szCs w:val="24"/>
                <w:lang w:val="zh-CN"/>
              </w:rPr>
            </w:pPr>
          </w:p>
        </w:tc>
        <w:tc>
          <w:tcPr>
            <w:tcW w:w="2306" w:type="dxa"/>
            <w:tcBorders>
              <w:bottom w:val="single" w:color="auto" w:sz="4" w:space="0"/>
            </w:tcBorders>
            <w:noWrap w:val="0"/>
            <w:vAlign w:val="center"/>
          </w:tcPr>
          <w:p>
            <w:pPr>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w:t>
            </w:r>
          </w:p>
        </w:tc>
        <w:tc>
          <w:tcPr>
            <w:tcW w:w="4970" w:type="dxa"/>
            <w:tcBorders>
              <w:bottom w:val="single" w:color="auto" w:sz="4" w:space="0"/>
            </w:tcBorders>
            <w:noWrap w:val="0"/>
            <w:vAlign w:val="center"/>
          </w:tcPr>
          <w:p>
            <w:pPr>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响应文件未附有采购人不能接受的附加条件及法律、法规和</w:t>
            </w:r>
            <w:r>
              <w:rPr>
                <w:rFonts w:hint="eastAsia" w:ascii="宋体" w:hAnsi="宋体" w:eastAsia="宋体" w:cs="宋体"/>
                <w:color w:val="000000"/>
                <w:sz w:val="24"/>
                <w:szCs w:val="24"/>
              </w:rPr>
              <w:t>竞争性谈判</w:t>
            </w:r>
            <w:r>
              <w:rPr>
                <w:rFonts w:hint="eastAsia" w:ascii="宋体" w:hAnsi="宋体" w:eastAsia="宋体" w:cs="宋体"/>
                <w:color w:val="000000"/>
                <w:kern w:val="0"/>
                <w:sz w:val="24"/>
                <w:szCs w:val="24"/>
              </w:rPr>
              <w:t>文件规定的其他无效情形。</w:t>
            </w:r>
          </w:p>
        </w:tc>
      </w:tr>
    </w:tbl>
    <w:p>
      <w:pPr>
        <w:snapToGrid w:val="0"/>
        <w:spacing w:line="200" w:lineRule="exact"/>
        <w:jc w:val="center"/>
        <w:rPr>
          <w:rFonts w:hint="eastAsia" w:ascii="仿宋_GB2312" w:hAnsi="仿宋_GB2312" w:eastAsia="仿宋_GB2312" w:cs="仿宋_GB2312"/>
          <w:b/>
          <w:bCs/>
          <w:color w:val="000000"/>
          <w:kern w:val="0"/>
          <w:sz w:val="36"/>
          <w:szCs w:val="36"/>
        </w:rPr>
      </w:pPr>
    </w:p>
    <w:p>
      <w:pPr>
        <w:pStyle w:val="37"/>
        <w:ind w:left="0" w:leftChars="0" w:firstLine="0" w:firstLineChars="0"/>
        <w:rPr>
          <w:rFonts w:hint="eastAsia"/>
          <w:b/>
          <w:bCs/>
          <w:sz w:val="28"/>
          <w:szCs w:val="28"/>
        </w:rPr>
      </w:pPr>
      <w:r>
        <w:rPr>
          <w:rFonts w:hint="eastAsia"/>
          <w:b/>
          <w:bCs/>
          <w:sz w:val="28"/>
          <w:szCs w:val="28"/>
        </w:rPr>
        <w:t>注：1）“是否通过并进入下一阶段评审”一栏应写“通过”或“不通过”。</w:t>
      </w:r>
    </w:p>
    <w:p>
      <w:pPr>
        <w:pStyle w:val="37"/>
        <w:ind w:left="0" w:leftChars="0" w:firstLine="0" w:firstLineChars="0"/>
        <w:rPr>
          <w:rFonts w:hint="eastAsia"/>
          <w:b/>
          <w:bCs/>
          <w:sz w:val="28"/>
          <w:szCs w:val="28"/>
        </w:rPr>
      </w:pPr>
      <w:r>
        <w:rPr>
          <w:rFonts w:hint="eastAsia"/>
          <w:b/>
          <w:bCs/>
          <w:sz w:val="28"/>
          <w:szCs w:val="28"/>
        </w:rPr>
        <w:t>2）出现一个“×”的结论为“不通过”。表中全部为“√”，同意进入下一阶段评审。</w:t>
      </w:r>
    </w:p>
    <w:p>
      <w:pPr>
        <w:pStyle w:val="37"/>
        <w:ind w:left="0" w:leftChars="0" w:firstLine="0" w:firstLineChars="0"/>
        <w:rPr>
          <w:b/>
          <w:bCs/>
          <w:sz w:val="28"/>
          <w:szCs w:val="28"/>
        </w:rPr>
      </w:pPr>
      <w:r>
        <w:rPr>
          <w:rFonts w:hint="eastAsia"/>
          <w:b/>
          <w:bCs/>
          <w:sz w:val="28"/>
          <w:szCs w:val="28"/>
        </w:rPr>
        <w:t>3）若</w:t>
      </w:r>
      <w:r>
        <w:rPr>
          <w:rFonts w:hint="eastAsia"/>
          <w:b/>
          <w:bCs/>
          <w:sz w:val="28"/>
          <w:szCs w:val="28"/>
          <w:lang w:val="en-US" w:eastAsia="zh-CN"/>
        </w:rPr>
        <w:t>谈判小组</w:t>
      </w:r>
      <w:r>
        <w:rPr>
          <w:rFonts w:hint="eastAsia"/>
          <w:b/>
          <w:bCs/>
          <w:sz w:val="28"/>
          <w:szCs w:val="28"/>
          <w:lang w:eastAsia="zh-CN"/>
        </w:rPr>
        <w:t>审查</w:t>
      </w:r>
      <w:r>
        <w:rPr>
          <w:rFonts w:hint="eastAsia"/>
          <w:b/>
          <w:bCs/>
          <w:sz w:val="28"/>
          <w:szCs w:val="28"/>
        </w:rPr>
        <w:t>成员意见不一致时，则按少数服从多数的原则，由全部成员投票决定该供应商是否通过审查，进入下一阶段评审。未通过符合性检查的供应商不得进入下一评审阶段</w:t>
      </w:r>
    </w:p>
    <w:p>
      <w:pPr>
        <w:pStyle w:val="215"/>
        <w:spacing w:line="460" w:lineRule="exact"/>
        <w:ind w:firstLine="560"/>
        <w:jc w:val="both"/>
        <w:rPr>
          <w:rFonts w:hint="eastAsia" w:ascii="宋体" w:hAnsi="宋体" w:eastAsia="宋体" w:cs="宋体"/>
          <w:b/>
          <w:bCs/>
          <w:sz w:val="28"/>
          <w:szCs w:val="28"/>
        </w:rPr>
      </w:pPr>
      <w:r>
        <w:rPr>
          <w:rFonts w:hint="eastAsia" w:ascii="宋体" w:hAnsi="宋体" w:eastAsia="宋体" w:cs="宋体"/>
          <w:b/>
          <w:bCs/>
          <w:sz w:val="28"/>
          <w:szCs w:val="28"/>
        </w:rPr>
        <w:t>5．澄清有关问题</w:t>
      </w:r>
    </w:p>
    <w:p>
      <w:pPr>
        <w:pStyle w:val="215"/>
        <w:spacing w:line="460" w:lineRule="exact"/>
        <w:ind w:firstLine="56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15"/>
        <w:spacing w:line="460" w:lineRule="exact"/>
        <w:ind w:firstLine="560"/>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　　</w:t>
      </w:r>
      <w:r>
        <w:rPr>
          <w:rFonts w:hint="eastAsia" w:ascii="宋体" w:hAnsi="宋体" w:eastAsia="宋体" w:cs="宋体"/>
          <w:color w:val="auto"/>
          <w:sz w:val="24"/>
          <w:szCs w:val="24"/>
        </w:rPr>
        <w:t xml:space="preserve">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pPr>
        <w:pStyle w:val="215"/>
        <w:spacing w:line="460" w:lineRule="exact"/>
        <w:ind w:firstLine="560"/>
        <w:jc w:val="both"/>
        <w:rPr>
          <w:rFonts w:hint="eastAsia" w:ascii="宋体" w:hAnsi="宋体" w:eastAsia="宋体" w:cs="宋体"/>
          <w:b/>
          <w:bCs/>
          <w:sz w:val="28"/>
          <w:szCs w:val="28"/>
        </w:rPr>
      </w:pPr>
      <w:r>
        <w:rPr>
          <w:rFonts w:hint="eastAsia" w:ascii="宋体" w:hAnsi="宋体" w:eastAsia="宋体" w:cs="宋体"/>
          <w:b/>
          <w:bCs/>
          <w:sz w:val="28"/>
          <w:szCs w:val="28"/>
        </w:rPr>
        <w:t xml:space="preserve">5.2 </w:t>
      </w:r>
      <w:r>
        <w:rPr>
          <w:rFonts w:hint="eastAsia" w:ascii="宋体" w:hAnsi="宋体" w:eastAsia="宋体" w:cs="宋体"/>
          <w:b/>
          <w:bCs/>
          <w:color w:val="auto"/>
          <w:sz w:val="28"/>
          <w:szCs w:val="28"/>
        </w:rPr>
        <w:t>供应商</w:t>
      </w:r>
      <w:r>
        <w:rPr>
          <w:rFonts w:hint="eastAsia" w:ascii="宋体" w:hAnsi="宋体" w:eastAsia="宋体" w:cs="宋体"/>
          <w:b/>
          <w:bCs/>
          <w:sz w:val="28"/>
          <w:szCs w:val="28"/>
        </w:rPr>
        <w:t>不得对下列内容进行澄清或补充：</w:t>
      </w:r>
    </w:p>
    <w:p>
      <w:pPr>
        <w:pStyle w:val="215"/>
        <w:spacing w:line="460" w:lineRule="exact"/>
        <w:ind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(1)谈判报价、质量标准、合同履行期限等实质性内容。    </w:t>
      </w:r>
    </w:p>
    <w:p>
      <w:pPr>
        <w:pStyle w:val="215"/>
        <w:spacing w:line="460" w:lineRule="exact"/>
        <w:ind w:firstLine="560"/>
        <w:jc w:val="both"/>
        <w:rPr>
          <w:rFonts w:hint="eastAsia" w:ascii="宋体" w:hAnsi="宋体" w:eastAsia="宋体" w:cs="宋体"/>
          <w:color w:val="auto"/>
          <w:spacing w:val="-6"/>
          <w:sz w:val="24"/>
          <w:szCs w:val="24"/>
        </w:rPr>
      </w:pPr>
      <w:r>
        <w:rPr>
          <w:rFonts w:hint="eastAsia" w:ascii="宋体" w:hAnsi="宋体" w:eastAsia="宋体" w:cs="宋体"/>
          <w:color w:val="auto"/>
          <w:sz w:val="24"/>
          <w:szCs w:val="24"/>
        </w:rPr>
        <w:t>(2)</w:t>
      </w:r>
      <w:r>
        <w:rPr>
          <w:rFonts w:hint="eastAsia" w:ascii="宋体" w:hAnsi="宋体" w:eastAsia="宋体" w:cs="宋体"/>
          <w:color w:val="auto"/>
          <w:spacing w:val="-6"/>
          <w:sz w:val="24"/>
          <w:szCs w:val="24"/>
        </w:rPr>
        <w:t>不满足第二章供应商须知第3款规定的实质性要求的响应文件内容。</w:t>
      </w:r>
    </w:p>
    <w:p>
      <w:pPr>
        <w:pStyle w:val="33"/>
        <w:widowControl w:val="0"/>
        <w:shd w:val="clear" w:color="auto" w:fill="FFFFFF"/>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 响应文件报价出现前后不一致的，除竞争性谈判文件另有规定外，按照下列规定修正：</w:t>
      </w:r>
    </w:p>
    <w:p>
      <w:pPr>
        <w:pStyle w:val="33"/>
        <w:widowControl w:val="0"/>
        <w:shd w:val="clear" w:color="auto" w:fill="FFFFFF"/>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（一）响应文件中报价一览表（报价表）内容与响应文件中相应内容不一致的，以报价一览表（报价表）为准；</w:t>
      </w:r>
    </w:p>
    <w:p>
      <w:pPr>
        <w:pStyle w:val="33"/>
        <w:widowControl w:val="0"/>
        <w:shd w:val="clear" w:color="auto" w:fill="FFFFFF"/>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（二）大写金额和小写金额不一致的，以大写金额为准；</w:t>
      </w:r>
    </w:p>
    <w:p>
      <w:pPr>
        <w:pStyle w:val="33"/>
        <w:widowControl w:val="0"/>
        <w:shd w:val="clear" w:color="auto" w:fill="FFFFFF"/>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（三）单价金额小数点或者百分比有明显错位的，以报价一览表的总价为准，并修改单价；</w:t>
      </w:r>
    </w:p>
    <w:p>
      <w:pPr>
        <w:pStyle w:val="33"/>
        <w:widowControl w:val="0"/>
        <w:shd w:val="clear" w:color="auto" w:fill="FFFFFF"/>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（四）总价金额与按单价汇总金额不一致的，以单价金额计算结果为准。</w:t>
      </w:r>
    </w:p>
    <w:p>
      <w:pPr>
        <w:pStyle w:val="215"/>
        <w:spacing w:line="240" w:lineRule="auto"/>
        <w:ind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w:t>
      </w:r>
      <w:r>
        <w:rPr>
          <w:rFonts w:hint="eastAsia" w:ascii="宋体" w:hAnsi="宋体" w:eastAsia="宋体" w:cs="宋体"/>
          <w:color w:val="auto"/>
          <w:spacing w:val="-23"/>
          <w:sz w:val="24"/>
          <w:szCs w:val="24"/>
        </w:rPr>
        <w:t>，</w:t>
      </w:r>
      <w:r>
        <w:rPr>
          <w:rFonts w:hint="eastAsia" w:ascii="宋体" w:hAnsi="宋体" w:eastAsia="宋体" w:cs="宋体"/>
          <w:color w:val="auto"/>
          <w:sz w:val="24"/>
          <w:szCs w:val="24"/>
        </w:rPr>
        <w:t>按照前款规定的顺序修正。修正后的报价按照本办法第五十一条第二款的规定经供应商确认后产生约束力，供应商不确认的，其</w:t>
      </w:r>
      <w:r>
        <w:rPr>
          <w:rFonts w:hint="eastAsia" w:ascii="宋体" w:hAnsi="宋体" w:eastAsia="宋体" w:cs="宋体"/>
          <w:b/>
          <w:bCs/>
          <w:color w:val="auto"/>
          <w:sz w:val="24"/>
          <w:szCs w:val="24"/>
        </w:rPr>
        <w:t>谈判无效</w:t>
      </w:r>
      <w:r>
        <w:rPr>
          <w:rFonts w:hint="eastAsia" w:ascii="宋体" w:hAnsi="宋体" w:eastAsia="宋体" w:cs="宋体"/>
          <w:color w:val="auto"/>
          <w:sz w:val="24"/>
          <w:szCs w:val="24"/>
        </w:rPr>
        <w:t xml:space="preserve">。    </w:t>
      </w:r>
    </w:p>
    <w:p>
      <w:pPr>
        <w:pStyle w:val="215"/>
        <w:spacing w:line="460" w:lineRule="exact"/>
        <w:ind w:firstLine="56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5.4 在谈判过程中，谈判小组可以根据谈判文件和谈判情况实质性变动采购需求中的技术、服务要求以及合同草案条款，但不得变动谈判文件中的其他内容。实质性变动的内容，须经采购人代表确认。</w:t>
      </w:r>
    </w:p>
    <w:p>
      <w:pPr>
        <w:pStyle w:val="215"/>
        <w:spacing w:line="460" w:lineRule="exact"/>
        <w:ind w:firstLine="56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对谈判文件作出的实质性变动是谈判文件的有效组成部分，谈判小组应当及时以书面形式同时通知所有参加谈判的供应商。</w:t>
      </w:r>
    </w:p>
    <w:p>
      <w:pPr>
        <w:pStyle w:val="215"/>
        <w:spacing w:line="460" w:lineRule="exact"/>
        <w:ind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5.5 </w:t>
      </w:r>
      <w:r>
        <w:rPr>
          <w:rFonts w:hint="eastAsia" w:ascii="宋体" w:hAnsi="宋体" w:eastAsia="宋体" w:cs="宋体"/>
          <w:color w:val="auto"/>
          <w:spacing w:val="-6"/>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cs="宋体"/>
          <w:color w:val="auto"/>
          <w:spacing w:val="-23"/>
          <w:sz w:val="24"/>
          <w:szCs w:val="24"/>
        </w:rPr>
        <w:t>。</w:t>
      </w:r>
    </w:p>
    <w:p>
      <w:pPr>
        <w:pStyle w:val="215"/>
        <w:spacing w:line="460" w:lineRule="exact"/>
        <w:ind w:firstLine="560"/>
        <w:jc w:val="both"/>
        <w:rPr>
          <w:rFonts w:hint="eastAsia" w:ascii="宋体" w:hAnsi="宋体" w:eastAsia="宋体" w:cs="宋体"/>
          <w:b/>
          <w:bCs/>
          <w:sz w:val="24"/>
          <w:szCs w:val="24"/>
          <w:lang w:bidi="ar"/>
        </w:rPr>
      </w:pPr>
      <w:r>
        <w:rPr>
          <w:rFonts w:hint="eastAsia" w:ascii="宋体" w:hAnsi="宋体" w:eastAsia="宋体" w:cs="宋体"/>
          <w:b/>
          <w:bCs/>
          <w:sz w:val="28"/>
          <w:szCs w:val="28"/>
        </w:rPr>
        <w:t xml:space="preserve">6．响应文件的详细评审   </w:t>
      </w:r>
      <w:r>
        <w:rPr>
          <w:rFonts w:hint="eastAsia" w:ascii="宋体" w:hAnsi="宋体" w:eastAsia="宋体" w:cs="宋体"/>
          <w:b/>
          <w:bCs/>
          <w:sz w:val="24"/>
          <w:szCs w:val="24"/>
          <w:lang w:bidi="ar"/>
        </w:rPr>
        <w:t xml:space="preserve"> </w:t>
      </w:r>
    </w:p>
    <w:p>
      <w:pPr>
        <w:pStyle w:val="215"/>
        <w:spacing w:line="460" w:lineRule="exact"/>
        <w:ind w:firstLine="560"/>
        <w:jc w:val="both"/>
        <w:rPr>
          <w:rFonts w:hint="eastAsia" w:ascii="宋体" w:hAnsi="宋体" w:eastAsia="宋体" w:cs="宋体"/>
          <w:spacing w:val="-6"/>
          <w:sz w:val="24"/>
          <w:szCs w:val="24"/>
          <w:lang w:bidi="ar"/>
        </w:rPr>
      </w:pPr>
      <w:r>
        <w:rPr>
          <w:rFonts w:hint="eastAsia" w:ascii="宋体" w:hAnsi="宋体" w:eastAsia="宋体" w:cs="宋体"/>
          <w:sz w:val="24"/>
          <w:szCs w:val="24"/>
          <w:lang w:bidi="ar"/>
        </w:rPr>
        <w:t xml:space="preserve">6.1 </w:t>
      </w:r>
      <w:r>
        <w:rPr>
          <w:rFonts w:hint="eastAsia" w:ascii="宋体" w:hAnsi="宋体" w:eastAsia="宋体" w:cs="宋体"/>
          <w:color w:val="auto"/>
          <w:spacing w:val="-6"/>
          <w:sz w:val="24"/>
          <w:szCs w:val="24"/>
        </w:rPr>
        <w:t>谈判小组</w:t>
      </w:r>
      <w:r>
        <w:rPr>
          <w:rFonts w:hint="eastAsia" w:ascii="宋体" w:hAnsi="宋体" w:eastAsia="宋体" w:cs="宋体"/>
          <w:spacing w:val="-6"/>
          <w:sz w:val="24"/>
          <w:szCs w:val="24"/>
          <w:lang w:bidi="ar"/>
        </w:rPr>
        <w:t>应按照竞争性谈判文件中规定的评审方法、标准，对资格性检查和符合性检查合格的响应文件进行</w:t>
      </w:r>
      <w:r>
        <w:rPr>
          <w:rFonts w:hint="eastAsia" w:ascii="宋体" w:hAnsi="宋体" w:eastAsia="宋体" w:cs="宋体"/>
          <w:spacing w:val="-6"/>
          <w:sz w:val="24"/>
          <w:szCs w:val="18"/>
        </w:rPr>
        <w:t>商务和技术评估，综合比较与评价</w:t>
      </w:r>
      <w:r>
        <w:rPr>
          <w:rFonts w:hint="eastAsia" w:ascii="宋体" w:hAnsi="宋体" w:eastAsia="宋体" w:cs="宋体"/>
          <w:spacing w:val="-6"/>
          <w:sz w:val="24"/>
          <w:szCs w:val="24"/>
          <w:lang w:bidi="ar"/>
        </w:rPr>
        <w:t xml:space="preserve">。  </w:t>
      </w:r>
    </w:p>
    <w:p>
      <w:pPr>
        <w:pStyle w:val="215"/>
        <w:spacing w:line="460" w:lineRule="exact"/>
        <w:ind w:firstLine="560"/>
        <w:jc w:val="both"/>
        <w:rPr>
          <w:rFonts w:hint="eastAsia" w:ascii="宋体" w:hAnsi="宋体" w:eastAsia="宋体" w:cs="宋体"/>
          <w:sz w:val="24"/>
          <w:szCs w:val="24"/>
          <w:lang w:bidi="ar"/>
        </w:rPr>
      </w:pPr>
      <w:r>
        <w:rPr>
          <w:rFonts w:hint="eastAsia" w:ascii="宋体" w:hAnsi="宋体" w:eastAsia="宋体" w:cs="宋体"/>
          <w:sz w:val="24"/>
          <w:szCs w:val="24"/>
          <w:lang w:bidi="ar"/>
        </w:rPr>
        <w:t>6.2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pStyle w:val="215"/>
        <w:spacing w:line="460" w:lineRule="exact"/>
        <w:ind w:firstLine="560"/>
        <w:rPr>
          <w:rFonts w:hint="eastAsia" w:ascii="仿宋_GB2312" w:hAnsi="仿宋_GB2312" w:cs="仿宋_GB2312"/>
          <w:color w:val="FF0000"/>
          <w:szCs w:val="24"/>
        </w:rPr>
      </w:pPr>
      <w:r>
        <w:rPr>
          <w:rFonts w:hint="eastAsia" w:ascii="宋体" w:hAnsi="宋体" w:eastAsia="宋体" w:cs="宋体"/>
          <w:sz w:val="24"/>
          <w:szCs w:val="24"/>
          <w:lang w:bidi="ar"/>
        </w:rPr>
        <w:t xml:space="preserve">6.3 </w:t>
      </w:r>
      <w:r>
        <w:rPr>
          <w:rFonts w:hint="eastAsia" w:ascii="宋体" w:hAnsi="宋体" w:eastAsia="宋体" w:cs="宋体"/>
          <w:sz w:val="24"/>
          <w:szCs w:val="18"/>
        </w:rPr>
        <w:t>谈判小组所有成员应当集中与单一供应商分别进行谈判，并给予所有参加谈判的供应商平等的谈判机会。</w:t>
      </w:r>
    </w:p>
    <w:p>
      <w:pPr>
        <w:pStyle w:val="215"/>
        <w:spacing w:line="440" w:lineRule="exact"/>
        <w:jc w:val="center"/>
        <w:rPr>
          <w:rFonts w:hint="eastAsia" w:ascii="宋体" w:hAnsi="宋体" w:eastAsia="宋体" w:cs="宋体"/>
          <w:sz w:val="28"/>
          <w:szCs w:val="28"/>
          <w:lang w:bidi="ar"/>
        </w:rPr>
      </w:pPr>
      <w:r>
        <w:rPr>
          <w:rFonts w:hint="eastAsia" w:ascii="宋体" w:hAnsi="宋体" w:eastAsia="宋体" w:cs="宋体"/>
          <w:b/>
          <w:bCs/>
          <w:sz w:val="28"/>
          <w:szCs w:val="28"/>
          <w:lang w:bidi="ar"/>
        </w:rPr>
        <w:t>价格评审表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80" w:type="dxa"/>
            <w:noWrap w:val="0"/>
            <w:vAlign w:val="center"/>
          </w:tcPr>
          <w:p>
            <w:pPr>
              <w:pStyle w:val="215"/>
              <w:jc w:val="center"/>
              <w:rPr>
                <w:rFonts w:hint="eastAsia" w:ascii="宋体" w:hAnsi="宋体" w:eastAsia="宋体" w:cs="宋体"/>
                <w:b/>
                <w:bCs/>
                <w:kern w:val="0"/>
                <w:highlight w:val="none"/>
                <w:lang w:bidi="ar"/>
              </w:rPr>
            </w:pPr>
            <w:r>
              <w:rPr>
                <w:rFonts w:hint="eastAsia" w:ascii="宋体" w:hAnsi="宋体" w:eastAsia="宋体" w:cs="宋体"/>
                <w:b/>
                <w:bCs/>
                <w:kern w:val="0"/>
                <w:highlight w:val="none"/>
                <w:lang w:bidi="ar"/>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180" w:type="dxa"/>
            <w:noWrap w:val="0"/>
            <w:vAlign w:val="center"/>
          </w:tcPr>
          <w:p>
            <w:pPr>
              <w:pStyle w:val="215"/>
              <w:rPr>
                <w:rFonts w:hint="eastAsia" w:ascii="宋体" w:hAnsi="宋体" w:eastAsia="宋体" w:cs="宋体"/>
                <w:kern w:val="0"/>
                <w:highlight w:val="none"/>
                <w:lang w:bidi="ar"/>
              </w:rPr>
            </w:pPr>
            <w:r>
              <w:rPr>
                <w:rFonts w:hint="eastAsia" w:ascii="宋体" w:hAnsi="宋体" w:eastAsia="宋体" w:cs="宋体"/>
                <w:b/>
                <w:bCs/>
                <w:kern w:val="0"/>
                <w:highlight w:val="none"/>
                <w:lang w:bidi="ar"/>
              </w:rPr>
              <w:t>A：谈判报价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180" w:type="dxa"/>
            <w:noWrap w:val="0"/>
            <w:vAlign w:val="center"/>
          </w:tcPr>
          <w:p>
            <w:pPr>
              <w:pStyle w:val="215"/>
              <w:rPr>
                <w:rFonts w:hint="eastAsia" w:ascii="宋体" w:hAnsi="宋体" w:eastAsia="宋体" w:cs="宋体"/>
                <w:kern w:val="0"/>
                <w:highlight w:val="none"/>
                <w:lang w:bidi="ar"/>
              </w:rPr>
            </w:pPr>
            <w:r>
              <w:rPr>
                <w:rFonts w:hint="eastAsia" w:ascii="宋体" w:hAnsi="宋体" w:eastAsia="宋体" w:cs="宋体"/>
                <w:kern w:val="0"/>
                <w:highlight w:val="none"/>
                <w:lang w:bidi="ar"/>
              </w:rPr>
              <w:t>谈判报价：二轮报价为供应商的最后报价（现场填写）。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180" w:type="dxa"/>
            <w:noWrap w:val="0"/>
            <w:vAlign w:val="center"/>
          </w:tcPr>
          <w:p>
            <w:pPr>
              <w:pStyle w:val="215"/>
              <w:rPr>
                <w:rFonts w:hint="eastAsia" w:ascii="宋体" w:hAnsi="宋体" w:eastAsia="宋体" w:cs="宋体"/>
                <w:kern w:val="0"/>
                <w:highlight w:val="none"/>
                <w:lang w:bidi="ar"/>
              </w:rPr>
            </w:pPr>
            <w:r>
              <w:rPr>
                <w:rFonts w:hint="eastAsia" w:ascii="宋体" w:hAnsi="宋体" w:eastAsia="宋体" w:cs="宋体"/>
                <w:b/>
                <w:bCs/>
                <w:kern w:val="0"/>
                <w:highlight w:val="none"/>
                <w:lang w:bidi="ar"/>
              </w:rPr>
              <w:t>B：节能、环境标志产品评审优惠内容及价格扣除，</w:t>
            </w:r>
            <w:r>
              <w:rPr>
                <w:rFonts w:hint="eastAsia" w:ascii="宋体" w:hAnsi="宋体" w:eastAsia="宋体" w:cs="宋体"/>
                <w:b/>
                <w:bCs/>
                <w:color w:val="auto"/>
                <w:kern w:val="0"/>
                <w:highlight w:val="none"/>
                <w:lang w:bidi="ar"/>
              </w:rPr>
              <w:t>本项目的价格扣除为1%。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9180" w:type="dxa"/>
            <w:noWrap w:val="0"/>
            <w:vAlign w:val="center"/>
          </w:tcPr>
          <w:p>
            <w:pPr>
              <w:pStyle w:val="215"/>
              <w:spacing w:line="260" w:lineRule="exact"/>
              <w:ind w:firstLine="480"/>
              <w:rPr>
                <w:rFonts w:hint="eastAsia" w:ascii="宋体" w:hAnsi="宋体" w:eastAsia="宋体" w:cs="宋体"/>
                <w:kern w:val="0"/>
                <w:highlight w:val="none"/>
                <w:lang w:bidi="ar"/>
              </w:rPr>
            </w:pPr>
            <w:r>
              <w:rPr>
                <w:rFonts w:hint="eastAsia" w:ascii="宋体" w:hAnsi="宋体" w:eastAsia="宋体" w:cs="宋体"/>
                <w:kern w:val="0"/>
                <w:highlight w:val="none"/>
                <w:lang w:bidi="ar"/>
              </w:rPr>
              <w:t>根据</w:t>
            </w:r>
            <w:r>
              <w:rPr>
                <w:rFonts w:hint="eastAsia" w:ascii="宋体" w:hAnsi="宋体" w:eastAsia="宋体" w:cs="宋体"/>
                <w:color w:val="auto"/>
                <w:kern w:val="0"/>
                <w:highlight w:val="none"/>
                <w:lang w:bidi="ar"/>
              </w:rPr>
              <w:t>《国务院办公厅关于建立政府强制采购节能产品制度的通知》（国办发[2007] 51弓）和财政部、发展改革委发布的《节能产品政府采购实施意见》（财库[2004]185号）</w:t>
            </w:r>
            <w:r>
              <w:rPr>
                <w:rFonts w:hint="eastAsia" w:ascii="宋体" w:hAnsi="宋体" w:eastAsia="宋体" w:cs="宋体"/>
                <w:kern w:val="0"/>
                <w:highlight w:val="none"/>
                <w:lang w:bidi="ar"/>
              </w:rPr>
              <w:t>以及《财政部、发展改革委关于调整节能产品政府采购清单的通知》最新的规定，本次采购货物中属政府强制采购节能产品的，供应商所投产品必须是最新一期《节能产品政府采购清单》内产品，并提供清单内证明材料，</w:t>
            </w:r>
            <w:r>
              <w:rPr>
                <w:rFonts w:hint="eastAsia" w:ascii="宋体" w:hAnsi="宋体" w:eastAsia="宋体" w:cs="宋体"/>
                <w:b/>
                <w:bCs/>
                <w:kern w:val="0"/>
                <w:highlight w:val="none"/>
                <w:lang w:bidi="ar"/>
              </w:rPr>
              <w:t>否则谈判无效。</w:t>
            </w:r>
            <w:r>
              <w:rPr>
                <w:rFonts w:hint="eastAsia" w:ascii="宋体" w:hAnsi="宋体" w:eastAsia="宋体" w:cs="宋体"/>
                <w:kern w:val="0"/>
                <w:highlight w:val="none"/>
                <w:lang w:bidi="ar"/>
              </w:rPr>
              <w:t xml:space="preserve">其他产品若属于“节能产品政府采购清单”内产品，在同等条件下，优先采购清单中的产品。    </w:t>
            </w:r>
          </w:p>
          <w:p>
            <w:pPr>
              <w:pStyle w:val="215"/>
              <w:spacing w:line="260" w:lineRule="exact"/>
              <w:ind w:firstLine="480"/>
              <w:rPr>
                <w:rFonts w:hint="eastAsia" w:ascii="宋体" w:hAnsi="宋体" w:eastAsia="宋体" w:cs="宋体"/>
                <w:kern w:val="0"/>
                <w:highlight w:val="none"/>
                <w:lang w:bidi="ar"/>
              </w:rPr>
            </w:pPr>
            <w:r>
              <w:rPr>
                <w:rFonts w:hint="eastAsia" w:ascii="宋体" w:hAnsi="宋体" w:eastAsia="宋体" w:cs="宋体"/>
                <w:kern w:val="0"/>
                <w:highlight w:val="none"/>
                <w:lang w:bidi="ar"/>
              </w:rPr>
              <w:t>“节能产品”系指列入财政部、国家发改委最新公布《节能产品政府采购清单》的产品；“环境标志产品”系指列入财政部、环保部最新公布的《环境标志政府采购清单》的产品。</w:t>
            </w:r>
            <w:r>
              <w:rPr>
                <w:rFonts w:hint="eastAsia" w:ascii="宋体" w:hAnsi="宋体" w:eastAsia="宋体" w:cs="宋体"/>
                <w:b/>
                <w:bCs/>
                <w:kern w:val="0"/>
                <w:highlight w:val="none"/>
                <w:lang w:bidi="ar"/>
              </w:rPr>
              <w:t>同一合同包内的节能、环境标志、政府采购产品部分价格扣除只对属于清单内的非强制类产品进行价格扣除，强制类产品已作为谈判采购时强制性要求不再给予价格扣除。若节能、环境标志清单内的产品仅是构成采购产品的部件、组件或零件的，则该产品不予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180" w:type="dxa"/>
            <w:noWrap w:val="0"/>
            <w:vAlign w:val="center"/>
          </w:tcPr>
          <w:p>
            <w:pPr>
              <w:pStyle w:val="215"/>
              <w:spacing w:line="260" w:lineRule="exact"/>
              <w:rPr>
                <w:rFonts w:hint="eastAsia" w:ascii="宋体" w:hAnsi="宋体" w:eastAsia="宋体" w:cs="宋体"/>
                <w:kern w:val="0"/>
                <w:highlight w:val="none"/>
                <w:lang w:bidi="ar"/>
              </w:rPr>
            </w:pPr>
            <w:r>
              <w:rPr>
                <w:rFonts w:hint="eastAsia" w:ascii="宋体" w:hAnsi="宋体" w:eastAsia="宋体" w:cs="宋体"/>
                <w:kern w:val="0"/>
                <w:highlight w:val="none"/>
                <w:lang w:bidi="ar"/>
              </w:rPr>
              <w:t xml:space="preserve">注：1、提供最新一期《节能产品政府采购清单》关于响应谈判产品当前页的打印件；    </w:t>
            </w:r>
          </w:p>
          <w:p>
            <w:pPr>
              <w:pStyle w:val="215"/>
              <w:spacing w:line="260" w:lineRule="exact"/>
              <w:rPr>
                <w:rFonts w:hint="eastAsia" w:ascii="宋体" w:hAnsi="宋体" w:eastAsia="宋体" w:cs="宋体"/>
                <w:kern w:val="0"/>
                <w:highlight w:val="none"/>
                <w:lang w:bidi="ar"/>
              </w:rPr>
            </w:pPr>
            <w:r>
              <w:rPr>
                <w:rFonts w:hint="eastAsia" w:ascii="宋体" w:hAnsi="宋体" w:eastAsia="宋体" w:cs="宋体"/>
                <w:kern w:val="0"/>
                <w:highlight w:val="none"/>
                <w:lang w:bidi="ar"/>
              </w:rPr>
              <w:t xml:space="preserve">    2、提供最新一期《环境标志产品政府采购清单</w:t>
            </w:r>
            <w:bookmarkStart w:id="102" w:name="OLE_LINK3"/>
            <w:r>
              <w:rPr>
                <w:rFonts w:hint="eastAsia" w:ascii="宋体" w:hAnsi="宋体" w:eastAsia="宋体" w:cs="宋体"/>
                <w:kern w:val="0"/>
                <w:highlight w:val="none"/>
                <w:lang w:bidi="ar"/>
              </w:rPr>
              <w:t>》</w:t>
            </w:r>
            <w:bookmarkEnd w:id="102"/>
            <w:r>
              <w:rPr>
                <w:rFonts w:hint="eastAsia" w:ascii="宋体" w:hAnsi="宋体" w:eastAsia="宋体" w:cs="宋体"/>
                <w:kern w:val="0"/>
                <w:highlight w:val="none"/>
                <w:lang w:bidi="ar"/>
              </w:rPr>
              <w:t>关于响应谈判产品当前页的打印件。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80" w:type="dxa"/>
            <w:noWrap w:val="0"/>
            <w:vAlign w:val="center"/>
          </w:tcPr>
          <w:p>
            <w:pPr>
              <w:pStyle w:val="215"/>
              <w:rPr>
                <w:rFonts w:hint="eastAsia" w:ascii="宋体" w:hAnsi="宋体" w:eastAsia="宋体" w:cs="宋体"/>
                <w:kern w:val="0"/>
                <w:highlight w:val="none"/>
                <w:lang w:bidi="ar"/>
              </w:rPr>
            </w:pPr>
            <w:r>
              <w:rPr>
                <w:rFonts w:hint="eastAsia" w:ascii="宋体" w:hAnsi="宋体" w:eastAsia="宋体" w:cs="宋体"/>
                <w:b/>
                <w:bCs/>
                <w:kern w:val="0"/>
                <w:highlight w:val="none"/>
                <w:lang w:bidi="ar"/>
              </w:rPr>
              <w:t>C：属于中小企业评审优惠内容及价格扣除幅度，</w:t>
            </w:r>
            <w:r>
              <w:rPr>
                <w:rFonts w:hint="eastAsia" w:ascii="宋体" w:hAnsi="宋体" w:eastAsia="宋体" w:cs="宋体"/>
                <w:b/>
                <w:bCs/>
                <w:color w:val="auto"/>
                <w:kern w:val="0"/>
                <w:highlight w:val="none"/>
                <w:lang w:bidi="ar"/>
              </w:rPr>
              <w:t>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1" w:hRule="atLeast"/>
          <w:jc w:val="center"/>
        </w:trPr>
        <w:tc>
          <w:tcPr>
            <w:tcW w:w="9180" w:type="dxa"/>
            <w:noWrap w:val="0"/>
            <w:vAlign w:val="center"/>
          </w:tcPr>
          <w:p>
            <w:pPr>
              <w:pStyle w:val="215"/>
              <w:spacing w:line="260" w:lineRule="exact"/>
              <w:rPr>
                <w:rFonts w:hint="eastAsia" w:ascii="宋体" w:hAnsi="宋体" w:eastAsia="宋体" w:cs="宋体"/>
                <w:kern w:val="0"/>
                <w:highlight w:val="none"/>
                <w:lang w:bidi="ar"/>
              </w:rPr>
            </w:pPr>
            <w:r>
              <w:rPr>
                <w:rFonts w:hint="eastAsia" w:ascii="宋体" w:hAnsi="宋体" w:eastAsia="宋体" w:cs="宋体"/>
                <w:kern w:val="0"/>
                <w:highlight w:val="none"/>
                <w:lang w:bidi="ar"/>
              </w:rPr>
              <w:t>根据中华人民共和国财政部、中华人民共和国工业和信息化部《政府采购促进中小企业发展管理办法》（财库〔2020〕46号）文件的规定，属于中小企业评审优惠内容及幅度如下：</w:t>
            </w:r>
          </w:p>
          <w:p>
            <w:pPr>
              <w:pStyle w:val="215"/>
              <w:spacing w:line="260" w:lineRule="exact"/>
              <w:rPr>
                <w:rFonts w:hint="eastAsia" w:ascii="宋体" w:hAnsi="宋体" w:eastAsia="宋体" w:cs="宋体"/>
                <w:kern w:val="0"/>
                <w:highlight w:val="none"/>
                <w:lang w:bidi="ar"/>
              </w:rPr>
            </w:pPr>
            <w:r>
              <w:rPr>
                <w:rFonts w:hint="eastAsia" w:ascii="宋体" w:hAnsi="宋体" w:eastAsia="宋体" w:cs="宋体"/>
                <w:b/>
                <w:bCs/>
                <w:kern w:val="0"/>
                <w:highlight w:val="none"/>
                <w:lang w:bidi="ar"/>
              </w:rPr>
              <w:t>（一）中小企业（含中型、小型、微型企业）应当同时符合以下条件：</w:t>
            </w:r>
          </w:p>
          <w:p>
            <w:pPr>
              <w:pStyle w:val="215"/>
              <w:spacing w:line="260" w:lineRule="exact"/>
              <w:rPr>
                <w:rFonts w:hint="eastAsia" w:ascii="宋体" w:hAnsi="宋体" w:eastAsia="宋体" w:cs="宋体"/>
                <w:kern w:val="0"/>
                <w:highlight w:val="none"/>
                <w:lang w:bidi="ar"/>
              </w:rPr>
            </w:pPr>
            <w:r>
              <w:rPr>
                <w:rFonts w:hint="eastAsia" w:ascii="宋体" w:hAnsi="宋体" w:eastAsia="宋体" w:cs="宋体"/>
                <w:kern w:val="0"/>
                <w:highlight w:val="none"/>
                <w:lang w:bidi="ar"/>
              </w:rPr>
              <w:t xml:space="preserve">    ①符合中小企业划分标准(按《关于印发中小企业划型标准规定的通知》(工信部联企业( 2011)300号）执行）；</w:t>
            </w:r>
          </w:p>
          <w:p>
            <w:pPr>
              <w:pStyle w:val="215"/>
              <w:spacing w:line="260" w:lineRule="exact"/>
              <w:rPr>
                <w:rFonts w:hint="eastAsia" w:ascii="宋体" w:hAnsi="宋体" w:eastAsia="宋体" w:cs="宋体"/>
                <w:kern w:val="0"/>
                <w:highlight w:val="none"/>
                <w:lang w:bidi="ar"/>
              </w:rPr>
            </w:pPr>
            <w:r>
              <w:rPr>
                <w:rFonts w:hint="eastAsia" w:ascii="宋体" w:hAnsi="宋体" w:eastAsia="宋体" w:cs="宋体"/>
                <w:kern w:val="0"/>
                <w:highlight w:val="none"/>
                <w:lang w:bidi="ar"/>
              </w:rPr>
              <w:t xml:space="preserve">    ②提供本企业制造的货物、承担的项目或者服务，或者提供其他中小企业制造的货物。本项所称货物不包括使用大型企业注册商标的货物；</w:t>
            </w:r>
          </w:p>
          <w:p>
            <w:pPr>
              <w:pStyle w:val="215"/>
              <w:spacing w:line="260" w:lineRule="exact"/>
              <w:rPr>
                <w:rFonts w:hint="eastAsia" w:ascii="宋体" w:hAnsi="宋体" w:eastAsia="宋体" w:cs="宋体"/>
                <w:kern w:val="0"/>
                <w:highlight w:val="none"/>
                <w:lang w:bidi="ar"/>
              </w:rPr>
            </w:pPr>
            <w:r>
              <w:rPr>
                <w:rFonts w:hint="eastAsia" w:ascii="宋体" w:hAnsi="宋体" w:eastAsia="宋体" w:cs="宋体"/>
                <w:kern w:val="0"/>
                <w:highlight w:val="none"/>
                <w:lang w:bidi="ar"/>
              </w:rPr>
              <w:t xml:space="preserve">    ③小型、微型企业提供中型企业制造的货物的，视同为中型企业。</w:t>
            </w:r>
          </w:p>
          <w:p>
            <w:pPr>
              <w:pStyle w:val="215"/>
              <w:spacing w:line="260" w:lineRule="exact"/>
              <w:rPr>
                <w:rFonts w:hint="eastAsia" w:ascii="宋体" w:hAnsi="宋体" w:eastAsia="宋体" w:cs="宋体"/>
                <w:b/>
                <w:bCs/>
                <w:kern w:val="0"/>
                <w:highlight w:val="none"/>
                <w:lang w:bidi="ar"/>
              </w:rPr>
            </w:pPr>
            <w:r>
              <w:rPr>
                <w:rFonts w:hint="eastAsia" w:ascii="宋体" w:hAnsi="宋体" w:eastAsia="宋体" w:cs="宋体"/>
                <w:b/>
                <w:bCs/>
                <w:kern w:val="0"/>
                <w:highlight w:val="none"/>
                <w:lang w:bidi="ar"/>
              </w:rPr>
              <w:t>（二）价格扣除办法：</w:t>
            </w:r>
          </w:p>
          <w:p>
            <w:pPr>
              <w:pStyle w:val="215"/>
              <w:spacing w:line="300" w:lineRule="exact"/>
              <w:ind w:firstLine="480"/>
              <w:rPr>
                <w:rFonts w:hint="eastAsia" w:ascii="宋体" w:hAnsi="宋体" w:eastAsia="宋体" w:cs="宋体"/>
                <w:highlight w:val="none"/>
              </w:rPr>
            </w:pPr>
            <w:r>
              <w:rPr>
                <w:rFonts w:hint="eastAsia" w:ascii="宋体" w:hAnsi="宋体" w:eastAsia="宋体" w:cs="宋体"/>
                <w:highlight w:val="none"/>
              </w:rPr>
              <w:t>①对于非专门面向中小企业的项目，对小型和微型企业（或联合体各方均为小型、微型企业的）产品的价格给予6%的扣除，用扣除后的价格参与价格分的评审。</w:t>
            </w:r>
          </w:p>
          <w:p>
            <w:pPr>
              <w:pStyle w:val="215"/>
              <w:spacing w:line="260" w:lineRule="exact"/>
              <w:rPr>
                <w:rFonts w:hint="eastAsia" w:ascii="宋体" w:hAnsi="宋体" w:eastAsia="宋体" w:cs="宋体"/>
                <w:kern w:val="0"/>
                <w:highlight w:val="none"/>
                <w:lang w:bidi="ar"/>
              </w:rPr>
            </w:pPr>
            <w:r>
              <w:rPr>
                <w:rFonts w:hint="eastAsia" w:ascii="宋体" w:hAnsi="宋体" w:eastAsia="宋体" w:cs="宋体"/>
                <w:highlight w:val="none"/>
              </w:rPr>
              <w:t xml:space="preserve">    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w:t>
            </w:r>
            <w:r>
              <w:rPr>
                <w:rFonts w:hint="eastAsia" w:ascii="宋体" w:hAnsi="宋体" w:eastAsia="宋体" w:cs="宋体"/>
                <w:kern w:val="0"/>
                <w:highlight w:val="none"/>
                <w:lang w:bidi="ar"/>
              </w:rPr>
              <w:t xml:space="preserve">  </w:t>
            </w:r>
          </w:p>
          <w:p>
            <w:pPr>
              <w:pStyle w:val="215"/>
              <w:spacing w:line="260" w:lineRule="exact"/>
              <w:rPr>
                <w:rFonts w:hint="eastAsia" w:ascii="宋体" w:hAnsi="宋体" w:eastAsia="宋体" w:cs="宋体"/>
                <w:b/>
                <w:bCs/>
                <w:kern w:val="0"/>
                <w:highlight w:val="none"/>
                <w:lang w:bidi="ar"/>
              </w:rPr>
            </w:pPr>
            <w:r>
              <w:rPr>
                <w:rFonts w:hint="eastAsia" w:ascii="宋体" w:hAnsi="宋体" w:eastAsia="宋体" w:cs="宋体"/>
                <w:b/>
                <w:bCs/>
                <w:kern w:val="0"/>
                <w:highlight w:val="none"/>
                <w:lang w:bidi="ar"/>
              </w:rPr>
              <w:t>（三）小型和微型企业适用价格扣除办法时应提供的相关资料：</w:t>
            </w:r>
          </w:p>
          <w:p>
            <w:pPr>
              <w:pStyle w:val="215"/>
              <w:spacing w:line="260" w:lineRule="exact"/>
              <w:rPr>
                <w:rFonts w:hint="eastAsia" w:ascii="宋体" w:hAnsi="宋体" w:eastAsia="宋体" w:cs="宋体"/>
                <w:kern w:val="0"/>
                <w:highlight w:val="none"/>
                <w:lang w:bidi="ar"/>
              </w:rPr>
            </w:pPr>
            <w:r>
              <w:rPr>
                <w:rFonts w:hint="eastAsia" w:ascii="宋体" w:hAnsi="宋体" w:eastAsia="宋体" w:cs="宋体"/>
                <w:kern w:val="0"/>
                <w:highlight w:val="none"/>
                <w:lang w:bidi="ar"/>
              </w:rPr>
              <w:t xml:space="preserve">    ①《中小企业声明函》；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180" w:type="dxa"/>
            <w:noWrap w:val="0"/>
            <w:vAlign w:val="center"/>
          </w:tcPr>
          <w:p>
            <w:pPr>
              <w:pStyle w:val="215"/>
              <w:spacing w:line="260" w:lineRule="exact"/>
              <w:rPr>
                <w:rFonts w:hint="eastAsia" w:ascii="宋体" w:hAnsi="宋体" w:eastAsia="宋体" w:cs="宋体"/>
                <w:color w:val="FF0000"/>
                <w:kern w:val="0"/>
                <w:highlight w:val="none"/>
                <w:lang w:bidi="ar"/>
              </w:rPr>
            </w:pPr>
            <w:r>
              <w:rPr>
                <w:rFonts w:hint="eastAsia" w:ascii="宋体" w:hAnsi="宋体" w:eastAsia="宋体" w:cs="宋体"/>
                <w:b/>
                <w:bCs/>
                <w:color w:val="auto"/>
                <w:kern w:val="0"/>
                <w:highlight w:val="none"/>
                <w:lang w:bidi="ar"/>
              </w:rPr>
              <w:t>D：属于享受政府采购支持政策的残疾人福利性单位评审优惠内容及价格扣除幅度按小型、微型企业评审中价格扣除,残疾人福利性单位属于小型、微型企业的，不重复享受政策。本项目的价格扣除为6%。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180" w:type="dxa"/>
            <w:noWrap w:val="0"/>
            <w:vAlign w:val="center"/>
          </w:tcPr>
          <w:p>
            <w:pPr>
              <w:pStyle w:val="215"/>
              <w:spacing w:line="260" w:lineRule="exact"/>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供应商的评审报价为通过上述A、B、C、D的修正及价格扣除后的价格，以此价格由低到高顺序排列，报价相同的并列。</w:t>
            </w:r>
          </w:p>
        </w:tc>
      </w:tr>
    </w:tbl>
    <w:p>
      <w:pPr>
        <w:pStyle w:val="215"/>
        <w:spacing w:line="480" w:lineRule="exact"/>
        <w:ind w:firstLine="560"/>
        <w:jc w:val="both"/>
        <w:rPr>
          <w:rFonts w:hint="eastAsia" w:ascii="宋体" w:hAnsi="宋体" w:eastAsia="宋体" w:cs="宋体"/>
          <w:b/>
          <w:bCs/>
          <w:sz w:val="24"/>
          <w:szCs w:val="24"/>
          <w:lang w:bidi="ar"/>
        </w:rPr>
      </w:pPr>
      <w:r>
        <w:rPr>
          <w:rFonts w:hint="eastAsia" w:ascii="宋体" w:hAnsi="宋体" w:eastAsia="宋体" w:cs="宋体"/>
          <w:b/>
          <w:bCs/>
          <w:sz w:val="24"/>
          <w:szCs w:val="24"/>
          <w:lang w:bidi="ar"/>
        </w:rPr>
        <w:t xml:space="preserve">7．推荐成交候选人名单    </w:t>
      </w:r>
    </w:p>
    <w:p>
      <w:pPr>
        <w:pStyle w:val="215"/>
        <w:spacing w:line="480" w:lineRule="exact"/>
        <w:ind w:firstLine="560"/>
        <w:jc w:val="both"/>
        <w:rPr>
          <w:rFonts w:hint="eastAsia" w:ascii="宋体" w:hAnsi="宋体" w:eastAsia="宋体" w:cs="宋体"/>
          <w:sz w:val="24"/>
          <w:szCs w:val="24"/>
          <w:lang w:eastAsia="zh-CN" w:bidi="ar"/>
        </w:rPr>
      </w:pPr>
      <w:r>
        <w:rPr>
          <w:rFonts w:hint="eastAsia" w:ascii="宋体" w:hAnsi="宋体" w:eastAsia="宋体" w:cs="宋体"/>
          <w:sz w:val="24"/>
          <w:szCs w:val="24"/>
          <w:lang w:bidi="ar"/>
        </w:rPr>
        <w:t>7.1 谈判文件能够详细列明采购标的的技术、服务要求的，谈判结束后，谈判小组应当要求所有继续参加谈判的供应商在规定时间内提交最后报价，提交最后报价的供应商不得少于3家。</w:t>
      </w:r>
    </w:p>
    <w:p>
      <w:pPr>
        <w:pStyle w:val="215"/>
        <w:spacing w:line="480" w:lineRule="exact"/>
        <w:ind w:firstLine="560"/>
        <w:jc w:val="both"/>
        <w:rPr>
          <w:rFonts w:hint="eastAsia" w:ascii="宋体" w:hAnsi="宋体" w:eastAsia="宋体" w:cs="宋体"/>
          <w:sz w:val="24"/>
          <w:szCs w:val="24"/>
          <w:lang w:eastAsia="zh-CN" w:bidi="ar"/>
        </w:rPr>
      </w:pPr>
      <w:r>
        <w:rPr>
          <w:rFonts w:hint="eastAsia" w:ascii="宋体" w:hAnsi="宋体" w:eastAsia="宋体" w:cs="宋体"/>
          <w:sz w:val="24"/>
          <w:szCs w:val="24"/>
          <w:lang w:bidi="ar"/>
        </w:rPr>
        <w:t>7.2 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215"/>
        <w:spacing w:line="480" w:lineRule="exact"/>
        <w:ind w:firstLine="560"/>
        <w:jc w:val="both"/>
        <w:rPr>
          <w:rFonts w:hint="eastAsia" w:ascii="宋体" w:hAnsi="宋体" w:eastAsia="宋体" w:cs="宋体"/>
          <w:sz w:val="24"/>
          <w:szCs w:val="24"/>
          <w:lang w:eastAsia="zh-CN" w:bidi="ar"/>
        </w:rPr>
      </w:pPr>
      <w:r>
        <w:rPr>
          <w:rFonts w:hint="eastAsia" w:ascii="宋体" w:hAnsi="宋体" w:eastAsia="宋体" w:cs="宋体"/>
          <w:sz w:val="24"/>
          <w:szCs w:val="24"/>
          <w:lang w:bidi="ar"/>
        </w:rPr>
        <w:t>　　最后报价是供应商响应文件的有效组成部分。</w:t>
      </w:r>
    </w:p>
    <w:p>
      <w:pPr>
        <w:pStyle w:val="215"/>
        <w:spacing w:line="480" w:lineRule="exact"/>
        <w:ind w:firstLine="560"/>
        <w:jc w:val="both"/>
        <w:rPr>
          <w:rFonts w:hint="eastAsia" w:ascii="宋体" w:hAnsi="宋体" w:eastAsia="宋体" w:cs="宋体"/>
          <w:sz w:val="24"/>
          <w:szCs w:val="24"/>
          <w:lang w:eastAsia="zh-CN" w:bidi="ar"/>
        </w:rPr>
      </w:pPr>
      <w:r>
        <w:rPr>
          <w:rFonts w:hint="eastAsia" w:ascii="宋体" w:hAnsi="宋体" w:eastAsia="宋体" w:cs="宋体"/>
          <w:sz w:val="24"/>
          <w:szCs w:val="24"/>
          <w:lang w:bidi="ar"/>
        </w:rPr>
        <w:t>7.3 已提交响应文件的供应商，在提交最后报价之前，可以根据谈判情况退出谈判。采购人、采购代理机构应当退还退出谈判的供应商的保证金。</w:t>
      </w:r>
    </w:p>
    <w:p>
      <w:pPr>
        <w:pStyle w:val="215"/>
        <w:spacing w:line="240" w:lineRule="auto"/>
        <w:ind w:firstLine="560"/>
        <w:jc w:val="both"/>
        <w:rPr>
          <w:rFonts w:hint="eastAsia" w:ascii="宋体" w:hAnsi="宋体" w:eastAsia="宋体" w:cs="宋体"/>
          <w:sz w:val="24"/>
          <w:szCs w:val="24"/>
          <w:lang w:eastAsia="zh-CN" w:bidi="ar"/>
        </w:rPr>
      </w:pPr>
      <w:r>
        <w:rPr>
          <w:rFonts w:hint="eastAsia" w:ascii="宋体" w:hAnsi="宋体" w:eastAsia="宋体" w:cs="宋体"/>
          <w:sz w:val="24"/>
          <w:szCs w:val="24"/>
          <w:lang w:bidi="ar"/>
        </w:rPr>
        <w:t>7.4 谈判小组应当从质量和服务均能满足采购文件实质性响应要求的供应商中，按照最后报价由低到高的顺序提出3名以上成交候选人，并编写评审报告。</w:t>
      </w:r>
    </w:p>
    <w:p>
      <w:pPr>
        <w:pStyle w:val="215"/>
        <w:spacing w:line="240" w:lineRule="auto"/>
        <w:ind w:firstLine="480" w:firstLineChars="200"/>
        <w:jc w:val="both"/>
        <w:rPr>
          <w:rFonts w:hint="eastAsia" w:ascii="宋体" w:hAnsi="宋体" w:eastAsia="宋体" w:cs="宋体"/>
          <w:sz w:val="24"/>
          <w:szCs w:val="24"/>
          <w:lang w:bidi="ar"/>
        </w:rPr>
      </w:pPr>
      <w:r>
        <w:rPr>
          <w:rFonts w:hint="eastAsia" w:ascii="宋体" w:hAnsi="宋体" w:eastAsia="宋体" w:cs="宋体"/>
          <w:sz w:val="24"/>
          <w:szCs w:val="24"/>
          <w:lang w:bidi="ar"/>
        </w:rPr>
        <w:t xml:space="preserve"> 7.5 </w:t>
      </w:r>
      <w:r>
        <w:rPr>
          <w:rFonts w:hint="eastAsia" w:ascii="宋体" w:hAnsi="宋体" w:eastAsia="宋体" w:cs="宋体"/>
          <w:color w:val="auto"/>
          <w:sz w:val="24"/>
          <w:szCs w:val="24"/>
        </w:rPr>
        <w:t>评审结果按最后报价由低到高顺序排列。报价相同的并列。</w:t>
      </w:r>
      <w:r>
        <w:rPr>
          <w:rFonts w:hint="eastAsia" w:ascii="宋体" w:hAnsi="宋体" w:eastAsia="宋体" w:cs="宋体"/>
          <w:sz w:val="24"/>
          <w:szCs w:val="24"/>
          <w:lang w:bidi="ar"/>
        </w:rPr>
        <w:t xml:space="preserve"> </w:t>
      </w:r>
    </w:p>
    <w:p>
      <w:pPr>
        <w:pStyle w:val="33"/>
        <w:widowControl w:val="0"/>
        <w:shd w:val="clear" w:color="auto" w:fill="FFFFFF"/>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 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pPr>
        <w:pStyle w:val="215"/>
        <w:spacing w:line="460" w:lineRule="exact"/>
        <w:ind w:firstLine="56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7.7</w:t>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谈判小组应当根据评审记录和评审结果编写评审报告，其主要内容包括：</w:t>
      </w:r>
    </w:p>
    <w:p>
      <w:pPr>
        <w:pStyle w:val="215"/>
        <w:spacing w:line="460" w:lineRule="exact"/>
        <w:ind w:firstLine="56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(一)邀请供应商参加采购活动的具体方式和相关情况，以及参加采购活动的供应商名单；</w:t>
      </w:r>
    </w:p>
    <w:p>
      <w:pPr>
        <w:pStyle w:val="215"/>
        <w:spacing w:line="460" w:lineRule="exact"/>
        <w:ind w:firstLine="56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(二)评审日期和地点，谈判小组成员名单；</w:t>
      </w:r>
    </w:p>
    <w:p>
      <w:pPr>
        <w:pStyle w:val="215"/>
        <w:spacing w:line="460" w:lineRule="exact"/>
        <w:ind w:firstLine="56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(三)评审情况记录和说明，包括对供应商的资格审查情况、供应商响应文件评审情况、谈判情况、报价情况等；</w:t>
      </w:r>
    </w:p>
    <w:p>
      <w:pPr>
        <w:pStyle w:val="215"/>
        <w:spacing w:line="460" w:lineRule="exact"/>
        <w:ind w:firstLine="56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(四)提出的成交候选人的名单及理由。</w:t>
      </w:r>
    </w:p>
    <w:p>
      <w:pPr>
        <w:pStyle w:val="215"/>
        <w:spacing w:line="460" w:lineRule="exact"/>
        <w:ind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rPr>
        <w:t>　　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15"/>
        <w:spacing w:line="460" w:lineRule="exact"/>
        <w:ind w:firstLine="560"/>
        <w:jc w:val="both"/>
        <w:rPr>
          <w:rFonts w:hint="eastAsia" w:ascii="宋体" w:hAnsi="宋体" w:eastAsia="宋体" w:cs="宋体"/>
          <w:color w:val="auto"/>
          <w:sz w:val="24"/>
          <w:szCs w:val="24"/>
        </w:rPr>
      </w:pPr>
      <w:r>
        <w:rPr>
          <w:rFonts w:hint="eastAsia" w:ascii="宋体" w:hAnsi="宋体" w:eastAsia="宋体" w:cs="宋体"/>
          <w:sz w:val="24"/>
          <w:szCs w:val="24"/>
        </w:rPr>
        <w:t xml:space="preserve">7.8 </w:t>
      </w:r>
      <w:r>
        <w:rPr>
          <w:rFonts w:hint="eastAsia" w:ascii="宋体" w:hAnsi="宋体" w:eastAsia="宋体" w:cs="宋体"/>
          <w:color w:val="auto"/>
          <w:sz w:val="24"/>
          <w:szCs w:val="24"/>
        </w:rPr>
        <w:t>谈判小组成员以及与评审工作有关的人员不得泄露评审情况以及评审过程中获悉的国家秘密、商业秘密。</w:t>
      </w:r>
    </w:p>
    <w:p>
      <w:pPr>
        <w:pStyle w:val="215"/>
        <w:spacing w:line="460" w:lineRule="exact"/>
        <w:ind w:firstLine="560"/>
        <w:jc w:val="both"/>
        <w:rPr>
          <w:rFonts w:hint="eastAsia" w:ascii="宋体" w:hAnsi="宋体" w:eastAsia="宋体" w:cs="宋体"/>
          <w:sz w:val="24"/>
          <w:szCs w:val="24"/>
        </w:rPr>
      </w:pPr>
      <w:r>
        <w:rPr>
          <w:rFonts w:hint="eastAsia" w:ascii="宋体" w:hAnsi="宋体" w:eastAsia="宋体" w:cs="宋体"/>
          <w:sz w:val="24"/>
          <w:szCs w:val="24"/>
        </w:rPr>
        <w:t>7.9 本次谈判采购推荐的成交候选人数量见</w:t>
      </w:r>
      <w:r>
        <w:rPr>
          <w:rFonts w:hint="eastAsia" w:ascii="宋体" w:hAnsi="宋体" w:eastAsia="宋体" w:cs="宋体"/>
          <w:b/>
          <w:bCs/>
          <w:sz w:val="24"/>
          <w:szCs w:val="24"/>
        </w:rPr>
        <w:t>供应商须知前附表</w:t>
      </w:r>
      <w:r>
        <w:rPr>
          <w:rFonts w:hint="eastAsia" w:ascii="宋体" w:hAnsi="宋体" w:eastAsia="宋体" w:cs="宋体"/>
          <w:sz w:val="24"/>
          <w:szCs w:val="24"/>
        </w:rPr>
        <w:t>。</w:t>
      </w:r>
    </w:p>
    <w:p>
      <w:pPr>
        <w:pStyle w:val="215"/>
        <w:spacing w:line="460" w:lineRule="exact"/>
        <w:ind w:firstLine="560"/>
        <w:jc w:val="both"/>
        <w:rPr>
          <w:rFonts w:hint="eastAsia" w:ascii="宋体" w:hAnsi="宋体" w:eastAsia="宋体" w:cs="宋体"/>
          <w:sz w:val="24"/>
          <w:szCs w:val="24"/>
          <w:lang w:eastAsia="zh-CN"/>
        </w:rPr>
      </w:pPr>
      <w:r>
        <w:rPr>
          <w:rFonts w:hint="eastAsia" w:ascii="宋体" w:hAnsi="宋体" w:eastAsia="宋体" w:cs="宋体"/>
          <w:sz w:val="24"/>
          <w:szCs w:val="24"/>
        </w:rPr>
        <w:t>7.10 采购代理机构应当在评审结束后2个工作日内将评审报告送采购人确认。</w:t>
      </w:r>
    </w:p>
    <w:p>
      <w:pPr>
        <w:pStyle w:val="215"/>
        <w:spacing w:line="460" w:lineRule="exact"/>
        <w:ind w:firstLine="560"/>
        <w:jc w:val="both"/>
        <w:rPr>
          <w:rFonts w:hint="eastAsia" w:ascii="宋体" w:hAnsi="宋体" w:eastAsia="宋体" w:cs="宋体"/>
          <w:sz w:val="24"/>
          <w:szCs w:val="24"/>
        </w:rPr>
      </w:pPr>
      <w:r>
        <w:rPr>
          <w:rFonts w:hint="eastAsia" w:ascii="宋体" w:hAnsi="宋体" w:eastAsia="宋体" w:cs="宋体"/>
          <w:sz w:val="24"/>
          <w:szCs w:val="24"/>
        </w:rPr>
        <w:t>　　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215"/>
        <w:spacing w:line="460" w:lineRule="exact"/>
        <w:ind w:firstLine="560"/>
        <w:jc w:val="both"/>
        <w:rPr>
          <w:rFonts w:hint="eastAsia" w:ascii="宋体" w:hAnsi="宋体" w:eastAsia="宋体" w:cs="宋体"/>
          <w:sz w:val="24"/>
          <w:szCs w:val="24"/>
          <w:lang w:eastAsia="zh-CN"/>
        </w:rPr>
      </w:pPr>
      <w:r>
        <w:rPr>
          <w:rFonts w:hint="eastAsia" w:ascii="宋体" w:hAnsi="宋体" w:eastAsia="宋体" w:cs="宋体"/>
          <w:sz w:val="24"/>
          <w:szCs w:val="24"/>
        </w:rPr>
        <w:t>7.11 在采购活动中因重大变故，采购任务取消的，采购人或者采购代理机构应当终止采购活动，通知所有参加采购活动的供应商，并将项目实施情况和采购任务取消原因报送本级财政部门。</w:t>
      </w:r>
    </w:p>
    <w:p>
      <w:pPr>
        <w:pStyle w:val="215"/>
        <w:spacing w:line="460" w:lineRule="exact"/>
        <w:ind w:firstLine="560"/>
        <w:jc w:val="both"/>
        <w:rPr>
          <w:rFonts w:hint="eastAsia" w:ascii="宋体" w:hAnsi="宋体" w:eastAsia="宋体" w:cs="宋体"/>
          <w:sz w:val="24"/>
          <w:szCs w:val="24"/>
          <w:lang w:eastAsia="zh-CN"/>
        </w:rPr>
      </w:pPr>
      <w:r>
        <w:rPr>
          <w:rFonts w:hint="eastAsia" w:ascii="宋体" w:hAnsi="宋体" w:eastAsia="宋体" w:cs="宋体"/>
          <w:sz w:val="24"/>
          <w:szCs w:val="24"/>
        </w:rPr>
        <w:t>　　7.12 出现下列情形之一的，采购人或者采购代理机构应当终止竞争性谈判采购活动，发布项目终止公告并说明原因，重新开展采购活动：</w:t>
      </w:r>
    </w:p>
    <w:p>
      <w:pPr>
        <w:pStyle w:val="215"/>
        <w:spacing w:line="460" w:lineRule="exact"/>
        <w:ind w:firstLine="560"/>
        <w:jc w:val="both"/>
        <w:rPr>
          <w:rFonts w:hint="eastAsia" w:ascii="宋体" w:hAnsi="宋体" w:eastAsia="宋体" w:cs="宋体"/>
          <w:sz w:val="24"/>
          <w:szCs w:val="24"/>
          <w:lang w:eastAsia="zh-CN"/>
        </w:rPr>
      </w:pPr>
      <w:r>
        <w:rPr>
          <w:rFonts w:hint="eastAsia" w:ascii="宋体" w:hAnsi="宋体" w:eastAsia="宋体" w:cs="宋体"/>
          <w:sz w:val="24"/>
          <w:szCs w:val="24"/>
        </w:rPr>
        <w:t>　　（一）因情况变化，不再符合规定的竞争性谈判采购方式适用情形的；</w:t>
      </w:r>
    </w:p>
    <w:p>
      <w:pPr>
        <w:pStyle w:val="215"/>
        <w:spacing w:line="460" w:lineRule="exact"/>
        <w:ind w:firstLine="560"/>
        <w:jc w:val="both"/>
        <w:rPr>
          <w:rFonts w:hint="eastAsia" w:ascii="宋体" w:hAnsi="宋体" w:eastAsia="宋体" w:cs="宋体"/>
          <w:sz w:val="24"/>
          <w:szCs w:val="24"/>
          <w:lang w:eastAsia="zh-CN"/>
        </w:rPr>
      </w:pPr>
      <w:r>
        <w:rPr>
          <w:rFonts w:hint="eastAsia" w:ascii="宋体" w:hAnsi="宋体" w:eastAsia="宋体" w:cs="宋体"/>
          <w:sz w:val="24"/>
          <w:szCs w:val="24"/>
        </w:rPr>
        <w:t>　　（二）出现影响采购公正的违法、违规行为的；</w:t>
      </w:r>
    </w:p>
    <w:p>
      <w:pPr>
        <w:pStyle w:val="215"/>
        <w:spacing w:line="460" w:lineRule="exact"/>
        <w:ind w:firstLine="560"/>
        <w:jc w:val="both"/>
        <w:rPr>
          <w:rFonts w:hint="eastAsia" w:ascii="宋体" w:hAnsi="宋体" w:eastAsia="宋体" w:cs="宋体"/>
          <w:sz w:val="24"/>
          <w:szCs w:val="24"/>
        </w:rPr>
      </w:pPr>
      <w:r>
        <w:rPr>
          <w:rFonts w:hint="eastAsia" w:ascii="宋体" w:hAnsi="宋体" w:eastAsia="宋体" w:cs="宋体"/>
          <w:sz w:val="24"/>
          <w:szCs w:val="24"/>
        </w:rPr>
        <w:t>　　（三）在采购过程中符合竞争要求的供应商或者报价未超过采购预算的供应商不足3家的，但技术复杂或者性质特殊，不能确定详细规格或者具体要求的情形除外。</w:t>
      </w:r>
    </w:p>
    <w:p>
      <w:pPr>
        <w:pStyle w:val="215"/>
        <w:spacing w:line="460" w:lineRule="exact"/>
        <w:ind w:firstLine="560"/>
        <w:jc w:val="both"/>
        <w:rPr>
          <w:rFonts w:hint="eastAsia" w:ascii="仿宋_GB2312" w:hAnsi="仿宋_GB2312" w:eastAsia="仿宋_GB2312" w:cs="仿宋_GB2312"/>
          <w:sz w:val="28"/>
          <w:szCs w:val="28"/>
        </w:rPr>
      </w:pPr>
    </w:p>
    <w:p>
      <w:pPr>
        <w:pStyle w:val="2"/>
        <w:rPr>
          <w:rFonts w:hint="eastAsia"/>
        </w:rPr>
      </w:pPr>
    </w:p>
    <w:bookmarkEnd w:id="65"/>
    <w:bookmarkEnd w:id="66"/>
    <w:bookmarkEnd w:id="67"/>
    <w:p>
      <w:pPr>
        <w:pStyle w:val="4"/>
        <w:numPr>
          <w:ilvl w:val="0"/>
          <w:numId w:val="0"/>
        </w:numPr>
        <w:spacing w:line="400" w:lineRule="exact"/>
        <w:jc w:val="center"/>
        <w:rPr>
          <w:rFonts w:hint="eastAsia" w:ascii="宋体" w:hAnsi="宋体" w:eastAsia="宋体" w:cs="宋体"/>
          <w:szCs w:val="28"/>
        </w:rPr>
      </w:pPr>
      <w:bookmarkStart w:id="103" w:name="_Toc2303"/>
      <w:bookmarkStart w:id="104" w:name="_Toc279996719"/>
      <w:bookmarkStart w:id="105" w:name="_Toc31563"/>
      <w:bookmarkStart w:id="106" w:name="_Toc22189"/>
      <w:bookmarkStart w:id="107" w:name="_Toc14190"/>
      <w:bookmarkStart w:id="108" w:name="_Toc217446081"/>
      <w:bookmarkStart w:id="109" w:name="_Toc27742"/>
      <w:r>
        <w:rPr>
          <w:rFonts w:hint="eastAsia" w:ascii="宋体" w:hAnsi="宋体" w:eastAsia="宋体" w:cs="宋体"/>
          <w:b/>
          <w:color w:val="auto"/>
          <w:kern w:val="44"/>
          <w:sz w:val="36"/>
          <w:szCs w:val="36"/>
          <w:lang w:val="en-US" w:eastAsia="zh-CN" w:bidi="ar-SA"/>
        </w:rPr>
        <w:t>第四章 响应谈判文件格式</w:t>
      </w:r>
      <w:bookmarkEnd w:id="103"/>
      <w:bookmarkEnd w:id="104"/>
      <w:bookmarkEnd w:id="105"/>
      <w:bookmarkEnd w:id="106"/>
      <w:bookmarkEnd w:id="107"/>
      <w:bookmarkEnd w:id="108"/>
      <w:bookmarkEnd w:id="109"/>
      <w:bookmarkStart w:id="110" w:name="_Toc279996720"/>
      <w:bookmarkStart w:id="111" w:name="_Toc217446082"/>
      <w:bookmarkStart w:id="112" w:name="_Toc217446085"/>
    </w:p>
    <w:p>
      <w:pPr>
        <w:spacing w:line="560" w:lineRule="exact"/>
        <w:jc w:val="right"/>
        <w:rPr>
          <w:rFonts w:hint="eastAsia" w:ascii="宋体" w:hAnsi="宋体" w:eastAsia="宋体" w:cs="宋体"/>
          <w:b/>
          <w:sz w:val="32"/>
          <w:szCs w:val="32"/>
        </w:rPr>
      </w:pPr>
      <w:r>
        <w:rPr>
          <w:rFonts w:hint="eastAsia" w:ascii="宋体" w:hAnsi="宋体" w:eastAsia="宋体" w:cs="宋体"/>
          <w:b/>
          <w:color w:val="FF0000"/>
          <w:sz w:val="32"/>
          <w:szCs w:val="32"/>
        </w:rPr>
        <w:t xml:space="preserve"> </w:t>
      </w:r>
      <w:r>
        <w:rPr>
          <w:rFonts w:hint="eastAsia" w:ascii="宋体" w:hAnsi="宋体" w:eastAsia="宋体" w:cs="宋体"/>
          <w:b/>
          <w:sz w:val="32"/>
          <w:szCs w:val="32"/>
        </w:rPr>
        <w:t>正/（副）本</w:t>
      </w:r>
    </w:p>
    <w:p>
      <w:pPr>
        <w:autoSpaceDE w:val="0"/>
        <w:autoSpaceDN w:val="0"/>
        <w:adjustRightInd w:val="0"/>
        <w:rPr>
          <w:rFonts w:hint="eastAsia" w:ascii="宋体" w:hAnsi="宋体" w:eastAsia="宋体" w:cs="宋体"/>
          <w:b/>
          <w:sz w:val="58"/>
          <w:szCs w:val="58"/>
        </w:rPr>
      </w:pPr>
    </w:p>
    <w:p>
      <w:pPr>
        <w:autoSpaceDE w:val="0"/>
        <w:autoSpaceDN w:val="0"/>
        <w:adjustRightInd w:val="0"/>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农业科技智能温室附属设施配套项目-科技创区水网改造提升项目</w:t>
      </w:r>
    </w:p>
    <w:p>
      <w:pPr>
        <w:autoSpaceDE w:val="0"/>
        <w:autoSpaceDN w:val="0"/>
        <w:adjustRightInd w:val="0"/>
        <w:jc w:val="both"/>
        <w:rPr>
          <w:rFonts w:hint="eastAsia" w:ascii="宋体" w:hAnsi="宋体" w:eastAsia="宋体" w:cs="宋体"/>
          <w:b/>
          <w:sz w:val="54"/>
          <w:szCs w:val="54"/>
        </w:rPr>
      </w:pPr>
    </w:p>
    <w:p>
      <w:pPr>
        <w:autoSpaceDE w:val="0"/>
        <w:autoSpaceDN w:val="0"/>
        <w:adjustRightInd w:val="0"/>
        <w:jc w:val="center"/>
        <w:rPr>
          <w:rFonts w:hint="eastAsia" w:ascii="宋体" w:hAnsi="宋体" w:eastAsia="宋体" w:cs="宋体"/>
          <w:b/>
          <w:sz w:val="54"/>
          <w:szCs w:val="54"/>
        </w:rPr>
      </w:pPr>
    </w:p>
    <w:p>
      <w:pPr>
        <w:autoSpaceDE w:val="0"/>
        <w:autoSpaceDN w:val="0"/>
        <w:adjustRightInd w:val="0"/>
        <w:jc w:val="center"/>
        <w:rPr>
          <w:rFonts w:hint="eastAsia" w:ascii="宋体" w:hAnsi="宋体" w:eastAsia="宋体" w:cs="宋体"/>
          <w:b/>
          <w:sz w:val="84"/>
          <w:szCs w:val="84"/>
        </w:rPr>
      </w:pPr>
      <w:r>
        <w:rPr>
          <w:rFonts w:hint="eastAsia" w:ascii="宋体" w:hAnsi="宋体" w:eastAsia="宋体" w:cs="宋体"/>
          <w:b/>
          <w:sz w:val="84"/>
          <w:szCs w:val="84"/>
        </w:rPr>
        <w:t xml:space="preserve"> 响应文件</w:t>
      </w:r>
    </w:p>
    <w:p>
      <w:pPr>
        <w:autoSpaceDE w:val="0"/>
        <w:autoSpaceDN w:val="0"/>
        <w:adjustRightInd w:val="0"/>
        <w:jc w:val="center"/>
        <w:rPr>
          <w:rFonts w:hint="eastAsia" w:ascii="宋体" w:hAnsi="宋体" w:eastAsia="宋体" w:cs="宋体"/>
          <w:b/>
          <w:sz w:val="84"/>
          <w:szCs w:val="84"/>
        </w:rPr>
      </w:pPr>
    </w:p>
    <w:p>
      <w:pPr>
        <w:autoSpaceDE w:val="0"/>
        <w:autoSpaceDN w:val="0"/>
        <w:adjustRightInd w:val="0"/>
        <w:rPr>
          <w:rFonts w:hint="eastAsia" w:ascii="宋体" w:hAnsi="宋体" w:eastAsia="宋体" w:cs="宋体"/>
          <w:b/>
          <w:bCs/>
          <w:sz w:val="32"/>
          <w:szCs w:val="32"/>
        </w:rPr>
      </w:pPr>
    </w:p>
    <w:p>
      <w:pPr>
        <w:wordWrap w:val="0"/>
        <w:autoSpaceDE w:val="0"/>
        <w:autoSpaceDN w:val="0"/>
        <w:adjustRightInd w:val="0"/>
        <w:spacing w:line="800" w:lineRule="exact"/>
        <w:ind w:firstLine="964" w:firstLineChars="300"/>
        <w:rPr>
          <w:rFonts w:hint="eastAsia" w:ascii="宋体" w:hAnsi="宋体" w:eastAsia="宋体" w:cs="宋体"/>
          <w:sz w:val="32"/>
          <w:szCs w:val="32"/>
        </w:rPr>
      </w:pPr>
      <w:r>
        <w:rPr>
          <w:rFonts w:hint="eastAsia" w:ascii="宋体" w:hAnsi="宋体" w:eastAsia="宋体" w:cs="宋体"/>
          <w:b/>
          <w:sz w:val="32"/>
          <w:szCs w:val="32"/>
          <w:lang w:eastAsia="zh-CN"/>
        </w:rPr>
        <w:t>投标人</w:t>
      </w:r>
      <w:r>
        <w:rPr>
          <w:rFonts w:hint="eastAsia" w:ascii="宋体" w:hAnsi="宋体" w:eastAsia="宋体" w:cs="宋体"/>
          <w:sz w:val="32"/>
          <w:szCs w:val="32"/>
        </w:rPr>
        <w:t>：</w:t>
      </w:r>
    </w:p>
    <w:p>
      <w:pPr>
        <w:wordWrap w:val="0"/>
        <w:autoSpaceDE w:val="0"/>
        <w:autoSpaceDN w:val="0"/>
        <w:adjustRightInd w:val="0"/>
        <w:spacing w:line="800" w:lineRule="exact"/>
        <w:ind w:firstLine="964" w:firstLineChars="300"/>
        <w:rPr>
          <w:rFonts w:hint="eastAsia" w:ascii="宋体" w:hAnsi="宋体" w:eastAsia="宋体" w:cs="宋体"/>
          <w:b/>
          <w:sz w:val="32"/>
          <w:szCs w:val="32"/>
        </w:rPr>
      </w:pPr>
      <w:r>
        <w:rPr>
          <w:rFonts w:hint="eastAsia" w:ascii="宋体" w:hAnsi="宋体" w:eastAsia="宋体" w:cs="宋体"/>
          <w:b/>
          <w:sz w:val="32"/>
          <w:szCs w:val="32"/>
          <w:lang w:eastAsia="zh-CN"/>
        </w:rPr>
        <w:t>投标人</w:t>
      </w:r>
      <w:r>
        <w:rPr>
          <w:rFonts w:hint="eastAsia" w:ascii="宋体" w:hAnsi="宋体" w:eastAsia="宋体" w:cs="宋体"/>
          <w:b/>
          <w:sz w:val="32"/>
          <w:szCs w:val="32"/>
        </w:rPr>
        <w:t>地址：</w:t>
      </w:r>
    </w:p>
    <w:p>
      <w:pPr>
        <w:wordWrap w:val="0"/>
        <w:autoSpaceDE w:val="0"/>
        <w:autoSpaceDN w:val="0"/>
        <w:adjustRightInd w:val="0"/>
        <w:spacing w:line="800" w:lineRule="exact"/>
        <w:ind w:firstLine="964" w:firstLineChars="300"/>
        <w:rPr>
          <w:rFonts w:hint="eastAsia" w:ascii="宋体" w:hAnsi="宋体" w:eastAsia="宋体" w:cs="宋体"/>
          <w:b/>
          <w:sz w:val="32"/>
          <w:szCs w:val="32"/>
        </w:rPr>
      </w:pPr>
      <w:r>
        <w:rPr>
          <w:rFonts w:hint="eastAsia" w:ascii="宋体" w:hAnsi="宋体" w:eastAsia="宋体" w:cs="宋体"/>
          <w:b/>
          <w:sz w:val="32"/>
          <w:szCs w:val="32"/>
        </w:rPr>
        <w:t>法代表人：</w:t>
      </w:r>
    </w:p>
    <w:p>
      <w:pPr>
        <w:wordWrap w:val="0"/>
        <w:autoSpaceDE w:val="0"/>
        <w:autoSpaceDN w:val="0"/>
        <w:adjustRightInd w:val="0"/>
        <w:spacing w:line="800" w:lineRule="exact"/>
        <w:ind w:firstLine="964" w:firstLineChars="300"/>
        <w:rPr>
          <w:rFonts w:hint="eastAsia" w:ascii="宋体" w:hAnsi="宋体" w:eastAsia="宋体" w:cs="宋体"/>
          <w:b/>
          <w:sz w:val="32"/>
          <w:szCs w:val="32"/>
        </w:rPr>
      </w:pPr>
      <w:r>
        <w:rPr>
          <w:rFonts w:hint="eastAsia" w:ascii="宋体" w:hAnsi="宋体" w:eastAsia="宋体" w:cs="宋体"/>
          <w:b/>
          <w:sz w:val="32"/>
          <w:szCs w:val="32"/>
        </w:rPr>
        <w:t xml:space="preserve">联系人：                </w:t>
      </w:r>
    </w:p>
    <w:p>
      <w:pPr>
        <w:wordWrap w:val="0"/>
        <w:autoSpaceDE w:val="0"/>
        <w:autoSpaceDN w:val="0"/>
        <w:adjustRightInd w:val="0"/>
        <w:spacing w:line="800" w:lineRule="exact"/>
        <w:ind w:firstLine="964" w:firstLineChars="300"/>
        <w:rPr>
          <w:rFonts w:hint="eastAsia" w:ascii="宋体" w:hAnsi="宋体" w:eastAsia="宋体" w:cs="宋体"/>
          <w:b/>
          <w:sz w:val="32"/>
          <w:szCs w:val="32"/>
        </w:rPr>
      </w:pPr>
      <w:r>
        <w:rPr>
          <w:rFonts w:hint="eastAsia" w:ascii="宋体" w:hAnsi="宋体" w:eastAsia="宋体" w:cs="宋体"/>
          <w:b/>
          <w:sz w:val="32"/>
          <w:szCs w:val="32"/>
        </w:rPr>
        <w:t>联系电话：</w:t>
      </w:r>
    </w:p>
    <w:p>
      <w:pPr>
        <w:wordWrap w:val="0"/>
        <w:autoSpaceDE w:val="0"/>
        <w:autoSpaceDN w:val="0"/>
        <w:adjustRightInd w:val="0"/>
        <w:spacing w:line="800" w:lineRule="exact"/>
        <w:ind w:firstLine="964" w:firstLineChars="300"/>
        <w:rPr>
          <w:rFonts w:hint="eastAsia" w:ascii="宋体" w:hAnsi="宋体" w:eastAsia="宋体" w:cs="宋体"/>
          <w:szCs w:val="28"/>
        </w:rPr>
      </w:pPr>
      <w:r>
        <w:rPr>
          <w:rFonts w:hint="eastAsia" w:ascii="宋体" w:hAnsi="宋体" w:eastAsia="宋体" w:cs="宋体"/>
          <w:b/>
          <w:sz w:val="32"/>
          <w:szCs w:val="32"/>
        </w:rPr>
        <w:t>日期：</w:t>
      </w:r>
    </w:p>
    <w:p>
      <w:pPr>
        <w:pStyle w:val="5"/>
        <w:spacing w:line="400" w:lineRule="exact"/>
        <w:jc w:val="center"/>
        <w:outlineLvl w:val="9"/>
        <w:rPr>
          <w:rFonts w:hint="eastAsia" w:ascii="宋体" w:hAnsi="宋体" w:eastAsia="宋体" w:cs="宋体"/>
          <w:sz w:val="32"/>
          <w:szCs w:val="32"/>
        </w:rPr>
      </w:pPr>
      <w:bookmarkStart w:id="113" w:name="_Toc31363"/>
    </w:p>
    <w:p>
      <w:pPr>
        <w:pStyle w:val="5"/>
        <w:spacing w:line="400" w:lineRule="exact"/>
        <w:jc w:val="center"/>
        <w:rPr>
          <w:rFonts w:hint="eastAsia" w:ascii="宋体" w:hAnsi="宋体" w:eastAsia="宋体" w:cs="宋体"/>
          <w:sz w:val="32"/>
          <w:szCs w:val="32"/>
        </w:rPr>
      </w:pPr>
      <w:r>
        <w:rPr>
          <w:rFonts w:hint="eastAsia" w:ascii="宋体" w:hAnsi="宋体" w:eastAsia="宋体" w:cs="宋体"/>
          <w:sz w:val="32"/>
          <w:szCs w:val="32"/>
        </w:rPr>
        <w:t>目   录</w:t>
      </w:r>
      <w:bookmarkEnd w:id="113"/>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jc w:val="center"/>
        <w:outlineLvl w:val="9"/>
        <w:rPr>
          <w:rFonts w:hint="eastAsia" w:ascii="宋体" w:hAnsi="宋体" w:eastAsia="宋体" w:cs="宋体"/>
          <w:szCs w:val="28"/>
        </w:rPr>
      </w:pPr>
    </w:p>
    <w:p>
      <w:pPr>
        <w:pStyle w:val="5"/>
        <w:spacing w:line="400" w:lineRule="exact"/>
        <w:outlineLvl w:val="9"/>
        <w:rPr>
          <w:rFonts w:hint="eastAsia" w:ascii="宋体" w:hAnsi="宋体" w:eastAsia="宋体" w:cs="宋体"/>
          <w:szCs w:val="28"/>
        </w:rPr>
      </w:pPr>
    </w:p>
    <w:p>
      <w:pPr>
        <w:rPr>
          <w:rFonts w:hint="eastAsia" w:ascii="宋体" w:hAnsi="宋体" w:eastAsia="宋体" w:cs="宋体"/>
        </w:rPr>
      </w:pPr>
    </w:p>
    <w:p>
      <w:pPr>
        <w:pStyle w:val="4"/>
        <w:spacing w:line="400" w:lineRule="exact"/>
        <w:jc w:val="center"/>
        <w:outlineLvl w:val="0"/>
        <w:rPr>
          <w:rFonts w:hint="eastAsia" w:ascii="宋体" w:hAnsi="宋体" w:eastAsia="宋体" w:cs="宋体"/>
          <w:szCs w:val="28"/>
        </w:rPr>
      </w:pPr>
      <w:bookmarkStart w:id="114" w:name="_Toc25438"/>
      <w:bookmarkStart w:id="115" w:name="_Toc9845"/>
      <w:r>
        <w:rPr>
          <w:rFonts w:hint="eastAsia" w:ascii="宋体" w:hAnsi="宋体" w:eastAsia="宋体" w:cs="宋体"/>
          <w:szCs w:val="28"/>
        </w:rPr>
        <w:t>一、法定代表人</w:t>
      </w:r>
      <w:r>
        <w:rPr>
          <w:rFonts w:hint="eastAsia" w:ascii="宋体" w:hAnsi="宋体" w:eastAsia="宋体" w:cs="宋体"/>
          <w:szCs w:val="28"/>
          <w:lang w:eastAsia="zh-CN"/>
        </w:rPr>
        <w:t>（企业注册人）</w:t>
      </w:r>
      <w:r>
        <w:rPr>
          <w:rFonts w:hint="eastAsia" w:ascii="宋体" w:hAnsi="宋体" w:eastAsia="宋体" w:cs="宋体"/>
          <w:szCs w:val="28"/>
        </w:rPr>
        <w:t>授权书</w:t>
      </w:r>
      <w:bookmarkEnd w:id="110"/>
      <w:bookmarkEnd w:id="114"/>
      <w:bookmarkEnd w:id="115"/>
    </w:p>
    <w:p>
      <w:pPr>
        <w:spacing w:line="360" w:lineRule="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投标人</w:t>
      </w:r>
      <w:r>
        <w:rPr>
          <w:rFonts w:hint="eastAsia" w:ascii="宋体" w:hAnsi="宋体" w:eastAsia="宋体" w:cs="宋体"/>
          <w:sz w:val="28"/>
          <w:szCs w:val="28"/>
        </w:rPr>
        <w:t>名称）的法定代表人</w:t>
      </w:r>
      <w:r>
        <w:rPr>
          <w:rFonts w:hint="eastAsia" w:ascii="宋体" w:hAnsi="宋体" w:eastAsia="宋体" w:cs="宋体"/>
          <w:sz w:val="28"/>
          <w:szCs w:val="28"/>
          <w:lang w:eastAsia="zh-CN"/>
        </w:rPr>
        <w:t>（企业注册人）</w:t>
      </w:r>
      <w:r>
        <w:rPr>
          <w:rFonts w:hint="eastAsia" w:ascii="宋体" w:hAnsi="宋体" w:eastAsia="宋体" w:cs="宋体"/>
          <w:sz w:val="28"/>
          <w:szCs w:val="28"/>
        </w:rPr>
        <w:t>，现委托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（姓名）为我方代理人。代理人根据授权，以我方名义签署、澄清、说明、补正、递交、撤回、修改</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r>
        <w:rPr>
          <w:rFonts w:hint="eastAsia" w:ascii="宋体" w:hAnsi="宋体" w:eastAsia="宋体" w:cs="宋体"/>
          <w:sz w:val="28"/>
          <w:szCs w:val="28"/>
          <w:lang w:eastAsia="zh-CN"/>
        </w:rPr>
        <w:t>响应文件</w:t>
      </w:r>
      <w:r>
        <w:rPr>
          <w:rFonts w:hint="eastAsia" w:ascii="宋体" w:hAnsi="宋体" w:eastAsia="宋体" w:cs="宋体"/>
          <w:sz w:val="28"/>
          <w:szCs w:val="28"/>
        </w:rPr>
        <w:t>、签订合同和处理有关事宜，其法律后果由我方承担。</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委托期限：</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代理人无转委托权。</w:t>
      </w:r>
    </w:p>
    <w:tbl>
      <w:tblPr>
        <w:tblStyle w:val="38"/>
        <w:tblpPr w:leftFromText="180" w:rightFromText="180" w:vertAnchor="text" w:horzAnchor="margin" w:tblpY="4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4140"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附：法定代表人</w:t>
            </w:r>
            <w:r>
              <w:rPr>
                <w:rFonts w:hint="eastAsia" w:ascii="宋体" w:hAnsi="宋体" w:eastAsia="宋体" w:cs="宋体"/>
                <w:sz w:val="28"/>
                <w:szCs w:val="28"/>
                <w:lang w:eastAsia="zh-CN"/>
              </w:rPr>
              <w:t>（企业注册人）</w:t>
            </w:r>
            <w:r>
              <w:rPr>
                <w:rFonts w:hint="eastAsia" w:ascii="宋体" w:hAnsi="宋体" w:eastAsia="宋体" w:cs="宋体"/>
                <w:sz w:val="28"/>
                <w:szCs w:val="28"/>
              </w:rPr>
              <w:t xml:space="preserve">身份证（正反面）   </w:t>
            </w:r>
          </w:p>
        </w:tc>
      </w:tr>
    </w:tbl>
    <w:p>
      <w:pPr>
        <w:rPr>
          <w:rFonts w:hint="eastAsia" w:ascii="宋体" w:hAnsi="宋体" w:eastAsia="宋体" w:cs="宋体"/>
          <w:vanish/>
          <w:sz w:val="28"/>
          <w:szCs w:val="28"/>
        </w:rPr>
      </w:pPr>
    </w:p>
    <w:tbl>
      <w:tblPr>
        <w:tblStyle w:val="38"/>
        <w:tblpPr w:leftFromText="180" w:rightFromText="180" w:vertAnchor="text" w:horzAnchor="page" w:tblpX="5991" w:tblpY="4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040" w:type="dxa"/>
            <w:noWrap w:val="0"/>
            <w:vAlign w:val="top"/>
          </w:tcPr>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附：代理人身份证（正反面）</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（企业注册人）</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                                          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pStyle w:val="4"/>
        <w:jc w:val="center"/>
        <w:outlineLvl w:val="0"/>
        <w:rPr>
          <w:rFonts w:hint="eastAsia" w:ascii="宋体" w:hAnsi="宋体" w:eastAsia="宋体" w:cs="宋体"/>
          <w:b/>
          <w:szCs w:val="32"/>
          <w:lang w:val="zh-CN"/>
        </w:rPr>
      </w:pPr>
      <w:bookmarkStart w:id="116" w:name="_Toc23741"/>
      <w:bookmarkStart w:id="117" w:name="_Toc279996721"/>
      <w:r>
        <w:rPr>
          <w:rFonts w:hint="eastAsia" w:ascii="宋体" w:hAnsi="宋体" w:eastAsia="宋体" w:cs="宋体"/>
          <w:szCs w:val="32"/>
        </w:rPr>
        <w:t>二、</w:t>
      </w:r>
      <w:bookmarkStart w:id="118" w:name="_Toc487824949"/>
      <w:bookmarkStart w:id="119" w:name="_Toc414108644"/>
      <w:r>
        <w:rPr>
          <w:rFonts w:hint="eastAsia" w:ascii="宋体" w:hAnsi="宋体" w:eastAsia="宋体" w:cs="宋体"/>
          <w:szCs w:val="32"/>
          <w:lang w:val="zh-CN"/>
        </w:rPr>
        <w:t>法</w:t>
      </w:r>
      <w:r>
        <w:rPr>
          <w:rFonts w:hint="eastAsia" w:ascii="宋体" w:hAnsi="宋体" w:eastAsia="宋体" w:cs="宋体"/>
          <w:b/>
          <w:szCs w:val="32"/>
          <w:lang w:val="zh-CN"/>
        </w:rPr>
        <w:t>定代表人</w:t>
      </w:r>
      <w:r>
        <w:rPr>
          <w:rFonts w:hint="eastAsia" w:ascii="宋体" w:hAnsi="宋体" w:eastAsia="宋体" w:cs="宋体"/>
          <w:b/>
          <w:szCs w:val="32"/>
          <w:lang w:val="zh-CN" w:eastAsia="zh-CN"/>
        </w:rPr>
        <w:t>（企业注册人）</w:t>
      </w:r>
      <w:r>
        <w:rPr>
          <w:rFonts w:hint="eastAsia" w:ascii="宋体" w:hAnsi="宋体" w:eastAsia="宋体" w:cs="宋体"/>
          <w:b/>
          <w:szCs w:val="32"/>
          <w:lang w:val="zh-CN"/>
        </w:rPr>
        <w:t>身份证明书</w:t>
      </w:r>
      <w:bookmarkEnd w:id="116"/>
      <w:bookmarkEnd w:id="118"/>
      <w:bookmarkEnd w:id="119"/>
    </w:p>
    <w:p>
      <w:pPr>
        <w:autoSpaceDE w:val="0"/>
        <w:autoSpaceDN w:val="0"/>
        <w:adjustRightInd w:val="0"/>
        <w:rPr>
          <w:rFonts w:hint="eastAsia" w:ascii="宋体" w:hAnsi="宋体" w:eastAsia="宋体" w:cs="宋体"/>
          <w:szCs w:val="21"/>
        </w:rPr>
      </w:pPr>
    </w:p>
    <w:p>
      <w:pPr>
        <w:autoSpaceDE w:val="0"/>
        <w:autoSpaceDN w:val="0"/>
        <w:adjustRightInd w:val="0"/>
        <w:rPr>
          <w:rFonts w:hint="eastAsia" w:ascii="宋体" w:hAnsi="宋体" w:eastAsia="宋体" w:cs="宋体"/>
          <w:sz w:val="28"/>
          <w:szCs w:val="28"/>
        </w:rPr>
      </w:pPr>
    </w:p>
    <w:p>
      <w:pPr>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企业名称：</w:t>
      </w:r>
    </w:p>
    <w:p>
      <w:pPr>
        <w:topLinePunct/>
        <w:spacing w:line="360" w:lineRule="auto"/>
        <w:ind w:firstLine="480" w:firstLineChars="200"/>
        <w:rPr>
          <w:rFonts w:hint="eastAsia" w:ascii="宋体" w:hAnsi="宋体" w:eastAsia="宋体" w:cs="宋体"/>
          <w:sz w:val="24"/>
          <w:szCs w:val="24"/>
        </w:rPr>
      </w:pPr>
    </w:p>
    <w:p>
      <w:pPr>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企业类型：</w:t>
      </w:r>
    </w:p>
    <w:p>
      <w:pPr>
        <w:topLinePunct/>
        <w:spacing w:line="360" w:lineRule="auto"/>
        <w:ind w:firstLine="480" w:firstLineChars="200"/>
        <w:rPr>
          <w:rFonts w:hint="eastAsia" w:ascii="宋体" w:hAnsi="宋体" w:eastAsia="宋体" w:cs="宋体"/>
          <w:sz w:val="24"/>
          <w:szCs w:val="24"/>
        </w:rPr>
      </w:pPr>
    </w:p>
    <w:p>
      <w:pPr>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地址：</w:t>
      </w:r>
    </w:p>
    <w:p>
      <w:pPr>
        <w:topLinePunct/>
        <w:spacing w:line="360" w:lineRule="auto"/>
        <w:ind w:firstLine="480" w:firstLineChars="200"/>
        <w:rPr>
          <w:rFonts w:hint="eastAsia" w:ascii="宋体" w:hAnsi="宋体" w:eastAsia="宋体" w:cs="宋体"/>
          <w:sz w:val="24"/>
          <w:szCs w:val="24"/>
        </w:rPr>
      </w:pPr>
    </w:p>
    <w:p>
      <w:pPr>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营业期限：</w:t>
      </w:r>
    </w:p>
    <w:p>
      <w:pPr>
        <w:topLinePunct/>
        <w:spacing w:line="360" w:lineRule="auto"/>
        <w:ind w:firstLine="480" w:firstLineChars="200"/>
        <w:rPr>
          <w:rFonts w:hint="eastAsia" w:ascii="宋体" w:hAnsi="宋体" w:eastAsia="宋体" w:cs="宋体"/>
          <w:sz w:val="24"/>
          <w:szCs w:val="24"/>
        </w:rPr>
      </w:pPr>
    </w:p>
    <w:p>
      <w:pPr>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成立时间：</w:t>
      </w:r>
    </w:p>
    <w:p>
      <w:pPr>
        <w:topLinePunct/>
        <w:spacing w:line="360" w:lineRule="auto"/>
        <w:ind w:firstLine="480" w:firstLineChars="200"/>
        <w:rPr>
          <w:rFonts w:hint="eastAsia" w:ascii="宋体" w:hAnsi="宋体" w:eastAsia="宋体" w:cs="宋体"/>
          <w:sz w:val="24"/>
          <w:szCs w:val="24"/>
        </w:rPr>
      </w:pPr>
    </w:p>
    <w:p>
      <w:pPr>
        <w:topLinePunct/>
        <w:spacing w:line="360" w:lineRule="auto"/>
        <w:ind w:firstLine="480" w:firstLineChars="200"/>
        <w:rPr>
          <w:rFonts w:hint="eastAsia" w:ascii="宋体" w:hAnsi="宋体" w:eastAsia="宋体" w:cs="宋体"/>
          <w:sz w:val="24"/>
          <w:szCs w:val="24"/>
        </w:rPr>
      </w:pPr>
    </w:p>
    <w:p>
      <w:pPr>
        <w:topLinePunct/>
        <w:spacing w:line="360" w:lineRule="auto"/>
        <w:ind w:firstLine="480" w:firstLineChars="200"/>
        <w:rPr>
          <w:rFonts w:hint="eastAsia" w:ascii="宋体" w:hAnsi="宋体" w:eastAsia="宋体" w:cs="宋体"/>
          <w:sz w:val="24"/>
          <w:szCs w:val="24"/>
        </w:rPr>
      </w:pPr>
    </w:p>
    <w:p>
      <w:pPr>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姓名：性别：年龄：职务：</w:t>
      </w:r>
    </w:p>
    <w:p>
      <w:pPr>
        <w:topLinePunct/>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系（投标人名称）的法定代表人</w:t>
      </w:r>
      <w:r>
        <w:rPr>
          <w:rFonts w:hint="eastAsia" w:ascii="宋体" w:hAnsi="宋体" w:eastAsia="宋体" w:cs="宋体"/>
          <w:sz w:val="24"/>
          <w:szCs w:val="24"/>
          <w:lang w:val="zh-CN" w:eastAsia="zh-CN"/>
        </w:rPr>
        <w:t>（企业注册人）</w:t>
      </w:r>
      <w:r>
        <w:rPr>
          <w:rFonts w:hint="eastAsia" w:ascii="宋体" w:hAnsi="宋体" w:eastAsia="宋体" w:cs="宋体"/>
          <w:sz w:val="24"/>
          <w:szCs w:val="24"/>
          <w:lang w:val="zh-CN"/>
        </w:rPr>
        <w:t>。</w:t>
      </w:r>
    </w:p>
    <w:p>
      <w:pPr>
        <w:topLinePunct/>
        <w:spacing w:line="360" w:lineRule="auto"/>
        <w:ind w:firstLine="480" w:firstLineChars="200"/>
        <w:rPr>
          <w:rFonts w:hint="eastAsia" w:ascii="宋体" w:hAnsi="宋体" w:eastAsia="宋体" w:cs="宋体"/>
          <w:sz w:val="24"/>
          <w:szCs w:val="24"/>
        </w:rPr>
      </w:pPr>
    </w:p>
    <w:p>
      <w:pPr>
        <w:topLinePunct/>
        <w:spacing w:line="360" w:lineRule="auto"/>
        <w:ind w:firstLine="480" w:firstLineChars="200"/>
        <w:rPr>
          <w:rFonts w:hint="eastAsia" w:ascii="宋体" w:hAnsi="宋体" w:eastAsia="宋体" w:cs="宋体"/>
          <w:sz w:val="24"/>
          <w:szCs w:val="24"/>
        </w:rPr>
      </w:pPr>
    </w:p>
    <w:p>
      <w:pPr>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特此证明。</w:t>
      </w:r>
    </w:p>
    <w:p>
      <w:pPr>
        <w:topLinePunct/>
        <w:spacing w:line="360" w:lineRule="auto"/>
        <w:ind w:firstLine="480" w:firstLineChars="200"/>
        <w:rPr>
          <w:rFonts w:hint="eastAsia" w:ascii="宋体" w:hAnsi="宋体" w:eastAsia="宋体" w:cs="宋体"/>
          <w:sz w:val="24"/>
          <w:szCs w:val="24"/>
        </w:rPr>
      </w:pPr>
    </w:p>
    <w:p>
      <w:pPr>
        <w:topLinePunct/>
        <w:spacing w:line="360" w:lineRule="auto"/>
        <w:ind w:firstLine="480" w:firstLineChars="200"/>
        <w:rPr>
          <w:rFonts w:hint="eastAsia" w:ascii="宋体" w:hAnsi="宋体" w:eastAsia="宋体" w:cs="宋体"/>
          <w:sz w:val="24"/>
          <w:szCs w:val="24"/>
        </w:rPr>
      </w:pPr>
    </w:p>
    <w:p>
      <w:pPr>
        <w:topLinePunct/>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lang w:val="zh-CN"/>
        </w:rPr>
        <w:t>投标人：（盖章）</w:t>
      </w:r>
    </w:p>
    <w:p>
      <w:pPr>
        <w:topLinePunct/>
        <w:spacing w:line="360" w:lineRule="auto"/>
        <w:ind w:firstLine="480" w:firstLineChars="200"/>
        <w:rPr>
          <w:rFonts w:hint="eastAsia" w:ascii="宋体" w:hAnsi="宋体" w:eastAsia="宋体" w:cs="宋体"/>
          <w:sz w:val="24"/>
          <w:szCs w:val="24"/>
          <w:lang w:val="zh-CN"/>
        </w:rPr>
      </w:pPr>
    </w:p>
    <w:p>
      <w:pPr>
        <w:topLinePunct/>
        <w:spacing w:line="360" w:lineRule="auto"/>
        <w:ind w:firstLine="480" w:firstLineChars="200"/>
        <w:rPr>
          <w:rFonts w:hint="eastAsia" w:ascii="宋体" w:hAnsi="宋体" w:eastAsia="宋体" w:cs="宋体"/>
          <w:sz w:val="24"/>
          <w:szCs w:val="24"/>
          <w:lang w:val="zh-CN"/>
        </w:rPr>
      </w:pPr>
    </w:p>
    <w:p>
      <w:pPr>
        <w:topLinePunct/>
        <w:spacing w:line="360" w:lineRule="auto"/>
        <w:ind w:firstLine="4320" w:firstLineChars="1800"/>
        <w:rPr>
          <w:rFonts w:hint="eastAsia" w:ascii="宋体" w:hAnsi="宋体" w:eastAsia="宋体" w:cs="宋体"/>
          <w:sz w:val="24"/>
          <w:szCs w:val="24"/>
          <w:lang w:val="zh-CN"/>
        </w:rPr>
      </w:pPr>
      <w:r>
        <w:rPr>
          <w:rFonts w:hint="eastAsia" w:ascii="宋体" w:hAnsi="宋体" w:eastAsia="宋体" w:cs="宋体"/>
          <w:sz w:val="24"/>
          <w:szCs w:val="24"/>
          <w:lang w:val="zh-CN"/>
        </w:rPr>
        <w:t>日期：</w:t>
      </w:r>
      <w:r>
        <w:rPr>
          <w:rFonts w:hint="eastAsia" w:ascii="宋体" w:hAnsi="宋体" w:eastAsia="宋体" w:cs="宋体"/>
          <w:sz w:val="24"/>
          <w:szCs w:val="24"/>
        </w:rPr>
        <w:t xml:space="preserve">   </w:t>
      </w:r>
      <w:r>
        <w:rPr>
          <w:rFonts w:hint="eastAsia" w:ascii="宋体" w:hAnsi="宋体" w:eastAsia="宋体" w:cs="宋体"/>
          <w:sz w:val="24"/>
          <w:szCs w:val="24"/>
          <w:lang w:val="zh-CN"/>
        </w:rPr>
        <w:t>年</w:t>
      </w:r>
      <w:r>
        <w:rPr>
          <w:rFonts w:hint="eastAsia" w:ascii="宋体" w:hAnsi="宋体" w:eastAsia="宋体" w:cs="宋体"/>
          <w:sz w:val="24"/>
          <w:szCs w:val="24"/>
        </w:rPr>
        <w:t xml:space="preserve">    </w:t>
      </w:r>
      <w:r>
        <w:rPr>
          <w:rFonts w:hint="eastAsia" w:ascii="宋体" w:hAnsi="宋体" w:eastAsia="宋体" w:cs="宋体"/>
          <w:sz w:val="24"/>
          <w:szCs w:val="24"/>
          <w:lang w:val="zh-CN"/>
        </w:rPr>
        <w:t>月</w:t>
      </w:r>
      <w:r>
        <w:rPr>
          <w:rFonts w:hint="eastAsia" w:ascii="宋体" w:hAnsi="宋体" w:eastAsia="宋体" w:cs="宋体"/>
          <w:sz w:val="24"/>
          <w:szCs w:val="24"/>
        </w:rPr>
        <w:t xml:space="preserve">  </w:t>
      </w:r>
      <w:r>
        <w:rPr>
          <w:rFonts w:hint="eastAsia" w:ascii="宋体" w:hAnsi="宋体" w:eastAsia="宋体" w:cs="宋体"/>
          <w:sz w:val="24"/>
          <w:szCs w:val="24"/>
          <w:lang w:val="zh-CN"/>
        </w:rPr>
        <w:t>日</w:t>
      </w:r>
    </w:p>
    <w:p>
      <w:pPr>
        <w:topLinePunct/>
        <w:spacing w:line="360" w:lineRule="auto"/>
        <w:ind w:firstLine="4320" w:firstLineChars="1800"/>
        <w:rPr>
          <w:rFonts w:hint="eastAsia" w:ascii="宋体" w:hAnsi="宋体" w:eastAsia="宋体" w:cs="宋体"/>
          <w:sz w:val="24"/>
          <w:szCs w:val="24"/>
          <w:lang w:val="zh-CN"/>
        </w:rPr>
      </w:pPr>
    </w:p>
    <w:p>
      <w:pPr>
        <w:pStyle w:val="4"/>
        <w:spacing w:line="400" w:lineRule="exact"/>
        <w:jc w:val="center"/>
        <w:outlineLvl w:val="0"/>
        <w:rPr>
          <w:rFonts w:hint="eastAsia" w:ascii="宋体" w:hAnsi="宋体" w:eastAsia="宋体" w:cs="宋体"/>
          <w:sz w:val="32"/>
          <w:szCs w:val="32"/>
        </w:rPr>
      </w:pPr>
      <w:bookmarkStart w:id="120" w:name="_Toc22501"/>
      <w:bookmarkStart w:id="121" w:name="_Toc10092"/>
      <w:r>
        <w:rPr>
          <w:rFonts w:hint="eastAsia" w:ascii="宋体" w:hAnsi="宋体" w:eastAsia="宋体" w:cs="宋体"/>
          <w:sz w:val="32"/>
          <w:szCs w:val="32"/>
        </w:rPr>
        <w:t>三、</w:t>
      </w:r>
      <w:r>
        <w:rPr>
          <w:rFonts w:hint="eastAsia" w:ascii="宋体" w:hAnsi="宋体" w:eastAsia="宋体" w:cs="宋体"/>
          <w:sz w:val="32"/>
          <w:szCs w:val="32"/>
          <w:lang w:eastAsia="zh-CN"/>
        </w:rPr>
        <w:t>响应</w:t>
      </w:r>
      <w:r>
        <w:rPr>
          <w:rFonts w:hint="eastAsia" w:ascii="宋体" w:hAnsi="宋体" w:eastAsia="宋体" w:cs="宋体"/>
          <w:sz w:val="32"/>
          <w:szCs w:val="32"/>
        </w:rPr>
        <w:t>函</w:t>
      </w:r>
      <w:bookmarkEnd w:id="111"/>
      <w:bookmarkEnd w:id="117"/>
      <w:bookmarkEnd w:id="120"/>
      <w:bookmarkEnd w:id="121"/>
    </w:p>
    <w:p>
      <w:pPr>
        <w:spacing w:line="360" w:lineRule="auto"/>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（采购人名称）：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（项目名称）竞争性谈判文件的全部内容，愿意按合同约定实施和完成承包项目，修补项目中的任何缺陷，质量要求达到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2．我方承诺在</w:t>
      </w:r>
      <w:r>
        <w:rPr>
          <w:rFonts w:hint="eastAsia" w:ascii="宋体" w:hAnsi="宋体" w:eastAsia="宋体" w:cs="宋体"/>
          <w:sz w:val="24"/>
          <w:szCs w:val="24"/>
          <w:lang w:eastAsia="zh-CN"/>
        </w:rPr>
        <w:t>投标人</w:t>
      </w:r>
      <w:r>
        <w:rPr>
          <w:rFonts w:hint="eastAsia" w:ascii="宋体" w:hAnsi="宋体" w:eastAsia="宋体" w:cs="宋体"/>
          <w:sz w:val="24"/>
          <w:szCs w:val="24"/>
        </w:rPr>
        <w:t>有效期内不修改、撤销</w:t>
      </w:r>
      <w:r>
        <w:rPr>
          <w:rFonts w:hint="eastAsia" w:ascii="宋体" w:hAnsi="宋体" w:eastAsia="宋体" w:cs="宋体"/>
          <w:sz w:val="24"/>
          <w:szCs w:val="24"/>
          <w:lang w:eastAsia="zh-CN"/>
        </w:rPr>
        <w:t>响应文件</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3．随同本</w:t>
      </w:r>
      <w:r>
        <w:rPr>
          <w:rFonts w:hint="eastAsia" w:ascii="宋体" w:hAnsi="宋体" w:eastAsia="宋体" w:cs="宋体"/>
          <w:sz w:val="24"/>
          <w:szCs w:val="24"/>
          <w:lang w:eastAsia="zh-CN"/>
        </w:rPr>
        <w:t>投标人</w:t>
      </w:r>
      <w:r>
        <w:rPr>
          <w:rFonts w:hint="eastAsia" w:ascii="宋体" w:hAnsi="宋体" w:eastAsia="宋体" w:cs="宋体"/>
          <w:sz w:val="24"/>
          <w:szCs w:val="24"/>
        </w:rPr>
        <w:t>函提交</w:t>
      </w:r>
      <w:r>
        <w:rPr>
          <w:rFonts w:hint="eastAsia" w:ascii="宋体" w:hAnsi="宋体" w:eastAsia="宋体" w:cs="宋体"/>
          <w:sz w:val="24"/>
          <w:szCs w:val="24"/>
          <w:lang w:eastAsia="zh-CN"/>
        </w:rPr>
        <w:t>投标人</w:t>
      </w:r>
      <w:r>
        <w:rPr>
          <w:rFonts w:hint="eastAsia" w:ascii="宋体" w:hAnsi="宋体" w:eastAsia="宋体" w:cs="宋体"/>
          <w:sz w:val="24"/>
          <w:szCs w:val="24"/>
        </w:rPr>
        <w:t>保证金一份，金额为人民币（大写）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4．如我方中标：</w:t>
      </w: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rPr>
        <w:t>（1）我方承诺在收到成交通知书后，在成交通知书规定的期限内与你方签订合同。</w:t>
      </w: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rPr>
        <w:t>（2）随同本</w:t>
      </w:r>
      <w:r>
        <w:rPr>
          <w:rFonts w:hint="eastAsia" w:ascii="宋体" w:hAnsi="宋体" w:eastAsia="宋体" w:cs="宋体"/>
          <w:sz w:val="24"/>
          <w:szCs w:val="24"/>
          <w:lang w:eastAsia="zh-CN"/>
        </w:rPr>
        <w:t>投标人</w:t>
      </w:r>
      <w:r>
        <w:rPr>
          <w:rFonts w:hint="eastAsia" w:ascii="宋体" w:hAnsi="宋体" w:eastAsia="宋体" w:cs="宋体"/>
          <w:sz w:val="24"/>
          <w:szCs w:val="24"/>
        </w:rPr>
        <w:t>函递交的</w:t>
      </w:r>
      <w:r>
        <w:rPr>
          <w:rFonts w:hint="eastAsia" w:ascii="宋体" w:hAnsi="宋体" w:eastAsia="宋体" w:cs="宋体"/>
          <w:sz w:val="24"/>
          <w:szCs w:val="24"/>
          <w:lang w:eastAsia="zh-CN"/>
        </w:rPr>
        <w:t>投标人</w:t>
      </w:r>
      <w:r>
        <w:rPr>
          <w:rFonts w:hint="eastAsia" w:ascii="宋体" w:hAnsi="宋体" w:eastAsia="宋体" w:cs="宋体"/>
          <w:sz w:val="24"/>
          <w:szCs w:val="24"/>
        </w:rPr>
        <w:t>函附录属于合同文件的组成部分。</w:t>
      </w: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rPr>
        <w:t>（3）我方承诺按照竞争性谈判文件规定向你方递交履约担保。</w:t>
      </w:r>
    </w:p>
    <w:p>
      <w:pPr>
        <w:spacing w:line="360" w:lineRule="auto"/>
        <w:ind w:left="479" w:leftChars="228"/>
        <w:rPr>
          <w:rFonts w:hint="eastAsia" w:ascii="宋体" w:hAnsi="宋体" w:eastAsia="宋体" w:cs="宋体"/>
          <w:sz w:val="24"/>
          <w:szCs w:val="24"/>
        </w:rPr>
      </w:pPr>
      <w:r>
        <w:rPr>
          <w:rFonts w:hint="eastAsia" w:ascii="宋体" w:hAnsi="宋体" w:eastAsia="宋体" w:cs="宋体"/>
          <w:sz w:val="24"/>
          <w:szCs w:val="24"/>
        </w:rPr>
        <w:t>5．我方在此声明，所递交的</w:t>
      </w:r>
      <w:r>
        <w:rPr>
          <w:rFonts w:hint="eastAsia" w:ascii="宋体" w:hAnsi="宋体" w:eastAsia="宋体" w:cs="宋体"/>
          <w:sz w:val="24"/>
          <w:szCs w:val="24"/>
          <w:lang w:eastAsia="zh-CN"/>
        </w:rPr>
        <w:t>响应文件</w:t>
      </w:r>
      <w:r>
        <w:rPr>
          <w:rFonts w:hint="eastAsia" w:ascii="宋体" w:hAnsi="宋体" w:eastAsia="宋体" w:cs="宋体"/>
          <w:sz w:val="24"/>
          <w:szCs w:val="24"/>
        </w:rPr>
        <w:t>及有关资料内容完整、真实和准确。 6．</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spacing w:line="360" w:lineRule="auto"/>
        <w:ind w:left="479" w:leftChars="228"/>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（单位盖章）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lang w:eastAsia="zh-CN"/>
        </w:rPr>
        <w:t>（企业注册人）</w:t>
      </w: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pPr>
        <w:spacing w:line="360" w:lineRule="auto"/>
        <w:ind w:firstLine="1200" w:firstLineChars="500"/>
        <w:rPr>
          <w:rFonts w:hint="eastAsia" w:ascii="宋体" w:hAnsi="宋体" w:eastAsia="宋体" w:cs="宋体"/>
          <w:sz w:val="24"/>
          <w:szCs w:val="21"/>
          <w:u w:val="single"/>
        </w:rPr>
      </w:pPr>
    </w:p>
    <w:p>
      <w:pPr>
        <w:pStyle w:val="22"/>
        <w:wordWrap w:val="0"/>
        <w:spacing w:line="400" w:lineRule="exact"/>
        <w:ind w:firstLine="480" w:firstLineChars="200"/>
        <w:jc w:val="right"/>
        <w:rPr>
          <w:rFonts w:hint="eastAsia" w:ascii="宋体" w:hAnsi="宋体" w:eastAsia="宋体" w:cs="宋体"/>
          <w:bCs/>
          <w:sz w:val="24"/>
          <w:szCs w:val="24"/>
        </w:rPr>
      </w:pP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pPr>
        <w:pStyle w:val="4"/>
        <w:jc w:val="center"/>
        <w:outlineLvl w:val="0"/>
        <w:rPr>
          <w:rFonts w:hint="eastAsia" w:ascii="宋体" w:hAnsi="宋体" w:eastAsia="宋体" w:cs="宋体"/>
          <w:szCs w:val="32"/>
        </w:rPr>
      </w:pPr>
      <w:bookmarkStart w:id="122" w:name="_Toc275468080"/>
      <w:bookmarkStart w:id="123" w:name="_Toc217446084"/>
      <w:bookmarkStart w:id="124" w:name="_Toc279996722"/>
      <w:r>
        <w:rPr>
          <w:rFonts w:hint="eastAsia" w:ascii="宋体" w:hAnsi="宋体" w:eastAsia="宋体" w:cs="宋体"/>
          <w:szCs w:val="28"/>
        </w:rPr>
        <w:br w:type="page"/>
      </w:r>
      <w:bookmarkEnd w:id="122"/>
      <w:bookmarkEnd w:id="123"/>
      <w:bookmarkEnd w:id="124"/>
      <w:bookmarkStart w:id="125" w:name="_Toc487824947"/>
      <w:bookmarkStart w:id="126" w:name="_Toc414108642"/>
      <w:bookmarkStart w:id="127" w:name="_Toc27957"/>
      <w:bookmarkStart w:id="128" w:name="_Toc279996723"/>
      <w:r>
        <w:rPr>
          <w:rFonts w:hint="eastAsia" w:ascii="宋体" w:hAnsi="宋体" w:eastAsia="宋体" w:cs="宋体"/>
          <w:szCs w:val="32"/>
        </w:rPr>
        <w:t>四、</w:t>
      </w:r>
      <w:r>
        <w:rPr>
          <w:rFonts w:hint="eastAsia" w:ascii="宋体" w:hAnsi="宋体" w:eastAsia="宋体" w:cs="宋体"/>
          <w:szCs w:val="32"/>
          <w:lang w:val="zh-CN"/>
        </w:rPr>
        <w:t>投标人承诺书</w:t>
      </w:r>
      <w:bookmarkEnd w:id="125"/>
      <w:bookmarkEnd w:id="126"/>
      <w:bookmarkEnd w:id="127"/>
    </w:p>
    <w:p>
      <w:pPr>
        <w:autoSpaceDE w:val="0"/>
        <w:autoSpaceDN w:val="0"/>
        <w:adjustRightInd w:val="0"/>
        <w:rPr>
          <w:rFonts w:hint="eastAsia" w:ascii="宋体" w:hAnsi="宋体" w:eastAsia="宋体" w:cs="宋体"/>
          <w:szCs w:val="21"/>
        </w:rPr>
      </w:pPr>
    </w:p>
    <w:p>
      <w:pPr>
        <w:spacing w:line="360" w:lineRule="auto"/>
        <w:rPr>
          <w:rFonts w:hint="eastAsia" w:ascii="宋体" w:hAnsi="宋体" w:eastAsia="宋体" w:cs="宋体"/>
          <w:sz w:val="24"/>
          <w:szCs w:val="24"/>
        </w:rPr>
      </w:pPr>
      <w:r>
        <w:rPr>
          <w:rFonts w:hint="eastAsia" w:ascii="宋体" w:hAnsi="宋体" w:eastAsia="宋体" w:cs="宋体"/>
          <w:sz w:val="28"/>
          <w:szCs w:val="28"/>
          <w:u w:val="single"/>
        </w:rPr>
        <w:t xml:space="preserve">                        </w:t>
      </w:r>
      <w:r>
        <w:rPr>
          <w:rFonts w:hint="eastAsia" w:ascii="宋体" w:hAnsi="宋体" w:eastAsia="宋体" w:cs="宋体"/>
          <w:sz w:val="28"/>
          <w:szCs w:val="28"/>
        </w:rPr>
        <w:t>（采购人名称）</w:t>
      </w:r>
      <w:r>
        <w:rPr>
          <w:rFonts w:hint="eastAsia" w:ascii="宋体" w:hAnsi="宋体" w:eastAsia="宋体" w:cs="宋体"/>
          <w:sz w:val="24"/>
          <w:szCs w:val="24"/>
          <w:lang w:val="zh-CN"/>
        </w:rPr>
        <w:t>：</w:t>
      </w:r>
    </w:p>
    <w:p>
      <w:pPr>
        <w:spacing w:line="360" w:lineRule="auto"/>
        <w:ind w:firstLine="820" w:firstLineChars="342"/>
        <w:rPr>
          <w:rFonts w:hint="eastAsia" w:ascii="宋体" w:hAnsi="宋体" w:eastAsia="宋体" w:cs="宋体"/>
          <w:sz w:val="24"/>
          <w:szCs w:val="24"/>
        </w:rPr>
      </w:pP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、根据已收到的本项目的竞争性谈判文件，我单位经考察现场和研究贵方的文件后，将接受该项目竞争性谈判文件中各条款内容并且以所报投标人价格承包本谈判范围内的项目。</w:t>
      </w: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、如果我方中标，非业主原因，我方保证将在下列日期内完工。</w:t>
      </w: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lang w:val="zh-CN"/>
        </w:rPr>
        <w:t>完工期：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、如果我方中标，非业主原因，我方保证将按下列质量等级完成本项目。</w:t>
      </w: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lang w:val="zh-CN"/>
        </w:rPr>
        <w:t>质量等级：</w:t>
      </w:r>
      <w:r>
        <w:rPr>
          <w:rFonts w:hint="eastAsia" w:ascii="宋体" w:hAnsi="宋体" w:eastAsia="宋体" w:cs="宋体"/>
          <w:sz w:val="24"/>
          <w:szCs w:val="24"/>
        </w:rPr>
        <w:t xml:space="preserve">    </w:t>
      </w: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zh-CN"/>
        </w:rPr>
        <w:t>、如果我方中标，我方将按竞争性谈判文件规定的时间内签订承包合同。如果我方违约，除投标人保证金外，我方还将以中标价</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zh-CN"/>
        </w:rPr>
        <w:t>作为赔偿金，同时贵方有权终止我方中标并选择其它成交人。</w:t>
      </w: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zh-CN"/>
        </w:rPr>
        <w:t>、贵方的竞争性谈判文件、成交通知书、我方的响应文件将构成约束双方的合同一部分。</w:t>
      </w: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rPr>
        <w:t>、如果我方未中标，贵方没有必要对我方做出任何解释和说明，我方将充分尊重和理解贵方的选择。</w:t>
      </w: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lang w:val="zh-CN"/>
        </w:rPr>
        <w:t>投标人：（盖章）</w:t>
      </w:r>
    </w:p>
    <w:p>
      <w:pPr>
        <w:spacing w:line="360" w:lineRule="auto"/>
        <w:rPr>
          <w:rFonts w:hint="eastAsia" w:ascii="宋体" w:hAnsi="宋体" w:eastAsia="宋体" w:cs="宋体"/>
          <w:sz w:val="24"/>
          <w:szCs w:val="24"/>
          <w:lang w:val="zh-CN"/>
        </w:rPr>
      </w:pPr>
    </w:p>
    <w:p>
      <w:pPr>
        <w:spacing w:line="360" w:lineRule="auto"/>
        <w:ind w:firstLine="820" w:firstLineChars="342"/>
        <w:rPr>
          <w:rFonts w:hint="eastAsia" w:ascii="宋体" w:hAnsi="宋体" w:eastAsia="宋体" w:cs="宋体"/>
          <w:sz w:val="24"/>
          <w:szCs w:val="24"/>
          <w:lang w:val="zh-CN"/>
        </w:rPr>
      </w:pPr>
      <w:r>
        <w:rPr>
          <w:rFonts w:hint="eastAsia" w:ascii="宋体" w:hAnsi="宋体" w:eastAsia="宋体" w:cs="宋体"/>
          <w:sz w:val="24"/>
          <w:szCs w:val="24"/>
          <w:lang w:val="zh-CN"/>
        </w:rPr>
        <w:t>法定代表人</w:t>
      </w:r>
      <w:r>
        <w:rPr>
          <w:rFonts w:hint="eastAsia" w:ascii="宋体" w:hAnsi="宋体" w:eastAsia="宋体" w:cs="宋体"/>
          <w:sz w:val="24"/>
          <w:szCs w:val="24"/>
          <w:lang w:val="zh-CN" w:eastAsia="zh-CN"/>
        </w:rPr>
        <w:t>（企业注册人）</w:t>
      </w:r>
      <w:r>
        <w:rPr>
          <w:rFonts w:hint="eastAsia" w:ascii="宋体" w:hAnsi="宋体" w:eastAsia="宋体" w:cs="宋体"/>
          <w:sz w:val="24"/>
          <w:szCs w:val="24"/>
          <w:lang w:val="zh-CN"/>
        </w:rPr>
        <w:t>或委托代理人：（盖章）</w:t>
      </w:r>
    </w:p>
    <w:p>
      <w:pPr>
        <w:spacing w:line="360" w:lineRule="auto"/>
        <w:ind w:firstLine="820" w:firstLineChars="342"/>
        <w:rPr>
          <w:rFonts w:hint="eastAsia" w:ascii="宋体" w:hAnsi="宋体" w:eastAsia="宋体" w:cs="宋体"/>
          <w:sz w:val="24"/>
          <w:szCs w:val="24"/>
        </w:rPr>
      </w:pPr>
    </w:p>
    <w:p>
      <w:pPr>
        <w:spacing w:line="360" w:lineRule="auto"/>
        <w:ind w:firstLine="820" w:firstLineChars="342"/>
        <w:rPr>
          <w:rFonts w:hint="eastAsia" w:ascii="宋体" w:hAnsi="宋体" w:eastAsia="宋体" w:cs="宋体"/>
          <w:bCs/>
          <w:sz w:val="24"/>
          <w:szCs w:val="24"/>
        </w:rPr>
      </w:pPr>
      <w:r>
        <w:rPr>
          <w:rFonts w:hint="eastAsia" w:ascii="宋体" w:hAnsi="宋体" w:eastAsia="宋体" w:cs="宋体"/>
          <w:sz w:val="24"/>
          <w:szCs w:val="24"/>
          <w:lang w:val="zh-CN"/>
        </w:rPr>
        <w:t>日期：</w:t>
      </w:r>
      <w:r>
        <w:rPr>
          <w:rFonts w:hint="eastAsia" w:ascii="宋体" w:hAnsi="宋体" w:eastAsia="宋体" w:cs="宋体"/>
          <w:sz w:val="24"/>
          <w:szCs w:val="24"/>
        </w:rPr>
        <w:t xml:space="preserve">   </w:t>
      </w:r>
      <w:r>
        <w:rPr>
          <w:rFonts w:hint="eastAsia" w:ascii="宋体" w:hAnsi="宋体" w:eastAsia="宋体" w:cs="宋体"/>
          <w:sz w:val="24"/>
          <w:szCs w:val="24"/>
          <w:lang w:val="zh-CN"/>
        </w:rPr>
        <w:t>年</w:t>
      </w:r>
      <w:r>
        <w:rPr>
          <w:rFonts w:hint="eastAsia" w:ascii="宋体" w:hAnsi="宋体" w:eastAsia="宋体" w:cs="宋体"/>
          <w:sz w:val="24"/>
          <w:szCs w:val="24"/>
        </w:rPr>
        <w:t xml:space="preserve">   </w:t>
      </w:r>
      <w:r>
        <w:rPr>
          <w:rFonts w:hint="eastAsia" w:ascii="宋体" w:hAnsi="宋体" w:eastAsia="宋体" w:cs="宋体"/>
          <w:sz w:val="24"/>
          <w:szCs w:val="24"/>
          <w:lang w:val="zh-CN"/>
        </w:rPr>
        <w:t>月</w:t>
      </w:r>
      <w:r>
        <w:rPr>
          <w:rFonts w:hint="eastAsia" w:ascii="宋体" w:hAnsi="宋体" w:eastAsia="宋体" w:cs="宋体"/>
          <w:sz w:val="24"/>
          <w:szCs w:val="24"/>
        </w:rPr>
        <w:t xml:space="preserve">   </w:t>
      </w:r>
      <w:r>
        <w:rPr>
          <w:rFonts w:hint="eastAsia" w:ascii="宋体" w:hAnsi="宋体" w:eastAsia="宋体" w:cs="宋体"/>
          <w:sz w:val="24"/>
          <w:szCs w:val="24"/>
          <w:lang w:val="zh-CN"/>
        </w:rPr>
        <w:t>日</w:t>
      </w:r>
    </w:p>
    <w:p>
      <w:pPr>
        <w:pStyle w:val="5"/>
        <w:spacing w:line="400" w:lineRule="exact"/>
        <w:jc w:val="both"/>
        <w:outlineLvl w:val="9"/>
        <w:rPr>
          <w:rFonts w:hint="eastAsia" w:ascii="宋体" w:hAnsi="宋体" w:eastAsia="宋体" w:cs="宋体"/>
          <w:bCs/>
          <w:sz w:val="32"/>
          <w:szCs w:val="32"/>
          <w:lang w:eastAsia="zh-CN"/>
        </w:rPr>
      </w:pPr>
    </w:p>
    <w:p>
      <w:pPr>
        <w:rPr>
          <w:rFonts w:hint="eastAsia" w:ascii="宋体" w:hAnsi="宋体" w:eastAsia="宋体" w:cs="宋体"/>
          <w:bCs/>
          <w:sz w:val="32"/>
          <w:szCs w:val="32"/>
          <w:lang w:eastAsia="zh-CN"/>
        </w:rPr>
      </w:pPr>
    </w:p>
    <w:p>
      <w:pPr>
        <w:rPr>
          <w:rFonts w:hint="eastAsia" w:ascii="宋体" w:hAnsi="宋体" w:eastAsia="宋体" w:cs="宋体"/>
          <w:bCs/>
          <w:sz w:val="32"/>
          <w:szCs w:val="32"/>
          <w:lang w:eastAsia="zh-CN"/>
        </w:rPr>
      </w:pPr>
    </w:p>
    <w:p>
      <w:pPr>
        <w:spacing w:line="360" w:lineRule="auto"/>
        <w:ind w:firstLine="627" w:firstLineChars="196"/>
        <w:jc w:val="center"/>
        <w:outlineLvl w:val="0"/>
        <w:rPr>
          <w:rFonts w:hint="default" w:ascii="宋体" w:hAnsi="宋体" w:eastAsia="宋体" w:cs="宋体"/>
          <w:b/>
          <w:bCs w:val="0"/>
          <w:sz w:val="32"/>
          <w:szCs w:val="32"/>
          <w:lang w:val="en-US" w:eastAsia="zh-CN"/>
        </w:rPr>
      </w:pPr>
      <w:bookmarkStart w:id="129" w:name="_Toc10362"/>
      <w:r>
        <w:rPr>
          <w:rFonts w:hint="eastAsia" w:ascii="宋体" w:hAnsi="宋体" w:eastAsia="宋体" w:cs="宋体"/>
          <w:bCs/>
          <w:sz w:val="32"/>
          <w:szCs w:val="32"/>
        </w:rPr>
        <w:br w:type="page"/>
      </w:r>
      <w:bookmarkStart w:id="130" w:name="_Toc7946"/>
      <w:r>
        <w:rPr>
          <w:rFonts w:hint="eastAsia" w:ascii="宋体" w:hAnsi="宋体" w:eastAsia="宋体" w:cs="宋体"/>
          <w:b/>
          <w:bCs w:val="0"/>
          <w:sz w:val="32"/>
          <w:szCs w:val="32"/>
          <w:lang w:eastAsia="zh-CN"/>
        </w:rPr>
        <w:t>五、</w:t>
      </w:r>
      <w:r>
        <w:rPr>
          <w:rFonts w:hint="eastAsia" w:ascii="宋体" w:hAnsi="宋体" w:eastAsia="宋体" w:cs="宋体"/>
          <w:b/>
          <w:bCs w:val="0"/>
          <w:sz w:val="32"/>
          <w:szCs w:val="32"/>
          <w:lang w:val="en-US" w:eastAsia="zh-CN"/>
        </w:rPr>
        <w:t>承诺及声明函</w:t>
      </w:r>
      <w:bookmarkEnd w:id="130"/>
    </w:p>
    <w:p>
      <w:pPr>
        <w:spacing w:line="360" w:lineRule="auto"/>
        <w:ind w:firstLine="630" w:firstLineChars="196"/>
        <w:jc w:val="center"/>
        <w:rPr>
          <w:rFonts w:hint="eastAsia" w:ascii="宋体" w:hAnsi="宋体" w:eastAsia="宋体" w:cs="宋体"/>
          <w:b w:val="0"/>
          <w:bCs/>
          <w:kern w:val="0"/>
          <w:sz w:val="24"/>
          <w:szCs w:val="24"/>
          <w:lang w:eastAsia="zh-CN"/>
        </w:rPr>
      </w:pPr>
      <w:r>
        <w:rPr>
          <w:rFonts w:hint="eastAsia" w:ascii="宋体" w:hAnsi="宋体" w:eastAsia="宋体" w:cs="宋体"/>
          <w:b/>
          <w:bCs w:val="0"/>
          <w:sz w:val="32"/>
          <w:szCs w:val="32"/>
          <w:lang w:val="en-US" w:eastAsia="zh-CN"/>
        </w:rPr>
        <w:t>5.1</w:t>
      </w:r>
      <w:r>
        <w:rPr>
          <w:rFonts w:hint="eastAsia" w:ascii="宋体" w:hAnsi="宋体" w:eastAsia="宋体" w:cs="宋体"/>
          <w:b/>
          <w:bCs w:val="0"/>
          <w:kern w:val="0"/>
          <w:sz w:val="32"/>
          <w:szCs w:val="32"/>
          <w:lang w:eastAsia="zh-CN"/>
        </w:rPr>
        <w:t>政府采购诚信承诺书</w:t>
      </w:r>
      <w:r>
        <w:rPr>
          <w:rFonts w:hint="eastAsia" w:ascii="宋体" w:hAnsi="宋体" w:eastAsia="宋体" w:cs="宋体"/>
          <w:b w:val="0"/>
          <w:bCs/>
          <w:kern w:val="0"/>
          <w:sz w:val="24"/>
          <w:szCs w:val="24"/>
          <w:lang w:eastAsia="zh-CN"/>
        </w:rPr>
        <w:t> </w:t>
      </w:r>
    </w:p>
    <w:p>
      <w:pPr>
        <w:spacing w:line="360" w:lineRule="auto"/>
        <w:ind w:firstLine="470" w:firstLineChars="196"/>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（采购人）： </w:t>
      </w:r>
    </w:p>
    <w:p>
      <w:pPr>
        <w:spacing w:line="360" w:lineRule="auto"/>
        <w:ind w:firstLine="470" w:firstLineChars="196"/>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我公司（供应商名称）已详细阅读了项目（项目编号：）谈判文件，自愿参加本次谈判，现就有关事项郑重承诺如下： </w:t>
      </w:r>
    </w:p>
    <w:p>
      <w:pPr>
        <w:spacing w:line="360" w:lineRule="auto"/>
        <w:ind w:firstLine="470" w:firstLineChars="196"/>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一、诚信报价，材料真实。我公司保证所提供的全部材料、投标内容均真实、合法、有效，保证不出借或者借用其他企业资质，不以他人名义报价，不弄虚作假；未列入失信被执行人、重大税收违法案件当事人名单、政府采购严重违法失信行为记录名单及其他不符合《中华人民共和国政府采购法》第二十二条规定条件； </w:t>
      </w:r>
    </w:p>
    <w:p>
      <w:pPr>
        <w:spacing w:line="360" w:lineRule="auto"/>
        <w:ind w:firstLine="470" w:firstLineChars="196"/>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二、遵纪守法，公平竞争。不与其他供应商相互串通、哄抬价格，不排挤其他供应商，不损害采购人的合法权益；不向采购人、采购代理机构、谈判小组成员等及其他参与采购活动的人员行贿或采用其他不正当手段谋取成交； </w:t>
      </w:r>
    </w:p>
    <w:p>
      <w:pPr>
        <w:spacing w:line="360" w:lineRule="auto"/>
        <w:ind w:firstLine="470" w:firstLineChars="196"/>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三、不捏造事实或借用他人名义进行虚假、恶意质疑和投诉，不以质疑或投诉为名排挤竞争对手，干扰政府采购秩序； </w:t>
      </w:r>
    </w:p>
    <w:p>
      <w:pPr>
        <w:spacing w:line="360" w:lineRule="auto"/>
        <w:ind w:firstLine="470" w:firstLineChars="196"/>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四、若成交后，将按照规定及时与采购人签订政府采购合同，不与采购人订立有悖于招标结果的合同或协议；严格履行政府采购合同，不降低合同约定的工程质量及相关服务，不擅自变更、中止、终止合同，或者拒绝履行合同义务。 </w:t>
      </w:r>
    </w:p>
    <w:p>
      <w:pPr>
        <w:spacing w:line="360" w:lineRule="auto"/>
        <w:ind w:firstLine="470" w:firstLineChars="196"/>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若有违反以上承诺内容的行为，我公司自愿接受取消谈判资格、记入信用档案、没收投标保证金、媒体通报等处罚；如已成交的，自动放弃成交资格，并承担全部法律责任；给采购人造成损失的，依法承担赔偿责任。 </w:t>
      </w:r>
    </w:p>
    <w:p>
      <w:pPr>
        <w:spacing w:line="360" w:lineRule="auto"/>
        <w:ind w:firstLine="480" w:firstLineChars="200"/>
        <w:rPr>
          <w:rFonts w:hint="eastAsia" w:ascii="宋体" w:hAnsi="宋体" w:eastAsia="宋体" w:cs="宋体"/>
          <w:b w:val="0"/>
          <w:bCs/>
          <w:kern w:val="0"/>
          <w:sz w:val="24"/>
          <w:szCs w:val="24"/>
          <w:lang w:eastAsia="zh-CN"/>
        </w:rPr>
      </w:pPr>
    </w:p>
    <w:p>
      <w:pPr>
        <w:spacing w:line="360" w:lineRule="auto"/>
        <w:ind w:firstLine="480" w:firstLineChars="200"/>
        <w:rPr>
          <w:rFonts w:hint="eastAsia" w:ascii="宋体" w:hAnsi="宋体" w:eastAsia="宋体" w:cs="宋体"/>
          <w:b w:val="0"/>
          <w:bCs/>
          <w:kern w:val="0"/>
          <w:sz w:val="24"/>
          <w:szCs w:val="24"/>
          <w:u w:val="single"/>
          <w:lang w:val="en-US" w:eastAsia="zh-CN"/>
        </w:rPr>
      </w:pPr>
      <w:r>
        <w:rPr>
          <w:rFonts w:hint="eastAsia" w:ascii="宋体" w:hAnsi="宋体" w:eastAsia="宋体" w:cs="宋体"/>
          <w:b w:val="0"/>
          <w:bCs/>
          <w:kern w:val="0"/>
          <w:sz w:val="24"/>
          <w:szCs w:val="24"/>
          <w:lang w:eastAsia="zh-CN"/>
        </w:rPr>
        <w:t>供应商名称(公章)：</w:t>
      </w:r>
      <w:r>
        <w:rPr>
          <w:rFonts w:hint="eastAsia" w:ascii="宋体" w:hAnsi="宋体" w:eastAsia="宋体" w:cs="宋体"/>
          <w:b w:val="0"/>
          <w:bCs/>
          <w:kern w:val="0"/>
          <w:sz w:val="24"/>
          <w:szCs w:val="24"/>
          <w:u w:val="single"/>
          <w:lang w:val="en-US" w:eastAsia="zh-CN"/>
        </w:rPr>
        <w:t xml:space="preserve">               </w:t>
      </w:r>
    </w:p>
    <w:p>
      <w:pPr>
        <w:spacing w:line="360" w:lineRule="auto"/>
        <w:ind w:firstLine="480" w:firstLineChars="200"/>
        <w:rPr>
          <w:rFonts w:hint="eastAsia" w:ascii="宋体" w:hAnsi="宋体" w:eastAsia="宋体" w:cs="宋体"/>
          <w:b w:val="0"/>
          <w:bCs/>
          <w:kern w:val="0"/>
          <w:sz w:val="24"/>
          <w:szCs w:val="24"/>
          <w:u w:val="single"/>
          <w:lang w:val="en-US" w:eastAsia="zh-CN"/>
        </w:rPr>
      </w:pPr>
    </w:p>
    <w:p>
      <w:pPr>
        <w:spacing w:line="360" w:lineRule="auto"/>
        <w:ind w:firstLine="470" w:firstLineChars="196"/>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eastAsia="zh-CN"/>
        </w:rPr>
        <w:t>法定代表人（签字或盖章）：</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eastAsia="zh-CN"/>
        </w:rPr>
        <w:t> </w:t>
      </w:r>
      <w:r>
        <w:rPr>
          <w:rFonts w:hint="eastAsia" w:ascii="宋体" w:hAnsi="宋体" w:eastAsia="宋体" w:cs="宋体"/>
          <w:b w:val="0"/>
          <w:bCs/>
          <w:kern w:val="0"/>
          <w:sz w:val="24"/>
          <w:szCs w:val="24"/>
          <w:lang w:val="en-US" w:eastAsia="zh-CN"/>
        </w:rPr>
        <w:t xml:space="preserve">  </w:t>
      </w:r>
    </w:p>
    <w:p>
      <w:pPr>
        <w:spacing w:line="360" w:lineRule="auto"/>
        <w:ind w:firstLine="470" w:firstLineChars="196"/>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日期</w:t>
      </w:r>
      <w:r>
        <w:rPr>
          <w:rFonts w:hint="eastAsia" w:ascii="宋体" w:hAnsi="宋体" w:eastAsia="宋体" w:cs="宋体"/>
          <w:b w:val="0"/>
          <w:bCs/>
          <w:kern w:val="0"/>
          <w:sz w:val="24"/>
          <w:szCs w:val="24"/>
          <w:lang w:val="en-US" w:eastAsia="zh-CN"/>
        </w:rPr>
        <w:t xml:space="preserve"> </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 xml:space="preserve"> </w:t>
      </w:r>
      <w:r>
        <w:rPr>
          <w:rFonts w:hint="eastAsia" w:ascii="宋体" w:hAnsi="宋体" w:eastAsia="宋体" w:cs="宋体"/>
          <w:b w:val="0"/>
          <w:bCs/>
          <w:kern w:val="0"/>
          <w:sz w:val="24"/>
          <w:szCs w:val="24"/>
          <w:lang w:eastAsia="zh-CN"/>
        </w:rPr>
        <w:t>年</w:t>
      </w:r>
      <w:r>
        <w:rPr>
          <w:rFonts w:hint="eastAsia" w:ascii="宋体" w:hAnsi="宋体" w:eastAsia="宋体" w:cs="宋体"/>
          <w:b w:val="0"/>
          <w:bCs/>
          <w:kern w:val="0"/>
          <w:sz w:val="24"/>
          <w:szCs w:val="24"/>
          <w:lang w:val="en-US" w:eastAsia="zh-CN"/>
        </w:rPr>
        <w:t xml:space="preserve">   </w:t>
      </w:r>
      <w:r>
        <w:rPr>
          <w:rFonts w:hint="eastAsia" w:ascii="宋体" w:hAnsi="宋体" w:eastAsia="宋体" w:cs="宋体"/>
          <w:b w:val="0"/>
          <w:bCs/>
          <w:kern w:val="0"/>
          <w:sz w:val="24"/>
          <w:szCs w:val="24"/>
          <w:lang w:eastAsia="zh-CN"/>
        </w:rPr>
        <w:t>月</w:t>
      </w:r>
      <w:r>
        <w:rPr>
          <w:rFonts w:hint="eastAsia" w:ascii="宋体" w:hAnsi="宋体" w:eastAsia="宋体" w:cs="宋体"/>
          <w:b w:val="0"/>
          <w:bCs/>
          <w:kern w:val="0"/>
          <w:sz w:val="24"/>
          <w:szCs w:val="24"/>
          <w:lang w:val="en-US" w:eastAsia="zh-CN"/>
        </w:rPr>
        <w:t xml:space="preserve">    </w:t>
      </w:r>
      <w:r>
        <w:rPr>
          <w:rFonts w:hint="eastAsia" w:ascii="宋体" w:hAnsi="宋体" w:eastAsia="宋体" w:cs="宋体"/>
          <w:b w:val="0"/>
          <w:bCs/>
          <w:kern w:val="0"/>
          <w:sz w:val="24"/>
          <w:szCs w:val="24"/>
          <w:lang w:eastAsia="zh-CN"/>
        </w:rPr>
        <w:t>日</w:t>
      </w:r>
    </w:p>
    <w:p>
      <w:pPr>
        <w:rPr>
          <w:rFonts w:hint="eastAsia" w:ascii="宋体" w:hAnsi="宋体" w:eastAsia="宋体" w:cs="宋体"/>
          <w:sz w:val="36"/>
          <w:szCs w:val="36"/>
        </w:rPr>
      </w:pPr>
    </w:p>
    <w:p>
      <w:pPr>
        <w:rPr>
          <w:rFonts w:hint="eastAsia" w:ascii="宋体" w:hAnsi="宋体" w:eastAsia="宋体" w:cs="宋体"/>
          <w:sz w:val="36"/>
          <w:szCs w:val="36"/>
        </w:rPr>
      </w:pPr>
      <w:r>
        <w:rPr>
          <w:rFonts w:hint="eastAsia" w:ascii="宋体" w:hAnsi="宋体" w:eastAsia="宋体" w:cs="宋体"/>
          <w:sz w:val="24"/>
          <w:szCs w:val="24"/>
        </w:rPr>
        <w:t>注：本承诺书做为响应文件的必备要件，由供应商的法定代表人签署，否则视为未实质上响应谈判文件，由供应商承担由此造成的一切后果和损失。</w:t>
      </w:r>
    </w:p>
    <w:p>
      <w:pPr>
        <w:pStyle w:val="218"/>
        <w:jc w:val="both"/>
        <w:outlineLvl w:val="9"/>
        <w:rPr>
          <w:rFonts w:hint="eastAsia" w:ascii="仿宋" w:hAnsi="仿宋" w:eastAsia="仿宋"/>
          <w:bCs/>
          <w:kern w:val="1"/>
          <w:sz w:val="24"/>
        </w:rPr>
      </w:pPr>
      <w:bookmarkStart w:id="131" w:name="_Toc256000058"/>
      <w:bookmarkStart w:id="132" w:name="_Toc256000078"/>
    </w:p>
    <w:p>
      <w:pPr>
        <w:pStyle w:val="218"/>
        <w:spacing w:line="360" w:lineRule="auto"/>
        <w:jc w:val="center"/>
        <w:outlineLvl w:val="9"/>
        <w:rPr>
          <w:rFonts w:hint="eastAsia" w:ascii="宋体" w:hAnsi="宋体" w:eastAsia="宋体" w:cs="宋体"/>
          <w:bCs/>
          <w:kern w:val="1"/>
          <w:sz w:val="24"/>
          <w:lang w:val="en-US" w:eastAsia="zh-CN"/>
        </w:rPr>
      </w:pPr>
    </w:p>
    <w:p>
      <w:pPr>
        <w:pStyle w:val="218"/>
        <w:spacing w:line="360" w:lineRule="auto"/>
        <w:jc w:val="center"/>
        <w:outlineLvl w:val="9"/>
        <w:rPr>
          <w:rFonts w:hint="eastAsia" w:ascii="宋体" w:hAnsi="宋体" w:eastAsia="宋体" w:cs="宋体"/>
          <w:kern w:val="1"/>
          <w:sz w:val="24"/>
        </w:rPr>
      </w:pPr>
      <w:r>
        <w:rPr>
          <w:rFonts w:hint="eastAsia" w:ascii="宋体" w:hAnsi="宋体" w:eastAsia="宋体" w:cs="宋体"/>
          <w:bCs/>
          <w:kern w:val="1"/>
          <w:sz w:val="24"/>
          <w:lang w:val="en-US" w:eastAsia="zh-CN"/>
        </w:rPr>
        <w:t>5.2</w:t>
      </w:r>
      <w:r>
        <w:rPr>
          <w:rFonts w:hint="eastAsia" w:ascii="宋体" w:hAnsi="宋体" w:eastAsia="宋体" w:cs="宋体"/>
          <w:bCs/>
          <w:kern w:val="1"/>
          <w:sz w:val="24"/>
        </w:rPr>
        <w:t>中小企业声明函</w:t>
      </w:r>
      <w:bookmarkEnd w:id="131"/>
      <w:bookmarkEnd w:id="132"/>
      <w:r>
        <w:rPr>
          <w:rFonts w:hint="eastAsia" w:ascii="宋体" w:hAnsi="宋体" w:eastAsia="宋体" w:cs="宋体"/>
          <w:bCs/>
          <w:kern w:val="1"/>
          <w:sz w:val="24"/>
        </w:rPr>
        <w:t>（工程、服务）</w:t>
      </w:r>
    </w:p>
    <w:p>
      <w:pPr>
        <w:pStyle w:val="218"/>
        <w:spacing w:line="360" w:lineRule="auto"/>
        <w:outlineLvl w:val="9"/>
        <w:rPr>
          <w:rFonts w:hint="eastAsia" w:ascii="宋体" w:hAnsi="宋体" w:eastAsia="宋体" w:cs="宋体"/>
          <w:kern w:val="1"/>
          <w:sz w:val="24"/>
        </w:rPr>
      </w:pPr>
    </w:p>
    <w:p>
      <w:pPr>
        <w:pStyle w:val="218"/>
        <w:spacing w:line="360" w:lineRule="auto"/>
        <w:ind w:firstLine="480" w:firstLineChars="200"/>
        <w:jc w:val="both"/>
        <w:rPr>
          <w:rFonts w:hint="eastAsia" w:ascii="宋体" w:hAnsi="宋体" w:eastAsia="宋体" w:cs="宋体"/>
          <w:b w:val="0"/>
          <w:kern w:val="1"/>
          <w:sz w:val="24"/>
        </w:rPr>
      </w:pPr>
      <w:r>
        <w:rPr>
          <w:rFonts w:hint="eastAsia" w:ascii="宋体" w:hAnsi="宋体" w:eastAsia="宋体" w:cs="宋体"/>
          <w:b w:val="0"/>
          <w:kern w:val="1"/>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218"/>
        <w:spacing w:line="360" w:lineRule="auto"/>
        <w:ind w:firstLine="480" w:firstLineChars="200"/>
        <w:jc w:val="both"/>
        <w:rPr>
          <w:rFonts w:hint="eastAsia" w:ascii="宋体" w:hAnsi="宋体" w:eastAsia="宋体" w:cs="宋体"/>
          <w:b w:val="0"/>
          <w:kern w:val="1"/>
          <w:sz w:val="24"/>
        </w:rPr>
      </w:pPr>
      <w:r>
        <w:rPr>
          <w:rFonts w:hint="eastAsia" w:ascii="宋体" w:hAnsi="宋体" w:eastAsia="宋体" w:cs="宋体"/>
          <w:b w:val="0"/>
          <w:kern w:val="1"/>
          <w:sz w:val="24"/>
        </w:rPr>
        <w:t>1.（标的名称），属于（采购文件中明确的所属行业）；承建（承接）企业为（企业名称），从业人员  人，营业收入为  万元，资产总额为  万元，属于（中型企业、小型企业、微型企业）；</w:t>
      </w:r>
    </w:p>
    <w:p>
      <w:pPr>
        <w:pStyle w:val="218"/>
        <w:spacing w:line="360" w:lineRule="auto"/>
        <w:ind w:firstLine="480" w:firstLineChars="200"/>
        <w:jc w:val="both"/>
        <w:rPr>
          <w:rFonts w:hint="eastAsia" w:ascii="宋体" w:hAnsi="宋体" w:eastAsia="宋体" w:cs="宋体"/>
          <w:b w:val="0"/>
          <w:kern w:val="1"/>
          <w:sz w:val="24"/>
        </w:rPr>
      </w:pPr>
      <w:r>
        <w:rPr>
          <w:rFonts w:hint="eastAsia" w:ascii="宋体" w:hAnsi="宋体" w:eastAsia="宋体" w:cs="宋体"/>
          <w:b w:val="0"/>
          <w:kern w:val="1"/>
          <w:sz w:val="24"/>
        </w:rPr>
        <w:t>2.（标的名称），属于（采购文件中明确的所属行业）；承建（承接）企业为（企业名称），从业人员  人，营业收入为  万元，资产总额为  万元，属于（中型企业、小型企业、微型企业）；</w:t>
      </w:r>
    </w:p>
    <w:p>
      <w:pPr>
        <w:pStyle w:val="218"/>
        <w:spacing w:line="360" w:lineRule="auto"/>
        <w:ind w:firstLine="480" w:firstLineChars="200"/>
        <w:jc w:val="both"/>
        <w:rPr>
          <w:rFonts w:hint="eastAsia" w:ascii="宋体" w:hAnsi="宋体" w:eastAsia="宋体" w:cs="宋体"/>
          <w:b w:val="0"/>
          <w:kern w:val="1"/>
          <w:sz w:val="24"/>
        </w:rPr>
      </w:pPr>
      <w:r>
        <w:rPr>
          <w:rFonts w:hint="eastAsia" w:ascii="宋体" w:hAnsi="宋体" w:eastAsia="宋体" w:cs="宋体"/>
          <w:b w:val="0"/>
          <w:kern w:val="1"/>
          <w:sz w:val="24"/>
        </w:rPr>
        <w:t>……</w:t>
      </w:r>
    </w:p>
    <w:p>
      <w:pPr>
        <w:pStyle w:val="218"/>
        <w:spacing w:line="360" w:lineRule="auto"/>
        <w:ind w:firstLine="480" w:firstLineChars="200"/>
        <w:jc w:val="both"/>
        <w:rPr>
          <w:rFonts w:hint="eastAsia" w:ascii="宋体" w:hAnsi="宋体" w:eastAsia="宋体" w:cs="宋体"/>
          <w:b w:val="0"/>
          <w:kern w:val="1"/>
          <w:sz w:val="24"/>
        </w:rPr>
      </w:pPr>
      <w:r>
        <w:rPr>
          <w:rFonts w:hint="eastAsia" w:ascii="宋体" w:hAnsi="宋体" w:eastAsia="宋体" w:cs="宋体"/>
          <w:b w:val="0"/>
          <w:kern w:val="1"/>
          <w:sz w:val="24"/>
        </w:rPr>
        <w:t>以上企业，不属于大企业的分支机构，不存在控股股东为大企业的情形，也不存在与大企业的负责人为同一人的情形。</w:t>
      </w:r>
    </w:p>
    <w:p>
      <w:pPr>
        <w:pStyle w:val="218"/>
        <w:spacing w:line="360" w:lineRule="auto"/>
        <w:ind w:firstLine="480" w:firstLineChars="200"/>
        <w:jc w:val="both"/>
        <w:rPr>
          <w:rFonts w:hint="eastAsia" w:ascii="宋体" w:hAnsi="宋体" w:eastAsia="宋体" w:cs="宋体"/>
          <w:b w:val="0"/>
          <w:kern w:val="1"/>
          <w:sz w:val="24"/>
        </w:rPr>
      </w:pPr>
      <w:r>
        <w:rPr>
          <w:rFonts w:hint="eastAsia" w:ascii="宋体" w:hAnsi="宋体" w:eastAsia="宋体" w:cs="宋体"/>
          <w:b w:val="0"/>
          <w:kern w:val="1"/>
          <w:sz w:val="24"/>
        </w:rPr>
        <w:t>本企业对上述声明内容的真实性负责。如有虚假，将依法承担相应责任。</w:t>
      </w:r>
    </w:p>
    <w:p>
      <w:pPr>
        <w:pStyle w:val="218"/>
        <w:spacing w:line="360" w:lineRule="auto"/>
        <w:ind w:firstLine="480" w:firstLineChars="200"/>
        <w:jc w:val="both"/>
        <w:rPr>
          <w:rFonts w:hint="eastAsia" w:ascii="宋体" w:hAnsi="宋体" w:eastAsia="宋体" w:cs="宋体"/>
          <w:b w:val="0"/>
          <w:kern w:val="1"/>
          <w:sz w:val="24"/>
        </w:rPr>
      </w:pPr>
      <w:r>
        <w:rPr>
          <w:rFonts w:hint="eastAsia" w:ascii="宋体" w:hAnsi="宋体" w:eastAsia="宋体" w:cs="宋体"/>
          <w:b w:val="0"/>
          <w:kern w:val="1"/>
          <w:sz w:val="24"/>
        </w:rPr>
        <w:t> </w:t>
      </w:r>
    </w:p>
    <w:p>
      <w:pPr>
        <w:pStyle w:val="218"/>
        <w:spacing w:line="360" w:lineRule="auto"/>
        <w:ind w:firstLine="480" w:firstLineChars="200"/>
        <w:jc w:val="both"/>
        <w:rPr>
          <w:rFonts w:hint="eastAsia" w:ascii="宋体" w:hAnsi="宋体" w:eastAsia="宋体" w:cs="宋体"/>
          <w:b w:val="0"/>
          <w:kern w:val="1"/>
          <w:sz w:val="24"/>
        </w:rPr>
      </w:pPr>
      <w:r>
        <w:rPr>
          <w:rFonts w:hint="eastAsia" w:ascii="宋体" w:hAnsi="宋体" w:eastAsia="宋体" w:cs="宋体"/>
          <w:b w:val="0"/>
          <w:kern w:val="1"/>
          <w:sz w:val="24"/>
        </w:rPr>
        <w:t>                      企业名称（盖章）：</w:t>
      </w:r>
    </w:p>
    <w:p>
      <w:pPr>
        <w:pStyle w:val="218"/>
        <w:spacing w:line="360" w:lineRule="auto"/>
        <w:ind w:firstLine="480" w:firstLineChars="200"/>
        <w:jc w:val="both"/>
        <w:rPr>
          <w:rFonts w:hint="eastAsia" w:ascii="宋体" w:hAnsi="宋体" w:eastAsia="宋体" w:cs="宋体"/>
          <w:b w:val="0"/>
          <w:kern w:val="1"/>
          <w:sz w:val="24"/>
        </w:rPr>
      </w:pPr>
      <w:r>
        <w:rPr>
          <w:rFonts w:hint="eastAsia" w:ascii="宋体" w:hAnsi="宋体" w:eastAsia="宋体" w:cs="宋体"/>
          <w:b w:val="0"/>
          <w:kern w:val="1"/>
          <w:sz w:val="24"/>
        </w:rPr>
        <w:t>                      日期：</w:t>
      </w:r>
    </w:p>
    <w:p>
      <w:pPr>
        <w:pStyle w:val="218"/>
        <w:spacing w:line="360" w:lineRule="auto"/>
        <w:ind w:firstLine="480" w:firstLineChars="200"/>
        <w:jc w:val="both"/>
        <w:rPr>
          <w:rFonts w:hint="eastAsia" w:ascii="宋体" w:hAnsi="宋体" w:eastAsia="宋体" w:cs="宋体"/>
          <w:b w:val="0"/>
          <w:kern w:val="1"/>
          <w:sz w:val="24"/>
        </w:rPr>
      </w:pPr>
      <w:r>
        <w:rPr>
          <w:rFonts w:hint="eastAsia" w:ascii="宋体" w:hAnsi="宋体" w:eastAsia="宋体" w:cs="宋体"/>
          <w:b w:val="0"/>
          <w:kern w:val="1"/>
          <w:sz w:val="24"/>
        </w:rPr>
        <w:t xml:space="preserve"> </w:t>
      </w:r>
    </w:p>
    <w:p>
      <w:pPr>
        <w:pStyle w:val="218"/>
        <w:spacing w:line="360" w:lineRule="auto"/>
        <w:ind w:firstLine="480" w:firstLineChars="200"/>
        <w:jc w:val="both"/>
        <w:rPr>
          <w:rFonts w:hint="eastAsia" w:ascii="宋体" w:hAnsi="宋体" w:eastAsia="宋体" w:cs="宋体"/>
          <w:b w:val="0"/>
          <w:kern w:val="1"/>
          <w:sz w:val="24"/>
        </w:rPr>
      </w:pPr>
    </w:p>
    <w:p>
      <w:pPr>
        <w:pStyle w:val="218"/>
        <w:spacing w:line="360" w:lineRule="auto"/>
        <w:ind w:firstLine="480" w:firstLineChars="200"/>
        <w:jc w:val="both"/>
        <w:rPr>
          <w:rFonts w:hint="eastAsia" w:ascii="宋体" w:hAnsi="宋体" w:eastAsia="宋体" w:cs="宋体"/>
          <w:b w:val="0"/>
          <w:kern w:val="1"/>
          <w:sz w:val="24"/>
        </w:rPr>
      </w:pPr>
    </w:p>
    <w:p>
      <w:pPr>
        <w:spacing w:line="360" w:lineRule="auto"/>
        <w:ind w:firstLine="422" w:firstLineChars="200"/>
        <w:rPr>
          <w:rFonts w:hint="eastAsia" w:ascii="宋体" w:hAnsi="宋体" w:eastAsia="宋体" w:cs="宋体"/>
        </w:rPr>
      </w:pPr>
      <w:r>
        <w:rPr>
          <w:rFonts w:hint="eastAsia" w:ascii="宋体" w:hAnsi="宋体" w:eastAsia="宋体" w:cs="宋体"/>
          <w:b/>
          <w:kern w:val="1"/>
        </w:rPr>
        <w:t>备注：从业人员、营业收入、资产总额填报上一年度数据，无上一年度数据的新成立企业可不填报。</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rPr>
      </w:pPr>
    </w:p>
    <w:p>
      <w:pPr>
        <w:rPr>
          <w:rFonts w:hint="eastAsia"/>
        </w:rPr>
      </w:pPr>
    </w:p>
    <w:p>
      <w:pPr>
        <w:shd w:val="clear" w:color="auto" w:fill="FFFFFF"/>
        <w:spacing w:line="360" w:lineRule="auto"/>
        <w:jc w:val="center"/>
        <w:rPr>
          <w:rFonts w:hint="eastAsia" w:ascii="宋体" w:hAnsi="宋体" w:eastAsia="宋体" w:cs="宋体"/>
          <w:sz w:val="28"/>
          <w:szCs w:val="28"/>
        </w:rPr>
      </w:pPr>
      <w:r>
        <w:rPr>
          <w:rFonts w:hint="eastAsia" w:ascii="宋体" w:hAnsi="宋体" w:eastAsia="宋体" w:cs="宋体"/>
          <w:b/>
          <w:bCs/>
          <w:sz w:val="28"/>
          <w:szCs w:val="28"/>
          <w:lang w:val="en-US" w:eastAsia="zh-CN"/>
        </w:rPr>
        <w:t>5.3</w:t>
      </w:r>
      <w:r>
        <w:rPr>
          <w:rFonts w:hint="eastAsia" w:ascii="宋体" w:hAnsi="宋体" w:eastAsia="宋体" w:cs="宋体"/>
          <w:b/>
          <w:bCs/>
          <w:sz w:val="28"/>
          <w:szCs w:val="28"/>
        </w:rPr>
        <w:t>残疾人福利性单位声明函</w:t>
      </w:r>
    </w:p>
    <w:p>
      <w:pPr>
        <w:spacing w:line="360" w:lineRule="auto"/>
        <w:rPr>
          <w:rFonts w:hint="eastAsia" w:ascii="宋体" w:hAnsi="宋体" w:eastAsia="宋体" w:cs="宋体"/>
          <w:sz w:val="22"/>
          <w:szCs w:val="21"/>
        </w:rPr>
      </w:pPr>
      <w:r>
        <w:rPr>
          <w:rFonts w:hint="eastAsia" w:ascii="宋体" w:hAnsi="宋体" w:eastAsia="宋体" w:cs="宋体"/>
          <w:sz w:val="22"/>
          <w:szCs w:val="21"/>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 w:hAnsi="仿宋" w:eastAsia="仿宋"/>
          <w:sz w:val="24"/>
          <w:szCs w:val="24"/>
        </w:rPr>
      </w:pPr>
      <w:r>
        <w:rPr>
          <w:rFonts w:hint="eastAsia" w:ascii="宋体" w:hAnsi="宋体" w:eastAsia="宋体" w:cs="宋体"/>
          <w:sz w:val="24"/>
          <w:szCs w:val="24"/>
        </w:rPr>
        <w:t>本单位对上述声明的真实性负责。如有虚假，将依法承担相应责任。</w:t>
      </w:r>
    </w:p>
    <w:p>
      <w:pPr>
        <w:spacing w:line="360" w:lineRule="auto"/>
        <w:rPr>
          <w:rFonts w:ascii="仿宋" w:hAnsi="仿宋" w:eastAsia="仿宋"/>
          <w:sz w:val="24"/>
          <w:szCs w:val="24"/>
        </w:rPr>
      </w:pPr>
      <w:r>
        <w:rPr>
          <w:rFonts w:ascii="仿宋" w:hAnsi="仿宋" w:eastAsia="仿宋"/>
          <w:sz w:val="24"/>
          <w:szCs w:val="24"/>
        </w:rPr>
        <w:t xml:space="preserve"> </w:t>
      </w:r>
    </w:p>
    <w:p>
      <w:pPr>
        <w:pStyle w:val="218"/>
        <w:spacing w:line="360" w:lineRule="auto"/>
        <w:ind w:firstLine="480" w:firstLineChars="200"/>
        <w:jc w:val="both"/>
        <w:rPr>
          <w:rFonts w:hint="eastAsia" w:ascii="宋体" w:hAnsi="宋体" w:eastAsia="宋体" w:cs="宋体"/>
          <w:b w:val="0"/>
          <w:kern w:val="1"/>
          <w:sz w:val="24"/>
          <w:szCs w:val="24"/>
        </w:rPr>
      </w:pPr>
      <w:r>
        <w:rPr>
          <w:rFonts w:hint="eastAsia" w:ascii="宋体" w:hAnsi="宋体" w:eastAsia="宋体" w:cs="宋体"/>
          <w:b w:val="0"/>
          <w:kern w:val="1"/>
          <w:sz w:val="24"/>
          <w:szCs w:val="24"/>
        </w:rPr>
        <w:t>企业名称（盖章）：</w:t>
      </w:r>
    </w:p>
    <w:p>
      <w:pPr>
        <w:pStyle w:val="218"/>
        <w:spacing w:line="360" w:lineRule="auto"/>
        <w:ind w:firstLine="480" w:firstLineChars="200"/>
        <w:jc w:val="both"/>
        <w:rPr>
          <w:rFonts w:hint="eastAsia" w:ascii="宋体" w:hAnsi="宋体" w:eastAsia="宋体" w:cs="宋体"/>
          <w:b w:val="0"/>
          <w:kern w:val="1"/>
          <w:sz w:val="24"/>
          <w:szCs w:val="24"/>
        </w:rPr>
      </w:pPr>
      <w:r>
        <w:rPr>
          <w:rFonts w:hint="eastAsia" w:ascii="宋体" w:hAnsi="宋体" w:eastAsia="宋体" w:cs="宋体"/>
          <w:b w:val="0"/>
          <w:kern w:val="1"/>
          <w:sz w:val="24"/>
          <w:szCs w:val="24"/>
        </w:rPr>
        <w:t>日期：</w:t>
      </w:r>
    </w:p>
    <w:p>
      <w:pPr>
        <w:pStyle w:val="218"/>
        <w:spacing w:line="360" w:lineRule="auto"/>
        <w:ind w:firstLine="480" w:firstLineChars="200"/>
        <w:jc w:val="both"/>
        <w:rPr>
          <w:rFonts w:hint="eastAsia" w:ascii="宋体" w:hAnsi="宋体" w:eastAsia="宋体" w:cs="宋体"/>
          <w:b w:val="0"/>
          <w:kern w:val="1"/>
          <w:sz w:val="24"/>
        </w:rPr>
      </w:pPr>
      <w:r>
        <w:rPr>
          <w:rFonts w:hint="eastAsia" w:ascii="宋体" w:hAnsi="宋体" w:eastAsia="宋体" w:cs="宋体"/>
          <w:b w:val="0"/>
          <w:kern w:val="1"/>
          <w:sz w:val="24"/>
        </w:rPr>
        <w:t xml:space="preserve"> </w:t>
      </w:r>
    </w:p>
    <w:p>
      <w:pPr>
        <w:rPr>
          <w:rFonts w:hint="eastAsia" w:ascii="宋体" w:hAnsi="宋体" w:eastAsia="宋体" w:cs="宋体"/>
          <w:sz w:val="36"/>
          <w:szCs w:val="36"/>
        </w:rPr>
      </w:pPr>
    </w:p>
    <w:p>
      <w:pPr>
        <w:pStyle w:val="4"/>
        <w:spacing w:line="400" w:lineRule="exact"/>
        <w:jc w:val="center"/>
        <w:outlineLvl w:val="0"/>
        <w:rPr>
          <w:rFonts w:hint="eastAsia" w:ascii="宋体" w:hAnsi="宋体" w:eastAsia="宋体" w:cs="宋体"/>
          <w:bCs/>
          <w:sz w:val="32"/>
          <w:szCs w:val="32"/>
        </w:rPr>
      </w:pPr>
      <w:r>
        <w:rPr>
          <w:rFonts w:hint="eastAsia" w:ascii="宋体" w:hAnsi="宋体" w:eastAsia="宋体" w:cs="宋体"/>
          <w:bCs/>
          <w:sz w:val="32"/>
          <w:szCs w:val="32"/>
        </w:rPr>
        <w:br w:type="page"/>
      </w:r>
      <w:bookmarkStart w:id="133" w:name="_Toc25070"/>
      <w:r>
        <w:rPr>
          <w:rFonts w:hint="eastAsia" w:ascii="宋体" w:hAnsi="宋体" w:eastAsia="宋体" w:cs="宋体"/>
          <w:bCs/>
          <w:sz w:val="32"/>
          <w:szCs w:val="32"/>
          <w:lang w:eastAsia="zh-CN"/>
        </w:rPr>
        <w:t>六</w:t>
      </w:r>
      <w:r>
        <w:rPr>
          <w:rFonts w:hint="eastAsia" w:ascii="宋体" w:hAnsi="宋体" w:eastAsia="宋体" w:cs="宋体"/>
          <w:bCs/>
          <w:sz w:val="32"/>
          <w:szCs w:val="32"/>
        </w:rPr>
        <w:t>、</w:t>
      </w:r>
      <w:bookmarkEnd w:id="112"/>
      <w:bookmarkEnd w:id="128"/>
      <w:r>
        <w:rPr>
          <w:rFonts w:hint="eastAsia" w:ascii="宋体" w:hAnsi="宋体" w:cs="宋体"/>
          <w:bCs/>
          <w:sz w:val="32"/>
          <w:szCs w:val="32"/>
          <w:lang w:eastAsia="zh-CN"/>
        </w:rPr>
        <w:t>（</w:t>
      </w:r>
      <w:r>
        <w:rPr>
          <w:rFonts w:hint="eastAsia" w:ascii="宋体" w:hAnsi="宋体" w:cs="宋体"/>
          <w:bCs/>
          <w:sz w:val="32"/>
          <w:szCs w:val="32"/>
          <w:lang w:val="en-US" w:eastAsia="zh-CN"/>
        </w:rPr>
        <w:t>1</w:t>
      </w:r>
      <w:r>
        <w:rPr>
          <w:rFonts w:hint="eastAsia" w:ascii="宋体" w:hAnsi="宋体" w:cs="宋体"/>
          <w:bCs/>
          <w:sz w:val="32"/>
          <w:szCs w:val="32"/>
          <w:lang w:eastAsia="zh-CN"/>
        </w:rPr>
        <w:t>）</w:t>
      </w:r>
      <w:r>
        <w:rPr>
          <w:rFonts w:hint="eastAsia" w:ascii="宋体" w:hAnsi="宋体" w:eastAsia="宋体" w:cs="宋体"/>
          <w:bCs/>
          <w:sz w:val="32"/>
          <w:szCs w:val="32"/>
          <w:lang w:eastAsia="zh-CN"/>
        </w:rPr>
        <w:t>投标人首次</w:t>
      </w:r>
      <w:r>
        <w:rPr>
          <w:rFonts w:hint="eastAsia" w:ascii="宋体" w:hAnsi="宋体" w:eastAsia="宋体" w:cs="宋体"/>
          <w:bCs/>
          <w:sz w:val="32"/>
          <w:szCs w:val="32"/>
        </w:rPr>
        <w:t>报价单</w:t>
      </w:r>
      <w:bookmarkEnd w:id="129"/>
      <w:bookmarkEnd w:id="133"/>
    </w:p>
    <w:p>
      <w:pPr>
        <w:spacing w:line="400" w:lineRule="exact"/>
        <w:rPr>
          <w:rFonts w:hint="eastAsia" w:ascii="宋体" w:hAnsi="宋体" w:eastAsia="宋体" w:cs="宋体"/>
          <w:sz w:val="28"/>
        </w:rPr>
      </w:pPr>
      <w:r>
        <w:rPr>
          <w:rFonts w:hint="eastAsia" w:ascii="宋体" w:hAnsi="宋体" w:eastAsia="宋体" w:cs="宋体"/>
          <w:sz w:val="28"/>
        </w:rPr>
        <w:t xml:space="preserve">                                                                   </w:t>
      </w:r>
    </w:p>
    <w:tbl>
      <w:tblPr>
        <w:tblStyle w:val="38"/>
        <w:tblW w:w="0" w:type="auto"/>
        <w:tblInd w:w="93" w:type="dxa"/>
        <w:tblLayout w:type="fixed"/>
        <w:tblCellMar>
          <w:top w:w="0" w:type="dxa"/>
          <w:left w:w="108" w:type="dxa"/>
          <w:bottom w:w="0" w:type="dxa"/>
          <w:right w:w="108" w:type="dxa"/>
        </w:tblCellMar>
      </w:tblPr>
      <w:tblGrid>
        <w:gridCol w:w="2283"/>
        <w:gridCol w:w="2410"/>
        <w:gridCol w:w="2126"/>
        <w:gridCol w:w="2331"/>
      </w:tblGrid>
      <w:tr>
        <w:tblPrEx>
          <w:tblCellMar>
            <w:top w:w="0" w:type="dxa"/>
            <w:left w:w="108" w:type="dxa"/>
            <w:bottom w:w="0" w:type="dxa"/>
            <w:right w:w="108" w:type="dxa"/>
          </w:tblCellMar>
        </w:tblPrEx>
        <w:trPr>
          <w:trHeight w:val="315" w:hRule="atLeast"/>
        </w:trPr>
        <w:tc>
          <w:tcPr>
            <w:tcW w:w="228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投标人</w:t>
            </w:r>
          </w:p>
        </w:tc>
        <w:tc>
          <w:tcPr>
            <w:tcW w:w="6867" w:type="dxa"/>
            <w:gridSpan w:val="3"/>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5" w:hRule="atLeast"/>
        </w:trPr>
        <w:tc>
          <w:tcPr>
            <w:tcW w:w="2283"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lang w:eastAsia="zh-CN"/>
              </w:rPr>
              <w:t>（企业注册人）</w:t>
            </w:r>
          </w:p>
        </w:tc>
        <w:tc>
          <w:tcPr>
            <w:tcW w:w="241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法定委托代理人</w:t>
            </w:r>
          </w:p>
        </w:tc>
        <w:tc>
          <w:tcPr>
            <w:tcW w:w="2331"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5" w:hRule="atLeast"/>
        </w:trPr>
        <w:tc>
          <w:tcPr>
            <w:tcW w:w="2283"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联系人</w:t>
            </w:r>
          </w:p>
        </w:tc>
        <w:tc>
          <w:tcPr>
            <w:tcW w:w="241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联系电话</w:t>
            </w:r>
          </w:p>
        </w:tc>
        <w:tc>
          <w:tcPr>
            <w:tcW w:w="2331"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5" w:hRule="atLeast"/>
        </w:trPr>
        <w:tc>
          <w:tcPr>
            <w:tcW w:w="2283"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单位地址</w:t>
            </w:r>
          </w:p>
        </w:tc>
        <w:tc>
          <w:tcPr>
            <w:tcW w:w="6867" w:type="dxa"/>
            <w:gridSpan w:val="3"/>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5" w:hRule="atLeast"/>
        </w:trPr>
        <w:tc>
          <w:tcPr>
            <w:tcW w:w="2283"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6867" w:type="dxa"/>
            <w:gridSpan w:val="3"/>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5" w:hRule="atLeast"/>
        </w:trPr>
        <w:tc>
          <w:tcPr>
            <w:tcW w:w="2283"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项目名称</w:t>
            </w:r>
          </w:p>
        </w:tc>
        <w:tc>
          <w:tcPr>
            <w:tcW w:w="6867" w:type="dxa"/>
            <w:gridSpan w:val="3"/>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67" w:hRule="atLeast"/>
        </w:trPr>
        <w:tc>
          <w:tcPr>
            <w:tcW w:w="2283" w:type="dxa"/>
            <w:vMerge w:val="restart"/>
            <w:tcBorders>
              <w:top w:val="nil"/>
              <w:left w:val="single" w:color="auto" w:sz="4" w:space="0"/>
              <w:bottom w:val="nil"/>
              <w:right w:val="single" w:color="auto" w:sz="4" w:space="0"/>
            </w:tcBorders>
            <w:noWrap w:val="0"/>
            <w:vAlign w:val="center"/>
          </w:tcPr>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总报价（元）</w:t>
            </w:r>
          </w:p>
        </w:tc>
        <w:tc>
          <w:tcPr>
            <w:tcW w:w="6867" w:type="dxa"/>
            <w:gridSpan w:val="3"/>
            <w:tcBorders>
              <w:top w:val="single" w:color="auto" w:sz="4" w:space="0"/>
              <w:left w:val="nil"/>
              <w:bottom w:val="nil"/>
              <w:right w:val="single" w:color="000000" w:sz="4" w:space="0"/>
            </w:tcBorders>
            <w:noWrap w:val="0"/>
            <w:vAlign w:val="center"/>
          </w:tcPr>
          <w:p>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大写金额：                              </w:t>
            </w:r>
          </w:p>
        </w:tc>
      </w:tr>
      <w:tr>
        <w:tblPrEx>
          <w:tblCellMar>
            <w:top w:w="0" w:type="dxa"/>
            <w:left w:w="108" w:type="dxa"/>
            <w:bottom w:w="0" w:type="dxa"/>
            <w:right w:w="108" w:type="dxa"/>
          </w:tblCellMar>
        </w:tblPrEx>
        <w:trPr>
          <w:trHeight w:val="567" w:hRule="atLeast"/>
        </w:trPr>
        <w:tc>
          <w:tcPr>
            <w:tcW w:w="2283"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kern w:val="0"/>
                <w:sz w:val="24"/>
                <w:szCs w:val="24"/>
              </w:rPr>
            </w:pPr>
          </w:p>
        </w:tc>
        <w:tc>
          <w:tcPr>
            <w:tcW w:w="6867" w:type="dxa"/>
            <w:gridSpan w:val="3"/>
            <w:tcBorders>
              <w:top w:val="single" w:color="auto" w:sz="4" w:space="0"/>
              <w:left w:val="nil"/>
              <w:bottom w:val="nil"/>
              <w:right w:val="single" w:color="000000" w:sz="4" w:space="0"/>
            </w:tcBorders>
            <w:noWrap w:val="0"/>
            <w:vAlign w:val="center"/>
          </w:tcPr>
          <w:p>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小写金额：                            </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noWrap w:val="0"/>
            <w:vAlign w:val="center"/>
          </w:tcPr>
          <w:p>
            <w:pPr>
              <w:widowControl/>
              <w:spacing w:line="4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完工期限</w:t>
            </w:r>
          </w:p>
        </w:tc>
        <w:tc>
          <w:tcPr>
            <w:tcW w:w="6867" w:type="dxa"/>
            <w:gridSpan w:val="3"/>
            <w:tcBorders>
              <w:top w:val="single" w:color="auto" w:sz="4" w:space="0"/>
              <w:left w:val="nil"/>
              <w:bottom w:val="nil"/>
              <w:right w:val="single" w:color="000000" w:sz="4" w:space="0"/>
            </w:tcBorders>
            <w:noWrap w:val="0"/>
            <w:vAlign w:val="center"/>
          </w:tcPr>
          <w:p>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056" w:hRule="atLeast"/>
        </w:trPr>
        <w:tc>
          <w:tcPr>
            <w:tcW w:w="915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备    注</w:t>
            </w:r>
          </w:p>
          <w:p>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spacing w:line="500" w:lineRule="exact"/>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投标人</w:t>
      </w:r>
      <w:r>
        <w:rPr>
          <w:rFonts w:hint="eastAsia" w:ascii="宋体" w:hAnsi="宋体" w:eastAsia="宋体" w:cs="宋体"/>
          <w:sz w:val="24"/>
          <w:szCs w:val="24"/>
        </w:rPr>
        <w:t>报价为本竞争性谈判文件所确定的谈判范围内的全部（货物）服务</w:t>
      </w:r>
      <w:r>
        <w:rPr>
          <w:rFonts w:hint="eastAsia" w:ascii="宋体" w:hAnsi="宋体" w:eastAsia="宋体" w:cs="宋体"/>
          <w:sz w:val="24"/>
          <w:szCs w:val="24"/>
          <w:lang w:eastAsia="zh-CN"/>
        </w:rPr>
        <w:t>、工程</w:t>
      </w:r>
      <w:r>
        <w:rPr>
          <w:rFonts w:hint="eastAsia" w:ascii="宋体" w:hAnsi="宋体" w:eastAsia="宋体" w:cs="宋体"/>
          <w:sz w:val="24"/>
          <w:szCs w:val="24"/>
        </w:rPr>
        <w:t>内容的价格体现，包括完成本项目所有费用（</w:t>
      </w:r>
      <w:r>
        <w:rPr>
          <w:rFonts w:hint="eastAsia" w:ascii="宋体" w:hAnsi="宋体" w:eastAsia="宋体" w:cs="宋体"/>
          <w:sz w:val="24"/>
          <w:szCs w:val="24"/>
          <w:lang w:eastAsia="zh-CN"/>
        </w:rPr>
        <w:t>投标人</w:t>
      </w:r>
      <w:r>
        <w:rPr>
          <w:rFonts w:hint="eastAsia" w:ascii="宋体" w:hAnsi="宋体" w:eastAsia="宋体" w:cs="宋体"/>
          <w:sz w:val="24"/>
          <w:szCs w:val="24"/>
        </w:rPr>
        <w:t>在计算报价时已考虑风险因素，除竞争性谈判文件另有约定的，任何其他有选择或可调整的报价将不予接受）；</w:t>
      </w:r>
    </w:p>
    <w:p>
      <w:pPr>
        <w:spacing w:line="500" w:lineRule="exact"/>
        <w:rPr>
          <w:rFonts w:hint="eastAsia" w:ascii="宋体" w:hAnsi="宋体" w:eastAsia="宋体" w:cs="宋体"/>
          <w:sz w:val="24"/>
          <w:szCs w:val="24"/>
        </w:rPr>
      </w:pPr>
      <w:r>
        <w:rPr>
          <w:rFonts w:hint="eastAsia" w:ascii="宋体" w:hAnsi="宋体" w:eastAsia="宋体" w:cs="宋体"/>
          <w:sz w:val="24"/>
          <w:szCs w:val="24"/>
        </w:rPr>
        <w:t>2、表中大小写金额不一致时，以大写金额为准；</w:t>
      </w:r>
    </w:p>
    <w:p>
      <w:pPr>
        <w:spacing w:line="400" w:lineRule="exact"/>
        <w:rPr>
          <w:rFonts w:hint="eastAsia" w:ascii="宋体" w:hAnsi="宋体" w:eastAsia="宋体" w:cs="宋体"/>
          <w:sz w:val="24"/>
          <w:szCs w:val="24"/>
        </w:rPr>
      </w:pPr>
      <w:r>
        <w:rPr>
          <w:rFonts w:hint="eastAsia" w:ascii="宋体" w:hAnsi="宋体" w:eastAsia="宋体" w:cs="宋体"/>
          <w:sz w:val="24"/>
          <w:szCs w:val="24"/>
        </w:rPr>
        <w:t>3、本表在谈判会场上当众宣读，务必填写清楚，准确无误。</w:t>
      </w:r>
    </w:p>
    <w:p>
      <w:pPr>
        <w:spacing w:line="360" w:lineRule="auto"/>
        <w:ind w:firstLine="820" w:firstLineChars="342"/>
        <w:rPr>
          <w:rFonts w:hint="eastAsia" w:ascii="宋体" w:hAnsi="宋体" w:eastAsia="宋体" w:cs="宋体"/>
          <w:sz w:val="24"/>
          <w:szCs w:val="24"/>
          <w:lang w:val="zh-CN"/>
        </w:rPr>
      </w:pPr>
    </w:p>
    <w:p>
      <w:pPr>
        <w:spacing w:line="360" w:lineRule="auto"/>
        <w:ind w:firstLine="820" w:firstLineChars="342"/>
        <w:rPr>
          <w:rFonts w:hint="eastAsia" w:ascii="宋体" w:hAnsi="宋体" w:eastAsia="宋体" w:cs="宋体"/>
          <w:sz w:val="24"/>
          <w:szCs w:val="24"/>
          <w:lang w:val="zh-CN"/>
        </w:rPr>
      </w:pPr>
    </w:p>
    <w:p>
      <w:pPr>
        <w:spacing w:line="360" w:lineRule="auto"/>
        <w:ind w:firstLine="820" w:firstLineChars="342"/>
        <w:rPr>
          <w:rFonts w:hint="eastAsia" w:ascii="宋体" w:hAnsi="宋体" w:eastAsia="宋体" w:cs="宋体"/>
          <w:sz w:val="24"/>
          <w:szCs w:val="24"/>
          <w:lang w:val="zh-CN"/>
        </w:rPr>
      </w:pPr>
    </w:p>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lang w:val="zh-CN"/>
        </w:rPr>
        <w:t>投标人：（盖章）</w:t>
      </w:r>
    </w:p>
    <w:p>
      <w:pPr>
        <w:spacing w:line="360" w:lineRule="auto"/>
        <w:ind w:firstLine="820" w:firstLineChars="342"/>
        <w:rPr>
          <w:rFonts w:hint="eastAsia" w:ascii="宋体" w:hAnsi="宋体" w:eastAsia="宋体" w:cs="宋体"/>
          <w:sz w:val="24"/>
          <w:szCs w:val="24"/>
          <w:lang w:val="zh-CN"/>
        </w:rPr>
      </w:pPr>
    </w:p>
    <w:p>
      <w:pPr>
        <w:spacing w:line="360" w:lineRule="auto"/>
        <w:ind w:firstLine="820" w:firstLineChars="342"/>
        <w:rPr>
          <w:rFonts w:hint="eastAsia" w:ascii="宋体" w:hAnsi="宋体" w:eastAsia="宋体" w:cs="宋体"/>
          <w:sz w:val="24"/>
          <w:szCs w:val="24"/>
          <w:lang w:val="zh-CN"/>
        </w:rPr>
      </w:pPr>
      <w:r>
        <w:rPr>
          <w:rFonts w:hint="eastAsia" w:ascii="宋体" w:hAnsi="宋体" w:eastAsia="宋体" w:cs="宋体"/>
          <w:sz w:val="24"/>
          <w:szCs w:val="24"/>
          <w:lang w:val="zh-CN"/>
        </w:rPr>
        <w:t>法定代表人</w:t>
      </w:r>
      <w:r>
        <w:rPr>
          <w:rFonts w:hint="eastAsia" w:ascii="宋体" w:hAnsi="宋体" w:eastAsia="宋体" w:cs="宋体"/>
          <w:sz w:val="24"/>
          <w:szCs w:val="24"/>
          <w:lang w:val="zh-CN" w:eastAsia="zh-CN"/>
        </w:rPr>
        <w:t>（企业注册人）</w:t>
      </w:r>
      <w:r>
        <w:rPr>
          <w:rFonts w:hint="eastAsia" w:ascii="宋体" w:hAnsi="宋体" w:eastAsia="宋体" w:cs="宋体"/>
          <w:sz w:val="24"/>
          <w:szCs w:val="24"/>
          <w:lang w:val="zh-CN"/>
        </w:rPr>
        <w:t>或委托代理人：（盖章）</w:t>
      </w:r>
    </w:p>
    <w:p>
      <w:pPr>
        <w:spacing w:line="360" w:lineRule="auto"/>
        <w:ind w:firstLine="957" w:firstLineChars="342"/>
        <w:rPr>
          <w:rFonts w:hint="eastAsia" w:ascii="宋体" w:hAnsi="宋体" w:eastAsia="宋体" w:cs="宋体"/>
          <w:sz w:val="28"/>
          <w:szCs w:val="28"/>
        </w:rPr>
      </w:pPr>
    </w:p>
    <w:p>
      <w:pPr>
        <w:spacing w:line="360" w:lineRule="auto"/>
        <w:ind w:firstLine="820" w:firstLineChars="342"/>
        <w:jc w:val="center"/>
        <w:rPr>
          <w:rFonts w:hint="eastAsia" w:ascii="宋体" w:hAnsi="宋体" w:eastAsia="宋体" w:cs="宋体"/>
          <w:b/>
          <w:sz w:val="24"/>
          <w:szCs w:val="24"/>
        </w:rPr>
      </w:pPr>
      <w:r>
        <w:rPr>
          <w:rFonts w:hint="eastAsia" w:ascii="宋体" w:hAnsi="宋体" w:eastAsia="宋体" w:cs="宋体"/>
          <w:sz w:val="24"/>
          <w:szCs w:val="24"/>
          <w:lang w:val="zh-CN"/>
        </w:rPr>
        <w:t>日期：</w:t>
      </w:r>
      <w:r>
        <w:rPr>
          <w:rFonts w:hint="eastAsia" w:ascii="宋体" w:hAnsi="宋体" w:eastAsia="宋体" w:cs="宋体"/>
          <w:sz w:val="24"/>
          <w:szCs w:val="24"/>
        </w:rPr>
        <w:t xml:space="preserve">   </w:t>
      </w:r>
      <w:r>
        <w:rPr>
          <w:rFonts w:hint="eastAsia" w:ascii="宋体" w:hAnsi="宋体" w:eastAsia="宋体" w:cs="宋体"/>
          <w:sz w:val="24"/>
          <w:szCs w:val="24"/>
          <w:lang w:val="zh-CN"/>
        </w:rPr>
        <w:t>年</w:t>
      </w:r>
      <w:r>
        <w:rPr>
          <w:rFonts w:hint="eastAsia" w:ascii="宋体" w:hAnsi="宋体" w:eastAsia="宋体" w:cs="宋体"/>
          <w:sz w:val="24"/>
          <w:szCs w:val="24"/>
        </w:rPr>
        <w:t xml:space="preserve">    </w:t>
      </w:r>
      <w:r>
        <w:rPr>
          <w:rFonts w:hint="eastAsia" w:ascii="宋体" w:hAnsi="宋体" w:eastAsia="宋体" w:cs="宋体"/>
          <w:sz w:val="24"/>
          <w:szCs w:val="24"/>
          <w:lang w:val="zh-CN"/>
        </w:rPr>
        <w:t>月</w:t>
      </w:r>
      <w:r>
        <w:rPr>
          <w:rFonts w:hint="eastAsia" w:ascii="宋体" w:hAnsi="宋体" w:eastAsia="宋体" w:cs="宋体"/>
          <w:sz w:val="24"/>
          <w:szCs w:val="24"/>
        </w:rPr>
        <w:t xml:space="preserve">   </w:t>
      </w:r>
      <w:r>
        <w:rPr>
          <w:rFonts w:hint="eastAsia" w:ascii="宋体" w:hAnsi="宋体" w:eastAsia="宋体" w:cs="宋体"/>
          <w:sz w:val="24"/>
          <w:szCs w:val="24"/>
          <w:lang w:val="zh-CN"/>
        </w:rPr>
        <w:t>日</w:t>
      </w:r>
      <w:r>
        <w:rPr>
          <w:rFonts w:hint="eastAsia" w:ascii="宋体" w:hAnsi="宋体" w:eastAsia="宋体" w:cs="宋体"/>
          <w:b/>
          <w:sz w:val="24"/>
          <w:szCs w:val="24"/>
        </w:rPr>
        <w:br w:type="page"/>
      </w:r>
    </w:p>
    <w:p>
      <w:pPr>
        <w:numPr>
          <w:ilvl w:val="0"/>
          <w:numId w:val="0"/>
        </w:numPr>
        <w:spacing w:line="360" w:lineRule="auto"/>
        <w:jc w:val="center"/>
        <w:rPr>
          <w:rFonts w:hint="eastAsia" w:ascii="宋体" w:hAnsi="宋体" w:eastAsia="宋体" w:cs="宋体"/>
          <w:b/>
          <w:bCs/>
          <w:kern w:val="44"/>
          <w:sz w:val="32"/>
          <w:szCs w:val="32"/>
          <w:lang w:val="en-US" w:eastAsia="zh-CN" w:bidi="ar-SA"/>
        </w:rPr>
      </w:pPr>
      <w:r>
        <w:rPr>
          <w:rFonts w:hint="eastAsia" w:ascii="宋体" w:hAnsi="宋体" w:eastAsia="宋体" w:cs="宋体"/>
          <w:b/>
          <w:bCs/>
          <w:kern w:val="44"/>
          <w:sz w:val="32"/>
          <w:szCs w:val="32"/>
          <w:lang w:val="en-US" w:eastAsia="zh-CN" w:bidi="ar-SA"/>
        </w:rPr>
        <w:t>（2）投标人最终报价单</w:t>
      </w:r>
    </w:p>
    <w:p>
      <w:pPr>
        <w:numPr>
          <w:ilvl w:val="0"/>
          <w:numId w:val="0"/>
        </w:numPr>
        <w:spacing w:line="360" w:lineRule="auto"/>
        <w:jc w:val="center"/>
        <w:rPr>
          <w:sz w:val="24"/>
          <w:szCs w:val="24"/>
        </w:rPr>
      </w:pPr>
      <w:r>
        <w:rPr>
          <w:sz w:val="24"/>
          <w:szCs w:val="24"/>
        </w:rPr>
        <w:t>(</w:t>
      </w:r>
      <w:r>
        <w:rPr>
          <w:rFonts w:hint="eastAsia"/>
          <w:sz w:val="24"/>
          <w:szCs w:val="24"/>
        </w:rPr>
        <w:t>第</w:t>
      </w:r>
      <w:r>
        <w:rPr>
          <w:sz w:val="24"/>
          <w:szCs w:val="24"/>
        </w:rPr>
        <w:t>____</w:t>
      </w:r>
      <w:r>
        <w:rPr>
          <w:rFonts w:hint="eastAsia"/>
          <w:sz w:val="24"/>
          <w:szCs w:val="24"/>
        </w:rPr>
        <w:t>次报价书</w:t>
      </w:r>
      <w:r>
        <w:rPr>
          <w:sz w:val="24"/>
          <w:szCs w:val="24"/>
        </w:rPr>
        <w:t>)</w:t>
      </w:r>
    </w:p>
    <w:p>
      <w:pPr>
        <w:spacing w:line="360" w:lineRule="auto"/>
        <w:ind w:firstLine="480" w:firstLineChars="200"/>
        <w:rPr>
          <w:sz w:val="24"/>
          <w:szCs w:val="24"/>
        </w:rPr>
      </w:pPr>
      <w:r>
        <w:rPr>
          <w:rFonts w:hint="eastAsia"/>
          <w:sz w:val="24"/>
          <w:szCs w:val="24"/>
        </w:rPr>
        <w:t>项目名称：</w:t>
      </w:r>
      <w:r>
        <w:rPr>
          <w:sz w:val="24"/>
          <w:szCs w:val="24"/>
        </w:rPr>
        <w:t>____________________</w:t>
      </w:r>
    </w:p>
    <w:p>
      <w:pPr>
        <w:spacing w:line="360" w:lineRule="auto"/>
        <w:ind w:firstLine="480" w:firstLineChars="200"/>
        <w:rPr>
          <w:sz w:val="24"/>
          <w:szCs w:val="24"/>
        </w:rPr>
      </w:pPr>
      <w:r>
        <w:rPr>
          <w:rFonts w:hint="eastAsia"/>
          <w:sz w:val="24"/>
          <w:szCs w:val="24"/>
        </w:rPr>
        <w:t>项目编号：</w:t>
      </w:r>
      <w:r>
        <w:rPr>
          <w:sz w:val="24"/>
          <w:szCs w:val="24"/>
        </w:rPr>
        <w:t>____________________</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3048" w:type="dxa"/>
            <w:noWrap w:val="0"/>
            <w:vAlign w:val="center"/>
          </w:tcPr>
          <w:p>
            <w:pPr>
              <w:spacing w:line="360" w:lineRule="auto"/>
              <w:rPr>
                <w:sz w:val="24"/>
                <w:szCs w:val="24"/>
              </w:rPr>
            </w:pPr>
            <w:r>
              <w:rPr>
                <w:rFonts w:hint="eastAsia"/>
                <w:sz w:val="24"/>
                <w:szCs w:val="24"/>
                <w:lang w:eastAsia="zh-CN"/>
              </w:rPr>
              <w:t>投标人</w:t>
            </w:r>
            <w:r>
              <w:rPr>
                <w:rFonts w:hint="eastAsia"/>
                <w:sz w:val="24"/>
                <w:szCs w:val="24"/>
              </w:rPr>
              <w:t>名称</w:t>
            </w:r>
          </w:p>
        </w:tc>
        <w:tc>
          <w:tcPr>
            <w:tcW w:w="5568" w:type="dxa"/>
            <w:noWrap w:val="0"/>
            <w:vAlign w:val="center"/>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3048" w:type="dxa"/>
            <w:noWrap w:val="0"/>
            <w:vAlign w:val="center"/>
          </w:tcPr>
          <w:p>
            <w:pPr>
              <w:widowControl/>
              <w:spacing w:line="400" w:lineRule="exact"/>
              <w:jc w:val="both"/>
              <w:rPr>
                <w:sz w:val="24"/>
                <w:szCs w:val="24"/>
              </w:rPr>
            </w:pPr>
            <w:r>
              <w:rPr>
                <w:rFonts w:hint="eastAsia" w:ascii="宋体" w:hAnsi="宋体" w:eastAsia="宋体" w:cs="宋体"/>
                <w:kern w:val="0"/>
                <w:sz w:val="24"/>
                <w:szCs w:val="24"/>
                <w:lang w:eastAsia="zh-CN"/>
              </w:rPr>
              <w:t>计划工期</w:t>
            </w:r>
          </w:p>
        </w:tc>
        <w:tc>
          <w:tcPr>
            <w:tcW w:w="5568" w:type="dxa"/>
            <w:noWrap w:val="0"/>
            <w:vAlign w:val="center"/>
          </w:tcPr>
          <w:p>
            <w:pPr>
              <w:widowControl/>
              <w:spacing w:line="400" w:lineRule="exact"/>
              <w:jc w:val="center"/>
              <w:rPr>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3048" w:type="dxa"/>
            <w:noWrap w:val="0"/>
            <w:vAlign w:val="center"/>
          </w:tcPr>
          <w:p>
            <w:pPr>
              <w:widowControl/>
              <w:spacing w:line="400" w:lineRule="exact"/>
              <w:jc w:val="both"/>
              <w:rPr>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总报价（元）</w:t>
            </w:r>
          </w:p>
        </w:tc>
        <w:tc>
          <w:tcPr>
            <w:tcW w:w="5568" w:type="dxa"/>
            <w:noWrap w:val="0"/>
            <w:vAlign w:val="center"/>
          </w:tcPr>
          <w:p>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大写金额：    </w:t>
            </w:r>
          </w:p>
          <w:p>
            <w:pPr>
              <w:widowControl/>
              <w:spacing w:line="400" w:lineRule="exact"/>
              <w:jc w:val="left"/>
              <w:rPr>
                <w:sz w:val="24"/>
                <w:szCs w:val="24"/>
              </w:rPr>
            </w:pPr>
            <w:r>
              <w:rPr>
                <w:rFonts w:hint="eastAsia" w:ascii="宋体" w:hAnsi="宋体" w:eastAsia="宋体" w:cs="宋体"/>
                <w:kern w:val="0"/>
                <w:sz w:val="24"/>
                <w:szCs w:val="24"/>
                <w:lang w:eastAsia="zh-CN"/>
              </w:rPr>
              <w:t>小写金额：</w:t>
            </w:r>
            <w:r>
              <w:rPr>
                <w:rFonts w:hint="eastAsia"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3048" w:type="dxa"/>
            <w:noWrap w:val="0"/>
            <w:vAlign w:val="center"/>
          </w:tcPr>
          <w:p>
            <w:pPr>
              <w:spacing w:line="360" w:lineRule="auto"/>
              <w:rPr>
                <w:sz w:val="24"/>
                <w:szCs w:val="24"/>
              </w:rPr>
            </w:pPr>
            <w:r>
              <w:rPr>
                <w:rFonts w:hint="eastAsia"/>
                <w:sz w:val="24"/>
                <w:szCs w:val="24"/>
              </w:rPr>
              <w:t>备注说明</w:t>
            </w:r>
          </w:p>
        </w:tc>
        <w:tc>
          <w:tcPr>
            <w:tcW w:w="5568" w:type="dxa"/>
            <w:noWrap w:val="0"/>
            <w:vAlign w:val="center"/>
          </w:tcPr>
          <w:p>
            <w:pPr>
              <w:spacing w:line="360" w:lineRule="auto"/>
              <w:rPr>
                <w:sz w:val="24"/>
                <w:szCs w:val="24"/>
              </w:rPr>
            </w:pPr>
          </w:p>
        </w:tc>
      </w:tr>
    </w:tbl>
    <w:p>
      <w:pPr>
        <w:spacing w:line="360" w:lineRule="auto"/>
        <w:ind w:firstLine="820" w:firstLineChars="342"/>
        <w:rPr>
          <w:rFonts w:hint="eastAsia" w:ascii="宋体" w:hAnsi="宋体" w:eastAsia="宋体" w:cs="宋体"/>
          <w:sz w:val="24"/>
          <w:szCs w:val="24"/>
        </w:rPr>
      </w:pPr>
      <w:r>
        <w:rPr>
          <w:rFonts w:hint="eastAsia" w:ascii="宋体" w:hAnsi="宋体" w:eastAsia="宋体" w:cs="宋体"/>
          <w:sz w:val="24"/>
          <w:szCs w:val="24"/>
          <w:lang w:val="zh-CN"/>
        </w:rPr>
        <w:t>投标人：（盖章）</w:t>
      </w:r>
    </w:p>
    <w:p>
      <w:pPr>
        <w:spacing w:line="360" w:lineRule="auto"/>
        <w:ind w:firstLine="820" w:firstLineChars="342"/>
        <w:rPr>
          <w:rFonts w:hint="eastAsia" w:ascii="宋体" w:hAnsi="宋体" w:eastAsia="宋体" w:cs="宋体"/>
          <w:sz w:val="24"/>
          <w:szCs w:val="24"/>
          <w:lang w:val="zh-CN"/>
        </w:rPr>
      </w:pPr>
    </w:p>
    <w:p>
      <w:pPr>
        <w:spacing w:line="360" w:lineRule="auto"/>
        <w:ind w:firstLine="820" w:firstLineChars="342"/>
        <w:rPr>
          <w:rFonts w:hint="eastAsia" w:ascii="宋体" w:hAnsi="宋体" w:eastAsia="宋体" w:cs="宋体"/>
          <w:sz w:val="24"/>
          <w:szCs w:val="24"/>
          <w:lang w:val="zh-CN"/>
        </w:rPr>
      </w:pPr>
      <w:r>
        <w:rPr>
          <w:rFonts w:hint="eastAsia" w:ascii="宋体" w:hAnsi="宋体" w:eastAsia="宋体" w:cs="宋体"/>
          <w:sz w:val="24"/>
          <w:szCs w:val="24"/>
          <w:lang w:val="zh-CN"/>
        </w:rPr>
        <w:t>法定代表人</w:t>
      </w:r>
      <w:r>
        <w:rPr>
          <w:rFonts w:hint="eastAsia" w:ascii="宋体" w:hAnsi="宋体" w:eastAsia="宋体" w:cs="宋体"/>
          <w:sz w:val="24"/>
          <w:szCs w:val="24"/>
          <w:lang w:val="zh-CN" w:eastAsia="zh-CN"/>
        </w:rPr>
        <w:t>（企业注册人）</w:t>
      </w:r>
      <w:r>
        <w:rPr>
          <w:rFonts w:hint="eastAsia" w:ascii="宋体" w:hAnsi="宋体" w:eastAsia="宋体" w:cs="宋体"/>
          <w:sz w:val="24"/>
          <w:szCs w:val="24"/>
          <w:lang w:val="zh-CN"/>
        </w:rPr>
        <w:t>或委托代理人：（盖章）</w:t>
      </w:r>
    </w:p>
    <w:p>
      <w:pPr>
        <w:spacing w:line="360" w:lineRule="auto"/>
        <w:ind w:firstLine="957" w:firstLineChars="342"/>
        <w:rPr>
          <w:rFonts w:hint="eastAsia" w:ascii="宋体" w:hAnsi="宋体" w:eastAsia="宋体" w:cs="宋体"/>
          <w:sz w:val="28"/>
          <w:szCs w:val="28"/>
        </w:rPr>
      </w:pPr>
    </w:p>
    <w:p>
      <w:pPr>
        <w:spacing w:line="360" w:lineRule="auto"/>
        <w:ind w:firstLine="480" w:firstLineChars="200"/>
        <w:rPr>
          <w:sz w:val="24"/>
          <w:szCs w:val="24"/>
        </w:rPr>
      </w:pPr>
      <w:r>
        <w:rPr>
          <w:rFonts w:hint="eastAsia" w:ascii="宋体" w:hAnsi="宋体" w:eastAsia="宋体" w:cs="宋体"/>
          <w:sz w:val="24"/>
          <w:szCs w:val="24"/>
          <w:lang w:val="zh-CN"/>
        </w:rPr>
        <w:t>日期：</w:t>
      </w:r>
      <w:r>
        <w:rPr>
          <w:rFonts w:hint="eastAsia" w:ascii="宋体" w:hAnsi="宋体" w:eastAsia="宋体" w:cs="宋体"/>
          <w:sz w:val="24"/>
          <w:szCs w:val="24"/>
        </w:rPr>
        <w:t xml:space="preserve">   </w:t>
      </w:r>
      <w:r>
        <w:rPr>
          <w:rFonts w:hint="eastAsia" w:ascii="宋体" w:hAnsi="宋体" w:eastAsia="宋体" w:cs="宋体"/>
          <w:sz w:val="24"/>
          <w:szCs w:val="24"/>
          <w:lang w:val="zh-CN"/>
        </w:rPr>
        <w:t>年</w:t>
      </w:r>
      <w:r>
        <w:rPr>
          <w:rFonts w:hint="eastAsia" w:ascii="宋体" w:hAnsi="宋体" w:eastAsia="宋体" w:cs="宋体"/>
          <w:sz w:val="24"/>
          <w:szCs w:val="24"/>
        </w:rPr>
        <w:t xml:space="preserve">    </w:t>
      </w:r>
      <w:r>
        <w:rPr>
          <w:rFonts w:hint="eastAsia" w:ascii="宋体" w:hAnsi="宋体" w:eastAsia="宋体" w:cs="宋体"/>
          <w:sz w:val="24"/>
          <w:szCs w:val="24"/>
          <w:lang w:val="zh-CN"/>
        </w:rPr>
        <w:t>月</w:t>
      </w:r>
      <w:r>
        <w:rPr>
          <w:rFonts w:hint="eastAsia" w:ascii="宋体" w:hAnsi="宋体" w:eastAsia="宋体" w:cs="宋体"/>
          <w:sz w:val="24"/>
          <w:szCs w:val="24"/>
        </w:rPr>
        <w:t xml:space="preserve">   </w:t>
      </w:r>
      <w:r>
        <w:rPr>
          <w:rFonts w:hint="eastAsia" w:ascii="宋体" w:hAnsi="宋体" w:eastAsia="宋体" w:cs="宋体"/>
          <w:sz w:val="24"/>
          <w:szCs w:val="24"/>
          <w:lang w:val="zh-CN"/>
        </w:rPr>
        <w:t>日</w:t>
      </w:r>
      <w:r>
        <w:rPr>
          <w:sz w:val="24"/>
          <w:szCs w:val="24"/>
        </w:rPr>
        <w:tab/>
      </w:r>
    </w:p>
    <w:p>
      <w:pPr>
        <w:spacing w:line="360" w:lineRule="auto"/>
        <w:ind w:firstLine="482" w:firstLineChars="200"/>
        <w:rPr>
          <w:b/>
          <w:bCs/>
          <w:sz w:val="24"/>
          <w:szCs w:val="24"/>
        </w:rPr>
      </w:pPr>
      <w:r>
        <w:rPr>
          <w:rFonts w:hint="eastAsia"/>
          <w:b/>
          <w:bCs/>
          <w:sz w:val="24"/>
          <w:szCs w:val="24"/>
        </w:rPr>
        <w:t>注：上述《最终报价承诺书》由供应商在谈判现场依谈判情况填写，请加盖公章后带至谈判现场备填</w:t>
      </w:r>
      <w:r>
        <w:rPr>
          <w:b/>
          <w:bCs/>
          <w:sz w:val="24"/>
          <w:szCs w:val="24"/>
        </w:rPr>
        <w:t>(</w:t>
      </w:r>
      <w:r>
        <w:rPr>
          <w:rFonts w:hint="eastAsia"/>
          <w:b/>
          <w:bCs/>
          <w:sz w:val="24"/>
          <w:szCs w:val="24"/>
        </w:rPr>
        <w:t>不需装订在响应文件内</w:t>
      </w:r>
      <w:r>
        <w:rPr>
          <w:b/>
          <w:bCs/>
          <w:sz w:val="24"/>
          <w:szCs w:val="24"/>
        </w:rPr>
        <w:t>)</w:t>
      </w:r>
      <w:r>
        <w:rPr>
          <w:rFonts w:hint="eastAsia"/>
          <w:b/>
          <w:bCs/>
          <w:sz w:val="24"/>
          <w:szCs w:val="24"/>
        </w:rPr>
        <w:t>。考虑谈判报价的方便，供应商在填写最终承诺报价后，</w:t>
      </w:r>
      <w:r>
        <w:rPr>
          <w:b/>
          <w:bCs/>
          <w:sz w:val="24"/>
          <w:szCs w:val="24"/>
        </w:rPr>
        <w:t>(</w:t>
      </w:r>
      <w:r>
        <w:rPr>
          <w:rFonts w:hint="eastAsia"/>
          <w:b/>
          <w:bCs/>
          <w:sz w:val="24"/>
          <w:szCs w:val="24"/>
        </w:rPr>
        <w:t>第一次报价－最终承诺报价</w:t>
      </w:r>
      <w:r>
        <w:rPr>
          <w:b/>
          <w:bCs/>
          <w:sz w:val="24"/>
          <w:szCs w:val="24"/>
        </w:rPr>
        <w:t>)</w:t>
      </w:r>
      <w:r>
        <w:rPr>
          <w:rFonts w:hint="eastAsia"/>
          <w:b/>
          <w:bCs/>
          <w:sz w:val="24"/>
          <w:szCs w:val="24"/>
        </w:rPr>
        <w:t>除以第一次报价后得出的优惠率视同为需求表中全部分项设备或服务的优惠浮动值</w:t>
      </w:r>
      <w:r>
        <w:rPr>
          <w:b/>
          <w:bCs/>
          <w:sz w:val="24"/>
          <w:szCs w:val="24"/>
        </w:rPr>
        <w:t>(</w:t>
      </w:r>
      <w:r>
        <w:rPr>
          <w:rFonts w:hint="eastAsia"/>
          <w:b/>
          <w:bCs/>
          <w:sz w:val="24"/>
          <w:szCs w:val="24"/>
        </w:rPr>
        <w:t>特定分项优惠除外</w:t>
      </w:r>
      <w:r>
        <w:rPr>
          <w:b/>
          <w:bCs/>
          <w:sz w:val="24"/>
          <w:szCs w:val="24"/>
        </w:rPr>
        <w:t>)</w:t>
      </w:r>
      <w:r>
        <w:rPr>
          <w:rFonts w:hint="eastAsia"/>
          <w:b/>
          <w:bCs/>
          <w:sz w:val="24"/>
          <w:szCs w:val="24"/>
        </w:rPr>
        <w:t>。此优惠率调整原则适用于合同内价格的计算及项目增减、变更时价格的计算。</w:t>
      </w:r>
    </w:p>
    <w:p>
      <w:pPr>
        <w:spacing w:line="360" w:lineRule="auto"/>
        <w:jc w:val="center"/>
        <w:outlineLvl w:val="0"/>
        <w:rPr>
          <w:rFonts w:hint="eastAsia" w:ascii="宋体" w:hAnsi="宋体" w:eastAsia="宋体" w:cs="宋体"/>
          <w:b/>
          <w:bCs/>
          <w:sz w:val="32"/>
          <w:szCs w:val="32"/>
          <w:lang w:eastAsia="zh-CN"/>
        </w:rPr>
      </w:pPr>
    </w:p>
    <w:p>
      <w:pPr>
        <w:spacing w:line="360" w:lineRule="auto"/>
        <w:jc w:val="center"/>
        <w:outlineLvl w:val="0"/>
        <w:rPr>
          <w:rFonts w:hint="eastAsia" w:ascii="宋体" w:hAnsi="宋体" w:eastAsia="宋体" w:cs="宋体"/>
          <w:bCs/>
          <w:szCs w:val="28"/>
          <w:lang w:eastAsia="zh-CN"/>
        </w:rPr>
      </w:pPr>
      <w:bookmarkStart w:id="134" w:name="_Toc10831"/>
      <w:r>
        <w:rPr>
          <w:rFonts w:hint="eastAsia" w:ascii="宋体" w:hAnsi="宋体" w:eastAsia="宋体" w:cs="宋体"/>
          <w:b/>
          <w:bCs/>
          <w:sz w:val="32"/>
          <w:szCs w:val="32"/>
          <w:lang w:eastAsia="zh-CN"/>
        </w:rPr>
        <w:t>七</w:t>
      </w:r>
      <w:r>
        <w:rPr>
          <w:rFonts w:hint="eastAsia" w:ascii="宋体" w:hAnsi="宋体" w:eastAsia="宋体" w:cs="宋体"/>
          <w:b/>
          <w:bCs/>
          <w:sz w:val="32"/>
          <w:szCs w:val="32"/>
        </w:rPr>
        <w:t>、</w:t>
      </w:r>
      <w:r>
        <w:rPr>
          <w:rFonts w:hint="eastAsia" w:ascii="宋体" w:hAnsi="宋体" w:eastAsia="宋体" w:cs="宋体"/>
          <w:b/>
          <w:bCs/>
          <w:sz w:val="32"/>
          <w:szCs w:val="32"/>
          <w:lang w:eastAsia="zh-CN"/>
        </w:rPr>
        <w:t>已标价工程量清单</w:t>
      </w:r>
      <w:bookmarkEnd w:id="134"/>
    </w:p>
    <w:p>
      <w:pPr>
        <w:pStyle w:val="4"/>
        <w:spacing w:line="400" w:lineRule="exact"/>
        <w:jc w:val="center"/>
        <w:outlineLvl w:val="0"/>
        <w:rPr>
          <w:rFonts w:hint="eastAsia" w:ascii="宋体" w:hAnsi="宋体" w:eastAsia="宋体" w:cs="宋体"/>
          <w:bCs/>
          <w:kern w:val="0"/>
          <w:sz w:val="32"/>
          <w:szCs w:val="32"/>
        </w:rPr>
      </w:pPr>
      <w:bookmarkStart w:id="135" w:name="_Toc279996725"/>
      <w:bookmarkStart w:id="136" w:name="_Toc217446087"/>
      <w:bookmarkStart w:id="137" w:name="_Toc14835"/>
      <w:r>
        <w:rPr>
          <w:rFonts w:hint="eastAsia" w:ascii="宋体" w:hAnsi="宋体" w:eastAsia="宋体" w:cs="宋体"/>
          <w:bCs/>
          <w:sz w:val="32"/>
          <w:szCs w:val="32"/>
          <w:lang w:eastAsia="zh-CN"/>
        </w:rPr>
        <w:br w:type="page"/>
      </w:r>
      <w:bookmarkStart w:id="138" w:name="_Toc3956"/>
      <w:r>
        <w:rPr>
          <w:rFonts w:hint="eastAsia" w:ascii="宋体" w:hAnsi="宋体" w:eastAsia="宋体" w:cs="宋体"/>
          <w:bCs/>
          <w:sz w:val="32"/>
          <w:szCs w:val="32"/>
          <w:lang w:eastAsia="zh-CN"/>
        </w:rPr>
        <w:t>八</w:t>
      </w:r>
      <w:r>
        <w:rPr>
          <w:rFonts w:hint="eastAsia" w:ascii="宋体" w:hAnsi="宋体" w:eastAsia="宋体" w:cs="宋体"/>
          <w:bCs/>
          <w:sz w:val="32"/>
          <w:szCs w:val="32"/>
        </w:rPr>
        <w:t>、</w:t>
      </w:r>
      <w:bookmarkEnd w:id="135"/>
      <w:bookmarkEnd w:id="136"/>
      <w:bookmarkStart w:id="139" w:name="_Toc217446088"/>
      <w:bookmarkStart w:id="140" w:name="_Toc279996726"/>
      <w:r>
        <w:rPr>
          <w:rFonts w:hint="eastAsia" w:ascii="宋体" w:hAnsi="宋体" w:eastAsia="宋体" w:cs="宋体"/>
          <w:bCs/>
          <w:sz w:val="32"/>
          <w:szCs w:val="32"/>
          <w:lang w:eastAsia="zh-CN"/>
        </w:rPr>
        <w:t>（</w:t>
      </w:r>
      <w:r>
        <w:rPr>
          <w:rFonts w:hint="eastAsia" w:ascii="宋体" w:hAnsi="宋体" w:eastAsia="宋体" w:cs="宋体"/>
          <w:bCs/>
          <w:sz w:val="32"/>
          <w:szCs w:val="32"/>
          <w:lang w:val="en-US" w:eastAsia="zh-CN"/>
        </w:rPr>
        <w:t>1</w:t>
      </w:r>
      <w:r>
        <w:rPr>
          <w:rFonts w:hint="eastAsia" w:ascii="宋体" w:hAnsi="宋体" w:eastAsia="宋体" w:cs="宋体"/>
          <w:bCs/>
          <w:sz w:val="32"/>
          <w:szCs w:val="32"/>
          <w:lang w:eastAsia="zh-CN"/>
        </w:rPr>
        <w:t>）</w:t>
      </w:r>
      <w:r>
        <w:rPr>
          <w:rFonts w:hint="eastAsia" w:ascii="宋体" w:hAnsi="宋体" w:eastAsia="宋体" w:cs="宋体"/>
          <w:bCs/>
          <w:kern w:val="0"/>
          <w:sz w:val="32"/>
          <w:szCs w:val="32"/>
          <w:lang w:eastAsia="zh-CN"/>
        </w:rPr>
        <w:t>投标人</w:t>
      </w:r>
      <w:r>
        <w:rPr>
          <w:rFonts w:hint="eastAsia" w:ascii="宋体" w:hAnsi="宋体" w:eastAsia="宋体" w:cs="宋体"/>
          <w:bCs/>
          <w:kern w:val="0"/>
          <w:sz w:val="32"/>
          <w:szCs w:val="32"/>
        </w:rPr>
        <w:t>基本情况表</w:t>
      </w:r>
      <w:bookmarkEnd w:id="137"/>
      <w:bookmarkEnd w:id="138"/>
      <w:bookmarkEnd w:id="139"/>
      <w:bookmarkEnd w:id="140"/>
    </w:p>
    <w:tbl>
      <w:tblPr>
        <w:tblStyle w:val="38"/>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20"/>
        <w:gridCol w:w="1081"/>
        <w:gridCol w:w="1399"/>
        <w:gridCol w:w="1401"/>
        <w:gridCol w:w="8"/>
        <w:gridCol w:w="1484"/>
        <w:gridCol w:w="436"/>
        <w:gridCol w:w="875"/>
        <w:gridCol w:w="12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20"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w:t>
            </w:r>
          </w:p>
        </w:tc>
        <w:tc>
          <w:tcPr>
            <w:tcW w:w="7908" w:type="dxa"/>
            <w:gridSpan w:val="8"/>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20"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889" w:type="dxa"/>
            <w:gridSpan w:val="4"/>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484"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邮政编码</w:t>
            </w:r>
          </w:p>
        </w:tc>
        <w:tc>
          <w:tcPr>
            <w:tcW w:w="2535" w:type="dxa"/>
            <w:gridSpan w:val="3"/>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20" w:type="dxa"/>
            <w:vMerge w:val="restart"/>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联系方式</w:t>
            </w:r>
          </w:p>
        </w:tc>
        <w:tc>
          <w:tcPr>
            <w:tcW w:w="1081"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联系人</w:t>
            </w:r>
          </w:p>
        </w:tc>
        <w:tc>
          <w:tcPr>
            <w:tcW w:w="2800"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492"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2535" w:type="dxa"/>
            <w:gridSpan w:val="3"/>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720" w:type="dxa"/>
            <w:vMerge w:val="continue"/>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081"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传真</w:t>
            </w:r>
          </w:p>
        </w:tc>
        <w:tc>
          <w:tcPr>
            <w:tcW w:w="2800"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492"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网址</w:t>
            </w:r>
          </w:p>
        </w:tc>
        <w:tc>
          <w:tcPr>
            <w:tcW w:w="2535" w:type="dxa"/>
            <w:gridSpan w:val="3"/>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1720"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组织结构</w:t>
            </w:r>
          </w:p>
        </w:tc>
        <w:tc>
          <w:tcPr>
            <w:tcW w:w="7908" w:type="dxa"/>
            <w:gridSpan w:val="8"/>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720"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lang w:eastAsia="zh-CN"/>
              </w:rPr>
              <w:t>（企业注册人）</w:t>
            </w:r>
          </w:p>
        </w:tc>
        <w:tc>
          <w:tcPr>
            <w:tcW w:w="1081"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399"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401"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492"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311"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1224" w:type="dxa"/>
            <w:noWrap w:val="0"/>
            <w:vAlign w:val="center"/>
          </w:tcPr>
          <w:p>
            <w:pPr>
              <w:autoSpaceDE w:val="0"/>
              <w:autoSpaceDN w:val="0"/>
              <w:adjustRightInd w:val="0"/>
              <w:spacing w:line="400" w:lineRule="exact"/>
              <w:jc w:val="center"/>
              <w:rPr>
                <w:rFonts w:hint="eastAsia" w:ascii="宋体" w:hAnsi="宋体" w:eastAsia="宋体"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720"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技术负责人</w:t>
            </w:r>
          </w:p>
        </w:tc>
        <w:tc>
          <w:tcPr>
            <w:tcW w:w="1081"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399"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401"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492"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311"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1224" w:type="dxa"/>
            <w:noWrap w:val="0"/>
            <w:vAlign w:val="center"/>
          </w:tcPr>
          <w:p>
            <w:pPr>
              <w:autoSpaceDE w:val="0"/>
              <w:autoSpaceDN w:val="0"/>
              <w:adjustRightInd w:val="0"/>
              <w:spacing w:line="400" w:lineRule="exact"/>
              <w:jc w:val="center"/>
              <w:rPr>
                <w:rFonts w:hint="eastAsia" w:ascii="宋体" w:hAnsi="宋体" w:eastAsia="宋体"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20"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2480"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5428" w:type="dxa"/>
            <w:gridSpan w:val="6"/>
            <w:noWrap w:val="0"/>
            <w:vAlign w:val="center"/>
          </w:tcPr>
          <w:p>
            <w:pPr>
              <w:autoSpaceDE w:val="0"/>
              <w:autoSpaceDN w:val="0"/>
              <w:adjustRightInd w:val="0"/>
              <w:spacing w:line="400" w:lineRule="exact"/>
              <w:ind w:firstLine="1680" w:firstLineChars="700"/>
              <w:rPr>
                <w:rFonts w:hint="eastAsia" w:ascii="宋体" w:hAnsi="宋体" w:eastAsia="宋体" w:cs="宋体"/>
                <w:kern w:val="0"/>
                <w:sz w:val="24"/>
                <w:szCs w:val="24"/>
              </w:rPr>
            </w:pPr>
            <w:r>
              <w:rPr>
                <w:rFonts w:hint="eastAsia" w:ascii="宋体" w:hAnsi="宋体" w:eastAsia="宋体" w:cs="宋体"/>
                <w:kern w:val="0"/>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5" w:hRule="atLeast"/>
        </w:trPr>
        <w:tc>
          <w:tcPr>
            <w:tcW w:w="1720"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营业执照号</w:t>
            </w:r>
          </w:p>
        </w:tc>
        <w:tc>
          <w:tcPr>
            <w:tcW w:w="2480"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401" w:type="dxa"/>
            <w:vMerge w:val="restart"/>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其中</w:t>
            </w:r>
          </w:p>
        </w:tc>
        <w:tc>
          <w:tcPr>
            <w:tcW w:w="1928" w:type="dxa"/>
            <w:gridSpan w:val="3"/>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高级职称人员</w:t>
            </w:r>
          </w:p>
        </w:tc>
        <w:tc>
          <w:tcPr>
            <w:tcW w:w="2099" w:type="dxa"/>
            <w:gridSpan w:val="2"/>
            <w:noWrap w:val="0"/>
            <w:vAlign w:val="center"/>
          </w:tcPr>
          <w:p>
            <w:pPr>
              <w:autoSpaceDE w:val="0"/>
              <w:autoSpaceDN w:val="0"/>
              <w:adjustRightInd w:val="0"/>
              <w:spacing w:line="400" w:lineRule="exact"/>
              <w:jc w:val="center"/>
              <w:rPr>
                <w:rFonts w:hint="eastAsia" w:ascii="宋体" w:hAnsi="宋体" w:eastAsia="宋体"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20"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注册资金</w:t>
            </w:r>
          </w:p>
        </w:tc>
        <w:tc>
          <w:tcPr>
            <w:tcW w:w="2480"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401" w:type="dxa"/>
            <w:vMerge w:val="continue"/>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928" w:type="dxa"/>
            <w:gridSpan w:val="3"/>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中级职称人员</w:t>
            </w:r>
          </w:p>
        </w:tc>
        <w:tc>
          <w:tcPr>
            <w:tcW w:w="2099" w:type="dxa"/>
            <w:gridSpan w:val="2"/>
            <w:noWrap w:val="0"/>
            <w:vAlign w:val="center"/>
          </w:tcPr>
          <w:p>
            <w:pPr>
              <w:autoSpaceDE w:val="0"/>
              <w:autoSpaceDN w:val="0"/>
              <w:adjustRightInd w:val="0"/>
              <w:spacing w:line="400" w:lineRule="exact"/>
              <w:jc w:val="center"/>
              <w:rPr>
                <w:rFonts w:hint="eastAsia" w:ascii="宋体" w:hAnsi="宋体" w:eastAsia="宋体"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20"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2480"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401" w:type="dxa"/>
            <w:vMerge w:val="continue"/>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928" w:type="dxa"/>
            <w:gridSpan w:val="3"/>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初级职称人员</w:t>
            </w:r>
          </w:p>
        </w:tc>
        <w:tc>
          <w:tcPr>
            <w:tcW w:w="2099" w:type="dxa"/>
            <w:gridSpan w:val="2"/>
            <w:noWrap w:val="0"/>
            <w:vAlign w:val="center"/>
          </w:tcPr>
          <w:p>
            <w:pPr>
              <w:autoSpaceDE w:val="0"/>
              <w:autoSpaceDN w:val="0"/>
              <w:adjustRightInd w:val="0"/>
              <w:spacing w:line="400" w:lineRule="exact"/>
              <w:jc w:val="center"/>
              <w:rPr>
                <w:rFonts w:hint="eastAsia" w:ascii="宋体" w:hAnsi="宋体" w:eastAsia="宋体"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20"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2480" w:type="dxa"/>
            <w:gridSpan w:val="2"/>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401" w:type="dxa"/>
            <w:vMerge w:val="continue"/>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p>
        </w:tc>
        <w:tc>
          <w:tcPr>
            <w:tcW w:w="1928" w:type="dxa"/>
            <w:gridSpan w:val="3"/>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技工</w:t>
            </w:r>
          </w:p>
        </w:tc>
        <w:tc>
          <w:tcPr>
            <w:tcW w:w="2099" w:type="dxa"/>
            <w:gridSpan w:val="2"/>
            <w:noWrap w:val="0"/>
            <w:vAlign w:val="center"/>
          </w:tcPr>
          <w:p>
            <w:pPr>
              <w:autoSpaceDE w:val="0"/>
              <w:autoSpaceDN w:val="0"/>
              <w:adjustRightInd w:val="0"/>
              <w:spacing w:line="400" w:lineRule="exact"/>
              <w:jc w:val="center"/>
              <w:rPr>
                <w:rFonts w:hint="eastAsia" w:ascii="宋体" w:hAnsi="宋体" w:eastAsia="宋体"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70" w:hRule="atLeast"/>
        </w:trPr>
        <w:tc>
          <w:tcPr>
            <w:tcW w:w="1720" w:type="dxa"/>
            <w:noWrap w:val="0"/>
            <w:vAlign w:val="center"/>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908" w:type="dxa"/>
            <w:gridSpan w:val="8"/>
            <w:noWrap w:val="0"/>
            <w:vAlign w:val="center"/>
          </w:tcPr>
          <w:p>
            <w:pPr>
              <w:autoSpaceDE w:val="0"/>
              <w:autoSpaceDN w:val="0"/>
              <w:adjustRightInd w:val="0"/>
              <w:spacing w:line="400" w:lineRule="exact"/>
              <w:rPr>
                <w:rFonts w:hint="eastAsia" w:ascii="宋体" w:hAnsi="宋体" w:eastAsia="宋体"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720" w:type="dxa"/>
            <w:noWrap w:val="0"/>
            <w:vAlign w:val="top"/>
          </w:tcPr>
          <w:p>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7908" w:type="dxa"/>
            <w:gridSpan w:val="8"/>
            <w:noWrap w:val="0"/>
            <w:vAlign w:val="top"/>
          </w:tcPr>
          <w:p>
            <w:pPr>
              <w:autoSpaceDE w:val="0"/>
              <w:autoSpaceDN w:val="0"/>
              <w:adjustRightInd w:val="0"/>
              <w:spacing w:line="400" w:lineRule="exact"/>
              <w:jc w:val="left"/>
              <w:rPr>
                <w:rFonts w:hint="eastAsia" w:ascii="宋体" w:hAnsi="宋体" w:eastAsia="宋体" w:cs="宋体"/>
                <w:kern w:val="0"/>
                <w:sz w:val="24"/>
                <w:szCs w:val="24"/>
              </w:rPr>
            </w:pPr>
          </w:p>
        </w:tc>
      </w:tr>
    </w:tbl>
    <w:p>
      <w:pPr>
        <w:spacing w:line="400" w:lineRule="exact"/>
        <w:outlineLvl w:val="9"/>
        <w:rPr>
          <w:rFonts w:hint="eastAsia" w:ascii="宋体" w:hAnsi="宋体" w:eastAsia="宋体" w:cs="宋体"/>
          <w:b/>
          <w:sz w:val="32"/>
          <w:szCs w:val="32"/>
        </w:rPr>
      </w:pPr>
    </w:p>
    <w:p>
      <w:pPr>
        <w:adjustRightInd w:val="0"/>
        <w:spacing w:line="400" w:lineRule="exact"/>
        <w:ind w:firstLine="420" w:firstLineChars="175"/>
        <w:jc w:val="left"/>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名称：        （盖章）</w:t>
      </w:r>
    </w:p>
    <w:p>
      <w:pPr>
        <w:adjustRightInd w:val="0"/>
        <w:spacing w:line="400" w:lineRule="exact"/>
        <w:ind w:firstLine="420" w:firstLineChars="175"/>
        <w:jc w:val="left"/>
        <w:rPr>
          <w:rFonts w:hint="eastAsia" w:ascii="宋体" w:hAnsi="宋体" w:eastAsia="宋体" w:cs="宋体"/>
          <w:bCs/>
          <w:sz w:val="24"/>
          <w:szCs w:val="24"/>
        </w:rPr>
      </w:pPr>
      <w:r>
        <w:rPr>
          <w:rFonts w:hint="eastAsia" w:ascii="宋体" w:hAnsi="宋体" w:eastAsia="宋体" w:cs="宋体"/>
          <w:sz w:val="24"/>
          <w:szCs w:val="24"/>
        </w:rPr>
        <w:t>法定代表</w:t>
      </w:r>
      <w:r>
        <w:rPr>
          <w:rFonts w:hint="eastAsia" w:ascii="宋体" w:hAnsi="宋体" w:eastAsia="宋体" w:cs="宋体"/>
          <w:bCs/>
          <w:sz w:val="24"/>
          <w:szCs w:val="24"/>
        </w:rPr>
        <w:t>人</w:t>
      </w:r>
      <w:r>
        <w:rPr>
          <w:rFonts w:hint="eastAsia" w:ascii="宋体" w:hAnsi="宋体" w:eastAsia="宋体" w:cs="宋体"/>
          <w:bCs/>
          <w:sz w:val="24"/>
          <w:szCs w:val="24"/>
          <w:lang w:eastAsia="zh-CN"/>
        </w:rPr>
        <w:t>（企业注册人）</w:t>
      </w:r>
      <w:r>
        <w:rPr>
          <w:rFonts w:hint="eastAsia" w:ascii="宋体" w:hAnsi="宋体" w:eastAsia="宋体" w:cs="宋体"/>
          <w:bCs/>
          <w:sz w:val="24"/>
          <w:szCs w:val="24"/>
        </w:rPr>
        <w:t>或授</w:t>
      </w:r>
      <w:r>
        <w:rPr>
          <w:rFonts w:hint="eastAsia" w:ascii="宋体" w:hAnsi="宋体" w:eastAsia="宋体" w:cs="宋体"/>
          <w:sz w:val="24"/>
          <w:szCs w:val="24"/>
        </w:rPr>
        <w:t>权代表（签字）</w:t>
      </w:r>
      <w:r>
        <w:rPr>
          <w:rFonts w:hint="eastAsia" w:ascii="宋体" w:hAnsi="宋体" w:eastAsia="宋体" w:cs="宋体"/>
          <w:bCs/>
          <w:sz w:val="24"/>
          <w:szCs w:val="24"/>
        </w:rPr>
        <w:t>：</w:t>
      </w:r>
    </w:p>
    <w:p>
      <w:pPr>
        <w:keepNext w:val="0"/>
        <w:keepLines w:val="0"/>
        <w:pageBreakBefore w:val="0"/>
        <w:numPr>
          <w:ilvl w:val="0"/>
          <w:numId w:val="0"/>
        </w:numPr>
        <w:kinsoku/>
        <w:wordWrap/>
        <w:overflowPunct/>
        <w:topLinePunct w:val="0"/>
        <w:bidi w:val="0"/>
        <w:adjustRightInd/>
        <w:snapToGrid/>
        <w:spacing w:line="460" w:lineRule="exac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备注：</w:t>
      </w:r>
      <w:r>
        <w:rPr>
          <w:rFonts w:hint="eastAsia" w:ascii="宋体" w:hAnsi="宋体" w:eastAsia="宋体" w:cs="宋体"/>
          <w:sz w:val="24"/>
          <w:szCs w:val="24"/>
        </w:rPr>
        <w:t>营业执照、</w:t>
      </w:r>
      <w:r>
        <w:rPr>
          <w:rFonts w:hint="eastAsia" w:ascii="宋体" w:hAnsi="宋体" w:eastAsia="宋体" w:cs="宋体"/>
          <w:sz w:val="24"/>
          <w:szCs w:val="24"/>
          <w:lang w:eastAsia="zh-CN"/>
        </w:rPr>
        <w:t>资质证书、</w:t>
      </w:r>
      <w:r>
        <w:rPr>
          <w:rFonts w:hint="eastAsia" w:ascii="宋体" w:hAnsi="宋体" w:eastAsia="宋体" w:cs="宋体"/>
          <w:sz w:val="24"/>
          <w:szCs w:val="24"/>
          <w:lang w:val="en-US" w:eastAsia="zh-CN"/>
        </w:rPr>
        <w:t>“信用中国”网站（www.creditchina.gov.cn）和中国政府采购网（www.ccgp.gov.cn）查询结果截图（日期必须在自本公告发布日期之后）等。</w:t>
      </w:r>
    </w:p>
    <w:p>
      <w:pPr>
        <w:spacing w:line="440" w:lineRule="exact"/>
        <w:jc w:val="center"/>
        <w:rPr>
          <w:rFonts w:hint="eastAsia" w:ascii="宋体" w:hAnsi="宋体" w:eastAsia="宋体" w:cs="宋体"/>
          <w:b/>
          <w:bCs/>
          <w:kern w:val="0"/>
          <w:sz w:val="32"/>
          <w:szCs w:val="32"/>
          <w:lang w:val="en-US" w:eastAsia="zh-CN" w:bidi="ar-SA"/>
        </w:rPr>
      </w:pPr>
      <w:bookmarkStart w:id="141" w:name="_Toc217446090"/>
      <w:bookmarkStart w:id="142" w:name="_Toc279996729"/>
      <w:r>
        <w:rPr>
          <w:rFonts w:hint="eastAsia" w:ascii="宋体" w:hAnsi="宋体" w:eastAsia="宋体" w:cs="宋体"/>
          <w:bCs/>
          <w:kern w:val="0"/>
          <w:szCs w:val="28"/>
        </w:rPr>
        <w:br w:type="page"/>
      </w:r>
      <w:bookmarkStart w:id="143" w:name="_Toc23460"/>
      <w:r>
        <w:rPr>
          <w:rFonts w:hint="eastAsia" w:ascii="宋体" w:hAnsi="宋体" w:eastAsia="宋体" w:cs="宋体"/>
          <w:b/>
          <w:bCs/>
          <w:kern w:val="0"/>
          <w:sz w:val="32"/>
          <w:szCs w:val="32"/>
          <w:lang w:val="en-US" w:eastAsia="zh-CN" w:bidi="ar-SA"/>
        </w:rPr>
        <w:t>（２）近年财务状况表</w:t>
      </w:r>
    </w:p>
    <w:p>
      <w:pPr>
        <w:spacing w:line="440" w:lineRule="exact"/>
        <w:jc w:val="left"/>
        <w:rPr>
          <w:rFonts w:hint="eastAsia" w:ascii="宋体" w:hAnsi="宋体" w:eastAsia="宋体" w:cs="宋体"/>
          <w:b w:val="0"/>
          <w:bCs w:val="0"/>
          <w:sz w:val="24"/>
          <w:szCs w:val="24"/>
          <w:highlight w:val="none"/>
          <w:lang w:val="en-US" w:eastAsia="zh-CN"/>
        </w:rPr>
      </w:pPr>
    </w:p>
    <w:p>
      <w:pPr>
        <w:spacing w:line="440" w:lineRule="exact"/>
        <w:jc w:val="left"/>
        <w:rPr>
          <w:rFonts w:hint="eastAsia" w:ascii="宋体" w:hAnsi="宋体" w:eastAsia="宋体" w:cs="宋体"/>
          <w:bCs/>
          <w:kern w:val="0"/>
          <w:szCs w:val="28"/>
          <w:highlight w:val="none"/>
        </w:rPr>
      </w:pPr>
      <w:r>
        <w:rPr>
          <w:rFonts w:hint="eastAsia" w:ascii="宋体" w:hAnsi="宋体" w:eastAsia="宋体" w:cs="宋体"/>
          <w:b w:val="0"/>
          <w:bCs w:val="0"/>
          <w:sz w:val="24"/>
          <w:szCs w:val="24"/>
          <w:highlight w:val="none"/>
          <w:lang w:val="en-US" w:eastAsia="zh-CN"/>
        </w:rPr>
        <w:t>备注：近2年（</w:t>
      </w:r>
      <w:r>
        <w:rPr>
          <w:rFonts w:hint="eastAsia" w:ascii="宋体" w:hAnsi="宋体" w:cs="宋体"/>
          <w:b w:val="0"/>
          <w:bCs w:val="0"/>
          <w:sz w:val="24"/>
          <w:szCs w:val="24"/>
          <w:highlight w:val="none"/>
          <w:lang w:val="en-US" w:eastAsia="zh-CN"/>
        </w:rPr>
        <w:t>2019</w:t>
      </w:r>
      <w:r>
        <w:rPr>
          <w:rFonts w:hint="eastAsia" w:ascii="宋体" w:hAnsi="宋体" w:eastAsia="宋体" w:cs="宋体"/>
          <w:b w:val="0"/>
          <w:bCs w:val="0"/>
          <w:sz w:val="24"/>
          <w:szCs w:val="24"/>
          <w:highlight w:val="none"/>
          <w:lang w:val="en-US" w:eastAsia="zh-CN"/>
        </w:rPr>
        <w:t>-20</w:t>
      </w:r>
      <w:r>
        <w:rPr>
          <w:rFonts w:hint="eastAsia" w:ascii="宋体" w:hAnsi="宋体" w:cs="宋体"/>
          <w:b w:val="0"/>
          <w:bCs w:val="0"/>
          <w:sz w:val="24"/>
          <w:szCs w:val="24"/>
          <w:highlight w:val="none"/>
          <w:lang w:val="en-US" w:eastAsia="zh-CN"/>
        </w:rPr>
        <w:t>20</w:t>
      </w:r>
      <w:r>
        <w:rPr>
          <w:rFonts w:hint="eastAsia" w:ascii="宋体" w:hAnsi="宋体" w:eastAsia="宋体" w:cs="宋体"/>
          <w:b w:val="0"/>
          <w:bCs w:val="0"/>
          <w:sz w:val="24"/>
          <w:szCs w:val="24"/>
          <w:highlight w:val="none"/>
          <w:lang w:val="en-US" w:eastAsia="zh-CN"/>
        </w:rPr>
        <w:t>年度）财务审计报告（</w:t>
      </w:r>
      <w:r>
        <w:rPr>
          <w:rFonts w:hint="eastAsia" w:ascii="宋体" w:hAnsi="宋体" w:eastAsia="宋体" w:cs="宋体"/>
          <w:sz w:val="24"/>
          <w:szCs w:val="24"/>
          <w:highlight w:val="none"/>
          <w:lang w:val="en-US" w:eastAsia="zh-CN"/>
        </w:rPr>
        <w:t>本单位被授权人及拟派项目经理近三个月的社保缴纳证明）</w:t>
      </w:r>
    </w:p>
    <w:p>
      <w:pPr>
        <w:spacing w:line="440" w:lineRule="exact"/>
        <w:jc w:val="center"/>
        <w:rPr>
          <w:rFonts w:hint="eastAsia" w:ascii="宋体" w:hAnsi="宋体" w:eastAsia="宋体" w:cs="宋体"/>
          <w:b/>
          <w:bCs/>
          <w:kern w:val="0"/>
          <w:sz w:val="32"/>
          <w:szCs w:val="32"/>
          <w:lang w:val="en-US" w:eastAsia="zh-CN" w:bidi="ar-SA"/>
        </w:rPr>
      </w:pPr>
    </w:p>
    <w:p>
      <w:pPr>
        <w:spacing w:line="440" w:lineRule="exact"/>
        <w:jc w:val="center"/>
        <w:rPr>
          <w:rFonts w:hint="eastAsia" w:ascii="宋体" w:hAnsi="宋体" w:eastAsia="宋体" w:cs="宋体"/>
          <w:b/>
          <w:bCs/>
          <w:kern w:val="0"/>
          <w:sz w:val="32"/>
          <w:szCs w:val="32"/>
          <w:lang w:val="en-US" w:eastAsia="zh-CN" w:bidi="ar-SA"/>
        </w:rPr>
      </w:pPr>
    </w:p>
    <w:p>
      <w:pPr>
        <w:spacing w:line="440" w:lineRule="exact"/>
        <w:jc w:val="center"/>
        <w:rPr>
          <w:rFonts w:hint="eastAsia" w:ascii="宋体" w:hAnsi="宋体" w:eastAsia="宋体" w:cs="宋体"/>
          <w:b/>
          <w:bCs/>
          <w:kern w:val="0"/>
          <w:sz w:val="32"/>
          <w:szCs w:val="32"/>
          <w:lang w:val="en-US" w:eastAsia="zh-CN" w:bidi="ar-SA"/>
        </w:rPr>
      </w:pPr>
    </w:p>
    <w:p>
      <w:pPr>
        <w:spacing w:line="440" w:lineRule="exact"/>
        <w:jc w:val="center"/>
        <w:rPr>
          <w:rFonts w:hint="eastAsia" w:ascii="宋体" w:hAnsi="宋体" w:eastAsia="宋体" w:cs="宋体"/>
          <w:b/>
          <w:bCs/>
          <w:kern w:val="0"/>
          <w:sz w:val="32"/>
          <w:szCs w:val="32"/>
          <w:lang w:val="en-US" w:eastAsia="zh-CN" w:bidi="ar-SA"/>
        </w:rPr>
      </w:pPr>
    </w:p>
    <w:p>
      <w:pPr>
        <w:spacing w:line="440" w:lineRule="exact"/>
        <w:jc w:val="center"/>
        <w:rPr>
          <w:rFonts w:hint="eastAsia" w:ascii="宋体" w:hAnsi="宋体" w:eastAsia="宋体" w:cs="宋体"/>
          <w:b/>
          <w:bCs/>
          <w:kern w:val="0"/>
          <w:sz w:val="32"/>
          <w:szCs w:val="32"/>
          <w:lang w:val="en-US" w:eastAsia="zh-CN" w:bidi="ar-SA"/>
        </w:rPr>
      </w:pPr>
    </w:p>
    <w:p>
      <w:pPr>
        <w:spacing w:line="440" w:lineRule="exact"/>
        <w:jc w:val="center"/>
        <w:rPr>
          <w:rFonts w:hint="eastAsia" w:ascii="宋体" w:hAnsi="宋体" w:eastAsia="宋体" w:cs="宋体"/>
          <w:b/>
          <w:bCs/>
          <w:kern w:val="0"/>
          <w:sz w:val="32"/>
          <w:szCs w:val="32"/>
          <w:lang w:val="en-US" w:eastAsia="zh-CN" w:bidi="ar-SA"/>
        </w:rPr>
      </w:pPr>
    </w:p>
    <w:p>
      <w:pPr>
        <w:spacing w:line="440" w:lineRule="exact"/>
        <w:jc w:val="center"/>
        <w:rPr>
          <w:rFonts w:hint="eastAsia" w:ascii="宋体" w:hAnsi="宋体" w:eastAsia="宋体" w:cs="宋体"/>
          <w:b/>
          <w:bCs/>
          <w:kern w:val="0"/>
          <w:sz w:val="32"/>
          <w:szCs w:val="32"/>
          <w:lang w:val="en-US" w:eastAsia="zh-CN" w:bidi="ar-SA"/>
        </w:rPr>
      </w:pPr>
    </w:p>
    <w:p>
      <w:pPr>
        <w:spacing w:line="440" w:lineRule="exact"/>
        <w:jc w:val="center"/>
        <w:rPr>
          <w:rFonts w:hint="eastAsia" w:ascii="宋体" w:hAnsi="宋体" w:eastAsia="宋体" w:cs="宋体"/>
          <w:b/>
          <w:bCs/>
          <w:kern w:val="0"/>
          <w:sz w:val="32"/>
          <w:szCs w:val="32"/>
          <w:lang w:val="en-US" w:eastAsia="zh-CN" w:bidi="ar-SA"/>
        </w:rPr>
      </w:pPr>
    </w:p>
    <w:p>
      <w:pPr>
        <w:pStyle w:val="2"/>
        <w:rPr>
          <w:rFonts w:hint="eastAsia" w:ascii="宋体" w:hAnsi="宋体" w:eastAsia="宋体" w:cs="宋体"/>
          <w:b/>
          <w:bCs/>
          <w:kern w:val="0"/>
          <w:sz w:val="32"/>
          <w:szCs w:val="32"/>
          <w:lang w:val="en-US" w:eastAsia="zh-CN" w:bidi="ar-SA"/>
        </w:rPr>
      </w:pPr>
    </w:p>
    <w:p>
      <w:pPr>
        <w:rPr>
          <w:rFonts w:hint="eastAsia" w:ascii="宋体" w:hAnsi="宋体" w:eastAsia="宋体" w:cs="宋体"/>
          <w:b/>
          <w:bCs/>
          <w:kern w:val="0"/>
          <w:sz w:val="32"/>
          <w:szCs w:val="32"/>
          <w:lang w:val="en-US" w:eastAsia="zh-CN" w:bidi="ar-SA"/>
        </w:rPr>
      </w:pPr>
    </w:p>
    <w:p>
      <w:pPr>
        <w:pStyle w:val="2"/>
        <w:rPr>
          <w:rFonts w:hint="eastAsia" w:ascii="宋体" w:hAnsi="宋体" w:eastAsia="宋体" w:cs="宋体"/>
          <w:b/>
          <w:bCs/>
          <w:kern w:val="0"/>
          <w:sz w:val="32"/>
          <w:szCs w:val="32"/>
          <w:lang w:val="en-US" w:eastAsia="zh-CN" w:bidi="ar-SA"/>
        </w:rPr>
      </w:pPr>
    </w:p>
    <w:p>
      <w:pPr>
        <w:rPr>
          <w:rFonts w:hint="eastAsia" w:ascii="宋体" w:hAnsi="宋体" w:eastAsia="宋体" w:cs="宋体"/>
          <w:b/>
          <w:bCs/>
          <w:kern w:val="0"/>
          <w:sz w:val="32"/>
          <w:szCs w:val="32"/>
          <w:lang w:val="en-US" w:eastAsia="zh-CN" w:bidi="ar-SA"/>
        </w:rPr>
      </w:pPr>
    </w:p>
    <w:p>
      <w:pPr>
        <w:pStyle w:val="2"/>
        <w:rPr>
          <w:rFonts w:hint="eastAsia" w:ascii="宋体" w:hAnsi="宋体" w:eastAsia="宋体" w:cs="宋体"/>
          <w:b/>
          <w:bCs/>
          <w:kern w:val="0"/>
          <w:sz w:val="32"/>
          <w:szCs w:val="32"/>
          <w:lang w:val="en-US" w:eastAsia="zh-CN" w:bidi="ar-SA"/>
        </w:rPr>
      </w:pPr>
    </w:p>
    <w:p>
      <w:pPr>
        <w:rPr>
          <w:rFonts w:hint="eastAsia" w:ascii="宋体" w:hAnsi="宋体" w:eastAsia="宋体" w:cs="宋体"/>
          <w:b/>
          <w:bCs/>
          <w:kern w:val="0"/>
          <w:sz w:val="32"/>
          <w:szCs w:val="32"/>
          <w:lang w:val="en-US" w:eastAsia="zh-CN" w:bidi="ar-SA"/>
        </w:rPr>
      </w:pPr>
    </w:p>
    <w:p>
      <w:pPr>
        <w:pStyle w:val="2"/>
        <w:rPr>
          <w:rFonts w:hint="eastAsia" w:ascii="宋体" w:hAnsi="宋体" w:eastAsia="宋体" w:cs="宋体"/>
          <w:b/>
          <w:bCs/>
          <w:kern w:val="0"/>
          <w:sz w:val="32"/>
          <w:szCs w:val="32"/>
          <w:lang w:val="en-US" w:eastAsia="zh-CN" w:bidi="ar-SA"/>
        </w:rPr>
      </w:pPr>
    </w:p>
    <w:p>
      <w:pPr>
        <w:rPr>
          <w:rFonts w:hint="eastAsia" w:ascii="宋体" w:hAnsi="宋体" w:eastAsia="宋体" w:cs="宋体"/>
          <w:b/>
          <w:bCs/>
          <w:kern w:val="0"/>
          <w:sz w:val="32"/>
          <w:szCs w:val="32"/>
          <w:lang w:val="en-US" w:eastAsia="zh-CN" w:bidi="ar-SA"/>
        </w:rPr>
      </w:pPr>
    </w:p>
    <w:p>
      <w:pPr>
        <w:pStyle w:val="2"/>
        <w:rPr>
          <w:rFonts w:hint="eastAsia" w:ascii="宋体" w:hAnsi="宋体" w:eastAsia="宋体" w:cs="宋体"/>
          <w:b/>
          <w:bCs/>
          <w:kern w:val="0"/>
          <w:sz w:val="32"/>
          <w:szCs w:val="32"/>
          <w:lang w:val="en-US" w:eastAsia="zh-CN" w:bidi="ar-SA"/>
        </w:rPr>
      </w:pPr>
    </w:p>
    <w:p>
      <w:pPr>
        <w:rPr>
          <w:rFonts w:hint="eastAsia" w:ascii="宋体" w:hAnsi="宋体" w:eastAsia="宋体" w:cs="宋体"/>
          <w:b/>
          <w:bCs/>
          <w:kern w:val="0"/>
          <w:sz w:val="32"/>
          <w:szCs w:val="32"/>
          <w:lang w:val="en-US" w:eastAsia="zh-CN" w:bidi="ar-SA"/>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spacing w:line="440" w:lineRule="exact"/>
        <w:jc w:val="center"/>
        <w:rPr>
          <w:rFonts w:hint="eastAsia" w:ascii="宋体" w:hAnsi="宋体" w:eastAsia="宋体" w:cs="宋体"/>
          <w:b/>
          <w:bCs/>
          <w:kern w:val="0"/>
          <w:sz w:val="32"/>
          <w:szCs w:val="32"/>
          <w:lang w:val="en-US" w:eastAsia="zh-CN" w:bidi="ar-SA"/>
        </w:rPr>
      </w:pPr>
    </w:p>
    <w:p>
      <w:pPr>
        <w:spacing w:line="440" w:lineRule="exact"/>
        <w:jc w:val="center"/>
        <w:rPr>
          <w:rFonts w:hint="eastAsia" w:ascii="宋体" w:hAnsi="宋体" w:eastAsia="宋体" w:cs="宋体"/>
          <w:b/>
          <w:bCs/>
          <w:kern w:val="0"/>
          <w:sz w:val="32"/>
          <w:szCs w:val="32"/>
          <w:lang w:val="en-US" w:eastAsia="zh-CN" w:bidi="ar-SA"/>
        </w:rPr>
      </w:pPr>
    </w:p>
    <w:p>
      <w:pPr>
        <w:spacing w:line="440" w:lineRule="exact"/>
        <w:jc w:val="center"/>
        <w:rPr>
          <w:rFonts w:hint="eastAsia" w:ascii="宋体" w:hAnsi="宋体" w:eastAsia="宋体" w:cs="宋体"/>
          <w:color w:val="auto"/>
          <w:szCs w:val="21"/>
        </w:rPr>
      </w:pPr>
      <w:r>
        <w:rPr>
          <w:rFonts w:hint="eastAsia" w:ascii="宋体" w:hAnsi="宋体" w:eastAsia="宋体" w:cs="宋体"/>
          <w:b/>
          <w:bCs/>
          <w:kern w:val="0"/>
          <w:sz w:val="32"/>
          <w:szCs w:val="32"/>
          <w:lang w:val="en-US" w:eastAsia="zh-CN" w:bidi="ar-SA"/>
        </w:rPr>
        <w:t>（3）主要项目管理人员简历表</w:t>
      </w:r>
    </w:p>
    <w:p>
      <w:pPr>
        <w:spacing w:line="420" w:lineRule="exact"/>
        <w:rPr>
          <w:rFonts w:hint="eastAsia" w:ascii="宋体" w:hAnsi="宋体" w:eastAsia="宋体" w:cs="宋体"/>
          <w:color w:val="auto"/>
          <w:sz w:val="23"/>
          <w:szCs w:val="23"/>
        </w:rPr>
      </w:pPr>
      <w:r>
        <w:rPr>
          <w:rFonts w:hint="eastAsia" w:ascii="宋体" w:hAnsi="宋体" w:eastAsia="宋体" w:cs="宋体"/>
          <w:color w:val="auto"/>
          <w:sz w:val="24"/>
          <w:szCs w:val="21"/>
        </w:rPr>
        <w:t xml:space="preserve">    主要项目管理人员指项目副经理、技术负责人、合同商务负责人、专职安全生产管理人员等岗位人员。应附注册资格证书、身份证、职称证、学历证、养老保险复印件，专职安全生产管理人员应附安全生产考核合格证书，主要业绩须附合同协议书。</w:t>
      </w:r>
    </w:p>
    <w:tbl>
      <w:tblPr>
        <w:tblStyle w:val="38"/>
        <w:tblW w:w="0" w:type="auto"/>
        <w:jc w:val="center"/>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900" w:type="dxa"/>
            <w:gridSpan w:val="5"/>
            <w:tcBorders>
              <w:tl2br w:val="nil"/>
              <w:tr2bl w:val="nil"/>
            </w:tcBorders>
            <w:noWrap w:val="0"/>
            <w:vAlign w:val="center"/>
          </w:tcPr>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岗位名称</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923" w:type="dxa"/>
            <w:gridSpan w:val="2"/>
            <w:tcBorders>
              <w:tl2br w:val="nil"/>
              <w:tr2bl w:val="nil"/>
            </w:tcBorders>
            <w:noWrap w:val="0"/>
            <w:vAlign w:val="center"/>
          </w:tcPr>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姓名</w:t>
            </w:r>
          </w:p>
        </w:tc>
        <w:tc>
          <w:tcPr>
            <w:tcW w:w="3420" w:type="dxa"/>
            <w:tcBorders>
              <w:tl2br w:val="nil"/>
              <w:tr2bl w:val="nil"/>
            </w:tcBorders>
            <w:noWrap w:val="0"/>
            <w:vAlign w:val="center"/>
          </w:tcPr>
          <w:p>
            <w:pPr>
              <w:spacing w:line="440" w:lineRule="exact"/>
              <w:rPr>
                <w:rFonts w:hint="eastAsia" w:ascii="宋体" w:hAnsi="宋体" w:eastAsia="宋体" w:cs="宋体"/>
                <w:color w:val="auto"/>
                <w:sz w:val="24"/>
                <w:szCs w:val="21"/>
              </w:rPr>
            </w:pPr>
          </w:p>
        </w:tc>
        <w:tc>
          <w:tcPr>
            <w:tcW w:w="1261" w:type="dxa"/>
            <w:tcBorders>
              <w:tl2br w:val="nil"/>
              <w:tr2bl w:val="nil"/>
            </w:tcBorders>
            <w:noWrap w:val="0"/>
            <w:vAlign w:val="center"/>
          </w:tcPr>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年龄</w:t>
            </w:r>
          </w:p>
        </w:tc>
        <w:tc>
          <w:tcPr>
            <w:tcW w:w="2296" w:type="dxa"/>
            <w:tcBorders>
              <w:tl2br w:val="nil"/>
              <w:tr2bl w:val="nil"/>
            </w:tcBorders>
            <w:noWrap w:val="0"/>
            <w:vAlign w:val="center"/>
          </w:tcPr>
          <w:p>
            <w:pPr>
              <w:spacing w:line="440" w:lineRule="exact"/>
              <w:rPr>
                <w:rFonts w:hint="eastAsia" w:ascii="宋体" w:hAnsi="宋体" w:eastAsia="宋体" w:cs="宋体"/>
                <w:color w:val="auto"/>
                <w:sz w:val="24"/>
                <w:szCs w:val="21"/>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923" w:type="dxa"/>
            <w:gridSpan w:val="2"/>
            <w:tcBorders>
              <w:tl2br w:val="nil"/>
              <w:tr2bl w:val="nil"/>
            </w:tcBorders>
            <w:noWrap w:val="0"/>
            <w:vAlign w:val="top"/>
          </w:tcPr>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性别</w:t>
            </w:r>
          </w:p>
        </w:tc>
        <w:tc>
          <w:tcPr>
            <w:tcW w:w="3420" w:type="dxa"/>
            <w:tcBorders>
              <w:tl2br w:val="nil"/>
              <w:tr2bl w:val="nil"/>
            </w:tcBorders>
            <w:noWrap w:val="0"/>
            <w:vAlign w:val="top"/>
          </w:tcPr>
          <w:p>
            <w:pPr>
              <w:spacing w:line="440" w:lineRule="exact"/>
              <w:rPr>
                <w:rFonts w:hint="eastAsia" w:ascii="宋体" w:hAnsi="宋体" w:eastAsia="宋体" w:cs="宋体"/>
                <w:color w:val="auto"/>
                <w:sz w:val="24"/>
                <w:szCs w:val="21"/>
              </w:rPr>
            </w:pPr>
          </w:p>
        </w:tc>
        <w:tc>
          <w:tcPr>
            <w:tcW w:w="1261" w:type="dxa"/>
            <w:tcBorders>
              <w:tl2br w:val="nil"/>
              <w:tr2bl w:val="nil"/>
            </w:tcBorders>
            <w:noWrap w:val="0"/>
            <w:vAlign w:val="top"/>
          </w:tcPr>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毕业学校</w:t>
            </w:r>
          </w:p>
        </w:tc>
        <w:tc>
          <w:tcPr>
            <w:tcW w:w="2296" w:type="dxa"/>
            <w:tcBorders>
              <w:tl2br w:val="nil"/>
              <w:tr2bl w:val="nil"/>
            </w:tcBorders>
            <w:noWrap w:val="0"/>
            <w:vAlign w:val="top"/>
          </w:tcPr>
          <w:p>
            <w:pPr>
              <w:spacing w:line="440" w:lineRule="exact"/>
              <w:rPr>
                <w:rFonts w:hint="eastAsia" w:ascii="宋体" w:hAnsi="宋体" w:eastAsia="宋体" w:cs="宋体"/>
                <w:color w:val="auto"/>
                <w:sz w:val="24"/>
                <w:szCs w:val="21"/>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923" w:type="dxa"/>
            <w:gridSpan w:val="2"/>
            <w:tcBorders>
              <w:tl2br w:val="nil"/>
              <w:tr2bl w:val="nil"/>
            </w:tcBorders>
            <w:noWrap w:val="0"/>
            <w:vAlign w:val="top"/>
          </w:tcPr>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学历和专业</w:t>
            </w:r>
          </w:p>
        </w:tc>
        <w:tc>
          <w:tcPr>
            <w:tcW w:w="3420" w:type="dxa"/>
            <w:tcBorders>
              <w:tl2br w:val="nil"/>
              <w:tr2bl w:val="nil"/>
            </w:tcBorders>
            <w:noWrap w:val="0"/>
            <w:vAlign w:val="top"/>
          </w:tcPr>
          <w:p>
            <w:pPr>
              <w:spacing w:line="440" w:lineRule="exact"/>
              <w:rPr>
                <w:rFonts w:hint="eastAsia" w:ascii="宋体" w:hAnsi="宋体" w:eastAsia="宋体" w:cs="宋体"/>
                <w:color w:val="auto"/>
                <w:sz w:val="24"/>
                <w:szCs w:val="21"/>
              </w:rPr>
            </w:pPr>
          </w:p>
        </w:tc>
        <w:tc>
          <w:tcPr>
            <w:tcW w:w="1261" w:type="dxa"/>
            <w:tcBorders>
              <w:tl2br w:val="nil"/>
              <w:tr2bl w:val="nil"/>
            </w:tcBorders>
            <w:noWrap w:val="0"/>
            <w:vAlign w:val="top"/>
          </w:tcPr>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毕业时间</w:t>
            </w:r>
          </w:p>
        </w:tc>
        <w:tc>
          <w:tcPr>
            <w:tcW w:w="2296" w:type="dxa"/>
            <w:tcBorders>
              <w:tl2br w:val="nil"/>
              <w:tr2bl w:val="nil"/>
            </w:tcBorders>
            <w:noWrap w:val="0"/>
            <w:vAlign w:val="top"/>
          </w:tcPr>
          <w:p>
            <w:pPr>
              <w:spacing w:line="440" w:lineRule="exact"/>
              <w:rPr>
                <w:rFonts w:hint="eastAsia" w:ascii="宋体" w:hAnsi="宋体" w:eastAsia="宋体" w:cs="宋体"/>
                <w:color w:val="auto"/>
                <w:sz w:val="24"/>
                <w:szCs w:val="21"/>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923" w:type="dxa"/>
            <w:gridSpan w:val="2"/>
            <w:tcBorders>
              <w:tl2br w:val="nil"/>
              <w:tr2bl w:val="nil"/>
            </w:tcBorders>
            <w:noWrap w:val="0"/>
            <w:vAlign w:val="top"/>
          </w:tcPr>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拥有的执业资格</w:t>
            </w:r>
          </w:p>
        </w:tc>
        <w:tc>
          <w:tcPr>
            <w:tcW w:w="3420" w:type="dxa"/>
            <w:tcBorders>
              <w:tl2br w:val="nil"/>
              <w:tr2bl w:val="nil"/>
            </w:tcBorders>
            <w:noWrap w:val="0"/>
            <w:vAlign w:val="top"/>
          </w:tcPr>
          <w:p>
            <w:pPr>
              <w:spacing w:line="440" w:lineRule="exact"/>
              <w:rPr>
                <w:rFonts w:hint="eastAsia" w:ascii="宋体" w:hAnsi="宋体" w:eastAsia="宋体" w:cs="宋体"/>
                <w:color w:val="auto"/>
                <w:sz w:val="24"/>
                <w:szCs w:val="21"/>
              </w:rPr>
            </w:pPr>
          </w:p>
        </w:tc>
        <w:tc>
          <w:tcPr>
            <w:tcW w:w="1261" w:type="dxa"/>
            <w:tcBorders>
              <w:tl2br w:val="nil"/>
              <w:tr2bl w:val="nil"/>
            </w:tcBorders>
            <w:noWrap w:val="0"/>
            <w:vAlign w:val="top"/>
          </w:tcPr>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专业职称</w:t>
            </w:r>
          </w:p>
        </w:tc>
        <w:tc>
          <w:tcPr>
            <w:tcW w:w="2296" w:type="dxa"/>
            <w:tcBorders>
              <w:tl2br w:val="nil"/>
              <w:tr2bl w:val="nil"/>
            </w:tcBorders>
            <w:noWrap w:val="0"/>
            <w:vAlign w:val="top"/>
          </w:tcPr>
          <w:p>
            <w:pPr>
              <w:spacing w:line="440" w:lineRule="exact"/>
              <w:rPr>
                <w:rFonts w:hint="eastAsia" w:ascii="宋体" w:hAnsi="宋体" w:eastAsia="宋体" w:cs="宋体"/>
                <w:color w:val="auto"/>
                <w:sz w:val="24"/>
                <w:szCs w:val="21"/>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923" w:type="dxa"/>
            <w:gridSpan w:val="2"/>
            <w:tcBorders>
              <w:tl2br w:val="nil"/>
              <w:tr2bl w:val="nil"/>
            </w:tcBorders>
            <w:noWrap w:val="0"/>
            <w:vAlign w:val="center"/>
          </w:tcPr>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执业资格证书编号</w:t>
            </w:r>
          </w:p>
        </w:tc>
        <w:tc>
          <w:tcPr>
            <w:tcW w:w="3420" w:type="dxa"/>
            <w:tcBorders>
              <w:tl2br w:val="nil"/>
              <w:tr2bl w:val="nil"/>
            </w:tcBorders>
            <w:noWrap w:val="0"/>
            <w:vAlign w:val="center"/>
          </w:tcPr>
          <w:p>
            <w:pPr>
              <w:spacing w:line="440" w:lineRule="exact"/>
              <w:rPr>
                <w:rFonts w:hint="eastAsia" w:ascii="宋体" w:hAnsi="宋体" w:eastAsia="宋体" w:cs="宋体"/>
                <w:color w:val="auto"/>
                <w:sz w:val="24"/>
                <w:szCs w:val="21"/>
              </w:rPr>
            </w:pPr>
          </w:p>
        </w:tc>
        <w:tc>
          <w:tcPr>
            <w:tcW w:w="1261" w:type="dxa"/>
            <w:tcBorders>
              <w:tl2br w:val="nil"/>
              <w:tr2bl w:val="nil"/>
            </w:tcBorders>
            <w:noWrap w:val="0"/>
            <w:vAlign w:val="center"/>
          </w:tcPr>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工作年限</w:t>
            </w:r>
          </w:p>
        </w:tc>
        <w:tc>
          <w:tcPr>
            <w:tcW w:w="2296" w:type="dxa"/>
            <w:tcBorders>
              <w:tl2br w:val="nil"/>
              <w:tr2bl w:val="nil"/>
            </w:tcBorders>
            <w:noWrap w:val="0"/>
            <w:vAlign w:val="center"/>
          </w:tcPr>
          <w:p>
            <w:pPr>
              <w:spacing w:line="440" w:lineRule="exact"/>
              <w:rPr>
                <w:rFonts w:hint="eastAsia" w:ascii="宋体" w:hAnsi="宋体" w:eastAsia="宋体" w:cs="宋体"/>
                <w:color w:val="auto"/>
                <w:sz w:val="24"/>
                <w:szCs w:val="21"/>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00" w:type="dxa"/>
            <w:tcBorders>
              <w:tl2br w:val="nil"/>
              <w:tr2bl w:val="nil"/>
            </w:tcBorders>
            <w:noWrap w:val="0"/>
            <w:vAlign w:val="center"/>
          </w:tcPr>
          <w:p>
            <w:pPr>
              <w:spacing w:line="440" w:lineRule="exact"/>
              <w:rPr>
                <w:rFonts w:hint="eastAsia" w:ascii="宋体" w:hAnsi="宋体" w:eastAsia="宋体" w:cs="宋体"/>
                <w:color w:val="auto"/>
                <w:sz w:val="24"/>
                <w:szCs w:val="21"/>
              </w:rPr>
            </w:pPr>
          </w:p>
          <w:p>
            <w:pPr>
              <w:spacing w:line="440" w:lineRule="exact"/>
              <w:rPr>
                <w:rFonts w:hint="eastAsia" w:ascii="宋体" w:hAnsi="宋体" w:eastAsia="宋体" w:cs="宋体"/>
                <w:color w:val="auto"/>
                <w:sz w:val="24"/>
                <w:szCs w:val="21"/>
              </w:rPr>
            </w:pPr>
            <w:r>
              <w:rPr>
                <w:rFonts w:hint="eastAsia" w:ascii="宋体" w:hAnsi="宋体" w:eastAsia="宋体" w:cs="宋体"/>
                <w:color w:val="auto"/>
                <w:sz w:val="24"/>
                <w:szCs w:val="21"/>
              </w:rPr>
              <w:t>主要工作业绩及担任的主要工作</w:t>
            </w:r>
          </w:p>
          <w:p>
            <w:pPr>
              <w:spacing w:line="440" w:lineRule="exact"/>
              <w:rPr>
                <w:rFonts w:hint="eastAsia" w:ascii="宋体" w:hAnsi="宋体" w:eastAsia="宋体" w:cs="宋体"/>
                <w:color w:val="auto"/>
                <w:sz w:val="24"/>
                <w:szCs w:val="21"/>
              </w:rPr>
            </w:pPr>
          </w:p>
        </w:tc>
        <w:tc>
          <w:tcPr>
            <w:tcW w:w="8300" w:type="dxa"/>
            <w:gridSpan w:val="4"/>
            <w:tcBorders>
              <w:tl2br w:val="nil"/>
              <w:tr2bl w:val="nil"/>
            </w:tcBorders>
            <w:noWrap w:val="0"/>
            <w:vAlign w:val="center"/>
          </w:tcPr>
          <w:p>
            <w:pPr>
              <w:widowControl/>
              <w:jc w:val="left"/>
              <w:rPr>
                <w:rFonts w:hint="eastAsia" w:ascii="宋体" w:hAnsi="宋体" w:eastAsia="宋体" w:cs="宋体"/>
                <w:color w:val="auto"/>
                <w:sz w:val="24"/>
                <w:szCs w:val="21"/>
              </w:rPr>
            </w:pPr>
          </w:p>
          <w:p>
            <w:pPr>
              <w:widowControl/>
              <w:jc w:val="left"/>
              <w:rPr>
                <w:rFonts w:hint="eastAsia" w:ascii="宋体" w:hAnsi="宋体" w:eastAsia="宋体" w:cs="宋体"/>
                <w:color w:val="auto"/>
                <w:sz w:val="24"/>
                <w:szCs w:val="21"/>
              </w:rPr>
            </w:pPr>
          </w:p>
          <w:p>
            <w:pPr>
              <w:widowControl/>
              <w:jc w:val="left"/>
              <w:rPr>
                <w:rFonts w:hint="eastAsia" w:ascii="宋体" w:hAnsi="宋体" w:eastAsia="宋体" w:cs="宋体"/>
                <w:color w:val="auto"/>
                <w:sz w:val="24"/>
                <w:szCs w:val="21"/>
              </w:rPr>
            </w:pPr>
          </w:p>
          <w:p>
            <w:pPr>
              <w:widowControl/>
              <w:jc w:val="left"/>
              <w:rPr>
                <w:rFonts w:hint="eastAsia" w:ascii="宋体" w:hAnsi="宋体" w:eastAsia="宋体" w:cs="宋体"/>
                <w:color w:val="auto"/>
                <w:sz w:val="24"/>
                <w:szCs w:val="21"/>
              </w:rPr>
            </w:pPr>
          </w:p>
          <w:p>
            <w:pPr>
              <w:widowControl/>
              <w:jc w:val="left"/>
              <w:rPr>
                <w:rFonts w:hint="eastAsia" w:ascii="宋体" w:hAnsi="宋体" w:eastAsia="宋体" w:cs="宋体"/>
                <w:color w:val="auto"/>
                <w:sz w:val="24"/>
                <w:szCs w:val="21"/>
              </w:rPr>
            </w:pPr>
          </w:p>
          <w:p>
            <w:pPr>
              <w:widowControl/>
              <w:jc w:val="left"/>
              <w:rPr>
                <w:rFonts w:hint="eastAsia" w:ascii="宋体" w:hAnsi="宋体" w:eastAsia="宋体" w:cs="宋体"/>
                <w:color w:val="auto"/>
                <w:sz w:val="24"/>
                <w:szCs w:val="21"/>
              </w:rPr>
            </w:pPr>
          </w:p>
          <w:p>
            <w:pPr>
              <w:widowControl/>
              <w:jc w:val="left"/>
              <w:rPr>
                <w:rFonts w:hint="eastAsia" w:ascii="宋体" w:hAnsi="宋体" w:eastAsia="宋体" w:cs="宋体"/>
                <w:color w:val="auto"/>
                <w:sz w:val="24"/>
                <w:szCs w:val="21"/>
              </w:rPr>
            </w:pPr>
          </w:p>
          <w:p>
            <w:pPr>
              <w:widowControl/>
              <w:jc w:val="left"/>
              <w:rPr>
                <w:rFonts w:hint="eastAsia" w:ascii="宋体" w:hAnsi="宋体" w:eastAsia="宋体" w:cs="宋体"/>
                <w:color w:val="auto"/>
                <w:sz w:val="24"/>
                <w:szCs w:val="21"/>
              </w:rPr>
            </w:pPr>
          </w:p>
          <w:p>
            <w:pPr>
              <w:widowControl/>
              <w:jc w:val="left"/>
              <w:rPr>
                <w:rFonts w:hint="eastAsia" w:ascii="宋体" w:hAnsi="宋体" w:eastAsia="宋体" w:cs="宋体"/>
                <w:color w:val="auto"/>
                <w:sz w:val="24"/>
                <w:szCs w:val="21"/>
              </w:rPr>
            </w:pPr>
          </w:p>
          <w:p>
            <w:pPr>
              <w:widowControl/>
              <w:jc w:val="left"/>
              <w:rPr>
                <w:rFonts w:hint="eastAsia" w:ascii="宋体" w:hAnsi="宋体" w:eastAsia="宋体" w:cs="宋体"/>
                <w:color w:val="auto"/>
                <w:sz w:val="24"/>
                <w:szCs w:val="21"/>
              </w:rPr>
            </w:pPr>
          </w:p>
          <w:p>
            <w:pPr>
              <w:spacing w:line="440" w:lineRule="exact"/>
              <w:rPr>
                <w:rFonts w:hint="eastAsia" w:ascii="宋体" w:hAnsi="宋体" w:eastAsia="宋体" w:cs="宋体"/>
                <w:color w:val="auto"/>
                <w:sz w:val="24"/>
                <w:szCs w:val="21"/>
              </w:rPr>
            </w:pPr>
          </w:p>
          <w:p>
            <w:pPr>
              <w:spacing w:line="440" w:lineRule="exact"/>
              <w:rPr>
                <w:rFonts w:hint="eastAsia" w:ascii="宋体" w:hAnsi="宋体" w:eastAsia="宋体" w:cs="宋体"/>
                <w:color w:val="auto"/>
                <w:sz w:val="24"/>
                <w:szCs w:val="21"/>
              </w:rPr>
            </w:pPr>
          </w:p>
          <w:p>
            <w:pPr>
              <w:spacing w:line="440" w:lineRule="exact"/>
              <w:rPr>
                <w:rFonts w:hint="eastAsia" w:ascii="宋体" w:hAnsi="宋体" w:eastAsia="宋体" w:cs="宋体"/>
                <w:color w:val="auto"/>
                <w:sz w:val="24"/>
                <w:szCs w:val="21"/>
              </w:rPr>
            </w:pPr>
          </w:p>
          <w:p>
            <w:pPr>
              <w:spacing w:line="440" w:lineRule="exact"/>
              <w:rPr>
                <w:rFonts w:hint="eastAsia" w:ascii="宋体" w:hAnsi="宋体" w:eastAsia="宋体" w:cs="宋体"/>
                <w:color w:val="auto"/>
                <w:sz w:val="24"/>
                <w:szCs w:val="21"/>
              </w:rPr>
            </w:pPr>
          </w:p>
          <w:p>
            <w:pPr>
              <w:spacing w:line="440" w:lineRule="exact"/>
              <w:rPr>
                <w:rFonts w:hint="eastAsia" w:ascii="宋体" w:hAnsi="宋体" w:eastAsia="宋体" w:cs="宋体"/>
                <w:color w:val="auto"/>
                <w:sz w:val="24"/>
                <w:szCs w:val="21"/>
              </w:rPr>
            </w:pPr>
          </w:p>
          <w:p>
            <w:pPr>
              <w:spacing w:line="440" w:lineRule="exact"/>
              <w:rPr>
                <w:rFonts w:hint="eastAsia" w:ascii="宋体" w:hAnsi="宋体" w:eastAsia="宋体" w:cs="宋体"/>
                <w:color w:val="auto"/>
                <w:sz w:val="24"/>
                <w:szCs w:val="21"/>
              </w:rPr>
            </w:pPr>
          </w:p>
          <w:p>
            <w:pPr>
              <w:spacing w:line="440" w:lineRule="exact"/>
              <w:rPr>
                <w:rFonts w:hint="eastAsia" w:ascii="宋体" w:hAnsi="宋体" w:eastAsia="宋体" w:cs="宋体"/>
                <w:color w:val="auto"/>
                <w:sz w:val="24"/>
                <w:szCs w:val="21"/>
              </w:rPr>
            </w:pPr>
          </w:p>
          <w:p>
            <w:pPr>
              <w:spacing w:line="440" w:lineRule="exact"/>
              <w:rPr>
                <w:rFonts w:hint="eastAsia" w:ascii="宋体" w:hAnsi="宋体" w:eastAsia="宋体" w:cs="宋体"/>
                <w:color w:val="auto"/>
                <w:sz w:val="24"/>
                <w:szCs w:val="21"/>
              </w:rPr>
            </w:pPr>
          </w:p>
        </w:tc>
      </w:tr>
    </w:tbl>
    <w:p>
      <w:pPr>
        <w:pStyle w:val="214"/>
        <w:spacing w:line="560" w:lineRule="exact"/>
        <w:jc w:val="center"/>
        <w:rPr>
          <w:rFonts w:hint="eastAsia" w:ascii="宋体" w:hAnsi="宋体" w:eastAsia="宋体" w:cs="宋体"/>
          <w:color w:val="auto"/>
          <w:kern w:val="2"/>
          <w:sz w:val="32"/>
          <w:szCs w:val="28"/>
        </w:rPr>
      </w:pPr>
    </w:p>
    <w:p>
      <w:pPr>
        <w:pStyle w:val="214"/>
        <w:spacing w:line="560" w:lineRule="exact"/>
        <w:jc w:val="center"/>
        <w:rPr>
          <w:rFonts w:hint="eastAsia" w:ascii="宋体" w:hAnsi="宋体" w:eastAsia="宋体" w:cs="宋体"/>
          <w:b/>
          <w:color w:val="auto"/>
          <w:kern w:val="2"/>
          <w:sz w:val="32"/>
          <w:szCs w:val="28"/>
        </w:rPr>
      </w:pPr>
    </w:p>
    <w:p>
      <w:pPr>
        <w:pStyle w:val="214"/>
        <w:spacing w:line="560" w:lineRule="exact"/>
        <w:jc w:val="center"/>
        <w:rPr>
          <w:rFonts w:hint="eastAsia" w:ascii="宋体" w:hAnsi="宋体" w:eastAsia="宋体" w:cs="宋体"/>
          <w:b/>
          <w:color w:val="auto"/>
          <w:kern w:val="2"/>
          <w:sz w:val="32"/>
          <w:szCs w:val="28"/>
        </w:rPr>
      </w:pPr>
    </w:p>
    <w:p>
      <w:pPr>
        <w:spacing w:line="440" w:lineRule="exact"/>
        <w:jc w:val="center"/>
        <w:rPr>
          <w:rFonts w:hint="eastAsia" w:ascii="宋体" w:hAnsi="宋体" w:eastAsia="宋体" w:cs="宋体"/>
          <w:b/>
          <w:bCs/>
          <w:kern w:val="0"/>
          <w:sz w:val="32"/>
          <w:szCs w:val="32"/>
          <w:lang w:val="en-US" w:eastAsia="zh-CN" w:bidi="ar-SA"/>
        </w:rPr>
      </w:pPr>
    </w:p>
    <w:p>
      <w:pPr>
        <w:spacing w:line="440" w:lineRule="exact"/>
        <w:jc w:val="center"/>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（4）项目管理机构组成表</w:t>
      </w:r>
    </w:p>
    <w:p>
      <w:pPr>
        <w:spacing w:line="440" w:lineRule="exact"/>
        <w:jc w:val="center"/>
        <w:rPr>
          <w:rFonts w:hint="eastAsia" w:ascii="宋体" w:hAnsi="宋体" w:eastAsia="宋体" w:cs="宋体"/>
          <w:b/>
          <w:color w:val="auto"/>
          <w:sz w:val="28"/>
          <w:szCs w:val="28"/>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148"/>
        <w:gridCol w:w="925"/>
        <w:gridCol w:w="1152"/>
        <w:gridCol w:w="799"/>
        <w:gridCol w:w="1312"/>
        <w:gridCol w:w="797"/>
        <w:gridCol w:w="1164"/>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vMerge w:val="restart"/>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1148" w:type="dxa"/>
            <w:vMerge w:val="restart"/>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925" w:type="dxa"/>
            <w:vMerge w:val="restart"/>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5224" w:type="dxa"/>
            <w:gridSpan w:val="5"/>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执业或职业资格证明</w:t>
            </w:r>
          </w:p>
        </w:tc>
        <w:tc>
          <w:tcPr>
            <w:tcW w:w="739"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vMerge w:val="continue"/>
            <w:noWrap w:val="0"/>
            <w:vAlign w:val="center"/>
          </w:tcPr>
          <w:p>
            <w:pPr>
              <w:spacing w:line="440" w:lineRule="exact"/>
              <w:jc w:val="center"/>
              <w:rPr>
                <w:rFonts w:hint="eastAsia" w:ascii="宋体" w:hAnsi="宋体" w:eastAsia="宋体" w:cs="宋体"/>
                <w:color w:val="auto"/>
                <w:szCs w:val="21"/>
              </w:rPr>
            </w:pPr>
          </w:p>
        </w:tc>
        <w:tc>
          <w:tcPr>
            <w:tcW w:w="1148" w:type="dxa"/>
            <w:vMerge w:val="continue"/>
            <w:noWrap w:val="0"/>
            <w:vAlign w:val="center"/>
          </w:tcPr>
          <w:p>
            <w:pPr>
              <w:spacing w:line="440" w:lineRule="exact"/>
              <w:jc w:val="center"/>
              <w:rPr>
                <w:rFonts w:hint="eastAsia" w:ascii="宋体" w:hAnsi="宋体" w:eastAsia="宋体" w:cs="宋体"/>
                <w:color w:val="auto"/>
                <w:szCs w:val="21"/>
              </w:rPr>
            </w:pPr>
          </w:p>
        </w:tc>
        <w:tc>
          <w:tcPr>
            <w:tcW w:w="925" w:type="dxa"/>
            <w:vMerge w:val="continue"/>
            <w:noWrap w:val="0"/>
            <w:vAlign w:val="center"/>
          </w:tcPr>
          <w:p>
            <w:pPr>
              <w:spacing w:line="440" w:lineRule="exact"/>
              <w:jc w:val="center"/>
              <w:rPr>
                <w:rFonts w:hint="eastAsia" w:ascii="宋体" w:hAnsi="宋体" w:eastAsia="宋体" w:cs="宋体"/>
                <w:color w:val="auto"/>
                <w:szCs w:val="21"/>
              </w:rPr>
            </w:pPr>
          </w:p>
        </w:tc>
        <w:tc>
          <w:tcPr>
            <w:tcW w:w="1152"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证书名称</w:t>
            </w:r>
          </w:p>
        </w:tc>
        <w:tc>
          <w:tcPr>
            <w:tcW w:w="799"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1312"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证号</w:t>
            </w:r>
          </w:p>
        </w:tc>
        <w:tc>
          <w:tcPr>
            <w:tcW w:w="797"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专业</w:t>
            </w:r>
          </w:p>
        </w:tc>
        <w:tc>
          <w:tcPr>
            <w:tcW w:w="1164" w:type="dxa"/>
            <w:noWrap w:val="0"/>
            <w:vAlign w:val="center"/>
          </w:tcPr>
          <w:p>
            <w:pPr>
              <w:spacing w:line="440" w:lineRule="exact"/>
              <w:ind w:right="109" w:rightChars="52"/>
              <w:jc w:val="center"/>
              <w:rPr>
                <w:rFonts w:hint="eastAsia" w:ascii="宋体" w:hAnsi="宋体" w:eastAsia="宋体" w:cs="宋体"/>
                <w:color w:val="auto"/>
                <w:szCs w:val="21"/>
              </w:rPr>
            </w:pPr>
            <w:r>
              <w:rPr>
                <w:rFonts w:hint="eastAsia" w:ascii="宋体" w:hAnsi="宋体" w:eastAsia="宋体" w:cs="宋体"/>
                <w:color w:val="auto"/>
                <w:szCs w:val="21"/>
              </w:rPr>
              <w:t>养老保险</w:t>
            </w:r>
          </w:p>
        </w:tc>
        <w:tc>
          <w:tcPr>
            <w:tcW w:w="739" w:type="dxa"/>
            <w:noWrap w:val="0"/>
            <w:vAlign w:val="center"/>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项目负责人</w:t>
            </w:r>
          </w:p>
        </w:tc>
        <w:tc>
          <w:tcPr>
            <w:tcW w:w="1148" w:type="dxa"/>
            <w:noWrap w:val="0"/>
            <w:vAlign w:val="center"/>
          </w:tcPr>
          <w:p>
            <w:pPr>
              <w:spacing w:line="440" w:lineRule="exact"/>
              <w:jc w:val="center"/>
              <w:rPr>
                <w:rFonts w:hint="eastAsia" w:ascii="宋体" w:hAnsi="宋体" w:eastAsia="宋体" w:cs="宋体"/>
                <w:color w:val="auto"/>
                <w:szCs w:val="21"/>
              </w:rPr>
            </w:pPr>
          </w:p>
        </w:tc>
        <w:tc>
          <w:tcPr>
            <w:tcW w:w="925" w:type="dxa"/>
            <w:noWrap w:val="0"/>
            <w:vAlign w:val="center"/>
          </w:tcPr>
          <w:p>
            <w:pPr>
              <w:spacing w:line="440" w:lineRule="exact"/>
              <w:jc w:val="center"/>
              <w:rPr>
                <w:rFonts w:hint="eastAsia" w:ascii="宋体" w:hAnsi="宋体" w:eastAsia="宋体" w:cs="宋体"/>
                <w:color w:val="auto"/>
                <w:szCs w:val="21"/>
              </w:rPr>
            </w:pPr>
          </w:p>
        </w:tc>
        <w:tc>
          <w:tcPr>
            <w:tcW w:w="1152" w:type="dxa"/>
            <w:noWrap w:val="0"/>
            <w:vAlign w:val="center"/>
          </w:tcPr>
          <w:p>
            <w:pPr>
              <w:spacing w:line="440" w:lineRule="exact"/>
              <w:jc w:val="center"/>
              <w:rPr>
                <w:rFonts w:hint="eastAsia" w:ascii="宋体" w:hAnsi="宋体" w:eastAsia="宋体" w:cs="宋体"/>
                <w:color w:val="auto"/>
                <w:szCs w:val="21"/>
              </w:rPr>
            </w:pPr>
          </w:p>
        </w:tc>
        <w:tc>
          <w:tcPr>
            <w:tcW w:w="799" w:type="dxa"/>
            <w:noWrap w:val="0"/>
            <w:vAlign w:val="center"/>
          </w:tcPr>
          <w:p>
            <w:pPr>
              <w:spacing w:line="440" w:lineRule="exact"/>
              <w:jc w:val="center"/>
              <w:rPr>
                <w:rFonts w:hint="eastAsia" w:ascii="宋体" w:hAnsi="宋体" w:eastAsia="宋体" w:cs="宋体"/>
                <w:color w:val="auto"/>
                <w:szCs w:val="21"/>
              </w:rPr>
            </w:pPr>
          </w:p>
        </w:tc>
        <w:tc>
          <w:tcPr>
            <w:tcW w:w="1312" w:type="dxa"/>
            <w:noWrap w:val="0"/>
            <w:vAlign w:val="center"/>
          </w:tcPr>
          <w:p>
            <w:pPr>
              <w:spacing w:line="440" w:lineRule="exact"/>
              <w:jc w:val="center"/>
              <w:rPr>
                <w:rFonts w:hint="eastAsia" w:ascii="宋体" w:hAnsi="宋体" w:eastAsia="宋体" w:cs="宋体"/>
                <w:color w:val="auto"/>
                <w:szCs w:val="21"/>
              </w:rPr>
            </w:pPr>
          </w:p>
        </w:tc>
        <w:tc>
          <w:tcPr>
            <w:tcW w:w="797" w:type="dxa"/>
            <w:noWrap w:val="0"/>
            <w:vAlign w:val="center"/>
          </w:tcPr>
          <w:p>
            <w:pPr>
              <w:spacing w:line="440" w:lineRule="exact"/>
              <w:jc w:val="center"/>
              <w:rPr>
                <w:rFonts w:hint="eastAsia" w:ascii="宋体" w:hAnsi="宋体" w:eastAsia="宋体" w:cs="宋体"/>
                <w:color w:val="auto"/>
                <w:szCs w:val="21"/>
              </w:rPr>
            </w:pPr>
          </w:p>
        </w:tc>
        <w:tc>
          <w:tcPr>
            <w:tcW w:w="1164" w:type="dxa"/>
            <w:noWrap w:val="0"/>
            <w:vAlign w:val="center"/>
          </w:tcPr>
          <w:p>
            <w:pPr>
              <w:spacing w:line="440" w:lineRule="exact"/>
              <w:jc w:val="center"/>
              <w:rPr>
                <w:rFonts w:hint="eastAsia" w:ascii="宋体" w:hAnsi="宋体" w:eastAsia="宋体" w:cs="宋体"/>
                <w:color w:val="auto"/>
                <w:szCs w:val="21"/>
              </w:rPr>
            </w:pPr>
          </w:p>
        </w:tc>
        <w:tc>
          <w:tcPr>
            <w:tcW w:w="739" w:type="dxa"/>
            <w:noWrap w:val="0"/>
            <w:vAlign w:val="center"/>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62"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项目技术负责人</w:t>
            </w:r>
          </w:p>
        </w:tc>
        <w:tc>
          <w:tcPr>
            <w:tcW w:w="1148" w:type="dxa"/>
            <w:noWrap w:val="0"/>
            <w:vAlign w:val="center"/>
          </w:tcPr>
          <w:p>
            <w:pPr>
              <w:spacing w:line="440" w:lineRule="exact"/>
              <w:jc w:val="center"/>
              <w:rPr>
                <w:rFonts w:hint="eastAsia" w:ascii="宋体" w:hAnsi="宋体" w:eastAsia="宋体" w:cs="宋体"/>
                <w:color w:val="auto"/>
                <w:szCs w:val="21"/>
              </w:rPr>
            </w:pPr>
          </w:p>
        </w:tc>
        <w:tc>
          <w:tcPr>
            <w:tcW w:w="925" w:type="dxa"/>
            <w:noWrap w:val="0"/>
            <w:vAlign w:val="center"/>
          </w:tcPr>
          <w:p>
            <w:pPr>
              <w:spacing w:line="440" w:lineRule="exact"/>
              <w:jc w:val="center"/>
              <w:rPr>
                <w:rFonts w:hint="eastAsia" w:ascii="宋体" w:hAnsi="宋体" w:eastAsia="宋体" w:cs="宋体"/>
                <w:color w:val="auto"/>
                <w:szCs w:val="21"/>
              </w:rPr>
            </w:pPr>
          </w:p>
        </w:tc>
        <w:tc>
          <w:tcPr>
            <w:tcW w:w="1152" w:type="dxa"/>
            <w:noWrap w:val="0"/>
            <w:vAlign w:val="center"/>
          </w:tcPr>
          <w:p>
            <w:pPr>
              <w:spacing w:line="440" w:lineRule="exact"/>
              <w:jc w:val="center"/>
              <w:rPr>
                <w:rFonts w:hint="eastAsia" w:ascii="宋体" w:hAnsi="宋体" w:eastAsia="宋体" w:cs="宋体"/>
                <w:color w:val="auto"/>
                <w:szCs w:val="21"/>
              </w:rPr>
            </w:pPr>
          </w:p>
        </w:tc>
        <w:tc>
          <w:tcPr>
            <w:tcW w:w="799" w:type="dxa"/>
            <w:noWrap w:val="0"/>
            <w:vAlign w:val="center"/>
          </w:tcPr>
          <w:p>
            <w:pPr>
              <w:spacing w:line="440" w:lineRule="exact"/>
              <w:jc w:val="center"/>
              <w:rPr>
                <w:rFonts w:hint="eastAsia" w:ascii="宋体" w:hAnsi="宋体" w:eastAsia="宋体" w:cs="宋体"/>
                <w:color w:val="auto"/>
                <w:szCs w:val="21"/>
              </w:rPr>
            </w:pPr>
          </w:p>
        </w:tc>
        <w:tc>
          <w:tcPr>
            <w:tcW w:w="1312" w:type="dxa"/>
            <w:noWrap w:val="0"/>
            <w:vAlign w:val="center"/>
          </w:tcPr>
          <w:p>
            <w:pPr>
              <w:spacing w:line="440" w:lineRule="exact"/>
              <w:jc w:val="center"/>
              <w:rPr>
                <w:rFonts w:hint="eastAsia" w:ascii="宋体" w:hAnsi="宋体" w:eastAsia="宋体" w:cs="宋体"/>
                <w:color w:val="auto"/>
                <w:szCs w:val="21"/>
              </w:rPr>
            </w:pPr>
          </w:p>
        </w:tc>
        <w:tc>
          <w:tcPr>
            <w:tcW w:w="797" w:type="dxa"/>
            <w:noWrap w:val="0"/>
            <w:vAlign w:val="center"/>
          </w:tcPr>
          <w:p>
            <w:pPr>
              <w:spacing w:line="440" w:lineRule="exact"/>
              <w:jc w:val="center"/>
              <w:rPr>
                <w:rFonts w:hint="eastAsia" w:ascii="宋体" w:hAnsi="宋体" w:eastAsia="宋体" w:cs="宋体"/>
                <w:color w:val="auto"/>
                <w:szCs w:val="21"/>
              </w:rPr>
            </w:pPr>
          </w:p>
        </w:tc>
        <w:tc>
          <w:tcPr>
            <w:tcW w:w="1164" w:type="dxa"/>
            <w:noWrap w:val="0"/>
            <w:vAlign w:val="center"/>
          </w:tcPr>
          <w:p>
            <w:pPr>
              <w:spacing w:line="440" w:lineRule="exact"/>
              <w:jc w:val="center"/>
              <w:rPr>
                <w:rFonts w:hint="eastAsia" w:ascii="宋体" w:hAnsi="宋体" w:eastAsia="宋体" w:cs="宋体"/>
                <w:color w:val="auto"/>
                <w:szCs w:val="21"/>
              </w:rPr>
            </w:pPr>
          </w:p>
        </w:tc>
        <w:tc>
          <w:tcPr>
            <w:tcW w:w="739" w:type="dxa"/>
            <w:noWrap w:val="0"/>
            <w:vAlign w:val="center"/>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lang w:val="en-US" w:eastAsia="zh-CN"/>
              </w:rPr>
              <w:t>水利</w:t>
            </w:r>
            <w:r>
              <w:rPr>
                <w:rFonts w:hint="eastAsia" w:ascii="宋体" w:hAnsi="宋体" w:eastAsia="宋体" w:cs="宋体"/>
                <w:bCs/>
                <w:color w:val="auto"/>
                <w:szCs w:val="21"/>
              </w:rPr>
              <w:t>工程师</w:t>
            </w: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电气工程师</w:t>
            </w: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设备工程师</w:t>
            </w: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专职质检员</w:t>
            </w: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专职安全员</w:t>
            </w: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试验员</w:t>
            </w: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材料员</w:t>
            </w: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rPr>
              <w:t>预算员</w:t>
            </w: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center"/>
          </w:tcPr>
          <w:p>
            <w:pPr>
              <w:jc w:val="center"/>
              <w:rPr>
                <w:rFonts w:hint="eastAsia" w:ascii="宋体" w:hAnsi="宋体" w:eastAsia="宋体" w:cs="宋体"/>
                <w:bCs/>
                <w:color w:val="auto"/>
                <w:szCs w:val="21"/>
              </w:rPr>
            </w:pPr>
            <w:r>
              <w:rPr>
                <w:rFonts w:hint="eastAsia" w:ascii="宋体" w:hAnsi="宋体" w:eastAsia="宋体" w:cs="宋体"/>
                <w:color w:val="auto"/>
                <w:szCs w:val="21"/>
              </w:rPr>
              <w:t>其他人员</w:t>
            </w: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top"/>
          </w:tcPr>
          <w:p>
            <w:pPr>
              <w:spacing w:line="440" w:lineRule="exact"/>
              <w:jc w:val="center"/>
              <w:rPr>
                <w:rFonts w:hint="eastAsia" w:ascii="宋体" w:hAnsi="宋体" w:eastAsia="宋体" w:cs="宋体"/>
                <w:color w:val="auto"/>
                <w:szCs w:val="21"/>
              </w:rPr>
            </w:pP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2" w:type="dxa"/>
            <w:noWrap w:val="0"/>
            <w:vAlign w:val="top"/>
          </w:tcPr>
          <w:p>
            <w:pPr>
              <w:spacing w:line="440" w:lineRule="exact"/>
              <w:jc w:val="center"/>
              <w:rPr>
                <w:rFonts w:hint="eastAsia" w:ascii="宋体" w:hAnsi="宋体" w:eastAsia="宋体" w:cs="宋体"/>
                <w:color w:val="auto"/>
                <w:szCs w:val="21"/>
              </w:rPr>
            </w:pP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62" w:type="dxa"/>
            <w:noWrap w:val="0"/>
            <w:vAlign w:val="top"/>
          </w:tcPr>
          <w:p>
            <w:pPr>
              <w:spacing w:line="440" w:lineRule="exact"/>
              <w:jc w:val="center"/>
              <w:rPr>
                <w:rFonts w:hint="eastAsia" w:ascii="宋体" w:hAnsi="宋体" w:eastAsia="宋体" w:cs="宋体"/>
                <w:color w:val="auto"/>
                <w:szCs w:val="21"/>
              </w:rPr>
            </w:pPr>
          </w:p>
        </w:tc>
        <w:tc>
          <w:tcPr>
            <w:tcW w:w="1148" w:type="dxa"/>
            <w:noWrap w:val="0"/>
            <w:vAlign w:val="top"/>
          </w:tcPr>
          <w:p>
            <w:pPr>
              <w:spacing w:line="440" w:lineRule="exact"/>
              <w:jc w:val="center"/>
              <w:rPr>
                <w:rFonts w:hint="eastAsia" w:ascii="宋体" w:hAnsi="宋体" w:eastAsia="宋体" w:cs="宋体"/>
                <w:color w:val="auto"/>
                <w:szCs w:val="21"/>
              </w:rPr>
            </w:pPr>
          </w:p>
        </w:tc>
        <w:tc>
          <w:tcPr>
            <w:tcW w:w="925" w:type="dxa"/>
            <w:noWrap w:val="0"/>
            <w:vAlign w:val="top"/>
          </w:tcPr>
          <w:p>
            <w:pPr>
              <w:spacing w:line="440" w:lineRule="exact"/>
              <w:jc w:val="center"/>
              <w:rPr>
                <w:rFonts w:hint="eastAsia" w:ascii="宋体" w:hAnsi="宋体" w:eastAsia="宋体" w:cs="宋体"/>
                <w:color w:val="auto"/>
                <w:szCs w:val="21"/>
              </w:rPr>
            </w:pPr>
          </w:p>
        </w:tc>
        <w:tc>
          <w:tcPr>
            <w:tcW w:w="1152" w:type="dxa"/>
            <w:noWrap w:val="0"/>
            <w:vAlign w:val="top"/>
          </w:tcPr>
          <w:p>
            <w:pPr>
              <w:spacing w:line="440" w:lineRule="exact"/>
              <w:jc w:val="center"/>
              <w:rPr>
                <w:rFonts w:hint="eastAsia" w:ascii="宋体" w:hAnsi="宋体" w:eastAsia="宋体" w:cs="宋体"/>
                <w:color w:val="auto"/>
                <w:szCs w:val="21"/>
              </w:rPr>
            </w:pPr>
          </w:p>
        </w:tc>
        <w:tc>
          <w:tcPr>
            <w:tcW w:w="799" w:type="dxa"/>
            <w:noWrap w:val="0"/>
            <w:vAlign w:val="top"/>
          </w:tcPr>
          <w:p>
            <w:pPr>
              <w:spacing w:line="440" w:lineRule="exact"/>
              <w:jc w:val="center"/>
              <w:rPr>
                <w:rFonts w:hint="eastAsia" w:ascii="宋体" w:hAnsi="宋体" w:eastAsia="宋体" w:cs="宋体"/>
                <w:color w:val="auto"/>
                <w:szCs w:val="21"/>
              </w:rPr>
            </w:pPr>
          </w:p>
        </w:tc>
        <w:tc>
          <w:tcPr>
            <w:tcW w:w="1312" w:type="dxa"/>
            <w:noWrap w:val="0"/>
            <w:vAlign w:val="top"/>
          </w:tcPr>
          <w:p>
            <w:pPr>
              <w:spacing w:line="440" w:lineRule="exact"/>
              <w:jc w:val="center"/>
              <w:rPr>
                <w:rFonts w:hint="eastAsia" w:ascii="宋体" w:hAnsi="宋体" w:eastAsia="宋体" w:cs="宋体"/>
                <w:color w:val="auto"/>
                <w:szCs w:val="21"/>
              </w:rPr>
            </w:pPr>
          </w:p>
        </w:tc>
        <w:tc>
          <w:tcPr>
            <w:tcW w:w="797" w:type="dxa"/>
            <w:noWrap w:val="0"/>
            <w:vAlign w:val="top"/>
          </w:tcPr>
          <w:p>
            <w:pPr>
              <w:spacing w:line="440" w:lineRule="exact"/>
              <w:jc w:val="center"/>
              <w:rPr>
                <w:rFonts w:hint="eastAsia" w:ascii="宋体" w:hAnsi="宋体" w:eastAsia="宋体" w:cs="宋体"/>
                <w:color w:val="auto"/>
                <w:szCs w:val="21"/>
              </w:rPr>
            </w:pPr>
          </w:p>
        </w:tc>
        <w:tc>
          <w:tcPr>
            <w:tcW w:w="1164" w:type="dxa"/>
            <w:noWrap w:val="0"/>
            <w:vAlign w:val="top"/>
          </w:tcPr>
          <w:p>
            <w:pPr>
              <w:spacing w:line="440" w:lineRule="exact"/>
              <w:jc w:val="center"/>
              <w:rPr>
                <w:rFonts w:hint="eastAsia" w:ascii="宋体" w:hAnsi="宋体" w:eastAsia="宋体" w:cs="宋体"/>
                <w:color w:val="auto"/>
                <w:szCs w:val="21"/>
              </w:rPr>
            </w:pPr>
          </w:p>
        </w:tc>
        <w:tc>
          <w:tcPr>
            <w:tcW w:w="739" w:type="dxa"/>
            <w:noWrap w:val="0"/>
            <w:vAlign w:val="top"/>
          </w:tcPr>
          <w:p>
            <w:pPr>
              <w:spacing w:line="440" w:lineRule="exact"/>
              <w:jc w:val="center"/>
              <w:rPr>
                <w:rFonts w:hint="eastAsia" w:ascii="宋体" w:hAnsi="宋体" w:eastAsia="宋体" w:cs="宋体"/>
                <w:color w:val="auto"/>
                <w:szCs w:val="21"/>
              </w:rPr>
            </w:pPr>
          </w:p>
        </w:tc>
      </w:tr>
    </w:tbl>
    <w:p>
      <w:pPr>
        <w:spacing w:line="440" w:lineRule="exact"/>
        <w:jc w:val="left"/>
        <w:rPr>
          <w:rFonts w:hint="eastAsia" w:ascii="宋体" w:hAnsi="宋体" w:eastAsia="宋体" w:cs="宋体"/>
          <w:color w:val="auto"/>
          <w:sz w:val="24"/>
          <w:szCs w:val="21"/>
        </w:rPr>
      </w:pPr>
    </w:p>
    <w:p>
      <w:pPr>
        <w:spacing w:line="440" w:lineRule="exact"/>
        <w:jc w:val="left"/>
        <w:rPr>
          <w:rFonts w:hint="eastAsia" w:ascii="宋体" w:hAnsi="宋体" w:eastAsia="宋体" w:cs="宋体"/>
          <w:color w:val="auto"/>
          <w:sz w:val="24"/>
          <w:szCs w:val="21"/>
        </w:rPr>
      </w:pPr>
      <w:r>
        <w:rPr>
          <w:rFonts w:hint="eastAsia" w:ascii="宋体" w:hAnsi="宋体" w:eastAsia="宋体" w:cs="宋体"/>
          <w:color w:val="auto"/>
          <w:sz w:val="24"/>
          <w:szCs w:val="21"/>
        </w:rPr>
        <w:t>注：本工程一旦我单位中标，将配备上述项目管理人员。上述填报内容真实，  如不真实，将按照有关规定接受处理。</w:t>
      </w:r>
    </w:p>
    <w:p>
      <w:pPr>
        <w:spacing w:line="360" w:lineRule="auto"/>
        <w:jc w:val="left"/>
        <w:rPr>
          <w:rFonts w:hint="eastAsia" w:ascii="宋体" w:hAnsi="宋体" w:eastAsia="宋体" w:cs="宋体"/>
          <w:color w:val="auto"/>
          <w:sz w:val="24"/>
          <w:szCs w:val="21"/>
        </w:rPr>
      </w:pPr>
      <w:r>
        <w:rPr>
          <w:rFonts w:hint="eastAsia" w:ascii="宋体" w:hAnsi="宋体" w:eastAsia="宋体" w:cs="宋体"/>
          <w:color w:val="auto"/>
          <w:kern w:val="0"/>
          <w:sz w:val="24"/>
          <w:szCs w:val="21"/>
        </w:rPr>
        <w:t xml:space="preserve">    </w:t>
      </w:r>
    </w:p>
    <w:p>
      <w:pPr>
        <w:topLinePunct/>
        <w:spacing w:line="400" w:lineRule="exact"/>
        <w:jc w:val="center"/>
        <w:rPr>
          <w:rFonts w:hint="eastAsia" w:ascii="宋体" w:hAnsi="宋体" w:eastAsia="宋体" w:cs="宋体"/>
          <w:b/>
          <w:bCs/>
          <w:kern w:val="0"/>
          <w:sz w:val="32"/>
          <w:szCs w:val="32"/>
          <w:lang w:val="en-US" w:eastAsia="zh-CN" w:bidi="ar-SA"/>
        </w:rPr>
      </w:pPr>
      <w:r>
        <w:rPr>
          <w:rFonts w:hint="eastAsia" w:ascii="宋体" w:hAnsi="宋体" w:eastAsia="宋体" w:cs="宋体"/>
          <w:b/>
          <w:color w:val="auto"/>
          <w:sz w:val="28"/>
          <w:szCs w:val="28"/>
        </w:rPr>
        <w:br w:type="page"/>
      </w:r>
      <w:r>
        <w:rPr>
          <w:rFonts w:hint="eastAsia" w:ascii="宋体" w:hAnsi="宋体" w:eastAsia="宋体" w:cs="宋体"/>
          <w:b/>
          <w:bCs/>
          <w:kern w:val="0"/>
          <w:sz w:val="32"/>
          <w:szCs w:val="32"/>
          <w:lang w:val="en-US" w:eastAsia="zh-CN" w:bidi="ar-SA"/>
        </w:rPr>
        <w:t>（5）现场主要人员简历表</w:t>
      </w:r>
    </w:p>
    <w:p>
      <w:pPr>
        <w:spacing w:line="420" w:lineRule="exact"/>
        <w:jc w:val="both"/>
        <w:rPr>
          <w:rFonts w:hint="eastAsia" w:ascii="宋体" w:hAnsi="宋体" w:eastAsia="宋体" w:cs="宋体"/>
          <w:color w:val="auto"/>
          <w:sz w:val="28"/>
          <w:szCs w:val="28"/>
        </w:rPr>
      </w:pPr>
    </w:p>
    <w:p>
      <w:pPr>
        <w:spacing w:line="420" w:lineRule="exact"/>
        <w:ind w:firstLine="960" w:firstLineChars="400"/>
        <w:rPr>
          <w:rFonts w:hint="eastAsia" w:ascii="宋体" w:hAnsi="宋体" w:eastAsia="宋体" w:cs="宋体"/>
          <w:color w:val="auto"/>
          <w:sz w:val="24"/>
          <w:szCs w:val="21"/>
        </w:rPr>
      </w:pPr>
      <w:r>
        <w:rPr>
          <w:rFonts w:hint="eastAsia" w:ascii="宋体" w:hAnsi="宋体" w:eastAsia="宋体" w:cs="宋体"/>
          <w:color w:val="auto"/>
          <w:sz w:val="24"/>
          <w:szCs w:val="21"/>
        </w:rPr>
        <w:t>项目负责人应附建造师执业资格证书、注册证书、安全生产考核合格证书、身份证、职称证、学历证、养老保险复印件及未担任其他在施建设工程项目项目负责人的承诺书，管理过的项目业绩须附合同协议书和竣工验收备案登记表复印件。类似项目限于以项目负责人身份参与的项目。</w:t>
      </w:r>
    </w:p>
    <w:p>
      <w:pPr>
        <w:spacing w:line="420" w:lineRule="exact"/>
        <w:ind w:firstLine="960" w:firstLineChars="400"/>
        <w:rPr>
          <w:rFonts w:hint="eastAsia" w:ascii="宋体" w:hAnsi="宋体" w:eastAsia="宋体" w:cs="宋体"/>
          <w:color w:val="auto"/>
          <w:sz w:val="24"/>
          <w:szCs w:val="21"/>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姓  名</w:t>
            </w:r>
          </w:p>
        </w:tc>
        <w:tc>
          <w:tcPr>
            <w:tcW w:w="1035" w:type="dxa"/>
            <w:gridSpan w:val="2"/>
            <w:noWrap w:val="0"/>
            <w:vAlign w:val="center"/>
          </w:tcPr>
          <w:p>
            <w:pPr>
              <w:jc w:val="center"/>
              <w:rPr>
                <w:rFonts w:hint="eastAsia" w:ascii="宋体" w:hAnsi="宋体" w:eastAsia="宋体" w:cs="宋体"/>
                <w:color w:val="auto"/>
                <w:szCs w:val="21"/>
              </w:rPr>
            </w:pPr>
          </w:p>
        </w:tc>
        <w:tc>
          <w:tcPr>
            <w:tcW w:w="1134" w:type="dxa"/>
            <w:gridSpan w:val="2"/>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年  龄</w:t>
            </w:r>
          </w:p>
        </w:tc>
        <w:tc>
          <w:tcPr>
            <w:tcW w:w="1275" w:type="dxa"/>
            <w:gridSpan w:val="2"/>
            <w:noWrap w:val="0"/>
            <w:vAlign w:val="center"/>
          </w:tcPr>
          <w:p>
            <w:pPr>
              <w:jc w:val="center"/>
              <w:rPr>
                <w:rFonts w:hint="eastAsia" w:ascii="宋体" w:hAnsi="宋体" w:eastAsia="宋体" w:cs="宋体"/>
                <w:color w:val="auto"/>
                <w:szCs w:val="21"/>
              </w:rPr>
            </w:pPr>
          </w:p>
        </w:tc>
        <w:tc>
          <w:tcPr>
            <w:tcW w:w="1843" w:type="dxa"/>
            <w:gridSpan w:val="2"/>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学历</w:t>
            </w:r>
          </w:p>
        </w:tc>
        <w:tc>
          <w:tcPr>
            <w:tcW w:w="212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职  称</w:t>
            </w:r>
          </w:p>
        </w:tc>
        <w:tc>
          <w:tcPr>
            <w:tcW w:w="1035" w:type="dxa"/>
            <w:gridSpan w:val="2"/>
            <w:noWrap w:val="0"/>
            <w:vAlign w:val="center"/>
          </w:tcPr>
          <w:p>
            <w:pPr>
              <w:jc w:val="center"/>
              <w:rPr>
                <w:rFonts w:hint="eastAsia" w:ascii="宋体" w:hAnsi="宋体" w:eastAsia="宋体" w:cs="宋体"/>
                <w:color w:val="auto"/>
                <w:szCs w:val="21"/>
              </w:rPr>
            </w:pPr>
          </w:p>
        </w:tc>
        <w:tc>
          <w:tcPr>
            <w:tcW w:w="1134" w:type="dxa"/>
            <w:gridSpan w:val="2"/>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职  务</w:t>
            </w:r>
          </w:p>
        </w:tc>
        <w:tc>
          <w:tcPr>
            <w:tcW w:w="1275" w:type="dxa"/>
            <w:gridSpan w:val="2"/>
            <w:noWrap w:val="0"/>
            <w:vAlign w:val="center"/>
          </w:tcPr>
          <w:p>
            <w:pPr>
              <w:jc w:val="center"/>
              <w:rPr>
                <w:rFonts w:hint="eastAsia" w:ascii="宋体" w:hAnsi="宋体" w:eastAsia="宋体" w:cs="宋体"/>
                <w:color w:val="auto"/>
                <w:szCs w:val="21"/>
              </w:rPr>
            </w:pPr>
          </w:p>
        </w:tc>
        <w:tc>
          <w:tcPr>
            <w:tcW w:w="1843" w:type="dxa"/>
            <w:gridSpan w:val="2"/>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拟在本工程任职</w:t>
            </w:r>
          </w:p>
        </w:tc>
        <w:tc>
          <w:tcPr>
            <w:tcW w:w="2126"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注册建造师执业资格等级</w:t>
            </w:r>
          </w:p>
        </w:tc>
        <w:tc>
          <w:tcPr>
            <w:tcW w:w="1275" w:type="dxa"/>
            <w:gridSpan w:val="2"/>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级</w:t>
            </w:r>
          </w:p>
        </w:tc>
        <w:tc>
          <w:tcPr>
            <w:tcW w:w="1843" w:type="dxa"/>
            <w:gridSpan w:val="2"/>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建造师专业</w:t>
            </w:r>
          </w:p>
        </w:tc>
        <w:tc>
          <w:tcPr>
            <w:tcW w:w="2633" w:type="dxa"/>
            <w:gridSpan w:val="2"/>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安全生产考核合格证书</w:t>
            </w:r>
          </w:p>
        </w:tc>
        <w:tc>
          <w:tcPr>
            <w:tcW w:w="5751" w:type="dxa"/>
            <w:gridSpan w:val="6"/>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毕业学校</w:t>
            </w:r>
          </w:p>
        </w:tc>
        <w:tc>
          <w:tcPr>
            <w:tcW w:w="7920" w:type="dxa"/>
            <w:gridSpan w:val="10"/>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时  间</w:t>
            </w:r>
          </w:p>
        </w:tc>
        <w:tc>
          <w:tcPr>
            <w:tcW w:w="3444" w:type="dxa"/>
            <w:gridSpan w:val="6"/>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参加过的类似项目名称</w:t>
            </w:r>
          </w:p>
        </w:tc>
        <w:tc>
          <w:tcPr>
            <w:tcW w:w="1843" w:type="dxa"/>
            <w:gridSpan w:val="2"/>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工程概况说明</w:t>
            </w:r>
          </w:p>
        </w:tc>
        <w:tc>
          <w:tcPr>
            <w:tcW w:w="2633" w:type="dxa"/>
            <w:gridSpan w:val="2"/>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eastAsia="宋体" w:cs="宋体"/>
                <w:color w:val="auto"/>
                <w:szCs w:val="21"/>
              </w:rPr>
            </w:pPr>
          </w:p>
        </w:tc>
        <w:tc>
          <w:tcPr>
            <w:tcW w:w="1035" w:type="dxa"/>
            <w:gridSpan w:val="2"/>
            <w:noWrap w:val="0"/>
            <w:vAlign w:val="center"/>
          </w:tcPr>
          <w:p>
            <w:pPr>
              <w:jc w:val="center"/>
              <w:rPr>
                <w:rFonts w:hint="eastAsia" w:ascii="宋体" w:hAnsi="宋体" w:eastAsia="宋体" w:cs="宋体"/>
                <w:color w:val="auto"/>
                <w:szCs w:val="21"/>
              </w:rPr>
            </w:pPr>
          </w:p>
        </w:tc>
        <w:tc>
          <w:tcPr>
            <w:tcW w:w="1134" w:type="dxa"/>
            <w:gridSpan w:val="2"/>
            <w:noWrap w:val="0"/>
            <w:vAlign w:val="center"/>
          </w:tcPr>
          <w:p>
            <w:pPr>
              <w:jc w:val="center"/>
              <w:rPr>
                <w:rFonts w:hint="eastAsia" w:ascii="宋体" w:hAnsi="宋体" w:eastAsia="宋体" w:cs="宋体"/>
                <w:color w:val="auto"/>
                <w:szCs w:val="21"/>
              </w:rPr>
            </w:pPr>
          </w:p>
        </w:tc>
        <w:tc>
          <w:tcPr>
            <w:tcW w:w="1275" w:type="dxa"/>
            <w:gridSpan w:val="2"/>
            <w:noWrap w:val="0"/>
            <w:vAlign w:val="center"/>
          </w:tcPr>
          <w:p>
            <w:pPr>
              <w:jc w:val="center"/>
              <w:rPr>
                <w:rFonts w:hint="eastAsia" w:ascii="宋体" w:hAnsi="宋体" w:eastAsia="宋体" w:cs="宋体"/>
                <w:color w:val="auto"/>
                <w:szCs w:val="21"/>
              </w:rPr>
            </w:pPr>
          </w:p>
        </w:tc>
        <w:tc>
          <w:tcPr>
            <w:tcW w:w="1843" w:type="dxa"/>
            <w:gridSpan w:val="2"/>
            <w:noWrap w:val="0"/>
            <w:vAlign w:val="center"/>
          </w:tcPr>
          <w:p>
            <w:pPr>
              <w:jc w:val="center"/>
              <w:rPr>
                <w:rFonts w:hint="eastAsia" w:ascii="宋体" w:hAnsi="宋体" w:eastAsia="宋体" w:cs="宋体"/>
                <w:color w:val="auto"/>
                <w:szCs w:val="21"/>
              </w:rPr>
            </w:pPr>
          </w:p>
        </w:tc>
        <w:tc>
          <w:tcPr>
            <w:tcW w:w="2633" w:type="dxa"/>
            <w:gridSpan w:val="2"/>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eastAsia="宋体" w:cs="宋体"/>
                <w:color w:val="auto"/>
                <w:szCs w:val="21"/>
              </w:rPr>
            </w:pPr>
          </w:p>
        </w:tc>
        <w:tc>
          <w:tcPr>
            <w:tcW w:w="1035" w:type="dxa"/>
            <w:gridSpan w:val="2"/>
            <w:noWrap w:val="0"/>
            <w:vAlign w:val="center"/>
          </w:tcPr>
          <w:p>
            <w:pPr>
              <w:jc w:val="center"/>
              <w:rPr>
                <w:rFonts w:hint="eastAsia" w:ascii="宋体" w:hAnsi="宋体" w:eastAsia="宋体" w:cs="宋体"/>
                <w:color w:val="auto"/>
                <w:szCs w:val="21"/>
              </w:rPr>
            </w:pPr>
          </w:p>
        </w:tc>
        <w:tc>
          <w:tcPr>
            <w:tcW w:w="1134" w:type="dxa"/>
            <w:gridSpan w:val="2"/>
            <w:noWrap w:val="0"/>
            <w:vAlign w:val="center"/>
          </w:tcPr>
          <w:p>
            <w:pPr>
              <w:jc w:val="center"/>
              <w:rPr>
                <w:rFonts w:hint="eastAsia" w:ascii="宋体" w:hAnsi="宋体" w:eastAsia="宋体" w:cs="宋体"/>
                <w:color w:val="auto"/>
                <w:szCs w:val="21"/>
              </w:rPr>
            </w:pPr>
          </w:p>
        </w:tc>
        <w:tc>
          <w:tcPr>
            <w:tcW w:w="1275" w:type="dxa"/>
            <w:gridSpan w:val="2"/>
            <w:noWrap w:val="0"/>
            <w:vAlign w:val="center"/>
          </w:tcPr>
          <w:p>
            <w:pPr>
              <w:jc w:val="center"/>
              <w:rPr>
                <w:rFonts w:hint="eastAsia" w:ascii="宋体" w:hAnsi="宋体" w:eastAsia="宋体" w:cs="宋体"/>
                <w:color w:val="auto"/>
                <w:szCs w:val="21"/>
              </w:rPr>
            </w:pPr>
          </w:p>
        </w:tc>
        <w:tc>
          <w:tcPr>
            <w:tcW w:w="1843" w:type="dxa"/>
            <w:gridSpan w:val="2"/>
            <w:noWrap w:val="0"/>
            <w:vAlign w:val="center"/>
          </w:tcPr>
          <w:p>
            <w:pPr>
              <w:jc w:val="center"/>
              <w:rPr>
                <w:rFonts w:hint="eastAsia" w:ascii="宋体" w:hAnsi="宋体" w:eastAsia="宋体" w:cs="宋体"/>
                <w:color w:val="auto"/>
                <w:szCs w:val="21"/>
              </w:rPr>
            </w:pPr>
          </w:p>
        </w:tc>
        <w:tc>
          <w:tcPr>
            <w:tcW w:w="2633" w:type="dxa"/>
            <w:gridSpan w:val="2"/>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eastAsia="宋体" w:cs="宋体"/>
                <w:color w:val="auto"/>
                <w:szCs w:val="21"/>
              </w:rPr>
            </w:pPr>
          </w:p>
        </w:tc>
        <w:tc>
          <w:tcPr>
            <w:tcW w:w="1035" w:type="dxa"/>
            <w:gridSpan w:val="2"/>
            <w:noWrap w:val="0"/>
            <w:vAlign w:val="center"/>
          </w:tcPr>
          <w:p>
            <w:pPr>
              <w:jc w:val="center"/>
              <w:rPr>
                <w:rFonts w:hint="eastAsia" w:ascii="宋体" w:hAnsi="宋体" w:eastAsia="宋体" w:cs="宋体"/>
                <w:color w:val="auto"/>
                <w:szCs w:val="21"/>
              </w:rPr>
            </w:pPr>
          </w:p>
        </w:tc>
        <w:tc>
          <w:tcPr>
            <w:tcW w:w="1134" w:type="dxa"/>
            <w:gridSpan w:val="2"/>
            <w:noWrap w:val="0"/>
            <w:vAlign w:val="center"/>
          </w:tcPr>
          <w:p>
            <w:pPr>
              <w:jc w:val="center"/>
              <w:rPr>
                <w:rFonts w:hint="eastAsia" w:ascii="宋体" w:hAnsi="宋体" w:eastAsia="宋体" w:cs="宋体"/>
                <w:color w:val="auto"/>
                <w:szCs w:val="21"/>
              </w:rPr>
            </w:pPr>
          </w:p>
        </w:tc>
        <w:tc>
          <w:tcPr>
            <w:tcW w:w="1275" w:type="dxa"/>
            <w:gridSpan w:val="2"/>
            <w:noWrap w:val="0"/>
            <w:vAlign w:val="center"/>
          </w:tcPr>
          <w:p>
            <w:pPr>
              <w:jc w:val="center"/>
              <w:rPr>
                <w:rFonts w:hint="eastAsia" w:ascii="宋体" w:hAnsi="宋体" w:eastAsia="宋体" w:cs="宋体"/>
                <w:color w:val="auto"/>
                <w:szCs w:val="21"/>
              </w:rPr>
            </w:pPr>
          </w:p>
        </w:tc>
        <w:tc>
          <w:tcPr>
            <w:tcW w:w="1843" w:type="dxa"/>
            <w:gridSpan w:val="2"/>
            <w:noWrap w:val="0"/>
            <w:vAlign w:val="center"/>
          </w:tcPr>
          <w:p>
            <w:pPr>
              <w:jc w:val="center"/>
              <w:rPr>
                <w:rFonts w:hint="eastAsia" w:ascii="宋体" w:hAnsi="宋体" w:eastAsia="宋体" w:cs="宋体"/>
                <w:color w:val="auto"/>
                <w:szCs w:val="21"/>
              </w:rPr>
            </w:pPr>
          </w:p>
        </w:tc>
        <w:tc>
          <w:tcPr>
            <w:tcW w:w="2633" w:type="dxa"/>
            <w:gridSpan w:val="2"/>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eastAsia="宋体" w:cs="宋体"/>
                <w:color w:val="auto"/>
                <w:szCs w:val="21"/>
              </w:rPr>
            </w:pPr>
          </w:p>
        </w:tc>
        <w:tc>
          <w:tcPr>
            <w:tcW w:w="1035" w:type="dxa"/>
            <w:gridSpan w:val="2"/>
            <w:noWrap w:val="0"/>
            <w:vAlign w:val="center"/>
          </w:tcPr>
          <w:p>
            <w:pPr>
              <w:jc w:val="center"/>
              <w:rPr>
                <w:rFonts w:hint="eastAsia" w:ascii="宋体" w:hAnsi="宋体" w:eastAsia="宋体" w:cs="宋体"/>
                <w:color w:val="auto"/>
                <w:szCs w:val="21"/>
              </w:rPr>
            </w:pPr>
          </w:p>
        </w:tc>
        <w:tc>
          <w:tcPr>
            <w:tcW w:w="1134" w:type="dxa"/>
            <w:gridSpan w:val="2"/>
            <w:noWrap w:val="0"/>
            <w:vAlign w:val="center"/>
          </w:tcPr>
          <w:p>
            <w:pPr>
              <w:jc w:val="center"/>
              <w:rPr>
                <w:rFonts w:hint="eastAsia" w:ascii="宋体" w:hAnsi="宋体" w:eastAsia="宋体" w:cs="宋体"/>
                <w:color w:val="auto"/>
                <w:szCs w:val="21"/>
              </w:rPr>
            </w:pPr>
          </w:p>
        </w:tc>
        <w:tc>
          <w:tcPr>
            <w:tcW w:w="1275" w:type="dxa"/>
            <w:gridSpan w:val="2"/>
            <w:noWrap w:val="0"/>
            <w:vAlign w:val="center"/>
          </w:tcPr>
          <w:p>
            <w:pPr>
              <w:jc w:val="center"/>
              <w:rPr>
                <w:rFonts w:hint="eastAsia" w:ascii="宋体" w:hAnsi="宋体" w:eastAsia="宋体" w:cs="宋体"/>
                <w:color w:val="auto"/>
                <w:szCs w:val="21"/>
              </w:rPr>
            </w:pPr>
          </w:p>
        </w:tc>
        <w:tc>
          <w:tcPr>
            <w:tcW w:w="1843" w:type="dxa"/>
            <w:gridSpan w:val="2"/>
            <w:noWrap w:val="0"/>
            <w:vAlign w:val="center"/>
          </w:tcPr>
          <w:p>
            <w:pPr>
              <w:jc w:val="center"/>
              <w:rPr>
                <w:rFonts w:hint="eastAsia" w:ascii="宋体" w:hAnsi="宋体" w:eastAsia="宋体" w:cs="宋体"/>
                <w:color w:val="auto"/>
                <w:szCs w:val="21"/>
              </w:rPr>
            </w:pPr>
          </w:p>
        </w:tc>
        <w:tc>
          <w:tcPr>
            <w:tcW w:w="2633" w:type="dxa"/>
            <w:gridSpan w:val="2"/>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eastAsia="宋体" w:cs="宋体"/>
                <w:color w:val="auto"/>
                <w:szCs w:val="21"/>
              </w:rPr>
            </w:pPr>
          </w:p>
        </w:tc>
        <w:tc>
          <w:tcPr>
            <w:tcW w:w="1035" w:type="dxa"/>
            <w:gridSpan w:val="2"/>
            <w:noWrap w:val="0"/>
            <w:vAlign w:val="center"/>
          </w:tcPr>
          <w:p>
            <w:pPr>
              <w:jc w:val="center"/>
              <w:rPr>
                <w:rFonts w:hint="eastAsia" w:ascii="宋体" w:hAnsi="宋体" w:eastAsia="宋体" w:cs="宋体"/>
                <w:color w:val="auto"/>
                <w:szCs w:val="21"/>
              </w:rPr>
            </w:pPr>
          </w:p>
        </w:tc>
        <w:tc>
          <w:tcPr>
            <w:tcW w:w="1134" w:type="dxa"/>
            <w:gridSpan w:val="2"/>
            <w:noWrap w:val="0"/>
            <w:vAlign w:val="center"/>
          </w:tcPr>
          <w:p>
            <w:pPr>
              <w:jc w:val="center"/>
              <w:rPr>
                <w:rFonts w:hint="eastAsia" w:ascii="宋体" w:hAnsi="宋体" w:eastAsia="宋体" w:cs="宋体"/>
                <w:color w:val="auto"/>
                <w:szCs w:val="21"/>
              </w:rPr>
            </w:pPr>
          </w:p>
        </w:tc>
        <w:tc>
          <w:tcPr>
            <w:tcW w:w="1275" w:type="dxa"/>
            <w:gridSpan w:val="2"/>
            <w:noWrap w:val="0"/>
            <w:vAlign w:val="center"/>
          </w:tcPr>
          <w:p>
            <w:pPr>
              <w:jc w:val="center"/>
              <w:rPr>
                <w:rFonts w:hint="eastAsia" w:ascii="宋体" w:hAnsi="宋体" w:eastAsia="宋体" w:cs="宋体"/>
                <w:color w:val="auto"/>
                <w:szCs w:val="21"/>
              </w:rPr>
            </w:pPr>
          </w:p>
        </w:tc>
        <w:tc>
          <w:tcPr>
            <w:tcW w:w="1843" w:type="dxa"/>
            <w:gridSpan w:val="2"/>
            <w:noWrap w:val="0"/>
            <w:vAlign w:val="center"/>
          </w:tcPr>
          <w:p>
            <w:pPr>
              <w:jc w:val="center"/>
              <w:rPr>
                <w:rFonts w:hint="eastAsia" w:ascii="宋体" w:hAnsi="宋体" w:eastAsia="宋体" w:cs="宋体"/>
                <w:color w:val="auto"/>
                <w:szCs w:val="21"/>
              </w:rPr>
            </w:pPr>
          </w:p>
        </w:tc>
        <w:tc>
          <w:tcPr>
            <w:tcW w:w="2633" w:type="dxa"/>
            <w:gridSpan w:val="2"/>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eastAsia="宋体" w:cs="宋体"/>
                <w:color w:val="auto"/>
                <w:szCs w:val="21"/>
              </w:rPr>
            </w:pPr>
          </w:p>
        </w:tc>
        <w:tc>
          <w:tcPr>
            <w:tcW w:w="1035" w:type="dxa"/>
            <w:gridSpan w:val="2"/>
            <w:noWrap w:val="0"/>
            <w:vAlign w:val="center"/>
          </w:tcPr>
          <w:p>
            <w:pPr>
              <w:jc w:val="center"/>
              <w:rPr>
                <w:rFonts w:hint="eastAsia" w:ascii="宋体" w:hAnsi="宋体" w:eastAsia="宋体" w:cs="宋体"/>
                <w:color w:val="auto"/>
                <w:szCs w:val="21"/>
              </w:rPr>
            </w:pPr>
          </w:p>
        </w:tc>
        <w:tc>
          <w:tcPr>
            <w:tcW w:w="1134" w:type="dxa"/>
            <w:gridSpan w:val="2"/>
            <w:noWrap w:val="0"/>
            <w:vAlign w:val="center"/>
          </w:tcPr>
          <w:p>
            <w:pPr>
              <w:jc w:val="center"/>
              <w:rPr>
                <w:rFonts w:hint="eastAsia" w:ascii="宋体" w:hAnsi="宋体" w:eastAsia="宋体" w:cs="宋体"/>
                <w:color w:val="auto"/>
                <w:szCs w:val="21"/>
              </w:rPr>
            </w:pPr>
          </w:p>
        </w:tc>
        <w:tc>
          <w:tcPr>
            <w:tcW w:w="1275" w:type="dxa"/>
            <w:gridSpan w:val="2"/>
            <w:noWrap w:val="0"/>
            <w:vAlign w:val="center"/>
          </w:tcPr>
          <w:p>
            <w:pPr>
              <w:jc w:val="center"/>
              <w:rPr>
                <w:rFonts w:hint="eastAsia" w:ascii="宋体" w:hAnsi="宋体" w:eastAsia="宋体" w:cs="宋体"/>
                <w:color w:val="auto"/>
                <w:szCs w:val="21"/>
              </w:rPr>
            </w:pPr>
          </w:p>
        </w:tc>
        <w:tc>
          <w:tcPr>
            <w:tcW w:w="1843" w:type="dxa"/>
            <w:gridSpan w:val="2"/>
            <w:noWrap w:val="0"/>
            <w:vAlign w:val="center"/>
          </w:tcPr>
          <w:p>
            <w:pPr>
              <w:jc w:val="center"/>
              <w:rPr>
                <w:rFonts w:hint="eastAsia" w:ascii="宋体" w:hAnsi="宋体" w:eastAsia="宋体" w:cs="宋体"/>
                <w:color w:val="auto"/>
                <w:szCs w:val="21"/>
              </w:rPr>
            </w:pPr>
          </w:p>
        </w:tc>
        <w:tc>
          <w:tcPr>
            <w:tcW w:w="2633" w:type="dxa"/>
            <w:gridSpan w:val="2"/>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eastAsia="宋体" w:cs="宋体"/>
                <w:color w:val="auto"/>
                <w:szCs w:val="21"/>
              </w:rPr>
            </w:pPr>
          </w:p>
        </w:tc>
        <w:tc>
          <w:tcPr>
            <w:tcW w:w="1035" w:type="dxa"/>
            <w:gridSpan w:val="2"/>
            <w:noWrap w:val="0"/>
            <w:vAlign w:val="center"/>
          </w:tcPr>
          <w:p>
            <w:pPr>
              <w:jc w:val="center"/>
              <w:rPr>
                <w:rFonts w:hint="eastAsia" w:ascii="宋体" w:hAnsi="宋体" w:eastAsia="宋体" w:cs="宋体"/>
                <w:color w:val="auto"/>
                <w:szCs w:val="21"/>
              </w:rPr>
            </w:pPr>
          </w:p>
        </w:tc>
        <w:tc>
          <w:tcPr>
            <w:tcW w:w="1134" w:type="dxa"/>
            <w:gridSpan w:val="2"/>
            <w:noWrap w:val="0"/>
            <w:vAlign w:val="center"/>
          </w:tcPr>
          <w:p>
            <w:pPr>
              <w:jc w:val="center"/>
              <w:rPr>
                <w:rFonts w:hint="eastAsia" w:ascii="宋体" w:hAnsi="宋体" w:eastAsia="宋体" w:cs="宋体"/>
                <w:color w:val="auto"/>
                <w:szCs w:val="21"/>
              </w:rPr>
            </w:pPr>
          </w:p>
        </w:tc>
        <w:tc>
          <w:tcPr>
            <w:tcW w:w="1275" w:type="dxa"/>
            <w:gridSpan w:val="2"/>
            <w:noWrap w:val="0"/>
            <w:vAlign w:val="center"/>
          </w:tcPr>
          <w:p>
            <w:pPr>
              <w:jc w:val="center"/>
              <w:rPr>
                <w:rFonts w:hint="eastAsia" w:ascii="宋体" w:hAnsi="宋体" w:eastAsia="宋体" w:cs="宋体"/>
                <w:color w:val="auto"/>
                <w:szCs w:val="21"/>
              </w:rPr>
            </w:pPr>
          </w:p>
        </w:tc>
        <w:tc>
          <w:tcPr>
            <w:tcW w:w="1843" w:type="dxa"/>
            <w:gridSpan w:val="2"/>
            <w:noWrap w:val="0"/>
            <w:vAlign w:val="center"/>
          </w:tcPr>
          <w:p>
            <w:pPr>
              <w:jc w:val="center"/>
              <w:rPr>
                <w:rFonts w:hint="eastAsia" w:ascii="宋体" w:hAnsi="宋体" w:eastAsia="宋体" w:cs="宋体"/>
                <w:color w:val="auto"/>
                <w:szCs w:val="21"/>
              </w:rPr>
            </w:pPr>
          </w:p>
        </w:tc>
        <w:tc>
          <w:tcPr>
            <w:tcW w:w="2633" w:type="dxa"/>
            <w:gridSpan w:val="2"/>
            <w:noWrap w:val="0"/>
            <w:vAlign w:val="center"/>
          </w:tcPr>
          <w:p>
            <w:pPr>
              <w:jc w:val="center"/>
              <w:rPr>
                <w:rFonts w:hint="eastAsia" w:ascii="宋体" w:hAnsi="宋体" w:eastAsia="宋体" w:cs="宋体"/>
                <w:color w:val="auto"/>
                <w:szCs w:val="21"/>
              </w:rPr>
            </w:pPr>
          </w:p>
        </w:tc>
      </w:tr>
    </w:tbl>
    <w:p>
      <w:pPr>
        <w:pStyle w:val="22"/>
        <w:spacing w:line="240" w:lineRule="auto"/>
        <w:ind w:left="1" w:leftChars="-28" w:hanging="60"/>
        <w:rPr>
          <w:rFonts w:hint="eastAsia" w:ascii="宋体" w:hAnsi="宋体" w:eastAsia="宋体" w:cs="宋体"/>
          <w:color w:val="auto"/>
          <w:sz w:val="21"/>
          <w:szCs w:val="21"/>
        </w:rPr>
      </w:pPr>
    </w:p>
    <w:p>
      <w:pPr>
        <w:pStyle w:val="22"/>
        <w:spacing w:line="240" w:lineRule="auto"/>
        <w:ind w:left="1" w:leftChars="-28" w:hanging="60"/>
        <w:rPr>
          <w:rFonts w:hint="eastAsia" w:ascii="宋体" w:hAnsi="宋体" w:eastAsia="宋体" w:cs="宋体"/>
          <w:color w:val="auto"/>
          <w:sz w:val="21"/>
          <w:szCs w:val="21"/>
        </w:rPr>
      </w:pPr>
      <w:r>
        <w:rPr>
          <w:rFonts w:hint="eastAsia" w:ascii="宋体" w:hAnsi="宋体" w:eastAsia="宋体" w:cs="宋体"/>
          <w:color w:val="auto"/>
          <w:sz w:val="24"/>
          <w:szCs w:val="21"/>
        </w:rPr>
        <w:t>注：本工程一旦我单位中标，将配备上述项目管理人员。上述填报内容真实，  如不真实，将按照有关规定接受处理。</w:t>
      </w:r>
    </w:p>
    <w:p>
      <w:pPr>
        <w:pStyle w:val="214"/>
        <w:spacing w:line="560" w:lineRule="exact"/>
        <w:jc w:val="center"/>
        <w:rPr>
          <w:rFonts w:hint="eastAsia" w:ascii="宋体" w:hAnsi="宋体" w:eastAsia="宋体" w:cs="宋体"/>
          <w:b/>
          <w:color w:val="auto"/>
          <w:kern w:val="2"/>
          <w:sz w:val="32"/>
          <w:szCs w:val="28"/>
          <w:lang w:val="en-US" w:eastAsia="zh-CN"/>
        </w:rPr>
      </w:pPr>
    </w:p>
    <w:p>
      <w:pPr>
        <w:pStyle w:val="214"/>
        <w:spacing w:line="560" w:lineRule="exact"/>
        <w:jc w:val="center"/>
        <w:rPr>
          <w:rFonts w:hint="eastAsia" w:ascii="宋体" w:hAnsi="宋体" w:eastAsia="宋体" w:cs="宋体"/>
          <w:b/>
          <w:color w:val="auto"/>
          <w:kern w:val="2"/>
          <w:sz w:val="32"/>
          <w:szCs w:val="28"/>
          <w:lang w:val="en-US" w:eastAsia="zh-CN"/>
        </w:rPr>
      </w:pPr>
    </w:p>
    <w:p>
      <w:pPr>
        <w:pStyle w:val="214"/>
        <w:spacing w:line="560" w:lineRule="exact"/>
        <w:jc w:val="center"/>
        <w:rPr>
          <w:rFonts w:hint="eastAsia" w:ascii="宋体" w:hAnsi="宋体" w:eastAsia="宋体" w:cs="宋体"/>
          <w:b/>
          <w:color w:val="auto"/>
          <w:kern w:val="2"/>
          <w:sz w:val="32"/>
          <w:szCs w:val="28"/>
          <w:lang w:val="en-US" w:eastAsia="zh-CN"/>
        </w:rPr>
      </w:pPr>
    </w:p>
    <w:p>
      <w:pPr>
        <w:pStyle w:val="214"/>
        <w:spacing w:line="560" w:lineRule="exact"/>
        <w:jc w:val="center"/>
        <w:rPr>
          <w:rFonts w:hint="eastAsia" w:ascii="宋体" w:hAnsi="宋体" w:eastAsia="宋体" w:cs="宋体"/>
          <w:b/>
          <w:color w:val="auto"/>
          <w:kern w:val="2"/>
          <w:sz w:val="32"/>
          <w:szCs w:val="28"/>
          <w:lang w:val="en-US" w:eastAsia="zh-CN"/>
        </w:rPr>
      </w:pPr>
    </w:p>
    <w:p>
      <w:pPr>
        <w:pStyle w:val="214"/>
        <w:spacing w:line="560" w:lineRule="exact"/>
        <w:jc w:val="center"/>
        <w:rPr>
          <w:rFonts w:hint="eastAsia" w:ascii="宋体" w:hAnsi="宋体" w:eastAsia="宋体" w:cs="宋体"/>
          <w:b/>
          <w:color w:val="auto"/>
          <w:kern w:val="2"/>
          <w:sz w:val="32"/>
          <w:szCs w:val="28"/>
        </w:rPr>
      </w:pPr>
      <w:r>
        <w:rPr>
          <w:rFonts w:hint="eastAsia" w:ascii="宋体" w:hAnsi="宋体" w:eastAsia="宋体" w:cs="宋体"/>
          <w:b/>
          <w:color w:val="auto"/>
          <w:kern w:val="2"/>
          <w:sz w:val="32"/>
          <w:szCs w:val="28"/>
          <w:lang w:val="en-US" w:eastAsia="zh-CN"/>
        </w:rPr>
        <w:t>（6）</w:t>
      </w:r>
      <w:r>
        <w:rPr>
          <w:rFonts w:hint="eastAsia" w:ascii="宋体" w:hAnsi="宋体" w:eastAsia="宋体" w:cs="宋体"/>
          <w:b/>
          <w:color w:val="auto"/>
          <w:sz w:val="32"/>
          <w:szCs w:val="28"/>
        </w:rPr>
        <w:t>近</w:t>
      </w:r>
      <w:r>
        <w:rPr>
          <w:rFonts w:hint="eastAsia" w:ascii="宋体" w:hAnsi="宋体" w:eastAsia="宋体" w:cs="宋体"/>
          <w:b/>
          <w:color w:val="auto"/>
          <w:sz w:val="32"/>
          <w:szCs w:val="28"/>
          <w:lang w:val="en-US" w:eastAsia="zh-CN"/>
        </w:rPr>
        <w:t>三</w:t>
      </w:r>
      <w:r>
        <w:rPr>
          <w:rFonts w:hint="eastAsia" w:ascii="宋体" w:hAnsi="宋体" w:eastAsia="宋体" w:cs="宋体"/>
          <w:b/>
          <w:color w:val="auto"/>
          <w:sz w:val="32"/>
          <w:szCs w:val="28"/>
        </w:rPr>
        <w:t>年</w:t>
      </w:r>
      <w:r>
        <w:rPr>
          <w:rFonts w:hint="eastAsia" w:ascii="宋体" w:hAnsi="宋体" w:eastAsia="宋体" w:cs="宋体"/>
          <w:b/>
          <w:color w:val="auto"/>
          <w:sz w:val="32"/>
          <w:szCs w:val="28"/>
          <w:lang w:val="en-US" w:eastAsia="zh-CN"/>
        </w:rPr>
        <w:t>投标</w:t>
      </w:r>
      <w:r>
        <w:rPr>
          <w:rFonts w:hint="eastAsia" w:ascii="宋体" w:hAnsi="宋体" w:eastAsia="宋体" w:cs="宋体"/>
          <w:b/>
          <w:color w:val="auto"/>
          <w:sz w:val="32"/>
          <w:szCs w:val="28"/>
          <w:lang w:eastAsia="zh-CN"/>
        </w:rPr>
        <w:t>企业</w:t>
      </w:r>
      <w:r>
        <w:rPr>
          <w:rFonts w:hint="eastAsia" w:ascii="宋体" w:hAnsi="宋体" w:eastAsia="宋体" w:cs="宋体"/>
          <w:b/>
          <w:color w:val="auto"/>
          <w:sz w:val="32"/>
          <w:szCs w:val="28"/>
        </w:rPr>
        <w:t>完成的</w:t>
      </w:r>
      <w:r>
        <w:rPr>
          <w:rFonts w:hint="eastAsia" w:ascii="宋体" w:hAnsi="宋体" w:eastAsia="宋体" w:cs="宋体"/>
          <w:b/>
          <w:color w:val="auto"/>
          <w:kern w:val="2"/>
          <w:sz w:val="32"/>
          <w:szCs w:val="28"/>
        </w:rPr>
        <w:t>类似</w:t>
      </w:r>
      <w:r>
        <w:rPr>
          <w:rFonts w:hint="eastAsia" w:ascii="宋体" w:hAnsi="宋体" w:eastAsia="宋体" w:cs="宋体"/>
          <w:b/>
          <w:color w:val="auto"/>
          <w:kern w:val="2"/>
          <w:sz w:val="32"/>
          <w:szCs w:val="28"/>
          <w:lang w:eastAsia="zh-CN"/>
        </w:rPr>
        <w:t>项目</w:t>
      </w:r>
      <w:r>
        <w:rPr>
          <w:rFonts w:hint="eastAsia" w:ascii="宋体" w:hAnsi="宋体" w:eastAsia="宋体" w:cs="宋体"/>
          <w:b/>
          <w:color w:val="auto"/>
          <w:kern w:val="2"/>
          <w:sz w:val="32"/>
          <w:szCs w:val="28"/>
        </w:rPr>
        <w:t>业绩</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项目所在地</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发包人名称</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发包人地址</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发包人联系人及电话</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合同价格</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开工日期</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竣工日期</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承担的工作</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工程质量</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项目负责人</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技术负责人</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总监理工程师及电话</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项目描述</w:t>
            </w:r>
          </w:p>
        </w:tc>
        <w:tc>
          <w:tcPr>
            <w:tcW w:w="6094"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81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094" w:type="dxa"/>
            <w:noWrap w:val="0"/>
            <w:vAlign w:val="center"/>
          </w:tcPr>
          <w:p>
            <w:pPr>
              <w:jc w:val="center"/>
              <w:rPr>
                <w:rFonts w:hint="eastAsia" w:ascii="宋体" w:hAnsi="宋体" w:eastAsia="宋体" w:cs="宋体"/>
                <w:color w:val="auto"/>
                <w:szCs w:val="21"/>
              </w:rPr>
            </w:pPr>
          </w:p>
        </w:tc>
      </w:tr>
    </w:tbl>
    <w:p>
      <w:pPr>
        <w:spacing w:line="440" w:lineRule="exact"/>
        <w:ind w:left="720" w:hanging="720" w:hangingChars="300"/>
        <w:rPr>
          <w:rFonts w:hint="eastAsia" w:ascii="宋体" w:hAnsi="宋体" w:eastAsia="宋体" w:cs="宋体"/>
          <w:color w:val="auto"/>
          <w:sz w:val="24"/>
          <w:szCs w:val="21"/>
        </w:rPr>
      </w:pPr>
      <w:r>
        <w:rPr>
          <w:rFonts w:hint="eastAsia" w:ascii="宋体" w:hAnsi="宋体" w:eastAsia="宋体" w:cs="宋体"/>
          <w:color w:val="auto"/>
          <w:sz w:val="24"/>
          <w:szCs w:val="21"/>
        </w:rPr>
        <w:t>备注：1、类似项目指</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工程。</w:t>
      </w:r>
    </w:p>
    <w:p>
      <w:pPr>
        <w:spacing w:line="440" w:lineRule="exact"/>
        <w:ind w:left="630" w:leftChars="300"/>
        <w:rPr>
          <w:rFonts w:hint="eastAsia" w:ascii="宋体" w:hAnsi="宋体" w:eastAsia="宋体" w:cs="宋体"/>
          <w:color w:val="auto"/>
          <w:sz w:val="24"/>
          <w:szCs w:val="21"/>
        </w:rPr>
      </w:pPr>
      <w:r>
        <w:rPr>
          <w:rFonts w:hint="eastAsia" w:ascii="宋体" w:hAnsi="宋体" w:eastAsia="宋体" w:cs="宋体"/>
          <w:color w:val="auto"/>
          <w:sz w:val="24"/>
          <w:szCs w:val="21"/>
        </w:rPr>
        <w:t xml:space="preserve"> 2、本表后附中标通知书或合同协议书，具体年份要求见投标人须知前附表。每张表格只填写一个项目，并标明序号。</w:t>
      </w:r>
    </w:p>
    <w:p>
      <w:pPr>
        <w:pStyle w:val="214"/>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 xml:space="preserve">                                                      投标人：（盖章）</w:t>
      </w:r>
    </w:p>
    <w:p>
      <w:pPr>
        <w:pStyle w:val="22"/>
        <w:spacing w:line="480" w:lineRule="exact"/>
        <w:rPr>
          <w:rFonts w:hint="eastAsia" w:ascii="宋体" w:hAnsi="宋体" w:eastAsia="宋体" w:cs="宋体"/>
          <w:color w:val="auto"/>
          <w:szCs w:val="21"/>
        </w:rPr>
      </w:pPr>
    </w:p>
    <w:p>
      <w:pPr>
        <w:pStyle w:val="22"/>
        <w:spacing w:line="480" w:lineRule="exac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法定代表人或投标授权代理人：（签字或盖章）</w:t>
      </w:r>
    </w:p>
    <w:p>
      <w:pPr>
        <w:pStyle w:val="214"/>
        <w:spacing w:line="480" w:lineRule="exact"/>
        <w:ind w:firstLine="6090"/>
        <w:rPr>
          <w:rFonts w:hint="eastAsia" w:ascii="宋体" w:hAnsi="宋体" w:eastAsia="宋体" w:cs="宋体"/>
          <w:color w:val="auto"/>
          <w:sz w:val="24"/>
          <w:szCs w:val="21"/>
        </w:rPr>
      </w:pPr>
    </w:p>
    <w:p>
      <w:pPr>
        <w:pStyle w:val="214"/>
        <w:spacing w:line="480" w:lineRule="exact"/>
        <w:ind w:firstLine="6090"/>
        <w:rPr>
          <w:rFonts w:hint="eastAsia" w:ascii="宋体" w:hAnsi="宋体" w:eastAsia="宋体" w:cs="宋体"/>
          <w:color w:val="auto"/>
          <w:sz w:val="24"/>
          <w:szCs w:val="21"/>
        </w:rPr>
      </w:pPr>
      <w:r>
        <w:rPr>
          <w:rFonts w:hint="eastAsia" w:ascii="宋体" w:hAnsi="宋体" w:eastAsia="宋体" w:cs="宋体"/>
          <w:color w:val="auto"/>
          <w:sz w:val="24"/>
          <w:szCs w:val="21"/>
        </w:rPr>
        <w:t>年     月    日</w:t>
      </w:r>
    </w:p>
    <w:p>
      <w:pPr>
        <w:pStyle w:val="214"/>
        <w:spacing w:line="480" w:lineRule="exact"/>
        <w:ind w:firstLine="6090"/>
        <w:rPr>
          <w:rFonts w:hint="eastAsia" w:ascii="宋体" w:hAnsi="宋体" w:eastAsia="宋体" w:cs="宋体"/>
          <w:color w:val="auto"/>
          <w:sz w:val="24"/>
          <w:szCs w:val="21"/>
        </w:rPr>
      </w:pPr>
    </w:p>
    <w:p>
      <w:pPr>
        <w:pStyle w:val="4"/>
        <w:spacing w:line="400" w:lineRule="exact"/>
        <w:jc w:val="center"/>
        <w:outlineLvl w:val="0"/>
        <w:rPr>
          <w:rFonts w:hint="eastAsia" w:ascii="宋体" w:hAnsi="宋体" w:eastAsia="宋体" w:cs="宋体"/>
          <w:bCs/>
          <w:kern w:val="0"/>
          <w:sz w:val="32"/>
          <w:szCs w:val="32"/>
        </w:rPr>
      </w:pPr>
      <w:bookmarkStart w:id="144" w:name="_Toc4319"/>
      <w:r>
        <w:rPr>
          <w:rFonts w:hint="eastAsia" w:ascii="宋体" w:hAnsi="宋体" w:eastAsia="宋体" w:cs="宋体"/>
          <w:bCs/>
          <w:kern w:val="0"/>
          <w:sz w:val="32"/>
          <w:szCs w:val="32"/>
          <w:lang w:eastAsia="zh-CN"/>
        </w:rPr>
        <w:t>九</w:t>
      </w:r>
      <w:r>
        <w:rPr>
          <w:rFonts w:hint="eastAsia" w:ascii="宋体" w:hAnsi="宋体" w:eastAsia="宋体" w:cs="宋体"/>
          <w:bCs/>
          <w:kern w:val="0"/>
          <w:sz w:val="32"/>
          <w:szCs w:val="32"/>
        </w:rPr>
        <w:t>、技术指标服务要求响应偏离表</w:t>
      </w:r>
      <w:bookmarkEnd w:id="141"/>
      <w:bookmarkEnd w:id="142"/>
      <w:bookmarkEnd w:id="143"/>
      <w:bookmarkEnd w:id="144"/>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农业科技智能温室附属设施配套项目-科技创区水网改造提升项目</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45"/>
        <w:gridCol w:w="1814"/>
        <w:gridCol w:w="2030"/>
        <w:gridCol w:w="1930"/>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pPr>
              <w:pStyle w:val="158"/>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645" w:type="dxa"/>
            <w:noWrap w:val="0"/>
            <w:vAlign w:val="center"/>
          </w:tcPr>
          <w:p>
            <w:pPr>
              <w:pStyle w:val="158"/>
              <w:spacing w:line="360" w:lineRule="auto"/>
              <w:jc w:val="center"/>
              <w:rPr>
                <w:rFonts w:hint="eastAsia" w:ascii="宋体" w:hAnsi="宋体" w:eastAsia="宋体" w:cs="宋体"/>
                <w:sz w:val="24"/>
                <w:szCs w:val="24"/>
              </w:rPr>
            </w:pPr>
            <w:r>
              <w:rPr>
                <w:rFonts w:hint="eastAsia" w:ascii="宋体" w:hAnsi="宋体" w:eastAsia="宋体" w:cs="宋体"/>
                <w:sz w:val="24"/>
                <w:szCs w:val="24"/>
              </w:rPr>
              <w:t>包号</w:t>
            </w:r>
          </w:p>
        </w:tc>
        <w:tc>
          <w:tcPr>
            <w:tcW w:w="1814" w:type="dxa"/>
            <w:noWrap w:val="0"/>
            <w:vAlign w:val="center"/>
          </w:tcPr>
          <w:p>
            <w:pPr>
              <w:pStyle w:val="158"/>
              <w:spacing w:line="360" w:lineRule="auto"/>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2030" w:type="dxa"/>
            <w:noWrap w:val="0"/>
            <w:vAlign w:val="center"/>
          </w:tcPr>
          <w:p>
            <w:pPr>
              <w:pStyle w:val="158"/>
              <w:spacing w:line="360" w:lineRule="auto"/>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竞争性谈判文件要求</w:t>
            </w:r>
          </w:p>
        </w:tc>
        <w:tc>
          <w:tcPr>
            <w:tcW w:w="1930" w:type="dxa"/>
            <w:noWrap w:val="0"/>
            <w:vAlign w:val="center"/>
          </w:tcPr>
          <w:p>
            <w:pPr>
              <w:pStyle w:val="158"/>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响应</w:t>
            </w:r>
          </w:p>
        </w:tc>
        <w:tc>
          <w:tcPr>
            <w:tcW w:w="2030" w:type="dxa"/>
            <w:noWrap w:val="0"/>
            <w:vAlign w:val="center"/>
          </w:tcPr>
          <w:p>
            <w:pPr>
              <w:pStyle w:val="158"/>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偏离对设备性能的影响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58"/>
              <w:spacing w:line="360" w:lineRule="auto"/>
              <w:rPr>
                <w:rFonts w:hint="eastAsia" w:ascii="宋体" w:hAnsi="宋体" w:eastAsia="宋体" w:cs="宋体"/>
                <w:sz w:val="24"/>
                <w:szCs w:val="24"/>
              </w:rPr>
            </w:pPr>
          </w:p>
        </w:tc>
        <w:tc>
          <w:tcPr>
            <w:tcW w:w="645" w:type="dxa"/>
            <w:noWrap w:val="0"/>
            <w:vAlign w:val="top"/>
          </w:tcPr>
          <w:p>
            <w:pPr>
              <w:pStyle w:val="158"/>
              <w:spacing w:line="360" w:lineRule="auto"/>
              <w:rPr>
                <w:rFonts w:hint="eastAsia" w:ascii="宋体" w:hAnsi="宋体" w:eastAsia="宋体" w:cs="宋体"/>
                <w:sz w:val="24"/>
                <w:szCs w:val="24"/>
              </w:rPr>
            </w:pPr>
          </w:p>
        </w:tc>
        <w:tc>
          <w:tcPr>
            <w:tcW w:w="1814"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c>
          <w:tcPr>
            <w:tcW w:w="1930"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58"/>
              <w:spacing w:line="360" w:lineRule="auto"/>
              <w:rPr>
                <w:rFonts w:hint="eastAsia" w:ascii="宋体" w:hAnsi="宋体" w:eastAsia="宋体" w:cs="宋体"/>
                <w:sz w:val="24"/>
                <w:szCs w:val="24"/>
              </w:rPr>
            </w:pPr>
          </w:p>
        </w:tc>
        <w:tc>
          <w:tcPr>
            <w:tcW w:w="645" w:type="dxa"/>
            <w:noWrap w:val="0"/>
            <w:vAlign w:val="top"/>
          </w:tcPr>
          <w:p>
            <w:pPr>
              <w:pStyle w:val="158"/>
              <w:spacing w:line="360" w:lineRule="auto"/>
              <w:rPr>
                <w:rFonts w:hint="eastAsia" w:ascii="宋体" w:hAnsi="宋体" w:eastAsia="宋体" w:cs="宋体"/>
                <w:sz w:val="24"/>
                <w:szCs w:val="24"/>
              </w:rPr>
            </w:pPr>
          </w:p>
        </w:tc>
        <w:tc>
          <w:tcPr>
            <w:tcW w:w="1814"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c>
          <w:tcPr>
            <w:tcW w:w="1930"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58"/>
              <w:spacing w:line="360" w:lineRule="auto"/>
              <w:rPr>
                <w:rFonts w:hint="eastAsia" w:ascii="宋体" w:hAnsi="宋体" w:eastAsia="宋体" w:cs="宋体"/>
                <w:sz w:val="24"/>
                <w:szCs w:val="24"/>
              </w:rPr>
            </w:pPr>
          </w:p>
        </w:tc>
        <w:tc>
          <w:tcPr>
            <w:tcW w:w="645" w:type="dxa"/>
            <w:noWrap w:val="0"/>
            <w:vAlign w:val="top"/>
          </w:tcPr>
          <w:p>
            <w:pPr>
              <w:pStyle w:val="158"/>
              <w:spacing w:line="360" w:lineRule="auto"/>
              <w:rPr>
                <w:rFonts w:hint="eastAsia" w:ascii="宋体" w:hAnsi="宋体" w:eastAsia="宋体" w:cs="宋体"/>
                <w:sz w:val="24"/>
                <w:szCs w:val="24"/>
              </w:rPr>
            </w:pPr>
          </w:p>
        </w:tc>
        <w:tc>
          <w:tcPr>
            <w:tcW w:w="1814"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c>
          <w:tcPr>
            <w:tcW w:w="1930"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58"/>
              <w:spacing w:line="360" w:lineRule="auto"/>
              <w:rPr>
                <w:rFonts w:hint="eastAsia" w:ascii="宋体" w:hAnsi="宋体" w:eastAsia="宋体" w:cs="宋体"/>
                <w:sz w:val="24"/>
                <w:szCs w:val="24"/>
              </w:rPr>
            </w:pPr>
          </w:p>
        </w:tc>
        <w:tc>
          <w:tcPr>
            <w:tcW w:w="645" w:type="dxa"/>
            <w:noWrap w:val="0"/>
            <w:vAlign w:val="top"/>
          </w:tcPr>
          <w:p>
            <w:pPr>
              <w:pStyle w:val="158"/>
              <w:spacing w:line="360" w:lineRule="auto"/>
              <w:rPr>
                <w:rFonts w:hint="eastAsia" w:ascii="宋体" w:hAnsi="宋体" w:eastAsia="宋体" w:cs="宋体"/>
                <w:sz w:val="24"/>
                <w:szCs w:val="24"/>
              </w:rPr>
            </w:pPr>
          </w:p>
        </w:tc>
        <w:tc>
          <w:tcPr>
            <w:tcW w:w="1814"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c>
          <w:tcPr>
            <w:tcW w:w="1930"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58"/>
              <w:spacing w:line="360" w:lineRule="auto"/>
              <w:rPr>
                <w:rFonts w:hint="eastAsia" w:ascii="宋体" w:hAnsi="宋体" w:eastAsia="宋体" w:cs="宋体"/>
                <w:sz w:val="24"/>
                <w:szCs w:val="24"/>
              </w:rPr>
            </w:pPr>
          </w:p>
        </w:tc>
        <w:tc>
          <w:tcPr>
            <w:tcW w:w="645" w:type="dxa"/>
            <w:noWrap w:val="0"/>
            <w:vAlign w:val="top"/>
          </w:tcPr>
          <w:p>
            <w:pPr>
              <w:pStyle w:val="158"/>
              <w:spacing w:line="360" w:lineRule="auto"/>
              <w:rPr>
                <w:rFonts w:hint="eastAsia" w:ascii="宋体" w:hAnsi="宋体" w:eastAsia="宋体" w:cs="宋体"/>
                <w:sz w:val="24"/>
                <w:szCs w:val="24"/>
              </w:rPr>
            </w:pPr>
          </w:p>
        </w:tc>
        <w:tc>
          <w:tcPr>
            <w:tcW w:w="1814"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c>
          <w:tcPr>
            <w:tcW w:w="1930"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58"/>
              <w:spacing w:line="360" w:lineRule="auto"/>
              <w:rPr>
                <w:rFonts w:hint="eastAsia" w:ascii="宋体" w:hAnsi="宋体" w:eastAsia="宋体" w:cs="宋体"/>
                <w:sz w:val="24"/>
                <w:szCs w:val="24"/>
              </w:rPr>
            </w:pPr>
          </w:p>
        </w:tc>
        <w:tc>
          <w:tcPr>
            <w:tcW w:w="645" w:type="dxa"/>
            <w:noWrap w:val="0"/>
            <w:vAlign w:val="top"/>
          </w:tcPr>
          <w:p>
            <w:pPr>
              <w:pStyle w:val="158"/>
              <w:spacing w:line="360" w:lineRule="auto"/>
              <w:rPr>
                <w:rFonts w:hint="eastAsia" w:ascii="宋体" w:hAnsi="宋体" w:eastAsia="宋体" w:cs="宋体"/>
                <w:sz w:val="24"/>
                <w:szCs w:val="24"/>
              </w:rPr>
            </w:pPr>
          </w:p>
        </w:tc>
        <w:tc>
          <w:tcPr>
            <w:tcW w:w="1814"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c>
          <w:tcPr>
            <w:tcW w:w="1930"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58"/>
              <w:spacing w:line="360" w:lineRule="auto"/>
              <w:rPr>
                <w:rFonts w:hint="eastAsia" w:ascii="宋体" w:hAnsi="宋体" w:eastAsia="宋体" w:cs="宋体"/>
                <w:sz w:val="24"/>
                <w:szCs w:val="24"/>
              </w:rPr>
            </w:pPr>
          </w:p>
        </w:tc>
        <w:tc>
          <w:tcPr>
            <w:tcW w:w="645" w:type="dxa"/>
            <w:noWrap w:val="0"/>
            <w:vAlign w:val="top"/>
          </w:tcPr>
          <w:p>
            <w:pPr>
              <w:pStyle w:val="158"/>
              <w:spacing w:line="360" w:lineRule="auto"/>
              <w:rPr>
                <w:rFonts w:hint="eastAsia" w:ascii="宋体" w:hAnsi="宋体" w:eastAsia="宋体" w:cs="宋体"/>
                <w:sz w:val="24"/>
                <w:szCs w:val="24"/>
              </w:rPr>
            </w:pPr>
          </w:p>
        </w:tc>
        <w:tc>
          <w:tcPr>
            <w:tcW w:w="1814"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c>
          <w:tcPr>
            <w:tcW w:w="1930" w:type="dxa"/>
            <w:noWrap w:val="0"/>
            <w:vAlign w:val="top"/>
          </w:tcPr>
          <w:p>
            <w:pPr>
              <w:pStyle w:val="158"/>
              <w:spacing w:line="360" w:lineRule="auto"/>
              <w:rPr>
                <w:rFonts w:hint="eastAsia" w:ascii="宋体" w:hAnsi="宋体" w:eastAsia="宋体" w:cs="宋体"/>
                <w:sz w:val="24"/>
                <w:szCs w:val="24"/>
              </w:rPr>
            </w:pPr>
          </w:p>
        </w:tc>
        <w:tc>
          <w:tcPr>
            <w:tcW w:w="2030" w:type="dxa"/>
            <w:noWrap w:val="0"/>
            <w:vAlign w:val="top"/>
          </w:tcPr>
          <w:p>
            <w:pPr>
              <w:pStyle w:val="158"/>
              <w:spacing w:line="360" w:lineRule="auto"/>
              <w:rPr>
                <w:rFonts w:hint="eastAsia" w:ascii="宋体" w:hAnsi="宋体" w:eastAsia="宋体" w:cs="宋体"/>
                <w:sz w:val="24"/>
                <w:szCs w:val="24"/>
              </w:rPr>
            </w:pP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注：1.本表只填写</w:t>
      </w:r>
      <w:r>
        <w:rPr>
          <w:rFonts w:hint="eastAsia" w:ascii="宋体" w:hAnsi="宋体" w:eastAsia="宋体" w:cs="宋体"/>
          <w:sz w:val="24"/>
          <w:szCs w:val="24"/>
          <w:lang w:eastAsia="zh-CN"/>
        </w:rPr>
        <w:t>响应文件</w:t>
      </w:r>
      <w:r>
        <w:rPr>
          <w:rFonts w:hint="eastAsia" w:ascii="宋体" w:hAnsi="宋体" w:eastAsia="宋体" w:cs="宋体"/>
          <w:sz w:val="24"/>
          <w:szCs w:val="24"/>
        </w:rPr>
        <w:t>中与竞争性谈判文件有偏离（包括正偏离和负偏离）的内容，</w:t>
      </w:r>
      <w:r>
        <w:rPr>
          <w:rFonts w:hint="eastAsia" w:ascii="宋体" w:hAnsi="宋体" w:eastAsia="宋体" w:cs="宋体"/>
          <w:sz w:val="24"/>
          <w:szCs w:val="24"/>
          <w:lang w:eastAsia="zh-CN"/>
        </w:rPr>
        <w:t>响应文件</w:t>
      </w:r>
      <w:r>
        <w:rPr>
          <w:rFonts w:hint="eastAsia" w:ascii="宋体" w:hAnsi="宋体" w:eastAsia="宋体" w:cs="宋体"/>
          <w:sz w:val="24"/>
          <w:szCs w:val="24"/>
        </w:rPr>
        <w:t>中技术规格及指标响应与竞争性谈判文件要求完全一致的，不用在此表中列出。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必须据实填写，不得虚假响应，否则将取消其</w:t>
      </w:r>
      <w:r>
        <w:rPr>
          <w:rFonts w:hint="eastAsia" w:ascii="宋体" w:hAnsi="宋体" w:eastAsia="宋体" w:cs="宋体"/>
          <w:sz w:val="24"/>
          <w:szCs w:val="24"/>
          <w:lang w:eastAsia="zh-CN"/>
        </w:rPr>
        <w:t>投标人</w:t>
      </w:r>
      <w:r>
        <w:rPr>
          <w:rFonts w:hint="eastAsia" w:ascii="宋体" w:hAnsi="宋体" w:eastAsia="宋体" w:cs="宋体"/>
          <w:sz w:val="24"/>
          <w:szCs w:val="24"/>
        </w:rPr>
        <w:t>或中标资格，并按有关规定进行处罚。</w:t>
      </w:r>
    </w:p>
    <w:p>
      <w:pPr>
        <w:adjustRightInd w:val="0"/>
        <w:spacing w:line="360" w:lineRule="auto"/>
        <w:ind w:firstLine="420" w:firstLineChars="175"/>
        <w:jc w:val="left"/>
        <w:rPr>
          <w:rFonts w:hint="eastAsia" w:ascii="宋体" w:hAnsi="宋体" w:eastAsia="宋体" w:cs="宋体"/>
          <w:bCs/>
          <w:sz w:val="24"/>
          <w:szCs w:val="24"/>
        </w:rPr>
      </w:pPr>
    </w:p>
    <w:p>
      <w:pPr>
        <w:adjustRightInd w:val="0"/>
        <w:spacing w:line="360" w:lineRule="auto"/>
        <w:ind w:firstLine="420" w:firstLineChars="175"/>
        <w:jc w:val="left"/>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名称：        （盖章）</w:t>
      </w:r>
    </w:p>
    <w:p>
      <w:pPr>
        <w:adjustRightInd w:val="0"/>
        <w:spacing w:line="360" w:lineRule="auto"/>
        <w:ind w:firstLine="420" w:firstLineChars="175"/>
        <w:jc w:val="left"/>
        <w:rPr>
          <w:rFonts w:hint="eastAsia" w:ascii="宋体" w:hAnsi="宋体" w:eastAsia="宋体" w:cs="宋体"/>
          <w:bCs/>
          <w:sz w:val="24"/>
          <w:szCs w:val="24"/>
        </w:rPr>
      </w:pPr>
      <w:r>
        <w:rPr>
          <w:rFonts w:hint="eastAsia" w:ascii="宋体" w:hAnsi="宋体" w:eastAsia="宋体" w:cs="宋体"/>
          <w:sz w:val="24"/>
          <w:szCs w:val="24"/>
        </w:rPr>
        <w:t>法</w:t>
      </w:r>
      <w:r>
        <w:rPr>
          <w:rFonts w:hint="eastAsia" w:ascii="宋体" w:hAnsi="宋体" w:eastAsia="宋体" w:cs="宋体"/>
          <w:bCs/>
          <w:sz w:val="24"/>
          <w:szCs w:val="24"/>
        </w:rPr>
        <w:t>定代表人</w:t>
      </w:r>
      <w:r>
        <w:rPr>
          <w:rFonts w:hint="eastAsia" w:ascii="宋体" w:hAnsi="宋体" w:eastAsia="宋体" w:cs="宋体"/>
          <w:bCs/>
          <w:sz w:val="24"/>
          <w:szCs w:val="24"/>
          <w:lang w:eastAsia="zh-CN"/>
        </w:rPr>
        <w:t>（企业注册人）</w:t>
      </w:r>
      <w:r>
        <w:rPr>
          <w:rFonts w:hint="eastAsia" w:ascii="宋体" w:hAnsi="宋体" w:eastAsia="宋体" w:cs="宋体"/>
          <w:bCs/>
          <w:sz w:val="24"/>
          <w:szCs w:val="24"/>
        </w:rPr>
        <w:t>或授权代表（签字）：</w:t>
      </w:r>
    </w:p>
    <w:p>
      <w:pPr>
        <w:spacing w:line="360" w:lineRule="auto"/>
        <w:ind w:firstLine="480" w:firstLineChars="200"/>
        <w:rPr>
          <w:rFonts w:hint="eastAsia" w:ascii="宋体" w:hAnsi="宋体" w:eastAsia="宋体" w:cs="宋体"/>
          <w:bCs/>
          <w:sz w:val="24"/>
          <w:szCs w:val="24"/>
          <w:lang w:eastAsia="zh-CN"/>
        </w:rPr>
      </w:pPr>
      <w:bookmarkStart w:id="145" w:name="_Toc217446092"/>
      <w:bookmarkStart w:id="146" w:name="_Toc279996730"/>
      <w:r>
        <w:rPr>
          <w:rFonts w:hint="eastAsia" w:ascii="宋体" w:hAnsi="宋体" w:eastAsia="宋体" w:cs="宋体"/>
          <w:bCs/>
          <w:sz w:val="24"/>
          <w:szCs w:val="24"/>
          <w:lang w:eastAsia="zh-CN"/>
        </w:rPr>
        <w:t>投标人</w:t>
      </w:r>
    </w:p>
    <w:p>
      <w:pPr>
        <w:spacing w:line="400" w:lineRule="exact"/>
        <w:rPr>
          <w:rFonts w:hint="eastAsia" w:ascii="宋体" w:hAnsi="宋体" w:eastAsia="宋体" w:cs="宋体"/>
          <w:sz w:val="24"/>
          <w:szCs w:val="24"/>
        </w:rPr>
      </w:pPr>
      <w:r>
        <w:rPr>
          <w:rFonts w:hint="eastAsia" w:ascii="宋体" w:hAnsi="宋体" w:eastAsia="宋体" w:cs="宋体"/>
          <w:sz w:val="24"/>
          <w:szCs w:val="24"/>
        </w:rPr>
        <w:t>　　　　　</w:t>
      </w: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pStyle w:val="4"/>
        <w:spacing w:line="400" w:lineRule="exact"/>
        <w:jc w:val="center"/>
        <w:outlineLvl w:val="0"/>
        <w:rPr>
          <w:rFonts w:hint="eastAsia" w:ascii="宋体" w:hAnsi="宋体" w:eastAsia="宋体" w:cs="宋体"/>
          <w:sz w:val="32"/>
          <w:szCs w:val="32"/>
          <w:lang w:eastAsia="zh-CN"/>
        </w:rPr>
      </w:pPr>
      <w:bookmarkStart w:id="147" w:name="_Toc1602"/>
      <w:bookmarkStart w:id="148" w:name="_Toc21865"/>
      <w:bookmarkStart w:id="149" w:name="_Toc18351"/>
      <w:bookmarkStart w:id="150" w:name="_Toc24645"/>
      <w:bookmarkStart w:id="151" w:name="_Toc16462"/>
      <w:bookmarkStart w:id="152" w:name="_Toc30462"/>
      <w:r>
        <w:rPr>
          <w:rFonts w:hint="eastAsia" w:ascii="宋体" w:hAnsi="宋体" w:eastAsia="宋体" w:cs="宋体"/>
          <w:sz w:val="32"/>
          <w:szCs w:val="32"/>
          <w:lang w:eastAsia="zh-CN"/>
        </w:rPr>
        <w:t>十</w:t>
      </w:r>
      <w:r>
        <w:rPr>
          <w:rFonts w:hint="eastAsia" w:ascii="宋体" w:hAnsi="宋体" w:eastAsia="宋体" w:cs="宋体"/>
          <w:sz w:val="32"/>
          <w:szCs w:val="32"/>
        </w:rPr>
        <w:t xml:space="preserve"> </w:t>
      </w:r>
      <w:r>
        <w:rPr>
          <w:rFonts w:hint="eastAsia" w:ascii="宋体" w:hAnsi="宋体" w:eastAsia="宋体" w:cs="宋体"/>
          <w:sz w:val="32"/>
          <w:szCs w:val="32"/>
          <w:lang w:eastAsia="zh-CN"/>
        </w:rPr>
        <w:t>、</w:t>
      </w:r>
      <w:r>
        <w:rPr>
          <w:rFonts w:hint="eastAsia" w:ascii="宋体" w:hAnsi="宋体" w:eastAsia="宋体" w:cs="宋体"/>
          <w:sz w:val="32"/>
          <w:szCs w:val="32"/>
        </w:rPr>
        <w:t>商务及技术</w:t>
      </w:r>
      <w:bookmarkEnd w:id="145"/>
      <w:bookmarkEnd w:id="146"/>
      <w:bookmarkEnd w:id="147"/>
      <w:r>
        <w:rPr>
          <w:rFonts w:hint="eastAsia" w:ascii="宋体" w:hAnsi="宋体" w:eastAsia="宋体" w:cs="宋体"/>
          <w:sz w:val="32"/>
          <w:szCs w:val="32"/>
          <w:lang w:eastAsia="zh-CN"/>
        </w:rPr>
        <w:t>部分</w:t>
      </w:r>
      <w:bookmarkEnd w:id="148"/>
      <w:bookmarkEnd w:id="149"/>
      <w:bookmarkEnd w:id="150"/>
      <w:bookmarkEnd w:id="151"/>
      <w:bookmarkEnd w:id="152"/>
    </w:p>
    <w:p>
      <w:pPr>
        <w:spacing w:line="360" w:lineRule="auto"/>
        <w:ind w:firstLine="472" w:firstLineChars="196"/>
        <w:outlineLvl w:val="0"/>
        <w:rPr>
          <w:rFonts w:hint="default" w:ascii="宋体" w:hAnsi="宋体" w:eastAsia="宋体" w:cs="宋体"/>
          <w:b/>
          <w:bCs w:val="0"/>
          <w:kern w:val="0"/>
          <w:sz w:val="24"/>
          <w:szCs w:val="24"/>
          <w:lang w:val="en-US" w:eastAsia="zh-CN"/>
        </w:rPr>
      </w:pPr>
      <w:bookmarkStart w:id="153" w:name="_Toc9547"/>
      <w:bookmarkStart w:id="154" w:name="_Toc20143"/>
      <w:r>
        <w:rPr>
          <w:rFonts w:hint="eastAsia" w:ascii="宋体" w:hAnsi="宋体" w:eastAsia="宋体" w:cs="宋体"/>
          <w:b/>
          <w:bCs w:val="0"/>
          <w:kern w:val="0"/>
          <w:sz w:val="24"/>
          <w:szCs w:val="24"/>
          <w:lang w:val="en-US" w:eastAsia="zh-CN"/>
        </w:rPr>
        <w:t>投标保证金汇款凭证或保函</w:t>
      </w:r>
      <w:bookmarkEnd w:id="153"/>
      <w:bookmarkEnd w:id="154"/>
    </w:p>
    <w:p>
      <w:pPr>
        <w:spacing w:line="360" w:lineRule="auto"/>
        <w:ind w:firstLine="472" w:firstLineChars="196"/>
        <w:rPr>
          <w:rFonts w:hint="eastAsia" w:ascii="宋体" w:hAnsi="宋体" w:eastAsia="宋体" w:cs="宋体"/>
          <w:b/>
          <w:bCs w:val="0"/>
          <w:kern w:val="0"/>
          <w:sz w:val="24"/>
          <w:szCs w:val="24"/>
        </w:rPr>
      </w:pPr>
      <w:r>
        <w:rPr>
          <w:rFonts w:hint="eastAsia" w:ascii="宋体" w:hAnsi="宋体" w:eastAsia="宋体" w:cs="宋体"/>
          <w:b/>
          <w:bCs w:val="0"/>
          <w:kern w:val="0"/>
          <w:sz w:val="24"/>
          <w:szCs w:val="24"/>
        </w:rPr>
        <w:t>提供</w:t>
      </w:r>
      <w:r>
        <w:rPr>
          <w:rFonts w:hint="eastAsia" w:ascii="宋体" w:hAnsi="宋体" w:eastAsia="宋体" w:cs="宋体"/>
          <w:b/>
          <w:bCs w:val="0"/>
          <w:kern w:val="0"/>
          <w:sz w:val="24"/>
          <w:szCs w:val="24"/>
          <w:lang w:eastAsia="zh-CN"/>
        </w:rPr>
        <w:t>工程</w:t>
      </w:r>
      <w:r>
        <w:rPr>
          <w:rFonts w:hint="eastAsia" w:ascii="宋体" w:hAnsi="宋体" w:eastAsia="宋体" w:cs="宋体"/>
          <w:b/>
          <w:bCs w:val="0"/>
          <w:kern w:val="0"/>
          <w:sz w:val="24"/>
          <w:szCs w:val="24"/>
        </w:rPr>
        <w:t>所需设施、设备一览表</w:t>
      </w:r>
    </w:p>
    <w:p>
      <w:pPr>
        <w:spacing w:line="360" w:lineRule="auto"/>
        <w:ind w:firstLine="472" w:firstLineChars="196"/>
        <w:rPr>
          <w:rFonts w:hint="eastAsia" w:ascii="宋体" w:hAnsi="宋体" w:eastAsia="宋体" w:cs="宋体"/>
          <w:b/>
          <w:bCs w:val="0"/>
          <w:kern w:val="0"/>
          <w:sz w:val="24"/>
          <w:szCs w:val="24"/>
        </w:rPr>
      </w:pPr>
      <w:r>
        <w:rPr>
          <w:rFonts w:hint="eastAsia" w:ascii="宋体" w:hAnsi="宋体" w:eastAsia="宋体" w:cs="宋体"/>
          <w:b/>
          <w:bCs w:val="0"/>
          <w:kern w:val="0"/>
          <w:sz w:val="24"/>
          <w:szCs w:val="24"/>
        </w:rPr>
        <w:t>施工方案与技术措施；</w:t>
      </w:r>
    </w:p>
    <w:p>
      <w:pPr>
        <w:spacing w:line="360" w:lineRule="auto"/>
        <w:ind w:firstLine="482" w:firstLineChars="200"/>
        <w:rPr>
          <w:rFonts w:hint="eastAsia" w:ascii="宋体" w:hAnsi="宋体" w:eastAsia="宋体" w:cs="宋体"/>
          <w:b/>
          <w:bCs w:val="0"/>
          <w:kern w:val="0"/>
          <w:sz w:val="24"/>
          <w:szCs w:val="24"/>
          <w:lang w:eastAsia="zh-CN"/>
        </w:rPr>
      </w:pPr>
      <w:r>
        <w:rPr>
          <w:rFonts w:hint="eastAsia" w:ascii="宋体" w:hAnsi="宋体" w:eastAsia="宋体" w:cs="宋体"/>
          <w:b/>
          <w:bCs w:val="0"/>
          <w:kern w:val="0"/>
          <w:sz w:val="24"/>
          <w:szCs w:val="24"/>
        </w:rPr>
        <w:t>工作周期及人员配备</w:t>
      </w:r>
      <w:r>
        <w:rPr>
          <w:rFonts w:hint="eastAsia" w:ascii="宋体" w:hAnsi="宋体" w:eastAsia="宋体" w:cs="宋体"/>
          <w:b/>
          <w:bCs w:val="0"/>
          <w:kern w:val="0"/>
          <w:sz w:val="24"/>
          <w:szCs w:val="24"/>
          <w:lang w:eastAsia="zh-CN"/>
        </w:rPr>
        <w:t>；</w:t>
      </w:r>
    </w:p>
    <w:p>
      <w:pPr>
        <w:spacing w:line="360" w:lineRule="auto"/>
        <w:ind w:firstLine="482" w:firstLineChars="200"/>
        <w:rPr>
          <w:rFonts w:hint="eastAsia" w:ascii="宋体" w:hAnsi="宋体" w:eastAsia="宋体" w:cs="宋体"/>
          <w:b/>
          <w:bCs w:val="0"/>
          <w:kern w:val="0"/>
          <w:sz w:val="24"/>
          <w:szCs w:val="24"/>
          <w:lang w:eastAsia="zh-CN"/>
        </w:rPr>
      </w:pPr>
      <w:r>
        <w:rPr>
          <w:rFonts w:hint="eastAsia" w:ascii="宋体" w:hAnsi="宋体" w:eastAsia="宋体" w:cs="宋体"/>
          <w:b/>
          <w:bCs w:val="0"/>
          <w:kern w:val="0"/>
          <w:sz w:val="24"/>
          <w:szCs w:val="24"/>
        </w:rPr>
        <w:t>供应商需要补充的其他文件和说明</w:t>
      </w:r>
      <w:r>
        <w:rPr>
          <w:rFonts w:hint="eastAsia" w:ascii="宋体" w:hAnsi="宋体" w:eastAsia="宋体" w:cs="宋体"/>
          <w:b/>
          <w:bCs w:val="0"/>
          <w:kern w:val="0"/>
          <w:sz w:val="24"/>
          <w:szCs w:val="24"/>
          <w:lang w:eastAsia="zh-CN"/>
        </w:rPr>
        <w:t>；</w:t>
      </w:r>
    </w:p>
    <w:p>
      <w:pPr>
        <w:spacing w:line="360" w:lineRule="auto"/>
        <w:ind w:firstLine="482" w:firstLineChars="200"/>
        <w:rPr>
          <w:rFonts w:hint="eastAsia" w:ascii="宋体" w:hAnsi="宋体" w:eastAsia="宋体" w:cs="宋体"/>
          <w:b/>
          <w:bCs w:val="0"/>
          <w:kern w:val="0"/>
          <w:sz w:val="24"/>
          <w:szCs w:val="24"/>
        </w:rPr>
      </w:pPr>
      <w:r>
        <w:rPr>
          <w:rFonts w:hint="eastAsia" w:ascii="宋体" w:hAnsi="宋体" w:eastAsia="宋体" w:cs="宋体"/>
          <w:b/>
          <w:bCs w:val="0"/>
          <w:kern w:val="0"/>
          <w:sz w:val="24"/>
          <w:szCs w:val="24"/>
        </w:rPr>
        <w:t>其他承诺</w:t>
      </w:r>
      <w:r>
        <w:rPr>
          <w:rFonts w:hint="eastAsia" w:ascii="宋体" w:hAnsi="宋体" w:eastAsia="宋体" w:cs="宋体"/>
          <w:b/>
          <w:bCs w:val="0"/>
          <w:kern w:val="0"/>
          <w:sz w:val="24"/>
          <w:szCs w:val="24"/>
          <w:lang w:eastAsia="zh-CN"/>
        </w:rPr>
        <w:t>（</w:t>
      </w:r>
      <w:r>
        <w:rPr>
          <w:rFonts w:hint="eastAsia" w:ascii="宋体" w:hAnsi="宋体" w:eastAsia="宋体" w:cs="宋体"/>
          <w:b/>
          <w:bCs w:val="0"/>
          <w:kern w:val="0"/>
          <w:sz w:val="24"/>
          <w:szCs w:val="24"/>
          <w:lang w:val="en-US" w:eastAsia="zh-CN"/>
        </w:rPr>
        <w:t>服务承诺书、不参与围标串标承诺书、反商业贿赂承诺书</w:t>
      </w:r>
    </w:p>
    <w:p>
      <w:pPr>
        <w:spacing w:line="360" w:lineRule="auto"/>
        <w:ind w:firstLine="482" w:firstLineChars="200"/>
        <w:rPr>
          <w:rFonts w:hint="eastAsia" w:ascii="宋体" w:hAnsi="宋体" w:eastAsia="宋体" w:cs="宋体"/>
          <w:b w:val="0"/>
          <w:bCs/>
          <w:kern w:val="0"/>
          <w:sz w:val="28"/>
          <w:szCs w:val="28"/>
          <w:lang w:val="en-US"/>
        </w:rPr>
      </w:pPr>
      <w:r>
        <w:rPr>
          <w:rFonts w:hint="eastAsia" w:ascii="宋体" w:hAnsi="宋体" w:eastAsia="宋体" w:cs="宋体"/>
          <w:b/>
          <w:bCs w:val="0"/>
          <w:kern w:val="0"/>
          <w:sz w:val="24"/>
          <w:szCs w:val="24"/>
        </w:rPr>
        <w:t>等</w:t>
      </w:r>
      <w:r>
        <w:rPr>
          <w:rFonts w:hint="eastAsia" w:ascii="宋体" w:hAnsi="宋体" w:eastAsia="宋体" w:cs="宋体"/>
          <w:b/>
          <w:bCs w:val="0"/>
          <w:kern w:val="0"/>
          <w:sz w:val="24"/>
          <w:szCs w:val="24"/>
          <w:lang w:eastAsia="zh-CN"/>
        </w:rPr>
        <w:t>），格式自拟。</w:t>
      </w:r>
    </w:p>
    <w:p>
      <w:pPr>
        <w:rPr>
          <w:rFonts w:hint="eastAsia" w:ascii="宋体" w:hAnsi="宋体" w:eastAsia="宋体" w:cs="宋体"/>
          <w:sz w:val="36"/>
          <w:szCs w:val="36"/>
        </w:rPr>
      </w:pPr>
      <w:bookmarkStart w:id="155" w:name="_Toc217446093"/>
      <w:bookmarkStart w:id="156" w:name="_Toc279996731"/>
    </w:p>
    <w:p>
      <w:pPr>
        <w:rPr>
          <w:rFonts w:hint="eastAsia" w:ascii="宋体" w:hAnsi="宋体" w:eastAsia="宋体" w:cs="宋体"/>
          <w:sz w:val="36"/>
          <w:szCs w:val="36"/>
        </w:rPr>
      </w:pPr>
    </w:p>
    <w:p>
      <w:pPr>
        <w:rPr>
          <w:rFonts w:hint="eastAsia" w:ascii="宋体" w:hAnsi="宋体" w:eastAsia="宋体" w:cs="宋体"/>
          <w:sz w:val="36"/>
          <w:szCs w:val="36"/>
          <w:lang w:eastAsia="zh-CN"/>
        </w:rPr>
      </w:pPr>
    </w:p>
    <w:p>
      <w:pPr>
        <w:rPr>
          <w:rFonts w:hint="eastAsia" w:ascii="宋体" w:hAnsi="宋体" w:eastAsia="宋体" w:cs="宋体"/>
          <w:sz w:val="36"/>
          <w:szCs w:val="36"/>
          <w:lang w:eastAsia="zh-CN"/>
        </w:rPr>
      </w:pPr>
    </w:p>
    <w:p>
      <w:pPr>
        <w:rPr>
          <w:rFonts w:hint="eastAsia" w:ascii="宋体" w:hAnsi="宋体" w:eastAsia="宋体" w:cs="宋体"/>
          <w:sz w:val="36"/>
          <w:szCs w:val="36"/>
        </w:rPr>
      </w:pPr>
    </w:p>
    <w:p>
      <w:pPr>
        <w:pStyle w:val="4"/>
        <w:numPr>
          <w:ilvl w:val="0"/>
          <w:numId w:val="0"/>
        </w:numPr>
        <w:spacing w:line="400" w:lineRule="exact"/>
        <w:jc w:val="center"/>
        <w:rPr>
          <w:rFonts w:hint="eastAsia" w:ascii="宋体" w:hAnsi="宋体" w:eastAsia="宋体" w:cs="宋体"/>
          <w:sz w:val="36"/>
          <w:szCs w:val="36"/>
        </w:rPr>
      </w:pPr>
      <w:bookmarkStart w:id="157" w:name="_Toc16352"/>
      <w:bookmarkStart w:id="158" w:name="_Toc29275"/>
      <w:r>
        <w:rPr>
          <w:rFonts w:hint="eastAsia" w:ascii="宋体" w:hAnsi="宋体" w:eastAsia="宋体" w:cs="宋体"/>
          <w:sz w:val="36"/>
          <w:szCs w:val="36"/>
          <w:lang w:eastAsia="zh-CN"/>
        </w:rPr>
        <w:br w:type="page"/>
      </w:r>
      <w:bookmarkStart w:id="159" w:name="_Toc21689"/>
      <w:bookmarkStart w:id="160" w:name="_Toc27457"/>
      <w:bookmarkStart w:id="161" w:name="_Toc3553"/>
      <w:r>
        <w:rPr>
          <w:rFonts w:hint="eastAsia" w:ascii="宋体" w:hAnsi="宋体" w:eastAsia="宋体" w:cs="宋体"/>
          <w:sz w:val="36"/>
          <w:szCs w:val="36"/>
          <w:lang w:eastAsia="zh-CN"/>
        </w:rPr>
        <w:t>第</w:t>
      </w:r>
      <w:r>
        <w:rPr>
          <w:rFonts w:hint="eastAsia" w:ascii="宋体" w:hAnsi="宋体" w:eastAsia="宋体" w:cs="宋体"/>
          <w:sz w:val="36"/>
          <w:szCs w:val="36"/>
          <w:lang w:val="en-US" w:eastAsia="zh-CN"/>
        </w:rPr>
        <w:t>五</w:t>
      </w:r>
      <w:r>
        <w:rPr>
          <w:rFonts w:hint="eastAsia" w:ascii="宋体" w:hAnsi="宋体" w:eastAsia="宋体" w:cs="宋体"/>
          <w:sz w:val="36"/>
          <w:szCs w:val="36"/>
          <w:lang w:eastAsia="zh-CN"/>
        </w:rPr>
        <w:t>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采购项目清单及参数要求</w:t>
      </w:r>
      <w:bookmarkEnd w:id="155"/>
      <w:bookmarkEnd w:id="156"/>
      <w:bookmarkEnd w:id="157"/>
      <w:bookmarkEnd w:id="158"/>
      <w:bookmarkEnd w:id="159"/>
      <w:bookmarkEnd w:id="160"/>
      <w:bookmarkEnd w:id="161"/>
    </w:p>
    <w:p>
      <w:pPr>
        <w:rPr>
          <w:rFonts w:hint="eastAsia" w:ascii="宋体" w:hAnsi="宋体" w:eastAsia="宋体" w:cs="宋体"/>
          <w:lang w:val="en-US" w:eastAsia="zh-CN"/>
        </w:rPr>
      </w:pPr>
      <w:r>
        <w:rPr>
          <w:rFonts w:hint="eastAsia" w:ascii="宋体" w:hAnsi="宋体" w:eastAsia="宋体" w:cs="宋体"/>
          <w:sz w:val="36"/>
          <w:szCs w:val="36"/>
          <w:lang w:val="en-US" w:eastAsia="zh-CN"/>
        </w:rPr>
        <w:t xml:space="preserve">                  （工程量清单另册）</w:t>
      </w:r>
    </w:p>
    <w:p>
      <w:pPr>
        <w:spacing w:line="360" w:lineRule="auto"/>
        <w:rPr>
          <w:rFonts w:hint="eastAsia" w:ascii="宋体" w:hAnsi="宋体" w:eastAsia="宋体" w:cs="宋体"/>
          <w:b/>
          <w:sz w:val="36"/>
          <w:szCs w:val="36"/>
          <w:lang w:eastAsia="zh-CN"/>
        </w:rPr>
      </w:pPr>
    </w:p>
    <w:p>
      <w:pPr>
        <w:ind w:firstLine="840" w:firstLineChars="350"/>
        <w:rPr>
          <w:rFonts w:hint="eastAsia" w:ascii="宋体" w:hAnsi="宋体" w:eastAsia="宋体" w:cs="宋体"/>
          <w:sz w:val="24"/>
          <w:szCs w:val="24"/>
        </w:rPr>
      </w:pPr>
      <w:bookmarkStart w:id="162" w:name="_Toc279996732"/>
      <w:bookmarkStart w:id="163" w:name="_Toc217446096"/>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840" w:firstLineChars="350"/>
        <w:rPr>
          <w:rFonts w:hint="eastAsia" w:ascii="宋体" w:hAnsi="宋体" w:eastAsia="宋体" w:cs="宋体"/>
          <w:sz w:val="24"/>
          <w:szCs w:val="24"/>
        </w:rPr>
      </w:pPr>
    </w:p>
    <w:p>
      <w:pPr>
        <w:ind w:firstLine="1265" w:firstLineChars="350"/>
        <w:rPr>
          <w:rFonts w:hint="eastAsia" w:ascii="宋体" w:hAnsi="宋体" w:eastAsia="宋体" w:cs="宋体"/>
          <w:b/>
          <w:kern w:val="44"/>
          <w:sz w:val="36"/>
          <w:szCs w:val="36"/>
        </w:rPr>
      </w:pPr>
    </w:p>
    <w:p>
      <w:pPr>
        <w:pStyle w:val="4"/>
        <w:spacing w:line="400" w:lineRule="exact"/>
        <w:jc w:val="center"/>
        <w:rPr>
          <w:rFonts w:hint="eastAsia" w:ascii="宋体" w:hAnsi="宋体" w:eastAsia="宋体" w:cs="宋体"/>
          <w:lang w:val="en-US" w:eastAsia="zh-CN"/>
        </w:rPr>
      </w:pPr>
      <w:r>
        <w:rPr>
          <w:rFonts w:hint="eastAsia" w:ascii="宋体" w:hAnsi="宋体" w:eastAsia="宋体" w:cs="宋体"/>
          <w:b w:val="0"/>
          <w:kern w:val="44"/>
          <w:sz w:val="36"/>
          <w:szCs w:val="36"/>
        </w:rPr>
        <w:br w:type="page"/>
      </w:r>
      <w:bookmarkEnd w:id="162"/>
      <w:bookmarkEnd w:id="163"/>
      <w:bookmarkStart w:id="164" w:name="_Toc4650"/>
      <w:bookmarkStart w:id="165" w:name="_Toc279996740"/>
      <w:bookmarkStart w:id="166" w:name="_Toc29211"/>
      <w:bookmarkStart w:id="167" w:name="_Toc28753"/>
      <w:bookmarkStart w:id="168" w:name="_Toc27754"/>
      <w:bookmarkStart w:id="169" w:name="_Toc4141"/>
      <w:r>
        <w:rPr>
          <w:rFonts w:hint="eastAsia" w:ascii="宋体" w:hAnsi="宋体" w:eastAsia="宋体" w:cs="宋体"/>
          <w:sz w:val="36"/>
          <w:szCs w:val="36"/>
        </w:rPr>
        <w:t>第</w:t>
      </w:r>
      <w:r>
        <w:rPr>
          <w:rFonts w:hint="eastAsia" w:ascii="宋体" w:hAnsi="宋体" w:eastAsia="宋体" w:cs="宋体"/>
          <w:sz w:val="36"/>
          <w:szCs w:val="36"/>
          <w:lang w:eastAsia="zh-CN"/>
        </w:rPr>
        <w:t>六</w:t>
      </w:r>
      <w:r>
        <w:rPr>
          <w:rFonts w:hint="eastAsia" w:ascii="宋体" w:hAnsi="宋体" w:eastAsia="宋体" w:cs="宋体"/>
          <w:sz w:val="36"/>
          <w:szCs w:val="36"/>
        </w:rPr>
        <w:t>章  合同主要条款</w:t>
      </w:r>
      <w:bookmarkEnd w:id="164"/>
      <w:bookmarkEnd w:id="165"/>
      <w:bookmarkEnd w:id="166"/>
      <w:bookmarkEnd w:id="167"/>
      <w:bookmarkEnd w:id="168"/>
      <w:bookmarkEnd w:id="169"/>
    </w:p>
    <w:p>
      <w:pPr>
        <w:pStyle w:val="193"/>
        <w:jc w:val="left"/>
        <w:outlineLvl w:val="9"/>
        <w:rPr>
          <w:rFonts w:hint="eastAsia" w:ascii="宋体" w:hAnsi="宋体" w:eastAsia="宋体" w:cs="宋体"/>
          <w:b/>
          <w:bCs/>
          <w:color w:val="auto"/>
          <w:kern w:val="2"/>
          <w:sz w:val="24"/>
          <w:highlight w:val="none"/>
          <w:lang w:val="en-US" w:eastAsia="zh-CN" w:bidi="ar-SA"/>
        </w:rPr>
      </w:pPr>
      <w:bookmarkStart w:id="170" w:name="_Toc290665602"/>
      <w:bookmarkStart w:id="171" w:name="_Toc18788"/>
      <w:bookmarkStart w:id="172" w:name="_Toc13160"/>
      <w:bookmarkStart w:id="173" w:name="_Toc3449"/>
      <w:bookmarkStart w:id="174" w:name="_Toc262054010"/>
      <w:bookmarkStart w:id="175" w:name="_Toc20212"/>
      <w:bookmarkStart w:id="176" w:name="_Toc411263825"/>
      <w:bookmarkStart w:id="177" w:name="_Toc391678257"/>
      <w:r>
        <w:rPr>
          <w:rFonts w:hint="eastAsia" w:ascii="宋体" w:hAnsi="宋体" w:eastAsia="宋体" w:cs="宋体"/>
          <w:b/>
          <w:bCs/>
          <w:color w:val="auto"/>
          <w:kern w:val="2"/>
          <w:sz w:val="24"/>
          <w:highlight w:val="none"/>
          <w:lang w:val="en-US" w:eastAsia="zh-CN" w:bidi="ar-SA"/>
        </w:rPr>
        <w:t>此合同作为参考，具体以实际签订为准。</w:t>
      </w:r>
    </w:p>
    <w:bookmarkEnd w:id="170"/>
    <w:bookmarkEnd w:id="171"/>
    <w:bookmarkEnd w:id="172"/>
    <w:bookmarkEnd w:id="173"/>
    <w:bookmarkEnd w:id="174"/>
    <w:bookmarkEnd w:id="175"/>
    <w:bookmarkEnd w:id="176"/>
    <w:bookmarkEnd w:id="177"/>
    <w:p>
      <w:pPr>
        <w:jc w:val="center"/>
        <w:outlineLvl w:val="1"/>
        <w:rPr>
          <w:rFonts w:hint="eastAsia" w:ascii="宋体" w:hAnsi="宋体" w:eastAsia="宋体" w:cs="宋体"/>
          <w:color w:val="auto"/>
          <w:sz w:val="28"/>
          <w:szCs w:val="28"/>
          <w:highlight w:val="none"/>
        </w:rPr>
      </w:pPr>
      <w:bookmarkStart w:id="178" w:name="_Toc256000097"/>
      <w:r>
        <w:rPr>
          <w:rFonts w:hint="eastAsia" w:ascii="宋体" w:hAnsi="宋体" w:eastAsia="宋体" w:cs="宋体"/>
          <w:color w:val="auto"/>
          <w:sz w:val="24"/>
          <w:highlight w:val="none"/>
        </w:rPr>
        <w:t>第1节　通用合同条款</w:t>
      </w:r>
      <w:bookmarkEnd w:id="178"/>
    </w:p>
    <w:p>
      <w:pPr>
        <w:spacing w:line="500" w:lineRule="exact"/>
        <w:outlineLvl w:val="2"/>
        <w:rPr>
          <w:rFonts w:hint="eastAsia" w:ascii="宋体" w:hAnsi="宋体" w:eastAsia="宋体" w:cs="宋体"/>
          <w:color w:val="auto"/>
          <w:sz w:val="24"/>
          <w:highlight w:val="none"/>
        </w:rPr>
      </w:pPr>
      <w:bookmarkStart w:id="179" w:name="_Toc256000098"/>
      <w:bookmarkStart w:id="180" w:name="_Toc31875"/>
      <w:r>
        <w:rPr>
          <w:rFonts w:hint="eastAsia" w:ascii="宋体" w:hAnsi="宋体" w:eastAsia="宋体" w:cs="宋体"/>
          <w:color w:val="auto"/>
          <w:sz w:val="24"/>
          <w:highlight w:val="none"/>
        </w:rPr>
        <w:t>1．一般约定</w:t>
      </w:r>
      <w:bookmarkEnd w:id="179"/>
      <w:bookmarkEnd w:id="180"/>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1.1词语定义</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通用合同条款、专用合同条款中的下列词语应具有本款所赋予的含义。</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合同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1.1.1.1 合同文件（或称合同）：指合同协议书、中标通知书、投标函及投标函附录、专用合同条款、通用合同条款、技术标准和要求、图纸、已标价工程量清单，以及其他合同文件。</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 合同协议书：指第1.5款所指的合同协议书。</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1.1.1.3 中标通知书：指发包人通知承包人中标的函件。中标通知书随附的澄清、说明、补正事项纪要等，是中标通知书的组成部分。</w:t>
      </w:r>
    </w:p>
    <w:p>
      <w:pPr>
        <w:spacing w:line="500" w:lineRule="exact"/>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1.1.1.4 投标函：指构成合同文件组成部分的由承包人填写并签署的投标函。</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1.1.1.5 投标函附录：指附在投标函后构成合同文件的投标函附录。</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1.1.1.6　技术标准和要求：指构成合同文件组成部分的名为技术标准和要求(合同技术条款)的文件，包括合同双方当事人约定对其所作的修改或补充。</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1.1.1.8 已标价工程量清单：指构成合同文件组成部分的由承包人按照规定的格式和要求填写并标明价格的工程量清单。</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1.1.1.9 其他合同文件：指经合同双方当事人确认构成合同文件的其他文件。</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合同当事人和人员</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1.1.2.1 合同当事人:指发包人和（或）承包人。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1.1.2.2 发包人：指专用合同条款中指明并与承包人在合同协议书中签字的当事人。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1.1.2.3　承包人：指专用合同条款中指明并与发包人在合同协议书中签字的当事人。</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1.1.2.5　分包人：指专用合同条款中指明的，从承包人处分包合同中某一部分工程，并与其签订分包合同的分包人。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1.1.2.6 监理人：指在专用合同条款中指明的，受发包人委托对合同履行实施管理的法人或其他组织。</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1.1.2.7 总监理工程师（总监）：指由监理人委派常驻施工场地对合同履行实施管理的全权负责人。</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1.1.3　工程和设备</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1.1.3.1 工程：指永久工程和（或）临时工程。</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1.1.3.2 永久工程：指按合同约定建造并移交给发包人的工程，包括工程设备。</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1.1.3.3 临时工程：指为完成合同约定的永久工程所修建的各类临时性工程，不包括施工设备。</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1.1.3.4 单位工程：指专用合同条款中指明特定范围的永久工程。</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1.1.3.5 工程设备：指构成或计划构成永久工程一部分的机电设备、金属结构设备、仪器装置及其他类似的设备和装置。</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1.1.3.6 施工设备：指为完成合同约定的各项工作所需的设备、器具和其他物品，不包括临时工程和材料。</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1.1.3.7 临时设施：指为完成合同约定的各项工作所服务的临时性生产和生活设施。</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1.1.3.8 承包人设备：指承包人自带的施工设备。</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1.1.3.9 施工场地（或称工地、现场）：指用于合同工程施工的场所，以及在合同中指定作为施工场地组成部分的其他场所，包括永久占地和临时占地。</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1.1.3.10　永久占地：指发包人为建设本合同工程永久征用的场地。</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1.1.3.11　临时占地：指发包人为建设本合同工程临时征用，承包人在完工后须按合同要求退还的场地。</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1.1.4　日期</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1.1.4.1 开工通知：指监理人按第11.1款通知承包人开工的函件。</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1.1.4.2 开工日期：指监理人按第11.1款发出的开工通知中写明的开工日期。</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1.1.4.3工期：指承包人在投标函中承诺的完成合同工程所需的期限，包括按第11.3款、第11.4款和第11.6款约定所作的变更。</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1.1.4.4　竣工日期：即合同工程完工日期，指第1.1.4.3目约定工期届满时的日期。实际完工日期以合同工程完工证书中写明的日期为准。</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1.1.4.5　缺陷责任期：即工程质量保修期，指履行第19.2款约定的缺陷责任的期限，包括根据第19.3款约定所作的延长，具体期限由专用合同条款约定。</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1.1.4.6 基准日期：指投标截止时间前28天的日期。</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1.1.4.7 天：除特别指明外，指日历天。合同中按天计算时间的，开始当天不计入，从次日开始计算。期限最后一天的截止时间为当天24:00。</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合同价格和费用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1.1.5.1 签约合同价：指签定合同时合同协议书中写明的，包括了暂列金额、暂估价的合同总金额。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1.1.5.2 合同价格：指承包人按合同约定完成了包括缺陷责任期内的全部承包工作后，发包人应付给承包人的金额，包括在履行合同过程中按合同约定进行的变更和调整。</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1.1.5.3 费用：指为履行合同所发生的或将要发生的所有合理开支，包括管理费和应分摊的其他费用，但不包括利润。</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1.1.5.4 暂列金额：指已标价工程量清单中所列的暂列金额，用于在签订协议书时尚未确定或不可预见变更的施工及其所需材料、工程设备、服务等的金额，包括以计日工方式支付的金额。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1.1.5.5暂估价：指发包人在工程量清单中给定的用于支付必然发生但暂时不能确定价格的材料、设备以及专业工程的金额。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1.1.5.6 计日工：指对零星工作采取的一种计价方式，按合同中的计日工子目及其单价计价付款。</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1.1.5.7 质量保证金（或称保留金）：指按第17.4.1项约定用于保证在缺陷责任期内履行缺陷修复义务的金额。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1.1.6 其他</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1.1.6.1 书面形式：指合同文件、信函、电报、传真等可以有形地表现所载内容的形式。</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1.2 语言文字</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除专用术语外，合同使用的语言文字为中文。必要时专用术语应附有中文注释。</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1.3 法律</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适用于合同的法律包括中华人民共和国法律、行政法规、部门规章，以及工程所在地的地方法规、自治条例、单行条例和地方政府规章。</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1.4 合同文件的优先顺序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组成合同的各项文件应互相解释，互为说明。除专用合同条款另有约定外，解释合同文件的优先顺序如下：</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（1）合同协议书；</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（2）中标通知书；</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（3）投标函及投标函附录；</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（4）专用合同条款；</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（5）通用合同条款；</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（6）技术标准和要求；</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（7）图纸；</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（8）已标价工程量清单；</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（9）其他合同文件。</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1.5 合同协议书</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1.6 图纸和承包人文件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1.6.1 图纸的提供</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发包人应按技术标准和要求(合同技术条款)约定的期限和数量将施工图纸以及其它图纸(包括配套说明和有关资料)提供给承包人。由于发包人未按时提供图纸造成工期延误的，按第11.3款的约定办理。</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1.6.2 承包人提供的文件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承包人提供的文件应按技术标准和要求(合同技术条款)约定的期限和数量提供给监理人。监理人应按技术标准和要求(合同技术条款)约定的期限批复承包人。</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1.6.3 图纸的修改</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图纸的错误</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承包人发现发包人提供的图纸存在明显错误或疏忽，应及时通知监理人。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图纸和承包人文件的保管</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监理人和承包人均应在施工场地各保存一套完整的包含第1.6.1项、第1.6.2项、第1.6.3项约定内容的图纸和承包人文件。</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1.7 联络</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与合同有关的通知、批准、证明、证书、指示、要求、请求、同意、意见、确定和决定等，均应采用书面形式。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1.7.3 来往函件均应按合同约定的期限及时发出和答复，不得无故扣压和拖延，亦不得拒收。否则，由此造成的后果由责任方负责。</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 转让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除合同另有约定外，未经对方当事人同意，一方当事人不得将合同权利全部或部分转让给第三人，也不得全部或部分转移合同义务。</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1.9 严禁贿赂</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合同双方当事人不得以贿赂或变相贿赂的方式，谋取不当利益或损害对方权益。因贿赂造成对方损失的，行为人应赔偿损失，并承担相应的法律责任。</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1.10 化石、文物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1.10.2 承包人发现文物后不及时报告或隐瞒不报，致使文物丢失或损坏的，应赔偿损失，并承担相应的法律责任。</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1.11 专利技术</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 承包人在投标文件中采用专利技术的，专利技术的使用费包含在投标报价内。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1.11.3 承包人的技术秘密和声明需要保密的资料和信息，发包人和监理人不得为合同以外的目的泄露给他人。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1.11.4　合同实施过程中，发包人要求承包人采用专利技术的，发包人应办理相应的使用手续，承包人应按发包人约定的条件使用，并承担使用专利技术的相关试验工作，所需费用由发包人承担。</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1.12 图纸和文件的保密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1.12.1 发包人提供的图纸和文件，未经发包人同意，承包人不得为合同以外的目的泄露给他人或公开发表与引用。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1.12.2 承包人提供的文件，未经承包人同意，发包人和监理人不得为合同以外的目的泄露给他人或公开发表与引用。</w:t>
      </w:r>
    </w:p>
    <w:p>
      <w:pPr>
        <w:spacing w:line="500" w:lineRule="exact"/>
        <w:outlineLvl w:val="2"/>
        <w:rPr>
          <w:rFonts w:hint="eastAsia" w:ascii="宋体" w:hAnsi="宋体" w:eastAsia="宋体" w:cs="宋体"/>
          <w:color w:val="auto"/>
          <w:sz w:val="24"/>
          <w:highlight w:val="none"/>
        </w:rPr>
      </w:pPr>
      <w:bookmarkStart w:id="181" w:name="_Toc13522"/>
      <w:bookmarkStart w:id="182" w:name="_Toc256000099"/>
      <w:r>
        <w:rPr>
          <w:rFonts w:hint="eastAsia" w:ascii="宋体" w:hAnsi="宋体" w:eastAsia="宋体" w:cs="宋体"/>
          <w:color w:val="auto"/>
          <w:sz w:val="24"/>
          <w:highlight w:val="none"/>
        </w:rPr>
        <w:t>2．发包人义务</w:t>
      </w:r>
      <w:bookmarkEnd w:id="181"/>
      <w:bookmarkEnd w:id="182"/>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2.1 遵守法律</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发包人在履行合同过程中应遵守法律，并保证承包人免于承担因发包人违反法律而引起的任何责任。</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2.2 发出开工通知</w:t>
      </w:r>
    </w:p>
    <w:p>
      <w:pPr>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发包人应委托监理人按第11.1款的约定向承包人发出开工通知。</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2.3 提供施工场地</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2.3.2 发包人提供的施工用地范围在专用合同条款中约定。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2.4 协助承包人办理证件和批件</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发包人应协助承包人办理法律规定的有关施工证件和批件。</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2.5 组织设计交底</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发包人应根据合同进度计划，组织设计单位向承包人进行设计交底。</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2.6 支付合同价款</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发包人应按合同约定向承包人及时支付合同价款。</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2.7 组织竣工验收(组织法人验收)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发包人应按合同约定及时组织法人验收。</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2.8 其它义务</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其它义务在专用合同条款中补充约定。</w:t>
      </w:r>
    </w:p>
    <w:p>
      <w:pPr>
        <w:spacing w:line="500" w:lineRule="exact"/>
        <w:outlineLvl w:val="2"/>
        <w:rPr>
          <w:rFonts w:hint="eastAsia" w:ascii="宋体" w:hAnsi="宋体" w:eastAsia="宋体" w:cs="宋体"/>
          <w:color w:val="auto"/>
          <w:sz w:val="24"/>
          <w:highlight w:val="none"/>
        </w:rPr>
      </w:pPr>
      <w:bookmarkStart w:id="183" w:name="_Toc256000100"/>
      <w:bookmarkStart w:id="184" w:name="_Toc204"/>
      <w:r>
        <w:rPr>
          <w:rFonts w:hint="eastAsia" w:ascii="宋体" w:hAnsi="宋体" w:eastAsia="宋体" w:cs="宋体"/>
          <w:color w:val="auto"/>
          <w:sz w:val="24"/>
          <w:highlight w:val="none"/>
        </w:rPr>
        <w:t>3. 监理人</w:t>
      </w:r>
      <w:bookmarkEnd w:id="183"/>
      <w:bookmarkEnd w:id="184"/>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3.1 监理人的职责和权力</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 监理人发出的任何指示应视为已得到发包人的批准，但监理人无权免除或变更合同约定的发包人和承包人的权利、义务和责任。</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3.1.3 合同约定应由承包人承担的义务和责任，不因监理人对承包人提交文件的审查或批准，对工程、材料和设备的检查和检验，以及为实施监理作出的指示等职务行为而减轻或解除。</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3.2 总监理工程师</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发包人应在发出开工通知前将总监理工程师的任命通知承包人。总监理工程师更换时，应在调离14天前通知承包人。总监理工程师短期离开施工场地的，应委派代表代行其职责，并通知承包人。   </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3.3 监理人员</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 承包人对总监理工程师授权的监理人员发出的指示有疑问的，可向总监理工程师提出书面异议，总监理工程师应在48小时内对该指示予以确认、更改或撤销。</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 除专用合同条款另有约定外，总监理工程师不应将第3.5款约定应由总监理工程师作出确定的权力授权或委托给其他监理人员。</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3.4 监理人的指示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 监理人应按第3.1款的约定向承包人发出指示，监理人的指示应盖有监理人授权的施工场地机构章，并由总监理工程师或总监理工程师按第3.3.1项约定授权的监理人员签字。</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3.4.2 承包人收到监理人按第3.4.1项作出的指示后应遵照执行。指示构成变更的，应按第15条处理。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3.4.4 除合同另有约定外，承包人只从总监理工程师或按第3.3.1项被授权的监理人员处取得指示。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3.4.5 由于监理人未能按合同约定发出指示、指示延误或指示错误而导致承包人费用增加和（或）工期延误的，由发包人承担赔偿责任。 </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3.5 商定或确定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3.5.1合同约定总监理工程师应按照本款对任何事项进行商定或确定时，总监理工程师应与合同当事人协商，尽量达成一致。不能达成一致的，总监理工程师应认真研究后审慎确定。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spacing w:line="500" w:lineRule="exact"/>
        <w:outlineLvl w:val="2"/>
        <w:rPr>
          <w:rFonts w:hint="eastAsia" w:ascii="宋体" w:hAnsi="宋体" w:eastAsia="宋体" w:cs="宋体"/>
          <w:color w:val="auto"/>
          <w:sz w:val="24"/>
          <w:highlight w:val="none"/>
        </w:rPr>
      </w:pPr>
      <w:bookmarkStart w:id="185" w:name="_Toc256000101"/>
      <w:bookmarkStart w:id="186" w:name="_Toc27418"/>
      <w:r>
        <w:rPr>
          <w:rFonts w:hint="eastAsia" w:ascii="宋体" w:hAnsi="宋体" w:eastAsia="宋体" w:cs="宋体"/>
          <w:color w:val="auto"/>
          <w:sz w:val="24"/>
          <w:highlight w:val="none"/>
        </w:rPr>
        <w:t>4. 承包人</w:t>
      </w:r>
      <w:bookmarkEnd w:id="185"/>
      <w:bookmarkEnd w:id="186"/>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4.1承包人的一般义务</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 遵守法律</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承包人在履行合同过程中应遵守法律，并保证发包人免于承担因承包人违反法律而引起的任何责任。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 依法纳税</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承包人应按有关法律规定纳税，应缴纳的税金包括在合同价格内。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 完成各项承包工作</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4.1.4 对施工作业和施工方法的完备性负责</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承包人应按合同约定的工作内容和施工进度要求，编制施工组织设计和施工措施计划，并对所有施工作业和施工方法的完备性和安全可靠性负责。</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4.1.5 保证工程施工和人员的安全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承包人应按第9.2款约定采取施工安全措施，确保工程及其人员、材料、设备和设施的安全，防止因工程施工造成的人身伤害和财产损失。</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4.1.6 负责施工场地及其周边环境与生态的保护工作</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承包人应按照第9.4款约定负责施工场地及其周边环境与生态的保护工作。</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 避免施工对公众与他人的利益造成损害</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 为他人提供方便</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4.1.9 工程的维护和照管</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除合同另有约定外，合同工程完工证书颁发前，承包人应负责照管和维护工程。合同工程完工证书颁发时尚有部分未完工程的，承包人还应负责该未完工程的照管和维护工作，直至完工后移交给发包人为止。</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4.1.10 其它义务</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其它义务在专用合同条款中补充约定。</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4.2 履约担保</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承包人应保证其履约担保在发包人颁发合同工程完工证书前一直有效。发包人应在合同工程完工证书颁发后28天内将履约担保退还给承包人。</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4.3 分包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4.3.1 承包人不得将其承包的全部工程转包给第三人，或将其承包的全部工程肢解后以分包的名义转包给第三人。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4.3.2 承包人不得将工程主体、关键性工作分包给第三人。除专用合同条款另有约定外，未经发包人同意，承包人不得将工程的其他部分或工作分包给第三人。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4.3.3 分包人的资格能力应与其分包工程的标准和规模相适应。</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4.3.4 按投标函附录约定分包工程的，承包人应向发包人和监理人提交分包合同备份。</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4.3.5 承包人应与分包人就分包工程向发包人承担连带责任。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由指定分包人造成的与其分包工作有关的一切索赔、诉讼和损失赔偿由指定分包人直接对发包人负责，承包人不对此承担责任。</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4.3.9 除第4.3.7项规定的指定分包外，承包人对其分包项目的实施以及分包人的行为向发包人负全部责任。承包人应对分包项目的工程进度、质量、安全、计量和验收等实施监督和管理。</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4.3.10 分包人应按专用合同条款的约定设立项目管理机构组织管理分包工程的施工活动。</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4.4 联合体</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4.4.1 联合体各方应共同与发包人签订合同协议书。联合体各方应为履行合同承担连带责任。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4.4.2 联合体协议经发包人确认后作为合同附件。在履行合同过程中，未经发包人同意，不得修改联合体协议。</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4.4.3 联合体牵头人负责与发包人和监理人联系，并接受指示，负责组织联合体各成员全面履行合同。</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4.5 承包人项目经理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4.5.3承包人为履行合同发出的一切函件均应盖有承包人授权的施工场地管理机构章，并由承包人项目经理或其授权代表签字。</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4.5.4 承包人项目经理可以授权其下属人员履行其某项职责，但事先应将这些人员的姓名和授权范围通知监理人。</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4.6 承包人人员的管理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4.6.2 为完成合同约定的各项工作，承包人应向施工场地派遣或雇佣足够数量的下列人员：</w:t>
      </w:r>
    </w:p>
    <w:p>
      <w:pPr>
        <w:spacing w:line="50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（1）具有相应资格的专业技工和合格的普工；</w:t>
      </w:r>
    </w:p>
    <w:p>
      <w:pPr>
        <w:spacing w:line="50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（2）具有相应施工经验的技术人员；</w:t>
      </w:r>
    </w:p>
    <w:p>
      <w:pPr>
        <w:spacing w:line="50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（3）具有相应岗位资格的各级管理人员。</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4.6.3 承包人安排在施工场地的主要管理人员和技术骨干应相对稳定。承包人更换主要管理人员和技术骨干时，应取得监理人的同意。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4.6.4 特殊岗位的工作人员均应持有相应的资格证明，监理人有权随时检查。监理人认为有必要时，可进行现场考核。</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4.7 撤换承包人项目经理和其他人员</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承包人应对其项目经理和其他人员进行有效管理。监理人要求撤换不能胜任本职工作、行为不端或玩忽职守的承包人项目经理和其他人员的，承包人应予以撤换。</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4.8 保障承包人人员的合法权益</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4.8.1 承包人应与其雇佣的人员签订劳动合同，并按时发放工资。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4.8.3 承包人应为其雇佣人员提供必要的食宿条件，以及符合环境保护和卫生要求的生活环境，在远离城镇的施工场地，还应配备必要的伤病防治和急救的医务人员与医疗设施。</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4.8.5 承包人应按有关法律规定和合同约定，为其雇佣人员办理保险。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4.8.6 承包人应负责处理其雇佣人员因工伤亡事故的善后事宜。</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4.9 工程价款应专款专用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发包人按合同约定支付给承包人的各项价款应专用于合同工程。</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4.10 承包人现场查勘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4.10.1 发包人应将其持有的现场地质勘探资料、水文气象资料提供给承包人，并对其准确性负责。但承包人应对其阅读上述有关资料后所作出的解释和推断负责。</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4.11 不利物质条件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4.11.1 除专用合同条款另有约定外，不利物质条件是指在施工中遭遇不可预见的外界障碍或自然条件造成施工受阻。</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spacing w:line="500" w:lineRule="exact"/>
        <w:outlineLvl w:val="2"/>
        <w:rPr>
          <w:rFonts w:hint="eastAsia" w:ascii="宋体" w:hAnsi="宋体" w:eastAsia="宋体" w:cs="宋体"/>
          <w:color w:val="auto"/>
          <w:sz w:val="24"/>
          <w:highlight w:val="none"/>
        </w:rPr>
      </w:pPr>
      <w:bookmarkStart w:id="187" w:name="_Toc31404"/>
      <w:bookmarkStart w:id="188" w:name="_Toc256000102"/>
      <w:r>
        <w:rPr>
          <w:rFonts w:hint="eastAsia" w:ascii="宋体" w:hAnsi="宋体" w:eastAsia="宋体" w:cs="宋体"/>
          <w:color w:val="auto"/>
          <w:sz w:val="24"/>
          <w:highlight w:val="none"/>
        </w:rPr>
        <w:t>5　材料和工程设备</w:t>
      </w:r>
      <w:bookmarkEnd w:id="187"/>
      <w:bookmarkEnd w:id="188"/>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5.1 承包人提供的材料和工程设备</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5.1.1 除第5.2款约定由发包人提供的材料和工程设备外，承包人负责采购、运输和保管完成本合同工作所需的材料和工程设备。承包人应对其采购的材料和工程设备负责。</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5.2 发包人提供的材料和工程设备</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 发包人提供的材料和工程设备，应在专用合同条款中写明材料和工程设备的名称、规格、数量、价格、交货方式、交货地点和计划交货日期等。</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 承包人应根据合同进度计划的安排，向监理人报送要求发包人交货的日期计划。发包人应按照监理人与合同双方当事人商定的交货日期，向承包人提交材料和工程设备。</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5.2.4 发包人要求向承包人提前交货的，承包人不得拒绝，但发包人应承担承包人由此增加的费用。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5.2.5 承包人要求更改交货日期或地点的，应事先报请监理人批准。由于承包人要求更改交货时间或地点所增加的费用和（或）工期延误由承包人承担。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500" w:lineRule="exact"/>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5.3 材料和工程设备专用于合同工程</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5.3.1运入施工场地的材料、工程设备，包括备品备件、安装专用工器具与随机资料，必须专用于合同工程，未经监理人同意，承包人不得运出施工场地或挪作他用。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5.4 禁止使用不合格的材料和工程设备</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5.4.1 监理人有权拒绝承包人提供的不合格材料或工程设备，并要求承包人立即进行更换。监理人应在更换后再次进行检查和检验，由此增加的费用和（或）工期延误由承包人承担。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5.4.2 监理人发现承包人使用了不合格的材料和工程设备，应即时发出指示要求承包人立即改正，并禁止在工程中继续使用不合格的材料和工程设备。</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5.4.3 发包人提供的材料或工程设备不符合合同要求的，承包人有权拒绝，并可要求发包人更换，由此增加的费用和（或）工期延误由发包人承担。</w:t>
      </w:r>
    </w:p>
    <w:p>
      <w:pPr>
        <w:spacing w:line="500" w:lineRule="exact"/>
        <w:outlineLvl w:val="2"/>
        <w:rPr>
          <w:rFonts w:hint="eastAsia" w:ascii="宋体" w:hAnsi="宋体" w:eastAsia="宋体" w:cs="宋体"/>
          <w:color w:val="auto"/>
          <w:sz w:val="24"/>
          <w:highlight w:val="none"/>
        </w:rPr>
      </w:pPr>
      <w:bookmarkStart w:id="189" w:name="_Toc29942"/>
      <w:bookmarkStart w:id="190" w:name="_Toc256000103"/>
      <w:r>
        <w:rPr>
          <w:rFonts w:hint="eastAsia" w:ascii="宋体" w:hAnsi="宋体" w:eastAsia="宋体" w:cs="宋体"/>
          <w:color w:val="auto"/>
          <w:sz w:val="24"/>
          <w:highlight w:val="none"/>
        </w:rPr>
        <w:t>6. 施工设备和临时设施</w:t>
      </w:r>
      <w:bookmarkEnd w:id="189"/>
      <w:bookmarkEnd w:id="190"/>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6.1 承包人提供的施工设备和临时设施</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6.1.2除专用合同条款另有约定外，承包人应自行承担修建临时设施的费用，需要临时占地的，应由发包人办理申请手续并承担相应费用。</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6.2 发包人提供的施工设备和临时设施</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发包人提供的施工设备或临时设施在专用合同条款中约定。</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6.3 要求承包人增加或更换施工设备</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6.4 施工设备和临时设施专用于合同工程</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6.4.2 经监理人同意，承包人可根据合同进度计划撤走闲置的施工设备。</w:t>
      </w:r>
    </w:p>
    <w:p>
      <w:pPr>
        <w:spacing w:line="500" w:lineRule="exact"/>
        <w:outlineLvl w:val="2"/>
        <w:rPr>
          <w:rFonts w:hint="eastAsia" w:ascii="宋体" w:hAnsi="宋体" w:eastAsia="宋体" w:cs="宋体"/>
          <w:color w:val="auto"/>
          <w:sz w:val="24"/>
          <w:highlight w:val="none"/>
        </w:rPr>
      </w:pPr>
      <w:bookmarkStart w:id="191" w:name="_Toc256000104"/>
      <w:bookmarkStart w:id="192" w:name="_Toc3527"/>
      <w:r>
        <w:rPr>
          <w:rFonts w:hint="eastAsia" w:ascii="宋体" w:hAnsi="宋体" w:eastAsia="宋体" w:cs="宋体"/>
          <w:color w:val="auto"/>
          <w:sz w:val="24"/>
          <w:highlight w:val="none"/>
        </w:rPr>
        <w:t>7. 交通运输</w:t>
      </w:r>
      <w:bookmarkEnd w:id="191"/>
      <w:bookmarkEnd w:id="192"/>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7.1 道路通行权和场外设施</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7.2 场内施工道路</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7.2.2　承包人修建的临时道路和交通设施，应免费提供发包人、监理人以及与本合同有关的其他承包人使用。</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7.3 场外交通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7.3.1 承包人车辆外出行驶所需的场外公共道路的通行费、养路费和税款等由承包人承担。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7.3.2 承包人应遵守有关交通法规，严格按照道路和桥梁的限制荷重安全行驶，并服从交通管理部门的检查和监督。</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7.4 超大件和超重件的运输</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7.5 道路和桥梁的损坏责任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因承包人运输造成施工场地内外公共道路和桥梁损坏的，由承包人承担修复损坏的全部费用和可能引起的赔偿。</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7.6 水路和航空运输</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本条上述各款的内容适用于水路运输和航空运输，其中“道路”一词的涵义包括河道、航线、船闸、机场、码头、堤防以及水路或航空运输中其他相似结构物；“车辆”一词的涵义包括船舶和飞机等。</w:t>
      </w:r>
    </w:p>
    <w:p>
      <w:pPr>
        <w:spacing w:line="500" w:lineRule="exact"/>
        <w:outlineLvl w:val="2"/>
        <w:rPr>
          <w:rFonts w:hint="eastAsia" w:ascii="宋体" w:hAnsi="宋体" w:eastAsia="宋体" w:cs="宋体"/>
          <w:color w:val="auto"/>
          <w:sz w:val="24"/>
          <w:highlight w:val="none"/>
        </w:rPr>
      </w:pPr>
      <w:bookmarkStart w:id="193" w:name="_Toc256000105"/>
      <w:bookmarkStart w:id="194" w:name="_Toc25659"/>
      <w:r>
        <w:rPr>
          <w:rFonts w:hint="eastAsia" w:ascii="宋体" w:hAnsi="宋体" w:eastAsia="宋体" w:cs="宋体"/>
          <w:color w:val="auto"/>
          <w:sz w:val="24"/>
          <w:highlight w:val="none"/>
        </w:rPr>
        <w:t>8. 测量放线</w:t>
      </w:r>
      <w:bookmarkEnd w:id="193"/>
      <w:bookmarkEnd w:id="194"/>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8.1 施工控制网</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8.1.2承包人应负责管理施工控制网点。施工控制网点丢失或损坏的，承包人应及时修复。承包人应承担施工控制网点的管理与修复费用，并在工程竣工后将施工控制网点移交发包人。</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8.2 施工测量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8.2.1承包人应负责施工过程中的全部施工测量放线工作，并配置合格的人员、仪器、设备和其他物品。</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8.2.2监理人可以指示承包人进行抽样复测，当复测中发现错误或出现超过合同约定的误差时，承包人应按监理人指示进行修正或补测，并承担相应的复测费用。</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8.3 基准资料错误的责任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8.4 监理人使用施工控制网</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监理人需要使用施工控制网的，承包人应提供必要的协助，发包人不再为此支付费用。</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8.5 补充地质勘探</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pPr>
        <w:spacing w:line="500" w:lineRule="exact"/>
        <w:outlineLvl w:val="2"/>
        <w:rPr>
          <w:rFonts w:hint="eastAsia" w:ascii="宋体" w:hAnsi="宋体" w:eastAsia="宋体" w:cs="宋体"/>
          <w:color w:val="auto"/>
          <w:sz w:val="24"/>
          <w:highlight w:val="none"/>
        </w:rPr>
      </w:pPr>
      <w:bookmarkStart w:id="195" w:name="_Toc256000106"/>
      <w:bookmarkStart w:id="196" w:name="_Toc5720"/>
      <w:r>
        <w:rPr>
          <w:rFonts w:hint="eastAsia" w:ascii="宋体" w:hAnsi="宋体" w:eastAsia="宋体" w:cs="宋体"/>
          <w:color w:val="auto"/>
          <w:sz w:val="24"/>
          <w:highlight w:val="none"/>
        </w:rPr>
        <w:t>9. 施工安全、治安保卫和环境保护</w:t>
      </w:r>
      <w:bookmarkEnd w:id="195"/>
      <w:bookmarkEnd w:id="196"/>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9.1 发包人的施工安全责任</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9.1.2 发包人应对其现场机构雇佣的全部人员的工伤事故承担责任，但由于承包人原因造成发包人人员工伤的，应由承包人承担责任。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9.1.3 发包人应负责赔偿以下各种情况造成的第三者人身伤亡和财产损失：</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工程或工程的任何部分对土地的占用所造成的第三者财产损失；</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 由于发包人原因在施工场地及其毗邻地带造成的第三者人身伤亡和财产损失。</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9.1.5　发包人按照已标价工程量清单所列金额和合同约定的计量支付规定，支付安全作业环境及安全施工措施所需费用。</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9.1.6　发包人负责组织工程参建单位编制保证安全生产的措施方案。工程开工前，就落实保证安全生产的措施进行全面系统的布置，进一步明确承包人的安全生产责任。</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9.1.7　发包人负责在拆除工程和爆破工程施工14天前向有关部门或机构报送相关备案资料。</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9.2 承包人的施工安全责任</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9.2.2 承包人应加强施工作业安全管理，特别应加强易燃、易爆材料、火工器材、有毒与腐蚀性材料和其他危险品的管理，以及对爆破作业和地下工程施工等危险作业的管理。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9.2.3 承包人应严格按照国家安全标准制定施工安全操作规程，配备必要的安全生产和劳动保护设施，加强对承包人人员的安全教育，并发放安全工作手册和劳动保护用具。</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9.2.4 承包人应按监理人的指示制定应对灾害的紧急预案，报送监理人审批。承包人还应按预案做好安全检查，配置必要的救助物资和器材，切实保护好有关人员的人身和财产安全。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9.2.6 承包人应对其履行合同所雇佣的全部人员，包括分包人人员的工伤事故承担责任，但由于发包人原因造成承包人人员工伤事故的，应由发包人承担责任。</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9.2.7 由于承包人原因在施工场地内及其毗邻地带造成的第三者人员伤亡和财产损失，由承包人负责赔偿。</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9.2.8 承包人已标价工程量清单应包含工程安全作业环境及安全施工措施所需费用。</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9.2.10 承包人应设立安全生产管理机构，施工现场应有专职安全生产管理人员。</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9.2.11 承包人应负责对特种作业人员进行专门的安全作业培训，并保证特种作业人员持证上岗。</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9.2.13 承包人在使用施工起重机械和整体提升脚手架、模板等自升式架设设施前，应组织有关单位进行验收。</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9.3 治安保卫</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9.3.1 除合同另有约定外，发包人应与当地公安部门协商，在现场建立治安管理机构或联防组织，统一管理施工场地的治安保卫事项，履行合同工程的治安保卫职责。</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9.3.2 发包人和承包人除应协助现场治安管理机构或联防组织维护施工场地的社会治安外，还应做好包括生活区在内的各自管辖区的治安保卫工作。</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 </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9.4 环境保护</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9.4.1 承包人在施工过程中，应遵守有关环境保护的法律，履行合同约定的环境保护义务，并对违反法律和合同约定义务所造成的环境破坏、人身伤害和财产损失负责。</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9.4.2 承包人应按合同约定的环保工作内容，编制施工环保措施计划，报送监理人审批。</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9.4.4 承包人应按合同约定采取有效措施，对施工开挖的边坡及时进行支护,维护排水设施，并进行水土保护，避免因施工造成的地质灾害。</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9.4.5 承包人应按国家饮用水管理标准定期对饮用水源进行监测，防止施工活动污染饮用水源。</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9.4.6 承包人应按合同约定，加强对噪声、粉尘、废气、废水和废油的控制，努力降低噪声，控制粉尘和废气浓度，做好废水和废油的治理和排放。</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9.5 事故处理</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9.5.1 发包人负责组织参建单位制定本工程的质量与安全事故应急预案，建立质量与安全事故应急处置指挥部。</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9.5.2 承包人应对施工现场易发生重大事故的部位、环节进行监控，配备救援器材、设备，并定期组织演练。</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9.5.3 工程开工前，承包人应根据本工程的特点制定施工现场施工质量与安全事故应急预案，并报发包人备案。</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9.5.4 施工过程中发生事故时，发包人、承包人应立即启动应急预案。</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9.5.5 事故调查处理由发包人按相关规定履行手续，承包人应配合。</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9.6 水土保持</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9.6.1 发包人应及时向承包人提供水土保持方案。</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9.6.2 承包人在施工过程中，应遵守有关水土保持的法律法规和规章，履行合同约定的水土保持义务，并对其违反法律和合同约定义务所造成的水土流失灾害、人身伤害和财产损失负责。</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9.6.3 承包人的水土保持措施计划，应满足技术标准和要求(合同技术条款)约定的要求。</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9.7 文明工地</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9.7.1 发包人应按专用合同条款的约定，负责建立创建文明建设工地的组织机构，制定创建文明建设工地的规划和办法。</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9.7.2 承包人应按创建文明建设工地的规划和办法，履行职责，承担相应责任。所需费用应含在已标价工程量清单中。</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9.8 防汛度汛</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9.8.1 发包人负责组织工程参建单位编制本工程的度汛方案和措施。</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9.8.2 承包人应根据发包人编制的本工程度汛方案和措施，制定相应的度汛方案，报发包人批准后实施。</w:t>
      </w:r>
    </w:p>
    <w:p>
      <w:pPr>
        <w:spacing w:line="500" w:lineRule="exact"/>
        <w:outlineLvl w:val="2"/>
        <w:rPr>
          <w:rFonts w:hint="eastAsia" w:ascii="宋体" w:hAnsi="宋体" w:eastAsia="宋体" w:cs="宋体"/>
          <w:color w:val="auto"/>
          <w:sz w:val="24"/>
          <w:highlight w:val="none"/>
        </w:rPr>
      </w:pPr>
      <w:bookmarkStart w:id="197" w:name="_Toc256000107"/>
      <w:bookmarkStart w:id="198" w:name="_Toc22283"/>
      <w:r>
        <w:rPr>
          <w:rFonts w:hint="eastAsia" w:ascii="宋体" w:hAnsi="宋体" w:eastAsia="宋体" w:cs="宋体"/>
          <w:color w:val="auto"/>
          <w:sz w:val="24"/>
          <w:highlight w:val="none"/>
        </w:rPr>
        <w:t>10. 进度计划</w:t>
      </w:r>
      <w:bookmarkEnd w:id="197"/>
      <w:bookmarkEnd w:id="198"/>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10.1 合同进度计划</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10.2 合同进度计划的修订</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10.3 单位工程进度计划</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监理人认为有必要时，承包人应按监理人指示的内容和期限，并根据合同进度计划的进度控制要求，编制单位工程进度计划，提交监理人审批。</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10.4 提交资金流估算表</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pPr>
        <w:rPr>
          <w:rFonts w:hint="eastAsia" w:ascii="宋体" w:hAnsi="宋体" w:eastAsia="宋体" w:cs="宋体"/>
          <w:color w:val="auto"/>
          <w:highlight w:val="none"/>
        </w:rPr>
      </w:pPr>
    </w:p>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资金流估算表(参考格式)</w:t>
      </w:r>
    </w:p>
    <w:p>
      <w:pPr>
        <w:jc w:val="right"/>
        <w:rPr>
          <w:rFonts w:hint="eastAsia" w:ascii="宋体" w:hAnsi="宋体" w:eastAsia="宋体" w:cs="宋体"/>
          <w:color w:val="auto"/>
          <w:highlight w:val="none"/>
        </w:rPr>
      </w:pPr>
      <w:r>
        <w:rPr>
          <w:rFonts w:hint="eastAsia" w:ascii="宋体" w:hAnsi="宋体" w:eastAsia="宋体" w:cs="宋体"/>
          <w:color w:val="auto"/>
          <w:highlight w:val="none"/>
        </w:rPr>
        <w:t>金额单位</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9"/>
        <w:gridCol w:w="439"/>
        <w:gridCol w:w="1020"/>
        <w:gridCol w:w="1314"/>
        <w:gridCol w:w="1486"/>
        <w:gridCol w:w="962"/>
        <w:gridCol w:w="962"/>
        <w:gridCol w:w="824"/>
        <w:gridCol w:w="875"/>
        <w:gridCol w:w="1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年</w:t>
            </w:r>
          </w:p>
        </w:tc>
        <w:tc>
          <w:tcPr>
            <w:tcW w:w="439" w:type="dxa"/>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月</w:t>
            </w:r>
          </w:p>
        </w:tc>
        <w:tc>
          <w:tcPr>
            <w:tcW w:w="1020" w:type="dxa"/>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工程</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预付款</w:t>
            </w:r>
          </w:p>
        </w:tc>
        <w:tc>
          <w:tcPr>
            <w:tcW w:w="1314" w:type="dxa"/>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完成工作量付款</w:t>
            </w:r>
          </w:p>
        </w:tc>
        <w:tc>
          <w:tcPr>
            <w:tcW w:w="1486" w:type="dxa"/>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质量保证金扣留</w:t>
            </w:r>
          </w:p>
        </w:tc>
        <w:tc>
          <w:tcPr>
            <w:tcW w:w="962" w:type="dxa"/>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材料款扣除</w:t>
            </w:r>
          </w:p>
        </w:tc>
        <w:tc>
          <w:tcPr>
            <w:tcW w:w="962" w:type="dxa"/>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预付款扣还</w:t>
            </w:r>
          </w:p>
        </w:tc>
        <w:tc>
          <w:tcPr>
            <w:tcW w:w="824" w:type="dxa"/>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其它</w:t>
            </w:r>
          </w:p>
        </w:tc>
        <w:tc>
          <w:tcPr>
            <w:tcW w:w="875" w:type="dxa"/>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应收款</w:t>
            </w:r>
          </w:p>
        </w:tc>
        <w:tc>
          <w:tcPr>
            <w:tcW w:w="1022" w:type="dxa"/>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累计</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应收款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noWrap w:val="0"/>
            <w:vAlign w:val="center"/>
          </w:tcPr>
          <w:p>
            <w:pPr>
              <w:jc w:val="center"/>
              <w:rPr>
                <w:rFonts w:hint="eastAsia" w:ascii="宋体" w:hAnsi="宋体" w:eastAsia="宋体" w:cs="宋体"/>
                <w:color w:val="auto"/>
                <w:highlight w:val="none"/>
              </w:rPr>
            </w:pPr>
          </w:p>
        </w:tc>
        <w:tc>
          <w:tcPr>
            <w:tcW w:w="439" w:type="dxa"/>
            <w:noWrap w:val="0"/>
            <w:vAlign w:val="center"/>
          </w:tcPr>
          <w:p>
            <w:pPr>
              <w:jc w:val="center"/>
              <w:rPr>
                <w:rFonts w:hint="eastAsia" w:ascii="宋体" w:hAnsi="宋体" w:eastAsia="宋体" w:cs="宋体"/>
                <w:color w:val="auto"/>
                <w:highlight w:val="none"/>
              </w:rPr>
            </w:pPr>
          </w:p>
        </w:tc>
        <w:tc>
          <w:tcPr>
            <w:tcW w:w="1020" w:type="dxa"/>
            <w:noWrap w:val="0"/>
            <w:vAlign w:val="center"/>
          </w:tcPr>
          <w:p>
            <w:pPr>
              <w:jc w:val="center"/>
              <w:rPr>
                <w:rFonts w:hint="eastAsia" w:ascii="宋体" w:hAnsi="宋体" w:eastAsia="宋体" w:cs="宋体"/>
                <w:color w:val="auto"/>
                <w:highlight w:val="none"/>
              </w:rPr>
            </w:pPr>
          </w:p>
        </w:tc>
        <w:tc>
          <w:tcPr>
            <w:tcW w:w="1314" w:type="dxa"/>
            <w:noWrap w:val="0"/>
            <w:vAlign w:val="center"/>
          </w:tcPr>
          <w:p>
            <w:pPr>
              <w:jc w:val="center"/>
              <w:rPr>
                <w:rFonts w:hint="eastAsia" w:ascii="宋体" w:hAnsi="宋体" w:eastAsia="宋体" w:cs="宋体"/>
                <w:color w:val="auto"/>
                <w:highlight w:val="none"/>
              </w:rPr>
            </w:pPr>
          </w:p>
        </w:tc>
        <w:tc>
          <w:tcPr>
            <w:tcW w:w="1486" w:type="dxa"/>
            <w:noWrap w:val="0"/>
            <w:vAlign w:val="center"/>
          </w:tcPr>
          <w:p>
            <w:pPr>
              <w:jc w:val="center"/>
              <w:rPr>
                <w:rFonts w:hint="eastAsia" w:ascii="宋体" w:hAnsi="宋体" w:eastAsia="宋体" w:cs="宋体"/>
                <w:color w:val="auto"/>
                <w:highlight w:val="none"/>
              </w:rPr>
            </w:pPr>
          </w:p>
        </w:tc>
        <w:tc>
          <w:tcPr>
            <w:tcW w:w="962" w:type="dxa"/>
            <w:noWrap w:val="0"/>
            <w:vAlign w:val="center"/>
          </w:tcPr>
          <w:p>
            <w:pPr>
              <w:jc w:val="center"/>
              <w:rPr>
                <w:rFonts w:hint="eastAsia" w:ascii="宋体" w:hAnsi="宋体" w:eastAsia="宋体" w:cs="宋体"/>
                <w:color w:val="auto"/>
                <w:highlight w:val="none"/>
              </w:rPr>
            </w:pPr>
          </w:p>
        </w:tc>
        <w:tc>
          <w:tcPr>
            <w:tcW w:w="962" w:type="dxa"/>
            <w:noWrap w:val="0"/>
            <w:vAlign w:val="center"/>
          </w:tcPr>
          <w:p>
            <w:pPr>
              <w:jc w:val="center"/>
              <w:rPr>
                <w:rFonts w:hint="eastAsia" w:ascii="宋体" w:hAnsi="宋体" w:eastAsia="宋体" w:cs="宋体"/>
                <w:color w:val="auto"/>
                <w:highlight w:val="none"/>
              </w:rPr>
            </w:pPr>
          </w:p>
        </w:tc>
        <w:tc>
          <w:tcPr>
            <w:tcW w:w="824" w:type="dxa"/>
            <w:noWrap w:val="0"/>
            <w:vAlign w:val="center"/>
          </w:tcPr>
          <w:p>
            <w:pPr>
              <w:jc w:val="center"/>
              <w:rPr>
                <w:rFonts w:hint="eastAsia" w:ascii="宋体" w:hAnsi="宋体" w:eastAsia="宋体" w:cs="宋体"/>
                <w:color w:val="auto"/>
                <w:highlight w:val="none"/>
              </w:rPr>
            </w:pPr>
          </w:p>
        </w:tc>
        <w:tc>
          <w:tcPr>
            <w:tcW w:w="875" w:type="dxa"/>
            <w:noWrap w:val="0"/>
            <w:vAlign w:val="center"/>
          </w:tcPr>
          <w:p>
            <w:pPr>
              <w:jc w:val="center"/>
              <w:rPr>
                <w:rFonts w:hint="eastAsia" w:ascii="宋体" w:hAnsi="宋体" w:eastAsia="宋体" w:cs="宋体"/>
                <w:color w:val="auto"/>
                <w:highlight w:val="none"/>
              </w:rPr>
            </w:pPr>
          </w:p>
        </w:tc>
        <w:tc>
          <w:tcPr>
            <w:tcW w:w="1022" w:type="dxa"/>
            <w:noWrap w:val="0"/>
            <w:vAlign w:val="center"/>
          </w:tcPr>
          <w:p>
            <w:pPr>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noWrap w:val="0"/>
            <w:vAlign w:val="center"/>
          </w:tcPr>
          <w:p>
            <w:pPr>
              <w:jc w:val="center"/>
              <w:rPr>
                <w:rFonts w:hint="eastAsia" w:ascii="宋体" w:hAnsi="宋体" w:eastAsia="宋体" w:cs="宋体"/>
                <w:color w:val="auto"/>
                <w:highlight w:val="none"/>
              </w:rPr>
            </w:pPr>
          </w:p>
        </w:tc>
        <w:tc>
          <w:tcPr>
            <w:tcW w:w="439" w:type="dxa"/>
            <w:noWrap w:val="0"/>
            <w:vAlign w:val="center"/>
          </w:tcPr>
          <w:p>
            <w:pPr>
              <w:jc w:val="center"/>
              <w:rPr>
                <w:rFonts w:hint="eastAsia" w:ascii="宋体" w:hAnsi="宋体" w:eastAsia="宋体" w:cs="宋体"/>
                <w:color w:val="auto"/>
                <w:highlight w:val="none"/>
              </w:rPr>
            </w:pPr>
          </w:p>
        </w:tc>
        <w:tc>
          <w:tcPr>
            <w:tcW w:w="1020" w:type="dxa"/>
            <w:noWrap w:val="0"/>
            <w:vAlign w:val="center"/>
          </w:tcPr>
          <w:p>
            <w:pPr>
              <w:jc w:val="center"/>
              <w:rPr>
                <w:rFonts w:hint="eastAsia" w:ascii="宋体" w:hAnsi="宋体" w:eastAsia="宋体" w:cs="宋体"/>
                <w:color w:val="auto"/>
                <w:highlight w:val="none"/>
              </w:rPr>
            </w:pPr>
          </w:p>
        </w:tc>
        <w:tc>
          <w:tcPr>
            <w:tcW w:w="1314" w:type="dxa"/>
            <w:noWrap w:val="0"/>
            <w:vAlign w:val="center"/>
          </w:tcPr>
          <w:p>
            <w:pPr>
              <w:jc w:val="center"/>
              <w:rPr>
                <w:rFonts w:hint="eastAsia" w:ascii="宋体" w:hAnsi="宋体" w:eastAsia="宋体" w:cs="宋体"/>
                <w:color w:val="auto"/>
                <w:highlight w:val="none"/>
              </w:rPr>
            </w:pPr>
          </w:p>
        </w:tc>
        <w:tc>
          <w:tcPr>
            <w:tcW w:w="1486" w:type="dxa"/>
            <w:noWrap w:val="0"/>
            <w:vAlign w:val="center"/>
          </w:tcPr>
          <w:p>
            <w:pPr>
              <w:jc w:val="center"/>
              <w:rPr>
                <w:rFonts w:hint="eastAsia" w:ascii="宋体" w:hAnsi="宋体" w:eastAsia="宋体" w:cs="宋体"/>
                <w:color w:val="auto"/>
                <w:highlight w:val="none"/>
              </w:rPr>
            </w:pPr>
          </w:p>
        </w:tc>
        <w:tc>
          <w:tcPr>
            <w:tcW w:w="962" w:type="dxa"/>
            <w:noWrap w:val="0"/>
            <w:vAlign w:val="center"/>
          </w:tcPr>
          <w:p>
            <w:pPr>
              <w:jc w:val="center"/>
              <w:rPr>
                <w:rFonts w:hint="eastAsia" w:ascii="宋体" w:hAnsi="宋体" w:eastAsia="宋体" w:cs="宋体"/>
                <w:color w:val="auto"/>
                <w:highlight w:val="none"/>
              </w:rPr>
            </w:pPr>
          </w:p>
        </w:tc>
        <w:tc>
          <w:tcPr>
            <w:tcW w:w="962" w:type="dxa"/>
            <w:noWrap w:val="0"/>
            <w:vAlign w:val="center"/>
          </w:tcPr>
          <w:p>
            <w:pPr>
              <w:jc w:val="center"/>
              <w:rPr>
                <w:rFonts w:hint="eastAsia" w:ascii="宋体" w:hAnsi="宋体" w:eastAsia="宋体" w:cs="宋体"/>
                <w:color w:val="auto"/>
                <w:highlight w:val="none"/>
              </w:rPr>
            </w:pPr>
          </w:p>
        </w:tc>
        <w:tc>
          <w:tcPr>
            <w:tcW w:w="824" w:type="dxa"/>
            <w:noWrap w:val="0"/>
            <w:vAlign w:val="center"/>
          </w:tcPr>
          <w:p>
            <w:pPr>
              <w:jc w:val="center"/>
              <w:rPr>
                <w:rFonts w:hint="eastAsia" w:ascii="宋体" w:hAnsi="宋体" w:eastAsia="宋体" w:cs="宋体"/>
                <w:color w:val="auto"/>
                <w:highlight w:val="none"/>
              </w:rPr>
            </w:pPr>
          </w:p>
        </w:tc>
        <w:tc>
          <w:tcPr>
            <w:tcW w:w="875" w:type="dxa"/>
            <w:noWrap w:val="0"/>
            <w:vAlign w:val="center"/>
          </w:tcPr>
          <w:p>
            <w:pPr>
              <w:jc w:val="center"/>
              <w:rPr>
                <w:rFonts w:hint="eastAsia" w:ascii="宋体" w:hAnsi="宋体" w:eastAsia="宋体" w:cs="宋体"/>
                <w:color w:val="auto"/>
                <w:highlight w:val="none"/>
              </w:rPr>
            </w:pPr>
          </w:p>
        </w:tc>
        <w:tc>
          <w:tcPr>
            <w:tcW w:w="1022" w:type="dxa"/>
            <w:noWrap w:val="0"/>
            <w:vAlign w:val="center"/>
          </w:tcPr>
          <w:p>
            <w:pPr>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 w:type="dxa"/>
            <w:noWrap w:val="0"/>
            <w:vAlign w:val="center"/>
          </w:tcPr>
          <w:p>
            <w:pPr>
              <w:jc w:val="center"/>
              <w:rPr>
                <w:rFonts w:hint="eastAsia" w:ascii="宋体" w:hAnsi="宋体" w:eastAsia="宋体" w:cs="宋体"/>
                <w:color w:val="auto"/>
                <w:highlight w:val="none"/>
              </w:rPr>
            </w:pPr>
          </w:p>
        </w:tc>
        <w:tc>
          <w:tcPr>
            <w:tcW w:w="439" w:type="dxa"/>
            <w:noWrap w:val="0"/>
            <w:vAlign w:val="center"/>
          </w:tcPr>
          <w:p>
            <w:pPr>
              <w:jc w:val="center"/>
              <w:rPr>
                <w:rFonts w:hint="eastAsia" w:ascii="宋体" w:hAnsi="宋体" w:eastAsia="宋体" w:cs="宋体"/>
                <w:color w:val="auto"/>
                <w:highlight w:val="none"/>
              </w:rPr>
            </w:pPr>
          </w:p>
        </w:tc>
        <w:tc>
          <w:tcPr>
            <w:tcW w:w="1020" w:type="dxa"/>
            <w:noWrap w:val="0"/>
            <w:vAlign w:val="center"/>
          </w:tcPr>
          <w:p>
            <w:pPr>
              <w:jc w:val="center"/>
              <w:rPr>
                <w:rFonts w:hint="eastAsia" w:ascii="宋体" w:hAnsi="宋体" w:eastAsia="宋体" w:cs="宋体"/>
                <w:color w:val="auto"/>
                <w:highlight w:val="none"/>
              </w:rPr>
            </w:pPr>
          </w:p>
        </w:tc>
        <w:tc>
          <w:tcPr>
            <w:tcW w:w="1314" w:type="dxa"/>
            <w:noWrap w:val="0"/>
            <w:vAlign w:val="center"/>
          </w:tcPr>
          <w:p>
            <w:pPr>
              <w:jc w:val="center"/>
              <w:rPr>
                <w:rFonts w:hint="eastAsia" w:ascii="宋体" w:hAnsi="宋体" w:eastAsia="宋体" w:cs="宋体"/>
                <w:color w:val="auto"/>
                <w:highlight w:val="none"/>
              </w:rPr>
            </w:pPr>
          </w:p>
        </w:tc>
        <w:tc>
          <w:tcPr>
            <w:tcW w:w="1486" w:type="dxa"/>
            <w:noWrap w:val="0"/>
            <w:vAlign w:val="center"/>
          </w:tcPr>
          <w:p>
            <w:pPr>
              <w:jc w:val="center"/>
              <w:rPr>
                <w:rFonts w:hint="eastAsia" w:ascii="宋体" w:hAnsi="宋体" w:eastAsia="宋体" w:cs="宋体"/>
                <w:color w:val="auto"/>
                <w:highlight w:val="none"/>
              </w:rPr>
            </w:pPr>
          </w:p>
        </w:tc>
        <w:tc>
          <w:tcPr>
            <w:tcW w:w="962" w:type="dxa"/>
            <w:noWrap w:val="0"/>
            <w:vAlign w:val="center"/>
          </w:tcPr>
          <w:p>
            <w:pPr>
              <w:jc w:val="center"/>
              <w:rPr>
                <w:rFonts w:hint="eastAsia" w:ascii="宋体" w:hAnsi="宋体" w:eastAsia="宋体" w:cs="宋体"/>
                <w:color w:val="auto"/>
                <w:highlight w:val="none"/>
              </w:rPr>
            </w:pPr>
          </w:p>
        </w:tc>
        <w:tc>
          <w:tcPr>
            <w:tcW w:w="962" w:type="dxa"/>
            <w:noWrap w:val="0"/>
            <w:vAlign w:val="center"/>
          </w:tcPr>
          <w:p>
            <w:pPr>
              <w:jc w:val="center"/>
              <w:rPr>
                <w:rFonts w:hint="eastAsia" w:ascii="宋体" w:hAnsi="宋体" w:eastAsia="宋体" w:cs="宋体"/>
                <w:color w:val="auto"/>
                <w:highlight w:val="none"/>
              </w:rPr>
            </w:pPr>
          </w:p>
        </w:tc>
        <w:tc>
          <w:tcPr>
            <w:tcW w:w="824" w:type="dxa"/>
            <w:noWrap w:val="0"/>
            <w:vAlign w:val="center"/>
          </w:tcPr>
          <w:p>
            <w:pPr>
              <w:jc w:val="center"/>
              <w:rPr>
                <w:rFonts w:hint="eastAsia" w:ascii="宋体" w:hAnsi="宋体" w:eastAsia="宋体" w:cs="宋体"/>
                <w:color w:val="auto"/>
                <w:highlight w:val="none"/>
              </w:rPr>
            </w:pPr>
          </w:p>
        </w:tc>
        <w:tc>
          <w:tcPr>
            <w:tcW w:w="875" w:type="dxa"/>
            <w:noWrap w:val="0"/>
            <w:vAlign w:val="center"/>
          </w:tcPr>
          <w:p>
            <w:pPr>
              <w:jc w:val="center"/>
              <w:rPr>
                <w:rFonts w:hint="eastAsia" w:ascii="宋体" w:hAnsi="宋体" w:eastAsia="宋体" w:cs="宋体"/>
                <w:color w:val="auto"/>
                <w:highlight w:val="none"/>
              </w:rPr>
            </w:pPr>
          </w:p>
        </w:tc>
        <w:tc>
          <w:tcPr>
            <w:tcW w:w="1022" w:type="dxa"/>
            <w:noWrap w:val="0"/>
            <w:vAlign w:val="center"/>
          </w:tcPr>
          <w:p>
            <w:pPr>
              <w:jc w:val="center"/>
              <w:rPr>
                <w:rFonts w:hint="eastAsia" w:ascii="宋体" w:hAnsi="宋体" w:eastAsia="宋体" w:cs="宋体"/>
                <w:color w:val="auto"/>
                <w:highlight w:val="none"/>
              </w:rPr>
            </w:pPr>
          </w:p>
        </w:tc>
      </w:tr>
    </w:tbl>
    <w:p>
      <w:pPr>
        <w:spacing w:line="500" w:lineRule="exact"/>
        <w:outlineLvl w:val="2"/>
        <w:rPr>
          <w:rFonts w:hint="eastAsia" w:ascii="宋体" w:hAnsi="宋体" w:eastAsia="宋体" w:cs="宋体"/>
          <w:color w:val="auto"/>
          <w:sz w:val="24"/>
          <w:highlight w:val="none"/>
        </w:rPr>
      </w:pPr>
      <w:bookmarkStart w:id="199" w:name="_Toc27008"/>
      <w:bookmarkStart w:id="200" w:name="_Toc256000108"/>
      <w:r>
        <w:rPr>
          <w:rFonts w:hint="eastAsia" w:ascii="宋体" w:hAnsi="宋体" w:eastAsia="宋体" w:cs="宋体"/>
          <w:color w:val="auto"/>
          <w:sz w:val="24"/>
          <w:highlight w:val="none"/>
        </w:rPr>
        <w:t>11. 开工和竣工(完工)</w:t>
      </w:r>
      <w:bookmarkEnd w:id="199"/>
      <w:bookmarkEnd w:id="200"/>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11.1 开工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11.1.3　若发包人未能按合同约定向承包人提供开工的必要条件，承包人有权要求延长工期。监理人应在收到承包人的书面要求后，按第3.5款的约定，与合同双方商定或确定增加的费用和延长的工期。</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11.2 竣工(完工)</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承包人应在第1.1.4.3目约定的期限内完成合同工程。合同工程实际完工日期在合同工程完工证书中明确。</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11.3 发包人的工期延误</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在履行合同过程中，由于发包人的下列原因造成工期延误的，承包人有权要求发包人延长工期和（或）增加费用，并支付合理利润。需要修订合同进度计划的，按照第10.2款的约定办理。</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（1）增加合同工作内容；</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（2）改变合同中任何一项工作的质量要求或其他特性；</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（3）发包人迟延提供材料、工程设备或变更交货地点的；</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（4）因发包人原因导致的暂停施工；</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（5）提供图纸延误；</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（6）未按合同约定及时支付预付款、进度款；</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（7）发包人造成工期延误的其他原因。</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11.4 异常恶劣的气候条件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11.4.1　当工程所在地发生危及施工安全的异常恶劣气候时，发包人和承包人应按本合同通用合同条款第12条的约定，及时采取暂停施工或部分暂停施工措施。异常恶劣气候条件解除后，承包人应及时安排复工。</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11.4.2　异常恶劣气候条件造成的工期延误和工程损坏，应由发包人与承包人参照本合同通用合同条款第21.3款的约定协商处理。</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11.4.3　本合同工程界定异常恶劣气候条件的范围在专用合同条款中约定。</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11.5 承包人工期延误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11.6 工期提前</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发包人要求提前完工的，双方协商一致后应签订提前完工协议，协议内容包括：</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(1)提前的时间和修订后的进度计划；</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(2)承包人的赶工措施；</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(3)发包人为赶工提供的条件；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(4)赶工费用(包括利润和奖金)。</w:t>
      </w:r>
    </w:p>
    <w:p>
      <w:pPr>
        <w:spacing w:line="500" w:lineRule="exact"/>
        <w:outlineLvl w:val="2"/>
        <w:rPr>
          <w:rFonts w:hint="eastAsia" w:ascii="宋体" w:hAnsi="宋体" w:eastAsia="宋体" w:cs="宋体"/>
          <w:color w:val="auto"/>
          <w:sz w:val="24"/>
          <w:highlight w:val="none"/>
        </w:rPr>
      </w:pPr>
      <w:bookmarkStart w:id="201" w:name="_Toc26464"/>
      <w:bookmarkStart w:id="202" w:name="_Toc256000109"/>
      <w:r>
        <w:rPr>
          <w:rFonts w:hint="eastAsia" w:ascii="宋体" w:hAnsi="宋体" w:eastAsia="宋体" w:cs="宋体"/>
          <w:color w:val="auto"/>
          <w:sz w:val="24"/>
          <w:highlight w:val="none"/>
        </w:rPr>
        <w:t>12. 暂停施工</w:t>
      </w:r>
      <w:bookmarkEnd w:id="201"/>
      <w:bookmarkEnd w:id="202"/>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12.1 承包人暂停施工的责任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因下列暂停施工增加的费用和（或）工期延误由承包人承担：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（1）承包人违约引起的暂停施工；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（2）由于承包人原因为工程合理施工和安全保障所必需的暂停施工；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（3）承包人擅自暂停施工；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（4）承包人其他原因引起的暂停施工；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（5）专用合同条款约定由承包人承担的其他暂停施工。</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12.2 发包人暂停施工的责任</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由于发包人原因引起的暂停施工造成工期延误的，承包人有权要求发包人延长工期和(或)增加费用，并支付合理利润。</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属于下列任何一种情况引起的暂停施工，均为发包人的责任：</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(1)由于发包人违约引起的暂停施工；</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(2)由于不可抗力的自然或社会因素引起的暂停施工；</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(3)专用合同条款中约定的其它由于发包人原因引起的暂停施工。</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12.3 监理人暂停施工指示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12.4 暂停施工后的复工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12.4.2 承包人无故拖延和拒绝复工的，由此增加的费用和工期延误由承包人承担；因发包人原因无法按时复工的，承包人有权要求发包人延长工期和（或）增加费用，并支付合理利润。</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12.5 暂停施工持续56天以上</w:t>
      </w:r>
    </w:p>
    <w:p>
      <w:pPr>
        <w:spacing w:line="5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12.5.2 由于承包人责任引起的暂停施工，如承包人在收到监理人暂停施工指示后56天内不认真采取有效的复工措施，造成工期延误，可视为承包人违约，应按第22.1款的约定办理。</w:t>
      </w:r>
    </w:p>
    <w:p>
      <w:pPr>
        <w:spacing w:line="500" w:lineRule="exact"/>
        <w:outlineLvl w:val="2"/>
        <w:rPr>
          <w:rFonts w:hint="eastAsia" w:ascii="宋体" w:hAnsi="宋体" w:eastAsia="宋体" w:cs="宋体"/>
          <w:color w:val="auto"/>
          <w:sz w:val="24"/>
          <w:highlight w:val="none"/>
        </w:rPr>
      </w:pPr>
      <w:bookmarkStart w:id="203" w:name="_Toc256000110"/>
      <w:bookmarkStart w:id="204" w:name="_Toc30000"/>
      <w:r>
        <w:rPr>
          <w:rFonts w:hint="eastAsia" w:ascii="宋体" w:hAnsi="宋体" w:eastAsia="宋体" w:cs="宋体"/>
          <w:color w:val="auto"/>
          <w:sz w:val="24"/>
          <w:highlight w:val="none"/>
        </w:rPr>
        <w:t>13. 工程质量</w:t>
      </w:r>
      <w:bookmarkEnd w:id="203"/>
      <w:bookmarkEnd w:id="204"/>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13.1 工程质量要求</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13.1.1 工程质量验收按合同约定验收标准执行。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13.1.2 因承包人原因造成工程质量达不到合同约定验收标准的，监理人有权要求承包人返工直至符合合同要求为止，由此造成的费用增加和（或）工期延误由承包人承担。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13.1.3 因发包人原因造成工程质量达不到合同约定验收标准的，发包人应承担由于承包人返工造成的费用增加和（或）工期延误，并支付承包人合理利润。</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13.2 承包人的质量管理</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13.2.2 承包人应加强对施工人员的质量教育和技术培训，定期考核施工人员的劳动技能，严格执行规范和操作规程。</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13.3 承包人的质量检查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承包人应按合同约定对材料、工程设备以及工程的所有部位及其施工工艺进行全过程的质量检查和检验，并作详细记录，编制工程质量报表，报送监理人审查。</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13.4 监理人的质量检查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13.5 工程隐蔽部位覆盖前的检查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13.5.1 通知监理人检查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13.5.2 监理人未到场检查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13.5.3 监理人重新检查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13.5.4 承包人私自覆盖</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承包人未通知监理人到场检查，私自将工程隐蔽部位覆盖的，监理人有权指示承包人钻孔探测或揭开检查，由此增加的费用和（或）工期延误由承包人承担。</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13.6 清除不合格工程</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13.6.2 由于发包人提供的材料或工程设备不合格造成的工程不合格，需要承包人采取措施补救的，发包人应承担由此增加的费用和（或）工期延误，并支付承包人合理利润。</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13.7 质量评定</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13.7.1 发包人应组织承包人进行工程项目划分，并确定单位工程、主要分部工程、重要隐蔽单元工程和关键部位单元工程。</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13.7.2 工程实施过程中，单位工程、主要分部工程、重要隐蔽单元工程和关键部位单元工程的项目划分需要调整时，承包人应报发包人确认。</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13.7.3 承包人应在单元(工序)工程质量自评合格后，报监理人核定质量等级并签证认可。</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13.7.5 承包人应在分部工程质量自评合格后，报监理人复核和发包人认定。发包人负责按有关规定完成分部工程质量结论报工程质量监督机构核备(核定)手续。</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13.7.6 承包人应在单位工程质量自评合格后，报监理人复核和发包人认定。发包人负责按有关规定完成单位工程质量结论报工程质量监督机构核定手续。</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13.7.7 除专用合同条款另有约定外，工程质量等级分为合格和优良，应分别达到约定的标准。</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13.8 质量事故处理</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13.8.1 发生质量事故时，承包人应及时向发包人和监理人报告。</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13.8.2 质量事故调查处理由发包人按相关规定履行手续，承包人应配合。</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13.8.3 承包人应对质量缺陷进行备案。发包人委托监理人对质量缺陷备案情况进行监督检查并履行相关手续。</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13.8.4 除专用合同条款另有约定外，工程竣工验收时，发包人负责向竣工验收委员会汇报并提交历次质量缺陷处理的备案资料。</w:t>
      </w:r>
    </w:p>
    <w:p>
      <w:pPr>
        <w:spacing w:line="500" w:lineRule="exact"/>
        <w:outlineLvl w:val="2"/>
        <w:rPr>
          <w:rFonts w:hint="eastAsia" w:ascii="宋体" w:hAnsi="宋体" w:eastAsia="宋体" w:cs="宋体"/>
          <w:color w:val="auto"/>
          <w:sz w:val="24"/>
          <w:highlight w:val="none"/>
        </w:rPr>
      </w:pPr>
      <w:bookmarkStart w:id="205" w:name="_Toc256000111"/>
      <w:bookmarkStart w:id="206" w:name="_Toc32737"/>
      <w:r>
        <w:rPr>
          <w:rFonts w:hint="eastAsia" w:ascii="宋体" w:hAnsi="宋体" w:eastAsia="宋体" w:cs="宋体"/>
          <w:color w:val="auto"/>
          <w:sz w:val="24"/>
          <w:highlight w:val="none"/>
        </w:rPr>
        <w:t>14. 试验和检验</w:t>
      </w:r>
      <w:bookmarkEnd w:id="205"/>
      <w:bookmarkEnd w:id="206"/>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14.1 材料、工程设备和工程的试验和检验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14.1.2 监理人未按合同约定派员参加试验和检验的，除监理人另有指示外，承包人可自行试验和检验，并应立即将试验和检验结果报送监理人，监理人应签字确认。</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14.1.4　承包人应按相关规定和标准对水泥、钢材等原材料与中间产品质量进行检验，并报监理人复核。</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14.1.6　对专用合同条款约定的试块、试件及有关材料，监理人实行见证取样。见证取样资料由承包人制备，记录应真实齐全，监理人、承包人等参与见证取样人员均应在相关文件上签字。</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14.2 现场材料试验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14.2.1 承包人根据合同约定或监理人指示进行的现场材料试验，应由承包人提供试验场所、试验人员、试验设备器材以及其他必要的试验条件。</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14.2.2 监理人在必要时可以使用承包人的试验场所、试验设备器材以及其他试验条件，进行以工程质量检查为目的的复核性材料试验，承包人应予以协助。</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14.3 现场工艺试验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pPr>
        <w:spacing w:line="500" w:lineRule="exact"/>
        <w:outlineLvl w:val="2"/>
        <w:rPr>
          <w:rFonts w:hint="eastAsia" w:ascii="宋体" w:hAnsi="宋体" w:eastAsia="宋体" w:cs="宋体"/>
          <w:color w:val="auto"/>
          <w:sz w:val="24"/>
          <w:highlight w:val="none"/>
        </w:rPr>
      </w:pPr>
      <w:bookmarkStart w:id="207" w:name="_Toc9245"/>
      <w:bookmarkStart w:id="208" w:name="_Toc256000112"/>
      <w:r>
        <w:rPr>
          <w:rFonts w:hint="eastAsia" w:ascii="宋体" w:hAnsi="宋体" w:eastAsia="宋体" w:cs="宋体"/>
          <w:color w:val="auto"/>
          <w:sz w:val="24"/>
          <w:highlight w:val="none"/>
        </w:rPr>
        <w:t>15. 变更</w:t>
      </w:r>
      <w:bookmarkEnd w:id="207"/>
      <w:bookmarkEnd w:id="208"/>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15.1 变更的范围和内容</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在履行合同中发生以下情形之一，应按照本款规定进行变更。</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(1)取消合同中任何一项工作，但被取消的工作不能转由发包人或其它人实施；</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(2)改变合同中任何一项工作的质量或其它特性；</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(3)改变合同工程的基线、标高、位置或尺寸；</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(4)改变合同中任何一项工作的施工时间或改变已批准的施工工艺或顺序；</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(5)为完成工程需要追加的额外工作；</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(6)增加或减少专用合同条款中约定的关键项目工程量超过其工程总量的一定数量百分比。</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上述第(1)～(6)目的变更内容引起工程施工组织和进度计划发生实质性变动和影响其原定的价格时，才予调整该项目的单价。第(6)目情形下单价调整方式在专用合同条款中约定。</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15.2 变更权</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在履行合同过程中，经发包人同意，监理人可按第15.3款约定的变更程序向承包人作出变更指示，承包人应遵照执行。没有监理人的变更指示，承包人不得擅自变更。</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15.3 变更程序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15.3.1 变更的提出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（2）在合同履行过程中，发生第15.1款约定情形的，监理人应按照第15.3.3项约定向承包人发出变更指示。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（4）若承包人收到监理人的变更意向书后认为难以实施此项变更，应立即通知监理人，说明原因并附详细依据。监理人与承包人和发包人协商后确定撤销、改变或不改变原变更意向书。</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15.3.2 变更估价</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（2）变更工作影响工期的，承包人应提出调整工期的具体细节。监理人认为有必要时，可要求承包人提交要求提前或延长工期的施工进度计划及相应施工措施等详细资料。</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（3）除专用合同条款对期限另有约定外，监理人收到承包人变更报价书后的14天内，根据第15.4款约定的估价原则，按照第3.5款商定或确定变更价格。</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15.3.3 变更指示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（1）变更指示只能由监理人发出。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（2）变更指示应说明变更的目的、范围、变更内容以及变更的工程量及其进度和技术要求，并附有关图纸和文件。承包人收到变更指示后，应按变更指示进行变更工作。</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15.4 变更的估价原则</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除专用合同条款另有约定外，因变更引起的价格调整按照本款约定处理。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15.4.1 已标价工程量清单中有适用于变更工作的子目的，采用该子目的单价。</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15.4.2 已标价工程量清单中无适用于变更工作的子目，但有类似子目的，可在合理范围内参照类似子目的单价，由监理人按第3.5款商定或确定变更工作的单价。</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15.4.3 已标价工程量清单中无适用或类似子目的单价，可按照成本加利润的原则，由监理人按第3.5款商定或确定变更工作的单价。</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15.5 承包人的合理化建议</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15.5.2 承包人提出的合理化建议降低了合同价格、缩短了工期或者提高了工程经济效益的，发包人可按国家有关规定在专用合同条款中约定给予奖励。</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15.6 暂列金额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暂列金额只能按照监理人的指示使用，并对合同价格进行相应调整。</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15.7 计日工</w:t>
      </w:r>
    </w:p>
    <w:p>
      <w:pPr>
        <w:spacing w:line="500" w:lineRule="exact"/>
        <w:ind w:firstLine="480" w:firstLineChars="200"/>
        <w:rPr>
          <w:rFonts w:hint="eastAsia" w:ascii="宋体" w:hAnsi="宋体" w:eastAsia="宋体" w:cs="宋体"/>
          <w:color w:val="auto"/>
          <w:sz w:val="24"/>
          <w:highlight w:val="none"/>
          <w:shd w:val="pct10" w:color="auto" w:fill="FFFFFF"/>
        </w:rPr>
      </w:pPr>
      <w:r>
        <w:rPr>
          <w:rFonts w:hint="eastAsia" w:ascii="宋体" w:hAnsi="宋体" w:eastAsia="宋体" w:cs="宋体"/>
          <w:color w:val="auto"/>
          <w:sz w:val="24"/>
          <w:highlight w:val="none"/>
        </w:rPr>
        <w:t>15.7.1 发包人认为有必要时，由监理人通知承包人以计日工方式实施变更的零星工作。其价款按列入已标价工程量清单中的计日工计价子目及其单价进行计算。</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15.7.2 采用计日工计价的任何一项变更工作，应从暂列金额中支付，承包人应在该项变更的实施过程中，每天提交以下报表和有关凭证报送监理人审批：</w:t>
      </w:r>
    </w:p>
    <w:p>
      <w:pPr>
        <w:spacing w:line="50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（1）工作名称、内容和数量；</w:t>
      </w:r>
    </w:p>
    <w:p>
      <w:pPr>
        <w:spacing w:line="50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（2）投入该工作所有人员的姓名、工种、级别和耗用工时；</w:t>
      </w:r>
    </w:p>
    <w:p>
      <w:pPr>
        <w:spacing w:line="50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（3）投入该工作的材料类别和数量；</w:t>
      </w:r>
    </w:p>
    <w:p>
      <w:pPr>
        <w:spacing w:line="50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（4）投入该工作的施工设备型号、台数和耗用台时；</w:t>
      </w:r>
    </w:p>
    <w:p>
      <w:pPr>
        <w:spacing w:line="50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（5）监理人要求提交的其他资料和凭证。</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15.7.3 计日工由承包人汇总后，按第17.3.2项的约定列入进度付款申请单，由监理人复核并经发包人同意后列入进度付款。</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15.8 暂估价</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spacing w:line="500" w:lineRule="exact"/>
        <w:outlineLvl w:val="2"/>
        <w:rPr>
          <w:rFonts w:hint="eastAsia" w:ascii="宋体" w:hAnsi="宋体" w:eastAsia="宋体" w:cs="宋体"/>
          <w:color w:val="auto"/>
          <w:sz w:val="24"/>
          <w:highlight w:val="none"/>
        </w:rPr>
      </w:pPr>
      <w:bookmarkStart w:id="209" w:name="_Toc256000113"/>
      <w:bookmarkStart w:id="210" w:name="_Toc2157"/>
      <w:r>
        <w:rPr>
          <w:rFonts w:hint="eastAsia" w:ascii="宋体" w:hAnsi="宋体" w:eastAsia="宋体" w:cs="宋体"/>
          <w:color w:val="auto"/>
          <w:sz w:val="24"/>
          <w:highlight w:val="none"/>
        </w:rPr>
        <w:t>16. 价格调整</w:t>
      </w:r>
      <w:bookmarkEnd w:id="209"/>
      <w:bookmarkEnd w:id="210"/>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16.1 物价波动引起的价格调整</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由于物价波动原因引起合同价格需要调整的，其价格调整方式在专用合同条款中约定。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16.1.1 采用价格指数调整价格差额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16.1.1.1 价格调整公式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因人工、材料和设备等价格波动影响合同价格时，根据投标函附录中的价格指数和权重表约定的数据，按以下公式计算差额并调整合同价格。</w:t>
      </w:r>
    </w:p>
    <w:p>
      <w:pPr>
        <w:autoSpaceDE w:val="0"/>
        <w:autoSpaceDN w:val="0"/>
        <w:adjustRightInd w:val="0"/>
        <w:spacing w:line="500" w:lineRule="exact"/>
        <w:ind w:right="248" w:firstLine="959" w:firstLineChars="398"/>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val="zh-CN"/>
        </w:rPr>
        <w:t xml:space="preserve">        </w:t>
      </w:r>
      <w:r>
        <w:rPr>
          <w:rFonts w:hint="eastAsia" w:ascii="宋体" w:hAnsi="宋体" w:eastAsia="宋体" w:cs="宋体"/>
          <w:color w:val="auto"/>
          <w:position w:val="-34"/>
          <w:sz w:val="24"/>
          <w:highlight w:val="none"/>
        </w:rPr>
        <w:object>
          <v:shape id="_x0000_i1025" o:spt="75" type="#_x0000_t75" style="height:39.75pt;width:306pt;" o:ole="t" filled="f" o:preferrelative="t" stroked="f" coordsize="21600,21600">
            <v:path/>
            <v:fill on="f" focussize="0,0"/>
            <v:stroke on="f"/>
            <v:imagedata r:id="rId10" o:title=""/>
            <o:lock v:ext="edit" aspectratio="t"/>
            <w10:wrap type="none"/>
            <w10:anchorlock/>
          </v:shape>
          <o:OLEObject Type="Embed" ProgID="Equation.3" ShapeID="_x0000_i1025" DrawAspect="Content" ObjectID="_1468075725" r:id="rId9">
            <o:LockedField>false</o:LockedField>
          </o:OLEObject>
        </w:object>
      </w:r>
    </w:p>
    <w:p>
      <w:pPr>
        <w:tabs>
          <w:tab w:val="left" w:pos="1260"/>
        </w:tabs>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tabs>
          <w:tab w:val="left" w:pos="1260"/>
        </w:tabs>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式中： △P -- 需调整的价格差额；</w:t>
      </w:r>
    </w:p>
    <w:p>
      <w:pPr>
        <w:tabs>
          <w:tab w:val="left" w:pos="12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P</w:t>
      </w:r>
      <w:r>
        <w:rPr>
          <w:rFonts w:hint="eastAsia" w:ascii="宋体" w:hAnsi="宋体" w:eastAsia="宋体" w:cs="宋体"/>
          <w:color w:val="auto"/>
          <w:sz w:val="24"/>
          <w:highlight w:val="none"/>
          <w:vertAlign w:val="subscript"/>
        </w:rPr>
        <w:t>0</w:t>
      </w:r>
      <w:r>
        <w:rPr>
          <w:rFonts w:hint="eastAsia" w:ascii="宋体" w:hAnsi="宋体" w:eastAsia="宋体" w:cs="宋体"/>
          <w:color w:val="auto"/>
          <w:sz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tabs>
          <w:tab w:val="left" w:pos="12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 -- 定值权重(即不调部分的权重)；</w:t>
      </w:r>
    </w:p>
    <w:p>
      <w:pPr>
        <w:tabs>
          <w:tab w:val="left" w:pos="12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B</w:t>
      </w:r>
      <w:r>
        <w:rPr>
          <w:rFonts w:hint="eastAsia" w:ascii="宋体" w:hAnsi="宋体" w:eastAsia="宋体" w:cs="宋体"/>
          <w:color w:val="auto"/>
          <w:sz w:val="24"/>
          <w:highlight w:val="none"/>
          <w:vertAlign w:val="subscript"/>
        </w:rPr>
        <w:t>1</w:t>
      </w:r>
      <w:r>
        <w:rPr>
          <w:rFonts w:hint="eastAsia" w:ascii="宋体" w:hAnsi="宋体" w:eastAsia="宋体" w:cs="宋体"/>
          <w:color w:val="auto"/>
          <w:sz w:val="24"/>
          <w:highlight w:val="none"/>
        </w:rPr>
        <w:t>; B</w:t>
      </w:r>
      <w:r>
        <w:rPr>
          <w:rFonts w:hint="eastAsia" w:ascii="宋体" w:hAnsi="宋体" w:eastAsia="宋体" w:cs="宋体"/>
          <w:color w:val="auto"/>
          <w:sz w:val="24"/>
          <w:highlight w:val="none"/>
          <w:vertAlign w:val="subscript"/>
        </w:rPr>
        <w:t>2</w:t>
      </w:r>
      <w:r>
        <w:rPr>
          <w:rFonts w:hint="eastAsia" w:ascii="宋体" w:hAnsi="宋体" w:eastAsia="宋体" w:cs="宋体"/>
          <w:color w:val="auto"/>
          <w:sz w:val="24"/>
          <w:highlight w:val="none"/>
        </w:rPr>
        <w:t xml:space="preserve"> ;B</w:t>
      </w:r>
      <w:r>
        <w:rPr>
          <w:rFonts w:hint="eastAsia" w:ascii="宋体" w:hAnsi="宋体" w:eastAsia="宋体" w:cs="宋体"/>
          <w:color w:val="auto"/>
          <w:sz w:val="24"/>
          <w:highlight w:val="none"/>
          <w:vertAlign w:val="subscript"/>
        </w:rPr>
        <w:t>3</w:t>
      </w:r>
      <w:r>
        <w:rPr>
          <w:rFonts w:hint="eastAsia" w:ascii="宋体" w:hAnsi="宋体" w:eastAsia="宋体" w:cs="宋体"/>
          <w:color w:val="auto"/>
          <w:sz w:val="24"/>
          <w:highlight w:val="none"/>
        </w:rPr>
        <w:t>·····B</w:t>
      </w:r>
      <w:r>
        <w:rPr>
          <w:rFonts w:hint="eastAsia" w:ascii="宋体" w:hAnsi="宋体" w:eastAsia="宋体" w:cs="宋体"/>
          <w:color w:val="auto"/>
          <w:sz w:val="24"/>
          <w:highlight w:val="none"/>
          <w:vertAlign w:val="subscript"/>
        </w:rPr>
        <w:t>n</w:t>
      </w:r>
      <w:r>
        <w:rPr>
          <w:rFonts w:hint="eastAsia" w:ascii="宋体" w:hAnsi="宋体" w:eastAsia="宋体" w:cs="宋体"/>
          <w:color w:val="auto"/>
          <w:sz w:val="24"/>
          <w:highlight w:val="none"/>
        </w:rPr>
        <w:t xml:space="preserve"> -- 各可调因子的变值权重(即可调部分的权重)为各可调因子在投标函投标总报价中所占的比例；</w:t>
      </w:r>
    </w:p>
    <w:p>
      <w:pPr>
        <w:tabs>
          <w:tab w:val="left" w:pos="12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F</w:t>
      </w:r>
      <w:r>
        <w:rPr>
          <w:rFonts w:hint="eastAsia" w:ascii="宋体" w:hAnsi="宋体" w:eastAsia="宋体" w:cs="宋体"/>
          <w:color w:val="auto"/>
          <w:sz w:val="24"/>
          <w:highlight w:val="none"/>
          <w:vertAlign w:val="subscript"/>
        </w:rPr>
        <w:t>t1</w:t>
      </w:r>
      <w:r>
        <w:rPr>
          <w:rFonts w:hint="eastAsia" w:ascii="宋体" w:hAnsi="宋体" w:eastAsia="宋体" w:cs="宋体"/>
          <w:color w:val="auto"/>
          <w:sz w:val="24"/>
          <w:highlight w:val="none"/>
        </w:rPr>
        <w:t xml:space="preserve"> ;F</w:t>
      </w:r>
      <w:r>
        <w:rPr>
          <w:rFonts w:hint="eastAsia" w:ascii="宋体" w:hAnsi="宋体" w:eastAsia="宋体" w:cs="宋体"/>
          <w:color w:val="auto"/>
          <w:sz w:val="24"/>
          <w:highlight w:val="none"/>
          <w:vertAlign w:val="subscript"/>
        </w:rPr>
        <w:t>t2</w:t>
      </w:r>
      <w:r>
        <w:rPr>
          <w:rFonts w:hint="eastAsia" w:ascii="宋体" w:hAnsi="宋体" w:eastAsia="宋体" w:cs="宋体"/>
          <w:color w:val="auto"/>
          <w:sz w:val="24"/>
          <w:highlight w:val="none"/>
        </w:rPr>
        <w:t xml:space="preserve"> ;F</w:t>
      </w:r>
      <w:r>
        <w:rPr>
          <w:rFonts w:hint="eastAsia" w:ascii="宋体" w:hAnsi="宋体" w:eastAsia="宋体" w:cs="宋体"/>
          <w:color w:val="auto"/>
          <w:sz w:val="24"/>
          <w:highlight w:val="none"/>
          <w:vertAlign w:val="subscript"/>
        </w:rPr>
        <w:t>t3</w:t>
      </w:r>
      <w:r>
        <w:rPr>
          <w:rFonts w:hint="eastAsia" w:ascii="宋体" w:hAnsi="宋体" w:eastAsia="宋体" w:cs="宋体"/>
          <w:color w:val="auto"/>
          <w:sz w:val="24"/>
          <w:highlight w:val="none"/>
        </w:rPr>
        <w:t>·····F</w:t>
      </w:r>
      <w:r>
        <w:rPr>
          <w:rFonts w:hint="eastAsia" w:ascii="宋体" w:hAnsi="宋体" w:eastAsia="宋体" w:cs="宋体"/>
          <w:color w:val="auto"/>
          <w:sz w:val="24"/>
          <w:highlight w:val="none"/>
          <w:vertAlign w:val="subscript"/>
        </w:rPr>
        <w:t>tn</w:t>
      </w:r>
      <w:r>
        <w:rPr>
          <w:rFonts w:hint="eastAsia" w:ascii="宋体" w:hAnsi="宋体" w:eastAsia="宋体" w:cs="宋体"/>
          <w:color w:val="auto"/>
          <w:sz w:val="24"/>
          <w:highlight w:val="none"/>
        </w:rPr>
        <w:t xml:space="preserve"> -- 各可调因子的现行价格指数，指第17.3.3项、第17.5.2项和第17.6.2项约定的付款证书相关周期最后一天的前42天的各可调因子的价格指数；</w:t>
      </w:r>
    </w:p>
    <w:p>
      <w:pPr>
        <w:tabs>
          <w:tab w:val="left" w:pos="12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F</w:t>
      </w:r>
      <w:r>
        <w:rPr>
          <w:rFonts w:hint="eastAsia" w:ascii="宋体" w:hAnsi="宋体" w:eastAsia="宋体" w:cs="宋体"/>
          <w:color w:val="auto"/>
          <w:sz w:val="24"/>
          <w:highlight w:val="none"/>
          <w:vertAlign w:val="subscript"/>
        </w:rPr>
        <w:t>o1</w:t>
      </w:r>
      <w:r>
        <w:rPr>
          <w:rFonts w:hint="eastAsia" w:ascii="宋体" w:hAnsi="宋体" w:eastAsia="宋体" w:cs="宋体"/>
          <w:color w:val="auto"/>
          <w:sz w:val="24"/>
          <w:highlight w:val="none"/>
        </w:rPr>
        <w:t>; F</w:t>
      </w:r>
      <w:r>
        <w:rPr>
          <w:rFonts w:hint="eastAsia" w:ascii="宋体" w:hAnsi="宋体" w:eastAsia="宋体" w:cs="宋体"/>
          <w:color w:val="auto"/>
          <w:sz w:val="24"/>
          <w:highlight w:val="none"/>
          <w:vertAlign w:val="subscript"/>
        </w:rPr>
        <w:t>o2</w:t>
      </w:r>
      <w:r>
        <w:rPr>
          <w:rFonts w:hint="eastAsia" w:ascii="宋体" w:hAnsi="宋体" w:eastAsia="宋体" w:cs="宋体"/>
          <w:color w:val="auto"/>
          <w:sz w:val="24"/>
          <w:highlight w:val="none"/>
        </w:rPr>
        <w:t>; F</w:t>
      </w:r>
      <w:r>
        <w:rPr>
          <w:rFonts w:hint="eastAsia" w:ascii="宋体" w:hAnsi="宋体" w:eastAsia="宋体" w:cs="宋体"/>
          <w:color w:val="auto"/>
          <w:sz w:val="24"/>
          <w:highlight w:val="none"/>
          <w:vertAlign w:val="subscript"/>
        </w:rPr>
        <w:t>o3</w:t>
      </w:r>
      <w:r>
        <w:rPr>
          <w:rFonts w:hint="eastAsia" w:ascii="宋体" w:hAnsi="宋体" w:eastAsia="宋体" w:cs="宋体"/>
          <w:color w:val="auto"/>
          <w:sz w:val="24"/>
          <w:highlight w:val="none"/>
        </w:rPr>
        <w:t>·····F</w:t>
      </w:r>
      <w:r>
        <w:rPr>
          <w:rFonts w:hint="eastAsia" w:ascii="宋体" w:hAnsi="宋体" w:eastAsia="宋体" w:cs="宋体"/>
          <w:color w:val="auto"/>
          <w:sz w:val="24"/>
          <w:highlight w:val="none"/>
          <w:vertAlign w:val="subscript"/>
        </w:rPr>
        <w:t>on</w:t>
      </w:r>
      <w:r>
        <w:rPr>
          <w:rFonts w:hint="eastAsia" w:ascii="宋体" w:hAnsi="宋体" w:eastAsia="宋体" w:cs="宋体"/>
          <w:color w:val="auto"/>
          <w:sz w:val="24"/>
          <w:highlight w:val="none"/>
        </w:rPr>
        <w:t xml:space="preserve"> -- 各可调因子的基本价格指数，指基准日期的各可调因子的价格指数。</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16.1.1.2 暂时确定调整差额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在计算调整差额时得不到现行价格指数的，可暂用上一次价格指数计算，并在以后的付款中再按实际价格指数进行调整。</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16.1.1.3 权重的调整</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按第15.1款约定的变更导致原定合同中的权重不合理时，由监理人与承包人和发包人协商后进行调整。</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16.1.1.4 承包人工期延误后的价格调整</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16.1.2　采用造价信息调整价格差额</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工程造价信息的来源以及价格调整的项目和系数在专用合同条款中约定。</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16.2 法律变化引起的价格调整</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spacing w:line="500" w:lineRule="exact"/>
        <w:outlineLvl w:val="2"/>
        <w:rPr>
          <w:rFonts w:hint="eastAsia" w:ascii="宋体" w:hAnsi="宋体" w:eastAsia="宋体" w:cs="宋体"/>
          <w:color w:val="auto"/>
          <w:sz w:val="24"/>
          <w:highlight w:val="none"/>
        </w:rPr>
      </w:pPr>
      <w:bookmarkStart w:id="211" w:name="_Toc20130"/>
      <w:bookmarkStart w:id="212" w:name="_Toc256000114"/>
      <w:r>
        <w:rPr>
          <w:rFonts w:hint="eastAsia" w:ascii="宋体" w:hAnsi="宋体" w:eastAsia="宋体" w:cs="宋体"/>
          <w:color w:val="auto"/>
          <w:sz w:val="24"/>
          <w:highlight w:val="none"/>
        </w:rPr>
        <w:t>17. 计量与支付</w:t>
      </w:r>
      <w:bookmarkEnd w:id="211"/>
      <w:bookmarkEnd w:id="212"/>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17.1 计量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17.1.1 计量单位</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计量采用国家法定的计量单位。</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17.1.2 计量方法</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结算工程量应按工程量清单中约定的方法计量。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17.1.3 计量周期</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除专用合同条款另有约定外，单价子目已完成工程量按月计量，总价子目的计量周期按批准的支付分解报告确定。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17.1.4 单价子目的计量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（1）已标价工程量清单中的单价子目工程量为估算工程量。结算工程量是承包人实际完成的，并按合同约定的计量方法进行计量的工程量。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（2）承包人对已完成的工程进行计量，向监理人提交进度付款申请单、已完成工程量报表和有关计量资料。</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（4）监理人认为有必要时，可通知承包人共同进行联合测量、计量，承包人应遵照执行。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17.1.5 总价子目的计量</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总价子目的分解和计量按照下述约定进行。</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(1)总价子目的计量和支付应以总价为基础，不因第16.1款中的因素而进行调整。承包人实际完成的工程量，是进行工程目标管理和控制进度支付的依据。</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(3)监理人对承包人提交的上述资料进行复核，以确定分阶段实际完成的工程量和工程形象目标。对其有异议的，可要求承包人按第8.2款约定进行共同复核和抽样复测。</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(4)除按照第15条约定的变更外，总价子目的工程量是承包人用于结算的最终工程量。</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17.2 预付款</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17.2.1 预付款</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17.2.2 预付款保函(担保)</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(1)承包人应在收到第一次工程预付款的同时向发包人提交工程预付款担保，担保金额应与第一次工程预付款金额相同，工程预付款担保在第一次工程预付款被发包人扣回前一直有效。</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(2)工程材料预付款的担保在专用合同条款中约定。</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(3)预付款担保的担保金额可根据预付款扣回的金额相应递减。</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17.2.3 预付款的扣回与还清</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17.3 工程进度付款</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17.3.1 付款周期</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付款周期同计量周期。</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17.3.2 进度付款申请单</w:t>
      </w:r>
    </w:p>
    <w:p>
      <w:pPr>
        <w:spacing w:line="500" w:lineRule="exact"/>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（1）截至本次付款周期末已实施工程的价款；</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（2）根据第15条应增加和扣减的变更金额；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（3）根据第23条应增加和扣减的索赔金额；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（4）根据第17.2款约定应支付的预付款和扣减的返还预付款；</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（5）根据第17.4.1项约定应扣减的质量保证金；</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（6）根据合同应增加和扣减的其他金额。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17.3.3 进度付款证书和支付时间</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（2）发包人应在监理人收到进度付款申请单后的28天内，将进度应付款支付给承包人。发包人不按期支付的，按专用合同条款的约定支付逾期付款违约金。</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（3）监理人出具进度付款证书，不应视为监理人已同意、批准或接受了承包人完成的该部分工作。</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（4）进度付款涉及政府投资资金的，按照国库集中支付等国家相关规定和专用合同条款的约定办理。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17.3.4 工程进度付款的修正</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17.4 质量保证金</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17.5 竣工结算(完工结算)</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17.5.1 竣工(完工)付款申请单</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(2)监理人对完工付款申请单有异议的，有权要求承包人进行修正和提供补充资料。经监理人和承包人协商后，由承包人向监理人提交修正后的完工付款申请单。</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17.5.2 竣工(完工)付款证书及支付时间</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(2)发包人应在监理人出具完工付款证书后的14天内，将应支付款支付给承包人。发包人不按期支付的，按第17.3.3(2)目的约定，将逾期付款违约金支付给承包人。</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(3)承包人对发包人签认的完工付款证书有异议的，发包人可出具完工付款申请单中承包人已同意部分的临时付款证书。存在争议的部分，按第24条的约定办理。</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(4)完工付款涉及政府投资资金的，按第17.3.3(4)目的约定办理。</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17.6 最终结清</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17.6.1 最终结清申请单</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(1)工程质量保修责任终止证书签发后，承包人应按监理人批准的格式提交最终结清申请单。提交最终结清申请单的份数在专用合同条款中约定。</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(2)发包人对最终结清申请单内容有异议的，有权要求承包人进行修正和提供补充资料，由承包人向监理人提交修正后的最终结清申请单。</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17.6.2 最终结清证书和支付时间</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（2）发包人应在监理人出具最终结清证书后的14天内，将应支付款支付给承包人。发包人不按期支付的，按第17.3.3（2）目的约定，将逾期付款违约金支付给承包人。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（3）承包人对发包人签认的最终结清证书有异议的，按第24条的约定办理。</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（4）最终结清付款涉及政府投资资金的，按第17.3.3（４）目的约定办理。</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17.7 竣工财务决算</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发包人负责编制本工程项目竣工财务决算，承包人应按专用合同条款的约定提供竣工财务决算编制所需的相关材料。</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17.8 竣工审计</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发包人负责完成本工程竣工审计手续，承包人应完成相关配合工作。</w:t>
      </w:r>
    </w:p>
    <w:p>
      <w:pPr>
        <w:spacing w:line="500" w:lineRule="exact"/>
        <w:outlineLvl w:val="2"/>
        <w:rPr>
          <w:rFonts w:hint="eastAsia" w:ascii="宋体" w:hAnsi="宋体" w:eastAsia="宋体" w:cs="宋体"/>
          <w:color w:val="auto"/>
          <w:sz w:val="24"/>
          <w:highlight w:val="none"/>
        </w:rPr>
      </w:pPr>
      <w:bookmarkStart w:id="213" w:name="_Toc256000115"/>
      <w:bookmarkStart w:id="214" w:name="_Toc12293"/>
      <w:r>
        <w:rPr>
          <w:rFonts w:hint="eastAsia" w:ascii="宋体" w:hAnsi="宋体" w:eastAsia="宋体" w:cs="宋体"/>
          <w:color w:val="auto"/>
          <w:sz w:val="24"/>
          <w:highlight w:val="none"/>
        </w:rPr>
        <w:t>18. 竣工验收(验收)</w:t>
      </w:r>
      <w:bookmarkEnd w:id="213"/>
      <w:bookmarkEnd w:id="214"/>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18.1 验收工作分类</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18.2 分部工程验收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18.2.1 分部工程具备验收条件时，承包人应向发包人提交验收申请报告，发包人应在收到验收申请报告之日起10个工作日内决定是否同意进行验收。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18.2.2 除专用合同条款另有约定外，监理人主持分部工程验收，承包人应派符合条件的代表参加验收工作组。</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18.2.3 分部工程验收通过后，发包人向承包人发送分部工程验收鉴定书。承包人应及时完成分部工程验收鉴定书载明应由承包人处理的遗留问题。</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18.3 单位工程验收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18.3.1 单位工程具备验收条件时，承包人应向发包人提交验收申请报告，发包人应在收到验收申请报告之日起10个工作日内决定是否同意进行验收。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18.3.2 发包人主持单位工程验收，承包人应派符合条件的代表参加验收工作组。</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18.3.3 单位工程验收通过后，发包人向承包人发送单位工程验收鉴定书。承包人应及时完成单位工程验收鉴定书载明应由承包人处理的遗留问题。</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18.3.4 需提前投入使用的单位工程在专用合同条款中明确。</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18.4 合同工程完工验收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18.4.1 合同工程具备验收条件时，承包人应向发包人提交验收申请报告，发包人应在收到验收申请报告之日起20个工作日内决定是否同意进行验收。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18.4.2 发包人主持合同工程完工验收，承包人应派代表参加验收工作组。</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18.4.3 合同工程完工验收通过后，发包人向承包人发送合同工程完工验收鉴定书。承包人应及时完成合同工程完工验收鉴定书载明应由承包人处理的遗留问题。</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18.5 阶段验收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18.5.1 工程建设具备阶段验收条件时，发包人负责提出阶段验收申请报告。承包人应派代表参加阶段验收，并作为被验收单位在验收鉴定书上签字。阶段验收的具体类别在专用合同条款中约定。</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18.5.2 承包人应及时完成阶段验收鉴定书载明应由承包人处理的遗留问题。</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18.6 专项验收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18.6.1 发包人负责提出专项验收申请报告。承包人应按专项验收的相关规定参加专项验收。专项验收的具体类别在专用合同条款中约定。</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18.6.2 承包人应及时完成专项验收成果性文件载明应由承包人处理的遗留问题。</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18.7 竣工验收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18.7.1 申请竣工验收前，发包人组织竣工验收自查，承包人应派代表参加。</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18.7.2 竣工验收分为竣工技术预验收和竣工验收两个阶段。发包人应通知承包人派代表参加技术预验收和竣工验收。</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18.7.3 专用合同条款约定工程需要进行技术鉴定的，承包人应提交有关资料并完成配合工作。</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18.7.4 竣工验收需要进行质量检测的，所需费用由发包人承担，但因承包人原因造成质量不合格的除外。</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18.7.5 工程质量保修期满以及竣工验收遗留问题和尾工处理完成并通过验收后，发包人负责将处理情况和验收成果报送竣工验收主持单位，申请领取工程竣工证书，并发送承包人。</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18.8 施工期运行</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18.8.2 在施工期运行中发现工程或工程设备损坏或存在缺陷的，由承包人按第19.2款约定进行修复。</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18.9 试运行</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18.9.1 除专用合同条款另有约定外，承包人应按规定进行工程及工程设备试运行，负责提供试运行所需的人员、器材和必要的条件，并承担全部试运行费用。</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18.10 竣工(完工)清场</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18.10.1 工程项目竣工(完工)清场的工作范围和内容在技术标准和要求(合同技术条款)中约定。</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18.10.2 承包人未按监理人的要求恢复临时占地，或者场地清理未达到合同约定的，发包人有权委托其它人恢复或清理，所发生的金额从拟支付给承包人的款项中扣除。</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18.11 施工队伍的撤离</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spacing w:line="500" w:lineRule="exact"/>
        <w:outlineLvl w:val="2"/>
        <w:rPr>
          <w:rFonts w:hint="eastAsia" w:ascii="宋体" w:hAnsi="宋体" w:eastAsia="宋体" w:cs="宋体"/>
          <w:color w:val="auto"/>
          <w:sz w:val="24"/>
          <w:highlight w:val="none"/>
        </w:rPr>
      </w:pPr>
      <w:bookmarkStart w:id="215" w:name="_Toc1924"/>
      <w:bookmarkStart w:id="216" w:name="_Toc256000116"/>
      <w:r>
        <w:rPr>
          <w:rFonts w:hint="eastAsia" w:ascii="宋体" w:hAnsi="宋体" w:eastAsia="宋体" w:cs="宋体"/>
          <w:color w:val="auto"/>
          <w:sz w:val="24"/>
          <w:highlight w:val="none"/>
        </w:rPr>
        <w:t>19. 缺陷责任与保修责任</w:t>
      </w:r>
      <w:bookmarkEnd w:id="215"/>
      <w:bookmarkEnd w:id="216"/>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19.1 缺陷责任期(工程质量保修期)的起算时间</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19.2 缺陷责任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19.2.1 承包人应在缺陷责任期内对已交付使用的工程承担缺陷责任。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19.2.4 承包人不能在合理时间内修复缺陷的，发包人可自行修复或委托其他人修复，所需费用和利润的承担，按第19.2.3项约定办理。</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19.3 缺陷责任期的延长</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19.4 进一步试验和试运行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任何一项缺陷或损坏修复后，经检查证明其影响了工程或工程设备的使用性能，承包人应重新进行合同约定的试验和试运行，试验和试运行的全部费用应由责任方承担。</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19.5 承包人的进入权</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缺陷责任期内承包人为缺陷修复工作需要，有权进入工程现场，但应遵守发包人的保安和保密规定。</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19.6 缺陷责任期终止证书(工程质量保修责任终止证书)</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合同工程完工验收或投入使用验收后，发包人与承包人应办理工程交接手续，承包人应向发包人递交工程质量保修书。</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缺陷责任期(工程质量保修期)满后30个工作日内，发包人应向承包人颁发工程质量保修责任终止证书，并退还剩余的质量保证金，但保修责任范围内的质量缺陷未处理完成的应除外。</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19.7 保修责任</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spacing w:line="500" w:lineRule="exact"/>
        <w:outlineLvl w:val="2"/>
        <w:rPr>
          <w:rFonts w:hint="eastAsia" w:ascii="宋体" w:hAnsi="宋体" w:eastAsia="宋体" w:cs="宋体"/>
          <w:color w:val="auto"/>
          <w:sz w:val="24"/>
          <w:highlight w:val="none"/>
        </w:rPr>
      </w:pPr>
      <w:bookmarkStart w:id="217" w:name="_Toc256000117"/>
      <w:bookmarkStart w:id="218" w:name="_Toc1787"/>
      <w:r>
        <w:rPr>
          <w:rFonts w:hint="eastAsia" w:ascii="宋体" w:hAnsi="宋体" w:eastAsia="宋体" w:cs="宋体"/>
          <w:color w:val="auto"/>
          <w:sz w:val="24"/>
          <w:highlight w:val="none"/>
        </w:rPr>
        <w:t>20. 保险</w:t>
      </w:r>
      <w:bookmarkEnd w:id="217"/>
      <w:bookmarkEnd w:id="218"/>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20.1 工程保险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20.2 人员工伤事故的保险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20.2.1 承包人员工伤事故的保险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承包人应依照有关法律规定参加工伤保险，为其履行合同所雇佣的全部人员，缴纳工伤保险费，并要求其分包人也进行此项保险。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20.2.2 发包人员工伤事故的保险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发包人应依照有关法律规定参加工伤保险，为其现场机构雇佣的全部人员，缴纳工伤保险费，并要求其监理人也进行此项保险。</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20.3 人身意外伤害险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20.3.1 发包人应在整个施工期间为其现场机构雇用的全部人员，投保人身意外伤害险，缴纳保险费，并要求其监理人也进行此项保险。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20.3.2 承包人应在整个施工期间为其现场机构雇用的全部人员，投保人身意外伤害险，缴纳保险费，并要求其分包人也进行此项保险。</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20.4 第三者责任险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20.4.2 在缺陷责任期终止证书颁发前，承包人应以承包人和发包人的共同名义，投保第20.4.1项约定的第三者责任险，其保险费率、保险金额等有关内容在专用合同条款中约定。</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20.5 其他保险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除专用合同条款另有约定外，承包人应为其施工设备、进场的材料和工程设备等办理保险。</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20.6 对各项保险的一般要求</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20.6.1 保险凭证</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承包人应在专用合同条款约定的期限内向发包人提交各项保险生效的证据和保险单备份，保险单必须与专用合同条款约定的条件保持一致。</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20.6.2 保险合同条款的变动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承包人需要变动保险合同条款时，应事先征得发包人同意，并通知监理人。保险人作出变动的，承包人应在收到保险人通知后立即通知发包人和监理人。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20.6.3 持续保险</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承包人应与保险人保持联系，使保险人能够随时了解工程实施中的变动，并确保按保险合同条款要求持续保险。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20.6.4　保险金不足以补偿损失时，应由承包人和发包人各自负责补偿的范围和金额在专用合同条款中约定。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20.6.5 未按约定投保的补救</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（1）由于负有投保义务的一方当事人未按合同约定办理保险，或未能使保险持续有效的，另一方当事人可代为办理，所需费用由对方当事人承担。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（2）由于负有投保义务的一方当事人未按合同约定办理某项保险，导致受益人未能得到保险人的赔偿，原应从该项保险得到的保险金应由负有投保义务的一方当事人支付。</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20.6.6 报告义务</w:t>
      </w:r>
    </w:p>
    <w:p>
      <w:pPr>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当保险事故发生时，投保人应按照保险单规定的条件和期限及时向保险人报告。</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20.7 风险责任的转移</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工程通过合同工程完工验收并移交给发包人后，原由承包人应承担的风险责任，以及保险的责任、权利和义务同时转移给发包人，但承包人在缺陷责任期(工程质量保修期)前造成损失和损坏情形除外。</w:t>
      </w:r>
    </w:p>
    <w:p>
      <w:pPr>
        <w:spacing w:line="500" w:lineRule="exact"/>
        <w:outlineLvl w:val="2"/>
        <w:rPr>
          <w:rFonts w:hint="eastAsia" w:ascii="宋体" w:hAnsi="宋体" w:eastAsia="宋体" w:cs="宋体"/>
          <w:color w:val="auto"/>
          <w:sz w:val="24"/>
          <w:highlight w:val="none"/>
        </w:rPr>
      </w:pPr>
      <w:bookmarkStart w:id="219" w:name="_Toc256000118"/>
      <w:bookmarkStart w:id="220" w:name="_Toc19436"/>
      <w:r>
        <w:rPr>
          <w:rFonts w:hint="eastAsia" w:ascii="宋体" w:hAnsi="宋体" w:eastAsia="宋体" w:cs="宋体"/>
          <w:color w:val="auto"/>
          <w:sz w:val="24"/>
          <w:highlight w:val="none"/>
        </w:rPr>
        <w:t>21. 不可抗力</w:t>
      </w:r>
      <w:bookmarkEnd w:id="219"/>
      <w:bookmarkEnd w:id="220"/>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21.1 不可抗力的确认</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21.2 不可抗力的通知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21.2.1 合同一方当事人遇到不可抗力事件，使其履行合同义务受到阻碍时，应立即通知合同另一方当事人和监理人，书面说明不可抗力和受阻碍的详细情况，并提供必要的证明。</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21.3 不可抗力后果及其处理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 不可抗力造成损害的责任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除专用合同条款另有约定外，不可抗力导致的人员伤亡、财产损失、费用增加和（或）工期延误等后果，由合同双方按以下原则承担：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（1）永久工程，包括已运至施工场地的材料和工程设备的损害，以及因工程损害造成的第三者人员伤亡和财产损失由发包人承担；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（2）承包人设备的损坏由承包人承担；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（3）发包人和承包人各自承担其人员伤亡和其他财产损失及其相关费用；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（4）承包人的停工损失由承包人承担，但停工期间应监理人要求照管工程和清理、修复工程的金额由发包人承担；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（5）不能按期竣工的，应合理延长工期，承包人不需支付逾期竣工违约金。发包人要求赶工的，承包人应采取赶工措施，赶工费用由发包人承担。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 延迟履行期间发生的不可抗力</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合同一方当事人延迟履行，在延迟履行期间发生不可抗力的，不免除其责任。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避免和减少不可抗力损失</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不可抗力发生后，发包人和承包人均应采取措施尽量避免和减少损失的扩大，任何一方没有采取有效措施导致损失扩大的，应对扩大的损失承担责任。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因不可抗力解除合同</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pacing w:line="500" w:lineRule="exact"/>
        <w:outlineLvl w:val="2"/>
        <w:rPr>
          <w:rFonts w:hint="eastAsia" w:ascii="宋体" w:hAnsi="宋体" w:eastAsia="宋体" w:cs="宋体"/>
          <w:color w:val="auto"/>
          <w:sz w:val="24"/>
          <w:highlight w:val="none"/>
        </w:rPr>
      </w:pPr>
      <w:bookmarkStart w:id="221" w:name="_Toc256000119"/>
      <w:bookmarkStart w:id="222" w:name="_Toc29577"/>
      <w:r>
        <w:rPr>
          <w:rFonts w:hint="eastAsia" w:ascii="宋体" w:hAnsi="宋体" w:eastAsia="宋体" w:cs="宋体"/>
          <w:color w:val="auto"/>
          <w:sz w:val="24"/>
          <w:highlight w:val="none"/>
        </w:rPr>
        <w:t>22. 违约</w:t>
      </w:r>
      <w:bookmarkEnd w:id="221"/>
      <w:bookmarkEnd w:id="222"/>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22.1 承包人违约</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22.1.1 承包人违约的情形</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在履行合同过程中发生的下列情况属承包人违约：</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(1)承包人违反第1.8款或第4.3款的约定，私自将合同的全部或部分权利转让给其他人，或私自将合同的全部或部分义务转移给其他人；</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(2)承包人违反第5.3款或第6.4款的约定，未经监理人批准，私自将已按合同约定进入施工场地的施工设备、临时设施或材料撤离施工场地；</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(3)承包人违反第5.4款的约定使用了不合格材料或工程设备，工程质量达不到标准要求，又拒绝清除不合格工程；</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(4)承包人未能按合同进度计划及时完成合同约定的工作，已造成或预期造成工期延误；</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(5)承包人在缺陷责任期(工程质量保修期)内，未能对合同工程完工验收鉴定书所列的缺陷清单的内容或缺陷责任期(工程质量保修期)内发生的缺陷进行修复，而又拒绝按监理人指示再进行修补；</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(6)承包人无法继续履行或明确表示不履行或实质上已停止履行合同；</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(7)承包人不按合同约定履行义务的其它情况。</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22.1.2 对承包人违约的处理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（1）承包人发生第22.1.1（6）目约定的违约情况时，发包人可通知承包人立即解除合同，并按有关法律处理。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（2）承包人发生除第22.1.1（6）目约定以外的其他违约情况时，监理人可向承包人发出整改通知，要求其在指定的期限内改正。承包人应承担其违约所引起的费用增加和（或）工期延误。</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（3）经检查证明承包人已采取了有效措施纠正违约行为，具备复工条件的，可由监理人签发复工通知复工。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22.1.3 承包人违约解除合同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22.1.4 合同解除后的估价、付款和结清</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（1）合同解除后，监理人按第3.5款商定或确定承包人实际完成工作的价值，以及承包人已提供的材料、施工设备、工程设备和临时工程等的价值。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（2）合同解除后，发包人应暂停对承包人的一切付款，查清各项付款和已扣款金额，包括承包人应支付的违约金。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（3）合同解除后，发包人应按第23.4款的约定向承包人索赔由于解除合同给发包人造成的损失。</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（4）合同双方确认上述往来款项后，出具最终结清付款证书，结清全部合同款项。</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（5）发包人和承包人未能就解除合同后的结清达成一致而形成争议的，按第24条的约定办理。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22.1.5 协议利益的转让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22.1.6 紧急情况下无能力或不愿进行抢救</w:t>
      </w:r>
    </w:p>
    <w:p>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22.2 发包人违约</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22.2.1 发包人违约的情形</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在履行合同过程中发生的下列情形，属发包人违约：</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（1）发包人未能按合同约定支付预付款或合同价款，或拖延、拒绝批准付款申请和支付凭证，导致付款延误的；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（2）发包人原因造成停工的；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（3）监理人无正当理由没有在约定期限内发出复工指示，导致承包人无法复工的；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（4）发包人无法继续履行或明确表示不履行或实质上已停止履行合同的；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（5）发包人不履行合同约定其他义务的。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22.2.2 承包人有权暂停施工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22.2.3 发包人违约解除合同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（1）发生第22.2.1（4）目的违约情况时，承包人可书面通知发包人解除合同。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22.2.4 解除合同后的付款</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因发包人违约解除合同的，发包人应在解除合同后28天内向承包人支付下列金额，承包人应在此期限内及时向发包人提交要求支付下列金额的有关资料和凭证：</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（1）合同解除日以前所完成工作的价款；</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（2）承包人为该工程施工订购并已付款的材料、工程设备和其他物品的金额。发包人付还后，该材料、工程设备和其他物品归发包人所有；</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（3）承包人为完成工程所发生的，而发包人未支付的金额；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（4）承包人撤离施工场地以及遣散承包人人员的金额；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（5）由于解除合同应赔偿的承包人损失；</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（6）按合同约定在合同解除日前应支付给承包人的其他金额。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发包人应按本项约定支付上述金额并退还质量保证金和履约担保，但有权要求承包人支付应偿还给发包人的各项金额。</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22.2.5 解除合同后的承包人撤离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22.3 第三人造成的违约</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在履行合同过程中，一方当事人因第三人的原因造成违约的，应当向对方当事人承担违约责任。一方当事人和第三人之间的纠纷，依照法律规定或者按照约定解决。</w:t>
      </w:r>
    </w:p>
    <w:p>
      <w:pPr>
        <w:spacing w:line="500" w:lineRule="exact"/>
        <w:outlineLvl w:val="2"/>
        <w:rPr>
          <w:rFonts w:hint="eastAsia" w:ascii="宋体" w:hAnsi="宋体" w:eastAsia="宋体" w:cs="宋体"/>
          <w:color w:val="auto"/>
          <w:sz w:val="24"/>
          <w:highlight w:val="none"/>
        </w:rPr>
      </w:pPr>
      <w:bookmarkStart w:id="223" w:name="_Toc6164"/>
      <w:bookmarkStart w:id="224" w:name="_Toc256000120"/>
      <w:r>
        <w:rPr>
          <w:rFonts w:hint="eastAsia" w:ascii="宋体" w:hAnsi="宋体" w:eastAsia="宋体" w:cs="宋体"/>
          <w:color w:val="auto"/>
          <w:sz w:val="24"/>
          <w:highlight w:val="none"/>
        </w:rPr>
        <w:t>23. 索赔</w:t>
      </w:r>
      <w:bookmarkEnd w:id="223"/>
      <w:bookmarkEnd w:id="224"/>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23.1 承包人索赔的提出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根据合同约定，承包人认为有权得到追加付款和（或）延长工期的，应按以下程序向发包人提出索赔：</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（2）承包人应在发出索赔意向通知书后28天内，向监理人正式递交索赔通知书。索赔通知书应详细说明索赔理由以及要求追加的付款金额和（或）延长的工期，并附必要的记录和证明材料；</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（3）索赔事件具有连续影响的，承包人应按合理时间间隔继续递交延续索赔通知，说明连续影响的实际情况和记录，列出累计的追加付款金额和（或）工期延长天数；</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（4）在索赔事件影响结束后的28天内，承包人应向监理人递交最终索赔通知书，说明最终要求索赔的追加付款金额和延长的工期，并附必要的记录和证明材料。</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23.2 承包人索赔处理程序</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（1）监理人收到承包人提交的索赔通知书后，应及时审查索赔通知书的内容、查验承包人的记录和证明材料，必要时监理人可要求承包人提交全部原始记录备份。</w:t>
      </w:r>
    </w:p>
    <w:p>
      <w:pPr>
        <w:spacing w:line="50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（2）监理人应按第3.5款商定或确定追加的付款和（或）延长的工期，并在收到上述索赔通知书或有关索赔的进一步证明材料后的42天内，将索赔处理结果答复承包人。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（3）承包人接受索赔处理结果的，发包人应在作出索赔处理结果答复后28天内完成赔付。承包人不接受索赔处理结果的，按第24条的约定办理。</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23.3 承包人提出索赔的期限</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23.3.1　承包人按第17.5款的约定接受了完工付款证书后，应被认为已无权再提出在合同工程完工证书颁发前所发生的任何索赔。</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23.3.2　承包人按第17.6款的约定提交的最终结清申请单中，只限于提出合同工程完工证书颁发后发生的索赔。提出索赔的期限自接受最终结清证书时终止。</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23.4 发包人的索赔</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spacing w:line="500" w:lineRule="exact"/>
        <w:outlineLvl w:val="2"/>
        <w:rPr>
          <w:rFonts w:hint="eastAsia" w:ascii="宋体" w:hAnsi="宋体" w:eastAsia="宋体" w:cs="宋体"/>
          <w:color w:val="auto"/>
          <w:sz w:val="24"/>
          <w:highlight w:val="none"/>
        </w:rPr>
      </w:pPr>
      <w:bookmarkStart w:id="225" w:name="_Toc7235"/>
      <w:bookmarkStart w:id="226" w:name="_Toc256000121"/>
      <w:r>
        <w:rPr>
          <w:rFonts w:hint="eastAsia" w:ascii="宋体" w:hAnsi="宋体" w:eastAsia="宋体" w:cs="宋体"/>
          <w:color w:val="auto"/>
          <w:sz w:val="24"/>
          <w:highlight w:val="none"/>
        </w:rPr>
        <w:t>24. 争议的解决</w:t>
      </w:r>
      <w:bookmarkEnd w:id="225"/>
      <w:bookmarkEnd w:id="226"/>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24.1 争议的解决方式</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（1）向约定的仲裁委员会申请仲裁；</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（2）向有管辖权的人民法院提起诉讼。</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24.2 友好解决</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在提请争议评审、仲裁或者诉讼前，以及在争议评审、仲裁或诉讼过程中，发包人和承包人均可共同努力友好协商解决争议。</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24.3 争议评审</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24.3.1 采用争议评审的，发包人和承包人应在开工日后的28天内或在争议发生后，协商成立争议评审组。争议评审组由有合同管理和工程实践经验的专家组成。</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24.3.2 合同双方的争议，应首先由申请人向争议评审组提交一份详细的评审申请报告，并附必要的文件、图纸和证明材料，申请人还应将上述报告的备份同时提交给被申请人和监理人。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24.3.3 被申请人在收到申请人评审申请报告备份后的28天内，向争议评审组提交一份答辩报告，并附证明材料。被申请人应将答辩报告的备份同时提交给申请人和监理人。</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24.3.6 发包人和承包人接受评审意见的，由监理人根据评审意见拟定执行协议，经争议双方签字后作为合同的补充文件，并遵照执行。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spacing w:line="50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24.4 仲裁</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24.4.1　若合同双方商定直接向仲裁机构申请仲裁，应签订仲裁协议并约定仲裁机构。</w:t>
      </w:r>
    </w:p>
    <w:p>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24.4.2　若合同双方未能达成仲裁协议，则本合同的仲裁条款无效，任一方均有权向人民法院提起诉讼。</w:t>
      </w:r>
    </w:p>
    <w:p>
      <w:pPr>
        <w:rPr>
          <w:rFonts w:hint="eastAsia" w:ascii="宋体" w:hAnsi="宋体" w:eastAsia="宋体" w:cs="宋体"/>
          <w:highlight w:val="cyan"/>
        </w:rPr>
      </w:pPr>
      <w:bookmarkStart w:id="227" w:name="EBb3167482fdb247658b442091e4535a4f"/>
      <w:r>
        <w:rPr>
          <w:rFonts w:hint="eastAsia" w:ascii="宋体" w:hAnsi="宋体" w:eastAsia="宋体" w:cs="宋体"/>
          <w:color w:val="000080"/>
          <w:sz w:val="20"/>
          <w:highlight w:val="white"/>
        </w:rPr>
        <w:t xml:space="preserve"> </w:t>
      </w:r>
      <w:bookmarkEnd w:id="227"/>
    </w:p>
    <w:p>
      <w:pPr>
        <w:rPr>
          <w:rFonts w:hint="eastAsia" w:ascii="宋体" w:hAnsi="宋体" w:eastAsia="宋体" w:cs="宋体"/>
          <w:highlight w:val="red"/>
        </w:rPr>
      </w:pPr>
    </w:p>
    <w:p>
      <w:pPr>
        <w:pStyle w:val="209"/>
        <w:bidi w:val="0"/>
        <w:jc w:val="center"/>
        <w:rPr>
          <w:rStyle w:val="40"/>
          <w:rFonts w:hint="eastAsia" w:ascii="宋体" w:hAnsi="宋体" w:eastAsia="宋体" w:cs="宋体"/>
          <w:highlight w:val="none"/>
          <w:lang w:val="en-US" w:eastAsia="zh-CN"/>
        </w:rPr>
      </w:pPr>
      <w:bookmarkStart w:id="228" w:name="_Toc256000122"/>
      <w:bookmarkStart w:id="229" w:name="_Toc22196"/>
      <w:bookmarkStart w:id="230" w:name="_Toc256000123"/>
      <w:r>
        <w:rPr>
          <w:rStyle w:val="40"/>
          <w:rFonts w:hint="eastAsia" w:ascii="宋体" w:hAnsi="宋体" w:eastAsia="宋体" w:cs="宋体"/>
          <w:highlight w:val="none"/>
          <w:lang w:val="en-US" w:eastAsia="zh-CN"/>
        </w:rPr>
        <w:br w:type="page"/>
      </w:r>
      <w:r>
        <w:rPr>
          <w:rStyle w:val="40"/>
          <w:rFonts w:hint="eastAsia" w:ascii="宋体" w:hAnsi="宋体" w:eastAsia="宋体" w:cs="宋体"/>
          <w:highlight w:val="none"/>
          <w:lang w:val="en-US" w:eastAsia="zh-CN"/>
        </w:rPr>
        <w:t>第二节 专用合同条款</w:t>
      </w:r>
      <w:bookmarkEnd w:id="228"/>
      <w:bookmarkEnd w:id="229"/>
      <w:bookmarkEnd w:id="230"/>
    </w:p>
    <w:p>
      <w:pPr>
        <w:pStyle w:val="210"/>
        <w:keepNext w:val="0"/>
        <w:keepLines w:val="0"/>
        <w:pageBreakBefore w:val="0"/>
        <w:widowControl w:val="0"/>
        <w:kinsoku/>
        <w:wordWrap/>
        <w:overflowPunct/>
        <w:topLinePunct w:val="0"/>
        <w:bidi w:val="0"/>
        <w:snapToGrid/>
        <w:spacing w:after="200" w:line="400" w:lineRule="exact"/>
        <w:ind w:right="0" w:rightChars="0"/>
        <w:textAlignment w:val="auto"/>
        <w:outlineLvl w:val="9"/>
        <w:rPr>
          <w:rStyle w:val="40"/>
          <w:rFonts w:hint="eastAsia" w:ascii="宋体" w:hAnsi="宋体" w:eastAsia="宋体" w:cs="宋体"/>
          <w:b/>
          <w:color w:val="auto"/>
          <w:sz w:val="24"/>
          <w:szCs w:val="24"/>
          <w:highlight w:val="none"/>
          <w:lang w:val="en-US" w:eastAsia="zh-CN"/>
        </w:rPr>
      </w:pPr>
      <w:r>
        <w:rPr>
          <w:rStyle w:val="40"/>
          <w:rFonts w:hint="eastAsia" w:ascii="宋体" w:hAnsi="宋体" w:eastAsia="宋体" w:cs="宋体"/>
          <w:b/>
          <w:color w:val="auto"/>
          <w:sz w:val="24"/>
          <w:szCs w:val="24"/>
          <w:highlight w:val="none"/>
          <w:lang w:val="en-US" w:eastAsia="zh-CN"/>
        </w:rPr>
        <w:t>1一般约定</w:t>
      </w:r>
    </w:p>
    <w:p>
      <w:pPr>
        <w:pStyle w:val="210"/>
        <w:keepNext w:val="0"/>
        <w:keepLines w:val="0"/>
        <w:pageBreakBefore w:val="0"/>
        <w:widowControl w:val="0"/>
        <w:kinsoku/>
        <w:wordWrap/>
        <w:overflowPunct/>
        <w:topLinePunct w:val="0"/>
        <w:bidi w:val="0"/>
        <w:snapToGrid/>
        <w:spacing w:after="200" w:line="400" w:lineRule="exact"/>
        <w:ind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1.1词语定义</w:t>
      </w:r>
    </w:p>
    <w:p>
      <w:pPr>
        <w:pStyle w:val="210"/>
        <w:keepNext w:val="0"/>
        <w:keepLines w:val="0"/>
        <w:pageBreakBefore w:val="0"/>
        <w:widowControl w:val="0"/>
        <w:kinsoku/>
        <w:wordWrap/>
        <w:overflowPunct/>
        <w:topLinePunct w:val="0"/>
        <w:bidi w:val="0"/>
        <w:snapToGrid/>
        <w:spacing w:after="200" w:line="400" w:lineRule="exact"/>
        <w:ind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1.1.2  合同当事人和人员</w:t>
      </w:r>
    </w:p>
    <w:p>
      <w:pPr>
        <w:pStyle w:val="210"/>
        <w:keepNext w:val="0"/>
        <w:keepLines w:val="0"/>
        <w:pageBreakBefore w:val="0"/>
        <w:widowControl w:val="0"/>
        <w:kinsoku/>
        <w:wordWrap/>
        <w:overflowPunct/>
        <w:topLinePunct w:val="0"/>
        <w:bidi w:val="0"/>
        <w:snapToGrid/>
        <w:spacing w:after="200" w:line="400" w:lineRule="exact"/>
        <w:ind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1.1.2.2发包人：</w:t>
      </w:r>
      <w:r>
        <w:rPr>
          <w:rStyle w:val="40"/>
          <w:rFonts w:hint="eastAsia" w:ascii="宋体" w:hAnsi="宋体" w:eastAsia="宋体" w:cs="宋体"/>
          <w:color w:val="auto"/>
          <w:sz w:val="24"/>
          <w:szCs w:val="24"/>
          <w:highlight w:val="none"/>
          <w:u w:val="single"/>
          <w:lang w:val="en-US" w:eastAsia="zh-CN"/>
        </w:rPr>
        <w:t xml:space="preserve">            </w:t>
      </w:r>
      <w:r>
        <w:rPr>
          <w:rStyle w:val="40"/>
          <w:rFonts w:hint="eastAsia" w:ascii="宋体" w:hAnsi="宋体" w:eastAsia="宋体" w:cs="宋体"/>
          <w:color w:val="auto"/>
          <w:sz w:val="24"/>
          <w:szCs w:val="24"/>
          <w:highlight w:val="none"/>
          <w:u w:val="single"/>
        </w:rPr>
        <w:t xml:space="preserve">                    </w:t>
      </w:r>
    </w:p>
    <w:p>
      <w:pPr>
        <w:pStyle w:val="210"/>
        <w:keepNext w:val="0"/>
        <w:keepLines w:val="0"/>
        <w:pageBreakBefore w:val="0"/>
        <w:widowControl w:val="0"/>
        <w:kinsoku/>
        <w:wordWrap/>
        <w:overflowPunct/>
        <w:topLinePunct w:val="0"/>
        <w:bidi w:val="0"/>
        <w:snapToGrid/>
        <w:spacing w:after="200" w:line="400" w:lineRule="exact"/>
        <w:ind w:right="0" w:rightChars="0" w:firstLine="480" w:firstLineChars="200"/>
        <w:textAlignment w:val="auto"/>
        <w:outlineLvl w:val="9"/>
        <w:rPr>
          <w:rStyle w:val="40"/>
          <w:rFonts w:hint="eastAsia" w:ascii="宋体" w:hAnsi="宋体" w:eastAsia="宋体" w:cs="宋体"/>
          <w:color w:val="auto"/>
          <w:sz w:val="24"/>
          <w:szCs w:val="24"/>
          <w:highlight w:val="none"/>
          <w:lang w:eastAsia="zh-CN"/>
        </w:rPr>
      </w:pPr>
      <w:r>
        <w:rPr>
          <w:rStyle w:val="40"/>
          <w:rFonts w:hint="eastAsia" w:ascii="宋体" w:hAnsi="宋体" w:eastAsia="宋体" w:cs="宋体"/>
          <w:color w:val="auto"/>
          <w:sz w:val="24"/>
          <w:szCs w:val="24"/>
          <w:highlight w:val="none"/>
        </w:rPr>
        <w:t>1.1.2.3承包人：</w:t>
      </w:r>
      <w:r>
        <w:rPr>
          <w:rStyle w:val="40"/>
          <w:rFonts w:hint="eastAsia" w:ascii="宋体" w:hAnsi="宋体" w:eastAsia="宋体" w:cs="宋体"/>
          <w:color w:val="auto"/>
          <w:sz w:val="24"/>
          <w:szCs w:val="24"/>
          <w:highlight w:val="none"/>
          <w:lang w:eastAsia="zh-CN"/>
        </w:rPr>
        <w:t>由本次招标选定</w:t>
      </w:r>
    </w:p>
    <w:p>
      <w:pPr>
        <w:pStyle w:val="210"/>
        <w:keepNext w:val="0"/>
        <w:keepLines w:val="0"/>
        <w:pageBreakBefore w:val="0"/>
        <w:widowControl w:val="0"/>
        <w:kinsoku/>
        <w:wordWrap/>
        <w:overflowPunct/>
        <w:topLinePunct w:val="0"/>
        <w:bidi w:val="0"/>
        <w:snapToGrid/>
        <w:spacing w:after="200" w:line="400" w:lineRule="exact"/>
        <w:ind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1.1.2.5分包人：无</w:t>
      </w:r>
    </w:p>
    <w:p>
      <w:pPr>
        <w:pStyle w:val="210"/>
        <w:keepNext w:val="0"/>
        <w:keepLines w:val="0"/>
        <w:pageBreakBefore w:val="0"/>
        <w:widowControl w:val="0"/>
        <w:kinsoku/>
        <w:wordWrap/>
        <w:overflowPunct/>
        <w:topLinePunct w:val="0"/>
        <w:bidi w:val="0"/>
        <w:snapToGrid/>
        <w:spacing w:after="200" w:line="400" w:lineRule="exact"/>
        <w:ind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1.1.2.6监理人：</w:t>
      </w:r>
      <w:r>
        <w:rPr>
          <w:rStyle w:val="40"/>
          <w:rFonts w:hint="eastAsia" w:ascii="宋体" w:hAnsi="宋体" w:eastAsia="宋体" w:cs="宋体"/>
          <w:color w:val="auto"/>
          <w:sz w:val="24"/>
          <w:szCs w:val="24"/>
          <w:highlight w:val="none"/>
          <w:lang w:eastAsia="zh-CN"/>
        </w:rPr>
        <w:t>另行招标选取</w:t>
      </w:r>
    </w:p>
    <w:p>
      <w:pPr>
        <w:pStyle w:val="210"/>
        <w:spacing w:after="200" w:line="400" w:lineRule="exact"/>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1.1.3 工程和设备</w:t>
      </w:r>
    </w:p>
    <w:p>
      <w:pPr>
        <w:pStyle w:val="210"/>
        <w:keepNext w:val="0"/>
        <w:keepLines w:val="0"/>
        <w:pageBreakBefore w:val="0"/>
        <w:widowControl w:val="0"/>
        <w:kinsoku/>
        <w:wordWrap/>
        <w:overflowPunct/>
        <w:topLinePunct w:val="0"/>
        <w:bidi w:val="0"/>
        <w:snapToGrid/>
        <w:spacing w:after="200" w:line="400" w:lineRule="exact"/>
        <w:ind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1.1.3.3 临时工程：包括施工道路、施工供电、施工供水、施工照明、施工通信，临时仓库、临时房屋建筑、临时办公设施和其他。</w:t>
      </w:r>
    </w:p>
    <w:p>
      <w:pPr>
        <w:pStyle w:val="210"/>
        <w:keepNext w:val="0"/>
        <w:keepLines w:val="0"/>
        <w:pageBreakBefore w:val="0"/>
        <w:widowControl w:val="0"/>
        <w:kinsoku/>
        <w:wordWrap/>
        <w:overflowPunct/>
        <w:topLinePunct w:val="0"/>
        <w:bidi w:val="0"/>
        <w:snapToGrid/>
        <w:spacing w:after="200" w:line="400" w:lineRule="exact"/>
        <w:ind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1.1.4  日期</w:t>
      </w:r>
    </w:p>
    <w:p>
      <w:pPr>
        <w:pStyle w:val="210"/>
        <w:keepNext w:val="0"/>
        <w:keepLines w:val="0"/>
        <w:pageBreakBefore w:val="0"/>
        <w:widowControl w:val="0"/>
        <w:kinsoku/>
        <w:wordWrap/>
        <w:overflowPunct/>
        <w:topLinePunct w:val="0"/>
        <w:bidi w:val="0"/>
        <w:snapToGrid/>
        <w:spacing w:after="200" w:line="400" w:lineRule="exact"/>
        <w:ind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1.1.4.5缺陷责任期（工程质量保修期）：自竣工验收之日起</w:t>
      </w:r>
      <w:r>
        <w:rPr>
          <w:rStyle w:val="40"/>
          <w:rFonts w:hint="eastAsia" w:ascii="宋体" w:hAnsi="宋体" w:eastAsia="宋体" w:cs="宋体"/>
          <w:color w:val="auto"/>
          <w:sz w:val="24"/>
          <w:szCs w:val="24"/>
          <w:highlight w:val="none"/>
          <w:lang w:val="en-US" w:eastAsia="zh-CN"/>
        </w:rPr>
        <w:t>1</w:t>
      </w:r>
      <w:r>
        <w:rPr>
          <w:rStyle w:val="40"/>
          <w:rFonts w:hint="eastAsia" w:ascii="宋体" w:hAnsi="宋体" w:eastAsia="宋体" w:cs="宋体"/>
          <w:color w:val="auto"/>
          <w:sz w:val="24"/>
          <w:szCs w:val="24"/>
          <w:highlight w:val="none"/>
        </w:rPr>
        <w:t>年。</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1.4合同文件的优先顺序</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进入合同文件的各项文件及其优先顺序是：</w:t>
      </w:r>
    </w:p>
    <w:p>
      <w:pPr>
        <w:pStyle w:val="73"/>
        <w:keepNext w:val="0"/>
        <w:keepLines w:val="0"/>
        <w:pageBreakBefore w:val="0"/>
        <w:widowControl w:val="0"/>
        <w:kinsoku/>
        <w:wordWrap/>
        <w:overflowPunct/>
        <w:topLinePunct w:val="0"/>
        <w:bidi w:val="0"/>
        <w:snapToGrid/>
        <w:spacing w:after="200" w:line="400" w:lineRule="exact"/>
        <w:ind w:left="0" w:leftChars="0" w:right="0" w:rightChars="0" w:firstLine="4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（1）协议书（包括补充协议）</w:t>
      </w:r>
    </w:p>
    <w:p>
      <w:pPr>
        <w:pStyle w:val="73"/>
        <w:keepNext w:val="0"/>
        <w:keepLines w:val="0"/>
        <w:pageBreakBefore w:val="0"/>
        <w:widowControl w:val="0"/>
        <w:kinsoku/>
        <w:wordWrap/>
        <w:overflowPunct/>
        <w:topLinePunct w:val="0"/>
        <w:bidi w:val="0"/>
        <w:snapToGrid/>
        <w:spacing w:after="200" w:line="400" w:lineRule="exact"/>
        <w:ind w:left="0" w:leftChars="0" w:right="0" w:rightChars="0" w:firstLine="4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（2）中标通知书</w:t>
      </w:r>
    </w:p>
    <w:p>
      <w:pPr>
        <w:pStyle w:val="73"/>
        <w:keepNext w:val="0"/>
        <w:keepLines w:val="0"/>
        <w:pageBreakBefore w:val="0"/>
        <w:widowControl w:val="0"/>
        <w:kinsoku/>
        <w:wordWrap/>
        <w:overflowPunct/>
        <w:topLinePunct w:val="0"/>
        <w:bidi w:val="0"/>
        <w:snapToGrid/>
        <w:spacing w:after="200" w:line="400" w:lineRule="exact"/>
        <w:ind w:left="0" w:leftChars="0" w:right="0" w:rightChars="0" w:firstLine="400"/>
        <w:textAlignment w:val="auto"/>
        <w:outlineLvl w:val="9"/>
        <w:rPr>
          <w:rStyle w:val="40"/>
          <w:rFonts w:hint="eastAsia" w:ascii="宋体" w:hAnsi="宋体" w:eastAsia="宋体" w:cs="宋体"/>
          <w:color w:val="auto"/>
          <w:sz w:val="24"/>
          <w:szCs w:val="24"/>
          <w:highlight w:val="none"/>
          <w:lang w:eastAsia="zh-CN"/>
        </w:rPr>
      </w:pPr>
      <w:r>
        <w:rPr>
          <w:rStyle w:val="40"/>
          <w:rFonts w:hint="eastAsia" w:ascii="宋体" w:hAnsi="宋体" w:eastAsia="宋体" w:cs="宋体"/>
          <w:color w:val="auto"/>
          <w:sz w:val="24"/>
          <w:szCs w:val="24"/>
          <w:highlight w:val="none"/>
        </w:rPr>
        <w:t>（3）投标函及投标函附录</w:t>
      </w:r>
    </w:p>
    <w:p>
      <w:pPr>
        <w:pStyle w:val="73"/>
        <w:keepNext w:val="0"/>
        <w:keepLines w:val="0"/>
        <w:pageBreakBefore w:val="0"/>
        <w:widowControl w:val="0"/>
        <w:kinsoku/>
        <w:wordWrap/>
        <w:overflowPunct/>
        <w:topLinePunct w:val="0"/>
        <w:bidi w:val="0"/>
        <w:snapToGrid/>
        <w:spacing w:after="200" w:line="400" w:lineRule="exact"/>
        <w:ind w:left="0" w:leftChars="0" w:right="0" w:rightChars="0" w:firstLine="4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（4）专用合同条款</w:t>
      </w:r>
    </w:p>
    <w:p>
      <w:pPr>
        <w:pStyle w:val="73"/>
        <w:keepNext w:val="0"/>
        <w:keepLines w:val="0"/>
        <w:pageBreakBefore w:val="0"/>
        <w:widowControl w:val="0"/>
        <w:kinsoku/>
        <w:wordWrap/>
        <w:overflowPunct/>
        <w:topLinePunct w:val="0"/>
        <w:bidi w:val="0"/>
        <w:snapToGrid/>
        <w:spacing w:after="200" w:line="400" w:lineRule="exact"/>
        <w:ind w:left="0" w:leftChars="0" w:right="0" w:rightChars="0" w:firstLine="4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（5）通用合同条款</w:t>
      </w:r>
    </w:p>
    <w:p>
      <w:pPr>
        <w:pStyle w:val="73"/>
        <w:keepNext w:val="0"/>
        <w:keepLines w:val="0"/>
        <w:pageBreakBefore w:val="0"/>
        <w:widowControl w:val="0"/>
        <w:kinsoku/>
        <w:wordWrap/>
        <w:overflowPunct/>
        <w:topLinePunct w:val="0"/>
        <w:bidi w:val="0"/>
        <w:snapToGrid/>
        <w:spacing w:after="200" w:line="400" w:lineRule="exact"/>
        <w:ind w:left="0" w:leftChars="0" w:right="0" w:rightChars="0" w:firstLine="400"/>
        <w:textAlignment w:val="auto"/>
        <w:outlineLvl w:val="9"/>
        <w:rPr>
          <w:rStyle w:val="40"/>
          <w:rFonts w:hint="eastAsia" w:ascii="宋体" w:hAnsi="宋体" w:eastAsia="宋体" w:cs="宋体"/>
          <w:color w:val="auto"/>
          <w:sz w:val="24"/>
          <w:szCs w:val="24"/>
          <w:highlight w:val="none"/>
          <w:lang w:eastAsia="zh-CN"/>
        </w:rPr>
      </w:pPr>
      <w:r>
        <w:rPr>
          <w:rStyle w:val="40"/>
          <w:rFonts w:hint="eastAsia" w:ascii="宋体" w:hAnsi="宋体" w:eastAsia="宋体" w:cs="宋体"/>
          <w:color w:val="auto"/>
          <w:sz w:val="24"/>
          <w:szCs w:val="24"/>
          <w:highlight w:val="none"/>
        </w:rPr>
        <w:t>（6）</w:t>
      </w:r>
      <w:r>
        <w:rPr>
          <w:rStyle w:val="40"/>
          <w:rFonts w:hint="eastAsia" w:ascii="宋体" w:hAnsi="宋体" w:eastAsia="宋体" w:cs="宋体"/>
          <w:color w:val="auto"/>
          <w:sz w:val="24"/>
          <w:szCs w:val="24"/>
          <w:highlight w:val="none"/>
          <w:lang w:eastAsia="zh-CN"/>
        </w:rPr>
        <w:t>发包人要求</w:t>
      </w:r>
    </w:p>
    <w:p>
      <w:pPr>
        <w:pStyle w:val="73"/>
        <w:keepNext w:val="0"/>
        <w:keepLines w:val="0"/>
        <w:pageBreakBefore w:val="0"/>
        <w:widowControl w:val="0"/>
        <w:kinsoku/>
        <w:wordWrap/>
        <w:overflowPunct/>
        <w:topLinePunct w:val="0"/>
        <w:bidi w:val="0"/>
        <w:snapToGrid/>
        <w:spacing w:after="200" w:line="400" w:lineRule="exact"/>
        <w:ind w:left="0" w:leftChars="0" w:right="0" w:rightChars="0" w:firstLine="400"/>
        <w:textAlignment w:val="auto"/>
        <w:outlineLvl w:val="9"/>
        <w:rPr>
          <w:rStyle w:val="40"/>
          <w:rFonts w:hint="eastAsia" w:ascii="宋体" w:hAnsi="宋体" w:eastAsia="宋体" w:cs="宋体"/>
          <w:color w:val="auto"/>
          <w:sz w:val="24"/>
          <w:szCs w:val="24"/>
          <w:highlight w:val="none"/>
          <w:lang w:eastAsia="zh-CN"/>
        </w:rPr>
      </w:pPr>
      <w:r>
        <w:rPr>
          <w:rStyle w:val="40"/>
          <w:rFonts w:hint="eastAsia" w:ascii="宋体" w:hAnsi="宋体" w:eastAsia="宋体" w:cs="宋体"/>
          <w:color w:val="auto"/>
          <w:sz w:val="24"/>
          <w:szCs w:val="24"/>
          <w:highlight w:val="none"/>
        </w:rPr>
        <w:t>（7）</w:t>
      </w:r>
      <w:r>
        <w:rPr>
          <w:rStyle w:val="40"/>
          <w:rFonts w:hint="eastAsia" w:ascii="宋体" w:hAnsi="宋体" w:eastAsia="宋体" w:cs="宋体"/>
          <w:color w:val="auto"/>
          <w:sz w:val="24"/>
          <w:szCs w:val="24"/>
          <w:highlight w:val="none"/>
          <w:lang w:eastAsia="zh-CN"/>
        </w:rPr>
        <w:t>承包人建议书</w:t>
      </w:r>
    </w:p>
    <w:p>
      <w:pPr>
        <w:pStyle w:val="73"/>
        <w:keepNext w:val="0"/>
        <w:keepLines w:val="0"/>
        <w:pageBreakBefore w:val="0"/>
        <w:widowControl w:val="0"/>
        <w:kinsoku/>
        <w:wordWrap/>
        <w:overflowPunct/>
        <w:topLinePunct w:val="0"/>
        <w:bidi w:val="0"/>
        <w:snapToGrid/>
        <w:spacing w:after="200" w:line="400" w:lineRule="exact"/>
        <w:ind w:left="0" w:leftChars="0" w:right="0" w:rightChars="0" w:firstLine="4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（8）已标价的工程量</w:t>
      </w:r>
      <w:r>
        <w:rPr>
          <w:rStyle w:val="40"/>
          <w:rFonts w:hint="eastAsia" w:ascii="宋体" w:hAnsi="宋体" w:eastAsia="宋体" w:cs="宋体"/>
          <w:color w:val="auto"/>
          <w:sz w:val="24"/>
          <w:szCs w:val="24"/>
          <w:highlight w:val="none"/>
          <w:lang w:eastAsia="zh-CN"/>
        </w:rPr>
        <w:t>清</w:t>
      </w:r>
      <w:r>
        <w:rPr>
          <w:rStyle w:val="40"/>
          <w:rFonts w:hint="eastAsia" w:ascii="宋体" w:hAnsi="宋体" w:eastAsia="宋体" w:cs="宋体"/>
          <w:color w:val="auto"/>
          <w:sz w:val="24"/>
          <w:szCs w:val="24"/>
          <w:highlight w:val="none"/>
        </w:rPr>
        <w:t>单</w:t>
      </w:r>
    </w:p>
    <w:p>
      <w:pPr>
        <w:pStyle w:val="73"/>
        <w:keepNext w:val="0"/>
        <w:keepLines w:val="0"/>
        <w:pageBreakBefore w:val="0"/>
        <w:widowControl w:val="0"/>
        <w:kinsoku/>
        <w:wordWrap/>
        <w:overflowPunct/>
        <w:topLinePunct w:val="0"/>
        <w:bidi w:val="0"/>
        <w:snapToGrid/>
        <w:spacing w:after="200" w:line="400" w:lineRule="exact"/>
        <w:ind w:left="0" w:leftChars="0" w:right="0" w:rightChars="0" w:firstLine="4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（9）经双方确认进入合同的其它文件</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1.7联络</w:t>
      </w:r>
    </w:p>
    <w:p>
      <w:pPr>
        <w:pStyle w:val="210"/>
        <w:keepNext w:val="0"/>
        <w:keepLines w:val="0"/>
        <w:pageBreakBefore w:val="0"/>
        <w:widowControl w:val="0"/>
        <w:kinsoku/>
        <w:wordWrap/>
        <w:overflowPunct/>
        <w:topLinePunct w:val="0"/>
        <w:bidi w:val="0"/>
        <w:snapToGrid/>
        <w:spacing w:after="200" w:line="400" w:lineRule="exact"/>
        <w:ind w:left="0" w:leftChars="0" w:right="0" w:rightChars="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 xml:space="preserve">    1.7.2来往函件均应按合同约定的期限送达：</w:t>
      </w:r>
      <w:r>
        <w:rPr>
          <w:rStyle w:val="40"/>
          <w:rFonts w:hint="eastAsia" w:ascii="宋体" w:hAnsi="宋体" w:cs="宋体"/>
          <w:color w:val="auto"/>
          <w:sz w:val="24"/>
          <w:szCs w:val="24"/>
          <w:highlight w:val="none"/>
          <w:lang w:val="en-US" w:eastAsia="zh-CN"/>
        </w:rPr>
        <w:t>新疆伊犁国家农业科技园区管理委员会</w:t>
      </w:r>
      <w:r>
        <w:rPr>
          <w:rStyle w:val="40"/>
          <w:rFonts w:hint="eastAsia" w:ascii="宋体" w:hAnsi="宋体" w:eastAsia="宋体" w:cs="宋体"/>
          <w:color w:val="auto"/>
          <w:sz w:val="24"/>
          <w:szCs w:val="24"/>
          <w:highlight w:val="none"/>
          <w:lang w:eastAsia="zh-CN"/>
        </w:rPr>
        <w:t>及工地监理人处</w:t>
      </w:r>
      <w:r>
        <w:rPr>
          <w:rStyle w:val="40"/>
          <w:rFonts w:hint="eastAsia" w:ascii="宋体" w:hAnsi="宋体" w:eastAsia="宋体" w:cs="宋体"/>
          <w:color w:val="auto"/>
          <w:sz w:val="24"/>
          <w:szCs w:val="24"/>
          <w:highlight w:val="none"/>
        </w:rPr>
        <w:t>。</w:t>
      </w:r>
    </w:p>
    <w:p>
      <w:pPr>
        <w:pStyle w:val="210"/>
        <w:keepNext w:val="0"/>
        <w:keepLines w:val="0"/>
        <w:pageBreakBefore w:val="0"/>
        <w:widowControl w:val="0"/>
        <w:kinsoku/>
        <w:wordWrap/>
        <w:overflowPunct/>
        <w:topLinePunct w:val="0"/>
        <w:bidi w:val="0"/>
        <w:snapToGrid/>
        <w:spacing w:after="200" w:line="400" w:lineRule="exact"/>
        <w:ind w:left="0" w:leftChars="0" w:right="0" w:rightChars="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2发包人义务</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2.3提供施工场地</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rPr>
        <w:t>2.3.</w:t>
      </w:r>
      <w:r>
        <w:rPr>
          <w:rStyle w:val="40"/>
          <w:rFonts w:hint="eastAsia" w:ascii="宋体" w:hAnsi="宋体" w:eastAsia="宋体" w:cs="宋体"/>
          <w:color w:val="auto"/>
          <w:sz w:val="24"/>
          <w:szCs w:val="24"/>
          <w:highlight w:val="none"/>
          <w:lang w:val="en-US" w:eastAsia="zh-CN"/>
        </w:rPr>
        <w:t>1发包人提供的施工用地范围为：</w:t>
      </w:r>
      <w:r>
        <w:rPr>
          <w:rStyle w:val="40"/>
          <w:rFonts w:hint="eastAsia" w:ascii="宋体" w:hAnsi="宋体" w:eastAsia="宋体" w:cs="宋体"/>
          <w:color w:val="auto"/>
          <w:kern w:val="0"/>
          <w:sz w:val="24"/>
          <w:szCs w:val="24"/>
          <w:highlight w:val="none"/>
        </w:rPr>
        <w:t>发包人只提供施工现场满足施工所需的场地，到达施工场地的道路，施工场地内及材料拉运道路所需架设的临时桥、需要输通的临时道路均由承包方自行解决，不得影响农业灌溉及农业用地。必须保证临时道路不起尘，做到定期洒水。对拉运所有设备材料所用车辆均不得超过交通部门允许的荷载量。</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20" w:firstLineChars="175"/>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2.3.2承包人自行勘察的施工场地范围为：经发包人、监理人批准的施工用地。</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20" w:firstLineChars="175"/>
        <w:textAlignment w:val="auto"/>
        <w:outlineLvl w:val="9"/>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sz w:val="24"/>
          <w:szCs w:val="24"/>
          <w:highlight w:val="none"/>
          <w:lang w:val="en-US" w:eastAsia="zh-CN"/>
        </w:rPr>
        <w:t>2.3.3发包人提供施工用地后，承包人应向发包人提交施工用地确认书。</w:t>
      </w:r>
    </w:p>
    <w:p>
      <w:pPr>
        <w:pStyle w:val="210"/>
        <w:keepNext w:val="0"/>
        <w:keepLines w:val="0"/>
        <w:pageBreakBefore w:val="0"/>
        <w:widowControl w:val="0"/>
        <w:kinsoku/>
        <w:wordWrap/>
        <w:overflowPunct/>
        <w:topLinePunct w:val="0"/>
        <w:bidi w:val="0"/>
        <w:snapToGrid/>
        <w:spacing w:after="200" w:line="400" w:lineRule="exact"/>
        <w:ind w:right="0" w:rightChars="0" w:firstLine="482" w:firstLineChars="200"/>
        <w:textAlignment w:val="auto"/>
        <w:outlineLvl w:val="9"/>
        <w:rPr>
          <w:rStyle w:val="40"/>
          <w:rFonts w:hint="eastAsia" w:ascii="宋体" w:hAnsi="宋体" w:eastAsia="宋体" w:cs="宋体"/>
          <w:b/>
          <w:color w:val="auto"/>
          <w:sz w:val="24"/>
          <w:szCs w:val="24"/>
          <w:highlight w:val="none"/>
          <w:lang w:val="en-US" w:eastAsia="zh-CN"/>
        </w:rPr>
      </w:pPr>
      <w:r>
        <w:rPr>
          <w:rStyle w:val="40"/>
          <w:rFonts w:hint="eastAsia" w:ascii="宋体" w:hAnsi="宋体" w:eastAsia="宋体" w:cs="宋体"/>
          <w:b/>
          <w:color w:val="auto"/>
          <w:sz w:val="24"/>
          <w:szCs w:val="24"/>
          <w:highlight w:val="none"/>
          <w:lang w:val="en-US" w:eastAsia="zh-CN"/>
        </w:rPr>
        <w:t>2.7其他义务</w:t>
      </w:r>
    </w:p>
    <w:p>
      <w:pPr>
        <w:pStyle w:val="210"/>
        <w:keepNext w:val="0"/>
        <w:keepLines w:val="0"/>
        <w:pageBreakBefore w:val="0"/>
        <w:widowControl w:val="0"/>
        <w:kinsoku/>
        <w:wordWrap/>
        <w:overflowPunct/>
        <w:topLinePunct w:val="0"/>
        <w:bidi w:val="0"/>
        <w:snapToGrid/>
        <w:spacing w:after="200" w:line="400" w:lineRule="exact"/>
        <w:ind w:right="0" w:rightChars="0" w:firstLine="480" w:firstLineChars="200"/>
        <w:textAlignment w:val="auto"/>
        <w:outlineLvl w:val="9"/>
        <w:rPr>
          <w:rStyle w:val="40"/>
          <w:rFonts w:hint="eastAsia" w:ascii="宋体" w:hAnsi="宋体" w:eastAsia="宋体" w:cs="宋体"/>
          <w:b w:val="0"/>
          <w:bCs/>
          <w:color w:val="auto"/>
          <w:sz w:val="24"/>
          <w:szCs w:val="24"/>
          <w:highlight w:val="none"/>
          <w:lang w:eastAsia="zh-CN"/>
        </w:rPr>
      </w:pPr>
      <w:r>
        <w:rPr>
          <w:rStyle w:val="40"/>
          <w:rFonts w:hint="eastAsia" w:ascii="宋体" w:hAnsi="宋体" w:eastAsia="宋体" w:cs="宋体"/>
          <w:b w:val="0"/>
          <w:bCs/>
          <w:color w:val="auto"/>
          <w:sz w:val="24"/>
          <w:szCs w:val="24"/>
          <w:highlight w:val="none"/>
          <w:lang w:eastAsia="zh-CN"/>
        </w:rPr>
        <w:t>发包人负责本工程施工阶段期间的统一协调、指挥。</w:t>
      </w:r>
    </w:p>
    <w:p>
      <w:pPr>
        <w:pStyle w:val="210"/>
        <w:keepNext w:val="0"/>
        <w:keepLines w:val="0"/>
        <w:pageBreakBefore w:val="0"/>
        <w:widowControl w:val="0"/>
        <w:kinsoku/>
        <w:wordWrap/>
        <w:overflowPunct/>
        <w:topLinePunct w:val="0"/>
        <w:bidi w:val="0"/>
        <w:snapToGrid/>
        <w:spacing w:after="200" w:line="400" w:lineRule="exact"/>
        <w:ind w:right="0" w:rightChars="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3监理人</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3.1  监理人的职责和权力</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3.1.1监理人的权力范围：</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(1)组织图纸会审、管理施工承包合同。</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(2)审核承包人对设计的意见或建议，需设计单位答复的上报发包人，由发包人通知设计单位进行研究并给于答复。</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(3)拥有对本工程的质量否决权，发布开工、停工、返工和复工令权。</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(4)经发包人同意，审批承包人提交的施工组织设计、施工技术措施、临时工程设计、工艺试验成果、使用的原材料及试验成果。</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(5)审查承包人的质量控制体系和措施，现场动态跟踪监督施工质量，并进行检查和认可，对施工全过程的质量进行监督。</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(6)受理索赔申请，进行索赔调查和谈判，提出处理意见。</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(7)督促、检查施工现场的安全生产措施和防护措施及汛前防洪设施等，参与重大安全事故的调查处理。</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(8)所有往来函件，须及时报发包人备案。</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(9)监理对造成工程质量、工期延误经多次督导仍无改进的施工单位，有权做出清退施工单位。</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(10)每月的月末组织承包人召开监理例会，对本月的施工进度、质量进行评比，并对下月的施工情况作出计划。</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3.1.2监理人须经发包人批准才行使的权力范围：</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(1)按第11.3款约定，确定延长完工期限；</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(2)按第15.6款约定，批准暂列金额的使用；</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(3)按第23.2款约定，确定索赔工期和费用。</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尽管有以上规定，但当监理人认为出现了危及生命、工程或毗邻财产等安全的紧急时间时，在不免除合同规定的承包人责任的情况下，监理人可以指示承包人实施为消除或减少这种危险所必须进行的工作，即使没有发包人事先批准，承包人也应立即遵照执行。监理人应按相关规定增加相应的费用，并通知承包人和抄送发包人。</w:t>
      </w:r>
    </w:p>
    <w:p>
      <w:pPr>
        <w:pStyle w:val="210"/>
        <w:keepNext w:val="0"/>
        <w:keepLines w:val="0"/>
        <w:pageBreakBefore w:val="0"/>
        <w:widowControl w:val="0"/>
        <w:kinsoku/>
        <w:wordWrap/>
        <w:overflowPunct/>
        <w:topLinePunct w:val="0"/>
        <w:bidi w:val="0"/>
        <w:snapToGrid/>
        <w:spacing w:after="200" w:line="400" w:lineRule="exact"/>
        <w:ind w:right="0" w:rightChars="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4承包人</w:t>
      </w:r>
    </w:p>
    <w:p>
      <w:pPr>
        <w:pStyle w:val="210"/>
        <w:keepNext w:val="0"/>
        <w:keepLines w:val="0"/>
        <w:pageBreakBefore w:val="0"/>
        <w:widowControl w:val="0"/>
        <w:kinsoku/>
        <w:wordWrap/>
        <w:overflowPunct/>
        <w:topLinePunct w:val="0"/>
        <w:bidi w:val="0"/>
        <w:snapToGrid/>
        <w:spacing w:after="200" w:line="400" w:lineRule="exact"/>
        <w:ind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4.1承包人的一般义务</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4.1.10  其它义务</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本款补充：维稳。尊重当地文化习俗，维护民族团结，无条件遵守当地政府维稳政策和要求，确保社会稳定与长治久安。</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（1）保证工程质量</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承包人应严格按施工图纸和技术标准和要求（合同技术条款）中规定的质量要求完成各项工作。</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（2）办理保险</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承包人应按通用合同条款第20条的规定负责办理由承包人投保的保险。</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（3）现场施工配合</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1）承包人应按监理人的指示配合其它标段的承包人完成在本标段需进行土建和设备的安装埋设工作。</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2）承包人还应按监理人的指示为其他承包人工作提供必要的配合，包括清理、移交工作面等，并对设备进行保护。因本标承包人原因导致其他承包人的设备损坏，由本标承包人负责赔偿。对布置有其他承包人设备的工作面的验收应通知相关监理人到场参加，经监理人会签后方可进行下一道工序的施工。承包人应充分考虑这种配合对施工进度的影响，发包人不另行支付这种配合和保护所发生的费用。</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承包人未按监理人上述指示完成相互协助，连续迟延24小时以上构成违约，由承包人向发包人支付违约金3000元。</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（4）承包人应与其他承包人和供货厂（商）就图纸、样板、尺寸及其他资料互通信息，以保证施工和安装的顺利进行。</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5）承包人应主动接受公安、环保、水保、地方劳动、技术监督、计量管理等部门的监督管理；依照有关政策法规开展的对其使用的各项仪器设备检验、检查、登记和发证工作，如压力容器和特种设备的安装检验与定期检验等，费用由承包人承担。</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（6）承包人应遵守发包人发布的有关工程建设管理制度。承包人还应服从发包人和发包人组织成立的工程安全文明生产、质量、防洪、维稳等管理机构的统一指挥。</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7）承包人在实施和完成承建合同工程及修复缺陷过程中的一切作业，应保证发包人免于承担因承包人借用、占用或进出其他标段工区或影响作业等所引起的索赔、诉讼费、损害赔偿及其它开支，有义务提供与相邻标段工程施工的配合与协调，包括：</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1）承包人应在工地配备 满足施工的柴油发电机；</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2）工作面的安全和施工质量影响（包括开挖爆破的控制和安全措施）；</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3）施工进度的影响；</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4）保持相邻界面附近的结构质量；</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5）混凝土结构界面附近如有止水、排水结构，先浇筑者应保护完整，直至移交；</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6）为其他标段承包人提供交通通道（道路、桥梁）、交叉工作面的作业场地；</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7）发包人提供的公用设施（包括道路、供水管道、电力线路、照明设施、辅助生产设施等）由承包人负责维护与保养，不得造成损坏或障碍而影响其他承包人的施工。</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8）承包人应协助发包人和监理人对由承包人负责安装的工程设备进行验收，并负责接收。承包人应严格按照制造厂家的要求对这些工程设备进行仓储保管、维护。并确保这些工程在合同期内不会受到任何损伤或破坏。</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9）承包人应有相应的专门施工组织工程措施，防止自己承包范围内的流水、废气、射线、化学物质、飞石、废渣（包括垃圾）、爆破振动等进入其他标造成的影响或损失，并负责其排除和承担安全与经济责任。</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10）本合同工程施工时，还有其它承包人承担其它项目工程的施工。承包人应本着协作的精神在监理人的协调下共同协商解决施工中出现的矛盾或争议。未达成协议时，承包人应按监理人的指令无条件执行。</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因承包人违反上述规定，造成发包人或其他标承包人损失或额外支付费用，发包人与监理人核实后将从应支付承包人价款中扣除。</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（8）承包人应在工程所在地发包人认可的银行开设账户，发包人应将支付给承包人的工程预付款、进度款等有关费用汇入该账户。</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（9）承包人应按发包人提供的施工用地的范围和期限使用土地。若承包人需超出上述范围和期限使用时，事前应同发包人协商，如未经发包人同意而由此增加的土地使用费用，由承包人承担。</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10）承包人与发包人签订施工合同前，须将拟投入的项目经理、技术负责人和主要技术管理人员的有效证件提交发包人验核，履行合同期间项目经理、技术负责人和技术主要管理人员的资格（注册证）、职称等证件，暂由发包人代为保管。发包人承担保管责任，在合同执行期间内发包人认为合适的时间退还给承包人。</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（11）承包人按发包人的要求在工地现场具有无偿水土保持、环境保护的义务，所做的施工区植被恢复项目必须符合发包人的规定。</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（12）发包人将结合其永久管理设施考虑承包人的临时房屋设施等，承包人必须配合。</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（13）完工清场和撤离</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承包人应在合同规定的期限内完成工地清理并按期撤退其人员、施工设备和剩余材料，做到工完场清。</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办理移交证书后，承包人应立即从已办了移交证书的那部分现场搬走或清除承包人的设备、多余材料、所有垃圾以及各种临时设施，并保持该部分现场和工程清洁整齐，达到监理人满意的使用状态。但在缺陷责任期内，承包人应在发包人批准的情况下在现场保留其为在缺陷责任期内履行其义务而需要的材料、设备和临时设施。</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1）完工清场</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承包人应按以下内容对工地进行彻底清理，满足环境卫生、硬质景观和水土保持的要求，并经监理人检验合格为止：</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①工地范围内残渣、污物、残留的垃圾已全部清除出场。</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②发包人提供给承包人的营地墙地面平整、门窗完好、开关自如、房间内给排水设施工作正常、残损部位按监理人的指示进行了修缮；营地内无堆弃物及废渣液。</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③临时工程已按合同规定拆除，场地已按合同要求清理和平整。</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④按合同规定应撤离的承包人的设备和剩余的建筑材料已按计划撤离工地，废弃的施工设备和材料亦已清除出场。</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⑤施工区内的永久道路和永久建筑物周围（包括边坡）的排水沟道均已按合同图纸要求或监理人的指示进行了疏通和修整。</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⑥主体工程建筑物附近及其上、下游河道中的施工堆积物，已按监理人的指示清除出场。</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⑦油污已清理，安装损坏的土木工程及建筑装修已修复。</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⑧监理人或发包人指示应清理的其它物质或废水等已清理完毕。</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承包人应按监理人的通知，保留发包人认为需要保留的施工辅助设施，并无条件的、完好的移交给发包人。报价中已全额摊销的设施，发包人不再另行支付费用。</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2）承包人的队伍的撤离</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承包人在整个合同工程的移交证书颁发后的42天内，除了经监理人审查和发包人同意需在保修期内继续工作和使用的人员、施工设备和临时工程外，其余的人员、施工设备和临时工程均应拆除和撤离工地，并应按合同技术条款规定清理和平整临时征用的施工用地，做好环境恢复工作。承包人未按监理人或发包人通知规定的时间清场、撤离，发包人有权强制清退，发生的费用将从承包人的合同余款中扣回。</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3）完工清场及撤离的费用</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除合同另有规定外，承包人进行的完工清场以及人员、施工设备和临时工程的撤离、场地平整和环境恢复等工作所需的费用由承包人承担。</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4.2履约担保</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本款修改为：</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4.2.1</w:t>
      </w:r>
      <w:r>
        <w:rPr>
          <w:rStyle w:val="40"/>
          <w:rFonts w:hint="eastAsia" w:ascii="宋体" w:hAnsi="宋体" w:eastAsia="宋体" w:cs="宋体"/>
          <w:color w:val="auto"/>
          <w:sz w:val="24"/>
          <w:szCs w:val="24"/>
          <w:highlight w:val="none"/>
        </w:rPr>
        <w:t>履约担保的金额为中标价的</w:t>
      </w:r>
      <w:r>
        <w:rPr>
          <w:rStyle w:val="40"/>
          <w:rFonts w:hint="eastAsia" w:ascii="宋体" w:hAnsi="宋体" w:eastAsia="宋体" w:cs="宋体"/>
          <w:color w:val="auto"/>
          <w:sz w:val="24"/>
          <w:szCs w:val="24"/>
          <w:highlight w:val="none"/>
          <w:lang w:val="en-US" w:eastAsia="zh-CN"/>
        </w:rPr>
        <w:t>10</w:t>
      </w:r>
      <w:r>
        <w:rPr>
          <w:rStyle w:val="40"/>
          <w:rFonts w:hint="eastAsia" w:ascii="宋体" w:hAnsi="宋体" w:eastAsia="宋体" w:cs="宋体"/>
          <w:color w:val="auto"/>
          <w:sz w:val="24"/>
          <w:szCs w:val="24"/>
          <w:highlight w:val="none"/>
        </w:rPr>
        <w:t>%。履约</w:t>
      </w:r>
      <w:r>
        <w:rPr>
          <w:rStyle w:val="40"/>
          <w:rFonts w:hint="eastAsia" w:ascii="宋体" w:hAnsi="宋体" w:eastAsia="宋体" w:cs="宋体"/>
          <w:color w:val="auto"/>
          <w:sz w:val="24"/>
          <w:szCs w:val="24"/>
          <w:highlight w:val="none"/>
          <w:lang w:eastAsia="zh-CN"/>
        </w:rPr>
        <w:t>担保形式：转账或银行履约保函</w:t>
      </w:r>
      <w:r>
        <w:rPr>
          <w:rStyle w:val="40"/>
          <w:rFonts w:hint="eastAsia" w:ascii="宋体" w:hAnsi="宋体" w:eastAsia="宋体" w:cs="宋体"/>
          <w:color w:val="auto"/>
          <w:sz w:val="24"/>
          <w:szCs w:val="24"/>
          <w:highlight w:val="none"/>
        </w:rPr>
        <w:t>。</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rPr>
        <w:t>4.2.2承包人应保证其履约担保在发包人颁发合同工程完工证书前一直有效。发包人应在合同工程完工证书颁发后28 天内把履约担保退还给承包人</w:t>
      </w:r>
      <w:r>
        <w:rPr>
          <w:rStyle w:val="40"/>
          <w:rFonts w:hint="eastAsia" w:ascii="宋体" w:hAnsi="宋体" w:eastAsia="宋体" w:cs="宋体"/>
          <w:color w:val="auto"/>
          <w:sz w:val="24"/>
          <w:szCs w:val="24"/>
          <w:highlight w:val="none"/>
          <w:lang w:eastAsia="zh-CN"/>
        </w:rPr>
        <w:t>。</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4.3分包</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02"/>
        <w:textAlignment w:val="auto"/>
        <w:outlineLvl w:val="9"/>
        <w:rPr>
          <w:rStyle w:val="40"/>
          <w:rFonts w:hint="eastAsia" w:ascii="宋体" w:hAnsi="宋体" w:eastAsia="宋体" w:cs="宋体"/>
          <w:b w:val="0"/>
          <w:bCs/>
          <w:color w:val="auto"/>
          <w:sz w:val="24"/>
          <w:szCs w:val="24"/>
          <w:highlight w:val="none"/>
          <w:lang w:val="en-US" w:eastAsia="zh-CN"/>
        </w:rPr>
      </w:pPr>
      <w:r>
        <w:rPr>
          <w:rStyle w:val="40"/>
          <w:rFonts w:hint="eastAsia" w:ascii="宋体" w:hAnsi="宋体" w:eastAsia="宋体" w:cs="宋体"/>
          <w:b w:val="0"/>
          <w:bCs/>
          <w:color w:val="auto"/>
          <w:sz w:val="24"/>
          <w:szCs w:val="24"/>
          <w:highlight w:val="none"/>
          <w:lang w:val="en-US" w:eastAsia="zh-CN"/>
        </w:rPr>
        <w:t>本合同工程不允许承包人分包。承包人擅自转包、分包，发包人有权解除合同，由承包人支付合同总价10%的违约金，并按合同价的10%赔偿发包人的其他经济损失。</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02"/>
        <w:textAlignment w:val="auto"/>
        <w:outlineLvl w:val="9"/>
        <w:rPr>
          <w:rStyle w:val="40"/>
          <w:rFonts w:hint="eastAsia" w:ascii="宋体" w:hAnsi="宋体" w:eastAsia="宋体" w:cs="宋体"/>
          <w:b/>
          <w:color w:val="auto"/>
          <w:sz w:val="24"/>
          <w:szCs w:val="24"/>
          <w:highlight w:val="none"/>
          <w:lang w:val="en-US" w:eastAsia="zh-CN"/>
        </w:rPr>
      </w:pPr>
      <w:r>
        <w:rPr>
          <w:rStyle w:val="40"/>
          <w:rFonts w:hint="eastAsia" w:ascii="宋体" w:hAnsi="宋体" w:eastAsia="宋体" w:cs="宋体"/>
          <w:b/>
          <w:color w:val="auto"/>
          <w:sz w:val="24"/>
          <w:szCs w:val="24"/>
          <w:highlight w:val="none"/>
          <w:lang w:val="en-US" w:eastAsia="zh-CN"/>
        </w:rPr>
        <w:t>4.5承包人项目经理</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02"/>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lang w:val="en-US" w:eastAsia="zh-CN"/>
        </w:rPr>
        <w:t>4.5.5承包人指派的项目经理、技术负责人在合同施工期内不允许擅自调换。在本合同实施期内擅自更换的，由承包人向发包人支付50万元的违约金、发包人有权因承包人项目经理管理不善，造成施工期内发生社会治安案件、重大安全事故、质量事故及工期延误等要求更换项目经理，承包人承担造成的所有损失。</w:t>
      </w:r>
      <w:r>
        <w:rPr>
          <w:rStyle w:val="40"/>
          <w:rFonts w:hint="eastAsia" w:ascii="宋体" w:hAnsi="宋体" w:eastAsia="宋体" w:cs="宋体"/>
          <w:color w:val="auto"/>
          <w:sz w:val="24"/>
          <w:szCs w:val="24"/>
          <w:highlight w:val="none"/>
        </w:rPr>
        <w:t>项目经理和项目技术负责人离开工地需经监理人批准</w:t>
      </w:r>
      <w:r>
        <w:rPr>
          <w:rStyle w:val="40"/>
          <w:rFonts w:hint="eastAsia" w:ascii="宋体" w:hAnsi="宋体" w:eastAsia="宋体" w:cs="宋体"/>
          <w:b w:val="0"/>
          <w:bCs/>
          <w:color w:val="auto"/>
          <w:sz w:val="24"/>
          <w:szCs w:val="24"/>
          <w:highlight w:val="none"/>
          <w:lang w:val="en-US" w:eastAsia="zh-CN"/>
        </w:rPr>
        <w:t>。</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4.6承包人人员的管理</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4.6.4本条增加：</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技术岗位和特殊工种的工人均应持有通过国家统一考试或考核的资格证明，监理人认为有必要时可督促承包人对其工人进行岗前培训，并进行理论和操作的考试或考核，合格者才准上岗。承包人应在按第4.6.1款要求提交的人员情况报告中说明承包人人员持有上岗资格证明的情况。监理人有权随时检查承包人人员的上岗资格证明。</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承包人的特殊工种，包括爆破、灌浆、焊接、压力容器、起重、射线探伤、大型设备操作、仓储保管等工种的操作人员均应通过国家有关规定的岗位资格考试或考核，持证上岗。当设备制造厂对岗位资格有要求的，还应通过设备制造厂的考试或考核并取得资格证书才能上岗。</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对于承包人及其分包人雇用的民工或其他工人，只有在经过专业培训取得相应证书的才能上岗。</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增加以下条款：</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4.6.5承包人必须按照投标文件第</w:t>
      </w:r>
      <w:r>
        <w:rPr>
          <w:rStyle w:val="40"/>
          <w:rFonts w:hint="eastAsia" w:ascii="宋体" w:hAnsi="宋体" w:eastAsia="宋体" w:cs="宋体"/>
          <w:b w:val="0"/>
          <w:bCs w:val="0"/>
          <w:color w:val="auto"/>
          <w:sz w:val="24"/>
          <w:szCs w:val="24"/>
          <w:highlight w:val="none"/>
          <w:lang w:eastAsia="zh-CN"/>
        </w:rPr>
        <w:t>八</w:t>
      </w:r>
      <w:r>
        <w:rPr>
          <w:rStyle w:val="40"/>
          <w:rFonts w:hint="eastAsia" w:ascii="宋体" w:hAnsi="宋体" w:eastAsia="宋体" w:cs="宋体"/>
          <w:b w:val="0"/>
          <w:bCs w:val="0"/>
          <w:color w:val="auto"/>
          <w:sz w:val="24"/>
          <w:szCs w:val="24"/>
          <w:highlight w:val="none"/>
        </w:rPr>
        <w:t>章</w:t>
      </w:r>
      <w:r>
        <w:rPr>
          <w:rStyle w:val="40"/>
          <w:rFonts w:hint="eastAsia" w:ascii="宋体" w:hAnsi="宋体" w:eastAsia="宋体" w:cs="宋体"/>
          <w:b w:val="0"/>
          <w:bCs w:val="0"/>
          <w:color w:val="auto"/>
          <w:sz w:val="24"/>
          <w:szCs w:val="24"/>
          <w:highlight w:val="none"/>
          <w:lang w:eastAsia="zh-CN"/>
        </w:rPr>
        <w:t>第六项</w:t>
      </w:r>
      <w:r>
        <w:rPr>
          <w:rStyle w:val="40"/>
          <w:rFonts w:hint="eastAsia" w:ascii="宋体" w:hAnsi="宋体" w:eastAsia="宋体" w:cs="宋体"/>
          <w:b w:val="0"/>
          <w:bCs w:val="0"/>
          <w:color w:val="auto"/>
          <w:sz w:val="24"/>
          <w:szCs w:val="24"/>
          <w:highlight w:val="none"/>
        </w:rPr>
        <w:t>“施工组织设计”中“附件三：拟投入本工程的劳动力计划表”以及</w:t>
      </w:r>
      <w:r>
        <w:rPr>
          <w:rStyle w:val="40"/>
          <w:rFonts w:hint="eastAsia" w:ascii="宋体" w:hAnsi="宋体" w:eastAsia="宋体" w:cs="宋体"/>
          <w:b w:val="0"/>
          <w:bCs w:val="0"/>
          <w:color w:val="auto"/>
          <w:sz w:val="24"/>
          <w:szCs w:val="24"/>
          <w:highlight w:val="none"/>
          <w:lang w:eastAsia="zh-CN"/>
        </w:rPr>
        <w:t>第八章第七项</w:t>
      </w:r>
      <w:r>
        <w:rPr>
          <w:rStyle w:val="40"/>
          <w:rFonts w:hint="eastAsia" w:ascii="宋体" w:hAnsi="宋体" w:eastAsia="宋体" w:cs="宋体"/>
          <w:b w:val="0"/>
          <w:bCs w:val="0"/>
          <w:color w:val="auto"/>
          <w:sz w:val="24"/>
          <w:szCs w:val="24"/>
          <w:highlight w:val="none"/>
        </w:rPr>
        <w:t>“项目管理机构”的承诺执行。项目经理、技术负责人应与投标文件中的承诺一致，不得随意更换，且各专业施工人员数量必须符合投标文件中的承诺。项目经理、技术负责人原则上不得更换，如有特殊原因确需更换的，需经发包人同意。未经发包人同意，在本合同施工工期内擅自更换项目经理、技术负责人的，由承包人向发包人支付3万元的违约金。</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经发包人同意更换的项目经理及技术负责人，必须具有或高于原人员同等的工程施工经历和技术业务水平，同时由承包人向发包人支付3万元的违约金。</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项目经理、技术负责人、质量负责人、安全负责人及八大员均实行压证上岗。</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4.6.6派驻工地的项目经理必须取得水利工程注册建造师执业资格证书且必须是法定代表人的授权委托代理人，且不得兼任其它工程的项目经理或主要负责人，也不得兼任本工程以外的现场职务；否则承包人须向发包人支付违约金3万元。</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项目经理和技术负责人每月在工作现场时间不得少于22天，否则每差一天按3000元/人向发包人支付违约金。</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项目经理和技术负责人不得同时离开工地。</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主要负责人如需离开工地必须履行书面请假手续，经监理及发包人相关负责人批准，如未履行上述请假手续离开工地现场，罚款5000元/次•天。</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4.6.7承包人拟投入到本工程的其他技术人员应按投标文件及承诺书列示的人员按期足额到场，每差一名技术人员，承包人须向发包人支付违约金1万元，并且不经发包人同意不能更换，否则亦按1万元/人向发包人支付违约金。</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4.6.8承包人应根据相关规定并满足现场需要，配备具有丰富经验、经国家安全考试合格的专职安全员负责承包人所辖工地的施工安全工作，检查落实安全措施的落实情况、安全措施是否得当及存在的安全隐患是否已及时处理，杜绝安全事故的发生。并于每月固定时间向监理人提交本月安全报告。</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4.6.9承包人如果雇用劳务须事先将所有雇用人员的资料报监理人审查、批准，并向发包人备案。</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（1）报审的资料至少应包括：</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①雇用人员的来源地、身份证明（包括身份证和户口）、工种。</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②雇用人员的工种资质材料和资格证明。</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③承包人对雇用人员上岗的工种与技能、质量和安全的培训与考核证明。</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④承包人对雇用人员的编制与管理措施。</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⑤承包人提供雇用人员的工伤与保险、劳动保障等待遇（标明结算方式、付款期限）；</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⑥承包人与受雇人员的合同协议。</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⑦监理人或发包人要求的其他材料。</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（2）发包人有权将工程进度款优先支付给雇用民工。</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如遇承包人恶意拖欠、克扣农民工工资的行为，造成信访事件，承包人向发包人支付违约金50万元。并于本合同签订时承包人须承诺：如拖欠民工工资，由发包人从承包人工程款中扣除直接支付债权人，且应由承包人出具等额的有效发票。</w:t>
      </w:r>
    </w:p>
    <w:p>
      <w:pPr>
        <w:pStyle w:val="210"/>
        <w:keepNext w:val="0"/>
        <w:keepLines w:val="0"/>
        <w:pageBreakBefore w:val="0"/>
        <w:widowControl w:val="0"/>
        <w:kinsoku/>
        <w:wordWrap/>
        <w:overflowPunct/>
        <w:topLinePunct w:val="0"/>
        <w:autoSpaceDE w:val="0"/>
        <w:autoSpaceDN w:val="0"/>
        <w:bidi w:val="0"/>
        <w:adjustRightInd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val="0"/>
          <w:bCs w:val="0"/>
          <w:color w:val="auto"/>
          <w:sz w:val="24"/>
          <w:szCs w:val="24"/>
          <w:highlight w:val="none"/>
        </w:rPr>
        <w:t>（</w:t>
      </w:r>
      <w:r>
        <w:rPr>
          <w:rStyle w:val="40"/>
          <w:rFonts w:hint="eastAsia" w:ascii="宋体" w:hAnsi="宋体" w:eastAsia="宋体" w:cs="宋体"/>
          <w:b w:val="0"/>
          <w:bCs w:val="0"/>
          <w:color w:val="auto"/>
          <w:sz w:val="24"/>
          <w:szCs w:val="24"/>
          <w:highlight w:val="none"/>
          <w:lang w:val="en-US" w:eastAsia="zh-CN"/>
        </w:rPr>
        <w:t>3</w:t>
      </w:r>
      <w:r>
        <w:rPr>
          <w:rStyle w:val="40"/>
          <w:rFonts w:hint="eastAsia" w:ascii="宋体" w:hAnsi="宋体" w:eastAsia="宋体" w:cs="宋体"/>
          <w:b w:val="0"/>
          <w:bCs w:val="0"/>
          <w:color w:val="auto"/>
          <w:sz w:val="24"/>
          <w:szCs w:val="24"/>
          <w:highlight w:val="none"/>
        </w:rPr>
        <w:t>）承包人的上述人员应遵守发包人的管理规定并接受监督。</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2" w:firstLineChars="200"/>
        <w:textAlignment w:val="auto"/>
        <w:outlineLvl w:val="9"/>
        <w:rPr>
          <w:rStyle w:val="40"/>
          <w:rFonts w:hint="eastAsia" w:ascii="宋体" w:hAnsi="宋体" w:eastAsia="宋体" w:cs="宋体"/>
          <w:color w:val="auto"/>
          <w:sz w:val="24"/>
          <w:szCs w:val="24"/>
          <w:highlight w:val="none"/>
          <w:u w:val="none"/>
        </w:rPr>
      </w:pPr>
      <w:r>
        <w:rPr>
          <w:rStyle w:val="40"/>
          <w:rFonts w:hint="eastAsia" w:ascii="宋体" w:hAnsi="宋体" w:eastAsia="宋体" w:cs="宋体"/>
          <w:b/>
          <w:color w:val="auto"/>
          <w:sz w:val="24"/>
          <w:szCs w:val="24"/>
          <w:highlight w:val="none"/>
        </w:rPr>
        <w:t>4.9工程价款应专款专用</w:t>
      </w:r>
    </w:p>
    <w:p>
      <w:pPr>
        <w:pStyle w:val="210"/>
        <w:keepNext w:val="0"/>
        <w:keepLines w:val="0"/>
        <w:pageBreakBefore w:val="0"/>
        <w:widowControl w:val="0"/>
        <w:kinsoku/>
        <w:wordWrap/>
        <w:overflowPunct/>
        <w:topLinePunct w:val="0"/>
        <w:bidi w:val="0"/>
        <w:snapToGrid/>
        <w:spacing w:after="200" w:line="400" w:lineRule="exact"/>
        <w:ind w:right="0" w:rightChars="0" w:firstLine="482" w:firstLineChars="200"/>
        <w:textAlignment w:val="auto"/>
        <w:outlineLvl w:val="9"/>
        <w:rPr>
          <w:rStyle w:val="40"/>
          <w:rFonts w:hint="eastAsia" w:ascii="宋体" w:hAnsi="宋体" w:eastAsia="宋体" w:cs="宋体"/>
          <w:b/>
          <w:color w:val="auto"/>
          <w:sz w:val="24"/>
          <w:szCs w:val="24"/>
          <w:highlight w:val="none"/>
          <w:lang w:val="en-US" w:eastAsia="zh-CN"/>
        </w:rPr>
      </w:pPr>
      <w:r>
        <w:rPr>
          <w:rStyle w:val="40"/>
          <w:rFonts w:hint="eastAsia" w:ascii="宋体" w:hAnsi="宋体" w:eastAsia="宋体" w:cs="宋体"/>
          <w:b/>
          <w:color w:val="auto"/>
          <w:sz w:val="24"/>
          <w:szCs w:val="24"/>
          <w:highlight w:val="none"/>
          <w:lang w:val="en-US" w:eastAsia="zh-CN"/>
        </w:rPr>
        <w:t>4.10不可预见的困难和费用</w:t>
      </w:r>
    </w:p>
    <w:p>
      <w:pPr>
        <w:pStyle w:val="210"/>
        <w:keepNext w:val="0"/>
        <w:keepLines w:val="0"/>
        <w:pageBreakBefore w:val="0"/>
        <w:widowControl w:val="0"/>
        <w:kinsoku/>
        <w:wordWrap/>
        <w:overflowPunct/>
        <w:topLinePunct w:val="0"/>
        <w:bidi w:val="0"/>
        <w:snapToGrid/>
        <w:spacing w:after="200" w:line="400" w:lineRule="exact"/>
        <w:ind w:right="0" w:rightChars="0" w:firstLine="480" w:firstLineChars="200"/>
        <w:textAlignment w:val="auto"/>
        <w:outlineLvl w:val="9"/>
        <w:rPr>
          <w:rStyle w:val="40"/>
          <w:rFonts w:hint="eastAsia" w:ascii="宋体" w:hAnsi="宋体" w:eastAsia="宋体" w:cs="宋体"/>
          <w:b w:val="0"/>
          <w:bCs/>
          <w:color w:val="auto"/>
          <w:sz w:val="24"/>
          <w:szCs w:val="24"/>
          <w:highlight w:val="none"/>
          <w:lang w:eastAsia="zh-CN"/>
        </w:rPr>
      </w:pPr>
      <w:r>
        <w:rPr>
          <w:rStyle w:val="40"/>
          <w:rFonts w:hint="eastAsia" w:ascii="宋体" w:hAnsi="宋体" w:eastAsia="宋体" w:cs="宋体"/>
          <w:b w:val="0"/>
          <w:bCs/>
          <w:color w:val="auto"/>
          <w:sz w:val="24"/>
          <w:szCs w:val="24"/>
          <w:highlight w:val="none"/>
          <w:lang w:eastAsia="zh-CN"/>
        </w:rPr>
        <w:t>承包人应视为已取得工程有关风险、意外事件和其他情况的全部必要资料，并预见工程所有困难和费用。承包人遇到不可预见的困难和费用时，合同价格不予调整。</w:t>
      </w:r>
    </w:p>
    <w:p>
      <w:pPr>
        <w:pStyle w:val="210"/>
        <w:spacing w:after="200" w:line="400" w:lineRule="exact"/>
        <w:rPr>
          <w:rStyle w:val="40"/>
          <w:rFonts w:hint="eastAsia" w:ascii="宋体" w:hAnsi="宋体" w:eastAsia="宋体" w:cs="宋体"/>
          <w:b/>
          <w:color w:val="auto"/>
          <w:sz w:val="24"/>
          <w:szCs w:val="32"/>
          <w:highlight w:val="none"/>
        </w:rPr>
      </w:pPr>
      <w:r>
        <w:rPr>
          <w:rStyle w:val="40"/>
          <w:rFonts w:hint="eastAsia" w:ascii="宋体" w:hAnsi="宋体" w:eastAsia="宋体" w:cs="宋体"/>
          <w:b/>
          <w:color w:val="auto"/>
          <w:sz w:val="24"/>
          <w:szCs w:val="24"/>
          <w:highlight w:val="none"/>
        </w:rPr>
        <w:t>5  材料和工程设备：</w:t>
      </w:r>
    </w:p>
    <w:p>
      <w:pPr>
        <w:pStyle w:val="210"/>
        <w:spacing w:after="200" w:line="400" w:lineRule="exact"/>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5.1承包人提供的材料和工程设备</w:t>
      </w:r>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本工程由承包人自行采购的材料，承包人应负责所有材料的采购、验收、运输、保管等，并承担上述工作所需的全部费用。要求承包人自行采购（准备）的建筑材料在同等条件下应优先考虑使用当地的材料。</w:t>
      </w:r>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（2）发包人有权对承包人提供材料的合同签订等工作进行监督检查，所有材料必须满足国家及行业的有关质量标准、设计、规范要求，并及时提供产品“三证”及有关证明材料。</w:t>
      </w:r>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3）用于本合同主体工程的材料，承包人应提前28天，向监理人提交材料采购计划，材料品种、制造厂家材料的主要性能指标、材料样品以及监理人要求的其它证明材料，经发包人审核批准之后，方可采购。对于这部分材料的采购，如不满足质量及性能要求，发包人有调整生产厂家、货源的权力。承包人不得由此增加额外费用。</w:t>
      </w:r>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（4）承包人应按合同进度计划的安排及监理人指定的格式和期限，提交一份满足施工进度要求的材料进场计划报送监理人审批，并抄送发包人。</w:t>
      </w:r>
    </w:p>
    <w:p>
      <w:pPr>
        <w:pStyle w:val="210"/>
        <w:keepNext w:val="0"/>
        <w:keepLines w:val="0"/>
        <w:pageBreakBefore w:val="0"/>
        <w:kinsoku/>
        <w:wordWrap/>
        <w:overflowPunct/>
        <w:topLinePunct w:val="0"/>
        <w:bidi w:val="0"/>
        <w:snapToGrid/>
        <w:spacing w:after="200" w:line="400" w:lineRule="exact"/>
        <w:ind w:left="0" w:leftChars="0" w:right="0" w:rightChars="0" w:firstLine="4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（5）承包人应负责材料的质量检测、验收、场内运输和保管，并承担上述工作所需的全部费用。每批材料进场后，承包人应提交一份材料进场报告，报送监理人，并抄送发包人。</w:t>
      </w:r>
    </w:p>
    <w:p>
      <w:pPr>
        <w:pStyle w:val="210"/>
        <w:spacing w:after="200" w:line="400" w:lineRule="exact"/>
        <w:ind w:firstLine="480" w:firstLineChars="200"/>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rPr>
        <w:t>（6）除合同中另有规定，无论是发包人指定供应来源的还是承包人自行采购拉运的材料（发包人指定供应来源的材料），承包人均应负责所有材料和工程设备的采购、验收、运输和保管等，并承担上述工作所需的全部费用。要求由承包人自行采购（准备）的建筑材料在同等价格和质量的条件下应使用当地的材料。</w:t>
      </w:r>
    </w:p>
    <w:p>
      <w:pPr>
        <w:pStyle w:val="210"/>
        <w:spacing w:after="200" w:line="400" w:lineRule="exact"/>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5.2 发包人提供的材料和工程设备</w:t>
      </w:r>
    </w:p>
    <w:p>
      <w:pPr>
        <w:pStyle w:val="210"/>
        <w:spacing w:after="200" w:line="400" w:lineRule="exact"/>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 xml:space="preserve">    本工程发包人不提供材料和工程设备。</w:t>
      </w:r>
    </w:p>
    <w:p>
      <w:pPr>
        <w:pStyle w:val="210"/>
        <w:spacing w:after="200" w:line="400" w:lineRule="exact"/>
        <w:rPr>
          <w:rStyle w:val="40"/>
          <w:rFonts w:hint="eastAsia" w:ascii="宋体" w:hAnsi="宋体" w:eastAsia="宋体" w:cs="宋体"/>
          <w:b/>
          <w:bCs/>
          <w:color w:val="auto"/>
          <w:sz w:val="24"/>
          <w:szCs w:val="24"/>
          <w:highlight w:val="none"/>
        </w:rPr>
      </w:pPr>
      <w:r>
        <w:rPr>
          <w:rStyle w:val="40"/>
          <w:rFonts w:hint="eastAsia" w:ascii="宋体" w:hAnsi="宋体" w:eastAsia="宋体" w:cs="宋体"/>
          <w:b/>
          <w:bCs/>
          <w:color w:val="auto"/>
          <w:sz w:val="24"/>
          <w:szCs w:val="24"/>
          <w:highlight w:val="none"/>
        </w:rPr>
        <w:t>6  施工设备和临时设施</w:t>
      </w:r>
    </w:p>
    <w:p>
      <w:pPr>
        <w:pStyle w:val="210"/>
        <w:autoSpaceDE w:val="0"/>
        <w:autoSpaceDN w:val="0"/>
        <w:adjustRightInd w:val="0"/>
        <w:spacing w:after="200" w:line="400" w:lineRule="exact"/>
        <w:jc w:val="left"/>
        <w:rPr>
          <w:rStyle w:val="40"/>
          <w:rFonts w:hint="eastAsia" w:ascii="宋体" w:hAnsi="宋体" w:eastAsia="宋体" w:cs="宋体"/>
          <w:bCs/>
          <w:color w:val="auto"/>
          <w:kern w:val="0"/>
          <w:sz w:val="24"/>
          <w:szCs w:val="24"/>
          <w:highlight w:val="none"/>
          <w:lang w:val="zh-CN"/>
        </w:rPr>
      </w:pPr>
      <w:r>
        <w:rPr>
          <w:rStyle w:val="40"/>
          <w:rFonts w:hint="eastAsia" w:ascii="宋体" w:hAnsi="宋体" w:eastAsia="宋体" w:cs="宋体"/>
          <w:bCs/>
          <w:color w:val="auto"/>
          <w:kern w:val="0"/>
          <w:sz w:val="24"/>
          <w:szCs w:val="24"/>
          <w:highlight w:val="none"/>
          <w:lang w:val="zh-CN"/>
        </w:rPr>
        <w:t>6.1 承包人提供的施工设备和临时设施</w:t>
      </w:r>
    </w:p>
    <w:p>
      <w:pPr>
        <w:pStyle w:val="210"/>
        <w:spacing w:after="200" w:line="400" w:lineRule="exact"/>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本款补充：</w:t>
      </w:r>
    </w:p>
    <w:p>
      <w:pPr>
        <w:pStyle w:val="211"/>
        <w:spacing w:after="200"/>
        <w:ind w:firstLine="427"/>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6.1.3承包人提供的施工设备必须按照投标文件第</w:t>
      </w:r>
      <w:r>
        <w:rPr>
          <w:rStyle w:val="40"/>
          <w:rFonts w:hint="eastAsia" w:ascii="宋体" w:hAnsi="宋体" w:eastAsia="宋体" w:cs="宋体"/>
          <w:color w:val="auto"/>
          <w:sz w:val="24"/>
          <w:szCs w:val="24"/>
          <w:highlight w:val="none"/>
          <w:lang w:eastAsia="zh-CN"/>
        </w:rPr>
        <w:t>八</w:t>
      </w:r>
      <w:r>
        <w:rPr>
          <w:rStyle w:val="40"/>
          <w:rFonts w:hint="eastAsia" w:ascii="宋体" w:hAnsi="宋体" w:eastAsia="宋体" w:cs="宋体"/>
          <w:color w:val="auto"/>
          <w:sz w:val="24"/>
          <w:szCs w:val="24"/>
          <w:highlight w:val="none"/>
        </w:rPr>
        <w:t>章</w:t>
      </w:r>
      <w:r>
        <w:rPr>
          <w:rStyle w:val="40"/>
          <w:rFonts w:hint="eastAsia" w:ascii="宋体" w:hAnsi="宋体" w:eastAsia="宋体" w:cs="宋体"/>
          <w:color w:val="auto"/>
          <w:sz w:val="24"/>
          <w:szCs w:val="24"/>
          <w:highlight w:val="none"/>
          <w:lang w:eastAsia="zh-CN"/>
        </w:rPr>
        <w:t>第六项</w:t>
      </w:r>
      <w:r>
        <w:rPr>
          <w:rStyle w:val="40"/>
          <w:rFonts w:hint="eastAsia" w:ascii="宋体" w:hAnsi="宋体" w:eastAsia="宋体" w:cs="宋体"/>
          <w:color w:val="auto"/>
          <w:sz w:val="24"/>
          <w:szCs w:val="24"/>
          <w:highlight w:val="none"/>
        </w:rPr>
        <w:t>“施工组织设计”中“附件一：拟投入本工程的主要施工设备表”以及“附件二：拟投入本工程的试验和检测仪器设备表”中所列示的施工设备按期足额完好到场且必须满足本合同工程的施工要求及进度需要。由于承包人的主要设备不能按投标文件及承诺书所列示设备数量和日期到场，承包人需向发包人缴纳违约金1万元；并且每台设备迟到一天罚款1000元。严重影响工期时，按以下原则处理：耽误工期的应由承包人增补部分设备，为赶工期所增加的设备而发生的各项费用应由承包人自行负担。</w:t>
      </w:r>
    </w:p>
    <w:p>
      <w:pPr>
        <w:pStyle w:val="211"/>
        <w:spacing w:after="200"/>
        <w:ind w:firstLine="427"/>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6.1.4承包人的各种机械设备不能按投标文件所列的时间按期足额完好到场并严重影响工期时，发包人将指示监理人进行标段切割，由于切割所造成的差价应由承包人承担；必要时，发包人还将清退承包人，并报请有关部门予以通报；由于清退而引起的一切经济损失均由承包人承担（其中含承包人的自身损失和发包人需重新寻选施工单位、进行工程维护，对施工场地进行植护、尾工价格差异等一系列工期与经济连带损失）。</w:t>
      </w:r>
    </w:p>
    <w:p>
      <w:pPr>
        <w:pStyle w:val="211"/>
        <w:spacing w:after="200"/>
        <w:ind w:firstLine="427"/>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6.1.5承包人的主要施工设备、试验检测仪器等专用于本合同工程，调出这些设备、仪器时必须征得监理人同意。</w:t>
      </w:r>
    </w:p>
    <w:p>
      <w:pPr>
        <w:pStyle w:val="210"/>
        <w:spacing w:after="200" w:line="400" w:lineRule="exact"/>
        <w:ind w:firstLine="477" w:firstLineChars="19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6.2发包人提供的施工设备和临时设施</w:t>
      </w:r>
    </w:p>
    <w:p>
      <w:pPr>
        <w:pStyle w:val="211"/>
        <w:spacing w:after="200"/>
        <w:ind w:firstLine="427"/>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本工程发包人不提供施工设备和临时设施。</w:t>
      </w:r>
    </w:p>
    <w:p>
      <w:pPr>
        <w:pStyle w:val="211"/>
        <w:spacing w:after="200"/>
        <w:ind w:firstLine="0" w:firstLineChars="0"/>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7  交通运输</w:t>
      </w:r>
    </w:p>
    <w:p>
      <w:pPr>
        <w:pStyle w:val="211"/>
        <w:spacing w:after="200"/>
        <w:ind w:firstLine="0" w:firstLineChars="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 xml:space="preserve">    7.1  道路通行权和场外设施</w:t>
      </w:r>
    </w:p>
    <w:p>
      <w:pPr>
        <w:pStyle w:val="211"/>
        <w:spacing w:after="200"/>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道路通行权和场外设施的约定：承包人应充分考虑进场道路的通行要求，共用国道、省道、乡道等造成路面损坏，由承包人承担赔付费用。</w:t>
      </w:r>
    </w:p>
    <w:p>
      <w:pPr>
        <w:pStyle w:val="211"/>
        <w:spacing w:after="200"/>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7.2 场内施工道路</w:t>
      </w:r>
    </w:p>
    <w:p>
      <w:pPr>
        <w:pStyle w:val="211"/>
        <w:spacing w:after="200"/>
        <w:ind w:firstLine="0" w:firstLineChars="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本款增加：</w:t>
      </w:r>
    </w:p>
    <w:p>
      <w:pPr>
        <w:pStyle w:val="211"/>
        <w:spacing w:after="200"/>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7.2.3承包人车辆在施工道路（包含其他承包人负责维护和管理的施工道路）上行驶时，应严格按照道路和桥梁的限制荷载安全行驶，采取必要措施防止运渣车辆在道路上弃渣、漏渣，并服从道路维护人员的管理。</w:t>
      </w:r>
    </w:p>
    <w:p>
      <w:pPr>
        <w:pStyle w:val="211"/>
        <w:spacing w:after="200"/>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7.4超大件和超重件的运输</w:t>
      </w:r>
    </w:p>
    <w:p>
      <w:pPr>
        <w:pStyle w:val="211"/>
        <w:spacing w:after="200"/>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若实际运输中的超大件或超重件超过合同规定的尺寸或重量时，由承包人承担其费用，发包人不予分担。</w:t>
      </w:r>
    </w:p>
    <w:p>
      <w:pPr>
        <w:pStyle w:val="211"/>
        <w:spacing w:after="200"/>
        <w:ind w:firstLine="0" w:firstLineChars="0"/>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8  测量放线</w:t>
      </w:r>
    </w:p>
    <w:p>
      <w:pPr>
        <w:pStyle w:val="211"/>
        <w:spacing w:after="200"/>
        <w:ind w:firstLine="0" w:firstLineChars="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8.1施工控制网</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8.1.1施工控制网的约定：由监理人组织，发包人、设计方、承包人参与交底，由承包人按批准的施工组织设计自行布置施工控制网。</w:t>
      </w:r>
    </w:p>
    <w:p>
      <w:pPr>
        <w:pStyle w:val="210"/>
        <w:keepNext w:val="0"/>
        <w:keepLines w:val="0"/>
        <w:pageBreakBefore w:val="0"/>
        <w:widowControl w:val="0"/>
        <w:kinsoku/>
        <w:wordWrap/>
        <w:overflowPunct/>
        <w:topLinePunct w:val="0"/>
        <w:bidi w:val="0"/>
        <w:snapToGrid/>
        <w:spacing w:after="200" w:line="400" w:lineRule="exact"/>
        <w:ind w:right="0" w:rightChars="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lang w:val="en-US" w:eastAsia="zh-CN"/>
        </w:rPr>
        <w:t>9</w:t>
      </w:r>
      <w:r>
        <w:rPr>
          <w:rStyle w:val="40"/>
          <w:rFonts w:hint="eastAsia" w:ascii="宋体" w:hAnsi="宋体" w:eastAsia="宋体" w:cs="宋体"/>
          <w:b/>
          <w:color w:val="auto"/>
          <w:sz w:val="24"/>
          <w:szCs w:val="24"/>
          <w:highlight w:val="none"/>
        </w:rPr>
        <w:t>施工安全、治安保卫和环境保护</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lang w:val="en-US" w:eastAsia="zh-CN"/>
        </w:rPr>
        <w:t>9</w:t>
      </w:r>
      <w:r>
        <w:rPr>
          <w:rStyle w:val="40"/>
          <w:rFonts w:hint="eastAsia" w:ascii="宋体" w:hAnsi="宋体" w:eastAsia="宋体" w:cs="宋体"/>
          <w:b/>
          <w:color w:val="auto"/>
          <w:sz w:val="24"/>
          <w:szCs w:val="24"/>
          <w:highlight w:val="none"/>
        </w:rPr>
        <w:t>.1发包人的施工安全责任</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.1.4发包人提供施工现场的输变电线路、地下光缆布设资料，其余资料由承包人负责收集。</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lang w:val="en-US" w:eastAsia="zh-CN"/>
        </w:rPr>
      </w:pPr>
      <w:r>
        <w:rPr>
          <w:rStyle w:val="40"/>
          <w:rFonts w:hint="eastAsia" w:ascii="宋体" w:hAnsi="宋体" w:eastAsia="宋体" w:cs="宋体"/>
          <w:b/>
          <w:color w:val="auto"/>
          <w:sz w:val="24"/>
          <w:szCs w:val="24"/>
          <w:highlight w:val="none"/>
          <w:lang w:val="en-US" w:eastAsia="zh-CN"/>
        </w:rPr>
        <w:t>9.2</w:t>
      </w:r>
      <w:r>
        <w:rPr>
          <w:rStyle w:val="40"/>
          <w:rFonts w:hint="eastAsia" w:ascii="宋体" w:hAnsi="宋体" w:eastAsia="宋体" w:cs="宋体"/>
          <w:b/>
          <w:color w:val="auto"/>
          <w:sz w:val="24"/>
          <w:szCs w:val="24"/>
          <w:highlight w:val="none"/>
          <w:lang w:eastAsia="zh-CN"/>
        </w:rPr>
        <w:t>承包</w:t>
      </w:r>
      <w:r>
        <w:rPr>
          <w:rStyle w:val="40"/>
          <w:rFonts w:hint="eastAsia" w:ascii="宋体" w:hAnsi="宋体" w:eastAsia="宋体" w:cs="宋体"/>
          <w:b/>
          <w:color w:val="auto"/>
          <w:sz w:val="24"/>
          <w:szCs w:val="24"/>
          <w:highlight w:val="none"/>
        </w:rPr>
        <w:t>人的施工安全责任</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rPr>
        <w:t>增加以下条款：</w:t>
      </w:r>
    </w:p>
    <w:p>
      <w:pPr>
        <w:pStyle w:val="210"/>
        <w:keepNext w:val="0"/>
        <w:keepLines w:val="0"/>
        <w:pageBreakBefore w:val="0"/>
        <w:widowControl w:val="0"/>
        <w:kinsoku/>
        <w:wordWrap/>
        <w:overflowPunct/>
        <w:topLinePunct w:val="0"/>
        <w:bidi w:val="0"/>
        <w:snapToGrid/>
        <w:spacing w:after="200" w:line="400" w:lineRule="exact"/>
        <w:ind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b w:val="0"/>
          <w:bCs/>
          <w:color w:val="auto"/>
          <w:sz w:val="24"/>
          <w:szCs w:val="24"/>
          <w:highlight w:val="none"/>
          <w:lang w:val="en-US" w:eastAsia="zh-CN"/>
        </w:rPr>
        <w:t>9</w:t>
      </w:r>
      <w:r>
        <w:rPr>
          <w:rStyle w:val="40"/>
          <w:rFonts w:hint="eastAsia" w:ascii="宋体" w:hAnsi="宋体" w:eastAsia="宋体" w:cs="宋体"/>
          <w:b w:val="0"/>
          <w:bCs/>
          <w:color w:val="auto"/>
          <w:sz w:val="24"/>
          <w:szCs w:val="24"/>
          <w:highlight w:val="none"/>
        </w:rPr>
        <w:t>.2.14</w:t>
      </w:r>
      <w:r>
        <w:rPr>
          <w:rStyle w:val="40"/>
          <w:rFonts w:hint="eastAsia" w:ascii="宋体" w:hAnsi="宋体" w:eastAsia="宋体" w:cs="宋体"/>
          <w:color w:val="auto"/>
          <w:sz w:val="24"/>
          <w:szCs w:val="24"/>
          <w:highlight w:val="none"/>
        </w:rPr>
        <w:t>发包人</w:t>
      </w:r>
      <w:r>
        <w:rPr>
          <w:rStyle w:val="40"/>
          <w:rFonts w:hint="eastAsia" w:ascii="宋体" w:hAnsi="宋体" w:eastAsia="宋体" w:cs="宋体"/>
          <w:color w:val="auto"/>
          <w:sz w:val="24"/>
          <w:szCs w:val="24"/>
          <w:highlight w:val="none"/>
          <w:lang w:val="en-US" w:eastAsia="zh-CN"/>
        </w:rPr>
        <w:t>委托监理人</w:t>
      </w:r>
      <w:r>
        <w:rPr>
          <w:rStyle w:val="40"/>
          <w:rFonts w:hint="eastAsia" w:ascii="宋体" w:hAnsi="宋体" w:eastAsia="宋体" w:cs="宋体"/>
          <w:color w:val="auto"/>
          <w:sz w:val="24"/>
          <w:szCs w:val="24"/>
          <w:highlight w:val="none"/>
        </w:rPr>
        <w:t>在工地组建安全生产管理委员会。安全生产管理委员会负责统一协调管理本工程的消防、防汛和抗灾以及监督施工作业安全等工作，并有权按有关法律、法规和规章以及本合同的有关约定，检查、监督施工安全工作的实施。承包人应当认真执行安全生产管理委员会有关安全管理的规章及工作的指示。对安全生产管理委员会在检查中发现施工存在安全因素，承包人应及时采取有效的措施予以改正，若承包人延误或拒绝改正时，则安全管理委员会有权责令其停工整改。</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2.15承包人必须遵守《安全生产法》和其他有关安全生产的法规和规章，加强安全生产管理。建立、健全安全生产责任制度，完善安全生产条件，确保安全生产。承包人应按《安全生产法》的规定履行其安全生产职责。承包人必须设置安全管理机构和配备专职的安全工程师，加强对施工作业安全的管理，特别应加强易燃、易爆材料、火工器材和爆破作业以及施工用电的管理，加强危险源的辨识和管理，制订安全操作规程，配备必要的安全生产设施和劳动保护用具，并经常对其职工进行施工安全教育。特殊工程必须取得上岗证和安全证。承包人应在接到开工通知7天内，向发包人和监理人各报送一份内容包括安全管理机构的组织和岗位职责及安全人员组成、安全工作程序和实施细则的施工安全保证措施报告，由监理人审查。</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.2.16承包人应负责所辖工地的消防工作，并配备必要的人员、消防水源、消防设备和救助设施，所需费用由承包人承担。对消防的要求见《技术条款》。</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2.17承包人必须编制详细的安全文明施工措施施工组织设计，根据施工组织设计填报工程量清单项目及费用（项目、工程量、单价、合价需详细列报）其总价应控制在建安工程造价的1.5%以内，专款专用，最终按认定的施工组织设计实际发生工作量由监理审核、发包人（安全生产管理委员会）核准后结算，若有漏项或工程量少计，亦视为承包人已计入其它项目内，不再另行结算。在承包人的施工责任区内因承包人责任发生安全事故，所发生的一切费用由承包人承担。</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 xml:space="preserve">.2.18安全文明施工保证金： </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 xml:space="preserve">1）第一次支付工程进度款时扣除与安全文明施工费相等金额作为安全文明施工保证金，待安全文明考核通过后一次支付。 </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b w:val="0"/>
          <w:bCs/>
          <w:color w:val="auto"/>
          <w:sz w:val="24"/>
          <w:szCs w:val="24"/>
          <w:highlight w:val="none"/>
        </w:rPr>
        <w:t>2）</w:t>
      </w:r>
      <w:r>
        <w:rPr>
          <w:rStyle w:val="40"/>
          <w:rFonts w:hint="eastAsia" w:ascii="宋体" w:hAnsi="宋体" w:eastAsia="宋体" w:cs="宋体"/>
          <w:color w:val="auto"/>
          <w:sz w:val="24"/>
          <w:szCs w:val="32"/>
          <w:highlight w:val="none"/>
          <w:lang w:val="en-US" w:eastAsia="zh-CN"/>
        </w:rPr>
        <w:t>发包人组织监理人、承包人以及拥有专业技术能力的其他人员共同制定安全管理考核办法，作为安全文明施工考核的支付依据。</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2.19承包人凡进入本工程施工区内所有人员一律佩戴安全帽，安全帽要符合国家标准《安全帽》（GB2811-89）中对安全帽的规定。承包人应统一配置黄色安全帽。承包人进入生产现场的安全检查和质检人员使用的安全帽分别在帽正面印“安全检查” 和“质检”安样，凡不遵守者一次一人处罚50元。</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231" w:name="_Toc308189092"/>
      <w:r>
        <w:rPr>
          <w:rStyle w:val="40"/>
          <w:rFonts w:hint="eastAsia" w:ascii="宋体" w:hAnsi="宋体" w:eastAsia="宋体" w:cs="宋体"/>
          <w:b/>
          <w:color w:val="auto"/>
          <w:sz w:val="24"/>
          <w:szCs w:val="24"/>
          <w:highlight w:val="none"/>
          <w:lang w:val="en-US" w:eastAsia="zh-CN"/>
        </w:rPr>
        <w:t>9</w:t>
      </w:r>
      <w:r>
        <w:rPr>
          <w:rStyle w:val="40"/>
          <w:rFonts w:hint="eastAsia" w:ascii="宋体" w:hAnsi="宋体" w:eastAsia="宋体" w:cs="宋体"/>
          <w:b/>
          <w:color w:val="auto"/>
          <w:sz w:val="24"/>
          <w:szCs w:val="24"/>
          <w:highlight w:val="none"/>
        </w:rPr>
        <w:t>.3 治安保卫</w:t>
      </w:r>
      <w:bookmarkEnd w:id="231"/>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lang w:val="en-US" w:eastAsia="zh-CN"/>
        </w:rPr>
        <w:t>9</w:t>
      </w:r>
      <w:r>
        <w:rPr>
          <w:rStyle w:val="40"/>
          <w:rFonts w:hint="eastAsia" w:ascii="宋体" w:hAnsi="宋体" w:eastAsia="宋体" w:cs="宋体"/>
          <w:b w:val="0"/>
          <w:bCs/>
          <w:color w:val="auto"/>
          <w:sz w:val="24"/>
          <w:szCs w:val="24"/>
          <w:highlight w:val="none"/>
        </w:rPr>
        <w:t>.3.1 除合同另有约定外，承包人应当合理规划工区，人员集中居住，并按当地公安机关要求完善安全保卫措施，配备专职安防人员。承包人应与当地公安部门协商，在现场建立治安管理机构或联防组织，统一管理施工场地的治安保卫事项，履行合同工程的治安保卫职责。</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lang w:val="en-US" w:eastAsia="zh-CN"/>
        </w:rPr>
        <w:t>9</w:t>
      </w:r>
      <w:r>
        <w:rPr>
          <w:rStyle w:val="40"/>
          <w:rFonts w:hint="eastAsia" w:ascii="宋体" w:hAnsi="宋体" w:eastAsia="宋体" w:cs="宋体"/>
          <w:b w:val="0"/>
          <w:bCs/>
          <w:color w:val="auto"/>
          <w:sz w:val="24"/>
          <w:szCs w:val="24"/>
          <w:highlight w:val="none"/>
        </w:rPr>
        <w:t>.3.2 承包人按照“八必备”的要求，坚持做到“三个结合”，实现未雨绸缪。一是坚持以人防为基础。通过组建日常安全防范人员队伍、突发事件处置队伍，为施工现场安全防范提供人力保证； 二是坚持以物防为保障。配套完善施工现场安全防范设施、设备等。具体包括：警备室的设置，警棍、盾牌、防刺服强光灯、对讲机基本防护装备的配备，摩托车等交通工具的配套；三是坚持以技防为</w:t>
      </w:r>
      <w:r>
        <w:rPr>
          <w:rStyle w:val="40"/>
          <w:rFonts w:hint="eastAsia" w:ascii="宋体" w:hAnsi="宋体" w:eastAsia="宋体" w:cs="宋体"/>
          <w:b w:val="0"/>
          <w:bCs/>
          <w:color w:val="auto"/>
          <w:sz w:val="24"/>
          <w:szCs w:val="24"/>
          <w:highlight w:val="none"/>
          <w:lang w:val="en-US" w:eastAsia="zh-CN"/>
        </w:rPr>
        <w:t>辅</w:t>
      </w:r>
      <w:r>
        <w:rPr>
          <w:rStyle w:val="40"/>
          <w:rFonts w:hint="eastAsia" w:ascii="宋体" w:hAnsi="宋体" w:eastAsia="宋体" w:cs="宋体"/>
          <w:b w:val="0"/>
          <w:bCs/>
          <w:color w:val="auto"/>
          <w:sz w:val="24"/>
          <w:szCs w:val="24"/>
          <w:highlight w:val="none"/>
        </w:rPr>
        <w:t>。</w:t>
      </w:r>
      <w:r>
        <w:rPr>
          <w:rStyle w:val="40"/>
          <w:rFonts w:hint="eastAsia" w:ascii="宋体" w:hAnsi="宋体" w:eastAsia="宋体" w:cs="宋体"/>
          <w:b w:val="0"/>
          <w:bCs/>
          <w:color w:val="auto"/>
          <w:sz w:val="24"/>
          <w:szCs w:val="24"/>
          <w:highlight w:val="none"/>
          <w:lang w:val="en-US" w:eastAsia="zh-CN"/>
        </w:rPr>
        <w:t>有条件的</w:t>
      </w:r>
      <w:r>
        <w:rPr>
          <w:rStyle w:val="40"/>
          <w:rFonts w:hint="eastAsia" w:ascii="宋体" w:hAnsi="宋体" w:eastAsia="宋体" w:cs="宋体"/>
          <w:b w:val="0"/>
          <w:bCs/>
          <w:color w:val="auto"/>
          <w:sz w:val="24"/>
          <w:szCs w:val="24"/>
          <w:highlight w:val="none"/>
        </w:rPr>
        <w:t>通过安装监控设备，利用犬敏锐的嗅觉等对施工现场进行二十四小时不间断监控和监视。承包人须确保施工期项目区安全，必须无条件响应当地政府对社会稳定做出的各类决定和要求，如出现维稳事件,由承包人负全责。</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lang w:val="en-US" w:eastAsia="zh-CN"/>
        </w:rPr>
        <w:t>9</w:t>
      </w:r>
      <w:r>
        <w:rPr>
          <w:rStyle w:val="40"/>
          <w:rFonts w:hint="eastAsia" w:ascii="宋体" w:hAnsi="宋体" w:eastAsia="宋体" w:cs="宋体"/>
          <w:b w:val="0"/>
          <w:bCs/>
          <w:color w:val="auto"/>
          <w:sz w:val="24"/>
          <w:szCs w:val="24"/>
          <w:highlight w:val="none"/>
        </w:rPr>
        <w:t>.3.3 除合同另有约定外，发包人</w:t>
      </w:r>
      <w:r>
        <w:rPr>
          <w:rStyle w:val="40"/>
          <w:rFonts w:hint="eastAsia" w:ascii="宋体" w:hAnsi="宋体" w:eastAsia="宋体" w:cs="宋体"/>
          <w:b w:val="0"/>
          <w:bCs/>
          <w:color w:val="auto"/>
          <w:sz w:val="24"/>
          <w:szCs w:val="24"/>
          <w:highlight w:val="none"/>
          <w:lang w:val="en-US" w:eastAsia="zh-CN"/>
        </w:rPr>
        <w:t>委托监理人</w:t>
      </w:r>
      <w:r>
        <w:rPr>
          <w:rStyle w:val="40"/>
          <w:rFonts w:hint="eastAsia" w:ascii="宋体" w:hAnsi="宋体" w:eastAsia="宋体" w:cs="宋体"/>
          <w:b w:val="0"/>
          <w:bCs/>
          <w:color w:val="auto"/>
          <w:sz w:val="24"/>
          <w:szCs w:val="24"/>
          <w:highlight w:val="none"/>
        </w:rPr>
        <w:t>应在工程开工后，和承包人共同编制施工场地治安管理计划，并制定应对突发治安事件的紧急预案。在工程施工过程中，发生暴乱、爆炸等恐怖事件，以及群殴、械斗等群体性突发治安事件的，发包人和承包人应立即向当地政府报告。发包人</w:t>
      </w:r>
      <w:r>
        <w:rPr>
          <w:rStyle w:val="40"/>
          <w:rFonts w:hint="eastAsia" w:ascii="宋体" w:hAnsi="宋体" w:eastAsia="宋体" w:cs="宋体"/>
          <w:b w:val="0"/>
          <w:bCs/>
          <w:color w:val="auto"/>
          <w:sz w:val="24"/>
          <w:szCs w:val="24"/>
          <w:highlight w:val="none"/>
          <w:lang w:eastAsia="zh-CN"/>
        </w:rPr>
        <w:t>、</w:t>
      </w:r>
      <w:r>
        <w:rPr>
          <w:rStyle w:val="40"/>
          <w:rFonts w:hint="eastAsia" w:ascii="宋体" w:hAnsi="宋体" w:eastAsia="宋体" w:cs="宋体"/>
          <w:b w:val="0"/>
          <w:bCs/>
          <w:color w:val="auto"/>
          <w:sz w:val="24"/>
          <w:szCs w:val="24"/>
          <w:highlight w:val="none"/>
          <w:lang w:val="en-US" w:eastAsia="zh-CN"/>
        </w:rPr>
        <w:t>监理人</w:t>
      </w:r>
      <w:r>
        <w:rPr>
          <w:rStyle w:val="40"/>
          <w:rFonts w:hint="eastAsia" w:ascii="宋体" w:hAnsi="宋体" w:eastAsia="宋体" w:cs="宋体"/>
          <w:b w:val="0"/>
          <w:bCs/>
          <w:color w:val="auto"/>
          <w:sz w:val="24"/>
          <w:szCs w:val="24"/>
          <w:highlight w:val="none"/>
        </w:rPr>
        <w:t>和承包人应积极协助当地有关部门采取措施平息事态，防止事态扩大，尽量减少财产损失和避免人员伤亡。</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232" w:name="_Toc308189093"/>
      <w:r>
        <w:rPr>
          <w:rStyle w:val="40"/>
          <w:rFonts w:hint="eastAsia" w:ascii="宋体" w:hAnsi="宋体" w:eastAsia="宋体" w:cs="宋体"/>
          <w:b/>
          <w:color w:val="auto"/>
          <w:sz w:val="24"/>
          <w:szCs w:val="24"/>
          <w:highlight w:val="none"/>
          <w:lang w:val="en-US" w:eastAsia="zh-CN"/>
        </w:rPr>
        <w:t>9</w:t>
      </w:r>
      <w:r>
        <w:rPr>
          <w:rStyle w:val="40"/>
          <w:rFonts w:hint="eastAsia" w:ascii="宋体" w:hAnsi="宋体" w:eastAsia="宋体" w:cs="宋体"/>
          <w:b/>
          <w:color w:val="auto"/>
          <w:sz w:val="24"/>
          <w:szCs w:val="24"/>
          <w:highlight w:val="none"/>
        </w:rPr>
        <w:t>.4 环境保护</w:t>
      </w:r>
      <w:bookmarkEnd w:id="232"/>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lang w:val="en-US" w:eastAsia="zh-CN"/>
        </w:rPr>
        <w:t>9</w:t>
      </w:r>
      <w:r>
        <w:rPr>
          <w:rStyle w:val="40"/>
          <w:rFonts w:hint="eastAsia" w:ascii="宋体" w:hAnsi="宋体" w:eastAsia="宋体" w:cs="宋体"/>
          <w:b w:val="0"/>
          <w:bCs/>
          <w:color w:val="auto"/>
          <w:sz w:val="24"/>
          <w:szCs w:val="24"/>
          <w:highlight w:val="none"/>
        </w:rPr>
        <w:t>.4.1 承包人在施工过程中，应遵守有关环境保护的法律，履行合同约定的环境保护义务，并对违反法律和合同约定义务所造成的环境破坏、人身伤害和财产损失负责。承包人负责一切经济损失，发包人不另行支付。</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.4.2 承包人应按合同约定的环保工作内容，编制施工环保措施计划，报送监理人审批。</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.4.4 承包人应按合同约定采取有效措施，对施工开挖的边坡及时进行支护，维护排水设施，并进行水土保护，避免因施工造成的地质灾害。</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.4.5 承包人应按国家饮用水管理标准定期对饮用水源进行监测，防止施工活动污染饮用水源。</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.4.6 承包人应按合同约定，加强对噪声、粉尘、废气、废水和废油的控制，努力降低噪声，控制粉尘和废气浓度，做好废水和废油的治理和排放。</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lang w:val="en-US" w:eastAsia="zh-CN"/>
        </w:rPr>
        <w:t>9</w:t>
      </w:r>
      <w:r>
        <w:rPr>
          <w:rStyle w:val="40"/>
          <w:rFonts w:hint="eastAsia" w:ascii="宋体" w:hAnsi="宋体" w:eastAsia="宋体" w:cs="宋体"/>
          <w:b/>
          <w:color w:val="auto"/>
          <w:sz w:val="24"/>
          <w:szCs w:val="24"/>
          <w:highlight w:val="none"/>
        </w:rPr>
        <w:t>.6水土保持</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本条新增：</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Cs/>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.6.4</w:t>
      </w:r>
      <w:r>
        <w:rPr>
          <w:rStyle w:val="40"/>
          <w:rFonts w:hint="eastAsia" w:ascii="宋体" w:hAnsi="宋体" w:eastAsia="宋体" w:cs="宋体"/>
          <w:bCs/>
          <w:color w:val="auto"/>
          <w:sz w:val="24"/>
          <w:szCs w:val="24"/>
          <w:highlight w:val="none"/>
        </w:rPr>
        <w:t>渣场管理</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color w:val="auto"/>
          <w:sz w:val="24"/>
          <w:szCs w:val="24"/>
          <w:highlight w:val="none"/>
        </w:rPr>
        <w:t>承包人应按照本合同规定或监理人的指示将渣料运输至指定渣场，弃渣时应服从渣场管理人员或监理人的指挥，有序堆渣，渣场管理内容包括指挥、照明、渣场内道路、推土机推平、洒水降尘、排水、必要的挡护等。上述费用已包括在合同价中，发包人不另行支付。</w:t>
      </w:r>
    </w:p>
    <w:p>
      <w:pPr>
        <w:pStyle w:val="210"/>
        <w:keepNext w:val="0"/>
        <w:keepLines w:val="0"/>
        <w:pageBreakBefore w:val="0"/>
        <w:widowControl w:val="0"/>
        <w:kinsoku/>
        <w:wordWrap/>
        <w:overflowPunct/>
        <w:topLinePunct w:val="0"/>
        <w:bidi w:val="0"/>
        <w:snapToGrid/>
        <w:spacing w:after="200" w:line="400" w:lineRule="exact"/>
        <w:ind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lang w:val="en-US" w:eastAsia="zh-CN"/>
        </w:rPr>
        <w:t>9</w:t>
      </w:r>
      <w:r>
        <w:rPr>
          <w:rStyle w:val="40"/>
          <w:rFonts w:hint="eastAsia" w:ascii="宋体" w:hAnsi="宋体" w:eastAsia="宋体" w:cs="宋体"/>
          <w:b/>
          <w:color w:val="auto"/>
          <w:sz w:val="24"/>
          <w:szCs w:val="24"/>
          <w:highlight w:val="none"/>
        </w:rPr>
        <w:t>.7  文明工地</w:t>
      </w:r>
    </w:p>
    <w:p>
      <w:pPr>
        <w:pStyle w:val="210"/>
        <w:keepNext w:val="0"/>
        <w:keepLines w:val="0"/>
        <w:pageBreakBefore w:val="0"/>
        <w:kinsoku/>
        <w:wordWrap/>
        <w:overflowPunct/>
        <w:topLinePunct w:val="0"/>
        <w:bidi w:val="0"/>
        <w:snapToGrid/>
        <w:spacing w:after="200" w:line="400" w:lineRule="exact"/>
        <w:ind w:left="0" w:leftChars="0" w:right="0" w:rightChars="0" w:firstLine="462"/>
        <w:textAlignment w:val="auto"/>
        <w:outlineLvl w:val="9"/>
        <w:rPr>
          <w:rStyle w:val="40"/>
          <w:rFonts w:hint="eastAsia" w:ascii="宋体" w:hAnsi="宋体" w:eastAsia="宋体" w:cs="宋体"/>
          <w:bCs/>
          <w:color w:val="auto"/>
          <w:sz w:val="24"/>
          <w:szCs w:val="24"/>
          <w:highlight w:val="none"/>
        </w:rPr>
      </w:pPr>
      <w:r>
        <w:rPr>
          <w:rStyle w:val="40"/>
          <w:rFonts w:hint="eastAsia" w:ascii="宋体" w:hAnsi="宋体" w:eastAsia="宋体" w:cs="宋体"/>
          <w:color w:val="auto"/>
          <w:sz w:val="24"/>
          <w:szCs w:val="24"/>
          <w:highlight w:val="none"/>
          <w:lang w:val="en-US" w:eastAsia="zh-CN"/>
        </w:rPr>
        <w:t>9</w:t>
      </w:r>
      <w:r>
        <w:rPr>
          <w:rStyle w:val="40"/>
          <w:rFonts w:hint="eastAsia" w:ascii="宋体" w:hAnsi="宋体" w:eastAsia="宋体" w:cs="宋体"/>
          <w:color w:val="auto"/>
          <w:sz w:val="24"/>
          <w:szCs w:val="24"/>
          <w:highlight w:val="none"/>
        </w:rPr>
        <w:t>.7.1本合同文明工地的约定：由项目业主现场代表、施工单位项目经理等组成创建文明工地组织机构，制定创建文明建设工地的规划和办法，并落实。</w:t>
      </w:r>
      <w:r>
        <w:rPr>
          <w:rStyle w:val="40"/>
          <w:rFonts w:hint="eastAsia" w:ascii="宋体" w:hAnsi="宋体" w:eastAsia="宋体" w:cs="宋体"/>
          <w:bCs/>
          <w:color w:val="auto"/>
          <w:sz w:val="24"/>
          <w:szCs w:val="24"/>
          <w:highlight w:val="none"/>
        </w:rPr>
        <w:t>承包人应根据发包人的要求，结合施工现场情况及企业自身制定的工程建设安全设施、标志、标识、标准化图册，编制适用于本工程的安全设施、标志、标识、标准化图册，经监理人批准后，遵照执行。上述费用已包括在合同价中，发包人不另行支付。</w:t>
      </w:r>
    </w:p>
    <w:p>
      <w:pPr>
        <w:pStyle w:val="210"/>
        <w:keepNext w:val="0"/>
        <w:keepLines w:val="0"/>
        <w:pageBreakBefore w:val="0"/>
        <w:kinsoku/>
        <w:wordWrap/>
        <w:overflowPunct/>
        <w:topLinePunct w:val="0"/>
        <w:bidi w:val="0"/>
        <w:snapToGrid/>
        <w:spacing w:after="200" w:line="400" w:lineRule="exact"/>
        <w:ind w:right="0" w:rightChars="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10进度计划</w:t>
      </w:r>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删去通用合同条款本款全文，并代之以：</w:t>
      </w:r>
    </w:p>
    <w:p>
      <w:pPr>
        <w:pStyle w:val="210"/>
        <w:keepNext w:val="0"/>
        <w:keepLines w:val="0"/>
        <w:pageBreakBefore w:val="0"/>
        <w:kinsoku/>
        <w:wordWrap/>
        <w:overflowPunct/>
        <w:topLinePunct w:val="0"/>
        <w:bidi w:val="0"/>
        <w:snapToGrid/>
        <w:spacing w:after="200" w:line="40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10.1合同进度计划</w:t>
      </w:r>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承包人在接到监理人发出开工通知后的14天内，应根据招标文件（包括图纸）和发包人的意见修正、编制施工组织设计，提交一份完整而详细的说明施工方法和施工进度的计划，由监理人批准。承包人的进度计划与措施，必须满足合同规定的工程进度目标要求。</w:t>
      </w:r>
    </w:p>
    <w:p>
      <w:pPr>
        <w:pStyle w:val="210"/>
        <w:keepNext w:val="0"/>
        <w:keepLines w:val="0"/>
        <w:pageBreakBefore w:val="0"/>
        <w:kinsoku/>
        <w:wordWrap/>
        <w:overflowPunct/>
        <w:topLinePunct w:val="0"/>
        <w:bidi w:val="0"/>
        <w:snapToGrid/>
        <w:spacing w:after="200" w:line="40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10.2修订进度计划</w:t>
      </w:r>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不论何种原因发生工程的实际进度与第10.1款所述的合同进度计划不符时，承包人应按监理人的指示在7天内提交一份修订的进度计划报送监理人审批，监理人应在收到该进度计划后的28天内批复承包人。批准后的修订进度计划作为合同进度计划的补充文件。</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Cs/>
          <w:color w:val="auto"/>
          <w:sz w:val="24"/>
          <w:szCs w:val="24"/>
          <w:highlight w:val="none"/>
        </w:rPr>
      </w:pPr>
      <w:r>
        <w:rPr>
          <w:rStyle w:val="40"/>
          <w:rFonts w:hint="eastAsia" w:ascii="宋体" w:hAnsi="宋体" w:eastAsia="宋体" w:cs="宋体"/>
          <w:color w:val="auto"/>
          <w:sz w:val="24"/>
          <w:szCs w:val="24"/>
          <w:highlight w:val="none"/>
        </w:rPr>
        <w:t>（2）不论何种原因造成施工进度计划拖后，承包人均应按监理人的指示，采取有效措施赶上进度。承包人应在向监理人报送修订进度计划的同时，编制一份赶工措施报告报送监理人审批，赶工措施应以保证工程按期完工为前提调整和修改进度计划。由于发包人原因造成施工进度拖后，应按第11.5.2款的规定办理；由于承包人原因造成施工进度拖后，应按第11.5.3款的规定办理。</w:t>
      </w:r>
    </w:p>
    <w:p>
      <w:pPr>
        <w:pStyle w:val="210"/>
        <w:keepNext w:val="0"/>
        <w:keepLines w:val="0"/>
        <w:pageBreakBefore w:val="0"/>
        <w:widowControl w:val="0"/>
        <w:kinsoku/>
        <w:wordWrap/>
        <w:overflowPunct/>
        <w:topLinePunct w:val="0"/>
        <w:bidi w:val="0"/>
        <w:snapToGrid/>
        <w:spacing w:after="200" w:line="400" w:lineRule="exact"/>
        <w:ind w:right="0" w:rightChars="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11开工和竣工（完工）</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lang w:eastAsia="zh-CN"/>
        </w:rPr>
      </w:pPr>
      <w:r>
        <w:rPr>
          <w:rStyle w:val="40"/>
          <w:rFonts w:hint="eastAsia" w:ascii="宋体" w:hAnsi="宋体" w:eastAsia="宋体" w:cs="宋体"/>
          <w:b w:val="0"/>
          <w:bCs/>
          <w:color w:val="auto"/>
          <w:sz w:val="24"/>
          <w:szCs w:val="24"/>
          <w:highlight w:val="none"/>
        </w:rPr>
        <w:t>本款修改补充</w:t>
      </w:r>
      <w:r>
        <w:rPr>
          <w:rStyle w:val="40"/>
          <w:rFonts w:hint="eastAsia" w:ascii="宋体" w:hAnsi="宋体" w:eastAsia="宋体" w:cs="宋体"/>
          <w:b w:val="0"/>
          <w:bCs/>
          <w:color w:val="auto"/>
          <w:sz w:val="24"/>
          <w:szCs w:val="24"/>
          <w:highlight w:val="none"/>
          <w:lang w:eastAsia="zh-CN"/>
        </w:rPr>
        <w:t>：</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lang w:val="en-US" w:eastAsia="zh-CN"/>
        </w:rPr>
        <w:t>11.1.1</w:t>
      </w:r>
      <w:r>
        <w:rPr>
          <w:rStyle w:val="40"/>
          <w:rFonts w:hint="eastAsia" w:ascii="宋体" w:hAnsi="宋体" w:eastAsia="宋体" w:cs="宋体"/>
          <w:b w:val="0"/>
          <w:bCs/>
          <w:color w:val="auto"/>
          <w:sz w:val="24"/>
          <w:szCs w:val="24"/>
          <w:highlight w:val="none"/>
        </w:rPr>
        <w:t>监理</w:t>
      </w:r>
      <w:r>
        <w:rPr>
          <w:rStyle w:val="40"/>
          <w:rFonts w:hint="eastAsia" w:ascii="宋体" w:hAnsi="宋体" w:eastAsia="宋体" w:cs="宋体"/>
          <w:b w:val="0"/>
          <w:bCs/>
          <w:color w:val="auto"/>
          <w:sz w:val="24"/>
          <w:szCs w:val="24"/>
          <w:highlight w:val="none"/>
          <w:lang w:eastAsia="zh-CN"/>
        </w:rPr>
        <w:t>人应</w:t>
      </w:r>
      <w:r>
        <w:rPr>
          <w:rStyle w:val="40"/>
          <w:rFonts w:hint="eastAsia" w:ascii="宋体" w:hAnsi="宋体" w:eastAsia="宋体" w:cs="宋体"/>
          <w:b w:val="0"/>
          <w:bCs/>
          <w:color w:val="auto"/>
          <w:sz w:val="24"/>
          <w:szCs w:val="24"/>
          <w:highlight w:val="none"/>
        </w:rPr>
        <w:t>提前7天向承包</w:t>
      </w:r>
      <w:r>
        <w:rPr>
          <w:rStyle w:val="40"/>
          <w:rFonts w:hint="eastAsia" w:ascii="宋体" w:hAnsi="宋体" w:eastAsia="宋体" w:cs="宋体"/>
          <w:b w:val="0"/>
          <w:bCs/>
          <w:color w:val="auto"/>
          <w:sz w:val="24"/>
          <w:szCs w:val="24"/>
          <w:highlight w:val="none"/>
          <w:lang w:eastAsia="zh-CN"/>
        </w:rPr>
        <w:t>人发</w:t>
      </w:r>
      <w:r>
        <w:rPr>
          <w:rStyle w:val="40"/>
          <w:rFonts w:hint="eastAsia" w:ascii="宋体" w:hAnsi="宋体" w:eastAsia="宋体" w:cs="宋体"/>
          <w:b w:val="0"/>
          <w:bCs/>
          <w:color w:val="auto"/>
          <w:sz w:val="24"/>
          <w:szCs w:val="24"/>
          <w:highlight w:val="none"/>
        </w:rPr>
        <w:t>出开始工作通知。监理</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在发出开始工作通知</w:t>
      </w:r>
      <w:r>
        <w:rPr>
          <w:rStyle w:val="40"/>
          <w:rFonts w:hint="eastAsia" w:ascii="宋体" w:hAnsi="宋体" w:eastAsia="宋体" w:cs="宋体"/>
          <w:b w:val="0"/>
          <w:bCs/>
          <w:color w:val="auto"/>
          <w:sz w:val="24"/>
          <w:szCs w:val="24"/>
          <w:highlight w:val="none"/>
          <w:lang w:eastAsia="zh-CN"/>
        </w:rPr>
        <w:t>前应</w:t>
      </w:r>
      <w:r>
        <w:rPr>
          <w:rStyle w:val="40"/>
          <w:rFonts w:hint="eastAsia" w:ascii="宋体" w:hAnsi="宋体" w:eastAsia="宋体" w:cs="宋体"/>
          <w:b w:val="0"/>
          <w:bCs/>
          <w:color w:val="auto"/>
          <w:sz w:val="24"/>
          <w:szCs w:val="24"/>
          <w:highlight w:val="none"/>
        </w:rPr>
        <w:t>获得发包</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同意。工期自开始工作通知中</w:t>
      </w:r>
      <w:r>
        <w:rPr>
          <w:rStyle w:val="40"/>
          <w:rFonts w:hint="eastAsia" w:ascii="宋体" w:hAnsi="宋体" w:eastAsia="宋体" w:cs="宋体"/>
          <w:b w:val="0"/>
          <w:bCs/>
          <w:color w:val="auto"/>
          <w:sz w:val="24"/>
          <w:szCs w:val="24"/>
          <w:highlight w:val="none"/>
          <w:lang w:eastAsia="zh-CN"/>
        </w:rPr>
        <w:t>载</w:t>
      </w:r>
      <w:r>
        <w:rPr>
          <w:rStyle w:val="40"/>
          <w:rFonts w:hint="eastAsia" w:ascii="宋体" w:hAnsi="宋体" w:eastAsia="宋体" w:cs="宋体"/>
          <w:b w:val="0"/>
          <w:bCs/>
          <w:color w:val="auto"/>
          <w:sz w:val="24"/>
          <w:szCs w:val="24"/>
          <w:highlight w:val="none"/>
        </w:rPr>
        <w:t>明的开始工作</w:t>
      </w:r>
      <w:r>
        <w:rPr>
          <w:rStyle w:val="40"/>
          <w:rFonts w:hint="eastAsia" w:ascii="宋体" w:hAnsi="宋体" w:eastAsia="宋体" w:cs="宋体"/>
          <w:b w:val="0"/>
          <w:bCs/>
          <w:color w:val="auto"/>
          <w:sz w:val="24"/>
          <w:szCs w:val="24"/>
          <w:highlight w:val="none"/>
          <w:lang w:eastAsia="zh-CN"/>
        </w:rPr>
        <w:t>日</w:t>
      </w:r>
      <w:r>
        <w:rPr>
          <w:rStyle w:val="40"/>
          <w:rFonts w:hint="eastAsia" w:ascii="宋体" w:hAnsi="宋体" w:eastAsia="宋体" w:cs="宋体"/>
          <w:b w:val="0"/>
          <w:bCs/>
          <w:color w:val="auto"/>
          <w:sz w:val="24"/>
          <w:szCs w:val="24"/>
          <w:highlight w:val="none"/>
        </w:rPr>
        <w:t>期起计算。如因发包</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原因造成监理</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未能在合同</w:t>
      </w:r>
      <w:r>
        <w:rPr>
          <w:rStyle w:val="40"/>
          <w:rFonts w:hint="eastAsia" w:ascii="宋体" w:hAnsi="宋体" w:eastAsia="宋体" w:cs="宋体"/>
          <w:b w:val="0"/>
          <w:bCs/>
          <w:color w:val="auto"/>
          <w:sz w:val="24"/>
          <w:szCs w:val="24"/>
          <w:highlight w:val="none"/>
          <w:lang w:eastAsia="zh-CN"/>
        </w:rPr>
        <w:t>签订</w:t>
      </w:r>
      <w:r>
        <w:rPr>
          <w:rStyle w:val="40"/>
          <w:rFonts w:hint="eastAsia" w:ascii="宋体" w:hAnsi="宋体" w:eastAsia="宋体" w:cs="宋体"/>
          <w:b w:val="0"/>
          <w:bCs/>
          <w:color w:val="auto"/>
          <w:sz w:val="24"/>
          <w:szCs w:val="24"/>
          <w:highlight w:val="none"/>
        </w:rPr>
        <w:t>之日起</w:t>
      </w:r>
      <w:r>
        <w:rPr>
          <w:rStyle w:val="40"/>
          <w:rFonts w:hint="eastAsia" w:ascii="宋体" w:hAnsi="宋体" w:eastAsia="宋体" w:cs="宋体"/>
          <w:b w:val="0"/>
          <w:bCs/>
          <w:color w:val="auto"/>
          <w:sz w:val="24"/>
          <w:szCs w:val="24"/>
          <w:highlight w:val="none"/>
          <w:lang w:val="en-US" w:eastAsia="zh-CN"/>
        </w:rPr>
        <w:t>90</w:t>
      </w:r>
      <w:r>
        <w:rPr>
          <w:rStyle w:val="40"/>
          <w:rFonts w:hint="eastAsia" w:ascii="宋体" w:hAnsi="宋体" w:eastAsia="宋体" w:cs="宋体"/>
          <w:b w:val="0"/>
          <w:bCs/>
          <w:color w:val="auto"/>
          <w:sz w:val="24"/>
          <w:szCs w:val="24"/>
          <w:highlight w:val="none"/>
        </w:rPr>
        <w:t>天</w:t>
      </w:r>
      <w:r>
        <w:rPr>
          <w:rStyle w:val="40"/>
          <w:rFonts w:hint="eastAsia" w:ascii="宋体" w:hAnsi="宋体" w:eastAsia="宋体" w:cs="宋体"/>
          <w:b w:val="0"/>
          <w:bCs/>
          <w:color w:val="auto"/>
          <w:sz w:val="24"/>
          <w:szCs w:val="24"/>
          <w:highlight w:val="none"/>
          <w:lang w:eastAsia="zh-CN"/>
        </w:rPr>
        <w:t>内</w:t>
      </w:r>
      <w:r>
        <w:rPr>
          <w:rStyle w:val="40"/>
          <w:rFonts w:hint="eastAsia" w:ascii="宋体" w:hAnsi="宋体" w:eastAsia="宋体" w:cs="宋体"/>
          <w:b w:val="0"/>
          <w:bCs/>
          <w:color w:val="auto"/>
          <w:sz w:val="24"/>
          <w:szCs w:val="24"/>
          <w:highlight w:val="none"/>
        </w:rPr>
        <w:t>发出开始</w:t>
      </w:r>
      <w:r>
        <w:rPr>
          <w:rStyle w:val="40"/>
          <w:rFonts w:hint="eastAsia" w:ascii="宋体" w:hAnsi="宋体" w:eastAsia="宋体" w:cs="宋体"/>
          <w:b w:val="0"/>
          <w:bCs/>
          <w:color w:val="auto"/>
          <w:sz w:val="24"/>
          <w:szCs w:val="24"/>
          <w:highlight w:val="none"/>
          <w:lang w:eastAsia="zh-CN"/>
        </w:rPr>
        <w:t>工</w:t>
      </w:r>
      <w:r>
        <w:rPr>
          <w:rStyle w:val="40"/>
          <w:rFonts w:hint="eastAsia" w:ascii="宋体" w:hAnsi="宋体" w:eastAsia="宋体" w:cs="宋体"/>
          <w:b w:val="0"/>
          <w:bCs/>
          <w:color w:val="auto"/>
          <w:sz w:val="24"/>
          <w:szCs w:val="24"/>
          <w:highlight w:val="none"/>
        </w:rPr>
        <w:t>作通知的，发包</w:t>
      </w:r>
      <w:r>
        <w:rPr>
          <w:rStyle w:val="40"/>
          <w:rFonts w:hint="eastAsia" w:ascii="宋体" w:hAnsi="宋体" w:eastAsia="宋体" w:cs="宋体"/>
          <w:b w:val="0"/>
          <w:bCs/>
          <w:color w:val="auto"/>
          <w:sz w:val="24"/>
          <w:szCs w:val="24"/>
          <w:highlight w:val="none"/>
          <w:lang w:eastAsia="zh-CN"/>
        </w:rPr>
        <w:t>人应</w:t>
      </w:r>
      <w:r>
        <w:rPr>
          <w:rStyle w:val="40"/>
          <w:rFonts w:hint="eastAsia" w:ascii="宋体" w:hAnsi="宋体" w:eastAsia="宋体" w:cs="宋体"/>
          <w:b w:val="0"/>
          <w:bCs/>
          <w:color w:val="auto"/>
          <w:sz w:val="24"/>
          <w:szCs w:val="24"/>
          <w:highlight w:val="none"/>
        </w:rPr>
        <w:t>当承担由此增加的费用和（或）工期延误，并向承包</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支付合理利润。</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lang w:val="en-US" w:eastAsia="zh-CN"/>
        </w:rPr>
        <w:t>11.1.2</w:t>
      </w:r>
      <w:r>
        <w:rPr>
          <w:rStyle w:val="40"/>
          <w:rFonts w:hint="eastAsia" w:ascii="宋体" w:hAnsi="宋体" w:eastAsia="宋体" w:cs="宋体"/>
          <w:b w:val="0"/>
          <w:bCs/>
          <w:color w:val="auto"/>
          <w:sz w:val="24"/>
          <w:szCs w:val="24"/>
          <w:highlight w:val="none"/>
        </w:rPr>
        <w:t>开始工作的条件的是：承包</w:t>
      </w:r>
      <w:r>
        <w:rPr>
          <w:rStyle w:val="40"/>
          <w:rFonts w:hint="eastAsia" w:ascii="宋体" w:hAnsi="宋体" w:eastAsia="宋体" w:cs="宋体"/>
          <w:b w:val="0"/>
          <w:bCs/>
          <w:color w:val="auto"/>
          <w:sz w:val="24"/>
          <w:szCs w:val="24"/>
          <w:highlight w:val="none"/>
          <w:lang w:eastAsia="zh-CN"/>
        </w:rPr>
        <w:t>人应</w:t>
      </w:r>
      <w:r>
        <w:rPr>
          <w:rStyle w:val="40"/>
          <w:rFonts w:hint="eastAsia" w:ascii="宋体" w:hAnsi="宋体" w:eastAsia="宋体" w:cs="宋体"/>
          <w:b w:val="0"/>
          <w:bCs/>
          <w:color w:val="auto"/>
          <w:sz w:val="24"/>
          <w:szCs w:val="24"/>
          <w:highlight w:val="none"/>
        </w:rPr>
        <w:t>按第4</w:t>
      </w:r>
      <w:r>
        <w:rPr>
          <w:rStyle w:val="40"/>
          <w:rFonts w:hint="eastAsia" w:ascii="宋体" w:hAnsi="宋体" w:eastAsia="宋体" w:cs="宋体"/>
          <w:b w:val="0"/>
          <w:bCs/>
          <w:color w:val="auto"/>
          <w:sz w:val="24"/>
          <w:szCs w:val="24"/>
          <w:highlight w:val="none"/>
          <w:lang w:val="en-US" w:eastAsia="zh-CN"/>
        </w:rPr>
        <w:t>.12</w:t>
      </w:r>
      <w:r>
        <w:rPr>
          <w:rStyle w:val="40"/>
          <w:rFonts w:hint="eastAsia" w:ascii="宋体" w:hAnsi="宋体" w:eastAsia="宋体" w:cs="宋体"/>
          <w:b w:val="0"/>
          <w:bCs/>
          <w:color w:val="auto"/>
          <w:sz w:val="24"/>
          <w:szCs w:val="24"/>
          <w:highlight w:val="none"/>
        </w:rPr>
        <w:t>款约定的</w:t>
      </w:r>
      <w:r>
        <w:rPr>
          <w:rStyle w:val="40"/>
          <w:rFonts w:hint="eastAsia" w:ascii="宋体" w:hAnsi="宋体" w:eastAsia="宋体" w:cs="宋体"/>
          <w:b w:val="0"/>
          <w:bCs/>
          <w:color w:val="auto"/>
          <w:sz w:val="24"/>
          <w:szCs w:val="24"/>
          <w:highlight w:val="none"/>
          <w:lang w:eastAsia="zh-CN"/>
        </w:rPr>
        <w:t>合同</w:t>
      </w:r>
      <w:r>
        <w:rPr>
          <w:rStyle w:val="40"/>
          <w:rFonts w:hint="eastAsia" w:ascii="宋体" w:hAnsi="宋体" w:eastAsia="宋体" w:cs="宋体"/>
          <w:b w:val="0"/>
          <w:bCs/>
          <w:color w:val="auto"/>
          <w:sz w:val="24"/>
          <w:szCs w:val="24"/>
          <w:highlight w:val="none"/>
        </w:rPr>
        <w:t>进度计划，向监理</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提交工程开工报审表，经监理</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审批后执行（即开始工作的条件）。开工报审表</w:t>
      </w:r>
      <w:r>
        <w:rPr>
          <w:rStyle w:val="40"/>
          <w:rFonts w:hint="eastAsia" w:ascii="宋体" w:hAnsi="宋体" w:eastAsia="宋体" w:cs="宋体"/>
          <w:b w:val="0"/>
          <w:bCs/>
          <w:color w:val="auto"/>
          <w:sz w:val="24"/>
          <w:szCs w:val="24"/>
          <w:highlight w:val="none"/>
          <w:lang w:eastAsia="zh-CN"/>
        </w:rPr>
        <w:t>应</w:t>
      </w:r>
      <w:r>
        <w:rPr>
          <w:rStyle w:val="40"/>
          <w:rFonts w:hint="eastAsia" w:ascii="宋体" w:hAnsi="宋体" w:eastAsia="宋体" w:cs="宋体"/>
          <w:b w:val="0"/>
          <w:bCs/>
          <w:color w:val="auto"/>
          <w:sz w:val="24"/>
          <w:szCs w:val="24"/>
          <w:highlight w:val="none"/>
        </w:rPr>
        <w:t>详细说明按</w:t>
      </w:r>
      <w:r>
        <w:rPr>
          <w:rStyle w:val="40"/>
          <w:rFonts w:hint="eastAsia" w:ascii="宋体" w:hAnsi="宋体" w:eastAsia="宋体" w:cs="宋体"/>
          <w:b w:val="0"/>
          <w:bCs/>
          <w:color w:val="auto"/>
          <w:sz w:val="24"/>
          <w:szCs w:val="24"/>
          <w:highlight w:val="none"/>
          <w:lang w:eastAsia="zh-CN"/>
        </w:rPr>
        <w:t>合</w:t>
      </w:r>
      <w:r>
        <w:rPr>
          <w:rStyle w:val="40"/>
          <w:rFonts w:hint="eastAsia" w:ascii="宋体" w:hAnsi="宋体" w:eastAsia="宋体" w:cs="宋体"/>
          <w:b w:val="0"/>
          <w:bCs/>
          <w:color w:val="auto"/>
          <w:sz w:val="24"/>
          <w:szCs w:val="24"/>
          <w:highlight w:val="none"/>
        </w:rPr>
        <w:t>同进度计划正常施工所需的施工道路、临时设施、材料设备、施工</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员等施工组织措施的落实情况</w:t>
      </w:r>
      <w:r>
        <w:rPr>
          <w:rStyle w:val="40"/>
          <w:rFonts w:hint="eastAsia" w:ascii="宋体" w:hAnsi="宋体" w:eastAsia="宋体" w:cs="宋体"/>
          <w:b w:val="0"/>
          <w:bCs/>
          <w:color w:val="auto"/>
          <w:sz w:val="24"/>
          <w:szCs w:val="24"/>
          <w:highlight w:val="none"/>
          <w:lang w:eastAsia="zh-CN"/>
        </w:rPr>
        <w:t>以及</w:t>
      </w:r>
      <w:r>
        <w:rPr>
          <w:rStyle w:val="40"/>
          <w:rFonts w:hint="eastAsia" w:ascii="宋体" w:hAnsi="宋体" w:eastAsia="宋体" w:cs="宋体"/>
          <w:b w:val="0"/>
          <w:bCs/>
          <w:color w:val="auto"/>
          <w:sz w:val="24"/>
          <w:szCs w:val="24"/>
          <w:highlight w:val="none"/>
        </w:rPr>
        <w:t>工程的进度安排。</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lang w:val="en-US" w:eastAsia="zh-CN"/>
        </w:rPr>
        <w:t>11.1.3</w:t>
      </w:r>
      <w:r>
        <w:rPr>
          <w:rStyle w:val="40"/>
          <w:rFonts w:hint="eastAsia" w:ascii="宋体" w:hAnsi="宋体" w:eastAsia="宋体" w:cs="宋体"/>
          <w:b w:val="0"/>
          <w:bCs/>
          <w:color w:val="auto"/>
          <w:sz w:val="24"/>
          <w:szCs w:val="24"/>
          <w:highlight w:val="none"/>
        </w:rPr>
        <w:t>若发包</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未能按合同约定向承包</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提供开工的必要条件，承包</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有权要求延长工期。监</w:t>
      </w:r>
      <w:r>
        <w:rPr>
          <w:rStyle w:val="40"/>
          <w:rFonts w:hint="eastAsia" w:ascii="宋体" w:hAnsi="宋体" w:eastAsia="宋体" w:cs="宋体"/>
          <w:b w:val="0"/>
          <w:bCs/>
          <w:color w:val="auto"/>
          <w:sz w:val="24"/>
          <w:szCs w:val="24"/>
          <w:highlight w:val="none"/>
          <w:lang w:eastAsia="zh-CN"/>
        </w:rPr>
        <w:t>理人应</w:t>
      </w:r>
      <w:r>
        <w:rPr>
          <w:rStyle w:val="40"/>
          <w:rFonts w:hint="eastAsia" w:ascii="宋体" w:hAnsi="宋体" w:eastAsia="宋体" w:cs="宋体"/>
          <w:b w:val="0"/>
          <w:bCs/>
          <w:color w:val="auto"/>
          <w:sz w:val="24"/>
          <w:szCs w:val="24"/>
          <w:highlight w:val="none"/>
        </w:rPr>
        <w:t>在收到承包</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的书面要求后，按第3</w:t>
      </w:r>
      <w:r>
        <w:rPr>
          <w:rStyle w:val="40"/>
          <w:rFonts w:hint="eastAsia" w:ascii="宋体" w:hAnsi="宋体" w:eastAsia="宋体" w:cs="宋体"/>
          <w:b w:val="0"/>
          <w:bCs/>
          <w:color w:val="auto"/>
          <w:sz w:val="24"/>
          <w:szCs w:val="24"/>
          <w:highlight w:val="none"/>
          <w:lang w:val="en-US" w:eastAsia="zh-CN"/>
        </w:rPr>
        <w:t>.</w:t>
      </w:r>
      <w:r>
        <w:rPr>
          <w:rStyle w:val="40"/>
          <w:rFonts w:hint="eastAsia" w:ascii="宋体" w:hAnsi="宋体" w:eastAsia="宋体" w:cs="宋体"/>
          <w:b w:val="0"/>
          <w:bCs/>
          <w:color w:val="auto"/>
          <w:sz w:val="24"/>
          <w:szCs w:val="24"/>
          <w:highlight w:val="none"/>
        </w:rPr>
        <w:t>5款的约定，</w:t>
      </w:r>
      <w:r>
        <w:rPr>
          <w:rStyle w:val="40"/>
          <w:rFonts w:hint="eastAsia" w:ascii="宋体" w:hAnsi="宋体" w:eastAsia="宋体" w:cs="宋体"/>
          <w:b w:val="0"/>
          <w:bCs/>
          <w:color w:val="auto"/>
          <w:sz w:val="24"/>
          <w:szCs w:val="24"/>
          <w:highlight w:val="none"/>
          <w:lang w:eastAsia="zh-CN"/>
        </w:rPr>
        <w:t>与合同双</w:t>
      </w:r>
      <w:r>
        <w:rPr>
          <w:rStyle w:val="40"/>
          <w:rFonts w:hint="eastAsia" w:ascii="宋体" w:hAnsi="宋体" w:eastAsia="宋体" w:cs="宋体"/>
          <w:b w:val="0"/>
          <w:bCs/>
          <w:color w:val="auto"/>
          <w:sz w:val="24"/>
          <w:szCs w:val="24"/>
          <w:highlight w:val="none"/>
        </w:rPr>
        <w:t>方商定或确定工期延长，但</w:t>
      </w:r>
      <w:r>
        <w:rPr>
          <w:rStyle w:val="40"/>
          <w:rFonts w:hint="eastAsia" w:ascii="宋体" w:hAnsi="宋体" w:eastAsia="宋体" w:cs="宋体"/>
          <w:b w:val="0"/>
          <w:bCs/>
          <w:color w:val="auto"/>
          <w:sz w:val="24"/>
          <w:szCs w:val="24"/>
          <w:highlight w:val="none"/>
          <w:lang w:eastAsia="zh-CN"/>
        </w:rPr>
        <w:t>不</w:t>
      </w:r>
      <w:r>
        <w:rPr>
          <w:rStyle w:val="40"/>
          <w:rFonts w:hint="eastAsia" w:ascii="宋体" w:hAnsi="宋体" w:eastAsia="宋体" w:cs="宋体"/>
          <w:b w:val="0"/>
          <w:bCs/>
          <w:color w:val="auto"/>
          <w:sz w:val="24"/>
          <w:szCs w:val="24"/>
          <w:highlight w:val="none"/>
        </w:rPr>
        <w:t>调整</w:t>
      </w:r>
      <w:r>
        <w:rPr>
          <w:rStyle w:val="40"/>
          <w:rFonts w:hint="eastAsia" w:ascii="宋体" w:hAnsi="宋体" w:eastAsia="宋体" w:cs="宋体"/>
          <w:b w:val="0"/>
          <w:bCs/>
          <w:color w:val="auto"/>
          <w:sz w:val="24"/>
          <w:szCs w:val="24"/>
          <w:highlight w:val="none"/>
          <w:lang w:eastAsia="zh-CN"/>
        </w:rPr>
        <w:t>合</w:t>
      </w:r>
      <w:r>
        <w:rPr>
          <w:rStyle w:val="40"/>
          <w:rFonts w:hint="eastAsia" w:ascii="宋体" w:hAnsi="宋体" w:eastAsia="宋体" w:cs="宋体"/>
          <w:b w:val="0"/>
          <w:bCs/>
          <w:color w:val="auto"/>
          <w:sz w:val="24"/>
          <w:szCs w:val="24"/>
          <w:highlight w:val="none"/>
        </w:rPr>
        <w:t>同价格。</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rPr>
        <w:t>11.1.4承包</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在接到开工通知后</w:t>
      </w:r>
      <w:r>
        <w:rPr>
          <w:rStyle w:val="40"/>
          <w:rFonts w:hint="eastAsia" w:ascii="宋体" w:hAnsi="宋体" w:eastAsia="宋体" w:cs="宋体"/>
          <w:b w:val="0"/>
          <w:bCs/>
          <w:color w:val="auto"/>
          <w:sz w:val="24"/>
          <w:szCs w:val="24"/>
          <w:highlight w:val="none"/>
          <w:lang w:val="en-US" w:eastAsia="zh-CN"/>
        </w:rPr>
        <w:t>1</w:t>
      </w:r>
      <w:r>
        <w:rPr>
          <w:rStyle w:val="40"/>
          <w:rFonts w:hint="eastAsia" w:ascii="宋体" w:hAnsi="宋体" w:eastAsia="宋体" w:cs="宋体"/>
          <w:b w:val="0"/>
          <w:bCs/>
          <w:color w:val="auto"/>
          <w:sz w:val="24"/>
          <w:szCs w:val="24"/>
          <w:highlight w:val="none"/>
        </w:rPr>
        <w:t>4天内未按进度计划要求及时进场组织施工，监理</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可通知承包</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在接到通知后7天</w:t>
      </w:r>
      <w:r>
        <w:rPr>
          <w:rStyle w:val="40"/>
          <w:rFonts w:hint="eastAsia" w:ascii="宋体" w:hAnsi="宋体" w:eastAsia="宋体" w:cs="宋体"/>
          <w:b w:val="0"/>
          <w:bCs/>
          <w:color w:val="auto"/>
          <w:sz w:val="24"/>
          <w:szCs w:val="24"/>
          <w:highlight w:val="none"/>
          <w:lang w:eastAsia="zh-CN"/>
        </w:rPr>
        <w:t>内</w:t>
      </w:r>
      <w:r>
        <w:rPr>
          <w:rStyle w:val="40"/>
          <w:rFonts w:hint="eastAsia" w:ascii="宋体" w:hAnsi="宋体" w:eastAsia="宋体" w:cs="宋体"/>
          <w:b w:val="0"/>
          <w:bCs/>
          <w:color w:val="auto"/>
          <w:sz w:val="24"/>
          <w:szCs w:val="24"/>
          <w:highlight w:val="none"/>
        </w:rPr>
        <w:t>提交一份说明其进场延误的书面报告，报送监理</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。书面报告</w:t>
      </w:r>
      <w:r>
        <w:rPr>
          <w:rStyle w:val="40"/>
          <w:rFonts w:hint="eastAsia" w:ascii="宋体" w:hAnsi="宋体" w:eastAsia="宋体" w:cs="宋体"/>
          <w:b w:val="0"/>
          <w:bCs/>
          <w:color w:val="auto"/>
          <w:sz w:val="24"/>
          <w:szCs w:val="24"/>
          <w:highlight w:val="none"/>
          <w:lang w:eastAsia="zh-CN"/>
        </w:rPr>
        <w:t>应</w:t>
      </w:r>
      <w:r>
        <w:rPr>
          <w:rStyle w:val="40"/>
          <w:rFonts w:hint="eastAsia" w:ascii="宋体" w:hAnsi="宋体" w:eastAsia="宋体" w:cs="宋体"/>
          <w:b w:val="0"/>
          <w:bCs/>
          <w:color w:val="auto"/>
          <w:sz w:val="24"/>
          <w:szCs w:val="24"/>
          <w:highlight w:val="none"/>
        </w:rPr>
        <w:t>说明不能及时进场的原因和补</w:t>
      </w:r>
      <w:r>
        <w:rPr>
          <w:rStyle w:val="40"/>
          <w:rFonts w:hint="eastAsia" w:ascii="宋体" w:hAnsi="宋体" w:eastAsia="宋体" w:cs="宋体"/>
          <w:b w:val="0"/>
          <w:bCs/>
          <w:color w:val="auto"/>
          <w:sz w:val="24"/>
          <w:szCs w:val="24"/>
          <w:highlight w:val="none"/>
          <w:lang w:eastAsia="zh-CN"/>
        </w:rPr>
        <w:t>救</w:t>
      </w:r>
      <w:r>
        <w:rPr>
          <w:rStyle w:val="40"/>
          <w:rFonts w:hint="eastAsia" w:ascii="宋体" w:hAnsi="宋体" w:eastAsia="宋体" w:cs="宋体"/>
          <w:b w:val="0"/>
          <w:bCs/>
          <w:color w:val="auto"/>
          <w:sz w:val="24"/>
          <w:szCs w:val="24"/>
          <w:highlight w:val="none"/>
        </w:rPr>
        <w:t>措施，由此增加的费用和工期延误责任由承包</w:t>
      </w:r>
      <w:r>
        <w:rPr>
          <w:rStyle w:val="40"/>
          <w:rFonts w:hint="eastAsia" w:ascii="宋体" w:hAnsi="宋体" w:eastAsia="宋体" w:cs="宋体"/>
          <w:b w:val="0"/>
          <w:bCs/>
          <w:color w:val="auto"/>
          <w:sz w:val="24"/>
          <w:szCs w:val="24"/>
          <w:highlight w:val="none"/>
          <w:lang w:eastAsia="zh-CN"/>
        </w:rPr>
        <w:t>人</w:t>
      </w:r>
      <w:r>
        <w:rPr>
          <w:rStyle w:val="40"/>
          <w:rFonts w:hint="eastAsia" w:ascii="宋体" w:hAnsi="宋体" w:eastAsia="宋体" w:cs="宋体"/>
          <w:b w:val="0"/>
          <w:bCs/>
          <w:color w:val="auto"/>
          <w:sz w:val="24"/>
          <w:szCs w:val="24"/>
          <w:highlight w:val="none"/>
        </w:rPr>
        <w:t>承担。</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lang w:val="en-US" w:eastAsia="zh-CN"/>
        </w:rPr>
      </w:pPr>
      <w:r>
        <w:rPr>
          <w:rStyle w:val="40"/>
          <w:rFonts w:hint="eastAsia" w:ascii="宋体" w:hAnsi="宋体" w:eastAsia="宋体" w:cs="宋体"/>
          <w:b/>
          <w:color w:val="auto"/>
          <w:sz w:val="24"/>
          <w:szCs w:val="24"/>
          <w:highlight w:val="none"/>
          <w:lang w:val="en-US" w:eastAsia="zh-CN"/>
        </w:rPr>
        <w:t>11.3发包人的工期延误</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lang w:eastAsia="zh-CN"/>
        </w:rPr>
      </w:pPr>
      <w:r>
        <w:rPr>
          <w:rStyle w:val="40"/>
          <w:rFonts w:hint="eastAsia" w:ascii="宋体" w:hAnsi="宋体" w:eastAsia="宋体" w:cs="宋体"/>
          <w:b w:val="0"/>
          <w:bCs/>
          <w:color w:val="auto"/>
          <w:sz w:val="24"/>
          <w:szCs w:val="24"/>
          <w:highlight w:val="none"/>
          <w:lang w:eastAsia="zh-CN"/>
        </w:rPr>
        <w:t>本款增加：</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lang w:eastAsia="zh-CN"/>
        </w:rPr>
      </w:pPr>
      <w:r>
        <w:rPr>
          <w:rStyle w:val="40"/>
          <w:rFonts w:hint="eastAsia" w:ascii="宋体" w:hAnsi="宋体" w:eastAsia="宋体" w:cs="宋体"/>
          <w:b w:val="0"/>
          <w:bCs/>
          <w:color w:val="auto"/>
          <w:sz w:val="24"/>
          <w:szCs w:val="24"/>
          <w:highlight w:val="none"/>
          <w:lang w:eastAsia="zh-CN"/>
        </w:rPr>
        <w:t>（</w:t>
      </w:r>
      <w:r>
        <w:rPr>
          <w:rStyle w:val="40"/>
          <w:rFonts w:hint="eastAsia" w:ascii="宋体" w:hAnsi="宋体" w:eastAsia="宋体" w:cs="宋体"/>
          <w:b w:val="0"/>
          <w:bCs/>
          <w:color w:val="auto"/>
          <w:sz w:val="24"/>
          <w:szCs w:val="24"/>
          <w:highlight w:val="none"/>
          <w:lang w:val="en-US" w:eastAsia="zh-CN"/>
        </w:rPr>
        <w:t>9</w:t>
      </w:r>
      <w:r>
        <w:rPr>
          <w:rStyle w:val="40"/>
          <w:rFonts w:hint="eastAsia" w:ascii="宋体" w:hAnsi="宋体" w:eastAsia="宋体" w:cs="宋体"/>
          <w:b w:val="0"/>
          <w:bCs/>
          <w:color w:val="auto"/>
          <w:sz w:val="24"/>
          <w:szCs w:val="24"/>
          <w:highlight w:val="none"/>
          <w:lang w:eastAsia="zh-CN"/>
        </w:rPr>
        <w:t>）监理人未按合同规定的期限发出开工通知或发包人未能按合同规定向承包人提供开工的必要条件，承包人有权提出延长工期的要求。监理人应在收到承包人的要求后立即与发包人和承包人共同协商补救办法，工期延误责任由发包人承担。</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11.4  异常恶劣的气候条件</w:t>
      </w:r>
    </w:p>
    <w:p>
      <w:pPr>
        <w:pStyle w:val="210"/>
        <w:keepNext w:val="0"/>
        <w:keepLines w:val="0"/>
        <w:pageBreakBefore w:val="0"/>
        <w:widowControl w:val="0"/>
        <w:kinsoku/>
        <w:wordWrap/>
        <w:overflowPunct/>
        <w:topLinePunct w:val="0"/>
        <w:bidi w:val="0"/>
        <w:snapToGrid/>
        <w:spacing w:after="200" w:line="400" w:lineRule="exact"/>
        <w:ind w:left="0" w:leftChars="0" w:right="0" w:rightChars="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 xml:space="preserve">    11.4.3本合同工程界定异常恶劣气候条件的范围为：</w:t>
      </w:r>
    </w:p>
    <w:p>
      <w:pPr>
        <w:pStyle w:val="210"/>
        <w:overflowPunct w:val="0"/>
        <w:spacing w:after="200" w:line="360" w:lineRule="exact"/>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⑴  日降雨量大于</w:t>
      </w:r>
      <w:r>
        <w:rPr>
          <w:rStyle w:val="40"/>
          <w:rFonts w:hint="eastAsia" w:ascii="宋体" w:hAnsi="宋体" w:eastAsia="宋体" w:cs="宋体"/>
          <w:color w:val="auto"/>
          <w:sz w:val="24"/>
          <w:szCs w:val="24"/>
          <w:highlight w:val="none"/>
          <w:u w:val="single"/>
        </w:rPr>
        <w:t xml:space="preserve">  50  </w:t>
      </w:r>
      <w:r>
        <w:rPr>
          <w:rStyle w:val="40"/>
          <w:rFonts w:hint="eastAsia" w:ascii="宋体" w:hAnsi="宋体" w:eastAsia="宋体" w:cs="宋体"/>
          <w:color w:val="auto"/>
          <w:sz w:val="24"/>
          <w:szCs w:val="24"/>
          <w:highlight w:val="none"/>
        </w:rPr>
        <w:t>mm 的雨日超过</w:t>
      </w:r>
      <w:r>
        <w:rPr>
          <w:rStyle w:val="40"/>
          <w:rFonts w:hint="eastAsia" w:ascii="宋体" w:hAnsi="宋体" w:eastAsia="宋体" w:cs="宋体"/>
          <w:color w:val="auto"/>
          <w:sz w:val="24"/>
          <w:szCs w:val="24"/>
          <w:highlight w:val="none"/>
          <w:u w:val="single"/>
        </w:rPr>
        <w:t xml:space="preserve">  10  </w:t>
      </w:r>
      <w:r>
        <w:rPr>
          <w:rStyle w:val="40"/>
          <w:rFonts w:hint="eastAsia" w:ascii="宋体" w:hAnsi="宋体" w:eastAsia="宋体" w:cs="宋体"/>
          <w:color w:val="auto"/>
          <w:sz w:val="24"/>
          <w:szCs w:val="24"/>
          <w:highlight w:val="none"/>
        </w:rPr>
        <w:t xml:space="preserve">天； </w:t>
      </w:r>
    </w:p>
    <w:p>
      <w:pPr>
        <w:pStyle w:val="210"/>
        <w:overflowPunct w:val="0"/>
        <w:spacing w:after="200" w:line="360" w:lineRule="exact"/>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⑵  风速大于</w:t>
      </w:r>
      <w:r>
        <w:rPr>
          <w:rStyle w:val="40"/>
          <w:rFonts w:hint="eastAsia" w:ascii="宋体" w:hAnsi="宋体" w:eastAsia="宋体" w:cs="宋体"/>
          <w:color w:val="auto"/>
          <w:sz w:val="24"/>
          <w:szCs w:val="24"/>
          <w:highlight w:val="none"/>
          <w:u w:val="single"/>
        </w:rPr>
        <w:t xml:space="preserve">  35  </w:t>
      </w:r>
      <w:r>
        <w:rPr>
          <w:rStyle w:val="40"/>
          <w:rFonts w:hint="eastAsia" w:ascii="宋体" w:hAnsi="宋体" w:eastAsia="宋体" w:cs="宋体"/>
          <w:color w:val="auto"/>
          <w:sz w:val="24"/>
          <w:szCs w:val="24"/>
          <w:highlight w:val="none"/>
        </w:rPr>
        <w:t>m/S的风灾；</w:t>
      </w:r>
    </w:p>
    <w:p>
      <w:pPr>
        <w:pStyle w:val="210"/>
        <w:overflowPunct w:val="0"/>
        <w:spacing w:after="200" w:line="360" w:lineRule="exact"/>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⑶  日气温超过</w:t>
      </w:r>
      <w:r>
        <w:rPr>
          <w:rStyle w:val="40"/>
          <w:rFonts w:hint="eastAsia" w:ascii="宋体" w:hAnsi="宋体" w:eastAsia="宋体" w:cs="宋体"/>
          <w:color w:val="auto"/>
          <w:sz w:val="24"/>
          <w:szCs w:val="24"/>
          <w:highlight w:val="none"/>
          <w:u w:val="single"/>
        </w:rPr>
        <w:t xml:space="preserve">  40.3  </w:t>
      </w:r>
      <w:r>
        <w:rPr>
          <w:rStyle w:val="40"/>
          <w:rFonts w:hint="eastAsia" w:ascii="宋体" w:hAnsi="宋体" w:eastAsia="宋体" w:cs="宋体"/>
          <w:color w:val="auto"/>
          <w:sz w:val="24"/>
          <w:szCs w:val="24"/>
          <w:highlight w:val="none"/>
        </w:rPr>
        <w:t>℃ 的高温大于</w:t>
      </w:r>
      <w:r>
        <w:rPr>
          <w:rStyle w:val="40"/>
          <w:rFonts w:hint="eastAsia" w:ascii="宋体" w:hAnsi="宋体" w:eastAsia="宋体" w:cs="宋体"/>
          <w:color w:val="auto"/>
          <w:sz w:val="24"/>
          <w:szCs w:val="24"/>
          <w:highlight w:val="none"/>
          <w:u w:val="single"/>
        </w:rPr>
        <w:t xml:space="preserve">  20  </w:t>
      </w:r>
      <w:r>
        <w:rPr>
          <w:rStyle w:val="40"/>
          <w:rFonts w:hint="eastAsia" w:ascii="宋体" w:hAnsi="宋体" w:eastAsia="宋体" w:cs="宋体"/>
          <w:color w:val="auto"/>
          <w:sz w:val="24"/>
          <w:szCs w:val="24"/>
          <w:highlight w:val="none"/>
        </w:rPr>
        <w:t>天；</w:t>
      </w:r>
    </w:p>
    <w:p>
      <w:pPr>
        <w:pStyle w:val="210"/>
        <w:overflowPunct w:val="0"/>
        <w:spacing w:after="200" w:line="360" w:lineRule="exact"/>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⑷  日气温低于</w:t>
      </w:r>
      <w:r>
        <w:rPr>
          <w:rStyle w:val="40"/>
          <w:rFonts w:hint="eastAsia" w:ascii="宋体" w:hAnsi="宋体" w:eastAsia="宋体" w:cs="宋体"/>
          <w:color w:val="auto"/>
          <w:sz w:val="24"/>
          <w:szCs w:val="24"/>
          <w:highlight w:val="none"/>
          <w:u w:val="single"/>
        </w:rPr>
        <w:t xml:space="preserve">  -32.2  </w:t>
      </w:r>
      <w:r>
        <w:rPr>
          <w:rStyle w:val="40"/>
          <w:rFonts w:hint="eastAsia" w:ascii="宋体" w:hAnsi="宋体" w:eastAsia="宋体" w:cs="宋体"/>
          <w:color w:val="auto"/>
          <w:sz w:val="24"/>
          <w:szCs w:val="24"/>
          <w:highlight w:val="none"/>
        </w:rPr>
        <w:t>℃ 的严寒大于</w:t>
      </w:r>
      <w:r>
        <w:rPr>
          <w:rStyle w:val="40"/>
          <w:rFonts w:hint="eastAsia" w:ascii="宋体" w:hAnsi="宋体" w:eastAsia="宋体" w:cs="宋体"/>
          <w:color w:val="auto"/>
          <w:sz w:val="24"/>
          <w:szCs w:val="24"/>
          <w:highlight w:val="none"/>
          <w:u w:val="single"/>
        </w:rPr>
        <w:t xml:space="preserve">  10  </w:t>
      </w:r>
      <w:r>
        <w:rPr>
          <w:rStyle w:val="40"/>
          <w:rFonts w:hint="eastAsia" w:ascii="宋体" w:hAnsi="宋体" w:eastAsia="宋体" w:cs="宋体"/>
          <w:color w:val="auto"/>
          <w:sz w:val="24"/>
          <w:szCs w:val="24"/>
          <w:highlight w:val="none"/>
        </w:rPr>
        <w:t>天；</w:t>
      </w:r>
    </w:p>
    <w:p>
      <w:pPr>
        <w:pStyle w:val="210"/>
        <w:overflowPunct w:val="0"/>
        <w:spacing w:after="200" w:line="360" w:lineRule="exact"/>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⑸  造成工程损坏的冰雹和大雪灾害：</w:t>
      </w:r>
      <w:r>
        <w:rPr>
          <w:rStyle w:val="40"/>
          <w:rFonts w:hint="eastAsia" w:ascii="宋体" w:hAnsi="宋体" w:eastAsia="宋体" w:cs="宋体"/>
          <w:color w:val="auto"/>
          <w:sz w:val="24"/>
          <w:szCs w:val="24"/>
          <w:highlight w:val="none"/>
          <w:u w:val="single"/>
        </w:rPr>
        <w:t xml:space="preserve">  承包人充分考虑  </w:t>
      </w:r>
      <w:r>
        <w:rPr>
          <w:rStyle w:val="40"/>
          <w:rFonts w:hint="eastAsia" w:ascii="宋体" w:hAnsi="宋体" w:eastAsia="宋体" w:cs="宋体"/>
          <w:color w:val="auto"/>
          <w:sz w:val="24"/>
          <w:szCs w:val="24"/>
          <w:highlight w:val="none"/>
        </w:rPr>
        <w:t xml:space="preserve">； </w:t>
      </w:r>
    </w:p>
    <w:p>
      <w:pPr>
        <w:pStyle w:val="210"/>
        <w:keepNext w:val="0"/>
        <w:keepLines w:val="0"/>
        <w:pageBreakBefore w:val="0"/>
        <w:widowControl w:val="0"/>
        <w:kinsoku/>
        <w:wordWrap/>
        <w:overflowPunct/>
        <w:topLinePunct w:val="0"/>
        <w:bidi w:val="0"/>
        <w:snapToGrid/>
        <w:spacing w:after="200" w:line="400" w:lineRule="exact"/>
        <w:ind w:left="0" w:leftChars="0" w:right="0" w:rightChars="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 xml:space="preserve">    ⑹  其它异常恶劣气候灾害：</w:t>
      </w:r>
      <w:r>
        <w:rPr>
          <w:rStyle w:val="40"/>
          <w:rFonts w:hint="eastAsia" w:ascii="宋体" w:hAnsi="宋体" w:eastAsia="宋体" w:cs="宋体"/>
          <w:color w:val="auto"/>
          <w:sz w:val="24"/>
          <w:szCs w:val="24"/>
          <w:highlight w:val="none"/>
          <w:u w:val="single"/>
        </w:rPr>
        <w:t xml:space="preserve">  除工程保险规定以外的，承包人充分考虑  </w:t>
      </w:r>
      <w:r>
        <w:rPr>
          <w:rStyle w:val="40"/>
          <w:rFonts w:hint="eastAsia" w:ascii="宋体" w:hAnsi="宋体" w:eastAsia="宋体" w:cs="宋体"/>
          <w:color w:val="auto"/>
          <w:sz w:val="24"/>
          <w:szCs w:val="24"/>
          <w:highlight w:val="none"/>
        </w:rPr>
        <w:t>。</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11.5  承包人工期延误</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增加条款：</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rPr>
        <w:t>（1）承包人在接到开工通知后14天内未按进度计划要求及时进点组织施工，监理人可通知承包人在接到通知后7天内编制一份赶工措施报告报送监理人审批。赶工措施报告应详细说明不能及时进步的原因和赶工办法，由此增加的费用和工期延误责任由承包人承担。</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rPr>
        <w:t>（2）由于承包人原因未能按控制性节点合同要求的完工日期完工，承包人应按第10.2款（2）项的规定采取赶工措施赶上进度。若采取赶工措施后仍未能按合同规定的完工日期完工，承包人除自行承担采取赶工措施所增加的费用外，还应支付逾期完工违约金。若承包人的工期延误构成违约时，应按第22.1条的规定办理。本合同工程逾期完工违约金为</w:t>
      </w:r>
      <w:r>
        <w:rPr>
          <w:rStyle w:val="40"/>
          <w:rFonts w:hint="eastAsia" w:ascii="宋体" w:hAnsi="宋体" w:eastAsia="宋体" w:cs="宋体"/>
          <w:b w:val="0"/>
          <w:bCs/>
          <w:color w:val="auto"/>
          <w:sz w:val="24"/>
          <w:szCs w:val="24"/>
          <w:highlight w:val="none"/>
          <w:lang w:val="en-US" w:eastAsia="zh-CN"/>
        </w:rPr>
        <w:t>3</w:t>
      </w:r>
      <w:r>
        <w:rPr>
          <w:rStyle w:val="40"/>
          <w:rFonts w:hint="eastAsia" w:ascii="宋体" w:hAnsi="宋体" w:eastAsia="宋体" w:cs="宋体"/>
          <w:b w:val="0"/>
          <w:bCs/>
          <w:color w:val="auto"/>
          <w:sz w:val="24"/>
          <w:szCs w:val="24"/>
          <w:highlight w:val="none"/>
        </w:rPr>
        <w:t>000元/天，但全部逾期完工违约金的总限额不超过签约合同价的</w:t>
      </w:r>
      <w:r>
        <w:rPr>
          <w:rStyle w:val="40"/>
          <w:rFonts w:hint="eastAsia" w:ascii="宋体" w:hAnsi="宋体" w:eastAsia="宋体" w:cs="宋体"/>
          <w:b w:val="0"/>
          <w:bCs/>
          <w:color w:val="auto"/>
          <w:sz w:val="24"/>
          <w:szCs w:val="24"/>
          <w:highlight w:val="none"/>
          <w:lang w:val="en-US" w:eastAsia="zh-CN"/>
        </w:rPr>
        <w:t>5</w:t>
      </w:r>
      <w:r>
        <w:rPr>
          <w:rStyle w:val="40"/>
          <w:rFonts w:hint="eastAsia" w:ascii="宋体" w:hAnsi="宋体" w:eastAsia="宋体" w:cs="宋体"/>
          <w:b w:val="0"/>
          <w:bCs/>
          <w:color w:val="auto"/>
          <w:sz w:val="24"/>
          <w:szCs w:val="24"/>
          <w:highlight w:val="none"/>
        </w:rPr>
        <w:t>%。</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rPr>
        <w:t>（3）承包人的施工进度、人员、设备不能按投标文件所列的时间按期足额完好到场并严重影响工期时，由承包人按天支付工程逾期完工违约金为</w:t>
      </w:r>
      <w:r>
        <w:rPr>
          <w:rStyle w:val="40"/>
          <w:rFonts w:hint="eastAsia" w:ascii="宋体" w:hAnsi="宋体" w:eastAsia="宋体" w:cs="宋体"/>
          <w:b w:val="0"/>
          <w:bCs/>
          <w:color w:val="auto"/>
          <w:sz w:val="24"/>
          <w:szCs w:val="24"/>
          <w:highlight w:val="none"/>
          <w:lang w:val="en-US" w:eastAsia="zh-CN"/>
        </w:rPr>
        <w:t>3</w:t>
      </w:r>
      <w:r>
        <w:rPr>
          <w:rStyle w:val="40"/>
          <w:rFonts w:hint="eastAsia" w:ascii="宋体" w:hAnsi="宋体" w:eastAsia="宋体" w:cs="宋体"/>
          <w:b w:val="0"/>
          <w:bCs/>
          <w:color w:val="auto"/>
          <w:sz w:val="24"/>
          <w:szCs w:val="24"/>
          <w:highlight w:val="none"/>
        </w:rPr>
        <w:t>000元/天，但全部逾期完工违约金的总限额不超过签约合同价的</w:t>
      </w:r>
      <w:r>
        <w:rPr>
          <w:rStyle w:val="40"/>
          <w:rFonts w:hint="eastAsia" w:ascii="宋体" w:hAnsi="宋体" w:eastAsia="宋体" w:cs="宋体"/>
          <w:b w:val="0"/>
          <w:bCs/>
          <w:color w:val="auto"/>
          <w:sz w:val="24"/>
          <w:szCs w:val="24"/>
          <w:highlight w:val="none"/>
          <w:lang w:val="en-US" w:eastAsia="zh-CN"/>
        </w:rPr>
        <w:t>5</w:t>
      </w:r>
      <w:r>
        <w:rPr>
          <w:rStyle w:val="40"/>
          <w:rFonts w:hint="eastAsia" w:ascii="宋体" w:hAnsi="宋体" w:eastAsia="宋体" w:cs="宋体"/>
          <w:b w:val="0"/>
          <w:bCs/>
          <w:color w:val="auto"/>
          <w:sz w:val="24"/>
          <w:szCs w:val="24"/>
          <w:highlight w:val="none"/>
        </w:rPr>
        <w:t>%；必要时，发包人还将清退承包人，并报请有关部门予以通报；由于清退而引起的一切经济损失均由承包人承担（其中含承包人的自身损失和发包人需重新寻选施工单位、进行工程维护，对施工场地进行植护、尾工价格差异等一系列工期与经济连带损失）。</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b w:val="0"/>
          <w:bCs/>
          <w:color w:val="auto"/>
          <w:sz w:val="24"/>
          <w:szCs w:val="24"/>
          <w:highlight w:val="none"/>
        </w:rPr>
      </w:pPr>
      <w:r>
        <w:rPr>
          <w:rStyle w:val="40"/>
          <w:rFonts w:hint="eastAsia" w:ascii="宋体" w:hAnsi="宋体" w:eastAsia="宋体" w:cs="宋体"/>
          <w:b w:val="0"/>
          <w:bCs/>
          <w:color w:val="auto"/>
          <w:sz w:val="24"/>
          <w:szCs w:val="24"/>
          <w:highlight w:val="none"/>
        </w:rPr>
        <w:t>向发包人支付的违约金将从履约保证金或工程结算款中扣除。</w:t>
      </w:r>
    </w:p>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（4）逾期完工违约金表（参考格式）。</w:t>
      </w:r>
    </w:p>
    <w:tbl>
      <w:tblPr>
        <w:tblStyle w:val="38"/>
        <w:tblW w:w="0" w:type="auto"/>
        <w:tblInd w:w="68" w:type="dxa"/>
        <w:tblLayout w:type="fixed"/>
        <w:tblCellMar>
          <w:top w:w="0" w:type="dxa"/>
          <w:left w:w="0" w:type="dxa"/>
          <w:bottom w:w="0" w:type="dxa"/>
          <w:right w:w="0" w:type="dxa"/>
        </w:tblCellMar>
      </w:tblPr>
      <w:tblGrid>
        <w:gridCol w:w="966"/>
        <w:gridCol w:w="3534"/>
        <w:gridCol w:w="2100"/>
        <w:gridCol w:w="2195"/>
      </w:tblGrid>
      <w:tr>
        <w:tblPrEx>
          <w:tblCellMar>
            <w:top w:w="0" w:type="dxa"/>
            <w:left w:w="0" w:type="dxa"/>
            <w:bottom w:w="0" w:type="dxa"/>
            <w:right w:w="0" w:type="dxa"/>
          </w:tblCellMar>
        </w:tblPrEx>
        <w:trPr>
          <w:trHeight w:val="439" w:hRule="exact"/>
        </w:trPr>
        <w:tc>
          <w:tcPr>
            <w:tcW w:w="966" w:type="dxa"/>
            <w:tcBorders>
              <w:top w:val="single" w:color="auto" w:sz="8" w:space="0"/>
              <w:left w:val="single" w:color="auto" w:sz="8" w:space="0"/>
              <w:bottom w:val="single" w:color="auto" w:sz="8" w:space="0"/>
              <w:right w:val="single" w:color="auto" w:sz="8" w:space="0"/>
            </w:tcBorders>
            <w:noWrap w:val="0"/>
            <w:vAlign w:val="top"/>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序号</w:t>
            </w:r>
          </w:p>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p>
        </w:tc>
        <w:tc>
          <w:tcPr>
            <w:tcW w:w="3534" w:type="dxa"/>
            <w:tcBorders>
              <w:top w:val="single" w:color="auto" w:sz="8" w:space="0"/>
              <w:left w:val="single" w:color="auto" w:sz="8" w:space="0"/>
              <w:bottom w:val="single" w:color="auto" w:sz="4" w:space="0"/>
              <w:right w:val="single" w:color="auto" w:sz="8" w:space="0"/>
            </w:tcBorders>
            <w:noWrap w:val="0"/>
            <w:vAlign w:val="top"/>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项目及其说明</w:t>
            </w:r>
          </w:p>
        </w:tc>
        <w:tc>
          <w:tcPr>
            <w:tcW w:w="2100" w:type="dxa"/>
            <w:tcBorders>
              <w:top w:val="single" w:color="auto" w:sz="8" w:space="0"/>
              <w:left w:val="single" w:color="auto" w:sz="8" w:space="0"/>
              <w:bottom w:val="single" w:color="auto" w:sz="4" w:space="0"/>
              <w:right w:val="single" w:color="auto" w:sz="8" w:space="0"/>
            </w:tcBorders>
            <w:noWrap w:val="0"/>
            <w:vAlign w:val="center"/>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要求完工日期</w:t>
            </w:r>
          </w:p>
        </w:tc>
        <w:tc>
          <w:tcPr>
            <w:tcW w:w="2195" w:type="dxa"/>
            <w:tcBorders>
              <w:top w:val="single" w:color="auto" w:sz="8" w:space="0"/>
              <w:left w:val="single" w:color="auto" w:sz="8" w:space="0"/>
              <w:bottom w:val="single" w:color="auto" w:sz="4" w:space="0"/>
              <w:right w:val="single" w:color="auto" w:sz="8" w:space="0"/>
            </w:tcBorders>
            <w:noWrap w:val="0"/>
            <w:vAlign w:val="center"/>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违约金（元／天）</w:t>
            </w:r>
          </w:p>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p>
        </w:tc>
      </w:tr>
      <w:tr>
        <w:tblPrEx>
          <w:tblCellMar>
            <w:top w:w="0" w:type="dxa"/>
            <w:left w:w="0" w:type="dxa"/>
            <w:bottom w:w="0" w:type="dxa"/>
            <w:right w:w="0" w:type="dxa"/>
          </w:tblCellMar>
        </w:tblPrEx>
        <w:trPr>
          <w:trHeight w:val="439" w:hRule="exact"/>
        </w:trPr>
        <w:tc>
          <w:tcPr>
            <w:tcW w:w="966" w:type="dxa"/>
            <w:tcBorders>
              <w:top w:val="single" w:color="auto" w:sz="8" w:space="0"/>
              <w:left w:val="single" w:color="auto" w:sz="8" w:space="0"/>
              <w:bottom w:val="single" w:color="auto" w:sz="8" w:space="0"/>
              <w:right w:val="single" w:color="auto" w:sz="4" w:space="0"/>
            </w:tcBorders>
            <w:noWrap w:val="0"/>
            <w:vAlign w:val="top"/>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2</w:t>
            </w:r>
          </w:p>
        </w:tc>
        <w:tc>
          <w:tcPr>
            <w:tcW w:w="3534" w:type="dxa"/>
            <w:tcBorders>
              <w:top w:val="single" w:color="auto" w:sz="4" w:space="0"/>
              <w:left w:val="single" w:color="auto" w:sz="4" w:space="0"/>
              <w:bottom w:val="single" w:color="auto" w:sz="4" w:space="0"/>
              <w:right w:val="single" w:color="auto" w:sz="4" w:space="0"/>
            </w:tcBorders>
            <w:noWrap w:val="0"/>
            <w:vAlign w:val="top"/>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合同工程完工</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2022年 月  日</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3000</w:t>
            </w:r>
          </w:p>
        </w:tc>
      </w:tr>
      <w:tr>
        <w:tblPrEx>
          <w:tblCellMar>
            <w:top w:w="0" w:type="dxa"/>
            <w:left w:w="0" w:type="dxa"/>
            <w:bottom w:w="0" w:type="dxa"/>
            <w:right w:w="0" w:type="dxa"/>
          </w:tblCellMar>
        </w:tblPrEx>
        <w:trPr>
          <w:trHeight w:val="439" w:hRule="exact"/>
        </w:trPr>
        <w:tc>
          <w:tcPr>
            <w:tcW w:w="966" w:type="dxa"/>
            <w:tcBorders>
              <w:top w:val="single" w:color="auto" w:sz="8" w:space="0"/>
              <w:left w:val="single" w:color="auto" w:sz="8" w:space="0"/>
              <w:bottom w:val="single" w:color="auto" w:sz="8" w:space="0"/>
              <w:right w:val="single" w:color="auto" w:sz="4" w:space="0"/>
            </w:tcBorders>
            <w:noWrap w:val="0"/>
            <w:vAlign w:val="top"/>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3</w:t>
            </w:r>
          </w:p>
        </w:tc>
        <w:tc>
          <w:tcPr>
            <w:tcW w:w="3534" w:type="dxa"/>
            <w:tcBorders>
              <w:top w:val="single" w:color="auto" w:sz="4" w:space="0"/>
              <w:left w:val="single" w:color="auto" w:sz="4" w:space="0"/>
              <w:bottom w:val="single" w:color="auto" w:sz="4" w:space="0"/>
              <w:right w:val="single" w:color="auto" w:sz="4" w:space="0"/>
            </w:tcBorders>
            <w:noWrap w:val="0"/>
            <w:vAlign w:val="top"/>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分部工程验收</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Style w:val="210"/>
              <w:keepNext w:val="0"/>
              <w:keepLines w:val="0"/>
              <w:pageBreakBefore w:val="0"/>
              <w:widowControl w:val="0"/>
              <w:kinsoku/>
              <w:wordWrap/>
              <w:overflowPunct/>
              <w:topLinePunct w:val="0"/>
              <w:bidi w:val="0"/>
              <w:snapToGrid/>
              <w:spacing w:after="200" w:line="400" w:lineRule="exact"/>
              <w:ind w:left="0" w:leftChars="0" w:right="0" w:rightChars="0" w:firstLine="480" w:firstLineChars="200"/>
              <w:jc w:val="both"/>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2022年 月 日</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1000</w:t>
            </w:r>
          </w:p>
        </w:tc>
      </w:tr>
      <w:tr>
        <w:tblPrEx>
          <w:tblCellMar>
            <w:top w:w="0" w:type="dxa"/>
            <w:left w:w="0" w:type="dxa"/>
            <w:bottom w:w="0" w:type="dxa"/>
            <w:right w:w="0" w:type="dxa"/>
          </w:tblCellMar>
        </w:tblPrEx>
        <w:trPr>
          <w:trHeight w:val="439" w:hRule="exact"/>
        </w:trPr>
        <w:tc>
          <w:tcPr>
            <w:tcW w:w="966" w:type="dxa"/>
            <w:tcBorders>
              <w:top w:val="single" w:color="auto" w:sz="8" w:space="0"/>
              <w:left w:val="single" w:color="auto" w:sz="8" w:space="0"/>
              <w:bottom w:val="single" w:color="auto" w:sz="8" w:space="0"/>
              <w:right w:val="single" w:color="auto" w:sz="4" w:space="0"/>
            </w:tcBorders>
            <w:noWrap w:val="0"/>
            <w:vAlign w:val="top"/>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4</w:t>
            </w:r>
          </w:p>
        </w:tc>
        <w:tc>
          <w:tcPr>
            <w:tcW w:w="3534" w:type="dxa"/>
            <w:tcBorders>
              <w:top w:val="single" w:color="auto" w:sz="4" w:space="0"/>
              <w:left w:val="single" w:color="auto" w:sz="4" w:space="0"/>
              <w:bottom w:val="single" w:color="auto" w:sz="4" w:space="0"/>
              <w:right w:val="single" w:color="auto" w:sz="4" w:space="0"/>
            </w:tcBorders>
            <w:noWrap w:val="0"/>
            <w:vAlign w:val="top"/>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单位工程验收</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2022年 月  日</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pStyle w:val="210"/>
              <w:keepNext w:val="0"/>
              <w:keepLines w:val="0"/>
              <w:pageBreakBefore w:val="0"/>
              <w:widowControl w:val="0"/>
              <w:kinsoku/>
              <w:wordWrap/>
              <w:overflowPunct/>
              <w:topLinePunct w:val="0"/>
              <w:bidi w:val="0"/>
              <w:snapToGrid/>
              <w:spacing w:after="200" w:line="400" w:lineRule="exact"/>
              <w:ind w:left="0" w:leftChars="0" w:right="0" w:rightChars="0"/>
              <w:jc w:val="center"/>
              <w:textAlignment w:val="auto"/>
              <w:outlineLvl w:val="9"/>
              <w:rPr>
                <w:rStyle w:val="40"/>
                <w:rFonts w:hint="eastAsia" w:ascii="宋体" w:hAnsi="宋体" w:eastAsia="宋体" w:cs="宋体"/>
                <w:color w:val="auto"/>
                <w:kern w:val="2"/>
                <w:sz w:val="24"/>
                <w:szCs w:val="24"/>
                <w:highlight w:val="none"/>
                <w:lang w:val="en-US" w:eastAsia="zh-CN" w:bidi="ar-SA"/>
              </w:rPr>
            </w:pPr>
            <w:r>
              <w:rPr>
                <w:rStyle w:val="40"/>
                <w:rFonts w:hint="eastAsia" w:ascii="宋体" w:hAnsi="宋体" w:eastAsia="宋体" w:cs="宋体"/>
                <w:color w:val="auto"/>
                <w:kern w:val="2"/>
                <w:sz w:val="24"/>
                <w:szCs w:val="24"/>
                <w:highlight w:val="none"/>
                <w:lang w:val="en-US" w:eastAsia="zh-CN" w:bidi="ar-SA"/>
              </w:rPr>
              <w:t>1000</w:t>
            </w:r>
          </w:p>
        </w:tc>
      </w:tr>
    </w:tbl>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（5）全部逾期完工违约金的总限不超过签约合同价的5%。</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6）由于发包人原因或不可抗力因素造成工期延误的，可根据实际情况顺延工期。由承包人的原因，致使本工程的施工进度影响总工期的实现，经发包人与监理人研究并确认承包人采取必要措施后仍不能按期完工时，发包人可指示监理人通知承包人将本标段未完成部分强行切割给其他承包人完成。切割部分的结算价按承接人的中标单价结算（若承接人的中标单价高于原承包人的合同单价时，其差价部分由原承包人承担）；承包人还应赔偿由此所造成的发包人其他损失。</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bCs/>
          <w:color w:val="auto"/>
          <w:sz w:val="24"/>
          <w:szCs w:val="24"/>
          <w:highlight w:val="none"/>
        </w:rPr>
      </w:pPr>
      <w:r>
        <w:rPr>
          <w:rStyle w:val="40"/>
          <w:rFonts w:hint="eastAsia" w:ascii="宋体" w:hAnsi="宋体" w:eastAsia="宋体" w:cs="宋体"/>
          <w:b/>
          <w:bCs/>
          <w:color w:val="auto"/>
          <w:sz w:val="24"/>
          <w:szCs w:val="24"/>
          <w:highlight w:val="none"/>
        </w:rPr>
        <w:t>11.6工期提前</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删除本款，并代之以：发包人要求承包人提前竣工，已超出承包人合理的承受范围，发包人应承担承包人由此增加的合理的费用。</w:t>
      </w:r>
    </w:p>
    <w:p>
      <w:pPr>
        <w:pStyle w:val="210"/>
        <w:keepNext w:val="0"/>
        <w:keepLines w:val="0"/>
        <w:pageBreakBefore w:val="0"/>
        <w:kinsoku/>
        <w:wordWrap/>
        <w:overflowPunct/>
        <w:topLinePunct w:val="0"/>
        <w:autoSpaceDE/>
        <w:autoSpaceDN/>
        <w:bidi w:val="0"/>
        <w:adjustRightInd/>
        <w:snapToGrid/>
        <w:spacing w:after="200" w:line="380" w:lineRule="exact"/>
        <w:ind w:right="0" w:rightChars="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12暂停施工</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12.1承包人暂停施工的责任</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（5）承包人承担暂停施工责任的其它情形：</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1）承包人施工中应充分考虑的现场非异常恶劣气候条件引起的正常停工；</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2）承包人自供的材料或工程设备的供应中断；</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3）隐蔽工程未经检查擅自覆盖；</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4）质量事故未及时处理等由于承包人自身原因造成的暂停施工。</w:t>
      </w:r>
    </w:p>
    <w:p>
      <w:pPr>
        <w:pStyle w:val="210"/>
        <w:keepNext w:val="0"/>
        <w:keepLines w:val="0"/>
        <w:pageBreakBefore w:val="0"/>
        <w:kinsoku/>
        <w:wordWrap/>
        <w:overflowPunct/>
        <w:topLinePunct w:val="0"/>
        <w:autoSpaceDE/>
        <w:autoSpaceDN/>
        <w:bidi w:val="0"/>
        <w:adjustRightInd/>
        <w:snapToGrid/>
        <w:spacing w:after="200" w:line="380" w:lineRule="exact"/>
        <w:ind w:right="0" w:rightChars="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13工程质量</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13.1工程质量要求</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13.1.1本工程质量验收标准为合格。</w:t>
      </w:r>
    </w:p>
    <w:p>
      <w:pPr>
        <w:pStyle w:val="210"/>
        <w:keepNext w:val="0"/>
        <w:keepLines w:val="0"/>
        <w:pageBreakBefore w:val="0"/>
        <w:kinsoku/>
        <w:wordWrap/>
        <w:overflowPunct/>
        <w:topLinePunct w:val="0"/>
        <w:autoSpaceDE/>
        <w:autoSpaceDN/>
        <w:bidi w:val="0"/>
        <w:adjustRightInd/>
        <w:snapToGrid/>
        <w:spacing w:after="200" w:line="380" w:lineRule="exact"/>
        <w:ind w:right="0" w:rightChars="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14试验和检验</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14.3现场工艺试验</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本款增加：承包人进行现场工艺试验所需的一切费用均由承包人承担，承包人不得为此向发包人索取额外费用。</w:t>
      </w:r>
    </w:p>
    <w:p>
      <w:pPr>
        <w:pStyle w:val="210"/>
        <w:keepNext w:val="0"/>
        <w:keepLines w:val="0"/>
        <w:pageBreakBefore w:val="0"/>
        <w:kinsoku/>
        <w:wordWrap/>
        <w:overflowPunct/>
        <w:topLinePunct w:val="0"/>
        <w:autoSpaceDE/>
        <w:autoSpaceDN/>
        <w:bidi w:val="0"/>
        <w:adjustRightInd/>
        <w:snapToGrid/>
        <w:spacing w:after="200" w:line="380" w:lineRule="exact"/>
        <w:ind w:right="0" w:rightChars="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15变更</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15.1变更的范围和内容</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（6）实际工程量与本合同《工程量清单》中估算工程量的差值引起的增减总金额之和超过合同价格（不含备用金）的</w:t>
      </w:r>
      <w:r>
        <w:rPr>
          <w:rStyle w:val="40"/>
          <w:rFonts w:hint="eastAsia" w:ascii="宋体" w:hAnsi="宋体" w:eastAsia="宋体" w:cs="宋体"/>
          <w:color w:val="auto"/>
          <w:sz w:val="24"/>
          <w:szCs w:val="24"/>
          <w:highlight w:val="none"/>
          <w:u w:val="single"/>
        </w:rPr>
        <w:t>15%</w:t>
      </w:r>
      <w:r>
        <w:rPr>
          <w:rStyle w:val="40"/>
          <w:rFonts w:hint="eastAsia" w:ascii="宋体" w:hAnsi="宋体" w:eastAsia="宋体" w:cs="宋体"/>
          <w:color w:val="auto"/>
          <w:sz w:val="24"/>
          <w:szCs w:val="24"/>
          <w:highlight w:val="none"/>
        </w:rPr>
        <w:t>。上述调整金额仅考虑变更引起的增减总金额。</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7）承包人根据合同工程结构设计和技术要求，为了满足工程质量和进度控制与安全要求，在合同实施过程（含合同的规定）中调整或改变原施工组织设计、施工方法（包括开挖、喷锚、混凝土、基础处理、设备安装与埋设、设备材料加工制作或构件制作等）、施工顺序、工艺流程、施工参数、布置、施工资源（包括施工设备、器具、模板、测量、检测、人力、管理、资料等）等，属于承包人自我完善的施工动态控制与管理的惯例措施，这类调整或改变所需的所有费用已包含在合同价格中，发包人不再另行支付。</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15.4.3删除本条款全文，并代之以：若发生本合同外新增项目且《工程量清单》中无类似项目单价可供参考时，</w:t>
      </w:r>
      <w:r>
        <w:rPr>
          <w:rStyle w:val="40"/>
          <w:rFonts w:hint="eastAsia" w:ascii="宋体" w:hAnsi="宋体" w:eastAsia="宋体" w:cs="宋体"/>
          <w:color w:val="auto"/>
          <w:sz w:val="24"/>
          <w:szCs w:val="24"/>
          <w:highlight w:val="none"/>
          <w:lang w:val="en-US" w:eastAsia="zh-CN"/>
        </w:rPr>
        <w:t>委托第三方造价咨询单位确定</w:t>
      </w:r>
      <w:r>
        <w:rPr>
          <w:rStyle w:val="40"/>
          <w:rFonts w:hint="eastAsia" w:ascii="宋体" w:hAnsi="宋体" w:eastAsia="宋体" w:cs="宋体"/>
          <w:color w:val="auto"/>
          <w:sz w:val="24"/>
          <w:szCs w:val="24"/>
          <w:highlight w:val="none"/>
        </w:rPr>
        <w:t>新增单价，报监理人审核，发包人批准后作为工程量结算单价，但最终需经</w:t>
      </w:r>
      <w:r>
        <w:rPr>
          <w:rStyle w:val="40"/>
          <w:rFonts w:hint="eastAsia" w:ascii="宋体" w:hAnsi="宋体" w:eastAsia="宋体" w:cs="宋体"/>
          <w:color w:val="auto"/>
          <w:sz w:val="24"/>
          <w:szCs w:val="24"/>
          <w:highlight w:val="none"/>
          <w:lang w:val="en-US" w:eastAsia="zh-CN"/>
        </w:rPr>
        <w:t>委托造价审核单位</w:t>
      </w:r>
      <w:r>
        <w:rPr>
          <w:rStyle w:val="40"/>
          <w:rFonts w:hint="eastAsia" w:ascii="宋体" w:hAnsi="宋体" w:eastAsia="宋体" w:cs="宋体"/>
          <w:color w:val="auto"/>
          <w:sz w:val="24"/>
          <w:szCs w:val="24"/>
          <w:highlight w:val="none"/>
        </w:rPr>
        <w:t>审定。</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02"/>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15.3.2 变更估价</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本条新增：</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（4）按本条款的变更承包人应提供下列详细的完整资料：</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①监理人对变更的技术核定单、变更项目的设计通知单、变更项目的会议纪要、发包人提出变更的文件等。</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②变更项目部位的设计图纸、工程照片、现场测量资料、工程量核算资料、检测资料。</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③每天的施工原始记录（或施工日志），劳力、材料、施工设备使用的记录，如有新增加的资源应提供这些资源合法证明或原始发票复印件。</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④工程量详细计算书。</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⑤变更范围的说明、合同变更依据、原因。</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⑥监理人要求的其它资料。</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如果承包人没有上述完整的资料，监理人就有充分的理由拒收此项变更报价，所产生的后果由承包人承担责任。</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（5）承包人按合同规定提交的变更报价资料必须完整、真实可靠。经核实，如发现承包人的变更报价资料有意弄虚作假，监理人有权不予办理，由此引起的一切后果由承包人负责。</w:t>
      </w:r>
    </w:p>
    <w:p>
      <w:pPr>
        <w:pStyle w:val="210"/>
        <w:keepNext w:val="0"/>
        <w:keepLines w:val="0"/>
        <w:pageBreakBefore w:val="0"/>
        <w:kinsoku/>
        <w:wordWrap/>
        <w:overflowPunct/>
        <w:topLinePunct w:val="0"/>
        <w:autoSpaceDE/>
        <w:autoSpaceDN/>
        <w:bidi w:val="0"/>
        <w:adjustRightInd/>
        <w:snapToGrid/>
        <w:spacing w:after="200" w:line="380" w:lineRule="exact"/>
        <w:ind w:right="0" w:rightChars="0"/>
        <w:textAlignment w:val="auto"/>
        <w:outlineLvl w:val="9"/>
        <w:rPr>
          <w:rStyle w:val="40"/>
          <w:rFonts w:hint="eastAsia" w:ascii="宋体" w:hAnsi="宋体" w:eastAsia="宋体" w:cs="宋体"/>
          <w:b/>
          <w:bCs/>
          <w:color w:val="auto"/>
          <w:sz w:val="24"/>
          <w:szCs w:val="24"/>
          <w:highlight w:val="none"/>
        </w:rPr>
      </w:pPr>
      <w:bookmarkStart w:id="233" w:name="_Toc196042225"/>
      <w:bookmarkStart w:id="234" w:name="_Toc302335520"/>
      <w:bookmarkStart w:id="235" w:name="_Toc206410457"/>
      <w:bookmarkStart w:id="236" w:name="_Toc313965627"/>
      <w:bookmarkStart w:id="237" w:name="_Toc333576905"/>
      <w:bookmarkStart w:id="238" w:name="_Toc313964866"/>
      <w:bookmarkStart w:id="239" w:name="_Toc314316857"/>
      <w:bookmarkStart w:id="240" w:name="_Toc314077296"/>
      <w:bookmarkStart w:id="241" w:name="_Toc316549636"/>
      <w:bookmarkStart w:id="242" w:name="_Toc334614086"/>
      <w:r>
        <w:rPr>
          <w:rStyle w:val="40"/>
          <w:rFonts w:hint="eastAsia" w:ascii="宋体" w:hAnsi="宋体" w:eastAsia="宋体" w:cs="宋体"/>
          <w:b/>
          <w:bCs/>
          <w:color w:val="auto"/>
          <w:sz w:val="24"/>
          <w:szCs w:val="24"/>
          <w:highlight w:val="none"/>
        </w:rPr>
        <w:t>16价格调整</w:t>
      </w:r>
      <w:bookmarkEnd w:id="233"/>
      <w:bookmarkEnd w:id="234"/>
      <w:bookmarkEnd w:id="235"/>
      <w:bookmarkEnd w:id="236"/>
      <w:bookmarkEnd w:id="237"/>
      <w:bookmarkEnd w:id="238"/>
      <w:bookmarkEnd w:id="239"/>
      <w:bookmarkEnd w:id="240"/>
      <w:bookmarkEnd w:id="241"/>
      <w:bookmarkEnd w:id="242"/>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删除通用合同条款本款全文：不作任何价格调整。</w:t>
      </w:r>
    </w:p>
    <w:p>
      <w:pPr>
        <w:pStyle w:val="210"/>
        <w:keepNext w:val="0"/>
        <w:keepLines w:val="0"/>
        <w:pageBreakBefore w:val="0"/>
        <w:kinsoku/>
        <w:wordWrap/>
        <w:overflowPunct/>
        <w:topLinePunct w:val="0"/>
        <w:autoSpaceDE/>
        <w:autoSpaceDN/>
        <w:bidi w:val="0"/>
        <w:adjustRightInd/>
        <w:snapToGrid/>
        <w:spacing w:after="200" w:line="380" w:lineRule="exact"/>
        <w:ind w:right="0" w:rightChars="0"/>
        <w:textAlignment w:val="auto"/>
        <w:outlineLvl w:val="9"/>
        <w:rPr>
          <w:rStyle w:val="40"/>
          <w:rFonts w:hint="eastAsia" w:ascii="宋体" w:hAnsi="宋体" w:eastAsia="宋体" w:cs="宋体"/>
          <w:b/>
          <w:bCs/>
          <w:color w:val="auto"/>
          <w:sz w:val="24"/>
          <w:szCs w:val="24"/>
          <w:highlight w:val="none"/>
        </w:rPr>
      </w:pPr>
      <w:bookmarkStart w:id="243" w:name="_Toc302335521"/>
      <w:bookmarkStart w:id="244" w:name="_Toc333576906"/>
      <w:bookmarkStart w:id="245" w:name="_Toc334614087"/>
      <w:bookmarkStart w:id="246" w:name="_Toc316549637"/>
      <w:bookmarkStart w:id="247" w:name="_Toc206410459"/>
      <w:bookmarkStart w:id="248" w:name="_Toc313965628"/>
      <w:bookmarkStart w:id="249" w:name="_Toc196042228"/>
      <w:bookmarkStart w:id="250" w:name="_Toc313964867"/>
      <w:bookmarkStart w:id="251" w:name="_Toc314316858"/>
      <w:bookmarkStart w:id="252" w:name="_Toc314077297"/>
      <w:r>
        <w:rPr>
          <w:rStyle w:val="40"/>
          <w:rFonts w:hint="eastAsia" w:ascii="宋体" w:hAnsi="宋体" w:eastAsia="宋体" w:cs="宋体"/>
          <w:b/>
          <w:bCs/>
          <w:color w:val="auto"/>
          <w:sz w:val="24"/>
          <w:szCs w:val="24"/>
          <w:highlight w:val="none"/>
        </w:rPr>
        <w:t>17计量与支付</w:t>
      </w:r>
      <w:bookmarkEnd w:id="243"/>
      <w:bookmarkEnd w:id="244"/>
      <w:bookmarkEnd w:id="245"/>
      <w:bookmarkEnd w:id="246"/>
      <w:bookmarkEnd w:id="247"/>
      <w:bookmarkEnd w:id="248"/>
      <w:bookmarkEnd w:id="249"/>
      <w:bookmarkEnd w:id="250"/>
      <w:bookmarkEnd w:id="251"/>
      <w:bookmarkEnd w:id="252"/>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bCs/>
          <w:color w:val="auto"/>
          <w:sz w:val="24"/>
          <w:szCs w:val="24"/>
          <w:highlight w:val="none"/>
          <w:lang w:eastAsia="zh-CN"/>
        </w:rPr>
      </w:pPr>
      <w:bookmarkStart w:id="253" w:name="_Toc206410461"/>
      <w:bookmarkStart w:id="254" w:name="_Toc196042230"/>
      <w:r>
        <w:rPr>
          <w:rStyle w:val="40"/>
          <w:rFonts w:hint="eastAsia" w:ascii="宋体" w:hAnsi="宋体" w:eastAsia="宋体" w:cs="宋体"/>
          <w:b/>
          <w:bCs/>
          <w:color w:val="auto"/>
          <w:sz w:val="24"/>
          <w:szCs w:val="24"/>
          <w:highlight w:val="none"/>
        </w:rPr>
        <w:t>增加条款</w:t>
      </w:r>
      <w:r>
        <w:rPr>
          <w:rStyle w:val="40"/>
          <w:rFonts w:hint="eastAsia" w:ascii="宋体" w:hAnsi="宋体" w:eastAsia="宋体" w:cs="宋体"/>
          <w:b/>
          <w:bCs/>
          <w:color w:val="auto"/>
          <w:sz w:val="24"/>
          <w:szCs w:val="24"/>
          <w:highlight w:val="none"/>
          <w:lang w:eastAsia="zh-CN"/>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bCs/>
          <w:color w:val="auto"/>
          <w:sz w:val="24"/>
          <w:szCs w:val="24"/>
          <w:highlight w:val="none"/>
        </w:rPr>
      </w:pPr>
      <w:r>
        <w:rPr>
          <w:rStyle w:val="40"/>
          <w:rFonts w:hint="eastAsia" w:ascii="宋体" w:hAnsi="宋体" w:eastAsia="宋体" w:cs="宋体"/>
          <w:b/>
          <w:bCs/>
          <w:color w:val="auto"/>
          <w:sz w:val="24"/>
          <w:szCs w:val="24"/>
          <w:highlight w:val="none"/>
        </w:rPr>
        <w:t>17.1.6本工程施工开挖前的原始地形测量、中间测量和完工测量，在施工图规定的范围内，应由承包人</w:t>
      </w:r>
      <w:r>
        <w:rPr>
          <w:rStyle w:val="40"/>
          <w:rFonts w:hint="eastAsia" w:ascii="宋体" w:hAnsi="宋体" w:eastAsia="宋体" w:cs="宋体"/>
          <w:b/>
          <w:bCs/>
          <w:color w:val="auto"/>
          <w:sz w:val="24"/>
          <w:szCs w:val="24"/>
          <w:highlight w:val="none"/>
          <w:lang w:val="en-US" w:eastAsia="zh-CN"/>
        </w:rPr>
        <w:t>和</w:t>
      </w:r>
      <w:r>
        <w:rPr>
          <w:rStyle w:val="40"/>
          <w:rFonts w:hint="eastAsia" w:ascii="宋体" w:hAnsi="宋体" w:eastAsia="宋体" w:cs="宋体"/>
          <w:b/>
          <w:bCs/>
          <w:color w:val="auto"/>
          <w:sz w:val="24"/>
          <w:szCs w:val="24"/>
          <w:highlight w:val="none"/>
        </w:rPr>
        <w:t>监理人进行联合测量。测量成果经监理人复核后报发包人确认，作为最终计量的依据。</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bCs/>
          <w:color w:val="auto"/>
          <w:sz w:val="24"/>
          <w:szCs w:val="24"/>
          <w:highlight w:val="none"/>
        </w:rPr>
      </w:pPr>
      <w:r>
        <w:rPr>
          <w:rStyle w:val="40"/>
          <w:rFonts w:hint="eastAsia" w:ascii="宋体" w:hAnsi="宋体" w:eastAsia="宋体" w:cs="宋体"/>
          <w:b/>
          <w:bCs/>
          <w:color w:val="auto"/>
          <w:sz w:val="24"/>
          <w:szCs w:val="24"/>
          <w:highlight w:val="none"/>
        </w:rPr>
        <w:t>17.2 预付款</w:t>
      </w:r>
      <w:bookmarkEnd w:id="253"/>
      <w:bookmarkEnd w:id="254"/>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bookmarkStart w:id="255" w:name="_Toc206410465"/>
      <w:bookmarkStart w:id="256" w:name="_Toc196042231"/>
      <w:r>
        <w:rPr>
          <w:rStyle w:val="40"/>
          <w:rFonts w:hint="eastAsia" w:ascii="宋体" w:hAnsi="宋体" w:eastAsia="宋体" w:cs="宋体"/>
          <w:color w:val="auto"/>
          <w:sz w:val="24"/>
          <w:szCs w:val="24"/>
          <w:highlight w:val="none"/>
          <w:lang w:val="en-US" w:eastAsia="zh-CN"/>
        </w:rPr>
        <w:t>17.2.1预付款</w:t>
      </w:r>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（1）工程预付款的总金额为签约合同价</w:t>
      </w:r>
      <w:r>
        <w:rPr>
          <w:rStyle w:val="40"/>
          <w:rFonts w:hint="eastAsia" w:ascii="宋体" w:hAnsi="宋体" w:eastAsia="宋体" w:cs="宋体"/>
          <w:color w:val="auto"/>
          <w:sz w:val="24"/>
          <w:szCs w:val="24"/>
          <w:highlight w:val="none"/>
          <w:lang w:eastAsia="zh-CN"/>
        </w:rPr>
        <w:t>（</w:t>
      </w:r>
      <w:r>
        <w:rPr>
          <w:rStyle w:val="40"/>
          <w:rFonts w:hint="eastAsia" w:ascii="宋体" w:hAnsi="宋体" w:eastAsia="宋体" w:cs="宋体"/>
          <w:color w:val="auto"/>
          <w:sz w:val="24"/>
          <w:szCs w:val="24"/>
          <w:highlight w:val="none"/>
          <w:lang w:val="en-US" w:eastAsia="zh-CN"/>
        </w:rPr>
        <w:t>不含安全文明施工费</w:t>
      </w:r>
      <w:r>
        <w:rPr>
          <w:rStyle w:val="40"/>
          <w:rFonts w:hint="eastAsia" w:ascii="宋体" w:hAnsi="宋体" w:eastAsia="宋体" w:cs="宋体"/>
          <w:color w:val="auto"/>
          <w:sz w:val="24"/>
          <w:szCs w:val="24"/>
          <w:highlight w:val="none"/>
          <w:lang w:eastAsia="zh-CN"/>
        </w:rPr>
        <w:t>）</w:t>
      </w:r>
      <w:r>
        <w:rPr>
          <w:rStyle w:val="40"/>
          <w:rFonts w:hint="eastAsia" w:ascii="宋体" w:hAnsi="宋体" w:eastAsia="宋体" w:cs="宋体"/>
          <w:color w:val="auto"/>
          <w:sz w:val="24"/>
          <w:szCs w:val="24"/>
          <w:highlight w:val="none"/>
        </w:rPr>
        <w:t>的</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u w:val="single"/>
          <w:lang w:val="en-US" w:eastAsia="zh-CN"/>
        </w:rPr>
        <w:t xml:space="preserve">   </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rPr>
        <w:t>。</w:t>
      </w:r>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17.2.2预付款保函(担保)</w:t>
      </w:r>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(1)预付款保函的提交时间：承包人提出预付款申请时提交同等预付款保函。</w:t>
      </w:r>
    </w:p>
    <w:p>
      <w:pPr>
        <w:pStyle w:val="210"/>
        <w:keepNext w:val="0"/>
        <w:keepLines w:val="0"/>
        <w:pageBreakBefore w:val="0"/>
        <w:kinsoku/>
        <w:wordWrap/>
        <w:overflowPunct/>
        <w:topLinePunct w:val="0"/>
        <w:bidi w:val="0"/>
        <w:snapToGrid/>
        <w:spacing w:after="200" w:line="40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17.2.3、预付款的扣回与还清</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bCs/>
          <w:color w:val="auto"/>
          <w:sz w:val="24"/>
          <w:szCs w:val="24"/>
          <w:highlight w:val="none"/>
        </w:rPr>
      </w:pPr>
      <w:r>
        <w:rPr>
          <w:rStyle w:val="40"/>
          <w:rFonts w:hint="eastAsia" w:ascii="宋体" w:hAnsi="宋体" w:eastAsia="宋体" w:cs="宋体"/>
          <w:b/>
          <w:bCs/>
          <w:color w:val="auto"/>
          <w:sz w:val="24"/>
          <w:szCs w:val="24"/>
          <w:highlight w:val="none"/>
        </w:rPr>
        <w:t>17.3 工程进度付款</w:t>
      </w:r>
      <w:bookmarkEnd w:id="255"/>
      <w:bookmarkEnd w:id="256"/>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lang w:eastAsia="zh-CN"/>
        </w:rPr>
      </w:pPr>
      <w:bookmarkStart w:id="257" w:name="_Toc196042232"/>
      <w:bookmarkStart w:id="258" w:name="_Toc206410471"/>
      <w:r>
        <w:rPr>
          <w:rStyle w:val="40"/>
          <w:rFonts w:hint="eastAsia" w:ascii="宋体" w:hAnsi="宋体" w:eastAsia="宋体" w:cs="宋体"/>
          <w:b/>
          <w:color w:val="auto"/>
          <w:sz w:val="24"/>
          <w:szCs w:val="24"/>
          <w:highlight w:val="none"/>
        </w:rPr>
        <w:t xml:space="preserve">17.3.1 </w:t>
      </w:r>
      <w:r>
        <w:rPr>
          <w:rStyle w:val="40"/>
          <w:rFonts w:hint="eastAsia" w:ascii="宋体" w:hAnsi="宋体" w:eastAsia="宋体" w:cs="宋体"/>
          <w:b/>
          <w:color w:val="auto"/>
          <w:sz w:val="24"/>
          <w:szCs w:val="24"/>
          <w:highlight w:val="none"/>
          <w:lang w:eastAsia="zh-CN"/>
        </w:rPr>
        <w:t>工程进度付款支付办法</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按工程进度付款，在单元工程验收合格、凭工程量签证单及实验室出具的检验报告后，支付完成合同工程量的</w:t>
      </w:r>
      <w:r>
        <w:rPr>
          <w:rStyle w:val="40"/>
          <w:rFonts w:hint="eastAsia" w:ascii="宋体" w:hAnsi="宋体" w:eastAsia="宋体" w:cs="宋体"/>
          <w:color w:val="auto"/>
          <w:sz w:val="24"/>
          <w:szCs w:val="24"/>
          <w:highlight w:val="none"/>
          <w:u w:val="single"/>
          <w:lang w:val="en-US" w:eastAsia="zh-CN"/>
        </w:rPr>
        <w:t xml:space="preserve">     </w:t>
      </w:r>
      <w:r>
        <w:rPr>
          <w:rStyle w:val="40"/>
          <w:rFonts w:hint="eastAsia" w:ascii="宋体" w:hAnsi="宋体" w:eastAsia="宋体" w:cs="宋体"/>
          <w:color w:val="auto"/>
          <w:sz w:val="24"/>
          <w:szCs w:val="24"/>
          <w:highlight w:val="none"/>
        </w:rPr>
        <w:t>。合同工程完工验收合格、档案资料齐全、遗留问题解决后，支付工程价款结算总额的</w:t>
      </w:r>
      <w:r>
        <w:rPr>
          <w:rStyle w:val="40"/>
          <w:rFonts w:hint="eastAsia" w:ascii="宋体" w:hAnsi="宋体" w:eastAsia="宋体" w:cs="宋体"/>
          <w:color w:val="auto"/>
          <w:sz w:val="24"/>
          <w:szCs w:val="24"/>
          <w:highlight w:val="none"/>
          <w:u w:val="single"/>
          <w:lang w:val="en-US" w:eastAsia="zh-CN"/>
        </w:rPr>
        <w:t xml:space="preserve">   </w:t>
      </w:r>
      <w:r>
        <w:rPr>
          <w:rStyle w:val="40"/>
          <w:rFonts w:hint="eastAsia" w:ascii="宋体" w:hAnsi="宋体" w:eastAsia="宋体" w:cs="宋体"/>
          <w:color w:val="auto"/>
          <w:sz w:val="24"/>
          <w:szCs w:val="24"/>
          <w:highlight w:val="none"/>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lang w:eastAsia="zh-CN"/>
        </w:rPr>
      </w:pPr>
      <w:r>
        <w:rPr>
          <w:rStyle w:val="40"/>
          <w:rFonts w:hint="eastAsia" w:ascii="宋体" w:hAnsi="宋体" w:eastAsia="宋体" w:cs="宋体"/>
          <w:color w:val="auto"/>
          <w:sz w:val="24"/>
          <w:szCs w:val="24"/>
          <w:highlight w:val="none"/>
        </w:rPr>
        <w:t>工程价款结算总额的3%从履约保证金扣留作为质保金，退还剩余的履约保证金。质保期</w:t>
      </w:r>
      <w:r>
        <w:rPr>
          <w:rStyle w:val="40"/>
          <w:rFonts w:hint="eastAsia" w:ascii="宋体" w:hAnsi="宋体" w:eastAsia="宋体" w:cs="宋体"/>
          <w:color w:val="auto"/>
          <w:sz w:val="24"/>
          <w:szCs w:val="24"/>
          <w:highlight w:val="none"/>
          <w:u w:val="single"/>
          <w:lang w:val="en-US" w:eastAsia="zh-CN"/>
        </w:rPr>
        <w:t xml:space="preserve">   </w:t>
      </w:r>
      <w:r>
        <w:rPr>
          <w:rStyle w:val="40"/>
          <w:rFonts w:hint="eastAsia" w:ascii="宋体" w:hAnsi="宋体" w:eastAsia="宋体" w:cs="宋体"/>
          <w:color w:val="auto"/>
          <w:sz w:val="24"/>
          <w:szCs w:val="24"/>
          <w:highlight w:val="none"/>
        </w:rPr>
        <w:t>年，质保期过后无质量、遗留问题，退还质量保证金。每次月进度款支付必须满足合同条款的要求，并提交付款发票。</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bCs/>
          <w:color w:val="auto"/>
          <w:sz w:val="24"/>
          <w:szCs w:val="24"/>
          <w:highlight w:val="none"/>
        </w:rPr>
      </w:pPr>
      <w:r>
        <w:rPr>
          <w:rStyle w:val="40"/>
          <w:rFonts w:hint="eastAsia" w:ascii="宋体" w:hAnsi="宋体" w:eastAsia="宋体" w:cs="宋体"/>
          <w:b/>
          <w:bCs/>
          <w:color w:val="auto"/>
          <w:sz w:val="24"/>
          <w:szCs w:val="24"/>
          <w:highlight w:val="none"/>
          <w:lang w:val="en-US" w:eastAsia="zh-CN"/>
        </w:rPr>
        <w:t>17.3.2</w:t>
      </w:r>
      <w:r>
        <w:rPr>
          <w:rStyle w:val="40"/>
          <w:rFonts w:hint="eastAsia" w:ascii="宋体" w:hAnsi="宋体" w:eastAsia="宋体" w:cs="宋体"/>
          <w:b/>
          <w:bCs/>
          <w:color w:val="auto"/>
          <w:sz w:val="24"/>
          <w:szCs w:val="24"/>
          <w:highlight w:val="none"/>
        </w:rPr>
        <w:t>进度付款申请</w:t>
      </w:r>
    </w:p>
    <w:p>
      <w:pPr>
        <w:pStyle w:val="210"/>
        <w:keepNext w:val="0"/>
        <w:keepLines w:val="0"/>
        <w:pageBreakBefore w:val="0"/>
        <w:widowControl/>
        <w:kinsoku/>
        <w:wordWrap/>
        <w:overflowPunct/>
        <w:topLinePunct w:val="0"/>
        <w:autoSpaceDE/>
        <w:autoSpaceDN/>
        <w:bidi w:val="0"/>
        <w:adjustRightInd/>
        <w:snapToGrid/>
        <w:spacing w:after="200" w:line="380" w:lineRule="exact"/>
        <w:ind w:firstLine="480" w:firstLineChars="200"/>
        <w:textAlignment w:val="auto"/>
        <w:outlineLvl w:val="9"/>
        <w:rPr>
          <w:rStyle w:val="40"/>
          <w:rFonts w:hint="eastAsia" w:ascii="宋体" w:hAnsi="宋体" w:eastAsia="宋体" w:cs="宋体"/>
          <w:color w:val="auto"/>
          <w:sz w:val="24"/>
          <w:szCs w:val="24"/>
          <w:highlight w:val="none"/>
          <w:lang w:bidi="ar-SA"/>
        </w:rPr>
      </w:pPr>
      <w:r>
        <w:rPr>
          <w:rStyle w:val="40"/>
          <w:rFonts w:hint="eastAsia" w:ascii="宋体" w:hAnsi="宋体" w:eastAsia="宋体" w:cs="宋体"/>
          <w:color w:val="auto"/>
          <w:sz w:val="24"/>
          <w:szCs w:val="24"/>
          <w:highlight w:val="none"/>
          <w:lang w:eastAsia="zh-CN" w:bidi="ar-SA"/>
        </w:rPr>
        <w:t>承包人在每笔进度款支付前，向监理人提交</w:t>
      </w:r>
      <w:r>
        <w:rPr>
          <w:rStyle w:val="40"/>
          <w:rFonts w:hint="eastAsia" w:ascii="宋体" w:hAnsi="宋体" w:eastAsia="宋体" w:cs="宋体"/>
          <w:color w:val="auto"/>
          <w:sz w:val="24"/>
          <w:szCs w:val="24"/>
          <w:highlight w:val="none"/>
          <w:lang w:bidi="ar-SA"/>
        </w:rPr>
        <w:t>进度付款申请单份数为一式4份。</w:t>
      </w:r>
    </w:p>
    <w:bookmarkEnd w:id="257"/>
    <w:bookmarkEnd w:id="258"/>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17.4 质量保证金</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17.4.1 每个付款周期扣留的质量保证金为工程进度付款的</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u w:val="single"/>
          <w:lang w:val="en-US" w:eastAsia="zh-CN"/>
        </w:rPr>
        <w:t>3</w:t>
      </w:r>
      <w:r>
        <w:rPr>
          <w:rStyle w:val="40"/>
          <w:rFonts w:hint="eastAsia" w:ascii="宋体" w:hAnsi="宋体" w:eastAsia="宋体" w:cs="宋体"/>
          <w:color w:val="auto"/>
          <w:sz w:val="24"/>
          <w:szCs w:val="24"/>
          <w:highlight w:val="none"/>
          <w:u w:val="single"/>
        </w:rPr>
        <w:t>%</w:t>
      </w:r>
      <w:r>
        <w:rPr>
          <w:rStyle w:val="40"/>
          <w:rFonts w:hint="eastAsia" w:ascii="宋体" w:hAnsi="宋体" w:eastAsia="宋体" w:cs="宋体"/>
          <w:color w:val="auto"/>
          <w:sz w:val="24"/>
          <w:szCs w:val="24"/>
          <w:highlight w:val="none"/>
          <w:u w:val="single"/>
          <w:lang w:val="en-US" w:eastAsia="zh-CN"/>
        </w:rPr>
        <w:t xml:space="preserve"> </w:t>
      </w:r>
      <w:r>
        <w:rPr>
          <w:rStyle w:val="40"/>
          <w:rFonts w:hint="eastAsia" w:ascii="宋体" w:hAnsi="宋体" w:eastAsia="宋体" w:cs="宋体"/>
          <w:color w:val="auto"/>
          <w:sz w:val="24"/>
          <w:szCs w:val="24"/>
          <w:highlight w:val="none"/>
        </w:rPr>
        <w:t>，扣留的质量保证金总额为签约合同价的</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u w:val="single"/>
          <w:lang w:val="en-US" w:eastAsia="zh-CN"/>
        </w:rPr>
        <w:t>3</w:t>
      </w:r>
      <w:r>
        <w:rPr>
          <w:rStyle w:val="40"/>
          <w:rFonts w:hint="eastAsia" w:ascii="宋体" w:hAnsi="宋体" w:eastAsia="宋体" w:cs="宋体"/>
          <w:color w:val="auto"/>
          <w:sz w:val="24"/>
          <w:szCs w:val="24"/>
          <w:highlight w:val="none"/>
          <w:u w:val="single"/>
        </w:rPr>
        <w:t>%</w:t>
      </w:r>
      <w:r>
        <w:rPr>
          <w:rStyle w:val="40"/>
          <w:rFonts w:hint="eastAsia" w:ascii="宋体" w:hAnsi="宋体" w:eastAsia="宋体" w:cs="宋体"/>
          <w:color w:val="auto"/>
          <w:sz w:val="24"/>
          <w:szCs w:val="24"/>
          <w:highlight w:val="none"/>
          <w:u w:val="single"/>
          <w:lang w:val="en-US" w:eastAsia="zh-CN"/>
        </w:rPr>
        <w:t xml:space="preserve"> </w:t>
      </w:r>
      <w:r>
        <w:rPr>
          <w:rStyle w:val="40"/>
          <w:rFonts w:hint="eastAsia" w:ascii="宋体" w:hAnsi="宋体" w:eastAsia="宋体" w:cs="宋体"/>
          <w:color w:val="auto"/>
          <w:sz w:val="24"/>
          <w:szCs w:val="24"/>
          <w:highlight w:val="none"/>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259" w:name="_Toc338935797"/>
      <w:bookmarkStart w:id="260" w:name="_Toc338867910"/>
      <w:bookmarkStart w:id="261" w:name="_Toc338869214"/>
      <w:r>
        <w:rPr>
          <w:rStyle w:val="40"/>
          <w:rFonts w:hint="eastAsia" w:ascii="宋体" w:hAnsi="宋体" w:eastAsia="宋体" w:cs="宋体"/>
          <w:b/>
          <w:color w:val="auto"/>
          <w:sz w:val="24"/>
          <w:szCs w:val="24"/>
          <w:highlight w:val="none"/>
        </w:rPr>
        <w:t>17.5 竣工（完工）结算</w:t>
      </w:r>
      <w:bookmarkEnd w:id="259"/>
      <w:bookmarkEnd w:id="260"/>
      <w:bookmarkEnd w:id="261"/>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b/>
          <w:color w:val="auto"/>
          <w:sz w:val="24"/>
          <w:szCs w:val="24"/>
          <w:highlight w:val="none"/>
        </w:rPr>
        <w:t>17.5.1</w:t>
      </w:r>
      <w:r>
        <w:rPr>
          <w:rStyle w:val="40"/>
          <w:rFonts w:hint="eastAsia" w:ascii="宋体" w:hAnsi="宋体" w:eastAsia="宋体" w:cs="宋体"/>
          <w:color w:val="auto"/>
          <w:sz w:val="24"/>
          <w:szCs w:val="24"/>
          <w:highlight w:val="none"/>
        </w:rPr>
        <w:t xml:space="preserve"> 竣工（完工）付款申请单</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（1）承包人应提交完工付款申请单一式</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u w:val="single"/>
          <w:lang w:val="en-US" w:eastAsia="zh-CN"/>
        </w:rPr>
        <w:t xml:space="preserve"> </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rPr>
        <w:t>份。</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增加条款：承包人应为竣工（完工）结算编制提供的资料竣工结算书、竣工图纸、设计变更（含审定的变更单价）、工程签证、工程量计算书、原始地面测量高程资料（含CAD图）、其他工程结算规定要求的竣工资料等 。</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262" w:name="_Toc338867911"/>
      <w:bookmarkStart w:id="263" w:name="_Toc338869215"/>
      <w:bookmarkStart w:id="264" w:name="_Toc338935798"/>
      <w:r>
        <w:rPr>
          <w:rStyle w:val="40"/>
          <w:rFonts w:hint="eastAsia" w:ascii="宋体" w:hAnsi="宋体" w:eastAsia="宋体" w:cs="宋体"/>
          <w:b/>
          <w:color w:val="auto"/>
          <w:sz w:val="24"/>
          <w:szCs w:val="24"/>
          <w:highlight w:val="none"/>
        </w:rPr>
        <w:t>17.6 最终结清</w:t>
      </w:r>
      <w:bookmarkEnd w:id="262"/>
      <w:bookmarkEnd w:id="263"/>
      <w:bookmarkEnd w:id="264"/>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b/>
          <w:color w:val="auto"/>
          <w:sz w:val="24"/>
          <w:szCs w:val="24"/>
          <w:highlight w:val="none"/>
        </w:rPr>
        <w:t>17.6.1</w:t>
      </w:r>
      <w:r>
        <w:rPr>
          <w:rStyle w:val="40"/>
          <w:rFonts w:hint="eastAsia" w:ascii="宋体" w:hAnsi="宋体" w:eastAsia="宋体" w:cs="宋体"/>
          <w:color w:val="auto"/>
          <w:sz w:val="24"/>
          <w:szCs w:val="24"/>
          <w:highlight w:val="none"/>
        </w:rPr>
        <w:t xml:space="preserve"> 最终结清申请单</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承包人应提交最终结清申请单一式</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u w:val="single"/>
          <w:lang w:val="en-US" w:eastAsia="zh-CN"/>
        </w:rPr>
        <w:t xml:space="preserve">  </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rPr>
        <w:t>份。</w:t>
      </w:r>
    </w:p>
    <w:p>
      <w:pPr>
        <w:pStyle w:val="210"/>
        <w:keepNext w:val="0"/>
        <w:keepLines w:val="0"/>
        <w:pageBreakBefore w:val="0"/>
        <w:kinsoku/>
        <w:wordWrap/>
        <w:overflowPunct/>
        <w:topLinePunct w:val="0"/>
        <w:autoSpaceDE/>
        <w:autoSpaceDN/>
        <w:bidi w:val="0"/>
        <w:adjustRightInd/>
        <w:snapToGrid/>
        <w:spacing w:after="200" w:line="380" w:lineRule="exact"/>
        <w:ind w:right="0" w:rightChars="0"/>
        <w:textAlignment w:val="auto"/>
        <w:outlineLvl w:val="9"/>
        <w:rPr>
          <w:rStyle w:val="40"/>
          <w:rFonts w:hint="eastAsia" w:ascii="宋体" w:hAnsi="宋体" w:eastAsia="宋体" w:cs="宋体"/>
          <w:b/>
          <w:bCs/>
          <w:color w:val="auto"/>
          <w:sz w:val="24"/>
          <w:szCs w:val="24"/>
          <w:highlight w:val="none"/>
        </w:rPr>
      </w:pPr>
      <w:bookmarkStart w:id="265" w:name="_Toc368480191"/>
      <w:bookmarkStart w:id="266" w:name="_Toc338867913"/>
      <w:bookmarkStart w:id="267" w:name="_Toc338175620"/>
      <w:bookmarkStart w:id="268" w:name="_Toc338935800"/>
      <w:r>
        <w:rPr>
          <w:rStyle w:val="40"/>
          <w:rFonts w:hint="eastAsia" w:ascii="宋体" w:hAnsi="宋体" w:eastAsia="宋体" w:cs="宋体"/>
          <w:b/>
          <w:bCs/>
          <w:color w:val="auto"/>
          <w:sz w:val="24"/>
          <w:szCs w:val="24"/>
          <w:highlight w:val="none"/>
        </w:rPr>
        <w:t>18竣工验收（验收）</w:t>
      </w:r>
      <w:bookmarkEnd w:id="265"/>
      <w:bookmarkEnd w:id="266"/>
      <w:bookmarkEnd w:id="267"/>
      <w:bookmarkEnd w:id="268"/>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color w:val="auto"/>
          <w:sz w:val="24"/>
          <w:szCs w:val="24"/>
          <w:highlight w:val="none"/>
        </w:rPr>
      </w:pPr>
      <w:bookmarkStart w:id="269" w:name="_Toc338867914"/>
      <w:bookmarkStart w:id="270" w:name="_Toc338869218"/>
      <w:bookmarkStart w:id="271" w:name="_Toc338935801"/>
      <w:r>
        <w:rPr>
          <w:rStyle w:val="40"/>
          <w:rFonts w:hint="eastAsia" w:ascii="宋体" w:hAnsi="宋体" w:eastAsia="宋体" w:cs="宋体"/>
          <w:b/>
          <w:color w:val="auto"/>
          <w:sz w:val="24"/>
          <w:szCs w:val="24"/>
          <w:highlight w:val="none"/>
        </w:rPr>
        <w:t>18.1</w:t>
      </w:r>
      <w:r>
        <w:rPr>
          <w:rStyle w:val="40"/>
          <w:rFonts w:hint="eastAsia" w:ascii="宋体" w:hAnsi="宋体" w:eastAsia="宋体" w:cs="宋体"/>
          <w:color w:val="auto"/>
          <w:sz w:val="24"/>
          <w:szCs w:val="24"/>
          <w:highlight w:val="none"/>
        </w:rPr>
        <w:t xml:space="preserve"> </w:t>
      </w:r>
      <w:r>
        <w:rPr>
          <w:rStyle w:val="40"/>
          <w:rFonts w:hint="eastAsia" w:ascii="宋体" w:hAnsi="宋体" w:eastAsia="宋体" w:cs="宋体"/>
          <w:b/>
          <w:bCs/>
          <w:color w:val="auto"/>
          <w:sz w:val="24"/>
          <w:szCs w:val="24"/>
          <w:highlight w:val="none"/>
        </w:rPr>
        <w:t>验收工作分类</w:t>
      </w:r>
      <w:bookmarkEnd w:id="269"/>
      <w:bookmarkEnd w:id="270"/>
      <w:bookmarkEnd w:id="271"/>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bookmarkStart w:id="272" w:name="_Toc338935802"/>
      <w:bookmarkStart w:id="273" w:name="_Toc338867915"/>
      <w:bookmarkStart w:id="274" w:name="_Toc338869219"/>
      <w:r>
        <w:rPr>
          <w:rStyle w:val="40"/>
          <w:rFonts w:hint="eastAsia" w:ascii="宋体" w:hAnsi="宋体" w:eastAsia="宋体" w:cs="宋体"/>
          <w:color w:val="auto"/>
          <w:sz w:val="24"/>
          <w:szCs w:val="24"/>
          <w:highlight w:val="none"/>
        </w:rPr>
        <w:t>本工程法人验收及政府验收的验收条件及验收程序执行水利部令30号《水利工程建设项目验收管理规定》中的有关法人验收及政府验收的相关规定。</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验收条件为：</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u w:val="single"/>
          <w:lang w:val="en-US" w:eastAsia="zh-CN"/>
        </w:rPr>
        <w:t xml:space="preserve">             </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rPr>
        <w:t>，验收程序为：</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u w:val="single"/>
          <w:lang w:val="en-US" w:eastAsia="zh-CN"/>
        </w:rPr>
        <w:t xml:space="preserve">            </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18.2 分部工程验收</w:t>
      </w:r>
      <w:bookmarkEnd w:id="272"/>
      <w:bookmarkEnd w:id="273"/>
      <w:bookmarkEnd w:id="274"/>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bookmarkStart w:id="275" w:name="_Toc338869220"/>
      <w:bookmarkStart w:id="276" w:name="_Toc338935803"/>
      <w:bookmarkStart w:id="277" w:name="_Toc338867916"/>
      <w:r>
        <w:rPr>
          <w:rStyle w:val="40"/>
          <w:rFonts w:hint="eastAsia" w:ascii="宋体" w:hAnsi="宋体" w:eastAsia="宋体" w:cs="宋体"/>
          <w:b w:val="0"/>
          <w:bCs/>
          <w:color w:val="auto"/>
          <w:sz w:val="24"/>
          <w:szCs w:val="24"/>
          <w:highlight w:val="none"/>
        </w:rPr>
        <w:t>18.2.2</w:t>
      </w:r>
      <w:r>
        <w:rPr>
          <w:rStyle w:val="40"/>
          <w:rFonts w:hint="eastAsia" w:ascii="宋体" w:hAnsi="宋体" w:eastAsia="宋体" w:cs="宋体"/>
          <w:color w:val="auto"/>
          <w:sz w:val="24"/>
          <w:szCs w:val="24"/>
          <w:highlight w:val="none"/>
        </w:rPr>
        <w:t>本工程由</w:t>
      </w:r>
      <w:r>
        <w:rPr>
          <w:rStyle w:val="40"/>
          <w:rFonts w:hint="eastAsia" w:ascii="宋体" w:hAnsi="宋体" w:eastAsia="宋体" w:cs="宋体"/>
          <w:color w:val="auto"/>
          <w:sz w:val="24"/>
          <w:szCs w:val="24"/>
          <w:highlight w:val="none"/>
          <w:lang w:val="en-US" w:eastAsia="zh-CN"/>
        </w:rPr>
        <w:t>监理人</w:t>
      </w:r>
      <w:r>
        <w:rPr>
          <w:rStyle w:val="40"/>
          <w:rFonts w:hint="eastAsia" w:ascii="宋体" w:hAnsi="宋体" w:eastAsia="宋体" w:cs="宋体"/>
          <w:color w:val="auto"/>
          <w:sz w:val="24"/>
          <w:szCs w:val="24"/>
          <w:highlight w:val="none"/>
        </w:rPr>
        <w:t>主持的分部工程验收为：</w:t>
      </w:r>
      <w:r>
        <w:rPr>
          <w:rStyle w:val="40"/>
          <w:rFonts w:hint="eastAsia" w:ascii="宋体" w:hAnsi="宋体" w:eastAsia="宋体" w:cs="宋体"/>
          <w:color w:val="auto"/>
          <w:sz w:val="24"/>
          <w:szCs w:val="24"/>
          <w:highlight w:val="none"/>
          <w:lang w:val="en-US" w:eastAsia="zh-CN"/>
        </w:rPr>
        <w:t>项目划分确定的所有分部工程</w:t>
      </w:r>
      <w:r>
        <w:rPr>
          <w:rStyle w:val="40"/>
          <w:rFonts w:hint="eastAsia" w:ascii="宋体" w:hAnsi="宋体" w:eastAsia="宋体" w:cs="宋体"/>
          <w:color w:val="auto"/>
          <w:sz w:val="24"/>
          <w:szCs w:val="24"/>
          <w:highlight w:val="none"/>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18.3 单位工程验收</w:t>
      </w:r>
      <w:bookmarkEnd w:id="275"/>
      <w:bookmarkEnd w:id="276"/>
      <w:bookmarkEnd w:id="277"/>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u w:val="none"/>
          <w:lang w:eastAsia="zh-CN"/>
        </w:rPr>
      </w:pPr>
      <w:r>
        <w:rPr>
          <w:rStyle w:val="40"/>
          <w:rFonts w:hint="eastAsia" w:ascii="宋体" w:hAnsi="宋体" w:eastAsia="宋体" w:cs="宋体"/>
          <w:color w:val="auto"/>
          <w:sz w:val="24"/>
          <w:szCs w:val="24"/>
          <w:highlight w:val="none"/>
        </w:rPr>
        <w:t>18.3.4提前投入使用的单位工程包括</w:t>
      </w:r>
      <w:r>
        <w:rPr>
          <w:rStyle w:val="40"/>
          <w:rFonts w:hint="eastAsia" w:ascii="宋体" w:hAnsi="宋体" w:eastAsia="宋体" w:cs="宋体"/>
          <w:color w:val="auto"/>
          <w:sz w:val="24"/>
          <w:szCs w:val="24"/>
          <w:highlight w:val="none"/>
          <w:u w:val="none"/>
        </w:rPr>
        <w:t>验收条件和验收程序执行</w:t>
      </w:r>
      <w:r>
        <w:rPr>
          <w:rStyle w:val="40"/>
          <w:rFonts w:hint="eastAsia" w:ascii="宋体" w:hAnsi="宋体" w:eastAsia="宋体" w:cs="宋体"/>
          <w:color w:val="auto"/>
          <w:sz w:val="24"/>
          <w:szCs w:val="24"/>
          <w:highlight w:val="none"/>
          <w:u w:val="none"/>
          <w:lang w:eastAsia="zh-CN"/>
        </w:rPr>
        <w:t>《</w:t>
      </w:r>
      <w:r>
        <w:rPr>
          <w:rStyle w:val="40"/>
          <w:rFonts w:hint="eastAsia" w:ascii="宋体" w:hAnsi="宋体" w:eastAsia="宋体" w:cs="宋体"/>
          <w:color w:val="auto"/>
          <w:sz w:val="24"/>
          <w:szCs w:val="24"/>
          <w:highlight w:val="none"/>
          <w:u w:val="none"/>
        </w:rPr>
        <w:t>水利水电建设工程验收规程</w:t>
      </w:r>
      <w:r>
        <w:rPr>
          <w:rStyle w:val="40"/>
          <w:rFonts w:hint="eastAsia" w:ascii="宋体" w:hAnsi="宋体" w:eastAsia="宋体" w:cs="宋体"/>
          <w:color w:val="auto"/>
          <w:sz w:val="24"/>
          <w:szCs w:val="24"/>
          <w:highlight w:val="none"/>
          <w:u w:val="none"/>
          <w:lang w:eastAsia="zh-CN"/>
        </w:rPr>
        <w:t>》</w:t>
      </w:r>
      <w:r>
        <w:rPr>
          <w:rStyle w:val="40"/>
          <w:rFonts w:hint="eastAsia" w:ascii="宋体" w:hAnsi="宋体" w:eastAsia="宋体" w:cs="宋体"/>
          <w:color w:val="auto"/>
          <w:sz w:val="24"/>
          <w:szCs w:val="24"/>
          <w:highlight w:val="none"/>
          <w:u w:val="none"/>
        </w:rPr>
        <w:t>（</w:t>
      </w:r>
      <w:r>
        <w:rPr>
          <w:rStyle w:val="40"/>
          <w:rFonts w:hint="eastAsia" w:ascii="宋体" w:hAnsi="宋体" w:eastAsia="宋体" w:cs="宋体"/>
          <w:color w:val="auto"/>
          <w:sz w:val="24"/>
          <w:szCs w:val="24"/>
          <w:highlight w:val="none"/>
          <w:u w:val="none"/>
          <w:lang w:val="en-US" w:eastAsia="zh-CN"/>
        </w:rPr>
        <w:t>SL</w:t>
      </w:r>
      <w:r>
        <w:rPr>
          <w:rStyle w:val="40"/>
          <w:rFonts w:hint="eastAsia" w:ascii="宋体" w:hAnsi="宋体" w:eastAsia="宋体" w:cs="宋体"/>
          <w:color w:val="auto"/>
          <w:sz w:val="24"/>
          <w:szCs w:val="24"/>
          <w:highlight w:val="none"/>
          <w:u w:val="none"/>
        </w:rPr>
        <w:t>223-2008）</w:t>
      </w:r>
      <w:r>
        <w:rPr>
          <w:rStyle w:val="40"/>
          <w:rFonts w:hint="eastAsia" w:ascii="宋体" w:hAnsi="宋体" w:eastAsia="宋体" w:cs="宋体"/>
          <w:color w:val="auto"/>
          <w:sz w:val="24"/>
          <w:szCs w:val="24"/>
          <w:highlight w:val="none"/>
          <w:u w:val="none"/>
          <w:lang w:eastAsia="zh-CN"/>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278" w:name="_Toc338867917"/>
      <w:bookmarkStart w:id="279" w:name="_Toc338935804"/>
      <w:bookmarkStart w:id="280" w:name="_Toc338869221"/>
      <w:r>
        <w:rPr>
          <w:rStyle w:val="40"/>
          <w:rFonts w:hint="eastAsia" w:ascii="宋体" w:hAnsi="宋体" w:eastAsia="宋体" w:cs="宋体"/>
          <w:b/>
          <w:color w:val="auto"/>
          <w:sz w:val="24"/>
          <w:szCs w:val="24"/>
          <w:highlight w:val="none"/>
        </w:rPr>
        <w:t>18.5 阶段验收</w:t>
      </w:r>
      <w:bookmarkEnd w:id="278"/>
      <w:bookmarkEnd w:id="279"/>
      <w:bookmarkEnd w:id="280"/>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91" w:firstLineChars="205"/>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18.5.1本合同工程阶段验收执行</w:t>
      </w:r>
      <w:r>
        <w:rPr>
          <w:rStyle w:val="40"/>
          <w:rFonts w:hint="eastAsia" w:ascii="宋体" w:hAnsi="宋体" w:eastAsia="宋体" w:cs="宋体"/>
          <w:color w:val="auto"/>
          <w:sz w:val="24"/>
          <w:szCs w:val="24"/>
          <w:highlight w:val="none"/>
          <w:lang w:eastAsia="zh-CN"/>
        </w:rPr>
        <w:t>《</w:t>
      </w:r>
      <w:r>
        <w:rPr>
          <w:rStyle w:val="40"/>
          <w:rFonts w:hint="eastAsia" w:ascii="宋体" w:hAnsi="宋体" w:eastAsia="宋体" w:cs="宋体"/>
          <w:color w:val="auto"/>
          <w:sz w:val="24"/>
          <w:szCs w:val="24"/>
          <w:highlight w:val="none"/>
        </w:rPr>
        <w:t>水利水电建设工程验收规程</w:t>
      </w:r>
      <w:r>
        <w:rPr>
          <w:rStyle w:val="40"/>
          <w:rFonts w:hint="eastAsia" w:ascii="宋体" w:hAnsi="宋体" w:eastAsia="宋体" w:cs="宋体"/>
          <w:color w:val="auto"/>
          <w:sz w:val="24"/>
          <w:szCs w:val="24"/>
          <w:highlight w:val="none"/>
          <w:lang w:eastAsia="zh-CN"/>
        </w:rPr>
        <w:t>》</w:t>
      </w:r>
      <w:r>
        <w:rPr>
          <w:rStyle w:val="40"/>
          <w:rFonts w:hint="eastAsia" w:ascii="宋体" w:hAnsi="宋体" w:eastAsia="宋体" w:cs="宋体"/>
          <w:color w:val="auto"/>
          <w:sz w:val="24"/>
          <w:szCs w:val="24"/>
          <w:highlight w:val="none"/>
        </w:rPr>
        <w:t>（</w:t>
      </w:r>
      <w:r>
        <w:rPr>
          <w:rStyle w:val="40"/>
          <w:rFonts w:hint="eastAsia" w:ascii="宋体" w:hAnsi="宋体" w:eastAsia="宋体" w:cs="宋体"/>
          <w:color w:val="auto"/>
          <w:sz w:val="24"/>
          <w:szCs w:val="24"/>
          <w:highlight w:val="none"/>
          <w:lang w:val="en-US" w:eastAsia="zh-CN"/>
        </w:rPr>
        <w:t>SL</w:t>
      </w:r>
      <w:r>
        <w:rPr>
          <w:rStyle w:val="40"/>
          <w:rFonts w:hint="eastAsia" w:ascii="宋体" w:hAnsi="宋体" w:eastAsia="宋体" w:cs="宋体"/>
          <w:color w:val="auto"/>
          <w:sz w:val="24"/>
          <w:szCs w:val="24"/>
          <w:highlight w:val="none"/>
        </w:rPr>
        <w:t>223-2008）</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b w:val="0"/>
          <w:bCs/>
          <w:color w:val="auto"/>
          <w:sz w:val="24"/>
          <w:szCs w:val="24"/>
          <w:highlight w:val="none"/>
        </w:rPr>
        <w:t xml:space="preserve">18.5.2 </w:t>
      </w:r>
      <w:r>
        <w:rPr>
          <w:rStyle w:val="40"/>
          <w:rFonts w:hint="eastAsia" w:ascii="宋体" w:hAnsi="宋体" w:eastAsia="宋体" w:cs="宋体"/>
          <w:color w:val="auto"/>
          <w:sz w:val="24"/>
          <w:szCs w:val="24"/>
          <w:highlight w:val="none"/>
        </w:rPr>
        <w:t>在施工期运行中发现工程或工程设备损坏或存在缺陷的，由承包人按第</w:t>
      </w:r>
      <w:r>
        <w:rPr>
          <w:rStyle w:val="40"/>
          <w:rFonts w:hint="eastAsia" w:ascii="宋体" w:hAnsi="宋体" w:eastAsia="宋体" w:cs="宋体"/>
          <w:b w:val="0"/>
          <w:bCs/>
          <w:color w:val="auto"/>
          <w:sz w:val="24"/>
          <w:szCs w:val="24"/>
          <w:highlight w:val="none"/>
        </w:rPr>
        <w:t>19.2</w:t>
      </w:r>
      <w:r>
        <w:rPr>
          <w:rStyle w:val="40"/>
          <w:rFonts w:hint="eastAsia" w:ascii="宋体" w:hAnsi="宋体" w:eastAsia="宋体" w:cs="宋体"/>
          <w:color w:val="auto"/>
          <w:sz w:val="24"/>
          <w:szCs w:val="24"/>
          <w:highlight w:val="none"/>
        </w:rPr>
        <w:t>款约定进行修复。</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281" w:name="_Toc338869222"/>
      <w:bookmarkStart w:id="282" w:name="_Toc338935805"/>
      <w:bookmarkStart w:id="283" w:name="_Toc338867918"/>
      <w:r>
        <w:rPr>
          <w:rStyle w:val="40"/>
          <w:rFonts w:hint="eastAsia" w:ascii="宋体" w:hAnsi="宋体" w:eastAsia="宋体" w:cs="宋体"/>
          <w:b/>
          <w:color w:val="auto"/>
          <w:sz w:val="24"/>
          <w:szCs w:val="24"/>
          <w:highlight w:val="none"/>
        </w:rPr>
        <w:t>18.6 专项验收</w:t>
      </w:r>
      <w:bookmarkEnd w:id="281"/>
      <w:bookmarkEnd w:id="282"/>
      <w:bookmarkEnd w:id="283"/>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b w:val="0"/>
          <w:bCs/>
          <w:color w:val="auto"/>
          <w:sz w:val="24"/>
          <w:szCs w:val="24"/>
          <w:highlight w:val="none"/>
        </w:rPr>
        <w:t xml:space="preserve">18.6.2 </w:t>
      </w:r>
      <w:r>
        <w:rPr>
          <w:rStyle w:val="40"/>
          <w:rFonts w:hint="eastAsia" w:ascii="宋体" w:hAnsi="宋体" w:eastAsia="宋体" w:cs="宋体"/>
          <w:color w:val="auto"/>
          <w:sz w:val="24"/>
          <w:szCs w:val="24"/>
          <w:highlight w:val="none"/>
        </w:rPr>
        <w:t>本合同工程专项验收类别包括：</w:t>
      </w:r>
      <w:r>
        <w:rPr>
          <w:rStyle w:val="40"/>
          <w:rFonts w:hint="eastAsia" w:ascii="宋体" w:hAnsi="宋体" w:eastAsia="宋体" w:cs="宋体"/>
          <w:color w:val="auto"/>
          <w:sz w:val="24"/>
          <w:szCs w:val="24"/>
          <w:highlight w:val="none"/>
          <w:u w:val="single"/>
        </w:rPr>
        <w:t xml:space="preserve"> 水土保持 、环境评价、工程档案 </w:t>
      </w:r>
      <w:r>
        <w:rPr>
          <w:rStyle w:val="40"/>
          <w:rFonts w:hint="eastAsia" w:ascii="宋体" w:hAnsi="宋体" w:eastAsia="宋体" w:cs="宋体"/>
          <w:color w:val="auto"/>
          <w:sz w:val="24"/>
          <w:szCs w:val="24"/>
          <w:highlight w:val="none"/>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284" w:name="_Toc338867919"/>
      <w:bookmarkStart w:id="285" w:name="_Toc338935806"/>
      <w:bookmarkStart w:id="286" w:name="_Toc338869223"/>
      <w:r>
        <w:rPr>
          <w:rStyle w:val="40"/>
          <w:rFonts w:hint="eastAsia" w:ascii="宋体" w:hAnsi="宋体" w:eastAsia="宋体" w:cs="宋体"/>
          <w:b/>
          <w:color w:val="auto"/>
          <w:sz w:val="24"/>
          <w:szCs w:val="24"/>
          <w:highlight w:val="none"/>
        </w:rPr>
        <w:t>18.7 竣工验收</w:t>
      </w:r>
      <w:bookmarkEnd w:id="284"/>
      <w:bookmarkEnd w:id="285"/>
      <w:bookmarkEnd w:id="286"/>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bookmarkStart w:id="287" w:name="_Toc338869224"/>
      <w:bookmarkStart w:id="288" w:name="_Toc338935807"/>
      <w:bookmarkStart w:id="289" w:name="_Toc338867920"/>
      <w:r>
        <w:rPr>
          <w:rStyle w:val="40"/>
          <w:rFonts w:hint="eastAsia" w:ascii="宋体" w:hAnsi="宋体" w:eastAsia="宋体" w:cs="宋体"/>
          <w:color w:val="auto"/>
          <w:sz w:val="24"/>
          <w:szCs w:val="24"/>
          <w:highlight w:val="none"/>
        </w:rPr>
        <w:t>18.7.3本工程需要竣工验收技术鉴定，验收条件和验收程序执行水利水电建设工程验收规程（</w:t>
      </w:r>
      <w:r>
        <w:rPr>
          <w:rStyle w:val="40"/>
          <w:rFonts w:hint="eastAsia" w:ascii="宋体" w:hAnsi="宋体" w:eastAsia="宋体" w:cs="宋体"/>
          <w:color w:val="auto"/>
          <w:sz w:val="24"/>
          <w:szCs w:val="24"/>
          <w:highlight w:val="none"/>
          <w:lang w:val="en-US" w:eastAsia="zh-CN"/>
        </w:rPr>
        <w:t>SL</w:t>
      </w:r>
      <w:r>
        <w:rPr>
          <w:rStyle w:val="40"/>
          <w:rFonts w:hint="eastAsia" w:ascii="宋体" w:hAnsi="宋体" w:eastAsia="宋体" w:cs="宋体"/>
          <w:color w:val="auto"/>
          <w:sz w:val="24"/>
          <w:szCs w:val="24"/>
          <w:highlight w:val="none"/>
        </w:rPr>
        <w:t>223-2008）</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18.8 施工期运行</w:t>
      </w:r>
      <w:bookmarkEnd w:id="287"/>
      <w:bookmarkEnd w:id="288"/>
      <w:bookmarkEnd w:id="289"/>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b w:val="0"/>
          <w:bCs/>
          <w:color w:val="auto"/>
          <w:sz w:val="24"/>
          <w:szCs w:val="24"/>
          <w:highlight w:val="none"/>
        </w:rPr>
        <w:t>18.8.1</w:t>
      </w:r>
      <w:r>
        <w:rPr>
          <w:rStyle w:val="40"/>
          <w:rFonts w:hint="eastAsia" w:ascii="宋体" w:hAnsi="宋体" w:eastAsia="宋体" w:cs="宋体"/>
          <w:color w:val="auto"/>
          <w:sz w:val="24"/>
          <w:szCs w:val="24"/>
          <w:highlight w:val="none"/>
        </w:rPr>
        <w:t xml:space="preserve"> 需要在施工期运行的单位工程或工程设备为：</w:t>
      </w:r>
      <w:r>
        <w:rPr>
          <w:rStyle w:val="40"/>
          <w:rFonts w:hint="eastAsia" w:ascii="宋体" w:hAnsi="宋体" w:eastAsia="宋体" w:cs="宋体"/>
          <w:color w:val="auto"/>
          <w:sz w:val="24"/>
          <w:szCs w:val="24"/>
          <w:highlight w:val="none"/>
          <w:u w:val="single"/>
        </w:rPr>
        <w:t xml:space="preserve"> 无 </w:t>
      </w:r>
      <w:r>
        <w:rPr>
          <w:rStyle w:val="40"/>
          <w:rFonts w:hint="eastAsia" w:ascii="宋体" w:hAnsi="宋体" w:eastAsia="宋体" w:cs="宋体"/>
          <w:color w:val="auto"/>
          <w:sz w:val="24"/>
          <w:szCs w:val="24"/>
          <w:highlight w:val="none"/>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290" w:name="_Toc338867921"/>
      <w:bookmarkStart w:id="291" w:name="_Toc338935808"/>
      <w:bookmarkStart w:id="292" w:name="_Toc338869225"/>
      <w:r>
        <w:rPr>
          <w:rStyle w:val="40"/>
          <w:rFonts w:hint="eastAsia" w:ascii="宋体" w:hAnsi="宋体" w:eastAsia="宋体" w:cs="宋体"/>
          <w:b/>
          <w:color w:val="auto"/>
          <w:sz w:val="24"/>
          <w:szCs w:val="24"/>
          <w:highlight w:val="none"/>
        </w:rPr>
        <w:t>18.9 试运行</w:t>
      </w:r>
      <w:bookmarkEnd w:id="290"/>
      <w:bookmarkEnd w:id="291"/>
      <w:bookmarkEnd w:id="292"/>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b w:val="0"/>
          <w:bCs/>
          <w:color w:val="auto"/>
          <w:sz w:val="24"/>
          <w:szCs w:val="24"/>
          <w:highlight w:val="none"/>
        </w:rPr>
        <w:t>18.9.1 试运行的组织及费用承担：</w:t>
      </w:r>
      <w:r>
        <w:rPr>
          <w:rStyle w:val="40"/>
          <w:rFonts w:hint="eastAsia" w:ascii="宋体" w:hAnsi="宋体" w:eastAsia="宋体" w:cs="宋体"/>
          <w:b w:val="0"/>
          <w:bCs/>
          <w:color w:val="auto"/>
          <w:sz w:val="24"/>
          <w:szCs w:val="24"/>
          <w:highlight w:val="none"/>
          <w:u w:val="single"/>
        </w:rPr>
        <w:t xml:space="preserve">无 </w:t>
      </w:r>
      <w:r>
        <w:rPr>
          <w:rStyle w:val="40"/>
          <w:rFonts w:hint="eastAsia" w:ascii="宋体" w:hAnsi="宋体" w:eastAsia="宋体" w:cs="宋体"/>
          <w:b w:val="0"/>
          <w:bCs/>
          <w:color w:val="auto"/>
          <w:sz w:val="24"/>
          <w:szCs w:val="24"/>
          <w:highlight w:val="none"/>
          <w:lang w:eastAsia="zh-CN"/>
        </w:rPr>
        <w:t>。</w:t>
      </w:r>
      <w:r>
        <w:rPr>
          <w:rStyle w:val="40"/>
          <w:rFonts w:hint="eastAsia" w:ascii="宋体" w:hAnsi="宋体" w:eastAsia="宋体" w:cs="宋体"/>
          <w:b w:val="0"/>
          <w:bCs/>
          <w:color w:val="auto"/>
          <w:sz w:val="24"/>
          <w:szCs w:val="24"/>
          <w:highlight w:val="none"/>
        </w:rPr>
        <w:t xml:space="preserve"> </w:t>
      </w:r>
    </w:p>
    <w:p>
      <w:pPr>
        <w:pStyle w:val="210"/>
        <w:keepNext w:val="0"/>
        <w:keepLines w:val="0"/>
        <w:pageBreakBefore w:val="0"/>
        <w:kinsoku/>
        <w:wordWrap/>
        <w:overflowPunct/>
        <w:topLinePunct w:val="0"/>
        <w:autoSpaceDE/>
        <w:autoSpaceDN/>
        <w:bidi w:val="0"/>
        <w:adjustRightInd/>
        <w:snapToGrid/>
        <w:spacing w:after="200" w:line="380" w:lineRule="exact"/>
        <w:ind w:right="0" w:rightChars="0"/>
        <w:textAlignment w:val="auto"/>
        <w:outlineLvl w:val="9"/>
        <w:rPr>
          <w:rStyle w:val="40"/>
          <w:rFonts w:hint="eastAsia" w:ascii="宋体" w:hAnsi="宋体" w:eastAsia="宋体" w:cs="宋体"/>
          <w:b/>
          <w:color w:val="auto"/>
          <w:sz w:val="24"/>
          <w:szCs w:val="24"/>
          <w:highlight w:val="none"/>
        </w:rPr>
      </w:pPr>
      <w:bookmarkStart w:id="293" w:name="_Toc338935809"/>
      <w:bookmarkStart w:id="294" w:name="_Toc368480192"/>
      <w:bookmarkStart w:id="295" w:name="_Toc338867922"/>
      <w:bookmarkStart w:id="296" w:name="_Toc338175621"/>
      <w:r>
        <w:rPr>
          <w:rStyle w:val="40"/>
          <w:rFonts w:hint="eastAsia" w:ascii="宋体" w:hAnsi="宋体" w:eastAsia="宋体" w:cs="宋体"/>
          <w:b/>
          <w:color w:val="auto"/>
          <w:sz w:val="24"/>
          <w:szCs w:val="24"/>
          <w:highlight w:val="none"/>
        </w:rPr>
        <w:t>19缺陷责任与保修责任</w:t>
      </w:r>
      <w:bookmarkEnd w:id="293"/>
      <w:bookmarkEnd w:id="294"/>
      <w:bookmarkEnd w:id="295"/>
      <w:bookmarkEnd w:id="296"/>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297" w:name="_Toc338867923"/>
      <w:bookmarkStart w:id="298" w:name="_Toc338869227"/>
      <w:bookmarkStart w:id="299" w:name="_Toc338935810"/>
      <w:r>
        <w:rPr>
          <w:rStyle w:val="40"/>
          <w:rFonts w:hint="eastAsia" w:ascii="宋体" w:hAnsi="宋体" w:eastAsia="宋体" w:cs="宋体"/>
          <w:b/>
          <w:color w:val="auto"/>
          <w:sz w:val="24"/>
          <w:szCs w:val="24"/>
          <w:highlight w:val="none"/>
        </w:rPr>
        <w:t>19.1 缺陷责任期（工程质量保修期）的起算时间</w:t>
      </w:r>
      <w:bookmarkEnd w:id="297"/>
      <w:bookmarkEnd w:id="298"/>
      <w:bookmarkEnd w:id="299"/>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本工程缺陷责任期（工程质量保修期）的计算如下：</w:t>
      </w:r>
      <w:r>
        <w:rPr>
          <w:rStyle w:val="40"/>
          <w:rFonts w:hint="eastAsia" w:ascii="宋体" w:hAnsi="宋体" w:eastAsia="宋体" w:cs="宋体"/>
          <w:color w:val="auto"/>
          <w:sz w:val="24"/>
          <w:szCs w:val="24"/>
          <w:highlight w:val="none"/>
          <w:u w:val="single"/>
        </w:rPr>
        <w:t xml:space="preserve"> 竣工验收之日起壹年 </w:t>
      </w:r>
      <w:r>
        <w:rPr>
          <w:rStyle w:val="40"/>
          <w:rFonts w:hint="eastAsia" w:ascii="宋体" w:hAnsi="宋体" w:eastAsia="宋体" w:cs="宋体"/>
          <w:color w:val="auto"/>
          <w:sz w:val="24"/>
          <w:szCs w:val="24"/>
          <w:highlight w:val="none"/>
        </w:rPr>
        <w:t>。在合同工程完工证书中载明时间。</w:t>
      </w:r>
    </w:p>
    <w:p>
      <w:pPr>
        <w:pStyle w:val="210"/>
        <w:keepNext w:val="0"/>
        <w:keepLines w:val="0"/>
        <w:pageBreakBefore w:val="0"/>
        <w:kinsoku/>
        <w:wordWrap/>
        <w:overflowPunct/>
        <w:topLinePunct w:val="0"/>
        <w:autoSpaceDE/>
        <w:autoSpaceDN/>
        <w:bidi w:val="0"/>
        <w:adjustRightInd/>
        <w:snapToGrid/>
        <w:spacing w:after="200" w:line="380" w:lineRule="exact"/>
        <w:ind w:right="0" w:rightChars="0"/>
        <w:textAlignment w:val="auto"/>
        <w:outlineLvl w:val="9"/>
        <w:rPr>
          <w:rStyle w:val="40"/>
          <w:rFonts w:hint="eastAsia" w:ascii="宋体" w:hAnsi="宋体" w:eastAsia="宋体" w:cs="宋体"/>
          <w:b/>
          <w:color w:val="auto"/>
          <w:sz w:val="24"/>
          <w:szCs w:val="24"/>
          <w:highlight w:val="none"/>
        </w:rPr>
      </w:pPr>
      <w:bookmarkStart w:id="300" w:name="_Toc338867924"/>
      <w:bookmarkStart w:id="301" w:name="_Toc368480193"/>
      <w:bookmarkStart w:id="302" w:name="_Toc338935811"/>
      <w:bookmarkStart w:id="303" w:name="_Toc338175622"/>
      <w:r>
        <w:rPr>
          <w:rStyle w:val="40"/>
          <w:rFonts w:hint="eastAsia" w:ascii="宋体" w:hAnsi="宋体" w:eastAsia="宋体" w:cs="宋体"/>
          <w:b/>
          <w:color w:val="auto"/>
          <w:sz w:val="24"/>
          <w:szCs w:val="24"/>
          <w:highlight w:val="none"/>
        </w:rPr>
        <w:t>20保险</w:t>
      </w:r>
      <w:bookmarkEnd w:id="300"/>
      <w:bookmarkEnd w:id="301"/>
      <w:bookmarkEnd w:id="302"/>
      <w:bookmarkEnd w:id="303"/>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304" w:name="_Toc338867925"/>
      <w:bookmarkStart w:id="305" w:name="_Toc338935812"/>
      <w:bookmarkStart w:id="306" w:name="_Toc338869229"/>
      <w:r>
        <w:rPr>
          <w:rStyle w:val="40"/>
          <w:rFonts w:hint="eastAsia" w:ascii="宋体" w:hAnsi="宋体" w:eastAsia="宋体" w:cs="宋体"/>
          <w:b/>
          <w:color w:val="auto"/>
          <w:sz w:val="24"/>
          <w:szCs w:val="24"/>
          <w:highlight w:val="none"/>
        </w:rPr>
        <w:t>20.1 工程保险</w:t>
      </w:r>
      <w:bookmarkEnd w:id="304"/>
      <w:bookmarkEnd w:id="305"/>
      <w:bookmarkEnd w:id="306"/>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bookmarkStart w:id="307" w:name="_Toc338867926"/>
      <w:bookmarkStart w:id="308" w:name="_Toc338935813"/>
      <w:bookmarkStart w:id="309" w:name="_Toc338869230"/>
      <w:r>
        <w:rPr>
          <w:rStyle w:val="40"/>
          <w:rFonts w:hint="eastAsia" w:ascii="宋体" w:hAnsi="宋体" w:eastAsia="宋体" w:cs="宋体"/>
          <w:color w:val="auto"/>
          <w:sz w:val="24"/>
          <w:szCs w:val="24"/>
          <w:highlight w:val="none"/>
        </w:rPr>
        <w:t>本工程由</w:t>
      </w:r>
      <w:r>
        <w:rPr>
          <w:rStyle w:val="40"/>
          <w:rFonts w:hint="eastAsia" w:ascii="宋体" w:hAnsi="宋体" w:eastAsia="宋体" w:cs="宋体"/>
          <w:color w:val="auto"/>
          <w:sz w:val="24"/>
          <w:szCs w:val="24"/>
          <w:highlight w:val="none"/>
          <w:u w:val="single"/>
        </w:rPr>
        <w:t>承包人应以发包人和承包人的共同名义向双方同意的保险人投保建筑工程一切险</w:t>
      </w:r>
      <w:r>
        <w:rPr>
          <w:rStyle w:val="40"/>
          <w:rFonts w:hint="eastAsia" w:ascii="宋体" w:hAnsi="宋体" w:eastAsia="宋体" w:cs="宋体"/>
          <w:color w:val="auto"/>
          <w:sz w:val="24"/>
          <w:szCs w:val="24"/>
          <w:highlight w:val="none"/>
          <w:u w:val="single"/>
          <w:lang w:eastAsia="zh-CN"/>
        </w:rPr>
        <w:t>、</w:t>
      </w:r>
      <w:r>
        <w:rPr>
          <w:rStyle w:val="40"/>
          <w:rFonts w:hint="eastAsia" w:ascii="宋体" w:hAnsi="宋体" w:eastAsia="宋体" w:cs="宋体"/>
          <w:color w:val="auto"/>
          <w:sz w:val="24"/>
          <w:szCs w:val="24"/>
          <w:highlight w:val="none"/>
          <w:u w:val="single"/>
          <w:lang w:val="en-US" w:eastAsia="zh-CN"/>
        </w:rPr>
        <w:t>安装工程一切险</w:t>
      </w:r>
      <w:r>
        <w:rPr>
          <w:rStyle w:val="40"/>
          <w:rFonts w:hint="eastAsia" w:ascii="宋体" w:hAnsi="宋体" w:eastAsia="宋体" w:cs="宋体"/>
          <w:color w:val="auto"/>
          <w:sz w:val="24"/>
          <w:szCs w:val="24"/>
          <w:highlight w:val="none"/>
          <w:u w:val="single"/>
        </w:rPr>
        <w:t>。</w:t>
      </w:r>
      <w:r>
        <w:rPr>
          <w:rStyle w:val="40"/>
          <w:rFonts w:hint="eastAsia" w:ascii="宋体" w:hAnsi="宋体" w:eastAsia="宋体" w:cs="宋体"/>
          <w:color w:val="auto"/>
          <w:sz w:val="24"/>
          <w:szCs w:val="24"/>
          <w:highlight w:val="none"/>
        </w:rPr>
        <w:t>当出现意外事件时，承包人应积极采取措施，防止事态扩大，同时应做好相关记录与理赔时的配合工作。</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b/>
          <w:color w:val="auto"/>
          <w:sz w:val="24"/>
          <w:szCs w:val="24"/>
          <w:highlight w:val="none"/>
        </w:rPr>
        <w:t xml:space="preserve">    </w:t>
      </w:r>
      <w:r>
        <w:rPr>
          <w:rStyle w:val="40"/>
          <w:rFonts w:hint="eastAsia" w:ascii="宋体" w:hAnsi="宋体" w:eastAsia="宋体" w:cs="宋体"/>
          <w:b w:val="0"/>
          <w:bCs/>
          <w:color w:val="auto"/>
          <w:sz w:val="24"/>
          <w:szCs w:val="24"/>
          <w:highlight w:val="none"/>
        </w:rPr>
        <w:t>投保内容：</w:t>
      </w:r>
      <w:r>
        <w:rPr>
          <w:rStyle w:val="40"/>
          <w:rFonts w:hint="eastAsia" w:ascii="宋体" w:hAnsi="宋体" w:eastAsia="宋体" w:cs="宋体"/>
          <w:b w:val="0"/>
          <w:bCs/>
          <w:color w:val="auto"/>
          <w:sz w:val="24"/>
          <w:szCs w:val="24"/>
          <w:highlight w:val="none"/>
          <w:u w:val="single"/>
          <w:lang w:val="en-US" w:eastAsia="zh-CN"/>
        </w:rPr>
        <w:t>建筑</w:t>
      </w:r>
      <w:r>
        <w:rPr>
          <w:rStyle w:val="40"/>
          <w:rFonts w:hint="eastAsia" w:ascii="宋体" w:hAnsi="宋体" w:eastAsia="宋体" w:cs="宋体"/>
          <w:b w:val="0"/>
          <w:bCs/>
          <w:color w:val="auto"/>
          <w:sz w:val="24"/>
          <w:szCs w:val="24"/>
          <w:highlight w:val="none"/>
          <w:u w:val="single"/>
        </w:rPr>
        <w:t>工程</w:t>
      </w:r>
      <w:r>
        <w:rPr>
          <w:rStyle w:val="40"/>
          <w:rFonts w:hint="eastAsia" w:ascii="宋体" w:hAnsi="宋体" w:eastAsia="宋体" w:cs="宋体"/>
          <w:b w:val="0"/>
          <w:bCs/>
          <w:color w:val="auto"/>
          <w:sz w:val="24"/>
          <w:szCs w:val="24"/>
          <w:highlight w:val="none"/>
          <w:u w:val="single"/>
          <w:lang w:val="en-US" w:eastAsia="zh-CN"/>
        </w:rPr>
        <w:t>一切</w:t>
      </w:r>
      <w:r>
        <w:rPr>
          <w:rStyle w:val="40"/>
          <w:rFonts w:hint="eastAsia" w:ascii="宋体" w:hAnsi="宋体" w:eastAsia="宋体" w:cs="宋体"/>
          <w:b w:val="0"/>
          <w:bCs/>
          <w:color w:val="auto"/>
          <w:sz w:val="24"/>
          <w:szCs w:val="24"/>
          <w:highlight w:val="none"/>
          <w:u w:val="single"/>
        </w:rPr>
        <w:t>险</w:t>
      </w:r>
      <w:r>
        <w:rPr>
          <w:rStyle w:val="40"/>
          <w:rFonts w:hint="eastAsia" w:ascii="宋体" w:hAnsi="宋体" w:eastAsia="宋体" w:cs="宋体"/>
          <w:b w:val="0"/>
          <w:bCs/>
          <w:color w:val="auto"/>
          <w:sz w:val="24"/>
          <w:szCs w:val="24"/>
          <w:highlight w:val="none"/>
          <w:u w:val="single"/>
          <w:lang w:eastAsia="zh-CN"/>
        </w:rPr>
        <w:t>、</w:t>
      </w:r>
      <w:r>
        <w:rPr>
          <w:rStyle w:val="40"/>
          <w:rFonts w:hint="eastAsia" w:ascii="宋体" w:hAnsi="宋体" w:eastAsia="宋体" w:cs="宋体"/>
          <w:b w:val="0"/>
          <w:bCs/>
          <w:color w:val="auto"/>
          <w:sz w:val="24"/>
          <w:szCs w:val="24"/>
          <w:highlight w:val="none"/>
          <w:u w:val="single"/>
          <w:lang w:val="en-US" w:eastAsia="zh-CN"/>
        </w:rPr>
        <w:t>安装工程一切险。</w:t>
      </w:r>
      <w:r>
        <w:rPr>
          <w:rStyle w:val="40"/>
          <w:rFonts w:hint="eastAsia" w:ascii="宋体" w:hAnsi="宋体" w:eastAsia="宋体" w:cs="宋体"/>
          <w:b w:val="0"/>
          <w:bCs/>
          <w:color w:val="auto"/>
          <w:sz w:val="24"/>
          <w:szCs w:val="24"/>
          <w:highlight w:val="none"/>
          <w:u w:val="single"/>
        </w:rPr>
        <w:t>承包人应进行</w:t>
      </w:r>
      <w:r>
        <w:rPr>
          <w:rStyle w:val="40"/>
          <w:rFonts w:hint="eastAsia" w:ascii="宋体" w:hAnsi="宋体" w:eastAsia="宋体" w:cs="宋体"/>
          <w:b w:val="0"/>
          <w:bCs/>
          <w:color w:val="auto"/>
          <w:sz w:val="24"/>
          <w:szCs w:val="24"/>
          <w:highlight w:val="none"/>
          <w:u w:val="single"/>
          <w:lang w:val="en-US" w:eastAsia="zh-CN"/>
        </w:rPr>
        <w:t>办理</w:t>
      </w:r>
      <w:r>
        <w:rPr>
          <w:rStyle w:val="40"/>
          <w:rFonts w:hint="eastAsia" w:ascii="宋体" w:hAnsi="宋体" w:eastAsia="宋体" w:cs="宋体"/>
          <w:b w:val="0"/>
          <w:bCs/>
          <w:color w:val="auto"/>
          <w:sz w:val="24"/>
          <w:szCs w:val="24"/>
          <w:highlight w:val="none"/>
          <w:u w:val="single"/>
        </w:rPr>
        <w:t>的</w:t>
      </w:r>
      <w:r>
        <w:rPr>
          <w:rStyle w:val="40"/>
          <w:rFonts w:hint="eastAsia" w:ascii="宋体" w:hAnsi="宋体" w:eastAsia="宋体" w:cs="宋体"/>
          <w:b w:val="0"/>
          <w:bCs/>
          <w:color w:val="auto"/>
          <w:sz w:val="24"/>
          <w:szCs w:val="24"/>
          <w:highlight w:val="none"/>
          <w:u w:val="single"/>
          <w:lang w:val="en-US" w:eastAsia="zh-CN"/>
        </w:rPr>
        <w:t>其他</w:t>
      </w:r>
      <w:r>
        <w:rPr>
          <w:rStyle w:val="40"/>
          <w:rFonts w:hint="eastAsia" w:ascii="宋体" w:hAnsi="宋体" w:eastAsia="宋体" w:cs="宋体"/>
          <w:b w:val="0"/>
          <w:bCs/>
          <w:color w:val="auto"/>
          <w:sz w:val="24"/>
          <w:szCs w:val="24"/>
          <w:highlight w:val="none"/>
          <w:u w:val="single"/>
        </w:rPr>
        <w:t>保险</w:t>
      </w:r>
      <w:r>
        <w:rPr>
          <w:rStyle w:val="40"/>
          <w:rFonts w:hint="eastAsia" w:ascii="宋体" w:hAnsi="宋体" w:eastAsia="宋体" w:cs="宋体"/>
          <w:b w:val="0"/>
          <w:bCs/>
          <w:color w:val="auto"/>
          <w:sz w:val="24"/>
          <w:szCs w:val="24"/>
          <w:highlight w:val="none"/>
          <w:u w:val="single"/>
          <w:lang w:eastAsia="zh-CN"/>
        </w:rPr>
        <w:t>，</w:t>
      </w:r>
      <w:r>
        <w:rPr>
          <w:rStyle w:val="40"/>
          <w:rFonts w:hint="eastAsia" w:ascii="宋体" w:hAnsi="宋体" w:eastAsia="宋体" w:cs="宋体"/>
          <w:b w:val="0"/>
          <w:bCs/>
          <w:color w:val="auto"/>
          <w:sz w:val="24"/>
          <w:szCs w:val="24"/>
          <w:highlight w:val="none"/>
          <w:u w:val="single"/>
          <w:lang w:val="en-US" w:eastAsia="zh-CN"/>
        </w:rPr>
        <w:t>如</w:t>
      </w:r>
      <w:r>
        <w:rPr>
          <w:rStyle w:val="40"/>
          <w:rFonts w:hint="eastAsia" w:ascii="宋体" w:hAnsi="宋体" w:eastAsia="宋体" w:cs="宋体"/>
          <w:b w:val="0"/>
          <w:bCs/>
          <w:color w:val="auto"/>
          <w:sz w:val="24"/>
          <w:szCs w:val="24"/>
          <w:highlight w:val="none"/>
          <w:u w:val="single"/>
        </w:rPr>
        <w:t>施工设备险、第三者责任险、人身意外伤害险</w:t>
      </w:r>
      <w:r>
        <w:rPr>
          <w:rStyle w:val="40"/>
          <w:rFonts w:hint="eastAsia" w:ascii="宋体" w:hAnsi="宋体" w:eastAsia="宋体" w:cs="宋体"/>
          <w:b w:val="0"/>
          <w:bCs/>
          <w:color w:val="auto"/>
          <w:sz w:val="24"/>
          <w:szCs w:val="24"/>
          <w:highlight w:val="none"/>
          <w:u w:val="single"/>
          <w:lang w:eastAsia="zh-CN"/>
        </w:rPr>
        <w:t>，</w:t>
      </w:r>
      <w:r>
        <w:rPr>
          <w:rStyle w:val="40"/>
          <w:rFonts w:hint="eastAsia" w:ascii="宋体" w:hAnsi="宋体" w:eastAsia="宋体" w:cs="宋体"/>
          <w:color w:val="auto"/>
          <w:sz w:val="24"/>
          <w:szCs w:val="24"/>
          <w:highlight w:val="none"/>
          <w:u w:val="single"/>
        </w:rPr>
        <w:t>承包人与保险公司双方协商确定</w:t>
      </w:r>
      <w:r>
        <w:rPr>
          <w:rStyle w:val="40"/>
          <w:rFonts w:hint="eastAsia" w:ascii="宋体" w:hAnsi="宋体" w:eastAsia="宋体" w:cs="宋体"/>
          <w:color w:val="auto"/>
          <w:sz w:val="24"/>
          <w:szCs w:val="24"/>
          <w:highlight w:val="none"/>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 xml:space="preserve">    保险金额、保险费率和保险期限：</w:t>
      </w:r>
      <w:r>
        <w:rPr>
          <w:rStyle w:val="40"/>
          <w:rFonts w:hint="eastAsia" w:ascii="宋体" w:hAnsi="宋体" w:eastAsia="宋体" w:cs="宋体"/>
          <w:color w:val="auto"/>
          <w:sz w:val="24"/>
          <w:szCs w:val="24"/>
          <w:highlight w:val="none"/>
          <w:u w:val="single"/>
        </w:rPr>
        <w:t>保险金额</w:t>
      </w:r>
      <w:r>
        <w:rPr>
          <w:rStyle w:val="40"/>
          <w:rFonts w:hint="eastAsia" w:ascii="宋体" w:hAnsi="宋体" w:eastAsia="宋体" w:cs="宋体"/>
          <w:color w:val="auto"/>
          <w:sz w:val="24"/>
          <w:szCs w:val="24"/>
          <w:highlight w:val="none"/>
          <w:u w:val="single"/>
          <w:lang w:val="en-US" w:eastAsia="zh-CN"/>
        </w:rPr>
        <w:t>和</w:t>
      </w:r>
      <w:r>
        <w:rPr>
          <w:rStyle w:val="40"/>
          <w:rFonts w:hint="eastAsia" w:ascii="宋体" w:hAnsi="宋体" w:eastAsia="宋体" w:cs="宋体"/>
          <w:color w:val="auto"/>
          <w:sz w:val="24"/>
          <w:szCs w:val="24"/>
          <w:highlight w:val="none"/>
          <w:u w:val="single"/>
        </w:rPr>
        <w:t>保险费率</w:t>
      </w:r>
      <w:r>
        <w:rPr>
          <w:rStyle w:val="40"/>
          <w:rFonts w:hint="eastAsia" w:ascii="宋体" w:hAnsi="宋体" w:eastAsia="宋体" w:cs="宋体"/>
          <w:color w:val="auto"/>
          <w:sz w:val="24"/>
          <w:szCs w:val="24"/>
          <w:highlight w:val="none"/>
          <w:u w:val="single"/>
          <w:lang w:val="en-US" w:eastAsia="zh-CN"/>
        </w:rPr>
        <w:t>由</w:t>
      </w:r>
      <w:r>
        <w:rPr>
          <w:rStyle w:val="40"/>
          <w:rFonts w:hint="eastAsia" w:ascii="宋体" w:hAnsi="宋体" w:eastAsia="宋体" w:cs="宋体"/>
          <w:color w:val="auto"/>
          <w:sz w:val="24"/>
          <w:szCs w:val="24"/>
          <w:highlight w:val="none"/>
          <w:u w:val="single"/>
        </w:rPr>
        <w:t>承包人与保险公司双方协商确定</w:t>
      </w:r>
      <w:r>
        <w:rPr>
          <w:rStyle w:val="40"/>
          <w:rFonts w:hint="eastAsia" w:ascii="宋体" w:hAnsi="宋体" w:eastAsia="宋体" w:cs="宋体"/>
          <w:color w:val="auto"/>
          <w:sz w:val="24"/>
          <w:szCs w:val="24"/>
          <w:highlight w:val="none"/>
          <w:u w:val="single"/>
          <w:lang w:eastAsia="zh-CN"/>
        </w:rPr>
        <w:t>，</w:t>
      </w:r>
      <w:r>
        <w:rPr>
          <w:rStyle w:val="40"/>
          <w:rFonts w:hint="eastAsia" w:ascii="宋体" w:hAnsi="宋体" w:eastAsia="宋体" w:cs="宋体"/>
          <w:color w:val="auto"/>
          <w:sz w:val="24"/>
          <w:szCs w:val="24"/>
          <w:highlight w:val="none"/>
          <w:u w:val="single"/>
        </w:rPr>
        <w:t>保险期限</w:t>
      </w:r>
      <w:r>
        <w:rPr>
          <w:rStyle w:val="40"/>
          <w:rFonts w:hint="eastAsia" w:ascii="宋体" w:hAnsi="宋体" w:eastAsia="宋体" w:cs="宋体"/>
          <w:color w:val="auto"/>
          <w:sz w:val="24"/>
          <w:szCs w:val="24"/>
          <w:highlight w:val="none"/>
          <w:u w:val="single"/>
          <w:lang w:val="en-US" w:eastAsia="zh-CN"/>
        </w:rPr>
        <w:t>为工程计划开工日期至单位工程验收日期</w:t>
      </w:r>
      <w:r>
        <w:rPr>
          <w:rStyle w:val="40"/>
          <w:rFonts w:hint="eastAsia" w:ascii="宋体" w:hAnsi="宋体" w:eastAsia="宋体" w:cs="宋体"/>
          <w:color w:val="auto"/>
          <w:sz w:val="24"/>
          <w:szCs w:val="24"/>
          <w:highlight w:val="none"/>
          <w:u w:val="single"/>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r>
        <w:rPr>
          <w:rStyle w:val="40"/>
          <w:rFonts w:hint="eastAsia" w:ascii="宋体" w:hAnsi="宋体" w:eastAsia="宋体" w:cs="宋体"/>
          <w:b/>
          <w:color w:val="auto"/>
          <w:sz w:val="24"/>
          <w:szCs w:val="24"/>
          <w:highlight w:val="none"/>
        </w:rPr>
        <w:t>20.4 第三者责任险</w:t>
      </w:r>
      <w:bookmarkEnd w:id="307"/>
      <w:bookmarkEnd w:id="308"/>
      <w:bookmarkEnd w:id="309"/>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b/>
          <w:color w:val="auto"/>
          <w:sz w:val="24"/>
          <w:szCs w:val="24"/>
          <w:highlight w:val="none"/>
        </w:rPr>
        <w:t xml:space="preserve">20.4.2 </w:t>
      </w:r>
      <w:r>
        <w:rPr>
          <w:rStyle w:val="40"/>
          <w:rFonts w:hint="eastAsia" w:ascii="宋体" w:hAnsi="宋体" w:eastAsia="宋体" w:cs="宋体"/>
          <w:color w:val="auto"/>
          <w:sz w:val="24"/>
          <w:szCs w:val="24"/>
          <w:highlight w:val="none"/>
        </w:rPr>
        <w:t>第三者责任险保险费率：</w:t>
      </w:r>
      <w:r>
        <w:rPr>
          <w:rStyle w:val="40"/>
          <w:rFonts w:hint="eastAsia" w:ascii="宋体" w:hAnsi="宋体" w:eastAsia="宋体" w:cs="宋体"/>
          <w:color w:val="auto"/>
          <w:sz w:val="24"/>
          <w:szCs w:val="24"/>
          <w:highlight w:val="none"/>
          <w:u w:val="single"/>
        </w:rPr>
        <w:t xml:space="preserve"> 承包人与保险公司确定  </w:t>
      </w:r>
      <w:r>
        <w:rPr>
          <w:rStyle w:val="40"/>
          <w:rFonts w:hint="eastAsia" w:ascii="宋体" w:hAnsi="宋体" w:eastAsia="宋体" w:cs="宋体"/>
          <w:color w:val="auto"/>
          <w:sz w:val="24"/>
          <w:szCs w:val="24"/>
          <w:highlight w:val="none"/>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第三者责任险保险金额：</w:t>
      </w:r>
      <w:r>
        <w:rPr>
          <w:rStyle w:val="40"/>
          <w:rFonts w:hint="eastAsia" w:ascii="宋体" w:hAnsi="宋体" w:eastAsia="宋体" w:cs="宋体"/>
          <w:color w:val="auto"/>
          <w:sz w:val="24"/>
          <w:szCs w:val="24"/>
          <w:highlight w:val="none"/>
          <w:u w:val="single"/>
        </w:rPr>
        <w:t xml:space="preserve"> 承包人与保险公司确定   </w:t>
      </w:r>
      <w:r>
        <w:rPr>
          <w:rStyle w:val="40"/>
          <w:rFonts w:hint="eastAsia" w:ascii="宋体" w:hAnsi="宋体" w:eastAsia="宋体" w:cs="宋体"/>
          <w:color w:val="auto"/>
          <w:sz w:val="24"/>
          <w:szCs w:val="24"/>
          <w:highlight w:val="none"/>
        </w:rPr>
        <w:t xml:space="preserve"> 。</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310" w:name="_Toc338867927"/>
      <w:bookmarkStart w:id="311" w:name="_Toc338935814"/>
      <w:bookmarkStart w:id="312" w:name="_Toc338869231"/>
      <w:r>
        <w:rPr>
          <w:rStyle w:val="40"/>
          <w:rFonts w:hint="eastAsia" w:ascii="宋体" w:hAnsi="宋体" w:eastAsia="宋体" w:cs="宋体"/>
          <w:b/>
          <w:color w:val="auto"/>
          <w:sz w:val="24"/>
          <w:szCs w:val="24"/>
          <w:highlight w:val="none"/>
        </w:rPr>
        <w:t>20.5 其它保险</w:t>
      </w:r>
      <w:bookmarkEnd w:id="310"/>
      <w:bookmarkEnd w:id="311"/>
      <w:bookmarkEnd w:id="312"/>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需要投保的其它内容：</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u w:val="single"/>
          <w:lang w:eastAsia="zh-CN"/>
        </w:rPr>
        <w:t>工伤保险</w:t>
      </w:r>
      <w:r>
        <w:rPr>
          <w:rStyle w:val="40"/>
          <w:rFonts w:hint="eastAsia" w:ascii="宋体" w:hAnsi="宋体" w:eastAsia="宋体" w:cs="宋体"/>
          <w:color w:val="auto"/>
          <w:sz w:val="24"/>
          <w:szCs w:val="24"/>
          <w:highlight w:val="none"/>
          <w:u w:val="single"/>
        </w:rPr>
        <w:t xml:space="preserve">   </w:t>
      </w:r>
      <w:r>
        <w:rPr>
          <w:rStyle w:val="40"/>
          <w:rFonts w:hint="eastAsia" w:ascii="宋体" w:hAnsi="宋体" w:eastAsia="宋体" w:cs="宋体"/>
          <w:color w:val="auto"/>
          <w:sz w:val="24"/>
          <w:szCs w:val="24"/>
          <w:highlight w:val="none"/>
        </w:rPr>
        <w:t xml:space="preserve">。 </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保险金额、保险费率和保险期限：</w:t>
      </w:r>
      <w:r>
        <w:rPr>
          <w:rStyle w:val="40"/>
          <w:rFonts w:hint="eastAsia" w:ascii="宋体" w:hAnsi="宋体" w:eastAsia="宋体" w:cs="宋体"/>
          <w:color w:val="auto"/>
          <w:sz w:val="24"/>
          <w:szCs w:val="24"/>
          <w:highlight w:val="none"/>
          <w:u w:val="single"/>
        </w:rPr>
        <w:t xml:space="preserve"> 承包人与保险公司确定   </w:t>
      </w:r>
      <w:r>
        <w:rPr>
          <w:rStyle w:val="40"/>
          <w:rFonts w:hint="eastAsia" w:ascii="宋体" w:hAnsi="宋体" w:eastAsia="宋体" w:cs="宋体"/>
          <w:color w:val="auto"/>
          <w:sz w:val="24"/>
          <w:szCs w:val="24"/>
          <w:highlight w:val="none"/>
        </w:rPr>
        <w:t xml:space="preserve"> 。</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313" w:name="_Toc338867928"/>
      <w:bookmarkStart w:id="314" w:name="_Toc338935815"/>
      <w:bookmarkStart w:id="315" w:name="_Toc338869232"/>
      <w:r>
        <w:rPr>
          <w:rStyle w:val="40"/>
          <w:rFonts w:hint="eastAsia" w:ascii="宋体" w:hAnsi="宋体" w:eastAsia="宋体" w:cs="宋体"/>
          <w:b/>
          <w:color w:val="auto"/>
          <w:sz w:val="24"/>
          <w:szCs w:val="24"/>
          <w:highlight w:val="none"/>
        </w:rPr>
        <w:t>20.6 对各项保险的一般要求</w:t>
      </w:r>
      <w:bookmarkEnd w:id="313"/>
      <w:bookmarkEnd w:id="314"/>
      <w:bookmarkEnd w:id="315"/>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20.6.1 保险凭证</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u w:val="single"/>
        </w:rPr>
      </w:pPr>
      <w:r>
        <w:rPr>
          <w:rStyle w:val="40"/>
          <w:rFonts w:hint="eastAsia" w:ascii="宋体" w:hAnsi="宋体" w:eastAsia="宋体" w:cs="宋体"/>
          <w:color w:val="auto"/>
          <w:sz w:val="24"/>
          <w:szCs w:val="24"/>
          <w:highlight w:val="none"/>
        </w:rPr>
        <w:t>承包人提交的保险凭证的期限：</w:t>
      </w:r>
      <w:r>
        <w:rPr>
          <w:rStyle w:val="40"/>
          <w:rFonts w:hint="eastAsia" w:ascii="宋体" w:hAnsi="宋体" w:eastAsia="宋体" w:cs="宋体"/>
          <w:color w:val="auto"/>
          <w:sz w:val="24"/>
          <w:szCs w:val="24"/>
          <w:highlight w:val="none"/>
          <w:u w:val="single"/>
        </w:rPr>
        <w:t>承包人应在合同签订后的 56 天向发包人提交各项保险生效的证据和保险单副本。</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保险条件：</w:t>
      </w:r>
      <w:r>
        <w:rPr>
          <w:rStyle w:val="40"/>
          <w:rFonts w:hint="eastAsia" w:ascii="宋体" w:hAnsi="宋体" w:eastAsia="宋体" w:cs="宋体"/>
          <w:color w:val="auto"/>
          <w:sz w:val="24"/>
          <w:szCs w:val="24"/>
          <w:highlight w:val="none"/>
          <w:u w:val="single"/>
        </w:rPr>
        <w:t xml:space="preserve"> 国家和行业要求 </w:t>
      </w:r>
      <w:r>
        <w:rPr>
          <w:rStyle w:val="40"/>
          <w:rFonts w:hint="eastAsia" w:ascii="宋体" w:hAnsi="宋体" w:eastAsia="宋体" w:cs="宋体"/>
          <w:color w:val="auto"/>
          <w:sz w:val="24"/>
          <w:szCs w:val="24"/>
          <w:highlight w:val="none"/>
        </w:rPr>
        <w:t>。</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20.6.4 保险金不足的补偿</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保险金不足以补偿损失时，应由承包人和（或）发包人负责补偿的范围与金额：</w:t>
      </w:r>
      <w:r>
        <w:rPr>
          <w:rStyle w:val="40"/>
          <w:rFonts w:hint="eastAsia" w:ascii="宋体" w:hAnsi="宋体" w:eastAsia="宋体" w:cs="宋体"/>
          <w:color w:val="auto"/>
          <w:sz w:val="24"/>
          <w:szCs w:val="24"/>
          <w:highlight w:val="none"/>
          <w:u w:val="single"/>
        </w:rPr>
        <w:t>承包人负责补偿。</w:t>
      </w:r>
    </w:p>
    <w:p>
      <w:pPr>
        <w:pStyle w:val="210"/>
        <w:keepNext w:val="0"/>
        <w:keepLines w:val="0"/>
        <w:pageBreakBefore w:val="0"/>
        <w:kinsoku/>
        <w:wordWrap/>
        <w:overflowPunct/>
        <w:topLinePunct w:val="0"/>
        <w:autoSpaceDE/>
        <w:autoSpaceDN/>
        <w:bidi w:val="0"/>
        <w:adjustRightInd/>
        <w:snapToGrid/>
        <w:spacing w:after="200" w:line="380" w:lineRule="exact"/>
        <w:ind w:right="0" w:rightChars="0"/>
        <w:textAlignment w:val="auto"/>
        <w:outlineLvl w:val="9"/>
        <w:rPr>
          <w:rStyle w:val="40"/>
          <w:rFonts w:hint="eastAsia" w:ascii="宋体" w:hAnsi="宋体" w:eastAsia="宋体" w:cs="宋体"/>
          <w:b/>
          <w:color w:val="auto"/>
          <w:sz w:val="24"/>
          <w:szCs w:val="24"/>
          <w:highlight w:val="none"/>
        </w:rPr>
      </w:pPr>
      <w:bookmarkStart w:id="316" w:name="_Toc338867929"/>
      <w:bookmarkStart w:id="317" w:name="_Toc338935816"/>
      <w:bookmarkStart w:id="318" w:name="_Toc230034218"/>
      <w:bookmarkStart w:id="319" w:name="_Toc230025027"/>
      <w:bookmarkStart w:id="320" w:name="_Toc230033616"/>
      <w:bookmarkStart w:id="321" w:name="_Toc230035164"/>
      <w:bookmarkStart w:id="322" w:name="_Toc338175623"/>
      <w:bookmarkStart w:id="323" w:name="_Toc368480194"/>
      <w:r>
        <w:rPr>
          <w:rStyle w:val="40"/>
          <w:rFonts w:hint="eastAsia" w:ascii="宋体" w:hAnsi="宋体" w:eastAsia="宋体" w:cs="宋体"/>
          <w:b/>
          <w:color w:val="auto"/>
          <w:sz w:val="24"/>
          <w:szCs w:val="24"/>
          <w:highlight w:val="none"/>
        </w:rPr>
        <w:t>24争议的解决</w:t>
      </w:r>
      <w:bookmarkEnd w:id="316"/>
      <w:bookmarkEnd w:id="317"/>
      <w:bookmarkEnd w:id="318"/>
      <w:bookmarkEnd w:id="319"/>
      <w:bookmarkEnd w:id="320"/>
      <w:bookmarkEnd w:id="321"/>
      <w:bookmarkEnd w:id="322"/>
      <w:bookmarkEnd w:id="323"/>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2" w:firstLineChars="200"/>
        <w:textAlignment w:val="auto"/>
        <w:outlineLvl w:val="9"/>
        <w:rPr>
          <w:rStyle w:val="40"/>
          <w:rFonts w:hint="eastAsia" w:ascii="宋体" w:hAnsi="宋体" w:eastAsia="宋体" w:cs="宋体"/>
          <w:b/>
          <w:color w:val="auto"/>
          <w:sz w:val="24"/>
          <w:szCs w:val="24"/>
          <w:highlight w:val="none"/>
        </w:rPr>
      </w:pPr>
      <w:bookmarkStart w:id="324" w:name="_Toc338869234"/>
      <w:bookmarkStart w:id="325" w:name="_Toc338935817"/>
      <w:bookmarkStart w:id="326" w:name="_Toc338867930"/>
      <w:r>
        <w:rPr>
          <w:rStyle w:val="40"/>
          <w:rFonts w:hint="eastAsia" w:ascii="宋体" w:hAnsi="宋体" w:eastAsia="宋体" w:cs="宋体"/>
          <w:b/>
          <w:color w:val="auto"/>
          <w:sz w:val="24"/>
          <w:szCs w:val="24"/>
          <w:highlight w:val="none"/>
        </w:rPr>
        <w:t>24.1 争议的解决方式</w:t>
      </w:r>
      <w:bookmarkEnd w:id="324"/>
      <w:bookmarkEnd w:id="325"/>
      <w:bookmarkEnd w:id="326"/>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合同当事人友好协商解决不成、不愿提出争议评审或不接受争议评审组意见的，约定合同争议解决方式：</w:t>
      </w:r>
      <w:r>
        <w:rPr>
          <w:rStyle w:val="40"/>
          <w:rFonts w:hint="eastAsia" w:ascii="宋体" w:hAnsi="宋体" w:eastAsia="宋体" w:cs="宋体"/>
          <w:color w:val="auto"/>
          <w:sz w:val="24"/>
          <w:szCs w:val="24"/>
          <w:highlight w:val="none"/>
          <w:u w:val="single"/>
        </w:rPr>
        <w:t xml:space="preserve"> 仲裁 </w:t>
      </w:r>
      <w:r>
        <w:rPr>
          <w:rStyle w:val="40"/>
          <w:rFonts w:hint="eastAsia" w:ascii="宋体" w:hAnsi="宋体" w:eastAsia="宋体" w:cs="宋体"/>
          <w:color w:val="auto"/>
          <w:sz w:val="24"/>
          <w:szCs w:val="24"/>
          <w:highlight w:val="none"/>
        </w:rPr>
        <w:t>。</w:t>
      </w:r>
    </w:p>
    <w:p>
      <w:pPr>
        <w:pStyle w:val="210"/>
        <w:keepNext w:val="0"/>
        <w:keepLines w:val="0"/>
        <w:pageBreakBefore w:val="0"/>
        <w:kinsoku/>
        <w:wordWrap/>
        <w:overflowPunct/>
        <w:topLinePunct w:val="0"/>
        <w:autoSpaceDE/>
        <w:autoSpaceDN/>
        <w:bidi w:val="0"/>
        <w:adjustRightInd/>
        <w:snapToGrid/>
        <w:spacing w:after="200" w:line="380" w:lineRule="exact"/>
        <w:ind w:right="0" w:rightChars="0"/>
        <w:textAlignment w:val="auto"/>
        <w:outlineLvl w:val="9"/>
        <w:rPr>
          <w:rStyle w:val="40"/>
          <w:rFonts w:hint="eastAsia" w:ascii="宋体" w:hAnsi="宋体" w:eastAsia="宋体" w:cs="宋体"/>
          <w:b/>
          <w:color w:val="auto"/>
          <w:sz w:val="24"/>
          <w:szCs w:val="24"/>
          <w:highlight w:val="none"/>
        </w:rPr>
      </w:pPr>
      <w:bookmarkStart w:id="327" w:name="_Toc368480195"/>
      <w:r>
        <w:rPr>
          <w:rStyle w:val="40"/>
          <w:rFonts w:hint="eastAsia" w:ascii="宋体" w:hAnsi="宋体" w:eastAsia="宋体" w:cs="宋体"/>
          <w:b/>
          <w:color w:val="auto"/>
          <w:sz w:val="24"/>
          <w:szCs w:val="24"/>
          <w:highlight w:val="none"/>
        </w:rPr>
        <w:t>25民工工资</w:t>
      </w:r>
      <w:bookmarkEnd w:id="327"/>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承包人要根据国家和省有关法律、法规、规定，以及关于认真贯彻执行《新疆维吾尔自治区建设领域农民工工资支付管理办法》和《新疆维吾尔自治区农民工工资保证金管理暂行办法》的办法等加强管理：</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1</w:t>
      </w:r>
      <w:r>
        <w:rPr>
          <w:rStyle w:val="40"/>
          <w:rFonts w:hint="eastAsia" w:ascii="宋体" w:hAnsi="宋体" w:eastAsia="宋体" w:cs="宋体"/>
          <w:color w:val="auto"/>
          <w:sz w:val="24"/>
          <w:szCs w:val="24"/>
          <w:highlight w:val="none"/>
        </w:rPr>
        <w:t>、承包人负责管理民工，保障民工的合法权益；</w:t>
      </w:r>
    </w:p>
    <w:p>
      <w:pPr>
        <w:pStyle w:val="210"/>
        <w:keepNext w:val="0"/>
        <w:keepLines w:val="0"/>
        <w:pageBreakBefore w:val="0"/>
        <w:kinsoku/>
        <w:wordWrap/>
        <w:overflowPunct/>
        <w:topLinePunct w:val="0"/>
        <w:autoSpaceDE/>
        <w:autoSpaceDN/>
        <w:bidi w:val="0"/>
        <w:adjustRightInd/>
        <w:snapToGrid/>
        <w:spacing w:after="200" w:line="380" w:lineRule="exact"/>
        <w:ind w:left="0" w:leftChars="0" w:right="0" w:rightChars="0" w:firstLine="480" w:firstLineChars="200"/>
        <w:textAlignment w:val="auto"/>
        <w:outlineLvl w:val="9"/>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2</w:t>
      </w:r>
      <w:r>
        <w:rPr>
          <w:rStyle w:val="40"/>
          <w:rFonts w:hint="eastAsia" w:ascii="宋体" w:hAnsi="宋体" w:eastAsia="宋体" w:cs="宋体"/>
          <w:color w:val="auto"/>
          <w:sz w:val="24"/>
          <w:szCs w:val="24"/>
          <w:highlight w:val="none"/>
        </w:rPr>
        <w:t>、对于恶意拖欠、克扣民工工资的行为，一经查实，发包人可视情节轻重每次要求承包人支付5万元的违约金。</w:t>
      </w:r>
    </w:p>
    <w:p>
      <w:pPr>
        <w:pStyle w:val="212"/>
        <w:spacing w:after="120"/>
        <w:ind w:firstLine="0"/>
        <w:jc w:val="center"/>
        <w:outlineLvl w:val="9"/>
        <w:rPr>
          <w:rStyle w:val="40"/>
          <w:rFonts w:hint="eastAsia" w:ascii="宋体" w:hAnsi="宋体" w:eastAsia="宋体" w:cs="宋体"/>
          <w:b w:val="0"/>
          <w:bCs/>
          <w:color w:val="auto"/>
          <w:sz w:val="40"/>
          <w:szCs w:val="40"/>
          <w:highlight w:val="none"/>
        </w:rPr>
      </w:pPr>
      <w:bookmarkStart w:id="328" w:name="_Toc22908"/>
      <w:bookmarkStart w:id="329" w:name="_Toc6464"/>
    </w:p>
    <w:p>
      <w:pPr>
        <w:pStyle w:val="212"/>
        <w:spacing w:after="120"/>
        <w:ind w:firstLine="0"/>
        <w:jc w:val="both"/>
        <w:outlineLvl w:val="9"/>
        <w:rPr>
          <w:rStyle w:val="40"/>
          <w:rFonts w:hint="eastAsia" w:ascii="宋体" w:hAnsi="宋体" w:eastAsia="宋体" w:cs="宋体"/>
          <w:b w:val="0"/>
          <w:bCs/>
          <w:color w:val="auto"/>
          <w:sz w:val="40"/>
          <w:szCs w:val="40"/>
          <w:highlight w:val="none"/>
        </w:rPr>
      </w:pPr>
    </w:p>
    <w:p>
      <w:pPr>
        <w:pStyle w:val="212"/>
        <w:spacing w:after="120"/>
        <w:ind w:firstLine="0"/>
        <w:jc w:val="center"/>
        <w:rPr>
          <w:rStyle w:val="40"/>
          <w:rFonts w:hint="eastAsia" w:ascii="宋体" w:hAnsi="宋体" w:eastAsia="宋体" w:cs="宋体"/>
          <w:b w:val="0"/>
          <w:bCs/>
          <w:color w:val="auto"/>
          <w:sz w:val="40"/>
          <w:szCs w:val="40"/>
          <w:highlight w:val="none"/>
        </w:rPr>
      </w:pPr>
      <w:bookmarkStart w:id="330" w:name="_Toc256000125"/>
      <w:r>
        <w:rPr>
          <w:rStyle w:val="40"/>
          <w:rFonts w:hint="eastAsia" w:ascii="宋体" w:hAnsi="宋体" w:eastAsia="宋体" w:cs="宋体"/>
          <w:b w:val="0"/>
          <w:bCs/>
          <w:color w:val="auto"/>
          <w:sz w:val="40"/>
          <w:szCs w:val="40"/>
          <w:highlight w:val="none"/>
        </w:rPr>
        <w:br w:type="page"/>
      </w:r>
      <w:bookmarkStart w:id="331" w:name="_Toc13735"/>
      <w:bookmarkStart w:id="332" w:name="_Toc21577"/>
      <w:bookmarkStart w:id="333" w:name="_Toc256000127"/>
      <w:bookmarkStart w:id="334" w:name="_Toc20885"/>
      <w:r>
        <w:rPr>
          <w:rStyle w:val="40"/>
          <w:rFonts w:hint="eastAsia" w:ascii="宋体" w:hAnsi="宋体" w:eastAsia="宋体" w:cs="宋体"/>
          <w:b w:val="0"/>
          <w:bCs/>
          <w:color w:val="auto"/>
          <w:sz w:val="40"/>
          <w:szCs w:val="40"/>
          <w:highlight w:val="none"/>
        </w:rPr>
        <w:t>第3节 合同附件格式</w:t>
      </w:r>
      <w:bookmarkEnd w:id="328"/>
      <w:bookmarkEnd w:id="329"/>
      <w:bookmarkEnd w:id="330"/>
      <w:bookmarkEnd w:id="331"/>
      <w:bookmarkEnd w:id="332"/>
      <w:bookmarkEnd w:id="333"/>
      <w:bookmarkEnd w:id="334"/>
    </w:p>
    <w:p>
      <w:pPr>
        <w:pStyle w:val="210"/>
        <w:autoSpaceDE w:val="0"/>
        <w:autoSpaceDN w:val="0"/>
        <w:adjustRightInd w:val="0"/>
        <w:snapToGrid w:val="0"/>
        <w:spacing w:after="200" w:line="360" w:lineRule="auto"/>
        <w:rPr>
          <w:rStyle w:val="40"/>
          <w:rFonts w:hint="eastAsia" w:ascii="宋体" w:hAnsi="宋体" w:eastAsia="宋体" w:cs="宋体"/>
          <w:bCs/>
          <w:color w:val="auto"/>
          <w:spacing w:val="26"/>
          <w:kern w:val="0"/>
          <w:sz w:val="32"/>
          <w:szCs w:val="32"/>
          <w:highlight w:val="none"/>
        </w:rPr>
      </w:pPr>
      <w:bookmarkStart w:id="335" w:name="_Toc162675158"/>
      <w:bookmarkStart w:id="336" w:name="_Toc162607595"/>
      <w:r>
        <w:rPr>
          <w:rStyle w:val="40"/>
          <w:rFonts w:hint="eastAsia" w:ascii="宋体" w:hAnsi="宋体" w:eastAsia="宋体" w:cs="宋体"/>
          <w:bCs/>
          <w:color w:val="auto"/>
          <w:spacing w:val="26"/>
          <w:kern w:val="0"/>
          <w:sz w:val="32"/>
          <w:szCs w:val="32"/>
          <w:highlight w:val="none"/>
        </w:rPr>
        <w:t>附件一：</w:t>
      </w:r>
    </w:p>
    <w:bookmarkEnd w:id="335"/>
    <w:bookmarkEnd w:id="336"/>
    <w:p>
      <w:pPr>
        <w:pStyle w:val="210"/>
        <w:autoSpaceDE w:val="0"/>
        <w:autoSpaceDN w:val="0"/>
        <w:adjustRightInd w:val="0"/>
        <w:snapToGrid w:val="0"/>
        <w:spacing w:after="200" w:line="360" w:lineRule="auto"/>
        <w:jc w:val="center"/>
        <w:rPr>
          <w:rStyle w:val="40"/>
          <w:rFonts w:hint="eastAsia" w:ascii="宋体" w:hAnsi="宋体" w:eastAsia="宋体" w:cs="宋体"/>
          <w:color w:val="auto"/>
          <w:kern w:val="0"/>
          <w:sz w:val="32"/>
          <w:szCs w:val="32"/>
          <w:highlight w:val="none"/>
        </w:rPr>
      </w:pPr>
      <w:r>
        <w:rPr>
          <w:rStyle w:val="40"/>
          <w:rFonts w:hint="eastAsia" w:ascii="宋体" w:hAnsi="宋体" w:eastAsia="宋体" w:cs="宋体"/>
          <w:bCs/>
          <w:color w:val="auto"/>
          <w:spacing w:val="26"/>
          <w:kern w:val="0"/>
          <w:sz w:val="44"/>
          <w:szCs w:val="44"/>
          <w:highlight w:val="none"/>
        </w:rPr>
        <w:t>合同协议书</w:t>
      </w:r>
    </w:p>
    <w:p>
      <w:pPr>
        <w:pStyle w:val="210"/>
        <w:spacing w:after="200" w:line="400" w:lineRule="exact"/>
        <w:ind w:left="-178" w:leftChars="-85" w:firstLine="540" w:firstLineChars="225"/>
        <w:jc w:val="left"/>
        <w:rPr>
          <w:rStyle w:val="40"/>
          <w:rFonts w:hint="eastAsia" w:ascii="宋体" w:hAnsi="宋体" w:eastAsia="宋体" w:cs="宋体"/>
          <w:bCs/>
          <w:color w:val="auto"/>
          <w:sz w:val="24"/>
          <w:szCs w:val="24"/>
          <w:highlight w:val="none"/>
        </w:rPr>
      </w:pP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u w:val="single"/>
          <w:lang w:val="en-US" w:eastAsia="zh-CN"/>
        </w:rPr>
        <w:t xml:space="preserve">                  </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(以下称发包入) 为实施</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u w:val="single"/>
          <w:lang w:val="en-US" w:eastAsia="zh-CN"/>
        </w:rPr>
        <w:t xml:space="preserve">         </w:t>
      </w:r>
      <w:r>
        <w:rPr>
          <w:rStyle w:val="40"/>
          <w:rFonts w:hint="eastAsia" w:ascii="宋体" w:hAnsi="宋体" w:eastAsia="宋体" w:cs="宋体"/>
          <w:color w:val="auto"/>
          <w:kern w:val="0"/>
          <w:sz w:val="24"/>
          <w:szCs w:val="24"/>
          <w:highlight w:val="none"/>
          <w:u w:val="single"/>
          <w:lang w:eastAsia="zh-CN"/>
        </w:rPr>
        <w:t>（项目名称）</w:t>
      </w:r>
      <w:r>
        <w:rPr>
          <w:rStyle w:val="40"/>
          <w:rFonts w:hint="eastAsia" w:ascii="宋体" w:hAnsi="宋体" w:eastAsia="宋体" w:cs="宋体"/>
          <w:color w:val="auto"/>
          <w:kern w:val="0"/>
          <w:sz w:val="24"/>
          <w:szCs w:val="24"/>
          <w:highlight w:val="none"/>
          <w:u w:val="single"/>
        </w:rPr>
        <w:t>；</w:t>
      </w:r>
      <w:r>
        <w:rPr>
          <w:rStyle w:val="40"/>
          <w:rFonts w:hint="eastAsia" w:ascii="宋体" w:hAnsi="宋体" w:eastAsia="宋体" w:cs="宋体"/>
          <w:color w:val="auto"/>
          <w:kern w:val="0"/>
          <w:sz w:val="24"/>
          <w:szCs w:val="24"/>
          <w:highlight w:val="none"/>
          <w:u w:val="single"/>
          <w:lang w:eastAsia="zh-CN"/>
        </w:rPr>
        <w:t>（</w:t>
      </w:r>
      <w:r>
        <w:rPr>
          <w:rStyle w:val="40"/>
          <w:rFonts w:hint="eastAsia" w:ascii="宋体" w:hAnsi="宋体" w:eastAsia="宋体" w:cs="宋体"/>
          <w:color w:val="auto"/>
          <w:kern w:val="0"/>
          <w:sz w:val="24"/>
          <w:szCs w:val="24"/>
          <w:highlight w:val="none"/>
          <w:u w:val="single"/>
        </w:rPr>
        <w:t>合同编号</w:t>
      </w:r>
      <w:r>
        <w:rPr>
          <w:rStyle w:val="40"/>
          <w:rFonts w:hint="eastAsia" w:ascii="宋体" w:hAnsi="宋体" w:eastAsia="宋体" w:cs="宋体"/>
          <w:color w:val="auto"/>
          <w:kern w:val="0"/>
          <w:sz w:val="24"/>
          <w:szCs w:val="24"/>
          <w:highlight w:val="none"/>
          <w:u w:val="single"/>
          <w:lang w:eastAsia="zh-CN"/>
        </w:rPr>
        <w:t>）</w:t>
      </w:r>
      <w:r>
        <w:rPr>
          <w:rStyle w:val="40"/>
          <w:rFonts w:hint="eastAsia" w:ascii="宋体" w:hAnsi="宋体" w:eastAsia="宋体" w:cs="宋体"/>
          <w:color w:val="auto"/>
          <w:kern w:val="0"/>
          <w:sz w:val="24"/>
          <w:szCs w:val="24"/>
          <w:highlight w:val="none"/>
          <w:u w:val="single"/>
          <w:lang w:val="en-US" w:eastAsia="zh-CN"/>
        </w:rPr>
        <w:t xml:space="preserve">       </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建设，已接受</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(承包人名称，以下称“承包人”)对</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u w:val="single"/>
          <w:lang w:val="en-US" w:eastAsia="zh-CN"/>
        </w:rPr>
        <w:t xml:space="preserve">   </w:t>
      </w:r>
      <w:r>
        <w:rPr>
          <w:rStyle w:val="40"/>
          <w:rFonts w:hint="eastAsia" w:ascii="宋体" w:hAnsi="宋体" w:eastAsia="宋体" w:cs="宋体"/>
          <w:color w:val="auto"/>
          <w:kern w:val="0"/>
          <w:sz w:val="24"/>
          <w:szCs w:val="24"/>
          <w:highlight w:val="none"/>
          <w:u w:val="single"/>
          <w:lang w:eastAsia="zh-CN"/>
        </w:rPr>
        <w:t>（项目名称）</w:t>
      </w:r>
      <w:r>
        <w:rPr>
          <w:rStyle w:val="40"/>
          <w:rFonts w:hint="eastAsia" w:ascii="宋体" w:hAnsi="宋体" w:eastAsia="宋体" w:cs="宋体"/>
          <w:color w:val="auto"/>
          <w:kern w:val="0"/>
          <w:sz w:val="24"/>
          <w:szCs w:val="24"/>
          <w:highlight w:val="none"/>
          <w:u w:val="single"/>
        </w:rPr>
        <w:t>；</w:t>
      </w:r>
      <w:r>
        <w:rPr>
          <w:rStyle w:val="40"/>
          <w:rFonts w:hint="eastAsia" w:ascii="宋体" w:hAnsi="宋体" w:eastAsia="宋体" w:cs="宋体"/>
          <w:color w:val="auto"/>
          <w:kern w:val="0"/>
          <w:sz w:val="24"/>
          <w:szCs w:val="24"/>
          <w:highlight w:val="none"/>
          <w:u w:val="single"/>
          <w:lang w:eastAsia="zh-CN"/>
        </w:rPr>
        <w:t>（</w:t>
      </w:r>
      <w:r>
        <w:rPr>
          <w:rStyle w:val="40"/>
          <w:rFonts w:hint="eastAsia" w:ascii="宋体" w:hAnsi="宋体" w:eastAsia="宋体" w:cs="宋体"/>
          <w:color w:val="auto"/>
          <w:kern w:val="0"/>
          <w:sz w:val="24"/>
          <w:szCs w:val="24"/>
          <w:highlight w:val="none"/>
          <w:u w:val="single"/>
        </w:rPr>
        <w:t>合同编号</w:t>
      </w:r>
      <w:r>
        <w:rPr>
          <w:rStyle w:val="40"/>
          <w:rFonts w:hint="eastAsia" w:ascii="宋体" w:hAnsi="宋体" w:eastAsia="宋体" w:cs="宋体"/>
          <w:color w:val="auto"/>
          <w:kern w:val="0"/>
          <w:sz w:val="24"/>
          <w:szCs w:val="24"/>
          <w:highlight w:val="none"/>
          <w:u w:val="single"/>
          <w:lang w:eastAsia="zh-CN"/>
        </w:rPr>
        <w:t>）</w:t>
      </w:r>
      <w:r>
        <w:rPr>
          <w:rStyle w:val="40"/>
          <w:rFonts w:hint="eastAsia" w:ascii="宋体" w:hAnsi="宋体" w:eastAsia="宋体" w:cs="宋体"/>
          <w:color w:val="auto"/>
          <w:kern w:val="0"/>
          <w:sz w:val="24"/>
          <w:szCs w:val="24"/>
          <w:highlight w:val="none"/>
          <w:u w:val="single"/>
          <w:lang w:val="en-US" w:eastAsia="zh-CN"/>
        </w:rPr>
        <w:t xml:space="preserve">   </w:t>
      </w:r>
      <w:r>
        <w:rPr>
          <w:rStyle w:val="40"/>
          <w:rFonts w:hint="eastAsia" w:ascii="宋体" w:hAnsi="宋体" w:eastAsia="宋体" w:cs="宋体"/>
          <w:color w:val="auto"/>
          <w:kern w:val="0"/>
          <w:sz w:val="24"/>
          <w:szCs w:val="24"/>
          <w:highlight w:val="none"/>
          <w:u w:val="single"/>
        </w:rPr>
        <w:t>　</w:t>
      </w:r>
      <w:r>
        <w:rPr>
          <w:rStyle w:val="40"/>
          <w:rFonts w:hint="eastAsia" w:ascii="宋体" w:hAnsi="宋体" w:eastAsia="宋体" w:cs="宋体"/>
          <w:color w:val="auto"/>
          <w:kern w:val="0"/>
          <w:sz w:val="24"/>
          <w:szCs w:val="24"/>
          <w:highlight w:val="none"/>
        </w:rPr>
        <w:t>的投标，并确定其为中标人。发包人和承包人共同达成如下协议：</w:t>
      </w:r>
    </w:p>
    <w:p>
      <w:pPr>
        <w:pStyle w:val="210"/>
        <w:autoSpaceDE w:val="0"/>
        <w:autoSpaceDN w:val="0"/>
        <w:adjustRightInd w:val="0"/>
        <w:snapToGrid w:val="0"/>
        <w:spacing w:after="200" w:line="400" w:lineRule="exact"/>
        <w:ind w:left="630" w:hanging="720" w:hangingChars="30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 xml:space="preserve">   1．本协议书与下列文件一起构成合同文件：</w:t>
      </w:r>
    </w:p>
    <w:p>
      <w:pPr>
        <w:pStyle w:val="210"/>
        <w:autoSpaceDE w:val="0"/>
        <w:autoSpaceDN w:val="0"/>
        <w:adjustRightInd w:val="0"/>
        <w:snapToGrid w:val="0"/>
        <w:spacing w:after="200" w:line="400" w:lineRule="exact"/>
        <w:ind w:firstLine="48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(1)中标通知书；</w:t>
      </w:r>
    </w:p>
    <w:p>
      <w:pPr>
        <w:pStyle w:val="210"/>
        <w:autoSpaceDE w:val="0"/>
        <w:autoSpaceDN w:val="0"/>
        <w:adjustRightInd w:val="0"/>
        <w:snapToGrid w:val="0"/>
        <w:spacing w:after="200" w:line="400" w:lineRule="exact"/>
        <w:ind w:firstLine="48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(2)投标函及投标函附录；</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(3)专用合同条款；</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(4)通用合同条款；</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(5)技术标准和要求；</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kern w:val="0"/>
          <w:sz w:val="24"/>
          <w:szCs w:val="24"/>
          <w:highlight w:val="none"/>
          <w:lang w:eastAsia="zh-CN"/>
        </w:rPr>
      </w:pPr>
      <w:r>
        <w:rPr>
          <w:rStyle w:val="40"/>
          <w:rFonts w:hint="eastAsia" w:ascii="宋体" w:hAnsi="宋体" w:eastAsia="宋体" w:cs="宋体"/>
          <w:color w:val="auto"/>
          <w:kern w:val="0"/>
          <w:sz w:val="24"/>
          <w:szCs w:val="24"/>
          <w:highlight w:val="none"/>
        </w:rPr>
        <w:t>(</w:t>
      </w:r>
      <w:r>
        <w:rPr>
          <w:rStyle w:val="40"/>
          <w:rFonts w:hint="eastAsia" w:ascii="宋体" w:hAnsi="宋体" w:eastAsia="宋体" w:cs="宋体"/>
          <w:color w:val="auto"/>
          <w:kern w:val="0"/>
          <w:sz w:val="24"/>
          <w:szCs w:val="24"/>
          <w:highlight w:val="none"/>
          <w:lang w:val="en-US" w:eastAsia="zh-CN"/>
        </w:rPr>
        <w:t>6</w:t>
      </w:r>
      <w:r>
        <w:rPr>
          <w:rStyle w:val="40"/>
          <w:rFonts w:hint="eastAsia" w:ascii="宋体" w:hAnsi="宋体" w:eastAsia="宋体" w:cs="宋体"/>
          <w:color w:val="auto"/>
          <w:kern w:val="0"/>
          <w:sz w:val="24"/>
          <w:szCs w:val="24"/>
          <w:highlight w:val="none"/>
        </w:rPr>
        <w:t>)</w:t>
      </w:r>
      <w:r>
        <w:rPr>
          <w:rStyle w:val="40"/>
          <w:rFonts w:hint="eastAsia" w:ascii="宋体" w:hAnsi="宋体" w:eastAsia="宋体" w:cs="宋体"/>
          <w:color w:val="auto"/>
          <w:kern w:val="0"/>
          <w:sz w:val="24"/>
          <w:szCs w:val="24"/>
          <w:highlight w:val="none"/>
          <w:lang w:eastAsia="zh-CN"/>
        </w:rPr>
        <w:t>图纸；</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w:t>
      </w:r>
      <w:r>
        <w:rPr>
          <w:rStyle w:val="40"/>
          <w:rFonts w:hint="eastAsia" w:ascii="宋体" w:hAnsi="宋体" w:eastAsia="宋体" w:cs="宋体"/>
          <w:color w:val="auto"/>
          <w:kern w:val="0"/>
          <w:sz w:val="24"/>
          <w:szCs w:val="24"/>
          <w:highlight w:val="none"/>
          <w:lang w:val="en-US" w:eastAsia="zh-CN"/>
        </w:rPr>
        <w:t>7</w:t>
      </w:r>
      <w:r>
        <w:rPr>
          <w:rStyle w:val="40"/>
          <w:rFonts w:hint="eastAsia" w:ascii="宋体" w:hAnsi="宋体" w:eastAsia="宋体" w:cs="宋体"/>
          <w:color w:val="auto"/>
          <w:kern w:val="0"/>
          <w:sz w:val="24"/>
          <w:szCs w:val="24"/>
          <w:highlight w:val="none"/>
        </w:rPr>
        <w:t>)己标价的工程量清单；</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(8)经双方确认进入合同的其它文件。</w:t>
      </w:r>
    </w:p>
    <w:p>
      <w:pPr>
        <w:pStyle w:val="210"/>
        <w:autoSpaceDE w:val="0"/>
        <w:autoSpaceDN w:val="0"/>
        <w:adjustRightInd w:val="0"/>
        <w:snapToGrid w:val="0"/>
        <w:spacing w:after="200" w:line="400" w:lineRule="exact"/>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 xml:space="preserve">  </w:t>
      </w:r>
      <w:r>
        <w:rPr>
          <w:rStyle w:val="40"/>
          <w:rFonts w:hint="eastAsia" w:ascii="宋体" w:hAnsi="宋体" w:eastAsia="宋体" w:cs="宋体"/>
          <w:color w:val="auto"/>
          <w:kern w:val="0"/>
          <w:sz w:val="24"/>
          <w:szCs w:val="24"/>
          <w:highlight w:val="none"/>
          <w:lang w:val="en-US" w:eastAsia="zh-CN"/>
        </w:rPr>
        <w:t xml:space="preserve"> </w:t>
      </w:r>
      <w:r>
        <w:rPr>
          <w:rStyle w:val="40"/>
          <w:rFonts w:hint="eastAsia" w:ascii="宋体" w:hAnsi="宋体" w:eastAsia="宋体" w:cs="宋体"/>
          <w:color w:val="auto"/>
          <w:kern w:val="0"/>
          <w:sz w:val="24"/>
          <w:szCs w:val="24"/>
          <w:highlight w:val="none"/>
        </w:rPr>
        <w:t xml:space="preserve"> 2.上述文件互相补充和解释，如有不明确或不一致之处，以合同约定次序在先者为准。</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3.签约合同价：人民币(大写)</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元(￥</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元)。</w:t>
      </w:r>
    </w:p>
    <w:p>
      <w:pPr>
        <w:pStyle w:val="210"/>
        <w:autoSpaceDE w:val="0"/>
        <w:autoSpaceDN w:val="0"/>
        <w:adjustRightInd w:val="0"/>
        <w:snapToGrid w:val="0"/>
        <w:spacing w:after="200" w:line="400" w:lineRule="exact"/>
        <w:ind w:firstLine="360" w:firstLineChars="15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lang w:val="en-US" w:eastAsia="zh-CN"/>
        </w:rPr>
        <w:t>其中：安全文明施工费为</w:t>
      </w:r>
      <w:r>
        <w:rPr>
          <w:rStyle w:val="40"/>
          <w:rFonts w:hint="eastAsia" w:ascii="宋体" w:hAnsi="宋体" w:eastAsia="宋体" w:cs="宋体"/>
          <w:color w:val="auto"/>
          <w:kern w:val="0"/>
          <w:sz w:val="24"/>
          <w:szCs w:val="24"/>
          <w:highlight w:val="none"/>
        </w:rPr>
        <w:t>(大写)</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元(￥</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元)。</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kern w:val="0"/>
          <w:sz w:val="24"/>
          <w:szCs w:val="24"/>
          <w:highlight w:val="none"/>
          <w:lang w:val="en-US" w:eastAsia="zh-CN"/>
        </w:rPr>
      </w:pPr>
      <w:r>
        <w:rPr>
          <w:rStyle w:val="40"/>
          <w:rFonts w:hint="eastAsia" w:ascii="宋体" w:hAnsi="宋体" w:eastAsia="宋体" w:cs="宋体"/>
          <w:color w:val="auto"/>
          <w:kern w:val="0"/>
          <w:sz w:val="24"/>
          <w:szCs w:val="24"/>
          <w:highlight w:val="none"/>
          <w:lang w:val="en-US" w:eastAsia="zh-CN"/>
        </w:rPr>
        <w:t>4.工程建设内容：</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kern w:val="0"/>
          <w:sz w:val="24"/>
          <w:szCs w:val="24"/>
          <w:highlight w:val="none"/>
          <w:lang w:val="en-US" w:eastAsia="zh-CN"/>
        </w:rPr>
      </w:pPr>
      <w:r>
        <w:rPr>
          <w:rStyle w:val="40"/>
          <w:rFonts w:hint="eastAsia" w:ascii="宋体" w:hAnsi="宋体" w:eastAsia="宋体" w:cs="宋体"/>
          <w:color w:val="auto"/>
          <w:kern w:val="0"/>
          <w:sz w:val="24"/>
          <w:szCs w:val="24"/>
          <w:highlight w:val="none"/>
          <w:lang w:val="en-US" w:eastAsia="zh-CN"/>
        </w:rPr>
        <w:t>5.工程计划工期：</w:t>
      </w:r>
      <w:r>
        <w:rPr>
          <w:rStyle w:val="40"/>
          <w:rFonts w:hint="eastAsia" w:ascii="宋体" w:hAnsi="宋体" w:eastAsia="宋体" w:cs="宋体"/>
          <w:color w:val="auto"/>
          <w:sz w:val="24"/>
          <w:szCs w:val="32"/>
          <w:highlight w:val="none"/>
          <w:u w:val="single"/>
          <w:lang w:val="en-US" w:eastAsia="zh-CN"/>
        </w:rPr>
        <w:t>2022</w:t>
      </w:r>
      <w:r>
        <w:rPr>
          <w:rStyle w:val="40"/>
          <w:rFonts w:hint="eastAsia" w:ascii="宋体" w:hAnsi="宋体" w:eastAsia="宋体" w:cs="宋体"/>
          <w:color w:val="auto"/>
          <w:sz w:val="24"/>
          <w:szCs w:val="32"/>
          <w:highlight w:val="none"/>
          <w:lang w:val="en-US" w:eastAsia="zh-CN"/>
        </w:rPr>
        <w:t>年</w:t>
      </w:r>
      <w:r>
        <w:rPr>
          <w:rStyle w:val="40"/>
          <w:rFonts w:hint="eastAsia" w:ascii="宋体" w:hAnsi="宋体" w:eastAsia="宋体" w:cs="宋体"/>
          <w:color w:val="auto"/>
          <w:sz w:val="24"/>
          <w:szCs w:val="32"/>
          <w:highlight w:val="none"/>
          <w:u w:val="single"/>
          <w:lang w:val="en-US" w:eastAsia="zh-CN"/>
        </w:rPr>
        <w:t xml:space="preserve"> </w:t>
      </w:r>
      <w:r>
        <w:rPr>
          <w:rStyle w:val="40"/>
          <w:rFonts w:hint="eastAsia" w:ascii="宋体" w:hAnsi="宋体" w:eastAsia="宋体" w:cs="宋体"/>
          <w:color w:val="auto"/>
          <w:sz w:val="24"/>
          <w:szCs w:val="32"/>
          <w:highlight w:val="none"/>
          <w:lang w:val="en-US" w:eastAsia="zh-CN"/>
        </w:rPr>
        <w:t>月</w:t>
      </w:r>
      <w:r>
        <w:rPr>
          <w:rStyle w:val="40"/>
          <w:rFonts w:hint="eastAsia" w:ascii="宋体" w:hAnsi="宋体" w:eastAsia="宋体" w:cs="宋体"/>
          <w:color w:val="auto"/>
          <w:sz w:val="24"/>
          <w:szCs w:val="32"/>
          <w:highlight w:val="none"/>
          <w:u w:val="single"/>
          <w:lang w:val="en-US" w:eastAsia="zh-CN"/>
        </w:rPr>
        <w:t xml:space="preserve"> </w:t>
      </w:r>
      <w:r>
        <w:rPr>
          <w:rStyle w:val="40"/>
          <w:rFonts w:hint="eastAsia" w:ascii="宋体" w:hAnsi="宋体" w:eastAsia="宋体" w:cs="宋体"/>
          <w:color w:val="auto"/>
          <w:sz w:val="24"/>
          <w:szCs w:val="32"/>
          <w:highlight w:val="none"/>
          <w:lang w:val="en-US" w:eastAsia="zh-CN"/>
        </w:rPr>
        <w:t>日开工至</w:t>
      </w:r>
      <w:r>
        <w:rPr>
          <w:rStyle w:val="40"/>
          <w:rFonts w:hint="eastAsia" w:ascii="宋体" w:hAnsi="宋体" w:eastAsia="宋体" w:cs="宋体"/>
          <w:color w:val="auto"/>
          <w:sz w:val="24"/>
          <w:szCs w:val="32"/>
          <w:highlight w:val="none"/>
          <w:u w:val="single"/>
          <w:lang w:val="en-US" w:eastAsia="zh-CN"/>
        </w:rPr>
        <w:t>2022</w:t>
      </w:r>
      <w:r>
        <w:rPr>
          <w:rStyle w:val="40"/>
          <w:rFonts w:hint="eastAsia" w:ascii="宋体" w:hAnsi="宋体" w:eastAsia="宋体" w:cs="宋体"/>
          <w:color w:val="auto"/>
          <w:sz w:val="24"/>
          <w:szCs w:val="32"/>
          <w:highlight w:val="none"/>
          <w:lang w:val="en-US" w:eastAsia="zh-CN"/>
        </w:rPr>
        <w:t>年</w:t>
      </w:r>
      <w:r>
        <w:rPr>
          <w:rStyle w:val="40"/>
          <w:rFonts w:hint="eastAsia" w:ascii="宋体" w:hAnsi="宋体" w:eastAsia="宋体" w:cs="宋体"/>
          <w:color w:val="auto"/>
          <w:sz w:val="24"/>
          <w:szCs w:val="32"/>
          <w:highlight w:val="none"/>
          <w:u w:val="single"/>
          <w:lang w:val="en-US" w:eastAsia="zh-CN"/>
        </w:rPr>
        <w:t xml:space="preserve"> </w:t>
      </w:r>
      <w:r>
        <w:rPr>
          <w:rStyle w:val="40"/>
          <w:rFonts w:hint="eastAsia" w:ascii="宋体" w:hAnsi="宋体" w:eastAsia="宋体" w:cs="宋体"/>
          <w:color w:val="auto"/>
          <w:sz w:val="24"/>
          <w:szCs w:val="32"/>
          <w:highlight w:val="none"/>
          <w:lang w:val="en-US" w:eastAsia="zh-CN"/>
        </w:rPr>
        <w:t>月</w:t>
      </w:r>
      <w:r>
        <w:rPr>
          <w:rStyle w:val="40"/>
          <w:rFonts w:hint="eastAsia" w:ascii="宋体" w:hAnsi="宋体" w:eastAsia="宋体" w:cs="宋体"/>
          <w:color w:val="auto"/>
          <w:sz w:val="24"/>
          <w:szCs w:val="32"/>
          <w:highlight w:val="none"/>
          <w:u w:val="single"/>
          <w:lang w:val="en-US" w:eastAsia="zh-CN"/>
        </w:rPr>
        <w:t xml:space="preserve"> </w:t>
      </w:r>
      <w:r>
        <w:rPr>
          <w:rStyle w:val="40"/>
          <w:rFonts w:hint="eastAsia" w:ascii="宋体" w:hAnsi="宋体" w:eastAsia="宋体" w:cs="宋体"/>
          <w:color w:val="auto"/>
          <w:sz w:val="24"/>
          <w:szCs w:val="32"/>
          <w:highlight w:val="none"/>
          <w:lang w:val="en-US" w:eastAsia="zh-CN"/>
        </w:rPr>
        <w:t>日竣工，总工期</w:t>
      </w:r>
      <w:r>
        <w:rPr>
          <w:rStyle w:val="40"/>
          <w:rFonts w:hint="eastAsia" w:ascii="宋体" w:hAnsi="宋体" w:eastAsia="宋体" w:cs="宋体"/>
          <w:color w:val="auto"/>
          <w:sz w:val="24"/>
          <w:szCs w:val="32"/>
          <w:highlight w:val="none"/>
          <w:u w:val="single"/>
          <w:lang w:val="en-US" w:eastAsia="zh-CN"/>
        </w:rPr>
        <w:t>60</w:t>
      </w:r>
      <w:r>
        <w:rPr>
          <w:rStyle w:val="40"/>
          <w:rFonts w:hint="eastAsia" w:ascii="宋体" w:hAnsi="宋体" w:eastAsia="宋体" w:cs="宋体"/>
          <w:color w:val="auto"/>
          <w:sz w:val="24"/>
          <w:szCs w:val="32"/>
          <w:highlight w:val="none"/>
          <w:lang w:val="en-US" w:eastAsia="zh-CN"/>
        </w:rPr>
        <w:t>日历天。</w:t>
      </w:r>
    </w:p>
    <w:p>
      <w:pPr>
        <w:pStyle w:val="210"/>
        <w:autoSpaceDE w:val="0"/>
        <w:autoSpaceDN w:val="0"/>
        <w:adjustRightInd w:val="0"/>
        <w:snapToGrid w:val="0"/>
        <w:spacing w:after="200" w:line="400" w:lineRule="exact"/>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 xml:space="preserve">  </w:t>
      </w:r>
      <w:r>
        <w:rPr>
          <w:rStyle w:val="40"/>
          <w:rFonts w:hint="eastAsia" w:ascii="宋体" w:hAnsi="宋体" w:eastAsia="宋体" w:cs="宋体"/>
          <w:color w:val="auto"/>
          <w:kern w:val="0"/>
          <w:sz w:val="24"/>
          <w:szCs w:val="24"/>
          <w:highlight w:val="none"/>
          <w:lang w:val="en-US" w:eastAsia="zh-CN"/>
        </w:rPr>
        <w:t xml:space="preserve">  6</w:t>
      </w:r>
      <w:r>
        <w:rPr>
          <w:rStyle w:val="40"/>
          <w:rFonts w:hint="eastAsia" w:ascii="宋体" w:hAnsi="宋体" w:eastAsia="宋体" w:cs="宋体"/>
          <w:color w:val="auto"/>
          <w:kern w:val="0"/>
          <w:sz w:val="24"/>
          <w:szCs w:val="24"/>
          <w:highlight w:val="none"/>
        </w:rPr>
        <w:t xml:space="preserve">．承包人项目经理 </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w:t>
      </w:r>
    </w:p>
    <w:p>
      <w:pPr>
        <w:pStyle w:val="210"/>
        <w:autoSpaceDE w:val="0"/>
        <w:autoSpaceDN w:val="0"/>
        <w:adjustRightInd w:val="0"/>
        <w:snapToGrid w:val="0"/>
        <w:spacing w:after="200" w:line="400" w:lineRule="exact"/>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 xml:space="preserve">  </w:t>
      </w:r>
      <w:r>
        <w:rPr>
          <w:rStyle w:val="40"/>
          <w:rFonts w:hint="eastAsia" w:ascii="宋体" w:hAnsi="宋体" w:eastAsia="宋体" w:cs="宋体"/>
          <w:color w:val="auto"/>
          <w:kern w:val="0"/>
          <w:sz w:val="24"/>
          <w:szCs w:val="24"/>
          <w:highlight w:val="none"/>
          <w:lang w:val="en-US" w:eastAsia="zh-CN"/>
        </w:rPr>
        <w:t xml:space="preserve">  7</w:t>
      </w:r>
      <w:r>
        <w:rPr>
          <w:rStyle w:val="40"/>
          <w:rFonts w:hint="eastAsia" w:ascii="宋体" w:hAnsi="宋体" w:eastAsia="宋体" w:cs="宋体"/>
          <w:color w:val="auto"/>
          <w:kern w:val="0"/>
          <w:sz w:val="24"/>
          <w:szCs w:val="24"/>
          <w:highlight w:val="none"/>
        </w:rPr>
        <w:t>．工程质量符合标准</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w:t>
      </w:r>
    </w:p>
    <w:p>
      <w:pPr>
        <w:pStyle w:val="210"/>
        <w:autoSpaceDE w:val="0"/>
        <w:autoSpaceDN w:val="0"/>
        <w:adjustRightInd w:val="0"/>
        <w:snapToGrid w:val="0"/>
        <w:spacing w:after="200" w:line="400" w:lineRule="exact"/>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 xml:space="preserve">  </w:t>
      </w:r>
      <w:r>
        <w:rPr>
          <w:rStyle w:val="40"/>
          <w:rFonts w:hint="eastAsia" w:ascii="宋体" w:hAnsi="宋体" w:eastAsia="宋体" w:cs="宋体"/>
          <w:color w:val="auto"/>
          <w:kern w:val="0"/>
          <w:sz w:val="24"/>
          <w:szCs w:val="24"/>
          <w:highlight w:val="none"/>
          <w:lang w:val="en-US" w:eastAsia="zh-CN"/>
        </w:rPr>
        <w:t xml:space="preserve"> </w:t>
      </w:r>
      <w:r>
        <w:rPr>
          <w:rStyle w:val="40"/>
          <w:rFonts w:hint="eastAsia" w:ascii="宋体" w:hAnsi="宋体" w:eastAsia="宋体" w:cs="宋体"/>
          <w:color w:val="auto"/>
          <w:kern w:val="0"/>
          <w:sz w:val="24"/>
          <w:szCs w:val="24"/>
          <w:highlight w:val="none"/>
        </w:rPr>
        <w:t xml:space="preserve"> </w:t>
      </w:r>
      <w:r>
        <w:rPr>
          <w:rStyle w:val="40"/>
          <w:rFonts w:hint="eastAsia" w:ascii="宋体" w:hAnsi="宋体" w:eastAsia="宋体" w:cs="宋体"/>
          <w:color w:val="auto"/>
          <w:kern w:val="0"/>
          <w:sz w:val="24"/>
          <w:szCs w:val="24"/>
          <w:highlight w:val="none"/>
          <w:lang w:val="en-US" w:eastAsia="zh-CN"/>
        </w:rPr>
        <w:t>8</w:t>
      </w:r>
      <w:r>
        <w:rPr>
          <w:rStyle w:val="40"/>
          <w:rFonts w:hint="eastAsia" w:ascii="宋体" w:hAnsi="宋体" w:eastAsia="宋体" w:cs="宋体"/>
          <w:color w:val="auto"/>
          <w:kern w:val="0"/>
          <w:sz w:val="24"/>
          <w:szCs w:val="24"/>
          <w:highlight w:val="none"/>
        </w:rPr>
        <w:t>．承包人承诺按合同约定承担工程的实施、完成及缺陷修复。</w:t>
      </w:r>
    </w:p>
    <w:p>
      <w:pPr>
        <w:pStyle w:val="210"/>
        <w:autoSpaceDE w:val="0"/>
        <w:autoSpaceDN w:val="0"/>
        <w:adjustRightInd w:val="0"/>
        <w:snapToGrid w:val="0"/>
        <w:spacing w:after="200" w:line="400" w:lineRule="exact"/>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 xml:space="preserve">  </w:t>
      </w:r>
      <w:r>
        <w:rPr>
          <w:rStyle w:val="40"/>
          <w:rFonts w:hint="eastAsia" w:ascii="宋体" w:hAnsi="宋体" w:eastAsia="宋体" w:cs="宋体"/>
          <w:color w:val="auto"/>
          <w:kern w:val="0"/>
          <w:sz w:val="24"/>
          <w:szCs w:val="24"/>
          <w:highlight w:val="none"/>
          <w:lang w:val="en-US" w:eastAsia="zh-CN"/>
        </w:rPr>
        <w:t xml:space="preserve"> </w:t>
      </w:r>
      <w:r>
        <w:rPr>
          <w:rStyle w:val="40"/>
          <w:rFonts w:hint="eastAsia" w:ascii="宋体" w:hAnsi="宋体" w:eastAsia="宋体" w:cs="宋体"/>
          <w:color w:val="auto"/>
          <w:kern w:val="0"/>
          <w:sz w:val="24"/>
          <w:szCs w:val="24"/>
          <w:highlight w:val="none"/>
        </w:rPr>
        <w:t xml:space="preserve"> </w:t>
      </w:r>
      <w:r>
        <w:rPr>
          <w:rStyle w:val="40"/>
          <w:rFonts w:hint="eastAsia" w:ascii="宋体" w:hAnsi="宋体" w:eastAsia="宋体" w:cs="宋体"/>
          <w:color w:val="auto"/>
          <w:kern w:val="0"/>
          <w:sz w:val="24"/>
          <w:szCs w:val="24"/>
          <w:highlight w:val="none"/>
          <w:lang w:val="en-US" w:eastAsia="zh-CN"/>
        </w:rPr>
        <w:t>9</w:t>
      </w:r>
      <w:r>
        <w:rPr>
          <w:rStyle w:val="40"/>
          <w:rFonts w:hint="eastAsia" w:ascii="宋体" w:hAnsi="宋体" w:eastAsia="宋体" w:cs="宋体"/>
          <w:color w:val="auto"/>
          <w:kern w:val="0"/>
          <w:sz w:val="24"/>
          <w:szCs w:val="24"/>
          <w:highlight w:val="none"/>
        </w:rPr>
        <w:t>. 发包人承诺按合同约定的条件、时间和方式向承包人支付合同价款。</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lang w:val="en-US" w:eastAsia="zh-CN"/>
        </w:rPr>
        <w:t>10</w:t>
      </w:r>
      <w:r>
        <w:rPr>
          <w:rStyle w:val="40"/>
          <w:rFonts w:hint="eastAsia" w:ascii="宋体" w:hAnsi="宋体" w:eastAsia="宋体" w:cs="宋体"/>
          <w:color w:val="auto"/>
          <w:kern w:val="0"/>
          <w:sz w:val="24"/>
          <w:szCs w:val="24"/>
          <w:highlight w:val="none"/>
        </w:rPr>
        <w:t>. 承包人承诺执行监理人开工通知，计划工期为</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天。</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lang w:val="en-US" w:eastAsia="zh-CN"/>
        </w:rPr>
        <w:t>11</w:t>
      </w:r>
      <w:r>
        <w:rPr>
          <w:rStyle w:val="40"/>
          <w:rFonts w:hint="eastAsia" w:ascii="宋体" w:hAnsi="宋体" w:eastAsia="宋体" w:cs="宋体"/>
          <w:color w:val="auto"/>
          <w:kern w:val="0"/>
          <w:sz w:val="24"/>
          <w:szCs w:val="24"/>
          <w:highlight w:val="none"/>
        </w:rPr>
        <w:t>.本协议书一式</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份，合同双方各执一份。</w:t>
      </w:r>
    </w:p>
    <w:p>
      <w:pPr>
        <w:pStyle w:val="210"/>
        <w:autoSpaceDE w:val="0"/>
        <w:autoSpaceDN w:val="0"/>
        <w:adjustRightInd w:val="0"/>
        <w:snapToGrid w:val="0"/>
        <w:spacing w:after="200" w:line="400" w:lineRule="exact"/>
        <w:ind w:firstLine="480" w:firstLineChars="200"/>
        <w:jc w:val="left"/>
        <w:rPr>
          <w:rStyle w:val="40"/>
          <w:rFonts w:hint="eastAsia" w:ascii="宋体" w:hAnsi="宋体" w:eastAsia="宋体" w:cs="宋体"/>
          <w:color w:val="auto"/>
          <w:spacing w:val="39"/>
          <w:kern w:val="0"/>
          <w:sz w:val="24"/>
          <w:szCs w:val="24"/>
          <w:highlight w:val="none"/>
        </w:rPr>
      </w:pPr>
      <w:r>
        <w:rPr>
          <w:rStyle w:val="40"/>
          <w:rFonts w:hint="eastAsia" w:ascii="宋体" w:hAnsi="宋体" w:eastAsia="宋体" w:cs="宋体"/>
          <w:color w:val="auto"/>
          <w:kern w:val="0"/>
          <w:sz w:val="24"/>
          <w:szCs w:val="24"/>
          <w:highlight w:val="none"/>
        </w:rPr>
        <w:t>1</w:t>
      </w:r>
      <w:r>
        <w:rPr>
          <w:rStyle w:val="40"/>
          <w:rFonts w:hint="eastAsia" w:ascii="宋体" w:hAnsi="宋体" w:eastAsia="宋体" w:cs="宋体"/>
          <w:color w:val="auto"/>
          <w:kern w:val="0"/>
          <w:sz w:val="24"/>
          <w:szCs w:val="24"/>
          <w:highlight w:val="none"/>
          <w:lang w:val="en-US" w:eastAsia="zh-CN"/>
        </w:rPr>
        <w:t>2</w:t>
      </w:r>
      <w:r>
        <w:rPr>
          <w:rStyle w:val="40"/>
          <w:rFonts w:hint="eastAsia" w:ascii="宋体" w:hAnsi="宋体" w:eastAsia="宋体" w:cs="宋体"/>
          <w:color w:val="auto"/>
          <w:kern w:val="0"/>
          <w:sz w:val="24"/>
          <w:szCs w:val="24"/>
          <w:highlight w:val="none"/>
        </w:rPr>
        <w:t>.合同未尽事宜，双方另行签订补充协议。补充协议是合同的组成部分。</w:t>
      </w:r>
    </w:p>
    <w:p>
      <w:pPr>
        <w:pStyle w:val="210"/>
        <w:autoSpaceDE w:val="0"/>
        <w:autoSpaceDN w:val="0"/>
        <w:adjustRightInd w:val="0"/>
        <w:snapToGrid w:val="0"/>
        <w:spacing w:after="200" w:line="400" w:lineRule="exact"/>
        <w:ind w:firstLine="240" w:firstLineChars="100"/>
        <w:jc w:val="left"/>
        <w:rPr>
          <w:rStyle w:val="40"/>
          <w:rFonts w:hint="eastAsia" w:ascii="宋体" w:hAnsi="宋体" w:eastAsia="宋体" w:cs="宋体"/>
          <w:color w:val="auto"/>
          <w:kern w:val="0"/>
          <w:sz w:val="24"/>
          <w:szCs w:val="24"/>
          <w:highlight w:val="none"/>
        </w:rPr>
      </w:pPr>
    </w:p>
    <w:p>
      <w:pPr>
        <w:pStyle w:val="210"/>
        <w:autoSpaceDE w:val="0"/>
        <w:autoSpaceDN w:val="0"/>
        <w:adjustRightInd w:val="0"/>
        <w:snapToGrid w:val="0"/>
        <w:spacing w:after="200" w:line="400" w:lineRule="exact"/>
        <w:ind w:firstLine="240" w:firstLineChars="100"/>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发包人：</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(单位盖章)            承包人：</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(单位盖章)</w:t>
      </w:r>
    </w:p>
    <w:p>
      <w:pPr>
        <w:pStyle w:val="210"/>
        <w:autoSpaceDE w:val="0"/>
        <w:autoSpaceDN w:val="0"/>
        <w:adjustRightInd w:val="0"/>
        <w:snapToGrid w:val="0"/>
        <w:spacing w:after="200" w:line="400" w:lineRule="exact"/>
        <w:ind w:firstLine="240" w:firstLineChars="100"/>
        <w:jc w:val="left"/>
        <w:rPr>
          <w:rStyle w:val="40"/>
          <w:rFonts w:hint="eastAsia" w:ascii="宋体" w:hAnsi="宋体" w:eastAsia="宋体" w:cs="宋体"/>
          <w:bCs/>
          <w:color w:val="auto"/>
          <w:kern w:val="0"/>
          <w:sz w:val="24"/>
          <w:szCs w:val="24"/>
          <w:highlight w:val="none"/>
        </w:rPr>
      </w:pPr>
    </w:p>
    <w:p>
      <w:pPr>
        <w:pStyle w:val="210"/>
        <w:autoSpaceDE w:val="0"/>
        <w:autoSpaceDN w:val="0"/>
        <w:adjustRightInd w:val="0"/>
        <w:snapToGrid w:val="0"/>
        <w:spacing w:after="200" w:line="400" w:lineRule="exact"/>
        <w:jc w:val="left"/>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 xml:space="preserve">  法定代表人或其委托代理人：</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(签字)   法定代表人或其委托代理人：</w:t>
      </w:r>
      <w:r>
        <w:rPr>
          <w:rStyle w:val="40"/>
          <w:rFonts w:hint="eastAsia" w:ascii="宋体" w:hAnsi="宋体" w:eastAsia="宋体" w:cs="宋体"/>
          <w:color w:val="auto"/>
          <w:kern w:val="0"/>
          <w:sz w:val="24"/>
          <w:szCs w:val="24"/>
          <w:highlight w:val="none"/>
          <w:u w:val="single"/>
        </w:rPr>
        <w:t xml:space="preserve">    </w:t>
      </w:r>
      <w:r>
        <w:rPr>
          <w:rStyle w:val="40"/>
          <w:rFonts w:hint="eastAsia" w:ascii="宋体" w:hAnsi="宋体" w:eastAsia="宋体" w:cs="宋体"/>
          <w:color w:val="auto"/>
          <w:kern w:val="0"/>
          <w:sz w:val="24"/>
          <w:szCs w:val="24"/>
          <w:highlight w:val="none"/>
        </w:rPr>
        <w:t>(签字)</w:t>
      </w:r>
    </w:p>
    <w:p>
      <w:pPr>
        <w:pStyle w:val="210"/>
        <w:autoSpaceDE w:val="0"/>
        <w:autoSpaceDN w:val="0"/>
        <w:adjustRightInd w:val="0"/>
        <w:snapToGrid w:val="0"/>
        <w:spacing w:after="200" w:line="400" w:lineRule="exact"/>
        <w:ind w:firstLine="296" w:firstLineChars="100"/>
        <w:jc w:val="left"/>
        <w:rPr>
          <w:rStyle w:val="40"/>
          <w:rFonts w:hint="eastAsia" w:ascii="宋体" w:hAnsi="宋体" w:eastAsia="宋体" w:cs="宋体"/>
          <w:bCs/>
          <w:color w:val="auto"/>
          <w:spacing w:val="28"/>
          <w:kern w:val="0"/>
          <w:sz w:val="24"/>
          <w:szCs w:val="24"/>
          <w:highlight w:val="none"/>
          <w:u w:val="single"/>
        </w:rPr>
      </w:pPr>
    </w:p>
    <w:p>
      <w:pPr>
        <w:pStyle w:val="210"/>
        <w:autoSpaceDE w:val="0"/>
        <w:autoSpaceDN w:val="0"/>
        <w:adjustRightInd w:val="0"/>
        <w:snapToGrid w:val="0"/>
        <w:spacing w:after="200" w:line="400" w:lineRule="exact"/>
        <w:ind w:firstLine="296" w:firstLineChars="100"/>
        <w:jc w:val="left"/>
        <w:rPr>
          <w:rStyle w:val="40"/>
          <w:rFonts w:hint="eastAsia" w:ascii="宋体" w:hAnsi="宋体" w:eastAsia="宋体" w:cs="宋体"/>
          <w:bCs/>
          <w:color w:val="auto"/>
          <w:spacing w:val="28"/>
          <w:kern w:val="0"/>
          <w:sz w:val="24"/>
          <w:szCs w:val="24"/>
          <w:highlight w:val="none"/>
        </w:rPr>
      </w:pPr>
      <w:r>
        <w:rPr>
          <w:rStyle w:val="40"/>
          <w:rFonts w:hint="eastAsia" w:ascii="宋体" w:hAnsi="宋体" w:eastAsia="宋体" w:cs="宋体"/>
          <w:bCs/>
          <w:color w:val="auto"/>
          <w:spacing w:val="28"/>
          <w:kern w:val="0"/>
          <w:sz w:val="24"/>
          <w:szCs w:val="24"/>
          <w:highlight w:val="none"/>
          <w:u w:val="single"/>
        </w:rPr>
        <w:t xml:space="preserve">    </w:t>
      </w:r>
      <w:r>
        <w:rPr>
          <w:rStyle w:val="40"/>
          <w:rFonts w:hint="eastAsia" w:ascii="宋体" w:hAnsi="宋体" w:eastAsia="宋体" w:cs="宋体"/>
          <w:bCs/>
          <w:color w:val="auto"/>
          <w:spacing w:val="28"/>
          <w:kern w:val="0"/>
          <w:sz w:val="24"/>
          <w:szCs w:val="24"/>
          <w:highlight w:val="none"/>
        </w:rPr>
        <w:t>年</w:t>
      </w:r>
      <w:r>
        <w:rPr>
          <w:rStyle w:val="40"/>
          <w:rFonts w:hint="eastAsia" w:ascii="宋体" w:hAnsi="宋体" w:eastAsia="宋体" w:cs="宋体"/>
          <w:bCs/>
          <w:color w:val="auto"/>
          <w:spacing w:val="28"/>
          <w:kern w:val="0"/>
          <w:sz w:val="24"/>
          <w:szCs w:val="24"/>
          <w:highlight w:val="none"/>
          <w:u w:val="single"/>
        </w:rPr>
        <w:t xml:space="preserve">   </w:t>
      </w:r>
      <w:r>
        <w:rPr>
          <w:rStyle w:val="40"/>
          <w:rFonts w:hint="eastAsia" w:ascii="宋体" w:hAnsi="宋体" w:eastAsia="宋体" w:cs="宋体"/>
          <w:bCs/>
          <w:color w:val="auto"/>
          <w:spacing w:val="28"/>
          <w:kern w:val="0"/>
          <w:sz w:val="24"/>
          <w:szCs w:val="24"/>
          <w:highlight w:val="none"/>
        </w:rPr>
        <w:t>月</w:t>
      </w:r>
      <w:r>
        <w:rPr>
          <w:rStyle w:val="40"/>
          <w:rFonts w:hint="eastAsia" w:ascii="宋体" w:hAnsi="宋体" w:eastAsia="宋体" w:cs="宋体"/>
          <w:bCs/>
          <w:color w:val="auto"/>
          <w:spacing w:val="28"/>
          <w:kern w:val="0"/>
          <w:sz w:val="24"/>
          <w:szCs w:val="24"/>
          <w:highlight w:val="none"/>
          <w:u w:val="single"/>
        </w:rPr>
        <w:t xml:space="preserve">   </w:t>
      </w:r>
      <w:r>
        <w:rPr>
          <w:rStyle w:val="40"/>
          <w:rFonts w:hint="eastAsia" w:ascii="宋体" w:hAnsi="宋体" w:eastAsia="宋体" w:cs="宋体"/>
          <w:bCs/>
          <w:color w:val="auto"/>
          <w:spacing w:val="28"/>
          <w:kern w:val="0"/>
          <w:sz w:val="24"/>
          <w:szCs w:val="24"/>
          <w:highlight w:val="none"/>
        </w:rPr>
        <w:t xml:space="preserve">日           </w:t>
      </w:r>
      <w:r>
        <w:rPr>
          <w:rStyle w:val="40"/>
          <w:rFonts w:hint="eastAsia" w:ascii="宋体" w:hAnsi="宋体" w:eastAsia="宋体" w:cs="宋体"/>
          <w:bCs/>
          <w:color w:val="auto"/>
          <w:spacing w:val="28"/>
          <w:kern w:val="0"/>
          <w:sz w:val="24"/>
          <w:szCs w:val="24"/>
          <w:highlight w:val="none"/>
          <w:u w:val="single"/>
        </w:rPr>
        <w:t xml:space="preserve">     </w:t>
      </w:r>
      <w:r>
        <w:rPr>
          <w:rStyle w:val="40"/>
          <w:rFonts w:hint="eastAsia" w:ascii="宋体" w:hAnsi="宋体" w:eastAsia="宋体" w:cs="宋体"/>
          <w:bCs/>
          <w:color w:val="auto"/>
          <w:spacing w:val="28"/>
          <w:kern w:val="0"/>
          <w:sz w:val="24"/>
          <w:szCs w:val="24"/>
          <w:highlight w:val="none"/>
        </w:rPr>
        <w:t>年</w:t>
      </w:r>
      <w:r>
        <w:rPr>
          <w:rStyle w:val="40"/>
          <w:rFonts w:hint="eastAsia" w:ascii="宋体" w:hAnsi="宋体" w:eastAsia="宋体" w:cs="宋体"/>
          <w:bCs/>
          <w:color w:val="auto"/>
          <w:spacing w:val="28"/>
          <w:kern w:val="0"/>
          <w:sz w:val="24"/>
          <w:szCs w:val="24"/>
          <w:highlight w:val="none"/>
          <w:u w:val="single"/>
        </w:rPr>
        <w:t xml:space="preserve">   </w:t>
      </w:r>
      <w:r>
        <w:rPr>
          <w:rStyle w:val="40"/>
          <w:rFonts w:hint="eastAsia" w:ascii="宋体" w:hAnsi="宋体" w:eastAsia="宋体" w:cs="宋体"/>
          <w:bCs/>
          <w:color w:val="auto"/>
          <w:spacing w:val="28"/>
          <w:kern w:val="0"/>
          <w:sz w:val="24"/>
          <w:szCs w:val="24"/>
          <w:highlight w:val="none"/>
        </w:rPr>
        <w:t>月</w:t>
      </w:r>
      <w:r>
        <w:rPr>
          <w:rStyle w:val="40"/>
          <w:rFonts w:hint="eastAsia" w:ascii="宋体" w:hAnsi="宋体" w:eastAsia="宋体" w:cs="宋体"/>
          <w:bCs/>
          <w:color w:val="auto"/>
          <w:spacing w:val="28"/>
          <w:kern w:val="0"/>
          <w:sz w:val="24"/>
          <w:szCs w:val="24"/>
          <w:highlight w:val="none"/>
          <w:u w:val="single"/>
        </w:rPr>
        <w:t xml:space="preserve">   </w:t>
      </w:r>
      <w:r>
        <w:rPr>
          <w:rStyle w:val="40"/>
          <w:rFonts w:hint="eastAsia" w:ascii="宋体" w:hAnsi="宋体" w:eastAsia="宋体" w:cs="宋体"/>
          <w:bCs/>
          <w:color w:val="auto"/>
          <w:spacing w:val="28"/>
          <w:kern w:val="0"/>
          <w:sz w:val="24"/>
          <w:szCs w:val="24"/>
          <w:highlight w:val="none"/>
        </w:rPr>
        <w:t>日</w:t>
      </w:r>
    </w:p>
    <w:p>
      <w:pPr>
        <w:pStyle w:val="28"/>
        <w:jc w:val="center"/>
        <w:rPr>
          <w:rStyle w:val="40"/>
          <w:rFonts w:hint="eastAsia" w:ascii="宋体" w:hAnsi="宋体" w:eastAsia="宋体" w:cs="宋体"/>
          <w:sz w:val="24"/>
          <w:szCs w:val="24"/>
        </w:rPr>
      </w:pPr>
      <w:r>
        <w:rPr>
          <w:rStyle w:val="40"/>
          <w:rFonts w:hint="eastAsia" w:ascii="宋体" w:hAnsi="宋体" w:eastAsia="宋体" w:cs="宋体"/>
          <w:sz w:val="20"/>
          <w:szCs w:val="21"/>
        </w:rPr>
        <w:br w:type="page"/>
      </w:r>
      <w:r>
        <w:rPr>
          <w:rStyle w:val="40"/>
          <w:rFonts w:hint="eastAsia" w:ascii="宋体" w:hAnsi="宋体" w:eastAsia="宋体" w:cs="宋体"/>
          <w:b/>
          <w:bCs/>
          <w:sz w:val="28"/>
          <w:szCs w:val="28"/>
        </w:rPr>
        <w:t>疫情防控安全责任书</w:t>
      </w:r>
    </w:p>
    <w:p>
      <w:pPr>
        <w:pStyle w:val="28"/>
        <w:rPr>
          <w:rStyle w:val="40"/>
          <w:rFonts w:hint="eastAsia" w:ascii="宋体" w:hAnsi="宋体" w:eastAsia="宋体" w:cs="宋体"/>
          <w:sz w:val="24"/>
          <w:szCs w:val="24"/>
          <w:lang w:eastAsia="zh-CN"/>
        </w:rPr>
      </w:pPr>
    </w:p>
    <w:p>
      <w:pPr>
        <w:pStyle w:val="28"/>
        <w:rPr>
          <w:rStyle w:val="40"/>
          <w:rFonts w:hint="eastAsia" w:ascii="宋体" w:hAnsi="宋体" w:eastAsia="宋体" w:cs="宋体"/>
          <w:sz w:val="24"/>
          <w:szCs w:val="24"/>
          <w:lang w:eastAsia="zh-CN"/>
        </w:rPr>
      </w:pPr>
      <w:r>
        <w:rPr>
          <w:rStyle w:val="40"/>
          <w:rFonts w:hint="eastAsia" w:ascii="宋体" w:hAnsi="宋体" w:eastAsia="宋体" w:cs="宋体"/>
          <w:sz w:val="24"/>
          <w:szCs w:val="24"/>
        </w:rPr>
        <w:t xml:space="preserve">      当前正处于新型冠状病毒感染肺炎疫情防控的关键阶段，为全面做好“六稳”工作，稳步推动工程项目建设，有效预防、及时控制和消除新冠肺炎危害，保障工人身体健康与生命安全，维护正常的建设工作秩序。根据《在中华人民共和国传染病防治法》《突发公共卫生事件应急条例》等有关法律、法规和文件要求，结合项目工程建设实际，签订项目疫情防控工作安全责任书。</w:t>
      </w:r>
    </w:p>
    <w:p>
      <w:pPr>
        <w:pStyle w:val="28"/>
        <w:rPr>
          <w:rStyle w:val="40"/>
          <w:rFonts w:hint="eastAsia" w:ascii="宋体" w:hAnsi="宋体" w:eastAsia="宋体" w:cs="宋体"/>
          <w:sz w:val="24"/>
          <w:szCs w:val="24"/>
          <w:lang w:eastAsia="zh-CN"/>
        </w:rPr>
      </w:pPr>
      <w:r>
        <w:rPr>
          <w:rStyle w:val="40"/>
          <w:rFonts w:hint="eastAsia" w:ascii="宋体" w:hAnsi="宋体" w:eastAsia="宋体" w:cs="宋体"/>
          <w:sz w:val="24"/>
          <w:szCs w:val="24"/>
        </w:rPr>
        <w:t xml:space="preserve">     1.项目指定的疫情防控工作组成员，即班组长，为班组疫情防控第一责任人，负责做好班组疫情防控各项工作。</w:t>
      </w:r>
    </w:p>
    <w:p>
      <w:pPr>
        <w:pStyle w:val="28"/>
        <w:rPr>
          <w:rStyle w:val="40"/>
          <w:rFonts w:hint="eastAsia" w:ascii="宋体" w:hAnsi="宋体" w:eastAsia="宋体" w:cs="宋体"/>
          <w:sz w:val="24"/>
          <w:szCs w:val="24"/>
          <w:lang w:eastAsia="zh-CN"/>
        </w:rPr>
      </w:pPr>
      <w:r>
        <w:rPr>
          <w:rStyle w:val="40"/>
          <w:rFonts w:hint="eastAsia" w:ascii="宋体" w:hAnsi="宋体" w:eastAsia="宋体" w:cs="宋体"/>
          <w:sz w:val="24"/>
          <w:szCs w:val="24"/>
        </w:rPr>
        <w:t xml:space="preserve">     2.准确掌握班组在岗人员、拟到位人员花名册。花名册需含以下内容:姓名、籍贯、户口所在地、常住地、身份证、电话。一旦出现疑似病情，能够在第一时间找到患者和密切接触者。</w:t>
      </w:r>
    </w:p>
    <w:p>
      <w:pPr>
        <w:pStyle w:val="28"/>
        <w:rPr>
          <w:rStyle w:val="40"/>
          <w:rFonts w:hint="eastAsia" w:ascii="宋体" w:hAnsi="宋体" w:eastAsia="宋体" w:cs="宋体"/>
          <w:sz w:val="24"/>
          <w:szCs w:val="24"/>
          <w:lang w:eastAsia="zh-CN"/>
        </w:rPr>
      </w:pPr>
      <w:r>
        <w:rPr>
          <w:rStyle w:val="40"/>
          <w:rFonts w:hint="eastAsia" w:ascii="宋体" w:hAnsi="宋体" w:eastAsia="宋体" w:cs="宋体"/>
          <w:sz w:val="24"/>
          <w:szCs w:val="24"/>
        </w:rPr>
        <w:t xml:space="preserve">     3.严格执行每日体检工作。在上午、下午各进行工人体检一次，并做好记录，记录内容为体温是否正常、是否存在发烧、干咳、浑身疼痛无力等症状。</w:t>
      </w:r>
    </w:p>
    <w:p>
      <w:pPr>
        <w:pStyle w:val="28"/>
        <w:rPr>
          <w:rStyle w:val="40"/>
          <w:rFonts w:hint="eastAsia" w:ascii="宋体" w:hAnsi="宋体" w:eastAsia="宋体" w:cs="宋体"/>
          <w:sz w:val="24"/>
          <w:szCs w:val="24"/>
          <w:lang w:eastAsia="zh-CN"/>
        </w:rPr>
      </w:pPr>
      <w:r>
        <w:rPr>
          <w:rStyle w:val="40"/>
          <w:rFonts w:hint="eastAsia" w:ascii="宋体" w:hAnsi="宋体" w:eastAsia="宋体" w:cs="宋体"/>
          <w:sz w:val="24"/>
          <w:szCs w:val="24"/>
        </w:rPr>
        <w:t xml:space="preserve">     4.每天应对宿舍、办公室、厕所、盥洗区域、食堂等重点区域进行不少于两次的消毒。公共卫生间要，加强通风、换气，保持良好的环境卫生。</w:t>
      </w:r>
    </w:p>
    <w:p>
      <w:pPr>
        <w:pStyle w:val="28"/>
        <w:rPr>
          <w:rStyle w:val="40"/>
          <w:rFonts w:hint="eastAsia" w:ascii="宋体" w:hAnsi="宋体" w:eastAsia="宋体" w:cs="宋体"/>
          <w:sz w:val="24"/>
          <w:szCs w:val="24"/>
        </w:rPr>
      </w:pPr>
      <w:r>
        <w:rPr>
          <w:rStyle w:val="40"/>
          <w:rFonts w:hint="eastAsia" w:ascii="宋体" w:hAnsi="宋体" w:eastAsia="宋体" w:cs="宋体"/>
          <w:sz w:val="24"/>
          <w:szCs w:val="24"/>
        </w:rPr>
        <w:t xml:space="preserve">     5.工人出现发热、乏力、干咳等症状时，应立即报告，并就近到医疗机构就诊。如为疑似病例的，应立即送定点医疗机构隔离治疗，并及时向属地卫生防疫部门报告，对其密切接触人员实施集中隔离医学观察。</w:t>
      </w:r>
    </w:p>
    <w:p>
      <w:pPr>
        <w:pStyle w:val="28"/>
        <w:ind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rPr>
        <w:t>6.未设立食堂的，应当选择合法经营的集体用餐配送单位，实行简约配餐、分散用餐。设立食堂的，食堂应符合卫生防疫及安全距离要求，食堂应设置洗手池，配备洗手液、烘干机或一次性纸巾等物品，加强食品卫生安全和食品从业人员的健康情况管理，对食品安全进行每日一检查，并做好检查记录。</w:t>
      </w:r>
    </w:p>
    <w:p>
      <w:pPr>
        <w:pStyle w:val="28"/>
        <w:ind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rPr>
        <w:t xml:space="preserve">     7.对来自非重点疫情地区的符合条件的施工人员，原则上实施集中居住，封闭管理。施工人员可统一居住在工地内的活动板房、集装箱、帐篷及在满足安全条件下的已完工的主体工程建筑物等场所，也可整栋承租工地附近的房屋。确实无法在工程项目生活区集中居住的，施工总承包单位应建档造册并加强跟踪管理，同时报居住地乡镇(街道)或村(社区)备案。</w:t>
      </w:r>
    </w:p>
    <w:p>
      <w:pPr>
        <w:pStyle w:val="28"/>
        <w:ind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rPr>
        <w:t xml:space="preserve">     8.项目有关疫情防控信息，除按正常渠道外，不得擅自向外发布。任何个人不得自行发布疫情，不信谣，不传谣，否则将追究相关人员责任。</w:t>
      </w:r>
    </w:p>
    <w:p>
      <w:pPr>
        <w:pStyle w:val="28"/>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 xml:space="preserve">     9.对疫情不得迟报、谎报、瞒报、漏报，如因疫情报告人玩忽职守造成项目传染病流行，将移交司法机关，追究相应责任。</w:t>
      </w:r>
    </w:p>
    <w:p>
      <w:pPr>
        <w:spacing w:line="460" w:lineRule="exact"/>
        <w:jc w:val="left"/>
        <w:rPr>
          <w:rFonts w:hint="eastAsia" w:ascii="宋体" w:hAnsi="宋体" w:eastAsia="宋体" w:cs="宋体"/>
          <w:color w:val="000000"/>
          <w:sz w:val="28"/>
          <w:szCs w:val="21"/>
        </w:rPr>
      </w:pPr>
    </w:p>
    <w:p>
      <w:pPr>
        <w:spacing w:line="460" w:lineRule="exact"/>
        <w:rPr>
          <w:rFonts w:hint="eastAsia" w:ascii="宋体" w:hAnsi="宋体" w:eastAsia="宋体" w:cs="宋体"/>
          <w:color w:val="000000"/>
          <w:sz w:val="24"/>
        </w:rPr>
      </w:pPr>
      <w:r>
        <w:rPr>
          <w:rFonts w:hint="eastAsia" w:ascii="宋体" w:hAnsi="宋体" w:eastAsia="宋体" w:cs="宋体"/>
          <w:color w:val="000000"/>
          <w:sz w:val="30"/>
          <w:szCs w:val="30"/>
        </w:rPr>
        <w:br w:type="page"/>
      </w:r>
      <w:bookmarkStart w:id="337" w:name="_Toc27131"/>
      <w:bookmarkStart w:id="338" w:name="_Toc4618"/>
      <w:bookmarkStart w:id="339" w:name="_Toc8503"/>
      <w:r>
        <w:rPr>
          <w:rFonts w:hint="eastAsia" w:ascii="宋体" w:hAnsi="宋体" w:eastAsia="宋体" w:cs="宋体"/>
          <w:color w:val="000000"/>
          <w:sz w:val="24"/>
        </w:rPr>
        <w:t>附件1</w:t>
      </w:r>
      <w:r>
        <w:rPr>
          <w:rFonts w:hint="eastAsia" w:ascii="宋体" w:hAnsi="宋体" w:eastAsia="宋体" w:cs="宋体"/>
          <w:color w:val="000000"/>
          <w:sz w:val="24"/>
          <w:lang w:val="en-US" w:eastAsia="zh-CN"/>
        </w:rPr>
        <w:t>2</w:t>
      </w:r>
      <w:r>
        <w:rPr>
          <w:rFonts w:hint="eastAsia" w:ascii="宋体" w:hAnsi="宋体" w:eastAsia="宋体" w:cs="宋体"/>
          <w:color w:val="000000"/>
          <w:sz w:val="24"/>
        </w:rPr>
        <w:t>：</w:t>
      </w:r>
      <w:bookmarkEnd w:id="337"/>
      <w:bookmarkEnd w:id="338"/>
      <w:bookmarkEnd w:id="339"/>
    </w:p>
    <w:p>
      <w:pPr>
        <w:spacing w:line="320" w:lineRule="exact"/>
        <w:ind w:firstLine="643" w:firstLineChars="200"/>
        <w:jc w:val="center"/>
        <w:outlineLvl w:val="3"/>
        <w:rPr>
          <w:rFonts w:hint="eastAsia" w:ascii="宋体" w:hAnsi="宋体" w:eastAsia="宋体" w:cs="宋体"/>
          <w:b/>
          <w:color w:val="000000"/>
          <w:sz w:val="32"/>
        </w:rPr>
      </w:pPr>
      <w:bookmarkStart w:id="340" w:name="_Toc4277"/>
      <w:bookmarkStart w:id="341" w:name="_Toc22655"/>
      <w:bookmarkStart w:id="342" w:name="_Toc30684"/>
      <w:r>
        <w:rPr>
          <w:rFonts w:hint="eastAsia" w:ascii="宋体" w:hAnsi="宋体" w:eastAsia="宋体" w:cs="宋体"/>
          <w:b/>
          <w:color w:val="000000"/>
          <w:sz w:val="32"/>
        </w:rPr>
        <w:t>建设工程廉政责任书</w:t>
      </w:r>
      <w:bookmarkEnd w:id="340"/>
      <w:bookmarkEnd w:id="341"/>
      <w:bookmarkEnd w:id="342"/>
    </w:p>
    <w:p>
      <w:pPr>
        <w:spacing w:line="300" w:lineRule="exact"/>
        <w:rPr>
          <w:rFonts w:hint="eastAsia" w:ascii="宋体" w:hAnsi="宋体" w:eastAsia="宋体" w:cs="宋体"/>
          <w:color w:val="000000"/>
          <w:szCs w:val="21"/>
        </w:rPr>
      </w:pPr>
    </w:p>
    <w:p>
      <w:pPr>
        <w:spacing w:line="400" w:lineRule="exact"/>
        <w:rPr>
          <w:rFonts w:hint="eastAsia" w:ascii="宋体" w:hAnsi="宋体" w:eastAsia="宋体" w:cs="宋体"/>
          <w:color w:val="000000"/>
          <w:sz w:val="24"/>
          <w:szCs w:val="21"/>
        </w:rPr>
      </w:pPr>
      <w:r>
        <w:rPr>
          <w:rFonts w:hint="eastAsia" w:ascii="宋体" w:hAnsi="宋体" w:eastAsia="宋体" w:cs="宋体"/>
          <w:color w:val="000000"/>
          <w:sz w:val="24"/>
          <w:szCs w:val="21"/>
        </w:rPr>
        <w:t>发包人：</w:t>
      </w:r>
      <w:r>
        <w:rPr>
          <w:rFonts w:hint="eastAsia" w:ascii="宋体" w:hAnsi="宋体" w:eastAsia="宋体" w:cs="宋体"/>
          <w:color w:val="000000"/>
          <w:sz w:val="24"/>
          <w:szCs w:val="21"/>
          <w:u w:val="single"/>
        </w:rPr>
        <w:t xml:space="preserve">                                               </w:t>
      </w:r>
    </w:p>
    <w:p>
      <w:pPr>
        <w:spacing w:line="400" w:lineRule="exact"/>
        <w:rPr>
          <w:rFonts w:hint="eastAsia" w:ascii="宋体" w:hAnsi="宋体" w:eastAsia="宋体" w:cs="宋体"/>
          <w:color w:val="000000"/>
          <w:sz w:val="24"/>
          <w:szCs w:val="21"/>
        </w:rPr>
      </w:pPr>
      <w:r>
        <w:rPr>
          <w:rFonts w:hint="eastAsia" w:ascii="宋体" w:hAnsi="宋体" w:eastAsia="宋体" w:cs="宋体"/>
          <w:color w:val="000000"/>
          <w:sz w:val="24"/>
          <w:szCs w:val="21"/>
        </w:rPr>
        <w:t>承包人：</w:t>
      </w:r>
      <w:r>
        <w:rPr>
          <w:rFonts w:hint="eastAsia" w:ascii="宋体" w:hAnsi="宋体" w:eastAsia="宋体" w:cs="宋体"/>
          <w:color w:val="000000"/>
          <w:sz w:val="24"/>
          <w:szCs w:val="21"/>
          <w:u w:val="single"/>
        </w:rPr>
        <w:t xml:space="preserve">                                               </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480" w:firstLineChars="200"/>
        <w:rPr>
          <w:rFonts w:hint="eastAsia" w:ascii="宋体" w:hAnsi="宋体" w:eastAsia="宋体" w:cs="宋体"/>
          <w:color w:val="000000"/>
          <w:sz w:val="24"/>
          <w:szCs w:val="21"/>
        </w:rPr>
      </w:pPr>
      <w:bookmarkStart w:id="343" w:name="_Toc1175"/>
      <w:bookmarkStart w:id="344" w:name="_Toc19276"/>
      <w:bookmarkStart w:id="345" w:name="_Toc17431"/>
      <w:r>
        <w:rPr>
          <w:rFonts w:hint="eastAsia" w:ascii="宋体" w:hAnsi="宋体" w:eastAsia="宋体" w:cs="宋体"/>
          <w:color w:val="000000"/>
          <w:sz w:val="24"/>
          <w:szCs w:val="21"/>
        </w:rPr>
        <w:t>一、双方的责任</w:t>
      </w:r>
      <w:bookmarkEnd w:id="343"/>
      <w:bookmarkEnd w:id="344"/>
      <w:bookmarkEnd w:id="345"/>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1.1应严格遵守国家关于建设工程的有关法律、法规，相关政策，以及廉政建设的各项规定。</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1.2严格执行建设工程合同文件，自觉按合同办事。</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1.4发现对方在业务活动中有违规、违纪、违法行为的，应及时提醒对方，情节严重的，应向其上级主管部门或纪检监察、司法等有关机关举报。</w:t>
      </w:r>
    </w:p>
    <w:p>
      <w:pPr>
        <w:spacing w:line="400" w:lineRule="exact"/>
        <w:ind w:firstLine="480" w:firstLineChars="200"/>
        <w:rPr>
          <w:rFonts w:hint="eastAsia" w:ascii="宋体" w:hAnsi="宋体" w:eastAsia="宋体" w:cs="宋体"/>
          <w:color w:val="000000"/>
          <w:sz w:val="24"/>
          <w:szCs w:val="21"/>
        </w:rPr>
      </w:pPr>
      <w:bookmarkStart w:id="346" w:name="_Toc30989"/>
      <w:bookmarkStart w:id="347" w:name="_Toc32203"/>
      <w:bookmarkStart w:id="348" w:name="_Toc13886"/>
      <w:r>
        <w:rPr>
          <w:rFonts w:hint="eastAsia" w:ascii="宋体" w:hAnsi="宋体" w:eastAsia="宋体" w:cs="宋体"/>
          <w:color w:val="000000"/>
          <w:sz w:val="24"/>
          <w:szCs w:val="21"/>
        </w:rPr>
        <w:t>二、发包人责任</w:t>
      </w:r>
      <w:bookmarkEnd w:id="346"/>
      <w:bookmarkEnd w:id="347"/>
      <w:bookmarkEnd w:id="348"/>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发包人的领导和从事该建设工程项目的工作人员，在工程建设的事前、事中、事后应遵守以下规定：</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2.1不得向承包人和相关单位索要或接受回扣、礼金、有价证券、贵重物品和好处费、感谢费等。</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2.2不得在承包人和相关单位报销任何应由发包人或个人支付的费用。</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2.3不得要求、暗示或接受承包人和相关单位为个人装修住房、婚丧嫁娶、配偶子女的工作安排以及出国(境)、旅游等提供方便。</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2.4不得参加有可能影响公正执行公务的承包人和相关单位的宴请、健身、娱乐等活动。</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480" w:firstLineChars="200"/>
        <w:rPr>
          <w:rFonts w:hint="eastAsia" w:ascii="宋体" w:hAnsi="宋体" w:eastAsia="宋体" w:cs="宋体"/>
          <w:color w:val="000000"/>
          <w:sz w:val="24"/>
          <w:szCs w:val="21"/>
        </w:rPr>
      </w:pPr>
      <w:bookmarkStart w:id="349" w:name="_Toc9674"/>
      <w:bookmarkStart w:id="350" w:name="_Toc13261"/>
      <w:bookmarkStart w:id="351" w:name="_Toc11125"/>
      <w:r>
        <w:rPr>
          <w:rFonts w:hint="eastAsia" w:ascii="宋体" w:hAnsi="宋体" w:eastAsia="宋体" w:cs="宋体"/>
          <w:color w:val="000000"/>
          <w:sz w:val="24"/>
          <w:szCs w:val="21"/>
        </w:rPr>
        <w:t>三、承包人责任</w:t>
      </w:r>
      <w:bookmarkEnd w:id="349"/>
      <w:bookmarkEnd w:id="350"/>
      <w:bookmarkEnd w:id="351"/>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应与发包人保持正常的业务交往，按照有关法律法规和程序开展业务工作，严格执行工程建设的有关方针、政策，执行工程建设强制性标准，并遵守以下规定：</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3.1不得以任何理由向发包人及其工作人员索要、接受或赠送礼金、有价证券、贵重物品及回扣、好处费、感谢费等。</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3.2不得以任何理由为发包人和相关单位报销应由对方或个人支付的费用。</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3.3不得接受或暗示为发包人、相关单位或个人装修住房、婚丧嫁娶、配偶子女的工作安排以及出国(境)、旅游等提供方便。</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3.4不得以任何理由为发包人、相关单位或个人组织有可能影响公正执行公务的宴请、健身、娱乐等活动。</w:t>
      </w:r>
    </w:p>
    <w:p>
      <w:pPr>
        <w:spacing w:line="400" w:lineRule="exact"/>
        <w:ind w:firstLine="480" w:firstLineChars="200"/>
        <w:rPr>
          <w:rFonts w:hint="eastAsia" w:ascii="宋体" w:hAnsi="宋体" w:eastAsia="宋体" w:cs="宋体"/>
          <w:color w:val="000000"/>
          <w:sz w:val="24"/>
          <w:szCs w:val="21"/>
        </w:rPr>
      </w:pPr>
      <w:bookmarkStart w:id="352" w:name="_Toc14393"/>
      <w:bookmarkStart w:id="353" w:name="_Toc20973"/>
      <w:bookmarkStart w:id="354" w:name="_Toc7866"/>
      <w:r>
        <w:rPr>
          <w:rFonts w:hint="eastAsia" w:ascii="宋体" w:hAnsi="宋体" w:eastAsia="宋体" w:cs="宋体"/>
          <w:color w:val="000000"/>
          <w:sz w:val="24"/>
          <w:szCs w:val="21"/>
        </w:rPr>
        <w:t>四、违约责任</w:t>
      </w:r>
      <w:bookmarkEnd w:id="352"/>
      <w:bookmarkEnd w:id="353"/>
      <w:bookmarkEnd w:id="354"/>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4.2承包人工作人员有违反本责任书第一、三条责任行为的，依据有关法律法规处理；涉嫌犯罪的，移交司法机关追究刑事责任；给发包人单位造成经济损失的，应予以赔偿。</w:t>
      </w:r>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4.3本责任书作为建设工程合同的组成部分，与建设工程合同具有同等法律效力。经双方签署后立即生效。</w:t>
      </w:r>
    </w:p>
    <w:p>
      <w:pPr>
        <w:spacing w:line="400" w:lineRule="exact"/>
        <w:ind w:firstLine="480" w:firstLineChars="200"/>
        <w:rPr>
          <w:rFonts w:hint="eastAsia" w:ascii="宋体" w:hAnsi="宋体" w:eastAsia="宋体" w:cs="宋体"/>
          <w:color w:val="000000"/>
          <w:sz w:val="24"/>
          <w:szCs w:val="21"/>
        </w:rPr>
      </w:pPr>
      <w:bookmarkStart w:id="355" w:name="_Toc1122"/>
      <w:bookmarkStart w:id="356" w:name="_Toc7778"/>
      <w:bookmarkStart w:id="357" w:name="_Toc5831"/>
      <w:r>
        <w:rPr>
          <w:rFonts w:hint="eastAsia" w:ascii="宋体" w:hAnsi="宋体" w:eastAsia="宋体" w:cs="宋体"/>
          <w:color w:val="000000"/>
          <w:sz w:val="24"/>
          <w:szCs w:val="21"/>
        </w:rPr>
        <w:t>五、责任书有效期</w:t>
      </w:r>
      <w:bookmarkEnd w:id="355"/>
      <w:bookmarkEnd w:id="356"/>
      <w:bookmarkEnd w:id="357"/>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本责任书的有效期为双方签署之日起至该工程项目竣工验收合格时止。</w:t>
      </w:r>
    </w:p>
    <w:p>
      <w:pPr>
        <w:spacing w:line="400" w:lineRule="exact"/>
        <w:ind w:firstLine="480" w:firstLineChars="200"/>
        <w:rPr>
          <w:rFonts w:hint="eastAsia" w:ascii="宋体" w:hAnsi="宋体" w:eastAsia="宋体" w:cs="宋体"/>
          <w:color w:val="000000"/>
          <w:sz w:val="24"/>
          <w:szCs w:val="21"/>
        </w:rPr>
      </w:pPr>
      <w:bookmarkStart w:id="358" w:name="_Toc9493"/>
      <w:bookmarkStart w:id="359" w:name="_Toc4469"/>
      <w:bookmarkStart w:id="360" w:name="_Toc7829"/>
      <w:r>
        <w:rPr>
          <w:rFonts w:hint="eastAsia" w:ascii="宋体" w:hAnsi="宋体" w:eastAsia="宋体" w:cs="宋体"/>
          <w:color w:val="000000"/>
          <w:sz w:val="24"/>
          <w:szCs w:val="21"/>
        </w:rPr>
        <w:t>六、责任书份数</w:t>
      </w:r>
      <w:bookmarkEnd w:id="358"/>
      <w:bookmarkEnd w:id="359"/>
      <w:bookmarkEnd w:id="360"/>
    </w:p>
    <w:p>
      <w:pPr>
        <w:spacing w:line="400" w:lineRule="exact"/>
        <w:ind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本责任书一式二份，发包人承包人各执一份，具有同等效力。</w:t>
      </w:r>
    </w:p>
    <w:p>
      <w:pPr>
        <w:spacing w:line="400" w:lineRule="exact"/>
        <w:ind w:firstLine="480" w:firstLineChars="200"/>
        <w:rPr>
          <w:rFonts w:hint="eastAsia" w:ascii="宋体" w:hAnsi="宋体" w:eastAsia="宋体" w:cs="宋体"/>
          <w:color w:val="000000"/>
          <w:sz w:val="24"/>
          <w:szCs w:val="21"/>
        </w:rPr>
      </w:pPr>
    </w:p>
    <w:p>
      <w:pPr>
        <w:spacing w:line="400" w:lineRule="exact"/>
        <w:ind w:firstLine="480" w:firstLineChars="200"/>
        <w:rPr>
          <w:rFonts w:hint="eastAsia" w:ascii="宋体" w:hAnsi="宋体" w:eastAsia="宋体" w:cs="宋体"/>
          <w:color w:val="000000"/>
          <w:sz w:val="24"/>
          <w:szCs w:val="21"/>
        </w:rPr>
      </w:pPr>
    </w:p>
    <w:p>
      <w:pPr>
        <w:spacing w:line="400" w:lineRule="exact"/>
        <w:rPr>
          <w:rFonts w:hint="eastAsia" w:ascii="宋体" w:hAnsi="宋体" w:eastAsia="宋体" w:cs="宋体"/>
          <w:color w:val="000000"/>
          <w:sz w:val="24"/>
          <w:szCs w:val="21"/>
        </w:rPr>
      </w:pPr>
      <w:r>
        <w:rPr>
          <w:rFonts w:hint="eastAsia" w:ascii="宋体" w:hAnsi="宋体" w:eastAsia="宋体" w:cs="宋体"/>
          <w:color w:val="000000"/>
          <w:sz w:val="24"/>
          <w:szCs w:val="21"/>
        </w:rPr>
        <w:t>发包人：</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(公章)    承包人：</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(公章)</w:t>
      </w:r>
    </w:p>
    <w:p>
      <w:pPr>
        <w:spacing w:line="400" w:lineRule="exact"/>
        <w:rPr>
          <w:rFonts w:hint="eastAsia" w:ascii="宋体" w:hAnsi="宋体" w:eastAsia="宋体" w:cs="宋体"/>
          <w:color w:val="000000"/>
          <w:sz w:val="24"/>
          <w:szCs w:val="21"/>
        </w:rPr>
      </w:pPr>
      <w:r>
        <w:rPr>
          <w:rFonts w:hint="eastAsia" w:ascii="宋体" w:hAnsi="宋体" w:eastAsia="宋体" w:cs="宋体"/>
          <w:color w:val="000000"/>
          <w:sz w:val="24"/>
          <w:szCs w:val="21"/>
        </w:rPr>
        <w:t>法定地址：</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法定地址：</w:t>
      </w:r>
      <w:r>
        <w:rPr>
          <w:rFonts w:hint="eastAsia" w:ascii="宋体" w:hAnsi="宋体" w:eastAsia="宋体" w:cs="宋体"/>
          <w:color w:val="000000"/>
          <w:sz w:val="24"/>
          <w:szCs w:val="21"/>
          <w:u w:val="single"/>
        </w:rPr>
        <w:t xml:space="preserve">                   </w:t>
      </w:r>
    </w:p>
    <w:p>
      <w:pPr>
        <w:spacing w:line="400" w:lineRule="exact"/>
        <w:rPr>
          <w:rFonts w:hint="eastAsia" w:ascii="宋体" w:hAnsi="宋体" w:eastAsia="宋体" w:cs="宋体"/>
          <w:color w:val="000000"/>
          <w:sz w:val="24"/>
          <w:szCs w:val="21"/>
        </w:rPr>
      </w:pPr>
      <w:r>
        <w:rPr>
          <w:rFonts w:hint="eastAsia" w:ascii="宋体" w:hAnsi="宋体" w:eastAsia="宋体" w:cs="宋体"/>
          <w:color w:val="000000"/>
          <w:sz w:val="24"/>
          <w:szCs w:val="21"/>
        </w:rPr>
        <w:t>法定代表人或其                     法定代表人或其</w:t>
      </w:r>
    </w:p>
    <w:p>
      <w:pPr>
        <w:spacing w:line="400" w:lineRule="exact"/>
        <w:rPr>
          <w:rFonts w:hint="eastAsia" w:ascii="宋体" w:hAnsi="宋体" w:eastAsia="宋体" w:cs="宋体"/>
          <w:color w:val="000000"/>
          <w:sz w:val="24"/>
          <w:szCs w:val="21"/>
        </w:rPr>
      </w:pPr>
      <w:r>
        <w:rPr>
          <w:rFonts w:hint="eastAsia" w:ascii="宋体" w:hAnsi="宋体" w:eastAsia="宋体" w:cs="宋体"/>
          <w:color w:val="000000"/>
          <w:sz w:val="24"/>
          <w:szCs w:val="21"/>
        </w:rPr>
        <w:t>委托代理人：</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(签字)    委托代理人：</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(签字)</w:t>
      </w:r>
    </w:p>
    <w:p>
      <w:pPr>
        <w:spacing w:line="400" w:lineRule="exact"/>
        <w:rPr>
          <w:rFonts w:hint="eastAsia" w:ascii="宋体" w:hAnsi="宋体" w:eastAsia="宋体" w:cs="宋体"/>
          <w:color w:val="000000"/>
          <w:sz w:val="24"/>
          <w:szCs w:val="21"/>
        </w:rPr>
      </w:pPr>
      <w:r>
        <w:rPr>
          <w:rFonts w:hint="eastAsia" w:ascii="宋体" w:hAnsi="宋体" w:eastAsia="宋体" w:cs="宋体"/>
          <w:color w:val="000000"/>
          <w:sz w:val="24"/>
          <w:szCs w:val="21"/>
        </w:rPr>
        <w:t>电话：</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电话：</w:t>
      </w:r>
      <w:r>
        <w:rPr>
          <w:rFonts w:hint="eastAsia" w:ascii="宋体" w:hAnsi="宋体" w:eastAsia="宋体" w:cs="宋体"/>
          <w:color w:val="000000"/>
          <w:sz w:val="24"/>
          <w:szCs w:val="21"/>
          <w:u w:val="single"/>
        </w:rPr>
        <w:t xml:space="preserve">                       </w:t>
      </w:r>
    </w:p>
    <w:p>
      <w:pPr>
        <w:spacing w:line="400" w:lineRule="exact"/>
        <w:rPr>
          <w:rFonts w:hint="eastAsia" w:ascii="宋体" w:hAnsi="宋体" w:eastAsia="宋体" w:cs="宋体"/>
          <w:color w:val="000000"/>
          <w:sz w:val="24"/>
          <w:szCs w:val="21"/>
        </w:rPr>
      </w:pPr>
      <w:r>
        <w:rPr>
          <w:rFonts w:hint="eastAsia" w:ascii="宋体" w:hAnsi="宋体" w:eastAsia="宋体" w:cs="宋体"/>
          <w:color w:val="000000"/>
          <w:sz w:val="24"/>
          <w:szCs w:val="21"/>
        </w:rPr>
        <w:t>传真：</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传真：</w:t>
      </w:r>
      <w:r>
        <w:rPr>
          <w:rFonts w:hint="eastAsia" w:ascii="宋体" w:hAnsi="宋体" w:eastAsia="宋体" w:cs="宋体"/>
          <w:color w:val="000000"/>
          <w:sz w:val="24"/>
          <w:szCs w:val="21"/>
          <w:u w:val="single"/>
        </w:rPr>
        <w:t xml:space="preserve">                       </w:t>
      </w:r>
    </w:p>
    <w:p>
      <w:pPr>
        <w:spacing w:line="400" w:lineRule="exact"/>
        <w:rPr>
          <w:rFonts w:hint="eastAsia" w:ascii="宋体" w:hAnsi="宋体" w:eastAsia="宋体" w:cs="宋体"/>
          <w:color w:val="000000"/>
          <w:sz w:val="24"/>
          <w:szCs w:val="21"/>
        </w:rPr>
      </w:pPr>
      <w:r>
        <w:rPr>
          <w:rFonts w:hint="eastAsia" w:ascii="宋体" w:hAnsi="宋体" w:eastAsia="宋体" w:cs="宋体"/>
          <w:color w:val="000000"/>
          <w:sz w:val="24"/>
          <w:szCs w:val="21"/>
        </w:rPr>
        <w:t>电子邮箱：</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电子邮箱：</w:t>
      </w:r>
      <w:r>
        <w:rPr>
          <w:rFonts w:hint="eastAsia" w:ascii="宋体" w:hAnsi="宋体" w:eastAsia="宋体" w:cs="宋体"/>
          <w:color w:val="000000"/>
          <w:sz w:val="24"/>
          <w:szCs w:val="21"/>
          <w:u w:val="single"/>
        </w:rPr>
        <w:t xml:space="preserve">                   </w:t>
      </w:r>
    </w:p>
    <w:p>
      <w:pPr>
        <w:spacing w:line="400" w:lineRule="exact"/>
        <w:rPr>
          <w:rFonts w:hint="eastAsia" w:ascii="宋体" w:hAnsi="宋体" w:eastAsia="宋体" w:cs="宋体"/>
          <w:color w:val="000000"/>
          <w:sz w:val="24"/>
          <w:szCs w:val="21"/>
        </w:rPr>
      </w:pPr>
      <w:r>
        <w:rPr>
          <w:rFonts w:hint="eastAsia" w:ascii="宋体" w:hAnsi="宋体" w:eastAsia="宋体" w:cs="宋体"/>
          <w:color w:val="000000"/>
          <w:sz w:val="24"/>
          <w:szCs w:val="21"/>
        </w:rPr>
        <w:t>开户银行：</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开户银行：</w:t>
      </w:r>
      <w:r>
        <w:rPr>
          <w:rFonts w:hint="eastAsia" w:ascii="宋体" w:hAnsi="宋体" w:eastAsia="宋体" w:cs="宋体"/>
          <w:color w:val="000000"/>
          <w:sz w:val="24"/>
          <w:szCs w:val="21"/>
          <w:u w:val="single"/>
        </w:rPr>
        <w:t xml:space="preserve">                   </w:t>
      </w:r>
    </w:p>
    <w:p>
      <w:pPr>
        <w:spacing w:line="400" w:lineRule="exact"/>
        <w:rPr>
          <w:rFonts w:hint="eastAsia" w:ascii="宋体" w:hAnsi="宋体" w:eastAsia="宋体" w:cs="宋体"/>
          <w:color w:val="000000"/>
          <w:sz w:val="24"/>
          <w:szCs w:val="21"/>
        </w:rPr>
      </w:pPr>
      <w:r>
        <w:rPr>
          <w:rFonts w:hint="eastAsia" w:ascii="宋体" w:hAnsi="宋体" w:eastAsia="宋体" w:cs="宋体"/>
          <w:color w:val="000000"/>
          <w:sz w:val="24"/>
          <w:szCs w:val="21"/>
        </w:rPr>
        <w:t>帐号：</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帐号：</w:t>
      </w:r>
      <w:r>
        <w:rPr>
          <w:rFonts w:hint="eastAsia" w:ascii="宋体" w:hAnsi="宋体" w:eastAsia="宋体" w:cs="宋体"/>
          <w:color w:val="000000"/>
          <w:sz w:val="24"/>
          <w:szCs w:val="21"/>
          <w:u w:val="single"/>
        </w:rPr>
        <w:t xml:space="preserve">                       </w:t>
      </w:r>
    </w:p>
    <w:p>
      <w:pPr>
        <w:spacing w:line="400" w:lineRule="exact"/>
        <w:rPr>
          <w:rFonts w:hint="eastAsia" w:ascii="宋体" w:hAnsi="宋体" w:eastAsia="宋体" w:cs="宋体"/>
          <w:color w:val="000000"/>
          <w:sz w:val="24"/>
          <w:szCs w:val="21"/>
          <w:u w:val="single"/>
        </w:rPr>
      </w:pPr>
      <w:r>
        <w:rPr>
          <w:rFonts w:hint="eastAsia" w:ascii="宋体" w:hAnsi="宋体" w:eastAsia="宋体" w:cs="宋体"/>
          <w:color w:val="000000"/>
          <w:sz w:val="24"/>
          <w:szCs w:val="21"/>
        </w:rPr>
        <w:t>邮政编码：</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邮政编码：</w:t>
      </w:r>
      <w:r>
        <w:rPr>
          <w:rFonts w:hint="eastAsia" w:ascii="宋体" w:hAnsi="宋体" w:eastAsia="宋体" w:cs="宋体"/>
          <w:color w:val="000000"/>
          <w:sz w:val="24"/>
          <w:szCs w:val="21"/>
          <w:u w:val="single"/>
        </w:rPr>
        <w:t xml:space="preserve">                   </w:t>
      </w:r>
    </w:p>
    <w:p>
      <w:pPr>
        <w:widowControl/>
        <w:autoSpaceDE w:val="0"/>
        <w:autoSpaceDN w:val="0"/>
        <w:spacing w:line="560" w:lineRule="exact"/>
        <w:ind w:right="53" w:firstLine="480" w:firstLineChars="200"/>
        <w:textAlignment w:val="bottom"/>
        <w:rPr>
          <w:rFonts w:hint="eastAsia" w:ascii="宋体" w:hAnsi="宋体" w:eastAsia="宋体" w:cs="宋体"/>
          <w:sz w:val="24"/>
          <w:szCs w:val="24"/>
        </w:rPr>
      </w:pPr>
    </w:p>
    <w:sectPr>
      <w:headerReference r:id="rId6" w:type="default"/>
      <w:footerReference r:id="rId7" w:type="default"/>
      <w:pgSz w:w="11906" w:h="16838"/>
      <w:pgMar w:top="1134" w:right="1247" w:bottom="1134" w:left="1247"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pPr>
                      <w:pStyle w:val="24"/>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1"/>
      </w:pBdr>
      <w:jc w:val="both"/>
      <w:rPr>
        <w:rFonts w:hint="default" w:ascii="宋体" w:hAnsi="宋体" w:eastAsia="宋体" w:cs="宋体"/>
        <w:b w:val="0"/>
        <w:bCs/>
        <w:szCs w:val="18"/>
        <w:lang w:val="en-US"/>
      </w:rPr>
    </w:pPr>
    <w:r>
      <w:rPr>
        <w:rFonts w:hint="eastAsia" w:ascii="宋体" w:hAnsi="宋体" w:eastAsia="宋体" w:cs="宋体"/>
        <w:b/>
        <w:spacing w:val="-11"/>
        <w:sz w:val="21"/>
        <w:szCs w:val="21"/>
        <w:lang w:val="en-US" w:eastAsia="zh-CN"/>
      </w:rPr>
      <w:t>农业科技智能温室附属设施配套项目-科技创区水网改造提升项目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1"/>
      </w:pBdr>
      <w:jc w:val="both"/>
    </w:pPr>
    <w:r>
      <w:rPr>
        <w:rFonts w:hint="eastAsia" w:ascii="宋体" w:hAnsi="宋体" w:eastAsia="宋体" w:cs="宋体"/>
        <w:b/>
        <w:spacing w:val="-11"/>
        <w:sz w:val="21"/>
        <w:szCs w:val="21"/>
        <w:lang w:val="en-US" w:eastAsia="zh-CN"/>
      </w:rPr>
      <w:t>农业科技智能温室附属设施配套项目-科技创区水网改造提升项目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E4C8E"/>
    <w:multiLevelType w:val="singleLevel"/>
    <w:tmpl w:val="30EE4C8E"/>
    <w:lvl w:ilvl="0" w:tentative="0">
      <w:start w:val="5"/>
      <w:numFmt w:val="chineseCounting"/>
      <w:suff w:val="nothing"/>
      <w:lvlText w:val="%1、"/>
      <w:lvlJc w:val="left"/>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pStyle w:val="174"/>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2">
    <w:nsid w:val="369709A3"/>
    <w:multiLevelType w:val="multilevel"/>
    <w:tmpl w:val="369709A3"/>
    <w:lvl w:ilvl="0" w:tentative="0">
      <w:start w:val="1"/>
      <w:numFmt w:val="decimal"/>
      <w:pStyle w:val="173"/>
      <w:lvlText w:val="%1."/>
      <w:lvlJc w:val="left"/>
      <w:pPr>
        <w:tabs>
          <w:tab w:val="left" w:pos="562"/>
        </w:tabs>
        <w:ind w:left="572" w:hanging="430"/>
      </w:pPr>
      <w:rPr>
        <w:rFonts w:hint="eastAsia"/>
      </w:rPr>
    </w:lvl>
    <w:lvl w:ilvl="1" w:tentative="0">
      <w:start w:val="1"/>
      <w:numFmt w:val="decimal"/>
      <w:lvlText w:val="%1.%2"/>
      <w:lvlJc w:val="left"/>
      <w:pPr>
        <w:tabs>
          <w:tab w:val="left" w:pos="700"/>
        </w:tabs>
        <w:ind w:left="700" w:hanging="700"/>
      </w:pPr>
      <w:rPr>
        <w:rFonts w:hint="eastAsia" w:ascii="宋体" w:hAnsi="宋体" w:eastAsia="宋体"/>
        <w:b w:val="0"/>
        <w:color w:val="auto"/>
        <w:lang w:val="en-GB"/>
      </w:rPr>
    </w:lvl>
    <w:lvl w:ilvl="2" w:tentative="0">
      <w:start w:val="1"/>
      <w:numFmt w:val="decimal"/>
      <w:pStyle w:val="200"/>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3FCC31E3"/>
    <w:multiLevelType w:val="multilevel"/>
    <w:tmpl w:val="3FCC31E3"/>
    <w:lvl w:ilvl="0" w:tentative="0">
      <w:start w:val="1"/>
      <w:numFmt w:val="decimal"/>
      <w:pStyle w:val="92"/>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OWM3NzRlYzM1YTI5YWE1ZTM3ZDMyODViYjk5NWMifQ=="/>
  </w:docVars>
  <w:rsids>
    <w:rsidRoot w:val="00E536DB"/>
    <w:rsid w:val="00000473"/>
    <w:rsid w:val="00001023"/>
    <w:rsid w:val="000015FD"/>
    <w:rsid w:val="0000276C"/>
    <w:rsid w:val="000027C3"/>
    <w:rsid w:val="00003A69"/>
    <w:rsid w:val="00006BBE"/>
    <w:rsid w:val="00007236"/>
    <w:rsid w:val="00012430"/>
    <w:rsid w:val="000139D3"/>
    <w:rsid w:val="0001683E"/>
    <w:rsid w:val="00020632"/>
    <w:rsid w:val="00020923"/>
    <w:rsid w:val="00020A6F"/>
    <w:rsid w:val="00022011"/>
    <w:rsid w:val="00024F47"/>
    <w:rsid w:val="00026BCF"/>
    <w:rsid w:val="00030016"/>
    <w:rsid w:val="00031190"/>
    <w:rsid w:val="00031192"/>
    <w:rsid w:val="00031882"/>
    <w:rsid w:val="0003289F"/>
    <w:rsid w:val="00035FCB"/>
    <w:rsid w:val="000362EF"/>
    <w:rsid w:val="00036D9C"/>
    <w:rsid w:val="00037011"/>
    <w:rsid w:val="00037F75"/>
    <w:rsid w:val="00040F9F"/>
    <w:rsid w:val="00042964"/>
    <w:rsid w:val="00042A87"/>
    <w:rsid w:val="00043233"/>
    <w:rsid w:val="0004328A"/>
    <w:rsid w:val="00043CD8"/>
    <w:rsid w:val="00044CCB"/>
    <w:rsid w:val="00045541"/>
    <w:rsid w:val="00045E19"/>
    <w:rsid w:val="00046A77"/>
    <w:rsid w:val="00050276"/>
    <w:rsid w:val="00050EE0"/>
    <w:rsid w:val="00051CB6"/>
    <w:rsid w:val="00053668"/>
    <w:rsid w:val="00053835"/>
    <w:rsid w:val="0005454A"/>
    <w:rsid w:val="000547E7"/>
    <w:rsid w:val="0005679D"/>
    <w:rsid w:val="00056CDF"/>
    <w:rsid w:val="00057402"/>
    <w:rsid w:val="00057A9B"/>
    <w:rsid w:val="00060D76"/>
    <w:rsid w:val="00061E3A"/>
    <w:rsid w:val="000629C6"/>
    <w:rsid w:val="000635C5"/>
    <w:rsid w:val="00063E22"/>
    <w:rsid w:val="000649B9"/>
    <w:rsid w:val="00064F96"/>
    <w:rsid w:val="00065AA1"/>
    <w:rsid w:val="00066A41"/>
    <w:rsid w:val="00066F4A"/>
    <w:rsid w:val="000723DF"/>
    <w:rsid w:val="00072FE6"/>
    <w:rsid w:val="00073061"/>
    <w:rsid w:val="0007336B"/>
    <w:rsid w:val="00073547"/>
    <w:rsid w:val="00074956"/>
    <w:rsid w:val="00075DD0"/>
    <w:rsid w:val="00077004"/>
    <w:rsid w:val="000775E0"/>
    <w:rsid w:val="00080088"/>
    <w:rsid w:val="000805BC"/>
    <w:rsid w:val="000819EB"/>
    <w:rsid w:val="0008246D"/>
    <w:rsid w:val="00083316"/>
    <w:rsid w:val="00086726"/>
    <w:rsid w:val="00087661"/>
    <w:rsid w:val="00093758"/>
    <w:rsid w:val="000940B7"/>
    <w:rsid w:val="00095DE5"/>
    <w:rsid w:val="00096741"/>
    <w:rsid w:val="00096D14"/>
    <w:rsid w:val="000A0248"/>
    <w:rsid w:val="000A4662"/>
    <w:rsid w:val="000A4D2F"/>
    <w:rsid w:val="000A4EC3"/>
    <w:rsid w:val="000A5A17"/>
    <w:rsid w:val="000A7FF5"/>
    <w:rsid w:val="000B1214"/>
    <w:rsid w:val="000B1D8B"/>
    <w:rsid w:val="000B4251"/>
    <w:rsid w:val="000B5519"/>
    <w:rsid w:val="000B592D"/>
    <w:rsid w:val="000B6AD1"/>
    <w:rsid w:val="000B73E1"/>
    <w:rsid w:val="000C0130"/>
    <w:rsid w:val="000C0660"/>
    <w:rsid w:val="000C09B8"/>
    <w:rsid w:val="000C0EB5"/>
    <w:rsid w:val="000C2A99"/>
    <w:rsid w:val="000C3F30"/>
    <w:rsid w:val="000C54D5"/>
    <w:rsid w:val="000C5B02"/>
    <w:rsid w:val="000C660E"/>
    <w:rsid w:val="000C6F02"/>
    <w:rsid w:val="000C71E9"/>
    <w:rsid w:val="000D07EC"/>
    <w:rsid w:val="000D2AF7"/>
    <w:rsid w:val="000D5983"/>
    <w:rsid w:val="000D7DAE"/>
    <w:rsid w:val="000E16E2"/>
    <w:rsid w:val="000E27F9"/>
    <w:rsid w:val="000E3C9C"/>
    <w:rsid w:val="000E4A98"/>
    <w:rsid w:val="000E622D"/>
    <w:rsid w:val="000E6BE3"/>
    <w:rsid w:val="000E7245"/>
    <w:rsid w:val="000F0303"/>
    <w:rsid w:val="000F03D3"/>
    <w:rsid w:val="000F1272"/>
    <w:rsid w:val="000F1B7F"/>
    <w:rsid w:val="000F2666"/>
    <w:rsid w:val="000F3340"/>
    <w:rsid w:val="000F3A25"/>
    <w:rsid w:val="000F466D"/>
    <w:rsid w:val="000F5309"/>
    <w:rsid w:val="000F538F"/>
    <w:rsid w:val="000F563D"/>
    <w:rsid w:val="000F56E2"/>
    <w:rsid w:val="000F5789"/>
    <w:rsid w:val="000F6084"/>
    <w:rsid w:val="000F64CD"/>
    <w:rsid w:val="001008B2"/>
    <w:rsid w:val="00100989"/>
    <w:rsid w:val="00102C94"/>
    <w:rsid w:val="00102D48"/>
    <w:rsid w:val="0010308B"/>
    <w:rsid w:val="0010346D"/>
    <w:rsid w:val="00105C97"/>
    <w:rsid w:val="0010651C"/>
    <w:rsid w:val="00106DA8"/>
    <w:rsid w:val="00110263"/>
    <w:rsid w:val="00110632"/>
    <w:rsid w:val="0011198A"/>
    <w:rsid w:val="001125CD"/>
    <w:rsid w:val="00112AA3"/>
    <w:rsid w:val="0011382A"/>
    <w:rsid w:val="00114E8E"/>
    <w:rsid w:val="0011568C"/>
    <w:rsid w:val="0011591F"/>
    <w:rsid w:val="001173A9"/>
    <w:rsid w:val="00117B88"/>
    <w:rsid w:val="0012041F"/>
    <w:rsid w:val="00120AC2"/>
    <w:rsid w:val="00122EE0"/>
    <w:rsid w:val="0012365E"/>
    <w:rsid w:val="00123DD4"/>
    <w:rsid w:val="00124274"/>
    <w:rsid w:val="0012628B"/>
    <w:rsid w:val="001264C8"/>
    <w:rsid w:val="00127F05"/>
    <w:rsid w:val="001304F7"/>
    <w:rsid w:val="0013062F"/>
    <w:rsid w:val="00130CC2"/>
    <w:rsid w:val="00133D8C"/>
    <w:rsid w:val="00134058"/>
    <w:rsid w:val="00135E97"/>
    <w:rsid w:val="00136588"/>
    <w:rsid w:val="00136ADF"/>
    <w:rsid w:val="0013762F"/>
    <w:rsid w:val="00137725"/>
    <w:rsid w:val="001404DD"/>
    <w:rsid w:val="0014061B"/>
    <w:rsid w:val="00140D41"/>
    <w:rsid w:val="00143E46"/>
    <w:rsid w:val="00144178"/>
    <w:rsid w:val="00144543"/>
    <w:rsid w:val="00146AA2"/>
    <w:rsid w:val="00151D41"/>
    <w:rsid w:val="00152E6D"/>
    <w:rsid w:val="00153465"/>
    <w:rsid w:val="00153DBB"/>
    <w:rsid w:val="00154330"/>
    <w:rsid w:val="0015676B"/>
    <w:rsid w:val="00157376"/>
    <w:rsid w:val="00157AA0"/>
    <w:rsid w:val="00160023"/>
    <w:rsid w:val="00160495"/>
    <w:rsid w:val="001624C1"/>
    <w:rsid w:val="0016424E"/>
    <w:rsid w:val="00164662"/>
    <w:rsid w:val="0016561F"/>
    <w:rsid w:val="0016562B"/>
    <w:rsid w:val="00165F85"/>
    <w:rsid w:val="001665E5"/>
    <w:rsid w:val="00166E13"/>
    <w:rsid w:val="00167097"/>
    <w:rsid w:val="0017122B"/>
    <w:rsid w:val="001713CA"/>
    <w:rsid w:val="00171421"/>
    <w:rsid w:val="00171CF7"/>
    <w:rsid w:val="00171D5A"/>
    <w:rsid w:val="001723CA"/>
    <w:rsid w:val="0017571B"/>
    <w:rsid w:val="00175CC0"/>
    <w:rsid w:val="00177CAA"/>
    <w:rsid w:val="0018088E"/>
    <w:rsid w:val="00180D46"/>
    <w:rsid w:val="00180D4C"/>
    <w:rsid w:val="00182036"/>
    <w:rsid w:val="00182C88"/>
    <w:rsid w:val="00184FEC"/>
    <w:rsid w:val="00185D81"/>
    <w:rsid w:val="00186C9F"/>
    <w:rsid w:val="00187DAE"/>
    <w:rsid w:val="001903A0"/>
    <w:rsid w:val="00190413"/>
    <w:rsid w:val="00191603"/>
    <w:rsid w:val="00191F2F"/>
    <w:rsid w:val="00192700"/>
    <w:rsid w:val="00194B65"/>
    <w:rsid w:val="00197569"/>
    <w:rsid w:val="001976F3"/>
    <w:rsid w:val="0019776F"/>
    <w:rsid w:val="001978A7"/>
    <w:rsid w:val="001979C4"/>
    <w:rsid w:val="00197CD0"/>
    <w:rsid w:val="001A0781"/>
    <w:rsid w:val="001A35AD"/>
    <w:rsid w:val="001A4BE4"/>
    <w:rsid w:val="001A5228"/>
    <w:rsid w:val="001A5D95"/>
    <w:rsid w:val="001B09A7"/>
    <w:rsid w:val="001B0E4B"/>
    <w:rsid w:val="001B0FC6"/>
    <w:rsid w:val="001B14D2"/>
    <w:rsid w:val="001B213B"/>
    <w:rsid w:val="001B3722"/>
    <w:rsid w:val="001B5832"/>
    <w:rsid w:val="001B6986"/>
    <w:rsid w:val="001B7060"/>
    <w:rsid w:val="001B7EC7"/>
    <w:rsid w:val="001C008E"/>
    <w:rsid w:val="001C1889"/>
    <w:rsid w:val="001C3A7E"/>
    <w:rsid w:val="001C3B7F"/>
    <w:rsid w:val="001C481D"/>
    <w:rsid w:val="001C4A55"/>
    <w:rsid w:val="001C4B85"/>
    <w:rsid w:val="001C5AB3"/>
    <w:rsid w:val="001C5D6F"/>
    <w:rsid w:val="001C6BB5"/>
    <w:rsid w:val="001C6C58"/>
    <w:rsid w:val="001D1E73"/>
    <w:rsid w:val="001D27B6"/>
    <w:rsid w:val="001D2C85"/>
    <w:rsid w:val="001D3185"/>
    <w:rsid w:val="001D4DF0"/>
    <w:rsid w:val="001D6165"/>
    <w:rsid w:val="001D73BD"/>
    <w:rsid w:val="001D7A10"/>
    <w:rsid w:val="001E17D2"/>
    <w:rsid w:val="001E1AF8"/>
    <w:rsid w:val="001E1B63"/>
    <w:rsid w:val="001E25FD"/>
    <w:rsid w:val="001E402E"/>
    <w:rsid w:val="001E52CC"/>
    <w:rsid w:val="001E5553"/>
    <w:rsid w:val="001E6B93"/>
    <w:rsid w:val="001E6CE1"/>
    <w:rsid w:val="001E6FFD"/>
    <w:rsid w:val="001E74CF"/>
    <w:rsid w:val="001E7F9D"/>
    <w:rsid w:val="001F0177"/>
    <w:rsid w:val="001F358E"/>
    <w:rsid w:val="001F445A"/>
    <w:rsid w:val="001F4DB4"/>
    <w:rsid w:val="001F6349"/>
    <w:rsid w:val="001F6368"/>
    <w:rsid w:val="001F7B54"/>
    <w:rsid w:val="00205152"/>
    <w:rsid w:val="002067DC"/>
    <w:rsid w:val="00206E12"/>
    <w:rsid w:val="002071E6"/>
    <w:rsid w:val="0020782A"/>
    <w:rsid w:val="00211206"/>
    <w:rsid w:val="00211E4C"/>
    <w:rsid w:val="00212215"/>
    <w:rsid w:val="002122FC"/>
    <w:rsid w:val="00212380"/>
    <w:rsid w:val="00212A7D"/>
    <w:rsid w:val="00213AF7"/>
    <w:rsid w:val="00215B0C"/>
    <w:rsid w:val="0021727F"/>
    <w:rsid w:val="0022053C"/>
    <w:rsid w:val="00221092"/>
    <w:rsid w:val="00221521"/>
    <w:rsid w:val="00221893"/>
    <w:rsid w:val="00221CF9"/>
    <w:rsid w:val="00222E3E"/>
    <w:rsid w:val="00223908"/>
    <w:rsid w:val="00223BF4"/>
    <w:rsid w:val="00223F19"/>
    <w:rsid w:val="00223F65"/>
    <w:rsid w:val="00224D4C"/>
    <w:rsid w:val="002252A6"/>
    <w:rsid w:val="00227519"/>
    <w:rsid w:val="0023041E"/>
    <w:rsid w:val="002314DE"/>
    <w:rsid w:val="0023181F"/>
    <w:rsid w:val="00232373"/>
    <w:rsid w:val="002338E0"/>
    <w:rsid w:val="00234F9B"/>
    <w:rsid w:val="002350EA"/>
    <w:rsid w:val="002365E8"/>
    <w:rsid w:val="0023773D"/>
    <w:rsid w:val="002379CD"/>
    <w:rsid w:val="00237B7C"/>
    <w:rsid w:val="00237C1E"/>
    <w:rsid w:val="00237C83"/>
    <w:rsid w:val="00237F12"/>
    <w:rsid w:val="00240DCF"/>
    <w:rsid w:val="00244594"/>
    <w:rsid w:val="00244E12"/>
    <w:rsid w:val="002455FE"/>
    <w:rsid w:val="00245C4D"/>
    <w:rsid w:val="00246C47"/>
    <w:rsid w:val="00247228"/>
    <w:rsid w:val="00247726"/>
    <w:rsid w:val="002509EE"/>
    <w:rsid w:val="00251D13"/>
    <w:rsid w:val="00251D1C"/>
    <w:rsid w:val="0025305E"/>
    <w:rsid w:val="002534C1"/>
    <w:rsid w:val="00253F7B"/>
    <w:rsid w:val="002540EB"/>
    <w:rsid w:val="00254B3F"/>
    <w:rsid w:val="00254D94"/>
    <w:rsid w:val="002564EC"/>
    <w:rsid w:val="00256B55"/>
    <w:rsid w:val="00257D95"/>
    <w:rsid w:val="00260ED3"/>
    <w:rsid w:val="002618C7"/>
    <w:rsid w:val="00261AC6"/>
    <w:rsid w:val="00262018"/>
    <w:rsid w:val="00263870"/>
    <w:rsid w:val="00264794"/>
    <w:rsid w:val="00264D17"/>
    <w:rsid w:val="00264E9A"/>
    <w:rsid w:val="002651D9"/>
    <w:rsid w:val="00265659"/>
    <w:rsid w:val="00265B1D"/>
    <w:rsid w:val="00266995"/>
    <w:rsid w:val="002677B5"/>
    <w:rsid w:val="002704D3"/>
    <w:rsid w:val="002707C4"/>
    <w:rsid w:val="00271A46"/>
    <w:rsid w:val="002720EC"/>
    <w:rsid w:val="00272215"/>
    <w:rsid w:val="00272593"/>
    <w:rsid w:val="00273016"/>
    <w:rsid w:val="00273782"/>
    <w:rsid w:val="002738C1"/>
    <w:rsid w:val="00273971"/>
    <w:rsid w:val="00273C3B"/>
    <w:rsid w:val="002747A5"/>
    <w:rsid w:val="00274ADB"/>
    <w:rsid w:val="0027536B"/>
    <w:rsid w:val="00275CBC"/>
    <w:rsid w:val="00275FC1"/>
    <w:rsid w:val="0027645C"/>
    <w:rsid w:val="002769AD"/>
    <w:rsid w:val="00276DD8"/>
    <w:rsid w:val="002818C5"/>
    <w:rsid w:val="00281F6E"/>
    <w:rsid w:val="0028236A"/>
    <w:rsid w:val="00283FCA"/>
    <w:rsid w:val="00284194"/>
    <w:rsid w:val="00284853"/>
    <w:rsid w:val="00284CED"/>
    <w:rsid w:val="00290B9A"/>
    <w:rsid w:val="00292B84"/>
    <w:rsid w:val="0029372C"/>
    <w:rsid w:val="00294577"/>
    <w:rsid w:val="0029555E"/>
    <w:rsid w:val="002958D2"/>
    <w:rsid w:val="00296910"/>
    <w:rsid w:val="002A1F33"/>
    <w:rsid w:val="002A3C02"/>
    <w:rsid w:val="002A455E"/>
    <w:rsid w:val="002A47B2"/>
    <w:rsid w:val="002A4BBE"/>
    <w:rsid w:val="002A5337"/>
    <w:rsid w:val="002A572D"/>
    <w:rsid w:val="002A5BF2"/>
    <w:rsid w:val="002A6EB4"/>
    <w:rsid w:val="002B1D1A"/>
    <w:rsid w:val="002B1DEF"/>
    <w:rsid w:val="002B3BD6"/>
    <w:rsid w:val="002B5088"/>
    <w:rsid w:val="002B6880"/>
    <w:rsid w:val="002B7F25"/>
    <w:rsid w:val="002C0452"/>
    <w:rsid w:val="002C0564"/>
    <w:rsid w:val="002C1A0B"/>
    <w:rsid w:val="002C1B37"/>
    <w:rsid w:val="002C2737"/>
    <w:rsid w:val="002C2EF7"/>
    <w:rsid w:val="002C30C1"/>
    <w:rsid w:val="002C6F7F"/>
    <w:rsid w:val="002C75C8"/>
    <w:rsid w:val="002D09C9"/>
    <w:rsid w:val="002D18ED"/>
    <w:rsid w:val="002D1E3D"/>
    <w:rsid w:val="002D3585"/>
    <w:rsid w:val="002D42A8"/>
    <w:rsid w:val="002D4C51"/>
    <w:rsid w:val="002D521A"/>
    <w:rsid w:val="002D553B"/>
    <w:rsid w:val="002D6548"/>
    <w:rsid w:val="002D6B60"/>
    <w:rsid w:val="002D70BC"/>
    <w:rsid w:val="002D7E85"/>
    <w:rsid w:val="002E0B92"/>
    <w:rsid w:val="002E1808"/>
    <w:rsid w:val="002E1C04"/>
    <w:rsid w:val="002E32D5"/>
    <w:rsid w:val="002E4321"/>
    <w:rsid w:val="002E500C"/>
    <w:rsid w:val="002E58BD"/>
    <w:rsid w:val="002E7856"/>
    <w:rsid w:val="002F090D"/>
    <w:rsid w:val="002F11C9"/>
    <w:rsid w:val="002F19ED"/>
    <w:rsid w:val="002F1A99"/>
    <w:rsid w:val="002F22BD"/>
    <w:rsid w:val="002F28A5"/>
    <w:rsid w:val="002F2B24"/>
    <w:rsid w:val="002F3225"/>
    <w:rsid w:val="002F3980"/>
    <w:rsid w:val="002F3FF5"/>
    <w:rsid w:val="002F455C"/>
    <w:rsid w:val="002F4601"/>
    <w:rsid w:val="002F7058"/>
    <w:rsid w:val="002F733E"/>
    <w:rsid w:val="002F7B73"/>
    <w:rsid w:val="002F7D1B"/>
    <w:rsid w:val="003003D3"/>
    <w:rsid w:val="00300ECF"/>
    <w:rsid w:val="00301E34"/>
    <w:rsid w:val="00302906"/>
    <w:rsid w:val="00302D1C"/>
    <w:rsid w:val="00302FA3"/>
    <w:rsid w:val="003079C2"/>
    <w:rsid w:val="00311BF7"/>
    <w:rsid w:val="00312087"/>
    <w:rsid w:val="003122CD"/>
    <w:rsid w:val="003147E2"/>
    <w:rsid w:val="003157FE"/>
    <w:rsid w:val="00316B34"/>
    <w:rsid w:val="003171D8"/>
    <w:rsid w:val="003175C6"/>
    <w:rsid w:val="0031761C"/>
    <w:rsid w:val="00317BA4"/>
    <w:rsid w:val="0032075D"/>
    <w:rsid w:val="0032125E"/>
    <w:rsid w:val="0032313D"/>
    <w:rsid w:val="00323396"/>
    <w:rsid w:val="003234F5"/>
    <w:rsid w:val="003246A4"/>
    <w:rsid w:val="00325C17"/>
    <w:rsid w:val="00326586"/>
    <w:rsid w:val="00326A62"/>
    <w:rsid w:val="00330F6C"/>
    <w:rsid w:val="00331994"/>
    <w:rsid w:val="00333831"/>
    <w:rsid w:val="00333FD0"/>
    <w:rsid w:val="00334AEF"/>
    <w:rsid w:val="003351A5"/>
    <w:rsid w:val="00335D0F"/>
    <w:rsid w:val="0034095F"/>
    <w:rsid w:val="00340FFC"/>
    <w:rsid w:val="003414CD"/>
    <w:rsid w:val="00341B19"/>
    <w:rsid w:val="00342FF3"/>
    <w:rsid w:val="00343185"/>
    <w:rsid w:val="00343643"/>
    <w:rsid w:val="00343D57"/>
    <w:rsid w:val="003452B8"/>
    <w:rsid w:val="00346CA6"/>
    <w:rsid w:val="00347D21"/>
    <w:rsid w:val="00347E5C"/>
    <w:rsid w:val="00347F41"/>
    <w:rsid w:val="00350C35"/>
    <w:rsid w:val="003532AB"/>
    <w:rsid w:val="00354881"/>
    <w:rsid w:val="0035518B"/>
    <w:rsid w:val="00357768"/>
    <w:rsid w:val="003578C1"/>
    <w:rsid w:val="003579D6"/>
    <w:rsid w:val="00357A6D"/>
    <w:rsid w:val="00357F1C"/>
    <w:rsid w:val="00360B7B"/>
    <w:rsid w:val="00361DED"/>
    <w:rsid w:val="00362E86"/>
    <w:rsid w:val="00363B23"/>
    <w:rsid w:val="00364004"/>
    <w:rsid w:val="00364E71"/>
    <w:rsid w:val="003650A3"/>
    <w:rsid w:val="0036794E"/>
    <w:rsid w:val="00370189"/>
    <w:rsid w:val="003710B5"/>
    <w:rsid w:val="0037220D"/>
    <w:rsid w:val="003726CC"/>
    <w:rsid w:val="00373984"/>
    <w:rsid w:val="00374002"/>
    <w:rsid w:val="00377200"/>
    <w:rsid w:val="00383D08"/>
    <w:rsid w:val="003857DF"/>
    <w:rsid w:val="00385FAF"/>
    <w:rsid w:val="003870B7"/>
    <w:rsid w:val="0039225B"/>
    <w:rsid w:val="00392427"/>
    <w:rsid w:val="003925D0"/>
    <w:rsid w:val="00393D01"/>
    <w:rsid w:val="00394712"/>
    <w:rsid w:val="003962C8"/>
    <w:rsid w:val="003963C4"/>
    <w:rsid w:val="003963E6"/>
    <w:rsid w:val="0039689C"/>
    <w:rsid w:val="00397809"/>
    <w:rsid w:val="003A2241"/>
    <w:rsid w:val="003A2297"/>
    <w:rsid w:val="003A2348"/>
    <w:rsid w:val="003A2C7F"/>
    <w:rsid w:val="003A47E4"/>
    <w:rsid w:val="003A6779"/>
    <w:rsid w:val="003B0622"/>
    <w:rsid w:val="003B121C"/>
    <w:rsid w:val="003B1C89"/>
    <w:rsid w:val="003B2E97"/>
    <w:rsid w:val="003B33AB"/>
    <w:rsid w:val="003B34B9"/>
    <w:rsid w:val="003C1305"/>
    <w:rsid w:val="003C29CE"/>
    <w:rsid w:val="003C2D89"/>
    <w:rsid w:val="003C4763"/>
    <w:rsid w:val="003C5519"/>
    <w:rsid w:val="003C7D0D"/>
    <w:rsid w:val="003D1015"/>
    <w:rsid w:val="003D424D"/>
    <w:rsid w:val="003D5399"/>
    <w:rsid w:val="003D5696"/>
    <w:rsid w:val="003D5FDA"/>
    <w:rsid w:val="003D66E4"/>
    <w:rsid w:val="003E0365"/>
    <w:rsid w:val="003E24B2"/>
    <w:rsid w:val="003E2DDA"/>
    <w:rsid w:val="003E423F"/>
    <w:rsid w:val="003E48DB"/>
    <w:rsid w:val="003E490A"/>
    <w:rsid w:val="003E4B9E"/>
    <w:rsid w:val="003E6016"/>
    <w:rsid w:val="003E6E32"/>
    <w:rsid w:val="003E7452"/>
    <w:rsid w:val="003F1B02"/>
    <w:rsid w:val="003F1F3E"/>
    <w:rsid w:val="003F2783"/>
    <w:rsid w:val="003F2E79"/>
    <w:rsid w:val="003F6A70"/>
    <w:rsid w:val="003F6D69"/>
    <w:rsid w:val="003F7095"/>
    <w:rsid w:val="0040070E"/>
    <w:rsid w:val="00400714"/>
    <w:rsid w:val="00401CB4"/>
    <w:rsid w:val="00403170"/>
    <w:rsid w:val="004035DF"/>
    <w:rsid w:val="0040469E"/>
    <w:rsid w:val="00404C5A"/>
    <w:rsid w:val="00404F31"/>
    <w:rsid w:val="0040630B"/>
    <w:rsid w:val="004065B4"/>
    <w:rsid w:val="00406B03"/>
    <w:rsid w:val="00406D25"/>
    <w:rsid w:val="00406D7E"/>
    <w:rsid w:val="00407167"/>
    <w:rsid w:val="00411708"/>
    <w:rsid w:val="00412BC0"/>
    <w:rsid w:val="00413215"/>
    <w:rsid w:val="0041512F"/>
    <w:rsid w:val="0041530C"/>
    <w:rsid w:val="00415932"/>
    <w:rsid w:val="00415BFA"/>
    <w:rsid w:val="004168CF"/>
    <w:rsid w:val="0041753B"/>
    <w:rsid w:val="00417DC3"/>
    <w:rsid w:val="0042005C"/>
    <w:rsid w:val="00420812"/>
    <w:rsid w:val="0042098F"/>
    <w:rsid w:val="00425544"/>
    <w:rsid w:val="0042665B"/>
    <w:rsid w:val="00426F3F"/>
    <w:rsid w:val="004300F4"/>
    <w:rsid w:val="00430166"/>
    <w:rsid w:val="004304DD"/>
    <w:rsid w:val="0043080A"/>
    <w:rsid w:val="00431957"/>
    <w:rsid w:val="00432036"/>
    <w:rsid w:val="0043214F"/>
    <w:rsid w:val="0043263D"/>
    <w:rsid w:val="004329B2"/>
    <w:rsid w:val="00432C5D"/>
    <w:rsid w:val="004333E8"/>
    <w:rsid w:val="00433735"/>
    <w:rsid w:val="004348CF"/>
    <w:rsid w:val="004353C8"/>
    <w:rsid w:val="00436323"/>
    <w:rsid w:val="00436665"/>
    <w:rsid w:val="0044054A"/>
    <w:rsid w:val="004414C6"/>
    <w:rsid w:val="0044158A"/>
    <w:rsid w:val="00441900"/>
    <w:rsid w:val="00442ED2"/>
    <w:rsid w:val="0044372A"/>
    <w:rsid w:val="00443761"/>
    <w:rsid w:val="004438FA"/>
    <w:rsid w:val="004441B1"/>
    <w:rsid w:val="0044474C"/>
    <w:rsid w:val="0044677D"/>
    <w:rsid w:val="00446B01"/>
    <w:rsid w:val="00447EC2"/>
    <w:rsid w:val="00452902"/>
    <w:rsid w:val="004529DF"/>
    <w:rsid w:val="00453AB0"/>
    <w:rsid w:val="00454301"/>
    <w:rsid w:val="00455F28"/>
    <w:rsid w:val="004564B9"/>
    <w:rsid w:val="004572BE"/>
    <w:rsid w:val="00457684"/>
    <w:rsid w:val="00457BB6"/>
    <w:rsid w:val="00457DD1"/>
    <w:rsid w:val="0046081C"/>
    <w:rsid w:val="00461978"/>
    <w:rsid w:val="00461DFC"/>
    <w:rsid w:val="00462812"/>
    <w:rsid w:val="00462CE4"/>
    <w:rsid w:val="0046368C"/>
    <w:rsid w:val="00463E30"/>
    <w:rsid w:val="004642E8"/>
    <w:rsid w:val="004644E5"/>
    <w:rsid w:val="00464DDC"/>
    <w:rsid w:val="004657C2"/>
    <w:rsid w:val="00465863"/>
    <w:rsid w:val="00465E11"/>
    <w:rsid w:val="00467EDE"/>
    <w:rsid w:val="0047015A"/>
    <w:rsid w:val="004709BE"/>
    <w:rsid w:val="00471236"/>
    <w:rsid w:val="0047229F"/>
    <w:rsid w:val="0047453B"/>
    <w:rsid w:val="004750B7"/>
    <w:rsid w:val="004806F9"/>
    <w:rsid w:val="00481ADD"/>
    <w:rsid w:val="004821CF"/>
    <w:rsid w:val="00482944"/>
    <w:rsid w:val="00482DA7"/>
    <w:rsid w:val="004831FA"/>
    <w:rsid w:val="004832E4"/>
    <w:rsid w:val="00484262"/>
    <w:rsid w:val="00484495"/>
    <w:rsid w:val="00484926"/>
    <w:rsid w:val="004850B0"/>
    <w:rsid w:val="00485A21"/>
    <w:rsid w:val="00486D83"/>
    <w:rsid w:val="0048726A"/>
    <w:rsid w:val="004874F9"/>
    <w:rsid w:val="00487F57"/>
    <w:rsid w:val="0049047B"/>
    <w:rsid w:val="00490C25"/>
    <w:rsid w:val="00490CD7"/>
    <w:rsid w:val="004914AB"/>
    <w:rsid w:val="00492535"/>
    <w:rsid w:val="004926A9"/>
    <w:rsid w:val="0049289D"/>
    <w:rsid w:val="00494427"/>
    <w:rsid w:val="00494846"/>
    <w:rsid w:val="0049535A"/>
    <w:rsid w:val="004958F3"/>
    <w:rsid w:val="004A0602"/>
    <w:rsid w:val="004A0AE4"/>
    <w:rsid w:val="004A0E42"/>
    <w:rsid w:val="004A493E"/>
    <w:rsid w:val="004A5BAF"/>
    <w:rsid w:val="004A5CEB"/>
    <w:rsid w:val="004B0448"/>
    <w:rsid w:val="004B19B1"/>
    <w:rsid w:val="004B1C6D"/>
    <w:rsid w:val="004B41E1"/>
    <w:rsid w:val="004B5F57"/>
    <w:rsid w:val="004B6194"/>
    <w:rsid w:val="004B62FF"/>
    <w:rsid w:val="004B7D27"/>
    <w:rsid w:val="004C027D"/>
    <w:rsid w:val="004C0755"/>
    <w:rsid w:val="004C1E55"/>
    <w:rsid w:val="004C1FFF"/>
    <w:rsid w:val="004C53E7"/>
    <w:rsid w:val="004C5563"/>
    <w:rsid w:val="004C5C9D"/>
    <w:rsid w:val="004C7124"/>
    <w:rsid w:val="004D0A75"/>
    <w:rsid w:val="004D17BE"/>
    <w:rsid w:val="004D1F70"/>
    <w:rsid w:val="004D219D"/>
    <w:rsid w:val="004D2699"/>
    <w:rsid w:val="004D2DE9"/>
    <w:rsid w:val="004D31C6"/>
    <w:rsid w:val="004D499E"/>
    <w:rsid w:val="004D4BF7"/>
    <w:rsid w:val="004D4C77"/>
    <w:rsid w:val="004D50ED"/>
    <w:rsid w:val="004D694C"/>
    <w:rsid w:val="004E07F3"/>
    <w:rsid w:val="004E198C"/>
    <w:rsid w:val="004E24B2"/>
    <w:rsid w:val="004E26E8"/>
    <w:rsid w:val="004E2895"/>
    <w:rsid w:val="004E29C3"/>
    <w:rsid w:val="004E2A0F"/>
    <w:rsid w:val="004E31B2"/>
    <w:rsid w:val="004E4CF9"/>
    <w:rsid w:val="004E66BB"/>
    <w:rsid w:val="004F1285"/>
    <w:rsid w:val="004F15DB"/>
    <w:rsid w:val="004F1A31"/>
    <w:rsid w:val="004F29B8"/>
    <w:rsid w:val="004F2E22"/>
    <w:rsid w:val="004F2F5F"/>
    <w:rsid w:val="004F3814"/>
    <w:rsid w:val="004F452E"/>
    <w:rsid w:val="004F58F6"/>
    <w:rsid w:val="004F6B55"/>
    <w:rsid w:val="004F6D4D"/>
    <w:rsid w:val="004F76C7"/>
    <w:rsid w:val="00500298"/>
    <w:rsid w:val="00500792"/>
    <w:rsid w:val="00501A8B"/>
    <w:rsid w:val="00502638"/>
    <w:rsid w:val="0050394D"/>
    <w:rsid w:val="005056EA"/>
    <w:rsid w:val="00506E3C"/>
    <w:rsid w:val="00507238"/>
    <w:rsid w:val="0051211A"/>
    <w:rsid w:val="00513CDF"/>
    <w:rsid w:val="00515396"/>
    <w:rsid w:val="0051542B"/>
    <w:rsid w:val="00515931"/>
    <w:rsid w:val="00517093"/>
    <w:rsid w:val="0051765E"/>
    <w:rsid w:val="005206F2"/>
    <w:rsid w:val="005207B6"/>
    <w:rsid w:val="0052143C"/>
    <w:rsid w:val="00522CCF"/>
    <w:rsid w:val="005232E8"/>
    <w:rsid w:val="005243D7"/>
    <w:rsid w:val="00524E50"/>
    <w:rsid w:val="00525248"/>
    <w:rsid w:val="005268B6"/>
    <w:rsid w:val="00527C85"/>
    <w:rsid w:val="0053158E"/>
    <w:rsid w:val="00531E64"/>
    <w:rsid w:val="00531FB0"/>
    <w:rsid w:val="00532BD3"/>
    <w:rsid w:val="005339CC"/>
    <w:rsid w:val="00533ED5"/>
    <w:rsid w:val="00534869"/>
    <w:rsid w:val="00534E0C"/>
    <w:rsid w:val="005353B0"/>
    <w:rsid w:val="00536225"/>
    <w:rsid w:val="00536853"/>
    <w:rsid w:val="00536E6F"/>
    <w:rsid w:val="00537029"/>
    <w:rsid w:val="005377AC"/>
    <w:rsid w:val="005400B2"/>
    <w:rsid w:val="00540712"/>
    <w:rsid w:val="00540958"/>
    <w:rsid w:val="005410C1"/>
    <w:rsid w:val="00541412"/>
    <w:rsid w:val="0054200B"/>
    <w:rsid w:val="00544754"/>
    <w:rsid w:val="00545761"/>
    <w:rsid w:val="00546302"/>
    <w:rsid w:val="00546440"/>
    <w:rsid w:val="00546925"/>
    <w:rsid w:val="005469AF"/>
    <w:rsid w:val="005509C5"/>
    <w:rsid w:val="00550DC2"/>
    <w:rsid w:val="00551BD3"/>
    <w:rsid w:val="00552BA4"/>
    <w:rsid w:val="00552BD7"/>
    <w:rsid w:val="005537B5"/>
    <w:rsid w:val="00553EFC"/>
    <w:rsid w:val="00554FBC"/>
    <w:rsid w:val="00555AC0"/>
    <w:rsid w:val="00555C7D"/>
    <w:rsid w:val="00555CA9"/>
    <w:rsid w:val="00556571"/>
    <w:rsid w:val="00556E8C"/>
    <w:rsid w:val="0056018D"/>
    <w:rsid w:val="00560B7A"/>
    <w:rsid w:val="00560E27"/>
    <w:rsid w:val="00561A98"/>
    <w:rsid w:val="00561FD8"/>
    <w:rsid w:val="00562822"/>
    <w:rsid w:val="00565843"/>
    <w:rsid w:val="00566281"/>
    <w:rsid w:val="00566D91"/>
    <w:rsid w:val="00566FA2"/>
    <w:rsid w:val="005672BB"/>
    <w:rsid w:val="0056772C"/>
    <w:rsid w:val="0056795C"/>
    <w:rsid w:val="00570735"/>
    <w:rsid w:val="005711ED"/>
    <w:rsid w:val="00571B33"/>
    <w:rsid w:val="00571E19"/>
    <w:rsid w:val="00572E44"/>
    <w:rsid w:val="005744D8"/>
    <w:rsid w:val="00574DE2"/>
    <w:rsid w:val="0057518E"/>
    <w:rsid w:val="005765C6"/>
    <w:rsid w:val="00576D0A"/>
    <w:rsid w:val="005776D6"/>
    <w:rsid w:val="00577764"/>
    <w:rsid w:val="00580661"/>
    <w:rsid w:val="00580A97"/>
    <w:rsid w:val="00580B6C"/>
    <w:rsid w:val="00583339"/>
    <w:rsid w:val="00583D7B"/>
    <w:rsid w:val="005844EB"/>
    <w:rsid w:val="005850FD"/>
    <w:rsid w:val="00585210"/>
    <w:rsid w:val="00585BFC"/>
    <w:rsid w:val="0058687F"/>
    <w:rsid w:val="00586A4B"/>
    <w:rsid w:val="00586B5B"/>
    <w:rsid w:val="00590C56"/>
    <w:rsid w:val="00592263"/>
    <w:rsid w:val="00592B67"/>
    <w:rsid w:val="005935BD"/>
    <w:rsid w:val="00593BCE"/>
    <w:rsid w:val="005950B8"/>
    <w:rsid w:val="005952C3"/>
    <w:rsid w:val="0059745E"/>
    <w:rsid w:val="005A07F6"/>
    <w:rsid w:val="005A11DF"/>
    <w:rsid w:val="005A2420"/>
    <w:rsid w:val="005A3536"/>
    <w:rsid w:val="005A4B97"/>
    <w:rsid w:val="005A4E27"/>
    <w:rsid w:val="005A6245"/>
    <w:rsid w:val="005A67C4"/>
    <w:rsid w:val="005A6C98"/>
    <w:rsid w:val="005A72F1"/>
    <w:rsid w:val="005B0248"/>
    <w:rsid w:val="005B0F5A"/>
    <w:rsid w:val="005B2049"/>
    <w:rsid w:val="005B339D"/>
    <w:rsid w:val="005B33CA"/>
    <w:rsid w:val="005B343B"/>
    <w:rsid w:val="005B3BE7"/>
    <w:rsid w:val="005B3F1A"/>
    <w:rsid w:val="005B4F42"/>
    <w:rsid w:val="005B6910"/>
    <w:rsid w:val="005B7091"/>
    <w:rsid w:val="005C065E"/>
    <w:rsid w:val="005C07FE"/>
    <w:rsid w:val="005C1825"/>
    <w:rsid w:val="005C3971"/>
    <w:rsid w:val="005C4285"/>
    <w:rsid w:val="005C6F5C"/>
    <w:rsid w:val="005C700B"/>
    <w:rsid w:val="005C717C"/>
    <w:rsid w:val="005C71BA"/>
    <w:rsid w:val="005C76D9"/>
    <w:rsid w:val="005D0A64"/>
    <w:rsid w:val="005D17A4"/>
    <w:rsid w:val="005D1EE8"/>
    <w:rsid w:val="005D434F"/>
    <w:rsid w:val="005D4707"/>
    <w:rsid w:val="005D4BA4"/>
    <w:rsid w:val="005D50D8"/>
    <w:rsid w:val="005D5ABF"/>
    <w:rsid w:val="005D78BA"/>
    <w:rsid w:val="005E01FC"/>
    <w:rsid w:val="005E02B0"/>
    <w:rsid w:val="005E0CDA"/>
    <w:rsid w:val="005E0D11"/>
    <w:rsid w:val="005E1E21"/>
    <w:rsid w:val="005E1F24"/>
    <w:rsid w:val="005E273A"/>
    <w:rsid w:val="005E3E15"/>
    <w:rsid w:val="005E40F2"/>
    <w:rsid w:val="005E467E"/>
    <w:rsid w:val="005E5A42"/>
    <w:rsid w:val="005E5B63"/>
    <w:rsid w:val="005E6963"/>
    <w:rsid w:val="005F011D"/>
    <w:rsid w:val="005F11B1"/>
    <w:rsid w:val="005F12A5"/>
    <w:rsid w:val="005F2AD8"/>
    <w:rsid w:val="005F31A9"/>
    <w:rsid w:val="005F3272"/>
    <w:rsid w:val="005F3F0C"/>
    <w:rsid w:val="005F4577"/>
    <w:rsid w:val="005F4B75"/>
    <w:rsid w:val="005F5771"/>
    <w:rsid w:val="005F683F"/>
    <w:rsid w:val="00600068"/>
    <w:rsid w:val="00600B92"/>
    <w:rsid w:val="00601457"/>
    <w:rsid w:val="00602894"/>
    <w:rsid w:val="00603451"/>
    <w:rsid w:val="00603D03"/>
    <w:rsid w:val="00604DFE"/>
    <w:rsid w:val="00605391"/>
    <w:rsid w:val="0060668C"/>
    <w:rsid w:val="00606E67"/>
    <w:rsid w:val="006076FC"/>
    <w:rsid w:val="0060787F"/>
    <w:rsid w:val="00607C5E"/>
    <w:rsid w:val="00607D9D"/>
    <w:rsid w:val="00610BE6"/>
    <w:rsid w:val="00610D9D"/>
    <w:rsid w:val="00610EF5"/>
    <w:rsid w:val="00611964"/>
    <w:rsid w:val="00612D69"/>
    <w:rsid w:val="0061427D"/>
    <w:rsid w:val="00615A9B"/>
    <w:rsid w:val="00615C2D"/>
    <w:rsid w:val="00617319"/>
    <w:rsid w:val="00622779"/>
    <w:rsid w:val="00622A83"/>
    <w:rsid w:val="00624283"/>
    <w:rsid w:val="0062459E"/>
    <w:rsid w:val="00624752"/>
    <w:rsid w:val="00625A37"/>
    <w:rsid w:val="00625D0C"/>
    <w:rsid w:val="00625FBA"/>
    <w:rsid w:val="00626499"/>
    <w:rsid w:val="00627144"/>
    <w:rsid w:val="006274A2"/>
    <w:rsid w:val="00632D53"/>
    <w:rsid w:val="006331D8"/>
    <w:rsid w:val="00634D63"/>
    <w:rsid w:val="00637676"/>
    <w:rsid w:val="006378B1"/>
    <w:rsid w:val="006429E2"/>
    <w:rsid w:val="006429EE"/>
    <w:rsid w:val="00642D2B"/>
    <w:rsid w:val="0064316A"/>
    <w:rsid w:val="00643B50"/>
    <w:rsid w:val="0064450A"/>
    <w:rsid w:val="0064540D"/>
    <w:rsid w:val="00645459"/>
    <w:rsid w:val="00645A80"/>
    <w:rsid w:val="00646E13"/>
    <w:rsid w:val="0064732E"/>
    <w:rsid w:val="00650093"/>
    <w:rsid w:val="00651D03"/>
    <w:rsid w:val="00652336"/>
    <w:rsid w:val="006527A5"/>
    <w:rsid w:val="006537FC"/>
    <w:rsid w:val="00654A0D"/>
    <w:rsid w:val="00654B15"/>
    <w:rsid w:val="006550F5"/>
    <w:rsid w:val="006577CD"/>
    <w:rsid w:val="00657F28"/>
    <w:rsid w:val="00660840"/>
    <w:rsid w:val="0066108C"/>
    <w:rsid w:val="006612F4"/>
    <w:rsid w:val="006613FF"/>
    <w:rsid w:val="00664948"/>
    <w:rsid w:val="006649EE"/>
    <w:rsid w:val="00664E57"/>
    <w:rsid w:val="00664EB1"/>
    <w:rsid w:val="00665B10"/>
    <w:rsid w:val="006665AE"/>
    <w:rsid w:val="00667307"/>
    <w:rsid w:val="0066750A"/>
    <w:rsid w:val="00667B17"/>
    <w:rsid w:val="00670A63"/>
    <w:rsid w:val="00670FBF"/>
    <w:rsid w:val="00671C06"/>
    <w:rsid w:val="00672EB1"/>
    <w:rsid w:val="00672EC1"/>
    <w:rsid w:val="00674779"/>
    <w:rsid w:val="006757F2"/>
    <w:rsid w:val="00676898"/>
    <w:rsid w:val="00676A3E"/>
    <w:rsid w:val="00677DAE"/>
    <w:rsid w:val="00680A51"/>
    <w:rsid w:val="00684CF6"/>
    <w:rsid w:val="00684D01"/>
    <w:rsid w:val="0068570D"/>
    <w:rsid w:val="00686350"/>
    <w:rsid w:val="00690371"/>
    <w:rsid w:val="00690670"/>
    <w:rsid w:val="00690C28"/>
    <w:rsid w:val="00690D1D"/>
    <w:rsid w:val="00690E28"/>
    <w:rsid w:val="00693335"/>
    <w:rsid w:val="006939A0"/>
    <w:rsid w:val="00694BD6"/>
    <w:rsid w:val="00694CB3"/>
    <w:rsid w:val="00695630"/>
    <w:rsid w:val="00696E80"/>
    <w:rsid w:val="006976D1"/>
    <w:rsid w:val="006A048C"/>
    <w:rsid w:val="006A0EC5"/>
    <w:rsid w:val="006A0F26"/>
    <w:rsid w:val="006A11CA"/>
    <w:rsid w:val="006A1DF1"/>
    <w:rsid w:val="006A1EE2"/>
    <w:rsid w:val="006A2185"/>
    <w:rsid w:val="006A234A"/>
    <w:rsid w:val="006A2679"/>
    <w:rsid w:val="006A28B2"/>
    <w:rsid w:val="006A2ABC"/>
    <w:rsid w:val="006A3679"/>
    <w:rsid w:val="006A3B42"/>
    <w:rsid w:val="006A4DE2"/>
    <w:rsid w:val="006A66D2"/>
    <w:rsid w:val="006A6DB2"/>
    <w:rsid w:val="006A7EE6"/>
    <w:rsid w:val="006B0F4C"/>
    <w:rsid w:val="006B1E61"/>
    <w:rsid w:val="006B37D0"/>
    <w:rsid w:val="006B5335"/>
    <w:rsid w:val="006B5364"/>
    <w:rsid w:val="006B5655"/>
    <w:rsid w:val="006B598E"/>
    <w:rsid w:val="006B5F44"/>
    <w:rsid w:val="006B652D"/>
    <w:rsid w:val="006B7B0F"/>
    <w:rsid w:val="006C1339"/>
    <w:rsid w:val="006C1A8B"/>
    <w:rsid w:val="006C24D4"/>
    <w:rsid w:val="006C2628"/>
    <w:rsid w:val="006C2C52"/>
    <w:rsid w:val="006C3BE2"/>
    <w:rsid w:val="006C3BF3"/>
    <w:rsid w:val="006C5A49"/>
    <w:rsid w:val="006C7EAC"/>
    <w:rsid w:val="006D01F2"/>
    <w:rsid w:val="006D097B"/>
    <w:rsid w:val="006D3150"/>
    <w:rsid w:val="006D3340"/>
    <w:rsid w:val="006D3D8F"/>
    <w:rsid w:val="006D75B1"/>
    <w:rsid w:val="006E11D8"/>
    <w:rsid w:val="006E1317"/>
    <w:rsid w:val="006E13F2"/>
    <w:rsid w:val="006E2E38"/>
    <w:rsid w:val="006E358A"/>
    <w:rsid w:val="006E683E"/>
    <w:rsid w:val="006E689B"/>
    <w:rsid w:val="006E7A81"/>
    <w:rsid w:val="006F0869"/>
    <w:rsid w:val="006F1E85"/>
    <w:rsid w:val="006F2619"/>
    <w:rsid w:val="006F49F0"/>
    <w:rsid w:val="006F4D1F"/>
    <w:rsid w:val="006F50CE"/>
    <w:rsid w:val="006F50EA"/>
    <w:rsid w:val="006F644B"/>
    <w:rsid w:val="006F6A33"/>
    <w:rsid w:val="00700689"/>
    <w:rsid w:val="00700728"/>
    <w:rsid w:val="00701239"/>
    <w:rsid w:val="007012FC"/>
    <w:rsid w:val="0070267A"/>
    <w:rsid w:val="00702895"/>
    <w:rsid w:val="0070308D"/>
    <w:rsid w:val="007030F2"/>
    <w:rsid w:val="00703720"/>
    <w:rsid w:val="00704251"/>
    <w:rsid w:val="007046B2"/>
    <w:rsid w:val="00706C8C"/>
    <w:rsid w:val="00707246"/>
    <w:rsid w:val="0071052E"/>
    <w:rsid w:val="00711E96"/>
    <w:rsid w:val="00712024"/>
    <w:rsid w:val="00712C5F"/>
    <w:rsid w:val="00713D9A"/>
    <w:rsid w:val="0071532B"/>
    <w:rsid w:val="00715CFB"/>
    <w:rsid w:val="00716BA5"/>
    <w:rsid w:val="007173AC"/>
    <w:rsid w:val="00717FAF"/>
    <w:rsid w:val="00720828"/>
    <w:rsid w:val="0072083E"/>
    <w:rsid w:val="00721226"/>
    <w:rsid w:val="007212B0"/>
    <w:rsid w:val="007212C1"/>
    <w:rsid w:val="007239A5"/>
    <w:rsid w:val="007248EB"/>
    <w:rsid w:val="00725FC2"/>
    <w:rsid w:val="007266A3"/>
    <w:rsid w:val="00727EDF"/>
    <w:rsid w:val="007305CB"/>
    <w:rsid w:val="00731E06"/>
    <w:rsid w:val="00732325"/>
    <w:rsid w:val="00734ECF"/>
    <w:rsid w:val="00734F9B"/>
    <w:rsid w:val="0073610B"/>
    <w:rsid w:val="00736B0D"/>
    <w:rsid w:val="00740D32"/>
    <w:rsid w:val="00740FFE"/>
    <w:rsid w:val="007427EE"/>
    <w:rsid w:val="00743CF2"/>
    <w:rsid w:val="00745395"/>
    <w:rsid w:val="00746B0D"/>
    <w:rsid w:val="0075006F"/>
    <w:rsid w:val="007500E4"/>
    <w:rsid w:val="00751491"/>
    <w:rsid w:val="00751959"/>
    <w:rsid w:val="00752DFC"/>
    <w:rsid w:val="00753191"/>
    <w:rsid w:val="00753FD7"/>
    <w:rsid w:val="007559DC"/>
    <w:rsid w:val="00755B5F"/>
    <w:rsid w:val="00756AA6"/>
    <w:rsid w:val="007623EC"/>
    <w:rsid w:val="00763379"/>
    <w:rsid w:val="00764F73"/>
    <w:rsid w:val="007656E3"/>
    <w:rsid w:val="007675C9"/>
    <w:rsid w:val="00771C9E"/>
    <w:rsid w:val="00772BB9"/>
    <w:rsid w:val="00773390"/>
    <w:rsid w:val="007743E7"/>
    <w:rsid w:val="00775021"/>
    <w:rsid w:val="00775CE1"/>
    <w:rsid w:val="007774E9"/>
    <w:rsid w:val="0077771E"/>
    <w:rsid w:val="007805E9"/>
    <w:rsid w:val="00780906"/>
    <w:rsid w:val="00782B55"/>
    <w:rsid w:val="007845DE"/>
    <w:rsid w:val="0078477D"/>
    <w:rsid w:val="007862E3"/>
    <w:rsid w:val="00787529"/>
    <w:rsid w:val="00787819"/>
    <w:rsid w:val="007901BA"/>
    <w:rsid w:val="00791059"/>
    <w:rsid w:val="00791722"/>
    <w:rsid w:val="00793EEF"/>
    <w:rsid w:val="0079400A"/>
    <w:rsid w:val="00794C04"/>
    <w:rsid w:val="00794EC9"/>
    <w:rsid w:val="007958DB"/>
    <w:rsid w:val="007959F2"/>
    <w:rsid w:val="00796B1B"/>
    <w:rsid w:val="00797A48"/>
    <w:rsid w:val="007A0AE1"/>
    <w:rsid w:val="007A2548"/>
    <w:rsid w:val="007A2A0E"/>
    <w:rsid w:val="007A2AF6"/>
    <w:rsid w:val="007A4476"/>
    <w:rsid w:val="007A51A5"/>
    <w:rsid w:val="007A658C"/>
    <w:rsid w:val="007B3487"/>
    <w:rsid w:val="007B3CFD"/>
    <w:rsid w:val="007B4161"/>
    <w:rsid w:val="007B6AE6"/>
    <w:rsid w:val="007B73D3"/>
    <w:rsid w:val="007B7783"/>
    <w:rsid w:val="007B7EA4"/>
    <w:rsid w:val="007C04D3"/>
    <w:rsid w:val="007C061B"/>
    <w:rsid w:val="007C1318"/>
    <w:rsid w:val="007C1DC9"/>
    <w:rsid w:val="007C361A"/>
    <w:rsid w:val="007C496D"/>
    <w:rsid w:val="007C5C56"/>
    <w:rsid w:val="007C6E4C"/>
    <w:rsid w:val="007C710A"/>
    <w:rsid w:val="007C75FE"/>
    <w:rsid w:val="007C7B63"/>
    <w:rsid w:val="007D04FE"/>
    <w:rsid w:val="007D1411"/>
    <w:rsid w:val="007D223A"/>
    <w:rsid w:val="007D2AC6"/>
    <w:rsid w:val="007D306D"/>
    <w:rsid w:val="007D3366"/>
    <w:rsid w:val="007D37D1"/>
    <w:rsid w:val="007D39AA"/>
    <w:rsid w:val="007D3CB7"/>
    <w:rsid w:val="007D5714"/>
    <w:rsid w:val="007D68A6"/>
    <w:rsid w:val="007D6AF3"/>
    <w:rsid w:val="007D7C61"/>
    <w:rsid w:val="007E0247"/>
    <w:rsid w:val="007E0601"/>
    <w:rsid w:val="007E20E9"/>
    <w:rsid w:val="007E292A"/>
    <w:rsid w:val="007E2FB8"/>
    <w:rsid w:val="007E3C42"/>
    <w:rsid w:val="007E6336"/>
    <w:rsid w:val="007E7107"/>
    <w:rsid w:val="007E7CEF"/>
    <w:rsid w:val="007F02D4"/>
    <w:rsid w:val="007F03D5"/>
    <w:rsid w:val="007F040E"/>
    <w:rsid w:val="007F2646"/>
    <w:rsid w:val="007F55BD"/>
    <w:rsid w:val="007F6C51"/>
    <w:rsid w:val="007F6EA3"/>
    <w:rsid w:val="007F7F51"/>
    <w:rsid w:val="008004A1"/>
    <w:rsid w:val="008005A9"/>
    <w:rsid w:val="00800C8B"/>
    <w:rsid w:val="00801A45"/>
    <w:rsid w:val="00801CBA"/>
    <w:rsid w:val="00801E6C"/>
    <w:rsid w:val="008025E6"/>
    <w:rsid w:val="008033C0"/>
    <w:rsid w:val="008042AA"/>
    <w:rsid w:val="0080468D"/>
    <w:rsid w:val="00805449"/>
    <w:rsid w:val="008057F0"/>
    <w:rsid w:val="00805F21"/>
    <w:rsid w:val="00806952"/>
    <w:rsid w:val="0080791F"/>
    <w:rsid w:val="00810823"/>
    <w:rsid w:val="00811498"/>
    <w:rsid w:val="00811FEE"/>
    <w:rsid w:val="00814876"/>
    <w:rsid w:val="00814C0F"/>
    <w:rsid w:val="00814ECE"/>
    <w:rsid w:val="008153BA"/>
    <w:rsid w:val="008177AA"/>
    <w:rsid w:val="0082157C"/>
    <w:rsid w:val="00821815"/>
    <w:rsid w:val="008224B4"/>
    <w:rsid w:val="008227D2"/>
    <w:rsid w:val="00822D04"/>
    <w:rsid w:val="00823420"/>
    <w:rsid w:val="00825BBF"/>
    <w:rsid w:val="00826A1E"/>
    <w:rsid w:val="00827AE5"/>
    <w:rsid w:val="00827C30"/>
    <w:rsid w:val="0083124D"/>
    <w:rsid w:val="0083217D"/>
    <w:rsid w:val="00832CC4"/>
    <w:rsid w:val="00832F65"/>
    <w:rsid w:val="008330F7"/>
    <w:rsid w:val="00833432"/>
    <w:rsid w:val="008344BF"/>
    <w:rsid w:val="00834A09"/>
    <w:rsid w:val="00834C40"/>
    <w:rsid w:val="00834C6E"/>
    <w:rsid w:val="0084158D"/>
    <w:rsid w:val="008437BE"/>
    <w:rsid w:val="008447D1"/>
    <w:rsid w:val="00845199"/>
    <w:rsid w:val="008452F5"/>
    <w:rsid w:val="008455DC"/>
    <w:rsid w:val="00845DEE"/>
    <w:rsid w:val="00846359"/>
    <w:rsid w:val="00850859"/>
    <w:rsid w:val="00852818"/>
    <w:rsid w:val="00852D0B"/>
    <w:rsid w:val="008536C5"/>
    <w:rsid w:val="0085545D"/>
    <w:rsid w:val="00856165"/>
    <w:rsid w:val="0085729B"/>
    <w:rsid w:val="00861B9D"/>
    <w:rsid w:val="00861D4E"/>
    <w:rsid w:val="00863D5F"/>
    <w:rsid w:val="00864D4D"/>
    <w:rsid w:val="00865E46"/>
    <w:rsid w:val="00865E92"/>
    <w:rsid w:val="00866282"/>
    <w:rsid w:val="008669AD"/>
    <w:rsid w:val="00866B05"/>
    <w:rsid w:val="00867651"/>
    <w:rsid w:val="00867937"/>
    <w:rsid w:val="00871005"/>
    <w:rsid w:val="008711E6"/>
    <w:rsid w:val="008718C0"/>
    <w:rsid w:val="0087377B"/>
    <w:rsid w:val="008764D0"/>
    <w:rsid w:val="008775AE"/>
    <w:rsid w:val="00877850"/>
    <w:rsid w:val="00877BA2"/>
    <w:rsid w:val="00881F3B"/>
    <w:rsid w:val="00882423"/>
    <w:rsid w:val="00882D83"/>
    <w:rsid w:val="008845E2"/>
    <w:rsid w:val="00884F0E"/>
    <w:rsid w:val="00885546"/>
    <w:rsid w:val="00885E22"/>
    <w:rsid w:val="008869DF"/>
    <w:rsid w:val="00891F68"/>
    <w:rsid w:val="00892D4A"/>
    <w:rsid w:val="00892FEF"/>
    <w:rsid w:val="00895C9E"/>
    <w:rsid w:val="00895F72"/>
    <w:rsid w:val="00897AE7"/>
    <w:rsid w:val="00897E3B"/>
    <w:rsid w:val="008A0399"/>
    <w:rsid w:val="008A1326"/>
    <w:rsid w:val="008A13D7"/>
    <w:rsid w:val="008A2CBC"/>
    <w:rsid w:val="008A3DB2"/>
    <w:rsid w:val="008A4A39"/>
    <w:rsid w:val="008A4FBF"/>
    <w:rsid w:val="008A5CB0"/>
    <w:rsid w:val="008A6A5B"/>
    <w:rsid w:val="008A7909"/>
    <w:rsid w:val="008B01D0"/>
    <w:rsid w:val="008B058A"/>
    <w:rsid w:val="008B05E1"/>
    <w:rsid w:val="008B1057"/>
    <w:rsid w:val="008B32E4"/>
    <w:rsid w:val="008B4A94"/>
    <w:rsid w:val="008B4F5F"/>
    <w:rsid w:val="008B5129"/>
    <w:rsid w:val="008B5D3E"/>
    <w:rsid w:val="008B6C8C"/>
    <w:rsid w:val="008C015A"/>
    <w:rsid w:val="008C0495"/>
    <w:rsid w:val="008C2C3C"/>
    <w:rsid w:val="008C3812"/>
    <w:rsid w:val="008C49F5"/>
    <w:rsid w:val="008C4B80"/>
    <w:rsid w:val="008C58CF"/>
    <w:rsid w:val="008D00AD"/>
    <w:rsid w:val="008D182F"/>
    <w:rsid w:val="008D1F2D"/>
    <w:rsid w:val="008D2557"/>
    <w:rsid w:val="008D3873"/>
    <w:rsid w:val="008D472D"/>
    <w:rsid w:val="008D6104"/>
    <w:rsid w:val="008D7CC0"/>
    <w:rsid w:val="008E214B"/>
    <w:rsid w:val="008E23C0"/>
    <w:rsid w:val="008E362F"/>
    <w:rsid w:val="008E3F74"/>
    <w:rsid w:val="008E63C3"/>
    <w:rsid w:val="008F0B0F"/>
    <w:rsid w:val="008F1A66"/>
    <w:rsid w:val="008F1C06"/>
    <w:rsid w:val="008F295C"/>
    <w:rsid w:val="008F2C29"/>
    <w:rsid w:val="008F3667"/>
    <w:rsid w:val="008F3B3B"/>
    <w:rsid w:val="008F507F"/>
    <w:rsid w:val="008F5698"/>
    <w:rsid w:val="008F67E8"/>
    <w:rsid w:val="008F6EB3"/>
    <w:rsid w:val="008F7C3F"/>
    <w:rsid w:val="008F7EDE"/>
    <w:rsid w:val="00901BD0"/>
    <w:rsid w:val="009031D6"/>
    <w:rsid w:val="00903A2A"/>
    <w:rsid w:val="00903D4F"/>
    <w:rsid w:val="0090453A"/>
    <w:rsid w:val="00905481"/>
    <w:rsid w:val="00905E84"/>
    <w:rsid w:val="0090636E"/>
    <w:rsid w:val="009070A8"/>
    <w:rsid w:val="009075EC"/>
    <w:rsid w:val="009078A6"/>
    <w:rsid w:val="00912ED3"/>
    <w:rsid w:val="0091411C"/>
    <w:rsid w:val="009148F2"/>
    <w:rsid w:val="009159F8"/>
    <w:rsid w:val="00915BB7"/>
    <w:rsid w:val="00920B3F"/>
    <w:rsid w:val="00920C71"/>
    <w:rsid w:val="00922012"/>
    <w:rsid w:val="009231A6"/>
    <w:rsid w:val="00924B2B"/>
    <w:rsid w:val="009277E1"/>
    <w:rsid w:val="00930057"/>
    <w:rsid w:val="0093033E"/>
    <w:rsid w:val="00931A83"/>
    <w:rsid w:val="0093315B"/>
    <w:rsid w:val="00933306"/>
    <w:rsid w:val="009336D8"/>
    <w:rsid w:val="009341CE"/>
    <w:rsid w:val="009347A4"/>
    <w:rsid w:val="00936557"/>
    <w:rsid w:val="0093671A"/>
    <w:rsid w:val="00937FD2"/>
    <w:rsid w:val="00940386"/>
    <w:rsid w:val="009410B8"/>
    <w:rsid w:val="009428F5"/>
    <w:rsid w:val="00943C17"/>
    <w:rsid w:val="0094412B"/>
    <w:rsid w:val="009443DD"/>
    <w:rsid w:val="0094497D"/>
    <w:rsid w:val="009449CE"/>
    <w:rsid w:val="00946D46"/>
    <w:rsid w:val="00950714"/>
    <w:rsid w:val="0095146F"/>
    <w:rsid w:val="009515FE"/>
    <w:rsid w:val="009527AC"/>
    <w:rsid w:val="0095315C"/>
    <w:rsid w:val="009533C5"/>
    <w:rsid w:val="00953814"/>
    <w:rsid w:val="0095555B"/>
    <w:rsid w:val="00955578"/>
    <w:rsid w:val="00956013"/>
    <w:rsid w:val="0095618F"/>
    <w:rsid w:val="009566EE"/>
    <w:rsid w:val="00956FC1"/>
    <w:rsid w:val="00957D9E"/>
    <w:rsid w:val="009601EB"/>
    <w:rsid w:val="009609BB"/>
    <w:rsid w:val="009631F1"/>
    <w:rsid w:val="009634AB"/>
    <w:rsid w:val="0096485F"/>
    <w:rsid w:val="00965474"/>
    <w:rsid w:val="00965E48"/>
    <w:rsid w:val="009671BE"/>
    <w:rsid w:val="00967D0F"/>
    <w:rsid w:val="00970DFD"/>
    <w:rsid w:val="00971432"/>
    <w:rsid w:val="00971A8F"/>
    <w:rsid w:val="00972073"/>
    <w:rsid w:val="00972315"/>
    <w:rsid w:val="00972869"/>
    <w:rsid w:val="00972CB2"/>
    <w:rsid w:val="00972F01"/>
    <w:rsid w:val="00973201"/>
    <w:rsid w:val="0097335A"/>
    <w:rsid w:val="00973FB6"/>
    <w:rsid w:val="009814A0"/>
    <w:rsid w:val="00981512"/>
    <w:rsid w:val="00982678"/>
    <w:rsid w:val="0098414F"/>
    <w:rsid w:val="00984C02"/>
    <w:rsid w:val="009851DB"/>
    <w:rsid w:val="00986D7C"/>
    <w:rsid w:val="009913F3"/>
    <w:rsid w:val="0099159A"/>
    <w:rsid w:val="009917B1"/>
    <w:rsid w:val="00992476"/>
    <w:rsid w:val="009924DA"/>
    <w:rsid w:val="0099374E"/>
    <w:rsid w:val="00995146"/>
    <w:rsid w:val="009958FF"/>
    <w:rsid w:val="009A0722"/>
    <w:rsid w:val="009A1088"/>
    <w:rsid w:val="009A1D62"/>
    <w:rsid w:val="009A1F3A"/>
    <w:rsid w:val="009A741D"/>
    <w:rsid w:val="009B0CF0"/>
    <w:rsid w:val="009B1163"/>
    <w:rsid w:val="009B157B"/>
    <w:rsid w:val="009B17E7"/>
    <w:rsid w:val="009B2494"/>
    <w:rsid w:val="009B2714"/>
    <w:rsid w:val="009B315F"/>
    <w:rsid w:val="009B3E74"/>
    <w:rsid w:val="009B4222"/>
    <w:rsid w:val="009B4A18"/>
    <w:rsid w:val="009B4B84"/>
    <w:rsid w:val="009B5B75"/>
    <w:rsid w:val="009B5FBE"/>
    <w:rsid w:val="009B798A"/>
    <w:rsid w:val="009C0682"/>
    <w:rsid w:val="009C11AE"/>
    <w:rsid w:val="009C1776"/>
    <w:rsid w:val="009C1BDF"/>
    <w:rsid w:val="009C3B4B"/>
    <w:rsid w:val="009C3C37"/>
    <w:rsid w:val="009C457B"/>
    <w:rsid w:val="009C4612"/>
    <w:rsid w:val="009C570A"/>
    <w:rsid w:val="009C5C29"/>
    <w:rsid w:val="009C5F07"/>
    <w:rsid w:val="009C6380"/>
    <w:rsid w:val="009C6550"/>
    <w:rsid w:val="009C6F40"/>
    <w:rsid w:val="009C7837"/>
    <w:rsid w:val="009C7FF5"/>
    <w:rsid w:val="009D15E6"/>
    <w:rsid w:val="009D2AD9"/>
    <w:rsid w:val="009D3144"/>
    <w:rsid w:val="009D353E"/>
    <w:rsid w:val="009E1D20"/>
    <w:rsid w:val="009E301B"/>
    <w:rsid w:val="009E4D42"/>
    <w:rsid w:val="009E531E"/>
    <w:rsid w:val="009E5A62"/>
    <w:rsid w:val="009E66F1"/>
    <w:rsid w:val="009E7A1F"/>
    <w:rsid w:val="009F004B"/>
    <w:rsid w:val="009F049D"/>
    <w:rsid w:val="009F0E90"/>
    <w:rsid w:val="009F11E1"/>
    <w:rsid w:val="009F338B"/>
    <w:rsid w:val="009F4C16"/>
    <w:rsid w:val="009F4D40"/>
    <w:rsid w:val="00A009FF"/>
    <w:rsid w:val="00A02733"/>
    <w:rsid w:val="00A02A45"/>
    <w:rsid w:val="00A02AB9"/>
    <w:rsid w:val="00A02F5E"/>
    <w:rsid w:val="00A03143"/>
    <w:rsid w:val="00A039E5"/>
    <w:rsid w:val="00A042B2"/>
    <w:rsid w:val="00A055C5"/>
    <w:rsid w:val="00A05F40"/>
    <w:rsid w:val="00A06AAC"/>
    <w:rsid w:val="00A07051"/>
    <w:rsid w:val="00A07AAF"/>
    <w:rsid w:val="00A10AE3"/>
    <w:rsid w:val="00A11FD9"/>
    <w:rsid w:val="00A125DD"/>
    <w:rsid w:val="00A130E9"/>
    <w:rsid w:val="00A13371"/>
    <w:rsid w:val="00A13C62"/>
    <w:rsid w:val="00A1526F"/>
    <w:rsid w:val="00A157C8"/>
    <w:rsid w:val="00A175B0"/>
    <w:rsid w:val="00A21657"/>
    <w:rsid w:val="00A21C18"/>
    <w:rsid w:val="00A2399F"/>
    <w:rsid w:val="00A23E7C"/>
    <w:rsid w:val="00A25073"/>
    <w:rsid w:val="00A26148"/>
    <w:rsid w:val="00A26301"/>
    <w:rsid w:val="00A266B0"/>
    <w:rsid w:val="00A2707F"/>
    <w:rsid w:val="00A27521"/>
    <w:rsid w:val="00A276C1"/>
    <w:rsid w:val="00A3011F"/>
    <w:rsid w:val="00A306D6"/>
    <w:rsid w:val="00A30AB4"/>
    <w:rsid w:val="00A30CB3"/>
    <w:rsid w:val="00A33433"/>
    <w:rsid w:val="00A33D7C"/>
    <w:rsid w:val="00A33DEA"/>
    <w:rsid w:val="00A34F27"/>
    <w:rsid w:val="00A36BD8"/>
    <w:rsid w:val="00A40CB8"/>
    <w:rsid w:val="00A4190C"/>
    <w:rsid w:val="00A43181"/>
    <w:rsid w:val="00A4328C"/>
    <w:rsid w:val="00A43851"/>
    <w:rsid w:val="00A44691"/>
    <w:rsid w:val="00A47CA9"/>
    <w:rsid w:val="00A510DC"/>
    <w:rsid w:val="00A51648"/>
    <w:rsid w:val="00A522EA"/>
    <w:rsid w:val="00A52741"/>
    <w:rsid w:val="00A5279D"/>
    <w:rsid w:val="00A53479"/>
    <w:rsid w:val="00A541A6"/>
    <w:rsid w:val="00A54D1F"/>
    <w:rsid w:val="00A54D8C"/>
    <w:rsid w:val="00A5546E"/>
    <w:rsid w:val="00A55753"/>
    <w:rsid w:val="00A60209"/>
    <w:rsid w:val="00A607B2"/>
    <w:rsid w:val="00A62145"/>
    <w:rsid w:val="00A62429"/>
    <w:rsid w:val="00A62CAF"/>
    <w:rsid w:val="00A63049"/>
    <w:rsid w:val="00A63678"/>
    <w:rsid w:val="00A63AB2"/>
    <w:rsid w:val="00A65728"/>
    <w:rsid w:val="00A6578F"/>
    <w:rsid w:val="00A66202"/>
    <w:rsid w:val="00A66478"/>
    <w:rsid w:val="00A66C28"/>
    <w:rsid w:val="00A677B9"/>
    <w:rsid w:val="00A70ADD"/>
    <w:rsid w:val="00A70D17"/>
    <w:rsid w:val="00A70E94"/>
    <w:rsid w:val="00A7117A"/>
    <w:rsid w:val="00A71AC7"/>
    <w:rsid w:val="00A72FA9"/>
    <w:rsid w:val="00A73632"/>
    <w:rsid w:val="00A743FC"/>
    <w:rsid w:val="00A75232"/>
    <w:rsid w:val="00A76110"/>
    <w:rsid w:val="00A76692"/>
    <w:rsid w:val="00A7779B"/>
    <w:rsid w:val="00A81D49"/>
    <w:rsid w:val="00A81E4D"/>
    <w:rsid w:val="00A82706"/>
    <w:rsid w:val="00A83421"/>
    <w:rsid w:val="00A857A4"/>
    <w:rsid w:val="00A85B38"/>
    <w:rsid w:val="00A86CF1"/>
    <w:rsid w:val="00A87077"/>
    <w:rsid w:val="00A874BD"/>
    <w:rsid w:val="00A90DD5"/>
    <w:rsid w:val="00A91752"/>
    <w:rsid w:val="00A91A7E"/>
    <w:rsid w:val="00A933D2"/>
    <w:rsid w:val="00A950DB"/>
    <w:rsid w:val="00A95A0A"/>
    <w:rsid w:val="00A95F54"/>
    <w:rsid w:val="00A9720B"/>
    <w:rsid w:val="00AA012F"/>
    <w:rsid w:val="00AA17DD"/>
    <w:rsid w:val="00AA18D4"/>
    <w:rsid w:val="00AA1A20"/>
    <w:rsid w:val="00AA1BB4"/>
    <w:rsid w:val="00AA305B"/>
    <w:rsid w:val="00AA3064"/>
    <w:rsid w:val="00AA326D"/>
    <w:rsid w:val="00AA3C19"/>
    <w:rsid w:val="00AA48C4"/>
    <w:rsid w:val="00AA5A26"/>
    <w:rsid w:val="00AB0282"/>
    <w:rsid w:val="00AB0339"/>
    <w:rsid w:val="00AB1392"/>
    <w:rsid w:val="00AB24CD"/>
    <w:rsid w:val="00AB34BE"/>
    <w:rsid w:val="00AB3C5F"/>
    <w:rsid w:val="00AB3D8C"/>
    <w:rsid w:val="00AB3F9E"/>
    <w:rsid w:val="00AB4088"/>
    <w:rsid w:val="00AB4A19"/>
    <w:rsid w:val="00AB4A4D"/>
    <w:rsid w:val="00AB6796"/>
    <w:rsid w:val="00AB6E57"/>
    <w:rsid w:val="00AC08E6"/>
    <w:rsid w:val="00AC0F10"/>
    <w:rsid w:val="00AC100F"/>
    <w:rsid w:val="00AC1045"/>
    <w:rsid w:val="00AC24B2"/>
    <w:rsid w:val="00AC2556"/>
    <w:rsid w:val="00AC2AB5"/>
    <w:rsid w:val="00AC2D01"/>
    <w:rsid w:val="00AC2F90"/>
    <w:rsid w:val="00AC38D8"/>
    <w:rsid w:val="00AC4774"/>
    <w:rsid w:val="00AC601C"/>
    <w:rsid w:val="00AC72E4"/>
    <w:rsid w:val="00AC77A8"/>
    <w:rsid w:val="00AC7841"/>
    <w:rsid w:val="00AD0803"/>
    <w:rsid w:val="00AD2A7A"/>
    <w:rsid w:val="00AD4F7D"/>
    <w:rsid w:val="00AD67B8"/>
    <w:rsid w:val="00AD7901"/>
    <w:rsid w:val="00AE0047"/>
    <w:rsid w:val="00AE05B4"/>
    <w:rsid w:val="00AE10B0"/>
    <w:rsid w:val="00AE1FFF"/>
    <w:rsid w:val="00AE3441"/>
    <w:rsid w:val="00AE34BE"/>
    <w:rsid w:val="00AE377A"/>
    <w:rsid w:val="00AE6400"/>
    <w:rsid w:val="00AE6933"/>
    <w:rsid w:val="00AE69BD"/>
    <w:rsid w:val="00AE792C"/>
    <w:rsid w:val="00AF0BD7"/>
    <w:rsid w:val="00AF2105"/>
    <w:rsid w:val="00AF3C40"/>
    <w:rsid w:val="00AF4755"/>
    <w:rsid w:val="00AF64C3"/>
    <w:rsid w:val="00AF6584"/>
    <w:rsid w:val="00AF679F"/>
    <w:rsid w:val="00AF75B0"/>
    <w:rsid w:val="00AF76A9"/>
    <w:rsid w:val="00B0062A"/>
    <w:rsid w:val="00B008A1"/>
    <w:rsid w:val="00B01033"/>
    <w:rsid w:val="00B020EB"/>
    <w:rsid w:val="00B0337E"/>
    <w:rsid w:val="00B033F1"/>
    <w:rsid w:val="00B03459"/>
    <w:rsid w:val="00B03C5B"/>
    <w:rsid w:val="00B0415E"/>
    <w:rsid w:val="00B07A04"/>
    <w:rsid w:val="00B10222"/>
    <w:rsid w:val="00B1498E"/>
    <w:rsid w:val="00B152EA"/>
    <w:rsid w:val="00B1588A"/>
    <w:rsid w:val="00B158C5"/>
    <w:rsid w:val="00B15D5C"/>
    <w:rsid w:val="00B169B4"/>
    <w:rsid w:val="00B17D75"/>
    <w:rsid w:val="00B21150"/>
    <w:rsid w:val="00B21C65"/>
    <w:rsid w:val="00B22F62"/>
    <w:rsid w:val="00B23F05"/>
    <w:rsid w:val="00B24CFF"/>
    <w:rsid w:val="00B24DD0"/>
    <w:rsid w:val="00B250B3"/>
    <w:rsid w:val="00B25682"/>
    <w:rsid w:val="00B25E54"/>
    <w:rsid w:val="00B270EE"/>
    <w:rsid w:val="00B27FDF"/>
    <w:rsid w:val="00B307AD"/>
    <w:rsid w:val="00B30D0D"/>
    <w:rsid w:val="00B31616"/>
    <w:rsid w:val="00B31A9F"/>
    <w:rsid w:val="00B31EB4"/>
    <w:rsid w:val="00B32017"/>
    <w:rsid w:val="00B336BE"/>
    <w:rsid w:val="00B341BF"/>
    <w:rsid w:val="00B35650"/>
    <w:rsid w:val="00B3628E"/>
    <w:rsid w:val="00B36C8C"/>
    <w:rsid w:val="00B407C9"/>
    <w:rsid w:val="00B40B1E"/>
    <w:rsid w:val="00B418F2"/>
    <w:rsid w:val="00B45BC7"/>
    <w:rsid w:val="00B46671"/>
    <w:rsid w:val="00B47745"/>
    <w:rsid w:val="00B47D0F"/>
    <w:rsid w:val="00B502B4"/>
    <w:rsid w:val="00B5086F"/>
    <w:rsid w:val="00B51F8E"/>
    <w:rsid w:val="00B527F6"/>
    <w:rsid w:val="00B52E56"/>
    <w:rsid w:val="00B54C04"/>
    <w:rsid w:val="00B553C0"/>
    <w:rsid w:val="00B55446"/>
    <w:rsid w:val="00B56D54"/>
    <w:rsid w:val="00B5769E"/>
    <w:rsid w:val="00B57A91"/>
    <w:rsid w:val="00B601A7"/>
    <w:rsid w:val="00B61A69"/>
    <w:rsid w:val="00B626B6"/>
    <w:rsid w:val="00B6284D"/>
    <w:rsid w:val="00B6292B"/>
    <w:rsid w:val="00B62B3D"/>
    <w:rsid w:val="00B63754"/>
    <w:rsid w:val="00B649F3"/>
    <w:rsid w:val="00B64D7A"/>
    <w:rsid w:val="00B65180"/>
    <w:rsid w:val="00B6549D"/>
    <w:rsid w:val="00B668DD"/>
    <w:rsid w:val="00B673F4"/>
    <w:rsid w:val="00B6743E"/>
    <w:rsid w:val="00B71AAB"/>
    <w:rsid w:val="00B71FD5"/>
    <w:rsid w:val="00B72EC6"/>
    <w:rsid w:val="00B7566A"/>
    <w:rsid w:val="00B7616C"/>
    <w:rsid w:val="00B76280"/>
    <w:rsid w:val="00B76430"/>
    <w:rsid w:val="00B77C5E"/>
    <w:rsid w:val="00B82FB4"/>
    <w:rsid w:val="00B8324B"/>
    <w:rsid w:val="00B83DE2"/>
    <w:rsid w:val="00B844B0"/>
    <w:rsid w:val="00B84DB4"/>
    <w:rsid w:val="00B84DE0"/>
    <w:rsid w:val="00B8536C"/>
    <w:rsid w:val="00B87681"/>
    <w:rsid w:val="00B91192"/>
    <w:rsid w:val="00B92ADC"/>
    <w:rsid w:val="00B95274"/>
    <w:rsid w:val="00B960B5"/>
    <w:rsid w:val="00B96DAB"/>
    <w:rsid w:val="00B97277"/>
    <w:rsid w:val="00BA0214"/>
    <w:rsid w:val="00BA0825"/>
    <w:rsid w:val="00BA09AA"/>
    <w:rsid w:val="00BA0F7F"/>
    <w:rsid w:val="00BA2326"/>
    <w:rsid w:val="00BA2AA7"/>
    <w:rsid w:val="00BA306E"/>
    <w:rsid w:val="00BA40CD"/>
    <w:rsid w:val="00BA4929"/>
    <w:rsid w:val="00BA5015"/>
    <w:rsid w:val="00BA75AE"/>
    <w:rsid w:val="00BA7C75"/>
    <w:rsid w:val="00BA7EA8"/>
    <w:rsid w:val="00BB0001"/>
    <w:rsid w:val="00BB0CDE"/>
    <w:rsid w:val="00BB3614"/>
    <w:rsid w:val="00BB3F35"/>
    <w:rsid w:val="00BB4606"/>
    <w:rsid w:val="00BB4642"/>
    <w:rsid w:val="00BB581F"/>
    <w:rsid w:val="00BB65EE"/>
    <w:rsid w:val="00BB7FC0"/>
    <w:rsid w:val="00BC00D4"/>
    <w:rsid w:val="00BC03EF"/>
    <w:rsid w:val="00BC1B6C"/>
    <w:rsid w:val="00BC1C5B"/>
    <w:rsid w:val="00BC2058"/>
    <w:rsid w:val="00BC2CDF"/>
    <w:rsid w:val="00BC3A42"/>
    <w:rsid w:val="00BC3D6E"/>
    <w:rsid w:val="00BC4574"/>
    <w:rsid w:val="00BC5928"/>
    <w:rsid w:val="00BC5BE8"/>
    <w:rsid w:val="00BC604E"/>
    <w:rsid w:val="00BC6A74"/>
    <w:rsid w:val="00BC7256"/>
    <w:rsid w:val="00BD13E2"/>
    <w:rsid w:val="00BD26AC"/>
    <w:rsid w:val="00BD2767"/>
    <w:rsid w:val="00BD2CD4"/>
    <w:rsid w:val="00BD3003"/>
    <w:rsid w:val="00BD32F9"/>
    <w:rsid w:val="00BD3358"/>
    <w:rsid w:val="00BD4A83"/>
    <w:rsid w:val="00BD5A0E"/>
    <w:rsid w:val="00BD6E5F"/>
    <w:rsid w:val="00BE1DB8"/>
    <w:rsid w:val="00BE35D0"/>
    <w:rsid w:val="00BE679A"/>
    <w:rsid w:val="00BE7391"/>
    <w:rsid w:val="00BF1161"/>
    <w:rsid w:val="00BF14E1"/>
    <w:rsid w:val="00BF172E"/>
    <w:rsid w:val="00BF1DFF"/>
    <w:rsid w:val="00BF283B"/>
    <w:rsid w:val="00BF434D"/>
    <w:rsid w:val="00BF4806"/>
    <w:rsid w:val="00BF48D0"/>
    <w:rsid w:val="00BF4B16"/>
    <w:rsid w:val="00BF4B7C"/>
    <w:rsid w:val="00BF7AA6"/>
    <w:rsid w:val="00C0067F"/>
    <w:rsid w:val="00C00BF8"/>
    <w:rsid w:val="00C00DC8"/>
    <w:rsid w:val="00C01697"/>
    <w:rsid w:val="00C01F53"/>
    <w:rsid w:val="00C025C1"/>
    <w:rsid w:val="00C02615"/>
    <w:rsid w:val="00C02699"/>
    <w:rsid w:val="00C03E8A"/>
    <w:rsid w:val="00C04DA5"/>
    <w:rsid w:val="00C04E65"/>
    <w:rsid w:val="00C06E40"/>
    <w:rsid w:val="00C07FF8"/>
    <w:rsid w:val="00C11D64"/>
    <w:rsid w:val="00C11F2B"/>
    <w:rsid w:val="00C12390"/>
    <w:rsid w:val="00C12726"/>
    <w:rsid w:val="00C147FE"/>
    <w:rsid w:val="00C16ABC"/>
    <w:rsid w:val="00C16CB3"/>
    <w:rsid w:val="00C177BD"/>
    <w:rsid w:val="00C17F82"/>
    <w:rsid w:val="00C2030B"/>
    <w:rsid w:val="00C218F0"/>
    <w:rsid w:val="00C22289"/>
    <w:rsid w:val="00C223D5"/>
    <w:rsid w:val="00C24A1C"/>
    <w:rsid w:val="00C25823"/>
    <w:rsid w:val="00C269D6"/>
    <w:rsid w:val="00C3002F"/>
    <w:rsid w:val="00C304B1"/>
    <w:rsid w:val="00C3139D"/>
    <w:rsid w:val="00C32FF2"/>
    <w:rsid w:val="00C33965"/>
    <w:rsid w:val="00C35283"/>
    <w:rsid w:val="00C36209"/>
    <w:rsid w:val="00C3733E"/>
    <w:rsid w:val="00C40B70"/>
    <w:rsid w:val="00C42E01"/>
    <w:rsid w:val="00C45CB8"/>
    <w:rsid w:val="00C46F3D"/>
    <w:rsid w:val="00C478EC"/>
    <w:rsid w:val="00C501B8"/>
    <w:rsid w:val="00C5103A"/>
    <w:rsid w:val="00C521B3"/>
    <w:rsid w:val="00C52CD2"/>
    <w:rsid w:val="00C54139"/>
    <w:rsid w:val="00C551E7"/>
    <w:rsid w:val="00C5636A"/>
    <w:rsid w:val="00C5656D"/>
    <w:rsid w:val="00C579F0"/>
    <w:rsid w:val="00C57B62"/>
    <w:rsid w:val="00C57F6D"/>
    <w:rsid w:val="00C6268B"/>
    <w:rsid w:val="00C626CB"/>
    <w:rsid w:val="00C64DCB"/>
    <w:rsid w:val="00C64F9E"/>
    <w:rsid w:val="00C650E8"/>
    <w:rsid w:val="00C651D6"/>
    <w:rsid w:val="00C66BBD"/>
    <w:rsid w:val="00C67153"/>
    <w:rsid w:val="00C676EC"/>
    <w:rsid w:val="00C703A7"/>
    <w:rsid w:val="00C705BC"/>
    <w:rsid w:val="00C70765"/>
    <w:rsid w:val="00C7108E"/>
    <w:rsid w:val="00C72D5B"/>
    <w:rsid w:val="00C7475E"/>
    <w:rsid w:val="00C74EF1"/>
    <w:rsid w:val="00C74FD1"/>
    <w:rsid w:val="00C7502E"/>
    <w:rsid w:val="00C801E4"/>
    <w:rsid w:val="00C816BE"/>
    <w:rsid w:val="00C817FB"/>
    <w:rsid w:val="00C834D2"/>
    <w:rsid w:val="00C8389C"/>
    <w:rsid w:val="00C8468B"/>
    <w:rsid w:val="00C85E25"/>
    <w:rsid w:val="00C87D8A"/>
    <w:rsid w:val="00C900A9"/>
    <w:rsid w:val="00C90E2B"/>
    <w:rsid w:val="00C90ED6"/>
    <w:rsid w:val="00C91AA9"/>
    <w:rsid w:val="00C922E6"/>
    <w:rsid w:val="00C92A52"/>
    <w:rsid w:val="00C940F6"/>
    <w:rsid w:val="00C9425C"/>
    <w:rsid w:val="00C95D66"/>
    <w:rsid w:val="00C96E88"/>
    <w:rsid w:val="00C96F0E"/>
    <w:rsid w:val="00C97C9A"/>
    <w:rsid w:val="00CA008C"/>
    <w:rsid w:val="00CA07D8"/>
    <w:rsid w:val="00CA14C2"/>
    <w:rsid w:val="00CA20F6"/>
    <w:rsid w:val="00CA2F81"/>
    <w:rsid w:val="00CA3384"/>
    <w:rsid w:val="00CA38CD"/>
    <w:rsid w:val="00CA56CB"/>
    <w:rsid w:val="00CA7D60"/>
    <w:rsid w:val="00CA7E68"/>
    <w:rsid w:val="00CB04FF"/>
    <w:rsid w:val="00CB06A8"/>
    <w:rsid w:val="00CB06EB"/>
    <w:rsid w:val="00CB0B46"/>
    <w:rsid w:val="00CB317C"/>
    <w:rsid w:val="00CB4285"/>
    <w:rsid w:val="00CB5369"/>
    <w:rsid w:val="00CB6A68"/>
    <w:rsid w:val="00CC2FF2"/>
    <w:rsid w:val="00CC313D"/>
    <w:rsid w:val="00CC316B"/>
    <w:rsid w:val="00CC384B"/>
    <w:rsid w:val="00CC6BBE"/>
    <w:rsid w:val="00CC6E02"/>
    <w:rsid w:val="00CD01D8"/>
    <w:rsid w:val="00CD05A4"/>
    <w:rsid w:val="00CD0DBE"/>
    <w:rsid w:val="00CD105E"/>
    <w:rsid w:val="00CD1B2F"/>
    <w:rsid w:val="00CD32A8"/>
    <w:rsid w:val="00CD3911"/>
    <w:rsid w:val="00CD3C85"/>
    <w:rsid w:val="00CD4DB4"/>
    <w:rsid w:val="00CD67BB"/>
    <w:rsid w:val="00CD75A8"/>
    <w:rsid w:val="00CD7905"/>
    <w:rsid w:val="00CE05A4"/>
    <w:rsid w:val="00CE0B5C"/>
    <w:rsid w:val="00CE1753"/>
    <w:rsid w:val="00CE285C"/>
    <w:rsid w:val="00CE2DFB"/>
    <w:rsid w:val="00CE33DD"/>
    <w:rsid w:val="00CE3436"/>
    <w:rsid w:val="00CE3879"/>
    <w:rsid w:val="00CE4190"/>
    <w:rsid w:val="00CE423A"/>
    <w:rsid w:val="00CE56C4"/>
    <w:rsid w:val="00CF27A4"/>
    <w:rsid w:val="00CF319E"/>
    <w:rsid w:val="00CF47B3"/>
    <w:rsid w:val="00CF53C6"/>
    <w:rsid w:val="00CF5587"/>
    <w:rsid w:val="00CF57C4"/>
    <w:rsid w:val="00D00A43"/>
    <w:rsid w:val="00D019FC"/>
    <w:rsid w:val="00D01B2D"/>
    <w:rsid w:val="00D01C4D"/>
    <w:rsid w:val="00D02EBC"/>
    <w:rsid w:val="00D03ACB"/>
    <w:rsid w:val="00D0413D"/>
    <w:rsid w:val="00D053C0"/>
    <w:rsid w:val="00D058EB"/>
    <w:rsid w:val="00D1027C"/>
    <w:rsid w:val="00D11F2C"/>
    <w:rsid w:val="00D120CF"/>
    <w:rsid w:val="00D12FF0"/>
    <w:rsid w:val="00D13216"/>
    <w:rsid w:val="00D13531"/>
    <w:rsid w:val="00D15464"/>
    <w:rsid w:val="00D171E4"/>
    <w:rsid w:val="00D17B2C"/>
    <w:rsid w:val="00D17FE2"/>
    <w:rsid w:val="00D201FC"/>
    <w:rsid w:val="00D21123"/>
    <w:rsid w:val="00D21E3B"/>
    <w:rsid w:val="00D2292B"/>
    <w:rsid w:val="00D23210"/>
    <w:rsid w:val="00D235EA"/>
    <w:rsid w:val="00D23C4C"/>
    <w:rsid w:val="00D23E3A"/>
    <w:rsid w:val="00D243D6"/>
    <w:rsid w:val="00D247E7"/>
    <w:rsid w:val="00D25254"/>
    <w:rsid w:val="00D253C8"/>
    <w:rsid w:val="00D25D6C"/>
    <w:rsid w:val="00D2609C"/>
    <w:rsid w:val="00D26229"/>
    <w:rsid w:val="00D2656E"/>
    <w:rsid w:val="00D30C47"/>
    <w:rsid w:val="00D3132B"/>
    <w:rsid w:val="00D31475"/>
    <w:rsid w:val="00D31D1E"/>
    <w:rsid w:val="00D31EBE"/>
    <w:rsid w:val="00D32BC3"/>
    <w:rsid w:val="00D3437C"/>
    <w:rsid w:val="00D3748D"/>
    <w:rsid w:val="00D40FF9"/>
    <w:rsid w:val="00D442D7"/>
    <w:rsid w:val="00D44691"/>
    <w:rsid w:val="00D454C0"/>
    <w:rsid w:val="00D47990"/>
    <w:rsid w:val="00D47C4A"/>
    <w:rsid w:val="00D50489"/>
    <w:rsid w:val="00D51C43"/>
    <w:rsid w:val="00D52CDC"/>
    <w:rsid w:val="00D53166"/>
    <w:rsid w:val="00D531C9"/>
    <w:rsid w:val="00D54F8A"/>
    <w:rsid w:val="00D54FEE"/>
    <w:rsid w:val="00D55E60"/>
    <w:rsid w:val="00D55E65"/>
    <w:rsid w:val="00D568B0"/>
    <w:rsid w:val="00D56B6E"/>
    <w:rsid w:val="00D56CF0"/>
    <w:rsid w:val="00D60D6F"/>
    <w:rsid w:val="00D624AC"/>
    <w:rsid w:val="00D625D6"/>
    <w:rsid w:val="00D627A3"/>
    <w:rsid w:val="00D634CA"/>
    <w:rsid w:val="00D63843"/>
    <w:rsid w:val="00D64349"/>
    <w:rsid w:val="00D64B1C"/>
    <w:rsid w:val="00D64CDE"/>
    <w:rsid w:val="00D64D07"/>
    <w:rsid w:val="00D659D5"/>
    <w:rsid w:val="00D65B80"/>
    <w:rsid w:val="00D67EF4"/>
    <w:rsid w:val="00D7045B"/>
    <w:rsid w:val="00D734A4"/>
    <w:rsid w:val="00D73A53"/>
    <w:rsid w:val="00D76B2C"/>
    <w:rsid w:val="00D76DCF"/>
    <w:rsid w:val="00D80286"/>
    <w:rsid w:val="00D80844"/>
    <w:rsid w:val="00D84783"/>
    <w:rsid w:val="00D90792"/>
    <w:rsid w:val="00D912B9"/>
    <w:rsid w:val="00D91E0F"/>
    <w:rsid w:val="00D93BB5"/>
    <w:rsid w:val="00D94F89"/>
    <w:rsid w:val="00D95508"/>
    <w:rsid w:val="00D96123"/>
    <w:rsid w:val="00D9612B"/>
    <w:rsid w:val="00D96F2B"/>
    <w:rsid w:val="00D96F7F"/>
    <w:rsid w:val="00DA1615"/>
    <w:rsid w:val="00DA1E3B"/>
    <w:rsid w:val="00DA25BF"/>
    <w:rsid w:val="00DA3519"/>
    <w:rsid w:val="00DA3C0A"/>
    <w:rsid w:val="00DA42D2"/>
    <w:rsid w:val="00DA493B"/>
    <w:rsid w:val="00DA58C0"/>
    <w:rsid w:val="00DB107E"/>
    <w:rsid w:val="00DB1487"/>
    <w:rsid w:val="00DB2828"/>
    <w:rsid w:val="00DB2AE7"/>
    <w:rsid w:val="00DB2EDA"/>
    <w:rsid w:val="00DB3A54"/>
    <w:rsid w:val="00DB5EB4"/>
    <w:rsid w:val="00DB6043"/>
    <w:rsid w:val="00DC0B37"/>
    <w:rsid w:val="00DC3783"/>
    <w:rsid w:val="00DC3CA2"/>
    <w:rsid w:val="00DC4384"/>
    <w:rsid w:val="00DC44B0"/>
    <w:rsid w:val="00DC514E"/>
    <w:rsid w:val="00DC5D0D"/>
    <w:rsid w:val="00DC6189"/>
    <w:rsid w:val="00DC7301"/>
    <w:rsid w:val="00DD178B"/>
    <w:rsid w:val="00DD1F63"/>
    <w:rsid w:val="00DD2EF1"/>
    <w:rsid w:val="00DD356A"/>
    <w:rsid w:val="00DD5C3C"/>
    <w:rsid w:val="00DD5CA1"/>
    <w:rsid w:val="00DD66B3"/>
    <w:rsid w:val="00DE006C"/>
    <w:rsid w:val="00DE1AF1"/>
    <w:rsid w:val="00DE2524"/>
    <w:rsid w:val="00DE2F0E"/>
    <w:rsid w:val="00DE45AD"/>
    <w:rsid w:val="00DE5314"/>
    <w:rsid w:val="00DE5AEA"/>
    <w:rsid w:val="00DE75A0"/>
    <w:rsid w:val="00DE7D2F"/>
    <w:rsid w:val="00DE7FFA"/>
    <w:rsid w:val="00DF0AEA"/>
    <w:rsid w:val="00DF3349"/>
    <w:rsid w:val="00DF39B5"/>
    <w:rsid w:val="00DF48F3"/>
    <w:rsid w:val="00DF5101"/>
    <w:rsid w:val="00DF53B7"/>
    <w:rsid w:val="00DF59C3"/>
    <w:rsid w:val="00DF5B3C"/>
    <w:rsid w:val="00DF6507"/>
    <w:rsid w:val="00DF71E2"/>
    <w:rsid w:val="00DF72B7"/>
    <w:rsid w:val="00DF7F48"/>
    <w:rsid w:val="00E016E2"/>
    <w:rsid w:val="00E02740"/>
    <w:rsid w:val="00E02D19"/>
    <w:rsid w:val="00E048AB"/>
    <w:rsid w:val="00E05EF6"/>
    <w:rsid w:val="00E0640F"/>
    <w:rsid w:val="00E070ED"/>
    <w:rsid w:val="00E0761B"/>
    <w:rsid w:val="00E07D6E"/>
    <w:rsid w:val="00E10441"/>
    <w:rsid w:val="00E10AEF"/>
    <w:rsid w:val="00E110D2"/>
    <w:rsid w:val="00E11739"/>
    <w:rsid w:val="00E11B34"/>
    <w:rsid w:val="00E147EC"/>
    <w:rsid w:val="00E14925"/>
    <w:rsid w:val="00E16A6B"/>
    <w:rsid w:val="00E17154"/>
    <w:rsid w:val="00E178A1"/>
    <w:rsid w:val="00E2041D"/>
    <w:rsid w:val="00E20A9A"/>
    <w:rsid w:val="00E20D53"/>
    <w:rsid w:val="00E20D9D"/>
    <w:rsid w:val="00E223ED"/>
    <w:rsid w:val="00E23F55"/>
    <w:rsid w:val="00E26281"/>
    <w:rsid w:val="00E26E96"/>
    <w:rsid w:val="00E30C6E"/>
    <w:rsid w:val="00E3176A"/>
    <w:rsid w:val="00E335A7"/>
    <w:rsid w:val="00E3493F"/>
    <w:rsid w:val="00E36088"/>
    <w:rsid w:val="00E369A0"/>
    <w:rsid w:val="00E36A52"/>
    <w:rsid w:val="00E36DE5"/>
    <w:rsid w:val="00E36DE7"/>
    <w:rsid w:val="00E37628"/>
    <w:rsid w:val="00E37D83"/>
    <w:rsid w:val="00E4094A"/>
    <w:rsid w:val="00E40F9E"/>
    <w:rsid w:val="00E43060"/>
    <w:rsid w:val="00E43869"/>
    <w:rsid w:val="00E446EF"/>
    <w:rsid w:val="00E449CD"/>
    <w:rsid w:val="00E4531E"/>
    <w:rsid w:val="00E45FE9"/>
    <w:rsid w:val="00E46B95"/>
    <w:rsid w:val="00E473BC"/>
    <w:rsid w:val="00E505B8"/>
    <w:rsid w:val="00E50EA3"/>
    <w:rsid w:val="00E5224D"/>
    <w:rsid w:val="00E5350B"/>
    <w:rsid w:val="00E536DB"/>
    <w:rsid w:val="00E53911"/>
    <w:rsid w:val="00E54984"/>
    <w:rsid w:val="00E5557E"/>
    <w:rsid w:val="00E57757"/>
    <w:rsid w:val="00E57A09"/>
    <w:rsid w:val="00E6065A"/>
    <w:rsid w:val="00E625D5"/>
    <w:rsid w:val="00E625F8"/>
    <w:rsid w:val="00E63501"/>
    <w:rsid w:val="00E63620"/>
    <w:rsid w:val="00E64C93"/>
    <w:rsid w:val="00E64ECE"/>
    <w:rsid w:val="00E667D7"/>
    <w:rsid w:val="00E66F51"/>
    <w:rsid w:val="00E671C2"/>
    <w:rsid w:val="00E7017E"/>
    <w:rsid w:val="00E709CF"/>
    <w:rsid w:val="00E71522"/>
    <w:rsid w:val="00E725DA"/>
    <w:rsid w:val="00E734FB"/>
    <w:rsid w:val="00E74FCD"/>
    <w:rsid w:val="00E761AF"/>
    <w:rsid w:val="00E82110"/>
    <w:rsid w:val="00E826B5"/>
    <w:rsid w:val="00E8441F"/>
    <w:rsid w:val="00E85CD6"/>
    <w:rsid w:val="00E85D38"/>
    <w:rsid w:val="00E87E98"/>
    <w:rsid w:val="00E91D99"/>
    <w:rsid w:val="00E920B2"/>
    <w:rsid w:val="00E92474"/>
    <w:rsid w:val="00E94DCA"/>
    <w:rsid w:val="00E958DD"/>
    <w:rsid w:val="00E963A4"/>
    <w:rsid w:val="00E9670B"/>
    <w:rsid w:val="00E97410"/>
    <w:rsid w:val="00EA0522"/>
    <w:rsid w:val="00EA08D4"/>
    <w:rsid w:val="00EA0A9D"/>
    <w:rsid w:val="00EA0ABF"/>
    <w:rsid w:val="00EA1161"/>
    <w:rsid w:val="00EA24D4"/>
    <w:rsid w:val="00EA3BC0"/>
    <w:rsid w:val="00EA3C9E"/>
    <w:rsid w:val="00EA3FC6"/>
    <w:rsid w:val="00EA3FF0"/>
    <w:rsid w:val="00EA4089"/>
    <w:rsid w:val="00EA45AB"/>
    <w:rsid w:val="00EA4C71"/>
    <w:rsid w:val="00EA5048"/>
    <w:rsid w:val="00EA5501"/>
    <w:rsid w:val="00EA6538"/>
    <w:rsid w:val="00EA66EF"/>
    <w:rsid w:val="00EA6842"/>
    <w:rsid w:val="00EA784B"/>
    <w:rsid w:val="00EB08CA"/>
    <w:rsid w:val="00EB0D75"/>
    <w:rsid w:val="00EB2365"/>
    <w:rsid w:val="00EB2817"/>
    <w:rsid w:val="00EB486F"/>
    <w:rsid w:val="00EB4DB9"/>
    <w:rsid w:val="00EB4E8F"/>
    <w:rsid w:val="00EB62F3"/>
    <w:rsid w:val="00EB78A0"/>
    <w:rsid w:val="00EC0780"/>
    <w:rsid w:val="00EC081C"/>
    <w:rsid w:val="00EC0B0B"/>
    <w:rsid w:val="00EC117E"/>
    <w:rsid w:val="00EC14B0"/>
    <w:rsid w:val="00EC1A10"/>
    <w:rsid w:val="00EC58F3"/>
    <w:rsid w:val="00EC6EFC"/>
    <w:rsid w:val="00EC7842"/>
    <w:rsid w:val="00ED0510"/>
    <w:rsid w:val="00ED0998"/>
    <w:rsid w:val="00ED1EE5"/>
    <w:rsid w:val="00ED33E8"/>
    <w:rsid w:val="00ED34C0"/>
    <w:rsid w:val="00ED35C1"/>
    <w:rsid w:val="00ED498A"/>
    <w:rsid w:val="00ED4D3B"/>
    <w:rsid w:val="00ED7415"/>
    <w:rsid w:val="00EE19C3"/>
    <w:rsid w:val="00EE254D"/>
    <w:rsid w:val="00EE28BC"/>
    <w:rsid w:val="00EE42AE"/>
    <w:rsid w:val="00EE6A1A"/>
    <w:rsid w:val="00EE7FA6"/>
    <w:rsid w:val="00EF148C"/>
    <w:rsid w:val="00EF2FF5"/>
    <w:rsid w:val="00EF3BC5"/>
    <w:rsid w:val="00EF4A91"/>
    <w:rsid w:val="00EF4CFB"/>
    <w:rsid w:val="00EF7F33"/>
    <w:rsid w:val="00F00DD6"/>
    <w:rsid w:val="00F01312"/>
    <w:rsid w:val="00F01F1D"/>
    <w:rsid w:val="00F022C5"/>
    <w:rsid w:val="00F028E1"/>
    <w:rsid w:val="00F0343B"/>
    <w:rsid w:val="00F03A03"/>
    <w:rsid w:val="00F05BEB"/>
    <w:rsid w:val="00F06C91"/>
    <w:rsid w:val="00F0715B"/>
    <w:rsid w:val="00F102A0"/>
    <w:rsid w:val="00F10EB1"/>
    <w:rsid w:val="00F110CB"/>
    <w:rsid w:val="00F112E9"/>
    <w:rsid w:val="00F113C9"/>
    <w:rsid w:val="00F11875"/>
    <w:rsid w:val="00F1280E"/>
    <w:rsid w:val="00F13119"/>
    <w:rsid w:val="00F134A3"/>
    <w:rsid w:val="00F13A40"/>
    <w:rsid w:val="00F169EF"/>
    <w:rsid w:val="00F20C45"/>
    <w:rsid w:val="00F214D1"/>
    <w:rsid w:val="00F21DC3"/>
    <w:rsid w:val="00F22348"/>
    <w:rsid w:val="00F227DD"/>
    <w:rsid w:val="00F22A32"/>
    <w:rsid w:val="00F239CF"/>
    <w:rsid w:val="00F24083"/>
    <w:rsid w:val="00F25398"/>
    <w:rsid w:val="00F269B8"/>
    <w:rsid w:val="00F27E32"/>
    <w:rsid w:val="00F319DF"/>
    <w:rsid w:val="00F31F2D"/>
    <w:rsid w:val="00F321D1"/>
    <w:rsid w:val="00F346CD"/>
    <w:rsid w:val="00F34CFA"/>
    <w:rsid w:val="00F35194"/>
    <w:rsid w:val="00F35550"/>
    <w:rsid w:val="00F3591C"/>
    <w:rsid w:val="00F35C96"/>
    <w:rsid w:val="00F36E2F"/>
    <w:rsid w:val="00F36E63"/>
    <w:rsid w:val="00F3784F"/>
    <w:rsid w:val="00F40493"/>
    <w:rsid w:val="00F40B94"/>
    <w:rsid w:val="00F4199D"/>
    <w:rsid w:val="00F42124"/>
    <w:rsid w:val="00F44901"/>
    <w:rsid w:val="00F44A2A"/>
    <w:rsid w:val="00F44BEC"/>
    <w:rsid w:val="00F45144"/>
    <w:rsid w:val="00F453E5"/>
    <w:rsid w:val="00F4654D"/>
    <w:rsid w:val="00F46B11"/>
    <w:rsid w:val="00F4738A"/>
    <w:rsid w:val="00F47AF3"/>
    <w:rsid w:val="00F50B66"/>
    <w:rsid w:val="00F50EF7"/>
    <w:rsid w:val="00F53A5B"/>
    <w:rsid w:val="00F54CE5"/>
    <w:rsid w:val="00F55643"/>
    <w:rsid w:val="00F5667C"/>
    <w:rsid w:val="00F5710C"/>
    <w:rsid w:val="00F60493"/>
    <w:rsid w:val="00F60D69"/>
    <w:rsid w:val="00F6118B"/>
    <w:rsid w:val="00F6331F"/>
    <w:rsid w:val="00F63A7E"/>
    <w:rsid w:val="00F658EC"/>
    <w:rsid w:val="00F65B18"/>
    <w:rsid w:val="00F679F1"/>
    <w:rsid w:val="00F67E8E"/>
    <w:rsid w:val="00F70D14"/>
    <w:rsid w:val="00F7164B"/>
    <w:rsid w:val="00F73048"/>
    <w:rsid w:val="00F73204"/>
    <w:rsid w:val="00F761ED"/>
    <w:rsid w:val="00F776E5"/>
    <w:rsid w:val="00F77F9E"/>
    <w:rsid w:val="00F80E4E"/>
    <w:rsid w:val="00F8236A"/>
    <w:rsid w:val="00F82748"/>
    <w:rsid w:val="00F83D31"/>
    <w:rsid w:val="00F85861"/>
    <w:rsid w:val="00F85B61"/>
    <w:rsid w:val="00F867A3"/>
    <w:rsid w:val="00F86CA4"/>
    <w:rsid w:val="00F87E6D"/>
    <w:rsid w:val="00F90260"/>
    <w:rsid w:val="00F90EAA"/>
    <w:rsid w:val="00F91F83"/>
    <w:rsid w:val="00F93119"/>
    <w:rsid w:val="00F93293"/>
    <w:rsid w:val="00F93827"/>
    <w:rsid w:val="00F93B27"/>
    <w:rsid w:val="00F9476C"/>
    <w:rsid w:val="00F94968"/>
    <w:rsid w:val="00F9527D"/>
    <w:rsid w:val="00F961A8"/>
    <w:rsid w:val="00F962B3"/>
    <w:rsid w:val="00FA1241"/>
    <w:rsid w:val="00FA1A2A"/>
    <w:rsid w:val="00FA1B76"/>
    <w:rsid w:val="00FA1D77"/>
    <w:rsid w:val="00FA1D8D"/>
    <w:rsid w:val="00FA21B7"/>
    <w:rsid w:val="00FA4B8A"/>
    <w:rsid w:val="00FB0649"/>
    <w:rsid w:val="00FB0A32"/>
    <w:rsid w:val="00FB12CF"/>
    <w:rsid w:val="00FB2725"/>
    <w:rsid w:val="00FB3FD5"/>
    <w:rsid w:val="00FB506F"/>
    <w:rsid w:val="00FB6630"/>
    <w:rsid w:val="00FB7DB3"/>
    <w:rsid w:val="00FC04E0"/>
    <w:rsid w:val="00FC1466"/>
    <w:rsid w:val="00FC2BC4"/>
    <w:rsid w:val="00FC391D"/>
    <w:rsid w:val="00FC447F"/>
    <w:rsid w:val="00FC4E6F"/>
    <w:rsid w:val="00FC6078"/>
    <w:rsid w:val="00FC6580"/>
    <w:rsid w:val="00FC6A84"/>
    <w:rsid w:val="00FD000C"/>
    <w:rsid w:val="00FD1691"/>
    <w:rsid w:val="00FD1C67"/>
    <w:rsid w:val="00FD225A"/>
    <w:rsid w:val="00FD36C4"/>
    <w:rsid w:val="00FD4467"/>
    <w:rsid w:val="00FD6C50"/>
    <w:rsid w:val="00FD6FDD"/>
    <w:rsid w:val="00FD7A94"/>
    <w:rsid w:val="00FD7ACC"/>
    <w:rsid w:val="00FE10D2"/>
    <w:rsid w:val="00FE1695"/>
    <w:rsid w:val="00FE1973"/>
    <w:rsid w:val="00FE279F"/>
    <w:rsid w:val="00FE3016"/>
    <w:rsid w:val="00FE3750"/>
    <w:rsid w:val="00FE3772"/>
    <w:rsid w:val="00FE4D57"/>
    <w:rsid w:val="00FE4F34"/>
    <w:rsid w:val="00FE5B3F"/>
    <w:rsid w:val="00FE7936"/>
    <w:rsid w:val="00FF0244"/>
    <w:rsid w:val="00FF16FD"/>
    <w:rsid w:val="00FF27A4"/>
    <w:rsid w:val="00FF2E62"/>
    <w:rsid w:val="00FF2E88"/>
    <w:rsid w:val="00FF37FF"/>
    <w:rsid w:val="00FF3B1D"/>
    <w:rsid w:val="00FF41A9"/>
    <w:rsid w:val="00FF46D6"/>
    <w:rsid w:val="00FF4860"/>
    <w:rsid w:val="00FF535C"/>
    <w:rsid w:val="00FF59B6"/>
    <w:rsid w:val="012C4892"/>
    <w:rsid w:val="01544D3F"/>
    <w:rsid w:val="01E81837"/>
    <w:rsid w:val="02085A74"/>
    <w:rsid w:val="022B3B2C"/>
    <w:rsid w:val="0266739A"/>
    <w:rsid w:val="028D7A1B"/>
    <w:rsid w:val="02D53649"/>
    <w:rsid w:val="02F5104D"/>
    <w:rsid w:val="02F713F5"/>
    <w:rsid w:val="030E5672"/>
    <w:rsid w:val="03132A45"/>
    <w:rsid w:val="031F0779"/>
    <w:rsid w:val="0358266F"/>
    <w:rsid w:val="037953BA"/>
    <w:rsid w:val="03E51A7A"/>
    <w:rsid w:val="03F167EC"/>
    <w:rsid w:val="040B219A"/>
    <w:rsid w:val="046B45E1"/>
    <w:rsid w:val="046B5C96"/>
    <w:rsid w:val="047C2035"/>
    <w:rsid w:val="047F5831"/>
    <w:rsid w:val="04DA0131"/>
    <w:rsid w:val="05092D2F"/>
    <w:rsid w:val="050D1E45"/>
    <w:rsid w:val="05223854"/>
    <w:rsid w:val="053D63B1"/>
    <w:rsid w:val="058B692E"/>
    <w:rsid w:val="059435ED"/>
    <w:rsid w:val="05BC3D49"/>
    <w:rsid w:val="05F44836"/>
    <w:rsid w:val="060C617F"/>
    <w:rsid w:val="06DA24DE"/>
    <w:rsid w:val="07387B77"/>
    <w:rsid w:val="07416BB0"/>
    <w:rsid w:val="074B3148"/>
    <w:rsid w:val="07592411"/>
    <w:rsid w:val="077F7C22"/>
    <w:rsid w:val="0805305C"/>
    <w:rsid w:val="08145F2C"/>
    <w:rsid w:val="08303BF7"/>
    <w:rsid w:val="08682E52"/>
    <w:rsid w:val="089E62C8"/>
    <w:rsid w:val="08F207E1"/>
    <w:rsid w:val="09504C20"/>
    <w:rsid w:val="09787ECF"/>
    <w:rsid w:val="09B371AA"/>
    <w:rsid w:val="0A0B28D6"/>
    <w:rsid w:val="0A2A2E24"/>
    <w:rsid w:val="0A2F6BF8"/>
    <w:rsid w:val="0A8420F1"/>
    <w:rsid w:val="0AA23F04"/>
    <w:rsid w:val="0AAF085F"/>
    <w:rsid w:val="0AD00382"/>
    <w:rsid w:val="0AFA70EE"/>
    <w:rsid w:val="0B1111C2"/>
    <w:rsid w:val="0BBD42CD"/>
    <w:rsid w:val="0BF85B91"/>
    <w:rsid w:val="0C2B51F4"/>
    <w:rsid w:val="0C4E6B49"/>
    <w:rsid w:val="0C5A2BE0"/>
    <w:rsid w:val="0C815BFC"/>
    <w:rsid w:val="0C8A1D17"/>
    <w:rsid w:val="0CC13752"/>
    <w:rsid w:val="0D0413A7"/>
    <w:rsid w:val="0D07282B"/>
    <w:rsid w:val="0D1D567E"/>
    <w:rsid w:val="0D304301"/>
    <w:rsid w:val="0D39764E"/>
    <w:rsid w:val="0E0479F3"/>
    <w:rsid w:val="0E494267"/>
    <w:rsid w:val="0E7C46D5"/>
    <w:rsid w:val="0E97099C"/>
    <w:rsid w:val="0EC8607A"/>
    <w:rsid w:val="0F0F7733"/>
    <w:rsid w:val="0F2A10DA"/>
    <w:rsid w:val="0F316BA5"/>
    <w:rsid w:val="0F5C131F"/>
    <w:rsid w:val="0F633F0C"/>
    <w:rsid w:val="0F884479"/>
    <w:rsid w:val="0FAB63A4"/>
    <w:rsid w:val="0FCA393E"/>
    <w:rsid w:val="0FE10391"/>
    <w:rsid w:val="0FE23EED"/>
    <w:rsid w:val="0FE444AF"/>
    <w:rsid w:val="10276393"/>
    <w:rsid w:val="102A74E1"/>
    <w:rsid w:val="10FE6AFF"/>
    <w:rsid w:val="110C7366"/>
    <w:rsid w:val="11245FCF"/>
    <w:rsid w:val="113A0B14"/>
    <w:rsid w:val="113E528B"/>
    <w:rsid w:val="11501DCD"/>
    <w:rsid w:val="117D59B7"/>
    <w:rsid w:val="12463D6D"/>
    <w:rsid w:val="124A31ED"/>
    <w:rsid w:val="124D41A2"/>
    <w:rsid w:val="12B51E4B"/>
    <w:rsid w:val="12B603AC"/>
    <w:rsid w:val="12DA2ECD"/>
    <w:rsid w:val="12EE42A5"/>
    <w:rsid w:val="12F81A8C"/>
    <w:rsid w:val="131A63D4"/>
    <w:rsid w:val="131C2B6E"/>
    <w:rsid w:val="132F4262"/>
    <w:rsid w:val="13A42650"/>
    <w:rsid w:val="13AE3AB1"/>
    <w:rsid w:val="148F4ABA"/>
    <w:rsid w:val="149036F9"/>
    <w:rsid w:val="14B44384"/>
    <w:rsid w:val="14CF6818"/>
    <w:rsid w:val="14E06500"/>
    <w:rsid w:val="14ED16D9"/>
    <w:rsid w:val="151D6621"/>
    <w:rsid w:val="154D3EB7"/>
    <w:rsid w:val="160E0CDB"/>
    <w:rsid w:val="1632737D"/>
    <w:rsid w:val="16FE4203"/>
    <w:rsid w:val="16FE44F2"/>
    <w:rsid w:val="175D1E95"/>
    <w:rsid w:val="177B2238"/>
    <w:rsid w:val="17C23135"/>
    <w:rsid w:val="182F7998"/>
    <w:rsid w:val="184215D6"/>
    <w:rsid w:val="191C1124"/>
    <w:rsid w:val="193C0FFD"/>
    <w:rsid w:val="194F4DC7"/>
    <w:rsid w:val="19720BF2"/>
    <w:rsid w:val="19DF4DC4"/>
    <w:rsid w:val="1A3A560D"/>
    <w:rsid w:val="1A601DBA"/>
    <w:rsid w:val="1A6D2399"/>
    <w:rsid w:val="1A7234D7"/>
    <w:rsid w:val="1B697CC4"/>
    <w:rsid w:val="1BF11428"/>
    <w:rsid w:val="1C4061AB"/>
    <w:rsid w:val="1C8A520C"/>
    <w:rsid w:val="1D061BC1"/>
    <w:rsid w:val="1D245D46"/>
    <w:rsid w:val="1DB51298"/>
    <w:rsid w:val="1DCB33B4"/>
    <w:rsid w:val="1DCC2030"/>
    <w:rsid w:val="1DD273F6"/>
    <w:rsid w:val="1E5D5CF0"/>
    <w:rsid w:val="1EDC1B7E"/>
    <w:rsid w:val="1EE96311"/>
    <w:rsid w:val="1EED161D"/>
    <w:rsid w:val="1F346F4E"/>
    <w:rsid w:val="1F416655"/>
    <w:rsid w:val="1FB56031"/>
    <w:rsid w:val="1FC472C8"/>
    <w:rsid w:val="20054B8E"/>
    <w:rsid w:val="201A7FB9"/>
    <w:rsid w:val="20302A6C"/>
    <w:rsid w:val="2030691B"/>
    <w:rsid w:val="20773967"/>
    <w:rsid w:val="210945F7"/>
    <w:rsid w:val="21103096"/>
    <w:rsid w:val="214241EA"/>
    <w:rsid w:val="21A80226"/>
    <w:rsid w:val="21D46E89"/>
    <w:rsid w:val="222A63DE"/>
    <w:rsid w:val="22415319"/>
    <w:rsid w:val="22484285"/>
    <w:rsid w:val="2267173B"/>
    <w:rsid w:val="229A6D5E"/>
    <w:rsid w:val="22A24793"/>
    <w:rsid w:val="22CD705D"/>
    <w:rsid w:val="22CD76C1"/>
    <w:rsid w:val="23216EB6"/>
    <w:rsid w:val="233F09E6"/>
    <w:rsid w:val="23731038"/>
    <w:rsid w:val="23C21C42"/>
    <w:rsid w:val="24AB5CDE"/>
    <w:rsid w:val="24EB0BA1"/>
    <w:rsid w:val="24FE58F8"/>
    <w:rsid w:val="252B00E7"/>
    <w:rsid w:val="25335F62"/>
    <w:rsid w:val="258D6545"/>
    <w:rsid w:val="25C61FC4"/>
    <w:rsid w:val="25EE413B"/>
    <w:rsid w:val="260A11B8"/>
    <w:rsid w:val="262116C7"/>
    <w:rsid w:val="26314F75"/>
    <w:rsid w:val="266D55C8"/>
    <w:rsid w:val="26A517EE"/>
    <w:rsid w:val="26BF0F4A"/>
    <w:rsid w:val="27204A32"/>
    <w:rsid w:val="27221192"/>
    <w:rsid w:val="27351C36"/>
    <w:rsid w:val="27787839"/>
    <w:rsid w:val="27802532"/>
    <w:rsid w:val="27A25674"/>
    <w:rsid w:val="27A6191F"/>
    <w:rsid w:val="28E468C6"/>
    <w:rsid w:val="295838BA"/>
    <w:rsid w:val="29672EFD"/>
    <w:rsid w:val="29C306CB"/>
    <w:rsid w:val="29CF0F80"/>
    <w:rsid w:val="2A046854"/>
    <w:rsid w:val="2A2E1478"/>
    <w:rsid w:val="2A681E7E"/>
    <w:rsid w:val="2A6A1428"/>
    <w:rsid w:val="2A900F79"/>
    <w:rsid w:val="2B031743"/>
    <w:rsid w:val="2B870EFA"/>
    <w:rsid w:val="2B8A0CF5"/>
    <w:rsid w:val="2BB077C7"/>
    <w:rsid w:val="2BC175AE"/>
    <w:rsid w:val="2BD26DCE"/>
    <w:rsid w:val="2C0764CD"/>
    <w:rsid w:val="2C2D6345"/>
    <w:rsid w:val="2C302B0C"/>
    <w:rsid w:val="2CB34FB9"/>
    <w:rsid w:val="2CBE75A5"/>
    <w:rsid w:val="2CC255D3"/>
    <w:rsid w:val="2CC819DC"/>
    <w:rsid w:val="2CE22C12"/>
    <w:rsid w:val="2CEF6AF8"/>
    <w:rsid w:val="2CF417FC"/>
    <w:rsid w:val="2CF957B1"/>
    <w:rsid w:val="2CFC4E40"/>
    <w:rsid w:val="2D8B7A19"/>
    <w:rsid w:val="2D8D538D"/>
    <w:rsid w:val="2D954940"/>
    <w:rsid w:val="2DA86F65"/>
    <w:rsid w:val="2DD51744"/>
    <w:rsid w:val="2DF4022F"/>
    <w:rsid w:val="2E513D66"/>
    <w:rsid w:val="2E5A5011"/>
    <w:rsid w:val="2F1A4E64"/>
    <w:rsid w:val="2F59133A"/>
    <w:rsid w:val="2F5A692A"/>
    <w:rsid w:val="2F6C14F6"/>
    <w:rsid w:val="2FAB67EF"/>
    <w:rsid w:val="2FEC422A"/>
    <w:rsid w:val="30784CE0"/>
    <w:rsid w:val="307C66D3"/>
    <w:rsid w:val="30A83725"/>
    <w:rsid w:val="30C8553B"/>
    <w:rsid w:val="30D8539C"/>
    <w:rsid w:val="314C3185"/>
    <w:rsid w:val="316934C5"/>
    <w:rsid w:val="317C7104"/>
    <w:rsid w:val="31C36CAE"/>
    <w:rsid w:val="31C56CB2"/>
    <w:rsid w:val="31E709C7"/>
    <w:rsid w:val="31FF3989"/>
    <w:rsid w:val="32180F75"/>
    <w:rsid w:val="324853E0"/>
    <w:rsid w:val="327F4EE1"/>
    <w:rsid w:val="32BA0086"/>
    <w:rsid w:val="32C45709"/>
    <w:rsid w:val="32DB61CB"/>
    <w:rsid w:val="331A4923"/>
    <w:rsid w:val="332C5EBA"/>
    <w:rsid w:val="337F7DA0"/>
    <w:rsid w:val="338200D0"/>
    <w:rsid w:val="338600C8"/>
    <w:rsid w:val="34172A96"/>
    <w:rsid w:val="34393A91"/>
    <w:rsid w:val="34543D81"/>
    <w:rsid w:val="34A976C7"/>
    <w:rsid w:val="34B04704"/>
    <w:rsid w:val="34CA473D"/>
    <w:rsid w:val="34F672E2"/>
    <w:rsid w:val="34FA7437"/>
    <w:rsid w:val="34FD1EFB"/>
    <w:rsid w:val="35050DFE"/>
    <w:rsid w:val="352A3430"/>
    <w:rsid w:val="366142D0"/>
    <w:rsid w:val="36AD6530"/>
    <w:rsid w:val="36C23854"/>
    <w:rsid w:val="36E52921"/>
    <w:rsid w:val="36E6577E"/>
    <w:rsid w:val="371312EB"/>
    <w:rsid w:val="37954057"/>
    <w:rsid w:val="37B326E9"/>
    <w:rsid w:val="37B6717E"/>
    <w:rsid w:val="37EB1660"/>
    <w:rsid w:val="38150F35"/>
    <w:rsid w:val="38272684"/>
    <w:rsid w:val="38377218"/>
    <w:rsid w:val="384C0CFA"/>
    <w:rsid w:val="388044B7"/>
    <w:rsid w:val="38A05409"/>
    <w:rsid w:val="38B31CEF"/>
    <w:rsid w:val="393918A7"/>
    <w:rsid w:val="394E4CAC"/>
    <w:rsid w:val="395D25AD"/>
    <w:rsid w:val="399003DF"/>
    <w:rsid w:val="39D04949"/>
    <w:rsid w:val="3A3B799C"/>
    <w:rsid w:val="3A450F65"/>
    <w:rsid w:val="3A891918"/>
    <w:rsid w:val="3AA15114"/>
    <w:rsid w:val="3AA36E0C"/>
    <w:rsid w:val="3ACA143D"/>
    <w:rsid w:val="3ADC7674"/>
    <w:rsid w:val="3AE37F6E"/>
    <w:rsid w:val="3B531BC2"/>
    <w:rsid w:val="3B54213D"/>
    <w:rsid w:val="3BEF6222"/>
    <w:rsid w:val="3C2C0064"/>
    <w:rsid w:val="3C327B0F"/>
    <w:rsid w:val="3C5E2C11"/>
    <w:rsid w:val="3C626C98"/>
    <w:rsid w:val="3C641664"/>
    <w:rsid w:val="3C7845BF"/>
    <w:rsid w:val="3CAD0F5F"/>
    <w:rsid w:val="3D107788"/>
    <w:rsid w:val="3D1F0490"/>
    <w:rsid w:val="3D5E4BB7"/>
    <w:rsid w:val="3DB7082E"/>
    <w:rsid w:val="3DBB0C2E"/>
    <w:rsid w:val="3DD019AC"/>
    <w:rsid w:val="3E1B0B27"/>
    <w:rsid w:val="3E314181"/>
    <w:rsid w:val="3E850D79"/>
    <w:rsid w:val="3E8E0410"/>
    <w:rsid w:val="3EAD5AD3"/>
    <w:rsid w:val="3ED00272"/>
    <w:rsid w:val="3F0575AF"/>
    <w:rsid w:val="3F134132"/>
    <w:rsid w:val="3F4C76A3"/>
    <w:rsid w:val="3F9D56EE"/>
    <w:rsid w:val="3FB872F5"/>
    <w:rsid w:val="3FC45C1A"/>
    <w:rsid w:val="3FED5CBD"/>
    <w:rsid w:val="40127797"/>
    <w:rsid w:val="40162224"/>
    <w:rsid w:val="4035101A"/>
    <w:rsid w:val="40503514"/>
    <w:rsid w:val="40607982"/>
    <w:rsid w:val="40B80630"/>
    <w:rsid w:val="40BA611C"/>
    <w:rsid w:val="40C767D8"/>
    <w:rsid w:val="410D66D2"/>
    <w:rsid w:val="413827B2"/>
    <w:rsid w:val="41410400"/>
    <w:rsid w:val="41810413"/>
    <w:rsid w:val="41A57E8B"/>
    <w:rsid w:val="41A76657"/>
    <w:rsid w:val="41B97DDE"/>
    <w:rsid w:val="41C93404"/>
    <w:rsid w:val="41D0609D"/>
    <w:rsid w:val="41F319C5"/>
    <w:rsid w:val="425E649E"/>
    <w:rsid w:val="426E14F9"/>
    <w:rsid w:val="42A22416"/>
    <w:rsid w:val="42C63D32"/>
    <w:rsid w:val="43325BBA"/>
    <w:rsid w:val="43387AF5"/>
    <w:rsid w:val="435C48EB"/>
    <w:rsid w:val="437103BB"/>
    <w:rsid w:val="43D61326"/>
    <w:rsid w:val="444C3942"/>
    <w:rsid w:val="44777BAC"/>
    <w:rsid w:val="44DC2954"/>
    <w:rsid w:val="452A04B2"/>
    <w:rsid w:val="4550714F"/>
    <w:rsid w:val="45B16E2A"/>
    <w:rsid w:val="45CA4EC3"/>
    <w:rsid w:val="45CB0AC8"/>
    <w:rsid w:val="461461DE"/>
    <w:rsid w:val="4618759B"/>
    <w:rsid w:val="46355139"/>
    <w:rsid w:val="46444603"/>
    <w:rsid w:val="468116D8"/>
    <w:rsid w:val="46826892"/>
    <w:rsid w:val="468911F5"/>
    <w:rsid w:val="46B80A48"/>
    <w:rsid w:val="46CA0C60"/>
    <w:rsid w:val="46D05EF1"/>
    <w:rsid w:val="470F1B9F"/>
    <w:rsid w:val="472F2F96"/>
    <w:rsid w:val="474B59AF"/>
    <w:rsid w:val="478A7BD2"/>
    <w:rsid w:val="47E1026C"/>
    <w:rsid w:val="482A31B9"/>
    <w:rsid w:val="484138E1"/>
    <w:rsid w:val="48493F16"/>
    <w:rsid w:val="484C0A53"/>
    <w:rsid w:val="485F2BA3"/>
    <w:rsid w:val="48654F29"/>
    <w:rsid w:val="49175E2C"/>
    <w:rsid w:val="49202883"/>
    <w:rsid w:val="492B138F"/>
    <w:rsid w:val="492F40D4"/>
    <w:rsid w:val="49361AC3"/>
    <w:rsid w:val="499D0FC0"/>
    <w:rsid w:val="49A46FFD"/>
    <w:rsid w:val="49AF7D97"/>
    <w:rsid w:val="49BC1DF6"/>
    <w:rsid w:val="49E53B72"/>
    <w:rsid w:val="49E86788"/>
    <w:rsid w:val="49EC39BF"/>
    <w:rsid w:val="4A2D1F2F"/>
    <w:rsid w:val="4A3F5AC2"/>
    <w:rsid w:val="4A4421ED"/>
    <w:rsid w:val="4A943F55"/>
    <w:rsid w:val="4AA52423"/>
    <w:rsid w:val="4AC61535"/>
    <w:rsid w:val="4B3976F5"/>
    <w:rsid w:val="4BAB7AB9"/>
    <w:rsid w:val="4BEE7F29"/>
    <w:rsid w:val="4C4F2A57"/>
    <w:rsid w:val="4C561A38"/>
    <w:rsid w:val="4D007940"/>
    <w:rsid w:val="4D0A0C82"/>
    <w:rsid w:val="4D1B3C3B"/>
    <w:rsid w:val="4D40142E"/>
    <w:rsid w:val="4D475088"/>
    <w:rsid w:val="4D632CC1"/>
    <w:rsid w:val="4D6C79D9"/>
    <w:rsid w:val="4D6D2AC4"/>
    <w:rsid w:val="4D7F5F1D"/>
    <w:rsid w:val="4D833834"/>
    <w:rsid w:val="4DAF4BBC"/>
    <w:rsid w:val="4DB32A82"/>
    <w:rsid w:val="4E2646A7"/>
    <w:rsid w:val="4F1557C3"/>
    <w:rsid w:val="4F655EFB"/>
    <w:rsid w:val="4FA57D5F"/>
    <w:rsid w:val="4FE56ABF"/>
    <w:rsid w:val="501D344F"/>
    <w:rsid w:val="501F3E94"/>
    <w:rsid w:val="50207069"/>
    <w:rsid w:val="50594473"/>
    <w:rsid w:val="506824D0"/>
    <w:rsid w:val="50C67D1F"/>
    <w:rsid w:val="51034092"/>
    <w:rsid w:val="511F5E54"/>
    <w:rsid w:val="51892694"/>
    <w:rsid w:val="51DF0E8D"/>
    <w:rsid w:val="522C4E01"/>
    <w:rsid w:val="528D22A6"/>
    <w:rsid w:val="52E32182"/>
    <w:rsid w:val="53271A94"/>
    <w:rsid w:val="53293247"/>
    <w:rsid w:val="53703657"/>
    <w:rsid w:val="53C476EF"/>
    <w:rsid w:val="53F65A75"/>
    <w:rsid w:val="541E0BC2"/>
    <w:rsid w:val="54C24D87"/>
    <w:rsid w:val="54C935F7"/>
    <w:rsid w:val="54D455CB"/>
    <w:rsid w:val="54D95DF6"/>
    <w:rsid w:val="54E510DA"/>
    <w:rsid w:val="5574799C"/>
    <w:rsid w:val="55755AF0"/>
    <w:rsid w:val="55876824"/>
    <w:rsid w:val="55BB689B"/>
    <w:rsid w:val="55DB0A8D"/>
    <w:rsid w:val="55EC7537"/>
    <w:rsid w:val="561E07CD"/>
    <w:rsid w:val="563174CD"/>
    <w:rsid w:val="56461DFA"/>
    <w:rsid w:val="565D22B8"/>
    <w:rsid w:val="566C7604"/>
    <w:rsid w:val="56794475"/>
    <w:rsid w:val="568413ED"/>
    <w:rsid w:val="56956C62"/>
    <w:rsid w:val="57174F05"/>
    <w:rsid w:val="57311366"/>
    <w:rsid w:val="57422CE4"/>
    <w:rsid w:val="57567442"/>
    <w:rsid w:val="577515F8"/>
    <w:rsid w:val="58C65180"/>
    <w:rsid w:val="58E311FC"/>
    <w:rsid w:val="59106A5F"/>
    <w:rsid w:val="598924FB"/>
    <w:rsid w:val="59B62177"/>
    <w:rsid w:val="59C02D86"/>
    <w:rsid w:val="59FA27B3"/>
    <w:rsid w:val="5A135D25"/>
    <w:rsid w:val="5A1D4B7D"/>
    <w:rsid w:val="5A49430F"/>
    <w:rsid w:val="5AB50FB4"/>
    <w:rsid w:val="5AC95CC9"/>
    <w:rsid w:val="5B282FEA"/>
    <w:rsid w:val="5B3F1C39"/>
    <w:rsid w:val="5B60730C"/>
    <w:rsid w:val="5BBA07C9"/>
    <w:rsid w:val="5C1243BD"/>
    <w:rsid w:val="5C2956E1"/>
    <w:rsid w:val="5C43565E"/>
    <w:rsid w:val="5C7C6B56"/>
    <w:rsid w:val="5CAF5CAD"/>
    <w:rsid w:val="5D171B55"/>
    <w:rsid w:val="5D2D50BE"/>
    <w:rsid w:val="5D2F5081"/>
    <w:rsid w:val="5D3615E8"/>
    <w:rsid w:val="5D6358F1"/>
    <w:rsid w:val="5DDF6CF0"/>
    <w:rsid w:val="5E152229"/>
    <w:rsid w:val="5E1D0E75"/>
    <w:rsid w:val="5E403002"/>
    <w:rsid w:val="5E802107"/>
    <w:rsid w:val="5E9332CA"/>
    <w:rsid w:val="5E964395"/>
    <w:rsid w:val="5E9D5148"/>
    <w:rsid w:val="5EC07CF9"/>
    <w:rsid w:val="5F2F1201"/>
    <w:rsid w:val="5F927A70"/>
    <w:rsid w:val="5FD26F88"/>
    <w:rsid w:val="5FD82B47"/>
    <w:rsid w:val="5FE07D05"/>
    <w:rsid w:val="5FF55398"/>
    <w:rsid w:val="60233C58"/>
    <w:rsid w:val="60326AC6"/>
    <w:rsid w:val="60B80427"/>
    <w:rsid w:val="60D46219"/>
    <w:rsid w:val="60D836F8"/>
    <w:rsid w:val="60FA74AD"/>
    <w:rsid w:val="615C4186"/>
    <w:rsid w:val="617F6492"/>
    <w:rsid w:val="61AF5319"/>
    <w:rsid w:val="61F769E2"/>
    <w:rsid w:val="626C5C29"/>
    <w:rsid w:val="62D11FCF"/>
    <w:rsid w:val="62D62FED"/>
    <w:rsid w:val="633D3C8E"/>
    <w:rsid w:val="63857203"/>
    <w:rsid w:val="6386525C"/>
    <w:rsid w:val="63A22F12"/>
    <w:rsid w:val="64524B95"/>
    <w:rsid w:val="645F15BE"/>
    <w:rsid w:val="64954CEE"/>
    <w:rsid w:val="64A83ED4"/>
    <w:rsid w:val="65284A29"/>
    <w:rsid w:val="65672329"/>
    <w:rsid w:val="65AA7FE0"/>
    <w:rsid w:val="667A1E2E"/>
    <w:rsid w:val="66A2541D"/>
    <w:rsid w:val="671B4095"/>
    <w:rsid w:val="672D21D9"/>
    <w:rsid w:val="679C7788"/>
    <w:rsid w:val="679D5A51"/>
    <w:rsid w:val="67C733D1"/>
    <w:rsid w:val="68123C09"/>
    <w:rsid w:val="68377A53"/>
    <w:rsid w:val="68876A7F"/>
    <w:rsid w:val="68973387"/>
    <w:rsid w:val="6898383E"/>
    <w:rsid w:val="68CB4C80"/>
    <w:rsid w:val="68D64E7A"/>
    <w:rsid w:val="69165D9F"/>
    <w:rsid w:val="694F0F7D"/>
    <w:rsid w:val="69570E4E"/>
    <w:rsid w:val="698E2701"/>
    <w:rsid w:val="69A33EC2"/>
    <w:rsid w:val="69D717F8"/>
    <w:rsid w:val="6A2D17B5"/>
    <w:rsid w:val="6A8023D1"/>
    <w:rsid w:val="6AAB7F17"/>
    <w:rsid w:val="6AC525DF"/>
    <w:rsid w:val="6B0031C9"/>
    <w:rsid w:val="6B020ACF"/>
    <w:rsid w:val="6B1168D8"/>
    <w:rsid w:val="6B8D46F6"/>
    <w:rsid w:val="6BAE2EED"/>
    <w:rsid w:val="6BC67060"/>
    <w:rsid w:val="6BDE49D0"/>
    <w:rsid w:val="6C665B76"/>
    <w:rsid w:val="6C6971C1"/>
    <w:rsid w:val="6C996C07"/>
    <w:rsid w:val="6CCD29D7"/>
    <w:rsid w:val="6D4A5121"/>
    <w:rsid w:val="6D5B6DEF"/>
    <w:rsid w:val="6DB1149E"/>
    <w:rsid w:val="6DD87814"/>
    <w:rsid w:val="6DEC08D4"/>
    <w:rsid w:val="6DF3705C"/>
    <w:rsid w:val="6E000D24"/>
    <w:rsid w:val="6E055BCC"/>
    <w:rsid w:val="6E44079E"/>
    <w:rsid w:val="6E4C4C93"/>
    <w:rsid w:val="6E6D0CCB"/>
    <w:rsid w:val="6E714781"/>
    <w:rsid w:val="6EC60EB8"/>
    <w:rsid w:val="6ECE2F5A"/>
    <w:rsid w:val="6EDA6F78"/>
    <w:rsid w:val="6EEE4888"/>
    <w:rsid w:val="6F0D3387"/>
    <w:rsid w:val="6F2E3F2F"/>
    <w:rsid w:val="6F8B61A8"/>
    <w:rsid w:val="6F96389F"/>
    <w:rsid w:val="6FD51462"/>
    <w:rsid w:val="6FDD6635"/>
    <w:rsid w:val="6FDF7BB0"/>
    <w:rsid w:val="70275AC2"/>
    <w:rsid w:val="70B0717B"/>
    <w:rsid w:val="70C106C7"/>
    <w:rsid w:val="70C426A3"/>
    <w:rsid w:val="70C97526"/>
    <w:rsid w:val="70D355F3"/>
    <w:rsid w:val="711A05E5"/>
    <w:rsid w:val="713261EF"/>
    <w:rsid w:val="71661F73"/>
    <w:rsid w:val="71852D16"/>
    <w:rsid w:val="71C205BF"/>
    <w:rsid w:val="71C260D1"/>
    <w:rsid w:val="71F37403"/>
    <w:rsid w:val="720B35A2"/>
    <w:rsid w:val="724B519F"/>
    <w:rsid w:val="72CA13CE"/>
    <w:rsid w:val="72D967F6"/>
    <w:rsid w:val="72DA4206"/>
    <w:rsid w:val="73245576"/>
    <w:rsid w:val="735F0AE9"/>
    <w:rsid w:val="73E80B8A"/>
    <w:rsid w:val="73EC41AF"/>
    <w:rsid w:val="7476292C"/>
    <w:rsid w:val="757D5296"/>
    <w:rsid w:val="75B95966"/>
    <w:rsid w:val="75CE2D3D"/>
    <w:rsid w:val="764E3E6F"/>
    <w:rsid w:val="767234FF"/>
    <w:rsid w:val="7709476E"/>
    <w:rsid w:val="782413EA"/>
    <w:rsid w:val="78A731EB"/>
    <w:rsid w:val="793A3152"/>
    <w:rsid w:val="798C468A"/>
    <w:rsid w:val="7A104B83"/>
    <w:rsid w:val="7A81246A"/>
    <w:rsid w:val="7AB3061D"/>
    <w:rsid w:val="7AC15C10"/>
    <w:rsid w:val="7AD922F3"/>
    <w:rsid w:val="7ADC51DA"/>
    <w:rsid w:val="7B3E5B67"/>
    <w:rsid w:val="7BC56992"/>
    <w:rsid w:val="7BCE1C8C"/>
    <w:rsid w:val="7C016321"/>
    <w:rsid w:val="7C1D0DA3"/>
    <w:rsid w:val="7C6B34C2"/>
    <w:rsid w:val="7CE8599F"/>
    <w:rsid w:val="7CF80D9E"/>
    <w:rsid w:val="7D093C03"/>
    <w:rsid w:val="7D2F2473"/>
    <w:rsid w:val="7D4F6F4D"/>
    <w:rsid w:val="7D7F1095"/>
    <w:rsid w:val="7D88278E"/>
    <w:rsid w:val="7D897C7C"/>
    <w:rsid w:val="7DA54AEF"/>
    <w:rsid w:val="7DEC3B23"/>
    <w:rsid w:val="7E044343"/>
    <w:rsid w:val="7E0E5A6D"/>
    <w:rsid w:val="7E47451E"/>
    <w:rsid w:val="7E500F41"/>
    <w:rsid w:val="7F070AA8"/>
    <w:rsid w:val="7F1C5F19"/>
    <w:rsid w:val="7F237F04"/>
    <w:rsid w:val="7F9543F3"/>
    <w:rsid w:val="7FBE0F80"/>
    <w:rsid w:val="7FCF2A24"/>
    <w:rsid w:val="7FD361C3"/>
    <w:rsid w:val="7FED16E6"/>
    <w:rsid w:val="7FF06B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7"/>
    <w:qFormat/>
    <w:uiPriority w:val="0"/>
    <w:pPr>
      <w:keepNext/>
      <w:keepLines/>
      <w:spacing w:before="340" w:after="330" w:line="578" w:lineRule="auto"/>
      <w:outlineLvl w:val="0"/>
    </w:pPr>
    <w:rPr>
      <w:b/>
      <w:kern w:val="44"/>
      <w:sz w:val="32"/>
    </w:rPr>
  </w:style>
  <w:style w:type="paragraph" w:styleId="5">
    <w:name w:val="heading 2"/>
    <w:basedOn w:val="1"/>
    <w:next w:val="1"/>
    <w:link w:val="48"/>
    <w:qFormat/>
    <w:uiPriority w:val="0"/>
    <w:pPr>
      <w:keepNext/>
      <w:keepLines/>
      <w:spacing w:before="260" w:after="260" w:line="500" w:lineRule="exact"/>
      <w:outlineLvl w:val="1"/>
    </w:pPr>
    <w:rPr>
      <w:rFonts w:ascii="Arial" w:hAnsi="Arial" w:eastAsia="黑体"/>
      <w:b/>
      <w:sz w:val="28"/>
    </w:rPr>
  </w:style>
  <w:style w:type="paragraph" w:styleId="6">
    <w:name w:val="heading 3"/>
    <w:basedOn w:val="1"/>
    <w:next w:val="1"/>
    <w:link w:val="49"/>
    <w:qFormat/>
    <w:uiPriority w:val="0"/>
    <w:pPr>
      <w:keepNext/>
      <w:keepLines/>
      <w:spacing w:before="260" w:after="260" w:line="416" w:lineRule="auto"/>
      <w:outlineLvl w:val="2"/>
    </w:pPr>
    <w:rPr>
      <w:b/>
      <w:sz w:val="32"/>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51"/>
    <w:qFormat/>
    <w:uiPriority w:val="0"/>
    <w:pPr>
      <w:keepNext/>
      <w:keepLines/>
      <w:numPr>
        <w:ilvl w:val="4"/>
        <w:numId w:val="1"/>
      </w:numPr>
      <w:spacing w:before="280" w:after="290" w:line="376" w:lineRule="auto"/>
      <w:outlineLvl w:val="4"/>
    </w:pPr>
    <w:rPr>
      <w:b/>
      <w:sz w:val="28"/>
      <w:szCs w:val="24"/>
    </w:rPr>
  </w:style>
  <w:style w:type="paragraph" w:styleId="10">
    <w:name w:val="heading 6"/>
    <w:basedOn w:val="1"/>
    <w:next w:val="9"/>
    <w:link w:val="52"/>
    <w:qFormat/>
    <w:uiPriority w:val="0"/>
    <w:pPr>
      <w:keepNext/>
      <w:keepLines/>
      <w:numPr>
        <w:ilvl w:val="5"/>
        <w:numId w:val="1"/>
      </w:numPr>
      <w:spacing w:before="240" w:after="64" w:line="320" w:lineRule="auto"/>
      <w:outlineLvl w:val="5"/>
    </w:pPr>
    <w:rPr>
      <w:rFonts w:ascii="Arial" w:hAnsi="Arial" w:eastAsia="黑体"/>
      <w:b/>
      <w:sz w:val="24"/>
      <w:szCs w:val="24"/>
    </w:rPr>
  </w:style>
  <w:style w:type="paragraph" w:styleId="11">
    <w:name w:val="heading 7"/>
    <w:basedOn w:val="1"/>
    <w:next w:val="9"/>
    <w:link w:val="53"/>
    <w:qFormat/>
    <w:uiPriority w:val="0"/>
    <w:pPr>
      <w:keepNext/>
      <w:keepLines/>
      <w:numPr>
        <w:ilvl w:val="6"/>
        <w:numId w:val="1"/>
      </w:numPr>
      <w:spacing w:before="240" w:after="64" w:line="320" w:lineRule="auto"/>
      <w:outlineLvl w:val="6"/>
    </w:pPr>
    <w:rPr>
      <w:b/>
      <w:sz w:val="24"/>
      <w:szCs w:val="24"/>
    </w:rPr>
  </w:style>
  <w:style w:type="paragraph" w:styleId="12">
    <w:name w:val="heading 8"/>
    <w:basedOn w:val="1"/>
    <w:next w:val="9"/>
    <w:link w:val="54"/>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3">
    <w:name w:val="heading 9"/>
    <w:basedOn w:val="1"/>
    <w:next w:val="9"/>
    <w:qFormat/>
    <w:uiPriority w:val="0"/>
    <w:pPr>
      <w:keepNext/>
      <w:keepLines/>
      <w:numPr>
        <w:ilvl w:val="8"/>
        <w:numId w:val="1"/>
      </w:numPr>
      <w:spacing w:before="240" w:after="64" w:line="320" w:lineRule="auto"/>
      <w:outlineLvl w:val="8"/>
    </w:pPr>
    <w:rPr>
      <w:rFonts w:ascii="Arial" w:hAnsi="Arial" w:eastAsia="黑体"/>
      <w:szCs w:val="24"/>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rPr>
      <w:rFonts w:eastAsia="黑体"/>
      <w:sz w:val="36"/>
    </w:rPr>
  </w:style>
  <w:style w:type="paragraph" w:styleId="9">
    <w:name w:val="Normal Indent"/>
    <w:basedOn w:val="1"/>
    <w:qFormat/>
    <w:uiPriority w:val="0"/>
    <w:pPr>
      <w:ind w:firstLine="420"/>
    </w:pPr>
  </w:style>
  <w:style w:type="paragraph" w:styleId="14">
    <w:name w:val="Document Map"/>
    <w:basedOn w:val="1"/>
    <w:link w:val="55"/>
    <w:semiHidden/>
    <w:qFormat/>
    <w:uiPriority w:val="0"/>
    <w:pPr>
      <w:shd w:val="clear" w:color="auto" w:fill="000080"/>
    </w:pPr>
  </w:style>
  <w:style w:type="paragraph" w:styleId="15">
    <w:name w:val="toa heading"/>
    <w:basedOn w:val="1"/>
    <w:next w:val="1"/>
    <w:qFormat/>
    <w:uiPriority w:val="0"/>
    <w:pPr>
      <w:spacing w:before="120"/>
    </w:pPr>
    <w:rPr>
      <w:rFonts w:ascii="Cambria" w:hAnsi="Cambria"/>
      <w:sz w:val="24"/>
      <w:szCs w:val="24"/>
    </w:rPr>
  </w:style>
  <w:style w:type="paragraph" w:styleId="16">
    <w:name w:val="annotation text"/>
    <w:basedOn w:val="1"/>
    <w:link w:val="56"/>
    <w:semiHidden/>
    <w:qFormat/>
    <w:uiPriority w:val="0"/>
    <w:pPr>
      <w:widowControl/>
      <w:suppressAutoHyphens/>
      <w:spacing w:before="120"/>
    </w:pPr>
    <w:rPr>
      <w:sz w:val="18"/>
      <w:szCs w:val="18"/>
    </w:rPr>
  </w:style>
  <w:style w:type="paragraph" w:styleId="17">
    <w:name w:val="Body Text 3"/>
    <w:basedOn w:val="1"/>
    <w:qFormat/>
    <w:uiPriority w:val="0"/>
    <w:pPr>
      <w:spacing w:line="500" w:lineRule="exact"/>
    </w:pPr>
    <w:rPr>
      <w:b/>
      <w:bCs/>
      <w:sz w:val="24"/>
      <w:szCs w:val="24"/>
    </w:rPr>
  </w:style>
  <w:style w:type="paragraph" w:styleId="18">
    <w:name w:val="Body Text Indent"/>
    <w:basedOn w:val="1"/>
    <w:next w:val="7"/>
    <w:link w:val="57"/>
    <w:qFormat/>
    <w:uiPriority w:val="0"/>
    <w:pPr>
      <w:ind w:firstLine="630"/>
    </w:pPr>
    <w:rPr>
      <w:sz w:val="32"/>
    </w:rPr>
  </w:style>
  <w:style w:type="paragraph" w:styleId="19">
    <w:name w:val="Block Text"/>
    <w:basedOn w:val="1"/>
    <w:qFormat/>
    <w:uiPriority w:val="0"/>
    <w:pPr>
      <w:spacing w:line="400" w:lineRule="exact"/>
      <w:ind w:left="-359" w:leftChars="-171" w:right="-687" w:rightChars="-327" w:firstLine="720"/>
    </w:pPr>
    <w:rPr>
      <w:rFonts w:ascii="宋体" w:hAnsi="宋体"/>
      <w:sz w:val="28"/>
      <w:szCs w:val="24"/>
    </w:rPr>
  </w:style>
  <w:style w:type="paragraph" w:styleId="20">
    <w:name w:val="toc 3"/>
    <w:basedOn w:val="1"/>
    <w:next w:val="1"/>
    <w:semiHidden/>
    <w:qFormat/>
    <w:uiPriority w:val="0"/>
    <w:pPr>
      <w:tabs>
        <w:tab w:val="right" w:leader="dot" w:pos="8398"/>
      </w:tabs>
      <w:spacing w:line="400" w:lineRule="exact"/>
      <w:ind w:left="-2" w:leftChars="-1" w:firstLine="209" w:firstLineChars="87"/>
      <w:jc w:val="left"/>
    </w:pPr>
    <w:rPr>
      <w:rFonts w:ascii="宋体" w:hAnsi="宋体"/>
      <w:bCs/>
      <w:i/>
      <w:iCs/>
      <w:sz w:val="24"/>
      <w:szCs w:val="24"/>
    </w:rPr>
  </w:style>
  <w:style w:type="paragraph" w:styleId="21">
    <w:name w:val="Plain Text"/>
    <w:basedOn w:val="1"/>
    <w:link w:val="58"/>
    <w:qFormat/>
    <w:uiPriority w:val="0"/>
    <w:rPr>
      <w:rFonts w:ascii="宋体" w:hAnsi="Courier New" w:cs="Courier New"/>
      <w:szCs w:val="21"/>
    </w:rPr>
  </w:style>
  <w:style w:type="paragraph" w:styleId="22">
    <w:name w:val="Body Text Indent 2"/>
    <w:basedOn w:val="1"/>
    <w:qFormat/>
    <w:uiPriority w:val="0"/>
    <w:pPr>
      <w:ind w:firstLine="630"/>
    </w:pPr>
    <w:rPr>
      <w:sz w:val="32"/>
    </w:rPr>
  </w:style>
  <w:style w:type="paragraph" w:styleId="23">
    <w:name w:val="Balloon Text"/>
    <w:basedOn w:val="1"/>
    <w:link w:val="59"/>
    <w:unhideWhenUsed/>
    <w:qFormat/>
    <w:uiPriority w:val="0"/>
    <w:rPr>
      <w:b/>
      <w:sz w:val="32"/>
    </w:rPr>
  </w:style>
  <w:style w:type="paragraph" w:styleId="24">
    <w:name w:val="footer"/>
    <w:basedOn w:val="1"/>
    <w:link w:val="60"/>
    <w:qFormat/>
    <w:uiPriority w:val="0"/>
    <w:pPr>
      <w:tabs>
        <w:tab w:val="center" w:pos="4153"/>
        <w:tab w:val="right" w:pos="8306"/>
      </w:tabs>
      <w:snapToGrid w:val="0"/>
      <w:jc w:val="left"/>
    </w:pPr>
    <w:rPr>
      <w:sz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semiHidden/>
    <w:qFormat/>
    <w:uiPriority w:val="0"/>
    <w:pPr>
      <w:tabs>
        <w:tab w:val="right" w:leader="dot" w:pos="8398"/>
      </w:tabs>
      <w:spacing w:before="120" w:after="120"/>
      <w:ind w:firstLine="240" w:firstLineChars="100"/>
      <w:jc w:val="left"/>
    </w:pPr>
    <w:rPr>
      <w:rFonts w:ascii="宋体" w:hAnsi="宋体"/>
      <w:b/>
      <w:bCs/>
      <w:caps/>
      <w:sz w:val="24"/>
      <w:szCs w:val="24"/>
    </w:rPr>
  </w:style>
  <w:style w:type="paragraph" w:styleId="27">
    <w:name w:val="toc 4"/>
    <w:basedOn w:val="1"/>
    <w:next w:val="1"/>
    <w:semiHidden/>
    <w:qFormat/>
    <w:uiPriority w:val="0"/>
    <w:pPr>
      <w:ind w:left="630"/>
      <w:jc w:val="left"/>
    </w:pPr>
    <w:rPr>
      <w:sz w:val="18"/>
      <w:szCs w:val="18"/>
    </w:rPr>
  </w:style>
  <w:style w:type="paragraph" w:styleId="28">
    <w:name w:val="footnote text"/>
    <w:basedOn w:val="1"/>
    <w:qFormat/>
    <w:uiPriority w:val="0"/>
    <w:pPr>
      <w:snapToGrid w:val="0"/>
      <w:jc w:val="left"/>
    </w:pPr>
    <w:rPr>
      <w:sz w:val="18"/>
    </w:rPr>
  </w:style>
  <w:style w:type="paragraph" w:styleId="29">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30">
    <w:name w:val="table of figures"/>
    <w:basedOn w:val="4"/>
    <w:next w:val="4"/>
    <w:semiHidden/>
    <w:qFormat/>
    <w:uiPriority w:val="0"/>
    <w:pPr>
      <w:ind w:leftChars="200" w:hanging="200" w:hangingChars="200"/>
    </w:pPr>
    <w:rPr>
      <w:rFonts w:eastAsia="黑体"/>
      <w:bCs/>
      <w:sz w:val="24"/>
      <w:szCs w:val="44"/>
    </w:rPr>
  </w:style>
  <w:style w:type="paragraph" w:styleId="31">
    <w:name w:val="toc 2"/>
    <w:basedOn w:val="1"/>
    <w:next w:val="1"/>
    <w:semiHidden/>
    <w:qFormat/>
    <w:uiPriority w:val="0"/>
    <w:pPr>
      <w:tabs>
        <w:tab w:val="right" w:leader="dot" w:pos="8400"/>
      </w:tabs>
      <w:ind w:left="210"/>
      <w:jc w:val="left"/>
    </w:pPr>
    <w:rPr>
      <w:rFonts w:ascii="宋体" w:hAnsi="宋体"/>
      <w:b/>
      <w:bCs/>
      <w:smallCaps/>
      <w:sz w:val="24"/>
      <w:szCs w:val="24"/>
    </w:rPr>
  </w:style>
  <w:style w:type="paragraph" w:styleId="32">
    <w:name w:val="Body Text 2"/>
    <w:basedOn w:val="1"/>
    <w:qFormat/>
    <w:uiPriority w:val="0"/>
    <w:pPr>
      <w:spacing w:after="120" w:line="480" w:lineRule="auto"/>
    </w:pPr>
    <w:rPr>
      <w:szCs w:val="24"/>
    </w:rPr>
  </w:style>
  <w:style w:type="paragraph" w:styleId="3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34">
    <w:name w:val="Title"/>
    <w:basedOn w:val="1"/>
    <w:next w:val="1"/>
    <w:qFormat/>
    <w:uiPriority w:val="0"/>
    <w:pPr>
      <w:autoSpaceDE/>
      <w:autoSpaceDN/>
      <w:spacing w:before="240" w:after="60"/>
      <w:jc w:val="center"/>
      <w:outlineLvl w:val="0"/>
    </w:pPr>
    <w:rPr>
      <w:rFonts w:ascii="等线 Light" w:hAnsi="等线 Light" w:eastAsia="宋体" w:cs="Times New Roman"/>
      <w:b/>
      <w:bCs/>
      <w:kern w:val="2"/>
      <w:sz w:val="32"/>
      <w:szCs w:val="32"/>
      <w:lang w:bidi="ar-SA"/>
    </w:rPr>
  </w:style>
  <w:style w:type="paragraph" w:styleId="35">
    <w:name w:val="annotation subject"/>
    <w:basedOn w:val="16"/>
    <w:next w:val="16"/>
    <w:link w:val="62"/>
    <w:qFormat/>
    <w:uiPriority w:val="0"/>
    <w:pPr>
      <w:widowControl w:val="0"/>
      <w:suppressAutoHyphens w:val="0"/>
      <w:spacing w:before="0"/>
      <w:jc w:val="left"/>
    </w:pPr>
    <w:rPr>
      <w:b/>
      <w:bCs/>
      <w:sz w:val="21"/>
    </w:rPr>
  </w:style>
  <w:style w:type="paragraph" w:styleId="36">
    <w:name w:val="Body Text First Indent"/>
    <w:basedOn w:val="2"/>
    <w:qFormat/>
    <w:uiPriority w:val="0"/>
    <w:pPr>
      <w:ind w:firstLine="420" w:firstLineChars="100"/>
    </w:pPr>
  </w:style>
  <w:style w:type="paragraph" w:styleId="37">
    <w:name w:val="Body Text First Indent 2"/>
    <w:basedOn w:val="18"/>
    <w:next w:val="9"/>
    <w:qFormat/>
    <w:uiPriority w:val="0"/>
    <w:pPr>
      <w:ind w:firstLine="420" w:firstLineChars="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qFormat/>
    <w:uiPriority w:val="0"/>
    <w:rPr>
      <w:i/>
      <w:iCs/>
    </w:rPr>
  </w:style>
  <w:style w:type="character" w:styleId="45">
    <w:name w:val="Hyperlink"/>
    <w:qFormat/>
    <w:uiPriority w:val="0"/>
    <w:rPr>
      <w:color w:val="0000FF"/>
      <w:u w:val="single"/>
    </w:rPr>
  </w:style>
  <w:style w:type="character" w:styleId="46">
    <w:name w:val="annotation reference"/>
    <w:qFormat/>
    <w:uiPriority w:val="0"/>
    <w:rPr>
      <w:sz w:val="21"/>
    </w:rPr>
  </w:style>
  <w:style w:type="character" w:customStyle="1" w:styleId="47">
    <w:name w:val="标题 1 Char"/>
    <w:link w:val="4"/>
    <w:qFormat/>
    <w:uiPriority w:val="0"/>
    <w:rPr>
      <w:rFonts w:eastAsia="宋体"/>
      <w:b/>
      <w:kern w:val="44"/>
      <w:sz w:val="32"/>
      <w:lang w:val="en-US" w:eastAsia="zh-CN" w:bidi="ar-SA"/>
    </w:rPr>
  </w:style>
  <w:style w:type="character" w:customStyle="1" w:styleId="48">
    <w:name w:val="标题 2 Char"/>
    <w:link w:val="5"/>
    <w:qFormat/>
    <w:uiPriority w:val="0"/>
    <w:rPr>
      <w:rFonts w:ascii="Arial" w:hAnsi="Arial" w:eastAsia="黑体"/>
      <w:b/>
      <w:kern w:val="2"/>
      <w:sz w:val="28"/>
      <w:lang w:val="en-US" w:eastAsia="zh-CN" w:bidi="ar-SA"/>
    </w:rPr>
  </w:style>
  <w:style w:type="character" w:customStyle="1" w:styleId="49">
    <w:name w:val="标题 3 Char"/>
    <w:link w:val="6"/>
    <w:qFormat/>
    <w:uiPriority w:val="0"/>
    <w:rPr>
      <w:rFonts w:eastAsia="宋体"/>
      <w:b/>
      <w:kern w:val="2"/>
      <w:sz w:val="32"/>
      <w:lang w:val="en-US" w:eastAsia="zh-CN" w:bidi="ar-SA"/>
    </w:rPr>
  </w:style>
  <w:style w:type="character" w:customStyle="1" w:styleId="50">
    <w:name w:val="标题 4 Char"/>
    <w:link w:val="7"/>
    <w:qFormat/>
    <w:uiPriority w:val="0"/>
    <w:rPr>
      <w:rFonts w:ascii="Arial" w:hAnsi="Arial" w:eastAsia="黑体"/>
      <w:b/>
      <w:bCs/>
      <w:kern w:val="2"/>
      <w:sz w:val="28"/>
      <w:szCs w:val="28"/>
      <w:lang w:val="en-US" w:eastAsia="zh-CN" w:bidi="ar-SA"/>
    </w:rPr>
  </w:style>
  <w:style w:type="character" w:customStyle="1" w:styleId="51">
    <w:name w:val="标题 5 Char"/>
    <w:link w:val="8"/>
    <w:qFormat/>
    <w:uiPriority w:val="0"/>
    <w:rPr>
      <w:rFonts w:eastAsia="宋体"/>
      <w:b/>
      <w:kern w:val="2"/>
      <w:sz w:val="28"/>
      <w:szCs w:val="24"/>
      <w:lang w:val="en-US" w:eastAsia="zh-CN" w:bidi="ar-SA"/>
    </w:rPr>
  </w:style>
  <w:style w:type="character" w:customStyle="1" w:styleId="52">
    <w:name w:val="标题 6 Char"/>
    <w:link w:val="10"/>
    <w:qFormat/>
    <w:uiPriority w:val="0"/>
    <w:rPr>
      <w:rFonts w:ascii="Arial" w:hAnsi="Arial" w:eastAsia="黑体"/>
      <w:b/>
      <w:kern w:val="2"/>
      <w:sz w:val="24"/>
      <w:szCs w:val="24"/>
      <w:lang w:val="en-US" w:eastAsia="zh-CN" w:bidi="ar-SA"/>
    </w:rPr>
  </w:style>
  <w:style w:type="character" w:customStyle="1" w:styleId="53">
    <w:name w:val="标题 7 Char"/>
    <w:link w:val="11"/>
    <w:qFormat/>
    <w:uiPriority w:val="0"/>
    <w:rPr>
      <w:rFonts w:eastAsia="宋体"/>
      <w:b/>
      <w:kern w:val="2"/>
      <w:sz w:val="24"/>
      <w:szCs w:val="24"/>
      <w:lang w:val="en-US" w:eastAsia="zh-CN" w:bidi="ar-SA"/>
    </w:rPr>
  </w:style>
  <w:style w:type="character" w:customStyle="1" w:styleId="54">
    <w:name w:val="标题 8 Char"/>
    <w:link w:val="12"/>
    <w:qFormat/>
    <w:uiPriority w:val="0"/>
    <w:rPr>
      <w:rFonts w:ascii="Arial" w:hAnsi="Arial" w:eastAsia="黑体"/>
      <w:kern w:val="2"/>
      <w:sz w:val="24"/>
      <w:szCs w:val="24"/>
      <w:lang w:val="en-US" w:eastAsia="zh-CN" w:bidi="ar-SA"/>
    </w:rPr>
  </w:style>
  <w:style w:type="character" w:customStyle="1" w:styleId="55">
    <w:name w:val="文档结构图 Char1"/>
    <w:link w:val="14"/>
    <w:semiHidden/>
    <w:qFormat/>
    <w:uiPriority w:val="0"/>
    <w:rPr>
      <w:rFonts w:eastAsia="宋体"/>
      <w:kern w:val="2"/>
      <w:sz w:val="21"/>
      <w:lang w:val="en-US" w:eastAsia="zh-CN" w:bidi="ar-SA"/>
    </w:rPr>
  </w:style>
  <w:style w:type="character" w:customStyle="1" w:styleId="56">
    <w:name w:val="批注文字 Char"/>
    <w:link w:val="16"/>
    <w:qFormat/>
    <w:uiPriority w:val="0"/>
    <w:rPr>
      <w:kern w:val="2"/>
      <w:sz w:val="18"/>
      <w:szCs w:val="18"/>
    </w:rPr>
  </w:style>
  <w:style w:type="character" w:customStyle="1" w:styleId="57">
    <w:name w:val="正文文本缩进 Char"/>
    <w:link w:val="18"/>
    <w:qFormat/>
    <w:uiPriority w:val="0"/>
    <w:rPr>
      <w:rFonts w:eastAsia="宋体"/>
      <w:kern w:val="2"/>
      <w:sz w:val="32"/>
      <w:lang w:val="en-US" w:eastAsia="zh-CN" w:bidi="ar-SA"/>
    </w:rPr>
  </w:style>
  <w:style w:type="character" w:customStyle="1" w:styleId="58">
    <w:name w:val="纯文本 Char1"/>
    <w:link w:val="21"/>
    <w:qFormat/>
    <w:uiPriority w:val="0"/>
    <w:rPr>
      <w:rFonts w:ascii="宋体" w:hAnsi="Courier New" w:eastAsia="宋体" w:cs="Courier New"/>
      <w:kern w:val="2"/>
      <w:sz w:val="21"/>
      <w:szCs w:val="21"/>
      <w:lang w:val="en-US" w:eastAsia="zh-CN" w:bidi="ar-SA"/>
    </w:rPr>
  </w:style>
  <w:style w:type="character" w:customStyle="1" w:styleId="59">
    <w:name w:val="批注框文本 Char"/>
    <w:link w:val="23"/>
    <w:qFormat/>
    <w:uiPriority w:val="0"/>
    <w:rPr>
      <w:rFonts w:eastAsia="宋体"/>
      <w:b/>
      <w:kern w:val="2"/>
      <w:sz w:val="32"/>
      <w:lang w:val="en-US" w:eastAsia="zh-CN" w:bidi="ar-SA"/>
    </w:rPr>
  </w:style>
  <w:style w:type="character" w:customStyle="1" w:styleId="60">
    <w:name w:val="页脚 Char"/>
    <w:link w:val="24"/>
    <w:qFormat/>
    <w:uiPriority w:val="0"/>
    <w:rPr>
      <w:rFonts w:eastAsia="宋体"/>
      <w:kern w:val="2"/>
      <w:sz w:val="18"/>
      <w:lang w:val="en-US" w:eastAsia="zh-CN" w:bidi="ar-SA"/>
    </w:rPr>
  </w:style>
  <w:style w:type="character" w:customStyle="1" w:styleId="61">
    <w:name w:val="页眉 Char"/>
    <w:link w:val="25"/>
    <w:qFormat/>
    <w:uiPriority w:val="0"/>
    <w:rPr>
      <w:rFonts w:eastAsia="宋体"/>
      <w:kern w:val="2"/>
      <w:sz w:val="18"/>
      <w:lang w:val="en-US" w:eastAsia="zh-CN" w:bidi="ar-SA"/>
    </w:rPr>
  </w:style>
  <w:style w:type="character" w:customStyle="1" w:styleId="62">
    <w:name w:val="批注主题 Char"/>
    <w:link w:val="35"/>
    <w:qFormat/>
    <w:uiPriority w:val="0"/>
    <w:rPr>
      <w:b/>
      <w:bCs/>
      <w:kern w:val="2"/>
      <w:sz w:val="21"/>
      <w:szCs w:val="18"/>
    </w:rPr>
  </w:style>
  <w:style w:type="character" w:customStyle="1" w:styleId="63">
    <w:name w:val="Char Char3"/>
    <w:qFormat/>
    <w:uiPriority w:val="0"/>
    <w:rPr>
      <w:sz w:val="18"/>
      <w:szCs w:val="18"/>
    </w:rPr>
  </w:style>
  <w:style w:type="character" w:customStyle="1" w:styleId="64">
    <w:name w:val="日期 Char"/>
    <w:link w:val="65"/>
    <w:qFormat/>
    <w:uiPriority w:val="0"/>
    <w:rPr>
      <w:rFonts w:eastAsia="黑体"/>
      <w:sz w:val="36"/>
      <w:lang w:bidi="ar-SA"/>
    </w:rPr>
  </w:style>
  <w:style w:type="paragraph" w:customStyle="1" w:styleId="65">
    <w:name w:val="Date"/>
    <w:basedOn w:val="1"/>
    <w:next w:val="1"/>
    <w:link w:val="64"/>
    <w:qFormat/>
    <w:uiPriority w:val="0"/>
    <w:rPr>
      <w:rFonts w:eastAsia="黑体"/>
      <w:kern w:val="0"/>
      <w:sz w:val="36"/>
    </w:rPr>
  </w:style>
  <w:style w:type="character" w:customStyle="1" w:styleId="66">
    <w:name w:val="maywed421"/>
    <w:qFormat/>
    <w:uiPriority w:val="0"/>
    <w:rPr>
      <w:color w:val="366FB6"/>
      <w:u w:val="none"/>
    </w:rPr>
  </w:style>
  <w:style w:type="character" w:customStyle="1" w:styleId="67">
    <w:name w:val="font51"/>
    <w:basedOn w:val="40"/>
    <w:qFormat/>
    <w:uiPriority w:val="0"/>
    <w:rPr>
      <w:rFonts w:hint="default" w:ascii="Times New Roman" w:hAnsi="Times New Roman" w:cs="Times New Roman"/>
      <w:color w:val="000000"/>
      <w:sz w:val="21"/>
      <w:szCs w:val="21"/>
      <w:u w:val="none"/>
    </w:rPr>
  </w:style>
  <w:style w:type="character" w:customStyle="1" w:styleId="68">
    <w:name w:val="正文文本 2 Char"/>
    <w:link w:val="69"/>
    <w:qFormat/>
    <w:uiPriority w:val="0"/>
    <w:rPr>
      <w:rFonts w:ascii="宋体" w:hAnsi="宋体" w:eastAsia="宋体"/>
      <w:kern w:val="2"/>
      <w:sz w:val="24"/>
      <w:lang w:val="en-US" w:eastAsia="zh-CN" w:bidi="ar-SA"/>
    </w:rPr>
  </w:style>
  <w:style w:type="paragraph" w:customStyle="1" w:styleId="69">
    <w:name w:val="Body Text 2"/>
    <w:basedOn w:val="1"/>
    <w:link w:val="68"/>
    <w:qFormat/>
    <w:uiPriority w:val="0"/>
    <w:pPr>
      <w:adjustRightInd w:val="0"/>
      <w:spacing w:line="300" w:lineRule="auto"/>
      <w:jc w:val="center"/>
      <w:textAlignment w:val="baseline"/>
    </w:pPr>
    <w:rPr>
      <w:rFonts w:ascii="宋体" w:hAnsi="宋体"/>
      <w:sz w:val="24"/>
    </w:rPr>
  </w:style>
  <w:style w:type="character" w:customStyle="1" w:styleId="70">
    <w:name w:val="正文文本缩进 2 Char"/>
    <w:link w:val="71"/>
    <w:qFormat/>
    <w:uiPriority w:val="0"/>
    <w:rPr>
      <w:rFonts w:eastAsia="宋体"/>
      <w:sz w:val="32"/>
      <w:lang w:bidi="ar-SA"/>
    </w:rPr>
  </w:style>
  <w:style w:type="paragraph" w:customStyle="1" w:styleId="71">
    <w:name w:val="Body Text Indent 2"/>
    <w:basedOn w:val="1"/>
    <w:link w:val="70"/>
    <w:qFormat/>
    <w:uiPriority w:val="0"/>
    <w:pPr>
      <w:ind w:firstLine="630"/>
    </w:pPr>
    <w:rPr>
      <w:kern w:val="0"/>
      <w:sz w:val="32"/>
    </w:rPr>
  </w:style>
  <w:style w:type="character" w:customStyle="1" w:styleId="72">
    <w:name w:val="纯文本 Char"/>
    <w:link w:val="73"/>
    <w:qFormat/>
    <w:uiPriority w:val="0"/>
    <w:rPr>
      <w:rFonts w:ascii="宋体" w:hAnsi="Courier New" w:eastAsia="宋体"/>
      <w:kern w:val="2"/>
      <w:sz w:val="21"/>
      <w:lang w:val="en-US" w:eastAsia="zh-CN" w:bidi="ar-SA"/>
    </w:rPr>
  </w:style>
  <w:style w:type="paragraph" w:customStyle="1" w:styleId="73">
    <w:name w:val="Plain Text"/>
    <w:basedOn w:val="1"/>
    <w:link w:val="72"/>
    <w:qFormat/>
    <w:uiPriority w:val="0"/>
    <w:pPr>
      <w:adjustRightInd w:val="0"/>
      <w:textAlignment w:val="baseline"/>
    </w:pPr>
    <w:rPr>
      <w:rFonts w:ascii="宋体" w:hAnsi="Courier New"/>
    </w:rPr>
  </w:style>
  <w:style w:type="character" w:customStyle="1" w:styleId="74">
    <w:name w:val="page number"/>
    <w:basedOn w:val="40"/>
    <w:qFormat/>
    <w:uiPriority w:val="0"/>
  </w:style>
  <w:style w:type="character" w:customStyle="1" w:styleId="75">
    <w:name w:val="ca-21"/>
    <w:qFormat/>
    <w:uiPriority w:val="0"/>
    <w:rPr>
      <w:rFonts w:hint="eastAsia" w:ascii="宋体" w:hAnsi="宋体" w:eastAsia="宋体"/>
      <w:sz w:val="32"/>
      <w:szCs w:val="32"/>
    </w:rPr>
  </w:style>
  <w:style w:type="character" w:customStyle="1" w:styleId="76">
    <w:name w:val="font81"/>
    <w:basedOn w:val="40"/>
    <w:qFormat/>
    <w:uiPriority w:val="0"/>
    <w:rPr>
      <w:rFonts w:hint="eastAsia" w:ascii="宋体" w:hAnsi="宋体" w:eastAsia="宋体" w:cs="宋体"/>
      <w:color w:val="000000"/>
      <w:sz w:val="21"/>
      <w:szCs w:val="21"/>
      <w:u w:val="none"/>
    </w:rPr>
  </w:style>
  <w:style w:type="character" w:customStyle="1" w:styleId="77">
    <w:name w:val="font91"/>
    <w:basedOn w:val="40"/>
    <w:qFormat/>
    <w:uiPriority w:val="0"/>
    <w:rPr>
      <w:rFonts w:hint="default" w:ascii="Times New Roman" w:hAnsi="Times New Roman" w:cs="Times New Roman"/>
      <w:color w:val="000000"/>
      <w:sz w:val="21"/>
      <w:szCs w:val="21"/>
      <w:u w:val="none"/>
      <w:vertAlign w:val="superscript"/>
    </w:rPr>
  </w:style>
  <w:style w:type="character" w:customStyle="1" w:styleId="78">
    <w:name w:val="font41"/>
    <w:basedOn w:val="40"/>
    <w:qFormat/>
    <w:uiPriority w:val="0"/>
    <w:rPr>
      <w:rFonts w:hint="eastAsia" w:ascii="宋体" w:hAnsi="宋体" w:eastAsia="宋体" w:cs="宋体"/>
      <w:color w:val="000000"/>
      <w:sz w:val="21"/>
      <w:szCs w:val="21"/>
      <w:u w:val="none"/>
    </w:rPr>
  </w:style>
  <w:style w:type="character" w:customStyle="1" w:styleId="79">
    <w:name w:val="ca-2"/>
    <w:basedOn w:val="40"/>
    <w:qFormat/>
    <w:uiPriority w:val="0"/>
  </w:style>
  <w:style w:type="character" w:customStyle="1" w:styleId="80">
    <w:name w:val="标题 3 Char Char Char"/>
    <w:qFormat/>
    <w:uiPriority w:val="0"/>
    <w:rPr>
      <w:rFonts w:eastAsia="宋体"/>
      <w:b/>
      <w:kern w:val="2"/>
      <w:sz w:val="32"/>
      <w:lang w:val="en-US" w:eastAsia="zh-CN" w:bidi="ar-SA"/>
    </w:rPr>
  </w:style>
  <w:style w:type="character" w:customStyle="1" w:styleId="81">
    <w:name w:val="font71"/>
    <w:basedOn w:val="40"/>
    <w:qFormat/>
    <w:uiPriority w:val="0"/>
    <w:rPr>
      <w:rFonts w:hint="default" w:ascii="Times New Roman" w:hAnsi="Times New Roman" w:cs="Times New Roman"/>
      <w:color w:val="000000"/>
      <w:sz w:val="21"/>
      <w:szCs w:val="21"/>
      <w:u w:val="none"/>
    </w:rPr>
  </w:style>
  <w:style w:type="character" w:customStyle="1" w:styleId="82">
    <w:name w:val="正文文本缩进 3 Char"/>
    <w:link w:val="83"/>
    <w:qFormat/>
    <w:uiPriority w:val="0"/>
    <w:rPr>
      <w:rFonts w:ascii="黑体" w:eastAsia="黑体"/>
      <w:sz w:val="30"/>
      <w:szCs w:val="28"/>
      <w:lang w:bidi="ar-SA"/>
    </w:rPr>
  </w:style>
  <w:style w:type="paragraph" w:customStyle="1" w:styleId="83">
    <w:name w:val="Body Text Indent 3"/>
    <w:basedOn w:val="1"/>
    <w:link w:val="82"/>
    <w:qFormat/>
    <w:uiPriority w:val="0"/>
    <w:pPr>
      <w:adjustRightInd w:val="0"/>
      <w:snapToGrid w:val="0"/>
      <w:spacing w:line="360" w:lineRule="auto"/>
      <w:ind w:firstLine="600" w:firstLineChars="200"/>
    </w:pPr>
    <w:rPr>
      <w:rFonts w:ascii="黑体" w:eastAsia="黑体"/>
      <w:kern w:val="0"/>
      <w:sz w:val="30"/>
      <w:szCs w:val="28"/>
    </w:rPr>
  </w:style>
  <w:style w:type="character" w:customStyle="1" w:styleId="84">
    <w:name w:val="question-title"/>
    <w:basedOn w:val="40"/>
    <w:qFormat/>
    <w:uiPriority w:val="0"/>
  </w:style>
  <w:style w:type="character" w:customStyle="1" w:styleId="85">
    <w:name w:val="ca-11"/>
    <w:qFormat/>
    <w:uiPriority w:val="0"/>
    <w:rPr>
      <w:rFonts w:hint="eastAsia" w:ascii="仿宋_GB2312" w:eastAsia="仿宋_GB2312"/>
      <w:sz w:val="32"/>
      <w:szCs w:val="32"/>
    </w:rPr>
  </w:style>
  <w:style w:type="character" w:customStyle="1" w:styleId="86">
    <w:name w:val="普通文字1 Char"/>
    <w:qFormat/>
    <w:uiPriority w:val="0"/>
    <w:rPr>
      <w:rFonts w:ascii="宋体" w:hAnsi="Courier New" w:eastAsia="宋体"/>
      <w:kern w:val="2"/>
      <w:sz w:val="21"/>
      <w:lang w:val="en-US" w:eastAsia="zh-CN" w:bidi="ar-SA"/>
    </w:rPr>
  </w:style>
  <w:style w:type="character" w:customStyle="1" w:styleId="87">
    <w:name w:val="正文首行缩进两字符 Char"/>
    <w:qFormat/>
    <w:uiPriority w:val="0"/>
    <w:rPr>
      <w:rFonts w:eastAsia="宋体"/>
      <w:kern w:val="2"/>
      <w:sz w:val="21"/>
      <w:szCs w:val="24"/>
      <w:lang w:val="en-US" w:eastAsia="zh-CN" w:bidi="ar-SA"/>
    </w:rPr>
  </w:style>
  <w:style w:type="character" w:customStyle="1" w:styleId="88">
    <w:name w:val="正文首行缩进 Char"/>
    <w:basedOn w:val="61"/>
    <w:link w:val="89"/>
    <w:qFormat/>
    <w:uiPriority w:val="0"/>
  </w:style>
  <w:style w:type="paragraph" w:customStyle="1" w:styleId="89">
    <w:name w:val="Body Text First Indent"/>
    <w:basedOn w:val="2"/>
    <w:link w:val="88"/>
    <w:qFormat/>
    <w:uiPriority w:val="0"/>
    <w:pPr>
      <w:ind w:firstLine="420" w:firstLineChars="100"/>
    </w:pPr>
    <w:rPr>
      <w:kern w:val="0"/>
      <w:sz w:val="20"/>
    </w:rPr>
  </w:style>
  <w:style w:type="character" w:customStyle="1" w:styleId="90">
    <w:name w:val=" Char Char6"/>
    <w:qFormat/>
    <w:uiPriority w:val="0"/>
    <w:rPr>
      <w:rFonts w:ascii="Times New Roman" w:hAnsi="Times New Roman" w:eastAsia="宋体" w:cs="Times New Roman"/>
      <w:b/>
      <w:bCs/>
      <w:kern w:val="44"/>
      <w:sz w:val="44"/>
      <w:szCs w:val="44"/>
    </w:rPr>
  </w:style>
  <w:style w:type="character" w:customStyle="1" w:styleId="91">
    <w:name w:val="Bullet Char Char"/>
    <w:link w:val="92"/>
    <w:qFormat/>
    <w:uiPriority w:val="0"/>
    <w:rPr>
      <w:rFonts w:ascii="Arial" w:hAnsi="Arial" w:eastAsia="宋体"/>
      <w:lang w:eastAsia="en-US" w:bidi="ar-SA"/>
    </w:rPr>
  </w:style>
  <w:style w:type="paragraph" w:customStyle="1" w:styleId="92">
    <w:name w:val="Bullet"/>
    <w:basedOn w:val="1"/>
    <w:link w:val="91"/>
    <w:qFormat/>
    <w:uiPriority w:val="0"/>
    <w:pPr>
      <w:widowControl/>
      <w:numPr>
        <w:ilvl w:val="0"/>
        <w:numId w:val="2"/>
      </w:numPr>
      <w:tabs>
        <w:tab w:val="left" w:pos="1667"/>
      </w:tabs>
      <w:adjustRightInd w:val="0"/>
      <w:spacing w:before="60" w:after="60" w:line="288" w:lineRule="auto"/>
    </w:pPr>
    <w:rPr>
      <w:rFonts w:ascii="Arial" w:hAnsi="Arial"/>
      <w:kern w:val="0"/>
      <w:sz w:val="20"/>
      <w:lang w:eastAsia="en-US"/>
    </w:rPr>
  </w:style>
  <w:style w:type="character" w:customStyle="1" w:styleId="93">
    <w:name w:val="文档结构图 Char"/>
    <w:link w:val="94"/>
    <w:qFormat/>
    <w:uiPriority w:val="0"/>
    <w:rPr>
      <w:rFonts w:eastAsia="宋体"/>
      <w:shd w:val="clear" w:color="auto" w:fill="000080"/>
      <w:lang w:bidi="ar-SA"/>
    </w:rPr>
  </w:style>
  <w:style w:type="paragraph" w:customStyle="1" w:styleId="94">
    <w:name w:val="Document Map"/>
    <w:basedOn w:val="1"/>
    <w:link w:val="93"/>
    <w:qFormat/>
    <w:uiPriority w:val="0"/>
    <w:pPr>
      <w:shd w:val="clear" w:color="auto" w:fill="000080"/>
    </w:pPr>
    <w:rPr>
      <w:kern w:val="0"/>
      <w:sz w:val="20"/>
      <w:shd w:val="clear" w:color="auto" w:fill="000080"/>
    </w:rPr>
  </w:style>
  <w:style w:type="character" w:customStyle="1" w:styleId="95">
    <w:name w:val="textnorm_chn1"/>
    <w:qFormat/>
    <w:uiPriority w:val="0"/>
    <w:rPr>
      <w:rFonts w:hint="default" w:ascii="Arial" w:hAnsi="Arial" w:cs="Arial"/>
      <w:color w:val="21254A"/>
      <w:sz w:val="22"/>
      <w:szCs w:val="22"/>
    </w:rPr>
  </w:style>
  <w:style w:type="character" w:customStyle="1" w:styleId="96">
    <w:name w:val="ca-01"/>
    <w:qFormat/>
    <w:uiPriority w:val="0"/>
    <w:rPr>
      <w:rFonts w:hint="eastAsia" w:ascii="仿宋_GB2312" w:eastAsia="仿宋_GB2312"/>
      <w:b/>
      <w:bCs/>
      <w:spacing w:val="-20"/>
      <w:sz w:val="44"/>
      <w:szCs w:val="44"/>
    </w:rPr>
  </w:style>
  <w:style w:type="character" w:customStyle="1" w:styleId="97">
    <w:name w:val="正文文本 3 Char"/>
    <w:link w:val="98"/>
    <w:qFormat/>
    <w:uiPriority w:val="0"/>
    <w:rPr>
      <w:rFonts w:eastAsia="宋体"/>
      <w:b/>
      <w:bCs/>
      <w:sz w:val="24"/>
      <w:szCs w:val="24"/>
      <w:lang w:bidi="ar-SA"/>
    </w:rPr>
  </w:style>
  <w:style w:type="paragraph" w:customStyle="1" w:styleId="98">
    <w:name w:val="Body Text 3"/>
    <w:basedOn w:val="1"/>
    <w:link w:val="97"/>
    <w:qFormat/>
    <w:uiPriority w:val="0"/>
    <w:pPr>
      <w:spacing w:line="500" w:lineRule="exact"/>
    </w:pPr>
    <w:rPr>
      <w:b/>
      <w:bCs/>
      <w:kern w:val="0"/>
      <w:sz w:val="24"/>
      <w:szCs w:val="24"/>
    </w:rPr>
  </w:style>
  <w:style w:type="character" w:customStyle="1" w:styleId="99">
    <w:name w:val="font111"/>
    <w:basedOn w:val="40"/>
    <w:qFormat/>
    <w:uiPriority w:val="0"/>
    <w:rPr>
      <w:rFonts w:hint="default" w:ascii="Times New Roman" w:hAnsi="Times New Roman" w:cs="Times New Roman"/>
      <w:color w:val="000000"/>
      <w:sz w:val="21"/>
      <w:szCs w:val="21"/>
      <w:u w:val="none"/>
    </w:rPr>
  </w:style>
  <w:style w:type="character" w:customStyle="1" w:styleId="100">
    <w:name w:val="annotation reference"/>
    <w:qFormat/>
    <w:uiPriority w:val="0"/>
    <w:rPr>
      <w:sz w:val="21"/>
    </w:rPr>
  </w:style>
  <w:style w:type="character" w:customStyle="1" w:styleId="101">
    <w:name w:val="正文文字首行缩进 Char"/>
    <w:qFormat/>
    <w:uiPriority w:val="0"/>
    <w:rPr>
      <w:rFonts w:eastAsia="宋体"/>
      <w:kern w:val="2"/>
      <w:sz w:val="32"/>
      <w:lang w:val="en-US" w:eastAsia="zh-CN" w:bidi="ar-SA"/>
    </w:rPr>
  </w:style>
  <w:style w:type="character" w:customStyle="1" w:styleId="102">
    <w:name w:val="正文首行缩进两字符 Char Char"/>
    <w:qFormat/>
    <w:uiPriority w:val="0"/>
    <w:rPr>
      <w:rFonts w:eastAsia="宋体"/>
      <w:kern w:val="2"/>
      <w:sz w:val="21"/>
      <w:szCs w:val="24"/>
      <w:lang w:val="en-US" w:eastAsia="zh-CN"/>
    </w:rPr>
  </w:style>
  <w:style w:type="character" w:customStyle="1" w:styleId="103">
    <w:name w:val="批注文字 Char1"/>
    <w:qFormat/>
    <w:uiPriority w:val="0"/>
    <w:rPr>
      <w:rFonts w:ascii="Times New Roman" w:hAnsi="Times New Roman" w:eastAsia="宋体" w:cs="Times New Roman"/>
      <w:szCs w:val="20"/>
    </w:rPr>
  </w:style>
  <w:style w:type="character" w:customStyle="1" w:styleId="104">
    <w:name w:val="font121"/>
    <w:basedOn w:val="40"/>
    <w:qFormat/>
    <w:uiPriority w:val="0"/>
    <w:rPr>
      <w:rFonts w:hint="eastAsia" w:ascii="宋体" w:hAnsi="宋体" w:eastAsia="宋体" w:cs="宋体"/>
      <w:color w:val="000000"/>
      <w:sz w:val="21"/>
      <w:szCs w:val="21"/>
      <w:u w:val="none"/>
    </w:rPr>
  </w:style>
  <w:style w:type="character" w:customStyle="1" w:styleId="105">
    <w:name w:val="unnamed31"/>
    <w:qFormat/>
    <w:uiPriority w:val="0"/>
    <w:rPr>
      <w:sz w:val="22"/>
      <w:szCs w:val="22"/>
    </w:rPr>
  </w:style>
  <w:style w:type="character" w:customStyle="1" w:styleId="106">
    <w:name w:val="Char Char5"/>
    <w:qFormat/>
    <w:uiPriority w:val="0"/>
    <w:rPr>
      <w:rFonts w:ascii="Cambria" w:hAnsi="Cambria" w:eastAsia="宋体" w:cs="Times New Roman"/>
      <w:b/>
      <w:bCs/>
      <w:sz w:val="32"/>
      <w:szCs w:val="32"/>
    </w:rPr>
  </w:style>
  <w:style w:type="character" w:customStyle="1" w:styleId="107">
    <w:name w:val="font61"/>
    <w:basedOn w:val="40"/>
    <w:qFormat/>
    <w:uiPriority w:val="0"/>
    <w:rPr>
      <w:rFonts w:hint="eastAsia" w:ascii="宋体" w:hAnsi="宋体" w:eastAsia="宋体" w:cs="宋体"/>
      <w:color w:val="000000"/>
      <w:sz w:val="21"/>
      <w:szCs w:val="21"/>
      <w:u w:val="none"/>
    </w:rPr>
  </w:style>
  <w:style w:type="character" w:customStyle="1" w:styleId="108">
    <w:name w:val=" Char Char13"/>
    <w:qFormat/>
    <w:uiPriority w:val="0"/>
    <w:rPr>
      <w:rFonts w:ascii="Arial" w:hAnsi="Arial" w:eastAsia="黑体" w:cs="Times New Roman"/>
      <w:b/>
      <w:sz w:val="28"/>
      <w:szCs w:val="20"/>
    </w:rPr>
  </w:style>
  <w:style w:type="character" w:customStyle="1" w:styleId="109">
    <w:name w:val=" Char Char14"/>
    <w:qFormat/>
    <w:uiPriority w:val="0"/>
    <w:rPr>
      <w:rFonts w:ascii="Times New Roman" w:hAnsi="Times New Roman" w:eastAsia="宋体" w:cs="Times New Roman"/>
      <w:b/>
      <w:kern w:val="44"/>
      <w:sz w:val="32"/>
      <w:szCs w:val="20"/>
    </w:rPr>
  </w:style>
  <w:style w:type="character" w:customStyle="1" w:styleId="110">
    <w:name w:val="font141"/>
    <w:basedOn w:val="40"/>
    <w:qFormat/>
    <w:uiPriority w:val="0"/>
    <w:rPr>
      <w:rFonts w:hint="default" w:ascii="Times New Roman" w:hAnsi="Times New Roman" w:cs="Times New Roman"/>
      <w:color w:val="000000"/>
      <w:sz w:val="21"/>
      <w:szCs w:val="21"/>
      <w:u w:val="none"/>
    </w:rPr>
  </w:style>
  <w:style w:type="character" w:customStyle="1" w:styleId="111">
    <w:name w:val="批注框文本 Char1"/>
    <w:qFormat/>
    <w:uiPriority w:val="0"/>
    <w:rPr>
      <w:rFonts w:ascii="Times New Roman" w:hAnsi="Times New Roman" w:eastAsia="宋体" w:cs="Times New Roman"/>
      <w:sz w:val="18"/>
      <w:szCs w:val="18"/>
    </w:rPr>
  </w:style>
  <w:style w:type="character" w:customStyle="1" w:styleId="112">
    <w:name w:val="Char Char6"/>
    <w:qFormat/>
    <w:uiPriority w:val="0"/>
    <w:rPr>
      <w:rFonts w:ascii="Times New Roman" w:hAnsi="Times New Roman" w:eastAsia="宋体" w:cs="Times New Roman"/>
      <w:b/>
      <w:bCs/>
      <w:kern w:val="44"/>
      <w:sz w:val="44"/>
      <w:szCs w:val="44"/>
    </w:rPr>
  </w:style>
  <w:style w:type="character" w:customStyle="1" w:styleId="113">
    <w:name w:val="正文文本缩进 Char1"/>
    <w:link w:val="114"/>
    <w:qFormat/>
    <w:uiPriority w:val="0"/>
    <w:rPr>
      <w:rFonts w:eastAsia="宋体"/>
      <w:sz w:val="32"/>
      <w:lang w:bidi="ar-SA"/>
    </w:rPr>
  </w:style>
  <w:style w:type="paragraph" w:customStyle="1" w:styleId="114">
    <w:name w:val="Body Text Indent"/>
    <w:basedOn w:val="1"/>
    <w:link w:val="113"/>
    <w:qFormat/>
    <w:uiPriority w:val="0"/>
    <w:pPr>
      <w:ind w:firstLine="630"/>
    </w:pPr>
    <w:rPr>
      <w:kern w:val="0"/>
      <w:sz w:val="32"/>
    </w:rPr>
  </w:style>
  <w:style w:type="character" w:customStyle="1" w:styleId="115">
    <w:name w:val="font21"/>
    <w:basedOn w:val="40"/>
    <w:qFormat/>
    <w:uiPriority w:val="0"/>
    <w:rPr>
      <w:rFonts w:hint="default" w:ascii="Times New Roman" w:hAnsi="Times New Roman" w:cs="Times New Roman"/>
      <w:color w:val="000000"/>
      <w:sz w:val="21"/>
      <w:szCs w:val="21"/>
      <w:u w:val="none"/>
    </w:rPr>
  </w:style>
  <w:style w:type="character" w:customStyle="1" w:styleId="116">
    <w:name w:val="font151"/>
    <w:basedOn w:val="40"/>
    <w:qFormat/>
    <w:uiPriority w:val="0"/>
    <w:rPr>
      <w:rFonts w:hint="eastAsia" w:ascii="宋体" w:hAnsi="宋体" w:eastAsia="宋体" w:cs="宋体"/>
      <w:color w:val="000000"/>
      <w:sz w:val="21"/>
      <w:szCs w:val="21"/>
      <w:u w:val="none"/>
    </w:rPr>
  </w:style>
  <w:style w:type="character" w:customStyle="1" w:styleId="117">
    <w:name w:val=" Char Char5"/>
    <w:qFormat/>
    <w:uiPriority w:val="0"/>
    <w:rPr>
      <w:rFonts w:ascii="Cambria" w:hAnsi="Cambria" w:eastAsia="宋体" w:cs="Times New Roman"/>
      <w:b/>
      <w:bCs/>
      <w:sz w:val="32"/>
      <w:szCs w:val="32"/>
    </w:rPr>
  </w:style>
  <w:style w:type="character" w:customStyle="1" w:styleId="118">
    <w:name w:val=" Char Char3"/>
    <w:qFormat/>
    <w:uiPriority w:val="0"/>
    <w:rPr>
      <w:sz w:val="18"/>
      <w:szCs w:val="18"/>
    </w:rPr>
  </w:style>
  <w:style w:type="paragraph" w:customStyle="1" w:styleId="119">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楷体" w:hAnsi="楷体" w:eastAsia="楷体" w:cs="宋体"/>
      <w:b/>
      <w:bCs/>
      <w:kern w:val="0"/>
      <w:sz w:val="20"/>
    </w:rPr>
  </w:style>
  <w:style w:type="paragraph" w:customStyle="1" w:styleId="120">
    <w:name w:val="没有缩进（为图形使用）"/>
    <w:basedOn w:val="1"/>
    <w:qFormat/>
    <w:uiPriority w:val="0"/>
    <w:pPr>
      <w:spacing w:before="120" w:after="120" w:line="360" w:lineRule="auto"/>
    </w:pPr>
    <w:rPr>
      <w:sz w:val="24"/>
    </w:rPr>
  </w:style>
  <w:style w:type="paragraph" w:customStyle="1" w:styleId="121">
    <w:name w:val="WPSOffice手动目录 2"/>
    <w:qFormat/>
    <w:uiPriority w:val="0"/>
    <w:pPr>
      <w:ind w:leftChars="200"/>
    </w:pPr>
    <w:rPr>
      <w:rFonts w:ascii="Times New Roman" w:hAnsi="Times New Roman" w:eastAsia="宋体" w:cs="Times New Roman"/>
      <w:sz w:val="20"/>
      <w:szCs w:val="20"/>
    </w:rPr>
  </w:style>
  <w:style w:type="paragraph" w:customStyle="1" w:styleId="122">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23">
    <w:name w:val=" Char2 Char Char Char"/>
    <w:basedOn w:val="1"/>
    <w:qFormat/>
    <w:uiPriority w:val="0"/>
    <w:rPr>
      <w:rFonts w:ascii="仿宋_GB2312" w:eastAsia="仿宋_GB2312"/>
      <w:b/>
      <w:sz w:val="32"/>
      <w:szCs w:val="32"/>
    </w:rPr>
  </w:style>
  <w:style w:type="paragraph" w:customStyle="1" w:styleId="124">
    <w:name w:val=" 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12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26">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27">
    <w:name w:val="WPSOffice手动目录 1"/>
    <w:qFormat/>
    <w:uiPriority w:val="0"/>
    <w:pPr>
      <w:ind w:leftChars="0"/>
    </w:pPr>
    <w:rPr>
      <w:rFonts w:ascii="Times New Roman" w:hAnsi="Times New Roman" w:eastAsia="宋体" w:cs="Times New Roman"/>
      <w:sz w:val="20"/>
      <w:szCs w:val="20"/>
    </w:rPr>
  </w:style>
  <w:style w:type="paragraph" w:customStyle="1" w:styleId="128">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12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30">
    <w:name w:val="xl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0"/>
    </w:rPr>
  </w:style>
  <w:style w:type="paragraph" w:customStyle="1" w:styleId="13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32">
    <w:name w:val="font7"/>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33">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34">
    <w:name w:val="Char Char Char Char Char Char Char Char Char Char"/>
    <w:basedOn w:val="1"/>
    <w:qFormat/>
    <w:uiPriority w:val="0"/>
    <w:pPr>
      <w:widowControl/>
      <w:spacing w:after="160" w:line="240" w:lineRule="exact"/>
      <w:jc w:val="left"/>
    </w:pPr>
    <w:rPr>
      <w:szCs w:val="24"/>
    </w:rPr>
  </w:style>
  <w:style w:type="paragraph" w:customStyle="1" w:styleId="135">
    <w:name w:val="xl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0"/>
    </w:rPr>
  </w:style>
  <w:style w:type="paragraph" w:customStyle="1" w:styleId="136">
    <w:name w:val="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137">
    <w:name w:val=" Char Char3 Char1 Char Char Char"/>
    <w:basedOn w:val="14"/>
    <w:qFormat/>
    <w:uiPriority w:val="0"/>
    <w:rPr>
      <w:rFonts w:ascii="Tahoma" w:hAnsi="Tahoma"/>
      <w:sz w:val="24"/>
      <w:szCs w:val="24"/>
    </w:rPr>
  </w:style>
  <w:style w:type="paragraph" w:customStyle="1" w:styleId="13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3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1">
    <w:name w:val="TableContent"/>
    <w:qFormat/>
    <w:uiPriority w:val="0"/>
    <w:pPr>
      <w:spacing w:before="40" w:after="40"/>
      <w:jc w:val="both"/>
    </w:pPr>
    <w:rPr>
      <w:rFonts w:ascii="Arial" w:hAnsi="Arial" w:eastAsia="宋体" w:cs="Times New Roman"/>
      <w:kern w:val="44"/>
      <w:sz w:val="18"/>
      <w:szCs w:val="44"/>
      <w:lang w:val="en-US" w:eastAsia="zh-CN" w:bidi="ar-SA"/>
    </w:rPr>
  </w:style>
  <w:style w:type="paragraph" w:customStyle="1" w:styleId="142">
    <w:name w:val=" Char Char1 Char Char Char Char Char Char Char"/>
    <w:basedOn w:val="14"/>
    <w:qFormat/>
    <w:uiPriority w:val="0"/>
    <w:rPr>
      <w:rFonts w:ascii="Tahoma" w:hAnsi="Tahoma"/>
      <w:sz w:val="24"/>
      <w:szCs w:val="24"/>
    </w:rPr>
  </w:style>
  <w:style w:type="paragraph" w:customStyle="1" w:styleId="14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44">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rPr>
  </w:style>
  <w:style w:type="paragraph" w:customStyle="1" w:styleId="145">
    <w:name w:val="xl2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rPr>
  </w:style>
  <w:style w:type="paragraph" w:customStyle="1" w:styleId="146">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47">
    <w:name w:val="纯文本1"/>
    <w:basedOn w:val="1"/>
    <w:qFormat/>
    <w:uiPriority w:val="0"/>
    <w:pPr>
      <w:adjustRightInd w:val="0"/>
      <w:textAlignment w:val="baseline"/>
    </w:pPr>
    <w:rPr>
      <w:rFonts w:ascii="宋体" w:hAnsi="Courier New"/>
    </w:rPr>
  </w:style>
  <w:style w:type="paragraph" w:customStyle="1" w:styleId="148">
    <w:name w:val="font9"/>
    <w:basedOn w:val="1"/>
    <w:qFormat/>
    <w:uiPriority w:val="0"/>
    <w:pPr>
      <w:widowControl/>
      <w:spacing w:before="100" w:beforeAutospacing="1" w:after="100" w:afterAutospacing="1"/>
      <w:jc w:val="left"/>
    </w:pPr>
    <w:rPr>
      <w:kern w:val="0"/>
      <w:sz w:val="20"/>
    </w:rPr>
  </w:style>
  <w:style w:type="paragraph" w:customStyle="1" w:styleId="14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0">
    <w:name w:val="Table Text"/>
    <w:basedOn w:val="1"/>
    <w:qFormat/>
    <w:uiPriority w:val="0"/>
    <w:pPr>
      <w:widowControl/>
      <w:spacing w:before="60" w:after="60"/>
      <w:jc w:val="left"/>
    </w:pPr>
    <w:rPr>
      <w:kern w:val="0"/>
      <w:szCs w:val="24"/>
    </w:rPr>
  </w:style>
  <w:style w:type="paragraph" w:customStyle="1" w:styleId="15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53">
    <w:name w:val="xl4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b/>
      <w:bCs/>
      <w:kern w:val="0"/>
      <w:sz w:val="20"/>
    </w:rPr>
  </w:style>
  <w:style w:type="paragraph" w:customStyle="1" w:styleId="154">
    <w:name w:val="默认段落字体 Para Char Char Char Char Char Char Char Char Char1 Char Char Char Char"/>
    <w:basedOn w:val="1"/>
    <w:qFormat/>
    <w:uiPriority w:val="0"/>
    <w:rPr>
      <w:rFonts w:ascii="Tahoma" w:hAnsi="Tahoma"/>
      <w:sz w:val="24"/>
    </w:rPr>
  </w:style>
  <w:style w:type="paragraph" w:customStyle="1" w:styleId="155">
    <w:name w:val="索引 11"/>
    <w:basedOn w:val="1"/>
    <w:next w:val="1"/>
    <w:qFormat/>
    <w:uiPriority w:val="0"/>
    <w:pPr>
      <w:spacing w:line="360" w:lineRule="auto"/>
    </w:pPr>
    <w:rPr>
      <w:rFonts w:ascii="仿宋_GB2312" w:eastAsia="仿宋_GB2312"/>
      <w:sz w:val="24"/>
      <w:szCs w:val="20"/>
    </w:rPr>
  </w:style>
  <w:style w:type="paragraph" w:customStyle="1" w:styleId="156">
    <w:name w:val="Char2 Char Char Char"/>
    <w:basedOn w:val="1"/>
    <w:qFormat/>
    <w:uiPriority w:val="0"/>
    <w:rPr>
      <w:rFonts w:ascii="仿宋_GB2312" w:eastAsia="仿宋_GB2312"/>
      <w:b/>
      <w:sz w:val="32"/>
      <w:szCs w:val="32"/>
    </w:rPr>
  </w:style>
  <w:style w:type="paragraph" w:customStyle="1" w:styleId="157">
    <w:name w:val="xl2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kern w:val="0"/>
      <w:sz w:val="20"/>
    </w:rPr>
  </w:style>
  <w:style w:type="paragraph" w:customStyle="1" w:styleId="158">
    <w:name w:val="表格"/>
    <w:basedOn w:val="1"/>
    <w:qFormat/>
    <w:uiPriority w:val="0"/>
    <w:pPr>
      <w:spacing w:line="400" w:lineRule="exact"/>
    </w:pPr>
    <w:rPr>
      <w:sz w:val="24"/>
      <w:szCs w:val="24"/>
    </w:rPr>
  </w:style>
  <w:style w:type="paragraph" w:customStyle="1" w:styleId="15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styleId="160">
    <w:name w:val="List Paragraph"/>
    <w:basedOn w:val="1"/>
    <w:qFormat/>
    <w:uiPriority w:val="0"/>
    <w:pPr>
      <w:ind w:firstLine="420" w:firstLineChars="200"/>
    </w:pPr>
    <w:rPr>
      <w:szCs w:val="24"/>
    </w:rPr>
  </w:style>
  <w:style w:type="paragraph" w:customStyle="1" w:styleId="161">
    <w:name w:val="WPS Plain"/>
    <w:qFormat/>
    <w:uiPriority w:val="0"/>
    <w:rPr>
      <w:rFonts w:ascii="Times New Roman" w:hAnsi="Times New Roman" w:eastAsia="宋体" w:cs="Times New Roman"/>
      <w:lang w:val="en-US" w:eastAsia="zh-CN" w:bidi="ar-SA"/>
    </w:rPr>
  </w:style>
  <w:style w:type="paragraph" w:customStyle="1" w:styleId="162">
    <w:name w:val="List Paragraph1"/>
    <w:basedOn w:val="1"/>
    <w:qFormat/>
    <w:uiPriority w:val="0"/>
    <w:pPr>
      <w:ind w:firstLine="420" w:firstLineChars="200"/>
    </w:pPr>
    <w:rPr>
      <w:szCs w:val="24"/>
    </w:rPr>
  </w:style>
  <w:style w:type="paragraph" w:customStyle="1" w:styleId="163">
    <w:name w:val=" Char Char Char"/>
    <w:basedOn w:val="14"/>
    <w:qFormat/>
    <w:uiPriority w:val="0"/>
    <w:rPr>
      <w:rFonts w:ascii="Tahoma" w:hAnsi="Tahoma"/>
      <w:sz w:val="24"/>
      <w:szCs w:val="24"/>
    </w:rPr>
  </w:style>
  <w:style w:type="paragraph" w:customStyle="1" w:styleId="164">
    <w:name w:val="Char Char Char Char Char Char1 Char"/>
    <w:basedOn w:val="94"/>
    <w:qFormat/>
    <w:uiPriority w:val="0"/>
    <w:rPr>
      <w:rFonts w:ascii="Tahoma" w:hAnsi="Tahoma"/>
      <w:sz w:val="24"/>
      <w:szCs w:val="24"/>
    </w:rPr>
  </w:style>
  <w:style w:type="paragraph" w:customStyle="1" w:styleId="165">
    <w:name w:val="xl2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
    <w:name w:val="Char Char1 Char Char Char Char Char Char Char"/>
    <w:basedOn w:val="94"/>
    <w:qFormat/>
    <w:uiPriority w:val="0"/>
    <w:rPr>
      <w:rFonts w:ascii="Tahoma" w:hAnsi="Tahoma"/>
      <w:sz w:val="24"/>
      <w:szCs w:val="24"/>
    </w:rPr>
  </w:style>
  <w:style w:type="paragraph" w:customStyle="1" w:styleId="168">
    <w:name w:val="table head"/>
    <w:basedOn w:val="1"/>
    <w:qFormat/>
    <w:uiPriority w:val="0"/>
    <w:pPr>
      <w:keepNext/>
      <w:keepLines/>
      <w:adjustRightInd w:val="0"/>
      <w:spacing w:line="312" w:lineRule="atLeast"/>
      <w:jc w:val="center"/>
      <w:textAlignment w:val="baseline"/>
    </w:pPr>
    <w:rPr>
      <w:b/>
      <w:kern w:val="0"/>
    </w:rPr>
  </w:style>
  <w:style w:type="paragraph" w:customStyle="1" w:styleId="169">
    <w:name w:val="plain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7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Normal Indent"/>
    <w:basedOn w:val="1"/>
    <w:qFormat/>
    <w:uiPriority w:val="0"/>
    <w:pPr>
      <w:ind w:firstLine="420"/>
    </w:pPr>
  </w:style>
  <w:style w:type="paragraph" w:customStyle="1" w:styleId="172">
    <w:name w:val=" Char Char Char 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173">
    <w:name w:val="(符号)三标题1.1"/>
    <w:basedOn w:val="1"/>
    <w:qFormat/>
    <w:uiPriority w:val="0"/>
    <w:pPr>
      <w:numPr>
        <w:ilvl w:val="0"/>
        <w:numId w:val="3"/>
      </w:numPr>
      <w:spacing w:before="140" w:after="140" w:line="500" w:lineRule="exact"/>
      <w:outlineLvl w:val="2"/>
    </w:pPr>
    <w:rPr>
      <w:rFonts w:ascii="楷体_GB2312" w:hAnsi="宋体" w:eastAsia="楷体_GB2312" w:cs="宋体"/>
      <w:b/>
      <w:bCs/>
      <w:sz w:val="28"/>
    </w:rPr>
  </w:style>
  <w:style w:type="paragraph" w:customStyle="1" w:styleId="174">
    <w:name w:val="文章正文"/>
    <w:basedOn w:val="1"/>
    <w:qFormat/>
    <w:uiPriority w:val="0"/>
    <w:pPr>
      <w:numPr>
        <w:ilvl w:val="1"/>
        <w:numId w:val="1"/>
      </w:numPr>
      <w:tabs>
        <w:tab w:val="left" w:pos="425"/>
      </w:tabs>
      <w:spacing w:beforeLines="50" w:afterLines="50" w:line="320" w:lineRule="exact"/>
      <w:ind w:left="0" w:firstLine="200" w:firstLineChars="200"/>
    </w:pPr>
    <w:rPr>
      <w:rFonts w:ascii="仿宋_GB2312" w:eastAsia="仿宋_GB2312"/>
      <w:sz w:val="28"/>
      <w:szCs w:val="24"/>
    </w:rPr>
  </w:style>
  <w:style w:type="paragraph" w:customStyle="1" w:styleId="175">
    <w:name w:val="Char1"/>
    <w:basedOn w:val="1"/>
    <w:qFormat/>
    <w:uiPriority w:val="0"/>
    <w:rPr>
      <w:szCs w:val="21"/>
    </w:rPr>
  </w:style>
  <w:style w:type="paragraph" w:customStyle="1" w:styleId="176">
    <w:name w:val="Char Char"/>
    <w:basedOn w:val="1"/>
    <w:qFormat/>
    <w:uiPriority w:val="0"/>
    <w:rPr>
      <w:rFonts w:ascii="Tahoma" w:hAnsi="Tahoma"/>
      <w:sz w:val="24"/>
    </w:rPr>
  </w:style>
  <w:style w:type="paragraph" w:customStyle="1" w:styleId="177">
    <w:name w:val="TableHeader"/>
    <w:qFormat/>
    <w:uiPriority w:val="0"/>
    <w:pPr>
      <w:spacing w:before="40" w:after="40"/>
      <w:jc w:val="center"/>
    </w:pPr>
    <w:rPr>
      <w:rFonts w:ascii="Arial" w:hAnsi="Arial" w:eastAsia="宋体" w:cs="Times New Roman"/>
      <w:b/>
      <w:bCs/>
      <w:kern w:val="44"/>
      <w:sz w:val="18"/>
      <w:szCs w:val="44"/>
      <w:lang w:val="en-US" w:eastAsia="zh-CN" w:bidi="ar-SA"/>
    </w:rPr>
  </w:style>
  <w:style w:type="paragraph" w:customStyle="1" w:styleId="178">
    <w:name w:val="Char Char Char Char"/>
    <w:basedOn w:val="1"/>
    <w:qFormat/>
    <w:uiPriority w:val="0"/>
    <w:pPr>
      <w:widowControl/>
      <w:spacing w:after="160" w:line="240" w:lineRule="exact"/>
      <w:jc w:val="left"/>
    </w:pPr>
    <w:rPr>
      <w:szCs w:val="24"/>
    </w:rPr>
  </w:style>
  <w:style w:type="paragraph" w:customStyle="1" w:styleId="179">
    <w:name w:val=" Char Char Char Char Char Char1 Char"/>
    <w:basedOn w:val="14"/>
    <w:qFormat/>
    <w:uiPriority w:val="0"/>
    <w:rPr>
      <w:rFonts w:ascii="Tahoma" w:hAnsi="Tahoma"/>
      <w:sz w:val="24"/>
      <w:szCs w:val="24"/>
    </w:rPr>
  </w:style>
  <w:style w:type="paragraph" w:customStyle="1" w:styleId="180">
    <w:name w:val="xl3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0"/>
    </w:rPr>
  </w:style>
  <w:style w:type="paragraph" w:customStyle="1" w:styleId="181">
    <w:name w:val="xl3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kern w:val="0"/>
      <w:sz w:val="20"/>
    </w:rPr>
  </w:style>
  <w:style w:type="paragraph" w:customStyle="1" w:styleId="182">
    <w:name w:val="xl3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83">
    <w:name w:val="xl3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84">
    <w:name w:val="table of figures"/>
    <w:basedOn w:val="4"/>
    <w:next w:val="4"/>
    <w:qFormat/>
    <w:uiPriority w:val="0"/>
    <w:pPr>
      <w:ind w:left="200" w:leftChars="200" w:hanging="200" w:hangingChars="200"/>
    </w:pPr>
    <w:rPr>
      <w:rFonts w:eastAsia="黑体"/>
      <w:bCs/>
      <w:sz w:val="24"/>
      <w:szCs w:val="44"/>
    </w:rPr>
  </w:style>
  <w:style w:type="paragraph" w:customStyle="1" w:styleId="185">
    <w:name w:val="xl3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86">
    <w:name w:val=" Char Char Char Char Char Char"/>
    <w:basedOn w:val="1"/>
    <w:qFormat/>
    <w:uiPriority w:val="0"/>
    <w:rPr>
      <w:rFonts w:ascii="Tahoma" w:hAnsi="Tahoma"/>
      <w:sz w:val="24"/>
    </w:rPr>
  </w:style>
  <w:style w:type="paragraph" w:customStyle="1" w:styleId="187">
    <w:name w:val="xl3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b/>
      <w:bCs/>
      <w:kern w:val="0"/>
      <w:sz w:val="20"/>
    </w:rPr>
  </w:style>
  <w:style w:type="paragraph" w:customStyle="1" w:styleId="189">
    <w:name w:val="xl3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楷体" w:hAnsi="楷体" w:eastAsia="楷体" w:cs="宋体"/>
      <w:b/>
      <w:bCs/>
      <w:kern w:val="0"/>
      <w:sz w:val="20"/>
    </w:rPr>
  </w:style>
  <w:style w:type="paragraph" w:customStyle="1" w:styleId="190">
    <w:name w:val="默认段落字体 Para Char Char Char Char Char Char Char Char Char Char Char Char Char Char Char Char Char Char Char"/>
    <w:basedOn w:val="1"/>
    <w:qFormat/>
    <w:uiPriority w:val="0"/>
    <w:rPr>
      <w:rFonts w:ascii="Tahoma" w:hAnsi="Tahoma"/>
      <w:sz w:val="24"/>
    </w:rPr>
  </w:style>
  <w:style w:type="paragraph" w:customStyle="1" w:styleId="191">
    <w:name w:val="Char Char Char"/>
    <w:basedOn w:val="14"/>
    <w:next w:val="6"/>
    <w:qFormat/>
    <w:uiPriority w:val="0"/>
    <w:pPr>
      <w:adjustRightInd w:val="0"/>
      <w:spacing w:line="600" w:lineRule="exact"/>
      <w:jc w:val="center"/>
      <w:outlineLvl w:val="2"/>
    </w:pPr>
    <w:rPr>
      <w:rFonts w:ascii="Tahoma" w:hAnsi="Tahoma"/>
      <w:b/>
      <w:sz w:val="28"/>
      <w:szCs w:val="28"/>
    </w:rPr>
  </w:style>
  <w:style w:type="paragraph" w:customStyle="1" w:styleId="192">
    <w:name w:val=" Char1"/>
    <w:basedOn w:val="1"/>
    <w:qFormat/>
    <w:uiPriority w:val="0"/>
    <w:rPr>
      <w:rFonts w:ascii="仿宋_GB2312" w:eastAsia="仿宋_GB2312"/>
      <w:b/>
      <w:sz w:val="32"/>
      <w:szCs w:val="32"/>
    </w:rPr>
  </w:style>
  <w:style w:type="paragraph" w:customStyle="1" w:styleId="19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rPr>
  </w:style>
  <w:style w:type="paragraph" w:customStyle="1" w:styleId="194">
    <w:name w:val="Block Text"/>
    <w:basedOn w:val="1"/>
    <w:qFormat/>
    <w:uiPriority w:val="0"/>
    <w:pPr>
      <w:spacing w:line="400" w:lineRule="exact"/>
      <w:ind w:left="-359" w:leftChars="-171" w:right="-687" w:rightChars="-327" w:firstLine="720"/>
    </w:pPr>
    <w:rPr>
      <w:rFonts w:ascii="宋体" w:hAnsi="宋体"/>
      <w:sz w:val="28"/>
      <w:szCs w:val="24"/>
    </w:rPr>
  </w:style>
  <w:style w:type="paragraph" w:customStyle="1" w:styleId="195">
    <w:name w:val="Char Char3 Char1 Char Char Char"/>
    <w:basedOn w:val="94"/>
    <w:qFormat/>
    <w:uiPriority w:val="0"/>
    <w:rPr>
      <w:rFonts w:ascii="Tahoma" w:hAnsi="Tahoma"/>
      <w:sz w:val="24"/>
      <w:szCs w:val="24"/>
    </w:rPr>
  </w:style>
  <w:style w:type="paragraph" w:customStyle="1" w:styleId="196">
    <w:name w:val="Char1 Char Char Char Char Char Char"/>
    <w:basedOn w:val="1"/>
    <w:qFormat/>
    <w:uiPriority w:val="0"/>
    <w:rPr>
      <w:rFonts w:ascii="Tahoma" w:hAnsi="Tahoma"/>
      <w:sz w:val="24"/>
    </w:rPr>
  </w:style>
  <w:style w:type="paragraph" w:customStyle="1" w:styleId="197">
    <w:name w:val="xl3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kern w:val="0"/>
      <w:sz w:val="20"/>
    </w:rPr>
  </w:style>
  <w:style w:type="paragraph" w:customStyle="1" w:styleId="198">
    <w:name w:val="4 Char"/>
    <w:basedOn w:val="1"/>
    <w:qFormat/>
    <w:uiPriority w:val="0"/>
    <w:rPr>
      <w:szCs w:val="24"/>
    </w:rPr>
  </w:style>
  <w:style w:type="paragraph" w:customStyle="1" w:styleId="199">
    <w:name w:val="font8"/>
    <w:basedOn w:val="1"/>
    <w:qFormat/>
    <w:uiPriority w:val="0"/>
    <w:pPr>
      <w:widowControl/>
      <w:spacing w:before="100" w:beforeAutospacing="1" w:after="100" w:afterAutospacing="1"/>
      <w:jc w:val="left"/>
    </w:pPr>
    <w:rPr>
      <w:rFonts w:ascii="楷体" w:hAnsi="楷体" w:eastAsia="楷体" w:cs="宋体"/>
      <w:b/>
      <w:bCs/>
      <w:kern w:val="0"/>
      <w:sz w:val="20"/>
    </w:rPr>
  </w:style>
  <w:style w:type="paragraph" w:customStyle="1" w:styleId="200">
    <w:name w:val="(符号)五标题1.1.1"/>
    <w:basedOn w:val="1"/>
    <w:qFormat/>
    <w:uiPriority w:val="0"/>
    <w:pPr>
      <w:numPr>
        <w:ilvl w:val="2"/>
        <w:numId w:val="3"/>
      </w:numPr>
      <w:spacing w:line="500" w:lineRule="exact"/>
    </w:pPr>
    <w:rPr>
      <w:rFonts w:ascii="宋体" w:hAnsi="宋体" w:cs="宋体"/>
      <w:color w:val="000000"/>
      <w:sz w:val="24"/>
    </w:rPr>
  </w:style>
  <w:style w:type="paragraph" w:customStyle="1" w:styleId="201">
    <w:name w:val="样式 首行缩进:  2 字符"/>
    <w:basedOn w:val="1"/>
    <w:qFormat/>
    <w:uiPriority w:val="0"/>
    <w:pPr>
      <w:spacing w:line="400" w:lineRule="exact"/>
      <w:ind w:firstLine="200" w:firstLineChars="200"/>
    </w:pPr>
    <w:rPr>
      <w:rFonts w:cs="宋体"/>
      <w:sz w:val="24"/>
      <w:szCs w:val="24"/>
    </w:rPr>
  </w:style>
  <w:style w:type="paragraph" w:customStyle="1" w:styleId="202">
    <w:name w:val="pa-1"/>
    <w:basedOn w:val="1"/>
    <w:qFormat/>
    <w:uiPriority w:val="0"/>
    <w:pPr>
      <w:widowControl/>
      <w:spacing w:line="360" w:lineRule="atLeast"/>
      <w:ind w:firstLine="640"/>
      <w:jc w:val="left"/>
    </w:pPr>
    <w:rPr>
      <w:rFonts w:ascii="宋体" w:hAnsi="宋体" w:cs="宋体"/>
      <w:kern w:val="0"/>
      <w:sz w:val="24"/>
      <w:szCs w:val="24"/>
    </w:rPr>
  </w:style>
  <w:style w:type="paragraph" w:customStyle="1" w:styleId="203">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Char Char Char Char Char Char"/>
    <w:basedOn w:val="1"/>
    <w:qFormat/>
    <w:uiPriority w:val="0"/>
    <w:rPr>
      <w:rFonts w:ascii="Tahoma" w:hAnsi="Tahoma"/>
      <w:sz w:val="24"/>
    </w:rPr>
  </w:style>
  <w:style w:type="paragraph" w:customStyle="1" w:styleId="205">
    <w:name w:val="正文缩进1"/>
    <w:basedOn w:val="1"/>
    <w:next w:val="1"/>
    <w:qFormat/>
    <w:uiPriority w:val="0"/>
    <w:pPr>
      <w:widowControl/>
      <w:ind w:firstLine="420"/>
    </w:pPr>
    <w:rPr>
      <w:color w:val="000000"/>
    </w:rPr>
  </w:style>
  <w:style w:type="paragraph" w:customStyle="1" w:styleId="206">
    <w:name w:val="pa-5"/>
    <w:basedOn w:val="1"/>
    <w:qFormat/>
    <w:uiPriority w:val="0"/>
    <w:pPr>
      <w:widowControl/>
      <w:spacing w:before="150" w:after="150"/>
      <w:jc w:val="left"/>
    </w:pPr>
    <w:rPr>
      <w:rFonts w:ascii="宋体" w:hAnsi="宋体" w:cs="宋体"/>
      <w:kern w:val="0"/>
      <w:sz w:val="24"/>
      <w:szCs w:val="24"/>
    </w:rPr>
  </w:style>
  <w:style w:type="paragraph" w:customStyle="1" w:styleId="207">
    <w:name w:val="正文首行缩进两字符"/>
    <w:basedOn w:val="1"/>
    <w:qFormat/>
    <w:uiPriority w:val="0"/>
    <w:pPr>
      <w:spacing w:line="360" w:lineRule="auto"/>
      <w:ind w:firstLine="200" w:firstLineChars="200"/>
    </w:pPr>
    <w:rPr>
      <w:szCs w:val="24"/>
    </w:rPr>
  </w:style>
  <w:style w:type="paragraph" w:styleId="20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Heading 3"/>
    <w:basedOn w:val="210"/>
    <w:next w:val="210"/>
    <w:qFormat/>
    <w:uiPriority w:val="99"/>
    <w:pPr>
      <w:keepNext/>
      <w:keepLines/>
      <w:widowControl/>
      <w:spacing w:before="120" w:after="120" w:line="360" w:lineRule="auto"/>
      <w:jc w:val="center"/>
      <w:outlineLvl w:val="2"/>
    </w:pPr>
    <w:rPr>
      <w:b/>
      <w:kern w:val="0"/>
      <w:sz w:val="32"/>
      <w:szCs w:val="20"/>
    </w:rPr>
  </w:style>
  <w:style w:type="paragraph" w:customStyle="1" w:styleId="210">
    <w:name w:val="Normal_0"/>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样式 宋体 行距: 多倍行距 1.4 字行"/>
    <w:basedOn w:val="210"/>
    <w:qFormat/>
    <w:uiPriority w:val="99"/>
    <w:pPr>
      <w:adjustRightInd w:val="0"/>
      <w:snapToGrid w:val="0"/>
      <w:spacing w:line="400" w:lineRule="exact"/>
      <w:ind w:firstLine="200" w:firstLineChars="200"/>
    </w:pPr>
    <w:rPr>
      <w:rFonts w:ascii="宋体" w:hAnsi="宋体" w:cs="宋体"/>
      <w:szCs w:val="20"/>
    </w:rPr>
  </w:style>
  <w:style w:type="paragraph" w:customStyle="1" w:styleId="212">
    <w:name w:val="三级标题"/>
    <w:basedOn w:val="213"/>
    <w:next w:val="210"/>
    <w:qFormat/>
    <w:uiPriority w:val="99"/>
    <w:pPr>
      <w:spacing w:afterLines="50" w:line="240" w:lineRule="auto"/>
      <w:outlineLvl w:val="0"/>
    </w:pPr>
    <w:rPr>
      <w:rFonts w:cs="Times New Roman"/>
      <w:b/>
      <w:bCs w:val="0"/>
      <w:kern w:val="2"/>
      <w:szCs w:val="28"/>
    </w:rPr>
  </w:style>
  <w:style w:type="paragraph" w:customStyle="1" w:styleId="213">
    <w:name w:val="样式 标题 3 + (符号) 宋体 加粗 左 行距: 固定值 25 磅"/>
    <w:basedOn w:val="209"/>
    <w:qFormat/>
    <w:uiPriority w:val="99"/>
    <w:pPr>
      <w:widowControl w:val="0"/>
      <w:spacing w:before="0" w:after="0" w:line="500" w:lineRule="exact"/>
      <w:ind w:firstLine="480"/>
      <w:jc w:val="left"/>
    </w:pPr>
    <w:rPr>
      <w:rFonts w:ascii="宋体" w:hAnsi="宋体" w:cs="宋体"/>
      <w:b w:val="0"/>
      <w:bCs/>
      <w:kern w:val="0"/>
      <w:sz w:val="28"/>
      <w:szCs w:val="20"/>
    </w:rPr>
  </w:style>
  <w:style w:type="paragraph" w:customStyle="1" w:styleId="214">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215">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16">
    <w:name w:val="正文_1_0"/>
    <w:qFormat/>
    <w:uiPriority w:val="0"/>
    <w:pPr>
      <w:widowControl w:val="0"/>
      <w:jc w:val="both"/>
    </w:pPr>
    <w:rPr>
      <w:rFonts w:ascii="Calibri" w:hAnsi="Calibri" w:eastAsia="宋体" w:cs="Times New Roman"/>
      <w:lang w:val="en-US" w:eastAsia="zh-CN" w:bidi="ar-SA"/>
    </w:rPr>
  </w:style>
  <w:style w:type="paragraph" w:customStyle="1" w:styleId="21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18">
    <w:name w:val="Normal_14_0"/>
    <w:qFormat/>
    <w:uiPriority w:val="0"/>
    <w:rPr>
      <w:rFonts w:ascii="黑体" w:hAnsi="黑体" w:eastAsia="黑体" w:cs="Times New Roman"/>
      <w:b/>
      <w:sz w:val="32"/>
      <w:szCs w:val="24"/>
      <w:lang w:val="en-US" w:eastAsia="zh-CN" w:bidi="ar-SA"/>
    </w:rPr>
  </w:style>
  <w:style w:type="table" w:customStyle="1" w:styleId="219">
    <w:name w:val="网格型1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0">
    <w:name w:val="4正文"/>
    <w:basedOn w:val="1"/>
    <w:qFormat/>
    <w:uiPriority w:val="0"/>
    <w:pPr>
      <w:snapToGrid/>
      <w:spacing w:line="360" w:lineRule="auto"/>
      <w:ind w:firstLine="200" w:firstLineChars="200"/>
    </w:pPr>
    <w:rPr>
      <w:rFonts w:ascii="Times New Roman" w:hAnsi="Times New Roman"/>
    </w:rPr>
  </w:style>
  <w:style w:type="paragraph" w:customStyle="1" w:styleId="22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正文文本缩进_0"/>
    <w:basedOn w:val="223"/>
    <w:unhideWhenUsed/>
    <w:uiPriority w:val="99"/>
    <w:pPr>
      <w:spacing w:after="120"/>
      <w:ind w:left="420" w:leftChars="200"/>
    </w:pPr>
  </w:style>
  <w:style w:type="paragraph" w:customStyle="1" w:styleId="223">
    <w:name w:val="正文_1"/>
    <w:qFormat/>
    <w:uiPriority w:val="0"/>
    <w:pPr>
      <w:widowControl w:val="0"/>
    </w:pPr>
    <w:rPr>
      <w:rFonts w:ascii="等线" w:hAnsi="等线"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83681</Words>
  <Characters>88727</Characters>
  <Lines>177</Lines>
  <Paragraphs>49</Paragraphs>
  <TotalTime>16</TotalTime>
  <ScaleCrop>false</ScaleCrop>
  <LinksUpToDate>false</LinksUpToDate>
  <CharactersWithSpaces>92656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2019-01-28T03:10:00Z</dcterms:created>
  <dc:creator>Administrator</dc:creator>
  <cp:lastModifiedBy> </cp:lastModifiedBy>
  <cp:lastPrinted>2019-09-29T11:43:00Z</cp:lastPrinted>
  <dcterms:modified xsi:type="dcterms:W3CDTF">2022-12-09T02:15:14Z</dcterms:modified>
  <dc:title>招标编号：xxx政采招[20xxx] xxx号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24E87D098DD644249FD032E7944B3537</vt:lpwstr>
  </property>
</Properties>
</file>