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微软雅黑" w:hAnsi="微软雅黑" w:eastAsia="微软雅黑" w:cs="微软雅黑"/>
          <w:b/>
          <w:bCs/>
          <w:color w:val="auto"/>
          <w:sz w:val="44"/>
          <w:szCs w:val="44"/>
          <w:lang w:val="en-US" w:eastAsia="zh-CN"/>
        </w:rPr>
      </w:pPr>
      <w:r>
        <w:rPr>
          <w:rFonts w:hint="eastAsia" w:ascii="微软雅黑" w:hAnsi="微软雅黑" w:eastAsia="微软雅黑" w:cs="微软雅黑"/>
          <w:b/>
          <w:bCs/>
          <w:color w:val="auto"/>
          <w:sz w:val="44"/>
          <w:szCs w:val="44"/>
          <w:lang w:val="en-US" w:eastAsia="zh-CN"/>
        </w:rPr>
        <w:t xml:space="preserve"> </w:t>
      </w:r>
    </w:p>
    <w:p>
      <w:pPr>
        <w:rPr>
          <w:rFonts w:hint="eastAsia" w:ascii="微软雅黑" w:hAnsi="微软雅黑" w:eastAsia="微软雅黑" w:cs="微软雅黑"/>
          <w:color w:val="auto"/>
        </w:rPr>
      </w:pPr>
    </w:p>
    <w:p>
      <w:pPr>
        <w:spacing w:line="240" w:lineRule="atLeast"/>
        <w:jc w:val="both"/>
        <w:rPr>
          <w:rFonts w:hint="eastAsia" w:ascii="微软雅黑" w:hAnsi="微软雅黑" w:eastAsia="微软雅黑" w:cs="微软雅黑"/>
          <w:b/>
          <w:color w:val="auto"/>
          <w:sz w:val="52"/>
          <w:szCs w:val="52"/>
          <w:highlight w:val="none"/>
          <w:lang w:eastAsia="zh-CN"/>
        </w:rPr>
      </w:pPr>
    </w:p>
    <w:p>
      <w:pPr>
        <w:spacing w:line="240" w:lineRule="atLeast"/>
        <w:jc w:val="center"/>
        <w:rPr>
          <w:rFonts w:hint="eastAsia" w:ascii="微软雅黑" w:hAnsi="微软雅黑" w:eastAsia="微软雅黑" w:cs="微软雅黑"/>
          <w:b/>
          <w:color w:val="auto"/>
          <w:sz w:val="52"/>
          <w:szCs w:val="52"/>
          <w:highlight w:val="none"/>
          <w:lang w:eastAsia="zh-CN"/>
        </w:rPr>
      </w:pPr>
      <w:r>
        <w:rPr>
          <w:rFonts w:hint="eastAsia" w:ascii="微软雅黑" w:hAnsi="微软雅黑" w:eastAsia="微软雅黑" w:cs="微软雅黑"/>
          <w:b/>
          <w:color w:val="auto"/>
          <w:sz w:val="52"/>
          <w:szCs w:val="52"/>
          <w:highlight w:val="none"/>
          <w:lang w:eastAsia="zh-CN"/>
        </w:rPr>
        <w:t>喀什中医医院感染科医疗设备采购项目</w:t>
      </w:r>
    </w:p>
    <w:p>
      <w:pPr>
        <w:spacing w:line="240" w:lineRule="atLeast"/>
        <w:jc w:val="center"/>
        <w:rPr>
          <w:rFonts w:hint="eastAsia" w:ascii="微软雅黑" w:hAnsi="微软雅黑" w:eastAsia="微软雅黑" w:cs="微软雅黑"/>
          <w:bCs/>
          <w:color w:val="auto"/>
          <w:sz w:val="52"/>
          <w:szCs w:val="52"/>
          <w:highlight w:val="none"/>
          <w:lang w:eastAsia="zh-CN"/>
        </w:rPr>
      </w:pPr>
      <w:r>
        <w:rPr>
          <w:rFonts w:hint="eastAsia" w:ascii="微软雅黑" w:hAnsi="微软雅黑" w:eastAsia="微软雅黑" w:cs="微软雅黑"/>
          <w:b/>
          <w:color w:val="auto"/>
          <w:sz w:val="52"/>
          <w:szCs w:val="52"/>
          <w:highlight w:val="none"/>
        </w:rPr>
        <w:t>公开招标文件</w:t>
      </w:r>
    </w:p>
    <w:p>
      <w:pPr>
        <w:spacing w:line="240" w:lineRule="atLeast"/>
        <w:ind w:left="1080" w:leftChars="257" w:hanging="540"/>
        <w:jc w:val="center"/>
        <w:rPr>
          <w:rFonts w:hint="eastAsia" w:ascii="微软雅黑" w:hAnsi="微软雅黑" w:eastAsia="微软雅黑" w:cs="微软雅黑"/>
          <w:bCs/>
          <w:color w:val="auto"/>
          <w:sz w:val="52"/>
          <w:szCs w:val="52"/>
          <w:highlight w:val="none"/>
        </w:rPr>
      </w:pPr>
    </w:p>
    <w:p>
      <w:pPr>
        <w:spacing w:line="240" w:lineRule="atLeast"/>
        <w:ind w:left="1080" w:leftChars="257" w:hanging="540"/>
        <w:jc w:val="center"/>
        <w:rPr>
          <w:rFonts w:hint="eastAsia" w:ascii="微软雅黑" w:hAnsi="微软雅黑" w:eastAsia="微软雅黑" w:cs="微软雅黑"/>
          <w:bCs/>
          <w:color w:val="auto"/>
          <w:sz w:val="32"/>
          <w:szCs w:val="32"/>
          <w:highlight w:val="none"/>
        </w:rPr>
      </w:pPr>
    </w:p>
    <w:p>
      <w:pPr>
        <w:spacing w:line="240" w:lineRule="atLeast"/>
        <w:jc w:val="center"/>
        <w:rPr>
          <w:rFonts w:hint="eastAsia" w:ascii="微软雅黑" w:hAnsi="微软雅黑" w:eastAsia="微软雅黑" w:cs="微软雅黑"/>
          <w:b/>
          <w:color w:val="auto"/>
          <w:sz w:val="32"/>
          <w:szCs w:val="32"/>
          <w:highlight w:val="yellow"/>
          <w:lang w:eastAsia="zh-CN"/>
        </w:rPr>
      </w:pPr>
      <w:r>
        <w:rPr>
          <w:rFonts w:hint="eastAsia" w:ascii="微软雅黑" w:hAnsi="微软雅黑" w:eastAsia="微软雅黑" w:cs="微软雅黑"/>
          <w:bCs/>
          <w:color w:val="auto"/>
          <w:sz w:val="32"/>
          <w:szCs w:val="32"/>
          <w:highlight w:val="none"/>
        </w:rPr>
        <w:t>（项目编号：</w:t>
      </w:r>
      <w:r>
        <w:rPr>
          <w:rFonts w:hint="eastAsia" w:ascii="微软雅黑" w:hAnsi="微软雅黑" w:eastAsia="微软雅黑" w:cs="微软雅黑"/>
          <w:bCs/>
          <w:color w:val="auto"/>
          <w:sz w:val="32"/>
          <w:szCs w:val="32"/>
          <w:highlight w:val="none"/>
          <w:lang w:val="en-US" w:eastAsia="zh-CN"/>
        </w:rPr>
        <w:t>XJHSY[2022]-CG-003</w:t>
      </w:r>
      <w:r>
        <w:rPr>
          <w:rFonts w:hint="eastAsia" w:ascii="微软雅黑" w:hAnsi="微软雅黑" w:eastAsia="微软雅黑" w:cs="微软雅黑"/>
          <w:bCs/>
          <w:color w:val="auto"/>
          <w:sz w:val="32"/>
          <w:szCs w:val="32"/>
          <w:highlight w:val="none"/>
          <w:lang w:eastAsia="zh-CN"/>
        </w:rPr>
        <w:t>）</w:t>
      </w:r>
    </w:p>
    <w:p>
      <w:pPr>
        <w:spacing w:line="240" w:lineRule="atLeast"/>
        <w:ind w:left="1080" w:leftChars="257" w:hanging="540"/>
        <w:jc w:val="center"/>
        <w:rPr>
          <w:rFonts w:hint="eastAsia" w:ascii="微软雅黑" w:hAnsi="微软雅黑" w:eastAsia="微软雅黑" w:cs="微软雅黑"/>
          <w:b/>
          <w:color w:val="auto"/>
          <w:sz w:val="36"/>
          <w:szCs w:val="36"/>
          <w:highlight w:val="none"/>
        </w:rPr>
      </w:pPr>
    </w:p>
    <w:p>
      <w:pPr>
        <w:spacing w:line="240" w:lineRule="atLeast"/>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第一册</w:t>
      </w:r>
    </w:p>
    <w:p>
      <w:pPr>
        <w:spacing w:line="240" w:lineRule="atLeast"/>
        <w:ind w:left="1080" w:leftChars="257" w:hanging="540"/>
        <w:jc w:val="center"/>
        <w:rPr>
          <w:rFonts w:hint="eastAsia" w:ascii="微软雅黑" w:hAnsi="微软雅黑" w:eastAsia="微软雅黑" w:cs="微软雅黑"/>
          <w:b/>
          <w:color w:val="auto"/>
          <w:sz w:val="52"/>
          <w:highlight w:val="none"/>
        </w:rPr>
      </w:pPr>
    </w:p>
    <w:p>
      <w:pPr>
        <w:spacing w:line="360" w:lineRule="auto"/>
        <w:jc w:val="left"/>
        <w:rPr>
          <w:rFonts w:hint="eastAsia" w:ascii="微软雅黑" w:hAnsi="微软雅黑" w:eastAsia="微软雅黑" w:cs="微软雅黑"/>
          <w:color w:val="auto"/>
          <w:sz w:val="28"/>
          <w:szCs w:val="28"/>
          <w:highlight w:val="none"/>
        </w:rPr>
      </w:pPr>
    </w:p>
    <w:p>
      <w:pPr>
        <w:spacing w:line="360" w:lineRule="auto"/>
        <w:ind w:firstLine="837" w:firstLineChars="299"/>
        <w:jc w:val="left"/>
        <w:rPr>
          <w:rFonts w:hint="eastAsia" w:ascii="微软雅黑" w:hAnsi="微软雅黑" w:eastAsia="微软雅黑" w:cs="微软雅黑"/>
          <w:color w:val="auto"/>
          <w:sz w:val="28"/>
          <w:szCs w:val="28"/>
          <w:highlight w:val="yellow"/>
          <w:u w:val="single"/>
          <w:lang w:val="en-US" w:eastAsia="zh-CN"/>
        </w:rPr>
      </w:pPr>
      <w:r>
        <w:rPr>
          <w:rFonts w:hint="eastAsia" w:ascii="微软雅黑" w:hAnsi="微软雅黑" w:eastAsia="微软雅黑" w:cs="微软雅黑"/>
          <w:color w:val="auto"/>
          <w:sz w:val="28"/>
          <w:szCs w:val="28"/>
          <w:highlight w:val="none"/>
        </w:rPr>
        <w:t>采 购 人：</w:t>
      </w:r>
      <w:r>
        <w:rPr>
          <w:rFonts w:hint="eastAsia" w:ascii="微软雅黑" w:hAnsi="微软雅黑" w:eastAsia="微软雅黑" w:cs="微软雅黑"/>
          <w:color w:val="auto"/>
          <w:sz w:val="28"/>
          <w:szCs w:val="28"/>
          <w:highlight w:val="none"/>
          <w:lang w:eastAsia="zh-CN"/>
        </w:rPr>
        <w:t>喀什中医医院</w:t>
      </w:r>
    </w:p>
    <w:p>
      <w:pPr>
        <w:spacing w:line="600" w:lineRule="exact"/>
        <w:ind w:firstLine="837" w:firstLineChars="299"/>
        <w:rPr>
          <w:rFonts w:hint="eastAsia" w:ascii="微软雅黑" w:hAnsi="微软雅黑" w:eastAsia="微软雅黑" w:cs="微软雅黑"/>
          <w:color w:val="auto"/>
          <w:sz w:val="28"/>
          <w:szCs w:val="28"/>
          <w:highlight w:val="yellow"/>
          <w:lang w:eastAsia="zh-CN"/>
        </w:rPr>
      </w:pPr>
      <w:r>
        <w:rPr>
          <w:rFonts w:hint="eastAsia" w:ascii="微软雅黑" w:hAnsi="微软雅黑" w:eastAsia="微软雅黑" w:cs="微软雅黑"/>
          <w:color w:val="auto"/>
          <w:sz w:val="28"/>
          <w:szCs w:val="28"/>
          <w:highlight w:val="none"/>
        </w:rPr>
        <w:t>采购</w:t>
      </w:r>
      <w:r>
        <w:rPr>
          <w:rFonts w:hint="eastAsia" w:ascii="微软雅黑" w:hAnsi="微软雅黑" w:eastAsia="微软雅黑" w:cs="微软雅黑"/>
          <w:color w:val="auto"/>
          <w:sz w:val="28"/>
          <w:szCs w:val="28"/>
          <w:highlight w:val="none"/>
          <w:lang w:eastAsia="zh-CN"/>
        </w:rPr>
        <w:t>代理</w:t>
      </w:r>
      <w:r>
        <w:rPr>
          <w:rFonts w:hint="eastAsia" w:ascii="微软雅黑" w:hAnsi="微软雅黑" w:eastAsia="微软雅黑" w:cs="微软雅黑"/>
          <w:color w:val="auto"/>
          <w:sz w:val="28"/>
          <w:szCs w:val="28"/>
          <w:highlight w:val="none"/>
        </w:rPr>
        <w:t>机构：</w:t>
      </w:r>
      <w:r>
        <w:rPr>
          <w:rFonts w:hint="eastAsia" w:ascii="微软雅黑" w:hAnsi="微软雅黑" w:eastAsia="微软雅黑" w:cs="微软雅黑"/>
          <w:color w:val="auto"/>
          <w:sz w:val="28"/>
          <w:szCs w:val="28"/>
          <w:highlight w:val="none"/>
          <w:lang w:eastAsia="zh-CN"/>
        </w:rPr>
        <w:t>新疆合升源项目管理有限公司</w:t>
      </w:r>
    </w:p>
    <w:p>
      <w:pPr>
        <w:spacing w:line="600" w:lineRule="exact"/>
        <w:ind w:firstLine="837" w:firstLineChars="299"/>
        <w:rPr>
          <w:rFonts w:hint="eastAsia" w:ascii="微软雅黑" w:hAnsi="微软雅黑" w:eastAsia="微软雅黑" w:cs="微软雅黑"/>
          <w:color w:val="auto"/>
          <w:sz w:val="28"/>
          <w:szCs w:val="28"/>
          <w:highlight w:val="none"/>
          <w:u w:val="none"/>
          <w:lang w:val="en-US" w:eastAsia="zh-CN"/>
        </w:rPr>
      </w:pPr>
      <w:r>
        <w:rPr>
          <w:rFonts w:hint="eastAsia" w:ascii="微软雅黑" w:hAnsi="微软雅黑" w:eastAsia="微软雅黑" w:cs="微软雅黑"/>
          <w:color w:val="auto"/>
          <w:sz w:val="28"/>
          <w:szCs w:val="28"/>
          <w:highlight w:val="none"/>
        </w:rPr>
        <w:t>发出日期：</w:t>
      </w:r>
      <w:r>
        <w:rPr>
          <w:rFonts w:hint="eastAsia" w:ascii="微软雅黑" w:hAnsi="微软雅黑" w:eastAsia="微软雅黑" w:cs="微软雅黑"/>
          <w:color w:val="auto"/>
          <w:sz w:val="28"/>
          <w:szCs w:val="28"/>
          <w:highlight w:val="none"/>
          <w:u w:val="none"/>
        </w:rPr>
        <w:t>202</w:t>
      </w:r>
      <w:r>
        <w:rPr>
          <w:rFonts w:hint="eastAsia" w:ascii="微软雅黑" w:hAnsi="微软雅黑" w:eastAsia="微软雅黑" w:cs="微软雅黑"/>
          <w:color w:val="auto"/>
          <w:sz w:val="28"/>
          <w:szCs w:val="28"/>
          <w:highlight w:val="none"/>
          <w:u w:val="none"/>
          <w:lang w:val="en-US" w:eastAsia="zh-CN"/>
        </w:rPr>
        <w:t>2</w:t>
      </w:r>
      <w:r>
        <w:rPr>
          <w:rFonts w:hint="eastAsia" w:ascii="微软雅黑" w:hAnsi="微软雅黑" w:eastAsia="微软雅黑" w:cs="微软雅黑"/>
          <w:color w:val="auto"/>
          <w:sz w:val="28"/>
          <w:szCs w:val="28"/>
          <w:highlight w:val="none"/>
          <w:u w:val="none"/>
        </w:rPr>
        <w:t>年</w:t>
      </w:r>
      <w:r>
        <w:rPr>
          <w:rFonts w:hint="eastAsia" w:ascii="微软雅黑" w:hAnsi="微软雅黑" w:eastAsia="微软雅黑" w:cs="微软雅黑"/>
          <w:color w:val="auto"/>
          <w:sz w:val="28"/>
          <w:szCs w:val="28"/>
          <w:highlight w:val="none"/>
          <w:u w:val="none"/>
          <w:lang w:val="en-US" w:eastAsia="zh-CN"/>
        </w:rPr>
        <w:t>9</w:t>
      </w:r>
      <w:r>
        <w:rPr>
          <w:rFonts w:hint="eastAsia" w:ascii="微软雅黑" w:hAnsi="微软雅黑" w:eastAsia="微软雅黑" w:cs="微软雅黑"/>
          <w:color w:val="auto"/>
          <w:sz w:val="28"/>
          <w:szCs w:val="28"/>
          <w:highlight w:val="none"/>
          <w:u w:val="none"/>
        </w:rPr>
        <w:t>月</w:t>
      </w:r>
      <w:r>
        <w:rPr>
          <w:rFonts w:hint="eastAsia" w:ascii="微软雅黑" w:hAnsi="微软雅黑" w:eastAsia="微软雅黑" w:cs="微软雅黑"/>
          <w:color w:val="auto"/>
          <w:sz w:val="28"/>
          <w:szCs w:val="28"/>
          <w:highlight w:val="none"/>
          <w:u w:val="none"/>
          <w:lang w:val="en-US" w:eastAsia="zh-CN"/>
        </w:rPr>
        <w:t xml:space="preserve">  </w:t>
      </w:r>
    </w:p>
    <w:p>
      <w:pPr>
        <w:pStyle w:val="2"/>
        <w:rPr>
          <w:rFonts w:hint="eastAsia" w:ascii="微软雅黑" w:hAnsi="微软雅黑" w:eastAsia="微软雅黑" w:cs="微软雅黑"/>
          <w:color w:val="auto"/>
          <w:sz w:val="28"/>
          <w:szCs w:val="28"/>
          <w:highlight w:val="none"/>
          <w:u w:val="none"/>
          <w:lang w:val="en-US" w:eastAsia="zh-CN"/>
        </w:rPr>
      </w:pPr>
    </w:p>
    <w:p>
      <w:pPr>
        <w:rPr>
          <w:rFonts w:hint="eastAsia" w:ascii="微软雅黑" w:hAnsi="微软雅黑" w:eastAsia="微软雅黑" w:cs="微软雅黑"/>
          <w:color w:val="auto"/>
          <w:sz w:val="28"/>
          <w:szCs w:val="28"/>
          <w:highlight w:val="none"/>
          <w:u w:val="none"/>
          <w:lang w:val="en-US" w:eastAsia="zh-CN"/>
        </w:rPr>
      </w:pPr>
    </w:p>
    <w:p>
      <w:pPr>
        <w:pStyle w:val="2"/>
        <w:rPr>
          <w:rFonts w:hint="eastAsia" w:ascii="微软雅黑" w:hAnsi="微软雅黑" w:eastAsia="微软雅黑" w:cs="微软雅黑"/>
          <w:color w:val="auto"/>
          <w:sz w:val="28"/>
          <w:szCs w:val="28"/>
          <w:highlight w:val="none"/>
          <w:u w:val="none"/>
          <w:lang w:val="en-US" w:eastAsia="zh-CN"/>
        </w:rPr>
      </w:pPr>
    </w:p>
    <w:p>
      <w:pPr>
        <w:jc w:val="both"/>
        <w:rPr>
          <w:rFonts w:hint="eastAsia" w:ascii="微软雅黑" w:hAnsi="微软雅黑" w:eastAsia="微软雅黑" w:cs="微软雅黑"/>
          <w:b/>
          <w:bCs/>
          <w:color w:val="auto"/>
          <w:sz w:val="40"/>
          <w:szCs w:val="40"/>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目录</w:t>
      </w:r>
    </w:p>
    <w:p>
      <w:pPr>
        <w:pStyle w:val="22"/>
        <w:tabs>
          <w:tab w:val="right" w:leader="dot" w:pos="8311"/>
        </w:tabs>
      </w:pPr>
      <w:r>
        <w:rPr>
          <w:rFonts w:hint="eastAsia" w:ascii="微软雅黑" w:hAnsi="微软雅黑" w:eastAsia="微软雅黑" w:cs="微软雅黑"/>
          <w:color w:val="auto"/>
          <w:kern w:val="0"/>
          <w:sz w:val="28"/>
          <w:szCs w:val="28"/>
        </w:rPr>
        <w:fldChar w:fldCharType="begin"/>
      </w:r>
      <w:r>
        <w:rPr>
          <w:rFonts w:hint="eastAsia" w:ascii="微软雅黑" w:hAnsi="微软雅黑" w:eastAsia="微软雅黑" w:cs="微软雅黑"/>
          <w:color w:val="auto"/>
          <w:kern w:val="0"/>
          <w:sz w:val="28"/>
          <w:szCs w:val="28"/>
        </w:rPr>
        <w:instrText xml:space="preserve">TOC \o "1-2" \h \u </w:instrText>
      </w:r>
      <w:r>
        <w:rPr>
          <w:rFonts w:hint="eastAsia" w:ascii="微软雅黑" w:hAnsi="微软雅黑" w:eastAsia="微软雅黑" w:cs="微软雅黑"/>
          <w:color w:val="auto"/>
          <w:kern w:val="0"/>
          <w:sz w:val="28"/>
          <w:szCs w:val="28"/>
        </w:rPr>
        <w:fldChar w:fldCharType="separate"/>
      </w: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_Toc25745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8"/>
        </w:rPr>
        <w:t>一   总 则</w:t>
      </w:r>
      <w:r>
        <w:tab/>
      </w:r>
      <w:r>
        <w:fldChar w:fldCharType="begin"/>
      </w:r>
      <w:r>
        <w:instrText xml:space="preserve"> PAGEREF _Toc25745 \h </w:instrText>
      </w:r>
      <w:r>
        <w:fldChar w:fldCharType="separate"/>
      </w:r>
      <w:r>
        <w:t>5</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_Toc18288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二   招标文件</w:t>
      </w:r>
      <w:r>
        <w:tab/>
      </w:r>
      <w:r>
        <w:fldChar w:fldCharType="begin"/>
      </w:r>
      <w:r>
        <w:instrText xml:space="preserve"> PAGEREF _Toc18288 \h </w:instrText>
      </w:r>
      <w:r>
        <w:fldChar w:fldCharType="separate"/>
      </w:r>
      <w:r>
        <w:t>6</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_Toc32270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三   投标文件的编制</w:t>
      </w:r>
      <w:r>
        <w:tab/>
      </w:r>
      <w:r>
        <w:fldChar w:fldCharType="begin"/>
      </w:r>
      <w:r>
        <w:instrText xml:space="preserve"> PAGEREF _Toc32270 \h </w:instrText>
      </w:r>
      <w:r>
        <w:fldChar w:fldCharType="separate"/>
      </w:r>
      <w:r>
        <w:t>7</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_Toc21426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2"/>
        </w:rPr>
        <w:t>四   投标文件的递交</w:t>
      </w:r>
      <w:r>
        <w:tab/>
      </w:r>
      <w:r>
        <w:fldChar w:fldCharType="begin"/>
      </w:r>
      <w:r>
        <w:instrText xml:space="preserve"> PAGEREF _Toc21426 \h </w:instrText>
      </w:r>
      <w:r>
        <w:fldChar w:fldCharType="separate"/>
      </w:r>
      <w:r>
        <w:t>10</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_Toc24769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2"/>
        </w:rPr>
        <w:t>五   开标及评标</w:t>
      </w:r>
      <w:r>
        <w:tab/>
      </w:r>
      <w:r>
        <w:fldChar w:fldCharType="begin"/>
      </w:r>
      <w:r>
        <w:instrText xml:space="preserve"> PAGEREF _Toc24769 \h </w:instrText>
      </w:r>
      <w:r>
        <w:fldChar w:fldCharType="separate"/>
      </w:r>
      <w:r>
        <w:t>10</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_Toc24656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2"/>
        </w:rPr>
        <w:t>六   确定中标</w:t>
      </w:r>
      <w:r>
        <w:tab/>
      </w:r>
      <w:r>
        <w:fldChar w:fldCharType="begin"/>
      </w:r>
      <w:r>
        <w:instrText xml:space="preserve"> PAGEREF _Toc24656 \h </w:instrText>
      </w:r>
      <w:r>
        <w:fldChar w:fldCharType="separate"/>
      </w:r>
      <w:r>
        <w:t>15</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_Toc15203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2"/>
        </w:rPr>
        <w:t>质疑函范本</w:t>
      </w:r>
      <w:r>
        <w:tab/>
      </w:r>
      <w:r>
        <w:fldChar w:fldCharType="begin"/>
      </w:r>
      <w:r>
        <w:instrText xml:space="preserve"> PAGEREF _Toc15203 \h </w:instrText>
      </w:r>
      <w:r>
        <w:fldChar w:fldCharType="separate"/>
      </w:r>
      <w:r>
        <w:t>19</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_Toc29466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一、质疑供应商基本信息</w:t>
      </w:r>
      <w:r>
        <w:tab/>
      </w:r>
      <w:r>
        <w:fldChar w:fldCharType="begin"/>
      </w:r>
      <w:r>
        <w:instrText xml:space="preserve"> PAGEREF _Toc29466 \h </w:instrText>
      </w:r>
      <w:r>
        <w:fldChar w:fldCharType="separate"/>
      </w:r>
      <w:r>
        <w:t>19</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_Toc11921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二、质疑项目基本情况</w:t>
      </w:r>
      <w:r>
        <w:tab/>
      </w:r>
      <w:r>
        <w:fldChar w:fldCharType="begin"/>
      </w:r>
      <w:r>
        <w:instrText xml:space="preserve"> PAGEREF _Toc11921 \h </w:instrText>
      </w:r>
      <w:r>
        <w:fldChar w:fldCharType="separate"/>
      </w:r>
      <w:r>
        <w:t>19</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_Toc23555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三、质疑事项具体内容</w:t>
      </w:r>
      <w:r>
        <w:tab/>
      </w:r>
      <w:r>
        <w:fldChar w:fldCharType="begin"/>
      </w:r>
      <w:r>
        <w:instrText xml:space="preserve"> PAGEREF _Toc23555 \h </w:instrText>
      </w:r>
      <w:r>
        <w:fldChar w:fldCharType="separate"/>
      </w:r>
      <w:r>
        <w:t>19</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_Toc23837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四、与质疑事项相关的质疑请求</w:t>
      </w:r>
      <w:r>
        <w:tab/>
      </w:r>
      <w:r>
        <w:fldChar w:fldCharType="begin"/>
      </w:r>
      <w:r>
        <w:instrText xml:space="preserve"> PAGEREF _Toc23837 \h </w:instrText>
      </w:r>
      <w:r>
        <w:fldChar w:fldCharType="separate"/>
      </w:r>
      <w:r>
        <w:t>19</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_Toc687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附件1：履约保证金保函（格式）</w:t>
      </w:r>
      <w:r>
        <w:tab/>
      </w:r>
      <w:r>
        <w:fldChar w:fldCharType="begin"/>
      </w:r>
      <w:r>
        <w:instrText xml:space="preserve"> PAGEREF _Toc687 \h </w:instrText>
      </w:r>
      <w:r>
        <w:fldChar w:fldCharType="separate"/>
      </w:r>
      <w:r>
        <w:t>20</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_Toc1991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附件2：履约担保函格式 本项目不适用</w:t>
      </w:r>
      <w:r>
        <w:tab/>
      </w:r>
      <w:r>
        <w:fldChar w:fldCharType="begin"/>
      </w:r>
      <w:r>
        <w:instrText xml:space="preserve"> PAGEREF _Toc1991 \h </w:instrText>
      </w:r>
      <w:r>
        <w:fldChar w:fldCharType="separate"/>
      </w:r>
      <w:r>
        <w:t>22</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_Toc1483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（采用政府采购信用担保形式时使用）</w:t>
      </w:r>
      <w:r>
        <w:tab/>
      </w:r>
      <w:r>
        <w:fldChar w:fldCharType="begin"/>
      </w:r>
      <w:r>
        <w:instrText xml:space="preserve"> PAGEREF _Toc1483 \h </w:instrText>
      </w:r>
      <w:r>
        <w:fldChar w:fldCharType="separate"/>
      </w:r>
      <w:r>
        <w:t>22</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_Toc22474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一、保证责任的情形及保证金额</w:t>
      </w:r>
      <w:r>
        <w:tab/>
      </w:r>
      <w:r>
        <w:fldChar w:fldCharType="begin"/>
      </w:r>
      <w:r>
        <w:instrText xml:space="preserve"> PAGEREF _Toc22474 \h </w:instrText>
      </w:r>
      <w:r>
        <w:fldChar w:fldCharType="separate"/>
      </w:r>
      <w:r>
        <w:t>22</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_Toc25051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二、保证的方式及保证期间</w:t>
      </w:r>
      <w:r>
        <w:tab/>
      </w:r>
      <w:r>
        <w:fldChar w:fldCharType="begin"/>
      </w:r>
      <w:r>
        <w:instrText xml:space="preserve"> PAGEREF _Toc25051 \h </w:instrText>
      </w:r>
      <w:r>
        <w:fldChar w:fldCharType="separate"/>
      </w:r>
      <w:r>
        <w:t>22</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_Toc22254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三、承担保证责任的程序</w:t>
      </w:r>
      <w:r>
        <w:tab/>
      </w:r>
      <w:r>
        <w:fldChar w:fldCharType="begin"/>
      </w:r>
      <w:r>
        <w:instrText xml:space="preserve"> PAGEREF _Toc22254 \h </w:instrText>
      </w:r>
      <w:r>
        <w:fldChar w:fldCharType="separate"/>
      </w:r>
      <w:r>
        <w:t>22</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_Toc17300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四、保证责任的终止</w:t>
      </w:r>
      <w:r>
        <w:tab/>
      </w:r>
      <w:r>
        <w:fldChar w:fldCharType="begin"/>
      </w:r>
      <w:r>
        <w:instrText xml:space="preserve"> PAGEREF _Toc17300 \h </w:instrText>
      </w:r>
      <w:r>
        <w:fldChar w:fldCharType="separate"/>
      </w:r>
      <w:r>
        <w:t>23</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_Toc18677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五、免责条款</w:t>
      </w:r>
      <w:r>
        <w:tab/>
      </w:r>
      <w:r>
        <w:fldChar w:fldCharType="begin"/>
      </w:r>
      <w:r>
        <w:instrText xml:space="preserve"> PAGEREF _Toc18677 \h </w:instrText>
      </w:r>
      <w:r>
        <w:fldChar w:fldCharType="separate"/>
      </w:r>
      <w:r>
        <w:t>23</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_Toc2567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六、争议的解决</w:t>
      </w:r>
      <w:r>
        <w:tab/>
      </w:r>
      <w:r>
        <w:fldChar w:fldCharType="begin"/>
      </w:r>
      <w:r>
        <w:instrText xml:space="preserve"> PAGEREF _Toc2567 \h </w:instrText>
      </w:r>
      <w:r>
        <w:fldChar w:fldCharType="separate"/>
      </w:r>
      <w:r>
        <w:t>23</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_Toc31134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七、保函的生效</w:t>
      </w:r>
      <w:r>
        <w:tab/>
      </w:r>
      <w:r>
        <w:fldChar w:fldCharType="begin"/>
      </w:r>
      <w:r>
        <w:instrText xml:space="preserve"> PAGEREF _Toc31134 \h </w:instrText>
      </w:r>
      <w:r>
        <w:fldChar w:fldCharType="separate"/>
      </w:r>
      <w:r>
        <w:t>23</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_Toc24359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32"/>
        </w:rPr>
        <w:t>第2章   投标文件格式</w:t>
      </w:r>
      <w:r>
        <w:tab/>
      </w:r>
      <w:r>
        <w:fldChar w:fldCharType="begin"/>
      </w:r>
      <w:r>
        <w:instrText xml:space="preserve"> PAGEREF _Toc24359 \h </w:instrText>
      </w:r>
      <w:r>
        <w:fldChar w:fldCharType="separate"/>
      </w:r>
      <w:r>
        <w:t>24</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_Toc27538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kern w:val="2"/>
          <w:szCs w:val="24"/>
        </w:rPr>
        <w:t>第一部分 开标一览表及资格证明文件</w:t>
      </w:r>
      <w:r>
        <w:tab/>
      </w:r>
      <w:r>
        <w:fldChar w:fldCharType="begin"/>
      </w:r>
      <w:r>
        <w:instrText xml:space="preserve"> PAGEREF _Toc27538 \h </w:instrText>
      </w:r>
      <w:r>
        <w:fldChar w:fldCharType="separate"/>
      </w:r>
      <w:r>
        <w:t>24</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_Toc16748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1  开标一览表</w:t>
      </w:r>
      <w:r>
        <w:tab/>
      </w:r>
      <w:r>
        <w:fldChar w:fldCharType="begin"/>
      </w:r>
      <w:r>
        <w:instrText xml:space="preserve"> PAGEREF _Toc16748 \h </w:instrText>
      </w:r>
      <w:r>
        <w:fldChar w:fldCharType="separate"/>
      </w:r>
      <w:r>
        <w:t>25</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_Toc30717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rPr>
        <w:t>2  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不得参加本项目</w:t>
      </w:r>
      <w:r>
        <w:rPr>
          <w:rFonts w:hint="eastAsia" w:ascii="微软雅黑" w:hAnsi="微软雅黑" w:eastAsia="微软雅黑" w:cs="微软雅黑"/>
          <w:bCs/>
          <w:lang w:eastAsia="zh-CN"/>
        </w:rPr>
        <w:t>（提供查询记录截图并加盖公章）</w:t>
      </w:r>
      <w:r>
        <w:rPr>
          <w:rFonts w:hint="eastAsia" w:ascii="微软雅黑" w:hAnsi="微软雅黑" w:eastAsia="微软雅黑" w:cs="微软雅黑"/>
          <w:bCs/>
        </w:rPr>
        <w:t>；</w:t>
      </w:r>
      <w:r>
        <w:tab/>
      </w:r>
      <w:r>
        <w:fldChar w:fldCharType="begin"/>
      </w:r>
      <w:r>
        <w:instrText xml:space="preserve"> PAGEREF _Toc30717 \h </w:instrText>
      </w:r>
      <w:r>
        <w:fldChar w:fldCharType="separate"/>
      </w:r>
      <w:r>
        <w:t>26</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_Toc28577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0"/>
          <w:szCs w:val="24"/>
          <w:lang w:val="en-US" w:eastAsia="zh-CN" w:bidi="ar-SA"/>
        </w:rPr>
        <w:t>3  具有有效的营业执照；</w:t>
      </w:r>
      <w:r>
        <w:tab/>
      </w:r>
      <w:r>
        <w:fldChar w:fldCharType="begin"/>
      </w:r>
      <w:r>
        <w:instrText xml:space="preserve"> PAGEREF _Toc28577 \h </w:instrText>
      </w:r>
      <w:r>
        <w:fldChar w:fldCharType="separate"/>
      </w:r>
      <w:r>
        <w:t>26</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_Toc11165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0"/>
          <w:szCs w:val="24"/>
          <w:lang w:val="en-US" w:eastAsia="zh-CN" w:bidi="ar-SA"/>
        </w:rPr>
        <w:t>4  提供有效的《医疗器械生产许可证》或《医疗器械经营许可证》（所提供设备为二类医疗器械的须提供二类医疗器械备案凭证）；</w:t>
      </w:r>
      <w:r>
        <w:tab/>
      </w:r>
      <w:r>
        <w:fldChar w:fldCharType="begin"/>
      </w:r>
      <w:r>
        <w:instrText xml:space="preserve"> PAGEREF _Toc11165 \h </w:instrText>
      </w:r>
      <w:r>
        <w:fldChar w:fldCharType="separate"/>
      </w:r>
      <w:r>
        <w:t>26</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_Toc28709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0"/>
          <w:szCs w:val="24"/>
          <w:lang w:val="en-US" w:eastAsia="zh-CN"/>
        </w:rPr>
        <w:t>5</w:t>
      </w:r>
      <w:r>
        <w:rPr>
          <w:rFonts w:hint="eastAsia" w:ascii="微软雅黑" w:hAnsi="微软雅黑" w:eastAsia="微软雅黑" w:cs="微软雅黑"/>
          <w:bCs/>
          <w:kern w:val="0"/>
          <w:szCs w:val="24"/>
        </w:rPr>
        <w:t xml:space="preserve">  法人投标</w:t>
      </w:r>
      <w:r>
        <w:rPr>
          <w:rFonts w:hint="eastAsia" w:ascii="微软雅黑" w:hAnsi="微软雅黑" w:eastAsia="微软雅黑" w:cs="微软雅黑"/>
          <w:bCs/>
          <w:kern w:val="0"/>
          <w:szCs w:val="24"/>
          <w:lang w:eastAsia="zh-CN"/>
        </w:rPr>
        <w:t>须</w:t>
      </w:r>
      <w:r>
        <w:rPr>
          <w:rFonts w:hint="eastAsia" w:ascii="微软雅黑" w:hAnsi="微软雅黑" w:eastAsia="微软雅黑" w:cs="微软雅黑"/>
          <w:bCs/>
          <w:kern w:val="0"/>
          <w:szCs w:val="24"/>
        </w:rPr>
        <w:t>提供法人身份证明</w:t>
      </w:r>
      <w:r>
        <w:rPr>
          <w:rFonts w:hint="eastAsia" w:ascii="微软雅黑" w:hAnsi="微软雅黑" w:eastAsia="微软雅黑" w:cs="微软雅黑"/>
          <w:bCs/>
          <w:kern w:val="0"/>
          <w:szCs w:val="24"/>
          <w:lang w:eastAsia="zh-CN"/>
        </w:rPr>
        <w:t>及</w:t>
      </w:r>
      <w:r>
        <w:rPr>
          <w:rFonts w:hint="eastAsia" w:ascii="微软雅黑" w:hAnsi="微软雅黑" w:eastAsia="微软雅黑" w:cs="微软雅黑"/>
          <w:bCs/>
          <w:kern w:val="0"/>
          <w:szCs w:val="24"/>
          <w:lang w:val="en-US" w:eastAsia="zh-CN"/>
        </w:rPr>
        <w:t>法人身份证，被授权委托人须提供法人身份证明、授权委托书及身份证复印件；</w:t>
      </w:r>
      <w:r>
        <w:tab/>
      </w:r>
      <w:r>
        <w:fldChar w:fldCharType="begin"/>
      </w:r>
      <w:r>
        <w:instrText xml:space="preserve"> PAGEREF _Toc28709 \h </w:instrText>
      </w:r>
      <w:r>
        <w:fldChar w:fldCharType="separate"/>
      </w:r>
      <w:r>
        <w:t>27</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_Toc21894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0"/>
          <w:szCs w:val="24"/>
          <w:lang w:val="en-US" w:eastAsia="zh-CN"/>
        </w:rPr>
        <w:t>6</w:t>
      </w:r>
      <w:r>
        <w:rPr>
          <w:rFonts w:hint="eastAsia" w:ascii="微软雅黑" w:hAnsi="微软雅黑" w:eastAsia="微软雅黑" w:cs="微软雅黑"/>
          <w:bCs/>
          <w:kern w:val="0"/>
          <w:szCs w:val="24"/>
        </w:rPr>
        <w:t xml:space="preserve"> </w:t>
      </w:r>
      <w:r>
        <w:rPr>
          <w:rFonts w:hint="eastAsia" w:ascii="微软雅黑" w:hAnsi="微软雅黑" w:eastAsia="微软雅黑" w:cs="微软雅黑"/>
          <w:bCs/>
          <w:kern w:val="0"/>
          <w:szCs w:val="24"/>
          <w:lang w:eastAsia="zh-CN"/>
        </w:rPr>
        <w:t xml:space="preserve"> 提供本单位依法缴纳近三个月（</w:t>
      </w:r>
      <w:r>
        <w:rPr>
          <w:rFonts w:hint="eastAsia" w:ascii="微软雅黑" w:hAnsi="微软雅黑" w:eastAsia="微软雅黑" w:cs="微软雅黑"/>
          <w:bCs/>
          <w:kern w:val="0"/>
          <w:szCs w:val="24"/>
          <w:lang w:val="en-US" w:eastAsia="zh-CN"/>
        </w:rPr>
        <w:t>6月至8月</w:t>
      </w:r>
      <w:r>
        <w:rPr>
          <w:rFonts w:hint="eastAsia" w:ascii="微软雅黑" w:hAnsi="微软雅黑" w:eastAsia="微软雅黑" w:cs="微软雅黑"/>
          <w:bCs/>
          <w:kern w:val="0"/>
          <w:szCs w:val="24"/>
          <w:lang w:eastAsia="zh-CN"/>
        </w:rPr>
        <w:t>）的社保证明；</w:t>
      </w:r>
      <w:r>
        <w:tab/>
      </w:r>
      <w:r>
        <w:fldChar w:fldCharType="begin"/>
      </w:r>
      <w:r>
        <w:instrText xml:space="preserve"> PAGEREF _Toc21894 \h </w:instrText>
      </w:r>
      <w:r>
        <w:fldChar w:fldCharType="separate"/>
      </w:r>
      <w:r>
        <w:t>29</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_Toc30499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0"/>
          <w:szCs w:val="24"/>
          <w:lang w:val="en-US" w:eastAsia="zh-CN"/>
        </w:rPr>
        <w:t>7</w:t>
      </w:r>
      <w:r>
        <w:rPr>
          <w:rFonts w:hint="eastAsia" w:ascii="微软雅黑" w:hAnsi="微软雅黑" w:eastAsia="微软雅黑" w:cs="微软雅黑"/>
          <w:bCs/>
          <w:kern w:val="0"/>
          <w:szCs w:val="24"/>
        </w:rPr>
        <w:t xml:space="preserve">  </w:t>
      </w:r>
      <w:r>
        <w:rPr>
          <w:rFonts w:hint="eastAsia" w:ascii="微软雅黑" w:hAnsi="微软雅黑" w:eastAsia="微软雅黑" w:cs="微软雅黑"/>
          <w:bCs/>
          <w:kern w:val="0"/>
          <w:szCs w:val="24"/>
          <w:lang w:eastAsia="zh-CN"/>
        </w:rPr>
        <w:t>提供税务部门出具近三个月（</w:t>
      </w:r>
      <w:r>
        <w:rPr>
          <w:rFonts w:hint="eastAsia" w:ascii="微软雅黑" w:hAnsi="微软雅黑" w:eastAsia="微软雅黑" w:cs="微软雅黑"/>
          <w:bCs/>
          <w:kern w:val="0"/>
          <w:szCs w:val="24"/>
          <w:lang w:val="en-US" w:eastAsia="zh-CN"/>
        </w:rPr>
        <w:t>6</w:t>
      </w:r>
      <w:r>
        <w:rPr>
          <w:rFonts w:hint="eastAsia" w:ascii="微软雅黑" w:hAnsi="微软雅黑" w:eastAsia="微软雅黑" w:cs="微软雅黑"/>
          <w:bCs/>
          <w:kern w:val="0"/>
          <w:szCs w:val="24"/>
          <w:lang w:eastAsia="zh-CN"/>
        </w:rPr>
        <w:t>月至</w:t>
      </w:r>
      <w:r>
        <w:rPr>
          <w:rFonts w:hint="eastAsia" w:ascii="微软雅黑" w:hAnsi="微软雅黑" w:eastAsia="微软雅黑" w:cs="微软雅黑"/>
          <w:bCs/>
          <w:kern w:val="0"/>
          <w:szCs w:val="24"/>
          <w:lang w:val="en-US" w:eastAsia="zh-CN"/>
        </w:rPr>
        <w:t>8</w:t>
      </w:r>
      <w:r>
        <w:rPr>
          <w:rFonts w:hint="eastAsia" w:ascii="微软雅黑" w:hAnsi="微软雅黑" w:eastAsia="微软雅黑" w:cs="微软雅黑"/>
          <w:bCs/>
          <w:kern w:val="0"/>
          <w:szCs w:val="24"/>
          <w:lang w:eastAsia="zh-CN"/>
        </w:rPr>
        <w:t>月）的完税证明（依法免缴的应提供依法免缴的相关证明文件或零申报报表）</w:t>
      </w:r>
      <w:r>
        <w:rPr>
          <w:rFonts w:hint="eastAsia" w:ascii="微软雅黑" w:hAnsi="微软雅黑" w:eastAsia="微软雅黑" w:cs="微软雅黑"/>
          <w:bCs/>
          <w:kern w:val="0"/>
          <w:szCs w:val="24"/>
        </w:rPr>
        <w:t>；</w:t>
      </w:r>
      <w:r>
        <w:tab/>
      </w:r>
      <w:r>
        <w:fldChar w:fldCharType="begin"/>
      </w:r>
      <w:r>
        <w:instrText xml:space="preserve"> PAGEREF _Toc30499 \h </w:instrText>
      </w:r>
      <w:r>
        <w:fldChar w:fldCharType="separate"/>
      </w:r>
      <w:r>
        <w:t>29</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_Toc7421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0"/>
          <w:lang w:val="en-US" w:eastAsia="zh-CN"/>
        </w:rPr>
        <w:t>8</w:t>
      </w:r>
      <w:r>
        <w:rPr>
          <w:rFonts w:hint="eastAsia" w:ascii="微软雅黑" w:hAnsi="微软雅黑" w:eastAsia="微软雅黑" w:cs="微软雅黑"/>
          <w:bCs/>
          <w:kern w:val="0"/>
        </w:rPr>
        <w:t xml:space="preserve">  提供202</w:t>
      </w:r>
      <w:r>
        <w:rPr>
          <w:rFonts w:hint="eastAsia" w:ascii="微软雅黑" w:hAnsi="微软雅黑" w:eastAsia="微软雅黑" w:cs="微软雅黑"/>
          <w:bCs/>
          <w:kern w:val="0"/>
          <w:lang w:val="en-US" w:eastAsia="zh-CN"/>
        </w:rPr>
        <w:t>1</w:t>
      </w:r>
      <w:r>
        <w:rPr>
          <w:rFonts w:hint="eastAsia" w:ascii="微软雅黑" w:hAnsi="微软雅黑" w:eastAsia="微软雅黑" w:cs="微软雅黑"/>
          <w:bCs/>
          <w:kern w:val="0"/>
        </w:rPr>
        <w:t>年的财务审计报告</w:t>
      </w:r>
      <w:r>
        <w:rPr>
          <w:rFonts w:hint="eastAsia" w:ascii="微软雅黑" w:hAnsi="微软雅黑" w:eastAsia="微软雅黑" w:cs="微软雅黑"/>
          <w:bCs/>
          <w:kern w:val="0"/>
          <w:lang w:val="en-US" w:eastAsia="zh-CN"/>
        </w:rPr>
        <w:t>2022年</w:t>
      </w:r>
      <w:r>
        <w:rPr>
          <w:rFonts w:hint="eastAsia" w:ascii="微软雅黑" w:hAnsi="微软雅黑" w:eastAsia="微软雅黑" w:cs="微软雅黑"/>
          <w:bCs/>
          <w:kern w:val="0"/>
        </w:rPr>
        <w:t>新成立公司需提供</w:t>
      </w:r>
      <w:r>
        <w:rPr>
          <w:rFonts w:hint="eastAsia" w:ascii="微软雅黑" w:hAnsi="微软雅黑" w:eastAsia="微软雅黑" w:cs="微软雅黑"/>
          <w:bCs/>
          <w:kern w:val="0"/>
          <w:lang w:val="en-US" w:eastAsia="zh-CN"/>
        </w:rPr>
        <w:t>近三个月（7月至9月）内的</w:t>
      </w:r>
      <w:r>
        <w:rPr>
          <w:rFonts w:hint="eastAsia" w:ascii="微软雅黑" w:hAnsi="微软雅黑" w:eastAsia="微软雅黑" w:cs="微软雅黑"/>
          <w:bCs/>
          <w:kern w:val="0"/>
        </w:rPr>
        <w:t>银行资信证明）；</w:t>
      </w:r>
      <w:r>
        <w:tab/>
      </w:r>
      <w:r>
        <w:fldChar w:fldCharType="begin"/>
      </w:r>
      <w:r>
        <w:instrText xml:space="preserve"> PAGEREF _Toc7421 \h </w:instrText>
      </w:r>
      <w:r>
        <w:fldChar w:fldCharType="separate"/>
      </w:r>
      <w:r>
        <w:t>29</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_Toc19337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lang w:val="en-US" w:eastAsia="zh-CN"/>
        </w:rPr>
        <w:t>9</w:t>
      </w:r>
      <w:r>
        <w:rPr>
          <w:rFonts w:hint="eastAsia" w:ascii="微软雅黑" w:hAnsi="微软雅黑" w:eastAsia="微软雅黑" w:cs="微软雅黑"/>
          <w:bCs/>
        </w:rPr>
        <w:t xml:space="preserve">  参加政府采购活动前3年内在经营活动中没有重大违法记录的书面声明</w:t>
      </w:r>
      <w:r>
        <w:rPr>
          <w:rFonts w:hint="eastAsia" w:ascii="微软雅黑" w:hAnsi="微软雅黑" w:eastAsia="微软雅黑" w:cs="微软雅黑"/>
          <w:bCs/>
          <w:kern w:val="0"/>
        </w:rPr>
        <w:t>；</w:t>
      </w:r>
      <w:r>
        <w:tab/>
      </w:r>
      <w:r>
        <w:fldChar w:fldCharType="begin"/>
      </w:r>
      <w:r>
        <w:instrText xml:space="preserve"> PAGEREF _Toc19337 \h </w:instrText>
      </w:r>
      <w:r>
        <w:fldChar w:fldCharType="separate"/>
      </w:r>
      <w:r>
        <w:t>29</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_Toc24329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lang w:val="en-US" w:eastAsia="zh-CN"/>
        </w:rPr>
        <w:t>10</w:t>
      </w:r>
      <w:r>
        <w:rPr>
          <w:rFonts w:hint="eastAsia" w:ascii="微软雅黑" w:hAnsi="微软雅黑" w:eastAsia="微软雅黑" w:cs="微软雅黑"/>
          <w:bCs/>
        </w:rPr>
        <w:t xml:space="preserve">  </w:t>
      </w:r>
      <w:r>
        <w:rPr>
          <w:rFonts w:hint="eastAsia" w:ascii="微软雅黑" w:hAnsi="微软雅黑" w:eastAsia="微软雅黑" w:cs="微软雅黑"/>
          <w:bCs/>
          <w:kern w:val="2"/>
          <w:szCs w:val="24"/>
          <w:lang w:val="en-US" w:eastAsia="zh-CN" w:bidi="ar-SA"/>
        </w:rPr>
        <w:t>提供针对本次项目的反商业贿赂承诺书</w:t>
      </w:r>
      <w:r>
        <w:rPr>
          <w:rFonts w:hint="eastAsia" w:ascii="微软雅黑" w:hAnsi="微软雅黑" w:eastAsia="微软雅黑" w:cs="微软雅黑"/>
          <w:bCs/>
        </w:rPr>
        <w:t>；</w:t>
      </w:r>
      <w:r>
        <w:tab/>
      </w:r>
      <w:r>
        <w:fldChar w:fldCharType="begin"/>
      </w:r>
      <w:r>
        <w:instrText xml:space="preserve"> PAGEREF _Toc24329 \h </w:instrText>
      </w:r>
      <w:r>
        <w:fldChar w:fldCharType="separate"/>
      </w:r>
      <w:r>
        <w:t>29</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_Toc2252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rPr>
        <w:t xml:space="preserve">11 </w:t>
      </w:r>
      <w:r>
        <w:rPr>
          <w:rFonts w:hint="eastAsia" w:ascii="微软雅黑" w:hAnsi="微软雅黑" w:eastAsia="微软雅黑" w:cs="微软雅黑"/>
          <w:bCs/>
          <w:lang w:val="en-US" w:eastAsia="zh-CN"/>
        </w:rPr>
        <w:t xml:space="preserve"> 投标保证金有效凭证</w:t>
      </w:r>
      <w:r>
        <w:rPr>
          <w:rFonts w:hint="eastAsia" w:ascii="微软雅黑" w:hAnsi="微软雅黑" w:eastAsia="微软雅黑" w:cs="微软雅黑"/>
          <w:bCs/>
        </w:rPr>
        <w:t>；</w:t>
      </w:r>
      <w:r>
        <w:tab/>
      </w:r>
      <w:r>
        <w:fldChar w:fldCharType="begin"/>
      </w:r>
      <w:r>
        <w:instrText xml:space="preserve"> PAGEREF _Toc2252 \h </w:instrText>
      </w:r>
      <w:r>
        <w:fldChar w:fldCharType="separate"/>
      </w:r>
      <w:r>
        <w:t>29</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_Toc22958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0"/>
          <w:szCs w:val="24"/>
        </w:rPr>
        <w:t>12  供应商可提供有利于投标的其他资格证明材料</w:t>
      </w:r>
      <w:r>
        <w:rPr>
          <w:rFonts w:hint="eastAsia" w:ascii="微软雅黑" w:hAnsi="微软雅黑" w:eastAsia="微软雅黑" w:cs="微软雅黑"/>
          <w:bCs/>
          <w:kern w:val="0"/>
          <w:szCs w:val="24"/>
          <w:lang w:eastAsia="zh-CN"/>
        </w:rPr>
        <w:t>。</w:t>
      </w:r>
      <w:r>
        <w:tab/>
      </w:r>
      <w:r>
        <w:fldChar w:fldCharType="begin"/>
      </w:r>
      <w:r>
        <w:instrText xml:space="preserve"> PAGEREF _Toc22958 \h </w:instrText>
      </w:r>
      <w:r>
        <w:fldChar w:fldCharType="separate"/>
      </w:r>
      <w:r>
        <w:t>29</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_Toc19385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kern w:val="2"/>
          <w:szCs w:val="32"/>
        </w:rPr>
        <w:t>第二部分 商务及技术文件</w:t>
      </w:r>
      <w:r>
        <w:tab/>
      </w:r>
      <w:r>
        <w:fldChar w:fldCharType="begin"/>
      </w:r>
      <w:r>
        <w:instrText xml:space="preserve"> PAGEREF _Toc19385 \h </w:instrText>
      </w:r>
      <w:r>
        <w:fldChar w:fldCharType="separate"/>
      </w:r>
      <w:r>
        <w:t>30</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_Toc6643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1</w:t>
      </w:r>
      <w:r>
        <w:rPr>
          <w:rFonts w:hint="eastAsia" w:ascii="微软雅黑" w:hAnsi="微软雅黑" w:eastAsia="微软雅黑" w:cs="微软雅黑"/>
          <w:bCs/>
          <w:szCs w:val="24"/>
          <w:lang w:eastAsia="zh-CN"/>
        </w:rPr>
        <w:t>、</w:t>
      </w:r>
      <w:r>
        <w:rPr>
          <w:rFonts w:hint="eastAsia" w:ascii="微软雅黑" w:hAnsi="微软雅黑" w:eastAsia="微软雅黑" w:cs="微软雅黑"/>
          <w:bCs/>
          <w:szCs w:val="24"/>
        </w:rPr>
        <w:t>投标书</w:t>
      </w:r>
      <w:r>
        <w:tab/>
      </w:r>
      <w:r>
        <w:fldChar w:fldCharType="begin"/>
      </w:r>
      <w:r>
        <w:instrText xml:space="preserve"> PAGEREF _Toc6643 \h </w:instrText>
      </w:r>
      <w:r>
        <w:fldChar w:fldCharType="separate"/>
      </w:r>
      <w:r>
        <w:t>31</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_Toc2788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w:t>
      </w:r>
      <w:r>
        <w:rPr>
          <w:rFonts w:hint="eastAsia" w:ascii="微软雅黑" w:hAnsi="微软雅黑" w:eastAsia="微软雅黑" w:cs="微软雅黑"/>
          <w:bCs/>
          <w:szCs w:val="24"/>
          <w:lang w:eastAsia="zh-CN"/>
        </w:rPr>
        <w:t>、</w:t>
      </w:r>
      <w:r>
        <w:rPr>
          <w:rFonts w:hint="eastAsia" w:ascii="微软雅黑" w:hAnsi="微软雅黑" w:eastAsia="微软雅黑" w:cs="微软雅黑"/>
          <w:bCs/>
          <w:szCs w:val="24"/>
        </w:rPr>
        <w:t>投标分项报价表</w:t>
      </w:r>
      <w:r>
        <w:tab/>
      </w:r>
      <w:r>
        <w:fldChar w:fldCharType="begin"/>
      </w:r>
      <w:r>
        <w:instrText xml:space="preserve"> PAGEREF _Toc2788 \h </w:instrText>
      </w:r>
      <w:r>
        <w:fldChar w:fldCharType="separate"/>
      </w:r>
      <w:r>
        <w:t>32</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_Toc2847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0"/>
        </w:rPr>
        <w:t>备品备件设备分项报价表（二）</w:t>
      </w:r>
      <w:r>
        <w:tab/>
      </w:r>
      <w:r>
        <w:fldChar w:fldCharType="begin"/>
      </w:r>
      <w:r>
        <w:instrText xml:space="preserve"> PAGEREF _Toc2847 \h </w:instrText>
      </w:r>
      <w:r>
        <w:fldChar w:fldCharType="separate"/>
      </w:r>
      <w:r>
        <w:t>33</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_Toc8053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1"/>
        </w:rPr>
        <w:t>3</w:t>
      </w:r>
      <w:r>
        <w:rPr>
          <w:rFonts w:hint="eastAsia" w:ascii="微软雅黑" w:hAnsi="微软雅黑" w:eastAsia="微软雅黑" w:cs="微软雅黑"/>
          <w:bCs/>
          <w:szCs w:val="21"/>
          <w:lang w:eastAsia="zh-CN"/>
        </w:rPr>
        <w:t>、</w:t>
      </w:r>
      <w:r>
        <w:rPr>
          <w:rFonts w:hint="eastAsia" w:ascii="微软雅黑" w:hAnsi="微软雅黑" w:eastAsia="微软雅黑" w:cs="微软雅黑"/>
          <w:bCs/>
          <w:szCs w:val="21"/>
        </w:rPr>
        <w:t>货物说明一览表</w:t>
      </w:r>
      <w:r>
        <w:tab/>
      </w:r>
      <w:r>
        <w:fldChar w:fldCharType="begin"/>
      </w:r>
      <w:r>
        <w:instrText xml:space="preserve"> PAGEREF _Toc8053 \h </w:instrText>
      </w:r>
      <w:r>
        <w:fldChar w:fldCharType="separate"/>
      </w:r>
      <w:r>
        <w:t>34</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_Toc14544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4</w:t>
      </w:r>
      <w:r>
        <w:rPr>
          <w:rFonts w:hint="eastAsia" w:ascii="微软雅黑" w:hAnsi="微软雅黑" w:eastAsia="微软雅黑" w:cs="微软雅黑"/>
          <w:bCs/>
          <w:szCs w:val="24"/>
          <w:lang w:eastAsia="zh-CN"/>
        </w:rPr>
        <w:t>、</w:t>
      </w:r>
      <w:r>
        <w:rPr>
          <w:rFonts w:hint="eastAsia" w:ascii="微软雅黑" w:hAnsi="微软雅黑" w:eastAsia="微软雅黑" w:cs="微软雅黑"/>
          <w:bCs/>
          <w:szCs w:val="24"/>
        </w:rPr>
        <w:t>技术规格偏离表</w:t>
      </w:r>
      <w:r>
        <w:tab/>
      </w:r>
      <w:r>
        <w:fldChar w:fldCharType="begin"/>
      </w:r>
      <w:r>
        <w:instrText xml:space="preserve"> PAGEREF _Toc14544 \h </w:instrText>
      </w:r>
      <w:r>
        <w:fldChar w:fldCharType="separate"/>
      </w:r>
      <w:r>
        <w:t>35</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_Toc26970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2"/>
          <w:szCs w:val="24"/>
        </w:rPr>
        <w:t>5</w:t>
      </w:r>
      <w:r>
        <w:rPr>
          <w:rFonts w:hint="eastAsia" w:ascii="微软雅黑" w:hAnsi="微软雅黑" w:eastAsia="微软雅黑" w:cs="微软雅黑"/>
          <w:bCs/>
          <w:kern w:val="2"/>
          <w:szCs w:val="24"/>
          <w:lang w:eastAsia="zh-CN"/>
        </w:rPr>
        <w:t>、</w:t>
      </w:r>
      <w:r>
        <w:rPr>
          <w:rFonts w:hint="eastAsia" w:ascii="微软雅黑" w:hAnsi="微软雅黑" w:eastAsia="微软雅黑" w:cs="微软雅黑"/>
          <w:bCs/>
          <w:kern w:val="2"/>
          <w:szCs w:val="24"/>
        </w:rPr>
        <w:t>商务条款偏离表</w:t>
      </w:r>
      <w:r>
        <w:tab/>
      </w:r>
      <w:r>
        <w:fldChar w:fldCharType="begin"/>
      </w:r>
      <w:r>
        <w:instrText xml:space="preserve"> PAGEREF _Toc26970 \h </w:instrText>
      </w:r>
      <w:r>
        <w:fldChar w:fldCharType="separate"/>
      </w:r>
      <w:r>
        <w:t>36</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_Toc8921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2"/>
          <w:szCs w:val="22"/>
        </w:rPr>
        <w:t xml:space="preserve">6-1  </w:t>
      </w:r>
      <w:r>
        <w:rPr>
          <w:rFonts w:hint="eastAsia" w:ascii="微软雅黑" w:hAnsi="微软雅黑" w:eastAsia="微软雅黑" w:cs="微软雅黑"/>
          <w:bCs/>
          <w:szCs w:val="22"/>
        </w:rPr>
        <w:t>中小企业声明函</w:t>
      </w:r>
      <w:r>
        <w:tab/>
      </w:r>
      <w:r>
        <w:fldChar w:fldCharType="begin"/>
      </w:r>
      <w:r>
        <w:instrText xml:space="preserve"> PAGEREF _Toc8921 \h </w:instrText>
      </w:r>
      <w:r>
        <w:fldChar w:fldCharType="separate"/>
      </w:r>
      <w:r>
        <w:t>37</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_Toc4660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2"/>
          <w:szCs w:val="24"/>
        </w:rPr>
        <w:t>6-2  残疾人福利性单位声明函</w:t>
      </w:r>
      <w:r>
        <w:tab/>
      </w:r>
      <w:r>
        <w:fldChar w:fldCharType="begin"/>
      </w:r>
      <w:r>
        <w:instrText xml:space="preserve"> PAGEREF _Toc4660 \h </w:instrText>
      </w:r>
      <w:r>
        <w:fldChar w:fldCharType="separate"/>
      </w:r>
      <w:r>
        <w:t>38</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_Toc14606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2"/>
          <w:szCs w:val="24"/>
        </w:rPr>
        <w:t>7</w:t>
      </w:r>
      <w:r>
        <w:rPr>
          <w:rFonts w:hint="eastAsia" w:ascii="微软雅黑" w:hAnsi="微软雅黑" w:eastAsia="微软雅黑" w:cs="微软雅黑"/>
          <w:bCs/>
          <w:kern w:val="2"/>
          <w:szCs w:val="24"/>
          <w:lang w:eastAsia="zh-CN"/>
        </w:rPr>
        <w:t>、</w:t>
      </w:r>
      <w:r>
        <w:rPr>
          <w:rFonts w:hint="eastAsia" w:ascii="微软雅黑" w:hAnsi="微软雅黑" w:eastAsia="微软雅黑" w:cs="微软雅黑"/>
          <w:bCs/>
          <w:kern w:val="2"/>
          <w:szCs w:val="24"/>
        </w:rPr>
        <w:t>供应商关联单位的说明</w:t>
      </w:r>
      <w:r>
        <w:tab/>
      </w:r>
      <w:r>
        <w:fldChar w:fldCharType="begin"/>
      </w:r>
      <w:r>
        <w:instrText xml:space="preserve"> PAGEREF _Toc14606 \h </w:instrText>
      </w:r>
      <w:r>
        <w:fldChar w:fldCharType="separate"/>
      </w:r>
      <w:r>
        <w:t>38</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_Toc19569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2"/>
          <w:szCs w:val="24"/>
        </w:rPr>
        <w:t>8</w:t>
      </w:r>
      <w:r>
        <w:rPr>
          <w:rFonts w:hint="eastAsia" w:ascii="微软雅黑" w:hAnsi="微软雅黑" w:eastAsia="微软雅黑" w:cs="微软雅黑"/>
          <w:bCs/>
          <w:kern w:val="2"/>
          <w:szCs w:val="24"/>
          <w:lang w:eastAsia="zh-CN"/>
        </w:rPr>
        <w:t>、</w:t>
      </w:r>
      <w:r>
        <w:rPr>
          <w:rFonts w:hint="eastAsia" w:ascii="微软雅黑" w:hAnsi="微软雅黑" w:eastAsia="微软雅黑" w:cs="微软雅黑"/>
          <w:bCs/>
          <w:kern w:val="2"/>
          <w:szCs w:val="24"/>
        </w:rPr>
        <w:t>供应商可提供有利于投标的其他资格证明材料</w:t>
      </w:r>
      <w:r>
        <w:tab/>
      </w:r>
      <w:r>
        <w:fldChar w:fldCharType="begin"/>
      </w:r>
      <w:r>
        <w:instrText xml:space="preserve"> PAGEREF _Toc19569 \h </w:instrText>
      </w:r>
      <w:r>
        <w:fldChar w:fldCharType="separate"/>
      </w:r>
      <w:r>
        <w:t>38</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_Toc1634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0"/>
          <w:szCs w:val="24"/>
        </w:rPr>
        <w:t>9</w:t>
      </w:r>
      <w:r>
        <w:rPr>
          <w:rFonts w:hint="eastAsia" w:ascii="微软雅黑" w:hAnsi="微软雅黑" w:eastAsia="微软雅黑" w:cs="微软雅黑"/>
          <w:bCs/>
          <w:kern w:val="0"/>
          <w:szCs w:val="24"/>
          <w:lang w:eastAsia="zh-CN"/>
        </w:rPr>
        <w:t>、</w:t>
      </w:r>
      <w:r>
        <w:rPr>
          <w:rFonts w:hint="eastAsia" w:ascii="微软雅黑" w:hAnsi="微软雅黑" w:eastAsia="微软雅黑" w:cs="微软雅黑"/>
          <w:bCs/>
          <w:kern w:val="0"/>
          <w:szCs w:val="24"/>
        </w:rPr>
        <w:t>投标文件格式范本</w:t>
      </w:r>
      <w:r>
        <w:tab/>
      </w:r>
      <w:r>
        <w:fldChar w:fldCharType="begin"/>
      </w:r>
      <w:r>
        <w:instrText xml:space="preserve"> PAGEREF _Toc1634 \h </w:instrText>
      </w:r>
      <w:r>
        <w:fldChar w:fldCharType="separate"/>
      </w:r>
      <w:r>
        <w:t>38</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_Toc6259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rPr>
        <w:t>第3章 投标邀请</w:t>
      </w:r>
      <w:r>
        <w:tab/>
      </w:r>
      <w:r>
        <w:fldChar w:fldCharType="begin"/>
      </w:r>
      <w:r>
        <w:instrText xml:space="preserve"> PAGEREF _Toc6259 \h </w:instrText>
      </w:r>
      <w:r>
        <w:fldChar w:fldCharType="separate"/>
      </w:r>
      <w:r>
        <w:t>41</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_Toc3588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30"/>
          <w:lang w:eastAsia="zh-CN"/>
        </w:rPr>
        <w:t>喀什中医医院感染科医疗设备采购项目公开招标公告</w:t>
      </w:r>
      <w:r>
        <w:tab/>
      </w:r>
      <w:r>
        <w:fldChar w:fldCharType="begin"/>
      </w:r>
      <w:r>
        <w:instrText xml:space="preserve"> PAGEREF _Toc3588 \h </w:instrText>
      </w:r>
      <w:r>
        <w:fldChar w:fldCharType="separate"/>
      </w:r>
      <w:r>
        <w:t>41</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_Toc10166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rPr>
        <w:t>第4章 供应商须知资料表</w:t>
      </w:r>
      <w:r>
        <w:tab/>
      </w:r>
      <w:r>
        <w:fldChar w:fldCharType="begin"/>
      </w:r>
      <w:r>
        <w:instrText xml:space="preserve"> PAGEREF _Toc10166 \h </w:instrText>
      </w:r>
      <w:r>
        <w:fldChar w:fldCharType="separate"/>
      </w:r>
      <w:r>
        <w:t>46</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_Toc12897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44"/>
          <w:szCs w:val="28"/>
        </w:rPr>
        <w:t>第5章 货物需求一览表及技术规格</w:t>
      </w:r>
      <w:r>
        <w:tab/>
      </w:r>
      <w:r>
        <w:fldChar w:fldCharType="begin"/>
      </w:r>
      <w:r>
        <w:instrText xml:space="preserve"> PAGEREF _Toc12897 \h </w:instrText>
      </w:r>
      <w:r>
        <w:fldChar w:fldCharType="separate"/>
      </w:r>
      <w:r>
        <w:t>51</w:t>
      </w:r>
      <w:r>
        <w:fldChar w:fldCharType="end"/>
      </w:r>
      <w:r>
        <w:rPr>
          <w:rFonts w:hint="eastAsia" w:ascii="微软雅黑" w:hAnsi="微软雅黑" w:eastAsia="微软雅黑" w:cs="微软雅黑"/>
          <w:color w:val="auto"/>
          <w:kern w:val="0"/>
          <w:szCs w:val="28"/>
        </w:rPr>
        <w:fldChar w:fldCharType="end"/>
      </w:r>
    </w:p>
    <w:p>
      <w:pPr>
        <w:pStyle w:val="22"/>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_Toc30285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32"/>
        </w:rPr>
        <w:t>二、项目其他要求：</w:t>
      </w:r>
      <w:r>
        <w:tab/>
      </w:r>
      <w:r>
        <w:fldChar w:fldCharType="begin"/>
      </w:r>
      <w:r>
        <w:instrText xml:space="preserve"> PAGEREF _Toc30285 \h </w:instrText>
      </w:r>
      <w:r>
        <w:fldChar w:fldCharType="separate"/>
      </w:r>
      <w:r>
        <w:t>121</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_Toc32051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32"/>
        </w:rPr>
        <w:t>第6章  评标方法和标准</w:t>
      </w:r>
      <w:r>
        <w:tab/>
      </w:r>
      <w:r>
        <w:fldChar w:fldCharType="begin"/>
      </w:r>
      <w:r>
        <w:instrText xml:space="preserve"> PAGEREF _Toc32051 \h </w:instrText>
      </w:r>
      <w:r>
        <w:fldChar w:fldCharType="separate"/>
      </w:r>
      <w:r>
        <w:t>123</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_Toc13621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2"/>
        </w:rPr>
        <w:t>初步评审—资格性审查表</w:t>
      </w:r>
      <w:r>
        <w:tab/>
      </w:r>
      <w:r>
        <w:fldChar w:fldCharType="begin"/>
      </w:r>
      <w:r>
        <w:instrText xml:space="preserve"> PAGEREF _Toc13621 \h </w:instrText>
      </w:r>
      <w:r>
        <w:fldChar w:fldCharType="separate"/>
      </w:r>
      <w:r>
        <w:t>129</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_Toc6402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1"/>
        </w:rPr>
        <w:t>初步评审—符合性审查表</w:t>
      </w:r>
      <w:r>
        <w:tab/>
      </w:r>
      <w:r>
        <w:fldChar w:fldCharType="begin"/>
      </w:r>
      <w:r>
        <w:instrText xml:space="preserve"> PAGEREF _Toc6402 \h </w:instrText>
      </w:r>
      <w:r>
        <w:fldChar w:fldCharType="separate"/>
      </w:r>
      <w:r>
        <w:t>130</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_Toc4043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40"/>
        </w:rPr>
        <w:t>第 三 册</w:t>
      </w:r>
      <w:r>
        <w:tab/>
      </w:r>
      <w:r>
        <w:fldChar w:fldCharType="begin"/>
      </w:r>
      <w:r>
        <w:instrText xml:space="preserve"> PAGEREF _Toc4043 \h </w:instrText>
      </w:r>
      <w:r>
        <w:fldChar w:fldCharType="separate"/>
      </w:r>
      <w:r>
        <w:t>134</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_Toc12524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rPr>
        <w:t>第7章 政府采购合同</w:t>
      </w:r>
      <w:r>
        <w:tab/>
      </w:r>
      <w:r>
        <w:fldChar w:fldCharType="begin"/>
      </w:r>
      <w:r>
        <w:instrText xml:space="preserve"> PAGEREF _Toc12524 \h </w:instrText>
      </w:r>
      <w:r>
        <w:fldChar w:fldCharType="separate"/>
      </w:r>
      <w:r>
        <w:t>135</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_Toc16284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1.1 合同组成部分</w:t>
      </w:r>
      <w:r>
        <w:tab/>
      </w:r>
      <w:r>
        <w:fldChar w:fldCharType="begin"/>
      </w:r>
      <w:r>
        <w:instrText xml:space="preserve"> PAGEREF _Toc16284 \h </w:instrText>
      </w:r>
      <w:r>
        <w:fldChar w:fldCharType="separate"/>
      </w:r>
      <w:r>
        <w:t>136</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_Toc22143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1.2 货物</w:t>
      </w:r>
      <w:r>
        <w:tab/>
      </w:r>
      <w:r>
        <w:fldChar w:fldCharType="begin"/>
      </w:r>
      <w:r>
        <w:instrText xml:space="preserve"> PAGEREF _Toc22143 \h </w:instrText>
      </w:r>
      <w:r>
        <w:fldChar w:fldCharType="separate"/>
      </w:r>
      <w:r>
        <w:t>136</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_Toc15729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1.3 价款</w:t>
      </w:r>
      <w:r>
        <w:tab/>
      </w:r>
      <w:r>
        <w:fldChar w:fldCharType="begin"/>
      </w:r>
      <w:r>
        <w:instrText xml:space="preserve"> PAGEREF _Toc15729 \h </w:instrText>
      </w:r>
      <w:r>
        <w:fldChar w:fldCharType="separate"/>
      </w:r>
      <w:r>
        <w:t>136</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_Toc26752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1.4 付款方式和发票开具方式</w:t>
      </w:r>
      <w:r>
        <w:tab/>
      </w:r>
      <w:r>
        <w:fldChar w:fldCharType="begin"/>
      </w:r>
      <w:r>
        <w:instrText xml:space="preserve"> PAGEREF _Toc26752 \h </w:instrText>
      </w:r>
      <w:r>
        <w:fldChar w:fldCharType="separate"/>
      </w:r>
      <w:r>
        <w:t>136</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_Toc24466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1.5 货物交付期限、地点和方式</w:t>
      </w:r>
      <w:r>
        <w:tab/>
      </w:r>
      <w:r>
        <w:fldChar w:fldCharType="begin"/>
      </w:r>
      <w:r>
        <w:instrText xml:space="preserve"> PAGEREF _Toc24466 \h </w:instrText>
      </w:r>
      <w:r>
        <w:fldChar w:fldCharType="separate"/>
      </w:r>
      <w:r>
        <w:t>136</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_Toc2508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1.6 违约责任</w:t>
      </w:r>
      <w:r>
        <w:tab/>
      </w:r>
      <w:r>
        <w:fldChar w:fldCharType="begin"/>
      </w:r>
      <w:r>
        <w:instrText xml:space="preserve"> PAGEREF _Toc2508 \h </w:instrText>
      </w:r>
      <w:r>
        <w:fldChar w:fldCharType="separate"/>
      </w:r>
      <w:r>
        <w:t>136</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_Toc13375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1.7 合同争议的解决</w:t>
      </w:r>
      <w:r>
        <w:tab/>
      </w:r>
      <w:r>
        <w:fldChar w:fldCharType="begin"/>
      </w:r>
      <w:r>
        <w:instrText xml:space="preserve"> PAGEREF _Toc13375 \h </w:instrText>
      </w:r>
      <w:r>
        <w:fldChar w:fldCharType="separate"/>
      </w:r>
      <w:r>
        <w:t>137</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_Toc29487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1.8 合同生效</w:t>
      </w:r>
      <w:r>
        <w:tab/>
      </w:r>
      <w:r>
        <w:fldChar w:fldCharType="begin"/>
      </w:r>
      <w:r>
        <w:instrText xml:space="preserve"> PAGEREF _Toc29487 \h </w:instrText>
      </w:r>
      <w:r>
        <w:fldChar w:fldCharType="separate"/>
      </w:r>
      <w:r>
        <w:t>137</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_Toc3703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2.1 定义</w:t>
      </w:r>
      <w:r>
        <w:tab/>
      </w:r>
      <w:r>
        <w:fldChar w:fldCharType="begin"/>
      </w:r>
      <w:r>
        <w:instrText xml:space="preserve"> PAGEREF _Toc3703 \h </w:instrText>
      </w:r>
      <w:r>
        <w:fldChar w:fldCharType="separate"/>
      </w:r>
      <w:r>
        <w:t>138</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_Toc15240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2.2 技术规范</w:t>
      </w:r>
      <w:r>
        <w:tab/>
      </w:r>
      <w:r>
        <w:fldChar w:fldCharType="begin"/>
      </w:r>
      <w:r>
        <w:instrText xml:space="preserve"> PAGEREF _Toc15240 \h </w:instrText>
      </w:r>
      <w:r>
        <w:fldChar w:fldCharType="separate"/>
      </w:r>
      <w:r>
        <w:t>138</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_Toc25100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2.3 知识产权</w:t>
      </w:r>
      <w:r>
        <w:tab/>
      </w:r>
      <w:r>
        <w:fldChar w:fldCharType="begin"/>
      </w:r>
      <w:r>
        <w:instrText xml:space="preserve"> PAGEREF _Toc25100 \h </w:instrText>
      </w:r>
      <w:r>
        <w:fldChar w:fldCharType="separate"/>
      </w:r>
      <w:r>
        <w:t>138</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_Toc9734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2.4 包装和装运</w:t>
      </w:r>
      <w:r>
        <w:tab/>
      </w:r>
      <w:r>
        <w:fldChar w:fldCharType="begin"/>
      </w:r>
      <w:r>
        <w:instrText xml:space="preserve"> PAGEREF _Toc9734 \h </w:instrText>
      </w:r>
      <w:r>
        <w:fldChar w:fldCharType="separate"/>
      </w:r>
      <w:r>
        <w:t>139</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_Toc12661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2.5 履约检查和问题反馈</w:t>
      </w:r>
      <w:r>
        <w:tab/>
      </w:r>
      <w:r>
        <w:fldChar w:fldCharType="begin"/>
      </w:r>
      <w:r>
        <w:instrText xml:space="preserve"> PAGEREF _Toc12661 \h </w:instrText>
      </w:r>
      <w:r>
        <w:fldChar w:fldCharType="separate"/>
      </w:r>
      <w:r>
        <w:t>139</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_Toc20293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2.6 结算方式和付款条件</w:t>
      </w:r>
      <w:r>
        <w:tab/>
      </w:r>
      <w:r>
        <w:fldChar w:fldCharType="begin"/>
      </w:r>
      <w:r>
        <w:instrText xml:space="preserve"> PAGEREF _Toc20293 \h </w:instrText>
      </w:r>
      <w:r>
        <w:fldChar w:fldCharType="separate"/>
      </w:r>
      <w:r>
        <w:t>139</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_Toc8942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2.7 技术资料和保密义务</w:t>
      </w:r>
      <w:r>
        <w:tab/>
      </w:r>
      <w:r>
        <w:fldChar w:fldCharType="begin"/>
      </w:r>
      <w:r>
        <w:instrText xml:space="preserve"> PAGEREF _Toc8942 \h </w:instrText>
      </w:r>
      <w:r>
        <w:fldChar w:fldCharType="separate"/>
      </w:r>
      <w:r>
        <w:t>139</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_Toc6228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2.8 质量保证</w:t>
      </w:r>
      <w:r>
        <w:tab/>
      </w:r>
      <w:r>
        <w:fldChar w:fldCharType="begin"/>
      </w:r>
      <w:r>
        <w:instrText xml:space="preserve"> PAGEREF _Toc6228 \h </w:instrText>
      </w:r>
      <w:r>
        <w:fldChar w:fldCharType="separate"/>
      </w:r>
      <w:r>
        <w:t>139</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_Toc16367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2.9 货物的风险负担</w:t>
      </w:r>
      <w:r>
        <w:tab/>
      </w:r>
      <w:r>
        <w:fldChar w:fldCharType="begin"/>
      </w:r>
      <w:r>
        <w:instrText xml:space="preserve"> PAGEREF _Toc16367 \h </w:instrText>
      </w:r>
      <w:r>
        <w:fldChar w:fldCharType="separate"/>
      </w:r>
      <w:r>
        <w:t>139</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_Toc26347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2.10 延迟交货</w:t>
      </w:r>
      <w:r>
        <w:tab/>
      </w:r>
      <w:r>
        <w:fldChar w:fldCharType="begin"/>
      </w:r>
      <w:r>
        <w:instrText xml:space="preserve"> PAGEREF _Toc26347 \h </w:instrText>
      </w:r>
      <w:r>
        <w:fldChar w:fldCharType="separate"/>
      </w:r>
      <w:r>
        <w:t>139</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_Toc14590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2.11 合同变更</w:t>
      </w:r>
      <w:r>
        <w:tab/>
      </w:r>
      <w:r>
        <w:fldChar w:fldCharType="begin"/>
      </w:r>
      <w:r>
        <w:instrText xml:space="preserve"> PAGEREF _Toc14590 \h </w:instrText>
      </w:r>
      <w:r>
        <w:fldChar w:fldCharType="separate"/>
      </w:r>
      <w:r>
        <w:t>140</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_Toc19550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2.12 合同转让和分包</w:t>
      </w:r>
      <w:r>
        <w:tab/>
      </w:r>
      <w:r>
        <w:fldChar w:fldCharType="begin"/>
      </w:r>
      <w:r>
        <w:instrText xml:space="preserve"> PAGEREF _Toc19550 \h </w:instrText>
      </w:r>
      <w:r>
        <w:fldChar w:fldCharType="separate"/>
      </w:r>
      <w:r>
        <w:t>140</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_Toc6501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2.13 不可抗力</w:t>
      </w:r>
      <w:r>
        <w:tab/>
      </w:r>
      <w:r>
        <w:fldChar w:fldCharType="begin"/>
      </w:r>
      <w:r>
        <w:instrText xml:space="preserve"> PAGEREF _Toc6501 \h </w:instrText>
      </w:r>
      <w:r>
        <w:fldChar w:fldCharType="separate"/>
      </w:r>
      <w:r>
        <w:t>140</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_Toc28939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2.14 税费</w:t>
      </w:r>
      <w:r>
        <w:tab/>
      </w:r>
      <w:r>
        <w:fldChar w:fldCharType="begin"/>
      </w:r>
      <w:r>
        <w:instrText xml:space="preserve"> PAGEREF _Toc28939 \h </w:instrText>
      </w:r>
      <w:r>
        <w:fldChar w:fldCharType="separate"/>
      </w:r>
      <w:r>
        <w:t>140</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_Toc29019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2.15 乙方破产</w:t>
      </w:r>
      <w:r>
        <w:tab/>
      </w:r>
      <w:r>
        <w:fldChar w:fldCharType="begin"/>
      </w:r>
      <w:r>
        <w:instrText xml:space="preserve"> PAGEREF _Toc29019 \h </w:instrText>
      </w:r>
      <w:r>
        <w:fldChar w:fldCharType="separate"/>
      </w:r>
      <w:r>
        <w:t>140</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_Toc20564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2.16 合同中止、终止</w:t>
      </w:r>
      <w:r>
        <w:tab/>
      </w:r>
      <w:r>
        <w:fldChar w:fldCharType="begin"/>
      </w:r>
      <w:r>
        <w:instrText xml:space="preserve"> PAGEREF _Toc20564 \h </w:instrText>
      </w:r>
      <w:r>
        <w:fldChar w:fldCharType="separate"/>
      </w:r>
      <w:r>
        <w:t>140</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_Toc29336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2.17 检验和验收</w:t>
      </w:r>
      <w:r>
        <w:tab/>
      </w:r>
      <w:r>
        <w:fldChar w:fldCharType="begin"/>
      </w:r>
      <w:r>
        <w:instrText xml:space="preserve"> PAGEREF _Toc29336 \h </w:instrText>
      </w:r>
      <w:r>
        <w:fldChar w:fldCharType="separate"/>
      </w:r>
      <w:r>
        <w:t>140</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_Toc29039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2.18 通知和送达</w:t>
      </w:r>
      <w:r>
        <w:tab/>
      </w:r>
      <w:r>
        <w:fldChar w:fldCharType="begin"/>
      </w:r>
      <w:r>
        <w:instrText xml:space="preserve"> PAGEREF _Toc29039 \h </w:instrText>
      </w:r>
      <w:r>
        <w:fldChar w:fldCharType="separate"/>
      </w:r>
      <w:r>
        <w:t>141</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_Toc6770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2.19 计量单位</w:t>
      </w:r>
      <w:r>
        <w:tab/>
      </w:r>
      <w:r>
        <w:fldChar w:fldCharType="begin"/>
      </w:r>
      <w:r>
        <w:instrText xml:space="preserve"> PAGEREF _Toc6770 \h </w:instrText>
      </w:r>
      <w:r>
        <w:fldChar w:fldCharType="separate"/>
      </w:r>
      <w:r>
        <w:t>141</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_Toc27524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2.20 合同使用的文字和适用的法律</w:t>
      </w:r>
      <w:r>
        <w:tab/>
      </w:r>
      <w:r>
        <w:fldChar w:fldCharType="begin"/>
      </w:r>
      <w:r>
        <w:instrText xml:space="preserve"> PAGEREF _Toc27524 \h </w:instrText>
      </w:r>
      <w:r>
        <w:fldChar w:fldCharType="separate"/>
      </w:r>
      <w:r>
        <w:t>141</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_Toc7663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2.21 履约保证金</w:t>
      </w:r>
      <w:r>
        <w:tab/>
      </w:r>
      <w:r>
        <w:fldChar w:fldCharType="begin"/>
      </w:r>
      <w:r>
        <w:instrText xml:space="preserve"> PAGEREF _Toc7663 \h </w:instrText>
      </w:r>
      <w:r>
        <w:fldChar w:fldCharType="separate"/>
      </w:r>
      <w:r>
        <w:t>141</w:t>
      </w:r>
      <w:r>
        <w:fldChar w:fldCharType="end"/>
      </w:r>
      <w:r>
        <w:rPr>
          <w:rFonts w:hint="eastAsia" w:ascii="微软雅黑" w:hAnsi="微软雅黑" w:eastAsia="微软雅黑" w:cs="微软雅黑"/>
          <w:color w:val="auto"/>
          <w:kern w:val="0"/>
          <w:szCs w:val="28"/>
        </w:rPr>
        <w:fldChar w:fldCharType="end"/>
      </w:r>
    </w:p>
    <w:p>
      <w:pPr>
        <w:pStyle w:val="20"/>
        <w:tabs>
          <w:tab w:val="right" w:leader="dot" w:pos="8311"/>
        </w:tabs>
      </w:pPr>
      <w:r>
        <w:rPr>
          <w:rFonts w:hint="eastAsia" w:ascii="微软雅黑" w:hAnsi="微软雅黑" w:eastAsia="微软雅黑" w:cs="微软雅黑"/>
          <w:color w:val="auto"/>
          <w:kern w:val="0"/>
          <w:szCs w:val="28"/>
        </w:rPr>
        <w:fldChar w:fldCharType="begin"/>
      </w:r>
      <w:r>
        <w:rPr>
          <w:rFonts w:hint="eastAsia" w:ascii="微软雅黑" w:hAnsi="微软雅黑" w:eastAsia="微软雅黑" w:cs="微软雅黑"/>
          <w:kern w:val="0"/>
          <w:szCs w:val="28"/>
        </w:rPr>
        <w:instrText xml:space="preserve"> HYPERLINK \l _Toc14326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2.22 合同份数</w:t>
      </w:r>
      <w:r>
        <w:tab/>
      </w:r>
      <w:r>
        <w:fldChar w:fldCharType="begin"/>
      </w:r>
      <w:r>
        <w:instrText xml:space="preserve"> PAGEREF _Toc14326 \h </w:instrText>
      </w:r>
      <w:r>
        <w:fldChar w:fldCharType="separate"/>
      </w:r>
      <w:r>
        <w:t>141</w:t>
      </w:r>
      <w:r>
        <w:fldChar w:fldCharType="end"/>
      </w:r>
      <w:r>
        <w:rPr>
          <w:rFonts w:hint="eastAsia" w:ascii="微软雅黑" w:hAnsi="微软雅黑" w:eastAsia="微软雅黑" w:cs="微软雅黑"/>
          <w:color w:val="auto"/>
          <w:kern w:val="0"/>
          <w:szCs w:val="28"/>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rPr>
      </w:pPr>
      <w:r>
        <w:rPr>
          <w:rFonts w:hint="eastAsia" w:ascii="微软雅黑" w:hAnsi="微软雅黑" w:eastAsia="微软雅黑" w:cs="微软雅黑"/>
          <w:color w:val="auto"/>
          <w:kern w:val="0"/>
          <w:szCs w:val="28"/>
        </w:rPr>
        <w:fldChar w:fldCharType="end"/>
      </w: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rPr>
      </w:pP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rPr>
      </w:pP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rPr>
      </w:pP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rPr>
      </w:pP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rPr>
      </w:pP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rPr>
      </w:pP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rPr>
      </w:pP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rPr>
      </w:pP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rPr>
      </w:pP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rPr>
      </w:pP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rPr>
      </w:pPr>
    </w:p>
    <w:p>
      <w:pPr>
        <w:pStyle w:val="20"/>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auto"/>
          <w:sz w:val="32"/>
          <w:szCs w:val="32"/>
        </w:rPr>
      </w:pPr>
      <w:r>
        <w:rPr>
          <w:rFonts w:hint="eastAsia" w:ascii="微软雅黑" w:hAnsi="微软雅黑" w:eastAsia="微软雅黑" w:cs="微软雅黑"/>
          <w:b/>
          <w:bCs/>
          <w:color w:val="auto"/>
          <w:sz w:val="32"/>
          <w:szCs w:val="32"/>
        </w:rPr>
        <w:t>第1章  供应商须知</w:t>
      </w:r>
    </w:p>
    <w:p>
      <w:pPr>
        <w:pStyle w:val="4"/>
        <w:spacing w:before="0" w:line="240" w:lineRule="atLeast"/>
        <w:ind w:left="1080" w:leftChars="257" w:hanging="540"/>
        <w:rPr>
          <w:rFonts w:hint="eastAsia" w:ascii="微软雅黑" w:hAnsi="微软雅黑" w:eastAsia="微软雅黑" w:cs="微软雅黑"/>
          <w:color w:val="auto"/>
        </w:rPr>
      </w:pPr>
      <w:bookmarkStart w:id="0" w:name="_Toc520356143"/>
      <w:bookmarkStart w:id="1" w:name="_Toc216582805"/>
      <w:bookmarkStart w:id="2" w:name="_Toc515647757"/>
      <w:bookmarkStart w:id="3" w:name="_Toc21215"/>
      <w:bookmarkStart w:id="4" w:name="_Toc25745"/>
      <w:bookmarkStart w:id="5" w:name="_Toc21015"/>
      <w:bookmarkStart w:id="6" w:name="_Toc16706"/>
      <w:bookmarkStart w:id="7" w:name="_Toc5597"/>
      <w:r>
        <w:rPr>
          <w:rFonts w:hint="eastAsia" w:ascii="微软雅黑" w:hAnsi="微软雅黑" w:eastAsia="微软雅黑" w:cs="微软雅黑"/>
          <w:color w:val="auto"/>
          <w:sz w:val="28"/>
          <w:szCs w:val="28"/>
        </w:rPr>
        <w:t xml:space="preserve">一   </w:t>
      </w:r>
      <w:bookmarkEnd w:id="0"/>
      <w:bookmarkEnd w:id="1"/>
      <w:bookmarkEnd w:id="2"/>
      <w:r>
        <w:rPr>
          <w:rFonts w:hint="eastAsia" w:ascii="微软雅黑" w:hAnsi="微软雅黑" w:eastAsia="微软雅黑" w:cs="微软雅黑"/>
          <w:color w:val="auto"/>
          <w:sz w:val="28"/>
          <w:szCs w:val="28"/>
        </w:rPr>
        <w:t>总 则</w:t>
      </w:r>
      <w:bookmarkEnd w:id="3"/>
      <w:bookmarkEnd w:id="4"/>
      <w:bookmarkEnd w:id="5"/>
      <w:bookmarkEnd w:id="6"/>
      <w:bookmarkEnd w:id="7"/>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8" w:name="_Toc32189"/>
      <w:bookmarkStart w:id="9" w:name="_Toc520356144"/>
      <w:bookmarkStart w:id="10" w:name="_Toc32623"/>
      <w:bookmarkStart w:id="11" w:name="_Toc515647758"/>
      <w:bookmarkStart w:id="12" w:name="_Toc1120"/>
      <w:r>
        <w:rPr>
          <w:rFonts w:hint="eastAsia" w:ascii="微软雅黑" w:hAnsi="微软雅黑" w:eastAsia="微软雅黑" w:cs="微软雅黑"/>
          <w:color w:val="auto"/>
          <w:sz w:val="22"/>
          <w:szCs w:val="22"/>
          <w:u w:val="none"/>
        </w:rPr>
        <w:t>1.采购人、采购代理机构及</w:t>
      </w:r>
      <w:bookmarkEnd w:id="8"/>
      <w:bookmarkEnd w:id="9"/>
      <w:bookmarkEnd w:id="10"/>
      <w:bookmarkEnd w:id="11"/>
      <w:bookmarkEnd w:id="12"/>
      <w:r>
        <w:rPr>
          <w:rFonts w:hint="eastAsia" w:ascii="微软雅黑" w:hAnsi="微软雅黑" w:eastAsia="微软雅黑" w:cs="微软雅黑"/>
          <w:color w:val="auto"/>
          <w:sz w:val="22"/>
          <w:szCs w:val="22"/>
          <w:u w:val="none"/>
        </w:rPr>
        <w:t>供应商</w:t>
      </w:r>
    </w:p>
    <w:p>
      <w:pPr>
        <w:pageBreakBefore w:val="0"/>
        <w:numPr>
          <w:ilvl w:val="1"/>
          <w:numId w:val="2"/>
        </w:numPr>
        <w:tabs>
          <w:tab w:val="clear" w:pos="900"/>
        </w:tabs>
        <w:kinsoku/>
        <w:wordWrap/>
        <w:overflowPunct/>
        <w:topLinePunct w:val="0"/>
        <w:bidi w:val="0"/>
        <w:spacing w:line="400" w:lineRule="exact"/>
        <w:ind w:hanging="898"/>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采购人：是指依法开展政府采购活动的国家机关、事业单位、团体组织。</w:t>
      </w:r>
    </w:p>
    <w:p>
      <w:pPr>
        <w:pageBreakBefore w:val="0"/>
        <w:tabs>
          <w:tab w:val="left" w:pos="0"/>
        </w:tabs>
        <w:kinsoku/>
        <w:wordWrap/>
        <w:overflowPunct/>
        <w:topLinePunct w:val="0"/>
        <w:bidi w:val="0"/>
        <w:spacing w:line="400" w:lineRule="exact"/>
        <w:ind w:left="9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本项目的采购人见</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w:t>
      </w:r>
    </w:p>
    <w:p>
      <w:pPr>
        <w:pageBreakBefore w:val="0"/>
        <w:numPr>
          <w:ilvl w:val="1"/>
          <w:numId w:val="2"/>
        </w:numPr>
        <w:tabs>
          <w:tab w:val="clear" w:pos="900"/>
        </w:tabs>
        <w:kinsoku/>
        <w:wordWrap/>
        <w:overflowPunct/>
        <w:topLinePunct w:val="0"/>
        <w:bidi w:val="0"/>
        <w:spacing w:line="400" w:lineRule="exact"/>
        <w:ind w:hanging="898"/>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采购代理机构：是指在集中采购机构或从事采购代理业务的社会中介机构。本项目的采购代理机构见</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w:t>
      </w:r>
    </w:p>
    <w:p>
      <w:pPr>
        <w:pageBreakBefore w:val="0"/>
        <w:numPr>
          <w:ilvl w:val="1"/>
          <w:numId w:val="2"/>
        </w:numPr>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供应商：是指向采购人提供货物、工程或者服务的法人、非法人组织或者自然人。 本项目的供应商及其投标货物须满足以下条件：</w:t>
      </w:r>
    </w:p>
    <w:p>
      <w:pPr>
        <w:pageBreakBefore w:val="0"/>
        <w:kinsoku/>
        <w:wordWrap/>
        <w:overflowPunct/>
        <w:topLinePunct w:val="0"/>
        <w:bidi w:val="0"/>
        <w:spacing w:line="400" w:lineRule="exact"/>
        <w:ind w:left="779" w:hanging="778" w:hangingChars="354"/>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在中华人民共和国境内注册，能够独立承担民事责任，有生产或供应能力的本国供应商。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1.3.2  具备《中华人民共和国政府采购法》第二十二条关于供应商条件的规定，遵守本项目采购人本级和上级财政部门政府采购的有关规定。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1.3.3   以采购代理机构认可的方式获得了本项目的招标文件。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1.3.4   符合</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中规定的其他要求。</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1.3.5   若</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中写明允许采购进口产品，供应商应保证所投产品可履行合法报通关手续进入中国关境内。</w:t>
      </w:r>
    </w:p>
    <w:p>
      <w:pPr>
        <w:pageBreakBefore w:val="0"/>
        <w:kinsoku/>
        <w:wordWrap/>
        <w:overflowPunct/>
        <w:topLinePunct w:val="0"/>
        <w:bidi w:val="0"/>
        <w:spacing w:line="400" w:lineRule="exact"/>
        <w:ind w:left="899" w:leftChars="428"/>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若</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中未写明允许采购进口产品，如供应商所投产品为进口产品，其投标将被认定为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1.3.6  若</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中写明专门面向中小企业采购的，如供应商为非中小企业且所投产品为非中小企业产品，其投标将被认定为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     如</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中允许联合体投标，对联合体规定如下：</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1.4.1   两个以上供应商可以组成一个投标联合体，以一个供应商的身份投标。</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1.4.2   联合体各方均应符合《中华人民共和国政府采购法》第二十二条规定的条件。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1.4.3   采购人根据采购项目对供应商的特殊要求，联合体中至少应当有一方符合相关规定。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1.4.4   联合体各方应签订共同投标协议，明确约定联合体各方承担的工作和相应的责任，并将共同投标协议连同作为投标文件第一部分的内容提交。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1.4.6  联合体中有同类资质的供应商按照联合体分工承担相同工作的，按照较低的资质等级确定联合体的资质等级。</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1.4.8   对联合体投标的其他资格要求见</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1.5    单位负责人为同一人或者存在直接控股、管理关系的不同供应商，其相关投标将被认定为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1.7</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3" w:name="_Toc5286"/>
      <w:bookmarkStart w:id="14" w:name="_Toc4067"/>
      <w:bookmarkStart w:id="15" w:name="_Toc12139"/>
      <w:bookmarkStart w:id="16" w:name="_Toc515647759"/>
      <w:r>
        <w:rPr>
          <w:rFonts w:hint="eastAsia" w:ascii="微软雅黑" w:hAnsi="微软雅黑" w:eastAsia="微软雅黑" w:cs="微软雅黑"/>
          <w:color w:val="auto"/>
          <w:sz w:val="22"/>
          <w:szCs w:val="22"/>
          <w:u w:val="none"/>
        </w:rPr>
        <w:t>2.资金来源</w:t>
      </w:r>
      <w:bookmarkEnd w:id="13"/>
      <w:bookmarkEnd w:id="14"/>
      <w:bookmarkEnd w:id="15"/>
      <w:bookmarkEnd w:id="16"/>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本项目的采购人已获得足以支付本次招标后所签订的合同项下的资金（包括财政性资金和本项目采购中无法与财政性资金分割的非财政性资金）。</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2.2    项目预算金额和分项或分包最高限价</w:t>
      </w:r>
      <w:r>
        <w:rPr>
          <w:rFonts w:hint="eastAsia" w:ascii="微软雅黑" w:hAnsi="微软雅黑" w:eastAsia="微软雅黑" w:cs="微软雅黑"/>
          <w:color w:val="auto"/>
          <w:sz w:val="22"/>
          <w:szCs w:val="22"/>
          <w:u w:val="single"/>
        </w:rPr>
        <w:t>见供应商须知资料表</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2.3    供应商报价超过招标文件规定的预算金额或者分项、分包最高限价的，其投标将被认定为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7" w:name="_Toc15936"/>
      <w:bookmarkStart w:id="18" w:name="_Toc520356145"/>
      <w:bookmarkStart w:id="19" w:name="_Toc4840"/>
      <w:bookmarkStart w:id="20" w:name="_Toc515647760"/>
      <w:bookmarkStart w:id="21" w:name="_Toc20526"/>
      <w:r>
        <w:rPr>
          <w:rFonts w:hint="eastAsia" w:ascii="微软雅黑" w:hAnsi="微软雅黑" w:eastAsia="微软雅黑" w:cs="微软雅黑"/>
          <w:color w:val="auto"/>
          <w:sz w:val="22"/>
          <w:szCs w:val="22"/>
          <w:u w:val="none"/>
        </w:rPr>
        <w:t>3.投标费用</w:t>
      </w:r>
      <w:bookmarkEnd w:id="17"/>
      <w:bookmarkEnd w:id="18"/>
      <w:bookmarkEnd w:id="19"/>
      <w:bookmarkEnd w:id="20"/>
      <w:bookmarkEnd w:id="2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不论投标的结果如何，供应商应承担所有与准备和参加投标有关的费用。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2" w:name="_Toc6116"/>
      <w:bookmarkStart w:id="23" w:name="_Toc4463"/>
      <w:bookmarkStart w:id="24" w:name="_Toc22810"/>
      <w:bookmarkStart w:id="25" w:name="_Toc515647761"/>
      <w:r>
        <w:rPr>
          <w:rFonts w:hint="eastAsia" w:ascii="微软雅黑" w:hAnsi="微软雅黑" w:eastAsia="微软雅黑" w:cs="微软雅黑"/>
          <w:color w:val="auto"/>
          <w:sz w:val="22"/>
          <w:szCs w:val="22"/>
          <w:u w:val="none"/>
        </w:rPr>
        <w:t>4.适用法律</w:t>
      </w:r>
      <w:bookmarkEnd w:id="22"/>
      <w:bookmarkEnd w:id="23"/>
      <w:bookmarkEnd w:id="24"/>
      <w:bookmarkEnd w:id="2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rPr>
      </w:pPr>
      <w:bookmarkStart w:id="26" w:name="_Toc520356146"/>
      <w:bookmarkStart w:id="27" w:name="_Toc4365"/>
      <w:bookmarkStart w:id="28" w:name="_Toc25381"/>
      <w:bookmarkStart w:id="29" w:name="_Toc216582806"/>
      <w:bookmarkStart w:id="30" w:name="_Toc18288"/>
      <w:bookmarkStart w:id="31" w:name="_Toc6382"/>
      <w:bookmarkStart w:id="32" w:name="_Toc515647762"/>
      <w:bookmarkStart w:id="33" w:name="_Toc21566"/>
      <w:r>
        <w:rPr>
          <w:rFonts w:hint="eastAsia" w:ascii="微软雅黑" w:hAnsi="微软雅黑" w:eastAsia="微软雅黑" w:cs="微软雅黑"/>
          <w:color w:val="auto"/>
          <w:sz w:val="22"/>
          <w:szCs w:val="22"/>
        </w:rPr>
        <w:t>二   招标文件</w:t>
      </w:r>
      <w:bookmarkEnd w:id="26"/>
      <w:bookmarkEnd w:id="27"/>
      <w:bookmarkEnd w:id="28"/>
      <w:bookmarkEnd w:id="29"/>
      <w:bookmarkEnd w:id="30"/>
      <w:bookmarkEnd w:id="31"/>
      <w:bookmarkEnd w:id="32"/>
      <w:bookmarkEnd w:id="33"/>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34" w:name="_Toc25000"/>
      <w:bookmarkStart w:id="35" w:name="_Toc515647763"/>
      <w:bookmarkStart w:id="36" w:name="_Toc520356147"/>
      <w:bookmarkStart w:id="37" w:name="_Toc14084"/>
      <w:bookmarkStart w:id="38" w:name="_Toc25743"/>
      <w:r>
        <w:rPr>
          <w:rFonts w:hint="eastAsia" w:ascii="微软雅黑" w:hAnsi="微软雅黑" w:eastAsia="微软雅黑" w:cs="微软雅黑"/>
          <w:color w:val="auto"/>
          <w:sz w:val="22"/>
          <w:szCs w:val="22"/>
          <w:u w:val="none"/>
        </w:rPr>
        <w:t>5.招标文件构成</w:t>
      </w:r>
      <w:bookmarkEnd w:id="34"/>
      <w:bookmarkEnd w:id="35"/>
      <w:bookmarkEnd w:id="36"/>
      <w:bookmarkEnd w:id="37"/>
      <w:bookmarkEnd w:id="3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招标文件分为三册共7章，内容如下：</w:t>
      </w:r>
    </w:p>
    <w:p>
      <w:pPr>
        <w:pageBreakBefore w:val="0"/>
        <w:kinsoku/>
        <w:wordWrap/>
        <w:overflowPunct/>
        <w:topLinePunct w:val="0"/>
        <w:bidi w:val="0"/>
        <w:spacing w:line="400" w:lineRule="exact"/>
        <w:ind w:left="1064" w:leftChars="428" w:hanging="165" w:hangingChars="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第一册</w:t>
      </w:r>
    </w:p>
    <w:p>
      <w:pPr>
        <w:pageBreakBefore w:val="0"/>
        <w:numPr>
          <w:ilvl w:val="0"/>
          <w:numId w:val="3"/>
        </w:numPr>
        <w:tabs>
          <w:tab w:val="left" w:pos="0"/>
        </w:tabs>
        <w:kinsoku/>
        <w:wordWrap/>
        <w:overflowPunct/>
        <w:topLinePunct w:val="0"/>
        <w:bidi w:val="0"/>
        <w:spacing w:line="400" w:lineRule="exact"/>
        <w:ind w:hanging="829"/>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供应商须知</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投标文件格式</w:t>
      </w:r>
    </w:p>
    <w:p>
      <w:pPr>
        <w:pageBreakBefore w:val="0"/>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第二册</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投标邀请</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供应商须知资料表</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货物需求一览表及技术规格</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评标方法和标准</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第三册</w:t>
      </w:r>
    </w:p>
    <w:p>
      <w:pPr>
        <w:pageBreakBefore w:val="0"/>
        <w:numPr>
          <w:ilvl w:val="0"/>
          <w:numId w:val="3"/>
        </w:numPr>
        <w:kinsoku/>
        <w:wordWrap/>
        <w:overflowPunct/>
        <w:topLinePunct w:val="0"/>
        <w:bidi w:val="0"/>
        <w:spacing w:line="400" w:lineRule="exact"/>
        <w:ind w:left="718" w:leftChars="342"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政府采购合同格式</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如本文件的前后内容不一致，以最后描述为准。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39" w:name="_Toc520356148"/>
      <w:bookmarkStart w:id="40" w:name="_Toc515904805"/>
      <w:bookmarkStart w:id="41" w:name="_Toc28810"/>
      <w:bookmarkStart w:id="42" w:name="_Toc9232"/>
      <w:bookmarkStart w:id="43" w:name="_Toc26044"/>
      <w:r>
        <w:rPr>
          <w:rFonts w:hint="eastAsia" w:ascii="微软雅黑" w:hAnsi="微软雅黑" w:eastAsia="微软雅黑" w:cs="微软雅黑"/>
          <w:color w:val="auto"/>
          <w:sz w:val="22"/>
          <w:szCs w:val="22"/>
          <w:u w:val="none"/>
        </w:rPr>
        <w:t>6.招标文件的澄清</w:t>
      </w:r>
      <w:bookmarkEnd w:id="39"/>
      <w:bookmarkEnd w:id="40"/>
      <w:r>
        <w:rPr>
          <w:rFonts w:hint="eastAsia" w:ascii="微软雅黑" w:hAnsi="微软雅黑" w:eastAsia="微软雅黑" w:cs="微软雅黑"/>
          <w:color w:val="auto"/>
          <w:sz w:val="22"/>
          <w:szCs w:val="22"/>
          <w:u w:val="none"/>
        </w:rPr>
        <w:t>与修改</w:t>
      </w:r>
      <w:bookmarkEnd w:id="41"/>
      <w:bookmarkEnd w:id="42"/>
      <w:bookmarkEnd w:id="43"/>
    </w:p>
    <w:p>
      <w:pPr>
        <w:pStyle w:val="2"/>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6.1    为了保证对招标文件的澄清和修改满足法律的时限要求，任何要求对招标文件进行澄清的供应商，均应在投标截止期十五日前，以书面形式将澄清要求通知采购人或采购代理机构。</w:t>
      </w:r>
    </w:p>
    <w:p>
      <w:pPr>
        <w:pStyle w:val="2"/>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rPr>
      </w:pPr>
      <w:bookmarkStart w:id="44" w:name="_Toc515904806"/>
      <w:bookmarkStart w:id="45" w:name="_Ref467378678"/>
      <w:bookmarkStart w:id="46" w:name="_Toc520356149"/>
      <w:r>
        <w:rPr>
          <w:rFonts w:hint="eastAsia" w:ascii="微软雅黑" w:hAnsi="微软雅黑" w:eastAsia="微软雅黑" w:cs="微软雅黑"/>
          <w:color w:val="auto"/>
          <w:sz w:val="22"/>
          <w:szCs w:val="22"/>
        </w:rPr>
        <w:t>6.2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采购人可主动地或在解答供应商提出的澄清问题时对招标文件进行澄清或修改。采购代理机构将以发布澄清（更正）公告的方式，澄清或修改招标文件，澄清或修改内容作为招标文件的组成部分。</w:t>
      </w:r>
    </w:p>
    <w:p>
      <w:pPr>
        <w:pStyle w:val="2"/>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6.3</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澄清或者修改的内容可能影响投标文件编制的，采购代理机构将以书面形式通知所有购买招标文件的潜在供应商，并对其具有约束力。供应商在收到上述通知后，应及时向采购代理机构回函确认。</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47" w:name="_Toc25635"/>
      <w:bookmarkStart w:id="48" w:name="_Toc17311"/>
      <w:bookmarkStart w:id="49" w:name="_Toc14569"/>
      <w:r>
        <w:rPr>
          <w:rFonts w:hint="eastAsia" w:ascii="微软雅黑" w:hAnsi="微软雅黑" w:eastAsia="微软雅黑" w:cs="微软雅黑"/>
          <w:color w:val="auto"/>
          <w:sz w:val="22"/>
          <w:szCs w:val="22"/>
          <w:u w:val="none"/>
        </w:rPr>
        <w:t>7</w:t>
      </w:r>
      <w:bookmarkEnd w:id="44"/>
      <w:bookmarkEnd w:id="45"/>
      <w:bookmarkEnd w:id="46"/>
      <w:r>
        <w:rPr>
          <w:rFonts w:hint="eastAsia" w:ascii="微软雅黑" w:hAnsi="微软雅黑" w:eastAsia="微软雅黑" w:cs="微软雅黑"/>
          <w:color w:val="auto"/>
          <w:sz w:val="22"/>
          <w:szCs w:val="22"/>
          <w:u w:val="none"/>
        </w:rPr>
        <w:t>.投标截止时间的顺延</w:t>
      </w:r>
      <w:bookmarkEnd w:id="47"/>
      <w:bookmarkEnd w:id="48"/>
      <w:bookmarkEnd w:id="4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为使供应商准备投标时有足够的时间对招标文件的澄清或者修改部分进行研究，采购人将依法决定是否顺延投标截止时间。</w:t>
      </w:r>
    </w:p>
    <w:p>
      <w:pPr>
        <w:pStyle w:val="4"/>
        <w:pageBreakBefore w:val="0"/>
        <w:tabs>
          <w:tab w:val="left" w:pos="900"/>
        </w:tabs>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rPr>
      </w:pPr>
      <w:bookmarkStart w:id="50" w:name="_Toc516367020"/>
      <w:bookmarkStart w:id="51" w:name="_Toc520356150"/>
      <w:bookmarkStart w:id="52" w:name="_Toc7636"/>
      <w:bookmarkStart w:id="53" w:name="_Toc515647766"/>
      <w:bookmarkStart w:id="54" w:name="_Toc20381"/>
      <w:bookmarkStart w:id="55" w:name="_Toc23138"/>
      <w:bookmarkStart w:id="56" w:name="_Toc30808"/>
      <w:bookmarkStart w:id="57" w:name="_Toc216582807"/>
      <w:bookmarkStart w:id="58" w:name="_Toc32270"/>
      <w:r>
        <w:rPr>
          <w:rFonts w:hint="eastAsia" w:ascii="微软雅黑" w:hAnsi="微软雅黑" w:eastAsia="微软雅黑" w:cs="微软雅黑"/>
          <w:color w:val="auto"/>
          <w:sz w:val="22"/>
          <w:szCs w:val="22"/>
        </w:rPr>
        <w:t>三   投标文件</w:t>
      </w:r>
      <w:bookmarkEnd w:id="50"/>
      <w:r>
        <w:rPr>
          <w:rFonts w:hint="eastAsia" w:ascii="微软雅黑" w:hAnsi="微软雅黑" w:eastAsia="微软雅黑" w:cs="微软雅黑"/>
          <w:color w:val="auto"/>
          <w:sz w:val="22"/>
          <w:szCs w:val="22"/>
        </w:rPr>
        <w:t>的编制</w:t>
      </w:r>
      <w:bookmarkEnd w:id="51"/>
      <w:bookmarkEnd w:id="52"/>
      <w:bookmarkEnd w:id="53"/>
      <w:bookmarkEnd w:id="54"/>
      <w:bookmarkEnd w:id="55"/>
      <w:bookmarkEnd w:id="56"/>
      <w:bookmarkEnd w:id="57"/>
      <w:bookmarkEnd w:id="58"/>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59" w:name="_Toc3553"/>
      <w:bookmarkStart w:id="60" w:name="_Toc515647767"/>
      <w:bookmarkStart w:id="61" w:name="_Toc7786"/>
      <w:bookmarkStart w:id="62" w:name="_Toc516367021"/>
      <w:bookmarkStart w:id="63" w:name="_Toc520356151"/>
      <w:bookmarkStart w:id="64" w:name="_Toc30852"/>
      <w:r>
        <w:rPr>
          <w:rFonts w:hint="eastAsia" w:ascii="微软雅黑" w:hAnsi="微软雅黑" w:eastAsia="微软雅黑" w:cs="微软雅黑"/>
          <w:color w:val="auto"/>
          <w:sz w:val="22"/>
          <w:szCs w:val="22"/>
          <w:u w:val="none"/>
        </w:rPr>
        <w:t>8.</w:t>
      </w:r>
      <w:r>
        <w:rPr>
          <w:rFonts w:hint="eastAsia" w:ascii="微软雅黑" w:hAnsi="微软雅黑" w:eastAsia="微软雅黑" w:cs="微软雅黑"/>
          <w:color w:val="auto"/>
          <w:sz w:val="22"/>
          <w:szCs w:val="22"/>
          <w:u w:val="none"/>
        </w:rPr>
        <w:tab/>
      </w:r>
      <w:r>
        <w:rPr>
          <w:rFonts w:hint="eastAsia" w:ascii="微软雅黑" w:hAnsi="微软雅黑" w:eastAsia="微软雅黑" w:cs="微软雅黑"/>
          <w:color w:val="auto"/>
          <w:sz w:val="22"/>
          <w:szCs w:val="22"/>
          <w:u w:val="none"/>
        </w:rPr>
        <w:t>投标范围及投标文件中标准和计量单位的使用</w:t>
      </w:r>
      <w:bookmarkEnd w:id="59"/>
      <w:bookmarkEnd w:id="60"/>
      <w:bookmarkEnd w:id="61"/>
      <w:bookmarkEnd w:id="62"/>
      <w:bookmarkEnd w:id="63"/>
      <w:bookmarkEnd w:id="64"/>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8.1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项目有分包的，供应商可对招标文件其中某一个或几个分包货物进行投标，除非在</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中另有规定。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8.2     供应商应当对所投分包招标文件中“服务需求”所列的所有内容进行投标，如仅响应某一包中的部分内容，其该包投标将被认定为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8.3     无论招标文件第5章货物需求一览表及技术规格中是否要求，供应商所投货物均应符合国家强制性标准。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8.4     除招标文件中有特殊要求外，投标文件中所使用的计量单位，应采用中华人民共和国法定计量单位。</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65" w:name="_Ref467306676"/>
      <w:bookmarkStart w:id="66" w:name="_Toc516367022"/>
      <w:bookmarkStart w:id="67" w:name="_Ref467306195"/>
      <w:bookmarkStart w:id="68" w:name="_Toc520356152"/>
      <w:bookmarkStart w:id="69" w:name="_Toc10364"/>
      <w:bookmarkStart w:id="70" w:name="_Toc28307"/>
      <w:bookmarkStart w:id="71" w:name="_Toc515647768"/>
      <w:bookmarkStart w:id="72" w:name="_Toc32655"/>
      <w:r>
        <w:rPr>
          <w:rFonts w:hint="eastAsia" w:ascii="微软雅黑" w:hAnsi="微软雅黑" w:eastAsia="微软雅黑" w:cs="微软雅黑"/>
          <w:color w:val="auto"/>
          <w:sz w:val="22"/>
          <w:szCs w:val="22"/>
          <w:u w:val="none"/>
        </w:rPr>
        <w:t>9.投标文件</w:t>
      </w:r>
      <w:bookmarkEnd w:id="65"/>
      <w:bookmarkEnd w:id="66"/>
      <w:bookmarkEnd w:id="67"/>
      <w:r>
        <w:rPr>
          <w:rFonts w:hint="eastAsia" w:ascii="微软雅黑" w:hAnsi="微软雅黑" w:eastAsia="微软雅黑" w:cs="微软雅黑"/>
          <w:color w:val="auto"/>
          <w:sz w:val="22"/>
          <w:szCs w:val="22"/>
          <w:u w:val="none"/>
        </w:rPr>
        <w:t>构成</w:t>
      </w:r>
      <w:bookmarkEnd w:id="68"/>
      <w:bookmarkEnd w:id="69"/>
      <w:bookmarkEnd w:id="70"/>
      <w:bookmarkEnd w:id="71"/>
      <w:bookmarkEnd w:id="72"/>
    </w:p>
    <w:p>
      <w:pPr>
        <w:pageBreakBefore w:val="0"/>
        <w:tabs>
          <w:tab w:val="left" w:pos="900"/>
          <w:tab w:val="left" w:pos="5580"/>
        </w:tabs>
        <w:kinsoku/>
        <w:wordWrap/>
        <w:overflowPunct/>
        <w:topLinePunct w:val="0"/>
        <w:bidi w:val="0"/>
        <w:spacing w:line="400" w:lineRule="exact"/>
        <w:ind w:left="880" w:hanging="880" w:hangingChars="400"/>
        <w:jc w:val="left"/>
        <w:textAlignment w:val="auto"/>
        <w:rPr>
          <w:rFonts w:hint="eastAsia" w:ascii="微软雅黑" w:hAnsi="微软雅黑" w:eastAsia="微软雅黑" w:cs="微软雅黑"/>
          <w:color w:val="auto"/>
          <w:sz w:val="22"/>
          <w:szCs w:val="22"/>
          <w:u w:val="single"/>
        </w:rPr>
      </w:pPr>
      <w:bookmarkStart w:id="73" w:name="_Ref467052588"/>
      <w:r>
        <w:rPr>
          <w:rFonts w:hint="eastAsia" w:ascii="微软雅黑" w:hAnsi="微软雅黑" w:eastAsia="微软雅黑" w:cs="微软雅黑"/>
          <w:color w:val="auto"/>
          <w:sz w:val="22"/>
          <w:szCs w:val="22"/>
        </w:rPr>
        <w:t xml:space="preserve">9.1     </w:t>
      </w:r>
      <w:r>
        <w:rPr>
          <w:rFonts w:hint="eastAsia" w:ascii="微软雅黑" w:hAnsi="微软雅黑" w:eastAsia="微软雅黑" w:cs="微软雅黑"/>
          <w:color w:val="auto"/>
          <w:sz w:val="22"/>
          <w:szCs w:val="22"/>
          <w:u w:val="single"/>
        </w:rPr>
        <w:t>供应商应完整地按招标文件提供的投标文件格式及要求</w:t>
      </w:r>
      <w:r>
        <w:rPr>
          <w:rFonts w:hint="eastAsia" w:ascii="微软雅黑" w:hAnsi="微软雅黑" w:eastAsia="微软雅黑" w:cs="微软雅黑"/>
          <w:color w:val="auto"/>
          <w:sz w:val="22"/>
          <w:szCs w:val="22"/>
          <w:u w:val="single"/>
          <w:lang w:eastAsia="zh-CN"/>
        </w:rPr>
        <w:t>编</w:t>
      </w:r>
      <w:r>
        <w:rPr>
          <w:rFonts w:hint="eastAsia" w:ascii="微软雅黑" w:hAnsi="微软雅黑" w:eastAsia="微软雅黑" w:cs="微软雅黑"/>
          <w:color w:val="auto"/>
          <w:sz w:val="22"/>
          <w:szCs w:val="22"/>
          <w:u w:val="single"/>
        </w:rPr>
        <w:t>写投标文件，投标文件应包括“开标一览表及资格证明文件”和“商务及技术文件”两部分，两部分合订成一册，密封递交。供应商应承担封装失误产生的任何后果。</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9.2    上述文件应按照招标文件规定的格式填写、签署和盖章。</w:t>
      </w:r>
    </w:p>
    <w:bookmarkEnd w:id="73"/>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74" w:name="_Toc4601"/>
      <w:bookmarkStart w:id="75" w:name="_Toc515647769"/>
      <w:bookmarkStart w:id="76" w:name="_Toc516367023"/>
      <w:bookmarkStart w:id="77" w:name="_Toc27659"/>
      <w:bookmarkStart w:id="78" w:name="_Toc10379"/>
      <w:bookmarkStart w:id="79" w:name="_Toc520356153"/>
      <w:r>
        <w:rPr>
          <w:rFonts w:hint="eastAsia" w:ascii="微软雅黑" w:hAnsi="微软雅黑" w:eastAsia="微软雅黑" w:cs="微软雅黑"/>
          <w:color w:val="auto"/>
          <w:sz w:val="22"/>
          <w:szCs w:val="22"/>
          <w:u w:val="none"/>
        </w:rPr>
        <w:t>10.</w:t>
      </w:r>
      <w:r>
        <w:rPr>
          <w:rFonts w:hint="eastAsia" w:ascii="微软雅黑" w:hAnsi="微软雅黑" w:eastAsia="微软雅黑" w:cs="微软雅黑"/>
          <w:color w:val="auto"/>
          <w:sz w:val="22"/>
          <w:szCs w:val="22"/>
          <w:u w:val="none"/>
        </w:rPr>
        <w:tab/>
      </w:r>
      <w:r>
        <w:rPr>
          <w:rFonts w:hint="eastAsia" w:ascii="微软雅黑" w:hAnsi="微软雅黑" w:eastAsia="微软雅黑" w:cs="微软雅黑"/>
          <w:color w:val="auto"/>
          <w:sz w:val="22"/>
          <w:szCs w:val="22"/>
          <w:u w:val="none"/>
        </w:rPr>
        <w:t>证明投标标的的合格性和符合招标文件规定的技术文件</w:t>
      </w:r>
      <w:bookmarkEnd w:id="74"/>
      <w:bookmarkEnd w:id="75"/>
      <w:bookmarkEnd w:id="76"/>
      <w:bookmarkEnd w:id="77"/>
      <w:bookmarkEnd w:id="78"/>
      <w:bookmarkEnd w:id="7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供应商应提交证明文件，证明其投标内容符合招标文件规定。该证明文件是投标文件的一部分。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bookmarkStart w:id="80" w:name="_Ref467306244"/>
      <w:r>
        <w:rPr>
          <w:rFonts w:hint="eastAsia" w:ascii="微软雅黑" w:hAnsi="微软雅黑" w:eastAsia="微软雅黑" w:cs="微软雅黑"/>
          <w:color w:val="auto"/>
          <w:sz w:val="22"/>
          <w:szCs w:val="22"/>
        </w:rPr>
        <w:t>10.2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上款所述的证明文件，可以是文字资料、图纸和数据，</w:t>
      </w:r>
      <w:bookmarkEnd w:id="80"/>
      <w:r>
        <w:rPr>
          <w:rFonts w:hint="eastAsia" w:ascii="微软雅黑" w:hAnsi="微软雅黑" w:eastAsia="微软雅黑" w:cs="微软雅黑"/>
          <w:color w:val="auto"/>
          <w:sz w:val="22"/>
          <w:szCs w:val="22"/>
        </w:rPr>
        <w:t>它包括：</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10.2.1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货物主要技术指标和性能的详细说明；</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10.2.2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货物从买方开始使用至招标文件规定的保质期内正常、连续地使用所必须的备件和专用工具清单，包括备件和专用工具的货源及现行价格；</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10.2.3</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对照招标文件技术规格，逐条说明所提供货物及伴随的工程和服务已对招标文件的技术规格做出了实质性的响应，或申明与技术规格条文的偏差和例外。</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10.3</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81" w:name="_Toc2248"/>
      <w:bookmarkStart w:id="82" w:name="_Toc520356155"/>
      <w:bookmarkStart w:id="83" w:name="_Toc515647770"/>
      <w:bookmarkStart w:id="84" w:name="_Toc28654"/>
      <w:bookmarkStart w:id="85" w:name="_Toc23231"/>
      <w:r>
        <w:rPr>
          <w:rFonts w:hint="eastAsia" w:ascii="微软雅黑" w:hAnsi="微软雅黑" w:eastAsia="微软雅黑" w:cs="微软雅黑"/>
          <w:color w:val="auto"/>
          <w:sz w:val="22"/>
          <w:szCs w:val="22"/>
          <w:u w:val="none"/>
        </w:rPr>
        <w:t>11.投标报价</w:t>
      </w:r>
      <w:bookmarkEnd w:id="81"/>
      <w:bookmarkEnd w:id="82"/>
      <w:bookmarkEnd w:id="83"/>
      <w:bookmarkEnd w:id="84"/>
      <w:bookmarkEnd w:id="8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供应商应在投标分项报价表上标明投标货物及相关服务的单价（如适用）和总价，并由法定代表人或其授权代表签署。</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11.3</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投标分项报价表上的价格应按下列方式填写：</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11.3.1  投标货物（包括备品备件、专用工具等）的出厂价（包括已在中国国内的进口货物完税后的仓库交货价、展室交货价或货架交货价），投标货物安装、调试、检验、技术服务和培训等费用；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11.3.2  货物运至最终目的地的运输费和保险费用。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11.4</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11.5</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每种货物只能有一个投标报价。采购人不接受具有附加条件的报价。</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86" w:name="_Ref467306513"/>
      <w:bookmarkStart w:id="87" w:name="_Toc23985"/>
      <w:bookmarkStart w:id="88" w:name="_Toc11514"/>
      <w:bookmarkStart w:id="89" w:name="_Toc520356156"/>
      <w:bookmarkStart w:id="90" w:name="_Toc17788"/>
      <w:bookmarkStart w:id="91" w:name="_Toc515647771"/>
      <w:r>
        <w:rPr>
          <w:rFonts w:hint="eastAsia" w:ascii="微软雅黑" w:hAnsi="微软雅黑" w:eastAsia="微软雅黑" w:cs="微软雅黑"/>
          <w:color w:val="auto"/>
          <w:sz w:val="22"/>
          <w:szCs w:val="22"/>
          <w:u w:val="none"/>
        </w:rPr>
        <w:t>12.投标保证金</w:t>
      </w:r>
      <w:bookmarkEnd w:id="86"/>
      <w:bookmarkEnd w:id="87"/>
      <w:bookmarkEnd w:id="88"/>
      <w:bookmarkEnd w:id="89"/>
      <w:bookmarkEnd w:id="90"/>
      <w:bookmarkEnd w:id="9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bookmarkStart w:id="92" w:name="_Ref467306302"/>
      <w:r>
        <w:rPr>
          <w:rFonts w:hint="eastAsia" w:ascii="微软雅黑" w:hAnsi="微软雅黑" w:eastAsia="微软雅黑" w:cs="微软雅黑"/>
          <w:color w:val="auto"/>
          <w:sz w:val="22"/>
          <w:szCs w:val="22"/>
        </w:rPr>
        <w:t>12.1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供应商应提交</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中规定的投标保证金</w:t>
      </w:r>
      <w:bookmarkEnd w:id="92"/>
      <w:r>
        <w:rPr>
          <w:rFonts w:hint="eastAsia" w:ascii="微软雅黑" w:hAnsi="微软雅黑" w:eastAsia="微软雅黑" w:cs="微软雅黑"/>
          <w:color w:val="auto"/>
          <w:sz w:val="22"/>
          <w:szCs w:val="22"/>
        </w:rPr>
        <w:t>，并作为其投标的一部分。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供应商存在下列情形的，投标保证金不予退还：</w:t>
      </w:r>
    </w:p>
    <w:p>
      <w:pPr>
        <w:pStyle w:val="16"/>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（1）在投标有效期内，撤销投标的；</w:t>
      </w:r>
    </w:p>
    <w:p>
      <w:pPr>
        <w:pStyle w:val="16"/>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（2）中标后不按本须知第30条的规定与采购人签订合同的；</w:t>
      </w:r>
    </w:p>
    <w:p>
      <w:pPr>
        <w:pStyle w:val="16"/>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（3）中标后不按本须知第31条的规定提交履约保证金的；</w:t>
      </w:r>
    </w:p>
    <w:p>
      <w:pPr>
        <w:pStyle w:val="16"/>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（4）中标后不按本须知第32条的规定缴纳中标服务费的；</w:t>
      </w:r>
    </w:p>
    <w:p>
      <w:pPr>
        <w:pStyle w:val="16"/>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（5）存在其他违法违规行为的。</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bookmarkStart w:id="93" w:name="_Ref467306336"/>
      <w:r>
        <w:rPr>
          <w:rFonts w:hint="eastAsia" w:ascii="微软雅黑" w:hAnsi="微软雅黑" w:eastAsia="微软雅黑" w:cs="微软雅黑"/>
          <w:color w:val="auto"/>
          <w:sz w:val="22"/>
          <w:szCs w:val="22"/>
        </w:rPr>
        <w:t>12.3</w:t>
      </w:r>
      <w:r>
        <w:rPr>
          <w:rFonts w:hint="eastAsia" w:ascii="微软雅黑" w:hAnsi="微软雅黑" w:eastAsia="微软雅黑" w:cs="微软雅黑"/>
          <w:color w:val="auto"/>
          <w:sz w:val="22"/>
          <w:szCs w:val="22"/>
        </w:rPr>
        <w:tab/>
      </w:r>
      <w:bookmarkEnd w:id="93"/>
      <w:r>
        <w:rPr>
          <w:rFonts w:hint="eastAsia" w:ascii="微软雅黑" w:hAnsi="微软雅黑" w:eastAsia="微软雅黑" w:cs="微软雅黑"/>
          <w:color w:val="auto"/>
          <w:sz w:val="22"/>
          <w:szCs w:val="22"/>
        </w:rPr>
        <w:t>政府采购信用担保试点范围内的项目，接受符合财政部门规定的政府采购投标担保函原件。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12.4</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供应商未按本须知第12.1和12.3条规定提交投标保证金的，其投标将被认定为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12.4.1  采用电汇形式的，一般可以实时入账。</w:t>
      </w:r>
    </w:p>
    <w:p>
      <w:pPr>
        <w:pageBreakBefore w:val="0"/>
        <w:kinsoku/>
        <w:wordWrap/>
        <w:overflowPunct/>
        <w:topLinePunct w:val="0"/>
        <w:bidi w:val="0"/>
        <w:spacing w:line="400" w:lineRule="exact"/>
        <w:ind w:left="880" w:hanging="880" w:hangingChars="4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12.5   联合体投标的，可以由联合体中的一方或者共同提交投标保证金。以一方名义提交投标保证金的，对联合体各方均具有约束力。</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12.6</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投标保证金的退还</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12.6.1  中标人应在与采购人签订合同之日起5个工作日内，及时联系保证金收受机构办理投标保证金无息退还手续。</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12.6.2  未中标供应商的投标保证金将在中标通知书发出之日暨中标结果公告公布之日起5个工作日内无息退还。供应商应及时联系保证金收受机构办理退还投标保证金手续。</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12.6.3  政府采购投标担保函不予退回。</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12.7    因供应商自身原因导致无法及时退还的，采购人或采购代理机构将不承担相应责任。</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94" w:name="_Toc520356157"/>
      <w:bookmarkStart w:id="95" w:name="_Toc23590"/>
      <w:bookmarkStart w:id="96" w:name="_Toc26580"/>
      <w:bookmarkStart w:id="97" w:name="_Toc515647772"/>
      <w:bookmarkStart w:id="98" w:name="_Toc32569"/>
      <w:r>
        <w:rPr>
          <w:rFonts w:hint="eastAsia" w:ascii="微软雅黑" w:hAnsi="微软雅黑" w:eastAsia="微软雅黑" w:cs="微软雅黑"/>
          <w:color w:val="auto"/>
          <w:sz w:val="22"/>
          <w:szCs w:val="22"/>
          <w:u w:val="none"/>
        </w:rPr>
        <w:t>13.投标有效期</w:t>
      </w:r>
      <w:bookmarkEnd w:id="94"/>
      <w:bookmarkEnd w:id="95"/>
      <w:bookmarkEnd w:id="96"/>
      <w:bookmarkEnd w:id="97"/>
      <w:bookmarkEnd w:id="9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投标应在</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中规定时间内保持有效。投标有效期不满足要求的投标，其投标将被认定为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13.2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99" w:name="_Toc520356158"/>
      <w:bookmarkStart w:id="100" w:name="_Toc515647773"/>
      <w:bookmarkStart w:id="101" w:name="_Toc20503"/>
      <w:bookmarkStart w:id="102" w:name="_Toc17074"/>
      <w:bookmarkStart w:id="103" w:name="_Toc493"/>
      <w:r>
        <w:rPr>
          <w:rFonts w:hint="eastAsia" w:ascii="微软雅黑" w:hAnsi="微软雅黑" w:eastAsia="微软雅黑" w:cs="微软雅黑"/>
          <w:color w:val="auto"/>
          <w:sz w:val="22"/>
          <w:szCs w:val="22"/>
          <w:u w:val="none"/>
        </w:rPr>
        <w:t>14.投标文件的签署</w:t>
      </w:r>
      <w:bookmarkEnd w:id="99"/>
      <w:r>
        <w:rPr>
          <w:rFonts w:hint="eastAsia" w:ascii="微软雅黑" w:hAnsi="微软雅黑" w:eastAsia="微软雅黑" w:cs="微软雅黑"/>
          <w:color w:val="auto"/>
          <w:sz w:val="22"/>
          <w:szCs w:val="22"/>
          <w:u w:val="none"/>
        </w:rPr>
        <w:t>及规定</w:t>
      </w:r>
      <w:bookmarkEnd w:id="100"/>
      <w:bookmarkEnd w:id="101"/>
      <w:bookmarkEnd w:id="102"/>
      <w:bookmarkEnd w:id="10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bookmarkStart w:id="104" w:name="_Toc520356161"/>
      <w:bookmarkStart w:id="105" w:name="_Toc515647776"/>
      <w:bookmarkStart w:id="106" w:name="_Toc9840"/>
      <w:bookmarkStart w:id="107" w:name="_Toc12751"/>
      <w:r>
        <w:rPr>
          <w:rFonts w:hint="eastAsia" w:ascii="微软雅黑" w:hAnsi="微软雅黑" w:eastAsia="微软雅黑" w:cs="微软雅黑"/>
          <w:color w:val="auto"/>
          <w:sz w:val="22"/>
          <w:szCs w:val="22"/>
        </w:rPr>
        <w:t>14.1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供应商应按供应商须知资料表中的规定，准备和递交投标文件正本、副本、开标一览表和电子U盘，每份投标文件封皮须清楚地标明“正本”或“副本”。若正本和副本不符，以正本为准。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14.2  投标文件的正本需打印或用不褪色墨水书写，并由供应商的法定代表人或经其正式委托代理人按招标文件规定在投标文件上签字或盖章</w:t>
      </w:r>
      <w:r>
        <w:rPr>
          <w:rFonts w:hint="eastAsia" w:ascii="微软雅黑" w:hAnsi="微软雅黑" w:eastAsia="微软雅黑" w:cs="微软雅黑"/>
          <w:color w:val="auto"/>
          <w:sz w:val="22"/>
          <w:szCs w:val="22"/>
          <w:lang w:eastAsia="zh-CN"/>
        </w:rPr>
        <w:t>，</w:t>
      </w:r>
      <w:r>
        <w:rPr>
          <w:rFonts w:hint="eastAsia" w:ascii="微软雅黑" w:hAnsi="微软雅黑" w:eastAsia="微软雅黑" w:cs="微软雅黑"/>
          <w:color w:val="auto"/>
          <w:sz w:val="22"/>
          <w:szCs w:val="22"/>
        </w:rPr>
        <w:t>并加盖单位印章。委托代理人须持有书面的“法定代表人授权委托书”，并将其附在投标文件中。如对投标文件进行了修改，则应由供应商的法定代表人或其委托代理人在每一修改处签字。投标文件的副本可采用正本的复印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14.3    所有投标文件采用不可拆装的胶订方式装订，否则其投标文件将被认定为无效。</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14.4</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投标文件因字迹潦草、表达不清或装订不当所引起的后果由供应商负责。</w:t>
      </w:r>
    </w:p>
    <w:p>
      <w:pPr>
        <w:pStyle w:val="2"/>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b/>
          <w:bCs/>
          <w:color w:val="auto"/>
          <w:sz w:val="22"/>
          <w:szCs w:val="22"/>
        </w:rPr>
      </w:pPr>
      <w:bookmarkStart w:id="108" w:name="_Toc21426"/>
      <w:bookmarkStart w:id="109" w:name="_Toc16504"/>
      <w:bookmarkStart w:id="110" w:name="_Toc17149"/>
      <w:r>
        <w:rPr>
          <w:rFonts w:hint="eastAsia" w:ascii="微软雅黑" w:hAnsi="微软雅黑" w:eastAsia="微软雅黑" w:cs="微软雅黑"/>
          <w:b/>
          <w:bCs/>
          <w:color w:val="auto"/>
          <w:sz w:val="22"/>
          <w:szCs w:val="22"/>
        </w:rPr>
        <w:t>四   投标文件的递交</w:t>
      </w:r>
      <w:bookmarkEnd w:id="108"/>
      <w:bookmarkEnd w:id="109"/>
      <w:bookmarkEnd w:id="110"/>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11" w:name="_Toc515647775"/>
      <w:bookmarkStart w:id="112" w:name="_Toc28066_WPSOffice_Level2"/>
      <w:bookmarkStart w:id="113" w:name="_Toc25849_WPSOffice_Level2"/>
      <w:bookmarkStart w:id="114" w:name="_Toc31822"/>
      <w:bookmarkStart w:id="115" w:name="_Toc520356160"/>
      <w:bookmarkStart w:id="116" w:name="_Toc21645"/>
      <w:bookmarkStart w:id="117" w:name="_Toc32337"/>
      <w:r>
        <w:rPr>
          <w:rFonts w:hint="eastAsia" w:ascii="微软雅黑" w:hAnsi="微软雅黑" w:eastAsia="微软雅黑" w:cs="微软雅黑"/>
          <w:color w:val="auto"/>
          <w:sz w:val="22"/>
          <w:szCs w:val="22"/>
          <w:u w:val="none"/>
        </w:rPr>
        <w:t>15.投标文件的密封和标记</w:t>
      </w:r>
      <w:bookmarkEnd w:id="111"/>
      <w:bookmarkEnd w:id="112"/>
      <w:bookmarkEnd w:id="113"/>
      <w:bookmarkEnd w:id="114"/>
      <w:bookmarkEnd w:id="115"/>
      <w:bookmarkEnd w:id="116"/>
      <w:bookmarkEnd w:id="117"/>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rPr>
        <w:t>15.1   供应商应将投标文件第一部分和第二部分的内容合订成一册密封提交，并在封皮正面标明“投标文件”字样。</w:t>
      </w:r>
      <w:r>
        <w:rPr>
          <w:rFonts w:hint="eastAsia" w:ascii="微软雅黑" w:hAnsi="微软雅黑" w:eastAsia="微软雅黑" w:cs="微软雅黑"/>
          <w:color w:val="auto"/>
          <w:sz w:val="22"/>
          <w:szCs w:val="22"/>
          <w:lang w:eastAsia="zh-CN"/>
        </w:rPr>
        <w:t>投标文件正副本须单独密封提交。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15.2   所有包装封皮和信封上均应：</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（1）注明采购公告中指明的项目名称、项目编号、供应商名称和“在（</w:t>
      </w:r>
      <w:r>
        <w:rPr>
          <w:rFonts w:hint="eastAsia" w:ascii="微软雅黑" w:hAnsi="微软雅黑" w:eastAsia="微软雅黑" w:cs="微软雅黑"/>
          <w:color w:val="auto"/>
          <w:sz w:val="22"/>
          <w:szCs w:val="22"/>
          <w:lang w:eastAsia="zh-CN"/>
        </w:rPr>
        <w:t>开标</w:t>
      </w:r>
      <w:r>
        <w:rPr>
          <w:rFonts w:hint="eastAsia" w:ascii="微软雅黑" w:hAnsi="微软雅黑" w:eastAsia="微软雅黑" w:cs="微软雅黑"/>
          <w:color w:val="auto"/>
          <w:sz w:val="22"/>
          <w:szCs w:val="22"/>
        </w:rPr>
        <w:t>时间）之前不得启封”的字样。</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w:t>
      </w:r>
      <w:r>
        <w:rPr>
          <w:rFonts w:hint="eastAsia" w:ascii="微软雅黑" w:hAnsi="微软雅黑" w:eastAsia="微软雅黑" w:cs="微软雅黑"/>
          <w:b/>
          <w:bCs/>
          <w:color w:val="auto"/>
          <w:sz w:val="22"/>
          <w:szCs w:val="22"/>
        </w:rPr>
        <w:t>在封口处加盖供应商单位章</w:t>
      </w:r>
      <w:r>
        <w:rPr>
          <w:rFonts w:hint="eastAsia" w:ascii="微软雅黑" w:hAnsi="微软雅黑" w:eastAsia="微软雅黑" w:cs="微软雅黑"/>
          <w:b/>
          <w:bCs/>
          <w:color w:val="auto"/>
          <w:sz w:val="22"/>
          <w:szCs w:val="22"/>
          <w:lang w:eastAsia="zh-CN"/>
        </w:rPr>
        <w:t>，并由法定代表人（或授权委托人）签字或盖章</w:t>
      </w:r>
      <w:r>
        <w:rPr>
          <w:rFonts w:hint="eastAsia" w:ascii="微软雅黑" w:hAnsi="微软雅黑" w:eastAsia="微软雅黑" w:cs="微软雅黑"/>
          <w:b/>
          <w:bCs/>
          <w:color w:val="auto"/>
          <w:sz w:val="22"/>
          <w:szCs w:val="22"/>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15.3    如果供应商未按上述要求密封标记的，将承担相应的后果。</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r>
        <w:rPr>
          <w:rFonts w:hint="eastAsia" w:ascii="微软雅黑" w:hAnsi="微软雅黑" w:eastAsia="微软雅黑" w:cs="微软雅黑"/>
          <w:color w:val="auto"/>
          <w:sz w:val="22"/>
          <w:szCs w:val="22"/>
          <w:u w:val="none"/>
        </w:rPr>
        <w:t>16.投标截止</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16.1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供应商应在</w:t>
      </w:r>
      <w:r>
        <w:rPr>
          <w:rFonts w:hint="eastAsia" w:ascii="微软雅黑" w:hAnsi="微软雅黑" w:eastAsia="微软雅黑" w:cs="微软雅黑"/>
          <w:color w:val="auto"/>
          <w:sz w:val="22"/>
          <w:szCs w:val="22"/>
          <w:u w:val="single"/>
        </w:rPr>
        <w:t>供应商须知资料表中</w:t>
      </w:r>
      <w:r>
        <w:rPr>
          <w:rFonts w:hint="eastAsia" w:ascii="微软雅黑" w:hAnsi="微软雅黑" w:eastAsia="微软雅黑" w:cs="微软雅黑"/>
          <w:color w:val="auto"/>
          <w:sz w:val="22"/>
          <w:szCs w:val="22"/>
        </w:rPr>
        <w:t>规定的截止时间前，将投标文件递交到招标公告中规定的地点。</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16.2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采购人和采购代理机构有权按本须知的规定，延迟投标截止时间。在此情况下，采购人、采购代理机构和供应商受投标截止时间制约的所有权利和义务均应延长至新的截止时间。</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16.3</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采购人和采购代理机构将拒绝接收在投标截止时间后送达的投标文件。</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18" w:name="_Toc24275"/>
      <w:bookmarkStart w:id="119" w:name="_Toc18537"/>
      <w:bookmarkStart w:id="120" w:name="_Toc520356162"/>
      <w:bookmarkStart w:id="121" w:name="_Toc32303"/>
      <w:bookmarkStart w:id="122" w:name="_Toc515647777"/>
      <w:r>
        <w:rPr>
          <w:rFonts w:hint="eastAsia" w:ascii="微软雅黑" w:hAnsi="微软雅黑" w:eastAsia="微软雅黑" w:cs="微软雅黑"/>
          <w:color w:val="auto"/>
          <w:sz w:val="22"/>
          <w:szCs w:val="22"/>
          <w:u w:val="none"/>
        </w:rPr>
        <w:t>17.投标文件的接收、修改与撤回</w:t>
      </w:r>
      <w:bookmarkEnd w:id="118"/>
      <w:bookmarkEnd w:id="119"/>
      <w:bookmarkEnd w:id="120"/>
      <w:bookmarkEnd w:id="121"/>
      <w:bookmarkEnd w:id="122"/>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17.1</w:t>
      </w:r>
      <w:r>
        <w:rPr>
          <w:rFonts w:hint="eastAsia" w:ascii="微软雅黑" w:hAnsi="微软雅黑" w:eastAsia="微软雅黑" w:cs="微软雅黑"/>
          <w:color w:val="auto"/>
          <w:sz w:val="22"/>
          <w:szCs w:val="22"/>
          <w:lang w:val="en-US" w:eastAsia="zh-CN"/>
        </w:rPr>
        <w:t xml:space="preserve">   </w:t>
      </w:r>
      <w:r>
        <w:rPr>
          <w:rFonts w:hint="eastAsia" w:ascii="微软雅黑" w:hAnsi="微软雅黑" w:eastAsia="微软雅黑" w:cs="微软雅黑"/>
          <w:color w:val="auto"/>
          <w:sz w:val="22"/>
          <w:szCs w:val="22"/>
        </w:rPr>
        <w:t>在投标截止时间后送达的投标文件的，采购人和采购代理机构将拒绝接收。</w:t>
      </w:r>
    </w:p>
    <w:p>
      <w:pPr>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17.2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递交投标文件以后，如果投标人要进行修改或撤回投标，须提出书面申请并在投标截止时间前送达开标地点，投标人对投标文件的修改或撤回通知应按本须知规定编制、密封、标记。</w:t>
      </w:r>
    </w:p>
    <w:p>
      <w:pPr>
        <w:pageBreakBefore w:val="0"/>
        <w:kinsoku/>
        <w:wordWrap/>
        <w:overflowPunct/>
        <w:topLinePunct w:val="0"/>
        <w:bidi w:val="0"/>
        <w:spacing w:line="400" w:lineRule="exact"/>
        <w:ind w:left="735" w:leftChars="350" w:firstLine="110" w:firstLineChars="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采购人和采购代理机构将予以接收，并视为投标文件的组成部分。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17.3</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在投标截止期之后，采购人和采购代理机构不接受投标人主动对其投标文件做任何修改。</w:t>
      </w:r>
    </w:p>
    <w:p>
      <w:pPr>
        <w:pStyle w:val="12"/>
        <w:pageBreakBefore w:val="0"/>
        <w:kinsoku/>
        <w:wordWrap/>
        <w:overflowPunct/>
        <w:topLinePunct w:val="0"/>
        <w:bidi w:val="0"/>
        <w:spacing w:line="400" w:lineRule="exact"/>
        <w:ind w:firstLine="0" w:firstLineChars="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17.4</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采购人和采购代理机构对所接收投标文件概不退回。</w:t>
      </w:r>
    </w:p>
    <w:p>
      <w:pPr>
        <w:pStyle w:val="4"/>
        <w:pageBreakBefore w:val="0"/>
        <w:kinsoku/>
        <w:wordWrap/>
        <w:overflowPunct/>
        <w:topLinePunct w:val="0"/>
        <w:bidi w:val="0"/>
        <w:spacing w:before="0" w:line="400" w:lineRule="exact"/>
        <w:jc w:val="center"/>
        <w:textAlignment w:val="auto"/>
        <w:rPr>
          <w:rFonts w:hint="eastAsia" w:ascii="微软雅黑" w:hAnsi="微软雅黑" w:eastAsia="微软雅黑" w:cs="微软雅黑"/>
          <w:color w:val="auto"/>
          <w:sz w:val="22"/>
          <w:szCs w:val="22"/>
        </w:rPr>
      </w:pPr>
      <w:bookmarkStart w:id="123" w:name="_Toc24769"/>
      <w:bookmarkStart w:id="124" w:name="_Toc12436"/>
      <w:bookmarkStart w:id="125" w:name="_Toc28398"/>
      <w:bookmarkStart w:id="126" w:name="_Toc28911"/>
      <w:bookmarkStart w:id="127" w:name="_Toc520356163"/>
      <w:bookmarkStart w:id="128" w:name="_Toc216582809"/>
      <w:bookmarkStart w:id="129" w:name="_Toc515647778"/>
      <w:bookmarkStart w:id="130" w:name="_Toc28397"/>
      <w:r>
        <w:rPr>
          <w:rFonts w:hint="eastAsia" w:ascii="微软雅黑" w:hAnsi="微软雅黑" w:eastAsia="微软雅黑" w:cs="微软雅黑"/>
          <w:b/>
          <w:bCs/>
          <w:color w:val="auto"/>
          <w:sz w:val="22"/>
          <w:szCs w:val="22"/>
        </w:rPr>
        <w:t>五   开标及评标</w:t>
      </w:r>
      <w:bookmarkEnd w:id="123"/>
      <w:bookmarkEnd w:id="124"/>
      <w:bookmarkEnd w:id="125"/>
      <w:bookmarkEnd w:id="126"/>
      <w:bookmarkEnd w:id="127"/>
      <w:bookmarkEnd w:id="128"/>
      <w:bookmarkEnd w:id="129"/>
      <w:bookmarkEnd w:id="130"/>
      <w:bookmarkStart w:id="131" w:name="_Toc520356164"/>
      <w:bookmarkStart w:id="132" w:name="_Toc7186"/>
      <w:bookmarkStart w:id="133" w:name="_Toc31842"/>
      <w:bookmarkStart w:id="134" w:name="_Toc25345"/>
      <w:bookmarkStart w:id="135" w:name="_Toc515647779"/>
    </w:p>
    <w:p>
      <w:pPr>
        <w:pStyle w:val="5"/>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u w:val="none"/>
        </w:rPr>
        <w:t>18.开标</w:t>
      </w:r>
      <w:bookmarkEnd w:id="131"/>
      <w:bookmarkEnd w:id="132"/>
      <w:bookmarkEnd w:id="133"/>
      <w:bookmarkEnd w:id="134"/>
      <w:bookmarkEnd w:id="135"/>
    </w:p>
    <w:p>
      <w:pPr>
        <w:pageBreakBefore w:val="0"/>
        <w:kinsoku/>
        <w:wordWrap/>
        <w:overflowPunct/>
        <w:topLinePunct w:val="0"/>
        <w:bidi w:val="0"/>
        <w:spacing w:line="400" w:lineRule="exact"/>
        <w:ind w:left="312" w:leftChars="44" w:hanging="220" w:hanging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18.1采购人和采购代理机构将按</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中规定的开标时间和地点组织公开开标并邀请所有供应商代表参加。供应商不足3家的，不得开标。</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18.2   开标时，由供应商或其推选的代表检查自己或所代表的投标文件的密封标记情况，经记录后，由采购人或采购代理机构当众拆封投标文件第一部分，宣读供应商名称、投标价格及招标文件规定的内容。对于供应商在投标截止期前递交的投标声明，在开标时当众宣读，评标时有效。未宣读投标价格、价格折扣等实质内容，评标时不予承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18.3    采购人或采购代理机构将对开标过程进行记录</w:t>
      </w:r>
      <w:bookmarkStart w:id="136" w:name="_Toc520356165"/>
      <w:r>
        <w:rPr>
          <w:rFonts w:hint="eastAsia" w:ascii="微软雅黑" w:hAnsi="微软雅黑" w:eastAsia="微软雅黑" w:cs="微软雅黑"/>
          <w:color w:val="auto"/>
          <w:sz w:val="22"/>
          <w:szCs w:val="22"/>
        </w:rPr>
        <w:t>，由参加开标的各供应商代表和相关工作人员签字确认，并存档备查。</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18.4    供应商代表对开标过程和开标记录有疑义，以及认为采购人、采购代理机构相关工作人员有需要回避的情形的，应当场提出询问或者回避申请。</w:t>
      </w:r>
      <w:bookmarkEnd w:id="136"/>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37" w:name="_Toc21372"/>
      <w:bookmarkStart w:id="138" w:name="_Toc515647780"/>
      <w:bookmarkStart w:id="139" w:name="_Toc14136"/>
      <w:bookmarkStart w:id="140" w:name="_Toc19296"/>
      <w:bookmarkStart w:id="141" w:name="_Toc18574"/>
      <w:r>
        <w:rPr>
          <w:rFonts w:hint="eastAsia" w:ascii="微软雅黑" w:hAnsi="微软雅黑" w:eastAsia="微软雅黑" w:cs="微软雅黑"/>
          <w:color w:val="auto"/>
          <w:sz w:val="22"/>
          <w:szCs w:val="22"/>
          <w:u w:val="none"/>
        </w:rPr>
        <w:t>19.资格审查及组建评标委员会</w:t>
      </w:r>
      <w:bookmarkEnd w:id="137"/>
      <w:bookmarkEnd w:id="138"/>
      <w:bookmarkEnd w:id="139"/>
      <w:bookmarkEnd w:id="140"/>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19.1    采购人或采购代理机构依据法律法规和招标文件中规定的内容，对供应商的资格进行审查，未通过资格审查的投标人不进入评标；进入评标的投标人不足3家的，不得评标。</w:t>
      </w:r>
      <w:r>
        <w:rPr>
          <w:rFonts w:hint="eastAsia" w:ascii="微软雅黑" w:hAnsi="微软雅黑" w:eastAsia="微软雅黑" w:cs="微软雅黑"/>
          <w:b/>
          <w:bCs/>
          <w:color w:val="auto"/>
          <w:sz w:val="22"/>
          <w:szCs w:val="22"/>
        </w:rPr>
        <w:t>开标</w:t>
      </w:r>
      <w:r>
        <w:rPr>
          <w:rFonts w:hint="eastAsia" w:ascii="微软雅黑" w:hAnsi="微软雅黑" w:eastAsia="微软雅黑" w:cs="微软雅黑"/>
          <w:b/>
          <w:bCs/>
          <w:color w:val="auto"/>
          <w:sz w:val="22"/>
          <w:szCs w:val="22"/>
          <w:lang w:eastAsia="zh-CN"/>
        </w:rPr>
        <w:t>现场供应商</w:t>
      </w:r>
      <w:r>
        <w:rPr>
          <w:rFonts w:hint="eastAsia" w:ascii="微软雅黑" w:hAnsi="微软雅黑" w:eastAsia="微软雅黑" w:cs="微软雅黑"/>
          <w:b/>
          <w:bCs/>
          <w:color w:val="auto"/>
          <w:sz w:val="22"/>
          <w:szCs w:val="22"/>
        </w:rPr>
        <w:t>需携带</w:t>
      </w:r>
      <w:r>
        <w:rPr>
          <w:rFonts w:hint="eastAsia" w:ascii="微软雅黑" w:hAnsi="微软雅黑" w:eastAsia="微软雅黑" w:cs="微软雅黑"/>
          <w:b/>
          <w:bCs/>
          <w:color w:val="auto"/>
          <w:sz w:val="22"/>
          <w:szCs w:val="22"/>
          <w:lang w:val="en-US" w:eastAsia="zh-CN"/>
        </w:rPr>
        <w:t>以下资格证明材料</w:t>
      </w:r>
      <w:r>
        <w:rPr>
          <w:rFonts w:hint="eastAsia" w:ascii="微软雅黑" w:hAnsi="微软雅黑" w:eastAsia="微软雅黑" w:cs="微软雅黑"/>
          <w:color w:val="auto"/>
          <w:sz w:val="22"/>
          <w:szCs w:val="22"/>
        </w:rPr>
        <w:t>：</w:t>
      </w:r>
    </w:p>
    <w:p>
      <w:pPr>
        <w:pStyle w:val="2"/>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2"/>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2、具有有效的营业执照；</w:t>
      </w:r>
    </w:p>
    <w:p>
      <w:pPr>
        <w:pStyle w:val="2"/>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3、提供有效的《医疗器械生产许可证》或《医疗器械经营许可证》（所提供设备为二类医疗器械的须提供二类医疗器械备案凭证）；</w:t>
      </w:r>
    </w:p>
    <w:p>
      <w:pPr>
        <w:pStyle w:val="2"/>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4、法人投标需提供法人身份证明及身份证原件，被授权委托人需提供法人授权委托书及身份证原件；</w:t>
      </w:r>
    </w:p>
    <w:p>
      <w:pPr>
        <w:pStyle w:val="2"/>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5、提供本单位依法缴纳近三个月（7月至9月）的社保证明</w:t>
      </w:r>
    </w:p>
    <w:p>
      <w:pPr>
        <w:pStyle w:val="2"/>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6、提供税务部门出具近三个月（6月至8月）的完税证明（依法免缴的应提供依法免缴的相关证明文件或零申报报表）；</w:t>
      </w:r>
    </w:p>
    <w:p>
      <w:pPr>
        <w:pStyle w:val="2"/>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7、提供2021年的财务审计报告（2022年新成立公司需提供近三个月（7月至9月）内的银行资信证明）；</w:t>
      </w:r>
    </w:p>
    <w:p>
      <w:pPr>
        <w:pStyle w:val="2"/>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8、参与政府采购活动前3年内未被列入失信、重大税收违法案件、财政部门禁止参加政府采购活动的承诺书；</w:t>
      </w:r>
    </w:p>
    <w:p>
      <w:pPr>
        <w:pStyle w:val="2"/>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9、提供针对本次项目的反商业贿赂承诺书。</w:t>
      </w:r>
    </w:p>
    <w:p>
      <w:pPr>
        <w:pStyle w:val="2"/>
        <w:pageBreakBefore w:val="0"/>
        <w:kinsoku/>
        <w:wordWrap/>
        <w:overflowPunct/>
        <w:topLinePunct w:val="0"/>
        <w:bidi w:val="0"/>
        <w:spacing w:line="400" w:lineRule="exact"/>
        <w:textAlignment w:val="auto"/>
        <w:rPr>
          <w:rFonts w:hint="eastAsia" w:ascii="微软雅黑" w:hAnsi="微软雅黑" w:eastAsia="微软雅黑" w:cs="微软雅黑"/>
          <w:b/>
          <w:bCs w:val="0"/>
          <w:color w:val="auto"/>
          <w:sz w:val="22"/>
          <w:szCs w:val="22"/>
        </w:rPr>
      </w:pPr>
      <w:r>
        <w:rPr>
          <w:rFonts w:hint="eastAsia" w:ascii="微软雅黑" w:hAnsi="微软雅黑" w:eastAsia="微软雅黑" w:cs="微软雅黑"/>
          <w:b/>
          <w:bCs w:val="0"/>
          <w:iCs/>
          <w:color w:val="auto"/>
          <w:kern w:val="2"/>
          <w:sz w:val="24"/>
          <w:szCs w:val="24"/>
          <w:highlight w:val="none"/>
          <w:lang w:val="en-US" w:eastAsia="zh-CN"/>
        </w:rPr>
        <w:t>10、持投标保证金有效凭证</w:t>
      </w:r>
      <w:r>
        <w:rPr>
          <w:rFonts w:hint="eastAsia" w:ascii="微软雅黑" w:hAnsi="微软雅黑" w:eastAsia="微软雅黑" w:cs="微软雅黑"/>
          <w:b/>
          <w:bCs w:val="0"/>
          <w:iCs/>
          <w:color w:val="auto"/>
          <w:sz w:val="24"/>
          <w:highlight w:val="none"/>
        </w:rPr>
        <w:t>。</w:t>
      </w:r>
    </w:p>
    <w:p>
      <w:pPr>
        <w:pStyle w:val="2"/>
        <w:pageBreakBefore w:val="0"/>
        <w:numPr>
          <w:ilvl w:val="0"/>
          <w:numId w:val="0"/>
        </w:numPr>
        <w:kinsoku/>
        <w:wordWrap/>
        <w:overflowPunct/>
        <w:topLinePunct w:val="0"/>
        <w:bidi w:val="0"/>
        <w:spacing w:line="400" w:lineRule="exact"/>
        <w:ind w:firstLine="220" w:firstLineChars="100"/>
        <w:textAlignment w:val="auto"/>
        <w:rPr>
          <w:rFonts w:hint="eastAsia" w:ascii="微软雅黑" w:hAnsi="微软雅黑" w:eastAsia="微软雅黑" w:cs="微软雅黑"/>
          <w:b/>
          <w:bCs/>
          <w:color w:val="auto"/>
          <w:kern w:val="2"/>
          <w:sz w:val="22"/>
          <w:szCs w:val="22"/>
          <w:lang w:val="en-US" w:eastAsia="zh-CN" w:bidi="ar-SA"/>
        </w:rPr>
      </w:pPr>
      <w:r>
        <w:rPr>
          <w:rFonts w:hint="eastAsia" w:ascii="微软雅黑" w:hAnsi="微软雅黑" w:eastAsia="微软雅黑" w:cs="微软雅黑"/>
          <w:b/>
          <w:bCs/>
          <w:color w:val="auto"/>
          <w:kern w:val="2"/>
          <w:sz w:val="22"/>
          <w:szCs w:val="22"/>
          <w:lang w:val="en-US" w:eastAsia="zh-CN" w:bidi="ar-SA"/>
        </w:rPr>
        <w:t>提示：1、“</w:t>
      </w:r>
      <w:r>
        <w:rPr>
          <w:rFonts w:hint="eastAsia" w:ascii="微软雅黑" w:hAnsi="微软雅黑" w:eastAsia="微软雅黑" w:cs="微软雅黑"/>
          <w:b/>
          <w:bCs w:val="0"/>
          <w:iCs/>
          <w:color w:val="auto"/>
          <w:kern w:val="2"/>
          <w:sz w:val="24"/>
          <w:szCs w:val="24"/>
          <w:highlight w:val="none"/>
          <w:lang w:val="en-US" w:eastAsia="zh-CN"/>
        </w:rPr>
        <w:t>提供税务部门出具近三个月的完税证明</w:t>
      </w:r>
      <w:r>
        <w:rPr>
          <w:rFonts w:hint="eastAsia" w:ascii="微软雅黑" w:hAnsi="微软雅黑" w:eastAsia="微软雅黑" w:cs="微软雅黑"/>
          <w:b/>
          <w:bCs/>
          <w:color w:val="auto"/>
          <w:kern w:val="2"/>
          <w:sz w:val="22"/>
          <w:szCs w:val="22"/>
          <w:lang w:val="en-US" w:eastAsia="zh-CN" w:bidi="ar-SA"/>
        </w:rPr>
        <w:t>”：完税证明中“税种”非养老保险、医疗保险、失业保险、工伤保险和生育保险。请各投标供应商注意！</w:t>
      </w: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b/>
          <w:bCs w:val="0"/>
          <w:iCs/>
          <w:color w:val="auto"/>
          <w:kern w:val="2"/>
          <w:sz w:val="24"/>
          <w:szCs w:val="24"/>
          <w:highlight w:val="none"/>
          <w:lang w:val="en-US" w:eastAsia="zh-CN" w:bidi="ar-SA"/>
        </w:rPr>
      </w:pPr>
      <w:r>
        <w:rPr>
          <w:rFonts w:hint="eastAsia" w:ascii="微软雅黑" w:hAnsi="微软雅黑" w:eastAsia="微软雅黑" w:cs="微软雅黑"/>
          <w:b/>
          <w:bCs w:val="0"/>
          <w:iCs/>
          <w:color w:val="auto"/>
          <w:kern w:val="2"/>
          <w:sz w:val="24"/>
          <w:szCs w:val="24"/>
          <w:highlight w:val="none"/>
          <w:lang w:val="en-US" w:eastAsia="zh-CN" w:bidi="ar-SA"/>
        </w:rPr>
        <w:t>2、未通过资格审查的投标人不进入评标；通过资格审查的投标人少于不足三家的，不得评标。</w:t>
      </w:r>
    </w:p>
    <w:p>
      <w:pPr>
        <w:keepNext w:val="0"/>
        <w:keepLines w:val="0"/>
        <w:pageBreakBefore w:val="0"/>
        <w:widowControl w:val="0"/>
        <w:kinsoku/>
        <w:wordWrap/>
        <w:overflowPunct/>
        <w:topLinePunct w:val="0"/>
        <w:bidi w:val="0"/>
        <w:snapToGrid/>
        <w:spacing w:line="400" w:lineRule="exact"/>
        <w:ind w:hanging="853"/>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19.2   采购人或采购代理机构将在开标前1个工作日至投标截止后1小时的期间内查询供应商的信用记录。供应商存在不良信用记录的，其投标将被认定为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keepNext w:val="0"/>
        <w:keepLines w:val="0"/>
        <w:pageBreakBefore w:val="0"/>
        <w:widowControl w:val="0"/>
        <w:kinsoku/>
        <w:wordWrap/>
        <w:overflowPunct/>
        <w:topLinePunct w:val="0"/>
        <w:bidi w:val="0"/>
        <w:snapToGrid/>
        <w:spacing w:line="400" w:lineRule="exact"/>
        <w:ind w:hanging="853"/>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rPr>
          <w:rFonts w:hint="eastAsia" w:ascii="微软雅黑" w:hAnsi="微软雅黑" w:eastAsia="微软雅黑" w:cs="微软雅黑"/>
          <w:b/>
          <w:bCs/>
          <w:color w:val="auto"/>
          <w:sz w:val="22"/>
          <w:szCs w:val="22"/>
        </w:rPr>
        <w:t>。</w:t>
      </w:r>
    </w:p>
    <w:p>
      <w:pPr>
        <w:keepNext w:val="0"/>
        <w:keepLines w:val="0"/>
        <w:pageBreakBefore w:val="0"/>
        <w:widowControl w:val="0"/>
        <w:kinsoku/>
        <w:wordWrap/>
        <w:overflowPunct/>
        <w:topLinePunct w:val="0"/>
        <w:bidi w:val="0"/>
        <w:snapToGrid/>
        <w:spacing w:line="400" w:lineRule="exact"/>
        <w:ind w:left="7" w:hanging="6" w:hangingChars="3"/>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以联合体形式参加投标的，联合体任何成员存在以上不良信用记录的，联合体投标将被认定为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Style w:val="2"/>
        <w:keepNext w:val="0"/>
        <w:keepLines w:val="0"/>
        <w:pageBreakBefore w:val="0"/>
        <w:widowControl w:val="0"/>
        <w:kinsoku/>
        <w:wordWrap/>
        <w:overflowPunct/>
        <w:topLinePunct w:val="0"/>
        <w:bidi w:val="0"/>
        <w:snapToGrid/>
        <w:spacing w:line="400" w:lineRule="exact"/>
        <w:ind w:left="779" w:hanging="778" w:hangingChars="354"/>
        <w:jc w:val="both"/>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19.2.2 查询及记录方式：采购人或采购代理机构经办人将查询网页打印、签字并存档备查。供应商不良信用记录以采购人或采购代理机构查询结果为准。在本招标文件规定的查询时间之后，网站信息发生的任何变更均不再作为评标依据。</w:t>
      </w:r>
    </w:p>
    <w:p>
      <w:pPr>
        <w:pStyle w:val="2"/>
        <w:keepNext w:val="0"/>
        <w:keepLines w:val="0"/>
        <w:pageBreakBefore w:val="0"/>
        <w:widowControl w:val="0"/>
        <w:kinsoku/>
        <w:wordWrap/>
        <w:overflowPunct/>
        <w:topLinePunct w:val="0"/>
        <w:bidi w:val="0"/>
        <w:snapToGrid/>
        <w:spacing w:line="400" w:lineRule="exact"/>
        <w:ind w:firstLine="660" w:firstLineChars="300"/>
        <w:jc w:val="both"/>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供应商自行提供的与网站信息不一致的其他证明材料亦不作为资格审查依据。</w:t>
      </w:r>
    </w:p>
    <w:p>
      <w:pPr>
        <w:keepNext w:val="0"/>
        <w:keepLines w:val="0"/>
        <w:pageBreakBefore w:val="0"/>
        <w:widowControl w:val="0"/>
        <w:kinsoku/>
        <w:wordWrap/>
        <w:overflowPunct/>
        <w:topLinePunct w:val="0"/>
        <w:bidi w:val="0"/>
        <w:snapToGrid/>
        <w:spacing w:line="400" w:lineRule="exact"/>
        <w:ind w:left="779" w:hanging="778" w:hangingChars="354"/>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19.3   </w:t>
      </w:r>
      <w:r>
        <w:rPr>
          <w:rFonts w:hint="eastAsia" w:ascii="微软雅黑" w:hAnsi="微软雅黑" w:eastAsia="微软雅黑" w:cs="微软雅黑"/>
          <w:b/>
          <w:bCs/>
          <w:color w:val="auto"/>
          <w:sz w:val="22"/>
          <w:szCs w:val="22"/>
        </w:rPr>
        <w:t>按照《中华人民共和国政府采购法》、《中华人民共和国政府采购法实施条例》及本项目本级和上级财政部门的有关规定依法</w:t>
      </w:r>
      <w:r>
        <w:rPr>
          <w:rFonts w:hint="eastAsia" w:ascii="微软雅黑" w:hAnsi="微软雅黑" w:eastAsia="微软雅黑" w:cs="微软雅黑"/>
          <w:b/>
          <w:bCs/>
          <w:color w:val="auto"/>
          <w:sz w:val="22"/>
          <w:szCs w:val="22"/>
          <w:lang w:eastAsia="zh-CN"/>
        </w:rPr>
        <w:t>在政采云平台</w:t>
      </w:r>
      <w:r>
        <w:rPr>
          <w:rFonts w:hint="eastAsia" w:ascii="微软雅黑" w:hAnsi="微软雅黑" w:eastAsia="微软雅黑" w:cs="微软雅黑"/>
          <w:b/>
          <w:bCs/>
          <w:color w:val="auto"/>
          <w:sz w:val="22"/>
          <w:szCs w:val="22"/>
          <w:lang w:val="en-US" w:eastAsia="zh-CN"/>
        </w:rPr>
        <w:t>随机</w:t>
      </w:r>
      <w:r>
        <w:rPr>
          <w:rFonts w:hint="eastAsia" w:ascii="微软雅黑" w:hAnsi="微软雅黑" w:eastAsia="微软雅黑" w:cs="微软雅黑"/>
          <w:b/>
          <w:bCs/>
          <w:color w:val="auto"/>
          <w:sz w:val="22"/>
          <w:szCs w:val="22"/>
          <w:lang w:eastAsia="zh-CN"/>
        </w:rPr>
        <w:t>抽取</w:t>
      </w:r>
      <w:r>
        <w:rPr>
          <w:rFonts w:hint="eastAsia" w:ascii="微软雅黑" w:hAnsi="微软雅黑" w:eastAsia="微软雅黑" w:cs="微软雅黑"/>
          <w:b/>
          <w:bCs/>
          <w:color w:val="auto"/>
          <w:sz w:val="22"/>
          <w:szCs w:val="22"/>
          <w:lang w:val="en-US" w:eastAsia="zh-CN"/>
        </w:rPr>
        <w:t>5人，组成评标小组，</w:t>
      </w:r>
      <w:r>
        <w:rPr>
          <w:rFonts w:hint="eastAsia" w:ascii="微软雅黑" w:hAnsi="微软雅黑" w:eastAsia="微软雅黑" w:cs="微软雅黑"/>
          <w:b/>
          <w:bCs/>
          <w:color w:val="auto"/>
          <w:sz w:val="22"/>
          <w:szCs w:val="22"/>
        </w:rPr>
        <w:t>负责评标工作。</w:t>
      </w:r>
    </w:p>
    <w:bookmarkEnd w:id="104"/>
    <w:bookmarkEnd w:id="105"/>
    <w:bookmarkEnd w:id="106"/>
    <w:bookmarkEnd w:id="107"/>
    <w:bookmarkEnd w:id="141"/>
    <w:p>
      <w:pPr>
        <w:pStyle w:val="5"/>
        <w:keepNext w:val="0"/>
        <w:keepLines w:val="0"/>
        <w:pageBreakBefore w:val="0"/>
        <w:widowControl w:val="0"/>
        <w:kinsoku/>
        <w:wordWrap/>
        <w:overflowPunct/>
        <w:topLinePunct w:val="0"/>
        <w:bidi w:val="0"/>
        <w:snapToGrid/>
        <w:spacing w:before="0" w:after="0" w:line="400" w:lineRule="exact"/>
        <w:textAlignment w:val="auto"/>
        <w:rPr>
          <w:rFonts w:hint="eastAsia" w:ascii="微软雅黑" w:hAnsi="微软雅黑" w:eastAsia="微软雅黑" w:cs="微软雅黑"/>
          <w:b w:val="0"/>
          <w:bCs w:val="0"/>
          <w:color w:val="auto"/>
          <w:sz w:val="22"/>
          <w:szCs w:val="22"/>
          <w:bdr w:val="single" w:color="auto" w:sz="4" w:space="0"/>
        </w:rPr>
      </w:pPr>
      <w:bookmarkStart w:id="142" w:name="_Toc520356166"/>
      <w:bookmarkStart w:id="143" w:name="_Toc19949"/>
      <w:bookmarkStart w:id="144" w:name="_Toc515647781"/>
      <w:bookmarkStart w:id="145" w:name="_Toc28479"/>
      <w:bookmarkStart w:id="146" w:name="_Toc25607"/>
      <w:r>
        <w:rPr>
          <w:rFonts w:hint="eastAsia" w:ascii="微软雅黑" w:hAnsi="微软雅黑" w:eastAsia="微软雅黑" w:cs="微软雅黑"/>
          <w:color w:val="auto"/>
          <w:sz w:val="22"/>
          <w:szCs w:val="22"/>
          <w:u w:val="none"/>
        </w:rPr>
        <w:t>20.投标文件</w:t>
      </w:r>
      <w:bookmarkEnd w:id="142"/>
      <w:r>
        <w:rPr>
          <w:rFonts w:hint="eastAsia" w:ascii="微软雅黑" w:hAnsi="微软雅黑" w:eastAsia="微软雅黑" w:cs="微软雅黑"/>
          <w:color w:val="auto"/>
          <w:sz w:val="22"/>
          <w:szCs w:val="22"/>
          <w:u w:val="none"/>
        </w:rPr>
        <w:t>符合性审查与澄清</w:t>
      </w:r>
      <w:bookmarkEnd w:id="143"/>
      <w:bookmarkEnd w:id="144"/>
      <w:bookmarkEnd w:id="145"/>
      <w:bookmarkEnd w:id="146"/>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20.1   符合性审查是指依据招标文件的规定，从投标文件的有效性和完整性对招标文件的响应程度进行审查，以确定是否对招标文件的实质性要求做出响应。</w:t>
      </w:r>
      <w:bookmarkStart w:id="147" w:name="_Hlt522424701"/>
      <w:bookmarkEnd w:id="147"/>
      <w:bookmarkStart w:id="148" w:name="_Toc520356167"/>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投标文件的澄清</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20.2.2  供应商的的澄清、说明或补正将作为投标文件的一部分。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20.3  投标文件报价出现前后不一致的，按照下列规定修正：</w:t>
      </w:r>
    </w:p>
    <w:p>
      <w:pPr>
        <w:keepNext w:val="0"/>
        <w:keepLines w:val="0"/>
        <w:pageBreakBefore w:val="0"/>
        <w:widowControl w:val="0"/>
        <w:kinsoku/>
        <w:wordWrap/>
        <w:overflowPunct/>
        <w:topLinePunct w:val="0"/>
        <w:bidi w:val="0"/>
        <w:snapToGrid/>
        <w:spacing w:line="400" w:lineRule="exact"/>
        <w:ind w:left="935" w:hanging="935" w:hangingChars="4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（一）投标文件中开标一览表（报价表）内容与投标文件中相应内容不一致的，以开标一览表（报价表）为准；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（二）大写金额和小写金额不一致的，以大写金额为准；</w:t>
      </w:r>
    </w:p>
    <w:p>
      <w:pPr>
        <w:keepNext w:val="0"/>
        <w:keepLines w:val="0"/>
        <w:pageBreakBefore w:val="0"/>
        <w:widowControl w:val="0"/>
        <w:kinsoku/>
        <w:wordWrap/>
        <w:overflowPunct/>
        <w:topLinePunct w:val="0"/>
        <w:bidi w:val="0"/>
        <w:snapToGrid/>
        <w:spacing w:line="400" w:lineRule="exact"/>
        <w:ind w:left="935" w:hanging="935" w:hangingChars="4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（三）单价金额小数点或者百分比有明显错位的，以开标一览表的总价为准，并修改单价；</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（四）总价金额与按单价汇总金额不一致的，以单价金额计算结果为准。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keepNext w:val="0"/>
        <w:keepLines w:val="0"/>
        <w:pageBreakBefore w:val="0"/>
        <w:widowControl w:val="0"/>
        <w:kinsoku/>
        <w:wordWrap/>
        <w:overflowPunct/>
        <w:topLinePunct w:val="0"/>
        <w:bidi w:val="0"/>
        <w:snapToGrid/>
        <w:spacing w:line="400" w:lineRule="exact"/>
        <w:ind w:firstLine="770" w:firstLineChars="3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对不同文字文本投标文件的解释发生异议的，以中文文本为准。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20.4   如一个分包内只有一种产品，不同供应商所投产品为同一品牌的，按如下方式处理：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49" w:name="_Toc6364"/>
      <w:bookmarkStart w:id="150" w:name="_Toc9469"/>
      <w:bookmarkStart w:id="151" w:name="_Toc28888"/>
      <w:bookmarkStart w:id="152" w:name="_Toc515647782"/>
      <w:r>
        <w:rPr>
          <w:rFonts w:hint="eastAsia" w:ascii="微软雅黑" w:hAnsi="微软雅黑" w:eastAsia="微软雅黑" w:cs="微软雅黑"/>
          <w:color w:val="auto"/>
          <w:sz w:val="22"/>
          <w:szCs w:val="22"/>
          <w:u w:val="none"/>
        </w:rPr>
        <w:t>21.投标偏离</w:t>
      </w:r>
      <w:bookmarkEnd w:id="149"/>
      <w:bookmarkEnd w:id="150"/>
      <w:bookmarkEnd w:id="151"/>
      <w:bookmarkEnd w:id="152"/>
    </w:p>
    <w:p>
      <w:pPr>
        <w:pageBreakBefore w:val="0"/>
        <w:kinsoku/>
        <w:wordWrap/>
        <w:overflowPunct/>
        <w:topLinePunct w:val="0"/>
        <w:bidi w:val="0"/>
        <w:spacing w:line="400" w:lineRule="exact"/>
        <w:ind w:left="795" w:leftChars="99" w:hanging="587" w:hangingChars="267"/>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评标委员会可以接受投标文件中不构成实质性偏离的不正规或不一致。</w:t>
      </w:r>
      <w:bookmarkStart w:id="153" w:name="_Toc515647783"/>
      <w:bookmarkStart w:id="154" w:name="_Toc6092"/>
      <w:bookmarkStart w:id="155" w:name="_Toc4950"/>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56" w:name="_Toc20254"/>
      <w:r>
        <w:rPr>
          <w:rFonts w:hint="eastAsia" w:ascii="微软雅黑" w:hAnsi="微软雅黑" w:eastAsia="微软雅黑" w:cs="微软雅黑"/>
          <w:color w:val="auto"/>
          <w:sz w:val="22"/>
          <w:szCs w:val="22"/>
          <w:u w:val="none"/>
        </w:rPr>
        <w:t>22.投标</w:t>
      </w:r>
      <w:bookmarkEnd w:id="153"/>
      <w:r>
        <w:rPr>
          <w:rFonts w:hint="eastAsia" w:ascii="微软雅黑" w:hAnsi="微软雅黑" w:eastAsia="微软雅黑" w:cs="微软雅黑"/>
          <w:color w:val="auto"/>
          <w:sz w:val="22"/>
          <w:szCs w:val="22"/>
          <w:u w:val="none"/>
        </w:rPr>
        <w:t>无效</w:t>
      </w:r>
      <w:bookmarkEnd w:id="154"/>
      <w:bookmarkEnd w:id="155"/>
      <w:bookmarkEnd w:id="156"/>
    </w:p>
    <w:p>
      <w:pPr>
        <w:pageBreakBefore w:val="0"/>
        <w:kinsoku/>
        <w:wordWrap/>
        <w:overflowPunct/>
        <w:topLinePunct w:val="0"/>
        <w:bidi w:val="0"/>
        <w:spacing w:line="400" w:lineRule="exact"/>
        <w:ind w:left="777" w:leftChars="-23"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auto"/>
          <w:sz w:val="22"/>
          <w:szCs w:val="22"/>
        </w:rPr>
        <w:t>投标无效</w:t>
      </w:r>
      <w:r>
        <w:rPr>
          <w:rFonts w:hint="eastAsia" w:ascii="微软雅黑" w:hAnsi="微软雅黑" w:eastAsia="微软雅黑" w:cs="微软雅黑"/>
          <w:color w:val="auto"/>
          <w:sz w:val="22"/>
          <w:szCs w:val="22"/>
        </w:rPr>
        <w:t>。供应商不得通过修正或撤销不符合要求的偏离，从而使其投标成为实质上响应的投标。</w:t>
      </w:r>
    </w:p>
    <w:p>
      <w:pPr>
        <w:pageBreakBefore w:val="0"/>
        <w:kinsoku/>
        <w:wordWrap/>
        <w:overflowPunct/>
        <w:topLinePunct w:val="0"/>
        <w:bidi w:val="0"/>
        <w:spacing w:line="400" w:lineRule="exact"/>
        <w:ind w:left="792" w:leftChars="377"/>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评标委员会决定投标的响应性只根据招标文件要求、投标文件内容及财政主管部门指定相关信息发布媒体。</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22.2</w:t>
      </w:r>
      <w:r>
        <w:rPr>
          <w:rFonts w:hint="eastAsia" w:ascii="微软雅黑" w:hAnsi="微软雅黑" w:eastAsia="微软雅黑" w:cs="微软雅黑"/>
          <w:color w:val="auto"/>
          <w:sz w:val="22"/>
          <w:szCs w:val="22"/>
        </w:rPr>
        <w:tab/>
      </w:r>
      <w:r>
        <w:rPr>
          <w:rFonts w:hint="eastAsia" w:ascii="微软雅黑" w:hAnsi="微软雅黑" w:eastAsia="微软雅黑" w:cs="微软雅黑"/>
          <w:b/>
          <w:bCs/>
          <w:color w:val="auto"/>
          <w:sz w:val="22"/>
          <w:szCs w:val="22"/>
        </w:rPr>
        <w:t>如发现下列情况之一的，其投标将被认定为投标无效</w:t>
      </w:r>
      <w:r>
        <w:rPr>
          <w:rFonts w:hint="eastAsia" w:ascii="微软雅黑" w:hAnsi="微软雅黑" w:eastAsia="微软雅黑" w:cs="微软雅黑"/>
          <w:color w:val="auto"/>
          <w:sz w:val="22"/>
          <w:szCs w:val="22"/>
        </w:rPr>
        <w:t>：</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未按招标文件规定的形式和金额提交投标保证金的；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未按照招标文件规定要求签署、盖章的；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未满足招标文件中技术条款的实质性要求；</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与其他供应商串通投标，或者与招标人串通投标；</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属于招标文件规定的其他投标无效情形；</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评标委员会认为供应商的报价明显低于其他通过符合性检查供应商的报价，有可能影响履约的，且供应商未按照规定证明其报价合理性的；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投标文件含有采购人不能接受的附加条件的；</w:t>
      </w:r>
    </w:p>
    <w:p>
      <w:pPr>
        <w:pageBreakBefore w:val="0"/>
        <w:numPr>
          <w:ilvl w:val="0"/>
          <w:numId w:val="4"/>
        </w:numPr>
        <w:tabs>
          <w:tab w:val="left" w:pos="0"/>
        </w:tabs>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不符合法规和招标文件中规定的其他实质性要求的。</w:t>
      </w:r>
    </w:p>
    <w:p>
      <w:pPr>
        <w:pageBreakBefore w:val="0"/>
        <w:kinsoku/>
        <w:wordWrap/>
        <w:overflowPunct/>
        <w:topLinePunct w:val="0"/>
        <w:bidi w:val="0"/>
        <w:spacing w:line="400" w:lineRule="exact"/>
        <w:textAlignment w:val="auto"/>
        <w:outlineLvl w:val="2"/>
        <w:rPr>
          <w:rFonts w:hint="eastAsia" w:ascii="微软雅黑" w:hAnsi="微软雅黑" w:eastAsia="微软雅黑" w:cs="微软雅黑"/>
          <w:b/>
          <w:bCs/>
          <w:color w:val="auto"/>
          <w:sz w:val="22"/>
          <w:szCs w:val="22"/>
        </w:rPr>
      </w:pPr>
      <w:bookmarkStart w:id="157" w:name="_Toc515647784"/>
      <w:bookmarkStart w:id="158" w:name="_Toc22941"/>
      <w:bookmarkStart w:id="159" w:name="_Toc10960"/>
      <w:bookmarkStart w:id="160" w:name="_Toc13652"/>
      <w:r>
        <w:rPr>
          <w:rFonts w:hint="eastAsia" w:ascii="微软雅黑" w:hAnsi="微软雅黑" w:eastAsia="微软雅黑" w:cs="微软雅黑"/>
          <w:b/>
          <w:bCs/>
          <w:color w:val="auto"/>
          <w:sz w:val="22"/>
          <w:szCs w:val="22"/>
        </w:rPr>
        <w:t>23.</w:t>
      </w:r>
      <w:bookmarkEnd w:id="148"/>
      <w:r>
        <w:rPr>
          <w:rFonts w:hint="eastAsia" w:ascii="微软雅黑" w:hAnsi="微软雅黑" w:eastAsia="微软雅黑" w:cs="微软雅黑"/>
          <w:b/>
          <w:bCs/>
          <w:color w:val="auto"/>
          <w:sz w:val="22"/>
          <w:szCs w:val="22"/>
        </w:rPr>
        <w:t>比较与评价</w:t>
      </w:r>
      <w:bookmarkEnd w:id="157"/>
      <w:bookmarkEnd w:id="158"/>
      <w:bookmarkEnd w:id="159"/>
      <w:bookmarkEnd w:id="160"/>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yellow"/>
        </w:rPr>
      </w:pPr>
      <w:r>
        <w:rPr>
          <w:rFonts w:hint="eastAsia" w:ascii="微软雅黑" w:hAnsi="微软雅黑" w:eastAsia="微软雅黑" w:cs="微软雅黑"/>
          <w:color w:val="auto"/>
          <w:sz w:val="22"/>
          <w:szCs w:val="22"/>
        </w:rPr>
        <w:t>23.1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经符合性审查合格的投标文件，评标委员会将根据招标文件确定的评标方法和标准，对其技术部分和商务部分作进一步的比较和评价。</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23.2  </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评标严格按照招标文件的要求和条件进行。根据实际情况，在</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中规定采用下列评标方法，详细评标标准见招标文件第六章：</w:t>
      </w:r>
    </w:p>
    <w:p>
      <w:pPr>
        <w:pStyle w:val="16"/>
        <w:pageBreakBefore w:val="0"/>
        <w:kinsoku/>
        <w:wordWrap/>
        <w:overflowPunct/>
        <w:topLinePunct w:val="0"/>
        <w:bidi w:val="0"/>
        <w:spacing w:line="400" w:lineRule="exact"/>
        <w:ind w:left="898" w:leftChars="342" w:hanging="18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（1） </w:t>
      </w:r>
      <w:r>
        <w:rPr>
          <w:rFonts w:hint="eastAsia" w:ascii="微软雅黑" w:hAnsi="微软雅黑" w:eastAsia="微软雅黑" w:cs="微软雅黑"/>
          <w:color w:val="auto"/>
          <w:sz w:val="22"/>
          <w:szCs w:val="22"/>
          <w:lang w:eastAsia="zh-CN"/>
        </w:rPr>
        <w:t>本项目采用</w:t>
      </w:r>
      <w:r>
        <w:rPr>
          <w:rFonts w:hint="eastAsia" w:ascii="微软雅黑" w:hAnsi="微软雅黑" w:eastAsia="微软雅黑" w:cs="微软雅黑"/>
          <w:color w:val="auto"/>
          <w:sz w:val="22"/>
          <w:szCs w:val="22"/>
        </w:rPr>
        <w:t>综合评分法，是指投标文件满足招标文件全部实质性要求，且按照评审因素的量化指标评审得分最高的供应商为中标候选人的评标方法。</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61" w:name="sendNo"/>
      <w:r>
        <w:rPr>
          <w:rFonts w:hint="eastAsia" w:ascii="微软雅黑" w:hAnsi="微软雅黑" w:eastAsia="微软雅黑" w:cs="微软雅黑"/>
          <w:b/>
          <w:bCs/>
          <w:color w:val="auto"/>
          <w:sz w:val="22"/>
          <w:szCs w:val="22"/>
        </w:rPr>
        <w:t>财库〔</w:t>
      </w:r>
      <w:bookmarkEnd w:id="161"/>
      <w:r>
        <w:rPr>
          <w:rFonts w:hint="eastAsia" w:ascii="微软雅黑" w:hAnsi="微软雅黑" w:eastAsia="微软雅黑" w:cs="微软雅黑"/>
          <w:b/>
          <w:bCs/>
          <w:color w:val="auto"/>
          <w:sz w:val="22"/>
          <w:szCs w:val="22"/>
        </w:rPr>
        <w:t>2017〕141号）</w:t>
      </w:r>
      <w:r>
        <w:rPr>
          <w:rFonts w:hint="eastAsia" w:ascii="微软雅黑" w:hAnsi="微软雅黑" w:eastAsia="微软雅黑" w:cs="微软雅黑"/>
          <w:b/>
          <w:bCs/>
          <w:color w:val="auto"/>
          <w:sz w:val="22"/>
          <w:szCs w:val="22"/>
          <w:lang w:eastAsia="zh-CN"/>
        </w:rPr>
        <w:t>、《关于进一步加大政府采购支持中小企业力度的通知》（财库〔2022〕19号）</w:t>
      </w:r>
      <w:r>
        <w:rPr>
          <w:rFonts w:hint="eastAsia" w:ascii="微软雅黑" w:hAnsi="微软雅黑" w:eastAsia="微软雅黑" w:cs="微软雅黑"/>
          <w:b/>
          <w:bCs/>
          <w:color w:val="auto"/>
          <w:sz w:val="22"/>
          <w:szCs w:val="22"/>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auto"/>
          <w:sz w:val="22"/>
          <w:szCs w:val="22"/>
          <w:lang w:val="en-US" w:eastAsia="zh-CN"/>
        </w:rPr>
        <w:t>10%</w:t>
      </w:r>
      <w:r>
        <w:rPr>
          <w:rFonts w:hint="eastAsia" w:ascii="微软雅黑" w:hAnsi="微软雅黑" w:eastAsia="微软雅黑" w:cs="微软雅黑"/>
          <w:b/>
          <w:bCs/>
          <w:color w:val="auto"/>
          <w:sz w:val="22"/>
          <w:szCs w:val="22"/>
        </w:rPr>
        <w:t>后参与</w:t>
      </w:r>
      <w:r>
        <w:rPr>
          <w:rFonts w:hint="eastAsia" w:ascii="微软雅黑" w:hAnsi="微软雅黑" w:eastAsia="微软雅黑" w:cs="微软雅黑"/>
          <w:b/>
          <w:bCs/>
          <w:color w:val="auto"/>
          <w:sz w:val="22"/>
          <w:szCs w:val="22"/>
          <w:lang w:eastAsia="zh-CN"/>
        </w:rPr>
        <w:t>评标</w:t>
      </w:r>
      <w:r>
        <w:rPr>
          <w:rFonts w:hint="eastAsia" w:ascii="微软雅黑" w:hAnsi="微软雅黑" w:eastAsia="微软雅黑" w:cs="微软雅黑"/>
          <w:b/>
          <w:bCs/>
          <w:color w:val="auto"/>
          <w:sz w:val="22"/>
          <w:szCs w:val="22"/>
        </w:rPr>
        <w:t>。</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评审中价格扣除等政府采购促进中小企业发展的政府采购政策。</w:t>
      </w:r>
      <w:r>
        <w:rPr>
          <w:rFonts w:hint="eastAsia" w:ascii="微软雅黑" w:hAnsi="微软雅黑" w:eastAsia="微软雅黑" w:cs="微软雅黑"/>
          <w:color w:val="auto"/>
          <w:sz w:val="22"/>
          <w:szCs w:val="22"/>
        </w:rPr>
        <w:t>  </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62" w:name="_Toc515647785"/>
      <w:bookmarkStart w:id="163" w:name="_Toc20227"/>
      <w:bookmarkStart w:id="164" w:name="_Toc26143"/>
      <w:bookmarkStart w:id="165" w:name="_Toc9378"/>
      <w:r>
        <w:rPr>
          <w:rFonts w:hint="eastAsia" w:ascii="微软雅黑" w:hAnsi="微软雅黑" w:eastAsia="微软雅黑" w:cs="微软雅黑"/>
          <w:color w:val="auto"/>
          <w:sz w:val="22"/>
          <w:szCs w:val="22"/>
          <w:u w:val="none"/>
        </w:rPr>
        <w:t>24.废标</w:t>
      </w:r>
      <w:bookmarkEnd w:id="162"/>
      <w:bookmarkEnd w:id="163"/>
      <w:bookmarkEnd w:id="164"/>
      <w:bookmarkEnd w:id="165"/>
    </w:p>
    <w:p>
      <w:pPr>
        <w:pageBreakBefore w:val="0"/>
        <w:kinsoku/>
        <w:wordWrap/>
        <w:overflowPunct/>
        <w:topLinePunct w:val="0"/>
        <w:bidi w:val="0"/>
        <w:spacing w:line="400" w:lineRule="exact"/>
        <w:ind w:left="893" w:leftChars="399" w:hanging="55" w:hangingChars="25"/>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 xml:space="preserve">出现下列情形之一，将导致项目废标： </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ab/>
      </w:r>
      <w:r>
        <w:rPr>
          <w:rFonts w:hint="eastAsia" w:ascii="微软雅黑" w:hAnsi="微软雅黑" w:eastAsia="微软雅黑" w:cs="微软雅黑"/>
          <w:b/>
          <w:bCs/>
          <w:color w:val="auto"/>
          <w:sz w:val="22"/>
          <w:szCs w:val="22"/>
        </w:rPr>
        <w:t>（1）符合专业条件的供应商或者对招标文件做实质性响应的供应商不足三家；</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ab/>
      </w:r>
      <w:r>
        <w:rPr>
          <w:rFonts w:hint="eastAsia" w:ascii="微软雅黑" w:hAnsi="微软雅黑" w:eastAsia="微软雅黑" w:cs="微软雅黑"/>
          <w:b/>
          <w:bCs/>
          <w:color w:val="auto"/>
          <w:sz w:val="22"/>
          <w:szCs w:val="22"/>
        </w:rPr>
        <w:t>（2）出现影响采购公正的违法、违规行为的；</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（3）供应商的报价均超过了采购预算，采购人不能支付的；</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auto"/>
          <w:sz w:val="22"/>
          <w:szCs w:val="22"/>
          <w:lang w:eastAsia="zh-CN"/>
        </w:rPr>
      </w:pPr>
      <w:r>
        <w:rPr>
          <w:rFonts w:hint="eastAsia" w:ascii="微软雅黑" w:hAnsi="微软雅黑" w:eastAsia="微软雅黑" w:cs="微软雅黑"/>
          <w:b/>
          <w:bCs/>
          <w:color w:val="auto"/>
          <w:sz w:val="22"/>
          <w:szCs w:val="22"/>
        </w:rPr>
        <w:t>（4）因重大变故，采购任务取消的</w:t>
      </w:r>
      <w:r>
        <w:rPr>
          <w:rFonts w:hint="eastAsia" w:ascii="微软雅黑" w:hAnsi="微软雅黑" w:eastAsia="微软雅黑" w:cs="微软雅黑"/>
          <w:b/>
          <w:bCs/>
          <w:color w:val="auto"/>
          <w:sz w:val="22"/>
          <w:szCs w:val="22"/>
          <w:lang w:eastAsia="zh-CN"/>
        </w:rPr>
        <w:t>；</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lang w:eastAsia="zh-CN"/>
        </w:rPr>
        <w:t>（</w:t>
      </w:r>
      <w:r>
        <w:rPr>
          <w:rFonts w:hint="eastAsia" w:ascii="微软雅黑" w:hAnsi="微软雅黑" w:eastAsia="微软雅黑" w:cs="微软雅黑"/>
          <w:b/>
          <w:bCs/>
          <w:color w:val="auto"/>
          <w:sz w:val="22"/>
          <w:szCs w:val="22"/>
          <w:lang w:val="en-US" w:eastAsia="zh-CN"/>
        </w:rPr>
        <w:t>5</w:t>
      </w:r>
      <w:r>
        <w:rPr>
          <w:rFonts w:hint="eastAsia" w:ascii="微软雅黑" w:hAnsi="微软雅黑" w:eastAsia="微软雅黑" w:cs="微软雅黑"/>
          <w:b/>
          <w:bCs/>
          <w:color w:val="auto"/>
          <w:sz w:val="22"/>
          <w:szCs w:val="22"/>
          <w:lang w:eastAsia="zh-CN"/>
        </w:rPr>
        <w:t>）投标的电子版投标文件与纸质版投标文件正本完全一致。</w:t>
      </w:r>
      <w:r>
        <w:rPr>
          <w:rFonts w:hint="eastAsia" w:ascii="微软雅黑" w:hAnsi="微软雅黑" w:eastAsia="微软雅黑" w:cs="微软雅黑"/>
          <w:b/>
          <w:bCs/>
          <w:color w:val="auto"/>
          <w:sz w:val="22"/>
          <w:szCs w:val="22"/>
        </w:rPr>
        <w:t xml:space="preserve">   </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66" w:name="_Toc29491"/>
      <w:bookmarkStart w:id="167" w:name="_Toc24972"/>
      <w:bookmarkStart w:id="168" w:name="_Toc515647786"/>
      <w:bookmarkStart w:id="169" w:name="_Toc31289"/>
      <w:bookmarkStart w:id="170" w:name="_Toc520356169"/>
      <w:r>
        <w:rPr>
          <w:rFonts w:hint="eastAsia" w:ascii="微软雅黑" w:hAnsi="微软雅黑" w:eastAsia="微软雅黑" w:cs="微软雅黑"/>
          <w:color w:val="auto"/>
          <w:sz w:val="22"/>
          <w:szCs w:val="22"/>
          <w:u w:val="none"/>
        </w:rPr>
        <w:t>25.保密原则</w:t>
      </w:r>
      <w:bookmarkEnd w:id="166"/>
      <w:bookmarkEnd w:id="167"/>
      <w:bookmarkEnd w:id="168"/>
      <w:bookmarkEnd w:id="16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25.1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评标将在严格保密的情况下进行。</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25.2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政府采购评审专家应当遵守评审工作纪律，不得泄露评审文件、评审情况和评审中获悉的商业秘密。</w:t>
      </w:r>
    </w:p>
    <w:p>
      <w:pPr>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rPr>
      </w:pP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b/>
          <w:bCs/>
          <w:color w:val="auto"/>
          <w:sz w:val="22"/>
          <w:szCs w:val="22"/>
        </w:rPr>
      </w:pPr>
      <w:bookmarkStart w:id="171" w:name="_Toc20578"/>
      <w:bookmarkStart w:id="172" w:name="_Toc23904"/>
      <w:bookmarkStart w:id="173" w:name="_Toc24656"/>
      <w:bookmarkStart w:id="174" w:name="_Toc12143"/>
      <w:bookmarkStart w:id="175" w:name="_Toc30610"/>
      <w:bookmarkStart w:id="176" w:name="_Toc216582810"/>
      <w:bookmarkStart w:id="177" w:name="_Toc515647787"/>
      <w:r>
        <w:rPr>
          <w:rFonts w:hint="eastAsia" w:ascii="微软雅黑" w:hAnsi="微软雅黑" w:eastAsia="微软雅黑" w:cs="微软雅黑"/>
          <w:b/>
          <w:bCs/>
          <w:color w:val="auto"/>
          <w:sz w:val="22"/>
          <w:szCs w:val="22"/>
        </w:rPr>
        <w:t xml:space="preserve">六   </w:t>
      </w:r>
      <w:bookmarkEnd w:id="170"/>
      <w:r>
        <w:rPr>
          <w:rFonts w:hint="eastAsia" w:ascii="微软雅黑" w:hAnsi="微软雅黑" w:eastAsia="微软雅黑" w:cs="微软雅黑"/>
          <w:b/>
          <w:bCs/>
          <w:color w:val="auto"/>
          <w:sz w:val="22"/>
          <w:szCs w:val="22"/>
        </w:rPr>
        <w:t>确定中标</w:t>
      </w:r>
      <w:bookmarkEnd w:id="171"/>
      <w:bookmarkEnd w:id="172"/>
      <w:bookmarkEnd w:id="173"/>
      <w:bookmarkEnd w:id="174"/>
      <w:bookmarkEnd w:id="175"/>
      <w:bookmarkEnd w:id="176"/>
      <w:bookmarkEnd w:id="177"/>
    </w:p>
    <w:p>
      <w:pPr>
        <w:pStyle w:val="2"/>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78" w:name="_Toc10050"/>
      <w:bookmarkStart w:id="179" w:name="_Toc520356170"/>
      <w:bookmarkStart w:id="180" w:name="_Toc23617"/>
      <w:bookmarkStart w:id="181" w:name="_Ref467307010"/>
      <w:bookmarkStart w:id="182" w:name="_Toc515647788"/>
      <w:bookmarkStart w:id="183" w:name="_Toc23762"/>
      <w:r>
        <w:rPr>
          <w:rFonts w:hint="eastAsia" w:ascii="微软雅黑" w:hAnsi="微软雅黑" w:eastAsia="微软雅黑" w:cs="微软雅黑"/>
          <w:color w:val="auto"/>
          <w:sz w:val="22"/>
          <w:szCs w:val="22"/>
          <w:u w:val="none"/>
        </w:rPr>
        <w:t>26.中标候选人的确定原则及标准</w:t>
      </w:r>
      <w:bookmarkEnd w:id="178"/>
      <w:bookmarkEnd w:id="179"/>
      <w:bookmarkEnd w:id="180"/>
      <w:bookmarkEnd w:id="181"/>
      <w:bookmarkEnd w:id="182"/>
      <w:bookmarkEnd w:id="18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对实质上响应招标文件的供应商按下列方法进行排序，确定投标候选人：</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rPr>
      </w:pPr>
      <w:bookmarkStart w:id="184" w:name="_Toc520356171"/>
      <w:bookmarkStart w:id="185" w:name="_Toc515647789"/>
      <w:r>
        <w:rPr>
          <w:rFonts w:hint="eastAsia" w:ascii="微软雅黑" w:hAnsi="微软雅黑" w:eastAsia="微软雅黑" w:cs="微软雅黑"/>
          <w:color w:val="auto"/>
          <w:sz w:val="22"/>
          <w:szCs w:val="22"/>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（2）采用综合评分法的，评标结果按评审后得分由高到低顺序排列。得分相同的，按修正和扣除后的投标报价由低到高顺序排列。得分与投标报价均相同的处理方式详见招标文件第6章。</w:t>
      </w:r>
    </w:p>
    <w:p>
      <w:pPr>
        <w:pageBreakBefore w:val="0"/>
        <w:kinsoku/>
        <w:wordWrap/>
        <w:overflowPunct/>
        <w:topLinePunct w:val="0"/>
        <w:bidi w:val="0"/>
        <w:spacing w:line="400" w:lineRule="exact"/>
        <w:ind w:left="901"/>
        <w:textAlignment w:val="auto"/>
        <w:rPr>
          <w:rFonts w:hint="eastAsia" w:eastAsia="微软雅黑"/>
          <w:b/>
          <w:bCs/>
          <w:color w:val="auto"/>
          <w:lang w:val="en-US" w:eastAsia="zh-CN"/>
        </w:rPr>
      </w:pPr>
      <w:r>
        <w:rPr>
          <w:rFonts w:hint="eastAsia" w:ascii="微软雅黑" w:hAnsi="微软雅黑" w:eastAsia="微软雅黑" w:cs="微软雅黑"/>
          <w:b/>
          <w:bCs/>
          <w:color w:val="auto"/>
          <w:sz w:val="22"/>
          <w:szCs w:val="22"/>
          <w:highlight w:val="none"/>
        </w:rPr>
        <w:t>本项目采用综合评分法，其中价格占</w:t>
      </w:r>
      <w:r>
        <w:rPr>
          <w:rFonts w:hint="eastAsia" w:ascii="微软雅黑" w:hAnsi="微软雅黑" w:eastAsia="微软雅黑" w:cs="微软雅黑"/>
          <w:b/>
          <w:bCs/>
          <w:color w:val="auto"/>
          <w:sz w:val="22"/>
          <w:szCs w:val="22"/>
          <w:highlight w:val="none"/>
          <w:lang w:val="en-US" w:eastAsia="zh-CN"/>
        </w:rPr>
        <w:t>40</w:t>
      </w:r>
      <w:r>
        <w:rPr>
          <w:rFonts w:hint="eastAsia" w:ascii="微软雅黑" w:hAnsi="微软雅黑" w:eastAsia="微软雅黑" w:cs="微软雅黑"/>
          <w:b/>
          <w:bCs/>
          <w:color w:val="auto"/>
          <w:sz w:val="22"/>
          <w:szCs w:val="22"/>
          <w:highlight w:val="none"/>
        </w:rPr>
        <w:t>%，商务占</w:t>
      </w:r>
      <w:r>
        <w:rPr>
          <w:rFonts w:hint="eastAsia" w:ascii="微软雅黑" w:hAnsi="微软雅黑" w:eastAsia="微软雅黑" w:cs="微软雅黑"/>
          <w:b/>
          <w:bCs/>
          <w:color w:val="auto"/>
          <w:sz w:val="22"/>
          <w:szCs w:val="22"/>
          <w:highlight w:val="none"/>
          <w:lang w:val="en-US" w:eastAsia="zh-CN"/>
        </w:rPr>
        <w:t>8</w:t>
      </w:r>
      <w:r>
        <w:rPr>
          <w:rFonts w:hint="eastAsia" w:ascii="微软雅黑" w:hAnsi="微软雅黑" w:eastAsia="微软雅黑" w:cs="微软雅黑"/>
          <w:b/>
          <w:bCs/>
          <w:color w:val="auto"/>
          <w:sz w:val="22"/>
          <w:szCs w:val="22"/>
          <w:highlight w:val="none"/>
        </w:rPr>
        <w:t>%，技术</w:t>
      </w:r>
      <w:r>
        <w:rPr>
          <w:rFonts w:hint="eastAsia" w:ascii="微软雅黑" w:hAnsi="微软雅黑" w:eastAsia="微软雅黑" w:cs="微软雅黑"/>
          <w:b/>
          <w:bCs/>
          <w:color w:val="auto"/>
          <w:sz w:val="22"/>
          <w:szCs w:val="22"/>
          <w:highlight w:val="none"/>
          <w:lang w:val="en-US" w:eastAsia="zh-CN"/>
        </w:rPr>
        <w:t>52</w:t>
      </w:r>
      <w:r>
        <w:rPr>
          <w:rFonts w:hint="eastAsia" w:ascii="微软雅黑" w:hAnsi="微软雅黑" w:eastAsia="微软雅黑" w:cs="微软雅黑"/>
          <w:b/>
          <w:bCs/>
          <w:color w:val="auto"/>
          <w:sz w:val="22"/>
          <w:szCs w:val="22"/>
          <w:highlight w:val="none"/>
        </w:rPr>
        <w:t>%。</w:t>
      </w:r>
      <w:bookmarkStart w:id="186" w:name="_Toc9286"/>
      <w:bookmarkStart w:id="187" w:name="_Toc23951"/>
      <w:bookmarkStart w:id="188" w:name="_Toc9653"/>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u w:val="none"/>
        </w:rPr>
      </w:pPr>
      <w:r>
        <w:rPr>
          <w:rFonts w:hint="eastAsia" w:ascii="微软雅黑" w:hAnsi="微软雅黑" w:eastAsia="微软雅黑" w:cs="微软雅黑"/>
          <w:color w:val="auto"/>
          <w:sz w:val="22"/>
          <w:szCs w:val="22"/>
          <w:u w:val="none"/>
        </w:rPr>
        <w:t>2</w:t>
      </w:r>
      <w:bookmarkEnd w:id="184"/>
      <w:r>
        <w:rPr>
          <w:rFonts w:hint="eastAsia" w:ascii="微软雅黑" w:hAnsi="微软雅黑" w:eastAsia="微软雅黑" w:cs="微软雅黑"/>
          <w:color w:val="auto"/>
          <w:sz w:val="22"/>
          <w:szCs w:val="22"/>
          <w:u w:val="none"/>
        </w:rPr>
        <w:t>7.确定中标候选人和中标人</w:t>
      </w:r>
      <w:bookmarkEnd w:id="185"/>
      <w:bookmarkEnd w:id="186"/>
      <w:bookmarkEnd w:id="187"/>
      <w:bookmarkEnd w:id="18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评标委员会将根据评标标准，按</w:t>
      </w:r>
      <w:r>
        <w:rPr>
          <w:rFonts w:hint="eastAsia" w:ascii="微软雅黑" w:hAnsi="微软雅黑" w:eastAsia="微软雅黑" w:cs="微软雅黑"/>
          <w:color w:val="auto"/>
          <w:sz w:val="22"/>
          <w:szCs w:val="22"/>
          <w:u w:val="single"/>
        </w:rPr>
        <w:t>供应商须知资料表中</w:t>
      </w:r>
      <w:r>
        <w:rPr>
          <w:rFonts w:hint="eastAsia" w:ascii="微软雅黑" w:hAnsi="微软雅黑" w:eastAsia="微软雅黑" w:cs="微软雅黑"/>
          <w:color w:val="auto"/>
          <w:sz w:val="22"/>
          <w:szCs w:val="22"/>
        </w:rPr>
        <w:t>规定数量推荐中标候选人；或根据采购人的委托，直接确定中标人。</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89" w:name="_Toc520356173"/>
      <w:bookmarkStart w:id="190" w:name="_Ref467306874"/>
      <w:bookmarkStart w:id="191" w:name="_Toc8389"/>
      <w:bookmarkStart w:id="192" w:name="_Toc380"/>
      <w:bookmarkStart w:id="193" w:name="_Toc28562"/>
      <w:bookmarkStart w:id="194" w:name="_Toc515647790"/>
      <w:r>
        <w:rPr>
          <w:rFonts w:hint="eastAsia" w:ascii="微软雅黑" w:hAnsi="微软雅黑" w:eastAsia="微软雅黑" w:cs="微软雅黑"/>
          <w:color w:val="auto"/>
          <w:sz w:val="22"/>
          <w:szCs w:val="22"/>
          <w:u w:val="none"/>
        </w:rPr>
        <w:t>28.</w:t>
      </w:r>
      <w:bookmarkEnd w:id="189"/>
      <w:bookmarkEnd w:id="190"/>
      <w:r>
        <w:rPr>
          <w:rFonts w:hint="eastAsia" w:ascii="微软雅黑" w:hAnsi="微软雅黑" w:eastAsia="微软雅黑" w:cs="微软雅黑"/>
          <w:color w:val="auto"/>
          <w:sz w:val="22"/>
          <w:szCs w:val="22"/>
          <w:u w:val="none"/>
        </w:rPr>
        <w:t>采购任务取消</w:t>
      </w:r>
      <w:bookmarkEnd w:id="191"/>
      <w:bookmarkEnd w:id="192"/>
      <w:bookmarkEnd w:id="193"/>
      <w:bookmarkEnd w:id="194"/>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因重大变故采购任务取消时，采购人有权拒绝任何供应商中标，且对受影响的供应商不承担任何责任。</w:t>
      </w:r>
      <w:bookmarkStart w:id="195" w:name="_Toc520356174"/>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196" w:name="_Toc30170"/>
      <w:bookmarkStart w:id="197" w:name="_Toc515647791"/>
      <w:bookmarkStart w:id="198" w:name="_Toc31099"/>
      <w:bookmarkStart w:id="199" w:name="_Toc8579"/>
      <w:r>
        <w:rPr>
          <w:rFonts w:hint="eastAsia" w:ascii="微软雅黑" w:hAnsi="微软雅黑" w:eastAsia="微软雅黑" w:cs="微软雅黑"/>
          <w:color w:val="auto"/>
          <w:sz w:val="22"/>
          <w:szCs w:val="22"/>
          <w:u w:val="none"/>
        </w:rPr>
        <w:t>29.中标通知书</w:t>
      </w:r>
      <w:bookmarkEnd w:id="195"/>
      <w:r>
        <w:rPr>
          <w:rFonts w:hint="eastAsia" w:ascii="微软雅黑" w:hAnsi="微软雅黑" w:eastAsia="微软雅黑" w:cs="微软雅黑"/>
          <w:color w:val="auto"/>
          <w:sz w:val="22"/>
          <w:szCs w:val="22"/>
          <w:u w:val="none"/>
        </w:rPr>
        <w:t>和招标结果通知书</w:t>
      </w:r>
      <w:bookmarkEnd w:id="196"/>
      <w:bookmarkEnd w:id="197"/>
      <w:bookmarkEnd w:id="198"/>
      <w:bookmarkEnd w:id="19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29.1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在投标有效期内，中标人确定后，采购人或者采购代理机构发布中标公告，同时以书面形式向中标人发出中标通知书。</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29.2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中标通知书是合同的组成部分。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29.3    招标结果通知书和中标通知书同时发出。招标结果通知书中将告知未通过资格审查的供应商未通过的原因；采用综合评分法评审的，还将告知未中标人本人的评审得分和排序。</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00" w:name="_Toc15653"/>
      <w:bookmarkStart w:id="201" w:name="_Ref467306377"/>
      <w:bookmarkStart w:id="202" w:name="_Toc790"/>
      <w:bookmarkStart w:id="203" w:name="_Ref467307062"/>
      <w:bookmarkStart w:id="204" w:name="_Toc515647792"/>
      <w:bookmarkStart w:id="205" w:name="_Ref467307204"/>
      <w:bookmarkStart w:id="206" w:name="_Toc7779"/>
      <w:bookmarkStart w:id="207" w:name="_Toc520356175"/>
      <w:bookmarkStart w:id="208" w:name="_Ref467306978"/>
      <w:r>
        <w:rPr>
          <w:rFonts w:hint="eastAsia" w:ascii="微软雅黑" w:hAnsi="微软雅黑" w:eastAsia="微软雅黑" w:cs="微软雅黑"/>
          <w:color w:val="auto"/>
          <w:sz w:val="22"/>
          <w:szCs w:val="22"/>
          <w:u w:val="none"/>
        </w:rPr>
        <w:t>30.签订合同</w:t>
      </w:r>
      <w:bookmarkEnd w:id="200"/>
      <w:bookmarkEnd w:id="201"/>
      <w:bookmarkEnd w:id="202"/>
      <w:bookmarkEnd w:id="203"/>
      <w:bookmarkEnd w:id="204"/>
      <w:bookmarkEnd w:id="205"/>
      <w:bookmarkEnd w:id="206"/>
      <w:bookmarkEnd w:id="207"/>
      <w:bookmarkEnd w:id="20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30.1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中标人应当自发出中标通知书之日起30日内，与采购人签订合同。</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30.2</w:t>
      </w:r>
      <w:r>
        <w:rPr>
          <w:rFonts w:hint="eastAsia" w:ascii="微软雅黑" w:hAnsi="微软雅黑" w:eastAsia="微软雅黑" w:cs="微软雅黑"/>
          <w:color w:val="auto"/>
          <w:sz w:val="22"/>
          <w:szCs w:val="22"/>
        </w:rPr>
        <w:tab/>
      </w:r>
      <w:bookmarkStart w:id="209" w:name="_Toc520356176"/>
      <w:bookmarkStart w:id="210" w:name="_Ref467307090"/>
      <w:bookmarkStart w:id="211" w:name="_Ref467306425"/>
      <w:r>
        <w:rPr>
          <w:rFonts w:hint="eastAsia" w:ascii="微软雅黑" w:hAnsi="微软雅黑" w:eastAsia="微软雅黑" w:cs="微软雅黑"/>
          <w:color w:val="auto"/>
          <w:sz w:val="22"/>
          <w:szCs w:val="22"/>
        </w:rPr>
        <w:t>招标文件、中标人的投标文件及其澄清文件等，均为签订合同的依据。</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30.3   中标人拒绝与采购人签订合同的，采购人可以按照评审报告推荐的中标候选人名单排序，确定下一中标候选人为中标人，也可以重新开展政府采购活动。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12" w:name="_Toc20240"/>
      <w:bookmarkStart w:id="213" w:name="_Toc22555"/>
      <w:bookmarkStart w:id="214" w:name="_Toc14080"/>
      <w:bookmarkStart w:id="215" w:name="_Toc515647793"/>
      <w:r>
        <w:rPr>
          <w:rFonts w:hint="eastAsia" w:ascii="微软雅黑" w:hAnsi="微软雅黑" w:eastAsia="微软雅黑" w:cs="微软雅黑"/>
          <w:color w:val="auto"/>
          <w:sz w:val="22"/>
          <w:szCs w:val="22"/>
        </w:rPr>
        <w:t>31</w:t>
      </w:r>
      <w:r>
        <w:rPr>
          <w:rFonts w:hint="eastAsia" w:ascii="微软雅黑" w:hAnsi="微软雅黑" w:eastAsia="微软雅黑" w:cs="微软雅黑"/>
          <w:color w:val="auto"/>
          <w:sz w:val="22"/>
          <w:szCs w:val="22"/>
          <w:u w:val="none"/>
        </w:rPr>
        <w:t>.履约保证金</w:t>
      </w:r>
      <w:bookmarkEnd w:id="209"/>
      <w:bookmarkEnd w:id="210"/>
      <w:bookmarkEnd w:id="211"/>
      <w:bookmarkEnd w:id="212"/>
      <w:bookmarkEnd w:id="213"/>
      <w:bookmarkEnd w:id="214"/>
      <w:bookmarkEnd w:id="21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31.1</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中标人应按照</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规定向采购人缴纳履约保证金（如采用保函形式，格式见本章附件1）。</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31.2</w:t>
      </w:r>
      <w:r>
        <w:rPr>
          <w:rFonts w:hint="eastAsia" w:ascii="微软雅黑" w:hAnsi="微软雅黑" w:eastAsia="微软雅黑" w:cs="微软雅黑"/>
          <w:color w:val="auto"/>
          <w:sz w:val="22"/>
          <w:szCs w:val="22"/>
        </w:rPr>
        <w:tab/>
      </w:r>
      <w:r>
        <w:rPr>
          <w:rFonts w:hint="eastAsia" w:ascii="微软雅黑" w:hAnsi="微软雅黑" w:eastAsia="微软雅黑" w:cs="微软雅黑"/>
          <w:color w:val="auto"/>
          <w:sz w:val="22"/>
          <w:szCs w:val="22"/>
        </w:rPr>
        <w:t>政府采购利用担保试点范围内的项目，除31.1规定的情形外，中标人也可以按照财政部门的规定，向采购人提供合格的履约担保函（格式见本章附件2）。</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31.3   如果中标人没有按照上述履约保证金的规定执行，将视为放弃中标资格，中标人的投标保证金将不予退还。在此情况下，采购人可确定下一候选人为中标人，也可以重新开展采购活动。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16" w:name="_Toc8972"/>
      <w:bookmarkStart w:id="217" w:name="_Toc29408"/>
      <w:bookmarkStart w:id="218" w:name="_Toc3090"/>
      <w:bookmarkStart w:id="219" w:name="_Toc515647794"/>
      <w:r>
        <w:rPr>
          <w:rFonts w:hint="eastAsia" w:ascii="微软雅黑" w:hAnsi="微软雅黑" w:eastAsia="微软雅黑" w:cs="微软雅黑"/>
          <w:color w:val="auto"/>
          <w:sz w:val="22"/>
          <w:szCs w:val="22"/>
          <w:u w:val="none"/>
        </w:rPr>
        <w:t>32.中标服务费</w:t>
      </w:r>
      <w:bookmarkEnd w:id="216"/>
      <w:bookmarkEnd w:id="217"/>
      <w:bookmarkEnd w:id="218"/>
      <w:bookmarkEnd w:id="219"/>
    </w:p>
    <w:p>
      <w:pPr>
        <w:pageBreakBefore w:val="0"/>
        <w:kinsoku/>
        <w:wordWrap/>
        <w:overflowPunct/>
        <w:topLinePunct w:val="0"/>
        <w:bidi w:val="0"/>
        <w:spacing w:line="400" w:lineRule="exact"/>
        <w:ind w:left="805" w:leftChars="200" w:hanging="385" w:hangingChars="1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中标人须按照</w:t>
      </w:r>
      <w:r>
        <w:rPr>
          <w:rFonts w:hint="eastAsia" w:ascii="微软雅黑" w:hAnsi="微软雅黑" w:eastAsia="微软雅黑" w:cs="微软雅黑"/>
          <w:color w:val="auto"/>
          <w:sz w:val="22"/>
          <w:szCs w:val="22"/>
          <w:u w:val="single"/>
        </w:rPr>
        <w:t>投标须知资料表</w:t>
      </w:r>
      <w:r>
        <w:rPr>
          <w:rFonts w:hint="eastAsia" w:ascii="微软雅黑" w:hAnsi="微软雅黑" w:eastAsia="微软雅黑" w:cs="微软雅黑"/>
          <w:color w:val="auto"/>
          <w:sz w:val="22"/>
          <w:szCs w:val="22"/>
        </w:rPr>
        <w:t>规定，向采购代理机构支付中标服务费。</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20" w:name="_Toc6923"/>
      <w:bookmarkStart w:id="221" w:name="_Toc515647795"/>
      <w:bookmarkStart w:id="222" w:name="_Toc8524"/>
      <w:bookmarkStart w:id="223" w:name="_Toc7049"/>
      <w:r>
        <w:rPr>
          <w:rFonts w:hint="eastAsia" w:ascii="微软雅黑" w:hAnsi="微软雅黑" w:eastAsia="微软雅黑" w:cs="微软雅黑"/>
          <w:color w:val="auto"/>
          <w:sz w:val="22"/>
          <w:szCs w:val="22"/>
          <w:u w:val="none"/>
        </w:rPr>
        <w:t>33.政府采购信用担保</w:t>
      </w:r>
      <w:bookmarkEnd w:id="220"/>
      <w:bookmarkEnd w:id="221"/>
      <w:bookmarkEnd w:id="222"/>
      <w:bookmarkEnd w:id="22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33.1   本项目是否属于信用担保试点范围见</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left="779" w:hanging="778" w:hangingChars="354"/>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33.2   如属于政府采购信用担保试点范围内，中小型企业供应商可以自由按照财政部门的规定，采用投标担保、履约担保和融资担保。</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33.2.1 供应商递交的投标担保函和履约担保函应符合本招标文件的规定。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33.2.2 中标人可以采取融资担保的形式为政府采购项目履约进行融资。</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33.2.3 合格的政府采购专业信用担保机构名单见</w:t>
      </w:r>
      <w:r>
        <w:rPr>
          <w:rFonts w:hint="eastAsia" w:ascii="微软雅黑" w:hAnsi="微软雅黑" w:eastAsia="微软雅黑" w:cs="微软雅黑"/>
          <w:color w:val="auto"/>
          <w:sz w:val="22"/>
          <w:szCs w:val="22"/>
          <w:u w:val="single"/>
        </w:rPr>
        <w:t>供应商须知资料表</w:t>
      </w:r>
      <w:r>
        <w:rPr>
          <w:rFonts w:hint="eastAsia" w:ascii="微软雅黑" w:hAnsi="微软雅黑" w:eastAsia="微软雅黑" w:cs="微软雅黑"/>
          <w:color w:val="auto"/>
          <w:sz w:val="22"/>
          <w:szCs w:val="22"/>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24" w:name="_Toc23999"/>
      <w:bookmarkStart w:id="225" w:name="_Toc2133"/>
      <w:bookmarkStart w:id="226" w:name="_Toc12709"/>
      <w:bookmarkStart w:id="227" w:name="_Toc515647796"/>
      <w:r>
        <w:rPr>
          <w:rFonts w:hint="eastAsia" w:ascii="微软雅黑" w:hAnsi="微软雅黑" w:eastAsia="微软雅黑" w:cs="微软雅黑"/>
          <w:color w:val="auto"/>
          <w:sz w:val="22"/>
          <w:szCs w:val="22"/>
          <w:u w:val="none"/>
        </w:rPr>
        <w:t>34.廉洁自律规定</w:t>
      </w:r>
      <w:bookmarkEnd w:id="224"/>
      <w:bookmarkEnd w:id="225"/>
      <w:bookmarkEnd w:id="226"/>
      <w:bookmarkEnd w:id="227"/>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34.1   采购代理机构工作人员不得以不正当手段获取政府采购代理业务，不得与采购人、供应商恶意串通操纵政府采购活动。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34.2   采购代理机构工作人员不得接受采购人或者供应商组织的宴请、旅游、娱乐，不得收受礼品、现金、有价证券等，不得向采购人或者供应商报销应当由个人承担的费用。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34.3   为强化采购代理机构内部监督机制，供应商可按</w:t>
      </w:r>
      <w:r>
        <w:rPr>
          <w:rFonts w:hint="eastAsia" w:ascii="微软雅黑" w:hAnsi="微软雅黑" w:eastAsia="微软雅黑" w:cs="微软雅黑"/>
          <w:color w:val="auto"/>
          <w:sz w:val="22"/>
          <w:szCs w:val="22"/>
          <w:u w:val="single"/>
        </w:rPr>
        <w:t>供应商须知资料表中的</w:t>
      </w:r>
      <w:r>
        <w:rPr>
          <w:rFonts w:hint="eastAsia" w:ascii="微软雅黑" w:hAnsi="微软雅黑" w:eastAsia="微软雅黑" w:cs="微软雅黑"/>
          <w:color w:val="auto"/>
          <w:sz w:val="22"/>
          <w:szCs w:val="22"/>
        </w:rPr>
        <w:t>监督电话和邮箱，反映采购代理机构的廉洁自律等问题。</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u w:val="none"/>
        </w:rPr>
      </w:pPr>
      <w:bookmarkStart w:id="228" w:name="_Toc515647797"/>
      <w:bookmarkStart w:id="229" w:name="_Toc25480"/>
      <w:bookmarkStart w:id="230" w:name="_Toc11586"/>
      <w:bookmarkStart w:id="231" w:name="_Toc12865"/>
      <w:r>
        <w:rPr>
          <w:rFonts w:hint="eastAsia" w:ascii="微软雅黑" w:hAnsi="微软雅黑" w:eastAsia="微软雅黑" w:cs="微软雅黑"/>
          <w:color w:val="auto"/>
          <w:sz w:val="22"/>
          <w:szCs w:val="22"/>
          <w:u w:val="none"/>
        </w:rPr>
        <w:t>35.人员回避</w:t>
      </w:r>
      <w:bookmarkEnd w:id="228"/>
      <w:bookmarkEnd w:id="229"/>
      <w:bookmarkEnd w:id="230"/>
      <w:bookmarkEnd w:id="23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供应商认为采购人员及其相关人员有法律法规所列与其他供应商有利害关系的，可以向采购人或采购代理机构书面提出回避申请，并说明理由。</w:t>
      </w:r>
    </w:p>
    <w:p>
      <w:pPr>
        <w:pageBreakBefore w:val="0"/>
        <w:kinsoku/>
        <w:wordWrap/>
        <w:overflowPunct/>
        <w:topLinePunct w:val="0"/>
        <w:bidi w:val="0"/>
        <w:spacing w:line="400" w:lineRule="exact"/>
        <w:ind w:left="828" w:hanging="825" w:hangingChars="375"/>
        <w:jc w:val="left"/>
        <w:textAlignment w:val="auto"/>
        <w:outlineLvl w:val="2"/>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36.质疑与接收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ageBreakBefore w:val="0"/>
        <w:kinsoku/>
        <w:wordWrap/>
        <w:overflowPunct/>
        <w:topLinePunct w:val="0"/>
        <w:bidi w:val="0"/>
        <w:spacing w:line="400" w:lineRule="exact"/>
        <w:ind w:left="958" w:leftChars="456" w:firstLine="55" w:firstLineChars="2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超出法定质疑期的、重复提出的、分次提出的或内容、形式不符合《政府采购质疑和投诉办法》的，质疑供应商将依法承担不利后果。</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36.3    采购代理机构质疑函接收部门、联系电话和通讯地址, 见供应商须知资料表。</w:t>
      </w:r>
    </w:p>
    <w:p>
      <w:pPr>
        <w:pageBreakBefore w:val="0"/>
        <w:kinsoku/>
        <w:wordWrap/>
        <w:overflowPunct/>
        <w:topLinePunct w:val="0"/>
        <w:bidi w:val="0"/>
        <w:spacing w:line="400" w:lineRule="exact"/>
        <w:ind w:left="825" w:hanging="825" w:hangingChars="375"/>
        <w:jc w:val="left"/>
        <w:textAlignment w:val="auto"/>
        <w:outlineLvl w:val="2"/>
        <w:rPr>
          <w:rFonts w:hint="eastAsia" w:ascii="微软雅黑" w:hAnsi="微软雅黑" w:eastAsia="微软雅黑" w:cs="微软雅黑"/>
          <w:b/>
          <w:bCs/>
          <w:color w:val="auto"/>
          <w:sz w:val="22"/>
          <w:szCs w:val="22"/>
        </w:rPr>
      </w:pPr>
      <w:r>
        <w:rPr>
          <w:rFonts w:hint="eastAsia" w:ascii="微软雅黑" w:hAnsi="微软雅黑" w:eastAsia="微软雅黑" w:cs="微软雅黑"/>
          <w:color w:val="auto"/>
          <w:sz w:val="22"/>
          <w:szCs w:val="22"/>
        </w:rPr>
        <w:t>37.</w:t>
      </w:r>
      <w:r>
        <w:rPr>
          <w:rFonts w:hint="eastAsia" w:ascii="微软雅黑" w:hAnsi="微软雅黑" w:eastAsia="微软雅黑" w:cs="微软雅黑"/>
          <w:b/>
          <w:bCs/>
          <w:color w:val="auto"/>
          <w:sz w:val="22"/>
          <w:szCs w:val="22"/>
        </w:rPr>
        <w:t>质疑的提出</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37.1   本采购文件中所称质疑及答复，是指参加本次采购活动的供应商对政府采购活动中的采购文件、采购过程和中标结果向采购方提出质疑，采购方答复质疑的行为。</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37.2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（一）对可以质疑的采购文件提出质疑的，为收到采购文件之日或者采购文件公告期限届满之日；</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（二）对采购过程提出质疑的，为各采购程序环节结束之日；</w:t>
      </w:r>
    </w:p>
    <w:p>
      <w:pPr>
        <w:pageBreakBefore w:val="0"/>
        <w:kinsoku/>
        <w:wordWrap/>
        <w:overflowPunct/>
        <w:topLinePunct w:val="0"/>
        <w:bidi w:val="0"/>
        <w:spacing w:line="400" w:lineRule="exact"/>
        <w:ind w:firstLine="660" w:firstLineChars="3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（三）对中标结果提出质疑的，为中标结果公告期限届满之日。</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37.3   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37.5   提出质疑应当符合下列条件：</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（一）质疑主体应当符合有关规定；</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（二）在质疑法定期限内提出；</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（三）属于可以提出质疑的政府采购事项受理范围和本项目采购人的管辖权范围；</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（四）政府采购法律、法规、规章规定的其他条件。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37.7   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37.8   质疑人提出质疑时应当提交质疑函。质疑函包括下列内容：</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（一）提出质疑的质疑人的名称、地址、邮编、联系人及联系电话等；</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（二）质疑项目的名称、编号；</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（三）质疑事项；</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（四）事实依据和证明材料；</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（五）法律依据；</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（六）提出质疑的日期。</w:t>
      </w:r>
    </w:p>
    <w:p>
      <w:pPr>
        <w:pageBreakBefore w:val="0"/>
        <w:kinsoku/>
        <w:wordWrap/>
        <w:overflowPunct/>
        <w:topLinePunct w:val="0"/>
        <w:bidi w:val="0"/>
        <w:spacing w:line="400" w:lineRule="exact"/>
        <w:ind w:left="958" w:leftChars="456" w:firstLine="55" w:firstLineChars="2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37.9   质疑人可以委托代理人进行质疑。代理人应当提交授权委托书。授权委托书应当载明委托代理的具体权限、期限和相关事项。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37.10   质疑的审查和受理。采购方在收到质疑函后应当及时审查是否符合质疑受理条件，对符合质疑受理条件的，及时予以受理。</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37.11    对不符合质疑受理条件的，分别按照下列不同情形予以处理：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（二）质疑主体不符合有关规定的，告知质疑人不予受理；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（三）超过质疑法定期限提出质疑的，告知质疑人不予受理；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（四）对不属于可以提出质疑的政府采购事项提出质疑的，告知质疑人不予受理；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（五）质疑不属于本项目采购方管辖的，告知质疑人向有管辖权的采购人提出质疑；</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（六）质疑不符合其他条件的，告知质疑人不予受理。</w:t>
      </w:r>
    </w:p>
    <w:p>
      <w:pPr>
        <w:pageBreakBefore w:val="0"/>
        <w:kinsoku/>
        <w:wordWrap/>
        <w:overflowPunct/>
        <w:topLinePunct w:val="0"/>
        <w:bidi w:val="0"/>
        <w:spacing w:line="400" w:lineRule="exact"/>
        <w:ind w:left="828" w:hanging="825" w:hangingChars="375"/>
        <w:jc w:val="left"/>
        <w:textAlignment w:val="auto"/>
        <w:outlineLvl w:val="2"/>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38.质疑的处理和答复</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采购方受理质疑后，将及时把质疑函发送给被质疑人，并要求其在一定限期内提交书面答复，同时提供有关证据、依据和相关材料。</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38.1    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38.2  对评审过程、中标结果提出质疑的，采购方可以组织原评审委员会协助答复质疑。</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38.3  质疑处理过程中，质疑人书面申请撤回质疑的，将终止质疑处理程序。</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38.4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38.5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38.6  采购方将在正式受理质疑后7个工作日内作出答复。</w:t>
      </w:r>
    </w:p>
    <w:p>
      <w:pPr>
        <w:pStyle w:val="10"/>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38.7  质疑答复应当包括下列内容：</w:t>
      </w:r>
    </w:p>
    <w:p>
      <w:pPr>
        <w:pStyle w:val="10"/>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（一）质疑人的姓名或者名称；</w:t>
      </w:r>
    </w:p>
    <w:p>
      <w:pPr>
        <w:pStyle w:val="10"/>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（二）收到质疑函的日期、质疑项目名称及编号；</w:t>
      </w:r>
    </w:p>
    <w:p>
      <w:pPr>
        <w:pStyle w:val="10"/>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（三）质疑事项、质疑答复的具体内容、事实依据和法律依据；</w:t>
      </w:r>
    </w:p>
    <w:p>
      <w:pPr>
        <w:pStyle w:val="10"/>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（四）告知质疑供应商依法投诉的权利；</w:t>
      </w:r>
    </w:p>
    <w:p>
      <w:pPr>
        <w:pStyle w:val="10"/>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（五）质疑答复人名称；</w:t>
      </w:r>
    </w:p>
    <w:p>
      <w:pPr>
        <w:pageBreakBefore w:val="0"/>
        <w:kinsoku/>
        <w:wordWrap/>
        <w:overflowPunct/>
        <w:topLinePunct w:val="0"/>
        <w:bidi w:val="0"/>
        <w:spacing w:line="400" w:lineRule="exact"/>
        <w:ind w:left="718" w:leftChars="342" w:firstLine="220" w:firstLineChars="1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（六）答复质疑的日期。</w:t>
      </w:r>
    </w:p>
    <w:p>
      <w:pPr>
        <w:pageBreakBefore w:val="0"/>
        <w:kinsoku/>
        <w:wordWrap/>
        <w:overflowPunct/>
        <w:topLinePunct w:val="0"/>
        <w:bidi w:val="0"/>
        <w:spacing w:line="400" w:lineRule="exact"/>
        <w:jc w:val="center"/>
        <w:textAlignment w:val="auto"/>
        <w:outlineLvl w:val="1"/>
        <w:rPr>
          <w:rFonts w:hint="eastAsia" w:ascii="微软雅黑" w:hAnsi="微软雅黑" w:eastAsia="微软雅黑" w:cs="微软雅黑"/>
          <w:b/>
          <w:bCs/>
          <w:color w:val="auto"/>
          <w:sz w:val="22"/>
          <w:szCs w:val="22"/>
        </w:rPr>
      </w:pPr>
      <w:bookmarkStart w:id="232" w:name="_Toc11739"/>
      <w:bookmarkStart w:id="233" w:name="_Toc30870"/>
      <w:bookmarkStart w:id="234" w:name="_Toc2335"/>
      <w:bookmarkStart w:id="235" w:name="_Toc27626"/>
      <w:bookmarkStart w:id="236" w:name="_Toc7867"/>
      <w:bookmarkStart w:id="237" w:name="_Toc12854"/>
      <w:bookmarkStart w:id="238" w:name="_Toc32151"/>
      <w:bookmarkStart w:id="239" w:name="_Toc12135"/>
      <w:bookmarkStart w:id="240" w:name="_Toc2251"/>
      <w:bookmarkStart w:id="241" w:name="_Toc25761"/>
      <w:bookmarkStart w:id="242" w:name="_Toc11563"/>
      <w:bookmarkStart w:id="243" w:name="_Toc15048"/>
      <w:bookmarkStart w:id="244" w:name="_Toc11576"/>
      <w:bookmarkStart w:id="245" w:name="_Toc7782"/>
      <w:bookmarkStart w:id="246" w:name="_Toc29161"/>
      <w:bookmarkStart w:id="247" w:name="_Toc15203"/>
      <w:bookmarkStart w:id="248" w:name="_Toc435"/>
      <w:bookmarkStart w:id="249" w:name="_Toc25296"/>
      <w:bookmarkStart w:id="250" w:name="_Toc3750"/>
      <w:bookmarkStart w:id="251" w:name="_Toc28257"/>
      <w:bookmarkStart w:id="252" w:name="_Toc4670"/>
      <w:r>
        <w:rPr>
          <w:rFonts w:hint="eastAsia" w:ascii="微软雅黑" w:hAnsi="微软雅黑" w:eastAsia="微软雅黑" w:cs="微软雅黑"/>
          <w:b/>
          <w:bCs/>
          <w:color w:val="auto"/>
          <w:sz w:val="22"/>
          <w:szCs w:val="22"/>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rPr>
      </w:pPr>
      <w:bookmarkStart w:id="253" w:name="_Toc29466"/>
      <w:bookmarkStart w:id="254" w:name="_Toc23190"/>
      <w:bookmarkStart w:id="255" w:name="_Toc7517"/>
      <w:bookmarkStart w:id="256" w:name="_Toc24391"/>
      <w:bookmarkStart w:id="257" w:name="_Toc6833"/>
      <w:bookmarkStart w:id="258" w:name="_Toc7044"/>
      <w:bookmarkStart w:id="259" w:name="_Toc24926"/>
      <w:bookmarkStart w:id="260" w:name="_Toc26321"/>
      <w:bookmarkStart w:id="261" w:name="_Toc4348"/>
      <w:bookmarkStart w:id="262" w:name="_Toc28797"/>
      <w:bookmarkStart w:id="263" w:name="_Toc9491"/>
      <w:bookmarkStart w:id="264" w:name="_Toc25883"/>
      <w:bookmarkStart w:id="265" w:name="_Toc8620"/>
      <w:bookmarkStart w:id="266" w:name="_Toc32439"/>
      <w:bookmarkStart w:id="267" w:name="_Toc13218"/>
      <w:bookmarkStart w:id="268" w:name="_Toc3356"/>
      <w:bookmarkStart w:id="269" w:name="_Toc14896"/>
      <w:bookmarkStart w:id="270" w:name="_Toc3250"/>
      <w:bookmarkStart w:id="271" w:name="_Toc20504"/>
      <w:bookmarkStart w:id="272" w:name="_Toc18345"/>
      <w:bookmarkStart w:id="273" w:name="_Toc31020"/>
      <w:bookmarkStart w:id="274" w:name="_Toc29534"/>
      <w:r>
        <w:rPr>
          <w:rFonts w:hint="eastAsia" w:ascii="微软雅黑" w:hAnsi="微软雅黑" w:eastAsia="微软雅黑" w:cs="微软雅黑"/>
          <w:color w:val="auto"/>
          <w:sz w:val="22"/>
          <w:szCs w:val="22"/>
        </w:rPr>
        <w:t>一、质疑供应商基本信息</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质疑供应商：</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地址：</w:t>
      </w:r>
      <w:r>
        <w:rPr>
          <w:rFonts w:hint="eastAsia" w:ascii="微软雅黑" w:hAnsi="微软雅黑" w:eastAsia="微软雅黑" w:cs="微软雅黑"/>
          <w:color w:val="auto"/>
          <w:sz w:val="22"/>
          <w:szCs w:val="22"/>
          <w:u w:val="dotted"/>
        </w:rPr>
        <w:t xml:space="preserve">                          </w:t>
      </w:r>
      <w:r>
        <w:rPr>
          <w:rFonts w:hint="eastAsia" w:ascii="微软雅黑" w:hAnsi="微软雅黑" w:eastAsia="微软雅黑" w:cs="微软雅黑"/>
          <w:color w:val="auto"/>
          <w:sz w:val="22"/>
          <w:szCs w:val="22"/>
        </w:rPr>
        <w:t>邮编：</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联系人：</w:t>
      </w:r>
      <w:r>
        <w:rPr>
          <w:rFonts w:hint="eastAsia" w:ascii="微软雅黑" w:hAnsi="微软雅黑" w:eastAsia="微软雅黑" w:cs="微软雅黑"/>
          <w:color w:val="auto"/>
          <w:sz w:val="22"/>
          <w:szCs w:val="22"/>
          <w:u w:val="dotted"/>
        </w:rPr>
        <w:t xml:space="preserve">                      </w:t>
      </w:r>
      <w:r>
        <w:rPr>
          <w:rFonts w:hint="eastAsia" w:ascii="微软雅黑" w:hAnsi="微软雅黑" w:eastAsia="微软雅黑" w:cs="微软雅黑"/>
          <w:color w:val="auto"/>
          <w:sz w:val="22"/>
          <w:szCs w:val="22"/>
        </w:rPr>
        <w:t>联系电话：</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授权代表：</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联系电话：</w:t>
      </w:r>
      <w:r>
        <w:rPr>
          <w:rFonts w:hint="eastAsia" w:ascii="微软雅黑" w:hAnsi="微软雅黑" w:eastAsia="微软雅黑" w:cs="微软雅黑"/>
          <w:color w:val="auto"/>
          <w:sz w:val="22"/>
          <w:szCs w:val="22"/>
          <w:u w:val="dotted"/>
        </w:rPr>
        <w:t xml:space="preserve">                                           </w:t>
      </w:r>
      <w:r>
        <w:rPr>
          <w:rFonts w:hint="eastAsia" w:ascii="微软雅黑" w:hAnsi="微软雅黑" w:eastAsia="微软雅黑" w:cs="微软雅黑"/>
          <w:color w:val="auto"/>
          <w:sz w:val="22"/>
          <w:szCs w:val="22"/>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地址： </w:t>
      </w:r>
      <w:r>
        <w:rPr>
          <w:rFonts w:hint="eastAsia" w:ascii="微软雅黑" w:hAnsi="微软雅黑" w:eastAsia="微软雅黑" w:cs="微软雅黑"/>
          <w:color w:val="auto"/>
          <w:sz w:val="22"/>
          <w:szCs w:val="22"/>
          <w:u w:val="dotted"/>
        </w:rPr>
        <w:t xml:space="preserve">                        </w:t>
      </w:r>
      <w:r>
        <w:rPr>
          <w:rFonts w:hint="eastAsia" w:ascii="微软雅黑" w:hAnsi="微软雅黑" w:eastAsia="微软雅黑" w:cs="微软雅黑"/>
          <w:color w:val="auto"/>
          <w:sz w:val="22"/>
          <w:szCs w:val="22"/>
        </w:rPr>
        <w:t>邮编：</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rPr>
      </w:pPr>
      <w:bookmarkStart w:id="275" w:name="_Toc2978"/>
      <w:bookmarkStart w:id="276" w:name="_Toc11512"/>
      <w:bookmarkStart w:id="277" w:name="_Toc12957"/>
      <w:bookmarkStart w:id="278" w:name="_Toc32083"/>
      <w:bookmarkStart w:id="279" w:name="_Toc31363"/>
      <w:bookmarkStart w:id="280" w:name="_Toc13274"/>
      <w:bookmarkStart w:id="281" w:name="_Toc21282"/>
      <w:bookmarkStart w:id="282" w:name="_Toc30222"/>
      <w:bookmarkStart w:id="283" w:name="_Toc21513"/>
      <w:bookmarkStart w:id="284" w:name="_Toc4409"/>
      <w:bookmarkStart w:id="285" w:name="_Toc11921"/>
      <w:bookmarkStart w:id="286" w:name="_Toc20123"/>
      <w:bookmarkStart w:id="287" w:name="_Toc12179"/>
      <w:bookmarkStart w:id="288" w:name="_Toc3694"/>
      <w:bookmarkStart w:id="289" w:name="_Toc21544"/>
      <w:bookmarkStart w:id="290" w:name="_Toc226"/>
      <w:bookmarkStart w:id="291" w:name="_Toc14030"/>
      <w:bookmarkStart w:id="292" w:name="_Toc27681"/>
      <w:bookmarkStart w:id="293" w:name="_Toc663"/>
      <w:bookmarkStart w:id="294" w:name="_Toc25142"/>
      <w:bookmarkStart w:id="295" w:name="_Toc13889"/>
      <w:bookmarkStart w:id="296" w:name="_Toc9221"/>
      <w:r>
        <w:rPr>
          <w:rFonts w:hint="eastAsia" w:ascii="微软雅黑" w:hAnsi="微软雅黑" w:eastAsia="微软雅黑" w:cs="微软雅黑"/>
          <w:color w:val="auto"/>
          <w:sz w:val="22"/>
          <w:szCs w:val="22"/>
        </w:rPr>
        <w:t>二、质疑项目基本情况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质疑项目的名称：</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质疑项目的编号：</w:t>
      </w:r>
      <w:r>
        <w:rPr>
          <w:rFonts w:hint="eastAsia" w:ascii="微软雅黑" w:hAnsi="微软雅黑" w:eastAsia="微软雅黑" w:cs="微软雅黑"/>
          <w:color w:val="auto"/>
          <w:sz w:val="22"/>
          <w:szCs w:val="22"/>
          <w:u w:val="dotted"/>
        </w:rPr>
        <w:t xml:space="preserve">               </w:t>
      </w:r>
      <w:r>
        <w:rPr>
          <w:rFonts w:hint="eastAsia" w:ascii="微软雅黑" w:hAnsi="微软雅黑" w:eastAsia="微软雅黑" w:cs="微软雅黑"/>
          <w:color w:val="auto"/>
          <w:sz w:val="22"/>
          <w:szCs w:val="22"/>
          <w:lang w:eastAsia="zh-CN"/>
        </w:rPr>
        <w:t>标段号</w:t>
      </w:r>
      <w:r>
        <w:rPr>
          <w:rFonts w:hint="eastAsia" w:ascii="微软雅黑" w:hAnsi="微软雅黑" w:eastAsia="微软雅黑" w:cs="微软雅黑"/>
          <w:color w:val="auto"/>
          <w:sz w:val="22"/>
          <w:szCs w:val="22"/>
        </w:rPr>
        <w:t>：</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采购人名称：</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采购文件获取日期：</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rPr>
      </w:pPr>
      <w:bookmarkStart w:id="297" w:name="_Toc3773"/>
      <w:bookmarkStart w:id="298" w:name="_Toc21917"/>
      <w:bookmarkStart w:id="299" w:name="_Toc21644"/>
      <w:bookmarkStart w:id="300" w:name="_Toc27984"/>
      <w:bookmarkStart w:id="301" w:name="_Toc6588"/>
      <w:bookmarkStart w:id="302" w:name="_Toc17609"/>
      <w:bookmarkStart w:id="303" w:name="_Toc12111"/>
      <w:bookmarkStart w:id="304" w:name="_Toc29141"/>
      <w:bookmarkStart w:id="305" w:name="_Toc28889"/>
      <w:bookmarkStart w:id="306" w:name="_Toc4900"/>
      <w:bookmarkStart w:id="307" w:name="_Toc2701"/>
      <w:bookmarkStart w:id="308" w:name="_Toc11812"/>
      <w:bookmarkStart w:id="309" w:name="_Toc11713"/>
      <w:bookmarkStart w:id="310" w:name="_Toc25561"/>
      <w:bookmarkStart w:id="311" w:name="_Toc12401"/>
      <w:bookmarkStart w:id="312" w:name="_Toc10982"/>
      <w:bookmarkStart w:id="313" w:name="_Toc17475"/>
      <w:bookmarkStart w:id="314" w:name="_Toc4484"/>
      <w:bookmarkStart w:id="315" w:name="_Toc17103"/>
      <w:bookmarkStart w:id="316" w:name="_Toc23555"/>
      <w:bookmarkStart w:id="317" w:name="_Toc1349"/>
      <w:bookmarkStart w:id="318" w:name="_Toc4978"/>
      <w:r>
        <w:rPr>
          <w:rFonts w:hint="eastAsia" w:ascii="微软雅黑" w:hAnsi="微软雅黑" w:eastAsia="微软雅黑" w:cs="微软雅黑"/>
          <w:color w:val="auto"/>
          <w:sz w:val="22"/>
          <w:szCs w:val="22"/>
        </w:rPr>
        <w:t>三、质疑事项具体内容</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质疑事项1：</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事实依据：</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法律依据：</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质疑事项2</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rPr>
      </w:pPr>
      <w:bookmarkStart w:id="319" w:name="_Toc2037"/>
      <w:bookmarkStart w:id="320" w:name="_Toc14716"/>
      <w:bookmarkStart w:id="321" w:name="_Toc8209"/>
      <w:bookmarkStart w:id="322" w:name="_Toc29909"/>
      <w:bookmarkStart w:id="323" w:name="_Toc12953"/>
      <w:bookmarkStart w:id="324" w:name="_Toc31962"/>
      <w:bookmarkStart w:id="325" w:name="_Toc11711"/>
      <w:bookmarkStart w:id="326" w:name="_Toc23756"/>
      <w:bookmarkStart w:id="327" w:name="_Toc20492"/>
      <w:bookmarkStart w:id="328" w:name="_Toc30785"/>
      <w:bookmarkStart w:id="329" w:name="_Toc23837"/>
      <w:bookmarkStart w:id="330" w:name="_Toc19138"/>
      <w:bookmarkStart w:id="331" w:name="_Toc20101"/>
      <w:bookmarkStart w:id="332" w:name="_Toc15774"/>
      <w:bookmarkStart w:id="333" w:name="_Toc11725"/>
      <w:bookmarkStart w:id="334" w:name="_Toc25423"/>
      <w:bookmarkStart w:id="335" w:name="_Toc19561"/>
      <w:bookmarkStart w:id="336" w:name="_Toc15359"/>
      <w:bookmarkStart w:id="337" w:name="_Toc19830"/>
      <w:bookmarkStart w:id="338" w:name="_Toc11900"/>
      <w:bookmarkStart w:id="339" w:name="_Toc14902"/>
      <w:bookmarkStart w:id="340" w:name="_Toc4583"/>
      <w:r>
        <w:rPr>
          <w:rFonts w:hint="eastAsia" w:ascii="微软雅黑" w:hAnsi="微软雅黑" w:eastAsia="微软雅黑" w:cs="微软雅黑"/>
          <w:color w:val="auto"/>
          <w:sz w:val="22"/>
          <w:szCs w:val="22"/>
        </w:rPr>
        <w:t>四、与质疑事项相关的质疑请求</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u w:val="dotted"/>
        </w:rPr>
      </w:pPr>
      <w:r>
        <w:rPr>
          <w:rFonts w:hint="eastAsia" w:ascii="微软雅黑" w:hAnsi="微软雅黑" w:eastAsia="微软雅黑" w:cs="微软雅黑"/>
          <w:color w:val="auto"/>
          <w:sz w:val="22"/>
          <w:szCs w:val="22"/>
        </w:rPr>
        <w:t>请求：</w:t>
      </w:r>
      <w:r>
        <w:rPr>
          <w:rFonts w:hint="eastAsia" w:ascii="微软雅黑" w:hAnsi="微软雅黑" w:eastAsia="微软雅黑" w:cs="微软雅黑"/>
          <w:color w:val="auto"/>
          <w:sz w:val="22"/>
          <w:szCs w:val="22"/>
          <w:u w:val="dotted"/>
        </w:rPr>
        <w:t xml:space="preserve">                                               </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签字(签章)：                   公章：                      </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日期：    </w:t>
      </w:r>
    </w:p>
    <w:p>
      <w:pPr>
        <w:pageBreakBefore w:val="0"/>
        <w:kinsoku/>
        <w:wordWrap/>
        <w:overflowPunct/>
        <w:topLinePunct w:val="0"/>
        <w:bidi w:val="0"/>
        <w:spacing w:line="400" w:lineRule="exact"/>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质疑函制作说明：</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1.供应商提出质疑时，应提交质疑函和必要的证明材料。</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rPr>
        <w:t>供应商签署的授权委托书。授权委托书应载明代理人的姓名或者名称、代理事项、具体权限、期限和相关事项。</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3.质疑供应商若对项目的某一分包进行质疑，质疑函中应列明具体分</w:t>
      </w:r>
      <w:r>
        <w:rPr>
          <w:rFonts w:hint="eastAsia" w:ascii="微软雅黑" w:hAnsi="微软雅黑" w:eastAsia="微软雅黑" w:cs="微软雅黑"/>
          <w:color w:val="auto"/>
          <w:sz w:val="22"/>
          <w:szCs w:val="22"/>
          <w:lang w:eastAsia="zh-CN"/>
        </w:rPr>
        <w:t>标段号</w:t>
      </w:r>
      <w:r>
        <w:rPr>
          <w:rFonts w:hint="eastAsia" w:ascii="微软雅黑" w:hAnsi="微软雅黑" w:eastAsia="微软雅黑" w:cs="微软雅黑"/>
          <w:color w:val="auto"/>
          <w:sz w:val="22"/>
          <w:szCs w:val="22"/>
        </w:rPr>
        <w:t>。</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4.质疑函的质疑事项应具体、明确，并有必要的事实依据和法律依据。</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5.质疑函的质疑请求应与质疑事项相关。</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bookmarkStart w:id="341" w:name="_Toc350"/>
      <w:bookmarkStart w:id="342" w:name="_Toc21748"/>
      <w:bookmarkStart w:id="343" w:name="_Toc26168"/>
      <w:bookmarkStart w:id="344" w:name="_Toc515647799"/>
      <w:bookmarkStart w:id="345" w:name="_Toc16186"/>
      <w:bookmarkStart w:id="346" w:name="_Toc18045"/>
      <w:bookmarkStart w:id="347" w:name="_Toc22796"/>
      <w:bookmarkStart w:id="348" w:name="_Toc9538"/>
    </w:p>
    <w:p>
      <w:pPr>
        <w:pStyle w:val="4"/>
        <w:pageBreakBefore w:val="0"/>
        <w:kinsoku/>
        <w:wordWrap/>
        <w:overflowPunct/>
        <w:topLinePunct w:val="0"/>
        <w:bidi w:val="0"/>
        <w:spacing w:before="0" w:line="400" w:lineRule="exact"/>
        <w:jc w:val="left"/>
        <w:textAlignment w:val="auto"/>
        <w:rPr>
          <w:rFonts w:hint="eastAsia" w:ascii="微软雅黑" w:hAnsi="微软雅黑" w:eastAsia="微软雅黑" w:cs="微软雅黑"/>
          <w:color w:val="auto"/>
          <w:sz w:val="22"/>
          <w:szCs w:val="22"/>
        </w:rPr>
      </w:pPr>
      <w:bookmarkStart w:id="349" w:name="_Toc32229"/>
      <w:bookmarkStart w:id="350" w:name="_Toc19077"/>
      <w:bookmarkStart w:id="351" w:name="_Toc23325"/>
      <w:bookmarkStart w:id="352" w:name="_Toc26999"/>
      <w:bookmarkStart w:id="353" w:name="_Toc21051"/>
      <w:bookmarkStart w:id="354" w:name="_Toc20400"/>
      <w:bookmarkStart w:id="355" w:name="_Toc22506"/>
      <w:bookmarkStart w:id="356" w:name="_Toc24982"/>
      <w:bookmarkStart w:id="357" w:name="_Toc21673"/>
      <w:bookmarkStart w:id="358" w:name="_Toc30320"/>
      <w:bookmarkStart w:id="359" w:name="_Toc687"/>
      <w:bookmarkStart w:id="360" w:name="_Toc32317"/>
      <w:bookmarkStart w:id="361" w:name="_Toc2377"/>
      <w:bookmarkStart w:id="362" w:name="_Toc30924"/>
      <w:bookmarkStart w:id="363" w:name="_Toc2061"/>
      <w:bookmarkStart w:id="364" w:name="_Toc24453"/>
      <w:bookmarkStart w:id="365" w:name="_Toc30515"/>
      <w:bookmarkStart w:id="366" w:name="_Toc30767"/>
      <w:bookmarkStart w:id="367" w:name="_Toc11158"/>
      <w:bookmarkStart w:id="368" w:name="_Toc7137"/>
      <w:bookmarkStart w:id="369" w:name="_Toc15930"/>
      <w:r>
        <w:rPr>
          <w:rFonts w:hint="eastAsia" w:ascii="微软雅黑" w:hAnsi="微软雅黑" w:eastAsia="微软雅黑" w:cs="微软雅黑"/>
          <w:color w:val="auto"/>
          <w:sz w:val="22"/>
          <w:szCs w:val="22"/>
        </w:rPr>
        <w:t>附件1：履约保证金保函（格式）</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pPr>
        <w:pStyle w:val="16"/>
        <w:pageBreakBefore w:val="0"/>
        <w:kinsoku/>
        <w:wordWrap/>
        <w:overflowPunct/>
        <w:topLinePunct w:val="0"/>
        <w:bidi w:val="0"/>
        <w:spacing w:line="400" w:lineRule="exact"/>
        <w:ind w:hanging="540"/>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 xml:space="preserve">                         （中标后开具）</w:t>
      </w:r>
    </w:p>
    <w:p>
      <w:pPr>
        <w:pStyle w:val="16"/>
        <w:pageBreakBefore w:val="0"/>
        <w:kinsoku/>
        <w:wordWrap/>
        <w:overflowPunct/>
        <w:topLinePunct w:val="0"/>
        <w:bidi w:val="0"/>
        <w:spacing w:line="400" w:lineRule="exact"/>
        <w:ind w:hanging="540"/>
        <w:textAlignment w:val="auto"/>
        <w:rPr>
          <w:rFonts w:hint="eastAsia" w:ascii="微软雅黑" w:hAnsi="微软雅黑" w:eastAsia="微软雅黑" w:cs="微软雅黑"/>
          <w:b/>
          <w:bCs/>
          <w:color w:val="auto"/>
          <w:sz w:val="22"/>
          <w:szCs w:val="22"/>
        </w:rPr>
      </w:pPr>
    </w:p>
    <w:p>
      <w:pPr>
        <w:pStyle w:val="16"/>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致: (</w:t>
      </w:r>
      <w:r>
        <w:rPr>
          <w:rFonts w:hint="eastAsia" w:ascii="微软雅黑" w:hAnsi="微软雅黑" w:eastAsia="微软雅黑" w:cs="微软雅黑"/>
          <w:i/>
          <w:iCs/>
          <w:color w:val="auto"/>
          <w:sz w:val="22"/>
          <w:szCs w:val="22"/>
          <w:u w:val="single"/>
        </w:rPr>
        <w:t>买方名称</w:t>
      </w:r>
      <w:r>
        <w:rPr>
          <w:rFonts w:hint="eastAsia" w:ascii="微软雅黑" w:hAnsi="微软雅黑" w:eastAsia="微软雅黑" w:cs="微软雅黑"/>
          <w:color w:val="auto"/>
          <w:sz w:val="22"/>
          <w:szCs w:val="22"/>
        </w:rPr>
        <w:t>)</w:t>
      </w:r>
    </w:p>
    <w:p>
      <w:pPr>
        <w:pStyle w:val="16"/>
        <w:pageBreakBefore w:val="0"/>
        <w:kinsoku/>
        <w:wordWrap/>
        <w:overflowPunct/>
        <w:topLinePunct w:val="0"/>
        <w:bidi w:val="0"/>
        <w:spacing w:line="400" w:lineRule="exact"/>
        <w:ind w:hanging="540"/>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号合同履约保函</w:t>
      </w:r>
    </w:p>
    <w:p>
      <w:pPr>
        <w:pStyle w:val="16"/>
        <w:pageBreakBefore w:val="0"/>
        <w:kinsoku/>
        <w:wordWrap/>
        <w:overflowPunct/>
        <w:topLinePunct w:val="0"/>
        <w:bidi w:val="0"/>
        <w:spacing w:line="400" w:lineRule="exact"/>
        <w:ind w:hanging="540"/>
        <w:jc w:val="center"/>
        <w:textAlignment w:val="auto"/>
        <w:rPr>
          <w:rFonts w:hint="eastAsia" w:ascii="微软雅黑" w:hAnsi="微软雅黑" w:eastAsia="微软雅黑" w:cs="微软雅黑"/>
          <w:color w:val="auto"/>
          <w:sz w:val="22"/>
          <w:szCs w:val="22"/>
        </w:rPr>
      </w:pPr>
    </w:p>
    <w:p>
      <w:pPr>
        <w:pStyle w:val="16"/>
        <w:pageBreakBefore w:val="0"/>
        <w:kinsoku/>
        <w:wordWrap/>
        <w:overflowPunct/>
        <w:topLinePunct w:val="0"/>
        <w:bidi w:val="0"/>
        <w:spacing w:line="400" w:lineRule="exact"/>
        <w:ind w:firstLine="550" w:firstLineChars="2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本保函作为贵方与(</w:t>
      </w:r>
      <w:r>
        <w:rPr>
          <w:rFonts w:hint="eastAsia" w:ascii="微软雅黑" w:hAnsi="微软雅黑" w:eastAsia="微软雅黑" w:cs="微软雅黑"/>
          <w:i/>
          <w:iCs/>
          <w:color w:val="auto"/>
          <w:sz w:val="22"/>
          <w:szCs w:val="22"/>
          <w:u w:val="single"/>
        </w:rPr>
        <w:t>卖方名称</w:t>
      </w:r>
      <w:r>
        <w:rPr>
          <w:rFonts w:hint="eastAsia" w:ascii="微软雅黑" w:hAnsi="微软雅黑" w:eastAsia="微软雅黑" w:cs="微软雅黑"/>
          <w:color w:val="auto"/>
          <w:sz w:val="22"/>
          <w:szCs w:val="22"/>
        </w:rPr>
        <w:t>)(以下简称卖方)于</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年</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月</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日就</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项目(以下简称项目)项下提供(</w:t>
      </w:r>
      <w:r>
        <w:rPr>
          <w:rFonts w:hint="eastAsia" w:ascii="微软雅黑" w:hAnsi="微软雅黑" w:eastAsia="微软雅黑" w:cs="微软雅黑"/>
          <w:i/>
          <w:iCs/>
          <w:color w:val="auto"/>
          <w:sz w:val="22"/>
          <w:szCs w:val="22"/>
          <w:u w:val="single"/>
        </w:rPr>
        <w:t>货物名称</w:t>
      </w:r>
      <w:r>
        <w:rPr>
          <w:rFonts w:hint="eastAsia" w:ascii="微软雅黑" w:hAnsi="微软雅黑" w:eastAsia="微软雅黑" w:cs="微软雅黑"/>
          <w:color w:val="auto"/>
          <w:sz w:val="22"/>
          <w:szCs w:val="22"/>
        </w:rPr>
        <w:t>)(以下简称货物)签订的(</w:t>
      </w:r>
      <w:r>
        <w:rPr>
          <w:rFonts w:hint="eastAsia" w:ascii="微软雅黑" w:hAnsi="微软雅黑" w:eastAsia="微软雅黑" w:cs="微软雅黑"/>
          <w:i/>
          <w:iCs/>
          <w:color w:val="auto"/>
          <w:sz w:val="22"/>
          <w:szCs w:val="22"/>
          <w:u w:val="single"/>
        </w:rPr>
        <w:t>合同号</w:t>
      </w:r>
      <w:r>
        <w:rPr>
          <w:rFonts w:hint="eastAsia" w:ascii="微软雅黑" w:hAnsi="微软雅黑" w:eastAsia="微软雅黑" w:cs="微软雅黑"/>
          <w:color w:val="auto"/>
          <w:sz w:val="22"/>
          <w:szCs w:val="22"/>
        </w:rPr>
        <w:t>)号合同的履约保函。</w:t>
      </w:r>
    </w:p>
    <w:p>
      <w:pPr>
        <w:pStyle w:val="16"/>
        <w:pageBreakBefore w:val="0"/>
        <w:kinsoku/>
        <w:wordWrap/>
        <w:overflowPunct/>
        <w:topLinePunct w:val="0"/>
        <w:bidi w:val="0"/>
        <w:spacing w:line="400" w:lineRule="exact"/>
        <w:ind w:firstLine="495" w:firstLineChars="225"/>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w:t>
      </w:r>
      <w:r>
        <w:rPr>
          <w:rFonts w:hint="eastAsia" w:ascii="微软雅黑" w:hAnsi="微软雅黑" w:eastAsia="微软雅黑" w:cs="微软雅黑"/>
          <w:i/>
          <w:iCs/>
          <w:color w:val="auto"/>
          <w:sz w:val="22"/>
          <w:szCs w:val="22"/>
          <w:u w:val="single"/>
        </w:rPr>
        <w:t>出具保函的银行名称</w:t>
      </w:r>
      <w:r>
        <w:rPr>
          <w:rFonts w:hint="eastAsia" w:ascii="微软雅黑" w:hAnsi="微软雅黑" w:eastAsia="微软雅黑" w:cs="微软雅黑"/>
          <w:color w:val="auto"/>
          <w:sz w:val="22"/>
          <w:szCs w:val="22"/>
        </w:rPr>
        <w:t>)(以下简称银行)无条件地、不可撤销地具结保证本行、其继承人和受让人无追索地向贵方以(</w:t>
      </w:r>
      <w:r>
        <w:rPr>
          <w:rFonts w:hint="eastAsia" w:ascii="微软雅黑" w:hAnsi="微软雅黑" w:eastAsia="微软雅黑" w:cs="微软雅黑"/>
          <w:i/>
          <w:iCs/>
          <w:color w:val="auto"/>
          <w:sz w:val="22"/>
          <w:szCs w:val="22"/>
          <w:u w:val="single"/>
        </w:rPr>
        <w:t>货币名称</w:t>
      </w:r>
      <w:r>
        <w:rPr>
          <w:rFonts w:hint="eastAsia" w:ascii="微软雅黑" w:hAnsi="微软雅黑" w:eastAsia="微软雅黑" w:cs="微软雅黑"/>
          <w:color w:val="auto"/>
          <w:sz w:val="22"/>
          <w:szCs w:val="22"/>
        </w:rPr>
        <w:t>)支付总额不超过(</w:t>
      </w:r>
      <w:r>
        <w:rPr>
          <w:rFonts w:hint="eastAsia" w:ascii="微软雅黑" w:hAnsi="微软雅黑" w:eastAsia="微软雅黑" w:cs="微软雅黑"/>
          <w:i/>
          <w:iCs/>
          <w:color w:val="auto"/>
          <w:sz w:val="22"/>
          <w:szCs w:val="22"/>
          <w:u w:val="single"/>
        </w:rPr>
        <w:t>货币数量</w:t>
      </w:r>
      <w:r>
        <w:rPr>
          <w:rFonts w:hint="eastAsia" w:ascii="微软雅黑" w:hAnsi="微软雅黑" w:eastAsia="微软雅黑" w:cs="微软雅黑"/>
          <w:color w:val="auto"/>
          <w:sz w:val="22"/>
          <w:szCs w:val="22"/>
        </w:rPr>
        <w:t>),即相当于合同价格的</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%,并以此约定如下:</w:t>
      </w:r>
    </w:p>
    <w:p>
      <w:pPr>
        <w:pStyle w:val="16"/>
        <w:pageBreakBefore w:val="0"/>
        <w:kinsoku/>
        <w:wordWrap/>
        <w:overflowPunct/>
        <w:topLinePunct w:val="0"/>
        <w:bidi w:val="0"/>
        <w:spacing w:line="400" w:lineRule="exact"/>
        <w:ind w:left="540" w:leftChars="257"/>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6"/>
        <w:pageBreakBefore w:val="0"/>
        <w:kinsoku/>
        <w:wordWrap/>
        <w:overflowPunct/>
        <w:topLinePunct w:val="0"/>
        <w:bidi w:val="0"/>
        <w:spacing w:line="400" w:lineRule="exact"/>
        <w:ind w:left="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2.本保函项下的任何支付应为免税和净值。对于现有或将来的税收、关税、收费、费用扣减或预提税款，不论这些款项是何种性质和由谁征收，都不应从本保函项下的支付中扣除。</w:t>
      </w:r>
    </w:p>
    <w:p>
      <w:pPr>
        <w:pStyle w:val="16"/>
        <w:pageBreakBefore w:val="0"/>
        <w:kinsoku/>
        <w:wordWrap/>
        <w:overflowPunct/>
        <w:topLinePunct w:val="0"/>
        <w:bidi w:val="0"/>
        <w:spacing w:line="400" w:lineRule="exact"/>
        <w:ind w:left="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4.本保函在本合同规定的保证期期满前完全有效。</w:t>
      </w:r>
    </w:p>
    <w:p>
      <w:pPr>
        <w:pStyle w:val="16"/>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rPr>
      </w:pPr>
    </w:p>
    <w:p>
      <w:pPr>
        <w:pStyle w:val="16"/>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谨启</w:t>
      </w:r>
    </w:p>
    <w:p>
      <w:pPr>
        <w:pStyle w:val="16"/>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出具保函银行名称：</w:t>
      </w:r>
      <w:r>
        <w:rPr>
          <w:rFonts w:hint="eastAsia" w:ascii="微软雅黑" w:hAnsi="微软雅黑" w:eastAsia="微软雅黑" w:cs="微软雅黑"/>
          <w:color w:val="auto"/>
          <w:sz w:val="22"/>
          <w:szCs w:val="22"/>
          <w:u w:val="single"/>
        </w:rPr>
        <w:t xml:space="preserve">                             </w:t>
      </w:r>
    </w:p>
    <w:p>
      <w:pPr>
        <w:pStyle w:val="16"/>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u w:val="single"/>
        </w:rPr>
      </w:pPr>
      <w:r>
        <w:rPr>
          <w:rFonts w:hint="eastAsia" w:ascii="微软雅黑" w:hAnsi="微软雅黑" w:eastAsia="微软雅黑" w:cs="微软雅黑"/>
          <w:color w:val="auto"/>
          <w:sz w:val="22"/>
          <w:szCs w:val="22"/>
        </w:rPr>
        <w:t>签字人姓名和职务：</w:t>
      </w:r>
      <w:r>
        <w:rPr>
          <w:rFonts w:hint="eastAsia" w:ascii="微软雅黑" w:hAnsi="微软雅黑" w:eastAsia="微软雅黑" w:cs="微软雅黑"/>
          <w:color w:val="auto"/>
          <w:sz w:val="22"/>
          <w:szCs w:val="22"/>
          <w:u w:val="single"/>
        </w:rPr>
        <w:t xml:space="preserve">                             </w:t>
      </w:r>
    </w:p>
    <w:p>
      <w:pPr>
        <w:pStyle w:val="16"/>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签字人签名：</w:t>
      </w:r>
      <w:r>
        <w:rPr>
          <w:rFonts w:hint="eastAsia" w:ascii="微软雅黑" w:hAnsi="微软雅黑" w:eastAsia="微软雅黑" w:cs="微软雅黑"/>
          <w:color w:val="auto"/>
          <w:sz w:val="22"/>
          <w:szCs w:val="22"/>
          <w:u w:val="single"/>
        </w:rPr>
        <w:t xml:space="preserve">                                   </w:t>
      </w:r>
    </w:p>
    <w:p>
      <w:pPr>
        <w:pStyle w:val="16"/>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u w:val="single"/>
        </w:rPr>
      </w:pPr>
      <w:r>
        <w:rPr>
          <w:rFonts w:hint="eastAsia" w:ascii="微软雅黑" w:hAnsi="微软雅黑" w:eastAsia="微软雅黑" w:cs="微软雅黑"/>
          <w:color w:val="auto"/>
          <w:sz w:val="22"/>
          <w:szCs w:val="22"/>
        </w:rPr>
        <w:t>公章：</w:t>
      </w:r>
      <w:r>
        <w:rPr>
          <w:rFonts w:hint="eastAsia" w:ascii="微软雅黑" w:hAnsi="微软雅黑" w:eastAsia="微软雅黑" w:cs="微软雅黑"/>
          <w:color w:val="auto"/>
          <w:sz w:val="22"/>
          <w:szCs w:val="22"/>
          <w:u w:val="single"/>
        </w:rPr>
        <w:t xml:space="preserve">                                         </w:t>
      </w:r>
    </w:p>
    <w:p>
      <w:pPr>
        <w:pStyle w:val="4"/>
        <w:pageBreakBefore w:val="0"/>
        <w:kinsoku/>
        <w:wordWrap/>
        <w:overflowPunct/>
        <w:topLinePunct w:val="0"/>
        <w:bidi w:val="0"/>
        <w:spacing w:before="0" w:line="400" w:lineRule="exact"/>
        <w:ind w:left="1080" w:leftChars="257" w:hanging="540"/>
        <w:jc w:val="lef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br w:type="page"/>
      </w:r>
      <w:bookmarkStart w:id="370" w:name="_Toc515647800"/>
      <w:bookmarkStart w:id="371" w:name="_Toc6548"/>
      <w:bookmarkStart w:id="372" w:name="_Toc10951"/>
      <w:bookmarkStart w:id="373" w:name="_Toc6883"/>
      <w:bookmarkStart w:id="374" w:name="_Toc32401"/>
      <w:bookmarkStart w:id="375" w:name="_Toc471"/>
      <w:bookmarkStart w:id="376" w:name="_Toc18981"/>
      <w:bookmarkStart w:id="377" w:name="_Toc9975"/>
      <w:bookmarkStart w:id="378" w:name="_Toc17276"/>
      <w:bookmarkStart w:id="379" w:name="_Toc17288"/>
      <w:bookmarkStart w:id="380" w:name="_Toc7938"/>
      <w:bookmarkStart w:id="381" w:name="_Toc24660"/>
      <w:bookmarkStart w:id="382" w:name="_Toc14068"/>
      <w:bookmarkStart w:id="383" w:name="_Toc6649"/>
      <w:bookmarkStart w:id="384" w:name="_Toc30821"/>
      <w:bookmarkStart w:id="385" w:name="_Toc25280"/>
      <w:bookmarkStart w:id="386" w:name="_Toc6020"/>
      <w:bookmarkStart w:id="387" w:name="_Toc3028"/>
      <w:bookmarkStart w:id="388" w:name="_Toc23267"/>
      <w:bookmarkStart w:id="389" w:name="_Toc7338"/>
      <w:bookmarkStart w:id="390" w:name="_Toc10389"/>
      <w:bookmarkStart w:id="391" w:name="_Toc19310"/>
      <w:bookmarkStart w:id="392" w:name="_Toc218"/>
      <w:bookmarkStart w:id="393" w:name="_Toc16378"/>
      <w:bookmarkStart w:id="394" w:name="_Toc23272"/>
      <w:bookmarkStart w:id="395" w:name="_Toc22953"/>
      <w:bookmarkStart w:id="396" w:name="_Toc1991"/>
      <w:bookmarkStart w:id="397" w:name="_Toc9415"/>
      <w:bookmarkStart w:id="398" w:name="_Toc9408"/>
      <w:r>
        <w:rPr>
          <w:rFonts w:hint="eastAsia" w:ascii="微软雅黑" w:hAnsi="微软雅黑" w:eastAsia="微软雅黑" w:cs="微软雅黑"/>
          <w:color w:val="auto"/>
          <w:sz w:val="22"/>
          <w:szCs w:val="22"/>
        </w:rPr>
        <w:t>附件2：履约担保函格式</w:t>
      </w:r>
      <w:bookmarkEnd w:id="370"/>
      <w:bookmarkEnd w:id="371"/>
      <w:bookmarkEnd w:id="372"/>
      <w:r>
        <w:rPr>
          <w:rFonts w:hint="eastAsia" w:ascii="微软雅黑" w:hAnsi="微软雅黑" w:eastAsia="微软雅黑" w:cs="微软雅黑"/>
          <w:color w:val="auto"/>
          <w:sz w:val="22"/>
          <w:szCs w:val="22"/>
        </w:rPr>
        <w:t xml:space="preserve"> 本项目不适用</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rPr>
      </w:pPr>
      <w:bookmarkStart w:id="399" w:name="_Toc16800"/>
      <w:bookmarkStart w:id="400" w:name="_Toc1483"/>
      <w:bookmarkStart w:id="401" w:name="_Toc19050"/>
      <w:bookmarkStart w:id="402" w:name="_Toc28542"/>
      <w:bookmarkStart w:id="403" w:name="_Toc162"/>
      <w:bookmarkStart w:id="404" w:name="_Toc23195"/>
      <w:bookmarkStart w:id="405" w:name="_Toc4145"/>
      <w:bookmarkStart w:id="406" w:name="_Toc31088"/>
      <w:bookmarkStart w:id="407" w:name="_Toc13962"/>
      <w:bookmarkStart w:id="408" w:name="_Toc2460"/>
      <w:bookmarkStart w:id="409" w:name="_Toc30836"/>
      <w:bookmarkStart w:id="410" w:name="_Toc7211"/>
      <w:bookmarkStart w:id="411" w:name="_Toc1090"/>
      <w:bookmarkStart w:id="412" w:name="_Toc26726"/>
      <w:bookmarkStart w:id="413" w:name="_Toc22003"/>
      <w:bookmarkStart w:id="414" w:name="_Toc15824"/>
      <w:bookmarkStart w:id="415" w:name="_Toc32308"/>
      <w:bookmarkStart w:id="416" w:name="_Toc14989"/>
      <w:bookmarkStart w:id="417" w:name="_Toc515647801"/>
      <w:bookmarkStart w:id="418" w:name="_Toc11129"/>
      <w:bookmarkStart w:id="419" w:name="_Toc31076"/>
      <w:bookmarkStart w:id="420" w:name="_Toc2801"/>
      <w:bookmarkStart w:id="421" w:name="_Toc20443"/>
      <w:bookmarkStart w:id="422" w:name="_Toc22578"/>
      <w:bookmarkStart w:id="423" w:name="_Toc18765"/>
      <w:bookmarkStart w:id="424" w:name="_Toc25632"/>
      <w:bookmarkStart w:id="425" w:name="_Toc10124"/>
      <w:bookmarkStart w:id="426" w:name="_Toc1552"/>
      <w:bookmarkStart w:id="427" w:name="_Toc10315"/>
      <w:bookmarkStart w:id="428" w:name="_Toc12491"/>
      <w:r>
        <w:rPr>
          <w:rFonts w:hint="eastAsia" w:ascii="微软雅黑" w:hAnsi="微软雅黑" w:eastAsia="微软雅黑" w:cs="微软雅黑"/>
          <w:color w:val="auto"/>
          <w:sz w:val="22"/>
          <w:szCs w:val="22"/>
        </w:rPr>
        <w:t>（采用政府采购信用担保形式时使用）</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pPr>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b/>
          <w:bCs/>
          <w:color w:val="auto"/>
          <w:kern w:val="0"/>
          <w:sz w:val="22"/>
          <w:szCs w:val="22"/>
        </w:rPr>
      </w:pPr>
    </w:p>
    <w:p>
      <w:pPr>
        <w:pageBreakBefore w:val="0"/>
        <w:kinsoku/>
        <w:wordWrap/>
        <w:overflowPunct/>
        <w:topLinePunct w:val="0"/>
        <w:bidi w:val="0"/>
        <w:spacing w:line="400" w:lineRule="exact"/>
        <w:jc w:val="center"/>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政府采购履约担保函（项目用）</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编号：</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（采购人）：</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鉴于你方与</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（以下简称供应商）于</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年</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月</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日签定编号为   的《</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政府采购合同》（以下简称主合同），且依据该合同的约定，供应商应在</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年</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月</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日前向你方交纳履约保证金，且可以履约担保函的形式交纳履约保证金。应供应商的申请，我方以保证的方式向你方提供如下履约保证金担保：</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429" w:name="_Toc25371"/>
      <w:bookmarkStart w:id="430" w:name="_Toc30746"/>
      <w:bookmarkStart w:id="431" w:name="_Toc7664"/>
      <w:bookmarkStart w:id="432" w:name="_Toc11787"/>
      <w:bookmarkStart w:id="433" w:name="_Toc20908"/>
      <w:bookmarkStart w:id="434" w:name="_Toc18779"/>
      <w:bookmarkStart w:id="435" w:name="_Toc18169"/>
      <w:bookmarkStart w:id="436" w:name="_Toc9607"/>
      <w:bookmarkStart w:id="437" w:name="_Toc5406"/>
      <w:bookmarkStart w:id="438" w:name="_Toc25909"/>
      <w:bookmarkStart w:id="439" w:name="_Toc3247"/>
      <w:bookmarkStart w:id="440" w:name="_Toc19268"/>
      <w:bookmarkStart w:id="441" w:name="_Toc15579"/>
      <w:bookmarkStart w:id="442" w:name="_Toc30339"/>
      <w:bookmarkStart w:id="443" w:name="_Toc26355"/>
      <w:bookmarkStart w:id="444" w:name="_Toc3006"/>
      <w:bookmarkStart w:id="445" w:name="_Toc18127"/>
      <w:bookmarkStart w:id="446" w:name="_Toc32218"/>
      <w:bookmarkStart w:id="447" w:name="_Toc28031"/>
      <w:bookmarkStart w:id="448" w:name="_Toc30096"/>
      <w:bookmarkStart w:id="449" w:name="_Toc32673"/>
      <w:bookmarkStart w:id="450" w:name="_Toc13771"/>
      <w:bookmarkStart w:id="451" w:name="_Toc22474"/>
      <w:bookmarkStart w:id="452" w:name="_Toc7853"/>
      <w:r>
        <w:rPr>
          <w:rFonts w:hint="eastAsia" w:ascii="微软雅黑" w:hAnsi="微软雅黑" w:eastAsia="微软雅黑" w:cs="微软雅黑"/>
          <w:color w:val="auto"/>
          <w:sz w:val="22"/>
          <w:szCs w:val="22"/>
        </w:rPr>
        <w:t>一、保证责任的情形及保证金额</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（一）在供应商出现下列情形之一时，我方承担保证责任：</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1．将中标项目转让给他人，或者在投标文件中未说明，且未经采购招标机构人同意，将中标项目分包给他人的；</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2．主合同约定的应当缴纳履约保证金的情形: </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（1）未按主合同约定的质量、数量和期限供应货物/提供服务/完成工程的；</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（二）我方的保证范围是主合同约定的合同价款总额的</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%数额为</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元（大写</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），币种为</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。（即主合同履约保证金金额）</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453" w:name="_Toc11824"/>
      <w:bookmarkStart w:id="454" w:name="_Toc26484"/>
      <w:bookmarkStart w:id="455" w:name="_Toc25051"/>
      <w:bookmarkStart w:id="456" w:name="_Toc32443"/>
      <w:bookmarkStart w:id="457" w:name="_Toc31702"/>
      <w:bookmarkStart w:id="458" w:name="_Toc30150"/>
      <w:bookmarkStart w:id="459" w:name="_Toc21115"/>
      <w:bookmarkStart w:id="460" w:name="_Toc2714"/>
      <w:bookmarkStart w:id="461" w:name="_Toc12446"/>
      <w:bookmarkStart w:id="462" w:name="_Toc8339"/>
      <w:bookmarkStart w:id="463" w:name="_Toc20182"/>
      <w:bookmarkStart w:id="464" w:name="_Toc11625"/>
      <w:bookmarkStart w:id="465" w:name="_Toc26279"/>
      <w:bookmarkStart w:id="466" w:name="_Toc135"/>
      <w:bookmarkStart w:id="467" w:name="_Toc4082"/>
      <w:bookmarkStart w:id="468" w:name="_Toc13003"/>
      <w:bookmarkStart w:id="469" w:name="_Toc2235"/>
      <w:bookmarkStart w:id="470" w:name="_Toc18588"/>
      <w:bookmarkStart w:id="471" w:name="_Toc14218"/>
      <w:bookmarkStart w:id="472" w:name="_Toc15249"/>
      <w:bookmarkStart w:id="473" w:name="_Toc8329"/>
      <w:bookmarkStart w:id="474" w:name="_Toc19801"/>
      <w:bookmarkStart w:id="475" w:name="_Toc15442"/>
      <w:bookmarkStart w:id="476" w:name="_Toc31502"/>
      <w:r>
        <w:rPr>
          <w:rFonts w:hint="eastAsia" w:ascii="微软雅黑" w:hAnsi="微软雅黑" w:eastAsia="微软雅黑" w:cs="微软雅黑"/>
          <w:color w:val="auto"/>
          <w:sz w:val="22"/>
          <w:szCs w:val="22"/>
        </w:rPr>
        <w:t>二、保证的方式及保证期间</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我方保证的方式为：连带责任保证。</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我方保证的期间为：自本合同生效之日起至供应商按照主合同约定的供货/完交货期限届满后</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日内。</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如果供应商未按主合同约定向贵方供应货物/提供服务/完成工程的，由我方在保证金额内向你方支付上述款项。</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477" w:name="_Toc25741"/>
      <w:bookmarkStart w:id="478" w:name="_Toc22178"/>
      <w:bookmarkStart w:id="479" w:name="_Toc14123"/>
      <w:bookmarkStart w:id="480" w:name="_Toc20379"/>
      <w:bookmarkStart w:id="481" w:name="_Toc8670"/>
      <w:bookmarkStart w:id="482" w:name="_Toc27427"/>
      <w:bookmarkStart w:id="483" w:name="_Toc23426"/>
      <w:bookmarkStart w:id="484" w:name="_Toc4358"/>
      <w:bookmarkStart w:id="485" w:name="_Toc18850"/>
      <w:bookmarkStart w:id="486" w:name="_Toc25720"/>
      <w:bookmarkStart w:id="487" w:name="_Toc16721"/>
      <w:bookmarkStart w:id="488" w:name="_Toc20469"/>
      <w:bookmarkStart w:id="489" w:name="_Toc25129"/>
      <w:bookmarkStart w:id="490" w:name="_Toc7341"/>
      <w:bookmarkStart w:id="491" w:name="_Toc13016"/>
      <w:bookmarkStart w:id="492" w:name="_Toc22254"/>
      <w:bookmarkStart w:id="493" w:name="_Toc10132"/>
      <w:bookmarkStart w:id="494" w:name="_Toc13904"/>
      <w:bookmarkStart w:id="495" w:name="_Toc28015"/>
      <w:bookmarkStart w:id="496" w:name="_Toc3244"/>
      <w:bookmarkStart w:id="497" w:name="_Toc31139"/>
      <w:bookmarkStart w:id="498" w:name="_Toc8304"/>
      <w:bookmarkStart w:id="499" w:name="_Toc1700"/>
      <w:bookmarkStart w:id="500" w:name="_Toc1859"/>
      <w:r>
        <w:rPr>
          <w:rFonts w:hint="eastAsia" w:ascii="微软雅黑" w:hAnsi="微软雅黑" w:eastAsia="微软雅黑" w:cs="微软雅黑"/>
          <w:color w:val="auto"/>
          <w:sz w:val="22"/>
          <w:szCs w:val="22"/>
        </w:rPr>
        <w:t>三、承担保证责任的程序</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1．你方要求我方承担保证责任的，应在本保函保证期间内向我方发出书面索赔通知。索赔通知应写明要求索赔的金额，支付款项应到达的帐号。并附有证明供应商违约事实的证明材料。</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如果你方与供应商因货物质量问题产生争议，你方还需同时提供</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部门出具的质量检测报告，或经诉讼（仲裁）程序裁决后的裁决书、调解书，本保证人即按照检测结果或裁决书、调解书决定是否承担保证责任。</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 我方收到你方的书面索赔通知及相应证明材料，在</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工作日内进行核定后按照本保函的承诺承担保证责任。</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501" w:name="_Toc3627"/>
      <w:bookmarkStart w:id="502" w:name="_Toc32259"/>
      <w:bookmarkStart w:id="503" w:name="_Toc8026"/>
      <w:bookmarkStart w:id="504" w:name="_Toc12964"/>
      <w:bookmarkStart w:id="505" w:name="_Toc25098"/>
      <w:bookmarkStart w:id="506" w:name="_Toc28909"/>
      <w:bookmarkStart w:id="507" w:name="_Toc24753"/>
      <w:bookmarkStart w:id="508" w:name="_Toc4574"/>
      <w:bookmarkStart w:id="509" w:name="_Toc26944"/>
      <w:bookmarkStart w:id="510" w:name="_Toc29798"/>
      <w:bookmarkStart w:id="511" w:name="_Toc18066"/>
      <w:bookmarkStart w:id="512" w:name="_Toc28873"/>
      <w:bookmarkStart w:id="513" w:name="_Toc8085"/>
      <w:bookmarkStart w:id="514" w:name="_Toc22761"/>
      <w:bookmarkStart w:id="515" w:name="_Toc27122"/>
      <w:bookmarkStart w:id="516" w:name="_Toc15833"/>
      <w:bookmarkStart w:id="517" w:name="_Toc5513"/>
      <w:bookmarkStart w:id="518" w:name="_Toc30392"/>
      <w:bookmarkStart w:id="519" w:name="_Toc27304"/>
      <w:bookmarkStart w:id="520" w:name="_Toc3818"/>
      <w:bookmarkStart w:id="521" w:name="_Toc29915"/>
      <w:bookmarkStart w:id="522" w:name="_Toc21493"/>
      <w:bookmarkStart w:id="523" w:name="_Toc17300"/>
      <w:bookmarkStart w:id="524" w:name="_Toc18359"/>
      <w:r>
        <w:rPr>
          <w:rFonts w:hint="eastAsia" w:ascii="微软雅黑" w:hAnsi="微软雅黑" w:eastAsia="微软雅黑" w:cs="微软雅黑"/>
          <w:color w:val="auto"/>
          <w:sz w:val="22"/>
          <w:szCs w:val="22"/>
        </w:rPr>
        <w:t>四、保证责任的终止</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1．保证期间届满你方未向我方书面主张保证责任的，自保证期间届满次日起，我方保证责任自动终止。保证期间届满前，主合同约定的货物\工程\服务全部验收合格的，自验收合格日起，我方保证责任自动终止。</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2．我方按照本保函向你方履行了保证责任后，自我方向你方支付款项（支付款项从我方账户划出）之日起，保证责任即终止。</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3．按照法律法规的规定或出现应终止我方保证责任的其它情形的，我方在本保函项下的保证责任亦终止。</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525" w:name="_Toc1471"/>
      <w:bookmarkStart w:id="526" w:name="_Toc3766"/>
      <w:bookmarkStart w:id="527" w:name="_Toc12400"/>
      <w:bookmarkStart w:id="528" w:name="_Toc32479"/>
      <w:bookmarkStart w:id="529" w:name="_Toc19639"/>
      <w:bookmarkStart w:id="530" w:name="_Toc4004"/>
      <w:bookmarkStart w:id="531" w:name="_Toc8177"/>
      <w:bookmarkStart w:id="532" w:name="_Toc18676"/>
      <w:bookmarkStart w:id="533" w:name="_Toc19794"/>
      <w:bookmarkStart w:id="534" w:name="_Toc28553"/>
      <w:bookmarkStart w:id="535" w:name="_Toc22405"/>
      <w:bookmarkStart w:id="536" w:name="_Toc20173"/>
      <w:bookmarkStart w:id="537" w:name="_Toc13869"/>
      <w:bookmarkStart w:id="538" w:name="_Toc15561"/>
      <w:bookmarkStart w:id="539" w:name="_Toc18950"/>
      <w:bookmarkStart w:id="540" w:name="_Toc11285"/>
      <w:bookmarkStart w:id="541" w:name="_Toc25835"/>
      <w:bookmarkStart w:id="542" w:name="_Toc6497"/>
      <w:bookmarkStart w:id="543" w:name="_Toc24078"/>
      <w:bookmarkStart w:id="544" w:name="_Toc21687"/>
      <w:bookmarkStart w:id="545" w:name="_Toc15392"/>
      <w:bookmarkStart w:id="546" w:name="_Toc17198"/>
      <w:bookmarkStart w:id="547" w:name="_Toc18677"/>
      <w:bookmarkStart w:id="548" w:name="_Toc6003"/>
      <w:r>
        <w:rPr>
          <w:rFonts w:hint="eastAsia" w:ascii="微软雅黑" w:hAnsi="微软雅黑" w:eastAsia="微软雅黑" w:cs="微软雅黑"/>
          <w:color w:val="auto"/>
          <w:sz w:val="22"/>
          <w:szCs w:val="22"/>
        </w:rPr>
        <w:t>五、免责条款</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1．因你方违反主合同约定致使供应商不能履行义务的，我方不承担保证责任。</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2．依照法律法规的规定或你方与供应商的另行约定，全部或者部分免除供应商应缴纳的保证金义务的，我方亦免除相应的保证责任。</w:t>
      </w:r>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3．因不可抗力造成供应商不能履行供货义务的，我方不承担保证责任。</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549" w:name="_Toc10670"/>
      <w:bookmarkStart w:id="550" w:name="_Toc7864"/>
      <w:bookmarkStart w:id="551" w:name="_Toc10609"/>
      <w:bookmarkStart w:id="552" w:name="_Toc10239"/>
      <w:bookmarkStart w:id="553" w:name="_Toc5374"/>
      <w:bookmarkStart w:id="554" w:name="_Toc3926"/>
      <w:bookmarkStart w:id="555" w:name="_Toc23025"/>
      <w:bookmarkStart w:id="556" w:name="_Toc14587"/>
      <w:bookmarkStart w:id="557" w:name="_Toc29931"/>
      <w:bookmarkStart w:id="558" w:name="_Toc6937"/>
      <w:bookmarkStart w:id="559" w:name="_Toc28750"/>
      <w:bookmarkStart w:id="560" w:name="_Toc5587"/>
      <w:bookmarkStart w:id="561" w:name="_Toc15993"/>
      <w:bookmarkStart w:id="562" w:name="_Toc24493"/>
      <w:bookmarkStart w:id="563" w:name="_Toc10859"/>
      <w:bookmarkStart w:id="564" w:name="_Toc2567"/>
      <w:bookmarkStart w:id="565" w:name="_Toc14185"/>
      <w:bookmarkStart w:id="566" w:name="_Toc29897"/>
      <w:bookmarkStart w:id="567" w:name="_Toc11837"/>
      <w:bookmarkStart w:id="568" w:name="_Toc6108"/>
      <w:bookmarkStart w:id="569" w:name="_Toc21003"/>
      <w:bookmarkStart w:id="570" w:name="_Toc2338"/>
      <w:bookmarkStart w:id="571" w:name="_Toc8674"/>
      <w:bookmarkStart w:id="572" w:name="_Toc3200"/>
      <w:r>
        <w:rPr>
          <w:rFonts w:hint="eastAsia" w:ascii="微软雅黑" w:hAnsi="微软雅黑" w:eastAsia="微软雅黑" w:cs="微软雅黑"/>
          <w:color w:val="auto"/>
          <w:sz w:val="22"/>
          <w:szCs w:val="22"/>
        </w:rPr>
        <w:t>六、争议的解决</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因本保函发生的纠纷，由你我双方协商解决，协商不成的，通过诉讼程序解决，诉讼管辖地法院为</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法院。</w:t>
      </w:r>
    </w:p>
    <w:p>
      <w:pPr>
        <w:pageBreakBefore w:val="0"/>
        <w:kinsoku/>
        <w:wordWrap/>
        <w:overflowPunct/>
        <w:topLinePunct w:val="0"/>
        <w:bidi w:val="0"/>
        <w:spacing w:line="400" w:lineRule="exact"/>
        <w:ind w:firstLine="440" w:firstLineChars="200"/>
        <w:textAlignment w:val="auto"/>
        <w:outlineLvl w:val="0"/>
        <w:rPr>
          <w:rFonts w:hint="eastAsia" w:ascii="微软雅黑" w:hAnsi="微软雅黑" w:eastAsia="微软雅黑" w:cs="微软雅黑"/>
          <w:color w:val="auto"/>
          <w:sz w:val="22"/>
          <w:szCs w:val="22"/>
        </w:rPr>
      </w:pPr>
      <w:bookmarkStart w:id="573" w:name="_Toc9107"/>
      <w:bookmarkStart w:id="574" w:name="_Toc31738"/>
      <w:bookmarkStart w:id="575" w:name="_Toc31134"/>
      <w:bookmarkStart w:id="576" w:name="_Toc25546"/>
      <w:bookmarkStart w:id="577" w:name="_Toc7993"/>
      <w:bookmarkStart w:id="578" w:name="_Toc27926"/>
      <w:bookmarkStart w:id="579" w:name="_Toc14079"/>
      <w:bookmarkStart w:id="580" w:name="_Toc22918"/>
      <w:bookmarkStart w:id="581" w:name="_Toc12550"/>
      <w:bookmarkStart w:id="582" w:name="_Toc23626"/>
      <w:bookmarkStart w:id="583" w:name="_Toc27592"/>
      <w:bookmarkStart w:id="584" w:name="_Toc24880"/>
      <w:bookmarkStart w:id="585" w:name="_Toc27779"/>
      <w:bookmarkStart w:id="586" w:name="_Toc19768"/>
      <w:bookmarkStart w:id="587" w:name="_Toc16417"/>
      <w:bookmarkStart w:id="588" w:name="_Toc31503"/>
      <w:bookmarkStart w:id="589" w:name="_Toc11366"/>
      <w:bookmarkStart w:id="590" w:name="_Toc20812"/>
      <w:bookmarkStart w:id="591" w:name="_Toc28872"/>
      <w:bookmarkStart w:id="592" w:name="_Toc20963"/>
      <w:bookmarkStart w:id="593" w:name="_Toc2369"/>
      <w:bookmarkStart w:id="594" w:name="_Toc6183"/>
      <w:bookmarkStart w:id="595" w:name="_Toc10888"/>
      <w:bookmarkStart w:id="596" w:name="_Toc23217"/>
      <w:r>
        <w:rPr>
          <w:rFonts w:hint="eastAsia" w:ascii="微软雅黑" w:hAnsi="微软雅黑" w:eastAsia="微软雅黑" w:cs="微软雅黑"/>
          <w:color w:val="auto"/>
          <w:sz w:val="22"/>
          <w:szCs w:val="22"/>
        </w:rPr>
        <w:t>七、保函的生效</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pPr>
        <w:pageBreakBefore w:val="0"/>
        <w:kinsoku/>
        <w:wordWrap/>
        <w:overflowPunct/>
        <w:topLinePunct w:val="0"/>
        <w:bidi w:val="0"/>
        <w:spacing w:line="400" w:lineRule="exact"/>
        <w:ind w:firstLine="440" w:firstLineChars="2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本保函自我方加盖公章之日起生效。</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w:t>
      </w:r>
    </w:p>
    <w:p>
      <w:pPr>
        <w:pageBreakBefore w:val="0"/>
        <w:kinsoku/>
        <w:wordWrap/>
        <w:overflowPunct/>
        <w:topLinePunct w:val="0"/>
        <w:bidi w:val="0"/>
        <w:spacing w:line="400" w:lineRule="exact"/>
        <w:ind w:firstLine="4950" w:firstLineChars="225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保证人：（公章）</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年     月      日</w:t>
      </w:r>
    </w:p>
    <w:p>
      <w:pPr>
        <w:pStyle w:val="2"/>
        <w:pageBreakBefore w:val="0"/>
        <w:kinsoku/>
        <w:wordWrap/>
        <w:overflowPunct/>
        <w:topLinePunct w:val="0"/>
        <w:bidi w:val="0"/>
        <w:spacing w:line="400" w:lineRule="exact"/>
        <w:ind w:firstLine="0"/>
        <w:textAlignment w:val="auto"/>
        <w:rPr>
          <w:rFonts w:hint="eastAsia" w:ascii="微软雅黑" w:hAnsi="微软雅黑" w:eastAsia="微软雅黑" w:cs="微软雅黑"/>
          <w:color w:val="auto"/>
          <w:kern w:val="2"/>
          <w:sz w:val="21"/>
          <w:szCs w:val="21"/>
        </w:rPr>
      </w:pPr>
      <w:r>
        <w:rPr>
          <w:rFonts w:hint="eastAsia" w:ascii="微软雅黑" w:hAnsi="微软雅黑" w:eastAsia="微软雅黑" w:cs="微软雅黑"/>
          <w:b/>
          <w:bCs/>
          <w:color w:val="auto"/>
          <w:sz w:val="21"/>
          <w:szCs w:val="21"/>
        </w:rPr>
        <w:br w:type="page"/>
      </w:r>
    </w:p>
    <w:p>
      <w:pPr>
        <w:pStyle w:val="3"/>
        <w:spacing w:before="0" w:after="0" w:line="240" w:lineRule="atLeast"/>
        <w:jc w:val="center"/>
        <w:rPr>
          <w:rFonts w:hint="eastAsia" w:ascii="微软雅黑" w:hAnsi="微软雅黑" w:eastAsia="微软雅黑" w:cs="微软雅黑"/>
          <w:color w:val="auto"/>
          <w:sz w:val="48"/>
          <w:szCs w:val="48"/>
        </w:rPr>
      </w:pPr>
      <w:bookmarkStart w:id="597" w:name="_Toc515647802"/>
      <w:bookmarkStart w:id="598" w:name="_Toc29770"/>
      <w:bookmarkStart w:id="599" w:name="_Toc216582812"/>
      <w:bookmarkStart w:id="600" w:name="_Toc728"/>
      <w:bookmarkStart w:id="601" w:name="_Toc24359"/>
      <w:bookmarkStart w:id="602" w:name="_Toc702"/>
      <w:r>
        <w:rPr>
          <w:rFonts w:hint="eastAsia" w:ascii="微软雅黑" w:hAnsi="微软雅黑" w:eastAsia="微软雅黑" w:cs="微软雅黑"/>
          <w:color w:val="auto"/>
          <w:sz w:val="32"/>
          <w:szCs w:val="32"/>
        </w:rPr>
        <w:t>第2章   投标文件格式</w:t>
      </w:r>
      <w:bookmarkEnd w:id="597"/>
      <w:bookmarkEnd w:id="598"/>
      <w:bookmarkEnd w:id="599"/>
      <w:bookmarkEnd w:id="600"/>
      <w:bookmarkEnd w:id="601"/>
      <w:bookmarkEnd w:id="602"/>
    </w:p>
    <w:p>
      <w:pPr>
        <w:pStyle w:val="4"/>
        <w:spacing w:before="0" w:line="240" w:lineRule="atLeast"/>
        <w:ind w:left="1080" w:leftChars="257" w:hanging="540"/>
        <w:rPr>
          <w:rFonts w:hint="eastAsia" w:ascii="微软雅黑" w:hAnsi="微软雅黑" w:eastAsia="微软雅黑" w:cs="微软雅黑"/>
          <w:color w:val="auto"/>
          <w:kern w:val="2"/>
          <w:sz w:val="24"/>
          <w:szCs w:val="24"/>
        </w:rPr>
      </w:pPr>
      <w:bookmarkStart w:id="603" w:name="_Toc515647803"/>
      <w:bookmarkStart w:id="604" w:name="_Toc18974"/>
      <w:bookmarkStart w:id="605" w:name="_Toc18694"/>
      <w:bookmarkStart w:id="606" w:name="_Toc22572"/>
      <w:bookmarkStart w:id="607" w:name="_Toc27538"/>
      <w:r>
        <w:rPr>
          <w:rFonts w:hint="eastAsia" w:ascii="微软雅黑" w:hAnsi="微软雅黑" w:eastAsia="微软雅黑" w:cs="微软雅黑"/>
          <w:color w:val="auto"/>
          <w:kern w:val="2"/>
          <w:sz w:val="24"/>
          <w:szCs w:val="24"/>
        </w:rPr>
        <w:t>第一部分 开标一览表及资格证明文件</w:t>
      </w:r>
      <w:bookmarkEnd w:id="603"/>
      <w:bookmarkEnd w:id="604"/>
      <w:bookmarkEnd w:id="605"/>
      <w:bookmarkEnd w:id="606"/>
      <w:bookmarkEnd w:id="607"/>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开标一览表；</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3、具有有效的营业执照；</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4、提供有效的《医疗器械生产许可证》或《医疗器械经营许可证》（所提供设备为二类医疗器械的须提供二类医疗器械备案凭证）；</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5、法人投标需提供法人身份证明及身份证原件，被授权委托人需提供法人授权委托书及身份证复印件；</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6、提供本单位依法缴纳近三个月（7月至9月）的社保证明；</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7、提供税务部门出具近三个月（6月至8月）的完税证明（依法免缴的应提供依法免缴的相关证明文件或零申报报表）；</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8、提供2021年的财务审计报告（2022年新成立公司需提供近三个月（7月至9月）内的银行资信证明）；</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9、参与政府采购活动前3年内未被列入失信、重大税收违法案件、财政部门禁止参加政府采购活动的承诺书；</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10、提供针对本次项目的反商业贿赂承诺书。</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11、投标保证金有效凭证</w:t>
      </w:r>
      <w:r>
        <w:rPr>
          <w:rFonts w:hint="eastAsia" w:ascii="微软雅黑" w:hAnsi="微软雅黑" w:eastAsia="微软雅黑" w:cs="微软雅黑"/>
          <w:color w:val="auto"/>
          <w:sz w:val="24"/>
          <w:szCs w:val="24"/>
        </w:rPr>
        <w:t>；</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12、</w:t>
      </w:r>
      <w:r>
        <w:rPr>
          <w:rFonts w:hint="eastAsia" w:ascii="微软雅黑" w:hAnsi="微软雅黑" w:eastAsia="微软雅黑" w:cs="微软雅黑"/>
          <w:color w:val="auto"/>
          <w:sz w:val="24"/>
          <w:szCs w:val="24"/>
        </w:rPr>
        <w:t>供应商可提供有利于投标的其他资格证明材料。</w:t>
      </w:r>
    </w:p>
    <w:p>
      <w:pPr>
        <w:pStyle w:val="1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rPr>
      </w:pPr>
    </w:p>
    <w:p>
      <w:pPr>
        <w:rPr>
          <w:rFonts w:hint="eastAsia" w:ascii="微软雅黑" w:hAnsi="微软雅黑" w:eastAsia="微软雅黑" w:cs="微软雅黑"/>
          <w:b/>
          <w:bCs/>
          <w:color w:val="auto"/>
        </w:rPr>
      </w:pPr>
      <w:bookmarkStart w:id="608" w:name="_Toc10957"/>
      <w:bookmarkStart w:id="609" w:name="_Toc30524"/>
      <w:bookmarkStart w:id="610" w:name="_Toc515647804"/>
      <w:bookmarkStart w:id="611" w:name="_Toc15286"/>
      <w:bookmarkStart w:id="612" w:name="_Toc16568"/>
    </w:p>
    <w:p>
      <w:pPr>
        <w:rPr>
          <w:rFonts w:hint="eastAsia" w:ascii="微软雅黑" w:hAnsi="微软雅黑" w:eastAsia="微软雅黑" w:cs="微软雅黑"/>
          <w:color w:val="auto"/>
        </w:rPr>
      </w:pPr>
      <w:bookmarkStart w:id="613" w:name="_Toc8165"/>
      <w:bookmarkStart w:id="614" w:name="_Toc5230"/>
      <w:bookmarkStart w:id="615" w:name="_Toc2679"/>
    </w:p>
    <w:p>
      <w:pPr>
        <w:outlineLvl w:val="9"/>
        <w:rPr>
          <w:rFonts w:hint="eastAsia"/>
          <w:color w:val="auto"/>
        </w:rPr>
      </w:pPr>
    </w:p>
    <w:p>
      <w:pPr>
        <w:pStyle w:val="4"/>
        <w:spacing w:before="0" w:line="240" w:lineRule="atLeast"/>
        <w:ind w:firstLine="3362" w:firstLineChars="1400"/>
        <w:jc w:val="both"/>
        <w:rPr>
          <w:rFonts w:hint="eastAsia" w:ascii="微软雅黑" w:hAnsi="微软雅黑" w:eastAsia="微软雅黑" w:cs="微软雅黑"/>
          <w:b/>
          <w:bCs/>
          <w:color w:val="auto"/>
          <w:sz w:val="24"/>
          <w:szCs w:val="24"/>
        </w:rPr>
      </w:pPr>
      <w:bookmarkStart w:id="616" w:name="_Toc25917"/>
      <w:bookmarkStart w:id="617" w:name="_Toc16748"/>
      <w:r>
        <w:rPr>
          <w:rFonts w:hint="eastAsia" w:ascii="微软雅黑" w:hAnsi="微软雅黑" w:eastAsia="微软雅黑" w:cs="微软雅黑"/>
          <w:b/>
          <w:bCs/>
          <w:color w:val="auto"/>
          <w:sz w:val="24"/>
          <w:szCs w:val="24"/>
        </w:rPr>
        <w:t>1  开标一览表</w:t>
      </w:r>
      <w:bookmarkEnd w:id="608"/>
      <w:bookmarkEnd w:id="609"/>
      <w:bookmarkEnd w:id="610"/>
      <w:bookmarkEnd w:id="611"/>
      <w:bookmarkEnd w:id="612"/>
      <w:bookmarkEnd w:id="613"/>
      <w:bookmarkEnd w:id="614"/>
      <w:bookmarkEnd w:id="615"/>
      <w:bookmarkEnd w:id="616"/>
      <w:bookmarkEnd w:id="617"/>
      <w:bookmarkStart w:id="618" w:name="_Hlt520356241"/>
      <w:bookmarkEnd w:id="618"/>
      <w:bookmarkStart w:id="619" w:name="_Toc494296984"/>
      <w:bookmarkStart w:id="620" w:name="_Toc480942349"/>
      <w:bookmarkStart w:id="621" w:name="_Ref467988698"/>
      <w:bookmarkStart w:id="622" w:name="_Toc216582813"/>
      <w:bookmarkStart w:id="623" w:name="_Toc520356217"/>
    </w:p>
    <w:p>
      <w:pPr>
        <w:pStyle w:val="2"/>
        <w:tabs>
          <w:tab w:val="left" w:pos="5580"/>
        </w:tabs>
        <w:spacing w:line="240" w:lineRule="atLeast"/>
        <w:ind w:left="1080" w:leftChars="257" w:hanging="540"/>
        <w:rPr>
          <w:rFonts w:hint="eastAsia" w:ascii="微软雅黑" w:hAnsi="微软雅黑" w:eastAsia="微软雅黑" w:cs="微软雅黑"/>
          <w:color w:val="auto"/>
        </w:rPr>
      </w:pPr>
    </w:p>
    <w:p>
      <w:pPr>
        <w:tabs>
          <w:tab w:val="left" w:pos="1800"/>
          <w:tab w:val="left" w:pos="5580"/>
        </w:tabs>
        <w:spacing w:line="240" w:lineRule="atLeast"/>
        <w:ind w:right="-867" w:rightChars="-413"/>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项目编号：                 </w:t>
      </w:r>
    </w:p>
    <w:p>
      <w:pPr>
        <w:tabs>
          <w:tab w:val="left" w:pos="1800"/>
          <w:tab w:val="left" w:pos="5580"/>
        </w:tabs>
        <w:spacing w:line="240" w:lineRule="atLeast"/>
        <w:ind w:right="-867" w:rightChars="-413"/>
        <w:rPr>
          <w:rFonts w:hint="eastAsia" w:ascii="微软雅黑" w:hAnsi="微软雅黑" w:eastAsia="微软雅黑" w:cs="微软雅黑"/>
          <w:color w:val="auto"/>
          <w:sz w:val="24"/>
          <w:szCs w:val="24"/>
        </w:rPr>
      </w:pPr>
    </w:p>
    <w:p>
      <w:pPr>
        <w:tabs>
          <w:tab w:val="left" w:pos="1800"/>
          <w:tab w:val="left" w:pos="5580"/>
        </w:tabs>
        <w:spacing w:line="240" w:lineRule="atLeast"/>
        <w:ind w:right="-867" w:rightChars="-413"/>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报价单位：人民币  </w:t>
      </w:r>
      <w:r>
        <w:rPr>
          <w:rFonts w:hint="eastAsia" w:ascii="微软雅黑" w:hAnsi="微软雅黑" w:eastAsia="微软雅黑" w:cs="微软雅黑"/>
          <w:b/>
          <w:bCs/>
          <w:color w:val="auto"/>
          <w:sz w:val="24"/>
          <w:szCs w:val="24"/>
        </w:rPr>
        <w:t xml:space="preserve">元                 </w:t>
      </w:r>
      <w:r>
        <w:rPr>
          <w:rFonts w:hint="eastAsia" w:ascii="微软雅黑" w:hAnsi="微软雅黑" w:eastAsia="微软雅黑" w:cs="微软雅黑"/>
          <w:color w:val="auto"/>
          <w:sz w:val="24"/>
          <w:szCs w:val="24"/>
          <w:lang w:eastAsia="zh-CN"/>
        </w:rPr>
        <w:t>标段</w:t>
      </w:r>
      <w:r>
        <w:rPr>
          <w:rFonts w:hint="eastAsia" w:ascii="微软雅黑" w:hAnsi="微软雅黑" w:eastAsia="微软雅黑" w:cs="微软雅黑"/>
          <w:color w:val="auto"/>
          <w:sz w:val="24"/>
          <w:szCs w:val="24"/>
        </w:rPr>
        <w:t xml:space="preserve">号：       </w:t>
      </w:r>
    </w:p>
    <w:tbl>
      <w:tblPr>
        <w:tblStyle w:val="25"/>
        <w:tblW w:w="9358" w:type="dxa"/>
        <w:tblInd w:w="2" w:type="dxa"/>
        <w:tblLayout w:type="fixed"/>
        <w:tblCellMar>
          <w:top w:w="0" w:type="dxa"/>
          <w:left w:w="0" w:type="dxa"/>
          <w:bottom w:w="0" w:type="dxa"/>
          <w:right w:w="0" w:type="dxa"/>
        </w:tblCellMar>
      </w:tblPr>
      <w:tblGrid>
        <w:gridCol w:w="1214"/>
        <w:gridCol w:w="2215"/>
        <w:gridCol w:w="1675"/>
        <w:gridCol w:w="2127"/>
        <w:gridCol w:w="2127"/>
      </w:tblGrid>
      <w:tr>
        <w:tblPrEx>
          <w:tblCellMar>
            <w:top w:w="0" w:type="dxa"/>
            <w:left w:w="0" w:type="dxa"/>
            <w:bottom w:w="0" w:type="dxa"/>
            <w:right w:w="0" w:type="dxa"/>
          </w:tblCellMar>
        </w:tblPrEx>
        <w:trPr>
          <w:trHeight w:val="631" w:hRule="atLeast"/>
        </w:trPr>
        <w:tc>
          <w:tcPr>
            <w:tcW w:w="1214"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货物内容</w:t>
            </w:r>
          </w:p>
        </w:tc>
        <w:tc>
          <w:tcPr>
            <w:tcW w:w="221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投标</w:t>
            </w:r>
            <w:r>
              <w:rPr>
                <w:rFonts w:hint="eastAsia" w:ascii="微软雅黑" w:hAnsi="微软雅黑" w:eastAsia="微软雅黑" w:cs="微软雅黑"/>
                <w:color w:val="auto"/>
                <w:sz w:val="24"/>
                <w:szCs w:val="24"/>
                <w:lang w:eastAsia="zh-CN"/>
              </w:rPr>
              <w:t>总报价</w:t>
            </w:r>
          </w:p>
        </w:tc>
        <w:tc>
          <w:tcPr>
            <w:tcW w:w="16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投标保证金</w:t>
            </w:r>
          </w:p>
        </w:tc>
        <w:tc>
          <w:tcPr>
            <w:tcW w:w="212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交货期</w:t>
            </w:r>
          </w:p>
        </w:tc>
        <w:tc>
          <w:tcPr>
            <w:tcW w:w="212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tblPrEx>
          <w:tblCellMar>
            <w:top w:w="0" w:type="dxa"/>
            <w:left w:w="0" w:type="dxa"/>
            <w:bottom w:w="0" w:type="dxa"/>
            <w:right w:w="0" w:type="dxa"/>
          </w:tblCellMar>
        </w:tblPrEx>
        <w:trPr>
          <w:cantSplit/>
          <w:trHeight w:val="1545" w:hRule="atLeast"/>
        </w:trPr>
        <w:tc>
          <w:tcPr>
            <w:tcW w:w="1214"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微软雅黑" w:hAnsi="微软雅黑" w:eastAsia="微软雅黑" w:cs="微软雅黑"/>
                <w:color w:val="auto"/>
                <w:sz w:val="24"/>
                <w:szCs w:val="24"/>
              </w:rPr>
            </w:pPr>
          </w:p>
        </w:tc>
        <w:tc>
          <w:tcPr>
            <w:tcW w:w="2215"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大写：</w:t>
            </w:r>
          </w:p>
          <w:p>
            <w:pPr>
              <w:tabs>
                <w:tab w:val="left" w:pos="5580"/>
              </w:tabs>
              <w:spacing w:line="240" w:lineRule="atLeas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小写：</w:t>
            </w:r>
          </w:p>
        </w:tc>
        <w:tc>
          <w:tcPr>
            <w:tcW w:w="167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微软雅黑" w:hAnsi="微软雅黑" w:eastAsia="微软雅黑" w:cs="微软雅黑"/>
                <w:color w:val="auto"/>
                <w:sz w:val="24"/>
                <w:szCs w:val="24"/>
              </w:rPr>
            </w:pPr>
          </w:p>
        </w:tc>
        <w:tc>
          <w:tcPr>
            <w:tcW w:w="2127"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rPr>
            </w:pPr>
          </w:p>
        </w:tc>
        <w:tc>
          <w:tcPr>
            <w:tcW w:w="2127"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rPr>
            </w:pPr>
          </w:p>
        </w:tc>
      </w:tr>
    </w:tbl>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u w:val="single"/>
        </w:rPr>
      </w:pP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供应商名称（公章）：</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法定代表人或委托代理</w:t>
      </w:r>
      <w:r>
        <w:rPr>
          <w:rFonts w:hint="eastAsia" w:ascii="微软雅黑" w:hAnsi="微软雅黑" w:eastAsia="微软雅黑" w:cs="微软雅黑"/>
          <w:color w:val="auto"/>
          <w:sz w:val="24"/>
          <w:szCs w:val="24"/>
          <w:lang w:eastAsia="zh-CN"/>
        </w:rPr>
        <w:t>人</w:t>
      </w:r>
      <w:r>
        <w:rPr>
          <w:rFonts w:hint="eastAsia" w:ascii="微软雅黑" w:hAnsi="微软雅黑" w:eastAsia="微软雅黑" w:cs="微软雅黑"/>
          <w:color w:val="auto"/>
          <w:sz w:val="24"/>
          <w:szCs w:val="24"/>
        </w:rPr>
        <w:t>(签字</w:t>
      </w:r>
      <w:r>
        <w:rPr>
          <w:rFonts w:hint="eastAsia" w:ascii="微软雅黑" w:hAnsi="微软雅黑" w:eastAsia="微软雅黑" w:cs="微软雅黑"/>
          <w:color w:val="auto"/>
          <w:sz w:val="24"/>
          <w:szCs w:val="24"/>
          <w:lang w:eastAsia="zh-CN"/>
        </w:rPr>
        <w:t>或盖章</w:t>
      </w:r>
      <w:r>
        <w:rPr>
          <w:rFonts w:hint="eastAsia" w:ascii="微软雅黑" w:hAnsi="微软雅黑" w:eastAsia="微软雅黑" w:cs="微软雅黑"/>
          <w:color w:val="auto"/>
          <w:sz w:val="24"/>
          <w:szCs w:val="24"/>
        </w:rPr>
        <w:t>):</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注:1、此表应按供应商须知的规定装订密封。</w:t>
      </w:r>
    </w:p>
    <w:p>
      <w:pPr>
        <w:pStyle w:val="16"/>
        <w:numPr>
          <w:ilvl w:val="0"/>
          <w:numId w:val="5"/>
        </w:numPr>
        <w:tabs>
          <w:tab w:val="left" w:pos="5580"/>
        </w:tabs>
        <w:spacing w:line="240" w:lineRule="atLeast"/>
        <w:ind w:left="1230" w:leftChars="0" w:hanging="18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此表中，每包的投标总价应和投标分项报价表的总价相一致。</w:t>
      </w:r>
    </w:p>
    <w:p>
      <w:pPr>
        <w:pStyle w:val="16"/>
        <w:numPr>
          <w:ilvl w:val="0"/>
          <w:numId w:val="5"/>
        </w:numPr>
        <w:tabs>
          <w:tab w:val="left" w:pos="5580"/>
        </w:tabs>
        <w:spacing w:line="240" w:lineRule="atLeast"/>
        <w:ind w:left="1230" w:leftChars="0" w:hanging="18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此报价中包含运费、安装调试费、税费等一切与本项目相关的费用。</w:t>
      </w:r>
    </w:p>
    <w:p>
      <w:pPr>
        <w:pStyle w:val="16"/>
        <w:numPr>
          <w:ilvl w:val="0"/>
          <w:numId w:val="5"/>
        </w:numPr>
        <w:tabs>
          <w:tab w:val="left" w:pos="5580"/>
        </w:tabs>
        <w:spacing w:line="240" w:lineRule="atLeast"/>
        <w:ind w:left="1230" w:leftChars="0" w:hanging="18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根据《政府采购促进中小企业发展管理办法》（财库[2020]46号）、《财政部 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10%后参与评。对于同时属于小微企业、监狱企业或残疾人福利性单位的，不重复进行投标报价扣除。</w:t>
      </w:r>
      <w:r>
        <w:rPr>
          <w:rFonts w:hint="eastAsia" w:ascii="微软雅黑" w:hAnsi="微软雅黑" w:eastAsia="微软雅黑" w:cs="微软雅黑"/>
          <w:b/>
          <w:bCs/>
          <w:color w:val="auto"/>
          <w:sz w:val="24"/>
          <w:szCs w:val="24"/>
          <w:lang w:eastAsia="zh-CN"/>
        </w:rPr>
        <w:t>此表中，各投标商根据实际情况附上述声明函及证明材料，若未在开标一览表后附上述声明函及证明材料，则视为不享受报价扣除。</w:t>
      </w:r>
    </w:p>
    <w:bookmarkEnd w:id="619"/>
    <w:p>
      <w:pPr>
        <w:rPr>
          <w:rFonts w:hint="eastAsia" w:ascii="微软雅黑" w:hAnsi="微软雅黑" w:eastAsia="微软雅黑" w:cs="微软雅黑"/>
          <w:color w:val="auto"/>
          <w:sz w:val="24"/>
          <w:szCs w:val="24"/>
        </w:rPr>
      </w:pPr>
      <w:bookmarkStart w:id="624" w:name="_Toc31862"/>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bookmarkEnd w:id="624"/>
    <w:p>
      <w:pPr>
        <w:pStyle w:val="21"/>
        <w:rPr>
          <w:rFonts w:hint="eastAsia" w:ascii="微软雅黑" w:hAnsi="微软雅黑" w:eastAsia="微软雅黑" w:cs="微软雅黑"/>
          <w:color w:val="auto"/>
        </w:rPr>
      </w:pPr>
    </w:p>
    <w:p>
      <w:pPr>
        <w:pStyle w:val="2"/>
        <w:rPr>
          <w:rFonts w:hint="eastAsia" w:ascii="微软雅黑" w:hAnsi="微软雅黑" w:eastAsia="微软雅黑" w:cs="微软雅黑"/>
          <w:b/>
          <w:bCs/>
          <w:color w:val="auto"/>
        </w:rPr>
      </w:pPr>
    </w:p>
    <w:p>
      <w:pPr>
        <w:pStyle w:val="2"/>
        <w:outlineLvl w:val="1"/>
        <w:rPr>
          <w:rFonts w:hint="eastAsia" w:ascii="微软雅黑" w:hAnsi="微软雅黑" w:eastAsia="微软雅黑" w:cs="微软雅黑"/>
          <w:b/>
          <w:bCs/>
          <w:color w:val="auto"/>
          <w:kern w:val="0"/>
        </w:rPr>
      </w:pPr>
      <w:bookmarkStart w:id="625" w:name="_Toc32348"/>
      <w:bookmarkStart w:id="626" w:name="_Toc30717"/>
      <w:r>
        <w:rPr>
          <w:rFonts w:hint="eastAsia" w:ascii="微软雅黑" w:hAnsi="微软雅黑" w:eastAsia="微软雅黑" w:cs="微软雅黑"/>
          <w:b/>
          <w:bCs/>
          <w:color w:val="auto"/>
        </w:rPr>
        <w:t xml:space="preserve">2  </w:t>
      </w:r>
      <w:bookmarkEnd w:id="625"/>
      <w:r>
        <w:rPr>
          <w:rFonts w:hint="eastAsia" w:ascii="微软雅黑" w:hAnsi="微软雅黑" w:eastAsia="微软雅黑" w:cs="微软雅黑"/>
          <w:b/>
          <w:bCs/>
          <w:color w:val="auto"/>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不得参加本项目</w:t>
      </w:r>
      <w:r>
        <w:rPr>
          <w:rFonts w:hint="eastAsia" w:ascii="微软雅黑" w:hAnsi="微软雅黑" w:eastAsia="微软雅黑" w:cs="微软雅黑"/>
          <w:b/>
          <w:bCs/>
          <w:color w:val="auto"/>
          <w:lang w:eastAsia="zh-CN"/>
        </w:rPr>
        <w:t>（提供查询记录截图并加盖公章）</w:t>
      </w:r>
      <w:r>
        <w:rPr>
          <w:rFonts w:hint="eastAsia" w:ascii="微软雅黑" w:hAnsi="微软雅黑" w:eastAsia="微软雅黑" w:cs="微软雅黑"/>
          <w:b/>
          <w:bCs/>
          <w:color w:val="auto"/>
        </w:rPr>
        <w:t>；</w:t>
      </w:r>
      <w:bookmarkEnd w:id="626"/>
    </w:p>
    <w:p>
      <w:pPr>
        <w:pStyle w:val="16"/>
        <w:numPr>
          <w:ilvl w:val="0"/>
          <w:numId w:val="0"/>
        </w:numPr>
        <w:tabs>
          <w:tab w:val="left" w:pos="5580"/>
        </w:tabs>
        <w:spacing w:line="240" w:lineRule="atLeas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说明：</w:t>
      </w:r>
      <w:r>
        <w:rPr>
          <w:rFonts w:hint="eastAsia" w:ascii="微软雅黑" w:hAnsi="微软雅黑" w:eastAsia="微软雅黑" w:cs="微软雅黑"/>
          <w:color w:val="auto"/>
          <w:sz w:val="24"/>
          <w:szCs w:val="24"/>
        </w:rPr>
        <w:t>投标人必须满足《中华人民共和国政府采购法》第二十二条要求。</w:t>
      </w:r>
    </w:p>
    <w:p>
      <w:pPr>
        <w:pStyle w:val="12"/>
        <w:spacing w:line="400" w:lineRule="exact"/>
        <w:ind w:firstLine="0" w:firstLineChars="0"/>
        <w:rPr>
          <w:rFonts w:hint="eastAsia" w:ascii="微软雅黑" w:hAnsi="微软雅黑" w:eastAsia="微软雅黑" w:cs="微软雅黑"/>
          <w:b/>
          <w:bCs/>
          <w:color w:val="auto"/>
          <w:kern w:val="0"/>
        </w:rPr>
      </w:pPr>
    </w:p>
    <w:p>
      <w:pPr>
        <w:pStyle w:val="12"/>
        <w:spacing w:line="400" w:lineRule="exact"/>
        <w:ind w:firstLine="0" w:firstLineChars="0"/>
        <w:rPr>
          <w:rFonts w:hint="eastAsia" w:ascii="微软雅黑" w:hAnsi="微软雅黑" w:eastAsia="微软雅黑" w:cs="微软雅黑"/>
          <w:b/>
          <w:bCs/>
          <w:color w:val="auto"/>
          <w:kern w:val="0"/>
        </w:rPr>
      </w:pPr>
    </w:p>
    <w:p>
      <w:pPr>
        <w:pStyle w:val="12"/>
        <w:spacing w:line="400" w:lineRule="exact"/>
        <w:ind w:firstLine="0" w:firstLineChars="0"/>
        <w:rPr>
          <w:rFonts w:hint="eastAsia" w:ascii="微软雅黑" w:hAnsi="微软雅黑" w:eastAsia="微软雅黑" w:cs="微软雅黑"/>
          <w:b/>
          <w:bCs/>
          <w:color w:val="auto"/>
          <w:kern w:val="0"/>
        </w:rPr>
      </w:pPr>
    </w:p>
    <w:p>
      <w:pPr>
        <w:pStyle w:val="12"/>
        <w:spacing w:line="400" w:lineRule="exact"/>
        <w:ind w:firstLine="0" w:firstLineChars="0"/>
        <w:rPr>
          <w:rFonts w:hint="eastAsia" w:ascii="微软雅黑" w:hAnsi="微软雅黑" w:eastAsia="微软雅黑" w:cs="微软雅黑"/>
          <w:b/>
          <w:bCs/>
          <w:color w:val="auto"/>
          <w:kern w:val="0"/>
        </w:rPr>
      </w:pPr>
    </w:p>
    <w:p>
      <w:pPr>
        <w:pStyle w:val="12"/>
        <w:spacing w:line="400" w:lineRule="exact"/>
        <w:ind w:firstLine="0" w:firstLineChars="0"/>
        <w:rPr>
          <w:rFonts w:hint="eastAsia" w:ascii="微软雅黑" w:hAnsi="微软雅黑" w:eastAsia="微软雅黑" w:cs="微软雅黑"/>
          <w:b/>
          <w:bCs/>
          <w:color w:val="auto"/>
          <w:kern w:val="0"/>
        </w:rPr>
      </w:pPr>
    </w:p>
    <w:p>
      <w:pPr>
        <w:pStyle w:val="12"/>
        <w:spacing w:line="400" w:lineRule="exact"/>
        <w:ind w:firstLine="480" w:firstLineChars="200"/>
        <w:outlineLvl w:val="1"/>
        <w:rPr>
          <w:rFonts w:hint="eastAsia" w:ascii="微软雅黑" w:hAnsi="微软雅黑" w:eastAsia="微软雅黑" w:cs="微软雅黑"/>
          <w:b/>
          <w:bCs/>
          <w:color w:val="auto"/>
          <w:kern w:val="0"/>
          <w:sz w:val="24"/>
          <w:szCs w:val="24"/>
          <w:lang w:val="en-US" w:eastAsia="zh-CN" w:bidi="ar-SA"/>
        </w:rPr>
      </w:pPr>
      <w:bookmarkStart w:id="627" w:name="_Toc28577"/>
      <w:r>
        <w:rPr>
          <w:rFonts w:hint="eastAsia" w:ascii="微软雅黑" w:hAnsi="微软雅黑" w:eastAsia="微软雅黑" w:cs="微软雅黑"/>
          <w:b/>
          <w:bCs/>
          <w:color w:val="auto"/>
          <w:kern w:val="0"/>
          <w:sz w:val="24"/>
          <w:szCs w:val="24"/>
          <w:lang w:val="en-US" w:eastAsia="zh-CN" w:bidi="ar-SA"/>
        </w:rPr>
        <w:t>3  具有有效的营业执照；</w:t>
      </w:r>
      <w:bookmarkEnd w:id="627"/>
    </w:p>
    <w:p>
      <w:pPr>
        <w:pStyle w:val="12"/>
        <w:spacing w:line="400" w:lineRule="exact"/>
        <w:ind w:firstLine="480" w:firstLineChars="20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说明：具有有效的营业执照正本或副本，复印件须加盖本单位公章。</w:t>
      </w:r>
    </w:p>
    <w:p>
      <w:pPr>
        <w:pStyle w:val="12"/>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p>
    <w:p>
      <w:pPr>
        <w:pStyle w:val="12"/>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p>
    <w:p>
      <w:pPr>
        <w:pStyle w:val="12"/>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p>
    <w:p>
      <w:pPr>
        <w:pStyle w:val="12"/>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p>
    <w:p>
      <w:pPr>
        <w:pStyle w:val="12"/>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p>
    <w:p>
      <w:pPr>
        <w:pStyle w:val="12"/>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p>
    <w:p>
      <w:pPr>
        <w:pStyle w:val="12"/>
        <w:spacing w:line="400" w:lineRule="exact"/>
        <w:ind w:firstLine="480" w:firstLineChars="200"/>
        <w:outlineLvl w:val="1"/>
        <w:rPr>
          <w:rFonts w:hint="eastAsia" w:ascii="微软雅黑" w:hAnsi="微软雅黑" w:eastAsia="微软雅黑" w:cs="微软雅黑"/>
          <w:b/>
          <w:bCs/>
          <w:color w:val="auto"/>
          <w:kern w:val="0"/>
          <w:sz w:val="24"/>
          <w:szCs w:val="24"/>
          <w:lang w:val="en-US" w:eastAsia="zh-CN" w:bidi="ar-SA"/>
        </w:rPr>
      </w:pPr>
      <w:bookmarkStart w:id="628" w:name="_Toc11165"/>
      <w:r>
        <w:rPr>
          <w:rFonts w:hint="eastAsia" w:ascii="微软雅黑" w:hAnsi="微软雅黑" w:eastAsia="微软雅黑" w:cs="微软雅黑"/>
          <w:b/>
          <w:bCs/>
          <w:color w:val="auto"/>
          <w:kern w:val="0"/>
          <w:sz w:val="24"/>
          <w:szCs w:val="24"/>
          <w:lang w:val="en-US" w:eastAsia="zh-CN" w:bidi="ar-SA"/>
        </w:rPr>
        <w:t>4  提供有效的《医疗器械生产许可证》或《医疗器械经营许可证》（所提供设备为二类医疗器械的须提供二类医疗器械备案凭证）；</w:t>
      </w:r>
      <w:bookmarkEnd w:id="628"/>
    </w:p>
    <w:p>
      <w:pPr>
        <w:pStyle w:val="12"/>
        <w:spacing w:line="400" w:lineRule="exact"/>
        <w:ind w:firstLine="480" w:firstLineChars="200"/>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color w:val="auto"/>
          <w:kern w:val="2"/>
          <w:sz w:val="24"/>
          <w:szCs w:val="24"/>
          <w:lang w:val="en-US" w:eastAsia="zh-CN" w:bidi="ar-SA"/>
        </w:rPr>
        <w:t>说明：具有有效的《医疗器械生产许可证》或《医疗器械经营许可证》《第二类医疗器械经营备案凭证》，须包含本项目招标内容，复印件须加盖本单位公章。</w:t>
      </w:r>
    </w:p>
    <w:p>
      <w:pPr>
        <w:adjustRightInd w:val="0"/>
        <w:snapToGrid w:val="0"/>
        <w:spacing w:before="240" w:beforeLines="100" w:after="240" w:afterLines="100" w:line="360" w:lineRule="auto"/>
        <w:ind w:firstLine="480" w:firstLineChars="200"/>
        <w:outlineLvl w:val="9"/>
        <w:rPr>
          <w:rFonts w:hint="eastAsia" w:ascii="微软雅黑" w:hAnsi="微软雅黑" w:eastAsia="微软雅黑" w:cs="微软雅黑"/>
          <w:b/>
          <w:bCs/>
          <w:color w:val="auto"/>
          <w:kern w:val="0"/>
          <w:sz w:val="24"/>
          <w:szCs w:val="24"/>
        </w:rPr>
      </w:pPr>
      <w:bookmarkStart w:id="629" w:name="_Toc2848"/>
    </w:p>
    <w:p>
      <w:pPr>
        <w:outlineLvl w:val="9"/>
        <w:rPr>
          <w:rFonts w:hint="eastAsia" w:ascii="微软雅黑" w:hAnsi="微软雅黑" w:eastAsia="微软雅黑" w:cs="微软雅黑"/>
          <w:b/>
          <w:bCs/>
          <w:color w:val="auto"/>
          <w:kern w:val="0"/>
          <w:sz w:val="24"/>
          <w:szCs w:val="24"/>
        </w:rPr>
      </w:pPr>
    </w:p>
    <w:p>
      <w:pPr>
        <w:pStyle w:val="2"/>
        <w:rPr>
          <w:rFonts w:hint="eastAsia" w:ascii="微软雅黑" w:hAnsi="微软雅黑" w:eastAsia="微软雅黑" w:cs="微软雅黑"/>
          <w:b/>
          <w:bCs/>
          <w:color w:val="auto"/>
          <w:kern w:val="0"/>
          <w:sz w:val="24"/>
          <w:szCs w:val="24"/>
        </w:rPr>
      </w:pPr>
    </w:p>
    <w:p>
      <w:pPr>
        <w:rPr>
          <w:rFonts w:hint="eastAsia" w:ascii="微软雅黑" w:hAnsi="微软雅黑" w:eastAsia="微软雅黑" w:cs="微软雅黑"/>
          <w:b/>
          <w:bCs/>
          <w:color w:val="auto"/>
          <w:kern w:val="0"/>
          <w:sz w:val="24"/>
          <w:szCs w:val="24"/>
        </w:rPr>
      </w:pPr>
    </w:p>
    <w:p>
      <w:pPr>
        <w:outlineLvl w:val="9"/>
        <w:rPr>
          <w:rFonts w:hint="eastAsia"/>
          <w:color w:val="auto"/>
        </w:rPr>
      </w:pPr>
    </w:p>
    <w:p>
      <w:pPr>
        <w:adjustRightInd w:val="0"/>
        <w:snapToGrid w:val="0"/>
        <w:spacing w:before="240" w:beforeLines="100" w:after="240" w:afterLines="100" w:line="360" w:lineRule="auto"/>
        <w:ind w:firstLine="480" w:firstLineChars="200"/>
        <w:outlineLvl w:val="1"/>
        <w:rPr>
          <w:rFonts w:hint="eastAsia" w:ascii="微软雅黑" w:hAnsi="微软雅黑" w:eastAsia="微软雅黑" w:cs="微软雅黑"/>
          <w:b/>
          <w:bCs/>
          <w:color w:val="auto"/>
          <w:kern w:val="0"/>
          <w:sz w:val="24"/>
          <w:szCs w:val="24"/>
        </w:rPr>
      </w:pPr>
      <w:bookmarkStart w:id="630" w:name="_Toc28709"/>
      <w:r>
        <w:rPr>
          <w:rFonts w:hint="eastAsia" w:ascii="微软雅黑" w:hAnsi="微软雅黑" w:eastAsia="微软雅黑" w:cs="微软雅黑"/>
          <w:b/>
          <w:bCs/>
          <w:color w:val="auto"/>
          <w:kern w:val="0"/>
          <w:sz w:val="24"/>
          <w:szCs w:val="24"/>
          <w:lang w:val="en-US" w:eastAsia="zh-CN"/>
        </w:rPr>
        <w:t>5</w:t>
      </w:r>
      <w:r>
        <w:rPr>
          <w:rFonts w:hint="eastAsia" w:ascii="微软雅黑" w:hAnsi="微软雅黑" w:eastAsia="微软雅黑" w:cs="微软雅黑"/>
          <w:b/>
          <w:bCs/>
          <w:color w:val="auto"/>
          <w:kern w:val="0"/>
          <w:sz w:val="24"/>
          <w:szCs w:val="24"/>
        </w:rPr>
        <w:t xml:space="preserve">  </w:t>
      </w:r>
      <w:bookmarkEnd w:id="629"/>
      <w:r>
        <w:rPr>
          <w:rFonts w:hint="eastAsia" w:ascii="微软雅黑" w:hAnsi="微软雅黑" w:eastAsia="微软雅黑" w:cs="微软雅黑"/>
          <w:b/>
          <w:bCs/>
          <w:color w:val="auto"/>
          <w:kern w:val="0"/>
          <w:sz w:val="24"/>
          <w:szCs w:val="24"/>
        </w:rPr>
        <w:t>法人投标</w:t>
      </w:r>
      <w:r>
        <w:rPr>
          <w:rFonts w:hint="eastAsia" w:ascii="微软雅黑" w:hAnsi="微软雅黑" w:eastAsia="微软雅黑" w:cs="微软雅黑"/>
          <w:b/>
          <w:bCs/>
          <w:color w:val="auto"/>
          <w:kern w:val="0"/>
          <w:sz w:val="24"/>
          <w:szCs w:val="24"/>
          <w:lang w:eastAsia="zh-CN"/>
        </w:rPr>
        <w:t>须</w:t>
      </w:r>
      <w:r>
        <w:rPr>
          <w:rFonts w:hint="eastAsia" w:ascii="微软雅黑" w:hAnsi="微软雅黑" w:eastAsia="微软雅黑" w:cs="微软雅黑"/>
          <w:b/>
          <w:bCs/>
          <w:color w:val="auto"/>
          <w:kern w:val="0"/>
          <w:sz w:val="24"/>
          <w:szCs w:val="24"/>
        </w:rPr>
        <w:t>提供法人身份证明</w:t>
      </w:r>
      <w:r>
        <w:rPr>
          <w:rFonts w:hint="eastAsia" w:ascii="微软雅黑" w:hAnsi="微软雅黑" w:eastAsia="微软雅黑" w:cs="微软雅黑"/>
          <w:b/>
          <w:bCs/>
          <w:color w:val="auto"/>
          <w:kern w:val="0"/>
          <w:sz w:val="24"/>
          <w:szCs w:val="24"/>
          <w:lang w:eastAsia="zh-CN"/>
        </w:rPr>
        <w:t>及</w:t>
      </w:r>
      <w:r>
        <w:rPr>
          <w:rFonts w:hint="eastAsia" w:ascii="微软雅黑" w:hAnsi="微软雅黑" w:eastAsia="微软雅黑" w:cs="微软雅黑"/>
          <w:b/>
          <w:bCs/>
          <w:color w:val="auto"/>
          <w:kern w:val="0"/>
          <w:sz w:val="24"/>
          <w:szCs w:val="24"/>
          <w:lang w:val="en-US" w:eastAsia="zh-CN"/>
        </w:rPr>
        <w:t>法人身份证，被授权委托人须提供法人身份证明、授权委托书及身份证复印件；</w:t>
      </w:r>
      <w:bookmarkEnd w:id="630"/>
    </w:p>
    <w:p>
      <w:pPr>
        <w:adjustRightInd w:val="0"/>
        <w:snapToGrid w:val="0"/>
        <w:spacing w:before="240" w:beforeLines="100" w:after="240" w:afterLines="100" w:line="360" w:lineRule="auto"/>
        <w:rPr>
          <w:rFonts w:hint="eastAsia" w:ascii="微软雅黑" w:hAnsi="微软雅黑" w:eastAsia="微软雅黑" w:cs="微软雅黑"/>
          <w:color w:val="auto"/>
          <w:sz w:val="22"/>
          <w:szCs w:val="22"/>
        </w:rPr>
      </w:pPr>
      <w:r>
        <w:rPr>
          <w:rFonts w:hint="eastAsia" w:ascii="微软雅黑" w:hAnsi="微软雅黑" w:eastAsia="微软雅黑" w:cs="微软雅黑"/>
          <w:b/>
          <w:bCs/>
          <w:color w:val="auto"/>
          <w:sz w:val="22"/>
          <w:szCs w:val="22"/>
        </w:rPr>
        <w:t>（一）法定代表人身份证</w:t>
      </w:r>
    </w:p>
    <w:p>
      <w:pPr>
        <w:spacing w:line="360"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同志，现任我单位</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rPr>
        <w:t>职务，为法定代表人，特此证明。</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签发日期：                  单位：        </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附：代表人性别：            年龄：           身份证号码：</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联系电话：</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营业执照号码：              经济性质：</w:t>
      </w:r>
    </w:p>
    <w:p>
      <w:pPr>
        <w:spacing w:line="360"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说明：</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1、法定代表人为企业事业单位、国家机关、社会团体的主要行政负责人。</w:t>
      </w:r>
    </w:p>
    <w:p>
      <w:pPr>
        <w:spacing w:line="360"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2、内容必须填写真实、清楚、涂改无效，不得转让。</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3、将此证明书原件提交采购代理机构作为投标文件附件。</w:t>
      </w:r>
    </w:p>
    <w:p>
      <w:pPr>
        <w:spacing w:line="360"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w:t>
      </w:r>
    </w:p>
    <w:p>
      <w:pPr>
        <w:spacing w:line="360" w:lineRule="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mc:AlternateContent>
          <mc:Choice Requires="wps">
            <w:drawing>
              <wp:anchor distT="0" distB="0" distL="0" distR="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102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txbxContent>
                      </wps:txbx>
                      <wps:bodyPr upright="1"/>
                    </wps:wsp>
                  </a:graphicData>
                </a:graphic>
              </wp:anchor>
            </w:drawing>
          </mc:Choice>
          <mc:Fallback>
            <w:pict>
              <v:shape id="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lZOvXWAAAACAEAAA8AAAAAAAAAAQAgAAAAIgAAAGRycy9kb3du&#10;cmV2LnhtbFBLAQIUABQAAAAIAIdO4kB4Kya7AQIAAD4EAAAOAAAAAAAAAAEAIAAAACUBAABkcnMv&#10;ZTJvRG9jLnhtbFBLBQYAAAAABgAGAFkBAACY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txbxContent>
                </v:textbox>
              </v:shape>
            </w:pict>
          </mc:Fallback>
        </mc:AlternateContent>
      </w:r>
      <w:r>
        <w:rPr>
          <w:rFonts w:hint="eastAsia" w:ascii="微软雅黑" w:hAnsi="微软雅黑" w:eastAsia="微软雅黑" w:cs="微软雅黑"/>
          <w:color w:val="auto"/>
          <w:sz w:val="22"/>
          <w:szCs w:val="22"/>
        </w:rPr>
        <mc:AlternateContent>
          <mc:Choice Requires="wps">
            <w:drawing>
              <wp:anchor distT="0" distB="0" distL="0" distR="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p/>
                          <w:p>
                            <w:pPr>
                              <w:pStyle w:val="2"/>
                              <w:rPr>
                                <w:rFonts w:cs="Times New Roman"/>
                              </w:rPr>
                            </w:pPr>
                          </w:p>
                          <w:p>
                            <w:pPr>
                              <w:pStyle w:val="2"/>
                              <w:rPr>
                                <w:rFonts w:cs="Times New Roman"/>
                              </w:rPr>
                            </w:pPr>
                          </w:p>
                          <w:p>
                            <w:pPr>
                              <w:pStyle w:val="2"/>
                              <w:rPr>
                                <w:rFonts w:cs="Times New Roman"/>
                              </w:rPr>
                            </w:pPr>
                          </w:p>
                          <w:p>
                            <w:pPr>
                              <w:pStyle w:val="2"/>
                              <w:rPr>
                                <w:rFonts w:cs="Times New Roman"/>
                              </w:rPr>
                            </w:pPr>
                          </w:p>
                        </w:txbxContent>
                      </wps:txbx>
                      <wps:bodyPr upright="1"/>
                    </wps:wsp>
                  </a:graphicData>
                </a:graphic>
              </wp:anchor>
            </w:drawing>
          </mc:Choice>
          <mc:Fallback>
            <w:pict>
              <v:roundrect id="1027"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8vY1/aAAAACQEAAA8AAAAAAAAA&#10;AQAgAAAAIgAAAGRycy9kb3ducmV2LnhtbFBLAQIUABQAAAAIAIdO4kBP/fbXDwIAAFsEAAAOAAAA&#10;AAAAAAEAIAAAACkBAABkcnMvZTJvRG9jLnhtbFBLBQYAAAAABgAGAFkBAACqBQAAAAA=&#10;">
                <v:fill on="t" focussize="0,0"/>
                <v:stroke weight="1.25pt" color="#808080" joinstyle="round"/>
                <v:imagedata o:title=""/>
                <o:lock v:ext="edit" aspectratio="f"/>
                <v:textbo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p/>
                    <w:p>
                      <w:pPr>
                        <w:pStyle w:val="2"/>
                        <w:rPr>
                          <w:rFonts w:cs="Times New Roman"/>
                        </w:rPr>
                      </w:pPr>
                    </w:p>
                    <w:p>
                      <w:pPr>
                        <w:pStyle w:val="2"/>
                        <w:rPr>
                          <w:rFonts w:cs="Times New Roman"/>
                        </w:rPr>
                      </w:pPr>
                    </w:p>
                    <w:p>
                      <w:pPr>
                        <w:pStyle w:val="2"/>
                        <w:rPr>
                          <w:rFonts w:cs="Times New Roman"/>
                        </w:rPr>
                      </w:pPr>
                    </w:p>
                    <w:p>
                      <w:pPr>
                        <w:pStyle w:val="2"/>
                        <w:rPr>
                          <w:rFonts w:cs="Times New Roman"/>
                        </w:rPr>
                      </w:pPr>
                    </w:p>
                  </w:txbxContent>
                </v:textbox>
              </v:roundrect>
            </w:pict>
          </mc:Fallback>
        </mc:AlternateContent>
      </w:r>
    </w:p>
    <w:p>
      <w:pPr>
        <w:spacing w:line="360" w:lineRule="auto"/>
        <w:rPr>
          <w:rFonts w:hint="eastAsia" w:ascii="微软雅黑" w:hAnsi="微软雅黑" w:eastAsia="微软雅黑" w:cs="微软雅黑"/>
          <w:color w:val="auto"/>
          <w:sz w:val="22"/>
          <w:szCs w:val="22"/>
        </w:rPr>
      </w:pPr>
    </w:p>
    <w:p>
      <w:pPr>
        <w:spacing w:line="360" w:lineRule="auto"/>
        <w:rPr>
          <w:rFonts w:hint="eastAsia" w:ascii="微软雅黑" w:hAnsi="微软雅黑" w:eastAsia="微软雅黑" w:cs="微软雅黑"/>
          <w:color w:val="auto"/>
          <w:sz w:val="22"/>
          <w:szCs w:val="22"/>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auto"/>
          <w:sz w:val="22"/>
          <w:szCs w:val="22"/>
        </w:rPr>
      </w:pPr>
    </w:p>
    <w:p>
      <w:pPr>
        <w:autoSpaceDE w:val="0"/>
        <w:autoSpaceDN w:val="0"/>
        <w:adjustRightInd w:val="0"/>
        <w:spacing w:line="360" w:lineRule="auto"/>
        <w:ind w:right="246"/>
        <w:rPr>
          <w:rFonts w:hint="eastAsia" w:ascii="微软雅黑" w:hAnsi="微软雅黑" w:eastAsia="微软雅黑" w:cs="微软雅黑"/>
          <w:color w:val="auto"/>
          <w:kern w:val="0"/>
          <w:sz w:val="22"/>
          <w:szCs w:val="22"/>
        </w:rPr>
      </w:pPr>
    </w:p>
    <w:p>
      <w:pPr>
        <w:autoSpaceDE w:val="0"/>
        <w:autoSpaceDN w:val="0"/>
        <w:adjustRightInd w:val="0"/>
        <w:spacing w:line="360" w:lineRule="auto"/>
        <w:ind w:right="246" w:firstLine="719" w:firstLineChars="327"/>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rPr>
        <w:t>供应商（公章）：</w:t>
      </w:r>
    </w:p>
    <w:p>
      <w:pPr>
        <w:adjustRightInd w:val="0"/>
        <w:snapToGrid w:val="0"/>
        <w:spacing w:line="360" w:lineRule="auto"/>
        <w:ind w:firstLine="719" w:firstLineChars="327"/>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rPr>
        <w:t>法定代表人（</w:t>
      </w:r>
      <w:r>
        <w:rPr>
          <w:rFonts w:hint="eastAsia" w:ascii="微软雅黑" w:hAnsi="微软雅黑" w:eastAsia="微软雅黑" w:cs="微软雅黑"/>
          <w:color w:val="auto"/>
          <w:kern w:val="0"/>
          <w:sz w:val="22"/>
          <w:szCs w:val="22"/>
          <w:lang w:eastAsia="zh-CN"/>
        </w:rPr>
        <w:t>签字或盖章</w:t>
      </w:r>
      <w:r>
        <w:rPr>
          <w:rFonts w:hint="eastAsia" w:ascii="微软雅黑" w:hAnsi="微软雅黑" w:eastAsia="微软雅黑" w:cs="微软雅黑"/>
          <w:color w:val="auto"/>
          <w:kern w:val="0"/>
          <w:sz w:val="22"/>
          <w:szCs w:val="22"/>
        </w:rPr>
        <w:t>）：</w:t>
      </w:r>
    </w:p>
    <w:p>
      <w:pPr>
        <w:adjustRightInd w:val="0"/>
        <w:snapToGrid w:val="0"/>
        <w:spacing w:line="360" w:lineRule="auto"/>
        <w:ind w:firstLine="719" w:firstLineChars="327"/>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日期：</w:t>
      </w:r>
      <w:bookmarkStart w:id="631" w:name="_Toc22472"/>
      <w:bookmarkStart w:id="632" w:name="_Toc515647807"/>
      <w:bookmarkStart w:id="633" w:name="_Toc1083"/>
    </w:p>
    <w:p>
      <w:pPr>
        <w:outlineLvl w:val="9"/>
        <w:rPr>
          <w:rFonts w:hint="eastAsia"/>
          <w:color w:val="auto"/>
        </w:rPr>
      </w:pPr>
    </w:p>
    <w:p>
      <w:pPr>
        <w:pStyle w:val="21"/>
        <w:rPr>
          <w:rFonts w:hint="eastAsia" w:ascii="微软雅黑" w:hAnsi="微软雅黑" w:eastAsia="微软雅黑" w:cs="微软雅黑"/>
          <w:b/>
          <w:bCs/>
          <w:color w:val="auto"/>
          <w:sz w:val="24"/>
          <w:szCs w:val="24"/>
        </w:rPr>
      </w:pPr>
    </w:p>
    <w:p>
      <w:pPr>
        <w:pStyle w:val="21"/>
        <w:rPr>
          <w:rFonts w:hint="eastAsia" w:ascii="微软雅黑" w:hAnsi="微软雅黑" w:eastAsia="微软雅黑" w:cs="微软雅黑"/>
          <w:b/>
          <w:bCs/>
          <w:color w:val="auto"/>
          <w:sz w:val="24"/>
          <w:szCs w:val="24"/>
        </w:rPr>
      </w:pPr>
    </w:p>
    <w:p>
      <w:pPr>
        <w:spacing w:line="360" w:lineRule="auto"/>
        <w:rPr>
          <w:rFonts w:hint="eastAsia" w:ascii="微软雅黑" w:hAnsi="微软雅黑" w:eastAsia="微软雅黑" w:cs="微软雅黑"/>
          <w:b/>
          <w:bCs/>
          <w:color w:val="auto"/>
          <w:sz w:val="28"/>
          <w:szCs w:val="28"/>
          <w:u w:val="single"/>
        </w:rPr>
      </w:pPr>
      <w:r>
        <w:rPr>
          <w:rFonts w:hint="eastAsia" w:ascii="微软雅黑" w:hAnsi="微软雅黑" w:eastAsia="微软雅黑" w:cs="微软雅黑"/>
          <w:b/>
          <w:bCs/>
          <w:color w:val="auto"/>
          <w:sz w:val="28"/>
          <w:szCs w:val="28"/>
        </w:rPr>
        <w:t>（二）法定代表人授权委托书</w:t>
      </w:r>
      <w:bookmarkEnd w:id="631"/>
      <w:bookmarkEnd w:id="632"/>
      <w:bookmarkEnd w:id="633"/>
    </w:p>
    <w:p>
      <w:pPr>
        <w:spacing w:line="360" w:lineRule="auto"/>
        <w:ind w:firstLine="24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2"/>
          <w:szCs w:val="22"/>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pPr>
        <w:spacing w:line="360" w:lineRule="auto"/>
        <w:ind w:firstLine="220" w:firstLineChars="100"/>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本授权书于           年     月     日签字生效,特此声明。</w:t>
      </w:r>
    </w:p>
    <w:p>
      <w:pPr>
        <w:pStyle w:val="16"/>
        <w:tabs>
          <w:tab w:val="left" w:pos="5580"/>
        </w:tabs>
        <w:spacing w:line="240" w:lineRule="atLeast"/>
        <w:ind w:left="-540" w:leftChars="-257" w:firstLine="900" w:firstLineChars="3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2336"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9" name="1028"/>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r>
                              <w:rPr>
                                <w:rFonts w:hint="eastAsia" w:hAnsi="宋体" w:cs="宋体"/>
                              </w:rPr>
                              <w:t>授权委托人身份证复印件</w:t>
                            </w:r>
                            <w:r>
                              <w:rPr>
                                <w:rFonts w:hint="eastAsia" w:hAnsi="宋体" w:cs="宋体"/>
                                <w:lang w:val="en-US" w:eastAsia="zh-CN"/>
                              </w:rPr>
                              <w:t>正</w:t>
                            </w:r>
                            <w:r>
                              <w:rPr>
                                <w:rFonts w:hint="eastAsia" w:hAnsi="宋体" w:cs="宋体"/>
                              </w:rPr>
                              <w:t>反面</w:t>
                            </w:r>
                          </w:p>
                          <w:p/>
                        </w:txbxContent>
                      </wps:txbx>
                      <wps:bodyPr upright="1"/>
                    </wps:wsp>
                  </a:graphicData>
                </a:graphic>
              </wp:anchor>
            </w:drawing>
          </mc:Choice>
          <mc:Fallback>
            <w:pict>
              <v:roundrect id="1028" o:spid="_x0000_s1026" o:spt="2" style="position:absolute;left:0pt;margin-left:239.3pt;margin-top:13.2pt;height:76.3pt;width:195.15pt;z-index:251662336;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Fn7jbAAAACgEAAA8AAAAAAAAA&#10;AQAgAAAAIgAAAGRycy9kb3ducmV2LnhtbFBLAQIUABQAAAAIAIdO4kBC5oeHDgIAAFoEAAAOAAAA&#10;AAAAAAEAIAAAACoBAABkcnMvZTJvRG9jLnhtbFBLBQYAAAAABgAGAFkBAACq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cs="宋体"/>
                        </w:rPr>
                        <w:t>授权委托人身份证复印件</w:t>
                      </w:r>
                      <w:r>
                        <w:rPr>
                          <w:rFonts w:hint="eastAsia" w:hAnsi="宋体" w:cs="宋体"/>
                          <w:lang w:val="en-US" w:eastAsia="zh-CN"/>
                        </w:rPr>
                        <w:t>正</w:t>
                      </w:r>
                      <w:r>
                        <w:rPr>
                          <w:rFonts w:hint="eastAsia" w:hAnsi="宋体" w:cs="宋体"/>
                        </w:rPr>
                        <w:t>反面</w:t>
                      </w:r>
                    </w:p>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0" distR="0" simplePos="0" relativeHeight="251663360" behindDoc="0" locked="0" layoutInCell="1" allowOverlap="1">
                <wp:simplePos x="0" y="0"/>
                <wp:positionH relativeFrom="column">
                  <wp:posOffset>20955</wp:posOffset>
                </wp:positionH>
                <wp:positionV relativeFrom="paragraph">
                  <wp:posOffset>135890</wp:posOffset>
                </wp:positionV>
                <wp:extent cx="2317750" cy="942340"/>
                <wp:effectExtent l="4445" t="4445" r="20955" b="5715"/>
                <wp:wrapNone/>
                <wp:docPr id="1030" name="1029"/>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授权委托人身份证复印件正</w:t>
                            </w:r>
                            <w:r>
                              <w:rPr>
                                <w:rFonts w:hint="eastAsia" w:hAnsi="宋体" w:cs="宋体"/>
                                <w:lang w:val="en-US" w:eastAsia="zh-CN"/>
                              </w:rPr>
                              <w:t>反</w:t>
                            </w:r>
                            <w:r>
                              <w:rPr>
                                <w:rFonts w:hint="eastAsia" w:hAnsi="宋体" w:cs="宋体"/>
                              </w:rPr>
                              <w:t>面</w:t>
                            </w:r>
                          </w:p>
                        </w:txbxContent>
                      </wps:txbx>
                      <wps:bodyPr upright="1"/>
                    </wps:wsp>
                  </a:graphicData>
                </a:graphic>
              </wp:anchor>
            </w:drawing>
          </mc:Choice>
          <mc:Fallback>
            <w:pict>
              <v:shape id="1029" o:spid="_x0000_s1026" o:spt="176" type="#_x0000_t176" style="position:absolute;left:0pt;margin-left:1.65pt;margin-top:10.7pt;height:74.2pt;width:182.5pt;z-index:251663360;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zaEDtYAAAAIAQAADwAAAAAAAAABACAAAAAiAAAAZHJzL2Rv&#10;d25yZXYueG1sUEsBAhQAFAAAAAgAh07iQG/3L7QDAgAAPQQAAA4AAAAAAAAAAQAgAAAAJQEAAGRy&#10;cy9lMm9Eb2MueG1sUEsFBgAAAAAGAAYAWQEAAJo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授权委托人身份证复印件正</w:t>
                      </w:r>
                      <w:r>
                        <w:rPr>
                          <w:rFonts w:hint="eastAsia" w:hAnsi="宋体" w:cs="宋体"/>
                          <w:lang w:val="en-US" w:eastAsia="zh-CN"/>
                        </w:rPr>
                        <w:t>反</w:t>
                      </w:r>
                      <w:r>
                        <w:rPr>
                          <w:rFonts w:hint="eastAsia" w:hAnsi="宋体" w:cs="宋体"/>
                        </w:rPr>
                        <w:t>面</w:t>
                      </w:r>
                    </w:p>
                  </w:txbxContent>
                </v:textbox>
              </v:shape>
            </w:pict>
          </mc:Fallback>
        </mc:AlternateContent>
      </w: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4384"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rPr>
                                <w:rFonts w:hAnsi="宋体"/>
                              </w:rPr>
                            </w:pPr>
                          </w:p>
                          <w:p>
                            <w:pPr>
                              <w:jc w:val="both"/>
                            </w:pPr>
                            <w:r>
                              <w:rPr>
                                <w:rFonts w:hint="eastAsia" w:hAnsi="宋体" w:cs="宋体"/>
                              </w:rPr>
                              <w:t>法人身份证复印件</w:t>
                            </w:r>
                            <w:r>
                              <w:rPr>
                                <w:rFonts w:hint="eastAsia" w:hAnsi="宋体" w:cs="宋体"/>
                                <w:lang w:val="en-US" w:eastAsia="zh-CN"/>
                              </w:rPr>
                              <w:t>正</w:t>
                            </w:r>
                            <w:r>
                              <w:rPr>
                                <w:rFonts w:hint="eastAsia" w:hAnsi="宋体" w:cs="宋体"/>
                              </w:rPr>
                              <w:t>反面</w:t>
                            </w:r>
                          </w:p>
                          <w:p/>
                        </w:txbxContent>
                      </wps:txbx>
                      <wps:bodyPr upright="1"/>
                    </wps:wsp>
                  </a:graphicData>
                </a:graphic>
              </wp:anchor>
            </w:drawing>
          </mc:Choice>
          <mc:Fallback>
            <w:pict>
              <v:roundrect id="1030" o:spid="_x0000_s1026" o:spt="2" style="position:absolute;left:0pt;margin-left:237.65pt;margin-top:7.6pt;height:73.65pt;width:199.65pt;z-index:251664384;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gNFZ7bAAAACgEAAA8AAAAAAAAAAQAg&#10;AAAAIgAAAGRycy9kb3ducmV2LnhtbFBLAQIUABQAAAAIAIdO4kD9j6/uCwIAAFoEAAAOAAAAAAAA&#10;AAEAIAAAACoBAABkcnMvZTJvRG9jLnhtbFBLBQYAAAAABgAGAFkBAACnBQAAAAA=&#10;">
                <v:fill on="t" focussize="0,0"/>
                <v:stroke weight="1.25pt" color="#808080" joinstyle="round"/>
                <v:imagedata o:title=""/>
                <o:lock v:ext="edit" aspectratio="f"/>
                <v:textbox>
                  <w:txbxContent>
                    <w:p>
                      <w:pPr>
                        <w:jc w:val="center"/>
                        <w:rPr>
                          <w:rFonts w:hAnsi="宋体"/>
                        </w:rPr>
                      </w:pPr>
                      <w:r>
                        <w:rPr>
                          <w:rFonts w:hAnsi="宋体"/>
                        </w:rPr>
                        <w:t xml:space="preserve">  </w:t>
                      </w:r>
                    </w:p>
                    <w:p>
                      <w:pPr>
                        <w:rPr>
                          <w:rFonts w:hAnsi="宋体"/>
                        </w:rPr>
                      </w:pPr>
                    </w:p>
                    <w:p>
                      <w:pPr>
                        <w:jc w:val="both"/>
                      </w:pPr>
                      <w:r>
                        <w:rPr>
                          <w:rFonts w:hint="eastAsia" w:hAnsi="宋体" w:cs="宋体"/>
                        </w:rPr>
                        <w:t>法人身份证复印件</w:t>
                      </w:r>
                      <w:r>
                        <w:rPr>
                          <w:rFonts w:hint="eastAsia" w:hAnsi="宋体" w:cs="宋体"/>
                          <w:lang w:val="en-US" w:eastAsia="zh-CN"/>
                        </w:rPr>
                        <w:t>正</w:t>
                      </w:r>
                      <w:r>
                        <w:rPr>
                          <w:rFonts w:hint="eastAsia" w:hAnsi="宋体" w:cs="宋体"/>
                        </w:rPr>
                        <w:t>反面</w:t>
                      </w:r>
                    </w:p>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0" distR="0" simplePos="0" relativeHeight="251665408"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2" name="1031"/>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rPr>
                                <w:rFonts w:hAnsi="宋体"/>
                              </w:rPr>
                            </w:pPr>
                          </w:p>
                          <w:p>
                            <w:pPr>
                              <w:jc w:val="both"/>
                            </w:pPr>
                            <w:r>
                              <w:rPr>
                                <w:rFonts w:hint="eastAsia" w:hAnsi="宋体" w:cs="宋体"/>
                              </w:rPr>
                              <w:t>法人身份证复印件正</w:t>
                            </w:r>
                            <w:r>
                              <w:rPr>
                                <w:rFonts w:hint="eastAsia" w:hAnsi="宋体" w:cs="宋体"/>
                                <w:lang w:val="en-US" w:eastAsia="zh-CN"/>
                              </w:rPr>
                              <w:t>反</w:t>
                            </w:r>
                            <w:r>
                              <w:rPr>
                                <w:rFonts w:hint="eastAsia" w:hAnsi="宋体" w:cs="宋体"/>
                              </w:rPr>
                              <w:t>面</w:t>
                            </w:r>
                          </w:p>
                          <w:p/>
                        </w:txbxContent>
                      </wps:txbx>
                      <wps:bodyPr upright="1"/>
                    </wps:wsp>
                  </a:graphicData>
                </a:graphic>
              </wp:anchor>
            </w:drawing>
          </mc:Choice>
          <mc:Fallback>
            <w:pict>
              <v:roundrect id="1031" o:spid="_x0000_s1026" o:spt="2" style="position:absolute;left:0pt;margin-left:-0.85pt;margin-top:2.35pt;height:80.7pt;width:201.2pt;z-index:25166540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vgt72AAAAAgBAAAPAAAAAAAAAAEA&#10;IAAAACIAAABkcnMvZG93bnJldi54bWxQSwECFAAUAAAACACHTuJAlNOR2g8CAABbBAAADgAAAAAA&#10;AAABACAAAAAnAQAAZHJzL2Uyb0RvYy54bWxQSwUGAAAAAAYABgBZAQAAqAUAAAAA&#10;">
                <v:fill on="t" focussize="0,0"/>
                <v:stroke weight="1.25pt" color="#808080" joinstyle="round"/>
                <v:imagedata o:title=""/>
                <o:lock v:ext="edit" aspectratio="f"/>
                <v:textbox>
                  <w:txbxContent>
                    <w:p>
                      <w:pPr>
                        <w:jc w:val="center"/>
                        <w:rPr>
                          <w:rFonts w:hAnsi="宋体"/>
                        </w:rPr>
                      </w:pPr>
                    </w:p>
                    <w:p>
                      <w:pPr>
                        <w:rPr>
                          <w:rFonts w:hAnsi="宋体"/>
                        </w:rPr>
                      </w:pPr>
                    </w:p>
                    <w:p>
                      <w:pPr>
                        <w:jc w:val="both"/>
                      </w:pPr>
                      <w:r>
                        <w:rPr>
                          <w:rFonts w:hint="eastAsia" w:hAnsi="宋体" w:cs="宋体"/>
                        </w:rPr>
                        <w:t>法人身份证复印件正</w:t>
                      </w:r>
                      <w:r>
                        <w:rPr>
                          <w:rFonts w:hint="eastAsia" w:hAnsi="宋体" w:cs="宋体"/>
                          <w:lang w:val="en-US" w:eastAsia="zh-CN"/>
                        </w:rPr>
                        <w:t>反</w:t>
                      </w:r>
                      <w:r>
                        <w:rPr>
                          <w:rFonts w:hint="eastAsia" w:hAnsi="宋体" w:cs="宋体"/>
                        </w:rPr>
                        <w:t>面</w:t>
                      </w:r>
                    </w:p>
                    <w:p/>
                  </w:txbxContent>
                </v:textbox>
              </v:roundrect>
            </w:pict>
          </mc:Fallback>
        </mc:AlternateContent>
      </w: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spacing w:line="360" w:lineRule="auto"/>
        <w:ind w:firstLine="240" w:firstLineChars="100"/>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供应商（公章）;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法定代表人（</w:t>
      </w:r>
      <w:r>
        <w:rPr>
          <w:rFonts w:hint="eastAsia" w:ascii="微软雅黑" w:hAnsi="微软雅黑" w:eastAsia="微软雅黑" w:cs="微软雅黑"/>
          <w:color w:val="auto"/>
          <w:sz w:val="22"/>
          <w:szCs w:val="22"/>
          <w:lang w:eastAsia="zh-CN"/>
        </w:rPr>
        <w:t>签字或盖章</w:t>
      </w:r>
      <w:r>
        <w:rPr>
          <w:rFonts w:hint="eastAsia" w:ascii="微软雅黑" w:hAnsi="微软雅黑" w:eastAsia="微软雅黑" w:cs="微软雅黑"/>
          <w:color w:val="auto"/>
          <w:sz w:val="22"/>
          <w:szCs w:val="22"/>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身份证号码：</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委托代理人（</w:t>
      </w:r>
      <w:r>
        <w:rPr>
          <w:rFonts w:hint="eastAsia" w:ascii="微软雅黑" w:hAnsi="微软雅黑" w:eastAsia="微软雅黑" w:cs="微软雅黑"/>
          <w:color w:val="auto"/>
          <w:sz w:val="22"/>
          <w:szCs w:val="22"/>
          <w:lang w:eastAsia="zh-CN"/>
        </w:rPr>
        <w:t>签字或盖章</w:t>
      </w:r>
      <w:r>
        <w:rPr>
          <w:rFonts w:hint="eastAsia" w:ascii="微软雅黑" w:hAnsi="微软雅黑" w:eastAsia="微软雅黑" w:cs="微软雅黑"/>
          <w:color w:val="auto"/>
          <w:sz w:val="22"/>
          <w:szCs w:val="22"/>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身份证号码：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详细通讯地址：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邮 政 编 码 ：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传　　　　真：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电　　　　话：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jc w:val="right"/>
        <w:textAlignment w:val="auto"/>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年   月   日 </w:t>
      </w:r>
    </w:p>
    <w:p>
      <w:pPr>
        <w:pStyle w:val="16"/>
        <w:tabs>
          <w:tab w:val="left" w:pos="5580"/>
        </w:tabs>
        <w:spacing w:line="240" w:lineRule="atLeast"/>
        <w:rPr>
          <w:rFonts w:hint="eastAsia" w:ascii="微软雅黑" w:hAnsi="微软雅黑" w:eastAsia="微软雅黑" w:cs="微软雅黑"/>
          <w:b/>
          <w:bCs/>
          <w:color w:val="auto"/>
        </w:rPr>
      </w:pPr>
    </w:p>
    <w:p>
      <w:pPr>
        <w:pStyle w:val="16"/>
        <w:tabs>
          <w:tab w:val="left" w:pos="5580"/>
        </w:tabs>
        <w:spacing w:line="240" w:lineRule="atLeast"/>
        <w:rPr>
          <w:rFonts w:hint="eastAsia" w:ascii="微软雅黑" w:hAnsi="微软雅黑" w:eastAsia="微软雅黑" w:cs="微软雅黑"/>
          <w:color w:val="auto"/>
        </w:rPr>
      </w:pPr>
    </w:p>
    <w:p>
      <w:pPr>
        <w:tabs>
          <w:tab w:val="left" w:pos="5580"/>
        </w:tabs>
        <w:spacing w:line="400" w:lineRule="atLeast"/>
        <w:ind w:firstLine="480" w:firstLineChars="200"/>
        <w:outlineLvl w:val="1"/>
        <w:rPr>
          <w:rFonts w:hint="eastAsia" w:ascii="微软雅黑" w:hAnsi="微软雅黑" w:eastAsia="微软雅黑" w:cs="微软雅黑"/>
          <w:b/>
          <w:bCs/>
          <w:color w:val="auto"/>
          <w:kern w:val="0"/>
          <w:sz w:val="24"/>
          <w:szCs w:val="24"/>
          <w:lang w:eastAsia="zh-CN"/>
        </w:rPr>
      </w:pPr>
      <w:bookmarkStart w:id="634" w:name="_Toc286"/>
      <w:bookmarkStart w:id="635" w:name="_Toc21894"/>
      <w:bookmarkStart w:id="636" w:name="_Toc515647811"/>
      <w:bookmarkStart w:id="637" w:name="_Toc24428"/>
      <w:bookmarkStart w:id="638" w:name="_Toc32670"/>
      <w:r>
        <w:rPr>
          <w:rFonts w:hint="eastAsia" w:ascii="微软雅黑" w:hAnsi="微软雅黑" w:eastAsia="微软雅黑" w:cs="微软雅黑"/>
          <w:b/>
          <w:bCs/>
          <w:color w:val="auto"/>
          <w:kern w:val="0"/>
          <w:sz w:val="24"/>
          <w:szCs w:val="24"/>
          <w:lang w:val="en-US" w:eastAsia="zh-CN"/>
        </w:rPr>
        <w:t>6</w:t>
      </w:r>
      <w:r>
        <w:rPr>
          <w:rFonts w:hint="eastAsia" w:ascii="微软雅黑" w:hAnsi="微软雅黑" w:eastAsia="微软雅黑" w:cs="微软雅黑"/>
          <w:b/>
          <w:bCs/>
          <w:color w:val="auto"/>
          <w:kern w:val="0"/>
          <w:sz w:val="24"/>
          <w:szCs w:val="24"/>
        </w:rPr>
        <w:t xml:space="preserve"> </w:t>
      </w:r>
      <w:r>
        <w:rPr>
          <w:rFonts w:hint="eastAsia" w:ascii="微软雅黑" w:hAnsi="微软雅黑" w:eastAsia="微软雅黑" w:cs="微软雅黑"/>
          <w:b/>
          <w:bCs/>
          <w:color w:val="auto"/>
          <w:kern w:val="0"/>
          <w:sz w:val="24"/>
          <w:szCs w:val="24"/>
          <w:lang w:eastAsia="zh-CN"/>
        </w:rPr>
        <w:t xml:space="preserve"> 提供本单位依法缴纳近三个月（</w:t>
      </w:r>
      <w:r>
        <w:rPr>
          <w:rFonts w:hint="eastAsia" w:ascii="微软雅黑" w:hAnsi="微软雅黑" w:eastAsia="微软雅黑" w:cs="微软雅黑"/>
          <w:b/>
          <w:bCs/>
          <w:color w:val="auto"/>
          <w:kern w:val="0"/>
          <w:sz w:val="24"/>
          <w:szCs w:val="24"/>
          <w:lang w:val="en-US" w:eastAsia="zh-CN"/>
        </w:rPr>
        <w:t>7月至9月</w:t>
      </w:r>
      <w:r>
        <w:rPr>
          <w:rFonts w:hint="eastAsia" w:ascii="微软雅黑" w:hAnsi="微软雅黑" w:eastAsia="微软雅黑" w:cs="微软雅黑"/>
          <w:b/>
          <w:bCs/>
          <w:color w:val="auto"/>
          <w:kern w:val="0"/>
          <w:sz w:val="24"/>
          <w:szCs w:val="24"/>
          <w:lang w:eastAsia="zh-CN"/>
        </w:rPr>
        <w:t>）的社保证明；</w:t>
      </w:r>
      <w:bookmarkEnd w:id="634"/>
      <w:bookmarkEnd w:id="635"/>
    </w:p>
    <w:p>
      <w:pPr>
        <w:pStyle w:val="12"/>
        <w:snapToGrid w:val="0"/>
        <w:ind w:firstLine="480"/>
        <w:textAlignment w:val="baseline"/>
        <w:outlineLvl w:val="9"/>
        <w:rPr>
          <w:rFonts w:hint="eastAsia" w:ascii="微软雅黑" w:hAnsi="微软雅黑" w:eastAsia="微软雅黑" w:cs="微软雅黑"/>
          <w:b w:val="0"/>
          <w:bCs/>
          <w:color w:val="auto"/>
          <w:kern w:val="0"/>
          <w:lang w:val="en-US" w:eastAsia="zh-CN"/>
        </w:rPr>
      </w:pPr>
      <w:r>
        <w:rPr>
          <w:rFonts w:hint="eastAsia" w:ascii="微软雅黑" w:hAnsi="微软雅黑" w:eastAsia="微软雅黑" w:cs="微软雅黑"/>
          <w:b w:val="0"/>
          <w:bCs/>
          <w:color w:val="auto"/>
          <w:kern w:val="0"/>
          <w:lang w:val="en-US" w:eastAsia="zh-CN"/>
        </w:rPr>
        <w:t>说明：社保证明可含：社保缴费凭证或社保缴费证明或社保缴费汇总单或依法缴纳社保的完税证明。</w:t>
      </w:r>
    </w:p>
    <w:p>
      <w:pPr>
        <w:rPr>
          <w:rFonts w:hint="eastAsia" w:ascii="微软雅黑" w:hAnsi="微软雅黑" w:eastAsia="微软雅黑" w:cs="微软雅黑"/>
          <w:color w:val="auto"/>
        </w:rPr>
      </w:pPr>
    </w:p>
    <w:p>
      <w:pPr>
        <w:tabs>
          <w:tab w:val="left" w:pos="5580"/>
        </w:tabs>
        <w:spacing w:line="400" w:lineRule="atLeast"/>
        <w:ind w:firstLine="480" w:firstLineChars="200"/>
        <w:outlineLvl w:val="1"/>
        <w:rPr>
          <w:rFonts w:hint="eastAsia" w:ascii="微软雅黑" w:hAnsi="微软雅黑" w:eastAsia="微软雅黑" w:cs="微软雅黑"/>
          <w:b/>
          <w:bCs/>
          <w:color w:val="auto"/>
          <w:kern w:val="0"/>
          <w:sz w:val="24"/>
          <w:szCs w:val="24"/>
        </w:rPr>
      </w:pPr>
      <w:bookmarkStart w:id="639" w:name="_Toc30499"/>
      <w:bookmarkStart w:id="640" w:name="_Toc7218"/>
      <w:r>
        <w:rPr>
          <w:rFonts w:hint="eastAsia" w:ascii="微软雅黑" w:hAnsi="微软雅黑" w:eastAsia="微软雅黑" w:cs="微软雅黑"/>
          <w:b/>
          <w:bCs/>
          <w:color w:val="auto"/>
          <w:kern w:val="0"/>
          <w:sz w:val="24"/>
          <w:szCs w:val="24"/>
          <w:lang w:val="en-US" w:eastAsia="zh-CN"/>
        </w:rPr>
        <w:t>7</w:t>
      </w:r>
      <w:r>
        <w:rPr>
          <w:rFonts w:hint="eastAsia" w:ascii="微软雅黑" w:hAnsi="微软雅黑" w:eastAsia="微软雅黑" w:cs="微软雅黑"/>
          <w:b/>
          <w:bCs/>
          <w:color w:val="auto"/>
          <w:kern w:val="0"/>
          <w:sz w:val="24"/>
          <w:szCs w:val="24"/>
        </w:rPr>
        <w:t xml:space="preserve">  </w:t>
      </w:r>
      <w:r>
        <w:rPr>
          <w:rFonts w:hint="eastAsia" w:ascii="微软雅黑" w:hAnsi="微软雅黑" w:eastAsia="微软雅黑" w:cs="微软雅黑"/>
          <w:b/>
          <w:bCs/>
          <w:color w:val="auto"/>
          <w:kern w:val="0"/>
          <w:sz w:val="24"/>
          <w:szCs w:val="24"/>
          <w:lang w:eastAsia="zh-CN"/>
        </w:rPr>
        <w:t>提供税务部门出具近三个月（</w:t>
      </w:r>
      <w:r>
        <w:rPr>
          <w:rFonts w:hint="eastAsia" w:ascii="微软雅黑" w:hAnsi="微软雅黑" w:eastAsia="微软雅黑" w:cs="微软雅黑"/>
          <w:b/>
          <w:bCs/>
          <w:color w:val="auto"/>
          <w:kern w:val="0"/>
          <w:sz w:val="24"/>
          <w:szCs w:val="24"/>
          <w:lang w:val="en-US" w:eastAsia="zh-CN"/>
        </w:rPr>
        <w:t>6</w:t>
      </w:r>
      <w:r>
        <w:rPr>
          <w:rFonts w:hint="eastAsia" w:ascii="微软雅黑" w:hAnsi="微软雅黑" w:eastAsia="微软雅黑" w:cs="微软雅黑"/>
          <w:b/>
          <w:bCs/>
          <w:color w:val="auto"/>
          <w:kern w:val="0"/>
          <w:sz w:val="24"/>
          <w:szCs w:val="24"/>
          <w:lang w:eastAsia="zh-CN"/>
        </w:rPr>
        <w:t>月至</w:t>
      </w:r>
      <w:r>
        <w:rPr>
          <w:rFonts w:hint="eastAsia" w:ascii="微软雅黑" w:hAnsi="微软雅黑" w:eastAsia="微软雅黑" w:cs="微软雅黑"/>
          <w:b/>
          <w:bCs/>
          <w:color w:val="auto"/>
          <w:kern w:val="0"/>
          <w:sz w:val="24"/>
          <w:szCs w:val="24"/>
          <w:lang w:val="en-US" w:eastAsia="zh-CN"/>
        </w:rPr>
        <w:t>8</w:t>
      </w:r>
      <w:r>
        <w:rPr>
          <w:rFonts w:hint="eastAsia" w:ascii="微软雅黑" w:hAnsi="微软雅黑" w:eastAsia="微软雅黑" w:cs="微软雅黑"/>
          <w:b/>
          <w:bCs/>
          <w:color w:val="auto"/>
          <w:kern w:val="0"/>
          <w:sz w:val="24"/>
          <w:szCs w:val="24"/>
          <w:lang w:eastAsia="zh-CN"/>
        </w:rPr>
        <w:t>月）的完税证明（依法免缴的应提供依法免缴的相关证明文件或零申报报表）</w:t>
      </w:r>
      <w:r>
        <w:rPr>
          <w:rFonts w:hint="eastAsia" w:ascii="微软雅黑" w:hAnsi="微软雅黑" w:eastAsia="微软雅黑" w:cs="微软雅黑"/>
          <w:b/>
          <w:bCs/>
          <w:color w:val="auto"/>
          <w:kern w:val="0"/>
          <w:sz w:val="24"/>
          <w:szCs w:val="24"/>
        </w:rPr>
        <w:t>；</w:t>
      </w:r>
      <w:bookmarkEnd w:id="639"/>
      <w:bookmarkEnd w:id="640"/>
    </w:p>
    <w:p>
      <w:pPr>
        <w:pStyle w:val="16"/>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p>
    <w:p>
      <w:pPr>
        <w:pStyle w:val="16"/>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说明：1、新成立公司若无纳税记录，可开具无欠税证明或零申报报表。</w:t>
      </w:r>
    </w:p>
    <w:p>
      <w:pPr>
        <w:pStyle w:val="16"/>
        <w:numPr>
          <w:ilvl w:val="0"/>
          <w:numId w:val="0"/>
        </w:numPr>
        <w:tabs>
          <w:tab w:val="left" w:pos="5580"/>
        </w:tabs>
        <w:snapToGrid w:val="0"/>
        <w:spacing w:line="240" w:lineRule="atLeast"/>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2、完税证明中“税种”非养老保险、医疗保险、失业保险、工伤保险和生育保险。</w:t>
      </w:r>
    </w:p>
    <w:p>
      <w:pPr>
        <w:rPr>
          <w:rFonts w:hint="eastAsia" w:ascii="微软雅黑" w:hAnsi="微软雅黑" w:eastAsia="微软雅黑" w:cs="微软雅黑"/>
          <w:color w:val="auto"/>
        </w:rPr>
      </w:pPr>
    </w:p>
    <w:p>
      <w:pPr>
        <w:pStyle w:val="12"/>
        <w:spacing w:line="400" w:lineRule="exact"/>
        <w:ind w:firstLine="482"/>
        <w:outlineLvl w:val="1"/>
        <w:rPr>
          <w:rFonts w:hint="eastAsia" w:ascii="微软雅黑" w:hAnsi="微软雅黑" w:eastAsia="微软雅黑" w:cs="微软雅黑"/>
          <w:color w:val="auto"/>
        </w:rPr>
      </w:pPr>
      <w:bookmarkStart w:id="641" w:name="_Toc7678"/>
      <w:bookmarkStart w:id="642" w:name="_Toc7421"/>
      <w:r>
        <w:rPr>
          <w:rFonts w:hint="eastAsia" w:ascii="微软雅黑" w:hAnsi="微软雅黑" w:eastAsia="微软雅黑" w:cs="微软雅黑"/>
          <w:b/>
          <w:bCs/>
          <w:color w:val="auto"/>
          <w:kern w:val="0"/>
          <w:lang w:val="en-US" w:eastAsia="zh-CN"/>
        </w:rPr>
        <w:t>8</w:t>
      </w:r>
      <w:r>
        <w:rPr>
          <w:rFonts w:hint="eastAsia" w:ascii="微软雅黑" w:hAnsi="微软雅黑" w:eastAsia="微软雅黑" w:cs="微软雅黑"/>
          <w:b/>
          <w:bCs/>
          <w:color w:val="auto"/>
          <w:kern w:val="0"/>
        </w:rPr>
        <w:t xml:space="preserve">  提供202</w:t>
      </w:r>
      <w:r>
        <w:rPr>
          <w:rFonts w:hint="eastAsia" w:ascii="微软雅黑" w:hAnsi="微软雅黑" w:eastAsia="微软雅黑" w:cs="微软雅黑"/>
          <w:b/>
          <w:bCs/>
          <w:color w:val="auto"/>
          <w:kern w:val="0"/>
          <w:lang w:val="en-US" w:eastAsia="zh-CN"/>
        </w:rPr>
        <w:t>1</w:t>
      </w:r>
      <w:r>
        <w:rPr>
          <w:rFonts w:hint="eastAsia" w:ascii="微软雅黑" w:hAnsi="微软雅黑" w:eastAsia="微软雅黑" w:cs="微软雅黑"/>
          <w:b/>
          <w:bCs/>
          <w:color w:val="auto"/>
          <w:kern w:val="0"/>
        </w:rPr>
        <w:t>年的财务审计报告</w:t>
      </w:r>
      <w:r>
        <w:rPr>
          <w:rFonts w:hint="eastAsia" w:ascii="微软雅黑" w:hAnsi="微软雅黑" w:eastAsia="微软雅黑" w:cs="微软雅黑"/>
          <w:b/>
          <w:bCs/>
          <w:color w:val="auto"/>
          <w:kern w:val="0"/>
          <w:lang w:val="en-US" w:eastAsia="zh-CN"/>
        </w:rPr>
        <w:t>2022年</w:t>
      </w:r>
      <w:r>
        <w:rPr>
          <w:rFonts w:hint="eastAsia" w:ascii="微软雅黑" w:hAnsi="微软雅黑" w:eastAsia="微软雅黑" w:cs="微软雅黑"/>
          <w:b/>
          <w:bCs/>
          <w:color w:val="auto"/>
          <w:kern w:val="0"/>
        </w:rPr>
        <w:t>新成立公司需提供</w:t>
      </w:r>
      <w:r>
        <w:rPr>
          <w:rFonts w:hint="eastAsia" w:ascii="微软雅黑" w:hAnsi="微软雅黑" w:eastAsia="微软雅黑" w:cs="微软雅黑"/>
          <w:b/>
          <w:bCs/>
          <w:color w:val="auto"/>
          <w:kern w:val="0"/>
          <w:lang w:val="en-US" w:eastAsia="zh-CN"/>
        </w:rPr>
        <w:t>近三个月（7月至9月）内的</w:t>
      </w:r>
      <w:r>
        <w:rPr>
          <w:rFonts w:hint="eastAsia" w:ascii="微软雅黑" w:hAnsi="微软雅黑" w:eastAsia="微软雅黑" w:cs="微软雅黑"/>
          <w:b/>
          <w:bCs/>
          <w:color w:val="auto"/>
          <w:kern w:val="0"/>
        </w:rPr>
        <w:t>银行资信证明）；</w:t>
      </w:r>
      <w:bookmarkEnd w:id="641"/>
      <w:bookmarkEnd w:id="642"/>
    </w:p>
    <w:p>
      <w:pPr>
        <w:tabs>
          <w:tab w:val="left" w:pos="5580"/>
        </w:tabs>
        <w:spacing w:line="240" w:lineRule="atLeast"/>
        <w:ind w:left="1080" w:leftChars="257" w:hanging="540"/>
        <w:rPr>
          <w:rFonts w:hint="eastAsia" w:ascii="微软雅黑" w:hAnsi="微软雅黑" w:eastAsia="微软雅黑" w:cs="微软雅黑"/>
          <w:b w:val="0"/>
          <w:bCs/>
          <w:color w:val="auto"/>
          <w:kern w:val="0"/>
          <w:sz w:val="24"/>
          <w:szCs w:val="20"/>
          <w:lang w:val="en-US" w:eastAsia="zh-CN" w:bidi="ar-SA"/>
        </w:rPr>
      </w:pPr>
      <w:r>
        <w:rPr>
          <w:rFonts w:hint="eastAsia" w:ascii="微软雅黑" w:hAnsi="微软雅黑" w:eastAsia="微软雅黑" w:cs="微软雅黑"/>
          <w:b w:val="0"/>
          <w:bCs/>
          <w:color w:val="auto"/>
          <w:kern w:val="0"/>
          <w:sz w:val="24"/>
          <w:szCs w:val="20"/>
          <w:lang w:val="en-US" w:eastAsia="zh-CN" w:bidi="ar-SA"/>
        </w:rPr>
        <w:t>说明：</w:t>
      </w:r>
    </w:p>
    <w:p>
      <w:pPr>
        <w:tabs>
          <w:tab w:val="left" w:pos="5580"/>
        </w:tabs>
        <w:spacing w:line="240" w:lineRule="atLeast"/>
        <w:ind w:left="540"/>
        <w:rPr>
          <w:rFonts w:hint="eastAsia" w:ascii="微软雅黑" w:hAnsi="微软雅黑" w:eastAsia="微软雅黑" w:cs="微软雅黑"/>
          <w:b w:val="0"/>
          <w:bCs/>
          <w:color w:val="auto"/>
          <w:kern w:val="0"/>
          <w:sz w:val="24"/>
          <w:szCs w:val="20"/>
          <w:lang w:val="en-US" w:eastAsia="zh-CN" w:bidi="ar-SA"/>
        </w:rPr>
      </w:pPr>
      <w:r>
        <w:rPr>
          <w:rFonts w:hint="eastAsia" w:ascii="微软雅黑" w:hAnsi="微软雅黑" w:eastAsia="微软雅黑" w:cs="微软雅黑"/>
          <w:b w:val="0"/>
          <w:bCs/>
          <w:color w:val="auto"/>
          <w:kern w:val="0"/>
          <w:sz w:val="24"/>
          <w:szCs w:val="20"/>
          <w:lang w:val="en-US" w:eastAsia="zh-CN" w:bidi="ar-SA"/>
        </w:rPr>
        <w:t>1、如提供本单位上年度经会计师事务所出具的完整审计报告复印件须加盖本单位章。</w:t>
      </w:r>
    </w:p>
    <w:p>
      <w:pPr>
        <w:tabs>
          <w:tab w:val="left" w:pos="5580"/>
        </w:tabs>
        <w:spacing w:line="240" w:lineRule="atLeast"/>
        <w:ind w:left="540"/>
        <w:rPr>
          <w:rFonts w:hint="eastAsia" w:ascii="微软雅黑" w:hAnsi="微软雅黑" w:eastAsia="微软雅黑" w:cs="微软雅黑"/>
          <w:b w:val="0"/>
          <w:bCs/>
          <w:color w:val="auto"/>
          <w:kern w:val="0"/>
          <w:sz w:val="24"/>
          <w:szCs w:val="20"/>
          <w:lang w:val="en-US" w:eastAsia="zh-CN" w:bidi="ar-SA"/>
        </w:rPr>
      </w:pPr>
      <w:r>
        <w:rPr>
          <w:rFonts w:hint="eastAsia" w:ascii="微软雅黑" w:hAnsi="微软雅黑" w:eastAsia="微软雅黑" w:cs="微软雅黑"/>
          <w:b w:val="0"/>
          <w:bCs/>
          <w:color w:val="auto"/>
          <w:kern w:val="0"/>
          <w:sz w:val="24"/>
          <w:szCs w:val="20"/>
          <w:lang w:val="en-US" w:eastAsia="zh-CN" w:bidi="ar-SA"/>
        </w:rPr>
        <w:t>2、如提供银行出具的证明文件。银行证明文件可提供原件，也可提供银行在开标日前三个月内开具证明文件的复印件。若提供的是复印件，保留审核原件的权利。银行出具的证明文件应能说明该投标人与银行之间业务往来正常，企业信誉良好等。</w:t>
      </w:r>
    </w:p>
    <w:p>
      <w:pPr>
        <w:pStyle w:val="2"/>
        <w:rPr>
          <w:rFonts w:hint="eastAsia" w:ascii="微软雅黑" w:hAnsi="微软雅黑" w:eastAsia="微软雅黑" w:cs="微软雅黑"/>
          <w:color w:val="auto"/>
        </w:rPr>
      </w:pPr>
      <w:r>
        <w:rPr>
          <w:rFonts w:hint="eastAsia" w:ascii="微软雅黑" w:hAnsi="微软雅黑" w:eastAsia="微软雅黑" w:cs="微软雅黑"/>
          <w:b w:val="0"/>
          <w:bCs/>
          <w:color w:val="auto"/>
          <w:kern w:val="0"/>
          <w:sz w:val="24"/>
          <w:szCs w:val="20"/>
          <w:lang w:val="en-US" w:eastAsia="zh-CN" w:bidi="ar-SA"/>
        </w:rPr>
        <w:t>3、如果是联合体投标，联合体各方均需提供上述证明。</w:t>
      </w:r>
    </w:p>
    <w:p>
      <w:pPr>
        <w:pStyle w:val="2"/>
        <w:rPr>
          <w:rFonts w:hint="eastAsia" w:ascii="微软雅黑" w:hAnsi="微软雅黑" w:eastAsia="微软雅黑" w:cs="微软雅黑"/>
          <w:color w:val="auto"/>
          <w:sz w:val="21"/>
          <w:szCs w:val="21"/>
        </w:rPr>
      </w:pPr>
    </w:p>
    <w:p>
      <w:pPr>
        <w:pStyle w:val="12"/>
        <w:spacing w:line="400" w:lineRule="exact"/>
        <w:ind w:firstLine="482"/>
        <w:outlineLvl w:val="1"/>
        <w:rPr>
          <w:rFonts w:hint="eastAsia" w:ascii="微软雅黑" w:hAnsi="微软雅黑" w:eastAsia="微软雅黑" w:cs="微软雅黑"/>
          <w:color w:val="auto"/>
        </w:rPr>
      </w:pPr>
      <w:bookmarkStart w:id="643" w:name="_Toc19337"/>
      <w:bookmarkStart w:id="644" w:name="_Toc238"/>
      <w:r>
        <w:rPr>
          <w:rFonts w:hint="eastAsia" w:ascii="微软雅黑" w:hAnsi="微软雅黑" w:eastAsia="微软雅黑" w:cs="微软雅黑"/>
          <w:b/>
          <w:bCs/>
          <w:color w:val="auto"/>
          <w:lang w:val="en-US" w:eastAsia="zh-CN"/>
        </w:rPr>
        <w:t>9</w:t>
      </w:r>
      <w:r>
        <w:rPr>
          <w:rFonts w:hint="eastAsia" w:ascii="微软雅黑" w:hAnsi="微软雅黑" w:eastAsia="微软雅黑" w:cs="微软雅黑"/>
          <w:b/>
          <w:bCs/>
          <w:color w:val="auto"/>
        </w:rPr>
        <w:t xml:space="preserve">  参加政府采购活动前3年内在经营活动中没有重大违法记录的书面声明</w:t>
      </w:r>
      <w:r>
        <w:rPr>
          <w:rFonts w:hint="eastAsia" w:ascii="微软雅黑" w:hAnsi="微软雅黑" w:eastAsia="微软雅黑" w:cs="微软雅黑"/>
          <w:b/>
          <w:bCs/>
          <w:color w:val="auto"/>
          <w:kern w:val="0"/>
        </w:rPr>
        <w:t>；</w:t>
      </w:r>
      <w:bookmarkEnd w:id="643"/>
      <w:bookmarkEnd w:id="644"/>
    </w:p>
    <w:p>
      <w:pPr>
        <w:pStyle w:val="2"/>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pPr>
        <w:rPr>
          <w:rFonts w:hint="eastAsia" w:ascii="微软雅黑" w:hAnsi="微软雅黑" w:eastAsia="微软雅黑" w:cs="微软雅黑"/>
          <w:color w:val="auto"/>
        </w:rPr>
      </w:pPr>
    </w:p>
    <w:p>
      <w:pPr>
        <w:pStyle w:val="2"/>
        <w:ind w:firstLine="480" w:firstLineChars="200"/>
        <w:outlineLvl w:val="1"/>
        <w:rPr>
          <w:rFonts w:hint="eastAsia" w:ascii="微软雅黑" w:hAnsi="微软雅黑" w:eastAsia="微软雅黑" w:cs="微软雅黑"/>
          <w:b/>
          <w:bCs/>
          <w:color w:val="auto"/>
        </w:rPr>
      </w:pPr>
      <w:bookmarkStart w:id="645" w:name="_Toc24329"/>
      <w:bookmarkStart w:id="646" w:name="_Toc15061"/>
      <w:r>
        <w:rPr>
          <w:rFonts w:hint="eastAsia" w:ascii="微软雅黑" w:hAnsi="微软雅黑" w:eastAsia="微软雅黑" w:cs="微软雅黑"/>
          <w:b/>
          <w:bCs/>
          <w:color w:val="auto"/>
          <w:lang w:val="en-US" w:eastAsia="zh-CN"/>
        </w:rPr>
        <w:t>10</w:t>
      </w:r>
      <w:r>
        <w:rPr>
          <w:rFonts w:hint="eastAsia" w:ascii="微软雅黑" w:hAnsi="微软雅黑" w:eastAsia="微软雅黑" w:cs="微软雅黑"/>
          <w:b/>
          <w:bCs/>
          <w:color w:val="auto"/>
        </w:rPr>
        <w:t xml:space="preserve">  </w:t>
      </w:r>
      <w:r>
        <w:rPr>
          <w:rFonts w:hint="eastAsia" w:ascii="微软雅黑" w:hAnsi="微软雅黑" w:eastAsia="微软雅黑" w:cs="微软雅黑"/>
          <w:b/>
          <w:bCs/>
          <w:color w:val="auto"/>
          <w:kern w:val="2"/>
          <w:sz w:val="24"/>
          <w:szCs w:val="24"/>
          <w:lang w:val="en-US" w:eastAsia="zh-CN" w:bidi="ar-SA"/>
        </w:rPr>
        <w:t>提供针对本次项目的反商业贿赂承诺书</w:t>
      </w:r>
      <w:r>
        <w:rPr>
          <w:rFonts w:hint="eastAsia" w:ascii="微软雅黑" w:hAnsi="微软雅黑" w:eastAsia="微软雅黑" w:cs="微软雅黑"/>
          <w:b/>
          <w:bCs/>
          <w:color w:val="auto"/>
        </w:rPr>
        <w:t>；</w:t>
      </w:r>
      <w:bookmarkEnd w:id="645"/>
      <w:bookmarkEnd w:id="646"/>
    </w:p>
    <w:p>
      <w:pPr>
        <w:pStyle w:val="2"/>
        <w:ind w:left="0" w:leftChars="0" w:firstLine="0" w:firstLineChars="0"/>
        <w:rPr>
          <w:rFonts w:hint="eastAsia" w:ascii="微软雅黑" w:hAnsi="微软雅黑" w:eastAsia="微软雅黑" w:cs="微软雅黑"/>
          <w:b/>
          <w:bCs/>
          <w:color w:val="auto"/>
          <w:sz w:val="21"/>
          <w:szCs w:val="21"/>
        </w:rPr>
      </w:pPr>
    </w:p>
    <w:p>
      <w:pPr>
        <w:rPr>
          <w:rFonts w:hint="eastAsia" w:ascii="微软雅黑" w:hAnsi="微软雅黑" w:eastAsia="微软雅黑" w:cs="微软雅黑"/>
          <w:color w:val="auto"/>
        </w:rPr>
      </w:pPr>
    </w:p>
    <w:p>
      <w:pPr>
        <w:pStyle w:val="2"/>
        <w:outlineLvl w:val="1"/>
        <w:rPr>
          <w:rFonts w:hint="eastAsia" w:ascii="微软雅黑" w:hAnsi="微软雅黑" w:eastAsia="微软雅黑" w:cs="微软雅黑"/>
          <w:b/>
          <w:bCs/>
          <w:color w:val="auto"/>
        </w:rPr>
      </w:pPr>
      <w:bookmarkStart w:id="647" w:name="_Toc23290"/>
      <w:bookmarkStart w:id="648" w:name="_Toc2252"/>
      <w:r>
        <w:rPr>
          <w:rFonts w:hint="eastAsia" w:ascii="微软雅黑" w:hAnsi="微软雅黑" w:eastAsia="微软雅黑" w:cs="微软雅黑"/>
          <w:b/>
          <w:bCs/>
          <w:color w:val="auto"/>
        </w:rPr>
        <w:t xml:space="preserve">11 </w:t>
      </w:r>
      <w:r>
        <w:rPr>
          <w:rFonts w:hint="eastAsia" w:ascii="微软雅黑" w:hAnsi="微软雅黑" w:eastAsia="微软雅黑" w:cs="微软雅黑"/>
          <w:b/>
          <w:bCs/>
          <w:color w:val="auto"/>
          <w:lang w:val="en-US" w:eastAsia="zh-CN"/>
        </w:rPr>
        <w:t xml:space="preserve"> 投标保证金有效凭证</w:t>
      </w:r>
      <w:r>
        <w:rPr>
          <w:rFonts w:hint="eastAsia" w:ascii="微软雅黑" w:hAnsi="微软雅黑" w:eastAsia="微软雅黑" w:cs="微软雅黑"/>
          <w:b/>
          <w:bCs/>
          <w:color w:val="auto"/>
        </w:rPr>
        <w:t>；</w:t>
      </w:r>
      <w:bookmarkEnd w:id="647"/>
      <w:bookmarkEnd w:id="648"/>
    </w:p>
    <w:p>
      <w:pPr>
        <w:tabs>
          <w:tab w:val="left" w:pos="5580"/>
        </w:tabs>
        <w:spacing w:line="400" w:lineRule="atLeast"/>
        <w:ind w:left="420" w:leftChars="200"/>
        <w:rPr>
          <w:rFonts w:hint="eastAsia" w:ascii="微软雅黑" w:hAnsi="微软雅黑" w:eastAsia="微软雅黑" w:cs="微软雅黑"/>
          <w:b/>
          <w:bCs/>
          <w:color w:val="auto"/>
          <w:kern w:val="0"/>
        </w:rPr>
      </w:pPr>
    </w:p>
    <w:p>
      <w:pPr>
        <w:pStyle w:val="2"/>
        <w:ind w:firstLine="0"/>
        <w:rPr>
          <w:rFonts w:hint="eastAsia" w:ascii="微软雅黑" w:hAnsi="微软雅黑" w:eastAsia="微软雅黑" w:cs="微软雅黑"/>
          <w:b/>
          <w:bCs/>
          <w:color w:val="auto"/>
          <w:sz w:val="21"/>
          <w:szCs w:val="21"/>
        </w:rPr>
      </w:pPr>
    </w:p>
    <w:p>
      <w:pPr>
        <w:tabs>
          <w:tab w:val="left" w:pos="5580"/>
        </w:tabs>
        <w:spacing w:line="400" w:lineRule="atLeast"/>
        <w:ind w:firstLine="480" w:firstLineChars="200"/>
        <w:outlineLvl w:val="1"/>
        <w:rPr>
          <w:rFonts w:hint="eastAsia" w:ascii="微软雅黑" w:hAnsi="微软雅黑" w:eastAsia="微软雅黑" w:cs="微软雅黑"/>
          <w:b/>
          <w:bCs/>
          <w:color w:val="auto"/>
          <w:kern w:val="0"/>
          <w:sz w:val="24"/>
          <w:szCs w:val="24"/>
          <w:lang w:eastAsia="zh-CN"/>
        </w:rPr>
      </w:pPr>
      <w:bookmarkStart w:id="649" w:name="_Toc14039"/>
      <w:bookmarkStart w:id="650" w:name="_Toc22958"/>
      <w:bookmarkStart w:id="651" w:name="_Toc28906"/>
      <w:bookmarkStart w:id="652" w:name="_Toc26152"/>
      <w:bookmarkStart w:id="653" w:name="_Toc3829"/>
      <w:r>
        <w:rPr>
          <w:rFonts w:hint="eastAsia" w:ascii="微软雅黑" w:hAnsi="微软雅黑" w:eastAsia="微软雅黑" w:cs="微软雅黑"/>
          <w:b/>
          <w:bCs/>
          <w:color w:val="auto"/>
          <w:kern w:val="0"/>
          <w:sz w:val="24"/>
          <w:szCs w:val="24"/>
        </w:rPr>
        <w:t>12  供应商可提供有利于投标的其他资格证明材料</w:t>
      </w:r>
      <w:bookmarkEnd w:id="649"/>
      <w:r>
        <w:rPr>
          <w:rFonts w:hint="eastAsia" w:ascii="微软雅黑" w:hAnsi="微软雅黑" w:eastAsia="微软雅黑" w:cs="微软雅黑"/>
          <w:b/>
          <w:bCs/>
          <w:color w:val="auto"/>
          <w:kern w:val="0"/>
          <w:sz w:val="24"/>
          <w:szCs w:val="24"/>
          <w:lang w:eastAsia="zh-CN"/>
        </w:rPr>
        <w:t>。</w:t>
      </w:r>
      <w:bookmarkEnd w:id="650"/>
    </w:p>
    <w:p>
      <w:pPr>
        <w:pStyle w:val="2"/>
        <w:rPr>
          <w:rFonts w:hint="eastAsia" w:ascii="微软雅黑" w:hAnsi="微软雅黑" w:eastAsia="微软雅黑" w:cs="微软雅黑"/>
          <w:b/>
          <w:bCs/>
          <w:color w:val="auto"/>
        </w:rPr>
      </w:pPr>
    </w:p>
    <w:bookmarkEnd w:id="651"/>
    <w:bookmarkEnd w:id="652"/>
    <w:bookmarkEnd w:id="653"/>
    <w:p>
      <w:pPr>
        <w:pStyle w:val="21"/>
        <w:rPr>
          <w:rFonts w:hint="eastAsia" w:ascii="微软雅黑" w:hAnsi="微软雅黑" w:eastAsia="微软雅黑" w:cs="微软雅黑"/>
          <w:color w:val="auto"/>
        </w:rPr>
      </w:pPr>
    </w:p>
    <w:bookmarkEnd w:id="636"/>
    <w:bookmarkEnd w:id="637"/>
    <w:bookmarkEnd w:id="638"/>
    <w:p>
      <w:pPr>
        <w:pStyle w:val="2"/>
        <w:ind w:firstLine="0"/>
        <w:rPr>
          <w:rFonts w:hint="eastAsia" w:ascii="微软雅黑" w:hAnsi="微软雅黑" w:eastAsia="微软雅黑" w:cs="微软雅黑"/>
          <w:color w:val="auto"/>
        </w:rPr>
      </w:pPr>
      <w:bookmarkStart w:id="654" w:name="_Toc11180"/>
      <w:bookmarkStart w:id="655" w:name="_Toc22967"/>
      <w:bookmarkStart w:id="656" w:name="_Toc30653"/>
      <w:bookmarkStart w:id="657" w:name="_Toc515647816"/>
    </w:p>
    <w:p>
      <w:pPr>
        <w:pStyle w:val="4"/>
        <w:numPr>
          <w:ilvl w:val="0"/>
          <w:numId w:val="6"/>
        </w:numPr>
        <w:spacing w:before="0" w:line="240" w:lineRule="atLeast"/>
        <w:ind w:left="1080" w:leftChars="257" w:hanging="540"/>
        <w:rPr>
          <w:rFonts w:hint="eastAsia" w:ascii="微软雅黑" w:hAnsi="微软雅黑" w:eastAsia="微软雅黑" w:cs="微软雅黑"/>
          <w:color w:val="auto"/>
          <w:kern w:val="2"/>
          <w:sz w:val="32"/>
          <w:szCs w:val="32"/>
        </w:rPr>
      </w:pPr>
      <w:r>
        <w:rPr>
          <w:rFonts w:hint="eastAsia" w:ascii="微软雅黑" w:hAnsi="微软雅黑" w:eastAsia="微软雅黑" w:cs="微软雅黑"/>
          <w:color w:val="auto"/>
          <w:kern w:val="2"/>
          <w:sz w:val="32"/>
          <w:szCs w:val="32"/>
        </w:rPr>
        <w:t xml:space="preserve"> </w:t>
      </w:r>
      <w:bookmarkStart w:id="658" w:name="_Toc19385"/>
      <w:r>
        <w:rPr>
          <w:rFonts w:hint="eastAsia" w:ascii="微软雅黑" w:hAnsi="微软雅黑" w:eastAsia="微软雅黑" w:cs="微软雅黑"/>
          <w:color w:val="auto"/>
          <w:kern w:val="2"/>
          <w:sz w:val="32"/>
          <w:szCs w:val="32"/>
        </w:rPr>
        <w:t>商务及技术文件</w:t>
      </w:r>
      <w:bookmarkEnd w:id="654"/>
      <w:bookmarkEnd w:id="655"/>
      <w:bookmarkEnd w:id="656"/>
      <w:bookmarkEnd w:id="657"/>
      <w:bookmarkEnd w:id="658"/>
    </w:p>
    <w:p>
      <w:pPr>
        <w:pStyle w:val="16"/>
        <w:spacing w:line="500" w:lineRule="exact"/>
        <w:ind w:left="1079" w:leftChars="257" w:hanging="539"/>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1</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投标书</w:t>
      </w:r>
    </w:p>
    <w:p>
      <w:pPr>
        <w:pStyle w:val="16"/>
        <w:spacing w:line="500" w:lineRule="exact"/>
        <w:ind w:left="1080" w:leftChars="257" w:hanging="54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2</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投标分项报价表</w:t>
      </w:r>
    </w:p>
    <w:p>
      <w:pPr>
        <w:pStyle w:val="16"/>
        <w:spacing w:line="500" w:lineRule="exact"/>
        <w:ind w:left="1080" w:leftChars="257" w:hanging="54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3</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货物说明一览表</w:t>
      </w:r>
    </w:p>
    <w:p>
      <w:pPr>
        <w:pStyle w:val="16"/>
        <w:spacing w:line="500" w:lineRule="exact"/>
        <w:ind w:left="1080" w:leftChars="257" w:hanging="54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4</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技术规格偏离表</w:t>
      </w:r>
    </w:p>
    <w:p>
      <w:pPr>
        <w:pStyle w:val="16"/>
        <w:spacing w:line="500" w:lineRule="exact"/>
        <w:ind w:left="1080" w:leftChars="257" w:hanging="54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5</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商务条款偏离表</w:t>
      </w:r>
    </w:p>
    <w:p>
      <w:pPr>
        <w:pStyle w:val="16"/>
        <w:spacing w:line="500" w:lineRule="exact"/>
        <w:ind w:left="311" w:leftChars="148" w:firstLine="228"/>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6-1中小企业声明函</w:t>
      </w:r>
    </w:p>
    <w:p>
      <w:pPr>
        <w:pStyle w:val="16"/>
        <w:spacing w:line="500" w:lineRule="exact"/>
        <w:ind w:left="311" w:leftChars="148" w:firstLine="228"/>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6-2残疾人福利性单位声明函</w:t>
      </w:r>
    </w:p>
    <w:p>
      <w:pPr>
        <w:pStyle w:val="16"/>
        <w:spacing w:line="500" w:lineRule="exact"/>
        <w:ind w:left="311" w:leftChars="148" w:firstLine="228"/>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7</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供应商关联单位的说明（格式自拟）</w:t>
      </w:r>
    </w:p>
    <w:p>
      <w:pPr>
        <w:pStyle w:val="16"/>
        <w:spacing w:line="500" w:lineRule="exact"/>
        <w:ind w:left="1080" w:leftChars="257" w:hanging="54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8</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供应商可提供有利于投标的其他资格证明材料</w:t>
      </w:r>
      <w:bookmarkStart w:id="659" w:name="_Toc2041"/>
      <w:bookmarkStart w:id="660" w:name="_Toc14915"/>
      <w:bookmarkStart w:id="661" w:name="_Toc515647817"/>
    </w:p>
    <w:p>
      <w:pPr>
        <w:pStyle w:val="16"/>
        <w:spacing w:line="500" w:lineRule="exact"/>
        <w:ind w:left="1080" w:leftChars="257" w:hanging="54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9</w:t>
      </w: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投标文件格式范本</w:t>
      </w:r>
    </w:p>
    <w:p>
      <w:pPr>
        <w:pStyle w:val="16"/>
        <w:tabs>
          <w:tab w:val="left" w:pos="5580"/>
        </w:tabs>
        <w:spacing w:line="240" w:lineRule="atLeast"/>
        <w:rPr>
          <w:rFonts w:hint="eastAsia" w:ascii="微软雅黑" w:hAnsi="微软雅黑" w:eastAsia="微软雅黑" w:cs="微软雅黑"/>
          <w:color w:val="auto"/>
          <w:sz w:val="24"/>
          <w:szCs w:val="24"/>
        </w:rPr>
      </w:pPr>
    </w:p>
    <w:p>
      <w:pPr>
        <w:spacing w:line="360" w:lineRule="auto"/>
        <w:rPr>
          <w:rFonts w:hint="eastAsia" w:ascii="微软雅黑" w:hAnsi="微软雅黑" w:eastAsia="微软雅黑" w:cs="微软雅黑"/>
          <w:b/>
          <w:bCs/>
          <w:color w:val="auto"/>
        </w:rPr>
      </w:pPr>
    </w:p>
    <w:p>
      <w:pPr>
        <w:pStyle w:val="2"/>
        <w:rPr>
          <w:rFonts w:hint="eastAsia" w:ascii="微软雅黑" w:hAnsi="微软雅黑" w:eastAsia="微软雅黑" w:cs="微软雅黑"/>
          <w:b/>
          <w:bCs/>
          <w:color w:val="auto"/>
        </w:rPr>
      </w:pPr>
    </w:p>
    <w:p>
      <w:pPr>
        <w:pStyle w:val="2"/>
        <w:rPr>
          <w:rFonts w:hint="eastAsia" w:ascii="微软雅黑" w:hAnsi="微软雅黑" w:eastAsia="微软雅黑" w:cs="微软雅黑"/>
          <w:b/>
          <w:bCs/>
          <w:color w:val="auto"/>
        </w:rPr>
      </w:pPr>
    </w:p>
    <w:p>
      <w:pPr>
        <w:pStyle w:val="2"/>
        <w:rPr>
          <w:rFonts w:hint="eastAsia" w:ascii="微软雅黑" w:hAnsi="微软雅黑" w:eastAsia="微软雅黑" w:cs="微软雅黑"/>
          <w:b/>
          <w:bCs/>
          <w:color w:val="auto"/>
        </w:rPr>
      </w:pPr>
    </w:p>
    <w:p>
      <w:pPr>
        <w:pStyle w:val="2"/>
        <w:rPr>
          <w:rFonts w:hint="eastAsia" w:ascii="微软雅黑" w:hAnsi="微软雅黑" w:eastAsia="微软雅黑" w:cs="微软雅黑"/>
          <w:b/>
          <w:bCs/>
          <w:color w:val="auto"/>
        </w:rPr>
      </w:pPr>
    </w:p>
    <w:p>
      <w:pPr>
        <w:pStyle w:val="2"/>
        <w:rPr>
          <w:rFonts w:hint="eastAsia" w:ascii="微软雅黑" w:hAnsi="微软雅黑" w:eastAsia="微软雅黑" w:cs="微软雅黑"/>
          <w:b/>
          <w:bCs/>
          <w:color w:val="auto"/>
        </w:rPr>
      </w:pPr>
    </w:p>
    <w:p>
      <w:pPr>
        <w:pStyle w:val="2"/>
        <w:rPr>
          <w:rFonts w:hint="eastAsia" w:ascii="微软雅黑" w:hAnsi="微软雅黑" w:eastAsia="微软雅黑" w:cs="微软雅黑"/>
          <w:b/>
          <w:bCs/>
          <w:color w:val="auto"/>
        </w:rPr>
      </w:pPr>
    </w:p>
    <w:p>
      <w:pPr>
        <w:spacing w:line="360" w:lineRule="auto"/>
        <w:rPr>
          <w:rFonts w:hint="eastAsia" w:ascii="微软雅黑" w:hAnsi="微软雅黑" w:eastAsia="微软雅黑" w:cs="微软雅黑"/>
          <w:color w:val="auto"/>
          <w:sz w:val="24"/>
          <w:szCs w:val="24"/>
        </w:rPr>
      </w:pPr>
    </w:p>
    <w:p>
      <w:pPr>
        <w:pStyle w:val="16"/>
        <w:tabs>
          <w:tab w:val="left" w:pos="5580"/>
        </w:tabs>
        <w:spacing w:line="240" w:lineRule="atLeast"/>
        <w:rPr>
          <w:rFonts w:hint="eastAsia" w:ascii="微软雅黑" w:hAnsi="微软雅黑" w:eastAsia="微软雅黑" w:cs="微软雅黑"/>
          <w:color w:val="auto"/>
        </w:rPr>
      </w:pPr>
    </w:p>
    <w:p>
      <w:pPr>
        <w:pStyle w:val="16"/>
        <w:tabs>
          <w:tab w:val="left" w:pos="5580"/>
        </w:tabs>
        <w:spacing w:line="240" w:lineRule="atLeast"/>
        <w:rPr>
          <w:rFonts w:hint="eastAsia" w:ascii="微软雅黑" w:hAnsi="微软雅黑" w:eastAsia="微软雅黑" w:cs="微软雅黑"/>
          <w:color w:val="auto"/>
        </w:rPr>
      </w:pPr>
    </w:p>
    <w:p>
      <w:pPr>
        <w:pStyle w:val="16"/>
        <w:tabs>
          <w:tab w:val="left" w:pos="5580"/>
        </w:tabs>
        <w:spacing w:line="240" w:lineRule="atLeast"/>
        <w:rPr>
          <w:rFonts w:hint="eastAsia" w:ascii="微软雅黑" w:hAnsi="微软雅黑" w:eastAsia="微软雅黑" w:cs="微软雅黑"/>
          <w:color w:val="auto"/>
        </w:rPr>
      </w:pPr>
    </w:p>
    <w:p>
      <w:pPr>
        <w:pStyle w:val="16"/>
        <w:tabs>
          <w:tab w:val="left" w:pos="5580"/>
        </w:tabs>
        <w:spacing w:line="240" w:lineRule="atLeast"/>
        <w:rPr>
          <w:rFonts w:hint="eastAsia" w:ascii="微软雅黑" w:hAnsi="微软雅黑" w:eastAsia="微软雅黑" w:cs="微软雅黑"/>
          <w:color w:val="auto"/>
        </w:rPr>
      </w:pPr>
    </w:p>
    <w:p>
      <w:pPr>
        <w:pStyle w:val="16"/>
        <w:tabs>
          <w:tab w:val="left" w:pos="5580"/>
        </w:tabs>
        <w:spacing w:line="240" w:lineRule="atLeast"/>
        <w:rPr>
          <w:rFonts w:hint="eastAsia" w:ascii="微软雅黑" w:hAnsi="微软雅黑" w:eastAsia="微软雅黑" w:cs="微软雅黑"/>
          <w:color w:val="auto"/>
        </w:rPr>
      </w:pPr>
    </w:p>
    <w:p>
      <w:pPr>
        <w:pStyle w:val="16"/>
        <w:tabs>
          <w:tab w:val="left" w:pos="5580"/>
        </w:tabs>
        <w:spacing w:line="240" w:lineRule="atLeast"/>
        <w:rPr>
          <w:rFonts w:hint="eastAsia" w:ascii="微软雅黑" w:hAnsi="微软雅黑" w:eastAsia="微软雅黑" w:cs="微软雅黑"/>
          <w:color w:val="auto"/>
        </w:rPr>
      </w:pPr>
    </w:p>
    <w:p>
      <w:pPr>
        <w:pStyle w:val="16"/>
        <w:tabs>
          <w:tab w:val="left" w:pos="5580"/>
        </w:tabs>
        <w:spacing w:line="240" w:lineRule="atLeast"/>
        <w:rPr>
          <w:rFonts w:hint="eastAsia" w:ascii="微软雅黑" w:hAnsi="微软雅黑" w:eastAsia="微软雅黑" w:cs="微软雅黑"/>
          <w:color w:val="auto"/>
        </w:rPr>
      </w:pPr>
    </w:p>
    <w:p>
      <w:pPr>
        <w:pStyle w:val="16"/>
        <w:tabs>
          <w:tab w:val="left" w:pos="5580"/>
        </w:tabs>
        <w:spacing w:line="240" w:lineRule="atLeast"/>
        <w:rPr>
          <w:rFonts w:hint="eastAsia" w:ascii="微软雅黑" w:hAnsi="微软雅黑" w:eastAsia="微软雅黑" w:cs="微软雅黑"/>
          <w:color w:val="auto"/>
        </w:rPr>
      </w:pPr>
    </w:p>
    <w:p>
      <w:pPr>
        <w:pStyle w:val="16"/>
        <w:tabs>
          <w:tab w:val="left" w:pos="5580"/>
        </w:tabs>
        <w:spacing w:line="240" w:lineRule="atLeast"/>
        <w:rPr>
          <w:rFonts w:hint="eastAsia" w:ascii="微软雅黑" w:hAnsi="微软雅黑" w:eastAsia="微软雅黑" w:cs="微软雅黑"/>
          <w:color w:val="auto"/>
        </w:rPr>
      </w:pPr>
    </w:p>
    <w:p>
      <w:pPr>
        <w:pStyle w:val="16"/>
        <w:tabs>
          <w:tab w:val="left" w:pos="5580"/>
        </w:tabs>
        <w:spacing w:line="240" w:lineRule="atLeast"/>
        <w:rPr>
          <w:rFonts w:hint="eastAsia" w:ascii="微软雅黑" w:hAnsi="微软雅黑" w:eastAsia="微软雅黑" w:cs="微软雅黑"/>
          <w:color w:val="auto"/>
        </w:rPr>
      </w:pPr>
    </w:p>
    <w:p>
      <w:pPr>
        <w:jc w:val="center"/>
        <w:outlineLvl w:val="1"/>
        <w:rPr>
          <w:rFonts w:hint="eastAsia" w:ascii="微软雅黑" w:hAnsi="微软雅黑" w:eastAsia="微软雅黑" w:cs="微软雅黑"/>
          <w:color w:val="auto"/>
          <w:sz w:val="24"/>
          <w:szCs w:val="24"/>
        </w:rPr>
      </w:pPr>
      <w:r>
        <w:rPr>
          <w:rFonts w:hint="eastAsia" w:ascii="微软雅黑" w:hAnsi="微软雅黑" w:eastAsia="微软雅黑" w:cs="微软雅黑"/>
          <w:color w:val="auto"/>
        </w:rPr>
        <w:br w:type="page"/>
      </w:r>
      <w:bookmarkStart w:id="662" w:name="_Toc695"/>
      <w:bookmarkStart w:id="663" w:name="_Toc28678"/>
      <w:bookmarkStart w:id="664" w:name="_Toc6643"/>
      <w:bookmarkStart w:id="665" w:name="_Toc17344"/>
      <w:bookmarkStart w:id="666" w:name="_Toc12580"/>
      <w:bookmarkStart w:id="667" w:name="_Toc30922"/>
      <w:bookmarkStart w:id="668" w:name="_Toc30408"/>
      <w:bookmarkStart w:id="669" w:name="_Toc27134"/>
      <w:bookmarkStart w:id="670" w:name="_Toc2305"/>
      <w:r>
        <w:rPr>
          <w:rFonts w:hint="eastAsia" w:ascii="微软雅黑" w:hAnsi="微软雅黑" w:eastAsia="微软雅黑" w:cs="微软雅黑"/>
          <w:b/>
          <w:bCs/>
          <w:color w:val="auto"/>
          <w:sz w:val="24"/>
          <w:szCs w:val="24"/>
        </w:rPr>
        <w:t>1</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投标</w:t>
      </w:r>
      <w:bookmarkEnd w:id="620"/>
      <w:bookmarkEnd w:id="621"/>
      <w:r>
        <w:rPr>
          <w:rFonts w:hint="eastAsia" w:ascii="微软雅黑" w:hAnsi="微软雅黑" w:eastAsia="微软雅黑" w:cs="微软雅黑"/>
          <w:b/>
          <w:bCs/>
          <w:color w:val="auto"/>
          <w:sz w:val="24"/>
          <w:szCs w:val="24"/>
        </w:rPr>
        <w:t>书</w:t>
      </w:r>
      <w:bookmarkEnd w:id="622"/>
      <w:bookmarkEnd w:id="623"/>
      <w:bookmarkEnd w:id="659"/>
      <w:bookmarkEnd w:id="660"/>
      <w:bookmarkEnd w:id="661"/>
      <w:bookmarkEnd w:id="662"/>
      <w:bookmarkEnd w:id="663"/>
      <w:bookmarkEnd w:id="664"/>
      <w:bookmarkEnd w:id="665"/>
      <w:bookmarkEnd w:id="666"/>
      <w:bookmarkEnd w:id="667"/>
      <w:bookmarkEnd w:id="668"/>
      <w:bookmarkEnd w:id="669"/>
      <w:bookmarkEnd w:id="670"/>
    </w:p>
    <w:p>
      <w:pPr>
        <w:tabs>
          <w:tab w:val="left" w:pos="5580"/>
        </w:tabs>
        <w:spacing w:line="400" w:lineRule="atLeast"/>
        <w:ind w:left="1080" w:hanging="108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 xml:space="preserve">        </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p>
    <w:p>
      <w:pPr>
        <w:pStyle w:val="16"/>
        <w:tabs>
          <w:tab w:val="left" w:pos="5580"/>
        </w:tabs>
        <w:spacing w:line="400" w:lineRule="atLeast"/>
        <w:ind w:left="2" w:leftChars="1"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根据贵方(</w:t>
      </w:r>
      <w:r>
        <w:rPr>
          <w:rFonts w:hint="eastAsia" w:ascii="微软雅黑" w:hAnsi="微软雅黑" w:eastAsia="微软雅黑" w:cs="微软雅黑"/>
          <w:i/>
          <w:iCs/>
          <w:color w:val="auto"/>
          <w:sz w:val="24"/>
          <w:szCs w:val="24"/>
          <w:u w:val="single"/>
        </w:rPr>
        <w:t>项目名称</w:t>
      </w:r>
      <w:r>
        <w:rPr>
          <w:rFonts w:hint="eastAsia" w:ascii="微软雅黑" w:hAnsi="微软雅黑" w:eastAsia="微软雅黑" w:cs="微软雅黑"/>
          <w:i/>
          <w:iCs/>
          <w:color w:val="auto"/>
          <w:sz w:val="24"/>
          <w:szCs w:val="24"/>
          <w:u w:val="single"/>
          <w:lang w:eastAsia="zh-CN"/>
        </w:rPr>
        <w:t>、标段号</w:t>
      </w:r>
      <w:r>
        <w:rPr>
          <w:rFonts w:hint="eastAsia" w:ascii="微软雅黑" w:hAnsi="微软雅黑" w:eastAsia="微软雅黑" w:cs="微软雅黑"/>
          <w:color w:val="auto"/>
          <w:sz w:val="24"/>
          <w:szCs w:val="24"/>
        </w:rPr>
        <w:t>)项目的投标邀请(</w:t>
      </w:r>
      <w:r>
        <w:rPr>
          <w:rFonts w:hint="eastAsia" w:ascii="微软雅黑" w:hAnsi="微软雅黑" w:eastAsia="微软雅黑" w:cs="微软雅黑"/>
          <w:i/>
          <w:iCs/>
          <w:color w:val="auto"/>
          <w:sz w:val="24"/>
          <w:szCs w:val="24"/>
          <w:u w:val="single"/>
        </w:rPr>
        <w:t>项目编号</w:t>
      </w:r>
      <w:r>
        <w:rPr>
          <w:rFonts w:hint="eastAsia" w:ascii="微软雅黑" w:hAnsi="微软雅黑" w:eastAsia="微软雅黑" w:cs="微软雅黑"/>
          <w:color w:val="auto"/>
          <w:sz w:val="24"/>
          <w:szCs w:val="24"/>
        </w:rPr>
        <w:t>),签字代表(</w:t>
      </w:r>
      <w:r>
        <w:rPr>
          <w:rFonts w:hint="eastAsia" w:ascii="微软雅黑" w:hAnsi="微软雅黑" w:eastAsia="微软雅黑" w:cs="微软雅黑"/>
          <w:i/>
          <w:iCs/>
          <w:color w:val="auto"/>
          <w:sz w:val="24"/>
          <w:szCs w:val="24"/>
          <w:u w:val="single"/>
        </w:rPr>
        <w:t>姓名、职务</w:t>
      </w:r>
      <w:r>
        <w:rPr>
          <w:rFonts w:hint="eastAsia" w:ascii="微软雅黑" w:hAnsi="微软雅黑" w:eastAsia="微软雅黑" w:cs="微软雅黑"/>
          <w:color w:val="auto"/>
          <w:sz w:val="24"/>
          <w:szCs w:val="24"/>
        </w:rPr>
        <w:t>)经正式授权并代表供应商（</w:t>
      </w:r>
      <w:r>
        <w:rPr>
          <w:rFonts w:hint="eastAsia" w:ascii="微软雅黑" w:hAnsi="微软雅黑" w:eastAsia="微软雅黑" w:cs="微软雅黑"/>
          <w:i/>
          <w:iCs/>
          <w:color w:val="auto"/>
          <w:sz w:val="24"/>
          <w:szCs w:val="24"/>
          <w:u w:val="single"/>
        </w:rPr>
        <w:t>名称、地址</w:t>
      </w:r>
      <w:r>
        <w:rPr>
          <w:rFonts w:hint="eastAsia" w:ascii="微软雅黑" w:hAnsi="微软雅黑" w:eastAsia="微软雅黑" w:cs="微软雅黑"/>
          <w:color w:val="auto"/>
          <w:sz w:val="24"/>
          <w:szCs w:val="24"/>
        </w:rPr>
        <w:t>）提交下述文件正本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份、副本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份及电子文档</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份，并以</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形式出具的金额为人民币</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元的投标保证金。</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据此，签字代表宣布同意如下：</w:t>
      </w:r>
    </w:p>
    <w:p>
      <w:pPr>
        <w:pStyle w:val="16"/>
        <w:tabs>
          <w:tab w:val="left" w:pos="720"/>
          <w:tab w:val="left" w:pos="900"/>
        </w:tabs>
        <w:spacing w:line="400" w:lineRule="atLeast"/>
        <w:ind w:left="769" w:leftChars="257" w:hanging="229"/>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（1）附投标价格表中规定的应提供服务的投标总价为</w:t>
      </w:r>
      <w:r>
        <w:rPr>
          <w:rFonts w:hint="eastAsia" w:ascii="微软雅黑" w:hAnsi="微软雅黑" w:eastAsia="微软雅黑" w:cs="微软雅黑"/>
          <w:color w:val="auto"/>
          <w:sz w:val="24"/>
          <w:szCs w:val="24"/>
          <w:u w:val="single"/>
        </w:rPr>
        <w:t>　　  （用文字和数字表示）</w:t>
      </w:r>
      <w:r>
        <w:rPr>
          <w:rFonts w:hint="eastAsia" w:ascii="微软雅黑" w:hAnsi="微软雅黑" w:eastAsia="微软雅黑" w:cs="微软雅黑"/>
          <w:color w:val="auto"/>
          <w:sz w:val="24"/>
          <w:szCs w:val="24"/>
        </w:rPr>
        <w:t>。</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（2）本投标有效期为自投标截止之日起</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90</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个日历日。</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（3）联合体中的大中型企业和其他自然人、法人或者非法人组织，与联合体中的小型、微型企业之间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存在、不存在）投资关系（如果是联合体的话）。</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（4）已详细审查全部招标文件，包括所有补充通知（如果有的话），完全理解并同意放弃对这方面有不明、误解和质疑的权力。</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（5）在规定的开标时间后，遵守招标文件中有关保证金的规定。</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（6）我方不是为本项目提供整体设计、规范编制或者项目管理、监理、检测等服务的供应商，我方不是采购代理机构的附属机构。</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（7）在领取中标通知书的同时按招标文件规定的形式，向贵方一次性支付中标服务费。</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（8）按照贵方可能要求，提供与其投标有关的一切数据或资料，完全理解贵方不一定接受最低价的投标或收到的任何投标。</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（9）按照招标文件的规定履行合同责任和义务。</w:t>
      </w:r>
    </w:p>
    <w:p>
      <w:pPr>
        <w:pStyle w:val="16"/>
        <w:tabs>
          <w:tab w:val="left" w:pos="5580"/>
        </w:tabs>
        <w:spacing w:line="400" w:lineRule="atLeast"/>
        <w:ind w:left="359" w:leftChars="68" w:hanging="216" w:hangingChars="9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与本投标有关的一切正式往来信函请寄：</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地址</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传真</w:t>
      </w:r>
      <w:r>
        <w:rPr>
          <w:rFonts w:hint="eastAsia" w:ascii="微软雅黑" w:hAnsi="微软雅黑" w:eastAsia="微软雅黑" w:cs="微软雅黑"/>
          <w:color w:val="auto"/>
          <w:sz w:val="24"/>
          <w:szCs w:val="24"/>
          <w:u w:val="single"/>
        </w:rPr>
        <w:t xml:space="preserve">                             </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电子函件</w:t>
      </w:r>
      <w:r>
        <w:rPr>
          <w:rFonts w:hint="eastAsia" w:ascii="微软雅黑" w:hAnsi="微软雅黑" w:eastAsia="微软雅黑" w:cs="微软雅黑"/>
          <w:color w:val="auto"/>
          <w:sz w:val="24"/>
          <w:szCs w:val="24"/>
          <w:u w:val="single"/>
        </w:rPr>
        <w:t xml:space="preserve">                         </w:t>
      </w:r>
    </w:p>
    <w:p>
      <w:pPr>
        <w:pStyle w:val="16"/>
        <w:tabs>
          <w:tab w:val="left" w:pos="5580"/>
        </w:tabs>
        <w:spacing w:line="400" w:lineRule="atLeast"/>
        <w:ind w:left="1080" w:leftChars="257" w:hanging="540"/>
        <w:rPr>
          <w:rFonts w:hint="default"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lang w:eastAsia="zh-CN"/>
        </w:rPr>
        <w:t>签字或盖章</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lang w:val="en-US" w:eastAsia="zh-CN"/>
        </w:rPr>
        <w:t xml:space="preserve">                </w:t>
      </w:r>
    </w:p>
    <w:p>
      <w:pPr>
        <w:pStyle w:val="16"/>
        <w:tabs>
          <w:tab w:val="left" w:pos="5580"/>
        </w:tabs>
        <w:spacing w:line="400" w:lineRule="atLeast"/>
        <w:ind w:left="1080" w:leftChars="257" w:hanging="54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供应商名称（公章）</w:t>
      </w:r>
      <w:r>
        <w:rPr>
          <w:rFonts w:hint="eastAsia" w:ascii="微软雅黑" w:hAnsi="微软雅黑" w:eastAsia="微软雅黑" w:cs="微软雅黑"/>
          <w:color w:val="auto"/>
          <w:sz w:val="24"/>
          <w:szCs w:val="24"/>
          <w:u w:val="single"/>
          <w:lang w:val="en-US" w:eastAsia="zh-CN"/>
        </w:rPr>
        <w:t xml:space="preserve">                  </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供应商开户银行（全称）</w:t>
      </w:r>
      <w:r>
        <w:rPr>
          <w:rFonts w:hint="eastAsia" w:ascii="微软雅黑" w:hAnsi="微软雅黑" w:eastAsia="微软雅黑" w:cs="微软雅黑"/>
          <w:color w:val="auto"/>
          <w:sz w:val="24"/>
          <w:szCs w:val="24"/>
          <w:u w:val="single"/>
        </w:rPr>
        <w:t xml:space="preserve">　　　　　　 </w:t>
      </w:r>
    </w:p>
    <w:p>
      <w:pPr>
        <w:pStyle w:val="16"/>
        <w:tabs>
          <w:tab w:val="left" w:pos="558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供应商银行帐号</w:t>
      </w:r>
      <w:r>
        <w:rPr>
          <w:rFonts w:hint="eastAsia" w:ascii="微软雅黑" w:hAnsi="微软雅黑" w:eastAsia="微软雅黑" w:cs="微软雅黑"/>
          <w:color w:val="auto"/>
          <w:sz w:val="24"/>
          <w:szCs w:val="24"/>
          <w:u w:val="single"/>
        </w:rPr>
        <w:t>　　　　　　　　 　　</w:t>
      </w:r>
    </w:p>
    <w:p>
      <w:pPr>
        <w:pStyle w:val="16"/>
        <w:tabs>
          <w:tab w:val="left" w:pos="5580"/>
        </w:tabs>
        <w:spacing w:line="400" w:lineRule="atLeast"/>
        <w:ind w:left="1080" w:leftChars="257" w:hanging="54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u w:val="single"/>
          <w:lang w:val="en-US" w:eastAsia="zh-CN"/>
        </w:rPr>
        <w:t xml:space="preserve">                      </w:t>
      </w:r>
    </w:p>
    <w:p>
      <w:pPr>
        <w:pStyle w:val="4"/>
        <w:spacing w:before="0"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1"/>
          <w:szCs w:val="21"/>
        </w:rPr>
        <w:br w:type="page"/>
      </w:r>
      <w:bookmarkStart w:id="671" w:name="_Toc23473"/>
      <w:bookmarkStart w:id="672" w:name="_Toc19819"/>
      <w:bookmarkStart w:id="673" w:name="_Toc1266"/>
      <w:bookmarkStart w:id="674" w:name="_Toc213"/>
      <w:bookmarkStart w:id="675" w:name="_Toc19539"/>
      <w:bookmarkStart w:id="676" w:name="_Toc12429"/>
      <w:bookmarkStart w:id="677" w:name="_Toc23851"/>
      <w:bookmarkStart w:id="678" w:name="_Toc4976"/>
      <w:bookmarkStart w:id="679" w:name="_Toc2788"/>
      <w:bookmarkStart w:id="680" w:name="_Toc30247"/>
      <w:bookmarkStart w:id="681" w:name="_Toc19746"/>
      <w:r>
        <w:rPr>
          <w:rFonts w:hint="eastAsia" w:ascii="微软雅黑" w:hAnsi="微软雅黑" w:eastAsia="微软雅黑" w:cs="微软雅黑"/>
          <w:b/>
          <w:bCs/>
          <w:color w:val="auto"/>
          <w:sz w:val="24"/>
          <w:szCs w:val="24"/>
        </w:rPr>
        <w:t>2</w:t>
      </w:r>
      <w:bookmarkEnd w:id="671"/>
      <w:bookmarkEnd w:id="672"/>
      <w:bookmarkEnd w:id="673"/>
      <w:bookmarkStart w:id="682" w:name="_Toc515647818"/>
      <w:bookmarkStart w:id="683" w:name="_Toc5101"/>
      <w:bookmarkStart w:id="684" w:name="_Toc20897"/>
      <w:bookmarkStart w:id="685" w:name="_Toc216582815"/>
      <w:bookmarkStart w:id="686" w:name="_Toc1881"/>
      <w:bookmarkStart w:id="687" w:name="_Toc22563"/>
      <w:bookmarkStart w:id="688" w:name="_Toc515647820"/>
      <w:bookmarkStart w:id="689" w:name="_Toc28959"/>
      <w:bookmarkStart w:id="690" w:name="_Toc216582817"/>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投标分项报价表</w:t>
      </w:r>
      <w:bookmarkEnd w:id="674"/>
      <w:bookmarkEnd w:id="675"/>
      <w:bookmarkEnd w:id="676"/>
      <w:bookmarkEnd w:id="677"/>
      <w:bookmarkEnd w:id="678"/>
      <w:bookmarkEnd w:id="679"/>
      <w:bookmarkEnd w:id="680"/>
      <w:bookmarkEnd w:id="681"/>
      <w:bookmarkEnd w:id="682"/>
      <w:bookmarkEnd w:id="683"/>
      <w:bookmarkEnd w:id="684"/>
      <w:bookmarkEnd w:id="685"/>
      <w:bookmarkEnd w:id="686"/>
    </w:p>
    <w:p>
      <w:pPr>
        <w:pStyle w:val="16"/>
        <w:spacing w:line="240" w:lineRule="atLeas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项目编号:                         </w:t>
      </w:r>
      <w:r>
        <w:rPr>
          <w:rFonts w:hint="eastAsia" w:ascii="微软雅黑" w:hAnsi="微软雅黑" w:eastAsia="微软雅黑" w:cs="微软雅黑"/>
          <w:color w:val="auto"/>
          <w:sz w:val="24"/>
          <w:szCs w:val="24"/>
          <w:lang w:eastAsia="zh-CN"/>
        </w:rPr>
        <w:t>标段号</w:t>
      </w:r>
      <w:r>
        <w:rPr>
          <w:rFonts w:hint="eastAsia" w:ascii="微软雅黑" w:hAnsi="微软雅黑" w:eastAsia="微软雅黑" w:cs="微软雅黑"/>
          <w:color w:val="auto"/>
          <w:sz w:val="24"/>
          <w:szCs w:val="24"/>
        </w:rPr>
        <w:t>: 　 　             报价单位</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人民币万元</w:t>
      </w:r>
    </w:p>
    <w:p>
      <w:pPr>
        <w:pStyle w:val="16"/>
        <w:spacing w:line="240" w:lineRule="atLeast"/>
        <w:jc w:val="left"/>
        <w:rPr>
          <w:rFonts w:hint="eastAsia" w:ascii="微软雅黑" w:hAnsi="微软雅黑" w:eastAsia="微软雅黑" w:cs="微软雅黑"/>
          <w:color w:val="auto"/>
          <w:sz w:val="24"/>
          <w:szCs w:val="24"/>
        </w:rPr>
      </w:pPr>
    </w:p>
    <w:tbl>
      <w:tblPr>
        <w:tblStyle w:val="25"/>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770"/>
        <w:gridCol w:w="693"/>
        <w:gridCol w:w="1015"/>
        <w:gridCol w:w="1417"/>
        <w:gridCol w:w="692"/>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ign w:val="center"/>
          </w:tcPr>
          <w:p>
            <w:pPr>
              <w:pStyle w:val="16"/>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336"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名称</w:t>
            </w:r>
          </w:p>
        </w:tc>
        <w:tc>
          <w:tcPr>
            <w:tcW w:w="1539"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型号和规格</w:t>
            </w:r>
          </w:p>
        </w:tc>
        <w:tc>
          <w:tcPr>
            <w:tcW w:w="770"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数量</w:t>
            </w:r>
          </w:p>
        </w:tc>
        <w:tc>
          <w:tcPr>
            <w:tcW w:w="693"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品牌</w:t>
            </w:r>
          </w:p>
        </w:tc>
        <w:tc>
          <w:tcPr>
            <w:tcW w:w="1015"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原产地</w:t>
            </w:r>
          </w:p>
        </w:tc>
        <w:tc>
          <w:tcPr>
            <w:tcW w:w="1417"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制造商名称</w:t>
            </w:r>
          </w:p>
        </w:tc>
        <w:tc>
          <w:tcPr>
            <w:tcW w:w="692"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单价</w:t>
            </w:r>
          </w:p>
        </w:tc>
        <w:tc>
          <w:tcPr>
            <w:tcW w:w="843"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总价</w:t>
            </w:r>
          </w:p>
        </w:tc>
        <w:tc>
          <w:tcPr>
            <w:tcW w:w="801"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ign w:val="center"/>
          </w:tcPr>
          <w:p>
            <w:pPr>
              <w:pStyle w:val="16"/>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1336"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货物名称</w:t>
            </w:r>
          </w:p>
        </w:tc>
        <w:tc>
          <w:tcPr>
            <w:tcW w:w="1539"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770"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693"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1015"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1417"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692"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843"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801"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6"/>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1336"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专用工具</w:t>
            </w:r>
          </w:p>
        </w:tc>
        <w:tc>
          <w:tcPr>
            <w:tcW w:w="1539"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770"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693"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1015"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1417"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692"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843"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801"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ign w:val="center"/>
          </w:tcPr>
          <w:p>
            <w:pPr>
              <w:pStyle w:val="16"/>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1336"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安装、调试、检验</w:t>
            </w:r>
          </w:p>
        </w:tc>
        <w:tc>
          <w:tcPr>
            <w:tcW w:w="1539"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770"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693"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1015"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1417"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692"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843"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801"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6"/>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p>
        </w:tc>
        <w:tc>
          <w:tcPr>
            <w:tcW w:w="1336"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培训</w:t>
            </w:r>
          </w:p>
        </w:tc>
        <w:tc>
          <w:tcPr>
            <w:tcW w:w="1539"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770"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693"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1015"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1417"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692"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843"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801"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ign w:val="center"/>
          </w:tcPr>
          <w:p>
            <w:pPr>
              <w:pStyle w:val="16"/>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p>
        </w:tc>
        <w:tc>
          <w:tcPr>
            <w:tcW w:w="1336" w:type="dxa"/>
            <w:noWrap/>
            <w:vAlign w:val="center"/>
          </w:tcPr>
          <w:p>
            <w:pPr>
              <w:pStyle w:val="16"/>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技术服务</w:t>
            </w:r>
          </w:p>
        </w:tc>
        <w:tc>
          <w:tcPr>
            <w:tcW w:w="1539"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770"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693"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1015"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1417"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692"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843"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c>
          <w:tcPr>
            <w:tcW w:w="801" w:type="dxa"/>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216" w:type="dxa"/>
            <w:gridSpan w:val="8"/>
            <w:noWrap/>
            <w:vAlign w:val="center"/>
          </w:tcPr>
          <w:p>
            <w:pPr>
              <w:pStyle w:val="16"/>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总价：</w:t>
            </w:r>
          </w:p>
        </w:tc>
        <w:tc>
          <w:tcPr>
            <w:tcW w:w="1644" w:type="dxa"/>
            <w:gridSpan w:val="2"/>
            <w:noWrap/>
            <w:vAlign w:val="center"/>
          </w:tcPr>
          <w:p>
            <w:pPr>
              <w:pStyle w:val="16"/>
              <w:spacing w:line="400" w:lineRule="exact"/>
              <w:ind w:left="1080" w:leftChars="257" w:hanging="540"/>
              <w:jc w:val="center"/>
              <w:rPr>
                <w:rFonts w:hint="eastAsia" w:ascii="微软雅黑" w:hAnsi="微软雅黑" w:eastAsia="微软雅黑" w:cs="微软雅黑"/>
                <w:color w:val="auto"/>
                <w:sz w:val="24"/>
                <w:szCs w:val="24"/>
              </w:rPr>
            </w:pPr>
          </w:p>
        </w:tc>
      </w:tr>
    </w:tbl>
    <w:p>
      <w:pPr>
        <w:pStyle w:val="16"/>
        <w:spacing w:line="240" w:lineRule="atLeast"/>
        <w:rPr>
          <w:rFonts w:hint="eastAsia" w:ascii="微软雅黑" w:hAnsi="微软雅黑" w:eastAsia="微软雅黑" w:cs="微软雅黑"/>
          <w:color w:val="auto"/>
          <w:sz w:val="24"/>
          <w:szCs w:val="24"/>
        </w:rPr>
      </w:pPr>
    </w:p>
    <w:p>
      <w:pPr>
        <w:pStyle w:val="16"/>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lang w:eastAsia="zh-CN"/>
        </w:rPr>
        <w:t>签字或盖章</w:t>
      </w:r>
      <w:r>
        <w:rPr>
          <w:rFonts w:hint="eastAsia" w:ascii="微软雅黑" w:hAnsi="微软雅黑" w:eastAsia="微软雅黑" w:cs="微软雅黑"/>
          <w:color w:val="auto"/>
          <w:sz w:val="24"/>
          <w:szCs w:val="24"/>
        </w:rPr>
        <w:t>）:</w:t>
      </w:r>
    </w:p>
    <w:p>
      <w:pPr>
        <w:pStyle w:val="16"/>
        <w:tabs>
          <w:tab w:val="left" w:pos="5370"/>
        </w:tabs>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供应商(公章):</w:t>
      </w:r>
    </w:p>
    <w:p>
      <w:pPr>
        <w:pStyle w:val="16"/>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注:1.如果供应商认为需要，每种</w:t>
      </w:r>
      <w:r>
        <w:rPr>
          <w:rFonts w:hint="eastAsia" w:ascii="微软雅黑" w:hAnsi="微软雅黑" w:eastAsia="微软雅黑" w:cs="微软雅黑"/>
          <w:color w:val="auto"/>
          <w:sz w:val="24"/>
          <w:szCs w:val="24"/>
          <w:lang w:eastAsia="zh-CN"/>
        </w:rPr>
        <w:t>货物</w:t>
      </w:r>
      <w:r>
        <w:rPr>
          <w:rFonts w:hint="eastAsia" w:ascii="微软雅黑" w:hAnsi="微软雅黑" w:eastAsia="微软雅黑" w:cs="微软雅黑"/>
          <w:color w:val="auto"/>
          <w:sz w:val="24"/>
          <w:szCs w:val="24"/>
        </w:rPr>
        <w:t>内容填写一份该表。</w:t>
      </w:r>
    </w:p>
    <w:p>
      <w:pPr>
        <w:pStyle w:val="16"/>
        <w:spacing w:line="400" w:lineRule="atLeast"/>
        <w:ind w:left="1079" w:leftChars="428" w:hanging="180" w:hangingChars="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2.如果按单价计算的结果与总价不一致,以单价为准修正总价。</w:t>
      </w:r>
    </w:p>
    <w:p>
      <w:pPr>
        <w:pStyle w:val="16"/>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3.如果不提供详细分项报价将视为没有实质性响应招标文件。</w:t>
      </w:r>
    </w:p>
    <w:p>
      <w:pPr>
        <w:pStyle w:val="16"/>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4.上述各项的详细分项报价，应另页描述。</w:t>
      </w:r>
    </w:p>
    <w:p>
      <w:pPr>
        <w:pStyle w:val="16"/>
        <w:spacing w:line="40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5.如果开标一览表（报价表）内容与投标文件中明细表内容不一致的，以开标一览表（报价表）内容为准。</w:t>
      </w:r>
    </w:p>
    <w:p>
      <w:pPr>
        <w:pStyle w:val="16"/>
        <w:spacing w:line="240" w:lineRule="atLeast"/>
        <w:ind w:left="1258" w:leftChars="599" w:firstLine="1139" w:firstLineChars="542"/>
        <w:rPr>
          <w:rFonts w:hint="eastAsia" w:ascii="微软雅黑" w:hAnsi="微软雅黑" w:eastAsia="微软雅黑" w:cs="微软雅黑"/>
          <w:b/>
          <w:bCs/>
          <w:color w:val="auto"/>
          <w:kern w:val="0"/>
        </w:rPr>
      </w:pPr>
    </w:p>
    <w:p>
      <w:pPr>
        <w:pStyle w:val="16"/>
        <w:spacing w:line="240" w:lineRule="atLeast"/>
        <w:ind w:left="1258" w:leftChars="599" w:firstLine="1139" w:firstLineChars="542"/>
        <w:rPr>
          <w:rFonts w:hint="eastAsia" w:ascii="微软雅黑" w:hAnsi="微软雅黑" w:eastAsia="微软雅黑" w:cs="微软雅黑"/>
          <w:b/>
          <w:bCs/>
          <w:color w:val="auto"/>
          <w:kern w:val="0"/>
        </w:rPr>
      </w:pPr>
    </w:p>
    <w:p>
      <w:pPr>
        <w:pStyle w:val="16"/>
        <w:spacing w:line="240" w:lineRule="atLeast"/>
        <w:ind w:left="1258" w:leftChars="599" w:firstLine="1139" w:firstLineChars="542"/>
        <w:rPr>
          <w:rFonts w:hint="eastAsia" w:ascii="微软雅黑" w:hAnsi="微软雅黑" w:eastAsia="微软雅黑" w:cs="微软雅黑"/>
          <w:b/>
          <w:bCs/>
          <w:color w:val="auto"/>
          <w:kern w:val="0"/>
        </w:rPr>
      </w:pPr>
    </w:p>
    <w:p>
      <w:pPr>
        <w:pStyle w:val="16"/>
        <w:spacing w:line="240" w:lineRule="atLeast"/>
        <w:ind w:left="1258" w:leftChars="599" w:firstLine="1139" w:firstLineChars="542"/>
        <w:rPr>
          <w:rFonts w:hint="eastAsia" w:ascii="微软雅黑" w:hAnsi="微软雅黑" w:eastAsia="微软雅黑" w:cs="微软雅黑"/>
          <w:b/>
          <w:bCs/>
          <w:color w:val="auto"/>
          <w:kern w:val="0"/>
        </w:rPr>
      </w:pPr>
    </w:p>
    <w:p>
      <w:pPr>
        <w:pStyle w:val="16"/>
        <w:spacing w:line="240" w:lineRule="atLeast"/>
        <w:ind w:left="1258" w:leftChars="599" w:firstLine="1139" w:firstLineChars="542"/>
        <w:rPr>
          <w:rFonts w:hint="eastAsia" w:ascii="微软雅黑" w:hAnsi="微软雅黑" w:eastAsia="微软雅黑" w:cs="微软雅黑"/>
          <w:b/>
          <w:bCs/>
          <w:color w:val="auto"/>
          <w:kern w:val="0"/>
        </w:rPr>
      </w:pPr>
    </w:p>
    <w:p>
      <w:pPr>
        <w:pStyle w:val="16"/>
        <w:spacing w:line="240" w:lineRule="atLeast"/>
        <w:ind w:left="1258" w:leftChars="599" w:firstLine="1139" w:firstLineChars="542"/>
        <w:rPr>
          <w:rFonts w:hint="eastAsia" w:ascii="微软雅黑" w:hAnsi="微软雅黑" w:eastAsia="微软雅黑" w:cs="微软雅黑"/>
          <w:b/>
          <w:bCs/>
          <w:color w:val="auto"/>
          <w:kern w:val="0"/>
        </w:rPr>
      </w:pPr>
    </w:p>
    <w:p>
      <w:pPr>
        <w:pStyle w:val="16"/>
        <w:spacing w:line="240" w:lineRule="atLeast"/>
        <w:ind w:left="1258" w:leftChars="599" w:firstLine="1139" w:firstLineChars="542"/>
        <w:rPr>
          <w:rFonts w:hint="eastAsia" w:ascii="微软雅黑" w:hAnsi="微软雅黑" w:eastAsia="微软雅黑" w:cs="微软雅黑"/>
          <w:b/>
          <w:bCs/>
          <w:color w:val="auto"/>
          <w:kern w:val="0"/>
        </w:rPr>
      </w:pPr>
    </w:p>
    <w:p>
      <w:pPr>
        <w:pStyle w:val="16"/>
        <w:spacing w:line="240" w:lineRule="atLeast"/>
        <w:ind w:left="1258" w:leftChars="599" w:firstLine="1139" w:firstLineChars="542"/>
        <w:rPr>
          <w:rFonts w:hint="eastAsia" w:ascii="微软雅黑" w:hAnsi="微软雅黑" w:eastAsia="微软雅黑" w:cs="微软雅黑"/>
          <w:b/>
          <w:bCs/>
          <w:color w:val="auto"/>
          <w:kern w:val="0"/>
        </w:rPr>
      </w:pPr>
    </w:p>
    <w:p>
      <w:pPr>
        <w:pStyle w:val="16"/>
        <w:spacing w:line="240" w:lineRule="atLeast"/>
        <w:rPr>
          <w:rFonts w:hint="eastAsia" w:ascii="微软雅黑" w:hAnsi="微软雅黑" w:eastAsia="微软雅黑" w:cs="微软雅黑"/>
          <w:b/>
          <w:bCs/>
          <w:color w:val="auto"/>
          <w:kern w:val="0"/>
        </w:rPr>
      </w:pPr>
    </w:p>
    <w:p>
      <w:pPr>
        <w:pStyle w:val="16"/>
        <w:spacing w:line="240" w:lineRule="atLeast"/>
        <w:ind w:left="1258" w:leftChars="599" w:firstLine="1139" w:firstLineChars="542"/>
        <w:rPr>
          <w:rFonts w:hint="eastAsia" w:ascii="微软雅黑" w:hAnsi="微软雅黑" w:eastAsia="微软雅黑" w:cs="微软雅黑"/>
          <w:b/>
          <w:bCs/>
          <w:color w:val="auto"/>
          <w:kern w:val="0"/>
        </w:rPr>
      </w:pPr>
    </w:p>
    <w:p>
      <w:pPr>
        <w:spacing w:line="360" w:lineRule="auto"/>
        <w:jc w:val="center"/>
        <w:outlineLvl w:val="1"/>
        <w:rPr>
          <w:rFonts w:hint="eastAsia" w:ascii="微软雅黑" w:hAnsi="微软雅黑" w:eastAsia="微软雅黑" w:cs="微软雅黑"/>
          <w:b/>
          <w:color w:val="auto"/>
          <w:sz w:val="30"/>
          <w:szCs w:val="30"/>
        </w:rPr>
      </w:pPr>
      <w:bookmarkStart w:id="691" w:name="_Toc2847"/>
      <w:bookmarkStart w:id="692" w:name="_Toc16166"/>
      <w:bookmarkStart w:id="693" w:name="_Toc10486"/>
      <w:bookmarkStart w:id="694" w:name="_Toc6480"/>
      <w:bookmarkStart w:id="695" w:name="_Toc12483"/>
      <w:bookmarkStart w:id="696" w:name="_Toc16798"/>
      <w:bookmarkStart w:id="697" w:name="_Toc30209"/>
      <w:bookmarkStart w:id="698" w:name="_Toc13950"/>
      <w:bookmarkStart w:id="699" w:name="_Toc28199"/>
      <w:bookmarkStart w:id="700" w:name="_Toc27721"/>
      <w:r>
        <w:rPr>
          <w:rFonts w:hint="eastAsia" w:ascii="微软雅黑" w:hAnsi="微软雅黑" w:eastAsia="微软雅黑" w:cs="微软雅黑"/>
          <w:b/>
          <w:bCs/>
          <w:color w:val="auto"/>
          <w:kern w:val="0"/>
          <w:sz w:val="24"/>
        </w:rPr>
        <w:t>备品备件设备分项报价表（二）</w:t>
      </w:r>
      <w:bookmarkEnd w:id="691"/>
      <w:bookmarkEnd w:id="692"/>
      <w:bookmarkEnd w:id="693"/>
      <w:bookmarkEnd w:id="694"/>
      <w:bookmarkEnd w:id="695"/>
      <w:bookmarkEnd w:id="696"/>
      <w:bookmarkEnd w:id="697"/>
      <w:bookmarkEnd w:id="698"/>
      <w:bookmarkEnd w:id="699"/>
      <w:bookmarkEnd w:id="700"/>
    </w:p>
    <w:tbl>
      <w:tblPr>
        <w:tblStyle w:val="25"/>
        <w:tblW w:w="852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573"/>
        <w:gridCol w:w="574"/>
        <w:gridCol w:w="574"/>
        <w:gridCol w:w="574"/>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7" w:hRule="atLeast"/>
        </w:trPr>
        <w:tc>
          <w:tcPr>
            <w:tcW w:w="127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编号</w:t>
            </w:r>
          </w:p>
        </w:tc>
        <w:tc>
          <w:tcPr>
            <w:tcW w:w="808"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货物名称</w:t>
            </w: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品牌</w:t>
            </w:r>
          </w:p>
        </w:tc>
        <w:tc>
          <w:tcPr>
            <w:tcW w:w="808"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规格型号</w:t>
            </w:r>
          </w:p>
        </w:tc>
        <w:tc>
          <w:tcPr>
            <w:tcW w:w="104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供货厂商名称</w:t>
            </w: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产地</w:t>
            </w: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数量</w:t>
            </w:r>
          </w:p>
        </w:tc>
        <w:tc>
          <w:tcPr>
            <w:tcW w:w="574"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单位</w:t>
            </w:r>
          </w:p>
        </w:tc>
        <w:tc>
          <w:tcPr>
            <w:tcW w:w="574"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单价</w:t>
            </w:r>
          </w:p>
        </w:tc>
        <w:tc>
          <w:tcPr>
            <w:tcW w:w="574"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合价</w:t>
            </w:r>
          </w:p>
        </w:tc>
        <w:tc>
          <w:tcPr>
            <w:tcW w:w="574"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质保期外设备报价</w:t>
            </w: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4</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278" w:type="dxa"/>
            <w:vAlign w:val="center"/>
          </w:tcPr>
          <w:p>
            <w:pPr>
              <w:spacing w:line="400" w:lineRule="exact"/>
              <w:jc w:val="center"/>
              <w:rPr>
                <w:rFonts w:hint="eastAsia" w:ascii="微软雅黑" w:hAnsi="微软雅黑" w:eastAsia="微软雅黑" w:cs="微软雅黑"/>
                <w:color w:val="auto"/>
                <w:sz w:val="24"/>
              </w:rPr>
            </w:pPr>
          </w:p>
        </w:tc>
        <w:tc>
          <w:tcPr>
            <w:tcW w:w="7247" w:type="dxa"/>
            <w:gridSpan w:val="11"/>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质保期内免费设备</w:t>
            </w: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5</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Merge w:val="restart"/>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6</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Merge w:val="continue"/>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7</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Merge w:val="continue"/>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8</w:t>
            </w: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808" w:type="dxa"/>
            <w:vAlign w:val="center"/>
          </w:tcPr>
          <w:p>
            <w:pPr>
              <w:spacing w:line="400" w:lineRule="exact"/>
              <w:jc w:val="center"/>
              <w:rPr>
                <w:rFonts w:hint="eastAsia" w:ascii="微软雅黑" w:hAnsi="微软雅黑" w:eastAsia="微软雅黑" w:cs="微软雅黑"/>
                <w:color w:val="auto"/>
                <w:sz w:val="24"/>
              </w:rPr>
            </w:pPr>
          </w:p>
        </w:tc>
        <w:tc>
          <w:tcPr>
            <w:tcW w:w="104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3"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c>
          <w:tcPr>
            <w:tcW w:w="574" w:type="dxa"/>
            <w:vAlign w:val="center"/>
          </w:tcPr>
          <w:p>
            <w:pPr>
              <w:spacing w:line="400" w:lineRule="exact"/>
              <w:jc w:val="center"/>
              <w:rPr>
                <w:rFonts w:hint="eastAsia"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1" w:type="dxa"/>
            <w:gridSpan w:val="11"/>
            <w:vAlign w:val="center"/>
          </w:tcPr>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总    价（元）：</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（质保期外设备报价）</w:t>
            </w:r>
          </w:p>
        </w:tc>
        <w:tc>
          <w:tcPr>
            <w:tcW w:w="574" w:type="dxa"/>
            <w:vAlign w:val="center"/>
          </w:tcPr>
          <w:p>
            <w:pPr>
              <w:spacing w:line="400" w:lineRule="exact"/>
              <w:rPr>
                <w:rFonts w:hint="eastAsia" w:ascii="微软雅黑" w:hAnsi="微软雅黑" w:eastAsia="微软雅黑" w:cs="微软雅黑"/>
                <w:color w:val="auto"/>
                <w:sz w:val="24"/>
              </w:rPr>
            </w:pPr>
          </w:p>
        </w:tc>
      </w:tr>
    </w:tbl>
    <w:p>
      <w:pPr>
        <w:spacing w:line="400" w:lineRule="exact"/>
        <w:rPr>
          <w:rFonts w:hint="eastAsia" w:ascii="微软雅黑" w:hAnsi="微软雅黑" w:eastAsia="微软雅黑" w:cs="微软雅黑"/>
          <w:b/>
          <w:color w:val="auto"/>
          <w:sz w:val="24"/>
        </w:rPr>
      </w:pP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供应商名称（公章）：</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供应商法人或授权代表（</w:t>
      </w:r>
      <w:r>
        <w:rPr>
          <w:rFonts w:hint="eastAsia" w:ascii="微软雅黑" w:hAnsi="微软雅黑" w:eastAsia="微软雅黑" w:cs="微软雅黑"/>
          <w:color w:val="auto"/>
          <w:sz w:val="24"/>
          <w:lang w:eastAsia="zh-CN"/>
        </w:rPr>
        <w:t>签字或盖章</w:t>
      </w:r>
      <w:r>
        <w:rPr>
          <w:rFonts w:hint="eastAsia" w:ascii="微软雅黑" w:hAnsi="微软雅黑" w:eastAsia="微软雅黑" w:cs="微软雅黑"/>
          <w:color w:val="auto"/>
          <w:sz w:val="24"/>
        </w:rPr>
        <w:t xml:space="preserve">）：                    </w:t>
      </w:r>
    </w:p>
    <w:p>
      <w:pPr>
        <w:pStyle w:val="2"/>
        <w:spacing w:line="400" w:lineRule="exact"/>
        <w:ind w:firstLine="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 xml:space="preserve">日       期 ：   </w:t>
      </w:r>
    </w:p>
    <w:p>
      <w:pPr>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注：1.表格长度方向可做扩展根据需求可补充相关资料，但不可减少。</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2.备品备件设备分项报价仅供采购人在设备发生故障情况下采用此报价，填写此表时请谨慎。备品备件分为两部分（1、质保期内免费的备品备件、2、质保期外备品备件报价）                 </w:t>
      </w:r>
    </w:p>
    <w:p>
      <w:pPr>
        <w:pStyle w:val="2"/>
        <w:spacing w:line="400" w:lineRule="exact"/>
        <w:ind w:firstLine="480" w:firstLineChars="200"/>
        <w:rPr>
          <w:rFonts w:hint="eastAsia" w:ascii="微软雅黑" w:hAnsi="微软雅黑" w:eastAsia="微软雅黑" w:cs="微软雅黑"/>
          <w:color w:val="auto"/>
          <w:kern w:val="2"/>
          <w:szCs w:val="24"/>
        </w:rPr>
      </w:pPr>
      <w:r>
        <w:rPr>
          <w:rFonts w:hint="eastAsia" w:ascii="微软雅黑" w:hAnsi="微软雅黑" w:eastAsia="微软雅黑" w:cs="微软雅黑"/>
          <w:color w:val="auto"/>
          <w:kern w:val="2"/>
          <w:szCs w:val="24"/>
        </w:rPr>
        <w:t>3.备品备件设备分项报价不合计于开标一览表总价，单独名列即可。</w:t>
      </w:r>
    </w:p>
    <w:p>
      <w:pPr>
        <w:pStyle w:val="2"/>
        <w:spacing w:line="400" w:lineRule="exact"/>
        <w:ind w:firstLine="480" w:firstLineChars="200"/>
        <w:rPr>
          <w:rFonts w:hint="eastAsia" w:ascii="微软雅黑" w:hAnsi="微软雅黑" w:eastAsia="微软雅黑" w:cs="微软雅黑"/>
          <w:color w:val="auto"/>
          <w:kern w:val="2"/>
          <w:szCs w:val="24"/>
        </w:rPr>
      </w:pPr>
      <w:r>
        <w:rPr>
          <w:rFonts w:hint="eastAsia" w:ascii="微软雅黑" w:hAnsi="微软雅黑" w:eastAsia="微软雅黑" w:cs="微软雅黑"/>
          <w:color w:val="auto"/>
          <w:kern w:val="2"/>
          <w:szCs w:val="24"/>
        </w:rPr>
        <w:t>4.在设备维修和维护过程中，用来更换已经磨损，不能继续使用或损坏的零件和修复件。为了缩短设备维修的时间，减少不必要的损失，供应质量优良的备件，可以保证修理质量和修理周期，提高设备的可靠性，有效率。备件管理工作的重点首先是满足关键设备对维修备件的需要，保证关键设备的正常运行，尽量减少不必要损失。</w:t>
      </w:r>
    </w:p>
    <w:p>
      <w:pPr>
        <w:pStyle w:val="16"/>
        <w:spacing w:line="240" w:lineRule="atLeast"/>
        <w:ind w:left="1258" w:leftChars="599" w:firstLine="1139" w:firstLineChars="542"/>
        <w:rPr>
          <w:rFonts w:hint="eastAsia" w:ascii="微软雅黑" w:hAnsi="微软雅黑" w:eastAsia="微软雅黑" w:cs="微软雅黑"/>
          <w:b/>
          <w:bCs/>
          <w:color w:val="auto"/>
          <w:kern w:val="0"/>
        </w:rPr>
      </w:pPr>
    </w:p>
    <w:p>
      <w:pPr>
        <w:pStyle w:val="16"/>
        <w:spacing w:line="240" w:lineRule="atLeast"/>
        <w:rPr>
          <w:rFonts w:hint="eastAsia" w:ascii="微软雅黑" w:hAnsi="微软雅黑" w:eastAsia="微软雅黑" w:cs="微软雅黑"/>
          <w:b/>
          <w:bCs/>
          <w:color w:val="auto"/>
          <w:kern w:val="0"/>
        </w:rPr>
      </w:pPr>
    </w:p>
    <w:p>
      <w:pPr>
        <w:pStyle w:val="4"/>
        <w:spacing w:before="0" w:line="240" w:lineRule="atLeast"/>
        <w:ind w:firstLine="2731" w:firstLineChars="1300"/>
        <w:jc w:val="both"/>
        <w:rPr>
          <w:rFonts w:hint="eastAsia" w:ascii="微软雅黑" w:hAnsi="微软雅黑" w:eastAsia="微软雅黑" w:cs="微软雅黑"/>
          <w:b/>
          <w:bCs/>
          <w:color w:val="auto"/>
          <w:sz w:val="21"/>
          <w:szCs w:val="21"/>
        </w:rPr>
      </w:pPr>
      <w:bookmarkStart w:id="701" w:name="_Toc8053"/>
      <w:bookmarkStart w:id="702" w:name="_Toc15861"/>
      <w:bookmarkStart w:id="703" w:name="_Toc21726"/>
      <w:bookmarkStart w:id="704" w:name="_Toc11577"/>
      <w:bookmarkStart w:id="705" w:name="_Toc11211"/>
      <w:bookmarkStart w:id="706" w:name="_Toc28800"/>
      <w:bookmarkStart w:id="707" w:name="_Toc31515"/>
      <w:bookmarkStart w:id="708" w:name="_Toc28817"/>
      <w:r>
        <w:rPr>
          <w:rFonts w:hint="eastAsia" w:ascii="微软雅黑" w:hAnsi="微软雅黑" w:eastAsia="微软雅黑" w:cs="微软雅黑"/>
          <w:b/>
          <w:bCs/>
          <w:color w:val="auto"/>
          <w:sz w:val="21"/>
          <w:szCs w:val="21"/>
        </w:rPr>
        <w:t>3</w:t>
      </w:r>
      <w:r>
        <w:rPr>
          <w:rFonts w:hint="eastAsia" w:ascii="微软雅黑" w:hAnsi="微软雅黑" w:eastAsia="微软雅黑" w:cs="微软雅黑"/>
          <w:b/>
          <w:bCs/>
          <w:color w:val="auto"/>
          <w:sz w:val="21"/>
          <w:szCs w:val="21"/>
          <w:lang w:eastAsia="zh-CN"/>
        </w:rPr>
        <w:t>、</w:t>
      </w:r>
      <w:r>
        <w:rPr>
          <w:rFonts w:hint="eastAsia" w:ascii="微软雅黑" w:hAnsi="微软雅黑" w:eastAsia="微软雅黑" w:cs="微软雅黑"/>
          <w:b/>
          <w:bCs/>
          <w:color w:val="auto"/>
          <w:sz w:val="21"/>
          <w:szCs w:val="21"/>
        </w:rPr>
        <w:t>货物说明一览表</w:t>
      </w:r>
      <w:bookmarkEnd w:id="701"/>
      <w:bookmarkEnd w:id="702"/>
      <w:bookmarkEnd w:id="703"/>
      <w:bookmarkEnd w:id="704"/>
      <w:bookmarkEnd w:id="705"/>
      <w:bookmarkEnd w:id="706"/>
      <w:bookmarkEnd w:id="707"/>
      <w:bookmarkEnd w:id="708"/>
    </w:p>
    <w:p>
      <w:pPr>
        <w:pStyle w:val="16"/>
        <w:spacing w:line="240" w:lineRule="atLeast"/>
        <w:jc w:val="left"/>
        <w:rPr>
          <w:rFonts w:hint="eastAsia" w:ascii="微软雅黑" w:hAnsi="微软雅黑" w:eastAsia="微软雅黑" w:cs="微软雅黑"/>
          <w:color w:val="auto"/>
        </w:rPr>
      </w:pPr>
    </w:p>
    <w:p>
      <w:pPr>
        <w:pStyle w:val="16"/>
        <w:spacing w:line="240" w:lineRule="atLeast"/>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项目编号:                      </w:t>
      </w:r>
      <w:r>
        <w:rPr>
          <w:rFonts w:hint="eastAsia" w:ascii="微软雅黑" w:hAnsi="微软雅黑" w:eastAsia="微软雅黑" w:cs="微软雅黑"/>
          <w:color w:val="auto"/>
          <w:sz w:val="24"/>
          <w:szCs w:val="24"/>
          <w:lang w:eastAsia="zh-CN"/>
        </w:rPr>
        <w:t>标段号</w:t>
      </w:r>
      <w:r>
        <w:rPr>
          <w:rFonts w:hint="eastAsia" w:ascii="微软雅黑" w:hAnsi="微软雅黑" w:eastAsia="微软雅黑" w:cs="微软雅黑"/>
          <w:color w:val="auto"/>
          <w:sz w:val="24"/>
          <w:szCs w:val="24"/>
        </w:rPr>
        <w:t xml:space="preserve">:                      </w:t>
      </w:r>
    </w:p>
    <w:p>
      <w:pPr>
        <w:pStyle w:val="16"/>
        <w:spacing w:line="240" w:lineRule="atLeast"/>
        <w:ind w:left="1080" w:leftChars="257" w:hanging="540"/>
        <w:rPr>
          <w:rFonts w:hint="eastAsia" w:ascii="微软雅黑" w:hAnsi="微软雅黑" w:eastAsia="微软雅黑" w:cs="微软雅黑"/>
          <w:color w:val="auto"/>
          <w:sz w:val="24"/>
          <w:szCs w:val="24"/>
        </w:rPr>
      </w:pPr>
    </w:p>
    <w:tbl>
      <w:tblPr>
        <w:tblStyle w:val="25"/>
        <w:tblW w:w="10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370"/>
        <w:gridCol w:w="1475"/>
        <w:gridCol w:w="1366"/>
        <w:gridCol w:w="1586"/>
        <w:gridCol w:w="223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141" w:type="dxa"/>
            <w:vAlign w:val="center"/>
          </w:tcPr>
          <w:p>
            <w:pPr>
              <w:widowControl/>
              <w:spacing w:line="400" w:lineRule="exact"/>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rPr>
              <w:t>序号</w:t>
            </w:r>
          </w:p>
        </w:tc>
        <w:tc>
          <w:tcPr>
            <w:tcW w:w="1370" w:type="dxa"/>
            <w:vAlign w:val="center"/>
          </w:tcPr>
          <w:p>
            <w:pPr>
              <w:widowControl/>
              <w:spacing w:line="400" w:lineRule="exact"/>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rPr>
              <w:t>货物名称</w:t>
            </w:r>
          </w:p>
        </w:tc>
        <w:tc>
          <w:tcPr>
            <w:tcW w:w="1475" w:type="dxa"/>
            <w:vAlign w:val="center"/>
          </w:tcPr>
          <w:p>
            <w:pPr>
              <w:widowControl/>
              <w:spacing w:line="400" w:lineRule="exact"/>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rPr>
              <w:t>规格型号</w:t>
            </w:r>
          </w:p>
        </w:tc>
        <w:tc>
          <w:tcPr>
            <w:tcW w:w="1366" w:type="dxa"/>
            <w:vAlign w:val="center"/>
          </w:tcPr>
          <w:p>
            <w:pPr>
              <w:widowControl/>
              <w:spacing w:line="400" w:lineRule="exact"/>
              <w:jc w:val="center"/>
              <w:textAlignment w:val="center"/>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数量</w:t>
            </w:r>
          </w:p>
        </w:tc>
        <w:tc>
          <w:tcPr>
            <w:tcW w:w="1586" w:type="dxa"/>
            <w:vAlign w:val="center"/>
          </w:tcPr>
          <w:p>
            <w:pPr>
              <w:widowControl/>
              <w:spacing w:line="400" w:lineRule="exact"/>
              <w:jc w:val="center"/>
              <w:textAlignment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交货期</w:t>
            </w:r>
          </w:p>
        </w:tc>
        <w:tc>
          <w:tcPr>
            <w:tcW w:w="2238" w:type="dxa"/>
            <w:vAlign w:val="center"/>
          </w:tcPr>
          <w:p>
            <w:pPr>
              <w:widowControl/>
              <w:spacing w:line="400" w:lineRule="exact"/>
              <w:jc w:val="center"/>
              <w:textAlignment w:val="center"/>
              <w:rPr>
                <w:rFonts w:hint="eastAsia" w:ascii="微软雅黑" w:hAnsi="微软雅黑" w:eastAsia="微软雅黑" w:cs="微软雅黑"/>
                <w:color w:val="auto"/>
                <w:sz w:val="24"/>
              </w:rPr>
            </w:pPr>
            <w:r>
              <w:rPr>
                <w:rFonts w:hint="eastAsia" w:ascii="微软雅黑" w:hAnsi="微软雅黑" w:eastAsia="微软雅黑" w:cs="微软雅黑"/>
                <w:color w:val="auto"/>
                <w:kern w:val="0"/>
                <w:sz w:val="24"/>
              </w:rPr>
              <w:t>交货地点</w:t>
            </w:r>
          </w:p>
        </w:tc>
        <w:tc>
          <w:tcPr>
            <w:tcW w:w="1232" w:type="dxa"/>
            <w:vAlign w:val="center"/>
          </w:tcPr>
          <w:p>
            <w:pPr>
              <w:widowControl/>
              <w:spacing w:line="400" w:lineRule="exact"/>
              <w:jc w:val="center"/>
              <w:textAlignment w:val="center"/>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6"/>
              <w:spacing w:line="400" w:lineRule="exac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6"/>
              <w:spacing w:line="400" w:lineRule="exac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6"/>
              <w:spacing w:line="400" w:lineRule="exac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6"/>
              <w:spacing w:line="400" w:lineRule="exac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6"/>
              <w:spacing w:line="400" w:lineRule="exac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jc w:val="center"/>
        </w:trPr>
        <w:tc>
          <w:tcPr>
            <w:tcW w:w="1141"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6"/>
              <w:spacing w:line="400" w:lineRule="exac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41"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70"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475"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36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586"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2238" w:type="dxa"/>
          </w:tcPr>
          <w:p>
            <w:pPr>
              <w:pStyle w:val="16"/>
              <w:spacing w:line="400" w:lineRule="exact"/>
              <w:ind w:left="1080" w:leftChars="257" w:hanging="540"/>
              <w:rPr>
                <w:rFonts w:hint="eastAsia" w:ascii="微软雅黑" w:hAnsi="微软雅黑" w:eastAsia="微软雅黑" w:cs="微软雅黑"/>
                <w:color w:val="auto"/>
                <w:sz w:val="24"/>
                <w:szCs w:val="24"/>
              </w:rPr>
            </w:pPr>
          </w:p>
        </w:tc>
        <w:tc>
          <w:tcPr>
            <w:tcW w:w="1232" w:type="dxa"/>
          </w:tcPr>
          <w:p>
            <w:pPr>
              <w:pStyle w:val="16"/>
              <w:spacing w:line="400" w:lineRule="exact"/>
              <w:ind w:left="1080" w:leftChars="257" w:hanging="540"/>
              <w:rPr>
                <w:rFonts w:hint="eastAsia" w:ascii="微软雅黑" w:hAnsi="微软雅黑" w:eastAsia="微软雅黑" w:cs="微软雅黑"/>
                <w:color w:val="auto"/>
                <w:sz w:val="24"/>
                <w:szCs w:val="24"/>
              </w:rPr>
            </w:pPr>
          </w:p>
        </w:tc>
      </w:tr>
    </w:tbl>
    <w:p>
      <w:pPr>
        <w:pStyle w:val="16"/>
        <w:spacing w:line="240" w:lineRule="atLeast"/>
        <w:ind w:left="1080" w:leftChars="257" w:hanging="540"/>
        <w:rPr>
          <w:rFonts w:hint="eastAsia" w:ascii="微软雅黑" w:hAnsi="微软雅黑" w:eastAsia="微软雅黑" w:cs="微软雅黑"/>
          <w:color w:val="auto"/>
          <w:sz w:val="24"/>
          <w:szCs w:val="24"/>
        </w:rPr>
      </w:pPr>
    </w:p>
    <w:p>
      <w:pPr>
        <w:pStyle w:val="16"/>
        <w:spacing w:line="240" w:lineRule="atLeast"/>
        <w:ind w:left="1080" w:leftChars="257" w:hanging="54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lang w:eastAsia="zh-CN"/>
        </w:rPr>
        <w:t>签字或盖章</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w:t>
      </w:r>
    </w:p>
    <w:p>
      <w:pPr>
        <w:pStyle w:val="16"/>
        <w:tabs>
          <w:tab w:val="left" w:pos="537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供应商(公章):</w:t>
      </w:r>
    </w:p>
    <w:p>
      <w:pPr>
        <w:pStyle w:val="16"/>
        <w:spacing w:line="240" w:lineRule="atLeast"/>
        <w:ind w:left="1080" w:leftChars="257" w:hanging="540"/>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注: 各项</w:t>
      </w:r>
      <w:r>
        <w:rPr>
          <w:rFonts w:hint="eastAsia" w:ascii="微软雅黑" w:hAnsi="微软雅黑" w:eastAsia="微软雅黑" w:cs="微软雅黑"/>
          <w:color w:val="auto"/>
          <w:sz w:val="24"/>
          <w:szCs w:val="24"/>
          <w:lang w:eastAsia="zh-CN"/>
        </w:rPr>
        <w:t>货物</w:t>
      </w:r>
      <w:r>
        <w:rPr>
          <w:rFonts w:hint="eastAsia" w:ascii="微软雅黑" w:hAnsi="微软雅黑" w:eastAsia="微软雅黑" w:cs="微软雅黑"/>
          <w:color w:val="auto"/>
          <w:sz w:val="24"/>
          <w:szCs w:val="24"/>
        </w:rPr>
        <w:t>详细技术性能应另页描述。</w:t>
      </w:r>
    </w:p>
    <w:p>
      <w:pPr>
        <w:pStyle w:val="16"/>
        <w:spacing w:line="240" w:lineRule="atLeast"/>
        <w:ind w:left="1080" w:leftChars="257" w:hanging="540"/>
        <w:jc w:val="center"/>
        <w:rPr>
          <w:rFonts w:hint="eastAsia" w:ascii="微软雅黑" w:hAnsi="微软雅黑" w:eastAsia="微软雅黑" w:cs="微软雅黑"/>
          <w:b/>
          <w:bCs/>
          <w:color w:val="auto"/>
          <w:sz w:val="24"/>
          <w:szCs w:val="24"/>
        </w:rPr>
      </w:pPr>
    </w:p>
    <w:p>
      <w:pPr>
        <w:pStyle w:val="16"/>
        <w:spacing w:line="240" w:lineRule="atLeast"/>
        <w:ind w:left="1080" w:leftChars="257" w:hanging="540"/>
        <w:jc w:val="center"/>
        <w:rPr>
          <w:rFonts w:hint="eastAsia" w:ascii="微软雅黑" w:hAnsi="微软雅黑" w:eastAsia="微软雅黑" w:cs="微软雅黑"/>
          <w:b/>
          <w:bCs/>
          <w:color w:val="auto"/>
          <w:sz w:val="24"/>
          <w:szCs w:val="24"/>
        </w:rPr>
      </w:pPr>
    </w:p>
    <w:p>
      <w:pPr>
        <w:pStyle w:val="16"/>
        <w:spacing w:line="240" w:lineRule="atLeast"/>
        <w:ind w:left="1080" w:leftChars="257" w:hanging="540"/>
        <w:jc w:val="center"/>
        <w:rPr>
          <w:rFonts w:hint="eastAsia" w:ascii="微软雅黑" w:hAnsi="微软雅黑" w:eastAsia="微软雅黑" w:cs="微软雅黑"/>
          <w:b/>
          <w:bCs/>
          <w:color w:val="auto"/>
          <w:sz w:val="24"/>
          <w:szCs w:val="24"/>
        </w:rPr>
      </w:pPr>
    </w:p>
    <w:p>
      <w:pPr>
        <w:pStyle w:val="16"/>
        <w:spacing w:line="240" w:lineRule="atLeast"/>
        <w:ind w:left="1080" w:leftChars="257" w:hanging="540"/>
        <w:jc w:val="center"/>
        <w:rPr>
          <w:rFonts w:hint="eastAsia" w:ascii="微软雅黑" w:hAnsi="微软雅黑" w:eastAsia="微软雅黑" w:cs="微软雅黑"/>
          <w:b/>
          <w:bCs/>
          <w:color w:val="auto"/>
          <w:sz w:val="24"/>
          <w:szCs w:val="24"/>
        </w:rPr>
      </w:pPr>
    </w:p>
    <w:p>
      <w:pPr>
        <w:pStyle w:val="16"/>
        <w:spacing w:line="240" w:lineRule="atLeast"/>
        <w:ind w:left="1080" w:leftChars="257" w:hanging="540"/>
        <w:jc w:val="center"/>
        <w:rPr>
          <w:rFonts w:hint="eastAsia" w:ascii="微软雅黑" w:hAnsi="微软雅黑" w:eastAsia="微软雅黑" w:cs="微软雅黑"/>
          <w:b/>
          <w:bCs/>
          <w:color w:val="auto"/>
          <w:sz w:val="24"/>
          <w:szCs w:val="24"/>
        </w:rPr>
      </w:pPr>
    </w:p>
    <w:p>
      <w:pPr>
        <w:pStyle w:val="16"/>
        <w:spacing w:line="240" w:lineRule="atLeast"/>
        <w:ind w:left="1080" w:leftChars="257" w:hanging="540"/>
        <w:jc w:val="center"/>
        <w:rPr>
          <w:rFonts w:hint="eastAsia" w:ascii="微软雅黑" w:hAnsi="微软雅黑" w:eastAsia="微软雅黑" w:cs="微软雅黑"/>
          <w:b/>
          <w:bCs/>
          <w:color w:val="auto"/>
          <w:sz w:val="24"/>
          <w:szCs w:val="24"/>
        </w:rPr>
      </w:pPr>
    </w:p>
    <w:p>
      <w:pPr>
        <w:pStyle w:val="16"/>
        <w:spacing w:line="240" w:lineRule="atLeast"/>
        <w:ind w:left="1080" w:leftChars="257" w:hanging="540"/>
        <w:jc w:val="center"/>
        <w:rPr>
          <w:rFonts w:hint="eastAsia" w:ascii="微软雅黑" w:hAnsi="微软雅黑" w:eastAsia="微软雅黑" w:cs="微软雅黑"/>
          <w:b/>
          <w:bCs/>
          <w:color w:val="auto"/>
          <w:sz w:val="24"/>
          <w:szCs w:val="24"/>
        </w:rPr>
      </w:pPr>
    </w:p>
    <w:p>
      <w:pPr>
        <w:pStyle w:val="16"/>
        <w:spacing w:line="240" w:lineRule="atLeast"/>
        <w:ind w:left="1080" w:leftChars="257" w:hanging="540"/>
        <w:jc w:val="center"/>
        <w:rPr>
          <w:rFonts w:hint="eastAsia" w:ascii="微软雅黑" w:hAnsi="微软雅黑" w:eastAsia="微软雅黑" w:cs="微软雅黑"/>
          <w:b/>
          <w:bCs/>
          <w:color w:val="auto"/>
          <w:sz w:val="24"/>
          <w:szCs w:val="24"/>
        </w:rPr>
      </w:pPr>
    </w:p>
    <w:p>
      <w:pPr>
        <w:pStyle w:val="16"/>
        <w:spacing w:line="240" w:lineRule="atLeast"/>
        <w:jc w:val="both"/>
        <w:rPr>
          <w:rFonts w:hint="eastAsia" w:ascii="微软雅黑" w:hAnsi="微软雅黑" w:eastAsia="微软雅黑" w:cs="微软雅黑"/>
          <w:b/>
          <w:bCs/>
          <w:color w:val="auto"/>
          <w:sz w:val="24"/>
          <w:szCs w:val="24"/>
        </w:rPr>
      </w:pPr>
    </w:p>
    <w:p>
      <w:pPr>
        <w:pStyle w:val="16"/>
        <w:spacing w:line="240" w:lineRule="atLeast"/>
        <w:ind w:left="1080" w:leftChars="257" w:hanging="540"/>
        <w:jc w:val="center"/>
        <w:rPr>
          <w:rFonts w:hint="eastAsia" w:ascii="微软雅黑" w:hAnsi="微软雅黑" w:eastAsia="微软雅黑" w:cs="微软雅黑"/>
          <w:b/>
          <w:bCs/>
          <w:color w:val="auto"/>
          <w:sz w:val="24"/>
          <w:szCs w:val="24"/>
        </w:rPr>
      </w:pPr>
    </w:p>
    <w:p>
      <w:pPr>
        <w:pStyle w:val="16"/>
        <w:spacing w:line="240" w:lineRule="atLeast"/>
        <w:ind w:left="1080" w:leftChars="257" w:hanging="540"/>
        <w:jc w:val="center"/>
        <w:outlineLvl w:val="1"/>
        <w:rPr>
          <w:rFonts w:hint="eastAsia" w:ascii="微软雅黑" w:hAnsi="微软雅黑" w:eastAsia="微软雅黑" w:cs="微软雅黑"/>
          <w:b/>
          <w:bCs/>
          <w:color w:val="auto"/>
          <w:sz w:val="24"/>
          <w:szCs w:val="24"/>
        </w:rPr>
      </w:pPr>
      <w:bookmarkStart w:id="709" w:name="_Toc13229"/>
      <w:bookmarkStart w:id="710" w:name="_Toc28414"/>
      <w:bookmarkStart w:id="711" w:name="_Toc23542"/>
      <w:bookmarkStart w:id="712" w:name="_Toc14544"/>
      <w:bookmarkStart w:id="713" w:name="_Toc13093"/>
      <w:bookmarkStart w:id="714" w:name="_Toc32666"/>
      <w:bookmarkStart w:id="715" w:name="_Toc3537"/>
      <w:bookmarkStart w:id="716" w:name="_Toc26490"/>
      <w:r>
        <w:rPr>
          <w:rFonts w:hint="eastAsia" w:ascii="微软雅黑" w:hAnsi="微软雅黑" w:eastAsia="微软雅黑" w:cs="微软雅黑"/>
          <w:b/>
          <w:bCs/>
          <w:color w:val="auto"/>
          <w:sz w:val="24"/>
          <w:szCs w:val="24"/>
        </w:rPr>
        <w:t>4</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技术规格偏离表</w:t>
      </w:r>
      <w:bookmarkEnd w:id="709"/>
      <w:bookmarkEnd w:id="710"/>
      <w:bookmarkEnd w:id="711"/>
      <w:bookmarkEnd w:id="712"/>
      <w:bookmarkEnd w:id="713"/>
      <w:bookmarkEnd w:id="714"/>
      <w:bookmarkEnd w:id="715"/>
      <w:bookmarkEnd w:id="716"/>
    </w:p>
    <w:p>
      <w:pPr>
        <w:pStyle w:val="16"/>
        <w:spacing w:line="240" w:lineRule="atLeast"/>
        <w:ind w:left="1080" w:leftChars="257" w:hanging="540"/>
        <w:rPr>
          <w:rFonts w:hint="eastAsia" w:ascii="微软雅黑" w:hAnsi="微软雅黑" w:eastAsia="微软雅黑" w:cs="微软雅黑"/>
          <w:color w:val="auto"/>
          <w:sz w:val="24"/>
          <w:szCs w:val="24"/>
        </w:rPr>
      </w:pPr>
    </w:p>
    <w:p>
      <w:pPr>
        <w:pStyle w:val="16"/>
        <w:spacing w:line="240" w:lineRule="atLeas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项目编号:                 </w:t>
      </w:r>
      <w:r>
        <w:rPr>
          <w:rFonts w:hint="eastAsia" w:ascii="微软雅黑" w:hAnsi="微软雅黑" w:eastAsia="微软雅黑" w:cs="微软雅黑"/>
          <w:color w:val="auto"/>
          <w:sz w:val="24"/>
          <w:szCs w:val="24"/>
          <w:lang w:eastAsia="zh-CN"/>
        </w:rPr>
        <w:t>标段号</w:t>
      </w:r>
      <w:r>
        <w:rPr>
          <w:rFonts w:hint="eastAsia" w:ascii="微软雅黑" w:hAnsi="微软雅黑" w:eastAsia="微软雅黑" w:cs="微软雅黑"/>
          <w:color w:val="auto"/>
          <w:sz w:val="24"/>
          <w:szCs w:val="24"/>
        </w:rPr>
        <w:t>:</w:t>
      </w:r>
    </w:p>
    <w:p>
      <w:pPr>
        <w:pStyle w:val="16"/>
        <w:spacing w:line="240" w:lineRule="atLeast"/>
        <w:ind w:left="1080" w:leftChars="257" w:hanging="540"/>
        <w:rPr>
          <w:rFonts w:hint="eastAsia" w:ascii="微软雅黑" w:hAnsi="微软雅黑" w:eastAsia="微软雅黑" w:cs="微软雅黑"/>
          <w:color w:val="auto"/>
          <w:sz w:val="24"/>
          <w:szCs w:val="24"/>
        </w:rPr>
      </w:pPr>
    </w:p>
    <w:tbl>
      <w:tblPr>
        <w:tblStyle w:val="2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6"/>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330" w:type="dxa"/>
            <w:vAlign w:val="center"/>
          </w:tcPr>
          <w:p>
            <w:pPr>
              <w:pStyle w:val="16"/>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货物名称</w:t>
            </w:r>
          </w:p>
        </w:tc>
        <w:tc>
          <w:tcPr>
            <w:tcW w:w="2472" w:type="dxa"/>
            <w:vAlign w:val="center"/>
          </w:tcPr>
          <w:p>
            <w:pPr>
              <w:pStyle w:val="16"/>
              <w:spacing w:line="240" w:lineRule="atLeast"/>
              <w:ind w:left="269" w:leftChars="128"/>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招标文件条款号</w:t>
            </w:r>
          </w:p>
        </w:tc>
        <w:tc>
          <w:tcPr>
            <w:tcW w:w="1331" w:type="dxa"/>
            <w:vAlign w:val="center"/>
          </w:tcPr>
          <w:p>
            <w:pPr>
              <w:pStyle w:val="16"/>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招标规格</w:t>
            </w:r>
          </w:p>
        </w:tc>
        <w:tc>
          <w:tcPr>
            <w:tcW w:w="1331" w:type="dxa"/>
            <w:vAlign w:val="center"/>
          </w:tcPr>
          <w:p>
            <w:pPr>
              <w:pStyle w:val="16"/>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投标规格</w:t>
            </w:r>
          </w:p>
        </w:tc>
        <w:tc>
          <w:tcPr>
            <w:tcW w:w="950" w:type="dxa"/>
            <w:vAlign w:val="center"/>
          </w:tcPr>
          <w:p>
            <w:pPr>
              <w:pStyle w:val="16"/>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偏离</w:t>
            </w:r>
          </w:p>
        </w:tc>
        <w:tc>
          <w:tcPr>
            <w:tcW w:w="951" w:type="dxa"/>
            <w:vAlign w:val="center"/>
          </w:tcPr>
          <w:p>
            <w:pPr>
              <w:pStyle w:val="16"/>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472"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331"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951"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bl>
    <w:p>
      <w:pPr>
        <w:pStyle w:val="16"/>
        <w:spacing w:line="240" w:lineRule="atLeast"/>
        <w:rPr>
          <w:rFonts w:hint="eastAsia" w:ascii="微软雅黑" w:hAnsi="微软雅黑" w:eastAsia="微软雅黑" w:cs="微软雅黑"/>
          <w:color w:val="auto"/>
          <w:sz w:val="24"/>
          <w:szCs w:val="24"/>
        </w:rPr>
      </w:pPr>
    </w:p>
    <w:p>
      <w:pPr>
        <w:pStyle w:val="16"/>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lang w:eastAsia="zh-CN"/>
        </w:rPr>
        <w:t>签字或盖章</w:t>
      </w:r>
      <w:r>
        <w:rPr>
          <w:rFonts w:hint="eastAsia" w:ascii="微软雅黑" w:hAnsi="微软雅黑" w:eastAsia="微软雅黑" w:cs="微软雅黑"/>
          <w:color w:val="auto"/>
          <w:sz w:val="24"/>
          <w:szCs w:val="24"/>
        </w:rPr>
        <w:t>）:</w:t>
      </w:r>
    </w:p>
    <w:p>
      <w:pPr>
        <w:pStyle w:val="16"/>
        <w:tabs>
          <w:tab w:val="left" w:pos="5370"/>
        </w:tabs>
        <w:spacing w:line="240" w:lineRule="atLeast"/>
        <w:ind w:left="1080" w:leftChars="257" w:hanging="540"/>
        <w:rPr>
          <w:rFonts w:hint="eastAsia" w:ascii="微软雅黑" w:hAnsi="微软雅黑" w:eastAsia="微软雅黑" w:cs="微软雅黑"/>
          <w:b/>
          <w:bCs/>
          <w:color w:val="auto"/>
          <w:sz w:val="22"/>
          <w:szCs w:val="22"/>
        </w:rPr>
      </w:pPr>
      <w:r>
        <w:rPr>
          <w:rFonts w:hint="eastAsia" w:ascii="微软雅黑" w:hAnsi="微软雅黑" w:eastAsia="微软雅黑" w:cs="微软雅黑"/>
          <w:color w:val="auto"/>
          <w:sz w:val="24"/>
          <w:szCs w:val="24"/>
        </w:rPr>
        <w:t>供应商(公章):</w:t>
      </w:r>
    </w:p>
    <w:bookmarkEnd w:id="687"/>
    <w:bookmarkEnd w:id="688"/>
    <w:bookmarkEnd w:id="689"/>
    <w:bookmarkEnd w:id="690"/>
    <w:p>
      <w:pPr>
        <w:spacing w:line="240" w:lineRule="atLeast"/>
        <w:ind w:firstLine="2310" w:firstLineChars="1100"/>
        <w:rPr>
          <w:rFonts w:hint="eastAsia" w:ascii="微软雅黑" w:hAnsi="微软雅黑" w:eastAsia="微软雅黑" w:cs="微软雅黑"/>
          <w:color w:val="auto"/>
        </w:rPr>
      </w:pPr>
      <w:bookmarkStart w:id="717" w:name="_Toc216582818"/>
      <w:bookmarkStart w:id="718" w:name="_Toc23"/>
      <w:bookmarkStart w:id="719" w:name="_Toc31439"/>
      <w:bookmarkStart w:id="720" w:name="_Toc1980"/>
      <w:bookmarkStart w:id="721" w:name="_Toc515647821"/>
    </w:p>
    <w:p>
      <w:pPr>
        <w:spacing w:line="240" w:lineRule="atLeast"/>
        <w:ind w:firstLine="2310" w:firstLineChars="1100"/>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10"/>
        <w:rPr>
          <w:rFonts w:hint="eastAsia" w:ascii="微软雅黑" w:hAnsi="微软雅黑" w:eastAsia="微软雅黑" w:cs="微软雅黑"/>
          <w:color w:val="auto"/>
          <w:sz w:val="21"/>
          <w:szCs w:val="21"/>
        </w:rPr>
      </w:pPr>
    </w:p>
    <w:p>
      <w:pPr>
        <w:pStyle w:val="10"/>
        <w:rPr>
          <w:rFonts w:hint="eastAsia" w:ascii="微软雅黑" w:hAnsi="微软雅黑" w:eastAsia="微软雅黑" w:cs="微软雅黑"/>
          <w:color w:val="auto"/>
          <w:sz w:val="21"/>
          <w:szCs w:val="21"/>
        </w:rPr>
      </w:pPr>
    </w:p>
    <w:p>
      <w:pPr>
        <w:pStyle w:val="10"/>
        <w:rPr>
          <w:rFonts w:hint="eastAsia" w:ascii="微软雅黑" w:hAnsi="微软雅黑" w:eastAsia="微软雅黑" w:cs="微软雅黑"/>
          <w:color w:val="auto"/>
          <w:sz w:val="21"/>
          <w:szCs w:val="21"/>
        </w:rPr>
      </w:pPr>
    </w:p>
    <w:p>
      <w:pPr>
        <w:pStyle w:val="10"/>
        <w:rPr>
          <w:rFonts w:hint="eastAsia" w:ascii="微软雅黑" w:hAnsi="微软雅黑" w:eastAsia="微软雅黑" w:cs="微软雅黑"/>
          <w:color w:val="auto"/>
          <w:sz w:val="21"/>
          <w:szCs w:val="21"/>
        </w:rPr>
      </w:pPr>
    </w:p>
    <w:p>
      <w:pPr>
        <w:pStyle w:val="10"/>
        <w:rPr>
          <w:rFonts w:hint="eastAsia" w:ascii="微软雅黑" w:hAnsi="微软雅黑" w:eastAsia="微软雅黑" w:cs="微软雅黑"/>
          <w:color w:val="auto"/>
          <w:sz w:val="21"/>
          <w:szCs w:val="21"/>
        </w:rPr>
      </w:pPr>
    </w:p>
    <w:p>
      <w:pPr>
        <w:pStyle w:val="10"/>
        <w:rPr>
          <w:rFonts w:hint="eastAsia" w:ascii="微软雅黑" w:hAnsi="微软雅黑" w:eastAsia="微软雅黑" w:cs="微软雅黑"/>
          <w:color w:val="auto"/>
          <w:sz w:val="21"/>
          <w:szCs w:val="21"/>
        </w:rPr>
      </w:pPr>
    </w:p>
    <w:p>
      <w:pPr>
        <w:spacing w:line="240" w:lineRule="atLeast"/>
        <w:ind w:firstLine="2310" w:firstLineChars="1100"/>
        <w:rPr>
          <w:rFonts w:hint="eastAsia" w:ascii="微软雅黑" w:hAnsi="微软雅黑" w:eastAsia="微软雅黑" w:cs="微软雅黑"/>
          <w:color w:val="auto"/>
        </w:rPr>
      </w:pPr>
    </w:p>
    <w:p>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rPr>
        <w:br w:type="page"/>
      </w:r>
    </w:p>
    <w:bookmarkEnd w:id="717"/>
    <w:bookmarkEnd w:id="718"/>
    <w:bookmarkEnd w:id="719"/>
    <w:bookmarkEnd w:id="720"/>
    <w:bookmarkEnd w:id="721"/>
    <w:p>
      <w:pPr>
        <w:pStyle w:val="4"/>
        <w:spacing w:before="0" w:line="240" w:lineRule="atLeast"/>
        <w:rPr>
          <w:rFonts w:hint="eastAsia" w:ascii="微软雅黑" w:hAnsi="微软雅黑" w:eastAsia="微软雅黑" w:cs="微软雅黑"/>
          <w:b/>
          <w:bCs/>
          <w:color w:val="auto"/>
          <w:kern w:val="2"/>
          <w:sz w:val="24"/>
          <w:szCs w:val="24"/>
        </w:rPr>
      </w:pPr>
      <w:bookmarkStart w:id="722" w:name="_Toc7965"/>
      <w:bookmarkStart w:id="723" w:name="_Toc14878"/>
      <w:bookmarkStart w:id="724" w:name="_Toc26970"/>
      <w:bookmarkStart w:id="725" w:name="_Toc1896"/>
      <w:bookmarkStart w:id="726" w:name="_Toc28566"/>
      <w:bookmarkStart w:id="727" w:name="_Toc24526"/>
      <w:bookmarkStart w:id="728" w:name="_Toc29782"/>
      <w:bookmarkStart w:id="729" w:name="_Toc22640"/>
      <w:r>
        <w:rPr>
          <w:rFonts w:hint="eastAsia" w:ascii="微软雅黑" w:hAnsi="微软雅黑" w:eastAsia="微软雅黑" w:cs="微软雅黑"/>
          <w:b/>
          <w:bCs/>
          <w:color w:val="auto"/>
          <w:kern w:val="2"/>
          <w:sz w:val="24"/>
          <w:szCs w:val="24"/>
        </w:rPr>
        <w:t>5</w:t>
      </w:r>
      <w:r>
        <w:rPr>
          <w:rFonts w:hint="eastAsia" w:ascii="微软雅黑" w:hAnsi="微软雅黑" w:eastAsia="微软雅黑" w:cs="微软雅黑"/>
          <w:b/>
          <w:bCs/>
          <w:color w:val="auto"/>
          <w:kern w:val="2"/>
          <w:sz w:val="24"/>
          <w:szCs w:val="24"/>
          <w:lang w:eastAsia="zh-CN"/>
        </w:rPr>
        <w:t>、</w:t>
      </w:r>
      <w:r>
        <w:rPr>
          <w:rFonts w:hint="eastAsia" w:ascii="微软雅黑" w:hAnsi="微软雅黑" w:eastAsia="微软雅黑" w:cs="微软雅黑"/>
          <w:b/>
          <w:bCs/>
          <w:color w:val="auto"/>
          <w:kern w:val="2"/>
          <w:sz w:val="24"/>
          <w:szCs w:val="24"/>
        </w:rPr>
        <w:t>商务条款偏离表</w:t>
      </w:r>
      <w:bookmarkEnd w:id="722"/>
      <w:bookmarkEnd w:id="723"/>
      <w:bookmarkEnd w:id="724"/>
      <w:bookmarkEnd w:id="725"/>
      <w:bookmarkEnd w:id="726"/>
      <w:bookmarkEnd w:id="727"/>
      <w:bookmarkEnd w:id="728"/>
      <w:bookmarkEnd w:id="729"/>
    </w:p>
    <w:p>
      <w:pPr>
        <w:pStyle w:val="16"/>
        <w:spacing w:line="240" w:lineRule="atLeast"/>
        <w:ind w:left="1080" w:leftChars="257" w:hanging="540"/>
        <w:rPr>
          <w:rFonts w:hint="eastAsia" w:ascii="微软雅黑" w:hAnsi="微软雅黑" w:eastAsia="微软雅黑" w:cs="微软雅黑"/>
          <w:color w:val="auto"/>
          <w:sz w:val="24"/>
          <w:szCs w:val="24"/>
        </w:rPr>
      </w:pPr>
    </w:p>
    <w:p>
      <w:pPr>
        <w:pStyle w:val="16"/>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项目编号:             </w:t>
      </w:r>
      <w:r>
        <w:rPr>
          <w:rFonts w:hint="eastAsia" w:ascii="微软雅黑" w:hAnsi="微软雅黑" w:eastAsia="微软雅黑" w:cs="微软雅黑"/>
          <w:color w:val="auto"/>
          <w:sz w:val="24"/>
          <w:szCs w:val="24"/>
          <w:lang w:eastAsia="zh-CN"/>
        </w:rPr>
        <w:t>标段号</w:t>
      </w:r>
      <w:r>
        <w:rPr>
          <w:rFonts w:hint="eastAsia" w:ascii="微软雅黑" w:hAnsi="微软雅黑" w:eastAsia="微软雅黑" w:cs="微软雅黑"/>
          <w:color w:val="auto"/>
          <w:sz w:val="24"/>
          <w:szCs w:val="24"/>
        </w:rPr>
        <w:t>:</w:t>
      </w:r>
    </w:p>
    <w:p>
      <w:pPr>
        <w:pStyle w:val="16"/>
        <w:spacing w:line="240" w:lineRule="atLeast"/>
        <w:ind w:left="1080" w:leftChars="257" w:hanging="540"/>
        <w:rPr>
          <w:rFonts w:hint="eastAsia" w:ascii="微软雅黑" w:hAnsi="微软雅黑" w:eastAsia="微软雅黑" w:cs="微软雅黑"/>
          <w:color w:val="auto"/>
          <w:sz w:val="24"/>
          <w:szCs w:val="24"/>
        </w:rPr>
      </w:pPr>
    </w:p>
    <w:tbl>
      <w:tblPr>
        <w:tblStyle w:val="2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2040" w:type="dxa"/>
          </w:tcPr>
          <w:p>
            <w:pPr>
              <w:pStyle w:val="16"/>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招标文件条款号</w:t>
            </w:r>
          </w:p>
        </w:tc>
        <w:tc>
          <w:tcPr>
            <w:tcW w:w="2520" w:type="dxa"/>
          </w:tcPr>
          <w:p>
            <w:pPr>
              <w:pStyle w:val="16"/>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招标文件的商务条款</w:t>
            </w:r>
          </w:p>
        </w:tc>
        <w:tc>
          <w:tcPr>
            <w:tcW w:w="2520" w:type="dxa"/>
          </w:tcPr>
          <w:p>
            <w:pPr>
              <w:pStyle w:val="16"/>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投标文件的商务条款</w:t>
            </w:r>
          </w:p>
        </w:tc>
        <w:tc>
          <w:tcPr>
            <w:tcW w:w="1014" w:type="dxa"/>
          </w:tcPr>
          <w:p>
            <w:pPr>
              <w:pStyle w:val="16"/>
              <w:spacing w:line="240" w:lineRule="atLeas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jc w:val="center"/>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jc w:val="center"/>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04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2520" w:type="dxa"/>
          </w:tcPr>
          <w:p>
            <w:pPr>
              <w:pStyle w:val="16"/>
              <w:spacing w:line="240" w:lineRule="atLeast"/>
              <w:ind w:left="1080" w:leftChars="257" w:hanging="540"/>
              <w:rPr>
                <w:rFonts w:hint="eastAsia" w:ascii="微软雅黑" w:hAnsi="微软雅黑" w:eastAsia="微软雅黑" w:cs="微软雅黑"/>
                <w:color w:val="auto"/>
                <w:sz w:val="24"/>
                <w:szCs w:val="24"/>
              </w:rPr>
            </w:pPr>
          </w:p>
        </w:tc>
        <w:tc>
          <w:tcPr>
            <w:tcW w:w="1014" w:type="dxa"/>
          </w:tcPr>
          <w:p>
            <w:pPr>
              <w:pStyle w:val="16"/>
              <w:spacing w:line="240" w:lineRule="atLeast"/>
              <w:ind w:left="1080" w:leftChars="257" w:hanging="540"/>
              <w:rPr>
                <w:rFonts w:hint="eastAsia" w:ascii="微软雅黑" w:hAnsi="微软雅黑" w:eastAsia="微软雅黑" w:cs="微软雅黑"/>
                <w:color w:val="auto"/>
                <w:sz w:val="24"/>
                <w:szCs w:val="24"/>
              </w:rPr>
            </w:pPr>
          </w:p>
        </w:tc>
      </w:tr>
    </w:tbl>
    <w:p>
      <w:pPr>
        <w:pStyle w:val="16"/>
        <w:spacing w:line="240" w:lineRule="atLeast"/>
        <w:ind w:left="1080" w:leftChars="257" w:hanging="540"/>
        <w:rPr>
          <w:rFonts w:hint="eastAsia" w:ascii="微软雅黑" w:hAnsi="微软雅黑" w:eastAsia="微软雅黑" w:cs="微软雅黑"/>
          <w:color w:val="auto"/>
          <w:sz w:val="24"/>
          <w:szCs w:val="24"/>
        </w:rPr>
      </w:pPr>
    </w:p>
    <w:p>
      <w:pPr>
        <w:pStyle w:val="16"/>
        <w:spacing w:line="240" w:lineRule="atLeast"/>
        <w:ind w:left="1080" w:leftChars="257" w:hanging="540"/>
        <w:rPr>
          <w:rFonts w:hint="eastAsia" w:ascii="微软雅黑" w:hAnsi="微软雅黑" w:eastAsia="微软雅黑" w:cs="微软雅黑"/>
          <w:color w:val="auto"/>
          <w:sz w:val="24"/>
          <w:szCs w:val="24"/>
        </w:rPr>
      </w:pPr>
    </w:p>
    <w:p>
      <w:pPr>
        <w:pStyle w:val="16"/>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lang w:eastAsia="zh-CN"/>
        </w:rPr>
        <w:t>签字或盖章</w:t>
      </w:r>
      <w:r>
        <w:rPr>
          <w:rFonts w:hint="eastAsia" w:ascii="微软雅黑" w:hAnsi="微软雅黑" w:eastAsia="微软雅黑" w:cs="微软雅黑"/>
          <w:color w:val="auto"/>
          <w:sz w:val="24"/>
          <w:szCs w:val="24"/>
        </w:rPr>
        <w:t>）:</w:t>
      </w:r>
    </w:p>
    <w:p>
      <w:pPr>
        <w:pStyle w:val="16"/>
        <w:tabs>
          <w:tab w:val="left" w:pos="5370"/>
        </w:tabs>
        <w:spacing w:line="240" w:lineRule="atLeast"/>
        <w:ind w:left="1080" w:leftChars="257" w:hanging="54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供应商(公章):</w:t>
      </w:r>
    </w:p>
    <w:p>
      <w:pPr>
        <w:pStyle w:val="16"/>
        <w:spacing w:line="240" w:lineRule="atLeast"/>
        <w:ind w:left="1080" w:leftChars="257" w:hanging="540"/>
        <w:rPr>
          <w:rFonts w:hint="eastAsia" w:ascii="微软雅黑" w:hAnsi="微软雅黑" w:eastAsia="微软雅黑" w:cs="微软雅黑"/>
          <w:color w:val="auto"/>
        </w:rPr>
      </w:pPr>
      <w:r>
        <w:rPr>
          <w:rFonts w:hint="eastAsia" w:ascii="微软雅黑" w:hAnsi="微软雅黑" w:eastAsia="微软雅黑" w:cs="微软雅黑"/>
          <w:color w:val="auto"/>
          <w:u w:val="single"/>
        </w:rPr>
        <w:br w:type="page"/>
      </w:r>
    </w:p>
    <w:p>
      <w:pPr>
        <w:pStyle w:val="4"/>
        <w:spacing w:before="0" w:line="240" w:lineRule="atLeast"/>
        <w:jc w:val="center"/>
        <w:rPr>
          <w:rFonts w:hint="eastAsia" w:ascii="微软雅黑" w:hAnsi="微软雅黑" w:eastAsia="微软雅黑" w:cs="微软雅黑"/>
          <w:b/>
          <w:bCs/>
          <w:color w:val="auto"/>
          <w:sz w:val="22"/>
          <w:szCs w:val="22"/>
        </w:rPr>
      </w:pPr>
      <w:bookmarkStart w:id="730" w:name="_Hlt520274065"/>
      <w:bookmarkEnd w:id="730"/>
      <w:bookmarkStart w:id="731" w:name="_Hlt520343392"/>
      <w:bookmarkEnd w:id="731"/>
      <w:bookmarkStart w:id="732" w:name="_Hlt520271212"/>
      <w:bookmarkEnd w:id="732"/>
      <w:bookmarkStart w:id="733" w:name="_Hlt520274407"/>
      <w:bookmarkEnd w:id="733"/>
      <w:bookmarkStart w:id="734" w:name="_Hlt520273973"/>
      <w:bookmarkEnd w:id="734"/>
      <w:bookmarkStart w:id="735" w:name="_Hlt520274393"/>
      <w:bookmarkEnd w:id="735"/>
      <w:bookmarkStart w:id="736" w:name="_Hlt520343000"/>
      <w:bookmarkEnd w:id="736"/>
      <w:bookmarkStart w:id="737" w:name="_Hlt520350918"/>
      <w:bookmarkEnd w:id="737"/>
      <w:bookmarkStart w:id="738" w:name="_Hlt520273711"/>
      <w:bookmarkEnd w:id="738"/>
      <w:bookmarkStart w:id="739" w:name="_Hlt520350957"/>
      <w:bookmarkEnd w:id="739"/>
      <w:bookmarkStart w:id="740" w:name="_Hlt520274911"/>
      <w:bookmarkEnd w:id="740"/>
      <w:bookmarkStart w:id="741" w:name="_Toc10079"/>
      <w:bookmarkStart w:id="742" w:name="_Toc3844"/>
      <w:bookmarkStart w:id="743" w:name="_Toc4073"/>
      <w:bookmarkStart w:id="744" w:name="_Toc515647823"/>
      <w:bookmarkStart w:id="745" w:name="_Toc13462"/>
      <w:bookmarkStart w:id="746" w:name="_Toc21312"/>
      <w:bookmarkStart w:id="747" w:name="_Toc18923"/>
      <w:bookmarkStart w:id="748" w:name="_Toc6881"/>
      <w:bookmarkStart w:id="749" w:name="_Toc17820"/>
      <w:bookmarkStart w:id="750" w:name="_Toc8638"/>
      <w:bookmarkStart w:id="751" w:name="_Toc10725"/>
      <w:bookmarkStart w:id="752" w:name="_Toc15213"/>
      <w:bookmarkStart w:id="753" w:name="_Toc21482"/>
      <w:bookmarkStart w:id="754" w:name="_Toc16929"/>
      <w:bookmarkStart w:id="755" w:name="_Toc8921"/>
      <w:r>
        <w:rPr>
          <w:rFonts w:hint="eastAsia" w:ascii="微软雅黑" w:hAnsi="微软雅黑" w:eastAsia="微软雅黑" w:cs="微软雅黑"/>
          <w:b/>
          <w:bCs/>
          <w:color w:val="auto"/>
          <w:kern w:val="2"/>
          <w:sz w:val="22"/>
          <w:szCs w:val="22"/>
        </w:rPr>
        <w:t xml:space="preserve">6-1  </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Pr>
          <w:rFonts w:hint="eastAsia" w:ascii="微软雅黑" w:hAnsi="微软雅黑" w:eastAsia="微软雅黑" w:cs="微软雅黑"/>
          <w:b/>
          <w:bCs/>
          <w:color w:val="auto"/>
          <w:sz w:val="22"/>
          <w:szCs w:val="22"/>
        </w:rPr>
        <w:t>中小企业声明函</w:t>
      </w:r>
      <w:bookmarkEnd w:id="755"/>
    </w:p>
    <w:p>
      <w:pPr>
        <w:spacing w:line="240" w:lineRule="atLeast"/>
        <w:ind w:left="1080" w:leftChars="257" w:hanging="540"/>
        <w:jc w:val="center"/>
        <w:rPr>
          <w:rFonts w:hint="eastAsia" w:ascii="微软雅黑" w:hAnsi="微软雅黑" w:eastAsia="微软雅黑" w:cs="微软雅黑"/>
          <w:b/>
          <w:bCs/>
          <w:color w:val="auto"/>
          <w:kern w:val="0"/>
          <w:sz w:val="22"/>
          <w:szCs w:val="22"/>
        </w:rPr>
      </w:pP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rPr>
        <w:t>本公司（联合体）郑重声明，根据《政府采购促进中小企业发展管理办法》（财库﹝2020﹞46 号）的规定，本公司（联合体）参加（单位名称）的（项目名称）采购活动，提     供的货物全部由符合政策要求的中小企业制造。相关企业（含联合体中的中小企业、签订分包意向协议的中小企业） 的具体情况如下：</w:t>
      </w: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rPr>
        <w:t xml:space="preserve"> </w:t>
      </w:r>
      <w:r>
        <w:rPr>
          <w:rFonts w:hint="eastAsia" w:ascii="微软雅黑" w:hAnsi="微软雅黑" w:eastAsia="微软雅黑" w:cs="微软雅黑"/>
          <w:color w:val="auto"/>
          <w:lang w:val="en-US" w:eastAsia="zh-CN"/>
        </w:rPr>
        <w:t>1、</w:t>
      </w:r>
      <w:r>
        <w:rPr>
          <w:rFonts w:hint="eastAsia" w:ascii="微软雅黑" w:hAnsi="微软雅黑" w:eastAsia="微软雅黑" w:cs="微软雅黑"/>
          <w:color w:val="auto"/>
        </w:rPr>
        <w:t xml:space="preserve">（ 标 的 名 称 ） ， 属 于 （ 采 购 文 件 中 明 确 的 所 属 行 业 ） 行业；制造商为（企业名称），从业人员 </w:t>
      </w:r>
      <w:r>
        <w:rPr>
          <w:rFonts w:hint="eastAsia" w:ascii="微软雅黑" w:hAnsi="微软雅黑" w:eastAsia="微软雅黑" w:cs="微软雅黑"/>
          <w:color w:val="auto"/>
        </w:rPr>
        <w:tab/>
      </w:r>
      <w:r>
        <w:rPr>
          <w:rFonts w:hint="eastAsia" w:ascii="微软雅黑" w:hAnsi="微软雅黑" w:eastAsia="微软雅黑" w:cs="微软雅黑"/>
          <w:color w:val="auto"/>
        </w:rPr>
        <w:t xml:space="preserve">人，营业收入为 </w:t>
      </w:r>
      <w:r>
        <w:rPr>
          <w:rFonts w:hint="eastAsia" w:ascii="微软雅黑" w:hAnsi="微软雅黑" w:eastAsia="微软雅黑" w:cs="微软雅黑"/>
          <w:color w:val="auto"/>
        </w:rPr>
        <w:tab/>
      </w:r>
      <w:r>
        <w:rPr>
          <w:rFonts w:hint="eastAsia" w:ascii="微软雅黑" w:hAnsi="微软雅黑" w:eastAsia="微软雅黑" w:cs="微软雅黑"/>
          <w:color w:val="auto"/>
        </w:rPr>
        <w:t xml:space="preserve">万元，资产总额为 </w:t>
      </w:r>
      <w:r>
        <w:rPr>
          <w:rFonts w:hint="eastAsia" w:ascii="微软雅黑" w:hAnsi="微软雅黑" w:eastAsia="微软雅黑" w:cs="微软雅黑"/>
          <w:color w:val="auto"/>
        </w:rPr>
        <w:tab/>
      </w:r>
      <w:r>
        <w:rPr>
          <w:rFonts w:hint="eastAsia" w:ascii="微软雅黑" w:hAnsi="微软雅黑" w:eastAsia="微软雅黑" w:cs="微软雅黑"/>
          <w:color w:val="auto"/>
        </w:rPr>
        <w:t>万元</w:t>
      </w: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\l "_bookmark0"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rPr>
        <w:t>1</w:t>
      </w:r>
      <w:r>
        <w:rPr>
          <w:rFonts w:hint="eastAsia" w:ascii="微软雅黑" w:hAnsi="微软雅黑" w:eastAsia="微软雅黑" w:cs="微软雅黑"/>
          <w:color w:val="auto"/>
        </w:rPr>
        <w:fldChar w:fldCharType="end"/>
      </w:r>
      <w:r>
        <w:rPr>
          <w:rFonts w:hint="eastAsia" w:ascii="微软雅黑" w:hAnsi="微软雅黑" w:eastAsia="微软雅黑" w:cs="微软雅黑"/>
          <w:color w:val="auto"/>
        </w:rPr>
        <w:t>，属于（中型企业、小型企业、微型企业）；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2、</w:t>
      </w:r>
      <w:r>
        <w:rPr>
          <w:rFonts w:hint="eastAsia" w:ascii="微软雅黑" w:hAnsi="微软雅黑" w:eastAsia="微软雅黑" w:cs="微软雅黑"/>
          <w:color w:val="auto"/>
        </w:rPr>
        <w:t xml:space="preserve">（ 标 的 名 称 ） ， 属 于 （ 采 购 文 件 中 明 确 的 所 属 行 业 ） 行业；制造商为（企业名称），从业人员 </w:t>
      </w:r>
      <w:r>
        <w:rPr>
          <w:rFonts w:hint="eastAsia" w:ascii="微软雅黑" w:hAnsi="微软雅黑" w:eastAsia="微软雅黑" w:cs="微软雅黑"/>
          <w:color w:val="auto"/>
        </w:rPr>
        <w:tab/>
      </w:r>
      <w:r>
        <w:rPr>
          <w:rFonts w:hint="eastAsia" w:ascii="微软雅黑" w:hAnsi="微软雅黑" w:eastAsia="微软雅黑" w:cs="微软雅黑"/>
          <w:color w:val="auto"/>
        </w:rPr>
        <w:t xml:space="preserve">人，营业收入为 </w:t>
      </w:r>
      <w:r>
        <w:rPr>
          <w:rFonts w:hint="eastAsia" w:ascii="微软雅黑" w:hAnsi="微软雅黑" w:eastAsia="微软雅黑" w:cs="微软雅黑"/>
          <w:color w:val="auto"/>
        </w:rPr>
        <w:tab/>
      </w:r>
      <w:r>
        <w:rPr>
          <w:rFonts w:hint="eastAsia" w:ascii="微软雅黑" w:hAnsi="微软雅黑" w:eastAsia="微软雅黑" w:cs="微软雅黑"/>
          <w:color w:val="auto"/>
        </w:rPr>
        <w:t xml:space="preserve">万元，资产总额为 </w:t>
      </w:r>
      <w:r>
        <w:rPr>
          <w:rFonts w:hint="eastAsia" w:ascii="微软雅黑" w:hAnsi="微软雅黑" w:eastAsia="微软雅黑" w:cs="微软雅黑"/>
          <w:color w:val="auto"/>
        </w:rPr>
        <w:tab/>
      </w:r>
      <w:r>
        <w:rPr>
          <w:rFonts w:hint="eastAsia" w:ascii="微软雅黑" w:hAnsi="微软雅黑" w:eastAsia="微软雅黑" w:cs="微软雅黑"/>
          <w:color w:val="auto"/>
        </w:rPr>
        <w:t>万元，属于（中型企业、小型企业、微型企业）；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rPr>
        <w:t>……</w:t>
      </w: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rPr>
        <w:t>以上企业，不属于大企业的分支机构，不存在控股股东为大企业的情形，也不存在与大企业的负责人为同一人的情形。</w:t>
      </w: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rPr>
        <w:t>本企业对上述声明内容的真实性负责。如有虚假，将依法承担相应责任。</w:t>
      </w:r>
    </w:p>
    <w:p>
      <w:pPr>
        <w:widowControl/>
        <w:spacing w:before="100" w:beforeAutospacing="1" w:after="100" w:afterAutospacing="1" w:line="500" w:lineRule="exact"/>
        <w:rPr>
          <w:rFonts w:hint="eastAsia" w:ascii="微软雅黑" w:hAnsi="微软雅黑" w:eastAsia="微软雅黑" w:cs="微软雅黑"/>
          <w:color w:val="auto"/>
        </w:rPr>
      </w:pPr>
      <w:r>
        <w:rPr>
          <w:rFonts w:hint="eastAsia" w:ascii="微软雅黑" w:hAnsi="微软雅黑" w:eastAsia="微软雅黑" w:cs="微软雅黑"/>
          <w:color w:val="auto"/>
        </w:rPr>
        <w:t>企业名称（盖章）：日期：</w:t>
      </w:r>
    </w:p>
    <w:p>
      <w:pPr>
        <w:widowControl/>
        <w:spacing w:before="100" w:beforeAutospacing="1" w:after="100" w:afterAutospacing="1" w:line="500" w:lineRule="exact"/>
        <w:rPr>
          <w:rFonts w:hint="eastAsia" w:ascii="微软雅黑" w:hAnsi="微软雅黑" w:eastAsia="微软雅黑" w:cs="微软雅黑"/>
          <w:color w:val="auto"/>
        </w:rPr>
      </w:pPr>
    </w:p>
    <w:p>
      <w:pPr>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b/>
          <w:bCs/>
          <w:color w:val="auto"/>
          <w:kern w:val="0"/>
          <w:szCs w:val="21"/>
        </w:rPr>
        <w:t>注：</w:t>
      </w:r>
      <w:r>
        <w:rPr>
          <w:rFonts w:hint="eastAsia" w:ascii="微软雅黑" w:hAnsi="微软雅黑" w:eastAsia="微软雅黑" w:cs="微软雅黑"/>
          <w:b/>
          <w:bCs/>
          <w:color w:val="auto"/>
          <w:kern w:val="0"/>
          <w:szCs w:val="21"/>
          <w:lang w:val="en-US" w:eastAsia="zh-CN"/>
        </w:rPr>
        <w:t>1、</w:t>
      </w:r>
      <w:r>
        <w:rPr>
          <w:rFonts w:hint="eastAsia" w:ascii="微软雅黑" w:hAnsi="微软雅黑" w:eastAsia="微软雅黑" w:cs="微软雅黑"/>
          <w:b/>
          <w:bCs/>
          <w:color w:val="auto"/>
          <w:kern w:val="0"/>
          <w:szCs w:val="21"/>
        </w:rPr>
        <w:t>须附从业人员、营业收入、资产总额填报上一年度数据，无上一年度数据的新成立企业可不填报。</w:t>
      </w:r>
    </w:p>
    <w:p>
      <w:pPr>
        <w:spacing w:line="240" w:lineRule="atLeast"/>
        <w:rPr>
          <w:rFonts w:hint="eastAsia" w:ascii="微软雅黑" w:hAnsi="微软雅黑" w:eastAsia="微软雅黑" w:cs="微软雅黑"/>
          <w:color w:val="auto"/>
        </w:rPr>
      </w:pPr>
      <w:r>
        <w:rPr>
          <w:rFonts w:hint="eastAsia" w:ascii="微软雅黑" w:hAnsi="微软雅黑" w:eastAsia="微软雅黑" w:cs="微软雅黑"/>
          <w:b/>
          <w:bCs/>
          <w:color w:val="auto"/>
          <w:kern w:val="0"/>
          <w:szCs w:val="21"/>
        </w:rPr>
        <w:t xml:space="preserve">   </w:t>
      </w:r>
      <w:r>
        <w:rPr>
          <w:rFonts w:hint="eastAsia" w:ascii="微软雅黑" w:hAnsi="微软雅黑" w:eastAsia="微软雅黑" w:cs="微软雅黑"/>
          <w:b/>
          <w:bCs/>
          <w:color w:val="auto"/>
          <w:kern w:val="0"/>
          <w:szCs w:val="21"/>
          <w:lang w:val="en-US" w:eastAsia="zh-CN"/>
        </w:rPr>
        <w:t xml:space="preserve">2、潜在投标企业属于中小微企业的，应在投标文件中提供‘’中小企业声明函”如果未提供或提供的“中小企业声明函”，供应商将承担由此造成的一切不利后果。             </w:t>
      </w:r>
    </w:p>
    <w:p>
      <w:pPr>
        <w:widowControl/>
        <w:spacing w:before="100" w:beforeAutospacing="1" w:after="100" w:afterAutospacing="1" w:line="330" w:lineRule="atLeast"/>
        <w:ind w:firstLine="420"/>
        <w:jc w:val="left"/>
        <w:rPr>
          <w:rFonts w:hint="eastAsia" w:ascii="微软雅黑" w:hAnsi="微软雅黑" w:eastAsia="微软雅黑" w:cs="微软雅黑"/>
          <w:color w:val="auto"/>
        </w:rPr>
      </w:pPr>
    </w:p>
    <w:p>
      <w:pPr>
        <w:pStyle w:val="4"/>
        <w:spacing w:before="0" w:line="240" w:lineRule="atLeast"/>
        <w:jc w:val="center"/>
        <w:rPr>
          <w:rFonts w:hint="eastAsia" w:ascii="微软雅黑" w:hAnsi="微软雅黑" w:eastAsia="微软雅黑" w:cs="微软雅黑"/>
          <w:color w:val="auto"/>
          <w:kern w:val="2"/>
          <w:sz w:val="24"/>
          <w:szCs w:val="24"/>
        </w:rPr>
      </w:pPr>
      <w:bookmarkStart w:id="756" w:name="_Toc26643"/>
      <w:bookmarkStart w:id="757" w:name="_Toc7018"/>
      <w:bookmarkStart w:id="758" w:name="_Toc5609"/>
      <w:bookmarkStart w:id="759" w:name="_Toc2709"/>
      <w:bookmarkStart w:id="760" w:name="_Toc18860"/>
      <w:bookmarkStart w:id="761" w:name="_Toc12060"/>
      <w:bookmarkStart w:id="762" w:name="_Toc28055"/>
      <w:bookmarkStart w:id="763" w:name="_Toc10977"/>
      <w:bookmarkStart w:id="764" w:name="_Toc752"/>
      <w:bookmarkStart w:id="765" w:name="_Toc29115"/>
      <w:bookmarkStart w:id="766" w:name="_Toc12692"/>
      <w:bookmarkStart w:id="767" w:name="_Toc515647824"/>
      <w:bookmarkStart w:id="768" w:name="_Toc11803"/>
      <w:bookmarkStart w:id="769" w:name="_Toc4543"/>
      <w:bookmarkStart w:id="770" w:name="_Toc4660"/>
      <w:r>
        <w:rPr>
          <w:rFonts w:hint="eastAsia" w:ascii="微软雅黑" w:hAnsi="微软雅黑" w:eastAsia="微软雅黑" w:cs="微软雅黑"/>
          <w:b/>
          <w:bCs/>
          <w:color w:val="auto"/>
          <w:kern w:val="2"/>
          <w:sz w:val="24"/>
          <w:szCs w:val="24"/>
        </w:rPr>
        <w:t xml:space="preserve">6-2  </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Start w:id="771" w:name="_Toc24860"/>
      <w:bookmarkStart w:id="772" w:name="_Toc23068"/>
      <w:bookmarkStart w:id="773" w:name="_Toc15294"/>
      <w:bookmarkStart w:id="774" w:name="_Toc732"/>
      <w:bookmarkStart w:id="775" w:name="_Toc19284"/>
      <w:bookmarkStart w:id="776" w:name="_Toc4244"/>
      <w:bookmarkStart w:id="777" w:name="_Toc13947"/>
      <w:bookmarkStart w:id="778" w:name="_Toc30849"/>
      <w:bookmarkStart w:id="779" w:name="_Toc2621"/>
      <w:bookmarkStart w:id="780" w:name="_Toc32586"/>
      <w:bookmarkStart w:id="781" w:name="_Toc3420"/>
      <w:bookmarkStart w:id="782" w:name="_Toc14454"/>
      <w:bookmarkStart w:id="783" w:name="_Toc26931"/>
      <w:bookmarkStart w:id="784" w:name="_Toc515647825"/>
      <w:bookmarkStart w:id="785" w:name="OLE_LINK13"/>
      <w:bookmarkStart w:id="786" w:name="OLE_LINK14"/>
      <w:r>
        <w:rPr>
          <w:rFonts w:hint="eastAsia" w:ascii="微软雅黑" w:hAnsi="微软雅黑" w:eastAsia="微软雅黑" w:cs="微软雅黑"/>
          <w:b/>
          <w:bCs/>
          <w:color w:val="auto"/>
          <w:kern w:val="2"/>
          <w:sz w:val="24"/>
          <w:szCs w:val="24"/>
        </w:rPr>
        <w:t>残疾人福利性单位声明函</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bookmarkEnd w:id="785"/>
    <w:bookmarkEnd w:id="786"/>
    <w:p>
      <w:pPr>
        <w:spacing w:line="240" w:lineRule="atLeast"/>
        <w:ind w:left="1080" w:leftChars="257" w:hanging="540"/>
        <w:jc w:val="center"/>
        <w:rPr>
          <w:rFonts w:hint="eastAsia" w:ascii="微软雅黑" w:hAnsi="微软雅黑" w:eastAsia="微软雅黑" w:cs="微软雅黑"/>
          <w:color w:val="auto"/>
          <w:sz w:val="24"/>
          <w:szCs w:val="24"/>
        </w:rPr>
      </w:pPr>
    </w:p>
    <w:p>
      <w:pPr>
        <w:spacing w:line="240" w:lineRule="atLeast"/>
        <w:ind w:firstLine="567"/>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本单位对上述声明的真实性负责。如有虚假，将依法承担相应责任。</w:t>
      </w:r>
    </w:p>
    <w:p>
      <w:pPr>
        <w:spacing w:line="240" w:lineRule="atLeast"/>
        <w:ind w:left="1080" w:leftChars="257" w:hanging="540"/>
        <w:jc w:val="center"/>
        <w:rPr>
          <w:rFonts w:hint="eastAsia" w:ascii="微软雅黑" w:hAnsi="微软雅黑" w:eastAsia="微软雅黑" w:cs="微软雅黑"/>
          <w:color w:val="auto"/>
          <w:sz w:val="24"/>
          <w:szCs w:val="24"/>
        </w:rPr>
      </w:pPr>
    </w:p>
    <w:p>
      <w:pPr>
        <w:spacing w:line="240" w:lineRule="atLeast"/>
        <w:ind w:left="1080" w:leftChars="257" w:hanging="540"/>
        <w:jc w:val="center"/>
        <w:rPr>
          <w:rFonts w:hint="eastAsia" w:ascii="微软雅黑" w:hAnsi="微软雅黑" w:eastAsia="微软雅黑" w:cs="微软雅黑"/>
          <w:color w:val="auto"/>
          <w:sz w:val="24"/>
          <w:szCs w:val="24"/>
        </w:rPr>
      </w:pPr>
    </w:p>
    <w:p>
      <w:pPr>
        <w:spacing w:line="240" w:lineRule="atLeast"/>
        <w:ind w:left="1080" w:leftChars="257" w:hanging="54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残疾人福利性单位名称（公章）：</w:t>
      </w:r>
    </w:p>
    <w:p>
      <w:pPr>
        <w:spacing w:line="240" w:lineRule="atLeast"/>
        <w:ind w:left="1080" w:leftChars="257" w:hanging="54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日  期：</w:t>
      </w:r>
    </w:p>
    <w:p>
      <w:pPr>
        <w:spacing w:line="240" w:lineRule="atLeast"/>
        <w:ind w:left="1080" w:leftChars="257" w:hanging="540"/>
        <w:jc w:val="center"/>
        <w:rPr>
          <w:rFonts w:hint="eastAsia" w:ascii="微软雅黑" w:hAnsi="微软雅黑" w:eastAsia="微软雅黑" w:cs="微软雅黑"/>
          <w:color w:val="auto"/>
          <w:sz w:val="24"/>
          <w:szCs w:val="24"/>
        </w:rPr>
      </w:pPr>
    </w:p>
    <w:p>
      <w:pPr>
        <w:spacing w:line="240" w:lineRule="atLeast"/>
        <w:ind w:left="1080" w:leftChars="257" w:hanging="540"/>
        <w:jc w:val="cente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kern w:val="2"/>
        </w:rPr>
      </w:pPr>
    </w:p>
    <w:p>
      <w:pPr>
        <w:spacing w:line="240" w:lineRule="atLeast"/>
        <w:ind w:left="1080" w:leftChars="257" w:hanging="540"/>
        <w:jc w:val="center"/>
        <w:rPr>
          <w:rFonts w:hint="eastAsia" w:ascii="微软雅黑" w:hAnsi="微软雅黑" w:eastAsia="微软雅黑" w:cs="微软雅黑"/>
          <w:color w:val="auto"/>
          <w:sz w:val="24"/>
          <w:szCs w:val="24"/>
        </w:rPr>
      </w:pPr>
    </w:p>
    <w:p>
      <w:pPr>
        <w:pStyle w:val="4"/>
        <w:spacing w:before="0" w:line="240" w:lineRule="atLeast"/>
        <w:ind w:left="1080" w:leftChars="257" w:hanging="540"/>
        <w:jc w:val="left"/>
        <w:rPr>
          <w:rFonts w:hint="eastAsia" w:ascii="微软雅黑" w:hAnsi="微软雅黑" w:eastAsia="微软雅黑" w:cs="微软雅黑"/>
          <w:b/>
          <w:bCs/>
          <w:color w:val="auto"/>
          <w:kern w:val="2"/>
          <w:sz w:val="24"/>
          <w:szCs w:val="24"/>
        </w:rPr>
      </w:pPr>
      <w:bookmarkStart w:id="787" w:name="_Toc5568"/>
      <w:bookmarkStart w:id="788" w:name="_Toc22378"/>
      <w:bookmarkStart w:id="789" w:name="_Toc26133"/>
      <w:bookmarkStart w:id="790" w:name="_Toc28099"/>
      <w:bookmarkStart w:id="791" w:name="_Toc30795"/>
      <w:bookmarkStart w:id="792" w:name="_Toc14606"/>
      <w:bookmarkStart w:id="793" w:name="_Toc6004"/>
      <w:bookmarkStart w:id="794" w:name="_Toc30946"/>
      <w:bookmarkStart w:id="795" w:name="_Toc5527"/>
      <w:bookmarkStart w:id="796" w:name="_Toc515647827"/>
      <w:bookmarkStart w:id="797" w:name="_Toc19223"/>
      <w:bookmarkStart w:id="798" w:name="_Toc6009"/>
      <w:bookmarkStart w:id="799" w:name="_Toc11868"/>
      <w:bookmarkStart w:id="800" w:name="_Toc2304"/>
      <w:bookmarkStart w:id="801" w:name="_Toc22561"/>
      <w:r>
        <w:rPr>
          <w:rFonts w:hint="eastAsia" w:ascii="微软雅黑" w:hAnsi="微软雅黑" w:eastAsia="微软雅黑" w:cs="微软雅黑"/>
          <w:b/>
          <w:bCs/>
          <w:color w:val="auto"/>
          <w:kern w:val="2"/>
          <w:sz w:val="24"/>
          <w:szCs w:val="24"/>
        </w:rPr>
        <w:t>7</w:t>
      </w:r>
      <w:r>
        <w:rPr>
          <w:rFonts w:hint="eastAsia" w:ascii="微软雅黑" w:hAnsi="微软雅黑" w:eastAsia="微软雅黑" w:cs="微软雅黑"/>
          <w:b/>
          <w:bCs/>
          <w:color w:val="auto"/>
          <w:kern w:val="2"/>
          <w:sz w:val="24"/>
          <w:szCs w:val="24"/>
          <w:lang w:eastAsia="zh-CN"/>
        </w:rPr>
        <w:t>、</w:t>
      </w:r>
      <w:r>
        <w:rPr>
          <w:rFonts w:hint="eastAsia" w:ascii="微软雅黑" w:hAnsi="微软雅黑" w:eastAsia="微软雅黑" w:cs="微软雅黑"/>
          <w:b/>
          <w:bCs/>
          <w:color w:val="auto"/>
          <w:kern w:val="2"/>
          <w:sz w:val="24"/>
          <w:szCs w:val="24"/>
        </w:rPr>
        <w:t>供应商关联单位的说明</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pPr>
        <w:pStyle w:val="2"/>
        <w:jc w:val="center"/>
        <w:rPr>
          <w:rFonts w:hint="eastAsia" w:ascii="微软雅黑" w:hAnsi="微软雅黑" w:eastAsia="微软雅黑" w:cs="微软雅黑"/>
          <w:color w:val="auto"/>
          <w:kern w:val="2"/>
        </w:rPr>
      </w:pPr>
    </w:p>
    <w:p>
      <w:pPr>
        <w:pStyle w:val="2"/>
        <w:ind w:firstLine="480" w:firstLineChars="200"/>
        <w:rPr>
          <w:rFonts w:hint="eastAsia" w:ascii="微软雅黑" w:hAnsi="微软雅黑" w:eastAsia="微软雅黑" w:cs="微软雅黑"/>
          <w:color w:val="auto"/>
          <w:kern w:val="2"/>
        </w:rPr>
      </w:pPr>
      <w:r>
        <w:rPr>
          <w:rFonts w:hint="eastAsia" w:ascii="微软雅黑" w:hAnsi="微软雅黑" w:eastAsia="微软雅黑" w:cs="微软雅黑"/>
          <w:color w:val="auto"/>
          <w:kern w:val="2"/>
        </w:rPr>
        <w:t>说明：供应商应当如实披露与本单位存在下列关联关系的单位名称：</w:t>
      </w:r>
    </w:p>
    <w:p>
      <w:pPr>
        <w:pStyle w:val="2"/>
        <w:ind w:firstLine="480" w:firstLineChars="200"/>
        <w:rPr>
          <w:rFonts w:hint="eastAsia" w:ascii="微软雅黑" w:hAnsi="微软雅黑" w:eastAsia="微软雅黑" w:cs="微软雅黑"/>
          <w:color w:val="auto"/>
          <w:kern w:val="2"/>
        </w:rPr>
      </w:pPr>
      <w:r>
        <w:rPr>
          <w:rFonts w:hint="eastAsia" w:ascii="微软雅黑" w:hAnsi="微软雅黑" w:eastAsia="微软雅黑" w:cs="微软雅黑"/>
          <w:color w:val="auto"/>
          <w:kern w:val="2"/>
        </w:rPr>
        <w:t xml:space="preserve">    （</w:t>
      </w:r>
      <w:r>
        <w:rPr>
          <w:rFonts w:hint="eastAsia" w:ascii="微软雅黑" w:hAnsi="微软雅黑" w:eastAsia="微软雅黑" w:cs="微软雅黑"/>
          <w:color w:val="auto"/>
          <w:kern w:val="2"/>
          <w:lang w:val="en-US" w:eastAsia="zh-CN"/>
        </w:rPr>
        <w:t>1</w:t>
      </w:r>
      <w:r>
        <w:rPr>
          <w:rFonts w:hint="eastAsia" w:ascii="微软雅黑" w:hAnsi="微软雅黑" w:eastAsia="微软雅黑" w:cs="微软雅黑"/>
          <w:color w:val="auto"/>
          <w:kern w:val="2"/>
        </w:rPr>
        <w:t>）与供应商存在直接控股、管理关系的其他单位。</w:t>
      </w:r>
    </w:p>
    <w:p>
      <w:pPr>
        <w:pStyle w:val="2"/>
        <w:rPr>
          <w:rFonts w:hint="eastAsia" w:ascii="微软雅黑" w:hAnsi="微软雅黑" w:eastAsia="微软雅黑" w:cs="微软雅黑"/>
          <w:color w:val="auto"/>
          <w:kern w:val="2"/>
        </w:rPr>
      </w:pPr>
    </w:p>
    <w:p>
      <w:pPr>
        <w:pStyle w:val="2"/>
        <w:rPr>
          <w:rFonts w:hint="eastAsia" w:ascii="微软雅黑" w:hAnsi="微软雅黑" w:eastAsia="微软雅黑" w:cs="微软雅黑"/>
          <w:color w:val="auto"/>
          <w:kern w:val="2"/>
        </w:rPr>
      </w:pPr>
    </w:p>
    <w:p>
      <w:pPr>
        <w:pStyle w:val="2"/>
        <w:rPr>
          <w:rFonts w:hint="eastAsia" w:ascii="微软雅黑" w:hAnsi="微软雅黑" w:eastAsia="微软雅黑" w:cs="微软雅黑"/>
          <w:color w:val="auto"/>
          <w:kern w:val="2"/>
        </w:rPr>
      </w:pPr>
    </w:p>
    <w:p>
      <w:pPr>
        <w:spacing w:line="240" w:lineRule="atLeast"/>
        <w:ind w:left="1080" w:leftChars="257" w:hanging="540"/>
        <w:jc w:val="center"/>
        <w:rPr>
          <w:rFonts w:hint="eastAsia" w:ascii="微软雅黑" w:hAnsi="微软雅黑" w:eastAsia="微软雅黑" w:cs="微软雅黑"/>
          <w:color w:val="auto"/>
          <w:sz w:val="24"/>
          <w:szCs w:val="24"/>
        </w:rPr>
      </w:pPr>
    </w:p>
    <w:p>
      <w:pPr>
        <w:pStyle w:val="4"/>
        <w:spacing w:before="0" w:line="240" w:lineRule="atLeast"/>
        <w:ind w:left="1080" w:leftChars="257" w:hanging="540"/>
        <w:jc w:val="left"/>
        <w:rPr>
          <w:rFonts w:hint="eastAsia" w:ascii="微软雅黑" w:hAnsi="微软雅黑" w:eastAsia="微软雅黑" w:cs="微软雅黑"/>
          <w:b/>
          <w:bCs/>
          <w:color w:val="auto"/>
          <w:kern w:val="2"/>
          <w:sz w:val="24"/>
          <w:szCs w:val="24"/>
        </w:rPr>
      </w:pPr>
      <w:bookmarkStart w:id="802" w:name="_Toc515647828"/>
      <w:bookmarkStart w:id="803" w:name="_Toc17333"/>
      <w:bookmarkStart w:id="804" w:name="_Toc10352"/>
      <w:bookmarkStart w:id="805" w:name="_Toc29367"/>
      <w:bookmarkStart w:id="806" w:name="_Toc7414"/>
      <w:bookmarkStart w:id="807" w:name="_Toc15535"/>
      <w:bookmarkStart w:id="808" w:name="_Toc17843"/>
      <w:bookmarkStart w:id="809" w:name="_Toc31226"/>
      <w:bookmarkStart w:id="810" w:name="_Toc12486"/>
      <w:bookmarkStart w:id="811" w:name="_Toc25126"/>
      <w:bookmarkStart w:id="812" w:name="_Toc19569"/>
      <w:bookmarkStart w:id="813" w:name="_Toc20015"/>
      <w:bookmarkStart w:id="814" w:name="_Toc6932"/>
      <w:bookmarkStart w:id="815" w:name="_Toc23897"/>
      <w:bookmarkStart w:id="816" w:name="_Toc7966"/>
      <w:r>
        <w:rPr>
          <w:rFonts w:hint="eastAsia" w:ascii="微软雅黑" w:hAnsi="微软雅黑" w:eastAsia="微软雅黑" w:cs="微软雅黑"/>
          <w:b/>
          <w:bCs/>
          <w:color w:val="auto"/>
          <w:kern w:val="2"/>
          <w:sz w:val="24"/>
          <w:szCs w:val="24"/>
        </w:rPr>
        <w:t>8</w:t>
      </w:r>
      <w:bookmarkEnd w:id="802"/>
      <w:bookmarkEnd w:id="803"/>
      <w:bookmarkEnd w:id="804"/>
      <w:bookmarkEnd w:id="805"/>
      <w:bookmarkEnd w:id="806"/>
      <w:bookmarkStart w:id="817" w:name="_Toc27058"/>
      <w:r>
        <w:rPr>
          <w:rFonts w:hint="eastAsia" w:ascii="微软雅黑" w:hAnsi="微软雅黑" w:eastAsia="微软雅黑" w:cs="微软雅黑"/>
          <w:b/>
          <w:bCs/>
          <w:color w:val="auto"/>
          <w:kern w:val="2"/>
          <w:sz w:val="24"/>
          <w:szCs w:val="24"/>
          <w:lang w:eastAsia="zh-CN"/>
        </w:rPr>
        <w:t>、</w:t>
      </w:r>
      <w:r>
        <w:rPr>
          <w:rFonts w:hint="eastAsia" w:ascii="微软雅黑" w:hAnsi="微软雅黑" w:eastAsia="微软雅黑" w:cs="微软雅黑"/>
          <w:b/>
          <w:bCs/>
          <w:color w:val="auto"/>
          <w:kern w:val="2"/>
          <w:sz w:val="24"/>
          <w:szCs w:val="24"/>
        </w:rPr>
        <w:t>供应商可提供有利于投标的其他资格证明材料</w:t>
      </w:r>
      <w:bookmarkEnd w:id="807"/>
      <w:bookmarkEnd w:id="808"/>
      <w:bookmarkEnd w:id="809"/>
      <w:bookmarkEnd w:id="810"/>
      <w:bookmarkEnd w:id="811"/>
      <w:bookmarkEnd w:id="812"/>
      <w:bookmarkEnd w:id="813"/>
      <w:bookmarkEnd w:id="814"/>
      <w:bookmarkEnd w:id="815"/>
      <w:bookmarkEnd w:id="816"/>
      <w:bookmarkEnd w:id="817"/>
    </w:p>
    <w:p>
      <w:pPr>
        <w:spacing w:line="240" w:lineRule="atLeast"/>
        <w:jc w:val="left"/>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rPr>
      </w:pPr>
    </w:p>
    <w:p>
      <w:pPr>
        <w:pStyle w:val="10"/>
        <w:rPr>
          <w:rFonts w:hint="eastAsia" w:ascii="微软雅黑" w:hAnsi="微软雅黑" w:eastAsia="微软雅黑" w:cs="微软雅黑"/>
          <w:color w:val="auto"/>
        </w:rPr>
      </w:pPr>
    </w:p>
    <w:p>
      <w:pPr>
        <w:pStyle w:val="10"/>
        <w:rPr>
          <w:rFonts w:hint="eastAsia" w:ascii="微软雅黑" w:hAnsi="微软雅黑" w:eastAsia="微软雅黑" w:cs="微软雅黑"/>
          <w:color w:val="auto"/>
        </w:rPr>
      </w:pPr>
    </w:p>
    <w:p>
      <w:pPr>
        <w:pStyle w:val="10"/>
        <w:rPr>
          <w:rFonts w:hint="eastAsia" w:ascii="微软雅黑" w:hAnsi="微软雅黑" w:eastAsia="微软雅黑" w:cs="微软雅黑"/>
          <w:color w:val="auto"/>
        </w:rPr>
      </w:pPr>
    </w:p>
    <w:p>
      <w:pPr>
        <w:pStyle w:val="10"/>
        <w:rPr>
          <w:rFonts w:hint="eastAsia" w:ascii="微软雅黑" w:hAnsi="微软雅黑" w:eastAsia="微软雅黑" w:cs="微软雅黑"/>
          <w:color w:val="auto"/>
        </w:rPr>
      </w:pPr>
    </w:p>
    <w:p>
      <w:pPr>
        <w:pStyle w:val="10"/>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spacing w:line="240" w:lineRule="atLeast"/>
        <w:ind w:left="1080" w:leftChars="257" w:hanging="540"/>
        <w:outlineLvl w:val="1"/>
        <w:rPr>
          <w:rFonts w:hint="eastAsia" w:ascii="微软雅黑" w:hAnsi="微软雅黑" w:eastAsia="微软雅黑" w:cs="微软雅黑"/>
          <w:b/>
          <w:bCs/>
          <w:color w:val="auto"/>
          <w:kern w:val="0"/>
          <w:sz w:val="24"/>
          <w:szCs w:val="24"/>
        </w:rPr>
      </w:pPr>
      <w:bookmarkStart w:id="818" w:name="_Toc16684"/>
      <w:bookmarkStart w:id="819" w:name="_Toc19009"/>
      <w:bookmarkStart w:id="820" w:name="_Toc25807"/>
      <w:bookmarkStart w:id="821" w:name="_Toc2969"/>
      <w:bookmarkStart w:id="822" w:name="_Toc17701"/>
      <w:bookmarkStart w:id="823" w:name="_Toc1634"/>
      <w:bookmarkStart w:id="824" w:name="_Toc31381"/>
      <w:bookmarkStart w:id="825" w:name="_Toc23424"/>
      <w:r>
        <w:rPr>
          <w:rFonts w:hint="eastAsia" w:ascii="微软雅黑" w:hAnsi="微软雅黑" w:eastAsia="微软雅黑" w:cs="微软雅黑"/>
          <w:b/>
          <w:bCs/>
          <w:color w:val="auto"/>
          <w:kern w:val="0"/>
          <w:sz w:val="24"/>
          <w:szCs w:val="24"/>
        </w:rPr>
        <w:t>9</w:t>
      </w:r>
      <w:r>
        <w:rPr>
          <w:rFonts w:hint="eastAsia" w:ascii="微软雅黑" w:hAnsi="微软雅黑" w:eastAsia="微软雅黑" w:cs="微软雅黑"/>
          <w:b/>
          <w:bCs/>
          <w:color w:val="auto"/>
          <w:kern w:val="0"/>
          <w:sz w:val="24"/>
          <w:szCs w:val="24"/>
          <w:lang w:eastAsia="zh-CN"/>
        </w:rPr>
        <w:t>、</w:t>
      </w:r>
      <w:r>
        <w:rPr>
          <w:rFonts w:hint="eastAsia" w:ascii="微软雅黑" w:hAnsi="微软雅黑" w:eastAsia="微软雅黑" w:cs="微软雅黑"/>
          <w:b/>
          <w:bCs/>
          <w:color w:val="auto"/>
          <w:kern w:val="0"/>
          <w:sz w:val="24"/>
          <w:szCs w:val="24"/>
        </w:rPr>
        <w:t>投标文件格式范本</w:t>
      </w:r>
      <w:bookmarkEnd w:id="818"/>
      <w:bookmarkEnd w:id="819"/>
      <w:bookmarkEnd w:id="820"/>
      <w:bookmarkEnd w:id="821"/>
      <w:bookmarkEnd w:id="822"/>
      <w:bookmarkEnd w:id="823"/>
      <w:bookmarkEnd w:id="824"/>
      <w:bookmarkEnd w:id="825"/>
    </w:p>
    <w:tbl>
      <w:tblPr>
        <w:tblStyle w:val="25"/>
        <w:tblpPr w:leftFromText="180" w:rightFromText="180" w:vertAnchor="text" w:horzAnchor="page" w:tblpX="1380" w:tblpY="440"/>
        <w:tblOverlap w:val="never"/>
        <w:tblW w:w="95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2335" w:hRule="atLeast"/>
        </w:trPr>
        <w:tc>
          <w:tcPr>
            <w:tcW w:w="9520" w:type="dxa"/>
            <w:shd w:val="clear" w:color="auto" w:fill="FCFEEA"/>
          </w:tcPr>
          <w:p>
            <w:pPr>
              <w:pStyle w:val="9"/>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                                                （正本和副本）</w:t>
            </w:r>
          </w:p>
          <w:p>
            <w:pPr>
              <w:pStyle w:val="9"/>
              <w:ind w:firstLine="4202" w:firstLineChars="1500"/>
              <w:rPr>
                <w:rFonts w:hint="eastAsia" w:ascii="微软雅黑" w:hAnsi="微软雅黑" w:eastAsia="微软雅黑" w:cs="微软雅黑"/>
                <w:b/>
                <w:bCs/>
                <w:color w:val="auto"/>
                <w:sz w:val="28"/>
                <w:szCs w:val="28"/>
              </w:rPr>
            </w:pPr>
          </w:p>
          <w:p>
            <w:pPr>
              <w:pStyle w:val="9"/>
              <w:ind w:firstLine="4202" w:firstLineChars="1500"/>
              <w:rPr>
                <w:rFonts w:hint="eastAsia" w:ascii="微软雅黑" w:hAnsi="微软雅黑" w:eastAsia="微软雅黑" w:cs="微软雅黑"/>
                <w:b/>
                <w:bCs/>
                <w:color w:val="auto"/>
                <w:sz w:val="28"/>
                <w:szCs w:val="28"/>
              </w:rPr>
            </w:pPr>
          </w:p>
          <w:p>
            <w:pPr>
              <w:pStyle w:val="9"/>
              <w:rPr>
                <w:rFonts w:hint="eastAsia" w:ascii="微软雅黑" w:hAnsi="微软雅黑" w:eastAsia="微软雅黑" w:cs="微软雅黑"/>
                <w:b/>
                <w:bCs/>
                <w:color w:val="auto"/>
                <w:sz w:val="28"/>
                <w:szCs w:val="28"/>
              </w:rPr>
            </w:pPr>
          </w:p>
          <w:p>
            <w:pPr>
              <w:pStyle w:val="9"/>
              <w:ind w:firstLine="2521" w:firstLineChars="900"/>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 *** *** ***   项目</w:t>
            </w:r>
          </w:p>
          <w:p>
            <w:pPr>
              <w:pStyle w:val="9"/>
              <w:jc w:val="center"/>
              <w:rPr>
                <w:rFonts w:hint="eastAsia" w:ascii="微软雅黑" w:hAnsi="微软雅黑" w:eastAsia="微软雅黑" w:cs="微软雅黑"/>
                <w:b/>
                <w:bCs/>
                <w:color w:val="auto"/>
                <w:sz w:val="21"/>
                <w:szCs w:val="21"/>
              </w:rPr>
            </w:pPr>
          </w:p>
          <w:p>
            <w:pPr>
              <w:pStyle w:val="9"/>
              <w:ind w:firstLine="3152" w:firstLineChars="1500"/>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 xml:space="preserve">编号＊＊＊＊＊＊   </w:t>
            </w:r>
            <w:r>
              <w:rPr>
                <w:rFonts w:hint="eastAsia" w:ascii="微软雅黑" w:hAnsi="微软雅黑" w:eastAsia="微软雅黑" w:cs="微软雅黑"/>
                <w:b/>
                <w:bCs/>
                <w:color w:val="auto"/>
                <w:sz w:val="21"/>
                <w:szCs w:val="21"/>
                <w:lang w:eastAsia="zh-CN"/>
              </w:rPr>
              <w:t>标段号</w:t>
            </w:r>
            <w:r>
              <w:rPr>
                <w:rFonts w:hint="eastAsia" w:ascii="微软雅黑" w:hAnsi="微软雅黑" w:eastAsia="微软雅黑" w:cs="微软雅黑"/>
                <w:b/>
                <w:bCs/>
                <w:color w:val="auto"/>
                <w:sz w:val="21"/>
                <w:szCs w:val="21"/>
              </w:rPr>
              <w:t>＊＊＊＊＊</w:t>
            </w:r>
          </w:p>
          <w:p>
            <w:pPr>
              <w:pStyle w:val="9"/>
              <w:jc w:val="center"/>
              <w:rPr>
                <w:rFonts w:hint="eastAsia" w:ascii="微软雅黑" w:hAnsi="微软雅黑" w:eastAsia="微软雅黑" w:cs="微软雅黑"/>
                <w:b/>
                <w:bCs/>
                <w:color w:val="auto"/>
                <w:sz w:val="48"/>
                <w:szCs w:val="48"/>
              </w:rPr>
            </w:pPr>
          </w:p>
          <w:p>
            <w:pPr>
              <w:pStyle w:val="9"/>
              <w:jc w:val="center"/>
              <w:rPr>
                <w:rFonts w:hint="eastAsia" w:ascii="微软雅黑" w:hAnsi="微软雅黑" w:eastAsia="微软雅黑" w:cs="微软雅黑"/>
                <w:b/>
                <w:bCs/>
                <w:color w:val="auto"/>
                <w:sz w:val="48"/>
                <w:szCs w:val="48"/>
              </w:rPr>
            </w:pPr>
            <w:r>
              <w:rPr>
                <w:rFonts w:hint="eastAsia" w:ascii="微软雅黑" w:hAnsi="微软雅黑" w:eastAsia="微软雅黑" w:cs="微软雅黑"/>
                <w:b/>
                <w:bCs/>
                <w:color w:val="auto"/>
                <w:sz w:val="48"/>
                <w:szCs w:val="48"/>
              </w:rPr>
              <w:t>投 标 文 件</w:t>
            </w:r>
          </w:p>
          <w:p>
            <w:pPr>
              <w:jc w:val="center"/>
              <w:rPr>
                <w:rFonts w:hint="eastAsia" w:ascii="微软雅黑" w:hAnsi="微软雅黑" w:eastAsia="微软雅黑" w:cs="微软雅黑"/>
                <w:b/>
                <w:bCs/>
                <w:color w:val="auto"/>
                <w:sz w:val="32"/>
                <w:szCs w:val="32"/>
              </w:rPr>
            </w:pPr>
          </w:p>
          <w:p>
            <w:pPr>
              <w:pStyle w:val="2"/>
              <w:rPr>
                <w:rFonts w:hint="eastAsia" w:ascii="微软雅黑" w:hAnsi="微软雅黑" w:eastAsia="微软雅黑" w:cs="微软雅黑"/>
                <w:b/>
                <w:bCs/>
                <w:color w:val="auto"/>
                <w:sz w:val="32"/>
                <w:szCs w:val="32"/>
              </w:rPr>
            </w:pPr>
          </w:p>
          <w:p>
            <w:pPr>
              <w:pStyle w:val="2"/>
              <w:rPr>
                <w:rFonts w:hint="eastAsia" w:ascii="微软雅黑" w:hAnsi="微软雅黑" w:eastAsia="微软雅黑" w:cs="微软雅黑"/>
                <w:b/>
                <w:bCs/>
                <w:color w:val="auto"/>
                <w:sz w:val="32"/>
                <w:szCs w:val="32"/>
              </w:rPr>
            </w:pPr>
          </w:p>
          <w:p>
            <w:pPr>
              <w:spacing w:line="360" w:lineRule="auto"/>
              <w:ind w:left="176" w:leftChars="84" w:firstLine="840" w:firstLineChars="400"/>
              <w:rPr>
                <w:rFonts w:hint="eastAsia" w:ascii="微软雅黑" w:hAnsi="微软雅黑" w:eastAsia="微软雅黑" w:cs="微软雅黑"/>
                <w:color w:val="auto"/>
              </w:rPr>
            </w:pPr>
            <w:r>
              <w:rPr>
                <w:rFonts w:hint="eastAsia" w:ascii="微软雅黑" w:hAnsi="微软雅黑" w:eastAsia="微软雅黑" w:cs="微软雅黑"/>
                <w:color w:val="auto"/>
              </w:rPr>
              <w:t>投 标 单位：</w:t>
            </w:r>
            <w:r>
              <w:rPr>
                <w:rFonts w:hint="eastAsia" w:ascii="微软雅黑" w:hAnsi="微软雅黑" w:eastAsia="微软雅黑" w:cs="微软雅黑"/>
                <w:color w:val="auto"/>
                <w:u w:val="single"/>
              </w:rPr>
              <w:t xml:space="preserve">                                       </w:t>
            </w:r>
            <w:r>
              <w:rPr>
                <w:rFonts w:hint="eastAsia" w:ascii="微软雅黑" w:hAnsi="微软雅黑" w:eastAsia="微软雅黑" w:cs="微软雅黑"/>
                <w:color w:val="auto"/>
              </w:rPr>
              <w:t>（公章）</w:t>
            </w:r>
          </w:p>
          <w:p>
            <w:pPr>
              <w:spacing w:line="360" w:lineRule="auto"/>
              <w:ind w:left="176" w:leftChars="84" w:firstLine="840" w:firstLineChars="400"/>
              <w:rPr>
                <w:rFonts w:hint="eastAsia" w:ascii="微软雅黑" w:hAnsi="微软雅黑" w:eastAsia="微软雅黑" w:cs="微软雅黑"/>
                <w:color w:val="auto"/>
                <w:u w:val="single"/>
              </w:rPr>
            </w:pPr>
            <w:r>
              <w:rPr>
                <w:rFonts w:hint="eastAsia" w:ascii="微软雅黑" w:hAnsi="微软雅黑" w:eastAsia="微软雅黑" w:cs="微软雅黑"/>
                <w:color w:val="auto"/>
              </w:rPr>
              <w:t>项目名称：</w:t>
            </w:r>
            <w:r>
              <w:rPr>
                <w:rFonts w:hint="eastAsia" w:ascii="微软雅黑" w:hAnsi="微软雅黑" w:eastAsia="微软雅黑" w:cs="微软雅黑"/>
                <w:color w:val="auto"/>
                <w:u w:val="single"/>
              </w:rPr>
              <w:t xml:space="preserve">                                          </w:t>
            </w:r>
          </w:p>
          <w:p>
            <w:pPr>
              <w:spacing w:line="360" w:lineRule="auto"/>
              <w:ind w:left="176" w:leftChars="84" w:firstLine="840" w:firstLineChars="400"/>
              <w:rPr>
                <w:rFonts w:hint="eastAsia" w:ascii="微软雅黑" w:hAnsi="微软雅黑" w:eastAsia="微软雅黑" w:cs="微软雅黑"/>
                <w:color w:val="auto"/>
                <w:u w:val="single"/>
                <w:lang w:eastAsia="zh-CN"/>
              </w:rPr>
            </w:pPr>
            <w:r>
              <w:rPr>
                <w:rFonts w:hint="eastAsia" w:ascii="微软雅黑" w:hAnsi="微软雅黑" w:eastAsia="微软雅黑" w:cs="微软雅黑"/>
                <w:color w:val="auto"/>
              </w:rPr>
              <w:t>项目编号：</w:t>
            </w:r>
            <w:r>
              <w:rPr>
                <w:rFonts w:hint="eastAsia" w:ascii="微软雅黑" w:hAnsi="微软雅黑" w:eastAsia="微软雅黑" w:cs="微软雅黑"/>
                <w:color w:val="auto"/>
                <w:u w:val="single"/>
              </w:rPr>
              <w:t xml:space="preserve">                                        </w:t>
            </w:r>
            <w:r>
              <w:rPr>
                <w:rFonts w:hint="eastAsia" w:ascii="微软雅黑" w:hAnsi="微软雅黑" w:eastAsia="微软雅黑" w:cs="微软雅黑"/>
                <w:color w:val="auto"/>
                <w:u w:val="single"/>
                <w:lang w:eastAsia="zh-CN"/>
              </w:rPr>
              <w:t>（标段号）</w:t>
            </w:r>
          </w:p>
          <w:p>
            <w:pPr>
              <w:spacing w:line="360" w:lineRule="auto"/>
              <w:ind w:left="176" w:leftChars="84" w:firstLine="840" w:firstLineChars="400"/>
              <w:rPr>
                <w:rFonts w:hint="eastAsia" w:ascii="微软雅黑" w:hAnsi="微软雅黑" w:eastAsia="微软雅黑" w:cs="微软雅黑"/>
                <w:color w:val="auto"/>
                <w:u w:val="single"/>
              </w:rPr>
            </w:pPr>
            <w:r>
              <w:rPr>
                <w:rFonts w:hint="eastAsia" w:ascii="微软雅黑" w:hAnsi="微软雅黑" w:eastAsia="微软雅黑" w:cs="微软雅黑"/>
                <w:color w:val="auto"/>
              </w:rPr>
              <w:t>联 系 人：</w:t>
            </w:r>
            <w:r>
              <w:rPr>
                <w:rFonts w:hint="eastAsia" w:ascii="微软雅黑" w:hAnsi="微软雅黑" w:eastAsia="微软雅黑" w:cs="微软雅黑"/>
                <w:color w:val="auto"/>
                <w:u w:val="single"/>
              </w:rPr>
              <w:t xml:space="preserve">                                        </w:t>
            </w:r>
          </w:p>
          <w:p>
            <w:pPr>
              <w:spacing w:line="360" w:lineRule="auto"/>
              <w:ind w:left="176" w:leftChars="84" w:firstLine="840" w:firstLineChars="400"/>
              <w:rPr>
                <w:rFonts w:hint="eastAsia" w:ascii="微软雅黑" w:hAnsi="微软雅黑" w:eastAsia="微软雅黑" w:cs="微软雅黑"/>
                <w:color w:val="auto"/>
              </w:rPr>
            </w:pPr>
            <w:r>
              <w:rPr>
                <w:rFonts w:hint="eastAsia" w:ascii="微软雅黑" w:hAnsi="微软雅黑" w:eastAsia="微软雅黑" w:cs="微软雅黑"/>
                <w:color w:val="auto"/>
              </w:rPr>
              <w:t>电    话：</w:t>
            </w:r>
            <w:r>
              <w:rPr>
                <w:rFonts w:hint="eastAsia" w:ascii="微软雅黑" w:hAnsi="微软雅黑" w:eastAsia="微软雅黑" w:cs="微软雅黑"/>
                <w:color w:val="auto"/>
                <w:u w:val="single"/>
              </w:rPr>
              <w:t xml:space="preserve">                                        </w:t>
            </w:r>
          </w:p>
          <w:p>
            <w:pPr>
              <w:spacing w:line="360" w:lineRule="auto"/>
              <w:ind w:left="176" w:leftChars="84" w:firstLine="840" w:firstLineChars="400"/>
              <w:rPr>
                <w:rFonts w:hint="eastAsia" w:ascii="微软雅黑" w:hAnsi="微软雅黑" w:eastAsia="微软雅黑" w:cs="微软雅黑"/>
                <w:color w:val="auto"/>
                <w:u w:val="single"/>
              </w:rPr>
            </w:pPr>
            <w:r>
              <w:rPr>
                <w:rFonts w:hint="eastAsia" w:ascii="微软雅黑" w:hAnsi="微软雅黑" w:eastAsia="微软雅黑" w:cs="微软雅黑"/>
                <w:color w:val="auto"/>
              </w:rPr>
              <w:t xml:space="preserve">地    址  ：  </w:t>
            </w:r>
            <w:r>
              <w:rPr>
                <w:rFonts w:hint="eastAsia" w:ascii="微软雅黑" w:hAnsi="微软雅黑" w:eastAsia="微软雅黑" w:cs="微软雅黑"/>
                <w:color w:val="auto"/>
                <w:u w:val="single"/>
              </w:rPr>
              <w:t xml:space="preserve">                                    </w:t>
            </w:r>
          </w:p>
          <w:p>
            <w:pPr>
              <w:spacing w:line="360" w:lineRule="auto"/>
              <w:ind w:left="176" w:leftChars="84" w:firstLine="960" w:firstLineChars="400"/>
              <w:rPr>
                <w:rFonts w:hint="eastAsia" w:ascii="微软雅黑" w:hAnsi="微软雅黑" w:eastAsia="微软雅黑" w:cs="微软雅黑"/>
                <w:color w:val="auto"/>
                <w:sz w:val="24"/>
                <w:szCs w:val="24"/>
              </w:rPr>
            </w:pPr>
          </w:p>
          <w:p>
            <w:pPr>
              <w:jc w:val="center"/>
              <w:rPr>
                <w:rFonts w:hint="eastAsia" w:ascii="微软雅黑" w:hAnsi="微软雅黑" w:eastAsia="微软雅黑" w:cs="微软雅黑"/>
                <w:b/>
                <w:bCs/>
                <w:color w:val="auto"/>
              </w:rPr>
            </w:pPr>
          </w:p>
          <w:p>
            <w:pPr>
              <w:jc w:val="center"/>
              <w:rPr>
                <w:rFonts w:hint="eastAsia" w:ascii="微软雅黑" w:hAnsi="微软雅黑" w:eastAsia="微软雅黑" w:cs="微软雅黑"/>
                <w:b/>
                <w:bCs/>
                <w:color w:val="auto"/>
              </w:rPr>
            </w:pPr>
          </w:p>
          <w:p>
            <w:pPr>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注：   在2022年   月  日 *午   之前不得启封</w:t>
            </w:r>
          </w:p>
          <w:p>
            <w:pPr>
              <w:jc w:val="center"/>
              <w:rPr>
                <w:rFonts w:hint="eastAsia" w:ascii="微软雅黑" w:hAnsi="微软雅黑" w:eastAsia="微软雅黑" w:cs="微软雅黑"/>
                <w:b/>
                <w:bCs/>
                <w:color w:val="auto"/>
              </w:rPr>
            </w:pPr>
          </w:p>
        </w:tc>
      </w:tr>
    </w:tbl>
    <w:p>
      <w:pPr>
        <w:spacing w:line="240" w:lineRule="atLeast"/>
        <w:rPr>
          <w:rFonts w:hint="eastAsia" w:ascii="微软雅黑" w:hAnsi="微软雅黑" w:eastAsia="微软雅黑" w:cs="微软雅黑"/>
          <w:b/>
          <w:bCs/>
          <w:color w:val="auto"/>
          <w:sz w:val="30"/>
          <w:szCs w:val="30"/>
        </w:rPr>
      </w:pPr>
      <w:r>
        <w:rPr>
          <w:rFonts w:hint="eastAsia" w:ascii="微软雅黑" w:hAnsi="微软雅黑" w:eastAsia="微软雅黑" w:cs="微软雅黑"/>
          <w:color w:val="auto"/>
          <w:sz w:val="24"/>
          <w:szCs w:val="24"/>
        </w:rPr>
        <w:br w:type="page"/>
      </w:r>
    </w:p>
    <w:p>
      <w:pPr>
        <w:spacing w:line="240" w:lineRule="atLeast"/>
        <w:jc w:val="center"/>
        <w:rPr>
          <w:rFonts w:hint="eastAsia" w:ascii="微软雅黑" w:hAnsi="微软雅黑" w:eastAsia="微软雅黑" w:cs="微软雅黑"/>
          <w:b/>
          <w:bCs/>
          <w:color w:val="auto"/>
          <w:sz w:val="32"/>
          <w:szCs w:val="32"/>
        </w:rPr>
      </w:pPr>
    </w:p>
    <w:p>
      <w:pPr>
        <w:spacing w:line="240" w:lineRule="atLeast"/>
        <w:jc w:val="center"/>
        <w:rPr>
          <w:rFonts w:hint="eastAsia" w:ascii="微软雅黑" w:hAnsi="微软雅黑" w:eastAsia="微软雅黑" w:cs="微软雅黑"/>
          <w:b/>
          <w:bCs/>
          <w:color w:val="auto"/>
          <w:sz w:val="32"/>
          <w:szCs w:val="32"/>
        </w:rPr>
      </w:pPr>
    </w:p>
    <w:p>
      <w:pPr>
        <w:spacing w:line="240" w:lineRule="atLeast"/>
        <w:jc w:val="center"/>
        <w:rPr>
          <w:rFonts w:hint="eastAsia" w:ascii="微软雅黑" w:hAnsi="微软雅黑" w:eastAsia="微软雅黑" w:cs="微软雅黑"/>
          <w:b/>
          <w:bCs/>
          <w:color w:val="auto"/>
          <w:sz w:val="44"/>
          <w:szCs w:val="44"/>
        </w:rPr>
      </w:pPr>
    </w:p>
    <w:p>
      <w:pPr>
        <w:spacing w:line="240" w:lineRule="atLeast"/>
        <w:jc w:val="center"/>
        <w:rPr>
          <w:rFonts w:hint="eastAsia" w:ascii="微软雅黑" w:hAnsi="微软雅黑" w:eastAsia="微软雅黑" w:cs="微软雅黑"/>
          <w:b/>
          <w:bCs/>
          <w:color w:val="auto"/>
          <w:sz w:val="44"/>
          <w:szCs w:val="44"/>
        </w:rPr>
      </w:pPr>
    </w:p>
    <w:p>
      <w:pPr>
        <w:outlineLvl w:val="9"/>
        <w:rPr>
          <w:rFonts w:hint="eastAsia" w:ascii="微软雅黑" w:hAnsi="微软雅黑" w:eastAsia="微软雅黑" w:cs="微软雅黑"/>
          <w:b/>
          <w:bCs/>
          <w:color w:val="auto"/>
          <w:sz w:val="44"/>
          <w:szCs w:val="44"/>
        </w:rPr>
      </w:pP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spacing w:line="240" w:lineRule="atLeast"/>
        <w:jc w:val="center"/>
        <w:rPr>
          <w:rFonts w:hint="eastAsia" w:ascii="微软雅黑" w:hAnsi="微软雅黑" w:eastAsia="微软雅黑" w:cs="微软雅黑"/>
          <w:b/>
          <w:bCs/>
          <w:color w:val="auto"/>
          <w:sz w:val="44"/>
          <w:szCs w:val="44"/>
          <w:lang w:eastAsia="zh-CN"/>
        </w:rPr>
      </w:pPr>
      <w:r>
        <w:rPr>
          <w:rFonts w:hint="eastAsia" w:ascii="微软雅黑" w:hAnsi="微软雅黑" w:eastAsia="微软雅黑" w:cs="微软雅黑"/>
          <w:b/>
          <w:bCs/>
          <w:color w:val="auto"/>
          <w:sz w:val="44"/>
          <w:szCs w:val="44"/>
          <w:lang w:eastAsia="zh-CN"/>
        </w:rPr>
        <w:t>喀什中医医院感染科医疗设备采购项目</w:t>
      </w:r>
    </w:p>
    <w:p>
      <w:pPr>
        <w:spacing w:line="240" w:lineRule="atLeast"/>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招 标 文 件</w:t>
      </w:r>
    </w:p>
    <w:p>
      <w:pPr>
        <w:spacing w:line="240" w:lineRule="atLeast"/>
        <w:jc w:val="center"/>
        <w:rPr>
          <w:rFonts w:hint="eastAsia" w:ascii="微软雅黑" w:hAnsi="微软雅黑" w:eastAsia="微软雅黑" w:cs="微软雅黑"/>
          <w:b/>
          <w:bCs/>
          <w:color w:val="auto"/>
          <w:sz w:val="40"/>
          <w:szCs w:val="40"/>
        </w:rPr>
      </w:pPr>
    </w:p>
    <w:p>
      <w:pPr>
        <w:spacing w:line="240" w:lineRule="atLeast"/>
        <w:jc w:val="center"/>
        <w:rPr>
          <w:rFonts w:hint="default" w:ascii="微软雅黑" w:hAnsi="微软雅黑" w:eastAsia="微软雅黑" w:cs="微软雅黑"/>
          <w:b/>
          <w:bCs/>
          <w:color w:val="auto"/>
          <w:sz w:val="32"/>
          <w:szCs w:val="32"/>
          <w:lang w:val="en-US" w:eastAsia="zh-CN"/>
        </w:rPr>
      </w:pPr>
      <w:r>
        <w:rPr>
          <w:rFonts w:hint="eastAsia" w:ascii="微软雅黑" w:hAnsi="微软雅黑" w:eastAsia="微软雅黑" w:cs="微软雅黑"/>
          <w:b/>
          <w:bCs/>
          <w:color w:val="auto"/>
          <w:sz w:val="40"/>
          <w:szCs w:val="40"/>
        </w:rPr>
        <w:t>项目编号：</w:t>
      </w:r>
      <w:r>
        <w:rPr>
          <w:rFonts w:hint="eastAsia" w:ascii="微软雅黑" w:hAnsi="微软雅黑" w:eastAsia="微软雅黑" w:cs="微软雅黑"/>
          <w:b/>
          <w:bCs/>
          <w:color w:val="auto"/>
          <w:sz w:val="40"/>
          <w:szCs w:val="40"/>
          <w:lang w:val="en-US" w:eastAsia="zh-CN"/>
        </w:rPr>
        <w:t xml:space="preserve">      </w:t>
      </w:r>
    </w:p>
    <w:p>
      <w:pPr>
        <w:spacing w:line="240" w:lineRule="atLeast"/>
        <w:jc w:val="center"/>
        <w:rPr>
          <w:rFonts w:hint="eastAsia" w:ascii="微软雅黑" w:hAnsi="微软雅黑" w:eastAsia="微软雅黑" w:cs="微软雅黑"/>
          <w:b/>
          <w:bCs/>
          <w:color w:val="auto"/>
          <w:sz w:val="32"/>
          <w:szCs w:val="32"/>
        </w:rPr>
      </w:pPr>
    </w:p>
    <w:p>
      <w:pPr>
        <w:spacing w:line="240" w:lineRule="atLeast"/>
        <w:jc w:val="center"/>
        <w:rPr>
          <w:rFonts w:hint="eastAsia" w:ascii="微软雅黑" w:hAnsi="微软雅黑" w:eastAsia="微软雅黑" w:cs="微软雅黑"/>
          <w:b/>
          <w:bCs/>
          <w:color w:val="auto"/>
          <w:sz w:val="32"/>
          <w:szCs w:val="32"/>
        </w:rPr>
      </w:pPr>
    </w:p>
    <w:p>
      <w:pPr>
        <w:spacing w:line="240" w:lineRule="atLeast"/>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第 二 册</w:t>
      </w:r>
    </w:p>
    <w:p>
      <w:pPr>
        <w:spacing w:line="240" w:lineRule="atLeast"/>
        <w:jc w:val="center"/>
        <w:rPr>
          <w:rFonts w:hint="eastAsia" w:ascii="微软雅黑" w:hAnsi="微软雅黑" w:eastAsia="微软雅黑" w:cs="微软雅黑"/>
          <w:b/>
          <w:bCs/>
          <w:color w:val="auto"/>
          <w:sz w:val="32"/>
          <w:szCs w:val="32"/>
        </w:rPr>
      </w:pPr>
    </w:p>
    <w:p>
      <w:pPr>
        <w:spacing w:line="240" w:lineRule="atLeast"/>
        <w:jc w:val="center"/>
        <w:rPr>
          <w:rFonts w:hint="eastAsia" w:ascii="微软雅黑" w:hAnsi="微软雅黑" w:eastAsia="微软雅黑" w:cs="微软雅黑"/>
          <w:b/>
          <w:bCs/>
          <w:color w:val="auto"/>
          <w:sz w:val="32"/>
          <w:szCs w:val="32"/>
        </w:rPr>
      </w:pPr>
      <w:r>
        <w:rPr>
          <w:rFonts w:hint="eastAsia" w:ascii="微软雅黑" w:hAnsi="微软雅黑" w:eastAsia="微软雅黑" w:cs="微软雅黑"/>
          <w:b/>
          <w:bCs/>
          <w:color w:val="auto"/>
          <w:sz w:val="32"/>
          <w:szCs w:val="32"/>
        </w:rPr>
        <w:t xml:space="preserve">  </w:t>
      </w:r>
    </w:p>
    <w:p>
      <w:pPr>
        <w:spacing w:line="240" w:lineRule="atLeast"/>
        <w:ind w:left="1080" w:leftChars="257" w:hanging="540"/>
        <w:rPr>
          <w:rFonts w:hint="eastAsia" w:ascii="微软雅黑" w:hAnsi="微软雅黑" w:eastAsia="微软雅黑" w:cs="微软雅黑"/>
          <w:b/>
          <w:bCs/>
          <w:color w:val="auto"/>
          <w:sz w:val="28"/>
          <w:szCs w:val="28"/>
        </w:rPr>
      </w:pPr>
    </w:p>
    <w:p>
      <w:pPr>
        <w:spacing w:line="240" w:lineRule="atLeast"/>
        <w:ind w:left="1080" w:leftChars="257" w:hanging="540"/>
        <w:rPr>
          <w:rFonts w:hint="eastAsia" w:ascii="微软雅黑" w:hAnsi="微软雅黑" w:eastAsia="微软雅黑" w:cs="微软雅黑"/>
          <w:b/>
          <w:bCs/>
          <w:color w:val="auto"/>
          <w:sz w:val="28"/>
          <w:szCs w:val="28"/>
        </w:rPr>
      </w:pPr>
    </w:p>
    <w:p>
      <w:pPr>
        <w:spacing w:line="240" w:lineRule="atLeast"/>
        <w:ind w:left="1080" w:leftChars="257" w:hanging="540"/>
        <w:rPr>
          <w:rFonts w:hint="eastAsia" w:ascii="微软雅黑" w:hAnsi="微软雅黑" w:eastAsia="微软雅黑" w:cs="微软雅黑"/>
          <w:b/>
          <w:bCs/>
          <w:color w:val="auto"/>
          <w:sz w:val="28"/>
          <w:szCs w:val="28"/>
        </w:rPr>
      </w:pPr>
    </w:p>
    <w:p>
      <w:pPr>
        <w:spacing w:line="240" w:lineRule="atLeast"/>
        <w:ind w:left="1080" w:leftChars="257" w:hanging="540"/>
        <w:jc w:val="center"/>
        <w:rPr>
          <w:rFonts w:hint="eastAsia" w:ascii="微软雅黑" w:hAnsi="微软雅黑" w:eastAsia="微软雅黑" w:cs="微软雅黑"/>
          <w:b/>
          <w:bCs/>
          <w:color w:val="auto"/>
          <w:sz w:val="52"/>
          <w:szCs w:val="52"/>
        </w:rPr>
      </w:pPr>
    </w:p>
    <w:p>
      <w:pPr>
        <w:spacing w:line="240" w:lineRule="atLeast"/>
        <w:ind w:left="1080" w:leftChars="257" w:hanging="540"/>
        <w:jc w:val="center"/>
        <w:rPr>
          <w:rFonts w:hint="eastAsia" w:ascii="微软雅黑" w:hAnsi="微软雅黑" w:eastAsia="微软雅黑" w:cs="微软雅黑"/>
          <w:b/>
          <w:bCs/>
          <w:color w:val="auto"/>
          <w:sz w:val="52"/>
          <w:szCs w:val="52"/>
        </w:rPr>
      </w:pPr>
    </w:p>
    <w:p>
      <w:pPr>
        <w:pStyle w:val="3"/>
        <w:numPr>
          <w:ilvl w:val="0"/>
          <w:numId w:val="7"/>
        </w:numPr>
        <w:tabs>
          <w:tab w:val="left" w:pos="0"/>
        </w:tabs>
        <w:spacing w:before="0" w:after="0" w:line="500" w:lineRule="exact"/>
        <w:rPr>
          <w:rFonts w:hint="eastAsia" w:ascii="微软雅黑" w:hAnsi="微软雅黑" w:eastAsia="微软雅黑" w:cs="微软雅黑"/>
          <w:color w:val="auto"/>
        </w:rPr>
      </w:pPr>
      <w:bookmarkStart w:id="826" w:name="_Toc28765"/>
      <w:bookmarkStart w:id="827" w:name="_Toc219175634"/>
      <w:bookmarkStart w:id="828" w:name="_Toc507399902"/>
      <w:bookmarkStart w:id="829" w:name="_Toc29715"/>
      <w:bookmarkStart w:id="830" w:name="_Toc16370"/>
      <w:bookmarkStart w:id="831" w:name="_Toc216582822"/>
      <w:bookmarkStart w:id="832" w:name="_Toc218935350"/>
      <w:bookmarkStart w:id="833" w:name="_Toc515647829"/>
      <w:r>
        <w:rPr>
          <w:rFonts w:hint="eastAsia" w:ascii="微软雅黑" w:hAnsi="微软雅黑" w:eastAsia="微软雅黑" w:cs="微软雅黑"/>
          <w:color w:val="auto"/>
        </w:rPr>
        <w:t xml:space="preserve"> </w:t>
      </w:r>
      <w:bookmarkStart w:id="834" w:name="_Toc6259"/>
      <w:r>
        <w:rPr>
          <w:rFonts w:hint="eastAsia" w:ascii="微软雅黑" w:hAnsi="微软雅黑" w:eastAsia="微软雅黑" w:cs="微软雅黑"/>
          <w:color w:val="auto"/>
        </w:rPr>
        <w:t>投标邀请</w:t>
      </w:r>
      <w:bookmarkEnd w:id="826"/>
      <w:bookmarkEnd w:id="827"/>
      <w:bookmarkEnd w:id="828"/>
      <w:bookmarkEnd w:id="829"/>
      <w:bookmarkEnd w:id="830"/>
      <w:bookmarkEnd w:id="831"/>
      <w:bookmarkEnd w:id="832"/>
      <w:bookmarkEnd w:id="833"/>
      <w:bookmarkEnd w:id="834"/>
      <w:bookmarkStart w:id="835" w:name="_Toc507399903"/>
      <w:bookmarkStart w:id="836" w:name="_Toc515647830"/>
      <w:bookmarkStart w:id="837" w:name="_Toc31583"/>
      <w:bookmarkStart w:id="838" w:name="_Toc216582823"/>
      <w:bookmarkStart w:id="839" w:name="_Toc5272"/>
      <w:bookmarkStart w:id="840" w:name="_Toc10488"/>
      <w:bookmarkStart w:id="841" w:name="_Toc512937850"/>
    </w:p>
    <w:p>
      <w:pPr>
        <w:pStyle w:val="3"/>
        <w:keepNext w:val="0"/>
        <w:keepLines w:val="0"/>
        <w:pageBreakBefore w:val="0"/>
        <w:tabs>
          <w:tab w:val="left" w:pos="4947"/>
        </w:tabs>
        <w:kinsoku/>
        <w:wordWrap/>
        <w:overflowPunct/>
        <w:topLinePunct w:val="0"/>
        <w:bidi w:val="0"/>
        <w:spacing w:line="400" w:lineRule="exact"/>
        <w:ind w:left="567" w:right="567"/>
        <w:jc w:val="center"/>
        <w:textAlignment w:val="auto"/>
        <w:rPr>
          <w:rFonts w:hint="eastAsia" w:ascii="微软雅黑" w:hAnsi="微软雅黑" w:eastAsia="微软雅黑" w:cs="微软雅黑"/>
          <w:i w:val="0"/>
          <w:iCs w:val="0"/>
          <w:caps w:val="0"/>
          <w:color w:val="auto"/>
          <w:spacing w:val="0"/>
          <w:sz w:val="27"/>
          <w:szCs w:val="27"/>
          <w:vertAlign w:val="baseline"/>
        </w:rPr>
      </w:pPr>
      <w:bookmarkStart w:id="842" w:name="_Toc3588"/>
      <w:r>
        <w:rPr>
          <w:rFonts w:hint="eastAsia" w:ascii="微软雅黑" w:hAnsi="微软雅黑" w:eastAsia="微软雅黑" w:cs="微软雅黑"/>
          <w:b/>
          <w:color w:val="auto"/>
          <w:sz w:val="36"/>
          <w:szCs w:val="30"/>
          <w:lang w:eastAsia="zh-CN"/>
        </w:rPr>
        <w:t>喀什中医医院感染科医疗设备采购项目公开招标公告</w:t>
      </w:r>
      <w:bookmarkEnd w:id="842"/>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1" w:type="dxa"/>
          </w:tcPr>
          <w:p>
            <w:pPr>
              <w:pStyle w:val="23"/>
              <w:keepNext w:val="0"/>
              <w:keepLines w:val="0"/>
              <w:pageBreakBefore w:val="0"/>
              <w:widowControl/>
              <w:suppressLineNumbers w:val="0"/>
              <w:kinsoku/>
              <w:wordWrap/>
              <w:overflowPunct/>
              <w:topLinePunct w:val="0"/>
              <w:bidi w:val="0"/>
              <w:spacing w:before="75" w:beforeAutospacing="0" w:after="150" w:afterAutospacing="0" w:line="400" w:lineRule="exact"/>
              <w:ind w:left="0" w:right="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rPr>
              <w:t>项目概况                                                    </w:t>
            </w:r>
          </w:p>
          <w:p>
            <w:pPr>
              <w:pStyle w:val="23"/>
              <w:keepNext w:val="0"/>
              <w:keepLines w:val="0"/>
              <w:pageBreakBefore w:val="0"/>
              <w:widowControl/>
              <w:suppressLineNumbers w:val="0"/>
              <w:kinsoku/>
              <w:wordWrap/>
              <w:overflowPunct/>
              <w:topLinePunct w:val="0"/>
              <w:bidi w:val="0"/>
              <w:spacing w:before="75" w:beforeAutospacing="0" w:after="150" w:afterAutospacing="0" w:line="400" w:lineRule="exact"/>
              <w:ind w:right="0"/>
              <w:textAlignment w:val="auto"/>
              <w:rPr>
                <w:rFonts w:hint="eastAsia" w:ascii="微软雅黑" w:hAnsi="微软雅黑" w:eastAsia="微软雅黑" w:cs="微软雅黑"/>
                <w:i w:val="0"/>
                <w:iCs w:val="0"/>
                <w:caps w:val="0"/>
                <w:color w:val="auto"/>
                <w:spacing w:val="0"/>
                <w:sz w:val="24"/>
                <w:szCs w:val="24"/>
                <w:vertAlign w:val="baseline"/>
              </w:rPr>
            </w:pPr>
            <w:r>
              <w:rPr>
                <w:rFonts w:hint="eastAsia" w:ascii="微软雅黑" w:hAnsi="微软雅黑" w:eastAsia="微软雅黑" w:cs="微软雅黑"/>
                <w:i w:val="0"/>
                <w:iCs w:val="0"/>
                <w:caps w:val="0"/>
                <w:color w:val="auto"/>
                <w:spacing w:val="0"/>
                <w:sz w:val="24"/>
                <w:szCs w:val="24"/>
              </w:rPr>
              <w:t>   </w:t>
            </w:r>
            <w:r>
              <w:rPr>
                <w:rFonts w:hint="eastAsia" w:ascii="微软雅黑" w:hAnsi="微软雅黑" w:eastAsia="微软雅黑" w:cs="微软雅黑"/>
                <w:i w:val="0"/>
                <w:iCs w:val="0"/>
                <w:caps w:val="0"/>
                <w:color w:val="auto"/>
                <w:spacing w:val="0"/>
                <w:sz w:val="24"/>
                <w:szCs w:val="24"/>
                <w:lang w:val="en-US" w:eastAsia="zh-CN"/>
              </w:rPr>
              <w:t xml:space="preserve"> 喀什中医医院感染科医疗设备采购项目</w:t>
            </w:r>
            <w:r>
              <w:rPr>
                <w:rFonts w:hint="eastAsia" w:ascii="微软雅黑" w:hAnsi="微软雅黑" w:eastAsia="微软雅黑" w:cs="微软雅黑"/>
                <w:i w:val="0"/>
                <w:iCs w:val="0"/>
                <w:caps w:val="0"/>
                <w:color w:val="auto"/>
                <w:spacing w:val="0"/>
                <w:sz w:val="24"/>
                <w:szCs w:val="24"/>
              </w:rPr>
              <w:t>的潜在供应商应在</w:t>
            </w:r>
            <w:r>
              <w:rPr>
                <w:rFonts w:hint="eastAsia" w:ascii="微软雅黑" w:hAnsi="微软雅黑" w:eastAsia="微软雅黑" w:cs="微软雅黑"/>
                <w:color w:val="auto"/>
                <w:sz w:val="24"/>
                <w:szCs w:val="24"/>
                <w:lang w:val="en-US" w:eastAsia="zh-CN"/>
              </w:rPr>
              <w:t>政采云平台（https://www.zcygov.cn）获</w:t>
            </w:r>
            <w:r>
              <w:rPr>
                <w:rFonts w:hint="eastAsia" w:ascii="微软雅黑" w:hAnsi="微软雅黑" w:eastAsia="微软雅黑" w:cs="微软雅黑"/>
                <w:i w:val="0"/>
                <w:iCs w:val="0"/>
                <w:caps w:val="0"/>
                <w:color w:val="auto"/>
                <w:spacing w:val="0"/>
                <w:sz w:val="24"/>
                <w:szCs w:val="24"/>
                <w:highlight w:val="none"/>
              </w:rPr>
              <w:t>取采购文件，并于</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cs="微软雅黑"/>
                <w:i w:val="0"/>
                <w:iCs w:val="0"/>
                <w:caps w:val="0"/>
                <w:color w:val="auto"/>
                <w:spacing w:val="0"/>
                <w:sz w:val="24"/>
                <w:szCs w:val="24"/>
                <w:highlight w:val="none"/>
                <w:lang w:val="en-US" w:eastAsia="zh-CN"/>
              </w:rPr>
              <w:t>10</w:t>
            </w:r>
            <w:r>
              <w:rPr>
                <w:rFonts w:hint="eastAsia" w:ascii="微软雅黑" w:hAnsi="微软雅黑" w:eastAsia="微软雅黑" w:cs="微软雅黑"/>
                <w:i w:val="0"/>
                <w:iCs w:val="0"/>
                <w:caps w:val="0"/>
                <w:color w:val="auto"/>
                <w:spacing w:val="0"/>
                <w:sz w:val="24"/>
                <w:szCs w:val="24"/>
                <w:highlight w:val="none"/>
                <w:lang w:val="en-US" w:eastAsia="zh-CN"/>
              </w:rPr>
              <w:t>月</w:t>
            </w:r>
            <w:r>
              <w:rPr>
                <w:rFonts w:hint="eastAsia" w:ascii="微软雅黑" w:hAnsi="微软雅黑" w:cs="微软雅黑"/>
                <w:i w:val="0"/>
                <w:iCs w:val="0"/>
                <w:caps w:val="0"/>
                <w:color w:val="auto"/>
                <w:spacing w:val="0"/>
                <w:sz w:val="24"/>
                <w:szCs w:val="24"/>
                <w:highlight w:val="none"/>
                <w:lang w:val="en-US" w:eastAsia="zh-CN"/>
              </w:rPr>
              <w:t>17</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rPr>
              <w:t xml:space="preserve">（北京时间）前提交响应文件。  </w:t>
            </w:r>
          </w:p>
        </w:tc>
      </w:tr>
    </w:tbl>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jc w:val="left"/>
        <w:textAlignment w:val="auto"/>
        <w:rPr>
          <w:rFonts w:hint="eastAsia" w:ascii="微软雅黑" w:hAnsi="微软雅黑" w:eastAsia="微软雅黑" w:cs="微软雅黑"/>
          <w:i w:val="0"/>
          <w:iCs w:val="0"/>
          <w:caps w:val="0"/>
          <w:color w:val="auto"/>
          <w:spacing w:val="0"/>
          <w:sz w:val="24"/>
          <w:szCs w:val="24"/>
        </w:rPr>
      </w:pPr>
      <w:r>
        <w:rPr>
          <w:rStyle w:val="28"/>
          <w:rFonts w:hint="eastAsia" w:ascii="微软雅黑" w:hAnsi="微软雅黑" w:eastAsia="微软雅黑" w:cs="微软雅黑"/>
          <w:i w:val="0"/>
          <w:iCs w:val="0"/>
          <w:caps w:val="0"/>
          <w:color w:val="auto"/>
          <w:spacing w:val="0"/>
          <w:sz w:val="24"/>
          <w:szCs w:val="24"/>
        </w:rPr>
        <w:t>一、项目基本情况</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i w:val="0"/>
          <w:iCs w:val="0"/>
          <w:caps w:val="0"/>
          <w:color w:val="auto"/>
          <w:spacing w:val="0"/>
          <w:sz w:val="24"/>
          <w:szCs w:val="24"/>
        </w:rPr>
        <w:t xml:space="preserve">    </w:t>
      </w:r>
      <w:r>
        <w:rPr>
          <w:rFonts w:hint="eastAsia" w:ascii="微软雅黑" w:hAnsi="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rPr>
        <w:t>项目编号：XJHSY[2022]-CG-00</w:t>
      </w:r>
      <w:r>
        <w:rPr>
          <w:rFonts w:hint="eastAsia" w:ascii="微软雅黑" w:hAnsi="微软雅黑" w:eastAsia="微软雅黑" w:cs="微软雅黑"/>
          <w:i w:val="0"/>
          <w:iCs w:val="0"/>
          <w:caps w:val="0"/>
          <w:color w:val="auto"/>
          <w:spacing w:val="0"/>
          <w:sz w:val="24"/>
          <w:szCs w:val="24"/>
          <w:lang w:val="en-US" w:eastAsia="zh-CN"/>
        </w:rPr>
        <w:t>3</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i w:val="0"/>
          <w:iCs w:val="0"/>
          <w:caps w:val="0"/>
          <w:color w:val="auto"/>
          <w:spacing w:val="0"/>
          <w:sz w:val="24"/>
          <w:szCs w:val="24"/>
        </w:rPr>
        <w:t>   </w:t>
      </w:r>
      <w:r>
        <w:rPr>
          <w:rFonts w:hint="eastAsia" w:ascii="微软雅黑" w:hAnsi="微软雅黑" w:cs="微软雅黑"/>
          <w:i w:val="0"/>
          <w:iCs w:val="0"/>
          <w:caps w:val="0"/>
          <w:color w:val="auto"/>
          <w:spacing w:val="0"/>
          <w:sz w:val="24"/>
          <w:szCs w:val="24"/>
          <w:lang w:val="en-US" w:eastAsia="zh-CN"/>
        </w:rPr>
        <w:t xml:space="preserve"> 2、</w:t>
      </w:r>
      <w:r>
        <w:rPr>
          <w:rFonts w:hint="eastAsia" w:ascii="微软雅黑" w:hAnsi="微软雅黑" w:eastAsia="微软雅黑" w:cs="微软雅黑"/>
          <w:i w:val="0"/>
          <w:iCs w:val="0"/>
          <w:caps w:val="0"/>
          <w:color w:val="auto"/>
          <w:spacing w:val="0"/>
          <w:sz w:val="24"/>
          <w:szCs w:val="24"/>
        </w:rPr>
        <w:t>项目名称：</w:t>
      </w:r>
      <w:r>
        <w:rPr>
          <w:rFonts w:hint="eastAsia" w:ascii="微软雅黑" w:hAnsi="微软雅黑" w:eastAsia="微软雅黑" w:cs="微软雅黑"/>
          <w:i w:val="0"/>
          <w:iCs w:val="0"/>
          <w:caps w:val="0"/>
          <w:color w:val="auto"/>
          <w:spacing w:val="0"/>
          <w:sz w:val="24"/>
          <w:szCs w:val="24"/>
          <w:lang w:eastAsia="zh-CN"/>
        </w:rPr>
        <w:t>喀什中医医院感染科医疗设备采购项目</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rPr>
        <w:t xml:space="preserve">    </w:t>
      </w:r>
      <w:r>
        <w:rPr>
          <w:rFonts w:hint="eastAsia" w:ascii="微软雅黑" w:hAnsi="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rPr>
        <w:t>采购方式：</w:t>
      </w:r>
      <w:r>
        <w:rPr>
          <w:rFonts w:hint="eastAsia" w:ascii="微软雅黑" w:hAnsi="微软雅黑" w:eastAsia="微软雅黑" w:cs="微软雅黑"/>
          <w:i w:val="0"/>
          <w:iCs w:val="0"/>
          <w:caps w:val="0"/>
          <w:color w:val="auto"/>
          <w:spacing w:val="0"/>
          <w:sz w:val="24"/>
          <w:szCs w:val="24"/>
          <w:lang w:eastAsia="zh-CN"/>
        </w:rPr>
        <w:t>公开招标</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40" w:firstLineChars="100"/>
        <w:textAlignment w:val="auto"/>
        <w:rPr>
          <w:rFonts w:hint="eastAsia" w:ascii="微软雅黑" w:hAnsi="微软雅黑" w:eastAsia="微软雅黑" w:cs="微软雅黑"/>
          <w:color w:val="auto"/>
          <w:sz w:val="24"/>
          <w:szCs w:val="24"/>
          <w:lang w:val="en-US" w:eastAsia="zh-CN"/>
        </w:rPr>
      </w:pPr>
      <w:r>
        <w:rPr>
          <w:rFonts w:hint="eastAsia" w:ascii="微软雅黑" w:hAnsi="微软雅黑" w:cs="微软雅黑"/>
          <w:i w:val="0"/>
          <w:iCs w:val="0"/>
          <w:caps w:val="0"/>
          <w:color w:val="auto"/>
          <w:spacing w:val="0"/>
          <w:sz w:val="24"/>
          <w:szCs w:val="24"/>
          <w:lang w:val="en-US" w:eastAsia="zh-CN"/>
        </w:rPr>
        <w:t>4、</w:t>
      </w:r>
      <w:r>
        <w:rPr>
          <w:rFonts w:hint="eastAsia" w:ascii="微软雅黑" w:hAnsi="微软雅黑" w:eastAsia="微软雅黑" w:cs="微软雅黑"/>
          <w:i w:val="0"/>
          <w:iCs w:val="0"/>
          <w:caps w:val="0"/>
          <w:color w:val="auto"/>
          <w:spacing w:val="0"/>
          <w:sz w:val="24"/>
          <w:szCs w:val="24"/>
          <w:lang w:val="en-US" w:eastAsia="zh-CN"/>
        </w:rPr>
        <w:t>总</w:t>
      </w:r>
      <w:r>
        <w:rPr>
          <w:rFonts w:hint="eastAsia" w:ascii="微软雅黑" w:hAnsi="微软雅黑" w:eastAsia="微软雅黑" w:cs="微软雅黑"/>
          <w:i w:val="0"/>
          <w:iCs w:val="0"/>
          <w:caps w:val="0"/>
          <w:color w:val="auto"/>
          <w:spacing w:val="0"/>
          <w:sz w:val="24"/>
          <w:szCs w:val="24"/>
        </w:rPr>
        <w:t>预算金额（元）：</w:t>
      </w:r>
      <w:r>
        <w:rPr>
          <w:rFonts w:hint="eastAsia" w:ascii="微软雅黑" w:hAnsi="微软雅黑" w:eastAsia="微软雅黑" w:cs="微软雅黑"/>
          <w:i w:val="0"/>
          <w:iCs w:val="0"/>
          <w:caps w:val="0"/>
          <w:color w:val="auto"/>
          <w:spacing w:val="0"/>
          <w:sz w:val="24"/>
          <w:szCs w:val="24"/>
          <w:lang w:val="en-US" w:eastAsia="zh-CN"/>
        </w:rPr>
        <w:t>8633776.00</w:t>
      </w:r>
      <w:r>
        <w:rPr>
          <w:rFonts w:hint="eastAsia" w:ascii="微软雅黑" w:hAnsi="微软雅黑" w:eastAsia="微软雅黑" w:cs="微软雅黑"/>
          <w:i w:val="0"/>
          <w:iCs w:val="0"/>
          <w:caps w:val="0"/>
          <w:color w:val="auto"/>
          <w:spacing w:val="0"/>
          <w:sz w:val="24"/>
          <w:szCs w:val="24"/>
        </w:rPr>
        <w:t>元</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240" w:firstLineChars="100"/>
        <w:textAlignment w:val="auto"/>
        <w:rPr>
          <w:rFonts w:hint="eastAsia" w:ascii="微软雅黑" w:hAnsi="微软雅黑" w:cs="微软雅黑"/>
          <w:i w:val="0"/>
          <w:iCs w:val="0"/>
          <w:caps w:val="0"/>
          <w:color w:val="auto"/>
          <w:spacing w:val="0"/>
          <w:sz w:val="24"/>
          <w:szCs w:val="24"/>
          <w:lang w:val="en-US" w:eastAsia="zh-CN"/>
        </w:rPr>
      </w:pPr>
      <w:r>
        <w:rPr>
          <w:rFonts w:hint="eastAsia" w:ascii="微软雅黑" w:hAnsi="微软雅黑" w:cs="微软雅黑"/>
          <w:i w:val="0"/>
          <w:iCs w:val="0"/>
          <w:caps w:val="0"/>
          <w:color w:val="auto"/>
          <w:spacing w:val="0"/>
          <w:sz w:val="24"/>
          <w:szCs w:val="24"/>
          <w:lang w:val="en-US" w:eastAsia="zh-CN"/>
        </w:rPr>
        <w:t>5、</w:t>
      </w:r>
      <w:r>
        <w:rPr>
          <w:rFonts w:hint="eastAsia" w:ascii="微软雅黑" w:hAnsi="微软雅黑" w:eastAsia="微软雅黑" w:cs="微软雅黑"/>
          <w:i w:val="0"/>
          <w:iCs w:val="0"/>
          <w:caps w:val="0"/>
          <w:color w:val="auto"/>
          <w:spacing w:val="0"/>
          <w:sz w:val="24"/>
          <w:szCs w:val="24"/>
          <w:lang w:val="en-US" w:eastAsia="zh-CN"/>
        </w:rPr>
        <w:t>最高限价：</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720" w:firstLineChars="3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第一包：4850000.00元</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720" w:firstLineChars="3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第二包：1647000.00元</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720" w:firstLineChars="3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第三包：1019102.00元</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720" w:firstLineChars="3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第四包：1117674.00元</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lang w:val="en-US" w:eastAsia="zh-CN"/>
        </w:rPr>
        <w:t>6、</w:t>
      </w:r>
      <w:r>
        <w:rPr>
          <w:rFonts w:hint="eastAsia" w:ascii="微软雅黑" w:hAnsi="微软雅黑" w:eastAsia="微软雅黑" w:cs="微软雅黑"/>
          <w:i w:val="0"/>
          <w:iCs w:val="0"/>
          <w:caps w:val="0"/>
          <w:color w:val="auto"/>
          <w:spacing w:val="0"/>
          <w:sz w:val="24"/>
          <w:szCs w:val="24"/>
        </w:rPr>
        <w:t>采购需求：</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720" w:firstLineChars="300"/>
        <w:textAlignment w:val="auto"/>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lang w:eastAsia="zh-CN"/>
        </w:rPr>
        <w:t>第一包：影像特检（详见清单）</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720" w:firstLineChars="3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eastAsia="zh-CN"/>
        </w:rPr>
        <w:t>简要规格描述或项目基本概况介绍、用途：数字化X射线摄像系统(DR)（</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w:t>
      </w:r>
      <w:r>
        <w:rPr>
          <w:rFonts w:hint="default" w:ascii="微软雅黑" w:hAnsi="微软雅黑" w:eastAsia="微软雅黑" w:cs="微软雅黑"/>
          <w:i w:val="0"/>
          <w:iCs w:val="0"/>
          <w:caps w:val="0"/>
          <w:color w:val="auto"/>
          <w:spacing w:val="0"/>
          <w:sz w:val="24"/>
          <w:szCs w:val="24"/>
          <w:lang w:val="en-US" w:eastAsia="zh-CN"/>
        </w:rPr>
        <w:t>移动CT</w:t>
      </w:r>
      <w:r>
        <w:rPr>
          <w:rFonts w:hint="eastAsia" w:ascii="微软雅黑" w:hAnsi="微软雅黑" w:eastAsia="微软雅黑" w:cs="微软雅黑"/>
          <w:i w:val="0"/>
          <w:iCs w:val="0"/>
          <w:caps w:val="0"/>
          <w:color w:val="auto"/>
          <w:spacing w:val="0"/>
          <w:sz w:val="24"/>
          <w:szCs w:val="24"/>
          <w:lang w:val="en-US" w:eastAsia="zh-CN"/>
        </w:rPr>
        <w:t>（1台）、常规心电图，包括工作站（2台）、便携式彩色多普勒超声机（1台）；</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720" w:firstLineChars="3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第二包：pcr实验室及检验</w:t>
      </w:r>
      <w:r>
        <w:rPr>
          <w:rFonts w:hint="eastAsia" w:ascii="微软雅黑" w:hAnsi="微软雅黑" w:eastAsia="微软雅黑" w:cs="微软雅黑"/>
          <w:i w:val="0"/>
          <w:iCs w:val="0"/>
          <w:caps w:val="0"/>
          <w:color w:val="auto"/>
          <w:spacing w:val="0"/>
          <w:sz w:val="24"/>
          <w:szCs w:val="24"/>
          <w:lang w:eastAsia="zh-CN"/>
        </w:rPr>
        <w:t>（详见清单）</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720" w:firstLineChars="300"/>
        <w:textAlignment w:val="auto"/>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lang w:eastAsia="zh-CN"/>
        </w:rPr>
        <w:t>简要规格描述或项目基本概况介绍、用途：低温冰柜300L（2℃-零下8℃）（</w:t>
      </w:r>
      <w:r>
        <w:rPr>
          <w:rFonts w:hint="eastAsia" w:ascii="微软雅黑" w:hAnsi="微软雅黑" w:eastAsia="微软雅黑" w:cs="微软雅黑"/>
          <w:i w:val="0"/>
          <w:iCs w:val="0"/>
          <w:caps w:val="0"/>
          <w:color w:val="auto"/>
          <w:spacing w:val="0"/>
          <w:sz w:val="24"/>
          <w:szCs w:val="24"/>
          <w:lang w:val="en-US" w:eastAsia="zh-CN"/>
        </w:rPr>
        <w:t>2台</w:t>
      </w:r>
      <w:r>
        <w:rPr>
          <w:rFonts w:hint="eastAsia" w:ascii="微软雅黑" w:hAnsi="微软雅黑" w:eastAsia="微软雅黑" w:cs="微软雅黑"/>
          <w:i w:val="0"/>
          <w:iCs w:val="0"/>
          <w:caps w:val="0"/>
          <w:color w:val="auto"/>
          <w:spacing w:val="0"/>
          <w:sz w:val="24"/>
          <w:szCs w:val="24"/>
          <w:lang w:eastAsia="zh-CN"/>
        </w:rPr>
        <w:t>）、常温冰柜200L（20℃-10℃）（</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）、超低温冰箱200L（-20℃）（</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）、超低温冰箱600L（-20℃&amp;4℃）（</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）、56摄氏度干燥箱（</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）、震荡仪（</w:t>
      </w:r>
      <w:r>
        <w:rPr>
          <w:rFonts w:hint="eastAsia" w:ascii="微软雅黑" w:hAnsi="微软雅黑" w:eastAsia="微软雅黑" w:cs="微软雅黑"/>
          <w:i w:val="0"/>
          <w:iCs w:val="0"/>
          <w:caps w:val="0"/>
          <w:color w:val="auto"/>
          <w:spacing w:val="0"/>
          <w:sz w:val="24"/>
          <w:szCs w:val="24"/>
          <w:lang w:val="en-US" w:eastAsia="zh-CN"/>
        </w:rPr>
        <w:t>2台</w:t>
      </w:r>
      <w:r>
        <w:rPr>
          <w:rFonts w:hint="eastAsia" w:ascii="微软雅黑" w:hAnsi="微软雅黑" w:eastAsia="微软雅黑" w:cs="微软雅黑"/>
          <w:i w:val="0"/>
          <w:iCs w:val="0"/>
          <w:caps w:val="0"/>
          <w:color w:val="auto"/>
          <w:spacing w:val="0"/>
          <w:sz w:val="24"/>
          <w:szCs w:val="24"/>
          <w:lang w:eastAsia="zh-CN"/>
        </w:rPr>
        <w:t>）、小型离心机（</w:t>
      </w:r>
      <w:r>
        <w:rPr>
          <w:rFonts w:hint="eastAsia" w:ascii="微软雅黑" w:hAnsi="微软雅黑" w:eastAsia="微软雅黑" w:cs="微软雅黑"/>
          <w:i w:val="0"/>
          <w:iCs w:val="0"/>
          <w:caps w:val="0"/>
          <w:color w:val="auto"/>
          <w:spacing w:val="0"/>
          <w:sz w:val="24"/>
          <w:szCs w:val="24"/>
          <w:lang w:val="en-US" w:eastAsia="zh-CN"/>
        </w:rPr>
        <w:t>3台</w:t>
      </w:r>
      <w:r>
        <w:rPr>
          <w:rFonts w:hint="eastAsia" w:ascii="微软雅黑" w:hAnsi="微软雅黑" w:eastAsia="微软雅黑" w:cs="微软雅黑"/>
          <w:i w:val="0"/>
          <w:iCs w:val="0"/>
          <w:caps w:val="0"/>
          <w:color w:val="auto"/>
          <w:spacing w:val="0"/>
          <w:sz w:val="24"/>
          <w:szCs w:val="24"/>
          <w:lang w:eastAsia="zh-CN"/>
        </w:rPr>
        <w:t>）、高速离心机（</w:t>
      </w:r>
      <w:r>
        <w:rPr>
          <w:rFonts w:hint="eastAsia" w:ascii="微软雅黑" w:hAnsi="微软雅黑" w:eastAsia="微软雅黑" w:cs="微软雅黑"/>
          <w:i w:val="0"/>
          <w:iCs w:val="0"/>
          <w:caps w:val="0"/>
          <w:color w:val="auto"/>
          <w:spacing w:val="0"/>
          <w:sz w:val="24"/>
          <w:szCs w:val="24"/>
          <w:lang w:val="en-US" w:eastAsia="zh-CN"/>
        </w:rPr>
        <w:t>2台</w:t>
      </w:r>
      <w:r>
        <w:rPr>
          <w:rFonts w:hint="eastAsia" w:ascii="微软雅黑" w:hAnsi="微软雅黑" w:eastAsia="微软雅黑" w:cs="微软雅黑"/>
          <w:i w:val="0"/>
          <w:iCs w:val="0"/>
          <w:caps w:val="0"/>
          <w:color w:val="auto"/>
          <w:spacing w:val="0"/>
          <w:sz w:val="24"/>
          <w:szCs w:val="24"/>
          <w:lang w:eastAsia="zh-CN"/>
        </w:rPr>
        <w:t>）、微孔板迷你离心机（</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）、多通道可调量程移液器（0.5-10μL）（</w:t>
      </w:r>
      <w:r>
        <w:rPr>
          <w:rFonts w:hint="eastAsia" w:ascii="微软雅黑" w:hAnsi="微软雅黑" w:eastAsia="微软雅黑" w:cs="微软雅黑"/>
          <w:i w:val="0"/>
          <w:iCs w:val="0"/>
          <w:caps w:val="0"/>
          <w:color w:val="auto"/>
          <w:spacing w:val="0"/>
          <w:sz w:val="24"/>
          <w:szCs w:val="24"/>
          <w:lang w:val="en-US" w:eastAsia="zh-CN"/>
        </w:rPr>
        <w:t>2把</w:t>
      </w:r>
      <w:r>
        <w:rPr>
          <w:rFonts w:hint="eastAsia" w:ascii="微软雅黑" w:hAnsi="微软雅黑" w:eastAsia="微软雅黑" w:cs="微软雅黑"/>
          <w:i w:val="0"/>
          <w:iCs w:val="0"/>
          <w:caps w:val="0"/>
          <w:color w:val="auto"/>
          <w:spacing w:val="0"/>
          <w:sz w:val="24"/>
          <w:szCs w:val="24"/>
          <w:lang w:eastAsia="zh-CN"/>
        </w:rPr>
        <w:t>）、多通道可调量程移液器（10-100μL）（</w:t>
      </w:r>
      <w:r>
        <w:rPr>
          <w:rFonts w:hint="eastAsia" w:ascii="微软雅黑" w:hAnsi="微软雅黑" w:eastAsia="微软雅黑" w:cs="微软雅黑"/>
          <w:i w:val="0"/>
          <w:iCs w:val="0"/>
          <w:caps w:val="0"/>
          <w:color w:val="auto"/>
          <w:spacing w:val="0"/>
          <w:sz w:val="24"/>
          <w:szCs w:val="24"/>
          <w:lang w:val="en-US" w:eastAsia="zh-CN"/>
        </w:rPr>
        <w:t>2把</w:t>
      </w:r>
      <w:r>
        <w:rPr>
          <w:rFonts w:hint="eastAsia" w:ascii="微软雅黑" w:hAnsi="微软雅黑" w:eastAsia="微软雅黑" w:cs="微软雅黑"/>
          <w:i w:val="0"/>
          <w:iCs w:val="0"/>
          <w:caps w:val="0"/>
          <w:color w:val="auto"/>
          <w:spacing w:val="0"/>
          <w:sz w:val="24"/>
          <w:szCs w:val="24"/>
          <w:lang w:eastAsia="zh-CN"/>
        </w:rPr>
        <w:t>）、多通道可调量程移液器（30-300μL）（</w:t>
      </w:r>
      <w:r>
        <w:rPr>
          <w:rFonts w:hint="eastAsia" w:ascii="微软雅黑" w:hAnsi="微软雅黑" w:eastAsia="微软雅黑" w:cs="微软雅黑"/>
          <w:i w:val="0"/>
          <w:iCs w:val="0"/>
          <w:caps w:val="0"/>
          <w:color w:val="auto"/>
          <w:spacing w:val="0"/>
          <w:sz w:val="24"/>
          <w:szCs w:val="24"/>
          <w:lang w:val="en-US" w:eastAsia="zh-CN"/>
        </w:rPr>
        <w:t>2把</w:t>
      </w:r>
      <w:r>
        <w:rPr>
          <w:rFonts w:hint="eastAsia" w:ascii="微软雅黑" w:hAnsi="微软雅黑" w:eastAsia="微软雅黑" w:cs="微软雅黑"/>
          <w:i w:val="0"/>
          <w:iCs w:val="0"/>
          <w:caps w:val="0"/>
          <w:color w:val="auto"/>
          <w:spacing w:val="0"/>
          <w:sz w:val="24"/>
          <w:szCs w:val="24"/>
          <w:lang w:eastAsia="zh-CN"/>
        </w:rPr>
        <w:t>）、单通道可调量程移液器（0.1-3μL）（</w:t>
      </w:r>
      <w:r>
        <w:rPr>
          <w:rFonts w:hint="eastAsia" w:ascii="微软雅黑" w:hAnsi="微软雅黑" w:eastAsia="微软雅黑" w:cs="微软雅黑"/>
          <w:i w:val="0"/>
          <w:iCs w:val="0"/>
          <w:caps w:val="0"/>
          <w:color w:val="auto"/>
          <w:spacing w:val="0"/>
          <w:sz w:val="24"/>
          <w:szCs w:val="24"/>
          <w:lang w:val="en-US" w:eastAsia="zh-CN"/>
        </w:rPr>
        <w:t>2把</w:t>
      </w:r>
      <w:r>
        <w:rPr>
          <w:rFonts w:hint="eastAsia" w:ascii="微软雅黑" w:hAnsi="微软雅黑" w:eastAsia="微软雅黑" w:cs="微软雅黑"/>
          <w:i w:val="0"/>
          <w:iCs w:val="0"/>
          <w:caps w:val="0"/>
          <w:color w:val="auto"/>
          <w:spacing w:val="0"/>
          <w:sz w:val="24"/>
          <w:szCs w:val="24"/>
          <w:lang w:eastAsia="zh-CN"/>
        </w:rPr>
        <w:t>）、单通道可调量程移液器（0.5-10μL）（</w:t>
      </w:r>
      <w:r>
        <w:rPr>
          <w:rFonts w:hint="eastAsia" w:ascii="微软雅黑" w:hAnsi="微软雅黑" w:eastAsia="微软雅黑" w:cs="微软雅黑"/>
          <w:i w:val="0"/>
          <w:iCs w:val="0"/>
          <w:caps w:val="0"/>
          <w:color w:val="auto"/>
          <w:spacing w:val="0"/>
          <w:sz w:val="24"/>
          <w:szCs w:val="24"/>
          <w:lang w:val="en-US" w:eastAsia="zh-CN"/>
        </w:rPr>
        <w:t>2把</w:t>
      </w:r>
      <w:r>
        <w:rPr>
          <w:rFonts w:hint="eastAsia" w:ascii="微软雅黑" w:hAnsi="微软雅黑" w:eastAsia="微软雅黑" w:cs="微软雅黑"/>
          <w:i w:val="0"/>
          <w:iCs w:val="0"/>
          <w:caps w:val="0"/>
          <w:color w:val="auto"/>
          <w:spacing w:val="0"/>
          <w:sz w:val="24"/>
          <w:szCs w:val="24"/>
          <w:lang w:eastAsia="zh-CN"/>
        </w:rPr>
        <w:t>）、单通道可调量程移液器（10-100μL）（</w:t>
      </w:r>
      <w:r>
        <w:rPr>
          <w:rFonts w:hint="eastAsia" w:ascii="微软雅黑" w:hAnsi="微软雅黑" w:eastAsia="微软雅黑" w:cs="微软雅黑"/>
          <w:i w:val="0"/>
          <w:iCs w:val="0"/>
          <w:caps w:val="0"/>
          <w:color w:val="auto"/>
          <w:spacing w:val="0"/>
          <w:sz w:val="24"/>
          <w:szCs w:val="24"/>
          <w:lang w:val="en-US" w:eastAsia="zh-CN"/>
        </w:rPr>
        <w:t>2把</w:t>
      </w:r>
      <w:r>
        <w:rPr>
          <w:rFonts w:hint="eastAsia" w:ascii="微软雅黑" w:hAnsi="微软雅黑" w:eastAsia="微软雅黑" w:cs="微软雅黑"/>
          <w:i w:val="0"/>
          <w:iCs w:val="0"/>
          <w:caps w:val="0"/>
          <w:color w:val="auto"/>
          <w:spacing w:val="0"/>
          <w:sz w:val="24"/>
          <w:szCs w:val="24"/>
          <w:lang w:eastAsia="zh-CN"/>
        </w:rPr>
        <w:t>）、单通道可调量程移液器（100-1000μL）（</w:t>
      </w:r>
      <w:r>
        <w:rPr>
          <w:rFonts w:hint="eastAsia" w:ascii="微软雅黑" w:hAnsi="微软雅黑" w:eastAsia="微软雅黑" w:cs="微软雅黑"/>
          <w:i w:val="0"/>
          <w:iCs w:val="0"/>
          <w:caps w:val="0"/>
          <w:color w:val="auto"/>
          <w:spacing w:val="0"/>
          <w:sz w:val="24"/>
          <w:szCs w:val="24"/>
          <w:lang w:val="en-US" w:eastAsia="zh-CN"/>
        </w:rPr>
        <w:t>2把</w:t>
      </w:r>
      <w:r>
        <w:rPr>
          <w:rFonts w:hint="eastAsia" w:ascii="微软雅黑" w:hAnsi="微软雅黑" w:eastAsia="微软雅黑" w:cs="微软雅黑"/>
          <w:i w:val="0"/>
          <w:iCs w:val="0"/>
          <w:caps w:val="0"/>
          <w:color w:val="auto"/>
          <w:spacing w:val="0"/>
          <w:sz w:val="24"/>
          <w:szCs w:val="24"/>
          <w:lang w:eastAsia="zh-CN"/>
        </w:rPr>
        <w:t>）、移动紫外灯（</w:t>
      </w:r>
      <w:r>
        <w:rPr>
          <w:rFonts w:hint="eastAsia" w:ascii="微软雅黑" w:hAnsi="微软雅黑" w:eastAsia="微软雅黑" w:cs="微软雅黑"/>
          <w:i w:val="0"/>
          <w:iCs w:val="0"/>
          <w:caps w:val="0"/>
          <w:color w:val="auto"/>
          <w:spacing w:val="0"/>
          <w:sz w:val="24"/>
          <w:szCs w:val="24"/>
          <w:lang w:val="en-US" w:eastAsia="zh-CN"/>
        </w:rPr>
        <w:t>2台</w:t>
      </w:r>
      <w:r>
        <w:rPr>
          <w:rFonts w:hint="eastAsia" w:ascii="微软雅黑" w:hAnsi="微软雅黑" w:eastAsia="微软雅黑" w:cs="微软雅黑"/>
          <w:i w:val="0"/>
          <w:iCs w:val="0"/>
          <w:caps w:val="0"/>
          <w:color w:val="auto"/>
          <w:spacing w:val="0"/>
          <w:sz w:val="24"/>
          <w:szCs w:val="24"/>
          <w:lang w:eastAsia="zh-CN"/>
        </w:rPr>
        <w:t>）、电子天平（</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）、纯水机（</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）、提取仪（</w:t>
      </w:r>
      <w:r>
        <w:rPr>
          <w:rFonts w:hint="eastAsia" w:ascii="微软雅黑" w:hAnsi="微软雅黑" w:eastAsia="微软雅黑" w:cs="微软雅黑"/>
          <w:i w:val="0"/>
          <w:iCs w:val="0"/>
          <w:caps w:val="0"/>
          <w:color w:val="auto"/>
          <w:spacing w:val="0"/>
          <w:sz w:val="24"/>
          <w:szCs w:val="24"/>
          <w:lang w:val="en-US" w:eastAsia="zh-CN"/>
        </w:rPr>
        <w:t>2台</w:t>
      </w:r>
      <w:r>
        <w:rPr>
          <w:rFonts w:hint="eastAsia" w:ascii="微软雅黑" w:hAnsi="微软雅黑" w:eastAsia="微软雅黑" w:cs="微软雅黑"/>
          <w:i w:val="0"/>
          <w:iCs w:val="0"/>
          <w:caps w:val="0"/>
          <w:color w:val="auto"/>
          <w:spacing w:val="0"/>
          <w:sz w:val="24"/>
          <w:szCs w:val="24"/>
          <w:lang w:eastAsia="zh-CN"/>
        </w:rPr>
        <w:t>）、水浴锅（</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）、扩增仪（</w:t>
      </w:r>
      <w:r>
        <w:rPr>
          <w:rFonts w:hint="eastAsia" w:ascii="微软雅黑" w:hAnsi="微软雅黑" w:eastAsia="微软雅黑" w:cs="微软雅黑"/>
          <w:i w:val="0"/>
          <w:iCs w:val="0"/>
          <w:caps w:val="0"/>
          <w:color w:val="auto"/>
          <w:spacing w:val="0"/>
          <w:sz w:val="24"/>
          <w:szCs w:val="24"/>
          <w:lang w:val="en-US" w:eastAsia="zh-CN"/>
        </w:rPr>
        <w:t>4台</w:t>
      </w:r>
      <w:r>
        <w:rPr>
          <w:rFonts w:hint="eastAsia" w:ascii="微软雅黑" w:hAnsi="微软雅黑" w:eastAsia="微软雅黑" w:cs="微软雅黑"/>
          <w:i w:val="0"/>
          <w:iCs w:val="0"/>
          <w:caps w:val="0"/>
          <w:color w:val="auto"/>
          <w:spacing w:val="0"/>
          <w:sz w:val="24"/>
          <w:szCs w:val="24"/>
          <w:lang w:eastAsia="zh-CN"/>
        </w:rPr>
        <w:t>）、超净工作台（</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）、生物安全柜（</w:t>
      </w:r>
      <w:r>
        <w:rPr>
          <w:rFonts w:hint="eastAsia" w:ascii="微软雅黑" w:hAnsi="微软雅黑" w:eastAsia="微软雅黑" w:cs="微软雅黑"/>
          <w:i w:val="0"/>
          <w:iCs w:val="0"/>
          <w:caps w:val="0"/>
          <w:color w:val="auto"/>
          <w:spacing w:val="0"/>
          <w:sz w:val="24"/>
          <w:szCs w:val="24"/>
          <w:lang w:val="en-US" w:eastAsia="zh-CN"/>
        </w:rPr>
        <w:t>2台</w:t>
      </w:r>
      <w:r>
        <w:rPr>
          <w:rFonts w:hint="eastAsia" w:ascii="微软雅黑" w:hAnsi="微软雅黑" w:eastAsia="微软雅黑" w:cs="微软雅黑"/>
          <w:i w:val="0"/>
          <w:iCs w:val="0"/>
          <w:caps w:val="0"/>
          <w:color w:val="auto"/>
          <w:spacing w:val="0"/>
          <w:sz w:val="24"/>
          <w:szCs w:val="24"/>
          <w:lang w:eastAsia="zh-CN"/>
        </w:rPr>
        <w:t>）、100升高压灭菌锅（</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）、凝胶成像仪（黄色、绿色二选一）（</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）、双稳电泳仪（黄色、绿色二选一）（</w:t>
      </w:r>
      <w:r>
        <w:rPr>
          <w:rFonts w:hint="eastAsia" w:ascii="微软雅黑" w:hAnsi="微软雅黑" w:eastAsia="微软雅黑" w:cs="微软雅黑"/>
          <w:i w:val="0"/>
          <w:iCs w:val="0"/>
          <w:caps w:val="0"/>
          <w:color w:val="auto"/>
          <w:spacing w:val="0"/>
          <w:sz w:val="24"/>
          <w:szCs w:val="24"/>
          <w:lang w:val="en-US" w:eastAsia="zh-CN"/>
        </w:rPr>
        <w:t>2台</w:t>
      </w:r>
      <w:r>
        <w:rPr>
          <w:rFonts w:hint="eastAsia" w:ascii="微软雅黑" w:hAnsi="微软雅黑" w:eastAsia="微软雅黑" w:cs="微软雅黑"/>
          <w:i w:val="0"/>
          <w:iCs w:val="0"/>
          <w:caps w:val="0"/>
          <w:color w:val="auto"/>
          <w:spacing w:val="0"/>
          <w:sz w:val="24"/>
          <w:szCs w:val="24"/>
          <w:lang w:eastAsia="zh-CN"/>
        </w:rPr>
        <w:t>）、水平电泳槽（黄色、绿色二选一）（</w:t>
      </w:r>
      <w:r>
        <w:rPr>
          <w:rFonts w:hint="eastAsia" w:ascii="微软雅黑" w:hAnsi="微软雅黑" w:eastAsia="微软雅黑" w:cs="微软雅黑"/>
          <w:i w:val="0"/>
          <w:iCs w:val="0"/>
          <w:caps w:val="0"/>
          <w:color w:val="auto"/>
          <w:spacing w:val="0"/>
          <w:sz w:val="24"/>
          <w:szCs w:val="24"/>
          <w:lang w:val="en-US" w:eastAsia="zh-CN"/>
        </w:rPr>
        <w:t>4个</w:t>
      </w:r>
      <w:r>
        <w:rPr>
          <w:rFonts w:hint="eastAsia" w:ascii="微软雅黑" w:hAnsi="微软雅黑" w:eastAsia="微软雅黑" w:cs="微软雅黑"/>
          <w:i w:val="0"/>
          <w:iCs w:val="0"/>
          <w:caps w:val="0"/>
          <w:color w:val="auto"/>
          <w:spacing w:val="0"/>
          <w:sz w:val="24"/>
          <w:szCs w:val="24"/>
          <w:lang w:eastAsia="zh-CN"/>
        </w:rPr>
        <w:t>）、小型垂直电泳槽（黄色、绿色二选一）（</w:t>
      </w:r>
      <w:r>
        <w:rPr>
          <w:rFonts w:hint="eastAsia" w:ascii="微软雅黑" w:hAnsi="微软雅黑" w:eastAsia="微软雅黑" w:cs="微软雅黑"/>
          <w:i w:val="0"/>
          <w:iCs w:val="0"/>
          <w:caps w:val="0"/>
          <w:color w:val="auto"/>
          <w:spacing w:val="0"/>
          <w:sz w:val="24"/>
          <w:szCs w:val="24"/>
          <w:lang w:val="en-US" w:eastAsia="zh-CN"/>
        </w:rPr>
        <w:t>2个</w:t>
      </w:r>
      <w:r>
        <w:rPr>
          <w:rFonts w:hint="eastAsia" w:ascii="微软雅黑" w:hAnsi="微软雅黑" w:eastAsia="微软雅黑" w:cs="微软雅黑"/>
          <w:i w:val="0"/>
          <w:iCs w:val="0"/>
          <w:caps w:val="0"/>
          <w:color w:val="auto"/>
          <w:spacing w:val="0"/>
          <w:sz w:val="24"/>
          <w:szCs w:val="24"/>
          <w:lang w:eastAsia="zh-CN"/>
        </w:rPr>
        <w:t>）、LED蓝光切胶仪（黄色、绿色二选一）（</w:t>
      </w:r>
      <w:r>
        <w:rPr>
          <w:rFonts w:hint="eastAsia" w:ascii="微软雅黑" w:hAnsi="微软雅黑" w:eastAsia="微软雅黑" w:cs="微软雅黑"/>
          <w:i w:val="0"/>
          <w:iCs w:val="0"/>
          <w:caps w:val="0"/>
          <w:color w:val="auto"/>
          <w:spacing w:val="0"/>
          <w:sz w:val="24"/>
          <w:szCs w:val="24"/>
          <w:lang w:val="en-US" w:eastAsia="zh-CN"/>
        </w:rPr>
        <w:t>2台</w:t>
      </w:r>
      <w:r>
        <w:rPr>
          <w:rFonts w:hint="eastAsia" w:ascii="微软雅黑" w:hAnsi="微软雅黑" w:eastAsia="微软雅黑" w:cs="微软雅黑"/>
          <w:i w:val="0"/>
          <w:iCs w:val="0"/>
          <w:caps w:val="0"/>
          <w:color w:val="auto"/>
          <w:spacing w:val="0"/>
          <w:sz w:val="24"/>
          <w:szCs w:val="24"/>
          <w:lang w:eastAsia="zh-CN"/>
        </w:rPr>
        <w:t>）、实时荧光定量PCR仪（黄色、绿色二选一）（</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720" w:firstLineChars="300"/>
        <w:textAlignment w:val="auto"/>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lang w:val="en-US" w:eastAsia="zh-CN"/>
        </w:rPr>
        <w:t>第三包：抢救设备（</w:t>
      </w:r>
      <w:r>
        <w:rPr>
          <w:rFonts w:hint="eastAsia" w:ascii="微软雅黑" w:hAnsi="微软雅黑" w:eastAsia="微软雅黑" w:cs="微软雅黑"/>
          <w:i w:val="0"/>
          <w:iCs w:val="0"/>
          <w:caps w:val="0"/>
          <w:color w:val="auto"/>
          <w:spacing w:val="0"/>
          <w:sz w:val="24"/>
          <w:szCs w:val="24"/>
          <w:lang w:eastAsia="zh-CN"/>
        </w:rPr>
        <w:t>详见清单）</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720" w:firstLineChars="3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eastAsia="zh-CN"/>
        </w:rPr>
        <w:t>简要规格描述或项目基本概况介绍、用途：多功能抢救床（</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）、除颤监护仪（</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）、病人监护仪（</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）、心电图机（</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）、洗胃机（</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）、吸引器（</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）、有创呼吸机（</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）、无创呼吸机（</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）、简易呼吸机（</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）、病历夹（</w:t>
      </w:r>
      <w:r>
        <w:rPr>
          <w:rFonts w:hint="eastAsia" w:ascii="微软雅黑" w:hAnsi="微软雅黑" w:eastAsia="微软雅黑" w:cs="微软雅黑"/>
          <w:i w:val="0"/>
          <w:iCs w:val="0"/>
          <w:caps w:val="0"/>
          <w:color w:val="auto"/>
          <w:spacing w:val="0"/>
          <w:sz w:val="24"/>
          <w:szCs w:val="24"/>
          <w:lang w:val="en-US" w:eastAsia="zh-CN"/>
        </w:rPr>
        <w:t>5个</w:t>
      </w:r>
      <w:r>
        <w:rPr>
          <w:rFonts w:hint="eastAsia" w:ascii="微软雅黑" w:hAnsi="微软雅黑" w:eastAsia="微软雅黑" w:cs="微软雅黑"/>
          <w:i w:val="0"/>
          <w:iCs w:val="0"/>
          <w:caps w:val="0"/>
          <w:color w:val="auto"/>
          <w:spacing w:val="0"/>
          <w:sz w:val="24"/>
          <w:szCs w:val="24"/>
          <w:lang w:eastAsia="zh-CN"/>
        </w:rPr>
        <w:t>）、抢救车（</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）、治疗车（</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）、带盖方盘（</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）、浓盘（</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）、治疗盘（</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）、快速血糖仪（</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）、输液泵（</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）、注射泵（</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）、冰帽（</w:t>
      </w:r>
      <w:r>
        <w:rPr>
          <w:rFonts w:hint="eastAsia" w:ascii="微软雅黑" w:hAnsi="微软雅黑" w:eastAsia="微软雅黑" w:cs="微软雅黑"/>
          <w:i w:val="0"/>
          <w:iCs w:val="0"/>
          <w:caps w:val="0"/>
          <w:color w:val="auto"/>
          <w:spacing w:val="0"/>
          <w:sz w:val="24"/>
          <w:szCs w:val="24"/>
          <w:lang w:val="en-US" w:eastAsia="zh-CN"/>
        </w:rPr>
        <w:t>15个</w:t>
      </w:r>
      <w:r>
        <w:rPr>
          <w:rFonts w:hint="eastAsia" w:ascii="微软雅黑" w:hAnsi="微软雅黑" w:eastAsia="微软雅黑" w:cs="微软雅黑"/>
          <w:i w:val="0"/>
          <w:iCs w:val="0"/>
          <w:caps w:val="0"/>
          <w:color w:val="auto"/>
          <w:spacing w:val="0"/>
          <w:sz w:val="24"/>
          <w:szCs w:val="24"/>
          <w:lang w:eastAsia="zh-CN"/>
        </w:rPr>
        <w:t>）、防褥疮气垫（</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）、医用冰箱（</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）、血压计(水银）（</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）、听诊器（</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）、体温计（</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）、体重秤（</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）、空气消毒机（</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）、电子纤维支气管镜（</w:t>
      </w:r>
      <w:r>
        <w:rPr>
          <w:rFonts w:hint="eastAsia" w:ascii="微软雅黑" w:hAnsi="微软雅黑" w:eastAsia="微软雅黑" w:cs="微软雅黑"/>
          <w:i w:val="0"/>
          <w:iCs w:val="0"/>
          <w:caps w:val="0"/>
          <w:color w:val="auto"/>
          <w:spacing w:val="0"/>
          <w:sz w:val="24"/>
          <w:szCs w:val="24"/>
          <w:lang w:val="en-US" w:eastAsia="zh-CN"/>
        </w:rPr>
        <w:t>1套</w:t>
      </w:r>
      <w:r>
        <w:rPr>
          <w:rFonts w:hint="eastAsia" w:ascii="微软雅黑" w:hAnsi="微软雅黑" w:eastAsia="微软雅黑" w:cs="微软雅黑"/>
          <w:i w:val="0"/>
          <w:iCs w:val="0"/>
          <w:caps w:val="0"/>
          <w:color w:val="auto"/>
          <w:spacing w:val="0"/>
          <w:sz w:val="24"/>
          <w:szCs w:val="24"/>
          <w:lang w:eastAsia="zh-CN"/>
        </w:rPr>
        <w:t>）、手电筒（</w:t>
      </w:r>
      <w:r>
        <w:rPr>
          <w:rFonts w:hint="eastAsia" w:ascii="微软雅黑" w:hAnsi="微软雅黑" w:eastAsia="微软雅黑" w:cs="微软雅黑"/>
          <w:i w:val="0"/>
          <w:iCs w:val="0"/>
          <w:caps w:val="0"/>
          <w:color w:val="auto"/>
          <w:spacing w:val="0"/>
          <w:sz w:val="24"/>
          <w:szCs w:val="24"/>
          <w:lang w:val="en-US" w:eastAsia="zh-CN"/>
        </w:rPr>
        <w:t>1个</w:t>
      </w:r>
      <w:r>
        <w:rPr>
          <w:rFonts w:hint="eastAsia" w:ascii="微软雅黑" w:hAnsi="微软雅黑" w:eastAsia="微软雅黑" w:cs="微软雅黑"/>
          <w:i w:val="0"/>
          <w:iCs w:val="0"/>
          <w:caps w:val="0"/>
          <w:color w:val="auto"/>
          <w:spacing w:val="0"/>
          <w:sz w:val="24"/>
          <w:szCs w:val="24"/>
          <w:lang w:eastAsia="zh-CN"/>
        </w:rPr>
        <w:t>）、腰椎穿刺针（</w:t>
      </w:r>
      <w:r>
        <w:rPr>
          <w:rFonts w:hint="eastAsia" w:ascii="微软雅黑" w:hAnsi="微软雅黑" w:eastAsia="微软雅黑" w:cs="微软雅黑"/>
          <w:i w:val="0"/>
          <w:iCs w:val="0"/>
          <w:caps w:val="0"/>
          <w:color w:val="auto"/>
          <w:spacing w:val="0"/>
          <w:sz w:val="24"/>
          <w:szCs w:val="24"/>
          <w:lang w:val="en-US" w:eastAsia="zh-CN"/>
        </w:rPr>
        <w:t>1套</w:t>
      </w:r>
      <w:r>
        <w:rPr>
          <w:rFonts w:hint="eastAsia" w:ascii="微软雅黑" w:hAnsi="微软雅黑" w:eastAsia="微软雅黑" w:cs="微软雅黑"/>
          <w:i w:val="0"/>
          <w:iCs w:val="0"/>
          <w:caps w:val="0"/>
          <w:color w:val="auto"/>
          <w:spacing w:val="0"/>
          <w:sz w:val="24"/>
          <w:szCs w:val="24"/>
          <w:lang w:eastAsia="zh-CN"/>
        </w:rPr>
        <w:t>）、直接喉镜（</w:t>
      </w:r>
      <w:r>
        <w:rPr>
          <w:rFonts w:hint="eastAsia" w:ascii="微软雅黑" w:hAnsi="微软雅黑" w:eastAsia="微软雅黑" w:cs="微软雅黑"/>
          <w:i w:val="0"/>
          <w:iCs w:val="0"/>
          <w:caps w:val="0"/>
          <w:color w:val="auto"/>
          <w:spacing w:val="0"/>
          <w:sz w:val="24"/>
          <w:szCs w:val="24"/>
          <w:lang w:val="en-US" w:eastAsia="zh-CN"/>
        </w:rPr>
        <w:t>1套</w:t>
      </w:r>
      <w:r>
        <w:rPr>
          <w:rFonts w:hint="eastAsia" w:ascii="微软雅黑" w:hAnsi="微软雅黑" w:eastAsia="微软雅黑" w:cs="微软雅黑"/>
          <w:i w:val="0"/>
          <w:iCs w:val="0"/>
          <w:caps w:val="0"/>
          <w:color w:val="auto"/>
          <w:spacing w:val="0"/>
          <w:sz w:val="24"/>
          <w:szCs w:val="24"/>
          <w:lang w:eastAsia="zh-CN"/>
        </w:rPr>
        <w:t>）、可视喉镜（</w:t>
      </w:r>
      <w:r>
        <w:rPr>
          <w:rFonts w:hint="eastAsia" w:ascii="微软雅黑" w:hAnsi="微软雅黑" w:eastAsia="微软雅黑" w:cs="微软雅黑"/>
          <w:i w:val="0"/>
          <w:iCs w:val="0"/>
          <w:caps w:val="0"/>
          <w:color w:val="auto"/>
          <w:spacing w:val="0"/>
          <w:sz w:val="24"/>
          <w:szCs w:val="24"/>
          <w:lang w:val="en-US" w:eastAsia="zh-CN"/>
        </w:rPr>
        <w:t>1套</w:t>
      </w:r>
      <w:r>
        <w:rPr>
          <w:rFonts w:hint="eastAsia" w:ascii="微软雅黑" w:hAnsi="微软雅黑" w:eastAsia="微软雅黑" w:cs="微软雅黑"/>
          <w:i w:val="0"/>
          <w:iCs w:val="0"/>
          <w:caps w:val="0"/>
          <w:color w:val="auto"/>
          <w:spacing w:val="0"/>
          <w:sz w:val="24"/>
          <w:szCs w:val="24"/>
          <w:lang w:eastAsia="zh-CN"/>
        </w:rPr>
        <w:t>）、紫外线推车</w:t>
      </w:r>
      <w:r>
        <w:rPr>
          <w:rFonts w:hint="eastAsia" w:ascii="微软雅黑" w:hAnsi="微软雅黑" w:eastAsia="微软雅黑" w:cs="微软雅黑"/>
          <w:i w:val="0"/>
          <w:iCs w:val="0"/>
          <w:caps w:val="0"/>
          <w:color w:val="auto"/>
          <w:spacing w:val="0"/>
          <w:sz w:val="24"/>
          <w:szCs w:val="24"/>
          <w:lang w:val="en-US" w:eastAsia="zh-CN"/>
        </w:rPr>
        <w:t>(1个）；</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720" w:firstLineChars="3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第四包：病房设备</w:t>
      </w:r>
      <w:r>
        <w:rPr>
          <w:rFonts w:hint="eastAsia" w:ascii="微软雅黑" w:hAnsi="微软雅黑" w:eastAsia="微软雅黑" w:cs="微软雅黑"/>
          <w:i w:val="0"/>
          <w:iCs w:val="0"/>
          <w:caps w:val="0"/>
          <w:color w:val="auto"/>
          <w:spacing w:val="0"/>
          <w:sz w:val="24"/>
          <w:szCs w:val="24"/>
          <w:lang w:eastAsia="zh-CN"/>
        </w:rPr>
        <w:t>（详见清单</w:t>
      </w:r>
      <w:r>
        <w:rPr>
          <w:rFonts w:hint="eastAsia" w:ascii="微软雅黑" w:hAnsi="微软雅黑" w:eastAsia="微软雅黑" w:cs="微软雅黑"/>
          <w:i w:val="0"/>
          <w:iCs w:val="0"/>
          <w:caps w:val="0"/>
          <w:color w:val="auto"/>
          <w:spacing w:val="0"/>
          <w:sz w:val="24"/>
          <w:szCs w:val="24"/>
          <w:lang w:val="en-US" w:eastAsia="zh-CN"/>
        </w:rPr>
        <w:t>）</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720" w:firstLineChars="3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eastAsia="zh-CN"/>
        </w:rPr>
        <w:t>简要规格描述或项目基本概况介绍、用途：除颤监护仪（</w:t>
      </w:r>
      <w:r>
        <w:rPr>
          <w:rFonts w:hint="eastAsia" w:ascii="微软雅黑" w:hAnsi="微软雅黑" w:eastAsia="微软雅黑" w:cs="微软雅黑"/>
          <w:i w:val="0"/>
          <w:iCs w:val="0"/>
          <w:caps w:val="0"/>
          <w:color w:val="auto"/>
          <w:spacing w:val="0"/>
          <w:sz w:val="24"/>
          <w:szCs w:val="24"/>
          <w:lang w:val="en-US" w:eastAsia="zh-CN"/>
        </w:rPr>
        <w:t>3台</w:t>
      </w:r>
      <w:r>
        <w:rPr>
          <w:rFonts w:hint="eastAsia" w:ascii="微软雅黑" w:hAnsi="微软雅黑" w:eastAsia="微软雅黑" w:cs="微软雅黑"/>
          <w:i w:val="0"/>
          <w:iCs w:val="0"/>
          <w:caps w:val="0"/>
          <w:color w:val="auto"/>
          <w:spacing w:val="0"/>
          <w:sz w:val="24"/>
          <w:szCs w:val="24"/>
          <w:lang w:eastAsia="zh-CN"/>
        </w:rPr>
        <w:t>）、病人监护仪（</w:t>
      </w:r>
      <w:r>
        <w:rPr>
          <w:rFonts w:hint="eastAsia" w:ascii="微软雅黑" w:hAnsi="微软雅黑" w:eastAsia="微软雅黑" w:cs="微软雅黑"/>
          <w:i w:val="0"/>
          <w:iCs w:val="0"/>
          <w:caps w:val="0"/>
          <w:color w:val="auto"/>
          <w:spacing w:val="0"/>
          <w:sz w:val="24"/>
          <w:szCs w:val="24"/>
          <w:lang w:val="en-US" w:eastAsia="zh-CN"/>
        </w:rPr>
        <w:t>10台</w:t>
      </w:r>
      <w:r>
        <w:rPr>
          <w:rFonts w:hint="eastAsia" w:ascii="微软雅黑" w:hAnsi="微软雅黑" w:eastAsia="微软雅黑" w:cs="微软雅黑"/>
          <w:i w:val="0"/>
          <w:iCs w:val="0"/>
          <w:caps w:val="0"/>
          <w:color w:val="auto"/>
          <w:spacing w:val="0"/>
          <w:sz w:val="24"/>
          <w:szCs w:val="24"/>
          <w:lang w:eastAsia="zh-CN"/>
        </w:rPr>
        <w:t>）、无创呼吸机（</w:t>
      </w:r>
      <w:r>
        <w:rPr>
          <w:rFonts w:hint="eastAsia" w:ascii="微软雅黑" w:hAnsi="微软雅黑" w:eastAsia="微软雅黑" w:cs="微软雅黑"/>
          <w:i w:val="0"/>
          <w:iCs w:val="0"/>
          <w:caps w:val="0"/>
          <w:color w:val="auto"/>
          <w:spacing w:val="0"/>
          <w:sz w:val="24"/>
          <w:szCs w:val="24"/>
          <w:lang w:val="en-US" w:eastAsia="zh-CN"/>
        </w:rPr>
        <w:t>3台</w:t>
      </w:r>
      <w:r>
        <w:rPr>
          <w:rFonts w:hint="eastAsia" w:ascii="微软雅黑" w:hAnsi="微软雅黑" w:eastAsia="微软雅黑" w:cs="微软雅黑"/>
          <w:i w:val="0"/>
          <w:iCs w:val="0"/>
          <w:caps w:val="0"/>
          <w:color w:val="auto"/>
          <w:spacing w:val="0"/>
          <w:sz w:val="24"/>
          <w:szCs w:val="24"/>
          <w:lang w:eastAsia="zh-CN"/>
        </w:rPr>
        <w:t>）、吸引器（</w:t>
      </w:r>
      <w:r>
        <w:rPr>
          <w:rFonts w:hint="eastAsia" w:ascii="微软雅黑" w:hAnsi="微软雅黑" w:eastAsia="微软雅黑" w:cs="微软雅黑"/>
          <w:i w:val="0"/>
          <w:iCs w:val="0"/>
          <w:caps w:val="0"/>
          <w:color w:val="auto"/>
          <w:spacing w:val="0"/>
          <w:sz w:val="24"/>
          <w:szCs w:val="24"/>
          <w:lang w:val="en-US" w:eastAsia="zh-CN"/>
        </w:rPr>
        <w:t>6台</w:t>
      </w:r>
      <w:r>
        <w:rPr>
          <w:rFonts w:hint="eastAsia" w:ascii="微软雅黑" w:hAnsi="微软雅黑" w:eastAsia="微软雅黑" w:cs="微软雅黑"/>
          <w:i w:val="0"/>
          <w:iCs w:val="0"/>
          <w:caps w:val="0"/>
          <w:color w:val="auto"/>
          <w:spacing w:val="0"/>
          <w:sz w:val="24"/>
          <w:szCs w:val="24"/>
          <w:lang w:eastAsia="zh-CN"/>
        </w:rPr>
        <w:t>）、雾化吸入器（</w:t>
      </w:r>
      <w:r>
        <w:rPr>
          <w:rFonts w:hint="eastAsia" w:ascii="微软雅黑" w:hAnsi="微软雅黑" w:eastAsia="微软雅黑" w:cs="微软雅黑"/>
          <w:i w:val="0"/>
          <w:iCs w:val="0"/>
          <w:caps w:val="0"/>
          <w:color w:val="auto"/>
          <w:spacing w:val="0"/>
          <w:sz w:val="24"/>
          <w:szCs w:val="24"/>
          <w:lang w:val="en-US" w:eastAsia="zh-CN"/>
        </w:rPr>
        <w:t>10台</w:t>
      </w:r>
      <w:r>
        <w:rPr>
          <w:rFonts w:hint="eastAsia" w:ascii="微软雅黑" w:hAnsi="微软雅黑" w:eastAsia="微软雅黑" w:cs="微软雅黑"/>
          <w:i w:val="0"/>
          <w:iCs w:val="0"/>
          <w:caps w:val="0"/>
          <w:color w:val="auto"/>
          <w:spacing w:val="0"/>
          <w:sz w:val="24"/>
          <w:szCs w:val="24"/>
          <w:lang w:eastAsia="zh-CN"/>
        </w:rPr>
        <w:t>）、抢救车（</w:t>
      </w:r>
      <w:r>
        <w:rPr>
          <w:rFonts w:hint="eastAsia" w:ascii="微软雅黑" w:hAnsi="微软雅黑" w:eastAsia="微软雅黑" w:cs="微软雅黑"/>
          <w:i w:val="0"/>
          <w:iCs w:val="0"/>
          <w:caps w:val="0"/>
          <w:color w:val="auto"/>
          <w:spacing w:val="0"/>
          <w:sz w:val="24"/>
          <w:szCs w:val="24"/>
          <w:lang w:val="en-US" w:eastAsia="zh-CN"/>
        </w:rPr>
        <w:t>4台</w:t>
      </w:r>
      <w:r>
        <w:rPr>
          <w:rFonts w:hint="eastAsia" w:ascii="微软雅黑" w:hAnsi="微软雅黑" w:eastAsia="微软雅黑" w:cs="微软雅黑"/>
          <w:i w:val="0"/>
          <w:iCs w:val="0"/>
          <w:caps w:val="0"/>
          <w:color w:val="auto"/>
          <w:spacing w:val="0"/>
          <w:sz w:val="24"/>
          <w:szCs w:val="24"/>
          <w:lang w:eastAsia="zh-CN"/>
        </w:rPr>
        <w:t>）、病历夹车（</w:t>
      </w:r>
      <w:r>
        <w:rPr>
          <w:rFonts w:hint="eastAsia" w:ascii="微软雅黑" w:hAnsi="微软雅黑" w:eastAsia="微软雅黑" w:cs="微软雅黑"/>
          <w:i w:val="0"/>
          <w:iCs w:val="0"/>
          <w:caps w:val="0"/>
          <w:color w:val="auto"/>
          <w:spacing w:val="0"/>
          <w:sz w:val="24"/>
          <w:szCs w:val="24"/>
          <w:lang w:val="en-US" w:eastAsia="zh-CN"/>
        </w:rPr>
        <w:t>3台</w:t>
      </w:r>
      <w:r>
        <w:rPr>
          <w:rFonts w:hint="eastAsia" w:ascii="微软雅黑" w:hAnsi="微软雅黑" w:eastAsia="微软雅黑" w:cs="微软雅黑"/>
          <w:i w:val="0"/>
          <w:iCs w:val="0"/>
          <w:caps w:val="0"/>
          <w:color w:val="auto"/>
          <w:spacing w:val="0"/>
          <w:sz w:val="24"/>
          <w:szCs w:val="24"/>
          <w:lang w:eastAsia="zh-CN"/>
        </w:rPr>
        <w:t>）、病历夹（</w:t>
      </w:r>
      <w:r>
        <w:rPr>
          <w:rFonts w:hint="eastAsia" w:ascii="微软雅黑" w:hAnsi="微软雅黑" w:eastAsia="微软雅黑" w:cs="微软雅黑"/>
          <w:i w:val="0"/>
          <w:iCs w:val="0"/>
          <w:caps w:val="0"/>
          <w:color w:val="auto"/>
          <w:spacing w:val="0"/>
          <w:sz w:val="24"/>
          <w:szCs w:val="24"/>
          <w:lang w:val="en-US" w:eastAsia="zh-CN"/>
        </w:rPr>
        <w:t>47个</w:t>
      </w:r>
      <w:r>
        <w:rPr>
          <w:rFonts w:hint="eastAsia" w:ascii="微软雅黑" w:hAnsi="微软雅黑" w:eastAsia="微软雅黑" w:cs="微软雅黑"/>
          <w:i w:val="0"/>
          <w:iCs w:val="0"/>
          <w:caps w:val="0"/>
          <w:color w:val="auto"/>
          <w:spacing w:val="0"/>
          <w:sz w:val="24"/>
          <w:szCs w:val="24"/>
          <w:lang w:eastAsia="zh-CN"/>
        </w:rPr>
        <w:t>）、治疗车（</w:t>
      </w:r>
      <w:r>
        <w:rPr>
          <w:rFonts w:hint="eastAsia" w:ascii="微软雅黑" w:hAnsi="微软雅黑" w:eastAsia="微软雅黑" w:cs="微软雅黑"/>
          <w:i w:val="0"/>
          <w:iCs w:val="0"/>
          <w:caps w:val="0"/>
          <w:color w:val="auto"/>
          <w:spacing w:val="0"/>
          <w:sz w:val="24"/>
          <w:szCs w:val="24"/>
          <w:lang w:val="en-US" w:eastAsia="zh-CN"/>
        </w:rPr>
        <w:t>3台</w:t>
      </w:r>
      <w:r>
        <w:rPr>
          <w:rFonts w:hint="eastAsia" w:ascii="微软雅黑" w:hAnsi="微软雅黑" w:eastAsia="微软雅黑" w:cs="微软雅黑"/>
          <w:i w:val="0"/>
          <w:iCs w:val="0"/>
          <w:caps w:val="0"/>
          <w:color w:val="auto"/>
          <w:spacing w:val="0"/>
          <w:sz w:val="24"/>
          <w:szCs w:val="24"/>
          <w:lang w:eastAsia="zh-CN"/>
        </w:rPr>
        <w:t>）、换药车（</w:t>
      </w:r>
      <w:r>
        <w:rPr>
          <w:rFonts w:hint="eastAsia" w:ascii="微软雅黑" w:hAnsi="微软雅黑" w:eastAsia="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lang w:eastAsia="zh-CN"/>
        </w:rPr>
        <w:t>台）、超声机（</w:t>
      </w:r>
      <w:r>
        <w:rPr>
          <w:rFonts w:hint="eastAsia" w:ascii="微软雅黑" w:hAnsi="微软雅黑" w:eastAsia="微软雅黑" w:cs="微软雅黑"/>
          <w:i w:val="0"/>
          <w:iCs w:val="0"/>
          <w:caps w:val="0"/>
          <w:color w:val="auto"/>
          <w:spacing w:val="0"/>
          <w:sz w:val="24"/>
          <w:szCs w:val="24"/>
          <w:lang w:val="en-US" w:eastAsia="zh-CN"/>
        </w:rPr>
        <w:t>1台</w:t>
      </w:r>
      <w:r>
        <w:rPr>
          <w:rFonts w:hint="eastAsia" w:ascii="微软雅黑" w:hAnsi="微软雅黑" w:eastAsia="微软雅黑" w:cs="微软雅黑"/>
          <w:i w:val="0"/>
          <w:iCs w:val="0"/>
          <w:caps w:val="0"/>
          <w:color w:val="auto"/>
          <w:spacing w:val="0"/>
          <w:sz w:val="24"/>
          <w:szCs w:val="24"/>
          <w:lang w:eastAsia="zh-CN"/>
        </w:rPr>
        <w:t>）、护理车（</w:t>
      </w:r>
      <w:r>
        <w:rPr>
          <w:rFonts w:hint="eastAsia" w:ascii="微软雅黑" w:hAnsi="微软雅黑" w:eastAsia="微软雅黑" w:cs="微软雅黑"/>
          <w:i w:val="0"/>
          <w:iCs w:val="0"/>
          <w:caps w:val="0"/>
          <w:color w:val="auto"/>
          <w:spacing w:val="0"/>
          <w:sz w:val="24"/>
          <w:szCs w:val="24"/>
          <w:lang w:val="en-US" w:eastAsia="zh-CN"/>
        </w:rPr>
        <w:t>3台</w:t>
      </w:r>
      <w:r>
        <w:rPr>
          <w:rFonts w:hint="eastAsia" w:ascii="微软雅黑" w:hAnsi="微软雅黑" w:eastAsia="微软雅黑" w:cs="微软雅黑"/>
          <w:i w:val="0"/>
          <w:iCs w:val="0"/>
          <w:caps w:val="0"/>
          <w:color w:val="auto"/>
          <w:spacing w:val="0"/>
          <w:sz w:val="24"/>
          <w:szCs w:val="24"/>
          <w:lang w:eastAsia="zh-CN"/>
        </w:rPr>
        <w:t>）、氧气瓶10升（</w:t>
      </w:r>
      <w:r>
        <w:rPr>
          <w:rFonts w:hint="eastAsia" w:ascii="微软雅黑" w:hAnsi="微软雅黑" w:eastAsia="微软雅黑" w:cs="微软雅黑"/>
          <w:i w:val="0"/>
          <w:iCs w:val="0"/>
          <w:caps w:val="0"/>
          <w:color w:val="auto"/>
          <w:spacing w:val="0"/>
          <w:sz w:val="24"/>
          <w:szCs w:val="24"/>
          <w:lang w:val="en-US" w:eastAsia="zh-CN"/>
        </w:rPr>
        <w:t>2台</w:t>
      </w:r>
      <w:r>
        <w:rPr>
          <w:rFonts w:hint="eastAsia" w:ascii="微软雅黑" w:hAnsi="微软雅黑" w:eastAsia="微软雅黑" w:cs="微软雅黑"/>
          <w:i w:val="0"/>
          <w:iCs w:val="0"/>
          <w:caps w:val="0"/>
          <w:color w:val="auto"/>
          <w:spacing w:val="0"/>
          <w:sz w:val="24"/>
          <w:szCs w:val="24"/>
          <w:lang w:eastAsia="zh-CN"/>
        </w:rPr>
        <w:t>）、血压计（</w:t>
      </w:r>
      <w:r>
        <w:rPr>
          <w:rFonts w:hint="eastAsia" w:ascii="微软雅黑" w:hAnsi="微软雅黑" w:eastAsia="微软雅黑" w:cs="微软雅黑"/>
          <w:i w:val="0"/>
          <w:iCs w:val="0"/>
          <w:caps w:val="0"/>
          <w:color w:val="auto"/>
          <w:spacing w:val="0"/>
          <w:sz w:val="24"/>
          <w:szCs w:val="24"/>
          <w:lang w:val="en-US" w:eastAsia="zh-CN"/>
        </w:rPr>
        <w:t>6台</w:t>
      </w:r>
      <w:r>
        <w:rPr>
          <w:rFonts w:hint="eastAsia" w:ascii="微软雅黑" w:hAnsi="微软雅黑" w:eastAsia="微软雅黑" w:cs="微软雅黑"/>
          <w:i w:val="0"/>
          <w:iCs w:val="0"/>
          <w:caps w:val="0"/>
          <w:color w:val="auto"/>
          <w:spacing w:val="0"/>
          <w:sz w:val="24"/>
          <w:szCs w:val="24"/>
          <w:lang w:eastAsia="zh-CN"/>
        </w:rPr>
        <w:t>）、电子血压计（</w:t>
      </w:r>
      <w:r>
        <w:rPr>
          <w:rFonts w:hint="eastAsia" w:ascii="微软雅黑" w:hAnsi="微软雅黑" w:eastAsia="微软雅黑" w:cs="微软雅黑"/>
          <w:i w:val="0"/>
          <w:iCs w:val="0"/>
          <w:caps w:val="0"/>
          <w:color w:val="auto"/>
          <w:spacing w:val="0"/>
          <w:sz w:val="24"/>
          <w:szCs w:val="24"/>
          <w:lang w:val="en-US" w:eastAsia="zh-CN"/>
        </w:rPr>
        <w:t>6台</w:t>
      </w:r>
      <w:r>
        <w:rPr>
          <w:rFonts w:hint="eastAsia" w:ascii="微软雅黑" w:hAnsi="微软雅黑" w:eastAsia="微软雅黑" w:cs="微软雅黑"/>
          <w:i w:val="0"/>
          <w:iCs w:val="0"/>
          <w:caps w:val="0"/>
          <w:color w:val="auto"/>
          <w:spacing w:val="0"/>
          <w:sz w:val="24"/>
          <w:szCs w:val="24"/>
          <w:lang w:eastAsia="zh-CN"/>
        </w:rPr>
        <w:t>）、听诊器（</w:t>
      </w:r>
      <w:r>
        <w:rPr>
          <w:rFonts w:hint="eastAsia" w:ascii="微软雅黑" w:hAnsi="微软雅黑" w:eastAsia="微软雅黑" w:cs="微软雅黑"/>
          <w:i w:val="0"/>
          <w:iCs w:val="0"/>
          <w:caps w:val="0"/>
          <w:color w:val="auto"/>
          <w:spacing w:val="0"/>
          <w:sz w:val="24"/>
          <w:szCs w:val="24"/>
          <w:lang w:val="en-US" w:eastAsia="zh-CN"/>
        </w:rPr>
        <w:t>20个</w:t>
      </w:r>
      <w:r>
        <w:rPr>
          <w:rFonts w:hint="eastAsia" w:ascii="微软雅黑" w:hAnsi="微软雅黑" w:eastAsia="微软雅黑" w:cs="微软雅黑"/>
          <w:i w:val="0"/>
          <w:iCs w:val="0"/>
          <w:caps w:val="0"/>
          <w:color w:val="auto"/>
          <w:spacing w:val="0"/>
          <w:sz w:val="24"/>
          <w:szCs w:val="24"/>
          <w:lang w:eastAsia="zh-CN"/>
        </w:rPr>
        <w:t>）、移动式空气消毒器（</w:t>
      </w:r>
      <w:r>
        <w:rPr>
          <w:rFonts w:hint="eastAsia" w:ascii="微软雅黑" w:hAnsi="微软雅黑" w:eastAsia="微软雅黑" w:cs="微软雅黑"/>
          <w:i w:val="0"/>
          <w:iCs w:val="0"/>
          <w:caps w:val="0"/>
          <w:color w:val="auto"/>
          <w:spacing w:val="0"/>
          <w:sz w:val="24"/>
          <w:szCs w:val="24"/>
          <w:lang w:val="en-US" w:eastAsia="zh-CN"/>
        </w:rPr>
        <w:t>13台</w:t>
      </w:r>
      <w:r>
        <w:rPr>
          <w:rFonts w:hint="eastAsia" w:ascii="微软雅黑" w:hAnsi="微软雅黑" w:eastAsia="微软雅黑" w:cs="微软雅黑"/>
          <w:i w:val="0"/>
          <w:iCs w:val="0"/>
          <w:caps w:val="0"/>
          <w:color w:val="auto"/>
          <w:spacing w:val="0"/>
          <w:sz w:val="24"/>
          <w:szCs w:val="24"/>
          <w:lang w:eastAsia="zh-CN"/>
        </w:rPr>
        <w:t>）、紫外线推车（</w:t>
      </w:r>
      <w:r>
        <w:rPr>
          <w:rFonts w:hint="eastAsia" w:ascii="微软雅黑" w:hAnsi="微软雅黑" w:eastAsia="微软雅黑" w:cs="微软雅黑"/>
          <w:i w:val="0"/>
          <w:iCs w:val="0"/>
          <w:caps w:val="0"/>
          <w:color w:val="auto"/>
          <w:spacing w:val="0"/>
          <w:sz w:val="24"/>
          <w:szCs w:val="24"/>
          <w:lang w:val="en-US" w:eastAsia="zh-CN"/>
        </w:rPr>
        <w:t>3台</w:t>
      </w:r>
      <w:r>
        <w:rPr>
          <w:rFonts w:hint="eastAsia" w:ascii="微软雅黑" w:hAnsi="微软雅黑" w:eastAsia="微软雅黑" w:cs="微软雅黑"/>
          <w:i w:val="0"/>
          <w:iCs w:val="0"/>
          <w:caps w:val="0"/>
          <w:color w:val="auto"/>
          <w:spacing w:val="0"/>
          <w:sz w:val="24"/>
          <w:szCs w:val="24"/>
          <w:lang w:eastAsia="zh-CN"/>
        </w:rPr>
        <w:t>）、中号不锈钢方盘（</w:t>
      </w:r>
      <w:r>
        <w:rPr>
          <w:rFonts w:hint="eastAsia" w:ascii="微软雅黑" w:hAnsi="微软雅黑" w:eastAsia="微软雅黑" w:cs="微软雅黑"/>
          <w:i w:val="0"/>
          <w:iCs w:val="0"/>
          <w:caps w:val="0"/>
          <w:color w:val="auto"/>
          <w:spacing w:val="0"/>
          <w:sz w:val="24"/>
          <w:szCs w:val="24"/>
          <w:lang w:val="en-US" w:eastAsia="zh-CN"/>
        </w:rPr>
        <w:t>6个</w:t>
      </w:r>
      <w:r>
        <w:rPr>
          <w:rFonts w:hint="eastAsia" w:ascii="微软雅黑" w:hAnsi="微软雅黑" w:eastAsia="微软雅黑" w:cs="微软雅黑"/>
          <w:i w:val="0"/>
          <w:iCs w:val="0"/>
          <w:caps w:val="0"/>
          <w:color w:val="auto"/>
          <w:spacing w:val="0"/>
          <w:sz w:val="24"/>
          <w:szCs w:val="24"/>
          <w:lang w:eastAsia="zh-CN"/>
        </w:rPr>
        <w:t>）、防褥疮气垫（</w:t>
      </w:r>
      <w:r>
        <w:rPr>
          <w:rFonts w:hint="eastAsia" w:ascii="微软雅黑" w:hAnsi="微软雅黑" w:eastAsia="微软雅黑" w:cs="微软雅黑"/>
          <w:i w:val="0"/>
          <w:iCs w:val="0"/>
          <w:caps w:val="0"/>
          <w:color w:val="auto"/>
          <w:spacing w:val="0"/>
          <w:sz w:val="24"/>
          <w:szCs w:val="24"/>
          <w:lang w:val="en-US" w:eastAsia="zh-CN"/>
        </w:rPr>
        <w:t>10台</w:t>
      </w:r>
      <w:r>
        <w:rPr>
          <w:rFonts w:hint="eastAsia" w:ascii="微软雅黑" w:hAnsi="微软雅黑" w:eastAsia="微软雅黑" w:cs="微软雅黑"/>
          <w:i w:val="0"/>
          <w:iCs w:val="0"/>
          <w:caps w:val="0"/>
          <w:color w:val="auto"/>
          <w:spacing w:val="0"/>
          <w:sz w:val="24"/>
          <w:szCs w:val="24"/>
          <w:lang w:eastAsia="zh-CN"/>
        </w:rPr>
        <w:t>）、心电图机（</w:t>
      </w:r>
      <w:r>
        <w:rPr>
          <w:rFonts w:hint="eastAsia" w:ascii="微软雅黑" w:hAnsi="微软雅黑" w:eastAsia="微软雅黑" w:cs="微软雅黑"/>
          <w:i w:val="0"/>
          <w:iCs w:val="0"/>
          <w:caps w:val="0"/>
          <w:color w:val="auto"/>
          <w:spacing w:val="0"/>
          <w:sz w:val="24"/>
          <w:szCs w:val="24"/>
          <w:lang w:val="en-US" w:eastAsia="zh-CN"/>
        </w:rPr>
        <w:t>3台</w:t>
      </w:r>
      <w:r>
        <w:rPr>
          <w:rFonts w:hint="eastAsia" w:ascii="微软雅黑" w:hAnsi="微软雅黑" w:eastAsia="微软雅黑" w:cs="微软雅黑"/>
          <w:i w:val="0"/>
          <w:iCs w:val="0"/>
          <w:caps w:val="0"/>
          <w:color w:val="auto"/>
          <w:spacing w:val="0"/>
          <w:sz w:val="24"/>
          <w:szCs w:val="24"/>
          <w:lang w:eastAsia="zh-CN"/>
        </w:rPr>
        <w:t>）、病床（普通病房）（</w:t>
      </w:r>
      <w:r>
        <w:rPr>
          <w:rFonts w:hint="eastAsia" w:ascii="微软雅黑" w:hAnsi="微软雅黑" w:eastAsia="微软雅黑" w:cs="微软雅黑"/>
          <w:i w:val="0"/>
          <w:iCs w:val="0"/>
          <w:caps w:val="0"/>
          <w:color w:val="auto"/>
          <w:spacing w:val="0"/>
          <w:sz w:val="24"/>
          <w:szCs w:val="24"/>
          <w:lang w:val="en-US" w:eastAsia="zh-CN"/>
        </w:rPr>
        <w:t>47张</w:t>
      </w:r>
      <w:r>
        <w:rPr>
          <w:rFonts w:hint="eastAsia" w:ascii="微软雅黑" w:hAnsi="微软雅黑" w:eastAsia="微软雅黑" w:cs="微软雅黑"/>
          <w:i w:val="0"/>
          <w:iCs w:val="0"/>
          <w:caps w:val="0"/>
          <w:color w:val="auto"/>
          <w:spacing w:val="0"/>
          <w:sz w:val="24"/>
          <w:szCs w:val="24"/>
          <w:lang w:eastAsia="zh-CN"/>
        </w:rPr>
        <w:t>）、药柜（</w:t>
      </w:r>
      <w:r>
        <w:rPr>
          <w:rFonts w:hint="eastAsia" w:ascii="微软雅黑" w:hAnsi="微软雅黑" w:eastAsia="微软雅黑" w:cs="微软雅黑"/>
          <w:i w:val="0"/>
          <w:iCs w:val="0"/>
          <w:caps w:val="0"/>
          <w:color w:val="auto"/>
          <w:spacing w:val="0"/>
          <w:sz w:val="24"/>
          <w:szCs w:val="24"/>
          <w:lang w:val="en-US" w:eastAsia="zh-CN"/>
        </w:rPr>
        <w:t>20个</w:t>
      </w:r>
      <w:r>
        <w:rPr>
          <w:rFonts w:hint="eastAsia" w:ascii="微软雅黑" w:hAnsi="微软雅黑" w:eastAsia="微软雅黑" w:cs="微软雅黑"/>
          <w:i w:val="0"/>
          <w:iCs w:val="0"/>
          <w:caps w:val="0"/>
          <w:color w:val="auto"/>
          <w:spacing w:val="0"/>
          <w:sz w:val="24"/>
          <w:szCs w:val="24"/>
          <w:lang w:eastAsia="zh-CN"/>
        </w:rPr>
        <w:t>）；</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720" w:firstLineChars="300"/>
        <w:textAlignment w:val="auto"/>
        <w:rPr>
          <w:rFonts w:hint="eastAsia" w:ascii="微软雅黑" w:hAnsi="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本项目（否）接受联合体投标。  </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cs="微软雅黑"/>
          <w:b/>
          <w:bCs/>
          <w:i w:val="0"/>
          <w:iCs w:val="0"/>
          <w:caps w:val="0"/>
          <w:color w:val="auto"/>
          <w:spacing w:val="0"/>
          <w:sz w:val="24"/>
          <w:szCs w:val="24"/>
          <w:lang w:val="en-US" w:eastAsia="zh-CN"/>
        </w:rPr>
      </w:pPr>
      <w:r>
        <w:rPr>
          <w:rFonts w:hint="eastAsia" w:ascii="微软雅黑" w:hAnsi="微软雅黑" w:cs="微软雅黑"/>
          <w:b/>
          <w:bCs/>
          <w:i w:val="0"/>
          <w:iCs w:val="0"/>
          <w:caps w:val="0"/>
          <w:color w:val="auto"/>
          <w:spacing w:val="0"/>
          <w:sz w:val="24"/>
          <w:szCs w:val="24"/>
          <w:lang w:val="en-US" w:eastAsia="zh-CN"/>
        </w:rPr>
        <w:t>二、申请人的资格要求：</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lang w:val="en-US" w:eastAsia="zh-CN"/>
        </w:rPr>
        <w:t>1、符合《中华人民共和国政府采购法》第二十二条的规定,且必须为未被列入“信用中国”网站(www.credit</w:t>
      </w:r>
      <w:r>
        <w:rPr>
          <w:rFonts w:hint="eastAsia" w:ascii="微软雅黑" w:hAnsi="微软雅黑" w:eastAsia="微软雅黑" w:cs="微软雅黑"/>
          <w:i w:val="0"/>
          <w:iCs w:val="0"/>
          <w:caps w:val="0"/>
          <w:color w:val="auto"/>
          <w:spacing w:val="0"/>
          <w:sz w:val="24"/>
          <w:szCs w:val="24"/>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i w:val="0"/>
          <w:iCs w:val="0"/>
          <w:caps w:val="0"/>
          <w:color w:val="auto"/>
          <w:spacing w:val="0"/>
          <w:sz w:val="24"/>
          <w:szCs w:val="24"/>
          <w:lang w:val="en-US" w:eastAsia="zh-CN"/>
        </w:rPr>
        <w:t>供应商</w:t>
      </w:r>
      <w:r>
        <w:rPr>
          <w:rFonts w:hint="eastAsia" w:ascii="微软雅黑" w:hAnsi="微软雅黑" w:eastAsia="微软雅黑" w:cs="微软雅黑"/>
          <w:i w:val="0"/>
          <w:iCs w:val="0"/>
          <w:caps w:val="0"/>
          <w:color w:val="auto"/>
          <w:spacing w:val="0"/>
          <w:sz w:val="24"/>
          <w:szCs w:val="24"/>
        </w:rPr>
        <w:t>，国家企业公示信息系统（www.gsxt.gov.cn）查询诚信记录如有严重行政处罚信息不得参加本项目（须提供查询记录并加盖公章）；</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2、具有</w:t>
      </w:r>
      <w:r>
        <w:rPr>
          <w:rFonts w:hint="eastAsia" w:ascii="微软雅黑" w:hAnsi="微软雅黑" w:eastAsia="微软雅黑" w:cs="微软雅黑"/>
          <w:i w:val="0"/>
          <w:iCs w:val="0"/>
          <w:caps w:val="0"/>
          <w:color w:val="auto"/>
          <w:spacing w:val="0"/>
          <w:sz w:val="24"/>
          <w:szCs w:val="24"/>
          <w:lang w:eastAsia="zh-CN"/>
        </w:rPr>
        <w:t>有效的</w:t>
      </w:r>
      <w:r>
        <w:rPr>
          <w:rFonts w:hint="eastAsia" w:ascii="微软雅黑" w:hAnsi="微软雅黑" w:eastAsia="微软雅黑" w:cs="微软雅黑"/>
          <w:i w:val="0"/>
          <w:iCs w:val="0"/>
          <w:caps w:val="0"/>
          <w:color w:val="auto"/>
          <w:spacing w:val="0"/>
          <w:sz w:val="24"/>
          <w:szCs w:val="24"/>
        </w:rPr>
        <w:t>营业执照；</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3、</w:t>
      </w:r>
      <w:r>
        <w:rPr>
          <w:rFonts w:hint="eastAsia" w:ascii="微软雅黑" w:hAnsi="微软雅黑" w:eastAsia="微软雅黑" w:cs="微软雅黑"/>
          <w:i w:val="0"/>
          <w:iCs w:val="0"/>
          <w:caps w:val="0"/>
          <w:color w:val="auto"/>
          <w:spacing w:val="0"/>
          <w:sz w:val="24"/>
          <w:szCs w:val="24"/>
          <w:lang w:val="en-US" w:eastAsia="zh-CN"/>
        </w:rPr>
        <w:t>提供有效的《医疗器械生产许可证》或《医疗器械经营许可证》（所提供设备为二类医疗器械的须提供二类医疗器械备案凭证）；</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4、法人投标需提供法人身份证明及身份证</w:t>
      </w:r>
      <w:r>
        <w:rPr>
          <w:rFonts w:hint="eastAsia" w:ascii="微软雅黑" w:hAnsi="微软雅黑" w:eastAsia="微软雅黑" w:cs="微软雅黑"/>
          <w:i w:val="0"/>
          <w:iCs w:val="0"/>
          <w:caps w:val="0"/>
          <w:color w:val="auto"/>
          <w:spacing w:val="0"/>
          <w:sz w:val="24"/>
          <w:szCs w:val="24"/>
          <w:lang w:eastAsia="zh-CN"/>
        </w:rPr>
        <w:t>原件</w:t>
      </w:r>
      <w:r>
        <w:rPr>
          <w:rFonts w:hint="eastAsia" w:ascii="微软雅黑" w:hAnsi="微软雅黑" w:eastAsia="微软雅黑" w:cs="微软雅黑"/>
          <w:i w:val="0"/>
          <w:iCs w:val="0"/>
          <w:caps w:val="0"/>
          <w:color w:val="auto"/>
          <w:spacing w:val="0"/>
          <w:sz w:val="24"/>
          <w:szCs w:val="24"/>
        </w:rPr>
        <w:t>，</w:t>
      </w:r>
      <w:r>
        <w:rPr>
          <w:rFonts w:hint="eastAsia" w:ascii="微软雅黑" w:hAnsi="微软雅黑" w:eastAsia="微软雅黑" w:cs="微软雅黑"/>
          <w:i w:val="0"/>
          <w:iCs w:val="0"/>
          <w:caps w:val="0"/>
          <w:color w:val="auto"/>
          <w:spacing w:val="0"/>
          <w:sz w:val="24"/>
          <w:szCs w:val="24"/>
          <w:lang w:eastAsia="zh-CN"/>
        </w:rPr>
        <w:t>被</w:t>
      </w:r>
      <w:r>
        <w:rPr>
          <w:rFonts w:hint="eastAsia" w:ascii="微软雅黑" w:hAnsi="微软雅黑" w:eastAsia="微软雅黑" w:cs="微软雅黑"/>
          <w:i w:val="0"/>
          <w:iCs w:val="0"/>
          <w:caps w:val="0"/>
          <w:color w:val="auto"/>
          <w:spacing w:val="0"/>
          <w:sz w:val="24"/>
          <w:szCs w:val="24"/>
        </w:rPr>
        <w:t>授权委托人需提供法人授权委托书及身份证</w:t>
      </w:r>
      <w:r>
        <w:rPr>
          <w:rFonts w:hint="eastAsia" w:ascii="微软雅黑" w:hAnsi="微软雅黑" w:eastAsia="微软雅黑" w:cs="微软雅黑"/>
          <w:i w:val="0"/>
          <w:iCs w:val="0"/>
          <w:caps w:val="0"/>
          <w:color w:val="auto"/>
          <w:spacing w:val="0"/>
          <w:sz w:val="24"/>
          <w:szCs w:val="24"/>
          <w:lang w:eastAsia="zh-CN"/>
        </w:rPr>
        <w:t>原件</w:t>
      </w:r>
      <w:r>
        <w:rPr>
          <w:rFonts w:hint="eastAsia" w:ascii="微软雅黑" w:hAnsi="微软雅黑" w:eastAsia="微软雅黑" w:cs="微软雅黑"/>
          <w:i w:val="0"/>
          <w:iCs w:val="0"/>
          <w:caps w:val="0"/>
          <w:color w:val="auto"/>
          <w:spacing w:val="0"/>
          <w:sz w:val="24"/>
          <w:szCs w:val="24"/>
        </w:rPr>
        <w:t>；</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rPr>
        <w:t>5、提供本单位依法缴纳近三个月</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7月至9月</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的社保证明</w:t>
      </w:r>
      <w:r>
        <w:rPr>
          <w:rFonts w:hint="eastAsia" w:ascii="微软雅黑" w:hAnsi="微软雅黑" w:eastAsia="微软雅黑" w:cs="微软雅黑"/>
          <w:i w:val="0"/>
          <w:iCs w:val="0"/>
          <w:caps w:val="0"/>
          <w:color w:val="auto"/>
          <w:spacing w:val="0"/>
          <w:sz w:val="24"/>
          <w:szCs w:val="24"/>
          <w:lang w:eastAsia="zh-CN"/>
        </w:rPr>
        <w:t>；</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6、提供税务部门出具近三个月</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6月至8月</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的完税证明</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依法免缴的应提供依法免缴的相关证明文件</w:t>
      </w:r>
      <w:r>
        <w:rPr>
          <w:rFonts w:hint="eastAsia" w:ascii="微软雅黑" w:hAnsi="微软雅黑" w:eastAsia="微软雅黑" w:cs="微软雅黑"/>
          <w:i w:val="0"/>
          <w:iCs w:val="0"/>
          <w:caps w:val="0"/>
          <w:color w:val="auto"/>
          <w:spacing w:val="0"/>
          <w:sz w:val="24"/>
          <w:szCs w:val="24"/>
          <w:lang w:val="en-US" w:eastAsia="zh-CN"/>
        </w:rPr>
        <w:t>或</w:t>
      </w:r>
      <w:r>
        <w:rPr>
          <w:rFonts w:hint="eastAsia" w:ascii="微软雅黑" w:hAnsi="微软雅黑" w:eastAsia="微软雅黑" w:cs="微软雅黑"/>
          <w:i w:val="0"/>
          <w:iCs w:val="0"/>
          <w:caps w:val="0"/>
          <w:color w:val="auto"/>
          <w:spacing w:val="0"/>
          <w:sz w:val="24"/>
          <w:szCs w:val="24"/>
        </w:rPr>
        <w:t>零申报报表</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7、提供</w:t>
      </w:r>
      <w:r>
        <w:rPr>
          <w:rFonts w:hint="eastAsia" w:ascii="微软雅黑" w:hAnsi="微软雅黑" w:eastAsia="微软雅黑" w:cs="微软雅黑"/>
          <w:i w:val="0"/>
          <w:iCs w:val="0"/>
          <w:caps w:val="0"/>
          <w:color w:val="auto"/>
          <w:spacing w:val="0"/>
          <w:sz w:val="24"/>
          <w:szCs w:val="24"/>
          <w:lang w:val="en-US" w:eastAsia="zh-CN"/>
        </w:rPr>
        <w:t>2021年</w:t>
      </w:r>
      <w:r>
        <w:rPr>
          <w:rFonts w:hint="eastAsia" w:ascii="微软雅黑" w:hAnsi="微软雅黑" w:eastAsia="微软雅黑" w:cs="微软雅黑"/>
          <w:i w:val="0"/>
          <w:iCs w:val="0"/>
          <w:caps w:val="0"/>
          <w:color w:val="auto"/>
          <w:spacing w:val="0"/>
          <w:sz w:val="24"/>
          <w:szCs w:val="24"/>
        </w:rPr>
        <w:t>的财务审计报告（</w:t>
      </w:r>
      <w:r>
        <w:rPr>
          <w:rFonts w:hint="eastAsia" w:ascii="微软雅黑" w:hAnsi="微软雅黑" w:eastAsia="微软雅黑" w:cs="微软雅黑"/>
          <w:i w:val="0"/>
          <w:iCs w:val="0"/>
          <w:caps w:val="0"/>
          <w:color w:val="auto"/>
          <w:spacing w:val="0"/>
          <w:sz w:val="24"/>
          <w:szCs w:val="24"/>
          <w:lang w:val="en-US" w:eastAsia="zh-CN"/>
        </w:rPr>
        <w:t>2022年</w:t>
      </w:r>
      <w:r>
        <w:rPr>
          <w:rFonts w:hint="eastAsia" w:ascii="微软雅黑" w:hAnsi="微软雅黑" w:eastAsia="微软雅黑" w:cs="微软雅黑"/>
          <w:i w:val="0"/>
          <w:iCs w:val="0"/>
          <w:caps w:val="0"/>
          <w:color w:val="auto"/>
          <w:spacing w:val="0"/>
          <w:sz w:val="24"/>
          <w:szCs w:val="24"/>
        </w:rPr>
        <w:t>新成立公司需提供</w:t>
      </w:r>
      <w:r>
        <w:rPr>
          <w:rFonts w:hint="eastAsia" w:ascii="微软雅黑" w:hAnsi="微软雅黑" w:eastAsia="微软雅黑" w:cs="微软雅黑"/>
          <w:i w:val="0"/>
          <w:iCs w:val="0"/>
          <w:caps w:val="0"/>
          <w:color w:val="auto"/>
          <w:spacing w:val="0"/>
          <w:sz w:val="24"/>
          <w:szCs w:val="24"/>
          <w:lang w:val="en-US" w:eastAsia="zh-CN"/>
        </w:rPr>
        <w:t>近三个月（7月至9月）内的</w:t>
      </w:r>
      <w:r>
        <w:rPr>
          <w:rFonts w:hint="eastAsia" w:ascii="微软雅黑" w:hAnsi="微软雅黑" w:eastAsia="微软雅黑" w:cs="微软雅黑"/>
          <w:i w:val="0"/>
          <w:iCs w:val="0"/>
          <w:caps w:val="0"/>
          <w:color w:val="auto"/>
          <w:spacing w:val="0"/>
          <w:sz w:val="24"/>
          <w:szCs w:val="24"/>
        </w:rPr>
        <w:t>银行资信证明）；</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8、参与政府采购活动前3年内未被列入失信、重大税收违法案件、财政部门禁止参加政府采购活动的承诺书；</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9、提供针对本次项目的反商业贿赂承诺书。</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三、获取采购文件</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时间：202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cs="微软雅黑"/>
          <w:i w:val="0"/>
          <w:iCs w:val="0"/>
          <w:caps w:val="0"/>
          <w:color w:val="auto"/>
          <w:spacing w:val="0"/>
          <w:sz w:val="24"/>
          <w:szCs w:val="24"/>
          <w:lang w:val="en-US" w:eastAsia="zh-CN"/>
        </w:rPr>
        <w:t>9</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cs="微软雅黑"/>
          <w:i w:val="0"/>
          <w:iCs w:val="0"/>
          <w:caps w:val="0"/>
          <w:color w:val="auto"/>
          <w:spacing w:val="0"/>
          <w:sz w:val="24"/>
          <w:szCs w:val="24"/>
          <w:lang w:val="en-US" w:eastAsia="zh-CN"/>
        </w:rPr>
        <w:t>26</w:t>
      </w:r>
      <w:r>
        <w:rPr>
          <w:rFonts w:hint="eastAsia" w:ascii="微软雅黑" w:hAnsi="微软雅黑" w:eastAsia="微软雅黑" w:cs="微软雅黑"/>
          <w:i w:val="0"/>
          <w:iCs w:val="0"/>
          <w:caps w:val="0"/>
          <w:color w:val="auto"/>
          <w:spacing w:val="0"/>
          <w:sz w:val="24"/>
          <w:szCs w:val="24"/>
        </w:rPr>
        <w:t>日至202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lang w:val="en-US" w:eastAsia="zh-CN"/>
        </w:rPr>
        <w:t>10</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lang w:val="en-US" w:eastAsia="zh-CN"/>
        </w:rPr>
        <w:t xml:space="preserve">14 </w:t>
      </w:r>
      <w:r>
        <w:rPr>
          <w:rFonts w:hint="eastAsia" w:ascii="微软雅黑" w:hAnsi="微软雅黑" w:eastAsia="微软雅黑" w:cs="微软雅黑"/>
          <w:i w:val="0"/>
          <w:iCs w:val="0"/>
          <w:caps w:val="0"/>
          <w:color w:val="auto"/>
          <w:spacing w:val="0"/>
          <w:sz w:val="24"/>
          <w:szCs w:val="24"/>
        </w:rPr>
        <w:t>日，每天上午</w:t>
      </w:r>
      <w:r>
        <w:rPr>
          <w:rFonts w:hint="eastAsia" w:ascii="微软雅黑" w:hAnsi="微软雅黑" w:eastAsia="微软雅黑" w:cs="微软雅黑"/>
          <w:i w:val="0"/>
          <w:iCs w:val="0"/>
          <w:caps w:val="0"/>
          <w:color w:val="auto"/>
          <w:spacing w:val="0"/>
          <w:sz w:val="24"/>
          <w:szCs w:val="24"/>
          <w:lang w:val="en-US" w:eastAsia="zh-CN"/>
        </w:rPr>
        <w:t>10</w:t>
      </w:r>
      <w:r>
        <w:rPr>
          <w:rFonts w:hint="eastAsia" w:ascii="微软雅黑" w:hAnsi="微软雅黑" w:eastAsia="微软雅黑" w:cs="微软雅黑"/>
          <w:i w:val="0"/>
          <w:iCs w:val="0"/>
          <w:caps w:val="0"/>
          <w:color w:val="auto"/>
          <w:spacing w:val="0"/>
          <w:sz w:val="24"/>
          <w:szCs w:val="24"/>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rPr>
        <w:t>0至1</w:t>
      </w:r>
      <w:r>
        <w:rPr>
          <w:rFonts w:hint="eastAsia" w:ascii="微软雅黑" w:hAnsi="微软雅黑" w:eastAsia="微软雅黑" w:cs="微软雅黑"/>
          <w:i w:val="0"/>
          <w:iCs w:val="0"/>
          <w:caps w:val="0"/>
          <w:color w:val="auto"/>
          <w:spacing w:val="0"/>
          <w:sz w:val="24"/>
          <w:szCs w:val="24"/>
          <w:lang w:val="en-US" w:eastAsia="zh-CN"/>
        </w:rPr>
        <w:t>4</w:t>
      </w:r>
      <w:r>
        <w:rPr>
          <w:rFonts w:hint="eastAsia" w:ascii="微软雅黑" w:hAnsi="微软雅黑" w:eastAsia="微软雅黑" w:cs="微软雅黑"/>
          <w:i w:val="0"/>
          <w:iCs w:val="0"/>
          <w:caps w:val="0"/>
          <w:color w:val="auto"/>
          <w:spacing w:val="0"/>
          <w:sz w:val="24"/>
          <w:szCs w:val="24"/>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rPr>
        <w:t>0，下午</w:t>
      </w:r>
      <w:r>
        <w:rPr>
          <w:rFonts w:hint="eastAsia" w:ascii="微软雅黑" w:hAnsi="微软雅黑" w:eastAsia="微软雅黑" w:cs="微软雅黑"/>
          <w:i w:val="0"/>
          <w:iCs w:val="0"/>
          <w:caps w:val="0"/>
          <w:color w:val="auto"/>
          <w:spacing w:val="0"/>
          <w:sz w:val="24"/>
          <w:szCs w:val="24"/>
          <w:lang w:val="en-US" w:eastAsia="zh-CN"/>
        </w:rPr>
        <w:t>16:0</w:t>
      </w:r>
      <w:r>
        <w:rPr>
          <w:rFonts w:hint="eastAsia" w:ascii="微软雅黑" w:hAnsi="微软雅黑" w:eastAsia="微软雅黑" w:cs="微软雅黑"/>
          <w:i w:val="0"/>
          <w:iCs w:val="0"/>
          <w:caps w:val="0"/>
          <w:color w:val="auto"/>
          <w:spacing w:val="0"/>
          <w:sz w:val="24"/>
          <w:szCs w:val="24"/>
        </w:rPr>
        <w:t>0至</w:t>
      </w:r>
      <w:r>
        <w:rPr>
          <w:rFonts w:hint="eastAsia" w:ascii="微软雅黑" w:hAnsi="微软雅黑" w:eastAsia="微软雅黑" w:cs="微软雅黑"/>
          <w:i w:val="0"/>
          <w:iCs w:val="0"/>
          <w:caps w:val="0"/>
          <w:color w:val="auto"/>
          <w:spacing w:val="0"/>
          <w:sz w:val="24"/>
          <w:szCs w:val="24"/>
          <w:lang w:val="en-US" w:eastAsia="zh-CN"/>
        </w:rPr>
        <w:t>20:0</w:t>
      </w:r>
      <w:r>
        <w:rPr>
          <w:rFonts w:hint="eastAsia" w:ascii="微软雅黑" w:hAnsi="微软雅黑" w:eastAsia="微软雅黑" w:cs="微软雅黑"/>
          <w:i w:val="0"/>
          <w:iCs w:val="0"/>
          <w:caps w:val="0"/>
          <w:color w:val="auto"/>
          <w:spacing w:val="0"/>
          <w:sz w:val="24"/>
          <w:szCs w:val="24"/>
        </w:rPr>
        <w:t>0（北京时间，法定节假日除外）</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地点：供应商登陆政采云平台http://www.zcygov.cn/，在线申请获取采购文件（登录政府采购云平台 → 项目采购 → 获取采购文件 → 申请，如有问题可与政采云在线客服进行咨询，咨询电话：400-881-7190）</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方式：</w:t>
      </w:r>
      <w:r>
        <w:rPr>
          <w:rFonts w:hint="eastAsia" w:ascii="微软雅黑" w:hAnsi="微软雅黑" w:eastAsia="微软雅黑" w:cs="微软雅黑"/>
          <w:i w:val="0"/>
          <w:iCs w:val="0"/>
          <w:caps w:val="0"/>
          <w:color w:val="auto"/>
          <w:spacing w:val="0"/>
          <w:sz w:val="24"/>
          <w:szCs w:val="24"/>
          <w:lang w:val="en-US" w:eastAsia="zh-CN"/>
        </w:rPr>
        <w:t>（1）线上获取（登录政府采购云平台 → 项目采购 → 获取招标文件）。（2）供应商获取招标文件前应注册成为政府采购云平台正式供应商。</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四、提交投标文件截止时间、开标时间和地点</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提交投标文件截止时间：2022年10月</w:t>
      </w:r>
      <w:r>
        <w:rPr>
          <w:rFonts w:hint="eastAsia" w:ascii="微软雅黑" w:hAnsi="微软雅黑" w:eastAsia="微软雅黑" w:cs="微软雅黑"/>
          <w:i w:val="0"/>
          <w:iCs w:val="0"/>
          <w:caps w:val="0"/>
          <w:color w:val="auto"/>
          <w:spacing w:val="0"/>
          <w:sz w:val="24"/>
          <w:szCs w:val="24"/>
          <w:lang w:val="en-US" w:eastAsia="zh-CN"/>
        </w:rPr>
        <w:t>17</w:t>
      </w:r>
      <w:r>
        <w:rPr>
          <w:rFonts w:hint="eastAsia" w:ascii="微软雅黑" w:hAnsi="微软雅黑" w:eastAsia="微软雅黑" w:cs="微软雅黑"/>
          <w:i w:val="0"/>
          <w:iCs w:val="0"/>
          <w:caps w:val="0"/>
          <w:color w:val="auto"/>
          <w:spacing w:val="0"/>
          <w:sz w:val="24"/>
          <w:szCs w:val="24"/>
        </w:rPr>
        <w:t>日 1</w:t>
      </w:r>
      <w:r>
        <w:rPr>
          <w:rFonts w:hint="eastAsia" w:ascii="微软雅黑" w:hAnsi="微软雅黑" w:eastAsia="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rPr>
        <w:t>:</w:t>
      </w:r>
      <w:r>
        <w:rPr>
          <w:rFonts w:hint="eastAsia" w:ascii="微软雅黑" w:hAnsi="微软雅黑" w:eastAsia="微软雅黑" w:cs="微软雅黑"/>
          <w:i w:val="0"/>
          <w:iCs w:val="0"/>
          <w:caps w:val="0"/>
          <w:color w:val="auto"/>
          <w:spacing w:val="0"/>
          <w:sz w:val="24"/>
          <w:szCs w:val="24"/>
          <w:lang w:val="en-US" w:eastAsia="zh-CN"/>
        </w:rPr>
        <w:t>00</w:t>
      </w:r>
      <w:r>
        <w:rPr>
          <w:rFonts w:hint="eastAsia" w:ascii="微软雅黑" w:hAnsi="微软雅黑" w:eastAsia="微软雅黑" w:cs="微软雅黑"/>
          <w:i w:val="0"/>
          <w:iCs w:val="0"/>
          <w:caps w:val="0"/>
          <w:color w:val="auto"/>
          <w:spacing w:val="0"/>
          <w:sz w:val="24"/>
          <w:szCs w:val="24"/>
        </w:rPr>
        <w:t>（北京时间）</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投标地点：政采云平台（https://login.zcygov.cn/user-login/#/login）</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开标时间：2022年10月</w:t>
      </w:r>
      <w:r>
        <w:rPr>
          <w:rFonts w:hint="eastAsia" w:ascii="微软雅黑" w:hAnsi="微软雅黑" w:eastAsia="微软雅黑" w:cs="微软雅黑"/>
          <w:i w:val="0"/>
          <w:iCs w:val="0"/>
          <w:caps w:val="0"/>
          <w:color w:val="auto"/>
          <w:spacing w:val="0"/>
          <w:sz w:val="24"/>
          <w:szCs w:val="24"/>
          <w:lang w:val="en-US" w:eastAsia="zh-CN"/>
        </w:rPr>
        <w:t>17</w:t>
      </w:r>
      <w:r>
        <w:rPr>
          <w:rFonts w:hint="eastAsia" w:ascii="微软雅黑" w:hAnsi="微软雅黑" w:eastAsia="微软雅黑" w:cs="微软雅黑"/>
          <w:i w:val="0"/>
          <w:iCs w:val="0"/>
          <w:caps w:val="0"/>
          <w:color w:val="auto"/>
          <w:spacing w:val="0"/>
          <w:sz w:val="24"/>
          <w:szCs w:val="24"/>
        </w:rPr>
        <w:t>日 1</w:t>
      </w:r>
      <w:r>
        <w:rPr>
          <w:rFonts w:hint="eastAsia" w:ascii="微软雅黑" w:hAnsi="微软雅黑" w:eastAsia="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rPr>
        <w:t>0（北京时间）</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开标地点：政采云平台（https://login.zcygov.cn/user-login/#/login）</w:t>
      </w:r>
      <w:r>
        <w:rPr>
          <w:rFonts w:hint="eastAsia" w:ascii="微软雅黑" w:hAnsi="微软雅黑" w:eastAsia="微软雅黑" w:cs="微软雅黑"/>
          <w:i w:val="0"/>
          <w:iCs w:val="0"/>
          <w:caps w:val="0"/>
          <w:color w:val="auto"/>
          <w:spacing w:val="0"/>
          <w:sz w:val="24"/>
          <w:szCs w:val="24"/>
          <w:lang w:val="en-US" w:eastAsia="zh-CN"/>
        </w:rPr>
        <w:t xml:space="preserve">  </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lang w:eastAsia="zh-CN"/>
        </w:rPr>
        <w:t>五</w:t>
      </w:r>
      <w:r>
        <w:rPr>
          <w:rFonts w:hint="eastAsia" w:ascii="微软雅黑" w:hAnsi="微软雅黑" w:eastAsia="微软雅黑" w:cs="微软雅黑"/>
          <w:b/>
          <w:bCs/>
          <w:i w:val="0"/>
          <w:iCs w:val="0"/>
          <w:caps w:val="0"/>
          <w:color w:val="auto"/>
          <w:spacing w:val="0"/>
          <w:sz w:val="24"/>
          <w:szCs w:val="24"/>
        </w:rPr>
        <w:t>、公告期限</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自本公告发布之日起</w:t>
      </w:r>
      <w:r>
        <w:rPr>
          <w:rFonts w:hint="eastAsia" w:ascii="微软雅黑" w:hAnsi="微软雅黑" w:eastAsia="微软雅黑" w:cs="微软雅黑"/>
          <w:i w:val="0"/>
          <w:iCs w:val="0"/>
          <w:caps w:val="0"/>
          <w:color w:val="auto"/>
          <w:spacing w:val="0"/>
          <w:sz w:val="24"/>
          <w:szCs w:val="24"/>
          <w:lang w:val="en-US" w:eastAsia="zh-CN"/>
        </w:rPr>
        <w:t>5</w:t>
      </w:r>
      <w:r>
        <w:rPr>
          <w:rFonts w:hint="eastAsia" w:ascii="微软雅黑" w:hAnsi="微软雅黑" w:eastAsia="微软雅黑" w:cs="微软雅黑"/>
          <w:i w:val="0"/>
          <w:iCs w:val="0"/>
          <w:caps w:val="0"/>
          <w:color w:val="auto"/>
          <w:spacing w:val="0"/>
          <w:sz w:val="24"/>
          <w:szCs w:val="24"/>
        </w:rPr>
        <w:t>个工作日。</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lang w:eastAsia="zh-CN"/>
        </w:rPr>
        <w:t>六</w:t>
      </w:r>
      <w:r>
        <w:rPr>
          <w:rFonts w:hint="eastAsia" w:ascii="微软雅黑" w:hAnsi="微软雅黑" w:eastAsia="微软雅黑" w:cs="微软雅黑"/>
          <w:b/>
          <w:bCs/>
          <w:i w:val="0"/>
          <w:iCs w:val="0"/>
          <w:caps w:val="0"/>
          <w:color w:val="auto"/>
          <w:spacing w:val="0"/>
          <w:sz w:val="24"/>
          <w:szCs w:val="24"/>
        </w:rPr>
        <w:t>、其他补充事宜</w:t>
      </w:r>
      <w:r>
        <w:rPr>
          <w:rFonts w:hint="eastAsia" w:ascii="微软雅黑" w:hAnsi="微软雅黑" w:eastAsia="微软雅黑" w:cs="微软雅黑"/>
          <w:i w:val="0"/>
          <w:iCs w:val="0"/>
          <w:caps w:val="0"/>
          <w:color w:val="auto"/>
          <w:spacing w:val="0"/>
          <w:sz w:val="24"/>
          <w:szCs w:val="24"/>
        </w:rPr>
        <w:t> </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b w:val="0"/>
          <w:bCs w:val="0"/>
          <w:i w:val="0"/>
          <w:iCs w:val="0"/>
          <w:caps w:val="0"/>
          <w:color w:val="auto"/>
          <w:spacing w:val="0"/>
          <w:sz w:val="24"/>
          <w:szCs w:val="24"/>
          <w:lang w:val="en-US" w:eastAsia="zh-CN"/>
        </w:rPr>
      </w:pPr>
      <w:r>
        <w:rPr>
          <w:rFonts w:hint="eastAsia" w:ascii="微软雅黑" w:hAnsi="微软雅黑" w:eastAsia="微软雅黑" w:cs="微软雅黑"/>
          <w:b w:val="0"/>
          <w:bCs w:val="0"/>
          <w:i w:val="0"/>
          <w:iCs w:val="0"/>
          <w:caps w:val="0"/>
          <w:color w:val="auto"/>
          <w:spacing w:val="0"/>
          <w:sz w:val="24"/>
          <w:szCs w:val="24"/>
          <w:lang w:val="en-US" w:eastAsia="zh-CN"/>
        </w:rPr>
        <w:t>特别提示：</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b w:val="0"/>
          <w:bCs w:val="0"/>
          <w:i w:val="0"/>
          <w:iCs w:val="0"/>
          <w:caps w:val="0"/>
          <w:color w:val="auto"/>
          <w:spacing w:val="0"/>
          <w:sz w:val="24"/>
          <w:szCs w:val="24"/>
          <w:lang w:val="en-US" w:eastAsia="zh-CN"/>
        </w:rPr>
      </w:pPr>
      <w:r>
        <w:rPr>
          <w:rFonts w:hint="eastAsia" w:ascii="微软雅黑" w:hAnsi="微软雅黑" w:eastAsia="微软雅黑" w:cs="微软雅黑"/>
          <w:b w:val="0"/>
          <w:bCs w:val="0"/>
          <w:i w:val="0"/>
          <w:iCs w:val="0"/>
          <w:caps w:val="0"/>
          <w:color w:val="auto"/>
          <w:spacing w:val="0"/>
          <w:sz w:val="24"/>
          <w:szCs w:val="24"/>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b w:val="0"/>
          <w:bCs w:val="0"/>
          <w:i w:val="0"/>
          <w:iCs w:val="0"/>
          <w:caps w:val="0"/>
          <w:color w:val="auto"/>
          <w:spacing w:val="0"/>
          <w:sz w:val="24"/>
          <w:szCs w:val="24"/>
          <w:lang w:val="en-US" w:eastAsia="zh-CN"/>
        </w:rPr>
      </w:pPr>
      <w:r>
        <w:rPr>
          <w:rFonts w:hint="eastAsia" w:ascii="微软雅黑" w:hAnsi="微软雅黑" w:eastAsia="微软雅黑" w:cs="微软雅黑"/>
          <w:b w:val="0"/>
          <w:bCs w:val="0"/>
          <w:i w:val="0"/>
          <w:iCs w:val="0"/>
          <w:caps w:val="0"/>
          <w:color w:val="auto"/>
          <w:spacing w:val="0"/>
          <w:sz w:val="24"/>
          <w:szCs w:val="24"/>
          <w:lang w:val="en-US" w:eastAsia="zh-CN"/>
        </w:rPr>
        <w:t>2.本项目实行网上投标，采用电子投标文件(供应商须使用CA加密设备通过政采云电子投标客户端制作投标文件)。若供应商参与投标，自行承担投标一切费用。</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b w:val="0"/>
          <w:bCs w:val="0"/>
          <w:i w:val="0"/>
          <w:iCs w:val="0"/>
          <w:caps w:val="0"/>
          <w:color w:val="auto"/>
          <w:spacing w:val="0"/>
          <w:sz w:val="24"/>
          <w:szCs w:val="24"/>
          <w:lang w:val="en-US" w:eastAsia="zh-CN"/>
        </w:rPr>
      </w:pPr>
      <w:r>
        <w:rPr>
          <w:rFonts w:hint="eastAsia" w:ascii="微软雅黑" w:hAnsi="微软雅黑" w:eastAsia="微软雅黑" w:cs="微软雅黑"/>
          <w:b w:val="0"/>
          <w:bCs w:val="0"/>
          <w:i w:val="0"/>
          <w:iCs w:val="0"/>
          <w:caps w:val="0"/>
          <w:color w:val="auto"/>
          <w:spacing w:val="0"/>
          <w:sz w:val="24"/>
          <w:szCs w:val="24"/>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b w:val="0"/>
          <w:bCs w:val="0"/>
          <w:i w:val="0"/>
          <w:iCs w:val="0"/>
          <w:caps w:val="0"/>
          <w:color w:val="auto"/>
          <w:spacing w:val="0"/>
          <w:sz w:val="24"/>
          <w:szCs w:val="24"/>
          <w:lang w:val="en-US" w:eastAsia="zh-CN"/>
        </w:rPr>
      </w:pPr>
      <w:r>
        <w:rPr>
          <w:rFonts w:hint="eastAsia" w:ascii="微软雅黑" w:hAnsi="微软雅黑" w:eastAsia="微软雅黑" w:cs="微软雅黑"/>
          <w:b w:val="0"/>
          <w:bCs w:val="0"/>
          <w:i w:val="0"/>
          <w:iCs w:val="0"/>
          <w:caps w:val="0"/>
          <w:color w:val="auto"/>
          <w:spacing w:val="0"/>
          <w:sz w:val="24"/>
          <w:szCs w:val="24"/>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b w:val="0"/>
          <w:bCs w:val="0"/>
          <w:i w:val="0"/>
          <w:iCs w:val="0"/>
          <w:caps w:val="0"/>
          <w:color w:val="auto"/>
          <w:spacing w:val="0"/>
          <w:sz w:val="24"/>
          <w:szCs w:val="24"/>
          <w:lang w:val="en-US" w:eastAsia="zh-CN"/>
        </w:rPr>
      </w:pPr>
      <w:r>
        <w:rPr>
          <w:rFonts w:hint="eastAsia" w:ascii="微软雅黑" w:hAnsi="微软雅黑" w:eastAsia="微软雅黑" w:cs="微软雅黑"/>
          <w:b w:val="0"/>
          <w:bCs w:val="0"/>
          <w:i w:val="0"/>
          <w:iCs w:val="0"/>
          <w:caps w:val="0"/>
          <w:color w:val="auto"/>
          <w:spacing w:val="0"/>
          <w:sz w:val="24"/>
          <w:szCs w:val="24"/>
          <w:lang w:val="en-US" w:eastAsia="zh-CN"/>
        </w:rPr>
        <w:t>5.供应商在开标时须使用制作加密电子投标文件所使用的CA锁及电脑，电脑须提前配置好浏览器（建议使用谷歌浏览器），以便开标时解锁。</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b w:val="0"/>
          <w:bCs w:val="0"/>
          <w:i w:val="0"/>
          <w:iCs w:val="0"/>
          <w:caps w:val="0"/>
          <w:color w:val="auto"/>
          <w:spacing w:val="0"/>
          <w:sz w:val="24"/>
          <w:szCs w:val="24"/>
          <w:lang w:val="en-US" w:eastAsia="zh-CN"/>
        </w:rPr>
      </w:pPr>
      <w:r>
        <w:rPr>
          <w:rFonts w:hint="eastAsia" w:ascii="微软雅黑" w:hAnsi="微软雅黑" w:eastAsia="微软雅黑" w:cs="微软雅黑"/>
          <w:b w:val="0"/>
          <w:bCs w:val="0"/>
          <w:i w:val="0"/>
          <w:iCs w:val="0"/>
          <w:caps w:val="0"/>
          <w:color w:val="auto"/>
          <w:spacing w:val="0"/>
          <w:sz w:val="24"/>
          <w:szCs w:val="24"/>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b w:val="0"/>
          <w:bCs w:val="0"/>
          <w:i w:val="0"/>
          <w:iCs w:val="0"/>
          <w:caps w:val="0"/>
          <w:color w:val="auto"/>
          <w:spacing w:val="0"/>
          <w:sz w:val="24"/>
          <w:szCs w:val="24"/>
          <w:lang w:val="en-US" w:eastAsia="zh-CN"/>
        </w:rPr>
      </w:pPr>
      <w:r>
        <w:rPr>
          <w:rFonts w:hint="eastAsia" w:ascii="微软雅黑" w:hAnsi="微软雅黑" w:eastAsia="微软雅黑" w:cs="微软雅黑"/>
          <w:b w:val="0"/>
          <w:bCs w:val="0"/>
          <w:i w:val="0"/>
          <w:iCs w:val="0"/>
          <w:caps w:val="0"/>
          <w:color w:val="auto"/>
          <w:spacing w:val="0"/>
          <w:sz w:val="24"/>
          <w:szCs w:val="24"/>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right="0"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i w:val="0"/>
          <w:iCs w:val="0"/>
          <w:caps w:val="0"/>
          <w:color w:val="auto"/>
          <w:spacing w:val="0"/>
          <w:sz w:val="24"/>
          <w:szCs w:val="24"/>
          <w:lang w:val="en-US" w:eastAsia="zh-CN"/>
        </w:rPr>
        <w:t>8.超过200</w:t>
      </w:r>
      <w:r>
        <w:rPr>
          <w:rFonts w:hint="eastAsia" w:ascii="微软雅黑" w:hAnsi="微软雅黑" w:eastAsia="微软雅黑" w:cs="微软雅黑"/>
          <w:b w:val="0"/>
          <w:bCs w:val="0"/>
          <w:color w:val="auto"/>
          <w:kern w:val="2"/>
          <w:sz w:val="24"/>
          <w:szCs w:val="24"/>
          <w:lang w:val="en-US" w:eastAsia="zh-CN" w:bidi="ar-SA"/>
        </w:rPr>
        <w:t>万元的货物和服务采购项目、超过400万元的工程采购项目中适宜由中小企业提供的，预留该部分采购项目预算总额的40%以上专门面向中小企业采购，其中预留给小微企业的比例不低于60%。</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right="0"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9.对于未预留份额专门面向中小企业的采购项目，以及预留份额项目中的非预留部分采购包，采购人、采购代理机构应当对符合规定的小微企业报价给予10%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right="0" w:firstLine="480" w:firstLineChars="200"/>
        <w:textAlignment w:val="auto"/>
        <w:rPr>
          <w:rFonts w:hint="default"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b w:val="0"/>
          <w:bCs w:val="0"/>
          <w:color w:val="auto"/>
          <w:kern w:val="2"/>
          <w:sz w:val="24"/>
          <w:szCs w:val="24"/>
          <w:lang w:val="en-US" w:eastAsia="zh-CN" w:bidi="ar-SA"/>
        </w:rPr>
        <w:t>10.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32"/>
          <w:rFonts w:hint="eastAsia" w:ascii="微软雅黑" w:hAnsi="微软雅黑" w:eastAsia="微软雅黑" w:cs="微软雅黑"/>
          <w:i w:val="0"/>
          <w:iCs w:val="0"/>
          <w:caps w:val="0"/>
          <w:color w:val="auto"/>
          <w:spacing w:val="0"/>
          <w:sz w:val="24"/>
          <w:szCs w:val="24"/>
          <w:lang w:val="en-US" w:eastAsia="zh-CN"/>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Style w:val="32"/>
          <w:rFonts w:hint="eastAsia" w:ascii="微软雅黑" w:hAnsi="微软雅黑" w:eastAsia="微软雅黑" w:cs="微软雅黑"/>
          <w:b/>
          <w:bCs/>
          <w:i w:val="0"/>
          <w:iCs w:val="0"/>
          <w:caps w:val="0"/>
          <w:color w:val="auto"/>
          <w:spacing w:val="0"/>
          <w:sz w:val="24"/>
          <w:szCs w:val="24"/>
          <w:lang w:val="en-US" w:eastAsia="zh-CN"/>
        </w:rPr>
      </w:pPr>
      <w:r>
        <w:rPr>
          <w:rStyle w:val="32"/>
          <w:rFonts w:hint="eastAsia" w:ascii="微软雅黑" w:hAnsi="微软雅黑" w:eastAsia="微软雅黑" w:cs="微软雅黑"/>
          <w:b/>
          <w:bCs/>
          <w:i w:val="0"/>
          <w:iCs w:val="0"/>
          <w:caps w:val="0"/>
          <w:color w:val="auto"/>
          <w:spacing w:val="0"/>
          <w:sz w:val="24"/>
          <w:szCs w:val="24"/>
          <w:lang w:val="en-US" w:eastAsia="zh-CN"/>
        </w:rPr>
        <w:t>八、凡对本次招标提出询问，请按以下方式联系</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2"/>
          <w:rFonts w:hint="eastAsia" w:ascii="微软雅黑" w:hAnsi="微软雅黑" w:eastAsia="微软雅黑" w:cs="微软雅黑"/>
          <w:i w:val="0"/>
          <w:iCs w:val="0"/>
          <w:caps w:val="0"/>
          <w:color w:val="auto"/>
          <w:spacing w:val="0"/>
          <w:sz w:val="24"/>
          <w:szCs w:val="24"/>
          <w:lang w:val="en-US" w:eastAsia="zh-CN"/>
        </w:rPr>
      </w:pPr>
      <w:r>
        <w:rPr>
          <w:rStyle w:val="32"/>
          <w:rFonts w:hint="eastAsia" w:ascii="微软雅黑" w:hAnsi="微软雅黑" w:eastAsia="微软雅黑" w:cs="微软雅黑"/>
          <w:i w:val="0"/>
          <w:iCs w:val="0"/>
          <w:caps w:val="0"/>
          <w:color w:val="auto"/>
          <w:spacing w:val="0"/>
          <w:sz w:val="24"/>
          <w:szCs w:val="24"/>
          <w:lang w:val="en-US" w:eastAsia="zh-CN"/>
        </w:rPr>
        <w:t>1.采购人信息</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2"/>
          <w:rFonts w:hint="eastAsia" w:ascii="微软雅黑" w:hAnsi="微软雅黑" w:eastAsia="微软雅黑" w:cs="微软雅黑"/>
          <w:i w:val="0"/>
          <w:iCs w:val="0"/>
          <w:caps w:val="0"/>
          <w:color w:val="auto"/>
          <w:spacing w:val="0"/>
          <w:sz w:val="24"/>
          <w:szCs w:val="24"/>
          <w:lang w:val="en-US" w:eastAsia="zh-CN"/>
        </w:rPr>
      </w:pPr>
      <w:r>
        <w:rPr>
          <w:rStyle w:val="32"/>
          <w:rFonts w:hint="eastAsia" w:ascii="微软雅黑" w:hAnsi="微软雅黑" w:eastAsia="微软雅黑" w:cs="微软雅黑"/>
          <w:i w:val="0"/>
          <w:iCs w:val="0"/>
          <w:caps w:val="0"/>
          <w:color w:val="auto"/>
          <w:spacing w:val="0"/>
          <w:sz w:val="24"/>
          <w:szCs w:val="24"/>
          <w:lang w:val="en-US" w:eastAsia="zh-CN"/>
        </w:rPr>
        <w:t>名 称：喀什中医医院</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32"/>
          <w:rFonts w:hint="eastAsia" w:ascii="微软雅黑" w:hAnsi="微软雅黑" w:eastAsia="微软雅黑" w:cs="微软雅黑"/>
          <w:i w:val="0"/>
          <w:iCs w:val="0"/>
          <w:caps w:val="0"/>
          <w:color w:val="auto"/>
          <w:spacing w:val="0"/>
          <w:sz w:val="24"/>
          <w:szCs w:val="24"/>
          <w:lang w:val="en-US" w:eastAsia="zh-CN"/>
        </w:rPr>
      </w:pPr>
      <w:r>
        <w:rPr>
          <w:rStyle w:val="32"/>
          <w:rFonts w:hint="eastAsia" w:ascii="微软雅黑" w:hAnsi="微软雅黑" w:eastAsia="微软雅黑" w:cs="微软雅黑"/>
          <w:i w:val="0"/>
          <w:iCs w:val="0"/>
          <w:caps w:val="0"/>
          <w:color w:val="auto"/>
          <w:spacing w:val="0"/>
          <w:sz w:val="24"/>
          <w:szCs w:val="24"/>
          <w:lang w:val="en-US" w:eastAsia="zh-CN"/>
        </w:rPr>
        <w:t>联系人：王思</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联系方式：0998-2565958</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2.采购代理机构信息</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名 称：</w:t>
      </w:r>
      <w:r>
        <w:rPr>
          <w:rFonts w:hint="eastAsia" w:ascii="微软雅黑" w:hAnsi="微软雅黑" w:eastAsia="微软雅黑" w:cs="微软雅黑"/>
          <w:i w:val="0"/>
          <w:iCs w:val="0"/>
          <w:caps w:val="0"/>
          <w:color w:val="auto"/>
          <w:spacing w:val="0"/>
          <w:sz w:val="24"/>
          <w:szCs w:val="24"/>
          <w:lang w:eastAsia="zh-CN"/>
        </w:rPr>
        <w:t>新疆合升源项目管理有限公司</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地 址：新疆喀什地区喀什市恰萨街道班超路社区帕依纳普路276号（西域名都住宅小区二期）1 幢A区1083室</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联系人：赵东平</w:t>
      </w:r>
    </w:p>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color w:val="auto"/>
          <w:lang w:val="en-US"/>
        </w:rPr>
      </w:pPr>
      <w:r>
        <w:rPr>
          <w:rFonts w:hint="eastAsia" w:ascii="微软雅黑" w:hAnsi="微软雅黑" w:eastAsia="微软雅黑" w:cs="微软雅黑"/>
          <w:i w:val="0"/>
          <w:iCs w:val="0"/>
          <w:caps w:val="0"/>
          <w:color w:val="auto"/>
          <w:spacing w:val="0"/>
          <w:sz w:val="24"/>
          <w:szCs w:val="24"/>
        </w:rPr>
        <w:t>联系方式：17799692269</w:t>
      </w:r>
    </w:p>
    <w:p>
      <w:pPr>
        <w:pStyle w:val="23"/>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auto"/>
          <w:spacing w:val="0"/>
          <w:sz w:val="27"/>
          <w:szCs w:val="27"/>
          <w:lang w:val="en-US" w:eastAsia="zh-CN"/>
        </w:rPr>
      </w:pPr>
    </w:p>
    <w:p>
      <w:pPr>
        <w:pStyle w:val="23"/>
        <w:keepNext w:val="0"/>
        <w:keepLines w:val="0"/>
        <w:widowControl/>
        <w:suppressLineNumbers w:val="0"/>
        <w:spacing w:before="75" w:beforeAutospacing="0" w:after="75" w:afterAutospacing="0"/>
        <w:ind w:right="0"/>
        <w:rPr>
          <w:rFonts w:hint="default" w:ascii="仿宋" w:hAnsi="仿宋" w:eastAsia="仿宋" w:cs="仿宋"/>
          <w:i w:val="0"/>
          <w:iCs w:val="0"/>
          <w:caps w:val="0"/>
          <w:color w:val="auto"/>
          <w:spacing w:val="0"/>
          <w:sz w:val="27"/>
          <w:szCs w:val="27"/>
          <w:lang w:val="en-US" w:eastAsia="zh-CN"/>
        </w:rPr>
      </w:pPr>
    </w:p>
    <w:p>
      <w:pPr>
        <w:pStyle w:val="23"/>
        <w:keepNext w:val="0"/>
        <w:keepLines w:val="0"/>
        <w:widowControl/>
        <w:suppressLineNumbers w:val="0"/>
        <w:spacing w:before="75" w:beforeAutospacing="0" w:after="75" w:afterAutospacing="0"/>
        <w:ind w:right="0"/>
        <w:rPr>
          <w:rFonts w:hint="default" w:ascii="仿宋" w:hAnsi="仿宋" w:eastAsia="仿宋" w:cs="仿宋"/>
          <w:i w:val="0"/>
          <w:iCs w:val="0"/>
          <w:caps w:val="0"/>
          <w:color w:val="auto"/>
          <w:spacing w:val="0"/>
          <w:sz w:val="27"/>
          <w:szCs w:val="27"/>
          <w:lang w:val="en-US" w:eastAsia="zh-CN"/>
        </w:rPr>
      </w:pPr>
    </w:p>
    <w:p>
      <w:pPr>
        <w:pStyle w:val="23"/>
        <w:keepNext w:val="0"/>
        <w:keepLines w:val="0"/>
        <w:widowControl/>
        <w:suppressLineNumbers w:val="0"/>
        <w:spacing w:before="75" w:beforeAutospacing="0" w:after="75" w:afterAutospacing="0"/>
        <w:ind w:right="0"/>
        <w:rPr>
          <w:rFonts w:hint="default" w:ascii="仿宋" w:hAnsi="仿宋" w:eastAsia="仿宋" w:cs="仿宋"/>
          <w:i w:val="0"/>
          <w:iCs w:val="0"/>
          <w:caps w:val="0"/>
          <w:color w:val="auto"/>
          <w:spacing w:val="0"/>
          <w:sz w:val="27"/>
          <w:szCs w:val="27"/>
          <w:lang w:val="en-US" w:eastAsia="zh-CN"/>
        </w:rPr>
      </w:pPr>
    </w:p>
    <w:p>
      <w:pPr>
        <w:pStyle w:val="23"/>
        <w:keepNext w:val="0"/>
        <w:keepLines w:val="0"/>
        <w:widowControl/>
        <w:suppressLineNumbers w:val="0"/>
        <w:spacing w:before="75" w:beforeAutospacing="0" w:after="75" w:afterAutospacing="0"/>
        <w:ind w:right="0"/>
        <w:rPr>
          <w:rFonts w:hint="default" w:ascii="仿宋" w:hAnsi="仿宋" w:eastAsia="仿宋" w:cs="仿宋"/>
          <w:i w:val="0"/>
          <w:iCs w:val="0"/>
          <w:caps w:val="0"/>
          <w:color w:val="auto"/>
          <w:spacing w:val="0"/>
          <w:sz w:val="27"/>
          <w:szCs w:val="27"/>
          <w:lang w:val="en-US" w:eastAsia="zh-CN"/>
        </w:rPr>
      </w:pPr>
    </w:p>
    <w:p>
      <w:pPr>
        <w:pStyle w:val="23"/>
        <w:keepNext w:val="0"/>
        <w:keepLines w:val="0"/>
        <w:widowControl/>
        <w:suppressLineNumbers w:val="0"/>
        <w:spacing w:before="75" w:beforeAutospacing="0" w:after="75" w:afterAutospacing="0"/>
        <w:ind w:right="0"/>
        <w:rPr>
          <w:rFonts w:hint="default" w:ascii="仿宋" w:hAnsi="仿宋" w:eastAsia="仿宋" w:cs="仿宋"/>
          <w:i w:val="0"/>
          <w:iCs w:val="0"/>
          <w:caps w:val="0"/>
          <w:color w:val="auto"/>
          <w:spacing w:val="0"/>
          <w:sz w:val="27"/>
          <w:szCs w:val="27"/>
          <w:lang w:val="en-US" w:eastAsia="zh-CN"/>
        </w:rPr>
      </w:pPr>
    </w:p>
    <w:p>
      <w:pPr>
        <w:pStyle w:val="23"/>
        <w:keepNext w:val="0"/>
        <w:keepLines w:val="0"/>
        <w:widowControl/>
        <w:suppressLineNumbers w:val="0"/>
        <w:spacing w:before="75" w:beforeAutospacing="0" w:after="75" w:afterAutospacing="0"/>
        <w:ind w:right="0"/>
        <w:rPr>
          <w:rFonts w:hint="default" w:ascii="仿宋" w:hAnsi="仿宋" w:eastAsia="仿宋" w:cs="仿宋"/>
          <w:i w:val="0"/>
          <w:iCs w:val="0"/>
          <w:caps w:val="0"/>
          <w:color w:val="auto"/>
          <w:spacing w:val="0"/>
          <w:sz w:val="27"/>
          <w:szCs w:val="27"/>
          <w:lang w:val="en-US" w:eastAsia="zh-CN"/>
        </w:rPr>
      </w:pPr>
    </w:p>
    <w:p>
      <w:pPr>
        <w:pStyle w:val="23"/>
        <w:keepNext w:val="0"/>
        <w:keepLines w:val="0"/>
        <w:widowControl/>
        <w:suppressLineNumbers w:val="0"/>
        <w:spacing w:before="75" w:beforeAutospacing="0" w:after="75" w:afterAutospacing="0"/>
        <w:ind w:right="0"/>
        <w:rPr>
          <w:rFonts w:hint="default" w:ascii="仿宋" w:hAnsi="仿宋" w:eastAsia="仿宋" w:cs="仿宋"/>
          <w:i w:val="0"/>
          <w:iCs w:val="0"/>
          <w:caps w:val="0"/>
          <w:color w:val="auto"/>
          <w:spacing w:val="0"/>
          <w:sz w:val="27"/>
          <w:szCs w:val="27"/>
          <w:lang w:val="en-US" w:eastAsia="zh-CN"/>
        </w:rPr>
      </w:pPr>
    </w:p>
    <w:p>
      <w:pPr>
        <w:pStyle w:val="23"/>
        <w:keepNext w:val="0"/>
        <w:keepLines w:val="0"/>
        <w:widowControl/>
        <w:suppressLineNumbers w:val="0"/>
        <w:spacing w:before="75" w:beforeAutospacing="0" w:after="75" w:afterAutospacing="0"/>
        <w:ind w:right="0"/>
        <w:rPr>
          <w:rFonts w:hint="default" w:ascii="仿宋" w:hAnsi="仿宋" w:eastAsia="仿宋" w:cs="仿宋"/>
          <w:i w:val="0"/>
          <w:iCs w:val="0"/>
          <w:caps w:val="0"/>
          <w:color w:val="auto"/>
          <w:spacing w:val="0"/>
          <w:sz w:val="27"/>
          <w:szCs w:val="27"/>
          <w:lang w:val="en-US" w:eastAsia="zh-CN"/>
        </w:rPr>
      </w:pPr>
    </w:p>
    <w:p>
      <w:pPr>
        <w:pStyle w:val="23"/>
        <w:keepNext w:val="0"/>
        <w:keepLines w:val="0"/>
        <w:widowControl/>
        <w:suppressLineNumbers w:val="0"/>
        <w:spacing w:before="75" w:beforeAutospacing="0" w:after="75" w:afterAutospacing="0"/>
        <w:ind w:right="0"/>
        <w:rPr>
          <w:rFonts w:hint="default" w:ascii="仿宋" w:hAnsi="仿宋" w:eastAsia="仿宋" w:cs="仿宋"/>
          <w:i w:val="0"/>
          <w:iCs w:val="0"/>
          <w:caps w:val="0"/>
          <w:color w:val="auto"/>
          <w:spacing w:val="0"/>
          <w:sz w:val="27"/>
          <w:szCs w:val="27"/>
          <w:lang w:val="en-US" w:eastAsia="zh-CN"/>
        </w:rPr>
      </w:pPr>
    </w:p>
    <w:p>
      <w:pPr>
        <w:pStyle w:val="3"/>
        <w:numPr>
          <w:ilvl w:val="0"/>
          <w:numId w:val="7"/>
        </w:numPr>
        <w:tabs>
          <w:tab w:val="left" w:pos="0"/>
        </w:tabs>
        <w:spacing w:before="0" w:after="0" w:line="240" w:lineRule="atLeast"/>
        <w:rPr>
          <w:rFonts w:hint="eastAsia" w:ascii="微软雅黑" w:hAnsi="微软雅黑" w:eastAsia="微软雅黑" w:cs="微软雅黑"/>
          <w:color w:val="auto"/>
        </w:rPr>
      </w:pPr>
      <w:bookmarkStart w:id="843" w:name="_Toc10166"/>
      <w:r>
        <w:rPr>
          <w:rFonts w:hint="eastAsia" w:ascii="微软雅黑" w:hAnsi="微软雅黑" w:eastAsia="微软雅黑" w:cs="微软雅黑"/>
          <w:color w:val="auto"/>
        </w:rPr>
        <w:t>供应商须知资料表</w:t>
      </w:r>
      <w:bookmarkEnd w:id="835"/>
      <w:bookmarkEnd w:id="836"/>
      <w:bookmarkEnd w:id="837"/>
      <w:bookmarkEnd w:id="838"/>
      <w:bookmarkEnd w:id="839"/>
      <w:bookmarkEnd w:id="840"/>
      <w:bookmarkEnd w:id="843"/>
    </w:p>
    <w:bookmarkEnd w:id="841"/>
    <w:p>
      <w:pPr>
        <w:spacing w:line="240" w:lineRule="atLeas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本表是本招标项目的具体资料，是对供应商须知的具体补充和修改，如有矛盾，应以本资料表为准。</w:t>
      </w:r>
    </w:p>
    <w:tbl>
      <w:tblPr>
        <w:tblStyle w:val="25"/>
        <w:tblW w:w="9772" w:type="dxa"/>
        <w:tblInd w:w="-40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1"/>
        <w:gridCol w:w="88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 w:hRule="atLeast"/>
        </w:trPr>
        <w:tc>
          <w:tcPr>
            <w:tcW w:w="961" w:type="dxa"/>
            <w:tcBorders>
              <w:top w:val="single" w:color="auto" w:sz="12" w:space="0"/>
            </w:tcBorders>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条款号</w:t>
            </w:r>
          </w:p>
        </w:tc>
        <w:tc>
          <w:tcPr>
            <w:tcW w:w="8811" w:type="dxa"/>
            <w:tcBorders>
              <w:top w:val="single" w:color="auto" w:sz="12" w:space="0"/>
            </w:tcBorders>
            <w:vAlign w:val="center"/>
          </w:tcPr>
          <w:p>
            <w:pPr>
              <w:keepNext w:val="0"/>
              <w:keepLines w:val="0"/>
              <w:pageBreakBefore w:val="0"/>
              <w:widowControl w:val="0"/>
              <w:kinsoku/>
              <w:wordWrap/>
              <w:overflowPunct/>
              <w:topLinePunct w:val="0"/>
              <w:bidi w:val="0"/>
              <w:snapToGrid/>
              <w:spacing w:line="360" w:lineRule="exact"/>
              <w:ind w:left="1080" w:leftChars="257" w:hanging="54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采购人：</w:t>
            </w:r>
            <w:r>
              <w:rPr>
                <w:rFonts w:hint="eastAsia" w:ascii="微软雅黑" w:hAnsi="微软雅黑" w:eastAsia="微软雅黑" w:cs="微软雅黑"/>
                <w:color w:val="auto"/>
                <w:sz w:val="24"/>
                <w:szCs w:val="24"/>
                <w:u w:val="none"/>
                <w:lang w:eastAsia="zh-CN"/>
              </w:rPr>
              <w:t>喀什中医医院</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none"/>
              </w:rPr>
              <w:t>联系人：王思       联系电话：0998-2565958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44"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rPr>
              <w:t>采</w:t>
            </w:r>
            <w:r>
              <w:rPr>
                <w:rFonts w:hint="eastAsia" w:ascii="微软雅黑" w:hAnsi="微软雅黑" w:eastAsia="微软雅黑" w:cs="微软雅黑"/>
                <w:color w:val="auto"/>
                <w:sz w:val="24"/>
                <w:szCs w:val="24"/>
                <w:u w:val="none"/>
              </w:rPr>
              <w:t>购代理机构：</w:t>
            </w:r>
            <w:r>
              <w:rPr>
                <w:rFonts w:hint="eastAsia" w:ascii="微软雅黑" w:hAnsi="微软雅黑" w:eastAsia="微软雅黑" w:cs="微软雅黑"/>
                <w:color w:val="auto"/>
                <w:sz w:val="24"/>
                <w:highlight w:val="none"/>
                <w:u w:val="none"/>
                <w:lang w:eastAsia="zh-CN"/>
              </w:rPr>
              <w:t>新疆合升源项目管理有限公司</w:t>
            </w:r>
            <w:r>
              <w:rPr>
                <w:rFonts w:hint="eastAsia" w:ascii="微软雅黑" w:hAnsi="微软雅黑" w:eastAsia="微软雅黑" w:cs="微软雅黑"/>
                <w:color w:val="auto"/>
                <w:sz w:val="24"/>
                <w:szCs w:val="24"/>
                <w:u w:val="none"/>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none"/>
                <w:lang w:eastAsia="zh-CN"/>
              </w:rPr>
            </w:pPr>
            <w:r>
              <w:rPr>
                <w:rFonts w:hint="eastAsia" w:ascii="微软雅黑" w:hAnsi="微软雅黑" w:eastAsia="微软雅黑" w:cs="微软雅黑"/>
                <w:color w:val="auto"/>
                <w:sz w:val="24"/>
                <w:szCs w:val="24"/>
                <w:u w:val="none"/>
              </w:rPr>
              <w:t>地址：新疆喀什地区喀什市恰萨街道班超路社区帕依纳普路276号（西域名都住宅小区二期）1 幢A区1083室</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u w:val="none"/>
              </w:rPr>
              <w:t>业务联系人：赵东平　   联系电话：17799692269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1.3.4</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kern w:val="0"/>
                <w:sz w:val="24"/>
                <w:szCs w:val="24"/>
              </w:rPr>
            </w:pPr>
            <w:r>
              <w:rPr>
                <w:rFonts w:hint="eastAsia" w:ascii="微软雅黑" w:hAnsi="微软雅黑" w:eastAsia="微软雅黑" w:cs="微软雅黑"/>
                <w:b/>
                <w:bCs/>
                <w:color w:val="auto"/>
                <w:kern w:val="0"/>
                <w:sz w:val="24"/>
                <w:szCs w:val="24"/>
              </w:rPr>
              <w:t>合格供应商的其他资格要求：</w:t>
            </w:r>
          </w:p>
          <w:p>
            <w:pPr>
              <w:pStyle w:val="2"/>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lang w:val="en-US" w:eastAsia="zh-CN"/>
              </w:rPr>
              <w:t>1</w:t>
            </w:r>
            <w:r>
              <w:rPr>
                <w:rFonts w:hint="eastAsia" w:ascii="微软雅黑" w:hAnsi="微软雅黑" w:eastAsia="微软雅黑" w:cs="微软雅黑"/>
                <w:b/>
                <w:bCs/>
                <w:color w:val="auto"/>
                <w:highlight w:val="no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2"/>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2、具有有效的营业执照；</w:t>
            </w:r>
          </w:p>
          <w:p>
            <w:pPr>
              <w:pStyle w:val="2"/>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3、提供有效的《医疗器械生产许可证》或《医疗器械经营许可证》（所提供设备为二类医疗器械的须提供二类医疗器械备案凭证）；</w:t>
            </w:r>
          </w:p>
          <w:p>
            <w:pPr>
              <w:pStyle w:val="2"/>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4、法人投标需提供法人身份证明及身份证原件，被授权委托人需提供法人授权委托书及身份证原件；</w:t>
            </w:r>
          </w:p>
          <w:p>
            <w:pPr>
              <w:pStyle w:val="2"/>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5、提供本单位依法缴纳近三个月（7月至9月）的社保证明</w:t>
            </w:r>
          </w:p>
          <w:p>
            <w:pPr>
              <w:pStyle w:val="2"/>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6、提供税务部门出具近三个月（6月至8月）的完税证明（依法免缴的应提供依法免缴的相关证明文件或零申报报表）；</w:t>
            </w:r>
          </w:p>
          <w:p>
            <w:pPr>
              <w:pStyle w:val="2"/>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7、提供2021年的财务审计报告（2022年新成立公司需提供近三个月（7月至9月）内的银行资信证明）；</w:t>
            </w:r>
          </w:p>
          <w:p>
            <w:pPr>
              <w:pStyle w:val="2"/>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8、参与政府采购活动前3年内未被列入失信、重大税收违法案件、财政部门禁止参加政府采购活动的承诺书；</w:t>
            </w:r>
          </w:p>
          <w:p>
            <w:pPr>
              <w:pStyle w:val="2"/>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9、提供针对本次项目的反商业贿赂承诺书。</w:t>
            </w:r>
          </w:p>
          <w:p>
            <w:pPr>
              <w:pStyle w:val="2"/>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10、持投标保证金有效凭证。</w:t>
            </w:r>
          </w:p>
          <w:p>
            <w:pPr>
              <w:pStyle w:val="2"/>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color w:val="auto"/>
              </w:rPr>
            </w:pPr>
            <w:r>
              <w:rPr>
                <w:rFonts w:hint="eastAsia" w:ascii="微软雅黑" w:hAnsi="微软雅黑" w:eastAsia="微软雅黑" w:cs="微软雅黑"/>
                <w:b/>
                <w:bCs/>
                <w:color w:val="auto"/>
                <w:lang w:val="en-US" w:eastAsia="zh-CN"/>
              </w:rPr>
              <w:t>提示：1、“提供税务部门出具近三个月的完税证明”：完税证明中“税种”非养老保险、医疗保险、失业保险、工伤保险和生育保险。请各投标供应商注意！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1.3.5   </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是否允许采购进口产品：</w:t>
            </w:r>
            <w:r>
              <w:rPr>
                <w:rFonts w:hint="eastAsia" w:ascii="微软雅黑" w:hAnsi="微软雅黑" w:eastAsia="微软雅黑" w:cs="微软雅黑"/>
                <w:color w:val="auto"/>
                <w:sz w:val="24"/>
                <w:szCs w:val="24"/>
                <w:u w:val="single"/>
              </w:rPr>
              <w:t xml:space="preserve"> 否 </w:t>
            </w:r>
            <w:r>
              <w:rPr>
                <w:rFonts w:hint="eastAsia" w:ascii="微软雅黑" w:hAnsi="微软雅黑" w:eastAsia="微软雅黑" w:cs="微软雅黑"/>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1.3.6</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是否为专门面向中小企业采购：</w:t>
            </w:r>
            <w:r>
              <w:rPr>
                <w:rFonts w:hint="eastAsia" w:ascii="微软雅黑" w:hAnsi="微软雅黑" w:eastAsia="微软雅黑" w:cs="微软雅黑"/>
                <w:color w:val="auto"/>
                <w:sz w:val="24"/>
                <w:szCs w:val="24"/>
                <w:u w:val="single"/>
              </w:rPr>
              <w:t xml:space="preserve">  否  </w:t>
            </w:r>
            <w:r>
              <w:rPr>
                <w:rFonts w:hint="eastAsia" w:ascii="微软雅黑" w:hAnsi="微软雅黑" w:eastAsia="微软雅黑" w:cs="微软雅黑"/>
                <w:i/>
                <w:iCs/>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是否允许联合体投标：</w:t>
            </w:r>
            <w:r>
              <w:rPr>
                <w:rFonts w:hint="eastAsia" w:ascii="微软雅黑" w:hAnsi="微软雅黑" w:eastAsia="微软雅黑" w:cs="微软雅黑"/>
                <w:color w:val="auto"/>
                <w:sz w:val="24"/>
                <w:szCs w:val="24"/>
                <w:u w:val="single"/>
              </w:rPr>
              <w:t xml:space="preserve">  否  </w:t>
            </w:r>
            <w:r>
              <w:rPr>
                <w:rFonts w:hint="eastAsia" w:ascii="微软雅黑" w:hAnsi="微软雅黑" w:eastAsia="微软雅黑" w:cs="微软雅黑"/>
                <w:i/>
                <w:iCs/>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6"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1.4.8</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p>
        </w:tc>
        <w:tc>
          <w:tcPr>
            <w:tcW w:w="8811" w:type="dxa"/>
            <w:vAlign w:val="center"/>
          </w:tcPr>
          <w:p>
            <w:pPr>
              <w:pStyle w:val="2"/>
              <w:keepNext w:val="0"/>
              <w:keepLines w:val="0"/>
              <w:pageBreakBefore w:val="0"/>
              <w:widowControl w:val="0"/>
              <w:kinsoku/>
              <w:wordWrap/>
              <w:overflowPunct/>
              <w:topLinePunct w:val="0"/>
              <w:bidi w:val="0"/>
              <w:snapToGrid/>
              <w:spacing w:line="360" w:lineRule="exact"/>
              <w:ind w:firstLine="0"/>
              <w:jc w:val="both"/>
              <w:textAlignment w:val="auto"/>
              <w:rPr>
                <w:rFonts w:hint="default" w:eastAsia="微软雅黑"/>
                <w:color w:val="auto"/>
                <w:lang w:val="en-US" w:eastAsia="zh-CN"/>
              </w:rPr>
            </w:pPr>
            <w:r>
              <w:rPr>
                <w:rFonts w:hint="eastAsia" w:ascii="微软雅黑" w:hAnsi="微软雅黑" w:eastAsia="微软雅黑" w:cs="微软雅黑"/>
                <w:b/>
                <w:bCs/>
                <w:color w:val="auto"/>
                <w:highlight w:val="none"/>
              </w:rPr>
              <w:t>预算金额：</w:t>
            </w:r>
            <w:r>
              <w:rPr>
                <w:rFonts w:hint="eastAsia" w:ascii="微软雅黑" w:hAnsi="微软雅黑" w:eastAsia="微软雅黑" w:cs="微软雅黑"/>
                <w:b/>
                <w:bCs/>
                <w:color w:val="auto"/>
                <w:highlight w:val="none"/>
                <w:lang w:val="en-US" w:eastAsia="zh-CN"/>
              </w:rPr>
              <w:t>8633776.00元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8"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投标保证金形式：☑保函  ☑电汇  □支票   ☑对公转账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投标保证金金额：</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第一包：40000元（肆万元整）</w:t>
            </w:r>
          </w:p>
          <w:p>
            <w:pPr>
              <w:pStyle w:val="2"/>
              <w:ind w:left="0" w:leftChars="0" w:firstLine="0" w:firstLineChars="0"/>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第二包：20000元（贰万元整）</w:t>
            </w:r>
          </w:p>
          <w:p>
            <w:pP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第三包：10000元（壹万元整）</w:t>
            </w:r>
          </w:p>
          <w:p>
            <w:pPr>
              <w:pStyle w:val="2"/>
              <w:ind w:left="0" w:leftChars="0" w:firstLine="0" w:firstLineChars="0"/>
              <w:rPr>
                <w:rFonts w:hint="default"/>
                <w:lang w:val="en-US" w:eastAsia="zh-CN"/>
              </w:rPr>
            </w:pPr>
            <w:r>
              <w:rPr>
                <w:rFonts w:hint="eastAsia" w:ascii="微软雅黑" w:hAnsi="微软雅黑" w:eastAsia="微软雅黑" w:cs="微软雅黑"/>
                <w:b/>
                <w:bCs/>
                <w:color w:val="auto"/>
                <w:kern w:val="0"/>
                <w:sz w:val="24"/>
                <w:szCs w:val="24"/>
                <w:lang w:val="en-US" w:eastAsia="zh-CN" w:bidi="ar-SA"/>
              </w:rPr>
              <w:t>第四包：10000元（壹万元整）</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（按照分包预算金额2%以内的整数计算）</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保证金收款人：</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rPr>
              <w:t>单位名称：</w:t>
            </w:r>
            <w:r>
              <w:rPr>
                <w:rFonts w:hint="eastAsia" w:ascii="微软雅黑" w:hAnsi="微软雅黑" w:eastAsia="微软雅黑" w:cs="微软雅黑"/>
                <w:b/>
                <w:bCs/>
                <w:color w:val="auto"/>
                <w:sz w:val="24"/>
                <w:szCs w:val="24"/>
                <w:lang w:val="en-US" w:eastAsia="zh-CN"/>
              </w:rPr>
              <w:t>喀什中医医院</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开 户 行：新疆喀什农村商业银行股份有限公司</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账    号：860010012010109084196</w:t>
            </w:r>
            <w:r>
              <w:rPr>
                <w:rFonts w:hint="eastAsia" w:ascii="微软雅黑" w:hAnsi="微软雅黑" w:eastAsia="微软雅黑" w:cs="微软雅黑"/>
                <w:b/>
                <w:bCs/>
                <w:color w:val="auto"/>
                <w:sz w:val="24"/>
                <w:szCs w:val="24"/>
                <w:lang w:val="en-US" w:eastAsia="zh-CN"/>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（电汇时请在汇款备注栏注明项目名称及</w:t>
            </w:r>
            <w:r>
              <w:rPr>
                <w:rFonts w:hint="eastAsia" w:ascii="微软雅黑" w:hAnsi="微软雅黑" w:eastAsia="微软雅黑" w:cs="微软雅黑"/>
                <w:b/>
                <w:bCs/>
                <w:color w:val="auto"/>
                <w:sz w:val="24"/>
                <w:szCs w:val="24"/>
                <w:lang w:eastAsia="zh-CN"/>
              </w:rPr>
              <w:t>标段号</w:t>
            </w:r>
            <w:r>
              <w:rPr>
                <w:rFonts w:hint="eastAsia" w:ascii="微软雅黑" w:hAnsi="微软雅黑" w:eastAsia="微软雅黑" w:cs="微软雅黑"/>
                <w:b/>
                <w:bCs/>
                <w:color w:val="auto"/>
                <w:sz w:val="24"/>
                <w:szCs w:val="24"/>
              </w:rPr>
              <w:t xml:space="preserve">，并注明是投标保证金，否则视为无效投标保证金。）      </w:t>
            </w:r>
            <w:r>
              <w:rPr>
                <w:rFonts w:hint="eastAsia" w:ascii="微软雅黑" w:hAnsi="微软雅黑" w:eastAsia="微软雅黑" w:cs="微软雅黑"/>
                <w:color w:val="auto"/>
                <w:sz w:val="24"/>
                <w:szCs w:val="24"/>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A:缴纳保证金要求：供应商向银行办理保证金汇（转）款时，应在用途栏（备注栏）注明项目名称及</w:t>
            </w:r>
            <w:r>
              <w:rPr>
                <w:rFonts w:hint="eastAsia" w:ascii="微软雅黑" w:hAnsi="微软雅黑" w:eastAsia="微软雅黑" w:cs="微软雅黑"/>
                <w:b/>
                <w:bCs/>
                <w:color w:val="auto"/>
                <w:sz w:val="24"/>
                <w:szCs w:val="24"/>
                <w:lang w:eastAsia="zh-CN"/>
              </w:rPr>
              <w:t>标段号</w:t>
            </w:r>
            <w:r>
              <w:rPr>
                <w:rFonts w:hint="eastAsia" w:ascii="微软雅黑" w:hAnsi="微软雅黑" w:eastAsia="微软雅黑" w:cs="微软雅黑"/>
                <w:b/>
                <w:bCs/>
                <w:color w:val="auto"/>
                <w:sz w:val="24"/>
                <w:szCs w:val="24"/>
              </w:rPr>
              <w:t>（如有），并注明是投标保证金字样，如填写字数有要求可简写项目名称与</w:t>
            </w:r>
            <w:r>
              <w:rPr>
                <w:rFonts w:hint="eastAsia" w:ascii="微软雅黑" w:hAnsi="微软雅黑" w:eastAsia="微软雅黑" w:cs="微软雅黑"/>
                <w:b/>
                <w:bCs/>
                <w:color w:val="auto"/>
                <w:sz w:val="24"/>
                <w:szCs w:val="24"/>
                <w:lang w:eastAsia="zh-CN"/>
              </w:rPr>
              <w:t>标段号</w:t>
            </w:r>
            <w:r>
              <w:rPr>
                <w:rFonts w:hint="eastAsia" w:ascii="微软雅黑" w:hAnsi="微软雅黑" w:eastAsia="微软雅黑" w:cs="微软雅黑"/>
                <w:b/>
                <w:bCs/>
                <w:color w:val="auto"/>
                <w:sz w:val="24"/>
                <w:szCs w:val="24"/>
              </w:rPr>
              <w:t>（如有），由于未按要求注明信息而导致的一切后果由供应商自行承担。</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B：退保证金：（1）开评标结束后，未中标供应商的保证金将在5个工作日内退回原账户，供应商不需办理任何手续。（2）中标供应商的保证金在与采购人签订合同后，把合同扫描件</w:t>
            </w:r>
            <w:r>
              <w:rPr>
                <w:rFonts w:hint="eastAsia" w:ascii="微软雅黑" w:hAnsi="微软雅黑" w:eastAsia="微软雅黑" w:cs="微软雅黑"/>
                <w:b/>
                <w:bCs/>
                <w:color w:val="auto"/>
                <w:sz w:val="24"/>
                <w:szCs w:val="24"/>
                <w:lang w:val="en-US" w:eastAsia="zh-CN"/>
              </w:rPr>
              <w:t>发送至294781549@qq.com</w:t>
            </w:r>
            <w:r>
              <w:rPr>
                <w:rFonts w:hint="eastAsia" w:ascii="微软雅黑" w:hAnsi="微软雅黑" w:eastAsia="微软雅黑" w:cs="微软雅黑"/>
                <w:b/>
                <w:bCs/>
                <w:color w:val="auto"/>
                <w:sz w:val="24"/>
                <w:szCs w:val="24"/>
              </w:rPr>
              <w:t>，当日或次日原账户退回。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投标有效期：</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u w:val="single"/>
                <w:lang w:val="en-US" w:eastAsia="zh-CN"/>
              </w:rPr>
              <w:t>90</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w:t>
            </w:r>
          </w:p>
        </w:tc>
        <w:tc>
          <w:tcPr>
            <w:tcW w:w="8811" w:type="dxa"/>
            <w:vAlign w:val="center"/>
          </w:tcPr>
          <w:p>
            <w:pPr>
              <w:pStyle w:val="2"/>
              <w:keepNext w:val="0"/>
              <w:keepLines w:val="0"/>
              <w:pageBreakBefore w:val="0"/>
              <w:widowControl w:val="0"/>
              <w:kinsoku/>
              <w:wordWrap/>
              <w:overflowPunct/>
              <w:topLinePunct w:val="0"/>
              <w:bidi w:val="0"/>
              <w:snapToGrid/>
              <w:spacing w:line="340" w:lineRule="exact"/>
              <w:ind w:left="0" w:leftChars="0" w:firstLine="0" w:firstLineChars="0"/>
              <w:jc w:val="both"/>
              <w:textAlignment w:val="auto"/>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投标截止时间：</w:t>
            </w:r>
            <w:r>
              <w:rPr>
                <w:rFonts w:hint="eastAsia" w:ascii="微软雅黑" w:hAnsi="微软雅黑" w:eastAsia="微软雅黑" w:cs="微软雅黑"/>
                <w:i w:val="0"/>
                <w:iCs w:val="0"/>
                <w:caps w:val="0"/>
                <w:color w:val="auto"/>
                <w:spacing w:val="0"/>
                <w:sz w:val="24"/>
                <w:szCs w:val="24"/>
                <w:lang w:eastAsia="zh-CN"/>
              </w:rPr>
              <w:t>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lang w:eastAsia="zh-CN"/>
              </w:rPr>
              <w:t>年</w:t>
            </w:r>
            <w:r>
              <w:rPr>
                <w:rFonts w:hint="eastAsia" w:ascii="微软雅黑" w:hAnsi="微软雅黑" w:cs="微软雅黑"/>
                <w:i w:val="0"/>
                <w:iCs w:val="0"/>
                <w:caps w:val="0"/>
                <w:color w:val="auto"/>
                <w:spacing w:val="0"/>
                <w:sz w:val="24"/>
                <w:szCs w:val="24"/>
                <w:lang w:val="en-US" w:eastAsia="zh-CN"/>
              </w:rPr>
              <w:t>12</w:t>
            </w:r>
            <w:r>
              <w:rPr>
                <w:rFonts w:hint="eastAsia" w:ascii="微软雅黑" w:hAnsi="微软雅黑" w:eastAsia="微软雅黑" w:cs="微软雅黑"/>
                <w:i w:val="0"/>
                <w:iCs w:val="0"/>
                <w:caps w:val="0"/>
                <w:color w:val="auto"/>
                <w:spacing w:val="0"/>
                <w:sz w:val="24"/>
                <w:szCs w:val="24"/>
                <w:lang w:eastAsia="zh-CN"/>
              </w:rPr>
              <w:t>月</w:t>
            </w:r>
            <w:r>
              <w:rPr>
                <w:rFonts w:hint="eastAsia" w:ascii="微软雅黑" w:hAnsi="微软雅黑" w:eastAsia="微软雅黑" w:cs="微软雅黑"/>
                <w:i w:val="0"/>
                <w:iCs w:val="0"/>
                <w:caps w:val="0"/>
                <w:color w:val="auto"/>
                <w:spacing w:val="0"/>
                <w:sz w:val="24"/>
                <w:szCs w:val="24"/>
                <w:lang w:val="en-US" w:eastAsia="zh-CN"/>
              </w:rPr>
              <w:t>12</w:t>
            </w:r>
            <w:r>
              <w:rPr>
                <w:rFonts w:hint="eastAsia" w:ascii="微软雅黑" w:hAnsi="微软雅黑" w:eastAsia="微软雅黑" w:cs="微软雅黑"/>
                <w:i w:val="0"/>
                <w:iCs w:val="0"/>
                <w:caps w:val="0"/>
                <w:color w:val="auto"/>
                <w:spacing w:val="0"/>
                <w:sz w:val="24"/>
                <w:szCs w:val="24"/>
                <w:lang w:eastAsia="zh-CN"/>
              </w:rPr>
              <w:t xml:space="preserve">日 </w:t>
            </w:r>
            <w:r>
              <w:rPr>
                <w:rFonts w:hint="eastAsia" w:ascii="微软雅黑" w:hAnsi="微软雅黑" w:eastAsia="微软雅黑" w:cs="微软雅黑"/>
                <w:i w:val="0"/>
                <w:iCs w:val="0"/>
                <w:caps w:val="0"/>
                <w:color w:val="auto"/>
                <w:spacing w:val="0"/>
                <w:sz w:val="24"/>
                <w:szCs w:val="24"/>
                <w:lang w:val="en-US" w:eastAsia="zh-CN"/>
              </w:rPr>
              <w:t>11</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lang w:eastAsia="zh-CN"/>
              </w:rPr>
              <w:t>0</w:t>
            </w:r>
            <w:r>
              <w:rPr>
                <w:rFonts w:hint="eastAsia" w:ascii="微软雅黑" w:hAnsi="微软雅黑" w:eastAsia="微软雅黑" w:cs="微软雅黑"/>
                <w:i w:val="0"/>
                <w:iCs w:val="0"/>
                <w:caps w:val="0"/>
                <w:color w:val="auto"/>
                <w:spacing w:val="0"/>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16.1</w:t>
            </w:r>
          </w:p>
        </w:tc>
        <w:tc>
          <w:tcPr>
            <w:tcW w:w="8811" w:type="dxa"/>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投标地点：政采云平台（https://login.zcygov.cn/user-login/#/login）</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开标时间：2022年12月12日 11:00（北京时间）</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 xml:space="preserve">开标地点：政采云平台（https://login.zcygov.cn/user-login/#/login）  </w:t>
            </w:r>
            <w:bookmarkStart w:id="1838" w:name="_GoBack"/>
            <w:bookmarkEnd w:id="1838"/>
          </w:p>
          <w:p>
            <w:pPr>
              <w:pStyle w:val="2"/>
              <w:ind w:left="0" w:leftChars="0"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2"/>
                <w:sz w:val="24"/>
                <w:szCs w:val="24"/>
                <w:lang w:val="en-US" w:eastAsia="zh-CN" w:bidi="ar-SA"/>
              </w:rPr>
              <w:t>投标文件解密时长（分钟）为30分钟。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18.1</w:t>
            </w:r>
          </w:p>
        </w:tc>
        <w:tc>
          <w:tcPr>
            <w:tcW w:w="8811" w:type="dxa"/>
            <w:vAlign w:val="center"/>
          </w:tcPr>
          <w:p>
            <w:pPr>
              <w:pStyle w:val="2"/>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2"/>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2.本项目实行网上投标，采用电子投标文件(供应商须使用CA加密设备通过政采云电子投标客户端制作投标文件)。若供应商参与投标，自行承担投标一切费用。</w:t>
            </w:r>
          </w:p>
          <w:p>
            <w:pPr>
              <w:pStyle w:val="2"/>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pPr>
              <w:pStyle w:val="2"/>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2"/>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5.供应商在开标时须使用制作加密电子投标文件所使用的CA锁及电脑，电脑须提前配置好浏览器（建议使用谷歌浏览器），以便开标时解锁。</w:t>
            </w:r>
          </w:p>
          <w:p>
            <w:pPr>
              <w:pStyle w:val="2"/>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Style w:val="2"/>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400" w:lineRule="exact"/>
              <w:ind w:firstLine="480" w:firstLineChars="200"/>
              <w:jc w:val="left"/>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8.各供应商须在投标截止时间前完成在系统上递交电子招标文件。供应商的电子投标文件是经过CA证书加密后上传提交的，任何单位或个人均无法在投标截止时间(即开标时间)之前查看或篡改，不存在泄密风险。（严格按照政采云电子投标流程制作并上传电子投标文件）</w:t>
            </w:r>
          </w:p>
          <w:p>
            <w:pPr>
              <w:spacing w:line="400" w:lineRule="exact"/>
              <w:ind w:firstLine="480" w:firstLineChars="200"/>
              <w:jc w:val="left"/>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9.各供应商在投标截止时间前将“投标文件”上传至政采云平台。投标文件包括“报价一览表及资格证明文件”与“商务及技术文件”两部分合并成一册。投标文件应按照招标文件规定的格式填写、签署和盖章，并以.jmbs格式上传至政采云开评标平台（投标文件为正本扫描件）。</w:t>
            </w:r>
          </w:p>
          <w:p>
            <w:pPr>
              <w:spacing w:line="400" w:lineRule="exact"/>
              <w:ind w:firstLine="480" w:firstLineChars="200"/>
              <w:jc w:val="left"/>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10.所有供应商应在中标公告公示期结束后2个工作日内将纸质版投标文件邮寄至代理机构备案，纸质版投标文件包括“报价一览表及资格证明文件”和“商务及技术文件”两部分，两部分合订成一册递交。(邮寄标书事项会影响退还投标保证金)</w:t>
            </w:r>
          </w:p>
          <w:p>
            <w:pPr>
              <w:spacing w:line="400" w:lineRule="exact"/>
              <w:ind w:firstLine="480" w:firstLineChars="200"/>
              <w:jc w:val="left"/>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11.递交数量：正本：壹份、副本：肆份；电子文档1份（以正本为准，副本可以是正本的复印件）</w:t>
            </w:r>
          </w:p>
          <w:p>
            <w:pPr>
              <w:spacing w:line="400" w:lineRule="exact"/>
              <w:jc w:val="left"/>
              <w:rPr>
                <w:rFonts w:hint="eastAsia"/>
              </w:rPr>
            </w:pPr>
            <w:bookmarkStart w:id="844" w:name="_Toc14647"/>
            <w:r>
              <w:rPr>
                <w:rFonts w:hint="eastAsia" w:ascii="微软雅黑" w:hAnsi="微软雅黑" w:eastAsia="微软雅黑" w:cs="微软雅黑"/>
                <w:color w:val="auto"/>
                <w:kern w:val="2"/>
                <w:sz w:val="24"/>
                <w:szCs w:val="24"/>
                <w:lang w:val="en-US" w:eastAsia="zh-CN" w:bidi="ar-SA"/>
              </w:rPr>
              <w:t>纸质投标文件的签署及规定：</w:t>
            </w:r>
            <w:bookmarkEnd w:id="844"/>
            <w:r>
              <w:rPr>
                <w:rFonts w:hint="eastAsia" w:ascii="微软雅黑" w:hAnsi="微软雅黑" w:eastAsia="微软雅黑" w:cs="微软雅黑"/>
                <w:color w:val="auto"/>
                <w:kern w:val="2"/>
                <w:sz w:val="24"/>
                <w:szCs w:val="24"/>
                <w:lang w:val="en-US" w:eastAsia="zh-CN" w:bidi="ar-SA"/>
              </w:rPr>
              <w:t>投标文件的正副本需打印或用不褪色墨水书写，并由供应商的法定代表人或经其正式委托代理人按招标文件规定在投标文件上签字或盖章，并加盖单位印章</w:t>
            </w:r>
            <w:r>
              <w:rPr>
                <w:rFonts w:hint="eastAsia" w:ascii="微软雅黑" w:hAnsi="微软雅黑" w:eastAsia="微软雅黑" w:cs="微软雅黑"/>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iCs/>
                <w:color w:val="auto"/>
                <w:sz w:val="24"/>
                <w:szCs w:val="24"/>
              </w:rPr>
            </w:pPr>
            <w:r>
              <w:rPr>
                <w:rFonts w:hint="eastAsia" w:ascii="微软雅黑" w:hAnsi="微软雅黑" w:eastAsia="微软雅黑" w:cs="微软雅黑"/>
                <w:color w:val="auto"/>
                <w:sz w:val="24"/>
                <w:szCs w:val="24"/>
              </w:rPr>
              <w:t>评标方法：适用</w:t>
            </w:r>
            <w:r>
              <w:rPr>
                <w:rFonts w:hint="eastAsia" w:ascii="微软雅黑" w:hAnsi="微软雅黑" w:eastAsia="微软雅黑" w:cs="微软雅黑"/>
                <w:color w:val="auto"/>
                <w:sz w:val="24"/>
                <w:szCs w:val="24"/>
                <w:u w:val="single"/>
              </w:rPr>
              <w:t>　综合评分法　</w:t>
            </w:r>
            <w:r>
              <w:rPr>
                <w:rFonts w:hint="eastAsia" w:ascii="微软雅黑" w:hAnsi="微软雅黑" w:eastAsia="微软雅黑" w:cs="微软雅黑"/>
                <w:color w:val="auto"/>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推荐中标候选供应商的数量：</w:t>
            </w:r>
            <w:r>
              <w:rPr>
                <w:rFonts w:hint="eastAsia" w:ascii="微软雅黑" w:hAnsi="微软雅黑" w:eastAsia="微软雅黑" w:cs="微软雅黑"/>
                <w:color w:val="auto"/>
                <w:sz w:val="24"/>
                <w:szCs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招标人是否委托评标委员会直接确定中标人：</w:t>
            </w:r>
            <w:r>
              <w:rPr>
                <w:rFonts w:hint="eastAsia" w:ascii="微软雅黑" w:hAnsi="微软雅黑" w:eastAsia="微软雅黑" w:cs="微软雅黑"/>
                <w:color w:val="auto"/>
                <w:sz w:val="24"/>
                <w:szCs w:val="24"/>
                <w:u w:val="single"/>
              </w:rPr>
              <w:t xml:space="preserve"> 否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i/>
                <w:iCs/>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5"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iCs/>
                <w:color w:val="auto"/>
                <w:sz w:val="24"/>
                <w:szCs w:val="24"/>
              </w:rPr>
            </w:pPr>
            <w:r>
              <w:rPr>
                <w:rFonts w:hint="eastAsia" w:ascii="微软雅黑" w:hAnsi="微软雅黑" w:eastAsia="微软雅黑" w:cs="微软雅黑"/>
                <w:color w:val="auto"/>
                <w:sz w:val="24"/>
                <w:szCs w:val="24"/>
              </w:rPr>
              <w:t>履约保证金金额：</w:t>
            </w:r>
            <w:r>
              <w:rPr>
                <w:rFonts w:hint="eastAsia" w:ascii="微软雅黑" w:hAnsi="微软雅黑" w:eastAsia="微软雅黑" w:cs="微软雅黑"/>
                <w:color w:val="auto"/>
                <w:sz w:val="24"/>
                <w:szCs w:val="24"/>
                <w:highlight w:val="none"/>
              </w:rPr>
              <w:t>合同总价的</w:t>
            </w:r>
            <w:r>
              <w:rPr>
                <w:rFonts w:hint="eastAsia" w:ascii="微软雅黑" w:hAnsi="微软雅黑" w:eastAsia="微软雅黑" w:cs="微软雅黑"/>
                <w:color w:val="auto"/>
                <w:sz w:val="24"/>
                <w:szCs w:val="24"/>
                <w:highlight w:val="none"/>
                <w:u w:val="single"/>
              </w:rPr>
              <w:t>　5%　</w:t>
            </w:r>
            <w:r>
              <w:rPr>
                <w:rFonts w:hint="eastAsia" w:ascii="微软雅黑" w:hAnsi="微软雅黑" w:eastAsia="微软雅黑" w:cs="微软雅黑"/>
                <w:i/>
                <w:iCs/>
                <w:color w:val="auto"/>
                <w:sz w:val="24"/>
                <w:szCs w:val="24"/>
                <w:highlight w:val="none"/>
              </w:rPr>
              <w:t>（不得超过政府采购合同金额的10%）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履约保证金形式：☑保函  ☑电汇  □支票   ☑对公转账</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 xml:space="preserve">提交履约保证金的时间：签订合同前 </w:t>
            </w:r>
            <w:r>
              <w:rPr>
                <w:rFonts w:hint="eastAsia" w:ascii="微软雅黑" w:hAnsi="微软雅黑" w:eastAsia="微软雅黑" w:cs="微软雅黑"/>
                <w:color w:val="auto"/>
                <w:sz w:val="24"/>
                <w:szCs w:val="24"/>
                <w:u w:val="single"/>
              </w:rPr>
              <w:t xml:space="preserve">  5  </w:t>
            </w:r>
            <w:r>
              <w:rPr>
                <w:rFonts w:hint="eastAsia" w:ascii="微软雅黑" w:hAnsi="微软雅黑" w:eastAsia="微软雅黑" w:cs="微软雅黑"/>
                <w:color w:val="auto"/>
                <w:sz w:val="24"/>
                <w:szCs w:val="24"/>
              </w:rPr>
              <w:t>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9"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yellow"/>
              </w:rPr>
            </w:pPr>
            <w:r>
              <w:rPr>
                <w:rFonts w:hint="eastAsia" w:ascii="微软雅黑" w:hAnsi="微软雅黑" w:eastAsia="微软雅黑" w:cs="微软雅黑"/>
                <w:color w:val="auto"/>
                <w:sz w:val="24"/>
                <w:szCs w:val="24"/>
              </w:rPr>
              <w:t>中标服务</w:t>
            </w:r>
            <w:r>
              <w:rPr>
                <w:rFonts w:hint="eastAsia" w:ascii="微软雅黑" w:hAnsi="微软雅黑" w:eastAsia="微软雅黑" w:cs="微软雅黑"/>
                <w:color w:val="auto"/>
                <w:sz w:val="24"/>
                <w:szCs w:val="24"/>
                <w:highlight w:val="none"/>
              </w:rPr>
              <w:t>费：按照发改价格【2015】299号文件规定计算后下浮30%。（由</w:t>
            </w:r>
            <w:r>
              <w:rPr>
                <w:rFonts w:hint="eastAsia" w:ascii="微软雅黑" w:hAnsi="微软雅黑" w:eastAsia="微软雅黑" w:cs="微软雅黑"/>
                <w:color w:val="auto"/>
                <w:sz w:val="24"/>
                <w:szCs w:val="24"/>
                <w:highlight w:val="none"/>
                <w:lang w:val="en-US" w:eastAsia="zh-CN"/>
              </w:rPr>
              <w:t>中标</w:t>
            </w:r>
            <w:r>
              <w:rPr>
                <w:rFonts w:hint="eastAsia" w:ascii="微软雅黑" w:hAnsi="微软雅黑" w:eastAsia="微软雅黑" w:cs="微软雅黑"/>
                <w:color w:val="auto"/>
                <w:sz w:val="24"/>
                <w:szCs w:val="24"/>
                <w:highlight w:val="none"/>
              </w:rPr>
              <w:t>供应商支付）</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支付形式：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现金或</w:t>
            </w:r>
            <w:r>
              <w:rPr>
                <w:rFonts w:hint="eastAsia" w:ascii="微软雅黑" w:hAnsi="微软雅黑" w:eastAsia="微软雅黑" w:cs="微软雅黑"/>
                <w:color w:val="auto"/>
                <w:sz w:val="24"/>
                <w:szCs w:val="24"/>
                <w:u w:val="single"/>
              </w:rPr>
              <w:t xml:space="preserve">转账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支付时间：</w:t>
            </w:r>
            <w:r>
              <w:rPr>
                <w:rFonts w:hint="eastAsia" w:ascii="微软雅黑" w:hAnsi="微软雅黑" w:eastAsia="微软雅黑" w:cs="微软雅黑"/>
                <w:color w:val="auto"/>
                <w:sz w:val="24"/>
                <w:szCs w:val="24"/>
                <w:u w:val="single"/>
              </w:rPr>
              <w:t xml:space="preserve">  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w:t>
            </w:r>
          </w:p>
        </w:tc>
        <w:tc>
          <w:tcPr>
            <w:tcW w:w="8811"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本项目是否属于信用担保试点范围：</w:t>
            </w:r>
            <w:r>
              <w:rPr>
                <w:rFonts w:hint="eastAsia" w:ascii="微软雅黑" w:hAnsi="微软雅黑" w:eastAsia="微软雅黑" w:cs="微软雅黑"/>
                <w:color w:val="auto"/>
                <w:sz w:val="24"/>
                <w:szCs w:val="24"/>
                <w:u w:val="single"/>
              </w:rPr>
              <w:t xml:space="preserve">  否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i/>
                <w:iCs/>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61" w:type="dxa"/>
            <w:vAlign w:val="center"/>
          </w:tcPr>
          <w:p>
            <w:pPr>
              <w:pStyle w:val="23"/>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i w:val="0"/>
                <w:iCs w:val="0"/>
                <w:caps w:val="0"/>
                <w:color w:val="auto"/>
                <w:spacing w:val="0"/>
                <w:sz w:val="24"/>
                <w:szCs w:val="24"/>
                <w:lang w:val="en-US" w:eastAsia="zh-CN"/>
              </w:rPr>
              <w:t>特别提示：</w:t>
            </w:r>
          </w:p>
        </w:tc>
        <w:tc>
          <w:tcPr>
            <w:tcW w:w="8811" w:type="dxa"/>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i w:val="0"/>
                <w:iCs w:val="0"/>
                <w:caps w:val="0"/>
                <w:color w:val="auto"/>
                <w:spacing w:val="0"/>
                <w:sz w:val="24"/>
                <w:szCs w:val="24"/>
                <w:lang w:val="en-US" w:eastAsia="zh-CN"/>
              </w:rPr>
              <w:t>1、超过200</w:t>
            </w:r>
            <w:r>
              <w:rPr>
                <w:rFonts w:hint="eastAsia" w:ascii="微软雅黑" w:hAnsi="微软雅黑" w:eastAsia="微软雅黑" w:cs="微软雅黑"/>
                <w:b w:val="0"/>
                <w:bCs w:val="0"/>
                <w:color w:val="auto"/>
                <w:kern w:val="2"/>
                <w:sz w:val="24"/>
                <w:szCs w:val="24"/>
                <w:lang w:val="en-US" w:eastAsia="zh-CN" w:bidi="ar-SA"/>
              </w:rPr>
              <w:t>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2、对于未预留份额专门面向中小企业的采购项目，以及预留份额项目中的非预留部分采购包，采购人、采购代理机构应当对符合规定的小微企业报价给予10%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val="0"/>
                <w:bCs w:val="0"/>
                <w:color w:val="auto"/>
                <w:kern w:val="2"/>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32"/>
                <w:rFonts w:hint="eastAsia" w:ascii="微软雅黑" w:hAnsi="微软雅黑" w:eastAsia="微软雅黑" w:cs="微软雅黑"/>
                <w:i w:val="0"/>
                <w:iCs w:val="0"/>
                <w:caps w:val="0"/>
                <w:color w:val="auto"/>
                <w:spacing w:val="0"/>
                <w:sz w:val="24"/>
                <w:szCs w:val="24"/>
                <w:lang w:val="en-US" w:eastAsia="zh-CN"/>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r>
              <w:rPr>
                <w:rStyle w:val="32"/>
                <w:rFonts w:hint="eastAsia" w:ascii="微软雅黑" w:hAnsi="微软雅黑" w:eastAsia="微软雅黑" w:cs="微软雅黑"/>
                <w:b/>
                <w:bCs/>
                <w:i w:val="0"/>
                <w:iCs w:val="0"/>
                <w:caps w:val="0"/>
                <w:color w:val="auto"/>
                <w:spacing w:val="0"/>
                <w:sz w:val="24"/>
                <w:szCs w:val="24"/>
                <w:lang w:val="en-US" w:eastAsia="zh-CN"/>
              </w:rPr>
              <w:t>须在投标文件中做出承诺。</w:t>
            </w:r>
          </w:p>
        </w:tc>
      </w:tr>
    </w:tbl>
    <w:p>
      <w:pPr>
        <w:pStyle w:val="2"/>
        <w:ind w:left="0" w:leftChars="0" w:firstLine="0" w:firstLineChars="0"/>
        <w:jc w:val="center"/>
        <w:rPr>
          <w:rFonts w:hint="eastAsia" w:ascii="微软雅黑" w:hAnsi="微软雅黑" w:eastAsia="微软雅黑" w:cs="微软雅黑"/>
          <w:color w:val="auto"/>
          <w:sz w:val="28"/>
          <w:szCs w:val="28"/>
          <w:lang w:eastAsia="zh-CN"/>
        </w:rPr>
        <w:sectPr>
          <w:headerReference r:id="rId3" w:type="default"/>
          <w:footerReference r:id="rId4" w:type="default"/>
          <w:pgSz w:w="11905" w:h="16838"/>
          <w:pgMar w:top="1440" w:right="1797" w:bottom="1440" w:left="1797" w:header="851" w:footer="992" w:gutter="0"/>
          <w:pgNumType w:fmt="decimal"/>
          <w:cols w:space="0" w:num="1"/>
          <w:rtlGutter w:val="0"/>
          <w:docGrid w:linePitch="312" w:charSpace="0"/>
        </w:sectPr>
      </w:pPr>
    </w:p>
    <w:p>
      <w:pPr>
        <w:rPr>
          <w:rFonts w:hint="eastAsia"/>
          <w:color w:val="auto"/>
          <w:lang w:eastAsia="zh-CN"/>
        </w:rPr>
      </w:pPr>
    </w:p>
    <w:p>
      <w:pPr>
        <w:pStyle w:val="2"/>
        <w:ind w:left="0" w:leftChars="0" w:firstLine="0" w:firstLineChars="0"/>
        <w:jc w:val="center"/>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资格审查表（第</w:t>
      </w:r>
      <w:r>
        <w:rPr>
          <w:rFonts w:hint="eastAsia" w:ascii="微软雅黑" w:hAnsi="微软雅黑" w:eastAsia="微软雅黑" w:cs="微软雅黑"/>
          <w:color w:val="auto"/>
          <w:sz w:val="28"/>
          <w:szCs w:val="28"/>
          <w:lang w:val="en-US" w:eastAsia="zh-CN"/>
        </w:rPr>
        <w:t>1-4包</w:t>
      </w:r>
      <w:r>
        <w:rPr>
          <w:rFonts w:hint="eastAsia" w:ascii="微软雅黑" w:hAnsi="微软雅黑" w:eastAsia="微软雅黑" w:cs="微软雅黑"/>
          <w:color w:val="auto"/>
          <w:sz w:val="28"/>
          <w:szCs w:val="28"/>
          <w:lang w:eastAsia="zh-CN"/>
        </w:rPr>
        <w:t>）</w:t>
      </w:r>
    </w:p>
    <w:tbl>
      <w:tblPr>
        <w:tblStyle w:val="26"/>
        <w:tblW w:w="15029"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3212"/>
        <w:gridCol w:w="915"/>
        <w:gridCol w:w="1103"/>
        <w:gridCol w:w="1204"/>
        <w:gridCol w:w="733"/>
        <w:gridCol w:w="1174"/>
        <w:gridCol w:w="1282"/>
        <w:gridCol w:w="994"/>
        <w:gridCol w:w="720"/>
        <w:gridCol w:w="823"/>
        <w:gridCol w:w="647"/>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12160" w:type="dxa"/>
            <w:gridSpan w:val="10"/>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r>
              <w:rPr>
                <w:rFonts w:hint="eastAsia" w:ascii="微软雅黑" w:hAnsi="微软雅黑" w:eastAsia="微软雅黑" w:cs="微软雅黑"/>
                <w:color w:val="auto"/>
                <w:u w:val="none"/>
                <w:vertAlign w:val="baseline"/>
                <w:lang w:eastAsia="zh-CN"/>
              </w:rPr>
              <w:t>审查项目</w:t>
            </w:r>
          </w:p>
        </w:tc>
        <w:tc>
          <w:tcPr>
            <w:tcW w:w="647"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r>
              <w:rPr>
                <w:rFonts w:hint="eastAsia" w:ascii="微软雅黑" w:hAnsi="微软雅黑" w:eastAsia="微软雅黑" w:cs="微软雅黑"/>
                <w:color w:val="auto"/>
                <w:u w:val="none"/>
                <w:vertAlign w:val="baseline"/>
                <w:lang w:eastAsia="zh-CN"/>
              </w:rPr>
              <w:t>结论</w:t>
            </w:r>
          </w:p>
        </w:tc>
        <w:tc>
          <w:tcPr>
            <w:tcW w:w="960"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r>
              <w:rPr>
                <w:rFonts w:hint="eastAsia" w:ascii="微软雅黑" w:hAnsi="微软雅黑" w:eastAsia="微软雅黑" w:cs="微软雅黑"/>
                <w:color w:val="auto"/>
                <w:u w:val="none"/>
                <w:vertAlign w:val="baseline"/>
                <w:lang w:eastAsia="zh-CN"/>
              </w:rPr>
              <w:t>供应商签字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26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r>
              <w:rPr>
                <w:rFonts w:hint="eastAsia" w:ascii="微软雅黑" w:hAnsi="微软雅黑" w:eastAsia="微软雅黑" w:cs="微软雅黑"/>
                <w:color w:val="auto"/>
                <w:u w:val="none"/>
                <w:vertAlign w:val="baseline"/>
                <w:lang w:val="en-US" w:eastAsia="zh-CN"/>
              </w:rPr>
              <w:t>供应商</w:t>
            </w:r>
          </w:p>
        </w:tc>
        <w:tc>
          <w:tcPr>
            <w:tcW w:w="321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w:t>
            </w:r>
          </w:p>
        </w:tc>
        <w:tc>
          <w:tcPr>
            <w:tcW w:w="915"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eastAsia="zh-CN"/>
              </w:rPr>
              <w:t>具有有效的营业执照</w:t>
            </w:r>
          </w:p>
        </w:tc>
        <w:tc>
          <w:tcPr>
            <w:tcW w:w="110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val="en-US" w:eastAsia="zh-CN"/>
              </w:rPr>
              <w:t>提供有效的《医疗器械生产许可证》或《医疗器械经营许可证》（所提供设备为二类医疗器械的须提供二类医疗器械备案凭证）</w:t>
            </w:r>
          </w:p>
        </w:tc>
        <w:tc>
          <w:tcPr>
            <w:tcW w:w="1204"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val="en-US" w:eastAsia="zh-CN"/>
              </w:rPr>
              <w:t>法人投标需提供法人身份证明及身份证原件，被授权委托人需提供法人授权委托书及身份证原件</w:t>
            </w:r>
          </w:p>
        </w:tc>
        <w:tc>
          <w:tcPr>
            <w:tcW w:w="73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eastAsia="zh-CN"/>
              </w:rPr>
              <w:t>提供本单位依法缴纳近三个月（</w:t>
            </w:r>
            <w:r>
              <w:rPr>
                <w:rFonts w:hint="eastAsia" w:ascii="微软雅黑" w:hAnsi="微软雅黑" w:eastAsia="微软雅黑" w:cs="微软雅黑"/>
                <w:b w:val="0"/>
                <w:bCs w:val="0"/>
                <w:color w:val="auto"/>
                <w:sz w:val="22"/>
                <w:szCs w:val="22"/>
                <w:u w:val="none"/>
                <w:vertAlign w:val="baseline"/>
                <w:lang w:val="en-US" w:eastAsia="zh-CN"/>
              </w:rPr>
              <w:t>7</w:t>
            </w:r>
            <w:r>
              <w:rPr>
                <w:rFonts w:hint="eastAsia" w:ascii="微软雅黑" w:hAnsi="微软雅黑" w:eastAsia="微软雅黑" w:cs="微软雅黑"/>
                <w:b w:val="0"/>
                <w:bCs w:val="0"/>
                <w:color w:val="auto"/>
                <w:sz w:val="22"/>
                <w:szCs w:val="22"/>
                <w:u w:val="none"/>
                <w:vertAlign w:val="baseline"/>
                <w:lang w:eastAsia="zh-CN"/>
              </w:rPr>
              <w:t>月至</w:t>
            </w:r>
            <w:r>
              <w:rPr>
                <w:rFonts w:hint="eastAsia" w:ascii="微软雅黑" w:hAnsi="微软雅黑" w:eastAsia="微软雅黑" w:cs="微软雅黑"/>
                <w:b w:val="0"/>
                <w:bCs w:val="0"/>
                <w:color w:val="auto"/>
                <w:sz w:val="22"/>
                <w:szCs w:val="22"/>
                <w:u w:val="none"/>
                <w:vertAlign w:val="baseline"/>
                <w:lang w:val="en-US" w:eastAsia="zh-CN"/>
              </w:rPr>
              <w:t>9</w:t>
            </w:r>
            <w:r>
              <w:rPr>
                <w:rFonts w:hint="eastAsia" w:ascii="微软雅黑" w:hAnsi="微软雅黑" w:eastAsia="微软雅黑" w:cs="微软雅黑"/>
                <w:b w:val="0"/>
                <w:bCs w:val="0"/>
                <w:color w:val="auto"/>
                <w:sz w:val="22"/>
                <w:szCs w:val="22"/>
                <w:u w:val="none"/>
                <w:vertAlign w:val="baseline"/>
                <w:lang w:eastAsia="zh-CN"/>
              </w:rPr>
              <w:t>月）的社保证明</w:t>
            </w:r>
          </w:p>
        </w:tc>
        <w:tc>
          <w:tcPr>
            <w:tcW w:w="1174"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val="en-US" w:eastAsia="zh-CN"/>
              </w:rPr>
              <w:t>提供税务部门出具近三个月（6月至8月）的完税证明（依法免缴的应提供依法免缴的相关证明文件或零申报报表）</w:t>
            </w:r>
          </w:p>
        </w:tc>
        <w:tc>
          <w:tcPr>
            <w:tcW w:w="1282"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val="en-US" w:eastAsia="zh-CN"/>
              </w:rPr>
              <w:t>提供2021年的财务审计报告（2022年新成立公司需提供近三个月（7月至9月）内的银行资信证明）</w:t>
            </w:r>
          </w:p>
        </w:tc>
        <w:tc>
          <w:tcPr>
            <w:tcW w:w="994"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eastAsia="zh-CN"/>
              </w:rPr>
              <w:t>参加政府采购活动前3年内在经营活动中没有重大违法记录的书面声明</w:t>
            </w:r>
          </w:p>
        </w:tc>
        <w:tc>
          <w:tcPr>
            <w:tcW w:w="720"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eastAsia="zh-CN"/>
              </w:rPr>
              <w:t>提供针对本次项目的反商业贿赂承诺书</w:t>
            </w:r>
          </w:p>
        </w:tc>
        <w:tc>
          <w:tcPr>
            <w:tcW w:w="82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r>
              <w:rPr>
                <w:rFonts w:hint="eastAsia" w:ascii="微软雅黑" w:hAnsi="微软雅黑" w:eastAsia="微软雅黑" w:cs="微软雅黑"/>
                <w:b w:val="0"/>
                <w:bCs w:val="0"/>
                <w:color w:val="auto"/>
                <w:sz w:val="22"/>
                <w:szCs w:val="22"/>
                <w:u w:val="none"/>
                <w:vertAlign w:val="baseline"/>
                <w:lang w:eastAsia="zh-CN"/>
              </w:rPr>
              <w:t>持投标保证金有效凭证</w:t>
            </w:r>
          </w:p>
        </w:tc>
        <w:tc>
          <w:tcPr>
            <w:tcW w:w="647"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p>
        </w:tc>
        <w:tc>
          <w:tcPr>
            <w:tcW w:w="960"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6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321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915"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110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1204"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73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1174"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1282"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994"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72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82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647"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c>
          <w:tcPr>
            <w:tcW w:w="960"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3212"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915"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1103"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1204"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733"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1174"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1282"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994"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720"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823"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647"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c>
          <w:tcPr>
            <w:tcW w:w="960"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u w:val="none"/>
                <w:vertAlign w:val="baseline"/>
                <w:lang w:eastAsia="zh-CN"/>
              </w:rPr>
            </w:pPr>
          </w:p>
        </w:tc>
      </w:tr>
    </w:tbl>
    <w:p>
      <w:pPr>
        <w:pStyle w:val="2"/>
        <w:numPr>
          <w:ilvl w:val="0"/>
          <w:numId w:val="0"/>
        </w:numPr>
        <w:ind w:firstLine="240" w:firstLineChars="100"/>
        <w:rPr>
          <w:rFonts w:hint="eastAsia" w:ascii="微软雅黑" w:hAnsi="微软雅黑" w:eastAsia="微软雅黑" w:cs="微软雅黑"/>
          <w:b/>
          <w:bCs/>
          <w:color w:val="auto"/>
          <w:szCs w:val="24"/>
          <w:highlight w:val="none"/>
        </w:rPr>
      </w:pPr>
      <w:r>
        <w:rPr>
          <w:rFonts w:hint="eastAsia" w:ascii="微软雅黑" w:hAnsi="微软雅黑" w:eastAsia="微软雅黑" w:cs="微软雅黑"/>
          <w:color w:val="auto"/>
          <w:lang w:eastAsia="zh-CN"/>
        </w:rPr>
        <w:t>提示：</w:t>
      </w:r>
      <w:r>
        <w:rPr>
          <w:rFonts w:hint="eastAsia" w:ascii="微软雅黑" w:hAnsi="微软雅黑" w:eastAsia="微软雅黑" w:cs="微软雅黑"/>
          <w:b/>
          <w:bCs/>
          <w:color w:val="auto"/>
          <w:kern w:val="2"/>
          <w:sz w:val="22"/>
          <w:szCs w:val="22"/>
          <w:lang w:val="en-US" w:eastAsia="zh-CN" w:bidi="ar-SA"/>
        </w:rPr>
        <w:t>提示：1、“提供税务部门出具近三个月的完税证明”：完税证明中“税种”非养老保险、医疗保险、失业保险、工伤保险和生育保险。请各投标供应商注意！</w:t>
      </w:r>
    </w:p>
    <w:p>
      <w:pPr>
        <w:pStyle w:val="5"/>
        <w:rPr>
          <w:rFonts w:hint="eastAsia" w:ascii="微软雅黑" w:hAnsi="微软雅黑" w:eastAsia="微软雅黑" w:cs="微软雅黑"/>
          <w:color w:val="auto"/>
          <w:lang w:eastAsia="zh-CN"/>
        </w:rPr>
        <w:sectPr>
          <w:pgSz w:w="16838" w:h="11905" w:orient="landscape"/>
          <w:pgMar w:top="1797" w:right="1440" w:bottom="1797" w:left="1440" w:header="851" w:footer="992" w:gutter="0"/>
          <w:pgNumType w:fmt="decimal"/>
          <w:cols w:space="0" w:num="1"/>
          <w:rtlGutter w:val="0"/>
          <w:docGrid w:linePitch="312" w:charSpace="0"/>
        </w:sectPr>
      </w:pPr>
    </w:p>
    <w:p>
      <w:pPr>
        <w:numPr>
          <w:ilvl w:val="0"/>
          <w:numId w:val="7"/>
        </w:numPr>
        <w:spacing w:line="400" w:lineRule="exact"/>
        <w:ind w:left="0" w:leftChars="0" w:firstLine="0" w:firstLineChars="0"/>
        <w:jc w:val="center"/>
        <w:outlineLvl w:val="0"/>
        <w:rPr>
          <w:rFonts w:hint="eastAsia" w:ascii="微软雅黑" w:hAnsi="微软雅黑" w:eastAsia="微软雅黑" w:cs="微软雅黑"/>
          <w:b/>
          <w:bCs/>
          <w:color w:val="auto"/>
          <w:sz w:val="32"/>
          <w:szCs w:val="32"/>
          <w:highlight w:val="none"/>
          <w:lang w:val="en-US" w:eastAsia="zh-CN"/>
        </w:rPr>
      </w:pPr>
      <w:bookmarkStart w:id="845" w:name="_Toc12897"/>
      <w:r>
        <w:rPr>
          <w:rFonts w:hint="eastAsia" w:ascii="微软雅黑" w:hAnsi="微软雅黑" w:eastAsia="微软雅黑" w:cs="微软雅黑"/>
          <w:b/>
          <w:bCs/>
          <w:color w:val="auto"/>
          <w:kern w:val="44"/>
          <w:sz w:val="32"/>
          <w:szCs w:val="32"/>
        </w:rPr>
        <w:t>货物需求一览表及技术规格</w:t>
      </w:r>
      <w:bookmarkEnd w:id="845"/>
    </w:p>
    <w:p>
      <w:pPr>
        <w:bidi w:val="0"/>
        <w:rPr>
          <w:rFonts w:hint="eastAsia" w:ascii="Times New Roman" w:hAnsi="Times New Roman" w:eastAsia="宋体" w:cs="Times New Roman"/>
          <w:kern w:val="2"/>
          <w:sz w:val="21"/>
          <w:szCs w:val="21"/>
          <w:lang w:val="en-US" w:eastAsia="zh-CN" w:bidi="ar-SA"/>
        </w:rPr>
      </w:pPr>
    </w:p>
    <w:p>
      <w:pPr>
        <w:bidi w:val="0"/>
        <w:rPr>
          <w:rFonts w:hint="eastAsia"/>
          <w:lang w:val="en-US" w:eastAsia="zh-CN"/>
        </w:rPr>
      </w:pPr>
    </w:p>
    <w:p>
      <w:pPr>
        <w:numPr>
          <w:ilvl w:val="0"/>
          <w:numId w:val="8"/>
        </w:numPr>
        <w:spacing w:line="240" w:lineRule="atLeast"/>
        <w:jc w:val="both"/>
        <w:outlineLvl w:val="9"/>
        <w:rPr>
          <w:rFonts w:hint="eastAsia" w:ascii="微软雅黑" w:hAnsi="微软雅黑" w:eastAsia="微软雅黑" w:cs="微软雅黑"/>
          <w:b/>
          <w:bCs/>
          <w:color w:val="auto"/>
          <w:sz w:val="28"/>
          <w:szCs w:val="28"/>
          <w:highlight w:val="none"/>
          <w:lang w:val="en-US" w:eastAsia="zh-CN"/>
        </w:rPr>
      </w:pPr>
      <w:r>
        <w:rPr>
          <w:rFonts w:hint="eastAsia" w:ascii="微软雅黑" w:hAnsi="微软雅黑" w:eastAsia="微软雅黑" w:cs="微软雅黑"/>
          <w:b/>
          <w:bCs/>
          <w:color w:val="auto"/>
          <w:sz w:val="28"/>
          <w:szCs w:val="28"/>
          <w:highlight w:val="none"/>
          <w:lang w:val="en-US" w:eastAsia="zh-CN"/>
        </w:rPr>
        <w:t>货物需求</w:t>
      </w:r>
    </w:p>
    <w:tbl>
      <w:tblPr>
        <w:tblStyle w:val="25"/>
        <w:tblW w:w="138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
        <w:gridCol w:w="433"/>
        <w:gridCol w:w="717"/>
        <w:gridCol w:w="566"/>
        <w:gridCol w:w="517"/>
        <w:gridCol w:w="1200"/>
        <w:gridCol w:w="10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886"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喀什中医医院感染科楼设备采购明细表</w:t>
            </w:r>
            <w:r>
              <w:rPr>
                <w:rFonts w:hint="eastAsia" w:ascii="宋体" w:hAnsi="宋体" w:cs="宋体"/>
                <w:b/>
                <w:bCs/>
                <w:i w:val="0"/>
                <w:iCs w:val="0"/>
                <w:color w:val="000000"/>
                <w:kern w:val="0"/>
                <w:sz w:val="36"/>
                <w:szCs w:val="36"/>
                <w:u w:val="none"/>
                <w:lang w:val="en-US" w:eastAsia="zh-CN" w:bidi="ar"/>
              </w:rPr>
              <w:t xml:space="preserve"> 第</w:t>
            </w:r>
            <w:r>
              <w:rPr>
                <w:rFonts w:hint="eastAsia" w:ascii="宋体" w:hAnsi="宋体" w:eastAsia="宋体" w:cs="宋体"/>
                <w:b/>
                <w:bCs/>
                <w:i w:val="0"/>
                <w:iCs w:val="0"/>
                <w:color w:val="000000"/>
                <w:kern w:val="0"/>
                <w:sz w:val="36"/>
                <w:szCs w:val="36"/>
                <w:u w:val="none"/>
                <w:lang w:val="en-US" w:eastAsia="zh-CN" w:bidi="ar"/>
              </w:rPr>
              <w:t>1包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包号</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名称规格</w:t>
            </w:r>
          </w:p>
        </w:tc>
        <w:tc>
          <w:tcPr>
            <w:tcW w:w="10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第</w:t>
            </w:r>
            <w:r>
              <w:rPr>
                <w:rFonts w:hint="eastAsia" w:ascii="宋体" w:hAnsi="宋体" w:eastAsia="宋体" w:cs="宋体"/>
                <w:i w:val="0"/>
                <w:iCs w:val="0"/>
                <w:color w:val="000000"/>
                <w:kern w:val="0"/>
                <w:sz w:val="20"/>
                <w:szCs w:val="20"/>
                <w:u w:val="none"/>
                <w:lang w:val="en-US" w:eastAsia="zh-CN" w:bidi="ar"/>
              </w:rPr>
              <w:t>1包</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影像特检</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数字化X射线摄像系统(DR)</w:t>
            </w:r>
          </w:p>
        </w:tc>
        <w:tc>
          <w:tcPr>
            <w:tcW w:w="10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1平板探测器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 探测器类型：碘化铯+非晶硅平板探测器，要求平板探测器与主机为同一品牌，提供第三方证明文件。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1.2有线平板探测器尺寸：≥14寸 × 17寸（单平板探测器）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 结构：整板，非拼接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 最小像素（μm）≤140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探测器空间分辨率（lp/mm）：≥3.6，提供检验报告证明。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 模数转换器（bit):≥16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 图像预览时间(s):≤3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 探测器便携可移，满足立式胸片拍摄与卧式床片拍摄之间快速转换的需求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 探测器可移动、抗压、抗摔，能够满足应力状态下的拍片需求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 平板探测器重量≤3.5kg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 高压发生器采用隐藏式结构内置于诊断床体内，不接受单独放置在床体外的结构，提供证明文件。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超高频高压发生器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 高频逆变式高压发生器≥400KHz，提供证明文件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  标称功率（KW）≥50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 最大输出电压（kV）≥150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 最小输出电流（mA）≤10mA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 最大电流时间积的调节（mAs）≥500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 最短曝光时间（ms）≤1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 最小时间电流积≤0.1mAs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X线球管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 最大功率（kW）≥30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 小焦点尺寸（mm）≤0.6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 大焦点尺寸（mm）≤1.2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  阳极热容量（kHU）≥230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  阳极转速（rpm）≥3000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 球管靶角≥12°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遮光器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 最大照射野（cm）≥43×43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X线球管支撑装置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 球管支架结构：立柱式 ，非U/UC臂机架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 立柱及轨道与拍片床为一体化坦克链设计，安装及移动便捷，提供证明文件。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 立柱可沿轨道纵向移动，移动范围（mm）≥1700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 球管支撑臂可沿立柱上下移动，移动范围（mm）≥1200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 球管支撑臂沿立柱旋转≥±180°，在轮椅病人和担架病人不搬动的状况下对原生体位能直接进行投照，避免二次损伤。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固定式浮动患者台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  固定式摄影床，脚踏电磁解锁床面四方浮动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 床面纵向移动（mm）≥900，满足全身检查需要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 床面横向移动（mm）≥240，满足全身检查需要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 床面可四向浮动，可电磁锁定</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 承重（kg）≥180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 标配滤线栅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 栅比≥8:1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 栅焦距SID（mm）≥1000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 立式摄影架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 探测器片盒纵向移动范围距（mm）：1400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  固定滤线栅尺寸≥470×450mm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 栅焦距SID（mm）≥1000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 图像采集工作站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 控制台配置，可控制X线发生器、病人资料处理、图像显示及图像传输等，配备最新版本的专业DR处理软件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 符合国家儿童摄影标准要求，提供证明文件。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8.2.1 一体化工作站，各功能非模块设计。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 一键开关机控制盒：具备一键开关机功能，使医生开关机操作更加方便，同时保护机器及病人数据的安全。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 云端轻会诊功能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8.4.1适用多种终端，包括台式计算机，笔记本电脑，平板电脑，智能手机等，提供证明文件。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8.4.2具备建立多人离线交流群组，且支持离线DICOM图像上传和下载。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8.4.3剧本上传本地文件（包括但不限于图像、视频、文本文件等）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8.4.4可提供不同用户针对单一病例的诊断讨论及评论功能，可在病例图像实时显示评论数量，可随时查看评论内容，提供证明文件。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8.4.5支持录发语音功能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8.4.6支持多种查询条件组合查询功能（上传者、病人姓名、检查类型、检查时间、标签等）。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8.4.7支持隐藏病人信息功能。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8.4.8支持智能移动终端的APP应用。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8.4.9支持文件分享功能，图像和视频文件可以直接分享到微信等软件，并可通过链接直接查看DR图像。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8.4.10支持医生建立讨论群组探讨病例的图像功能。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8.4.11支持用户及群组管理功能。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8.4.12支持添加好友功能，支持精确查找和模糊查找两种方式查找好友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8.5操作系统：Windows，全中文操作界面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 硬件配置：CPU≥3.2GHz，内存容量≥4G，硬盘容量≥1T，液晶显示器：≥23″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 病人数据输入：鼠标、键盘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 具备DAP剂量检测功能，提供加盖制造公章证明文件。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 配有标准DICOM3.0输入输出接口，具有DICOM打印、存储、一体化光盘刻录、传输和获取以及Worklist功能。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8.10 具备患者信息登记、编辑功能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8.11 具备曝光参数调节功能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8.12 具备3D投照体位示意图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8.13图像显示/查看/处理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8.14胶片打印排版</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8.15图像删除原因统计功能等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移动CT（16排含方舱）</w:t>
            </w:r>
          </w:p>
        </w:tc>
        <w:tc>
          <w:tcPr>
            <w:tcW w:w="10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机架系统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 滑环类型 低压滑环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 驱动方式 皮钢带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 机架孔径 ≥70cm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 机架倾斜 数字倾斜，倾斜角度≥±30°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 冷却方式 风冷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 探测器类型 固态稀土陶瓷探测器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 探测器Z轴排列数 ≥16排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 探测器Z轴宽度 ≥20mm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 每排探测器单元数量 ≥840个/排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 探测器单元总数 ≥13500个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 采样率 ≥4800views/圈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 球管焦点到探测器的距离 ≤96cm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 机架信息显示屏尺寸 ≥13吋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 三维激光定位系统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 机架一体化病人呼吸图形和语音提示系统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 智能休眠节能运行技术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扫描床系统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 扫描床垂直移动范围 ≥500mm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 扫描床水平移动范围 ≥185cm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 扫描床水平可扫描范围 ≥180cm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 最大水平移动速度 ≥150mm/s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 最小水平移床速度 ≤0.5mm/s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 扫描床水平移动精度 ≤±0.25mm（最大承重）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 扫描床最大承重 ≥205kg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 扫描床附件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 扫描床控制脚踏开关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 扫描床无线遥控器 提供，可隔室操作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 X线球管及高压发生器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3.01 球管阳极物理热容量（100%效率，非等效值） ≥3.5MHU</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3.02 球管阳极最大散热率 ≥735KHU/min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3.03 发生器功率（非等效值） ≥42kW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 最大球管电压 ≥140kV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3.05 最小球管电压 ≤70kV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3.06 最大球管电流（非等效值） ≥350mA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3.07 最小球管电流（非等效值） ≤10mA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 球管大焦点 ≤1.7mm2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3.09 球管小焦点 ≤0.6mm2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 球管焦点到等中心距离 ≤55cm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 球管冷却方式 油冷+风冷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主控制台计算机系统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4.01 CPU主频 ≥3.0GHz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4.02 计算机内存 ≥32GB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4.03 计算机硬盘容量 ≥2.0TB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4.04 显卡 ≥6GB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 显示器尺寸 ≥24吋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4.06 显示器分辨率 ≥1920×1200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4.07 图像重建速度（512×512矩阵） ≥30幅/秒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 标准键盘鼠标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4.09 DVD光盘刻录系统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 USB数据导出功能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4.11 标准DICOM3.0接口 具备，同时具备以下功能：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发送／接收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查询／检索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基本打印功能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网络接口(HIS／RIS)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4.12 自动语言提示功能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4.13 自动照相功能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4.14 DICOM Modality Worklist功能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4.15 激光相机接口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 计算机用不间断电源（UPS） 提供，要求供电时间≥30分钟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4.17 大幅度降低扫描剂量的全新迭代重建技术 提供（说明应用该迭代技术后剂量降低比例）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扫描参数和图像质量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5.01 每圈扫描层数 ≥32层/360°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 每圈最短扫描时间 ≤0.75s/360°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5.03 扫描速度可选范围 ≥6种，提供具体扫描速度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5.04 最薄图像层厚 ≤0.625mm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5.05 最大扫描视野 ≥50cm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5.06 最小扫描视野 ≤1cm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5.07 定位扫描最大长度 ≥180cm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5.08 定位扫描宽度 ≥50cm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5.09 最大螺距 ≥1.8</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5.10 单次螺旋连续最长扫描时间 ≥120s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5.11 扫描模式 定位像扫描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轴位扫描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螺旋扫描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电影扫描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5.12 图像重建矩阵 ≥1024×1024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5.13 高对比度分辨率（空间分辨率） ≥21lp/cm@0%MTF</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5.14 低对比度分辨率（密度分辨率） ≤2mm@0.3%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5.15 CT值范围 ≥-32700~+32700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5.16 噪声 ≤0.27%</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主要应用软件和成像技术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6.01 射线硬化伪影抑制技术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6.02 骨性伪影抑制技术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6.03 金属伪影抑制技术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 高级图像降噪技术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6.05 后颅窝图像优化技术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6.06 管电流自动调控技术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6.07 儿童专用的扫描协议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6.08 低剂量扫描技术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6.09 CT图像减影功能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 CT电影显示功能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6.11 多平面重建（MPR）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 曲面重建（CPR）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6.13 表面遮盖（SSD）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6.14 三维容积重建（VR）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 最大密度投影（MIP）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6.16 最小密度投影（MinIP）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6.17 仿真内窥镜（VE）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6.18 CT血管造影（CTA）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6.19 造影剂自动跟踪技术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6.20 模拟手术刀功能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6.21 一键式容积重建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6.22 一键式去骨功能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6.23 一键去床板功能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 三维容积测量评估功能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6.25 用户自定义彩色编码方案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6.26 组织漫游技术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6.27 显微成像技术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6.28 头部灰白质增强技术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6.29 内耳高分辨成像技术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 肺部高分辨成像技术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6.31 体部高分辨成像技术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6.32 骨骼高分辨成像技术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高级图像后处理工作站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7.01 CPU主频 ≥3.6GHz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7.02 计算机内存 ≥32GB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7.03 计算机硬盘容量 ≥4.0TB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7.04 显卡 ≥8GB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 显示器尺寸 ≥24吋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7.06 显示器分辨率 ≥1920×1200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7.07 光驱DVD-RW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7.08 标准键盘、鼠标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7.09 病人管理模块（病人查询、常用工具、病人信息导入、图像数据网络传输）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 图像浏览模块（图像浏览、图像分析、测量工具）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7.11 3D图像后处理（MPR、MPVR、CPR、SSD、VR、MIP、MinIP、AIP、VE、一键去床板、一键去骨）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7.12 肺结节分析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7.13 脑出血分析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7.14 肺炎分析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7.15 齿科分析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7.16 高级血管分析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7.17 高级脊柱分析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 脑灌注分析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7.19 非门控钙化积分分析 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 方舱舱体技术要求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方舱防护等级要求：≥4mmPb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方舱尺寸：≥9000mm×3000mm×2800mm（长×宽×高）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配电系统：2个，保证输入 380V，输出 380V 配电箱 1 个，输出 220V 配电箱 1 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遮阳棚：提供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医患独立通道：提供，提供样图证明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扫描间净面积：≤17.8m2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 扫描间患者出入防护门：电动防护门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 扫描间患者出入防护门尺寸：≥1700mm×2000mm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 扫描间机房消毒方式：2种及以上，详细描述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 扫描间机房紫外线消毒灯：≥2盏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 扫描间机房空气消毒器：≥1套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 扫描间机房空调系统：≥3P</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 扫描间机房监控系统：提供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 操作间与扫描间通道门：≥800mm×2000mm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操作间医生出入门尺寸：≥900mm×2000mm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 操作间窗户尺寸：≥600mm×500mm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 操作间铅玻璃系统：≥800mm×600mm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 操作间消毒方式：2种以上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 操作间紫外线消毒灯：≥1盏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 操作间空气消毒器：≥1套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 操作间空调系统：≥1.5 P</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 操作间医生操作台、操作椅：≥1套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 五孔插座：≥8个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 检修通道防护平开门：≥800mm×2000mm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 照明灯数量：≥5个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常规心电图，包括工作站</w:t>
            </w:r>
          </w:p>
        </w:tc>
        <w:tc>
          <w:tcPr>
            <w:tcW w:w="10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一、基本要求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 本机须同时具备心电信号采集与热敏打印功能，不接受心电采集盒类产品。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 同屏显示，同步采集，同步热敏记录12道心电波形。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 显示屏≥9.5英寸，屏幕亮度可调，支持背景网格显示，支持全屏触控操作。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 本机具有一体化标准物理全键盘设计，支持拼音、五笔等输入法，方便信息输入。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患者信息录入：支持手动输入，条码枪、磁卡读卡器读取，WORKLIST快速下载排队预约的患者信息3种方式。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 本机支持有线和无线联网。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 本机支持心电数据传输，可实现将本机采集的心电数据直接上传至心电网络平台。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 支持PDF、PNG、HL7、XML、DICOM数据格式。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 支持FTP、HTTP、SAMBA传输协议。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二、性能要求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 A/D转换：24bit。(提供注册检验报告证明)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  采样率：≥30000Hz。(提供注册检验报告证明)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  频率响应：0.01Hz ~ 350Hz。(提供注册检验报告证明)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  内部噪声：≤15µVp-p。</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  时间常数：≥3.2 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  耐极化电压：±910mV。(提供注册检验报告证明)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  输入电流：≤0.01μA。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  抗干扰滤波：具有交流、肌电、漂移和高频截止滤波器。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  具备自适应工频滤波技术，有效去除干扰，改善心电信号质量。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  除颤保护：机器和导联线具有抗除颤电击保护功能。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三、功能要求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  ECG输入通道：标准12导联心电信号同步采集。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  导联选择：手动/自动可选，支持标准威尔逊、Cabrera导联体系，同时具备导联标识自定义功能。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  采集时间设置：波形实时采集和冻结时长均可达60s，同时可进行两页、三页、四页紧凑版热敏打印格式。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  支持实时采样、预采样、触发采样模式，支持节律分析。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  可同屏显示12导同步心电波形，同时支持3*4、3*4+1R、3*4+3R、6*2、6*2+1R、6*2+3R、12*1等多种显示布局。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  屏幕显示信息：心电波形、时间、心率、ID、工作状态、导联脱落信息、联网状态信息、外接设备状态信息等。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 自动异常报警功能：可自动对异常心率、导联脱落、外设连接、高频信号干扰情况进行实时监测报警。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 支持起搏检测功能。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 热敏打印布局：3*4、3*4+1R、3*4+3R、6*2、6*2+1R、6*2+3R、12*1。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 热敏记录纸：折叠纸。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 设备内置存储器，本机可存储病历≥1000例，存储满后机器可循环存储。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 支持U盘、SD卡的扩容存储。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3.13支持U盘和SD卡直接导出PDF、PNG、HL7、DICOM等格式的报告。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3.14 支持波形冻结与波形浏览功能。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3.15支持报告打印预览功能。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 具有病历管理功能，可对存储的病历进行查询、浏览、修改、导出、传输、打印，方便医生调阅病人信息，并且支持病例重新编辑，具备病例模板与自定义病例模板的添加功能，方便医生在屏诊断时快速输入诊断结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  权限管理：可对设置权限进行密码管控，包含传输、纸速、增益、报告模板等设置。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四、电源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交直流两用且自动转换，电源要求100-240V（50/60Hz）， 内置锂电池充满电后可连续工作4小时以上。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五、配置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主机1台，导联线1条，肢电极4个，胸电极6个，热敏打印纸1本，电源线1根，接地线1根，其它必要辅件一套。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1.1、采集方式：12导联同步采集；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1.2、采样率： 32000样/秒；、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1.3、模数转换：12bits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1.4灵敏度选择：2.5、5、10、20、40mm/mV；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1.5、走纸速度：5、6.25、12.5、25、50 mm/s；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1.6、滤波器：滤波器交流：交流：50/60Hz（-20dB）；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漂移滤波0.05Hz～0.6Hz；肌电25 Hz /35Hz/45HZ/75Hz/100Hz/150Hz；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1.7、布局选项有：3×4、3×4+1、3×4+3、6×2、6×2+1、12×1。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1.8、操作系统：Windows 系列；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1.9、记录系统：激光打印A4纸报告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1.10、存储：可存储10万例以上心电图数据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1.11使用环境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温度：5～35℃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相对湿度：≤ 80％（无水凝）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大气压力：86kPa～106kPa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使用电源：220V±22V、50Hz±1Hz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1.12、输入导联：Wilson体系（12导联）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1.13、输入阻抗：≥ 2.5MΩ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1.14、频率响应：0.01-350Hz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1.15、时间常数：≥ 3.2s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1.16、耐极化电压：±900mV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1.17、等效噪声：≤ 15μV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1.18、共模抑制比：≥ 60dB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1.19、绝缘程度：I类CF型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软件功能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2.1、具有采集心电信号并能对心电信号进行时域、频域、空间域分析手段、完善的病案数据库管理系统，以及高分辨率图形、数据打印、传输为一体的心电信息分析仪器；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2.2、支持串口、有线、无线网络多种传输模式；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2.3、支持U盘导入、导出报告；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2.4、丰富的心电检查项目：标准十二导联心电图、向量心电图、时间向量心电图、心室晚电位、频谱心电、QT离散度以及节律分析等；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2.5、数据采集：同步十二导心电图采集，同屏显示，同时可自动测量、自动诊断心电波形，测量参数包括：心率、PR、QRS、QT、QTC等。；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2.6、诊断功能：具有全自动诊断功能，可为您提供准确的心电图诊断结果，同时可对病人信息、报告结论进行重新编辑、修改；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2.7、各导联心电波形的P波、QRS波和T波的起点和终点由分析程序自动定位，不需要医生手工定位，医生也可根据具体临床情况手动调整起点和终点；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病例管理：快捷和方便的患者病案数据库管理功能，可对存储的病例进行浏览、回放、病人信息和诊断结论的重新编辑以及打印；支持通过病人ID、姓名、诊断结果快速查询、浏览、、删除、打印病历报告，方便医生快速调出、查找、删除、修改以及更新病历数据信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2.9、丰富的报告单打印功能；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2.10、界面美观、操作简单、功能强大、完备的数据库管理系统；</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2.11、可接入网络进行远程会诊，适应现代化医院需求。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val="en-US" w:eastAsia="zh-CN"/>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便携式彩色多普勒超声机</w:t>
            </w:r>
          </w:p>
        </w:tc>
        <w:tc>
          <w:tcPr>
            <w:tcW w:w="10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一、货物名称：全数字化全身型便携式彩色多谱勒超声诊断系统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二、重点说明：腹部、外周血管、心脏、颅脑,的切换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三、系统技术规格及概述：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1.系统通用功能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15.6寸高清晰、医用专业彩色显示屏，可根据环境光变化自动调节亮度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探头接口1个，可扩展到3个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整机重量6.5kg（含电池）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1.4支持用户自定义按键数量≥4个，同一个自定义键支持≥4个功能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1.5支持英语，中文，法语等语种（包括键盘输入、注释、操作面板等）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1.6通过CE、FDA及SFDA认证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2.二维灰阶模式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2.1组织谐波成像模式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2.2组织特异性成像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2.3多角度空间复合成像技术，支持≥7条偏转线，多级可调，支持线阵和凸阵探头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2.4频率复合成像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2.5斑点噪声抑制成像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2.6回波增强技术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3.M型成像模式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3.1彩色M型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3.2解剖M型，取样线≥2条，可360度任意旋转，支持实时扫描以及离线重构M型图像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4.彩色多普勒成像（包括彩色、能量、方向能量多普勒模式）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4.1超宽动态血流技术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4.2高分辨率血流成像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4.3双实时同屏对比显示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4.4自动调节取样框的角度及位置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5.频谱多普勒成像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5.1脉冲多普勒、高脉冲重复频率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5.2连续多普勒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5.3智能多普勒自动优化频谱多普勒取样线角度，以及快速矫正取样角度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6.组织多普勒成像及定量分析单元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6.1支持TDI、TVI、TDI-PW、TDI-M四种模式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6.2专用的TDI速度、应变、应变率定量分析工具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6.3曲线解剖M型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7.组织追踪定量分析单元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7.1自动追踪心肌运动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7.2可分析6个心脏切面，提供速度、位移和应变率等测量参数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7.3参数分析结果用牛眼图显示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8.造影成像及定量分析单元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8.1用于腹部、浅表和微血管造影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8.2左室造影和心肌造影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8.3支持时间强度分析曲线和运动追踪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9.弹性成像及定量分析单元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.1组织硬度定量分析软件和压力曲线提示图标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.2支持应变率测量和肿块周边组织弹性定量分析（提供证明图片）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10.实时宽景成像，支持凸阵、线阵和相控阵探头，具有扫描速度提示功能方便用户操作，可360度旋转</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11.一键自动优化（包括应用于二维、彩色、频谱模式、TDI及造影）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12.图像放大技术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12.1一键实现全屏放大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10倍局部放大（支持前端、后端放大）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13.自动工作流协议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13.1可根据医生习惯自定义检查规范，减少重复操作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13.2自动打开彩色、频谱成像模式，自动添加体位图和注释，无需手动输入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14.穿刺针增强技术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14.1双屏实时对比显示增强前后效果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14.2增强平面角度可调，步进10°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15.超声教学助手，所投设备包括腹部、小器官、泌尿、神经等多个临床应用领域，能提供标准超声声像图、解剖示意图、手法图及扫查技巧提示等，并支持以上帮助信息区域的单窗口放大功能。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 测量分析和报告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1.1.常规测量，支持距离、椭圆、描迹测、体积、斜率等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2.多普勒测量（自动或手动包络测量，自动计算测量参数）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3.妇科/产科专用测量及分析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3.1含多胎测量、胎儿生理评分、中国人群产科公式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3.2自动产科测量（支持双顶径、头围、枕额径、股骨长、腹围）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3.3自动NT测量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4.心脏功能专用测量及分析，包括Simpson BP，Tei指数分析，PISA等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5.血管内中膜自动测量1，可同时进行血管前、后壁的内中膜一段距离的自动描记、自动生成测量数据结果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6.Auto EF射血分数自动测量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6.1自动识别左室舒张期切面和左室收缩期切面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6.2自动包络心内膜边界，自动计算左室舒张期容积、左室收缩期容积，左室射血分数EF以及每搏量SV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6.3支持心室容积随时间变化的容积变化曲线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7.儿科髋关节测量、神经测量和急重症测量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二、电影回放及原始数据处理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2.1.电影回放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1.1所有模式下支持手动、自动回放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1.2支持向后存储和向前存储，时间长度可预置，向后存储≥5分钟的电影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1.3支持保存后的图像同屏对比分析（动态、静态）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2.原始数据处理，可对回放图像进行≥20个参数调节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三、检查存储和管理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1.240G固态硬盘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2.内置超声工作站，支持同步存储，即后台存储或导出图像数据的同时前台可以完成实时扫描，不影响检查操作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3.支持直接一键存储至硬盘或U盘，突然关机或未结束检查关机资料不丢失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4.动态图像、静态图像以PC格式直接导出（支持单帧图像文件包含： DCM、TIFF、BMP、JPG单帧，电影文件包括：CIN、AVI、DCM），无需特殊软件即能在普通PC 机上直接观看图像。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 技术参数及要求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3.1.二维灰阶模式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1.1焦点：4个，动态可调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扫描频率：电子凸阵：超声频率1.3-6.0MHz，支持扩展成像；电子相控阵：超声频率1.5-5.0MHz，扫描角度≥90°；电子线阵：超声频率3.0-13MHz，支持扩展成像；电子凸阵经阴道：2.6-12.8MHz，扫描角度≥180°；新生儿相控阵探头：超声频率3.2-11.4MHz，扫描角度≥90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1.3最大显示深度:≥39cm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1.4TGC: ≥8段，LGC: ≥4段</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1.5动态范围: 30-190dB，可视可调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1.6增益调节: B/M/D分别独立可调，≥100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1.7伪彩图谱: ≥8种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1.8扫描帧率：相控阵探头18cm深，全视野二维帧频≥50帧/秒；凸阵探头18cm深，全视野二维帧频≥40帧/秒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2.彩色多普勒成像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2.1包括速度、速度方差、能量、方向能量显示等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2.2显示方式：B/C、B/C/M、B/POWER、B/C/PW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2.3取样框偏转: ≥±30度 (线阵探头)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2.4扫描帧率：相控阵探头18cm深，高线密度全视野彩色帧频≥4帧/秒；凸阵探头18cm深，高线密度全视野彩色帧频≥6帧/秒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2.5支持B/C 同宽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3.频谱多普勒模式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3.1显示控制：反转、零移位、B刷新、D扩展、B/D扩展等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3.2PW最大速度: ≥9.21m/s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3.3最小速度: ≤5mm/s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3.4取样容积: 0.5-20mm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3.5偏转角度: ≥±30度 (线阵探头)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3.6零位移动：≥8 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3.7快速角度校正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五、连通性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4.11.1参考信号:心电，呼吸波，心电触发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1.2数据接口:HDMI、USB3.0接口、音频接口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1.3支持数据无线传输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1.4支持DICOM3.0系统，可选配DICOM妇产科、心脏、血管、乳腺结构化报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1.5外设数据模块：包含S---视频、VGA视频接口、高清音视频接口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1.6专用台车：可升降、防盗锁模块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1.7具备可装卸探头扩展槽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1.8专用旅行箱，可装载主机、探头及相关备件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六、探头配置：凸阵探头*1、线阵探头*1、相控阵探头*1、经食道探头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七、备件、技术及维修服务，培训要求及其它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11.1备件要求：卖方应在用户当地或省会中心城市设置备件库，存入所有必须的备件，保证必要时可以及时供应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1.2技术及维修服务：在用户当地或省会中心城市，卖方应配置多名工程技术人员，随时提供开箱验货、安装、调试或维修等服务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1.3技术培训要求：在用户当地或省会中心城市，卖方应配置专业技术人员提供现场技术培训，保证使用人员正常操作设备的各种功能</w:t>
            </w:r>
          </w:p>
        </w:tc>
      </w:tr>
    </w:tbl>
    <w:p>
      <w:pPr>
        <w:spacing w:line="480" w:lineRule="exact"/>
        <w:outlineLvl w:val="1"/>
        <w:rPr>
          <w:rFonts w:hint="eastAsia" w:ascii="微软雅黑" w:hAnsi="微软雅黑" w:eastAsia="微软雅黑" w:cs="微软雅黑"/>
          <w:b/>
          <w:bCs/>
          <w:color w:val="auto"/>
          <w:sz w:val="32"/>
          <w:szCs w:val="32"/>
        </w:rPr>
      </w:pPr>
    </w:p>
    <w:p>
      <w:pPr>
        <w:pStyle w:val="2"/>
        <w:rPr>
          <w:rFonts w:hint="eastAsia"/>
        </w:rPr>
      </w:pPr>
    </w:p>
    <w:tbl>
      <w:tblPr>
        <w:tblStyle w:val="25"/>
        <w:tblW w:w="139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369"/>
        <w:gridCol w:w="734"/>
        <w:gridCol w:w="550"/>
        <w:gridCol w:w="516"/>
        <w:gridCol w:w="1217"/>
        <w:gridCol w:w="10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902"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喀什中医医院感染科楼设备采购明细表</w:t>
            </w:r>
            <w:r>
              <w:rPr>
                <w:rFonts w:hint="eastAsia" w:ascii="宋体" w:hAnsi="宋体" w:cs="宋体"/>
                <w:b/>
                <w:bCs/>
                <w:i w:val="0"/>
                <w:iCs w:val="0"/>
                <w:color w:val="000000"/>
                <w:kern w:val="0"/>
                <w:sz w:val="36"/>
                <w:szCs w:val="36"/>
                <w:u w:val="none"/>
                <w:lang w:val="en-US" w:eastAsia="zh-CN" w:bidi="ar"/>
              </w:rPr>
              <w:t xml:space="preserve"> 第</w:t>
            </w:r>
            <w:r>
              <w:rPr>
                <w:rFonts w:hint="eastAsia" w:ascii="宋体" w:hAnsi="宋体" w:eastAsia="宋体" w:cs="宋体"/>
                <w:b/>
                <w:bCs/>
                <w:i w:val="0"/>
                <w:iCs w:val="0"/>
                <w:color w:val="000000"/>
                <w:kern w:val="0"/>
                <w:sz w:val="36"/>
                <w:szCs w:val="36"/>
                <w:u w:val="none"/>
                <w:lang w:val="en-US" w:eastAsia="zh-CN" w:bidi="ar"/>
              </w:rPr>
              <w:t>2包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包号</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名称规格</w:t>
            </w:r>
          </w:p>
        </w:tc>
        <w:tc>
          <w:tcPr>
            <w:tcW w:w="10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第</w:t>
            </w:r>
            <w:r>
              <w:rPr>
                <w:rFonts w:hint="eastAsia" w:ascii="宋体" w:hAnsi="宋体" w:eastAsia="宋体" w:cs="宋体"/>
                <w:i w:val="0"/>
                <w:iCs w:val="0"/>
                <w:color w:val="000000"/>
                <w:kern w:val="0"/>
                <w:sz w:val="20"/>
                <w:szCs w:val="20"/>
                <w:u w:val="none"/>
                <w:lang w:val="en-US" w:eastAsia="zh-CN" w:bidi="ar"/>
              </w:rPr>
              <w:t>2包</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pcr实验室及检验</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低温冰柜300L（2℃-零下8℃）</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1.样式：立式。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2.容积：≥312L。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3.净重：≥86kg。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4.额定功率：≥245W。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5.气候类型：SN/N。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6.制冷方式：风冷。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7.箱内温度：2～8℃。</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8.工作条件：环境温度10～32℃，电源220V/50Hz。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9.外部尺寸（宽*深*高）：650*624*1902（mm）。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10.内部尺寸（宽*深*高）：559*458*1350（mm）。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11.外部材料：喷涂钢板。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12.内胆材料：PS吸塑内胆，防腐性能好。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13.隔热层：无CFC高密度聚氨酯发泡。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14.门体数量：1扇。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15.门体结构：双层中空钢化玻璃门，中间充惰性气体；带电加热膜，防止表面凝露，展示效果更佳。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16.网架：标配5层浸塑网架，搁架配有插卡槽，可调高度，带标识条。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17.脚轮：4个脚轮，其中2个万向轮带琐止设计，用户可根据需要移动箱体；带2个调平脚，可固定箱体。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18.测试孔：1个，方便安装温湿度记录仪。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19.冷凝器：外挂钢丝冷凝器。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20.蒸发器：吹胀式蒸发器。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21.风机类型：采用罩极风机。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22.制冷剂：采用碳氢制冷剂，节能环保。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23.压缩机：国际知名品牌压缩机，数量1个。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24.风道设计：循环风冷背吹技术，避免因储存物品的阻挡导致通风不畅或温度不均匀。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25.温度控制：微电脑控制系统，LED数码显示温度数据，可确保精确稳定的运行；精准的电子温度控制及显示，精度达到0.1℃。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26.显示方式：LED数码显示屏，可显示箱内温度及各种报警信息。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27.报警系统：高低温报警、传感器故障报警、断电报警、开关门异常报警。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28.报警方式：具备声音蜂鸣和灯光闪烁的报警方式。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29.电器安全：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（1）备用电池确保断电后报警≤48小时；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（2）温控器探头故障安全运行模式；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（3）键盘锁定、密码保护功能，防止随意调整运行参数；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断电保护：在恢复供电时，所有设备的同时启动会对电网造成较大冲击，从而可能导致断路器跳闸；针对这种情况特别设计的设备延时启动功能可使设备在恢复期间延时数分钟启动，使设备平稳的重新运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（5）宽电压带适用，可在187V～242V范围内正常使用。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30.特色功能：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（1）标配1个暗锁设计，防止开关门异常；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（2）内设LED冷光源照明灯，使箱体内部一目了然；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（3）标配1个测试孔，方便用户选配温湿度记录仪；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（4）冷凝水自蒸发设计；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（5）标配远程报警接口。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31.可选配件：温度记录仪、防水插座等。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32.资格凭证：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（1）医疗器械生产许可证；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（2）医疗器械注册证；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（3）ISO9001质量管理体系认证；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（4）ISO13485医疗器械质量管理体系认证；                                                                       （5）ISO14001环境管理体系认证；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（6）ISO45001职业健康安全管理体系认证。</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33.售后质保：整机质保三年。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常温冰柜200L（20℃-10℃）</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1.样式：立式。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2.容积：≥226L。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3.净重：≥73kg。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4.额定功率：≥140W。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5.耗电量：1.6kW.h/24h。</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6.气候类型：SN/N。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7.制冷方式：风冷。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8.箱内温度：8-20℃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9.工作条件：环境温度10～32℃，电源220V/50Hz。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10.外部尺寸（宽*深*高）：625*574*1707（mm）。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11.内部尺寸（宽*深*高）：534*406*1150（mm）。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12.外部材料：喷涂钢板。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13.内部材料：吸塑内胆。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14.门体数量：1扇。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15.门体结构：双层中空钢化LOW-E玻璃门，中间充惰性气体。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16.网架：4层，数量4个，可调高度，浸塑材质，带标识条。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17.脚轮：4个脚轮，其中2个万向轮带琐止设计，用户可根据需要移动箱体。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18.测试孔：1个，方便安装温湿度记录仪。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19.冷凝器：外挂丝管冷凝器。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20.蒸发器：吹胀式蒸发器。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21.制冷剂：采用绿色环保制冷剂。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22.压缩机：国际知名品牌压缩机，数量1个。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23.风道设计：循环风冷背吹技术，避免因储存物品的阻挡导致通风不畅或温度不均匀。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24.制冷系统：高效的制冷系统设计，通过强制风冷循环系统实现更均匀的温度布局，同时保证更小的温度波动，从而实现样本储存温度的稳定；吹胀式蒸发器配合独特的循环风冷背吹技术设计，保证箱内无霜。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25.温度控制：微电脑控制系统，LED数码显示温度数据，可确保精确稳定的运行；精准的电子温度控制及显示，精度达到0.1℃。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26.显示方式：LED数码显示屏，可显示箱内温度及各种报警信息。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27.报警系统：高低温报警、传感器故障报警、断电报警、开关门异常报警。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28.报警方式：具备声音蜂鸣和灯光闪烁的报警方式。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29.电器安全：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（1）备用电池确保断电后报警≤48小时；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（2）温控器探头故障安全运行模式；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（3）标配远程报警接口；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（4）键盘锁定、密码保护功能，防止随意调整运行参数；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断电保护：在恢复供电时，所有设备的同时启动会对电网造成较大冲击，从而可能导致断路器跳闸；针对这种情况特别设计的设备延时启动功能可使设备在恢复期间延时数分钟启动，使设备平稳的重新运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（6）宽电压带适用，可在187V～242V范围内正常使用。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30.特色功能：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（1）标配1个暗锁设计，防止开关门异常；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（2）内设LED冷光源照明灯，使箱体内部一目了然；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（3）标配1个测试孔，方便用户选配温湿度记录仪。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31.可选配件：温湿度记录仪、热敏打印机、防水插座等。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32.资格凭证：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（1）医疗器械生产许可证；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（2）医疗器械注册证；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（3）ISO9001质量管理体系认证；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（4）ISO13485医疗器械质量管理体系认证；                                                                       （5）ISO14001环境管理体系认证；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（6）ISO45001职业健康安全管理体系认证。</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33.售后质保：整机质保三年。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超低温冰箱200L（-20℃）</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1.样式：立式。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2.容积：≥278L。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3.净重：≥105kg。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4.额定功率：≥180W。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5.耗电量：1.94kW.h/24h。</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6.噪音值：≤46dB。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7.气候类型：SN/N。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8.制冷方式：直冷。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9.温度范围：-10℃～-25℃。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10.工作条件：环境温度10～32℃，电源220V/50Hz。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11.外部尺寸（宽*深*高）：659*600*1694（mm）。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12.内部尺寸（宽*深*高）：480*415*1460（mm）。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13.外部材料：喷涂钢板。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14.内部材料：喷涂钢板。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15.隔热层：无CFC高密度聚氨酯发泡。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16.外门：1扇。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17.抽屉：数量7个，材质为PS。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18.脚轮：4个；其中2个万向脚轮带琐止设计，用户可根据需要移动箱体。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19.压缩机：国际知名品牌压缩机，数量1个。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20.制冷剂：采用碳氢制冷剂，绿色无氟、节能环保。</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21.制冷系统：采用国际知名品牌压缩机、冷凝风机，内藏式盘管式蒸发器，丝管式冷凝器，独有的新制冷技术的应用，优化的制冷系统，使得产品稳定性更好，降温速度更快。</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22.显示方式：LED数码显示屏，可显示箱内温度及各种报警信息。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23.温度控制：采用微电脑控制系统，可确保精确稳定的运行；精准的电子温度控制及显示，精度达到0.1℃。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24.报警系统：高低温报警、传感器故障报警、开门异常报警。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25.报警方式：具备声音蜂鸣和灯光闪烁报警方式。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26.电器安全：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（1）温控器测点故障安全运行模式；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（2）控制器键盘锁定和密码保护功能，防止随意调整运行参数；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断电保护：在恢复供电时，所有设备的同时启动会对电网造成较大冲击，从而可能导致断路器跳闸。针对这种情况特别设计的设备延时启动功能可使设备在恢复期间延时数分钟启动，使实验室平稳的重新运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（4）宽电压带适用，可在187V～242V范围内正常使用。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27.特色功能：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（1）标配1个暗锁设计，外观简约大方；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（2）采用嵌入式门把手设计，方便门体开启；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（3）标配测试孔，方便选配温度记录仪。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28.选配件：温度记录仪。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29.资格凭证：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（1）医疗器械生产许可证；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（2）医疗器械注册证；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（3）ISO9001质量管理体系认证；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（4）ISO13485医疗器械质量管理体系认证；                                                                       （5）ISO14001环境管理体系认证；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（6）ISO45001职业健康安全管理体系认证。</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30.售后质保：整机质保三年。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超低温冰箱600L（-20℃&amp;4℃）</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1.样式：立式。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2.冷藏室容积：≥273L。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3.冷冻室容积：≥255L。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4.总有效容积：≥528L。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5.额定功率：≥360W。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6.耗电量：≤3.2kW·h/24h。</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7.产品净重：174kg。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8.气候类型：SN/N。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9.制冷方式：冷藏室是风冷；冷冻室是直冷。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10.温度范围：冷藏室2℃～8℃；冷冻室-10℃～-25℃。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11.工作条件：环境温度10～32℃，电源220V/50Hz。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12.外部材料：喷涂钢板。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13.内部材料：喷涂钢板。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14.外部尺寸（宽*深*高）：900*818*1870（mm）。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15.内部尺寸（宽*深*高）： 冷藏室尺寸765*640*635（mm）；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冷冻室尺寸651*636*635（mm）。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16.外门结构：上下结构，数量2扇；上门为发泡玻璃门，双层中空玻璃带除凝露电加热功能，方便用户观察箱内物品；下门是发泡门体。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17.保温材料：无CFC高密度聚氨酯发泡。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18.内部结构：冷藏室3层浸塑搁架，内置感温盒设计；冷冻室2层浸塑搁架及9个PS材质抽屉。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19.脚轮：4个脚轮，其中2个万向轮带琐止设计，用户可根据需要移动箱体。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20.检测孔：数量2个；冷藏室与冷冻室各1个。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21.制冷剂：采用碳氢制冷剂；节能环保，含氟量为零，不破坏臭氧层，不产生温室效应。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22.压缩机：高效全封闭压缩机，数量2台。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23.制冷系统：采用国际知名品牌压缩机和干燥过滤器，采用铜盘管蒸发器，独有的新制冷技术的应用，性能优化的制冷系统，使得产品稳定性更好，降温速度更快。</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24.温度控制：微电脑控制系统，LED数码显示屏，精准的电子温度控制及显示，精度达到0.1℃；冷藏冷冻独立显示温度数据，便于观察，同步显示冰箱运行状态及报警类型。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25.安全系统：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（1）键盘锁定功能，防止随意调整运行参数；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（2）标配2个暗锁设计，防止开关门异常；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（3）冷藏室、冷冻室采用独立挂锁孔设计，可装配挂锁，保证箱内物品安全；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（4）断电记忆功能，即使停电，冰箱会自动记忆停电前各室的温度设置，在再次通电时，冰箱按原设置状态运行；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（5）宽电压带适用，可在187～242V范围内正常使用；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（6）开机延时、停机间隔保护功能，确保运行可靠。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26.报警系统：开门报警、高低温报警、环温高报警、传感器故障报警、冷凝器故障报警、断电报警。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27.报警方式：具备声音蜂鸣和灯光闪烁双重报警方式。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28.特色功能：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（1）双LED数码显示屏，可分开显示上下间室的温度数据及各种报警信息；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（2）冷藏室、冷冻室分别采用独立的制冷系统，独立显示、独立控温；</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（3）冷藏室内设LED冷光源照明灯，使箱体内部一目了然；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（4）抽屉采用PS材料的设计，材质更耐用，存储物品更安全；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（5）冷冻室标配1个具备泄压功能的铝合金门把手，方便短时间内频繁开关门；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（6）箱体右侧标配2个检测孔，方便安装温度记录仪检测每个间室温度变化；</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（7）标配USB接口，方便导出数据，数据可保存10年以上时间；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（8）标配TTL接口，可用于计算机串行接口外设连接。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29.可选配：RS232接口、RS485接口、温度记录仪、热敏打印机、远程报警。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30.资格凭证：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（1）医疗器械生产许可证；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（2）医疗器械注册证；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（3）ISO9001质量管理体系认证；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（4）ISO13485医疗器械质量管理体系认证；                                                                       （5）ISO14001环境管理体系认证；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（6）ISO45001职业健康安全管理体系认证。</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31.售后质保：整机质保三年。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56摄氏度干燥箱</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一、产品特点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外箱材质：冷轧钢板表面喷塑，内部材质：SUS不锈钢板。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不锈钢管环式加热器。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微电脑智能液晶屏温度程序控制器，控温精准；连续运行或定时运行：0~9999min。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无玻璃内门，外门有观察窗。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内箱采用圆弧结构设计，便于清洁。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可抽拉活动式搁板。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背部进出风口。</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1.温度范围：50°C~250°C</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2.温度波动度：±1°C</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3.温度均匀度：≤最高工作温度±3.5%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4.箱内循环方式：强制对流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5.报警类型：超温报警、计时报警、温度探头损坏报警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6.温度控制器：采用智能PID控制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7.时间设定范围：0～9999分钟（小时）；  计时误差：&lt; 1%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8.内部容积（L）：136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9.外部尺寸W×D×H（cm）：83*63*73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10.内部尺寸W×D×H（cm）：55*45*55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11.搁板：2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12.功率（W）：2000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13.电源：1Ø 220V 50Hz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震荡仪</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样本类型：血液、血清、血浆、化学溶剂、无细胞体液、细胞培养上清液、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葡萄糖、蛋白质、DNA、细胞、尿液、酶或其他的液体样本混匀。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提取用途：样品的组织培养，萃取，测定沉降率（包括各种血样的化学测定），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如：血样混合、放射免疫、葡萄糖、蛋白质、DNA、细胞、尿液、酶等湿化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学分析，在生化、生物、细胞、免疫、化学、动植物分析、临床实验、预防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血液凝固、乳胶诊断等应用。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 工作方式：旋转/翻转/抖动/上下波浪摇摆（定时）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安装板类型：水平安装 16 个 10ml 或 15ml 离心管、竖直安装 12 个 10ml 或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15ml 离心管、水平安装 40 个 1.5ml 或 2ml 离心管、竖直安装 44 个 1.5ml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或 2ml 离心管、水平安装 16 个 50ml 离心管、水平安装 40 个 5ml 离心管、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竖直安装 32 个 5ml 离心管、竖直安装 12 个 50ml 离心管、随意水平安装共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 个 1.5ml/2ml/10ml/15ml/50ml 的离心管组合、随意竖直安装共 12 个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1.5ml/2ml/10ml/15ml/50ml 的离心管组合。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试管夹（通用选配）：适用 10ml 或 15ml 离心管 或∅16 血沉管、适用 1.5ml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或 2ml 离心管、适用 50ml 离心管、适用 5ml 离心管或∅13 血沉管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处理体积：最高 800ML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定时时间范围：1min～99h59min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速度范围：9～100RPM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 操作界面：全英文 12864 液晶屏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操作方法：旋钮操作与按键结合模式，简单快捷。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 工作模式：8 种工作模式可供任意选择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输入电源:AC220V±10％(50/60 ㎐);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 净重：6.9kg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 外形尺寸：485×199×207mm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小型离心机</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迷你离心机配备两个转子：8x2/1.5ml转子，8x4x0.2ml转子可供4排8孔x0.2ml的PCR专用试管使用。随机附带0.2ml和0.5ml试管适配器。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最大转速：7000rpm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最大相对离心力：2650X 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样品处理量：0.2/0.5/1.5/2.0mlx8;8x4x0.2ml PCR排管（可用8联管）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电源参数：AC110/220V，50/60Hz  20W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噪音：≤45dB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外形尺寸(长x宽x高）：178X178X115（mm)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重量：1kg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1、独特的转子卡扣设计，方便转子更换；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2、直流电机：连续运行模式；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3、运行平稳，超低噪音，噪音≤45dB；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4、外型小巧美观，一机多用；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5、4种颜色选择，满足不同客户需求。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高速离心机</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电源参数：（220±10%）VAC  （50±1Hz）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整机功率：500W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最高转速：16000r/min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最大制备容量：12×10ml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最大相对离心力：20878×g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转速控制精度：（±%或±20）rpm取高值</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定时范围：(1S～999min)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噪音：≤60dB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主机尺寸(L×W×H)：465×305×305（mm）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纸包装尺寸(L×W×H)：510×425×360（mm）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净重/毛重:24kg/26kg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二、主要特点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1、具有瞬时离心功能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2、整机采用全钢结构，不锈钢离心腔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3、多种转子可供选择，匹配不同实验需要，一机多用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4、可储存20种运行程序，并具有15种升降速率可供选择</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5、多级减震防护，离心机振动小，确保离心效果达到最佳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6、嵌入式微处理器控制，直流无刷电机驱动，免维护，运行平稳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7、可对离心转速、时间、升降速档位进行设置，并随时查看离心力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8、按键式编程设计，高清液晶显示屏，可实时显示全部运行参数，操作更直观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9、具有多重防护功能和完善的故障报警功能，具有门盖互锁、超速、不平衡保护等报警提醒，安全可靠四、适配转子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微孔板迷你离心机</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1、嵌入式微处理器控制，按键式编程，控制精度高；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2、可储存和调用20套运行程序，自动记忆自后一套运行程序；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3、支持转速1rpm和时间1s微调；掉电自恢复，提高效率；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4、运行中参数可调，无需停机，方便快捷；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2、10种升降速率供选择，升降速度快；</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3、大力矩变频电机直接驱动，无碳粉污染，免维护，使用寿命长；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4、OLED屏液晶数字显示，实时显示全部运行参数，操作直观便捷；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5、多级减震，超速、不平衡、门盖多重保护，故障自检，安全可靠；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6、程序记忆功能，自动记忆上一次运行设定参数，开机自动恢复关机前设定参数；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7、双语切换，性价比高；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8、离心完成自动开门并提醒；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电源参数：（220±10%）VAC（50/60±10%）Hz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整机功率：550W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最高转速：5000r/min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最大制备容量：4×500ml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最大相对离心力：4390×g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温控范围：常温</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转速控制精度：±1%rpm或20rpm（取最高）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定时范围：1～999min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噪音：≤65dB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外形尺寸(L×W×H)：620×450×350mm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包装尺寸(L×W×H)：700×530×480mm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净重/毛重：45kg/60kg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多通道可调量程移液器（0.5-10μL）</w:t>
            </w:r>
          </w:p>
        </w:tc>
        <w:tc>
          <w:tcPr>
            <w:tcW w:w="10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技术指标及配置: 多道可调移液器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1、符合人体工程学设计，轻触推杆设计，宽大放松指靠设计，使移液更轻松，显著减少操作用力，避免发生手部重复性劳损；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2、色彩靓丽，不同色彩标记不同的量程，易于辨识，可配合同样颜色标记的吸头配合使用；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3、液量微调设计：所显示的数字后带微量刻度尺，移液量有指针指示，可根据指针进行微量调节，实现微调和粗调完美的结合。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4、双控按钮设计，顶部旋转式按钮帽确保流畅稳定的移液，底部液量调节按钮用于精细的移液操作，有效预防移液中间的误操作。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5、伸缩式弹性吸嘴设计，确保吸头装配的气密性和移液均一性。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6、小量程的移液器为双活塞设计，增加50%吹出能力，大大降低挂壁和残留，提高了移液器的精准度。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7、背景和数字显示采用高对比度颜色，易于分辨。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8、采用极佳的耐热材质，可整支高温高压灭菌，无需拆卸，并且可整支紫外消毒；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9、量程调节器具有卡子设计，齿轮咬合紧密，液量准确，避免滑扣和不经意触碰引起的量程改变。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10、具有ISO9001:2000 和ISO 13485:2003证书，具有CE认证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11、具有8通道，12通道，16通道，多种量程可选；</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12、标配校准保养工具，易于维修保养，可在实验室方便快捷地进行校准和维修；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多通道可调量程移液器（10-100μL）</w:t>
            </w:r>
          </w:p>
        </w:tc>
        <w:tc>
          <w:tcPr>
            <w:tcW w:w="10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多通道可调量程移液器（30-300μL）</w:t>
            </w:r>
          </w:p>
        </w:tc>
        <w:tc>
          <w:tcPr>
            <w:tcW w:w="10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单通道可调量程移液器（0.1-3μL）</w:t>
            </w:r>
          </w:p>
        </w:tc>
        <w:tc>
          <w:tcPr>
            <w:tcW w:w="10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技术指标及配置: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单道可调移液器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1、连续可调单道移液器的量程涵盖：0.1-3ul, 0.5-5ul, 1-10ul, 2-20ul, 5-50μ</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,10-100ul, 20-200ul, 100-1000ul, 0.5-5ml, 1-10ml；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2、符合人体工程学设计，重量极轻，舒适灵活，弯钩状指靠使移液器轻松挂在手上，方便移液间隙休息。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3、色彩靓丽，不同色彩标记不同的量程，易于辨识，可配合同样颜色标记的吸头配合使用；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4、液量微调设计：所显示的数字后带微量刻度尺，移液量有指针指示，可根据指针进行微量调节，实现微调和粗调完美的结合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5、双控按钮设计:顶部旋转式按钮，底部液量调节按钮用于精细的液量操作，上下按钮独立操作,防止误操作。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6、伸缩式弹性吸嘴设计，确保吸头装配的气密性和移液均一性。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7、小量程的移液器为双活塞设计，增加50%吹出能力，大大降低挂壁和残留，提高了移液器的精准度。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8、背景和数字显示采用高对比度颜色，易于分辨；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9、量程调节器具有卡子设计，齿轮咬合紧密，液量准确，避免滑扣和不经意触碰引起的量程改变。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10、采用极佳的耐热材质，可整支高温高压灭菌，无需拆卸，并且可整支紫外辐射灭菌；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11、具有ISO9001:2000 和ISO 13485:2003证书，具有CE认证</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12、标配校准保养工具，易于维修保养，可在实验室方便快捷地进行校准和维修；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单通道可调量程移液器（0.5-10μL）</w:t>
            </w:r>
          </w:p>
        </w:tc>
        <w:tc>
          <w:tcPr>
            <w:tcW w:w="10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单通道可调量程移液器（10-100μL）</w:t>
            </w:r>
          </w:p>
        </w:tc>
        <w:tc>
          <w:tcPr>
            <w:tcW w:w="10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单通道可调量程移液器（100-1000μL）</w:t>
            </w:r>
          </w:p>
        </w:tc>
        <w:tc>
          <w:tcPr>
            <w:tcW w:w="10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移动紫外灯</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辐射照度：107μw/ cm2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灯臂长度：960mm±3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折合后离地面高度：1080mm±5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灯臂可调节角度：0-180°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灯管：30Wx2 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紫外线波长：253.7nm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外形尺寸：（H）1080MM*（W）280MM*（D）340MM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熔断器：F2AL250V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人性化设计、结构新颖、五面全透明玻璃防风罩。采用新一代电磁平衡式称量传感器，保证了产品的高精度。具有全自动故障检测，线性四点校准，超载保护等应用程序。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超大带背光液晶显示屏。使操作者视觉更柔和、清晰。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具有计件、单位转换（米制克拉、金盎司等）、稳定度、全量程去皮、零点跟踪等多种功能，操作更简便可靠。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内置RS232C输出接口，可直接连接计算机、打印机等外部设备。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内置式下称吊钩。</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称量范围:0-220g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可读性精度：0.1mg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秤盘尺寸：Φ80mm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净重：6.8kg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外形尺寸：350×215×340mm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外包装尺寸：480×375×515mm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工作空间高度：240mm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校准方式：外部校准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纯水机</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进水要求：市政自来水，工作时进水水压 0.1-0.3Mpa,水温 5-45℃，水质符合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GB5749 规定</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系统流程：PF+AC+RO+DI；PF+AC+RO+DI；PF+AC+RO+DI</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纯化系统：10"PP滤芯×1 + 10"活性炭滤芯×1+300GPD RO反渗透膜×1+去离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子交换柱×1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DI 去离子水指标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电导率：0.055-0.1us/cm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电阻率：10-18.25MΩ.cm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重金属离子：&lt;0.1ppb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细菌：&lt;0.1cfu/ml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颗粒物：&lt;1/ml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RO 反渗透水指标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离子截留率：96-99%</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有机物截留率：&gt;99%</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颗粒和细菌截留率：&gt;99%</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产水量 （25℃）：20 升/小时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瞬间出水量：1750ml/min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出水口：1 个 RO 反渗透水（选配），1 个 DI 去离子水（标配）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使用环境：温度：15-35℃ 相对湿度：≤80%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裸机外形尺寸：403*325*650mm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含包装仪器尺寸重量：460*420*1200mm/29kg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附件箱尺寸重量：670*400*260mm/11kg</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电源/功率：额定电压和频率：220V±10%，50/60Hz，额定功率：117W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提取仪</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屏幕操作：10.1寸触摸屏，简单易用，反应快</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精确控制：简单易懂界面，实时显示程序运行状态，可独立使用，无需电脑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温度控制：根据需求自定义裂解、洗脱温度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温度保持：样品裂解模块、洗脱模块具有温度控制及保持功能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自由编程：强大的程序编辑功能，满足不同试剂需求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快速提取：操作时间短，15-60分钟（与试剂有关），通量大，可以同时提取96份样品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提取效率：可以根据不同试剂优化提纯方案，实现更高的提取效率和纯度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稳定可靠：全程自动化完成，避免人工操作引起的差异及错误，结果稳定，重复性好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污染防控：内置紫外消毒功能，可定时消毒，杜绝交叉污染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安全可靠：安全打开后自动暂定程序运行，安全门关闭后可继续运行程序，避免伤害人体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试剂开放：标配封闭提取（可选配磁珠法开放式平台）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处理体积：20μl-1000μl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样品通量：1-96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磁珠回收率：大于98%</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孔板类型：96孔深孔板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提取孔间差：CV小于3%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加热温度：加热模块（室温至—120℃）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震荡混合：多档可调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试剂种类：磁珠法开放式平台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提取时间：15-60分钟/次（由所用试剂决定）</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操作界面：全中文10.1寸触摸操作界面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内部程序：可储存&gt;100组程序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安全门设计：安全门打开后自动暂停程序运行，安全门关闭后可继续运行程序，可避免交叉污染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程序管理：新建、编辑、删除模式程序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紫外照射：有</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气溶胶吸附：内置过滤器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水浴锅</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一、结构特点与用途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恒温水浴箱是辅助恒温实验仪器，由机箱、恒温水槽和控温装置三部分组成。本仪器适用于各实验室作蒸发及恒温加热之用。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恒温水槽选用进口不锈钢板和精密机械加工工艺制造，具有耐高温、耐腐蚀的特点。控温装置采用高稳定性运算放大器和双积分高精度A/D转换技术，远红外加热技术设计而成。产品热平衡时间短，温度均匀性好，不超过±0.5℃。测试数据LED显示，直观、准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该产品广泛用于蒸馏、干燥、浓缩以及温渍化学药品或生物制品。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温度范围：室温+5～100℃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温度均匀性：±0.5℃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温度波动度：±0.5℃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温度显示：数显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    率：≥1000W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    源：220V  、50HZ</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内胆尺寸：420x200x180mm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扩增仪</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样本容量： 96通量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反应体系：15-100uL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适用耗材：0.2ml PCR管，8联排管，96孔板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检测时长：7秒内完成所有荧光通道96个孔位的全部检测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最大升降温速率：≥5℃/s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温度范围：4.0℃～99.0℃，温度准确性：≤0.5℃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 热循环系统：基于Peltier技术的半导体热电模块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 激发光源：LED免维护光源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 荧光检测模式：侧面扫描检测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 动态范围：≥10个数量级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 4色激发光通道和4色检测光通道，另有2色定制通道，根据客户需求定制染料，可同时检测6 个靶标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 光学激发检测范围：300-800 nm/500-800 nm，可支持“FAM，SYBR-Green，HEX，JOE，VIC，TET，ROX，Texas-Red，CY5”等多种染料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 分析软件应用：定性/绝对定量、标准溶解曲线、相对定量、终点法等基因分型，可自动进行数据分析、比对、作图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 扫描模式：全板扫描，指定行扫描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有断电保护功能，保留数据不丢失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 控温模式：试管控温，模块控温</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 检测组件：光电倍增管检测系统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 荧光线性：线性回归系数 r≥0.99</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 报告模式：支持自定义报告单，EXCEL 、CSV等导出格式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 电源输入：220V、50Hz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 接口方式：RS232、USB</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22.配套试剂：开放平台，适用于国内外厂家所开发的临床试剂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超净工作台</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 外部尺寸≥（L×D×H）1460*620*1850mm；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 内部尺寸≥（L×D×H）1338*530*650mm；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 额定功率：900 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 气流流速：0.30～0.45m/s；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紫外灯功率：40W；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 LED日光灯功率：16W；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 前窗玻璃最大开口高度：400mm；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 前窗玻璃开口安全操作高度：200-350mm；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 工作台到地面高度：750mm；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 噪音≤65dB(A)；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 产品安全性：菌落数≤0.5CFU/30min；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 照明：≥350lx；</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2、结构特点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 洁净台分类：垂直层流、单面操作；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 过滤效率:过滤器均采用无隔板高效过滤器，对直径0.3μm颗粒过滤效率为99.999%；</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 可在洁净台前部更换、维修风机及过滤器；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 箱体部分采用1.2mm厚的冷轧钢板且表面静电喷涂，增强了结构强度，整个装置更加稳重；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 工作区台面为不锈钢材质，美观耐腐蚀；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 工作区采用四面（左右二侧、后部、底部）正压环绕设计工作区内，保护产品；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 控制面板采用轻触式开关，按键由风机键、照明键、紫外键、电源键、插座键、风量减小键、风量增大键组成，易于操作；显示屏显示内容有：风机的风速、显示时间、紫外灯的工作时间、过滤器的工作时间；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 洁净台前视窗是采用5mm厚钢化玻璃的手动视窗，玻璃门-配重结构，上下开启灵活方便，行程范围内任意高度悬停；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 紫外灯与风机、日光灯互锁功能，即当风机、日光灯工作时，紫外灯无法开启，保护操作人员；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 紫外灯延时5S开启，保护操作人员安全；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 设置前窗开口安全高度，在低于或高于安全高度时报警，保证设备使用时性能稳定；</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 福马脚轮设计，方便柜体移动与固定。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生物安全柜</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1、安全柜基本参数：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（1）分类：A2型，30%外排，70%循环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（2）外部尺寸≥（L×D×H）1500mm×750mm×2250mm；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（3）内部尺寸≥（L×D×H）1350mm ×600mm×660mm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（4）台面距离地面高度：750mm（尺寸可根据要求订制修改）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（5）风速： 平均下降风速：0.33±0.025m/s； 平均吸入口风速0.53±0.025m/s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（6）系统排风总量：500 m3/h</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（7）额定功率：1800W（包含操作区插座负载500W）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（8）噪音等级：≤67dB（A）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（9）照明：≥1000lx</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（10）过滤效率:送风和排风过滤器均采用世界知名品牌的硼硅酸盐玻璃纤维材质的ULPA高效过滤器，对0.12μm颗粒过滤效率≥99.9995%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（11）重量：    毛重366KG       净重 350KG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（12）使用人数：1—2人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2、生物安全性：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 人员安全性：用碘化钾（KI）法测试，前窗操作口的保护因子应不小于1×105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产品安全性：菌落数≤5CFU/次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交叉污染安全性：菌落数≤2CFU/次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二、结构功能特点：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1、优良的风机选用：风机的电机当安全柜在正常运行而不调整电机的速度控制，经过滤器的风压下降50%时，风机的排气量下降不超过10%；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2、柜体采用10°倾斜角设计，符合人体工程学原理，视角更大，操作方便且更加人性化；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3、安全柜裸露工作区三侧壁板采用优质304#不锈钢一体化结构，内部可清洗部位采用8mm大圆角处理，不留死角，易于清洁；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4、工作区采用四面（左右二侧、后部、底部）负压环绕设计工作区内，保护性更好、更安全；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5、工作台面材质为优质304#不锈钢，采用盆状式设计，即使实验有废液溢出，也不会流入积液槽中，便于清理； 6、福马脚轮设计：脚轮与支架一体化设计，安全柜即可通过脚轮安全移动，也可以通过调节脚轮支脚进行固定和调平；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7、柜体和支架可分离，支架高度可根据实际情况订制修改；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8、合理的结构设计：安全柜过滤器和风机的维修、更换，都可在安全柜的前侧进行，更加方便、快捷。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9、前窗玻璃采用双层夹胶防爆安全玻璃；即使玻璃破损，也不会伤人，并且生物安全柜还能正常工作，直到实验结束，更好的保护了人员及实验的安全；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高亮度LCD显示屏,实时动态显示操作区的下降气流流速和流入气流流速，显示安全柜的整体运行时间，UV灯的运行时间，操作区的温度和湿度，送风和排风过滤器的阻力，显示过滤器的使用时间并由条码显示过滤器的使用寿命，条码全部点亮是过滤器寿命到期，运行状态全部显示,一目了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11、电动控制前窗玻璃门，可同时采用脚踏控制、按键控制或遥控控制，玻璃门升降到安全操作高度时，自动停止升降，使操作更加方便；且玻璃门升降时不用直接接触玻璃，使实验人员更安全；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12、遥控控制：安全柜的所有按键操作，都可通过遥控控制实现，使安全柜的使用更加快捷方便；且遥控器的使用，大大减少了使用者与安全柜的直接接触，更加保护了使用者的人身安全；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13、具有预约定时功能，能自动设定安全柜定时开机、关机及紫外灯消毒时间，大大节省了工作时间，提高了工作效率；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14、严格的气密性检测：安全柜内加压500Pa，保持30min后气压不低于450Pa。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15、前窗气流隔断设计：防止了气流通过前窗侧壁及上侧进行泄露，使试验更加安全；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16、完善的报警系统：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（1）玻璃门不在安全高度报警：玻璃门安全高度为200mm，当安全柜前侧高于或低于安全高度时，安全柜会声光报警；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（2）过滤器压力超高报警：当过滤器的阻力变大，安全柜会声光报警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（3）过滤器失效更换报警：当过滤器寿命使用到期后，会有过滤器更换声光报警；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（4）气流波动报警：当安全柜的气流波动超过标称值的20%时，声光报警，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17、安全的连锁保护设计：对误操作均设置连锁保护，即使误操作，也不会造成伤害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（1）安全柜风机与玻璃门互锁：当安全柜玻璃门落到最底部时，安全柜风机自动关闭，更改保护了安全柜的使用，增加了安全柜的使用寿命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（2）紫外灯与安全柜玻璃门、风机及照明灯互锁：当玻璃落到底部且照明灯不开启时，紫外灯才能开启，防止紫外灯误操作对人体造成危害，更加保护了人员的安全；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三、资格证明和技术文件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ISO9001质量管理认证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ISO14001环境管理体系认证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ISO13485及CE认证</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 国家食品药品监督管理局核发的生物安全柜产品注册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100升高压灭菌锅</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一：设备参数及配置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技术要求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 主体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 容积： 100L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 材质： 06Cr19Ni10不锈钢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 设计压力：  -0.1～0.28MPa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 设计温度： 142℃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 使用寿命： 8年（16000次灭菌循环）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 主体保温： 10mm玻璃棉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 腔壁加热： 覆盖式金属加热板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 密封门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 门数量： 单门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 门板： 拉伸门板，材料厚度≥2.5mm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 材质： 06Cr19Ni10不锈钢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 开关门方式： 手动平移式密封门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 安全联锁： 压力安全联锁装置：通过省级技术监督部门鉴定，门只有关闭到位，电源才能接通加热产生蒸汽；内室有压力，门无法打开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 门密封方式 自胀式密封胶圈，采用透明医用硅橡胶模压而成。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 门罩： 采用玻璃钢高效隔热材料模具成型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 管路系统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 控制阀门： 进口直动式电磁阀≥1个，质量稳定可靠，手动球阀≥1个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 压力传感器： 进口压力传感器，质量稳定可靠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 蒸汽产生方式： 主体内加热，直接产生饱和蒸汽，无需外接蒸汽源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 注水排水方式： 手动注水、手动排水，可防止培养基堵塞管路系统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 储水装置： 配有内置蒸汽收集水箱，不外排蒸汽，水箱容积≥5L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 冷凝装置 配置风冷系统，无蒸汽外排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 压力表： 量程：-0.1～0.5MPa  精度等级：1.0级以上，并提供证明材料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 控制系统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 控制方式： 模块化设计的专用灭菌器控制器，高度集成化的PLC；</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采用MASTER系列高速处理器芯片，可实现0.1～0.9μS/步的高速运算处理；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适用国际主流的各种通信协议；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利用自身的RUN/STOP开关，可以轻易的使系统运行和停止；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165V～240V宽电压范围；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可选配压力传感器控制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 界面显示： 四位数码显示屏，显示精度0.1℃；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抗干扰能力强，适用于相对湿度85%的环境下使用；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曲线显示工作状态和阶段信息；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指示灯闪烁显示当前工作阶段；</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面膜操作，一键启动，方便快捷；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按键采用机械式按键，动作次数≥10万次；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LED代码显示报警信息；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LED指示灯显示门的开关状态和程序选择状态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 流程控制： 注水、排水排汽手动控制，升温、灭菌自动控制；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采用重力置换方式，排除灭菌室及负载内冷空气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 周期计数器 周期计数器4位数字显示，显示运行过的周期次数，同时数值不被使用人员或操作者复位或改变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 延时启动功能 具有延时启动功能，可按设定时间自动运行，预约时间设定范围0～99小时59分钟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 传感器故障自检及保护功能 设备自动检测传感器故障，并声光指示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 报警显示 出现故障时，LED数字显示报警代码，声光报警显示，蜂鸣报警30S，可随时被消除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 预热功能 开机自动预热功能，预热时间最长20min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 排气模式 具有快排、慢排、不排3种排汽方式，避免液体灭菌时液体的溢出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1.4.10 *保温功能 可根据需要设定保温功能，实现液体培养基灭菌、培养基灭菌-保温功能；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保温温度可设定范围40℃～60℃；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保温时间可设定范围0～99小时59分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1.4.11 固体琼脂熔解功能 可实现琼脂熔解、琼脂熔解-保温功能；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熔解温度可设定范围60～100℃；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熔解时间可设定范围0～99小时59分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1.4.12 水位检测报警功能 灭菌器内水位未达到规定水位，低水位报警，自动切断加热电源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1.4.13 记录方式： 内置RS232接口，可选配内置微型热敏打印机，实现数据追溯记录，实现F0值打印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1.4.14 权限管理： 多级密码权限管理，只有输入正确密码，才能不同权限，进行参数修改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1.4.15 安全保护 超温自动保护装置：超过设定温度，系统自动切断加热电源；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防干烧保护装置：水位过低时，系统自动切断加热电源；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超压自动泄放装置：超过安全阀开启压力，安全阀开启泄压；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过流保护装置：设备电流过载时，过流保护开关动作，系统自动切断电源；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程序系统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 程序名称： 有器械器皿、固体废弃物灭菌、液体灭菌、培养基灭菌—保温4种标准灭菌程序、1个琼脂熔解—保温程序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 适用范围 固体类程序适用于能承受快速排气泄压、温度急剧变化的负载的灭菌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液体程序适用于温度、压力不能急剧变化的培养基、琼脂等负载的灭菌、保温及熔解，也适用于医疗废弃物的灭菌处理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 整体参数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 装载装置： 304不带底消毒提篮2个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 外形尺寸（L×W×H）： ≤650×550×1200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 设备电源： 单相：AC220V，50Hz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 设备功率： ≤10kVA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 通过卫生安全评价： 提供卫生安全评价报告，灭菌效果检测报告，电气安全性能检测报告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凝胶成像仪（黄色、绿色二选一）</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1、箱体设计以及紫外灯箱装置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1.1箱体两侧切胶口双开门设计，避免交叉污染，尺寸125mm×100mm。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1.2配有安全使用装置，拉开抽屉即可自动关闭光源，使用户免受紫外线辐射。</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1.3含紫外灯箱，白光反射板，紫外二组反射，波长：紫外透射滤色片210×250mm光源300nm，白光板面积210×300mm两侧反射滤色片200×50mm，反射光源254nm、365nm，两侧白光反射装置。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1.4观察口：可自动关闭，尺寸125mm×60mm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2、CCD及镜头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 CCD 型号：Microvision芯片，分辨率≥2592(H)×1944(V)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2.2像素密度：16bit</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2.3镜头型号：Computar光学变焦8～48mm　光圈1.2自动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2.4可通过软件或机箱面板进行镜头的变焦、聚焦、光圈、透射紫外灯及反射灯的全自动控制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2.5灵敏度：低于20pgEB染色双链的DNA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2.7检测信噪比≥56db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2.8专业滤光片590nm超多层镀膜滤光片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3、图像采集分析软件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3.1软件：JP-GLE 1D分析软件（可选2D双向电泳凝胶分析软件）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3.2定时保护功能：10分钟内没有输入任何命令，全部光源自动关闭.</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3.3关闭操作软件：系统同时自动关闭全部光源，令实验更加安全、高效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图像功能：调整图像大小、亮度、灰度、对比度、角度，条带校准、反色、裁切、旋转、缩放、加注文字</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3.4分析软件和图像获取软件一体化：图像拍摄、分析电泳凝胶、斑点印迹、狭线印迹和菌落计数等在同一界面完成。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3.5条带水平度和垂直度可调：可手动调节条带的水平度和垂直度，以求获得更加精准的数据，具有多幅图像合并显示及分析功能。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3.7、至少拥有2个以上针对该成像系统的计算机软件著作权。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 CCD芯片：≥2592(H)×1944(V)，500万像素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 动态范围：4.5OD.16bit灰阶，低于20Pg经EB染色的双链DN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 像数尺寸：5.7um*4.28um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 镜头：通透电动镜头,8～48mm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 曝光时间：0.294ms～2000ms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 灵敏度：低可检测0.01ngEB染色体DNA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 检测信噪比：≥56dB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 激发光源：300nm透射UV、254、365nm反射UV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 透射台：超亮紫外透射台，面积210×250mm，白光：210×300mm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4.10 滤光片：标配590nm，:兼容EB、Sybr 、GoldView等大部分荧光染料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4.11 软件：图像分析软件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4.12外观尺寸（mm）:≤435*390*740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双稳电泳仪（黄色、绿色二选一）</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1、输出信息采用液晶显示，可同时显示电压、电流、功率、定时保护功能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输出指标：0- 600V、0- 600mA、0- 300W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分辨率： 电压1V, 电流1mA, 电功率1W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定时范围：1分钟～99小时59分钟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5、显示： 带背光的LCD液晶屏( 128×64 像素)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6、控制功能：微处理器智能控制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7、具有过载、空载等保护功能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8、可存储10个常用电泳方法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9、自动记忆功能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10、自动关断功能 ;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11、恒压、恒流、恒功率等智能提示 ;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 一次成型机壳，触摸按键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水平电泳槽（黄色、绿色二选一）</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1、适用于DNA的检测和分离，并且用于测试分子量；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2、模具一次成型，全槽透明，耐冲击、耐高温、耐腐蚀、不漏液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3、可制作四种不规格凝胶，配有专用制胶槽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4、可拆卸电极架，使电极的维修及更换更加方便、快捷、安全；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5、限位功能，操作准确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6、可拆卸电极，便于清洗维修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7、有效防止槽内液体挥发或触电的透明上盖，开盖自动断电，确保操作安全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8、缓冲容量充足，既可以起到良好的冷却效果，又可以使电泳过程中PH值保持稳定；</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9、配备专用制胶槽，省去胶带封胶的繁琐操作；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10、凝胶面积：大胶120×120㎜；宽胶120×60㎜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长胶60×120㎜； 小胶60×60㎜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样品能量：2、3、6、8、11、13、18、25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托盘（可以跑整块胶，大胶120×120mm ，4块小胶60×60mm)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缓冲液容积：650mL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小型垂直电泳槽（黄色、绿色二选一）</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1、高强度、高透明材料注塑成型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2、国际流行款式设计,美观大方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操作简单,彰现人性化设计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4、玻璃垫条一体化设计，确保不漏胶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5、平板代替凹板，不易损坏,耗材价格低廉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6、专用制胶架，制胶操作简单可靠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7、高纯度铂金电极,导电性最佳,耐腐蚀性强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8、开盖断电确保实验安全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9、上盖限位功能,确保不会接错电极极性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可同时电泳两块胶板 ;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11、凝胶面积:83×73mm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凝胶厚度:0.75、1 、1.5mm可选</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加样梳齿数:10、15齿可选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LED蓝光切胶仪（黄色、绿色二选一）</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一、产品介绍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光切胶仪是PCR扩增仪的后续仪器，也是分子实验室的必备仪器。用于清晰地观察染色凝胶中的核酸及蛋白，取代传统紫外透射仪。嘉鹏蓝光切胶仪采用LED蓝光激发，大保护了实验人员的眼睛、脸、手等易暴露部位不再遭受紫外线的伤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二、产品特点：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安全无损：避免紫外线对人体皮肤和眼睛的伤害，以及紫外线辐照引起的核酸片段断裂、交联或替换；适用性广：兼容的荧光染料有GeneGreen, GelRed, GelGreen，SYBR GreenI, SYBR Safe, Goldview, SYBR Gold, SYPRO Ruby,SYPRO Orange, SYPRO Tangerine, eGFP, Cy2, FITC, EB；操作简单：将样品放置于黑色切胶区域，打开开关，光源均匀激发凝胶片，即可看到明亮条带进行切胶，低背景干扰；寿命长：蓝光LED采用进口芯片和黄金丝，使用寿命超过60,000小时；体积小：超薄，轻便，节省空间，用完可以塞进抽屉里；金属本体设计：底座更稳定，操作更顺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精巧设计：携带收藏方便，适合外出调查实验观察使用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波长： 470 nm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切胶面尺寸： 190×112 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蓝光LED寿命： &gt;60,000 h</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蓝光LED照射方式： 矩阵双面侧照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 L×W×H=280×255×40 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重量： 1kg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实时荧光定量PCR仪（黄色、绿色二选一）</w:t>
            </w:r>
          </w:p>
        </w:tc>
        <w:tc>
          <w:tcPr>
            <w:tcW w:w="10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1、样本容量96孔×0.2ml，产品获有CFDA三类医疗器械注册证；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四通道荧光检测系统，预留一个通道备用；精巧的滤光片组合设计，保证通道之间无交叉干扰：无需crosstalk校正；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3、采用强亮度单色LED光源，具有宽广的激发波长，可通用市场上常见的荧光染料；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4、采用深度制冷型高分辨率科学级CCD"，确保机器高灵敏度的检测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5、所有样品均在同一时刻采集荧光信号，确保荧光采集的一致性和准确性；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6、基于Linux的操作系统，配备A8处理器，保证机器运行的流畅性和体验感；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7、整体开模，机身采用1.5mm铝合金；结实耐用，美观；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8、全封闭样品座设计，能有效避免样品挥发，保证测试样品的安全；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9、加热冷却方式采用最先进的半导体技术，确保扩增速率，扩增结果的准确性；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10、标配镀金模块，最大升降温速度高达5℃/s，可大大节省用户的时间；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11、具有两种温度控制模式，即模块温控和模拟管控，保证检测的灵活性；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12、温控范围为0-99.9℃，温控均一性为±0.2℃（45℃-75℃时），确保各孔之间低拷贝样品数据的准确测试；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13、全中文向导式操作界面，直观、清晰、功能全面；同时可方便、快捷进行中英文切换；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14、涵盖多种分析模式：相对定量、绝对定量、终点定量、溶解曲线分析等；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15、内置统计分析工具和自定义公式编辑工具，数据无需导出，直接在仪器软件中分析完成；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16、具有梯度设置功能，梯度范围为30-100℃，具有touch down PCR、long PCR、具有温度/时间，递增/递减等高级编程功能，有利于优化实验条件；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17、电脑通过WIFI、LAN连接主机，更方便使用；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18、特有的滑动轨道式热盖设计，配备热盖保护技术，防止样品蒸发、浓缩，减少非特异PCR产物；</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19、支持单节升降温速率可设和梯度设置，提高工作效率；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20、支持程序运行后实时修改功能，确保珍贵样品的利用效率；</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21、生产企业需为高新技术企业，质量性能有保障；</w:t>
            </w:r>
          </w:p>
        </w:tc>
      </w:tr>
    </w:tbl>
    <w:p>
      <w:pPr>
        <w:pStyle w:val="2"/>
        <w:rPr>
          <w:rFonts w:hint="eastAsia"/>
        </w:rPr>
      </w:pPr>
    </w:p>
    <w:tbl>
      <w:tblPr>
        <w:tblStyle w:val="2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8"/>
        <w:gridCol w:w="417"/>
        <w:gridCol w:w="750"/>
        <w:gridCol w:w="550"/>
        <w:gridCol w:w="483"/>
        <w:gridCol w:w="1250"/>
        <w:gridCol w:w="10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919"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喀什中医医院感染科楼设备采购明细表</w:t>
            </w:r>
            <w:r>
              <w:rPr>
                <w:rFonts w:hint="eastAsia" w:ascii="宋体" w:hAnsi="宋体" w:cs="宋体"/>
                <w:b/>
                <w:bCs/>
                <w:i w:val="0"/>
                <w:iCs w:val="0"/>
                <w:color w:val="000000"/>
                <w:kern w:val="0"/>
                <w:sz w:val="36"/>
                <w:szCs w:val="36"/>
                <w:u w:val="none"/>
                <w:lang w:val="en-US" w:eastAsia="zh-CN" w:bidi="ar"/>
              </w:rPr>
              <w:t xml:space="preserve"> 第</w:t>
            </w:r>
            <w:r>
              <w:rPr>
                <w:rFonts w:hint="eastAsia" w:ascii="宋体" w:hAnsi="宋体" w:eastAsia="宋体" w:cs="宋体"/>
                <w:b/>
                <w:bCs/>
                <w:i w:val="0"/>
                <w:iCs w:val="0"/>
                <w:color w:val="000000"/>
                <w:kern w:val="0"/>
                <w:sz w:val="36"/>
                <w:szCs w:val="36"/>
                <w:u w:val="none"/>
                <w:lang w:val="en-US" w:eastAsia="zh-CN" w:bidi="ar"/>
              </w:rPr>
              <w:t>3包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包号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名称规格</w:t>
            </w:r>
          </w:p>
        </w:tc>
        <w:tc>
          <w:tcPr>
            <w:tcW w:w="10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第</w:t>
            </w:r>
            <w:r>
              <w:rPr>
                <w:rFonts w:hint="eastAsia" w:ascii="宋体" w:hAnsi="宋体" w:eastAsia="宋体" w:cs="宋体"/>
                <w:i w:val="0"/>
                <w:iCs w:val="0"/>
                <w:color w:val="000000"/>
                <w:kern w:val="0"/>
                <w:sz w:val="20"/>
                <w:szCs w:val="20"/>
                <w:u w:val="none"/>
                <w:lang w:val="en-US" w:eastAsia="zh-CN" w:bidi="ar"/>
              </w:rPr>
              <w:t>3包</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抢救设备</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多功能抢救床</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1、规格：2020mm*740mm*580-880mm。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2、由推车及担架两部分组成。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3、床面及主要结构采用优质高级ABS工程塑料一次性注塑成型，背板最大倾斜角度：0-60°床面两侧带有旋转护栏，护栏锁紧机构可靠，美观实用。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4、丝杆采用45#钢，由专用滚丝机滚挤压成型，丝口圆滑，操作轻松，丝杆具有双向过摇保护装置。摇把和丝杆之间采用“万向接”连接技术，“万向接”为钢件。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5、输液架为可调式，根据需要自行调节高度。框架材料采用Φ19不锈钢圆管，挂钩采用采用Φ5CR冷拔圆钢，挂钩数量为3个；</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6、床体配带氧气瓶放于氧气瓶架后同时锁紧两个氧气瓶固定开关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7、该车底座采用合金压铸成型，配5寸高级人造橡胶静音中控刹车系统稳定可靠，导向轮装置可轻松操作，方向可控；外罩包ABS防缠绕，坚固耐用，外表美观。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除颤监护仪</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b w:val="0"/>
                <w:bCs w:val="0"/>
              </w:rPr>
            </w:pPr>
            <w:r>
              <w:rPr>
                <w:rFonts w:hint="eastAsia"/>
                <w:b w:val="0"/>
                <w:bCs w:val="0"/>
              </w:rPr>
              <w:t>1.重量：≤6.1kg，含电池、体外板和心电导联线。</w:t>
            </w:r>
          </w:p>
          <w:p>
            <w:pPr>
              <w:jc w:val="left"/>
              <w:rPr>
                <w:rFonts w:hint="eastAsia"/>
                <w:b w:val="0"/>
                <w:bCs w:val="0"/>
              </w:rPr>
            </w:pPr>
            <w:r>
              <w:rPr>
                <w:rFonts w:hint="eastAsia"/>
                <w:b w:val="0"/>
                <w:bCs w:val="0"/>
              </w:rPr>
              <w:t>2.彩色TFT显示屏≥7英寸, 分辨率800×480像素，可显示≥3通道监护参数波形，有高对比度显示界面。</w:t>
            </w:r>
          </w:p>
          <w:p>
            <w:pPr>
              <w:jc w:val="left"/>
              <w:rPr>
                <w:rFonts w:hint="eastAsia"/>
                <w:b w:val="0"/>
                <w:bCs w:val="0"/>
              </w:rPr>
            </w:pPr>
            <w:r>
              <w:rPr>
                <w:rFonts w:hint="eastAsia"/>
                <w:b w:val="0"/>
                <w:bCs w:val="0"/>
              </w:rPr>
              <w:t>3.屏幕显示心电波形扫描时间≥16s。</w:t>
            </w:r>
          </w:p>
          <w:p>
            <w:pPr>
              <w:jc w:val="left"/>
              <w:rPr>
                <w:rFonts w:hint="eastAsia"/>
                <w:b w:val="0"/>
                <w:bCs w:val="0"/>
              </w:rPr>
            </w:pPr>
            <w:r>
              <w:rPr>
                <w:rFonts w:hint="eastAsia"/>
                <w:b w:val="0"/>
                <w:bCs w:val="0"/>
              </w:rPr>
              <w:t>4.具备手动除颤、心电监护、呼吸监护、自动体外除颤（AED）功能，AED功能适用于8岁以下人群。</w:t>
            </w:r>
          </w:p>
          <w:p>
            <w:pPr>
              <w:jc w:val="left"/>
              <w:rPr>
                <w:rFonts w:hint="eastAsia"/>
                <w:b w:val="0"/>
                <w:bCs w:val="0"/>
              </w:rPr>
            </w:pPr>
            <w:r>
              <w:rPr>
                <w:rFonts w:hint="eastAsia"/>
                <w:b w:val="0"/>
                <w:bCs w:val="0"/>
              </w:rPr>
              <w:t>5.除颤采用双相波技术，具备自动阻抗补偿功能。</w:t>
            </w:r>
          </w:p>
          <w:p>
            <w:pPr>
              <w:jc w:val="left"/>
              <w:rPr>
                <w:rFonts w:hint="eastAsia"/>
                <w:b w:val="0"/>
                <w:bCs w:val="0"/>
              </w:rPr>
            </w:pPr>
            <w:r>
              <w:rPr>
                <w:rFonts w:hint="eastAsia"/>
                <w:b w:val="0"/>
                <w:bCs w:val="0"/>
              </w:rPr>
              <w:t>6.手动除颤分为同步和非同步两种方式，能量分20档以上，可通过体外电极板进行能量选择，最大能量可达360J。</w:t>
            </w:r>
          </w:p>
          <w:p>
            <w:pPr>
              <w:jc w:val="left"/>
              <w:rPr>
                <w:rFonts w:hint="eastAsia"/>
                <w:b w:val="0"/>
                <w:bCs w:val="0"/>
              </w:rPr>
            </w:pPr>
            <w:r>
              <w:rPr>
                <w:rFonts w:hint="eastAsia"/>
                <w:b w:val="0"/>
                <w:bCs w:val="0"/>
              </w:rPr>
              <w:t>7.可配置体内除颤手柄，体内手动除颤能力选择：1/2/3/4/5/6/7/8/9/10/15/20/30/50 J</w:t>
            </w:r>
          </w:p>
          <w:p>
            <w:pPr>
              <w:jc w:val="left"/>
              <w:rPr>
                <w:rFonts w:hint="eastAsia"/>
                <w:b w:val="0"/>
                <w:bCs w:val="0"/>
              </w:rPr>
            </w:pPr>
            <w:r>
              <w:rPr>
                <w:rFonts w:hint="eastAsia"/>
                <w:b w:val="0"/>
                <w:bCs w:val="0"/>
              </w:rPr>
              <w:t>8.支持至少三种尺寸体内除颤电极板，适用不同病人类型。</w:t>
            </w:r>
          </w:p>
          <w:p>
            <w:pPr>
              <w:jc w:val="left"/>
              <w:rPr>
                <w:rFonts w:hint="eastAsia"/>
                <w:b w:val="0"/>
                <w:bCs w:val="0"/>
              </w:rPr>
            </w:pPr>
            <w:r>
              <w:rPr>
                <w:rFonts w:hint="eastAsia"/>
                <w:b w:val="0"/>
                <w:bCs w:val="0"/>
              </w:rPr>
              <w:t>9.体外除颤电极板同时支持成人和小儿，一体化设计，支持快速切换。</w:t>
            </w:r>
          </w:p>
          <w:p>
            <w:pPr>
              <w:jc w:val="left"/>
              <w:rPr>
                <w:rFonts w:hint="eastAsia"/>
                <w:b w:val="0"/>
                <w:bCs w:val="0"/>
              </w:rPr>
            </w:pPr>
            <w:r>
              <w:rPr>
                <w:rFonts w:hint="eastAsia"/>
                <w:b w:val="0"/>
                <w:bCs w:val="0"/>
              </w:rPr>
              <w:t>10.电极板支持能量选择，充电和放电三步操作，满足单人除颤操作。</w:t>
            </w:r>
          </w:p>
          <w:p>
            <w:pPr>
              <w:jc w:val="left"/>
              <w:rPr>
                <w:rFonts w:hint="eastAsia"/>
                <w:b w:val="0"/>
                <w:bCs w:val="0"/>
              </w:rPr>
            </w:pPr>
            <w:r>
              <w:rPr>
                <w:rFonts w:hint="eastAsia"/>
                <w:b w:val="0"/>
                <w:bCs w:val="0"/>
              </w:rPr>
              <w:t>11.AED除颤功能提供中文语音和中文提醒功能，对于抢救过程支持自动录音功能，记录时长≥60min。</w:t>
            </w:r>
          </w:p>
          <w:p>
            <w:pPr>
              <w:jc w:val="left"/>
              <w:rPr>
                <w:rFonts w:hint="eastAsia"/>
                <w:b w:val="0"/>
                <w:bCs w:val="0"/>
              </w:rPr>
            </w:pPr>
            <w:r>
              <w:rPr>
                <w:rFonts w:hint="eastAsia"/>
                <w:b w:val="0"/>
                <w:bCs w:val="0"/>
              </w:rPr>
              <w:t>12.开机时间≤2s，符合临床使用。</w:t>
            </w:r>
          </w:p>
          <w:p>
            <w:pPr>
              <w:jc w:val="left"/>
              <w:rPr>
                <w:rFonts w:hint="eastAsia"/>
                <w:b w:val="0"/>
                <w:bCs w:val="0"/>
              </w:rPr>
            </w:pPr>
            <w:r>
              <w:rPr>
                <w:rFonts w:hint="eastAsia"/>
                <w:b w:val="0"/>
                <w:bCs w:val="0"/>
              </w:rPr>
              <w:t>13.除颤充电迅速，充电至200J≤4s。</w:t>
            </w:r>
          </w:p>
          <w:p>
            <w:pPr>
              <w:jc w:val="left"/>
              <w:rPr>
                <w:rFonts w:hint="eastAsia"/>
                <w:b w:val="0"/>
                <w:bCs w:val="0"/>
              </w:rPr>
            </w:pPr>
            <w:r>
              <w:rPr>
                <w:rFonts w:hint="eastAsia"/>
                <w:b w:val="0"/>
                <w:bCs w:val="0"/>
              </w:rPr>
              <w:t>14.除颤后心电基线恢复时间≤2.5s。</w:t>
            </w:r>
          </w:p>
          <w:p>
            <w:pPr>
              <w:jc w:val="left"/>
              <w:rPr>
                <w:rFonts w:hint="eastAsia"/>
                <w:b w:val="0"/>
                <w:bCs w:val="0"/>
              </w:rPr>
            </w:pPr>
            <w:r>
              <w:rPr>
                <w:rFonts w:hint="eastAsia"/>
                <w:b w:val="0"/>
                <w:bCs w:val="0"/>
              </w:rPr>
              <w:t>15.从开始AED分析到放电准备就绪≤10s。</w:t>
            </w:r>
          </w:p>
          <w:p>
            <w:pPr>
              <w:jc w:val="left"/>
              <w:rPr>
                <w:rFonts w:hint="eastAsia"/>
                <w:b w:val="0"/>
                <w:bCs w:val="0"/>
              </w:rPr>
            </w:pPr>
            <w:r>
              <w:rPr>
                <w:rFonts w:hint="eastAsia"/>
                <w:b w:val="0"/>
                <w:bCs w:val="0"/>
              </w:rPr>
              <w:t>16.支持病人接触状态和阻抗值实时显示。</w:t>
            </w:r>
          </w:p>
          <w:p>
            <w:pPr>
              <w:jc w:val="left"/>
              <w:rPr>
                <w:rFonts w:hint="eastAsia"/>
                <w:b w:val="0"/>
                <w:bCs w:val="0"/>
              </w:rPr>
            </w:pPr>
            <w:r>
              <w:rPr>
                <w:rFonts w:hint="eastAsia"/>
                <w:b w:val="0"/>
                <w:bCs w:val="0"/>
              </w:rPr>
              <w:t>17.支持配置CPR辅助功能，CPR传感器设计符合2015 AHA/ERC指南，提供即时的按压反馈</w:t>
            </w:r>
          </w:p>
          <w:p>
            <w:pPr>
              <w:jc w:val="left"/>
              <w:rPr>
                <w:rFonts w:hint="eastAsia"/>
                <w:b w:val="0"/>
                <w:bCs w:val="0"/>
              </w:rPr>
            </w:pPr>
            <w:r>
              <w:rPr>
                <w:rFonts w:hint="eastAsia"/>
                <w:b w:val="0"/>
                <w:bCs w:val="0"/>
              </w:rPr>
              <w:t>18.心电波形速度支持50 mm/s、25 mm/s、12.5 mm/s、6.25 mm/s。</w:t>
            </w:r>
          </w:p>
          <w:p>
            <w:pPr>
              <w:jc w:val="left"/>
              <w:rPr>
                <w:rFonts w:hint="eastAsia"/>
                <w:b w:val="0"/>
                <w:bCs w:val="0"/>
              </w:rPr>
            </w:pPr>
            <w:r>
              <w:rPr>
                <w:rFonts w:hint="eastAsia"/>
                <w:b w:val="0"/>
                <w:bCs w:val="0"/>
              </w:rPr>
              <w:t>19.通过心电电极片可监测的心律失常分析种类≥24种。</w:t>
            </w:r>
          </w:p>
          <w:p>
            <w:pPr>
              <w:jc w:val="left"/>
              <w:rPr>
                <w:rFonts w:hint="eastAsia"/>
                <w:b w:val="0"/>
                <w:bCs w:val="0"/>
              </w:rPr>
            </w:pPr>
            <w:r>
              <w:rPr>
                <w:rFonts w:hint="eastAsia"/>
                <w:b w:val="0"/>
                <w:bCs w:val="0"/>
              </w:rPr>
              <w:t>20.可选配监护功能：血氧饱和度、无创血压、呼吸末二氧化碳。</w:t>
            </w:r>
          </w:p>
          <w:p>
            <w:pPr>
              <w:jc w:val="left"/>
              <w:rPr>
                <w:rFonts w:hint="eastAsia"/>
                <w:b w:val="0"/>
                <w:bCs w:val="0"/>
              </w:rPr>
            </w:pPr>
            <w:r>
              <w:rPr>
                <w:rFonts w:hint="eastAsia"/>
                <w:b w:val="0"/>
                <w:bCs w:val="0"/>
              </w:rPr>
              <w:t>21.提供的监护参数适用于成人，小儿和新生儿，并通过国家三类注册、CE认证。</w:t>
            </w:r>
          </w:p>
          <w:p>
            <w:pPr>
              <w:jc w:val="left"/>
              <w:rPr>
                <w:rFonts w:hint="eastAsia"/>
                <w:b w:val="0"/>
                <w:bCs w:val="0"/>
              </w:rPr>
            </w:pPr>
            <w:r>
              <w:rPr>
                <w:rFonts w:hint="eastAsia"/>
                <w:b w:val="0"/>
                <w:bCs w:val="0"/>
              </w:rPr>
              <w:t>22.无创血压收缩压测量范围：25-285mmHg（成人）、25-240mmHg（小儿）、25-140mmHg（新生儿），舒张压测量范围：10-250mmHg（成人）、10-200mmHg（小儿），10-115mmHg（新生儿）。</w:t>
            </w:r>
          </w:p>
          <w:p>
            <w:pPr>
              <w:jc w:val="left"/>
              <w:rPr>
                <w:rFonts w:hint="eastAsia"/>
                <w:b w:val="0"/>
                <w:bCs w:val="0"/>
              </w:rPr>
            </w:pPr>
            <w:r>
              <w:rPr>
                <w:rFonts w:hint="eastAsia"/>
                <w:b w:val="0"/>
                <w:bCs w:val="0"/>
              </w:rPr>
              <w:t>23.支持连接中央站，与科室床旁监护仪共用监护网络。</w:t>
            </w:r>
          </w:p>
          <w:p>
            <w:pPr>
              <w:jc w:val="left"/>
              <w:rPr>
                <w:rFonts w:hint="eastAsia"/>
                <w:b w:val="0"/>
                <w:bCs w:val="0"/>
              </w:rPr>
            </w:pPr>
            <w:r>
              <w:rPr>
                <w:rFonts w:hint="eastAsia"/>
                <w:b w:val="0"/>
                <w:bCs w:val="0"/>
              </w:rPr>
              <w:t>24.支持提供IHE HL7协议，满足院前院内急救系统的联网通信。</w:t>
            </w:r>
          </w:p>
          <w:p>
            <w:pPr>
              <w:jc w:val="left"/>
              <w:rPr>
                <w:rFonts w:hint="eastAsia"/>
                <w:b w:val="0"/>
                <w:bCs w:val="0"/>
              </w:rPr>
            </w:pPr>
            <w:r>
              <w:rPr>
                <w:rFonts w:hint="eastAsia"/>
                <w:b w:val="0"/>
                <w:bCs w:val="0"/>
              </w:rPr>
              <w:t>25.标配1块外置智能锂电池，可支持200J除颤≥300次。</w:t>
            </w:r>
          </w:p>
          <w:p>
            <w:pPr>
              <w:jc w:val="left"/>
              <w:rPr>
                <w:rFonts w:hint="eastAsia"/>
                <w:b w:val="0"/>
                <w:bCs w:val="0"/>
              </w:rPr>
            </w:pPr>
            <w:r>
              <w:rPr>
                <w:rFonts w:hint="eastAsia"/>
                <w:b w:val="0"/>
                <w:bCs w:val="0"/>
              </w:rPr>
              <w:t>26.具备生理报警和技术报警功能，通过声音、灯光和文字3种方式进行报警。</w:t>
            </w:r>
          </w:p>
          <w:p>
            <w:pPr>
              <w:jc w:val="left"/>
              <w:rPr>
                <w:rFonts w:hint="eastAsia"/>
                <w:b w:val="0"/>
                <w:bCs w:val="0"/>
              </w:rPr>
            </w:pPr>
            <w:r>
              <w:rPr>
                <w:rFonts w:hint="eastAsia"/>
                <w:b w:val="0"/>
                <w:bCs w:val="0"/>
              </w:rPr>
              <w:t>27.配置50mm记录纸记录仪，自动打印除颤记录，单次波形记录时间最大不小于30s；支持连续波形记录。</w:t>
            </w:r>
          </w:p>
          <w:p>
            <w:pPr>
              <w:jc w:val="left"/>
              <w:rPr>
                <w:rFonts w:hint="eastAsia"/>
                <w:b w:val="0"/>
                <w:bCs w:val="0"/>
              </w:rPr>
            </w:pPr>
            <w:r>
              <w:rPr>
                <w:rFonts w:hint="eastAsia"/>
                <w:b w:val="0"/>
                <w:bCs w:val="0"/>
              </w:rPr>
              <w:t>28.可存储24小时连续ECG波形，数据可导出至电脑查看。</w:t>
            </w:r>
          </w:p>
          <w:p>
            <w:pPr>
              <w:jc w:val="left"/>
              <w:rPr>
                <w:rFonts w:hint="eastAsia"/>
                <w:b w:val="0"/>
                <w:bCs w:val="0"/>
              </w:rPr>
            </w:pPr>
            <w:r>
              <w:rPr>
                <w:rFonts w:hint="eastAsia"/>
                <w:b w:val="0"/>
                <w:bCs w:val="0"/>
              </w:rPr>
              <w:t>29.关机状态下设备支持每天定时自动运行自检，支持定期自动大能量自检。</w:t>
            </w:r>
          </w:p>
          <w:p>
            <w:pPr>
              <w:jc w:val="left"/>
              <w:rPr>
                <w:rFonts w:hint="eastAsia"/>
                <w:b w:val="0"/>
                <w:bCs w:val="0"/>
              </w:rPr>
            </w:pPr>
            <w:r>
              <w:rPr>
                <w:rFonts w:hint="eastAsia"/>
                <w:b w:val="0"/>
                <w:bCs w:val="0"/>
              </w:rPr>
              <w:t>30.具备良好的防尘防水性能，防尘防水级别IP44。</w:t>
            </w:r>
          </w:p>
          <w:p>
            <w:pPr>
              <w:jc w:val="left"/>
              <w:rPr>
                <w:rFonts w:hint="default"/>
                <w:lang w:val="en-US"/>
              </w:rPr>
            </w:pPr>
            <w:r>
              <w:rPr>
                <w:rFonts w:hint="eastAsia"/>
                <w:b w:val="0"/>
                <w:bCs w:val="0"/>
              </w:rPr>
              <w:t>31.具备优异的抗跌落性能，满足救护车标准EN1789 中6.3.4.3 关于跌落试验的要求，裸机可承受6面0.75m跌落冲击。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病人监护仪</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1：整机要求：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1.1、一体化便携监护仪，整机无风扇设计。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1.2、配置提手,方便移动。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1.3、屏幕采用最新电容屏非电阻屏。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1.4、显示屏可支持亮度自动调节功能。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1.5、屏幕倾斜10~15度设计，符合人机工程学，便于临床团队观察和操作。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1.6、可支持遥控器无线远程操作监护仪,提供证明材料。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1.7、内置锂电池，插槽式设计，无需螺丝刀工具支持快速拆卸和安装。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1.8、安全规格：ECG, TEMP, SpO2, IBP , NIBP监测参数抗电击程度为防除颤CF型, 提供机器接口防护等级丝印照片证明材料。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1.9、监护仪设计使用年限≥8年，提供机器标贴证明材料。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1.10、监护仪清洁维护支持的清洁剂≥40种，在厂家手册中清晰列举清洁剂的种类，提供厂家手册证明材料。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1.11、≥12英寸彩色液晶触摸屏，分辨率高达1280*800像素或更高，≥9通道波形显示。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2：监测参数：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2.1、配置3/5导心电，呼吸，血氧饱和度，无创血压，脉搏和双通道体温参数监测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2.2、心电监护支持心率，ST段测量，心律失常分析，QT/QTc连续实时测量和对应报警功能，，提供注册证证明材料。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2.3、心电算法通过AHA/MIT-BIH数据库验证，提供证明材料。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2.4、心电波形扫描速度支持6.25mm/s、12.5 mm/s、25 mm/s和50 mm/s，提供界面截图证明材料。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2.5、提供窗口支持心脏下壁，侧壁和前壁对应多个ST片段的同屏实时显示，提供参考片段和实时片段的对比查看，提供界面截图证明材料。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2.6、支持≥20种心律失常分析,包括房颤分析。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2.7、提供SpO2,PR和PI参数的实时监测，适用于成人，小儿和新生儿。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2.8、支持指套式血氧探头，IPX7防水等级，支持液体浸泡消毒和清洁。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2.9、配置无创血压测量，适用于小儿，成人和新生儿。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2.10、具备模拟输出/除颤同步/护士呼叫/串口/VGA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2.11、提供手动，自动，连续和序列4种测量模式，并提供24小时血压统计结果，满足临床应用，并提供产品界面截图证明材料。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2.12、无创血压成人测量范围：收缩压25~290mmHg，舒张压10~250mmHg，平均压15~260mmHg，提供检测报告证明材料。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2.13、提供辅助静脉穿刺功能。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2.14、提供双通道体温和温差参数的监测, 并可根据需要更改体温通道标名，提供界面截图。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2.15、具备模拟输出/除颤同步/护士呼叫/串口/VGA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3：系统功能：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3.1、支持所有监测参数报警限一键自动设置功能，满足医护团队快速管理患者报警需求，产品用户手册提供报警限自动设置规则。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3.2、具有图形化技术报警指示功能，帮助医护团队快速识别报警来源。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3.3、支持≥120小时趋势图和趋势表回顾，支持选择不同趋势组回顾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3.4、≥1000条事件回顾。每条报警事件至少能够存储32秒三道相关波形，以及报警触发时所有测量参数值</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3.5、≥1000组NIBP测量结果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3.6、≥120小时（分辨率1分钟）ST模板存储与回顾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3.7、支持48小时全息波形的存储与回顾功能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3.8、支持监护仪历史病人数据的存储和回顾，并支持通过USB接口将历史病人数据导出到U盘。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3.9、支持RJ45接口进行有线网络通信，和除颤监护仪一起联网通信到中心监护系统。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3.10、支持监护仪进入夜间模式，隐私模式，待机模式和演示模式，提供界面截图证明材料。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3.11、提供心肌缺血评估工具，可以快速查看ST值的变化，提供界面截图证明材料。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3.12、提供计时器功能，界面区提供设置≥4个计时器，每个计时器支持独立设置和计时功能，计时方向包括正计时和倒计时两种选择，供界面截图证明材料。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3.13、支持格拉斯哥昏迷评分（GCS）功能。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3.14、动态趋势界面可支持统计1-24小时心律失常报警、参数超限报警信息，并对超限报警区间的波形进行高亮显示，帮助医护人员快速识别异常趋势信息。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心电图机</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一、基本要求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 本机须同时具备心电信号采集与热敏打印功能，不接受心电采集盒类产品。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 同屏显示，同步采集，同步热敏记录12道心电波形。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 显示屏≥10.0英寸，屏幕亮度可调，支持背景网格显示，支持全屏触控操作。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 本机具有一体化标准物理全键盘设计，支持拼音、五笔等输入法，方便信息输入。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支持手动输入，条码枪、磁卡读卡器、身份证读卡器读取，WORKLIST快速下载等3种患者信息录入方式。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 支持有线和无线联网，支持本机直接发送E-mail，实现疑难病例远程诊断。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 支持心电数据双向传输，可实现通过本机将采集的心电数据直接上传至心电网络平台（诊断中心），接收并打印回传的已诊断心电报告。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 支持PDF、PNG、HL7、XML、DICOM数据格式。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 支持FTP、HTTP、SAMBA传输协议。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二、性能要求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 A/D转换：24bit。(提供注册检验报告证明)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 采样率：≥30000Hz。(提供注册检验报告证明)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  频率响应：0.01Hz ~ 340Hz。(提供注册检验报告证明)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  内部噪声：≤15µVp-p。</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  时间常数：≥3.2 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  耐极化电压：±940mV。(提供注册检验报告证明)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  输入电流：≤0.01μA。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  抗干扰滤波：具有交流、肌电、漂移和高频截止滤波器。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  具备自适应工频滤波技术，有效去除干扰，改善心电信号质量。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  除颤保护：机器和导联线具有抗除颤电击保护功能。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三、功能要求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  ECG输入通道：标准12导联心电信号同步采集。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  导联选择：手动/自动可选，支持标准威尔逊、Cabrera导联体系，同时具备导联标识自定义功能。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  采集时间设置：波形实时采集和冻结时长均可达60s，同时可进行两页、三页、四页紧凑版热敏打印格式。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  支持实时采样、预采样、触发采样、周期采样模式，支持节律分析。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  可同屏显示12导同步心电波形，同时支持3*4、3*4+1R、3*4+3R、6*2、6*2+1R、6*2+3R、12*1等多种显示布局。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 屏幕显示信息：心电波形、时间、心率、ID、工作状态、导联脱落信息、联网状态信息、外接设备状态信息等。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 自动异常报警功能：可自动对异常心率、导联脱落、外设连接、高频信号干扰情况进行实时监测报警。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 支持起搏检测功能。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 具备平均模板功能。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3.10支持测量矩阵报告。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 热敏打印布局：3*4、3*4+1R、3*4+3R、6*2、6*2+1R、6*2+3R、12*1。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 热敏记录纸：折叠纸。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3.13本机支持外接激光打印机。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 设备内置存储器，本机可存储病历≥1000例，存储满后机器可循环存储。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 支持U盘、SD卡的扩容存储。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 支持U盘和SD卡直接导出PDF、PNG、HL7、XML、DICOM等格式的报告。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 支持波形冻结与波形浏览功能。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 支持报告打印预览功能。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 具有病历管理功能，可对存储的病历进行查询、浏览、修改、导出、传输、打印，方便医生调阅病人信息。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 支持病例重新编辑，具备病例模板与自定义病例模板的添加功能，方便医生在屏诊断时快速输入诊断结论。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 支持病例自动重新诊断功能，选取不同的波形片段和选择不同的诊断条件，设备将自动给出不同的诊断结论。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  权限管理：可对设置权限进行密码管控，包含传输、纸速、增益、报告模板等设置。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 标配向量、时间向量功能。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四、电源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交直流两用且自动转换，电源要求100-240V（50/60Hz）， 内置锂电池充满电后可连续工作4小时以上。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五、配置</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主机1台，导联线1条，肢电极4个，胸电极6个，热敏打印纸1本，电源线1根，接地线1根，其它必要辅件一套。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洗胃机</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电源电压：AC220V±10%，50Hz±1Hz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输入功率：250VA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流量：≥2L/min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自控冲液量：250～350mL/次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自控吸液量：300～450mL/次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熔丝管：T1AL250V，Φ5*20（网电源用）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熔丝管：F4AL250V，Φ5*20（变压器用）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噪声：≤65dB(A)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贮液桶：10L/只，2只一组</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重量：27kg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外形尺寸：362*400*850mm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本机不适合在易燃、易爆气体的场合使用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工作制：连续运行</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电器要求：I类设备，BF型应用部分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吸引器</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适用范围广噪音小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采用全塑面板设计，造型独特、新颖、美观。具有移动方便，低噪音、高负压，大流量的特点。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适用于各医疗单位手术时需吸引脓血、脓痰和粘质液体及其他需要负压吸引的场合。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负压源采用无油式活塞泵，环保清洁一完全没有油烟污染，方便省事一无需日常加油保养.</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主要技术指标电源AC220V，50Hz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极限负压值∶≥0.06MPa 噪音≤65dB（A）输入功率180VA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贮液瓶2500mL/只，2只一组抽气速率≥20L/min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有创呼吸机</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b w:val="0"/>
                <w:bCs w:val="0"/>
              </w:rPr>
            </w:pPr>
            <w:r>
              <w:rPr>
                <w:rFonts w:hint="eastAsia"/>
                <w:b w:val="0"/>
                <w:bCs w:val="0"/>
              </w:rPr>
              <w:t>一．基本要求</w:t>
            </w:r>
          </w:p>
          <w:p>
            <w:pPr>
              <w:jc w:val="left"/>
              <w:rPr>
                <w:rFonts w:hint="eastAsia"/>
                <w:b w:val="0"/>
                <w:bCs w:val="0"/>
              </w:rPr>
            </w:pPr>
            <w:r>
              <w:rPr>
                <w:rFonts w:hint="eastAsia"/>
                <w:b w:val="0"/>
                <w:bCs w:val="0"/>
              </w:rPr>
              <w:t>1.适用于成人、小儿和婴幼儿进行通气辅助及呼吸支持的呼吸机。</w:t>
            </w:r>
          </w:p>
          <w:p>
            <w:pPr>
              <w:jc w:val="left"/>
              <w:rPr>
                <w:rFonts w:hint="eastAsia"/>
                <w:b w:val="0"/>
                <w:bCs w:val="0"/>
              </w:rPr>
            </w:pPr>
            <w:r>
              <w:rPr>
                <w:rFonts w:hint="eastAsia"/>
                <w:b w:val="0"/>
                <w:bCs w:val="0"/>
              </w:rPr>
              <w:t>2.电动电控呼吸机，涡轮驱动产生空气气源，方便转运。</w:t>
            </w:r>
          </w:p>
          <w:p>
            <w:pPr>
              <w:jc w:val="left"/>
              <w:rPr>
                <w:rFonts w:hint="eastAsia"/>
                <w:b w:val="0"/>
                <w:bCs w:val="0"/>
              </w:rPr>
            </w:pPr>
            <w:r>
              <w:rPr>
                <w:rFonts w:hint="eastAsia"/>
                <w:b w:val="0"/>
                <w:bCs w:val="0"/>
              </w:rPr>
              <w:t>3.主机重量≤11千克（不含台车）。</w:t>
            </w:r>
          </w:p>
          <w:p>
            <w:pPr>
              <w:jc w:val="left"/>
              <w:rPr>
                <w:rFonts w:hint="eastAsia"/>
                <w:b w:val="0"/>
                <w:bCs w:val="0"/>
              </w:rPr>
            </w:pPr>
            <w:r>
              <w:rPr>
                <w:rFonts w:hint="eastAsia"/>
                <w:b w:val="0"/>
                <w:bCs w:val="0"/>
              </w:rPr>
              <w:t>4.采用12.1英寸彩色TFT触摸控制屏，分辨率1280*800。</w:t>
            </w:r>
          </w:p>
          <w:p>
            <w:pPr>
              <w:jc w:val="left"/>
              <w:rPr>
                <w:rFonts w:hint="eastAsia"/>
                <w:b w:val="0"/>
                <w:bCs w:val="0"/>
              </w:rPr>
            </w:pPr>
            <w:r>
              <w:rPr>
                <w:rFonts w:hint="eastAsia"/>
                <w:b w:val="0"/>
                <w:bCs w:val="0"/>
              </w:rPr>
              <w:t>5.不少于120分钟内置后备可充电电池。</w:t>
            </w:r>
          </w:p>
          <w:p>
            <w:pPr>
              <w:jc w:val="left"/>
              <w:rPr>
                <w:rFonts w:hint="eastAsia"/>
                <w:b w:val="0"/>
                <w:bCs w:val="0"/>
              </w:rPr>
            </w:pPr>
            <w:r>
              <w:rPr>
                <w:rFonts w:hint="eastAsia"/>
                <w:b w:val="0"/>
                <w:bCs w:val="0"/>
              </w:rPr>
              <w:t>6.★吸气安全阀组件可拆卸，并能高温高压蒸汽消毒（134℃），以防止交叉感染。</w:t>
            </w:r>
          </w:p>
          <w:p>
            <w:pPr>
              <w:jc w:val="left"/>
              <w:rPr>
                <w:rFonts w:hint="eastAsia"/>
                <w:b w:val="0"/>
                <w:bCs w:val="0"/>
              </w:rPr>
            </w:pPr>
            <w:r>
              <w:rPr>
                <w:rFonts w:hint="eastAsia"/>
                <w:b w:val="0"/>
                <w:bCs w:val="0"/>
              </w:rPr>
              <w:t>7.★呼气阀组件一体化设计可拆卸，内置金属膜片压差流量传感器，精度高，寿命长，并能高温高压蒸汽消毒（134℃），以防止交叉感染。</w:t>
            </w:r>
          </w:p>
          <w:p>
            <w:pPr>
              <w:jc w:val="left"/>
              <w:rPr>
                <w:rFonts w:hint="eastAsia"/>
                <w:b w:val="0"/>
                <w:bCs w:val="0"/>
              </w:rPr>
            </w:pPr>
            <w:r>
              <w:rPr>
                <w:rFonts w:hint="eastAsia"/>
                <w:b w:val="0"/>
                <w:bCs w:val="0"/>
              </w:rPr>
              <w:t>8.具备开机自检，可进行系统顺应性补偿并检测系统泄漏量，检查系统管道阻力，测试流量传感器、呼气阀和安全阀等部件，具有图形化和文字提指示功能。</w:t>
            </w:r>
          </w:p>
          <w:p>
            <w:pPr>
              <w:jc w:val="left"/>
              <w:rPr>
                <w:rFonts w:hint="eastAsia"/>
                <w:b w:val="0"/>
                <w:bCs w:val="0"/>
              </w:rPr>
            </w:pPr>
            <w:r>
              <w:rPr>
                <w:rFonts w:hint="eastAsia"/>
                <w:b w:val="0"/>
                <w:bCs w:val="0"/>
              </w:rPr>
              <w:t>9. ★标配待机模式、有创通气、氧疗模式、无创通气。</w:t>
            </w:r>
          </w:p>
          <w:p>
            <w:pPr>
              <w:jc w:val="left"/>
              <w:rPr>
                <w:rFonts w:hint="eastAsia"/>
                <w:b w:val="0"/>
                <w:bCs w:val="0"/>
              </w:rPr>
            </w:pPr>
            <w:r>
              <w:rPr>
                <w:rFonts w:hint="eastAsia"/>
                <w:b w:val="0"/>
                <w:bCs w:val="0"/>
              </w:rPr>
              <w:t>10.可通过病人类型及身高或理想体重进行参数快速设置，并可计算理想体重输送的潮气量（例如TVe/IBW或VT/PBW）。</w:t>
            </w:r>
          </w:p>
          <w:p>
            <w:pPr>
              <w:jc w:val="left"/>
              <w:rPr>
                <w:rFonts w:hint="eastAsia"/>
                <w:b w:val="0"/>
                <w:bCs w:val="0"/>
              </w:rPr>
            </w:pPr>
            <w:r>
              <w:rPr>
                <w:rFonts w:hint="eastAsia"/>
                <w:b w:val="0"/>
                <w:bCs w:val="0"/>
              </w:rPr>
              <w:t>11.病人数据、屏幕截图、机器设置等数据可通过USB接口导出。</w:t>
            </w:r>
          </w:p>
          <w:p>
            <w:pPr>
              <w:jc w:val="left"/>
              <w:rPr>
                <w:rFonts w:hint="eastAsia"/>
                <w:b w:val="0"/>
                <w:bCs w:val="0"/>
              </w:rPr>
            </w:pPr>
            <w:r>
              <w:rPr>
                <w:rFonts w:hint="eastAsia"/>
                <w:b w:val="0"/>
                <w:bCs w:val="0"/>
              </w:rPr>
              <w:t>12.可升级旁流CO2监测。可升级主流CO2监测，同时监测容积-CO2环图、气道死腔VDaw 和肺泡通气量Vtalv 等参数（提供证明文件）。</w:t>
            </w:r>
          </w:p>
          <w:p>
            <w:pPr>
              <w:jc w:val="left"/>
              <w:rPr>
                <w:rFonts w:hint="eastAsia"/>
                <w:b w:val="0"/>
                <w:bCs w:val="0"/>
              </w:rPr>
            </w:pPr>
            <w:r>
              <w:rPr>
                <w:rFonts w:hint="eastAsia"/>
                <w:b w:val="0"/>
                <w:bCs w:val="0"/>
              </w:rPr>
              <w:t>二．呼吸模式及功能</w:t>
            </w:r>
          </w:p>
          <w:p>
            <w:pPr>
              <w:jc w:val="left"/>
              <w:rPr>
                <w:rFonts w:hint="eastAsia"/>
                <w:b w:val="0"/>
                <w:bCs w:val="0"/>
              </w:rPr>
            </w:pPr>
            <w:r>
              <w:rPr>
                <w:rFonts w:hint="eastAsia"/>
                <w:b w:val="0"/>
                <w:bCs w:val="0"/>
              </w:rPr>
              <w:t>1. ★标配模式：容量控制通气下的辅助控制通气A/C和同步间歇指令通气SIMV（容量模式流速波形可调方波、50%或100%递减波）、压力控制通气下的辅助控制通气A/C和同步间歇指令通气SIMV、持续气道正压通气和压力支持CPAP/PSV、窒息通气模式及SIGH叹息模式、双相气道正压通气（例如BIPAP或Bi-vent或Bilevel），自动适应性压力调整调节容量控制通气（例如AUTOFLOW或PRVC或VC+）及其压力调节容量控制同步间歇指令通气SIMV。（提供证明文件）</w:t>
            </w:r>
          </w:p>
          <w:p>
            <w:pPr>
              <w:jc w:val="left"/>
              <w:rPr>
                <w:rFonts w:hint="eastAsia"/>
                <w:b w:val="0"/>
                <w:bCs w:val="0"/>
              </w:rPr>
            </w:pPr>
            <w:r>
              <w:rPr>
                <w:rFonts w:hint="eastAsia"/>
                <w:b w:val="0"/>
                <w:bCs w:val="0"/>
              </w:rPr>
              <w:t>2. ★选配模式：压力释放通气APRV，智能通气模式（如自适应分钟通气AMV，自适应支持通气ASV等），心肺复苏通气模式。（提供证明文件）</w:t>
            </w:r>
          </w:p>
          <w:p>
            <w:pPr>
              <w:jc w:val="left"/>
              <w:rPr>
                <w:rFonts w:hint="eastAsia"/>
                <w:b w:val="0"/>
                <w:bCs w:val="0"/>
              </w:rPr>
            </w:pPr>
            <w:r>
              <w:rPr>
                <w:rFonts w:hint="eastAsia"/>
                <w:b w:val="0"/>
                <w:bCs w:val="0"/>
              </w:rPr>
              <w:t>3.标配无创通气模式：具备无创通气NIV，包含P-A/C、P-SIMV、CPAP/PSV、DuoLevel，选配无创通气模式：APRV 和 PSV-S/T等模式。</w:t>
            </w:r>
          </w:p>
          <w:p>
            <w:pPr>
              <w:jc w:val="left"/>
              <w:rPr>
                <w:rFonts w:hint="eastAsia"/>
                <w:b w:val="0"/>
                <w:bCs w:val="0"/>
              </w:rPr>
            </w:pPr>
            <w:r>
              <w:rPr>
                <w:rFonts w:hint="eastAsia"/>
                <w:b w:val="0"/>
                <w:bCs w:val="0"/>
              </w:rPr>
              <w:t>4.具备通气模式自定义显示功能，方便用户个性化配置常用通气模式。</w:t>
            </w:r>
          </w:p>
          <w:p>
            <w:pPr>
              <w:jc w:val="left"/>
              <w:rPr>
                <w:rFonts w:hint="eastAsia"/>
                <w:b w:val="0"/>
                <w:bCs w:val="0"/>
              </w:rPr>
            </w:pPr>
            <w:r>
              <w:rPr>
                <w:rFonts w:hint="eastAsia"/>
                <w:b w:val="0"/>
                <w:bCs w:val="0"/>
              </w:rPr>
              <w:t>5.★氧疗模式：标配具备高流速氧疗功能，氧疗流速不低于80L/min和氧浓度可设，并具有氧疗计时功能。（提供证明文件）</w:t>
            </w:r>
          </w:p>
          <w:p>
            <w:pPr>
              <w:jc w:val="left"/>
              <w:rPr>
                <w:rFonts w:hint="eastAsia"/>
                <w:b w:val="0"/>
                <w:bCs w:val="0"/>
              </w:rPr>
            </w:pPr>
            <w:r>
              <w:rPr>
                <w:rFonts w:hint="eastAsia"/>
                <w:b w:val="0"/>
                <w:bCs w:val="0"/>
              </w:rPr>
              <w:t>6.★先进的具有智能同步技术，提高病人自主呼吸时的舒适度和人机同步性，：具备吸气触发、压力上升时间、呼气触发自动调节功能，提高病人自主呼吸时的舒适度和人机同步性，无需医护人员频繁手动调节上述参数。（提供证明文件）</w:t>
            </w:r>
          </w:p>
          <w:p>
            <w:pPr>
              <w:jc w:val="left"/>
              <w:rPr>
                <w:rFonts w:hint="eastAsia"/>
                <w:b w:val="0"/>
                <w:bCs w:val="0"/>
              </w:rPr>
            </w:pPr>
            <w:r>
              <w:rPr>
                <w:rFonts w:hint="eastAsia"/>
                <w:b w:val="0"/>
                <w:bCs w:val="0"/>
              </w:rPr>
              <w:t>7.其他功能：具备手动呼吸、吸气保持、呼气保持、同步雾化、纯氧灌注、智能吸痰、内源性PEEP、口腔闭合压P0.1和最大吸气负压NIF的测定。</w:t>
            </w:r>
          </w:p>
          <w:p>
            <w:pPr>
              <w:jc w:val="left"/>
              <w:rPr>
                <w:rFonts w:hint="eastAsia"/>
                <w:b w:val="0"/>
                <w:bCs w:val="0"/>
              </w:rPr>
            </w:pPr>
            <w:r>
              <w:rPr>
                <w:rFonts w:hint="eastAsia"/>
                <w:b w:val="0"/>
                <w:bCs w:val="0"/>
              </w:rPr>
              <w:t>8.标配有动态肺视图，图形化实时显示肺力学参数。</w:t>
            </w:r>
          </w:p>
          <w:p>
            <w:pPr>
              <w:jc w:val="left"/>
              <w:rPr>
                <w:rFonts w:hint="eastAsia"/>
                <w:b w:val="0"/>
                <w:bCs w:val="0"/>
              </w:rPr>
            </w:pPr>
            <w:r>
              <w:rPr>
                <w:rFonts w:hint="eastAsia"/>
                <w:b w:val="0"/>
                <w:bCs w:val="0"/>
              </w:rPr>
              <w:t>9.可具备自动气管插管阻力补偿功能（例如TRC或ATRC或ATC），插管孔径和补偿百分比可设，使插管末端的压力与呼吸机压力设置值一致。</w:t>
            </w:r>
          </w:p>
          <w:p>
            <w:pPr>
              <w:jc w:val="left"/>
              <w:rPr>
                <w:rFonts w:hint="eastAsia"/>
                <w:b w:val="0"/>
                <w:bCs w:val="0"/>
              </w:rPr>
            </w:pPr>
            <w:r>
              <w:rPr>
                <w:rFonts w:hint="eastAsia"/>
                <w:b w:val="0"/>
                <w:bCs w:val="0"/>
              </w:rPr>
              <w:t>10.★可升级低流速P-V工具，帮助确定最佳PEEP设置值。</w:t>
            </w:r>
          </w:p>
          <w:p>
            <w:pPr>
              <w:jc w:val="left"/>
              <w:rPr>
                <w:rFonts w:hint="eastAsia"/>
                <w:b w:val="0"/>
                <w:bCs w:val="0"/>
              </w:rPr>
            </w:pPr>
            <w:r>
              <w:rPr>
                <w:rFonts w:hint="eastAsia"/>
                <w:b w:val="0"/>
                <w:bCs w:val="0"/>
              </w:rPr>
              <w:t>三．设置参数要求</w:t>
            </w:r>
          </w:p>
          <w:p>
            <w:pPr>
              <w:jc w:val="left"/>
              <w:rPr>
                <w:rFonts w:hint="eastAsia"/>
                <w:b w:val="0"/>
                <w:bCs w:val="0"/>
              </w:rPr>
            </w:pPr>
            <w:r>
              <w:rPr>
                <w:rFonts w:hint="eastAsia"/>
                <w:b w:val="0"/>
                <w:bCs w:val="0"/>
              </w:rPr>
              <w:t>1.潮气量：20ml-2000ml</w:t>
            </w:r>
          </w:p>
          <w:p>
            <w:pPr>
              <w:jc w:val="left"/>
              <w:rPr>
                <w:rFonts w:hint="eastAsia"/>
                <w:b w:val="0"/>
                <w:bCs w:val="0"/>
              </w:rPr>
            </w:pPr>
            <w:r>
              <w:rPr>
                <w:rFonts w:hint="eastAsia"/>
                <w:b w:val="0"/>
                <w:bCs w:val="0"/>
              </w:rPr>
              <w:t>2.呼吸频率：1-100次/min</w:t>
            </w:r>
          </w:p>
          <w:p>
            <w:pPr>
              <w:jc w:val="left"/>
              <w:rPr>
                <w:rFonts w:hint="eastAsia"/>
                <w:b w:val="0"/>
                <w:bCs w:val="0"/>
              </w:rPr>
            </w:pPr>
            <w:r>
              <w:rPr>
                <w:rFonts w:hint="eastAsia"/>
                <w:b w:val="0"/>
                <w:bCs w:val="0"/>
              </w:rPr>
              <w:t>3.SIMV频率：1-60次/min</w:t>
            </w:r>
          </w:p>
          <w:p>
            <w:pPr>
              <w:jc w:val="left"/>
              <w:rPr>
                <w:rFonts w:hint="eastAsia"/>
                <w:b w:val="0"/>
                <w:bCs w:val="0"/>
              </w:rPr>
            </w:pPr>
            <w:r>
              <w:rPr>
                <w:rFonts w:hint="eastAsia"/>
                <w:b w:val="0"/>
                <w:bCs w:val="0"/>
              </w:rPr>
              <w:t>4.吸/呼比：1:10-4:1</w:t>
            </w:r>
          </w:p>
          <w:p>
            <w:pPr>
              <w:jc w:val="left"/>
              <w:rPr>
                <w:rFonts w:hint="eastAsia"/>
                <w:b w:val="0"/>
                <w:bCs w:val="0"/>
              </w:rPr>
            </w:pPr>
            <w:r>
              <w:rPr>
                <w:rFonts w:hint="eastAsia"/>
                <w:b w:val="0"/>
                <w:bCs w:val="0"/>
              </w:rPr>
              <w:t>5.最大峰值流速：≥210L/min</w:t>
            </w:r>
          </w:p>
          <w:p>
            <w:pPr>
              <w:jc w:val="left"/>
              <w:rPr>
                <w:rFonts w:hint="eastAsia"/>
                <w:b w:val="0"/>
                <w:bCs w:val="0"/>
              </w:rPr>
            </w:pPr>
            <w:r>
              <w:rPr>
                <w:rFonts w:hint="eastAsia"/>
                <w:b w:val="0"/>
                <w:bCs w:val="0"/>
              </w:rPr>
              <w:t>6.吸气压力： 5-80cmH2O</w:t>
            </w:r>
          </w:p>
          <w:p>
            <w:pPr>
              <w:jc w:val="left"/>
              <w:rPr>
                <w:rFonts w:hint="eastAsia"/>
                <w:b w:val="0"/>
                <w:bCs w:val="0"/>
              </w:rPr>
            </w:pPr>
            <w:r>
              <w:rPr>
                <w:rFonts w:hint="eastAsia"/>
                <w:b w:val="0"/>
                <w:bCs w:val="0"/>
              </w:rPr>
              <w:t>7.压力支持：0-80cmH2O（提供检验报告作为证明文件）</w:t>
            </w:r>
          </w:p>
          <w:p>
            <w:pPr>
              <w:jc w:val="left"/>
              <w:rPr>
                <w:rFonts w:hint="eastAsia"/>
                <w:b w:val="0"/>
                <w:bCs w:val="0"/>
              </w:rPr>
            </w:pPr>
            <w:r>
              <w:rPr>
                <w:rFonts w:hint="eastAsia"/>
                <w:b w:val="0"/>
                <w:bCs w:val="0"/>
              </w:rPr>
              <w:t>8.呼气末正压PEEP：0-45 cmH2O</w:t>
            </w:r>
          </w:p>
          <w:p>
            <w:pPr>
              <w:jc w:val="left"/>
              <w:rPr>
                <w:rFonts w:hint="eastAsia"/>
                <w:b w:val="0"/>
                <w:bCs w:val="0"/>
              </w:rPr>
            </w:pPr>
            <w:r>
              <w:rPr>
                <w:rFonts w:hint="eastAsia"/>
                <w:b w:val="0"/>
                <w:bCs w:val="0"/>
              </w:rPr>
              <w:t>9.压力触发灵敏度： -20 - -0.5cmH2O（提供证明文件）</w:t>
            </w:r>
          </w:p>
          <w:p>
            <w:pPr>
              <w:jc w:val="left"/>
              <w:rPr>
                <w:rFonts w:hint="eastAsia"/>
                <w:b w:val="0"/>
                <w:bCs w:val="0"/>
              </w:rPr>
            </w:pPr>
            <w:r>
              <w:rPr>
                <w:rFonts w:hint="eastAsia"/>
                <w:b w:val="0"/>
                <w:bCs w:val="0"/>
              </w:rPr>
              <w:t>10.流量触发灵敏度： 0.5-20L/ min（提供证明文件）</w:t>
            </w:r>
          </w:p>
          <w:p>
            <w:pPr>
              <w:jc w:val="left"/>
              <w:rPr>
                <w:rFonts w:hint="eastAsia"/>
                <w:b w:val="0"/>
                <w:bCs w:val="0"/>
              </w:rPr>
            </w:pPr>
            <w:r>
              <w:rPr>
                <w:rFonts w:hint="eastAsia"/>
                <w:b w:val="0"/>
                <w:bCs w:val="0"/>
              </w:rPr>
              <w:t>11.呼气触发灵敏度：Auto, 10-85%</w:t>
            </w:r>
          </w:p>
          <w:p>
            <w:pPr>
              <w:jc w:val="left"/>
              <w:rPr>
                <w:rFonts w:hint="eastAsia"/>
                <w:b w:val="0"/>
                <w:bCs w:val="0"/>
              </w:rPr>
            </w:pPr>
            <w:r>
              <w:rPr>
                <w:rFonts w:hint="eastAsia"/>
                <w:b w:val="0"/>
                <w:bCs w:val="0"/>
              </w:rPr>
              <w:t>12.氧浓度：21-100%</w:t>
            </w:r>
          </w:p>
          <w:p>
            <w:pPr>
              <w:jc w:val="left"/>
              <w:rPr>
                <w:rFonts w:hint="eastAsia"/>
                <w:b w:val="0"/>
                <w:bCs w:val="0"/>
              </w:rPr>
            </w:pPr>
            <w:r>
              <w:rPr>
                <w:rFonts w:hint="eastAsia"/>
                <w:b w:val="0"/>
                <w:bCs w:val="0"/>
              </w:rPr>
              <w:t>13.压力上升时间：0-2s</w:t>
            </w:r>
          </w:p>
          <w:p>
            <w:pPr>
              <w:jc w:val="left"/>
              <w:rPr>
                <w:rFonts w:hint="eastAsia"/>
                <w:b w:val="0"/>
                <w:bCs w:val="0"/>
              </w:rPr>
            </w:pPr>
            <w:r>
              <w:rPr>
                <w:rFonts w:hint="eastAsia"/>
                <w:b w:val="0"/>
                <w:bCs w:val="0"/>
              </w:rPr>
              <w:t>14.吸气时间：0.21-10s  (0.2-30s @ DuoLevel)</w:t>
            </w:r>
          </w:p>
          <w:p>
            <w:pPr>
              <w:jc w:val="left"/>
              <w:rPr>
                <w:rFonts w:hint="eastAsia"/>
                <w:b w:val="0"/>
                <w:bCs w:val="0"/>
              </w:rPr>
            </w:pPr>
            <w:r>
              <w:rPr>
                <w:rFonts w:hint="eastAsia"/>
                <w:b w:val="0"/>
                <w:bCs w:val="0"/>
              </w:rPr>
              <w:t>四．监测参数要求</w:t>
            </w:r>
          </w:p>
          <w:p>
            <w:pPr>
              <w:jc w:val="left"/>
              <w:rPr>
                <w:rFonts w:hint="eastAsia"/>
                <w:b w:val="0"/>
                <w:bCs w:val="0"/>
              </w:rPr>
            </w:pPr>
            <w:r>
              <w:rPr>
                <w:rFonts w:hint="eastAsia"/>
                <w:b w:val="0"/>
                <w:bCs w:val="0"/>
              </w:rPr>
              <w:t>1.气道压力参数：呼气末正压PEEP、气道峰压、平台压、平均压。</w:t>
            </w:r>
          </w:p>
          <w:p>
            <w:pPr>
              <w:jc w:val="left"/>
              <w:rPr>
                <w:rFonts w:hint="eastAsia"/>
                <w:b w:val="0"/>
                <w:bCs w:val="0"/>
              </w:rPr>
            </w:pPr>
            <w:r>
              <w:rPr>
                <w:rFonts w:hint="eastAsia"/>
                <w:b w:val="0"/>
                <w:bCs w:val="0"/>
              </w:rPr>
              <w:t>2.分钟通气量参数：总的分钟呼出通气量、自主呼吸分钟呼出通气量、泄漏的分钟通气量、气体泄漏百分比。</w:t>
            </w:r>
          </w:p>
          <w:p>
            <w:pPr>
              <w:jc w:val="left"/>
              <w:rPr>
                <w:rFonts w:hint="eastAsia"/>
                <w:b w:val="0"/>
                <w:bCs w:val="0"/>
              </w:rPr>
            </w:pPr>
            <w:r>
              <w:rPr>
                <w:rFonts w:hint="eastAsia"/>
                <w:b w:val="0"/>
                <w:bCs w:val="0"/>
              </w:rPr>
              <w:t>3.潮气量参数：吸入潮气量、呼出潮气量、单位理想体重输送的潮气量（例如TVe/IBW或VT/PBW）。</w:t>
            </w:r>
          </w:p>
          <w:p>
            <w:pPr>
              <w:jc w:val="left"/>
              <w:rPr>
                <w:rFonts w:hint="eastAsia"/>
                <w:b w:val="0"/>
                <w:bCs w:val="0"/>
              </w:rPr>
            </w:pPr>
            <w:r>
              <w:rPr>
                <w:rFonts w:hint="eastAsia"/>
                <w:b w:val="0"/>
                <w:bCs w:val="0"/>
              </w:rPr>
              <w:t>4.呼吸频率参数：总的呼吸频率、自主呼吸频率、机控呼吸频率。</w:t>
            </w:r>
          </w:p>
          <w:p>
            <w:pPr>
              <w:jc w:val="left"/>
              <w:rPr>
                <w:rFonts w:hint="eastAsia"/>
                <w:b w:val="0"/>
                <w:bCs w:val="0"/>
              </w:rPr>
            </w:pPr>
            <w:r>
              <w:rPr>
                <w:rFonts w:hint="eastAsia"/>
                <w:b w:val="0"/>
                <w:bCs w:val="0"/>
              </w:rPr>
              <w:t>5.氧浓度参数：吸入氧浓度。</w:t>
            </w:r>
          </w:p>
          <w:p>
            <w:pPr>
              <w:jc w:val="left"/>
              <w:rPr>
                <w:rFonts w:hint="eastAsia"/>
                <w:b w:val="0"/>
                <w:bCs w:val="0"/>
              </w:rPr>
            </w:pPr>
            <w:r>
              <w:rPr>
                <w:rFonts w:hint="eastAsia"/>
                <w:b w:val="0"/>
                <w:bCs w:val="0"/>
              </w:rPr>
              <w:t>6.肺力学参数：吸气阻力、呼气阻力、静态顺应性、动态顺应性、呼气时间常数。</w:t>
            </w:r>
          </w:p>
          <w:p>
            <w:pPr>
              <w:jc w:val="left"/>
              <w:rPr>
                <w:rFonts w:hint="eastAsia"/>
                <w:b w:val="0"/>
                <w:bCs w:val="0"/>
              </w:rPr>
            </w:pPr>
            <w:r>
              <w:rPr>
                <w:rFonts w:hint="eastAsia"/>
                <w:b w:val="0"/>
                <w:bCs w:val="0"/>
              </w:rPr>
              <w:t>7.其他参数：具备浅快呼吸指数、呼吸功监测。</w:t>
            </w:r>
          </w:p>
          <w:p>
            <w:pPr>
              <w:jc w:val="left"/>
              <w:rPr>
                <w:rFonts w:hint="eastAsia"/>
                <w:b w:val="0"/>
                <w:bCs w:val="0"/>
              </w:rPr>
            </w:pPr>
            <w:r>
              <w:rPr>
                <w:rFonts w:hint="eastAsia"/>
                <w:b w:val="0"/>
                <w:bCs w:val="0"/>
              </w:rPr>
              <w:t>8.★屏幕波形显示：压力/时间、流速/时间、容量/时间，CO2/时间。最多至可同屏显示4道波形可同屏显示，波形的颜色可调，支持波形、动态肺视图、监测值同屏显示。</w:t>
            </w:r>
          </w:p>
          <w:p>
            <w:pPr>
              <w:jc w:val="left"/>
              <w:rPr>
                <w:rFonts w:hint="eastAsia"/>
                <w:b w:val="0"/>
                <w:bCs w:val="0"/>
              </w:rPr>
            </w:pPr>
            <w:r>
              <w:rPr>
                <w:rFonts w:hint="eastAsia"/>
                <w:b w:val="0"/>
                <w:bCs w:val="0"/>
              </w:rPr>
              <w:t>9.具备压力/容量、容量/流速、流速/压力环3种呼吸环监测，最多可同屏显示2种环图。</w:t>
            </w:r>
          </w:p>
          <w:p>
            <w:pPr>
              <w:jc w:val="left"/>
              <w:rPr>
                <w:rFonts w:hint="eastAsia"/>
                <w:b w:val="0"/>
                <w:bCs w:val="0"/>
              </w:rPr>
            </w:pPr>
            <w:r>
              <w:rPr>
                <w:rFonts w:hint="eastAsia"/>
                <w:b w:val="0"/>
                <w:bCs w:val="0"/>
              </w:rPr>
              <w:t>10.呼吸波形及呼吸环可冻结，呼吸环可存储、对比。支持波形、环图、监测值同屏显示。</w:t>
            </w:r>
          </w:p>
          <w:p>
            <w:pPr>
              <w:jc w:val="left"/>
              <w:rPr>
                <w:rFonts w:hint="eastAsia"/>
                <w:b w:val="0"/>
                <w:bCs w:val="0"/>
              </w:rPr>
            </w:pPr>
            <w:r>
              <w:rPr>
                <w:rFonts w:hint="eastAsia"/>
                <w:b w:val="0"/>
                <w:bCs w:val="0"/>
              </w:rPr>
              <w:t>11.趋势记录：提供72小时的全部监测参数的趋势图、表分析。</w:t>
            </w:r>
          </w:p>
          <w:p>
            <w:pPr>
              <w:jc w:val="left"/>
              <w:rPr>
                <w:rFonts w:hint="eastAsia"/>
                <w:b w:val="0"/>
                <w:bCs w:val="0"/>
              </w:rPr>
            </w:pPr>
            <w:r>
              <w:rPr>
                <w:rFonts w:hint="eastAsia"/>
                <w:b w:val="0"/>
                <w:bCs w:val="0"/>
              </w:rPr>
              <w:t>12.日志记录：提供最多5000条历史事件信息的记录。</w:t>
            </w:r>
          </w:p>
          <w:p>
            <w:pPr>
              <w:jc w:val="left"/>
              <w:rPr>
                <w:rFonts w:hint="eastAsia"/>
                <w:b w:val="0"/>
                <w:bCs w:val="0"/>
              </w:rPr>
            </w:pPr>
            <w:r>
              <w:rPr>
                <w:rFonts w:hint="eastAsia"/>
                <w:b w:val="0"/>
                <w:bCs w:val="0"/>
              </w:rPr>
              <w:t>五．报警要求</w:t>
            </w:r>
          </w:p>
          <w:p>
            <w:pPr>
              <w:jc w:val="left"/>
              <w:rPr>
                <w:rFonts w:hint="eastAsia"/>
                <w:b w:val="0"/>
                <w:bCs w:val="0"/>
              </w:rPr>
            </w:pPr>
            <w:r>
              <w:rPr>
                <w:rFonts w:hint="eastAsia"/>
                <w:b w:val="0"/>
                <w:bCs w:val="0"/>
              </w:rPr>
              <w:t>1.智能化分级报警、声光报警</w:t>
            </w:r>
          </w:p>
          <w:p>
            <w:pPr>
              <w:jc w:val="left"/>
              <w:rPr>
                <w:rFonts w:hint="eastAsia"/>
                <w:b w:val="0"/>
                <w:bCs w:val="0"/>
              </w:rPr>
            </w:pPr>
            <w:r>
              <w:rPr>
                <w:rFonts w:hint="eastAsia"/>
                <w:b w:val="0"/>
                <w:bCs w:val="0"/>
              </w:rPr>
              <w:t>2.呼出潮气量：过高/过低报警</w:t>
            </w:r>
          </w:p>
          <w:p>
            <w:pPr>
              <w:jc w:val="left"/>
              <w:rPr>
                <w:rFonts w:hint="eastAsia"/>
                <w:b w:val="0"/>
                <w:bCs w:val="0"/>
              </w:rPr>
            </w:pPr>
            <w:r>
              <w:rPr>
                <w:rFonts w:hint="eastAsia"/>
                <w:b w:val="0"/>
                <w:bCs w:val="0"/>
              </w:rPr>
              <w:t>3.吸入氧浓度：过高/过低报警</w:t>
            </w:r>
          </w:p>
          <w:p>
            <w:pPr>
              <w:jc w:val="left"/>
              <w:rPr>
                <w:rFonts w:hint="eastAsia"/>
                <w:b w:val="0"/>
                <w:bCs w:val="0"/>
              </w:rPr>
            </w:pPr>
            <w:r>
              <w:rPr>
                <w:rFonts w:hint="eastAsia"/>
                <w:b w:val="0"/>
                <w:bCs w:val="0"/>
              </w:rPr>
              <w:t>4.EtCO2：过高/过低报警</w:t>
            </w:r>
          </w:p>
          <w:p>
            <w:pPr>
              <w:jc w:val="left"/>
              <w:rPr>
                <w:rFonts w:hint="eastAsia"/>
                <w:b w:val="0"/>
                <w:bCs w:val="0"/>
              </w:rPr>
            </w:pPr>
            <w:r>
              <w:rPr>
                <w:rFonts w:hint="eastAsia"/>
                <w:b w:val="0"/>
                <w:bCs w:val="0"/>
              </w:rPr>
              <w:t>5.窒息报警，时间可设置（5-60s）</w:t>
            </w:r>
          </w:p>
          <w:p>
            <w:pPr>
              <w:jc w:val="left"/>
              <w:rPr>
                <w:rFonts w:hint="eastAsia"/>
                <w:b w:val="0"/>
                <w:bCs w:val="0"/>
              </w:rPr>
            </w:pPr>
            <w:r>
              <w:rPr>
                <w:rFonts w:hint="eastAsia"/>
                <w:b w:val="0"/>
                <w:bCs w:val="0"/>
              </w:rPr>
              <w:t>6.智能识别呼吸管路脱落、泄露、阻塞，关键器件故障</w:t>
            </w:r>
          </w:p>
          <w:p>
            <w:pPr>
              <w:jc w:val="left"/>
              <w:rPr>
                <w:rFonts w:hint="eastAsia"/>
                <w:b w:val="0"/>
                <w:bCs w:val="0"/>
              </w:rPr>
            </w:pPr>
            <w:r>
              <w:rPr>
                <w:rFonts w:hint="eastAsia"/>
                <w:b w:val="0"/>
                <w:bCs w:val="0"/>
              </w:rPr>
              <w:t>六．其他功能要求</w:t>
            </w:r>
          </w:p>
          <w:p>
            <w:pPr>
              <w:jc w:val="left"/>
              <w:rPr>
                <w:rFonts w:hint="eastAsia"/>
                <w:b w:val="0"/>
                <w:bCs w:val="0"/>
              </w:rPr>
            </w:pPr>
            <w:r>
              <w:rPr>
                <w:rFonts w:hint="eastAsia"/>
                <w:b w:val="0"/>
                <w:bCs w:val="0"/>
              </w:rPr>
              <w:t>1. ★信息互连：能够和同品牌监护仪互联，把呼吸机的监测信息参数和波形实时显示到监护上和中央系统上，进而将数据传输至CIS系统和HIS系统，满足科室信息化的需求。支持HL7协议。</w:t>
            </w:r>
          </w:p>
          <w:p>
            <w:pPr>
              <w:jc w:val="left"/>
              <w:rPr>
                <w:rFonts w:hint="eastAsia"/>
                <w:b w:val="0"/>
                <w:bCs w:val="0"/>
              </w:rPr>
            </w:pPr>
            <w:r>
              <w:rPr>
                <w:rFonts w:hint="eastAsia"/>
                <w:b w:val="0"/>
                <w:bCs w:val="0"/>
              </w:rPr>
              <w:t>2.本省内三甲医院装机超过20家，提供用户名单及联系方式。</w:t>
            </w:r>
          </w:p>
          <w:p>
            <w:pPr>
              <w:jc w:val="left"/>
              <w:rPr>
                <w:rFonts w:hint="eastAsia"/>
                <w:b w:val="0"/>
                <w:bCs w:val="0"/>
              </w:rPr>
            </w:pPr>
            <w:r>
              <w:rPr>
                <w:rFonts w:hint="eastAsia"/>
                <w:b w:val="0"/>
                <w:bCs w:val="0"/>
              </w:rPr>
              <w:t>七．认证及标准符合</w:t>
            </w:r>
          </w:p>
          <w:p>
            <w:pPr>
              <w:jc w:val="left"/>
              <w:rPr>
                <w:rFonts w:hint="eastAsia"/>
                <w:b w:val="0"/>
                <w:bCs w:val="0"/>
              </w:rPr>
            </w:pPr>
            <w:r>
              <w:rPr>
                <w:rFonts w:hint="eastAsia"/>
                <w:b w:val="0"/>
                <w:bCs w:val="0"/>
              </w:rPr>
              <w:t>1. 通过CFDA和CE认证。</w:t>
            </w:r>
          </w:p>
          <w:p>
            <w:pPr>
              <w:jc w:val="left"/>
              <w:rPr>
                <w:rFonts w:hint="eastAsia"/>
                <w:b w:val="0"/>
                <w:bCs w:val="0"/>
              </w:rPr>
            </w:pPr>
            <w:r>
              <w:rPr>
                <w:rFonts w:hint="eastAsia"/>
                <w:b w:val="0"/>
                <w:bCs w:val="0"/>
              </w:rPr>
              <w:t>2. 符合EMC标准 YY0505-2012。</w:t>
            </w:r>
          </w:p>
          <w:p>
            <w:pPr>
              <w:jc w:val="left"/>
              <w:rPr>
                <w:rFonts w:hint="eastAsia" w:ascii="宋体" w:hAnsi="宋体" w:eastAsia="宋体" w:cs="宋体"/>
                <w:i w:val="0"/>
                <w:iCs w:val="0"/>
                <w:color w:val="000000"/>
                <w:sz w:val="20"/>
                <w:szCs w:val="20"/>
                <w:u w:val="none"/>
              </w:rPr>
            </w:pPr>
            <w:r>
              <w:rPr>
                <w:rFonts w:hint="eastAsia"/>
                <w:b w:val="0"/>
                <w:bCs w:val="0"/>
              </w:rPr>
              <w:t>3. 符合IP21防水等级。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无创呼吸机</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b w:val="0"/>
                <w:bCs w:val="0"/>
              </w:rPr>
            </w:pPr>
            <w:r>
              <w:rPr>
                <w:rFonts w:hint="eastAsia"/>
                <w:b w:val="0"/>
                <w:bCs w:val="0"/>
              </w:rPr>
              <w:t>1.入选国家《优秀国产医疗设备产品目录》。</w:t>
            </w:r>
          </w:p>
          <w:p>
            <w:pPr>
              <w:jc w:val="left"/>
              <w:rPr>
                <w:rFonts w:hint="eastAsia"/>
                <w:b w:val="0"/>
                <w:bCs w:val="0"/>
              </w:rPr>
            </w:pPr>
            <w:r>
              <w:rPr>
                <w:rFonts w:hint="eastAsia"/>
                <w:b w:val="0"/>
                <w:bCs w:val="0"/>
              </w:rPr>
              <w:t>2.屏幕：防误触彩色液晶屏，屏幕尺寸≥5.5英寸，同屏显示设置参数、监测参数，旋钮操控，无需触屏。</w:t>
            </w:r>
          </w:p>
          <w:p>
            <w:pPr>
              <w:jc w:val="left"/>
              <w:rPr>
                <w:rFonts w:hint="eastAsia"/>
                <w:b w:val="0"/>
                <w:bCs w:val="0"/>
              </w:rPr>
            </w:pPr>
            <w:r>
              <w:rPr>
                <w:rFonts w:hint="eastAsia"/>
                <w:b w:val="0"/>
                <w:bCs w:val="0"/>
              </w:rPr>
              <w:t>3.支持1键旋钮、4按键操纵全功能。</w:t>
            </w:r>
          </w:p>
          <w:p>
            <w:pPr>
              <w:jc w:val="left"/>
              <w:rPr>
                <w:rFonts w:hint="eastAsia"/>
                <w:b w:val="0"/>
                <w:bCs w:val="0"/>
              </w:rPr>
            </w:pPr>
            <w:r>
              <w:rPr>
                <w:rFonts w:hint="eastAsia"/>
                <w:b w:val="0"/>
                <w:bCs w:val="0"/>
              </w:rPr>
              <w:t>4.通气模式：持续气道正压通气模式（CPAP模式）、自主模式（S模式）、时控模式（T模式）、自主/时控模式（S/T模式）、压力控制模式（PC模式）。</w:t>
            </w:r>
          </w:p>
          <w:p>
            <w:pPr>
              <w:jc w:val="left"/>
              <w:rPr>
                <w:rFonts w:hint="eastAsia"/>
                <w:b w:val="0"/>
                <w:bCs w:val="0"/>
              </w:rPr>
            </w:pPr>
            <w:r>
              <w:rPr>
                <w:rFonts w:hint="eastAsia"/>
                <w:b w:val="0"/>
                <w:bCs w:val="0"/>
              </w:rPr>
              <w:t>5.具备自动同步技术。</w:t>
            </w:r>
          </w:p>
          <w:p>
            <w:pPr>
              <w:jc w:val="left"/>
              <w:rPr>
                <w:rFonts w:hint="eastAsia"/>
                <w:b w:val="0"/>
                <w:bCs w:val="0"/>
              </w:rPr>
            </w:pPr>
            <w:r>
              <w:rPr>
                <w:rFonts w:hint="eastAsia"/>
                <w:b w:val="0"/>
                <w:bCs w:val="0"/>
              </w:rPr>
              <w:t>6.具备自动灵敏度技术，无需手动调节触发、撤换灵敏度。</w:t>
            </w:r>
          </w:p>
          <w:p>
            <w:pPr>
              <w:jc w:val="left"/>
              <w:rPr>
                <w:rFonts w:hint="eastAsia"/>
                <w:b w:val="0"/>
                <w:bCs w:val="0"/>
              </w:rPr>
            </w:pPr>
            <w:r>
              <w:rPr>
                <w:rFonts w:hint="eastAsia"/>
                <w:b w:val="0"/>
                <w:bCs w:val="0"/>
              </w:rPr>
              <w:t>7.具备容量保证功能。</w:t>
            </w:r>
          </w:p>
          <w:p>
            <w:pPr>
              <w:jc w:val="left"/>
              <w:rPr>
                <w:rFonts w:hint="eastAsia"/>
                <w:b w:val="0"/>
                <w:bCs w:val="0"/>
              </w:rPr>
            </w:pPr>
            <w:r>
              <w:rPr>
                <w:rFonts w:hint="eastAsia"/>
                <w:b w:val="0"/>
                <w:bCs w:val="0"/>
              </w:rPr>
              <w:t>8.目标潮气量设置范围值：50ml~2000ml。</w:t>
            </w:r>
          </w:p>
          <w:p>
            <w:pPr>
              <w:jc w:val="left"/>
              <w:rPr>
                <w:rFonts w:hint="eastAsia"/>
                <w:b w:val="0"/>
                <w:bCs w:val="0"/>
              </w:rPr>
            </w:pPr>
            <w:r>
              <w:rPr>
                <w:rFonts w:hint="eastAsia"/>
                <w:b w:val="0"/>
                <w:bCs w:val="0"/>
              </w:rPr>
              <w:t>9.可选配后备电池，后备电池工作时长≥8小时，交流电供电与电池供电可无缝切换。</w:t>
            </w:r>
          </w:p>
          <w:p>
            <w:pPr>
              <w:jc w:val="left"/>
              <w:rPr>
                <w:rFonts w:hint="eastAsia"/>
                <w:b w:val="0"/>
                <w:bCs w:val="0"/>
              </w:rPr>
            </w:pPr>
            <w:r>
              <w:rPr>
                <w:rFonts w:hint="eastAsia"/>
                <w:b w:val="0"/>
                <w:bCs w:val="0"/>
              </w:rPr>
              <w:t>10.具备压力释放技术，舒适度三档可调。</w:t>
            </w:r>
          </w:p>
          <w:p>
            <w:pPr>
              <w:jc w:val="left"/>
              <w:rPr>
                <w:rFonts w:hint="eastAsia"/>
                <w:b w:val="0"/>
                <w:bCs w:val="0"/>
              </w:rPr>
            </w:pPr>
            <w:r>
              <w:rPr>
                <w:rFonts w:hint="eastAsia"/>
                <w:b w:val="0"/>
                <w:bCs w:val="0"/>
              </w:rPr>
              <w:t>11.*吸气时间：0.2s~4.0s。</w:t>
            </w:r>
          </w:p>
          <w:p>
            <w:pPr>
              <w:jc w:val="left"/>
              <w:rPr>
                <w:rFonts w:hint="eastAsia"/>
                <w:b w:val="0"/>
                <w:bCs w:val="0"/>
              </w:rPr>
            </w:pPr>
            <w:r>
              <w:rPr>
                <w:rFonts w:hint="eastAsia"/>
                <w:b w:val="0"/>
                <w:bCs w:val="0"/>
              </w:rPr>
              <w:t>12.后备呼吸频率设置：1BPM~60BPM。</w:t>
            </w:r>
          </w:p>
          <w:p>
            <w:pPr>
              <w:jc w:val="left"/>
              <w:rPr>
                <w:rFonts w:hint="eastAsia"/>
                <w:b w:val="0"/>
                <w:bCs w:val="0"/>
              </w:rPr>
            </w:pPr>
            <w:r>
              <w:rPr>
                <w:rFonts w:hint="eastAsia"/>
                <w:b w:val="0"/>
                <w:bCs w:val="0"/>
              </w:rPr>
              <w:t>13.治疗波形：同时显示压力、流量双波形，波形刻度范围可调。</w:t>
            </w:r>
          </w:p>
          <w:p>
            <w:pPr>
              <w:jc w:val="left"/>
              <w:rPr>
                <w:rFonts w:hint="eastAsia"/>
                <w:b w:val="0"/>
                <w:bCs w:val="0"/>
              </w:rPr>
            </w:pPr>
            <w:r>
              <w:rPr>
                <w:rFonts w:hint="eastAsia"/>
                <w:b w:val="0"/>
                <w:bCs w:val="0"/>
              </w:rPr>
              <w:t>14.压力范围：</w:t>
            </w:r>
          </w:p>
          <w:p>
            <w:pPr>
              <w:jc w:val="left"/>
              <w:rPr>
                <w:rFonts w:hint="eastAsia"/>
                <w:b w:val="0"/>
                <w:bCs w:val="0"/>
              </w:rPr>
            </w:pPr>
            <w:r>
              <w:rPr>
                <w:rFonts w:hint="eastAsia"/>
                <w:b w:val="0"/>
                <w:bCs w:val="0"/>
              </w:rPr>
              <w:t>a)吸气正压（IPAP）：4cmH2O~30cmH2O</w:t>
            </w:r>
          </w:p>
          <w:p>
            <w:pPr>
              <w:jc w:val="left"/>
              <w:rPr>
                <w:rFonts w:hint="eastAsia"/>
                <w:b w:val="0"/>
                <w:bCs w:val="0"/>
              </w:rPr>
            </w:pPr>
            <w:r>
              <w:rPr>
                <w:rFonts w:hint="eastAsia"/>
                <w:b w:val="0"/>
                <w:bCs w:val="0"/>
              </w:rPr>
              <w:t>b)呼气正压（EPAP)：4cmH2O~25cmH2O</w:t>
            </w:r>
          </w:p>
          <w:p>
            <w:pPr>
              <w:jc w:val="left"/>
              <w:rPr>
                <w:rFonts w:hint="eastAsia"/>
                <w:b w:val="0"/>
                <w:bCs w:val="0"/>
              </w:rPr>
            </w:pPr>
            <w:r>
              <w:rPr>
                <w:rFonts w:hint="eastAsia"/>
                <w:b w:val="0"/>
                <w:bCs w:val="0"/>
              </w:rPr>
              <w:t>c)持续正压（CPAP）：4cmH2O~20cmH2O</w:t>
            </w:r>
          </w:p>
          <w:p>
            <w:pPr>
              <w:jc w:val="left"/>
              <w:rPr>
                <w:rFonts w:hint="eastAsia"/>
                <w:b w:val="0"/>
                <w:bCs w:val="0"/>
              </w:rPr>
            </w:pPr>
            <w:r>
              <w:rPr>
                <w:rFonts w:hint="eastAsia"/>
                <w:b w:val="0"/>
                <w:bCs w:val="0"/>
              </w:rPr>
              <w:t>15.升压档设置范围：1-6档可调。</w:t>
            </w:r>
          </w:p>
          <w:p>
            <w:pPr>
              <w:jc w:val="left"/>
              <w:rPr>
                <w:rFonts w:hint="eastAsia"/>
                <w:b w:val="0"/>
                <w:bCs w:val="0"/>
              </w:rPr>
            </w:pPr>
            <w:r>
              <w:rPr>
                <w:rFonts w:hint="eastAsia"/>
                <w:b w:val="0"/>
                <w:bCs w:val="0"/>
              </w:rPr>
              <w:t>16.最大流速可达180L/min。具备自动漏气补偿功能，补偿能力可达60L/min。</w:t>
            </w:r>
          </w:p>
          <w:p>
            <w:pPr>
              <w:jc w:val="left"/>
              <w:rPr>
                <w:rFonts w:hint="eastAsia"/>
                <w:b w:val="0"/>
                <w:bCs w:val="0"/>
              </w:rPr>
            </w:pPr>
            <w:r>
              <w:rPr>
                <w:rFonts w:hint="eastAsia"/>
                <w:b w:val="0"/>
                <w:bCs w:val="0"/>
              </w:rPr>
              <w:t>17.爬坡压力：CPAP模式下：4cm-CPAP，其他模式下：4cmH2O-25cmH2O。</w:t>
            </w:r>
          </w:p>
          <w:p>
            <w:pPr>
              <w:jc w:val="left"/>
              <w:rPr>
                <w:rFonts w:hint="eastAsia"/>
                <w:b w:val="0"/>
                <w:bCs w:val="0"/>
              </w:rPr>
            </w:pPr>
            <w:r>
              <w:rPr>
                <w:rFonts w:hint="eastAsia"/>
                <w:b w:val="0"/>
                <w:bCs w:val="0"/>
              </w:rPr>
              <w:t>18.外接测压软管，可采集面罩端压力。</w:t>
            </w:r>
          </w:p>
          <w:p>
            <w:pPr>
              <w:jc w:val="left"/>
              <w:rPr>
                <w:rFonts w:hint="eastAsia"/>
                <w:b w:val="0"/>
                <w:bCs w:val="0"/>
              </w:rPr>
            </w:pPr>
            <w:r>
              <w:rPr>
                <w:rFonts w:hint="eastAsia"/>
                <w:b w:val="0"/>
                <w:bCs w:val="0"/>
              </w:rPr>
              <w:t>19.报警功能：呼吸暂停报警、患者连接断开报警、低分钟通气量报警、低潮气量报警、断电报警、压力调节偏高、压力管道脱落报警、涡轮故障报警、空气流量传感器故障报警。</w:t>
            </w:r>
          </w:p>
          <w:p>
            <w:pPr>
              <w:jc w:val="left"/>
              <w:rPr>
                <w:rFonts w:hint="eastAsia"/>
                <w:b w:val="0"/>
                <w:bCs w:val="0"/>
              </w:rPr>
            </w:pPr>
            <w:r>
              <w:rPr>
                <w:rFonts w:hint="eastAsia"/>
                <w:b w:val="0"/>
                <w:bCs w:val="0"/>
              </w:rPr>
              <w:t>20.实时监测数据：压力值、每分钟通气量、呼吸频率、当前漏气量、当前潮气量。</w:t>
            </w:r>
          </w:p>
          <w:p>
            <w:pPr>
              <w:jc w:val="left"/>
              <w:rPr>
                <w:rFonts w:hint="eastAsia"/>
                <w:b w:val="0"/>
                <w:bCs w:val="0"/>
              </w:rPr>
            </w:pPr>
            <w:r>
              <w:rPr>
                <w:rFonts w:hint="eastAsia"/>
                <w:b w:val="0"/>
                <w:bCs w:val="0"/>
              </w:rPr>
              <w:t>21.窒息报警设置范围值：0秒、10秒、20秒、30秒。</w:t>
            </w:r>
          </w:p>
          <w:p>
            <w:pPr>
              <w:jc w:val="left"/>
              <w:rPr>
                <w:rFonts w:hint="eastAsia"/>
                <w:b w:val="0"/>
                <w:bCs w:val="0"/>
              </w:rPr>
            </w:pPr>
            <w:r>
              <w:rPr>
                <w:rFonts w:hint="eastAsia"/>
                <w:b w:val="0"/>
                <w:bCs w:val="0"/>
              </w:rPr>
              <w:t>22.管路连接断开报警设置范围值：0秒、15秒、60秒。</w:t>
            </w:r>
          </w:p>
          <w:p>
            <w:pPr>
              <w:jc w:val="left"/>
              <w:rPr>
                <w:rFonts w:hint="eastAsia"/>
                <w:b w:val="0"/>
                <w:bCs w:val="0"/>
              </w:rPr>
            </w:pPr>
            <w:r>
              <w:rPr>
                <w:rFonts w:hint="eastAsia"/>
                <w:b w:val="0"/>
                <w:bCs w:val="0"/>
              </w:rPr>
              <w:t>23.配备一体式移动台车。</w:t>
            </w:r>
          </w:p>
          <w:p>
            <w:pPr>
              <w:jc w:val="left"/>
              <w:rPr>
                <w:rFonts w:hint="eastAsia"/>
                <w:b w:val="0"/>
                <w:bCs w:val="0"/>
              </w:rPr>
            </w:pPr>
            <w:r>
              <w:rPr>
                <w:rFonts w:hint="eastAsia"/>
                <w:b w:val="0"/>
                <w:bCs w:val="0"/>
              </w:rPr>
              <w:t>24.呼吸机整机（含电池，不含台车）重量≤6.5kg，方便手提移动。</w:t>
            </w:r>
          </w:p>
          <w:p>
            <w:pPr>
              <w:jc w:val="left"/>
              <w:rPr>
                <w:rFonts w:hint="eastAsia" w:ascii="宋体" w:hAnsi="宋体" w:eastAsia="宋体" w:cs="宋体"/>
                <w:i w:val="0"/>
                <w:iCs w:val="0"/>
                <w:color w:val="000000"/>
                <w:sz w:val="20"/>
                <w:szCs w:val="20"/>
                <w:u w:val="none"/>
              </w:rPr>
            </w:pPr>
            <w:r>
              <w:rPr>
                <w:rFonts w:hint="eastAsia"/>
                <w:b w:val="0"/>
                <w:bCs w:val="0"/>
              </w:rPr>
              <w:t>25.采用无遮挡进气口设计，更换过滤棉避免交叉感染。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简易呼吸机</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人工苏醒球设计有泄压阀，可以有效避免过度挤压使胸内压过高，并备有供氧装置。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一、产品用途：使用于心肺复苏术及病患无法自行呼吸及缺氧时，提供紧急呼吸使用。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二、产品规格：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1、适用性      </w:t>
            </w:r>
            <w:r>
              <w:rPr>
                <w:rFonts w:hint="eastAsia" w:ascii="宋体" w:hAnsi="宋体" w:eastAsia="宋体" w:cs="宋体"/>
                <w:i w:val="0"/>
                <w:iCs w:val="0"/>
                <w:color w:val="000000"/>
                <w:kern w:val="0"/>
                <w:sz w:val="20"/>
                <w:szCs w:val="20"/>
                <w:highlight w:val="yellow"/>
                <w:u w:val="none"/>
                <w:lang w:val="en-US" w:eastAsia="zh-CN" w:bidi="ar"/>
              </w:rPr>
              <w:t xml:space="preserve"> 成人（配套儿童面罩及气囊）</w:t>
            </w:r>
            <w:r>
              <w:rPr>
                <w:rFonts w:hint="eastAsia" w:ascii="宋体" w:hAnsi="宋体" w:eastAsia="宋体" w:cs="宋体"/>
                <w:i w:val="0"/>
                <w:iCs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2、球体容积     1600ml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3、单手挤压    ≥ 750ml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4、储氧袋容量   2500ml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5、顺应性       21ml/cmH2O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6、容许最大呼吸次数   每分钟&gt;40次呼吸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7、压力泄放阀   60cmH2O±5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8、最高氧浓浓度  外接氧气无储气袋大于40%，外接氧气有储气袋大于90%。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（注意：   实际氧浓度会依氧气流速、潮气量、呼吸频率和操作者技巧而有所不同。）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9、球体材质     硅胶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10、病人端介面尺寸   内径15mm/外径22mm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三、产品标准包装内容：苏醒球x1组、氧气储气袋x1组、氧气导管x1条、口咽管x3个、面罩x1个、手提盒x1个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四、建议消毒方法：（注：依据医院感染控制标准为主）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1、低温灭菌：巴斯得灭菌摄氏70°C，热水浸泡30分钟后晾干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2、低温灭菌：环氧乙烷55°C相对湿度60%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3、高压蒸气灭菌121°C/15PSI/30分钟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病历夹</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产品材质：ABS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产品重量：473克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产品尺寸：332*227cm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产品采用全新ABS工程塑料制成，人性化设计，制造科学，强度高，转动灵活，造型美观，使用寿命不亚于不锈钢病历夹，经久耐用。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抢救车</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1、材料：ABS材质。规格：750*480*920mm。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2、车的整体分为五层抽屉，车体侧上方配有中控锁，配三把钥匙。抽屉滑道采用三节式、高级静音滑道，活页采用排版式活页。第1、2层每层抽屉可分为24个小格（数量可调），抽屉屉高70 mm；第3、4层抽屉可分为24个小格（数量可调），抽屉屉高140 mm；第5层抽屉可分为4格（数量可调），抽屉屉高210mm（注：屉高须满足放置500毫升液体）。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3、车体配有一块活动抽板，带围栏，车身配有污物桶、1只针头处理器、1只透明文件盒、1只氧气瓶挂架、1套电源插座、1个仪器支架、1套输液架；车体后面挂随车抢救板。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4、轮子为3寸双轨全封闭万向超静音刹车轮。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治疗车</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规格：740*430*880mm。不锈钢材质，板材厚度≥1.5mm；双层台面，均带全不锈钢围栏，上方配有双抽屉，滑道采用三节式高级静音滑道，带2个污物桶，配高档静音耐磨脚轮，双轮带刹车。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带盖方盘</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尺寸308*210*58mm 11.5寸带提手，304不锈钢防黏工艺处理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浓盘</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尺寸225*122*43mm，加厚304不锈钢深盘，防黏工艺处理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治疗盘</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尺寸30*20*5cm 加厚304不锈钢防黏工艺处理，四孔带瓶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快速血糖仪</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1.免密码牌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2.餐前，餐后设置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3.医院指定检测机型，结果准确</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4.8秒检测/0.8微升血量/250组记忆/均值测算(7天，14天，30天，2个月，3个月）/即插即用、5电机技术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输液泵</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1、用途：在ICU、手术室、儿科等科室使用，用于精确输液。</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2、一般规格和要求：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 设备先进、结构合理、加工精密；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2.2可选配滴数传感器，提高给药精度；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3、主要技术和性能要求：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3.1安全要求：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3.1.1安全防护可靠，防护类型：CFⅠ、IP34、IEC60601-1-2/YY0505、主副CPU；</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3.1.2压力报警阈值至少3档可调；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 阻塞回撤功能（Anti-Bolus）：当管路阻塞报警时，自动回撤管路压力，避免意外丸剂量伤害患者；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3.1.4防重力自由流功能：泵门打开时，防自由流夹自动关闭，防止液体任意流出；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 双重气泡探测：超声气泡探头，可探测≥50ul的单个气泡，单个气泡大小分50ul、100ul、250ul、500ul、800ul共5档可调，连续气泡监测功能：可以设置每小时0.1-4ml的累积气泡报警阀值，1小时内检测到的累积气泡体积≥设定的报警阈值触发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 自动键盘锁：ON/OFF，锁键盘时间1-5min可调；可打开或关闭此功能。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 精度要求：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 全挤压蠕动输注，精度≤±5%；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 在线滴定功能：安全不中断输液而更改速率；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 基本要求：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3.3.1 速率范围：0.1-1450ml/h, 递增：0.1ml；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3.3.2预置总量范围：0.1-9999ml，递增：0.1ml；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3.3.3 安装固定：可固定在输液支架上；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3.3.4 快推“bolus”：0.1-1450ml/h，以0.1ml/h递增，同步显示给入的快推“bolus”量；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3.3.5  KVO： 0.5ml/h；</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  可预存20种以上输液器品牌规格，可校准自定义输液器；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3.3.7  屏幕不小于2.5”，同屏显示：速率、当前输液状态、累计量、电池容量、报警压力档位、报警信息 ；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3.3.8  整机重量不超过1.6kg，主机自带提手，方便携带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3.3.8 分低级、中级、高级三级报警，并分别以声光提示，同时显示具体报警信息；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3.3.9高级别:阻塞，完成、系统故障、滴速异常、电池耗尽、气泡、门开、KVO完成、空瓶；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中级别:系统异常，待机时间结束；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低级别:无操作、电池电量低、接近完成、网电源脱落、未安装输液管；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3.3.10具有2种输液模式可选：速度模式、滴速模式；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3.3.11 电池工作时间≥4小时@25ml/h；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3.3.12供电：AC 100V-240V，50/60Hz，DC 10-16V；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3.3.14  RS232接口：数据传输、护士呼叫、DC连接；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3.3.15全中文软件操作界面。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4、技术服务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 技术文件：提供技术文件资料，使用说明，操作卡；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 操作培训；厂家或代理商负责培训医务人员熟练掌握使用并提供长期技术支持；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5、售后服务及维修：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 维修站及工作情况：在国内有专业维修中心，有专职维修工程师负责维护及维修负责上门安装、维护及维修,响应时间﹤24h;</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 保修期：3年，终身维修；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注射泵</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1、一般规格和要求：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 设备先进、结构合理、加工精密；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3、主要技术和性能要求：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3.1安全要求：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3.1.1安全防护可靠，防护类型：CFⅠ、IP34、IEC60601-1-2/YY0505、主副CPU；</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3.1.2压力报警阈值3档可调；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 阻塞回撤功能（Anti-Bolus）：当管路阻塞报警时，自动回撤管路压力，避免意外丸剂量伤害患者；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3.1.4防虹吸功能：防止药液在暂停期间任意流出；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 精度要求：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 速率≥1ml/h: 精度≤±2%；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 快速启动功能：实现快速给药、缩短给药延迟时间；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 在线滴定功能：安全不中断输液而更改速率。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 基本要求：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 速率范围：0.1-1450ml/h, 递增：0.1ml（0.1-999.9ml/h）；</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3.3.2预置总量范围：0.1-9999ml，递增：0.1ml；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3.3.3 预置时间范围：00:00:01-99:59:59（h:m:s）；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3.3.3 安装固定：可固定在输液支架上；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3.3.4 快推“bolus”：0.1-1300ml/h，以0.1ml/h递增</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3.3.5  KVO：0.5ml/h；</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  自动识别注射器规格：5ml、10ml、20ml、30ml、50ml；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3.3.7  屏幕不小于2.5”，同屏显示：速率、当前注射状态、已注射量、注射器规格、电池容量、报警压力档位、报警信息 ；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3.3.8  整机重量不超过2kg，主机自带提手，方便携带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3.3.8 分低级、中级、高级三级报警，并分别以声光提示，同时显示具体报警信息；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3.3.9 高级报警信息：阻塞、电池耗尽、完成、KVO完成、注射器排空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中级报警信息：系统异常、待机时间结束；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低级报警信息：无操作、电池电量低、未安装电池、网电源脱落；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3.3.10 电池工作时间﹥5小时@5ml/h；</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3.3.11供电：AC 100V-240V，50/60Hz，DC 10-16V；</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3.3.12  RS232接口：数据传输、护士呼叫、DC连接；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冰帽</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尺寸20*12cm，化疗脱发冰袋理疗帽,TPU+冰凝胶材质，酒精消毒可重复使用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防褥疮气垫</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1.材质：PVC、尼龙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2.气垫尺寸：2000mm×900mm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气床垫表面应清洁、平整、无污渍，面料无刺激性气味。气床垫热合应严密，热合处整齐、平整；气室排列均匀、整齐。充气泵的外壳应平整、光滑，无明显划痕，不得有锋棱、毛刺及划伤等缺陷。气床垫各种标识应清晰，正确，牢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4.充气泵内各部件应安装牢固，不得有松动现象。调节装置应操作方便，动作灵活可靠。气嘴应安装牢固、端正，导气管与床垫连接紧密、牢固。便孔（如有）应装拆方便、使用可靠。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5.充气泵出口充气压力可调，最大压力应不小于12kPa；气床垫在最大工作载荷下，其最大压力应不小于4kpa。充气泵交替对奇、偶数气室进行循环充气，每次充气6min，放气4min,每10 min为一周期循环往复，充放气时间误差±10%。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6.气床垫工作载荷应不小于135kg。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 气床垫工作载荷应不小于135kg。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8.将气床垫充气到最大气压，气床垫承受最大工作载荷时，并放置24h后，最大压力的压力降不大于5%。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9.气床垫正常工作时的噪声不大于45dB（A计权）。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10.充气泵的正常连续工作时间应不小于24h。</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11.泵功耗不大于20VA。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医用冰箱</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构设计：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1、外箱体采用优质冷轧钢板，表面经环保陶化、喷涂工艺处理，内箱体采用国际标准SUS304不锈钢。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温度控制：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1、采用微电脑控制系统，温度数字显示，确保精确稳定运行；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2、冷藏冷冻独立显示温度，精度达到0.1℃；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3、冷藏冷冻独立制冷系统，冷藏室2℃～8℃，冷冻室-10℃～-25℃；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4、不受环境温度影响的可靠温度控制，提供试剂、样本所需的存储环境。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制冷系统：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1、国际知名品牌压缩机，环保高效碳氢制冷剂，制冷速度快，制冷效率高，耗电量低；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2、冷藏室铜管铝翅片式蒸发器配合背吹循环风冷系统设计，确保冷藏箱内部温度恒定；</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3、冷冻室蒸发器采用传热高效铜管，预埋在内箱壁上，以传导方式制冷，节省内部空间；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4、EBM品牌冷凝风机，节能高效，静音，性能可靠；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5、高密度保温发泡层采用环保环戊烷发泡剂，保温效果好。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安全保障：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1、具备箱内高低温报警、传感器故障报警、断电报警（支持72小时）、冷藏冷冻独立开关门异常报警功能；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2、具备声音蜂鸣和灯光闪烁双重报警方式；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3、温控器测点故障安全运行模式（显示传感器和控制传感器互为备份）；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4、密码保护功能，防止随意调整运行参数；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5、断电保护：延时启动功能，避免电网恢复供电时多台设备同时启动导致断路器保护。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人性化设计：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1、宽电压带，适合187~242V电压下使用；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2、静音设计，适合安静环境；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3、冷藏室、冷冻室双锁设计，采用迫紧把手设计，可装配挂锁，确保存放物品安全；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4、大屏幕数字显示便于观察；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5、标配测试孔，方便用户监测或实验采集数据；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6、高度可调节搁架设计，根据物品的不同调节高度，提高空间利用率；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7、万向可刹车脚轮设计，方便用户移动设备；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8、冷藏室双层中空钢化玻璃发泡门，带电加热，防止表面凝露，展示效果更佳；</w:t>
            </w:r>
          </w:p>
          <w:p>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9、冷冻室双层门封条，锁住冷气，防止外泄，温度更均匀、产品更节能。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类型（搁架/抽屉）/材质：冷藏室搁架/钢丝浸塑；冷冻室搁架/不锈钢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搁架层数：冷藏室：3；冷冻室：1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制冷方式（风冷/直冷）：冷藏室：风冷：冷冻室：直冷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除霜方式（自动/手动）：手动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制冷剂/g：冷藏室：R290/39g；冷冻室：R290/55g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噪音级别：68dB(A)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环温：10~32℃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温度范围：冷藏室：2℃~8℃；冷冻室：-10℃~-25℃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蒸发器类型：冷藏室：铝翅片；冷冻室：内藏盘管式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蒸发器材料：冷藏室：铜管铝翅片；冷冻室：铜管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冷凝器类型：丝管式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冷凝器材料：邦迪管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血压计(水银）</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一）适用范围：适用于中小学卫生保健室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（二）技术要求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测量范围：0-40Kpa（0-300mmHg）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最小分度值为：0.5Kpa和2mmHg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双刻度显示：（Kpa和mmHg）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铝合金材质，表面采用喷塑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示值管顶部加装阴汞纸，能有效防止使用不当水银漏出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测量精确，最小分度值为0.5Kpa和2mmHg，误差不超过+-3mmHg</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外加防护套，防止血压计滑脱，同时对表面起到防护作用，自动开关血压计无需手动开关，无需倾斜。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材质：铜+胶管 插入式单用A型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尺寸127*18*10mm测量精度±0.1℃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体重秤</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产品类型:台秤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材质：金属</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最大承重：120kg-160kg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空气消毒机</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外形：移动式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外型尺寸（mm）：（L×W×H）：540*410*900(机器)     574*481*975(包装箱)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重量： 净重19.4 kg       带包装箱重22.7kg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输入功率：≤350W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电源：AC 220V±22V  50Hz±1Hz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噪声≤55dB(A)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消毒方法：紫外线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最大适用体积：≤80 m3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额定循环风量：≥800 m3/h（循环风量≥适用体积的10倍）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紫外线灯管寿命≥5000小时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紫外线辐照强度（机内）：≥20000μW/cm2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紫外线泄漏量：≤3μW/cm2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动态消毒时空气中臭氧浓度：≤0.007mg/m3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负离子发生量：≥3×107个/cm3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过滤器：过滤 5μm 以上尘埃粒子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安全防护分类：按电击防护分类本产品属于：II类、B型、普通设备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白色葡萄球菌杀灭率均大于99.9%（实际≥99.99%），（≤7cfu/m³）提供权威机构检测报告。自然菌平均消亡率大于90.00%（实际≥94.30%），（≤131cfu/m³）提供权威机构检测报告。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杀菌净化原理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由紫外线灯管产生采用长寿命、C 波段（波长 253.7nm），通过风机把机体外部的空气吸入到机体内部通过紫外线的照射，使细菌和病毒失活，再把消毒后的空气通过风机排除机体外。从而达到对房间的消毒杀菌作用。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适用范围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适用与普通手术室、产房、血液病区、烧伤病区、保护性隔离病区、重症监护病区；消毒供应中心检查包装灭菌区和无菌物品存放区、重症透析中心；检查室、治疗室、感染性疾病诊室等。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性能参数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采用单片微型计算机构成控制核心，人机交换更方便，附带时钟计时芯片，工作稳定可靠；*触感式控制面板，中文背光液晶显示屏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紫外灯管工作寿命计时；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可在有人状态下进行连续动态消毒。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超强红外线接受装置，可远距离控制遥控，任意45°轻松操作，内置隐藏式遥控器放置盒，防止遥控器丢失；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风量状态显示屏显示，风量可按高、中、低自由选择；</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实时显示室内温度,温度测量范围：0℃－39℃，显示10℃－35℃，温度测量精度：±1℃；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采用快速拆卸式拆卸过滤器，便于日常清洁及维护保养，配合静音风机循环送风；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采用长寿命、C 波段（波长 253.7nm）无臭氧紫外线循环风抗菌杀毒；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内置高浓度增量负离子发生器，释放负离子控制空气微粒净化空气；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手动、定时、临时工作模式方便用户操作。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程控数量（定时消毒）6组。</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模块化设计，方便用户维护保养。</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工作时间自动累计功能。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液晶中文显示屏，远红外线遥控。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双通道循环出风。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内置光触媒过滤网（Tio2）抗菌、分解有机物；</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内置活性炭过滤器过滤尘埃、除臭；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电子纤维支气管镜</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一．图像处理工作站技术要求（1台）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1.系统基本要求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1.1、一体化设计，所有设置及显示都由中央触摸屏操作,可实现图像处理、在线学习、远程会诊和教学等多功能的工作站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1.2配备不小于10英寸高清显示器,具备软件开机自检功能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1.3具备远程无线升级功能,内置蓄电池保证整机工作不少于300min, 内存容量不小于32G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2.图像显示和处理功能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2.1内窥镜检查：支持同屏显示2路以上实时视频画面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2.2拍照功能：可通过按键或者点击触摸屏按钮进行拍照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2.3图像和视频存储：具有图像保存和音视频录制功能，支持图像查看、视频回放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2.4内置病历管理系统：支持病历管理功能，可制作图文报告、制作视频报告，查看、预览、打印病历报告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2.5网络功能：可通过接入网络实现添加好友、分享视频或图像文件、预约会诊功能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2.6设备连接：可通过WIFI无线或有线与内窥镜等设备连接，采集患者图像信息；也可以无线连接打印机，打印报告。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2.7画面信号同步输出功能：可通过HDMI接口，连接具有HDMI接收功能的监视器输出本图像处理工作站显示信号</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2.8数据导出功能：可将录像视频、病例图像、图文报告保存到内置存储器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3.远程交互功能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3.1远程功能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工作站之间可通过4G\5G无线互联网远程控制、音视频传输、线上加密直播，支持远程教学、会诊，支持在线学习和互动。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3.2内置会诊软件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3.3病历管理:可制作和存储图文报告和视频报告，查看、预览、打印病历报告；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3.4好友管理:建立学术交流圈，共享前沿学术成果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4.数据和安全功能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4.1数据接口:数据接口为USB Type C传输协议；WIFI网络传输；具有4G\5G数据传输和流量管理功能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4.2开机自检:具备软件开机自检功能，需验证运行环境符合要求后方可使用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二：电子软镜技术要求（2条）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1：采用非金属手柄构造，具有生物兼容性结实耐用寿命长，数字电子成像技术，无内置光纤，视角≥60°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2：插入部外径≤5.2mm，吸引通道≥2.6mm，长度≥58cm。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3：软管前端照明采用LED灯，可弯曲角度向上≥130°，向下≥120°，成像距离范围不小于3～50mm。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4：可整体浸泡消毒，与主机之间的连接方式采用一键插拔，可以选配无线传输功能模块，用于无线连接大屏幕显示器，方便医生操作、教学。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手电筒</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USB充电医生手电双黄光+白光+弱黄光，三档调节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腰椎穿刺针</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304不锈钢穿刺针 14G-25G八光针 磨尖开刃 刻度打标 压环显影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直接喉镜</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1、喉镜片采用 304 不锈钢制造而成，镜片设计符合人体工程学，便于操作。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2、手柄采用网纹设计，防止操作者有汗水导致脱落;手柄采用304不锈钢制成，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反复使用划痕少，高温消毒不易变形。科技有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3、发光方式:LED灯泡，通过光导纤维冷光源导光，LED灯泡置于手柄前部,使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用寿命长。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4、光纤和窥视片为一体，可直接用浸泡、高温、环氧乙烷等方式进行消毒，减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少了交叉感染的可能性。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5、窥视片长度:155mm、134mm、114mm或93 mm、80 mm、68 mm可选，手柄直径:30mm。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6、光纤照明度:≥500LUX。</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包装方式:塑料盒包装，泡沫内胆，尺寸260mmx230mmx55mm。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可视喉镜</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一：主机技术要求（1台）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屏幕≥3.5寸，广角高亮显示屏，视场角≥100°。采用智能主控芯片，可无缝兼容同系列叶片手柄、硬镜手柄、软镜手柄，无需转接。屏幕采用医用电阻触摸屏，主机内置多媒体系统，可拍照、录像、录音，可在主机上直接阅读、回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2：具备USB、HDMI输出方式，方便科研、教学，可通过有线或无线方式外接显示器，实现同屏实时显示传输，内置操作使用视频，具有户外/户内环境模式，以适应不同插管环境。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内置锂电池，容量不低于2400mAh，工作时间≥200分钟，具备电量管理功能，与各种手柄均可带电一键插拔连接、分离，无需旋转，方便临床使用及携带。显示器能上下0º～120º转动，左右0º～260º转动，以方便特殊体位的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二：可视喉镜技术要求（1把）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1：采用数字电子成像技术，光源光照度≥800lux，观察景深5-100mm。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2：手柄滑竿采用304不锈钢材质，前端配备智能温控加热板，非LED灯加热，以实现即时防雾功能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4：手柄可同时适配一次性喉镜片和可重复使用窥视叶片，最小开口度≤13mm，适合不同体型插管患者。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5：与主机之间的连接方式采用一键插拔，无需旋转，利于临床抢救，具备耐磨、防跌落、防泼洒性能，以满足特殊抢救环境使用。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紫外线推车</w:t>
            </w:r>
          </w:p>
        </w:tc>
        <w:tc>
          <w:tcPr>
            <w:tcW w:w="10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灯臂折后的离地高度 1100mm±5mni</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额定电压 AC220V±10%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额定频率 50Hz±lHz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输入功率 《120VA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灯臂长度 940±3mm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灯臂调节角度 0 〜180°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紫外线杀菌灯规格 ZW50S25W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紫外线杀菌灯数量 2支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单支紫外线杀菌灯辐射照度 130uw/cm2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 358mm*296mm*l100mm+5mm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6.2正常工作条件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应符合GB28235-2011中6. 1的要求。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3外观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产品的外表面应光洁、色泽一致,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落、流挂现象。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6.4锁紧性能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产品固定好的灯臂应牢固锁紧，无松动现象。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5移动性能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产品的脚轮应活动自如，无阻滞现象。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1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yellow"/>
                <w:u w:val="none"/>
                <w:lang w:val="en-US" w:eastAsia="zh-CN" w:bidi="ar"/>
              </w:rPr>
              <w:t>注：部分设备需配套相关匹配耗材一套，如：气管、导丝、气管切开插管包、深静脉留置针、环甲膜穿刺套针等</w:t>
            </w:r>
          </w:p>
        </w:tc>
      </w:tr>
    </w:tbl>
    <w:p>
      <w:pPr>
        <w:rPr>
          <w:rFonts w:hint="eastAsia"/>
        </w:rPr>
      </w:pPr>
    </w:p>
    <w:tbl>
      <w:tblPr>
        <w:tblStyle w:val="2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349"/>
        <w:gridCol w:w="767"/>
        <w:gridCol w:w="533"/>
        <w:gridCol w:w="517"/>
        <w:gridCol w:w="1233"/>
        <w:gridCol w:w="10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919"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喀什中医医院感染科楼设备采购明细表</w:t>
            </w:r>
            <w:r>
              <w:rPr>
                <w:rFonts w:hint="eastAsia" w:ascii="宋体" w:hAnsi="宋体" w:cs="宋体"/>
                <w:b/>
                <w:bCs/>
                <w:i w:val="0"/>
                <w:iCs w:val="0"/>
                <w:color w:val="000000"/>
                <w:kern w:val="0"/>
                <w:sz w:val="36"/>
                <w:szCs w:val="36"/>
                <w:u w:val="none"/>
                <w:lang w:val="en-US" w:eastAsia="zh-CN" w:bidi="ar"/>
              </w:rPr>
              <w:t xml:space="preserve"> 第</w:t>
            </w:r>
            <w:r>
              <w:rPr>
                <w:rFonts w:hint="eastAsia" w:ascii="宋体" w:hAnsi="宋体" w:eastAsia="宋体" w:cs="宋体"/>
                <w:b/>
                <w:bCs/>
                <w:i w:val="0"/>
                <w:iCs w:val="0"/>
                <w:color w:val="000000"/>
                <w:kern w:val="0"/>
                <w:sz w:val="36"/>
                <w:szCs w:val="36"/>
                <w:u w:val="none"/>
                <w:lang w:val="en-US" w:eastAsia="zh-CN" w:bidi="ar"/>
              </w:rPr>
              <w:t>4包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包号</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名称规格</w:t>
            </w:r>
          </w:p>
        </w:tc>
        <w:tc>
          <w:tcPr>
            <w:tcW w:w="10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第</w:t>
            </w:r>
            <w:r>
              <w:rPr>
                <w:rFonts w:hint="eastAsia" w:ascii="宋体" w:hAnsi="宋体" w:eastAsia="宋体" w:cs="宋体"/>
                <w:i w:val="0"/>
                <w:iCs w:val="0"/>
                <w:color w:val="000000"/>
                <w:kern w:val="0"/>
                <w:sz w:val="20"/>
                <w:szCs w:val="20"/>
                <w:u w:val="none"/>
                <w:lang w:val="en-US" w:eastAsia="zh-CN" w:bidi="ar"/>
              </w:rPr>
              <w:t>4包</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病房</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除颤监护仪</w:t>
            </w:r>
            <w:r>
              <w:rPr>
                <w:rFonts w:hint="eastAsia" w:ascii="宋体" w:hAnsi="宋体" w:cs="宋体"/>
                <w:i w:val="0"/>
                <w:iCs w:val="0"/>
                <w:color w:val="000000"/>
                <w:kern w:val="0"/>
                <w:sz w:val="20"/>
                <w:szCs w:val="20"/>
                <w:u w:val="none"/>
                <w:lang w:val="en-US" w:eastAsia="zh-CN" w:bidi="ar"/>
              </w:rPr>
              <w:t>（至少一台具备起搏功能）</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1.重量：≤6.1kg，含电池、体外板和心电导联线。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2.彩色TFT显示屏≥7英寸, 分辨率800×480像素，可显示≥3通道监护参数波形，有高对比度显示界面。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3.屏幕显示心电波形扫描时间≥16s。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4.具备手动除颤、心电监护、呼吸监护、自动体外除颤（AED）功能，AED功能适用于8岁以下人群。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5.除颤采用双相波技术，具备自动阻抗补偿功能。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6.手动除颤分为同步和非同步两种方式，能量分20档以上，可通过体外电极板进行能量选择，最大能量可达360J。</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7.可配置体内除颤手柄，体内手动除颤能力选择：1/2/3/4/5/6/7/8/9/10/15/20/30/50 J</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8.支持至少三种尺寸体内除颤电极板，适用不同病人类型。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9.体外除颤电极板同时支持成人和小儿，一体化设计，支持快速切换。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10.电极板支持能量选择，充电和放电三步操作，满足单人除颤操作。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11.AED除颤功能提供中文语音和中文提醒功能，对于抢救过程支持自动录音功能，记录时长≥60min。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12.开机时间≤2s，符合临床使用。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13.除颤充电迅速，充电至200J≤4s。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14.除颤后心电基线恢复时间≤2.5s。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15.从开始AED分析到放电准备就绪≤10s。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16.支持病人接触状态和阻抗值实时显示。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17.支持配置CPR辅助功能，CPR传感器设计符合2015 AHA/ERC指南，提供即时的按压反馈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18.心电波形速度支持50 mm/s、25 mm/s、12.5 mm/s、6.25 mm/s。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19.通过心电电极片可监测的心律失常分析种类≥24种。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20.可选配监护功能：血氧饱和度、无创血压、呼吸末二氧化碳。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21.提供的监护参数适用于成人，小儿和新生儿，并通过国家三类注册、CE认证。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22.无创血压收缩压测量范围：25-285mmHg（成人）、25-240mmHg（小儿）、25-140mmHg（新生儿），舒张压测量范围：10-250mmHg（成人）、10-200mmHg（小儿），10-115mmHg（新生儿）。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23.支持连接中央站，与科室床旁监护仪共用监护网络。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24.支持提供IHE HL7协议，满足院前院内急救系统的联网通信。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25.标配1块外置智能锂电池，可支持200J除颤≥300次。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26.具备生理报警和技术报警功能，通过声音、灯光和文字3种方式进行报警。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27.配置50mm记录纸记录仪，自动打印除颤记录，单次波形记录时间最大不小于30s；支持连续波形记录。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28.可存储24小时连续ECG波形，数据可导出至电脑查看。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29.关机状态下设备支持每天定时自动运行自检，支持定期自动大能量自检。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30.具备良好的防尘防水性能，防尘防水级别IP44。</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31.具备优异的抗跌落性能，满足救护车标准EN1789 中6.3.4.3 关于跌落试验的要求，裸机可承受6面0.75m跌落冲击。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病人监护仪</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1：整机要求：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1.1、一体化便携监护仪，整机无风扇设计。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1.2、配置提手,方便移动。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1.3、屏幕采用最新电容屏非电阻屏。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1.4、显示屏可支持亮度自动调节功能。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1.5、屏幕倾斜10~15度设计，符合人机工程学，便于临床团队观察和操作。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1.6、可支持遥控器无线远程操作监护仪,提供证明材料。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1.7、内置锂电池，插槽式设计，无需螺丝刀工具支持快速拆卸和安装。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1.8、安全规格：ECG, TEMP, SpO2, IBP , NIBP监测参数抗电击程度为防除颤CF型, 提供机器接口防护等级丝印照片证明材料。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1.9、监护仪设计使用年限≥8年，提供机器标贴证明材料。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1.10、监护仪清洁维护支持的清洁剂≥40种，在厂家手册中清晰列举清洁剂的种类，提供厂家手册证明材料。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1.11、≥12英寸彩色液晶触摸屏，分辨率高达1280*800像素或更高，≥9通道波形显示。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2：监测参数：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2.1、配置3/5导心电，呼吸，血氧饱和度，无创血压，脉搏和双通道体温参数监测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2.2、心电监护支持心率，ST段测量，心律失常分析，QT/QTc连续实时测量和对应报警功能，，提供注册证证明材料。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2.3、心电算法通过AHA/MIT-BIH数据库验证，提供证明材料。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2.4、心电波形扫描速度支持6.25mm/s、12.5 mm/s、25 mm/s和50 mm/s，提供界面截图证明材料。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2.5、提供窗口支持心脏下壁，侧壁和前壁对应多个ST片段的同屏实时显示，提供参考片段和实时片段的对比查看，提供界面截图证明材料。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2.6、支持≥20种心律失常分析,包括房颤分析。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2.7、提供SpO2,PR和PI参数的实时监测，适用于成人，小儿和新生儿。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2.8、支持指套式血氧探头，IPX7防水等级，支持液体浸泡消毒和清洁。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2.9、配置无创血压测量，适用于小儿，成人和新生儿。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2.10、具备模拟输出/除颤同步/护士呼叫/串口/VGA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2.11、提供手动，自动，连续和序列4种测量模式，并提供24小时血压统计结果，满足临床应用，并提供产品界面截图证明材料。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2.12、无创血压成人测量范围：收缩压25~290mmHg，舒张压10~250mmHg，平均压15~260mmHg，提供检测报告证明材料。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2.13、提供辅助静脉穿刺功能。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2.14、提供双通道体温和温差参数的监测, 并可根据需要更改体温通道标名，提供界面截图。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2.15、具备模拟输出/除颤同步/护士呼叫/串口/VGA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3：系统功能：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3.1、支持所有监测参数报警限一键自动设置功能，满足医护团队快速管理患者报警需求，产品用户手册提供报警限自动设置规则。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3.2、具有图形化技术报警指示功能，帮助医护团队快速识别报警来源。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3.3、支持≥120小时趋势图和趋势表回顾，支持选择不同趋势组回顾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3.4、≥1000条事件回顾。每条报警事件至少能够存储32秒三道相关波形，以及报警触发时所有测量参数值</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3.5、≥1000组NIBP测量结果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3.6、≥120小时（分辨率1分钟）ST模板存储与回顾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3.7、支持48小时全息波形的存储与回顾功能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3.8、支持监护仪历史病人数据的存储和回顾，并支持通过USB接口将历史病人数据导出到U盘。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3.9、支持RJ45接口进行有线网络通信，和除颤监护仪一起联网通信到中心监护系统。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3.10、支持监护仪进入夜间模式，隐私模式，待机模式和演示模式，提供界面截图证明材料。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3.11、提供心肌缺血评估工具，可以快速查看ST值的变化，提供界面截图证明材料。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3.12、提供计时器功能，界面区提供设置≥4个计时器，每个计时器支持独立设置和计时功能，计时方向包括正计时和倒计时两种选择，供界面截图证明材料。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3.13、支持格拉斯哥昏迷评分（GCS）功能。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3.14、动态趋势界面可支持统计1-24小时心律失常报警、参数超限报警信息，并对超限报警区间的波形进行高亮显示，帮助医护人员快速识别异常趋势信息。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无创呼吸机</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1.入选国家《优秀国产医疗设备产品目录》。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2.屏幕：防误触彩色液晶屏，屏幕尺寸≥5.5英寸，同屏显示设置参数、监测参数，旋钮操控，无需触屏。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3.支持1键旋钮、4按键操纵全功能。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4.通气模式：持续气道正压通气模式（CPAP模式）、自主模式（S模式）、时控模式（T模式）、自主/时控模式（S/T模式）、压力控制模式（PC模式）。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5.具备自动同步技术。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6.具备自动灵敏度技术，无需手动调节触发、撤换灵敏度。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7.具备容量保证功能。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8.目标潮气量设置范围值：50ml~2000ml。</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9.可选配后备电池，后备电池工作时长≥8小时，交流电供电与电池供电可无缝切换。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10.具备压力释放技术，舒适度三档可调。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11.吸气时间：0.2s~4.0s。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12.后备呼吸频率设置：1BPM~60BPM。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13.治疗波形：同时显示压力、流量双波形，波形刻度范围可调。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14.压力范围：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a)吸气正压（IPAP）：4cmH2O~30cmH2O</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b)呼气正压（EPAP)：4cmH2O~25cmH2O</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c)持续正压（CPAP）：4cmH2O~20cmH2O</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15.升压档设置范围：1-6档可调。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16.最大流速可达180L/min。具备自动漏气补偿功能，补偿能力可达60L/min。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17.爬坡压力：CPAP模式下：4cm-CPAP，其他模式下：4cmH2O-25cmH2O。</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18.外接测压软管，可采集面罩端压力。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19.报警功能：呼吸暂停报警、患者连接断开报警、低分钟通气量报警、低潮气量报警、断电报警、压力调节偏高、压力管道脱落报警、涡轮故障报警、空气流量传感器故障报警。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20.实时监测数据：压力值、每分钟通气量、呼吸频率、当前漏气量、当前潮气量。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21.窒息报警设置范围值：0秒、10秒、20秒、30秒。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22.管路连接断开报警设置范围值：0秒、15秒、60秒。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23.配备一体式移动台车。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24.呼吸机整机（含电池，不含台车）重量≤6.5kg，方便手提移动。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25.采用无遮挡进气口设计，更换过滤棉避免交叉感染。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吸引器</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适用范围广噪音小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采用全塑面板设计，造型独特、新颖、美观。具有移动方便，低噪音、高负压，大流量的特点。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适用于各医疗单位手术时需吸引脓血、脓痰和粘质液体及其他需要负压吸引的场合。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负压源采用无油式活塞泵，环保清洁一完全没有油烟污染，方便省事一无需日常加油保养.</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主要技术指标电源AC220V，50Hz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极限负压值∶≥0.06MPa 噪音≤65dB（A）输入功率180VA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贮液瓶2500mL/只，2只一组抽气速率≥20L/min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雾化吸入器</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1.院用品质，直达病灶起效快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2.免维护无油润滑压缩泵雾化颗粒细腻均匀手把设计，携带方便结构紧凑，体积小巧低噪音设计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抢救车</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1、材料：ABS材质。规格：750*480*920mm。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2、车的整体分为五层抽屉，车体侧上方配有中控锁，配三把钥匙。抽屉滑道采用三节式、高级静音滑道，活页采用排版式活页。第1、2层每层抽屉可分为24个小格（数量可调），抽屉屉高70 mm；第3、4层抽屉可分为24个小格（数量可调），抽屉屉高140 mm；第5层抽屉可分为4格（数量可调），抽屉屉高210mm（注：屉高须满足放置500毫升液体）。</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3、车体配有一块活动抽板，带围栏，车身配有污物桶、1只针头处理器、1只透明文件盒、1只氧气瓶挂架、1套电源插座、1个仪器支架、1套输液架；车体后面挂随车抢救板。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4、轮子为3寸双轨全封闭万向超静音刹车轮。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病历夹车</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规格：840 *410*910 mm；整体采用优质ABS材质制成，可放50格病历.坚固防腐，配置代锁抽屉及多格病历夹插槽体，侧边和台面正面为圆弧形，配拉手，安全、美观；配锁，带双抽屉，配高档静音耐磨脚轮，带刹车。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病历夹</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产品材质：ABS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产品重量：473克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产品尺寸：332*227cm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产品采用全新ABS工程塑料制成，人性化设计，制造科学，强度高，转动灵活，造型美观，使用寿命不亚于不锈钢病历夹，经久耐用。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治疗车</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规格：740*430*880mm。不锈钢材质，板材厚度≥1.5mm；双层台面，均带全不锈钢围栏，上方配有双抽屉，滑道采用三节式高级静音滑道，带2个污物桶，配高档静音耐磨脚轮，双轮带刹车。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换药车</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1、规格：590×430×850mm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2、不锈钢材质，板材厚度≥0.8mm；双层台面，带全不锈钢围栏，带抽屉，滑道采用三节式高级静音滑道，配污物桶，配高档静音耐磨脚轮，双轮带刹车。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超声机</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尺寸58*38*235cm，体脂监测，心率监测，血压监，兼容系统：全兼容，10.2寸触摸液晶屏+10.4视频多媒体屏，分度值0.1cm-0.5cm可调，测量速度480次/小时，自动打印报告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护理车</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1、规格：700*450*960mm。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2、材质主要由不锈钢和ABS塑料结构组成。台面为ABS塑料，一次性注塑成型。不锈钢为立柱承载力强。结构强度高。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3、推车带2个抽屉，抽屉滑道采用三节式、高级静音滑道，拉动抽屉更轻松，顺畅。抽屉内抽屉分为16个小格（间隔可调），抽屉高120mm；（满足药品分类存放）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6.配置：防水污物袋（可拆洗）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7.配4寸万向静音轮，带减震弹簧垫。（其中2个带刹车，2个不带刹车）。大尺寸轮子确保推动更轻松，转向更灵活。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氧气瓶10升</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型号：10L</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类型：医用类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血压计</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一）适用范围：适用于中小学卫生保健室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（二）技术要求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测量范围：0-40Kpa（0-300mmHg）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最小分度值为：0.5Kpa和2mmHg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双刻度显示：（Kpa和mmHg）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铝合金材质，表面采用喷塑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示值管顶部加装阴汞纸，能有效防止使用不当水银漏出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测量精确，最小分度值为0.5Kpa和2mmHg，误差不超过+-3mmHg</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外加防护套，防止血压计滑脱，同时对表面起到防护作用，自动开关血压计无需手动开关，无需倾斜。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电子血压计</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显示方式：LCD数字显示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测量方法：示波测定法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测量范围：收缩压：  60-230mmHg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舒张压：  40-130mmHg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脉搏：    40-200次/分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精度：压力：±3mmHg以内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脉搏：读数的±5%以内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加压、排气：压力泵自动加压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设备运行方式：间歇运行方式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电气安全分类：BF型</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压力传感器：电容式压力传感器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材质：铜+胶管 插入式单用A型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移动式空气消毒器</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外形：移动式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外型尺寸（mm）：（L×W×H）：540*410*900(机器)     574*481*975(包装箱)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重量： 净重19.4 kg       带包装箱重22.7kg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输入功率：≤350W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电源：AC 220V±22V  50Hz±1Hz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噪声≤55dB(A)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消毒方法：紫外线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最大适用体积：≤80 m3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额定循环风量：≥800 m3/h（循环风量≥适用体积的10倍）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紫外线灯管寿命≥5000小时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*紫外线辐照强度（机内）：≥20000μW/cm2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紫外线泄漏量：≤3μW/cm2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动态消毒时空气中臭氧浓度：≤0.007mg/m3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负离子发生量：≥3×107个/cm3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过滤器：过滤 5μm 以上尘埃粒子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安全防护分类：按电击防护分类本产品属于：II类、B型、普通设备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白色葡萄球菌杀灭率均大于99.9%（实际≥99.99%），（≤7cfu/m³）提供权威机构检测报告。自然菌平均消亡率大于90.00%（实际≥94.30%），（≤131cfu/m³）提供权威机构检测报告。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杀菌净化原理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由紫外线灯管产生采用长寿命、C 波段（波长 253.7nm），通过风机把机体外部的空气吸入到机体内部通过紫外线的照射，使细菌和病毒失活，再把消毒后的空气通过风机排除机体外。从而达到对房间的消毒杀菌作用。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适用范围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适用与普通手术室、产房、血液病区、烧伤病区、保护性隔离病区、重症监护病区；消毒供应中心检查包装灭菌区和无菌物品存放区、重症透析中心；检查室、治疗室、感染性疾病诊室等。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性能参数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采用单片微型计算机构成控制核心，人机交换更方便，附带时钟计时芯片，工作稳定可靠；*触感式控制面板，中文背光液晶显示屏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紫外灯管工作寿命计时；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可在有人状态下进行连续动态消毒。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超强红外线接受装置，可远距离控制遥控，任意45°轻松操作，内置隐藏式遥控器放置盒，防止遥控器丢失；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风量状态显示屏显示，风量可按高、中、低自由选择；</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实时显示室内温度,温度测量范围：0℃－39℃，显示10℃－35℃，温度测量精度：±1℃；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采用快速拆卸式拆卸过滤器，便于日常清洁及维护保养，配合静音风机循环送风；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采用长寿命、C 波段（波长 253.7nm）无臭氧紫外线循环风抗菌杀毒；</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内置高浓度增量负离子发生器，释放负离子控制空气微粒净化空气；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手动、定时、临时工作模式方便用户操作。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程控数量（定时消毒）6组。</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模块化设计，方便用户维护保养。</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工作时间自动累计功能。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液晶中文显示屏，远红外线遥控。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双通道循环出风。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内置光触媒过滤网（Tio2）抗菌、分解有机物；</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内置活性炭过滤器过滤尘埃、除臭；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紫外线推车</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灯臂折后的离地高度 1100mm±5mni</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额定电压 AC220V±10%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额定频率 50Hz±lHz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输入功率 《120VA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灯臂长度 940±3mm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灯臂调节角度 0 〜180°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紫外线杀菌灯规格 ZW50S25W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紫外线杀菌灯数量 2支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单支紫外线杀菌灯辐射照度 130uw/cm2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 358mm*296mm*l100mm+5mm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6.2正常工作条件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应符合GB28235-2011中6. 1的要求。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3外观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产品的外表面应光洁、色泽一致,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落、流挂现象。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6.4锁紧性能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产品固定好的灯臂应牢固锁紧，无松动现象。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5移动性能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产品的脚轮应活动自如，无阻滞现象。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中号不锈钢方盘</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尺寸深盘42*30*6cm，304特厚方盘，防黏工艺处理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防褥疮气垫</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1.材质：PVC、尼龙</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2.气垫尺寸：2000mm×900mm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气床垫表面应清洁、平整、无污渍，面料无刺激性气味。气床垫热合应严密，热合处整齐、平整；气室排列均匀、整齐。充气泵的外壳应平整、光滑，无明显划痕，不得有锋棱、毛刺及划伤等缺陷。气床垫各种标识应清晰，正确，牢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4.充气泵内各部件应安装牢固，不得有松动现象。调节装置应操作方便，动作灵活可靠。气嘴应安装牢固、端正，导气管与床垫连接紧密、牢固。便孔（如有）应装拆方便、使用可靠。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5.充气泵出口充气压力可调，最大压力应不小于12kPa；气床垫在最大工作载荷下，其最大压力应不小于4kpa。充气泵交替对奇、偶数气室进行循环充气，每次充气6min，放气4min,每10 min为一周期循环往复，充放气时间误差±10%。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6.气床垫工作载荷应不小于135kg。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 气床垫工作载荷应不小于135kg。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8.将气床垫充气到最大气压，气床垫承受最大工作载荷时，并放置24h后，最大压力的压力降不大于5%。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9.气床垫正常工作时的噪声不大于45dB（A计权）。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10.充气泵的正常连续工作时间应不小于24h。</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11.泵功耗不大于20VA。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心电图机</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一、基本要求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 本机须同时具备心电信号采集与热敏打印功能，不接受心电采集盒类产品。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 同屏显示，同步采集，同步热敏记录12道心电波形。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 显示屏≥10.0英寸，屏幕亮度可调，支持背景网格显示，支持全屏触控操作。</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 本机具有一体化标准物理全键盘设计，支持拼音、五笔等输入法，方便信息输入。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 支持手动输入，条码枪、磁卡读卡器、身份证读卡器读取，WORKLIST快速下载等3种患者信息录入方式。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 支持有线和无线联网，支持本机直接发送E-mail，实现疑难病例远程诊断。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 支持心电数据双向传输，可实现通过本机将采集的心电数据直接上传至心电网络平台（诊断中心），接收并打印回传的已诊断心电报告。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 支持PDF、PNG、HL7、XML、DICOM数据格式。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 支持FTP、HTTP、SAMBA传输协议。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二、性能要求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 A/D转换：24bit。(提供注册检验报告证明)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 采样率：≥30000Hz。(提供注册检验报告证明)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  频率响应：0.01Hz ~ 340Hz。(提供注册检验报告证明)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  内部噪声：≤15µVp-p。</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  时间常数：≥3.2 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  耐极化电压：±940mV。(提供注册检验报告证明)</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  输入电流：≤0.01μA。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  抗干扰滤波：具有交流、肌电、漂移和高频截止滤波器。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  具备自适应工频滤波技术，有效去除干扰，改善心电信号质量。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  除颤保护：机器和导联线具有抗除颤电击保护功能。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三、功能要求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  ECG输入通道：标准12导联心电信号同步采集。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  导联选择：手动/自动可选，支持标准威尔逊、Cabrera导联体系，同时具备导联标识自定义功能。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  采集时间设置：波形实时采集和冻结时长均可达60s，同时可进行两页、三页、四页紧凑版热敏打印格式。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  支持实时采样、预采样、触发采样、周期采样模式，支持节律分析。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  可同屏显示12导同步心电波形，同时支持3*4、3*4+1R、3*4+3R、6*2、6*2+1R、6*2+3R、12*1等多种显示布局。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 屏幕显示信息：心电波形、时间、心率、ID、工作状态、导联脱落信息、联网状态信息、外接设备状态信息等。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 自动异常报警功能：可自动对异常心率、导联脱落、外设连接、高频信号干扰情况进行实时监测报警。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 支持起搏检测功能。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 具备平均模板功能。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3.10支持测量矩阵报告。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3.11 热敏打印布局：3*4、3*4+1R、3*4+3R、6*2、6*2+1R、6*2+3R、12*1。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3.12 热敏记录纸：折叠纸。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3.13本机支持外接激光打印机。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3.14 设备内置存储器，本机可存储病历≥1000例，存储满后机器可循环存储。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 支持U盘、SD卡的扩容存储。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 支持U盘和SD卡直接导出PDF、PNG、HL7、XML、DICOM等格式的报告。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3.17 支持波形冻结与波形浏览功能。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3.18 支持报告打印预览功能。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3.19 具有病历管理功能，可对存储的病历进行查询、浏览、修改、导出、传输、打印，方便医生调阅病人信息。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 支持病例重新编辑，具备病例模板与自定义病例模板的添加功能，方便医生在屏诊断时快速输入诊断结论。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3.21 支持病例自动重新诊断功能，选取不同的波形片段和选择不同的诊断条件，设备将自动给出不同的诊断结论。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  权限管理：可对设置权限进行密码管控，包含传输、纸速、增益、报告模板等设置。</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3.23 标配向量、时间向量功能。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四、电源</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交直流两用且自动转换，电源要求100-240V（50/60Hz）， 内置锂电池充满电后可连续工作4小时以上。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五、配置</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主机1台，导联线1条，肢电极4个，胸电极6个，热敏打印纸1本，电源线1根，接地线1根，其它必要辅件一套。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病床（普通病房）</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1、规格：长×宽×高=2140×980×500mm。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床头床尾为ABS工程聚塑,、吹塑一次性成型，易清洗，可快速拆卸床头、床尾板，便于抢救治疗。整体弧线设计具有外形美观，色调柔和，强度高，耐腐蚀，带锁紧装置，互换性强，四周均有防撞包角，以保护病床及医院设施。床尾嵌有透明亚克力材料床位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床边采用40×60优质碳钢矩管壁厚度≥1.5mm，床边四角配输液架孔，床面板采用优质冷轧钢板钢厚度≥1.0mm，一次性拉伸多孔无焊接成型，背板采用全钢件连接，带防滑孔，易清洗，强度高、透气性好；背板折起角度0°~70°，腿板升起角度0~45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4、电泳铝合金折叠护栏，规格：1500×420mm，金属基座，铝合金型材连接，铝合金防夹手手把，使用方便，稳定可靠。</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5、丝杆采用45#钢滚丝挤压成型，螺母采用合金铝制作；丝杆具备双向过摇打滑装置；延长其使用寿命；丝杆弹盒为刚件，折叠摇手采用45#钢和丝杆连接采用钢制万向节连接。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6、床脚采用30×50优质碳钢矩管壁厚度≥2.0mm焊接成型，带高级全包静音脚轮，四轮带刹。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杂物架采用19mm厚壁管组焊，牢固可靠；方便病人摆放各类杂物。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 病床两边可配不锈钢伸缩式输液杆，餐桌板。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 整体表面经12道工序处理：除锈-脱脂-表调-锌系磷化-钝化-静电环氧树脂粉沫喷涂。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 床面有效载荷300KG。</w:t>
            </w:r>
          </w:p>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（含床头柜）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药房</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药柜</w:t>
            </w:r>
          </w:p>
        </w:tc>
        <w:tc>
          <w:tcPr>
            <w:tcW w:w="10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尺寸1800*900*400mm防静电烤漆漆面防腐耐磨处理，柜体壁厚0.8mm冷轧钢板，隔板壁厚0.6mm高低可调</w:t>
            </w:r>
          </w:p>
        </w:tc>
      </w:tr>
    </w:tbl>
    <w:p>
      <w:pPr>
        <w:spacing w:line="480" w:lineRule="exact"/>
        <w:outlineLvl w:val="1"/>
        <w:rPr>
          <w:rFonts w:hint="eastAsia" w:ascii="微软雅黑" w:hAnsi="微软雅黑" w:eastAsia="微软雅黑" w:cs="微软雅黑"/>
          <w:b/>
          <w:bCs/>
          <w:color w:val="auto"/>
          <w:sz w:val="32"/>
          <w:szCs w:val="32"/>
        </w:rPr>
      </w:pPr>
    </w:p>
    <w:p>
      <w:pPr>
        <w:spacing w:line="480" w:lineRule="exact"/>
        <w:outlineLvl w:val="1"/>
        <w:rPr>
          <w:rFonts w:hint="eastAsia" w:ascii="微软雅黑" w:hAnsi="微软雅黑" w:eastAsia="微软雅黑" w:cs="微软雅黑"/>
          <w:b/>
          <w:bCs/>
          <w:color w:val="auto"/>
          <w:sz w:val="32"/>
          <w:szCs w:val="32"/>
        </w:rPr>
      </w:pPr>
    </w:p>
    <w:p/>
    <w:p>
      <w:pPr>
        <w:pStyle w:val="2"/>
        <w:rPr>
          <w:rFonts w:hint="eastAsia"/>
          <w:lang w:val="en-US" w:eastAsia="zh-CN"/>
        </w:rPr>
        <w:sectPr>
          <w:headerReference r:id="rId5" w:type="default"/>
          <w:footerReference r:id="rId6" w:type="default"/>
          <w:pgSz w:w="16838" w:h="11905" w:orient="landscape"/>
          <w:pgMar w:top="1797" w:right="1440" w:bottom="1797" w:left="1440" w:header="851" w:footer="992" w:gutter="0"/>
          <w:pgNumType w:fmt="decimal"/>
          <w:cols w:space="0" w:num="1"/>
          <w:rtlGutter w:val="0"/>
          <w:docGrid w:linePitch="462" w:charSpace="0"/>
        </w:sectPr>
      </w:pPr>
    </w:p>
    <w:p>
      <w:pPr>
        <w:rPr>
          <w:rFonts w:hint="eastAsia"/>
          <w:lang w:val="en-US" w:eastAsia="zh-CN"/>
        </w:rPr>
      </w:pPr>
    </w:p>
    <w:p>
      <w:pPr>
        <w:spacing w:line="480" w:lineRule="exact"/>
        <w:outlineLvl w:val="1"/>
        <w:rPr>
          <w:rFonts w:hint="eastAsia" w:ascii="微软雅黑" w:hAnsi="微软雅黑" w:eastAsia="微软雅黑" w:cs="微软雅黑"/>
          <w:color w:val="auto"/>
          <w:sz w:val="32"/>
          <w:szCs w:val="32"/>
        </w:rPr>
      </w:pPr>
      <w:bookmarkStart w:id="846" w:name="_Toc30285"/>
      <w:r>
        <w:rPr>
          <w:rFonts w:hint="eastAsia" w:ascii="微软雅黑" w:hAnsi="微软雅黑" w:eastAsia="微软雅黑" w:cs="微软雅黑"/>
          <w:b/>
          <w:bCs/>
          <w:color w:val="auto"/>
          <w:sz w:val="32"/>
          <w:szCs w:val="32"/>
        </w:rPr>
        <w:t>二、项目其他要求：</w:t>
      </w:r>
      <w:bookmarkEnd w:id="846"/>
    </w:p>
    <w:p>
      <w:pPr>
        <w:spacing w:line="56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1、所招设备的性能要求</w:t>
      </w:r>
    </w:p>
    <w:p>
      <w:pPr>
        <w:pStyle w:val="12"/>
        <w:spacing w:line="240" w:lineRule="auto"/>
        <w:ind w:firstLine="480"/>
        <w:rPr>
          <w:rFonts w:hint="eastAsia" w:ascii="微软雅黑" w:hAnsi="微软雅黑" w:eastAsia="微软雅黑" w:cs="微软雅黑"/>
          <w:color w:val="auto"/>
        </w:rPr>
      </w:pPr>
      <w:r>
        <w:rPr>
          <w:rFonts w:hint="eastAsia" w:ascii="微软雅黑" w:hAnsi="微软雅黑" w:eastAsia="微软雅黑" w:cs="微软雅黑"/>
          <w:color w:val="auto"/>
        </w:rPr>
        <w:t>（1）</w:t>
      </w:r>
      <w:r>
        <w:rPr>
          <w:rFonts w:hint="eastAsia" w:ascii="微软雅黑" w:hAnsi="微软雅黑" w:eastAsia="微软雅黑" w:cs="微软雅黑"/>
          <w:color w:val="auto"/>
          <w:lang w:val="en-US" w:eastAsia="zh-CN"/>
        </w:rPr>
        <w:t>以上每个包的技术参数均为重要参数，无指向性，如供应商认为某个参数指向某品牌的均为参考指标，供应商依据以上参数自行选择投标产品品牌及型号。</w:t>
      </w:r>
    </w:p>
    <w:p>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2、招标项目的交货期和质保期</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微软雅黑" w:hAnsi="微软雅黑" w:eastAsia="微软雅黑" w:cs="微软雅黑"/>
          <w:color w:val="FF0000"/>
          <w:sz w:val="24"/>
          <w:highlight w:val="none"/>
        </w:rPr>
      </w:pPr>
      <w:r>
        <w:rPr>
          <w:rFonts w:hint="eastAsia" w:ascii="微软雅黑" w:hAnsi="微软雅黑" w:eastAsia="微软雅黑" w:cs="微软雅黑"/>
          <w:color w:val="FF0000"/>
          <w:sz w:val="24"/>
        </w:rPr>
        <w:t>（1）交货</w:t>
      </w:r>
      <w:r>
        <w:rPr>
          <w:rFonts w:hint="eastAsia" w:ascii="微软雅黑" w:hAnsi="微软雅黑" w:eastAsia="微软雅黑" w:cs="微软雅黑"/>
          <w:color w:val="FF0000"/>
          <w:sz w:val="24"/>
          <w:highlight w:val="none"/>
        </w:rPr>
        <w:t>期：</w:t>
      </w:r>
      <w:r>
        <w:rPr>
          <w:rFonts w:hint="eastAsia" w:ascii="微软雅黑" w:hAnsi="微软雅黑" w:eastAsia="微软雅黑" w:cs="微软雅黑"/>
          <w:b w:val="0"/>
          <w:bCs w:val="0"/>
          <w:color w:val="FF0000"/>
          <w:sz w:val="24"/>
          <w:highlight w:val="none"/>
          <w:lang w:val="en-US" w:eastAsia="zh-CN"/>
        </w:rPr>
        <w:t>签订合同后30天内完成供货并安装调试完毕。</w:t>
      </w:r>
    </w:p>
    <w:p>
      <w:pPr>
        <w:keepNext w:val="0"/>
        <w:keepLines w:val="0"/>
        <w:pageBreakBefore w:val="0"/>
        <w:kinsoku/>
        <w:wordWrap/>
        <w:overflowPunct/>
        <w:topLinePunct w:val="0"/>
        <w:bidi w:val="0"/>
        <w:snapToGrid/>
        <w:spacing w:line="480" w:lineRule="exact"/>
        <w:ind w:firstLine="480" w:firstLineChars="200"/>
        <w:textAlignment w:val="auto"/>
        <w:rPr>
          <w:rFonts w:hint="eastAsia"/>
        </w:rPr>
      </w:pPr>
      <w:r>
        <w:rPr>
          <w:rFonts w:hint="eastAsia" w:ascii="微软雅黑" w:hAnsi="微软雅黑" w:eastAsia="微软雅黑" w:cs="微软雅黑"/>
          <w:color w:val="auto"/>
          <w:sz w:val="24"/>
          <w:highlight w:val="none"/>
        </w:rPr>
        <w:t>（2）质保期：</w:t>
      </w: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1包、第2包、第3包、第4包的质保期均为2</w:t>
      </w:r>
      <w:r>
        <w:rPr>
          <w:rFonts w:hint="eastAsia" w:ascii="微软雅黑" w:hAnsi="微软雅黑" w:eastAsia="微软雅黑" w:cs="微软雅黑"/>
          <w:color w:val="auto"/>
          <w:sz w:val="24"/>
          <w:highlight w:val="none"/>
        </w:rPr>
        <w:t>年</w:t>
      </w:r>
      <w:r>
        <w:rPr>
          <w:rFonts w:hint="eastAsia" w:ascii="微软雅黑" w:hAnsi="微软雅黑" w:eastAsia="微软雅黑" w:cs="微软雅黑"/>
          <w:color w:val="auto"/>
          <w:sz w:val="24"/>
          <w:highlight w:val="none"/>
          <w:lang w:eastAsia="zh-CN"/>
        </w:rPr>
        <w:t>（质保期内所有设备必须为原厂质保，质保期间安排专人负责所有机组的维修、维护、（具体按照院方要求进行维护），维修费、人工费全部免费。质保期外的维修服务，不得影响甲方正常使用，费用另计。）</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微软雅黑" w:hAnsi="微软雅黑" w:eastAsia="微软雅黑" w:cs="微软雅黑"/>
          <w:b/>
          <w:color w:val="auto"/>
          <w:sz w:val="24"/>
          <w:highlight w:val="none"/>
          <w:lang w:val="en-US" w:eastAsia="zh-CN"/>
        </w:rPr>
      </w:pPr>
      <w:r>
        <w:rPr>
          <w:rFonts w:hint="eastAsia" w:ascii="微软雅黑" w:hAnsi="微软雅黑" w:eastAsia="微软雅黑" w:cs="微软雅黑"/>
          <w:b/>
          <w:color w:val="auto"/>
          <w:sz w:val="24"/>
          <w:highlight w:val="none"/>
        </w:rPr>
        <w:t>3、</w:t>
      </w:r>
      <w:r>
        <w:rPr>
          <w:rFonts w:hint="eastAsia" w:ascii="微软雅黑" w:hAnsi="微软雅黑" w:eastAsia="微软雅黑" w:cs="微软雅黑"/>
          <w:b/>
          <w:color w:val="auto"/>
          <w:sz w:val="24"/>
          <w:highlight w:val="none"/>
          <w:lang w:val="en-US" w:eastAsia="zh-CN"/>
        </w:rPr>
        <w:t>付款方式和交货地点</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bCs/>
          <w:color w:val="auto"/>
          <w:sz w:val="24"/>
          <w:highlight w:val="none"/>
        </w:rPr>
        <w:t>（1）付款方式：</w:t>
      </w:r>
      <w:r>
        <w:rPr>
          <w:rFonts w:hint="eastAsia" w:ascii="微软雅黑" w:hAnsi="微软雅黑" w:eastAsia="微软雅黑" w:cs="微软雅黑"/>
          <w:b w:val="0"/>
          <w:bCs w:val="0"/>
          <w:color w:val="auto"/>
          <w:sz w:val="24"/>
          <w:highlight w:val="none"/>
        </w:rPr>
        <w:t>签订合同后支付合同金额的30%，完成供货并安装调试完毕，经业主查验合格后，支付合同金额的60%，剩余合同金额的10%质保期结束后支付。</w:t>
      </w:r>
    </w:p>
    <w:p>
      <w:pPr>
        <w:keepNext w:val="0"/>
        <w:keepLines w:val="0"/>
        <w:pageBreakBefore w:val="0"/>
        <w:kinsoku/>
        <w:wordWrap/>
        <w:overflowPunct/>
        <w:topLinePunct w:val="0"/>
        <w:bidi w:val="0"/>
        <w:snapToGrid/>
        <w:spacing w:line="480" w:lineRule="exact"/>
        <w:ind w:firstLine="480" w:firstLineChars="200"/>
        <w:textAlignment w:val="auto"/>
        <w:rPr>
          <w:rFonts w:hint="eastAsia" w:ascii="微软雅黑" w:hAnsi="微软雅黑" w:eastAsia="微软雅黑" w:cs="微软雅黑"/>
          <w:color w:val="auto"/>
          <w:sz w:val="24"/>
        </w:rPr>
      </w:pPr>
      <w:r>
        <w:rPr>
          <w:rFonts w:hint="eastAsia" w:ascii="微软雅黑" w:hAnsi="微软雅黑" w:eastAsia="微软雅黑" w:cs="微软雅黑"/>
          <w:b/>
          <w:bCs/>
          <w:color w:val="auto"/>
          <w:sz w:val="24"/>
        </w:rPr>
        <w:t>（2）交货地点</w:t>
      </w:r>
      <w:r>
        <w:rPr>
          <w:rFonts w:hint="eastAsia" w:ascii="微软雅黑" w:hAnsi="微软雅黑" w:eastAsia="微软雅黑" w:cs="微软雅黑"/>
          <w:color w:val="auto"/>
          <w:sz w:val="24"/>
        </w:rPr>
        <w:t>：采购单位指定地点</w:t>
      </w:r>
    </w:p>
    <w:p>
      <w:pPr>
        <w:pStyle w:val="2"/>
        <w:keepNext w:val="0"/>
        <w:keepLines w:val="0"/>
        <w:pageBreakBefore w:val="0"/>
        <w:kinsoku/>
        <w:wordWrap/>
        <w:overflowPunct/>
        <w:topLinePunct w:val="0"/>
        <w:bidi w:val="0"/>
        <w:snapToGrid/>
        <w:spacing w:line="480" w:lineRule="exact"/>
        <w:textAlignment w:val="auto"/>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4、售后服务：</w:t>
      </w:r>
    </w:p>
    <w:p>
      <w:pPr>
        <w:pStyle w:val="2"/>
        <w:keepNext w:val="0"/>
        <w:keepLines w:val="0"/>
        <w:pageBreakBefore w:val="0"/>
        <w:kinsoku/>
        <w:wordWrap/>
        <w:overflowPunct/>
        <w:topLinePunct w:val="0"/>
        <w:bidi w:val="0"/>
        <w:snapToGrid/>
        <w:spacing w:line="480" w:lineRule="exact"/>
        <w:textAlignment w:val="auto"/>
        <w:rPr>
          <w:rFonts w:hint="eastAsia" w:ascii="微软雅黑" w:hAnsi="微软雅黑" w:eastAsia="微软雅黑" w:cs="微软雅黑"/>
          <w:color w:val="000000" w:themeColor="text1"/>
          <w:szCs w:val="24"/>
          <w:lang w:val="en-US" w:eastAsia="zh-CN"/>
          <w14:textFill>
            <w14:solidFill>
              <w14:schemeClr w14:val="tx1"/>
            </w14:solidFill>
          </w14:textFill>
        </w:rPr>
      </w:pPr>
      <w:r>
        <w:rPr>
          <w:rFonts w:hint="eastAsia" w:ascii="微软雅黑" w:hAnsi="微软雅黑" w:eastAsia="微软雅黑" w:cs="微软雅黑"/>
          <w:color w:val="000000" w:themeColor="text1"/>
          <w:szCs w:val="24"/>
          <w:lang w:val="en-US" w:eastAsia="zh-CN"/>
          <w14:textFill>
            <w14:solidFill>
              <w14:schemeClr w14:val="tx1"/>
            </w14:solidFill>
          </w14:textFill>
        </w:rPr>
        <w:t>（1）产品厂家或供应商须到采购单位提供的现场免费安装、调试设备，进行操作试验，直至运行正常，为仪器操作人员提供操作及维护培训。</w:t>
      </w:r>
      <w:r>
        <w:rPr>
          <w:rFonts w:hint="eastAsia" w:ascii="微软雅黑" w:hAnsi="微软雅黑" w:eastAsia="微软雅黑" w:cs="微软雅黑"/>
          <w:b w:val="0"/>
          <w:bCs w:val="0"/>
          <w:color w:val="000000" w:themeColor="text1"/>
          <w:szCs w:val="24"/>
          <w:lang w:val="en-US" w:eastAsia="zh-CN"/>
          <w14:textFill>
            <w14:solidFill>
              <w14:schemeClr w14:val="tx1"/>
            </w14:solidFill>
          </w14:textFill>
        </w:rPr>
        <w:t>在质保期内出现故障时，中标供应商在接到故障报修电话后，2</w:t>
      </w:r>
      <w:r>
        <w:rPr>
          <w:rFonts w:hint="eastAsia" w:ascii="微软雅黑" w:hAnsi="微软雅黑" w:eastAsia="微软雅黑" w:cs="微软雅黑"/>
          <w:color w:val="000000" w:themeColor="text1"/>
          <w:szCs w:val="24"/>
          <w:lang w:val="en-US" w:eastAsia="zh-CN"/>
          <w14:textFill>
            <w14:solidFill>
              <w14:schemeClr w14:val="tx1"/>
            </w14:solidFill>
          </w14:textFill>
        </w:rPr>
        <w:t>4小时内必须赶到现场解决故障，如当日无法修复，安装备品备件供甲方使用（具体服务可参考各设备技术参数的相关要求）。</w:t>
      </w:r>
    </w:p>
    <w:p>
      <w:pPr>
        <w:pStyle w:val="2"/>
        <w:rPr>
          <w:rFonts w:hint="eastAsia" w:ascii="微软雅黑" w:hAnsi="微软雅黑" w:eastAsia="微软雅黑" w:cs="微软雅黑"/>
          <w:color w:val="000000" w:themeColor="text1"/>
          <w:szCs w:val="24"/>
          <w:lang w:val="en-US" w:eastAsia="zh-CN"/>
          <w14:textFill>
            <w14:solidFill>
              <w14:schemeClr w14:val="tx1"/>
            </w14:solidFill>
          </w14:textFill>
        </w:rPr>
      </w:pPr>
      <w:r>
        <w:rPr>
          <w:rFonts w:hint="eastAsia" w:ascii="微软雅黑" w:hAnsi="微软雅黑" w:eastAsia="微软雅黑" w:cs="微软雅黑"/>
          <w:color w:val="000000" w:themeColor="text1"/>
          <w:szCs w:val="24"/>
          <w:lang w:val="en-US" w:eastAsia="zh-CN"/>
          <w14:textFill>
            <w14:solidFill>
              <w14:schemeClr w14:val="tx1"/>
            </w14:solidFill>
          </w14:textFill>
        </w:rPr>
        <w:t>（2）为保证设备的正常运行，须提供7*24小时的本地化售后服务，并附上地点、联系方式。</w:t>
      </w:r>
    </w:p>
    <w:p>
      <w:pPr>
        <w:pStyle w:val="2"/>
        <w:keepNext w:val="0"/>
        <w:keepLines w:val="0"/>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Cs w:val="24"/>
          <w:lang w:val="en-US" w:eastAsia="zh-CN"/>
          <w14:textFill>
            <w14:solidFill>
              <w14:schemeClr w14:val="tx1"/>
            </w14:solidFill>
          </w14:textFill>
        </w:rPr>
      </w:pPr>
      <w:r>
        <w:rPr>
          <w:rFonts w:hint="eastAsia" w:ascii="微软雅黑" w:hAnsi="微软雅黑" w:eastAsia="微软雅黑" w:cs="微软雅黑"/>
          <w:color w:val="000000" w:themeColor="text1"/>
          <w:szCs w:val="24"/>
          <w:lang w:val="en-US" w:eastAsia="zh-CN"/>
          <w14:textFill>
            <w14:solidFill>
              <w14:schemeClr w14:val="tx1"/>
            </w14:solidFill>
          </w14:textFill>
        </w:rPr>
        <w:t>（3）在质保期内，派遣维修或技术人员巡访设备使用单位，协助并指导运维人员进行日常维护保养工作，并与直接使用人交流设备使用相关事宜。</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val="0"/>
          <w:bCs/>
          <w:color w:val="000000" w:themeColor="text1"/>
          <w:sz w:val="24"/>
          <w:lang w:val="en-US" w:eastAsia="zh-CN"/>
          <w14:textFill>
            <w14:solidFill>
              <w14:schemeClr w14:val="tx1"/>
            </w14:solidFill>
          </w14:textFill>
        </w:rPr>
      </w:pPr>
      <w:r>
        <w:rPr>
          <w:rFonts w:hint="eastAsia" w:ascii="微软雅黑" w:hAnsi="微软雅黑" w:eastAsia="微软雅黑" w:cs="微软雅黑"/>
          <w:b w:val="0"/>
          <w:bCs/>
          <w:color w:val="000000" w:themeColor="text1"/>
          <w:sz w:val="24"/>
          <w:lang w:val="en-US" w:eastAsia="zh-CN"/>
          <w14:textFill>
            <w14:solidFill>
              <w14:schemeClr w14:val="tx1"/>
            </w14:solidFill>
          </w14:textFill>
        </w:rPr>
        <w:t>（4）拟定设备使用培训计划，要求培训不少于2次，每次培训不少于5人；</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b w:val="0"/>
          <w:bCs/>
          <w:color w:val="000000" w:themeColor="text1"/>
          <w:sz w:val="24"/>
          <w:highlight w:val="none"/>
          <w:lang w:val="en-US" w:eastAsia="zh-CN"/>
          <w14:textFill>
            <w14:solidFill>
              <w14:schemeClr w14:val="tx1"/>
            </w14:solidFill>
          </w14:textFill>
        </w:rPr>
        <w:t>（5）生产厂家或供应商在疆内具有固定的售后服务网点</w:t>
      </w:r>
      <w:r>
        <w:rPr>
          <w:rFonts w:hint="eastAsia" w:ascii="微软雅黑" w:hAnsi="微软雅黑" w:eastAsia="微软雅黑" w:cs="微软雅黑"/>
          <w:b w:val="0"/>
          <w:bCs/>
          <w:color w:val="000000" w:themeColor="text1"/>
          <w:sz w:val="24"/>
          <w:lang w:val="en-US" w:eastAsia="zh-CN"/>
          <w14:textFill>
            <w14:solidFill>
              <w14:schemeClr w14:val="tx1"/>
            </w14:solidFill>
          </w14:textFill>
        </w:rPr>
        <w:t>，配备本项目固定工程师5人及以上，并安排每年设备巡检不少于5次，以保证所投设备在本院正常运转。</w:t>
      </w:r>
    </w:p>
    <w:p>
      <w:pPr>
        <w:pStyle w:val="2"/>
        <w:keepNext w:val="0"/>
        <w:keepLines w:val="0"/>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Cs w:val="24"/>
          <w:lang w:val="en-US" w:eastAsia="zh-CN"/>
          <w14:textFill>
            <w14:solidFill>
              <w14:schemeClr w14:val="tx1"/>
            </w14:solidFill>
          </w14:textFill>
        </w:rPr>
      </w:pPr>
      <w:r>
        <w:rPr>
          <w:rFonts w:hint="eastAsia" w:ascii="微软雅黑" w:hAnsi="微软雅黑" w:eastAsia="微软雅黑" w:cs="微软雅黑"/>
          <w:color w:val="000000" w:themeColor="text1"/>
          <w:szCs w:val="24"/>
          <w:lang w:val="en-US" w:eastAsia="zh-CN"/>
          <w14:textFill>
            <w14:solidFill>
              <w14:schemeClr w14:val="tx1"/>
            </w14:solidFill>
          </w14:textFill>
        </w:rPr>
        <w:t>（6）供应商必须积极配采购人共同参与项目验收。主动向采购单位有关技术人员在使用现场提供全套技术指导及培训。</w:t>
      </w:r>
    </w:p>
    <w:p>
      <w:pPr>
        <w:pStyle w:val="2"/>
        <w:keepNext w:val="0"/>
        <w:keepLines w:val="0"/>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Cs w:val="24"/>
          <w:lang w:val="en-US" w:eastAsia="zh-CN"/>
          <w14:textFill>
            <w14:solidFill>
              <w14:schemeClr w14:val="tx1"/>
            </w14:solidFill>
          </w14:textFill>
        </w:rPr>
      </w:pPr>
      <w:r>
        <w:rPr>
          <w:rFonts w:hint="eastAsia" w:ascii="微软雅黑" w:hAnsi="微软雅黑" w:eastAsia="微软雅黑" w:cs="微软雅黑"/>
          <w:color w:val="000000" w:themeColor="text1"/>
          <w:szCs w:val="24"/>
          <w:lang w:val="en-US" w:eastAsia="zh-CN"/>
          <w14:textFill>
            <w14:solidFill>
              <w14:schemeClr w14:val="tx1"/>
            </w14:solidFill>
          </w14:textFill>
        </w:rPr>
        <w:t>（7）供应商应派相关技术人员到现场进行指导安装，解决安装过程中的相关问题。</w:t>
      </w:r>
    </w:p>
    <w:p>
      <w:pPr>
        <w:pStyle w:val="2"/>
        <w:keepNext w:val="0"/>
        <w:keepLines w:val="0"/>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Cs w:val="24"/>
          <w:lang w:val="en-US" w:eastAsia="zh-CN"/>
          <w14:textFill>
            <w14:solidFill>
              <w14:schemeClr w14:val="tx1"/>
            </w14:solidFill>
          </w14:textFill>
        </w:rPr>
      </w:pPr>
      <w:r>
        <w:rPr>
          <w:rFonts w:hint="eastAsia" w:ascii="微软雅黑" w:hAnsi="微软雅黑" w:eastAsia="微软雅黑" w:cs="微软雅黑"/>
          <w:color w:val="000000" w:themeColor="text1"/>
          <w:szCs w:val="24"/>
          <w:lang w:val="en-US" w:eastAsia="zh-CN"/>
          <w14:textFill>
            <w14:solidFill>
              <w14:schemeClr w14:val="tx1"/>
            </w14:solidFill>
          </w14:textFill>
        </w:rPr>
        <w:t>（8）售后服务承诺：供应商应对质保期内及其以后的服务做出承诺，并具有切实可行的措施,不能及时兑现服务承诺内容而影响使用方使用，供应商应怎样给予补偿；供应商在项目实施所在区域内应有设或指派的法定售后服务机构，维修人员应是供应商派出的具有一定专业技术水平的人员，并具有供应商的法人授权委托，并在相应文件中均应明确说明。</w:t>
      </w:r>
    </w:p>
    <w:p>
      <w:pPr>
        <w:pStyle w:val="2"/>
        <w:rPr>
          <w:rFonts w:hint="eastAsia" w:ascii="微软雅黑" w:hAnsi="微软雅黑" w:eastAsia="微软雅黑" w:cs="微软雅黑"/>
          <w:color w:val="000000" w:themeColor="text1"/>
          <w:szCs w:val="24"/>
          <w:lang w:val="en-US" w:eastAsia="zh-CN"/>
          <w14:textFill>
            <w14:solidFill>
              <w14:schemeClr w14:val="tx1"/>
            </w14:solidFill>
          </w14:textFill>
        </w:rPr>
      </w:pPr>
      <w:r>
        <w:rPr>
          <w:rFonts w:hint="eastAsia" w:ascii="微软雅黑" w:hAnsi="微软雅黑" w:eastAsia="微软雅黑" w:cs="微软雅黑"/>
          <w:color w:val="000000" w:themeColor="text1"/>
          <w:szCs w:val="24"/>
          <w:lang w:val="en-US" w:eastAsia="zh-CN"/>
          <w14:textFill>
            <w14:solidFill>
              <w14:schemeClr w14:val="tx1"/>
            </w14:solidFill>
          </w14:textFill>
        </w:rPr>
        <w:t>（9）备品备件：第1包、第2包、第3包、第4包，所投产品均须提供备品备件，供应商根据自身所投产品提供相对应的部件之间及设备之间的连线或接插件，均视为备品备件的种类。列明备品备件的种类、数量、价格。</w:t>
      </w:r>
    </w:p>
    <w:p>
      <w:pPr>
        <w:pStyle w:val="2"/>
        <w:rPr>
          <w:rFonts w:hint="eastAsia" w:ascii="微软雅黑" w:hAnsi="微软雅黑" w:eastAsia="微软雅黑" w:cs="微软雅黑"/>
          <w:color w:val="000000" w:themeColor="text1"/>
          <w:szCs w:val="24"/>
          <w:lang w:val="en-US" w:eastAsia="zh-CN"/>
          <w14:textFill>
            <w14:solidFill>
              <w14:schemeClr w14:val="tx1"/>
            </w14:solidFill>
          </w14:textFill>
        </w:rPr>
      </w:pPr>
      <w:r>
        <w:rPr>
          <w:rFonts w:hint="eastAsia" w:ascii="微软雅黑" w:hAnsi="微软雅黑" w:eastAsia="微软雅黑" w:cs="微软雅黑"/>
          <w:color w:val="000000" w:themeColor="text1"/>
          <w:szCs w:val="24"/>
          <w:lang w:val="en-US" w:eastAsia="zh-CN"/>
          <w14:textFill>
            <w14:solidFill>
              <w14:schemeClr w14:val="tx1"/>
            </w14:solidFill>
          </w14:textFill>
        </w:rPr>
        <w:t>（10）如有未尽事宜或收到服务需求不合要求情况，可双方协商决定，但决定权在购买方，购买方有权利退回所购买产品。</w:t>
      </w:r>
    </w:p>
    <w:p>
      <w:pPr>
        <w:pStyle w:val="2"/>
        <w:rPr>
          <w:rFonts w:hint="eastAsia" w:ascii="微软雅黑" w:hAnsi="微软雅黑" w:eastAsia="微软雅黑" w:cs="微软雅黑"/>
          <w:b/>
          <w:bCs/>
          <w:color w:val="000000" w:themeColor="text1"/>
          <w:szCs w:val="24"/>
          <w:lang w:val="en-US" w:eastAsia="zh-CN"/>
          <w14:textFill>
            <w14:solidFill>
              <w14:schemeClr w14:val="tx1"/>
            </w14:solidFill>
          </w14:textFill>
        </w:rPr>
      </w:pPr>
      <w:r>
        <w:rPr>
          <w:rFonts w:hint="eastAsia" w:ascii="微软雅黑" w:hAnsi="微软雅黑" w:eastAsia="微软雅黑" w:cs="微软雅黑"/>
          <w:b/>
          <w:bCs/>
          <w:color w:val="000000" w:themeColor="text1"/>
          <w:szCs w:val="24"/>
          <w:lang w:val="en-US" w:eastAsia="zh-CN"/>
          <w14:textFill>
            <w14:solidFill>
              <w14:schemeClr w14:val="tx1"/>
            </w14:solidFill>
          </w14:textFill>
        </w:rPr>
        <w:t>6、实施方案及培训方案</w:t>
      </w:r>
    </w:p>
    <w:p>
      <w:pPr>
        <w:pStyle w:val="2"/>
        <w:rPr>
          <w:rFonts w:hint="eastAsia" w:ascii="微软雅黑" w:hAnsi="微软雅黑" w:eastAsia="微软雅黑" w:cs="微软雅黑"/>
          <w:color w:val="000000" w:themeColor="text1"/>
          <w:szCs w:val="24"/>
          <w:lang w:val="en-US" w:eastAsia="zh-CN"/>
          <w14:textFill>
            <w14:solidFill>
              <w14:schemeClr w14:val="tx1"/>
            </w14:solidFill>
          </w14:textFill>
        </w:rPr>
      </w:pPr>
      <w:r>
        <w:rPr>
          <w:rFonts w:hint="eastAsia" w:ascii="微软雅黑" w:hAnsi="微软雅黑" w:eastAsia="微软雅黑" w:cs="微软雅黑"/>
          <w:color w:val="000000" w:themeColor="text1"/>
          <w:szCs w:val="24"/>
          <w:lang w:val="en-US" w:eastAsia="zh-CN"/>
          <w14:textFill>
            <w14:solidFill>
              <w14:schemeClr w14:val="tx1"/>
            </w14:solidFill>
          </w14:textFill>
        </w:rPr>
        <w:t>（1）供应商应保证供货设备在项目实施过程中的实施方案、设备质量、及供货安装、项目安全措施、应急处理、进度安排等五方面进行拓展，供应商能够在设备运输中保障设备的功能不被破坏，在发货前保证对货物的质量、规格、性能、数量和重量等进行准确而全面的检验，并出具一份产品检验合格证书。在项目供货安装时进行核对，如若发生设备不能正常运行，供应商必须在突发应急时给予响应并在最快时间内处理，保障设备正常运行。</w:t>
      </w:r>
    </w:p>
    <w:p>
      <w:pPr>
        <w:pStyle w:val="2"/>
        <w:rPr>
          <w:rFonts w:hint="eastAsia" w:ascii="微软雅黑" w:hAnsi="微软雅黑" w:eastAsia="微软雅黑" w:cs="微软雅黑"/>
          <w:color w:val="000000" w:themeColor="text1"/>
          <w:szCs w:val="24"/>
          <w:lang w:val="en-US" w:eastAsia="zh-CN"/>
          <w14:textFill>
            <w14:solidFill>
              <w14:schemeClr w14:val="tx1"/>
            </w14:solidFill>
          </w14:textFill>
        </w:rPr>
      </w:pPr>
      <w:r>
        <w:rPr>
          <w:rFonts w:hint="eastAsia" w:ascii="微软雅黑" w:hAnsi="微软雅黑" w:eastAsia="微软雅黑" w:cs="微软雅黑"/>
          <w:color w:val="000000" w:themeColor="text1"/>
          <w:szCs w:val="24"/>
          <w:lang w:val="en-US" w:eastAsia="zh-CN"/>
          <w14:textFill>
            <w14:solidFill>
              <w14:schemeClr w14:val="tx1"/>
            </w14:solidFill>
          </w14:textFill>
        </w:rPr>
        <w:t>（2）须提供所投设备的相关技术培训，指涉及产品基本原理、安装、调试、操作使用和保养维修等有关内容的学习。提供相对应的培训方案，培训人员的差旅费、 食宿费、培训教材等费用，应计入投标报价，随时排除所有设备故障进行明确的计划阐述，并对所有设备保修期过后维保进行阐述。</w:t>
      </w:r>
    </w:p>
    <w:p>
      <w:pPr>
        <w:pStyle w:val="2"/>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7、采购标的的验收标准：</w:t>
      </w:r>
    </w:p>
    <w:p>
      <w:pPr>
        <w:pStyle w:val="2"/>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验收主体：喀什中医医院</w:t>
      </w:r>
    </w:p>
    <w:p>
      <w:pPr>
        <w:pStyle w:val="2"/>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验收时间：供货安装调试完毕</w:t>
      </w:r>
    </w:p>
    <w:p>
      <w:pPr>
        <w:pStyle w:val="2"/>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验收内容：所购买设备</w:t>
      </w:r>
    </w:p>
    <w:p>
      <w:pPr>
        <w:pStyle w:val="2"/>
        <w:rPr>
          <w:rFonts w:hint="eastAsia" w:ascii="微软雅黑" w:hAnsi="微软雅黑" w:eastAsia="微软雅黑" w:cs="微软雅黑"/>
          <w:color w:val="0000FF"/>
          <w:szCs w:val="24"/>
          <w:lang w:val="en-US" w:eastAsia="zh-CN"/>
        </w:rPr>
      </w:pPr>
      <w:r>
        <w:rPr>
          <w:rFonts w:hint="eastAsia" w:ascii="微软雅黑" w:hAnsi="微软雅黑" w:eastAsia="微软雅黑" w:cs="微软雅黑"/>
          <w:color w:val="auto"/>
          <w:szCs w:val="24"/>
          <w:lang w:val="en-US" w:eastAsia="zh-CN"/>
        </w:rPr>
        <w:t>验收标准：供应商按期供货并安装调试完毕后，采购单位委托第三方检测机构及医院相关专家对设备进行检测验收，所产生的相关费用由供应商支付。第三方检测机构及医院相关专家检测出不合格设备，可以退换货物。</w:t>
      </w:r>
    </w:p>
    <w:p>
      <w:pPr>
        <w:pStyle w:val="2"/>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（1）没有按时提供货物或者提供不合格货物等原因影响我医院正常工作开展，供货商承担我医院的一切损失。</w:t>
      </w:r>
    </w:p>
    <w:p>
      <w:pPr>
        <w:pStyle w:val="2"/>
        <w:rPr>
          <w:rFonts w:hint="eastAsia" w:ascii="微软雅黑" w:hAnsi="微软雅黑" w:eastAsia="微软雅黑" w:cs="微软雅黑"/>
          <w:b/>
          <w:bCs/>
          <w:color w:val="auto"/>
          <w:szCs w:val="24"/>
          <w:lang w:val="en-US" w:eastAsia="zh-CN"/>
        </w:rPr>
      </w:pPr>
      <w:r>
        <w:rPr>
          <w:rFonts w:hint="eastAsia" w:ascii="微软雅黑" w:hAnsi="微软雅黑" w:eastAsia="微软雅黑" w:cs="微软雅黑"/>
          <w:b/>
          <w:bCs/>
          <w:color w:val="auto"/>
          <w:szCs w:val="24"/>
          <w:lang w:val="en-US" w:eastAsia="zh-CN"/>
        </w:rPr>
        <w:t>8、采购标的的其他技术、服务等要求：</w:t>
      </w:r>
    </w:p>
    <w:p>
      <w:pPr>
        <w:pStyle w:val="2"/>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（1）无论招标文件中或采购合同中是否要求，供应商所投货物均应符合国家强制性标准及地方强制性标准。</w:t>
      </w:r>
    </w:p>
    <w:p>
      <w:pPr>
        <w:pStyle w:val="2"/>
        <w:rPr>
          <w:rStyle w:val="33"/>
          <w:rFonts w:hint="eastAsia" w:ascii="微软雅黑" w:hAnsi="微软雅黑" w:eastAsia="微软雅黑" w:cs="微软雅黑"/>
          <w:color w:val="auto"/>
          <w:sz w:val="32"/>
          <w:szCs w:val="32"/>
        </w:rPr>
      </w:pPr>
      <w:r>
        <w:rPr>
          <w:rFonts w:hint="eastAsia" w:ascii="微软雅黑" w:hAnsi="微软雅黑" w:eastAsia="微软雅黑" w:cs="微软雅黑"/>
          <w:color w:val="000000" w:themeColor="text1"/>
          <w:szCs w:val="24"/>
          <w:lang w:val="en-US" w:eastAsia="zh-CN"/>
          <w14:textFill>
            <w14:solidFill>
              <w14:schemeClr w14:val="tx1"/>
            </w14:solidFill>
          </w14:textFill>
        </w:rPr>
        <w:t>(2)提供所投设备由国家权威部门或第三方检测机构出具的产品检测报告。</w:t>
      </w:r>
      <w:bookmarkStart w:id="847" w:name="_Toc216582826"/>
      <w:bookmarkStart w:id="848" w:name="_Toc218935355"/>
      <w:bookmarkStart w:id="849" w:name="_Toc11259"/>
      <w:bookmarkStart w:id="850" w:name="_Toc507399907"/>
      <w:bookmarkStart w:id="851" w:name="_Toc515647832"/>
      <w:bookmarkStart w:id="852" w:name="_Toc32647"/>
      <w:bookmarkStart w:id="853" w:name="_Toc32051"/>
      <w:bookmarkStart w:id="854" w:name="_Toc7971"/>
      <w:bookmarkStart w:id="855" w:name="_Toc219175639"/>
    </w:p>
    <w:p>
      <w:pPr>
        <w:jc w:val="center"/>
        <w:outlineLvl w:val="0"/>
        <w:rPr>
          <w:rFonts w:hint="eastAsia" w:ascii="微软雅黑" w:hAnsi="微软雅黑" w:eastAsia="微软雅黑" w:cs="微软雅黑"/>
          <w:color w:val="auto"/>
          <w:sz w:val="32"/>
          <w:szCs w:val="32"/>
        </w:rPr>
      </w:pPr>
      <w:r>
        <w:rPr>
          <w:rStyle w:val="33"/>
          <w:rFonts w:hint="eastAsia" w:ascii="微软雅黑" w:hAnsi="微软雅黑" w:eastAsia="微软雅黑" w:cs="微软雅黑"/>
          <w:color w:val="auto"/>
          <w:sz w:val="32"/>
          <w:szCs w:val="32"/>
        </w:rPr>
        <w:t>第6章  评标方法和标准</w:t>
      </w:r>
      <w:bookmarkEnd w:id="847"/>
      <w:bookmarkEnd w:id="848"/>
      <w:bookmarkEnd w:id="849"/>
      <w:bookmarkEnd w:id="850"/>
      <w:bookmarkEnd w:id="851"/>
      <w:bookmarkEnd w:id="852"/>
      <w:bookmarkEnd w:id="853"/>
      <w:bookmarkEnd w:id="854"/>
      <w:bookmarkEnd w:id="855"/>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本项目将按照招标文件第一章供应商须知中“五 开标及评标”、“六 确定中标”及本章的规定评标。</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注：1.投标无效的情形：</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（1）单位负责人为同一人或者存在直接控股、管理关系的不同供应商，其相关投标将被认定为投标无效。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（2）若供应商须知资料表中未写明允许采购进口产品，如供应商所投产品为进口产品，其投标将被认定为投标无效。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（3）为本项目提供过整体设计、规范编制或者项目管理、监理、检测等服务的供应商，不得再参加本项目上述服务以外的其他采购活动。否则其投标将被认定为投标无效。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供应商在投标过程中不得向采购人提供、给予任何有价值的物品，影响其正常决策行为。一经发现，其将被认定为投标无效。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（4）供应商报价超过招标文件规定的预算金额或者分项、分包最高限价的，其投标将被认定为投标无效。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供应商应认真阅读招标文件所有的事项、格式、条款和技术规范等。如供应商没有按照招标文件要求提交全部资料，或者投标文件没有对招标文件在各方面都做出实质性响应，可能导致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（6）供应商应当对所投分包招标文件中“货物需求”所列的所有内容进行投标，如仅响应某一包中的部分内容，其该包投标将被认定为投标无效。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（7）供应商未按本须知第12.1和12.3条规定提交投标保证金的，其投标将被认定为投标无效。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所有投标均以人民币报价。供应商的投标报价应遵守《中华人民共和国价格法》。同时，根据《中华人民共和国政府采购法》第二条的规定，为保证公平竞争，如有货物主体部分的赠与行为，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（9）供应商所报的各分项投标单价在合同履行过程中是固定不变的，不得以任何理由予以变更。任何包含价格调整要求的投标，其投标将被认定为投标无效。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（10）投标应在供应商须知资料表中规定时间内保持有效。投标有效期不满足要求的投标，其投标将被认定为投标无效。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（11）所有投标文件采用不可拆装的胶订方式装订，否则其投标将被认定为投标无效。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（12）采购人或采购代理机构将在开标前1个工作日至投标截止后1小时的期间内查询供应商的信用记录。供应商存在不良信用记录的，其投标将被认定为投标无效。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（15）如发现下列情况之一的，其投标将被认定为投标无效：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未按招标文件规定的形式和金额提交投标保证金的；未按照招标文件规定要求签署、盖章的；未满足招标文件中技术条款的实质性要求；与其他供应商串通投标，或者与招标人串通投标；属于招标文件规定的其他投标无效情形；评标委员会认为供应商的报价明显低于其他通过符合性检查供应商的报价，有可能影响履约的，且供应商未按照规定证明其报价合理性的；投标文件含有采购人不能接受的附加条件的；不符合法规和招标文件中规定的其他实质性要求的。</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2.根据《政府采购促进中小企业发展管理办法》（财库[2020]46号）、《财政部 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10%后参与评。对于同时属于小微企业、监狱企业或残疾人福利性单位的，不重复进行投标报价扣除。</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b w:val="0"/>
          <w:bCs w:val="0"/>
          <w:color w:val="auto"/>
          <w:sz w:val="24"/>
          <w:szCs w:val="24"/>
        </w:rPr>
        <w:t>3.联合协议中约定，</w:t>
      </w:r>
      <w:r>
        <w:rPr>
          <w:rFonts w:hint="eastAsia" w:ascii="微软雅黑" w:hAnsi="微软雅黑" w:eastAsia="微软雅黑" w:cs="微软雅黑"/>
          <w:color w:val="auto"/>
          <w:sz w:val="24"/>
          <w:szCs w:val="24"/>
        </w:rPr>
        <w:t>小型、微型企业和监狱企业的协议合同金额占到联合体协议合同总金额</w:t>
      </w:r>
      <w:r>
        <w:rPr>
          <w:rFonts w:hint="eastAsia" w:ascii="微软雅黑" w:hAnsi="微软雅黑" w:eastAsia="微软雅黑" w:cs="微软雅黑"/>
          <w:color w:val="auto"/>
          <w:sz w:val="24"/>
          <w:szCs w:val="24"/>
          <w:lang w:val="en-US" w:eastAsia="zh-CN"/>
        </w:rPr>
        <w:t>40</w:t>
      </w:r>
      <w:r>
        <w:rPr>
          <w:rFonts w:hint="eastAsia" w:ascii="微软雅黑" w:hAnsi="微软雅黑" w:eastAsia="微软雅黑" w:cs="微软雅黑"/>
          <w:color w:val="auto"/>
          <w:sz w:val="24"/>
          <w:szCs w:val="24"/>
        </w:rPr>
        <w:t>%以上的，可给予联合体</w:t>
      </w:r>
      <w:r>
        <w:rPr>
          <w:rFonts w:hint="eastAsia" w:ascii="微软雅黑" w:hAnsi="微软雅黑" w:eastAsia="微软雅黑" w:cs="微软雅黑"/>
          <w:color w:val="auto"/>
          <w:sz w:val="24"/>
          <w:szCs w:val="24"/>
          <w:lang w:val="en-US" w:eastAsia="zh-CN"/>
        </w:rPr>
        <w:t>4%~6%</w:t>
      </w:r>
      <w:r>
        <w:rPr>
          <w:rFonts w:hint="eastAsia" w:ascii="微软雅黑" w:hAnsi="微软雅黑" w:eastAsia="微软雅黑" w:cs="微软雅黑"/>
          <w:color w:val="auto"/>
          <w:sz w:val="24"/>
          <w:szCs w:val="24"/>
        </w:rPr>
        <w:t>的价格扣除。（本项目不适用）</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联合体各方均为小型、微型企业和监狱企业的，联合体视同为小型、微型企业和监狱企业。</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b w:val="0"/>
          <w:bCs w:val="0"/>
          <w:color w:val="auto"/>
          <w:sz w:val="24"/>
          <w:szCs w:val="24"/>
        </w:rPr>
        <w:t>4.供应商所投产品如被列入财政部与国家主管部门颁发的节能产品目录或环境标志产品目录或无线局域网产品目录，</w:t>
      </w:r>
      <w:r>
        <w:rPr>
          <w:rFonts w:hint="eastAsia" w:ascii="微软雅黑" w:hAnsi="微软雅黑" w:eastAsia="微软雅黑" w:cs="微软雅黑"/>
          <w:color w:val="auto"/>
          <w:sz w:val="24"/>
          <w:szCs w:val="24"/>
        </w:rPr>
        <w:t>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5.如采购人所采购产品为政府强制采购的节能产品，供应商所投产品的品牌及型号必须为清单中有效期内产品并提供证明文件，否则其投标将被认定为投标无效。</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6.对创新产品或创新性企业的优惠措施为：    /       </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7.开标：</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（1）采购人和采购代理机构将按投标人须知资料表中规定的开标时间和地点组织公开开标并邀请所有投标人代表参加。</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（2）开标前，工作人员收走所有参会人员的手机，主持人宣布开标纪律.</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（3）开标时，投标人或其推选的代表检查自己或所有投标供应商的投标文件的密封情况，并对密封情况签字确认。</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经记录后，由采购人或采购代理机构依据法律法规和招标文件中规定的内容，对投标人的资格进行审查，并让投标人对资格审查结果签字确认。在资格审查过程中，潜在投标企业提供的资质材料不全的，可打开投标书正本进行进一步核实，符合条件的均为合格供应商。</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由采购人或采购代理机构当众拆封投标文件第一部分，宣读投标人名称、投标价格及招标文件规定的内容。对于投标人在投标截止期前递交的投标声明，在开标时当众宣读，评标时有效。</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）未宣读投标价格、价格折扣等实质内容，评标时不予承认。</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）采购人或采购代理机构将对开标过程进行记录，由参加开标的各投标人代表和相关工作人员签字确认，并存档备查。</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）投标人代表对开标过程和开标记录有疑义，以及认为采购人、采购代理机构相关工作人员有需要回避的情形的，应当场提出询问或者回避申请。</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8.评标：</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val="0"/>
          <w:bCs/>
          <w:color w:val="auto"/>
          <w:sz w:val="24"/>
          <w:szCs w:val="24"/>
        </w:rPr>
      </w:pPr>
      <w:r>
        <w:rPr>
          <w:rFonts w:hint="eastAsia" w:ascii="微软雅黑" w:hAnsi="微软雅黑" w:eastAsia="微软雅黑" w:cs="微软雅黑"/>
          <w:b/>
          <w:bCs/>
          <w:i w:val="0"/>
          <w:caps w:val="0"/>
          <w:color w:val="auto"/>
          <w:spacing w:val="0"/>
          <w:w w:val="100"/>
          <w:sz w:val="24"/>
          <w:szCs w:val="24"/>
          <w:highlight w:val="none"/>
          <w:lang w:val="en-US" w:eastAsia="zh-CN"/>
        </w:rPr>
        <w:t>（1）评标办法：</w:t>
      </w:r>
      <w:r>
        <w:rPr>
          <w:rFonts w:hint="eastAsia" w:ascii="微软雅黑" w:hAnsi="微软雅黑" w:eastAsia="微软雅黑" w:cs="微软雅黑"/>
          <w:b/>
          <w:bCs w:val="0"/>
          <w:color w:val="auto"/>
          <w:sz w:val="24"/>
          <w:szCs w:val="24"/>
          <w:lang w:val="en-US" w:eastAsia="zh-CN"/>
        </w:rPr>
        <w:t>本项目第1包至第4包均</w:t>
      </w:r>
      <w:r>
        <w:rPr>
          <w:rFonts w:hint="eastAsia" w:ascii="微软雅黑" w:hAnsi="微软雅黑" w:eastAsia="微软雅黑" w:cs="微软雅黑"/>
          <w:b/>
          <w:bCs w:val="0"/>
          <w:color w:val="auto"/>
          <w:sz w:val="24"/>
          <w:szCs w:val="24"/>
        </w:rPr>
        <w:t>采用综合评分法</w:t>
      </w:r>
      <w:r>
        <w:rPr>
          <w:rFonts w:hint="eastAsia" w:ascii="微软雅黑" w:hAnsi="微软雅黑" w:eastAsia="微软雅黑" w:cs="微软雅黑"/>
          <w:b w:val="0"/>
          <w:bCs/>
          <w:color w:val="auto"/>
          <w:sz w:val="24"/>
          <w:szCs w:val="24"/>
        </w:rPr>
        <w:t>，</w:t>
      </w:r>
      <w:r>
        <w:rPr>
          <w:rFonts w:hint="eastAsia" w:ascii="微软雅黑" w:hAnsi="微软雅黑" w:eastAsia="微软雅黑" w:cs="微软雅黑"/>
          <w:b w:val="0"/>
          <w:bCs/>
          <w:color w:val="auto"/>
          <w:sz w:val="24"/>
          <w:szCs w:val="24"/>
          <w:lang w:val="en-US" w:eastAsia="zh-CN"/>
        </w:rPr>
        <w:t>供应商的</w:t>
      </w:r>
      <w:r>
        <w:rPr>
          <w:rFonts w:hint="eastAsia" w:ascii="微软雅黑" w:hAnsi="微软雅黑" w:eastAsia="微软雅黑" w:cs="微软雅黑"/>
          <w:b w:val="0"/>
          <w:bCs/>
          <w:color w:val="auto"/>
          <w:sz w:val="24"/>
          <w:szCs w:val="24"/>
        </w:rPr>
        <w:t>投标文件满足招标文件全部实质性要求，且按照</w:t>
      </w:r>
      <w:r>
        <w:rPr>
          <w:rFonts w:hint="eastAsia" w:ascii="微软雅黑" w:hAnsi="微软雅黑" w:eastAsia="微软雅黑" w:cs="微软雅黑"/>
          <w:b w:val="0"/>
          <w:bCs/>
          <w:color w:val="auto"/>
          <w:sz w:val="24"/>
          <w:szCs w:val="24"/>
          <w:lang w:eastAsia="zh-CN"/>
        </w:rPr>
        <w:t>评标</w:t>
      </w:r>
      <w:r>
        <w:rPr>
          <w:rFonts w:hint="eastAsia" w:ascii="微软雅黑" w:hAnsi="微软雅黑" w:eastAsia="微软雅黑" w:cs="微软雅黑"/>
          <w:b w:val="0"/>
          <w:bCs/>
          <w:color w:val="auto"/>
          <w:sz w:val="24"/>
          <w:szCs w:val="24"/>
        </w:rPr>
        <w:t>因素的量化指标</w:t>
      </w:r>
      <w:r>
        <w:rPr>
          <w:rFonts w:hint="eastAsia" w:ascii="微软雅黑" w:hAnsi="微软雅黑" w:eastAsia="微软雅黑" w:cs="微软雅黑"/>
          <w:b w:val="0"/>
          <w:bCs/>
          <w:color w:val="auto"/>
          <w:sz w:val="24"/>
          <w:szCs w:val="24"/>
          <w:lang w:eastAsia="zh-CN"/>
        </w:rPr>
        <w:t>评标</w:t>
      </w:r>
      <w:r>
        <w:rPr>
          <w:rFonts w:hint="eastAsia" w:ascii="微软雅黑" w:hAnsi="微软雅黑" w:eastAsia="微软雅黑" w:cs="微软雅黑"/>
          <w:b w:val="0"/>
          <w:bCs/>
          <w:color w:val="auto"/>
          <w:sz w:val="24"/>
          <w:szCs w:val="24"/>
        </w:rPr>
        <w:t>得分最高的投标人为中标候选人的评标方法。</w:t>
      </w:r>
    </w:p>
    <w:p>
      <w:pPr>
        <w:keepNext w:val="0"/>
        <w:keepLines w:val="0"/>
        <w:pageBreakBefore w:val="0"/>
        <w:widowControl/>
        <w:kinsoku/>
        <w:wordWrap/>
        <w:overflowPunct/>
        <w:topLinePunct w:val="0"/>
        <w:autoSpaceDE/>
        <w:autoSpaceDN/>
        <w:bidi w:val="0"/>
        <w:adjustRightInd/>
        <w:snapToGrid w:val="0"/>
        <w:spacing w:line="460" w:lineRule="exact"/>
        <w:textAlignment w:val="baseline"/>
        <w:rPr>
          <w:rFonts w:hint="eastAsia"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（A）价格评分占40%，完全满足磋商文件参数的投标报价中的最低价为评标基准价，按照下列公式计算每个投标人的投标价格得分。投标报价得分＝（基准价/投标报价）×价格权重×100。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line="460" w:lineRule="exact"/>
        <w:textAlignment w:val="baseline"/>
        <w:rPr>
          <w:rFonts w:hint="default"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（B）商务评分占8%包括业绩、履约能力</w:t>
      </w:r>
    </w:p>
    <w:p>
      <w:pPr>
        <w:keepNext w:val="0"/>
        <w:keepLines w:val="0"/>
        <w:pageBreakBefore w:val="0"/>
        <w:widowControl/>
        <w:kinsoku/>
        <w:wordWrap/>
        <w:overflowPunct/>
        <w:topLinePunct w:val="0"/>
        <w:autoSpaceDE/>
        <w:autoSpaceDN/>
        <w:bidi w:val="0"/>
        <w:adjustRightInd/>
        <w:snapToGrid w:val="0"/>
        <w:spacing w:line="460" w:lineRule="exact"/>
        <w:textAlignment w:val="baseline"/>
        <w:rPr>
          <w:rFonts w:hint="default"/>
          <w:color w:val="auto"/>
          <w:lang w:val="en-US" w:eastAsia="zh-CN"/>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（C）技术评分占52%，包括配置及性能指标、整体实施方案、技术服务能力、售后服务、备品备件</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（2）评标专家来源：《中华人民共和国政府采购法》、《中华人民共和国政府采购法实施条例》及本项目本级和上级财政部门的有关规定依法在政采云平台随机抽取5人，组成评标小组，负责评标工作。</w:t>
      </w:r>
    </w:p>
    <w:p>
      <w:pPr>
        <w:pStyle w:val="77"/>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val="0"/>
          <w:bCs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（3）</w:t>
      </w:r>
      <w:r>
        <w:rPr>
          <w:rFonts w:hint="eastAsia" w:ascii="微软雅黑" w:hAnsi="微软雅黑" w:eastAsia="微软雅黑" w:cs="微软雅黑"/>
          <w:b/>
          <w:bCs/>
          <w:i w:val="0"/>
          <w:caps w:val="0"/>
          <w:color w:val="auto"/>
          <w:spacing w:val="0"/>
          <w:w w:val="100"/>
          <w:sz w:val="24"/>
          <w:szCs w:val="24"/>
          <w:highlight w:val="none"/>
          <w:lang w:val="en-US" w:eastAsia="zh-CN"/>
        </w:rPr>
        <w:t>评标前</w:t>
      </w:r>
      <w:r>
        <w:rPr>
          <w:rFonts w:hint="eastAsia" w:ascii="微软雅黑" w:hAnsi="微软雅黑" w:eastAsia="微软雅黑" w:cs="微软雅黑"/>
          <w:b w:val="0"/>
          <w:i w:val="0"/>
          <w:caps w:val="0"/>
          <w:color w:val="auto"/>
          <w:spacing w:val="0"/>
          <w:w w:val="100"/>
          <w:sz w:val="24"/>
          <w:szCs w:val="24"/>
          <w:highlight w:val="none"/>
          <w:lang w:val="en-US" w:eastAsia="zh-CN"/>
        </w:rPr>
        <w:t>，代理机构工作人员收走所有评标专家的手机，</w:t>
      </w:r>
      <w:r>
        <w:rPr>
          <w:rFonts w:hint="eastAsia" w:ascii="微软雅黑" w:hAnsi="微软雅黑" w:eastAsia="微软雅黑" w:cs="微软雅黑"/>
          <w:b w:val="0"/>
          <w:bCs w:val="0"/>
          <w:i w:val="0"/>
          <w:caps w:val="0"/>
          <w:color w:val="auto"/>
          <w:spacing w:val="0"/>
          <w:w w:val="100"/>
          <w:sz w:val="24"/>
          <w:szCs w:val="24"/>
          <w:highlight w:val="none"/>
          <w:lang w:val="en-US" w:eastAsia="zh-CN"/>
        </w:rPr>
        <w:t>由主持人宣布评标纪律：</w:t>
      </w:r>
    </w:p>
    <w:p>
      <w:pPr>
        <w:pStyle w:val="77"/>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（4）本次评标工作纪律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①</w:t>
      </w:r>
      <w:r>
        <w:rPr>
          <w:rFonts w:hint="eastAsia" w:ascii="微软雅黑" w:hAnsi="微软雅黑" w:eastAsia="微软雅黑" w:cs="微软雅黑"/>
          <w:b w:val="0"/>
          <w:bCs w:val="0"/>
          <w:color w:val="auto"/>
          <w:sz w:val="24"/>
          <w:szCs w:val="24"/>
        </w:rPr>
        <w:t>评</w:t>
      </w:r>
      <w:r>
        <w:rPr>
          <w:rFonts w:hint="eastAsia" w:ascii="微软雅黑" w:hAnsi="微软雅黑" w:eastAsia="微软雅黑" w:cs="微软雅黑"/>
          <w:b w:val="0"/>
          <w:bCs w:val="0"/>
          <w:color w:val="auto"/>
          <w:sz w:val="24"/>
          <w:szCs w:val="24"/>
          <w:lang w:val="en-US" w:eastAsia="zh-CN"/>
        </w:rPr>
        <w:t>标</w:t>
      </w:r>
      <w:r>
        <w:rPr>
          <w:rFonts w:hint="eastAsia" w:ascii="微软雅黑" w:hAnsi="微软雅黑" w:eastAsia="微软雅黑" w:cs="微软雅黑"/>
          <w:b w:val="0"/>
          <w:bCs w:val="0"/>
          <w:color w:val="auto"/>
          <w:sz w:val="24"/>
          <w:szCs w:val="24"/>
        </w:rPr>
        <w:t>委员会成员要严格遵守</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时间，主动出具身份证明，遵守</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工作纪律和</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回避的相关规定。在</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工作开始前，将手机等通讯工具或相关电子设备交由采购人或采购代理机构统一保管，拒不上交的，采购人或采购代理机构可以拒绝其参加</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工作并向财政部门报告。</w:t>
      </w:r>
    </w:p>
    <w:p>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val="en-US" w:eastAsia="zh-CN"/>
        </w:rPr>
        <w:t>②</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委员会成员和</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工作有关人员不得干预或者影响正常</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工作，不得明示或者暗示其倾向性、引导性意见，不得修改或细化采购文件确定的</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程序、</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方法、</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因素和</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标准，不得接受供应商主动提出的澄清和解释，不得征询采购人代表的倾向性意见，不得协商评分，不得记录、复制或带走任何</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资料。</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结果汇总完成后，采购人、采购代理机构和</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委员会均不得修改</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结果或者要求重新</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，但资格性检查认定错误、分值汇总计算错误、分项评分超出评分标准范围、客观分评分不一致、经</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委员会一致认定评分畸高、畸低的情形除外。出现上述除外情形的，</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委员会应当现场修改</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结果，并在</w:t>
      </w:r>
      <w:r>
        <w:rPr>
          <w:rFonts w:hint="eastAsia" w:ascii="微软雅黑" w:hAnsi="微软雅黑" w:eastAsia="微软雅黑" w:cs="微软雅黑"/>
          <w:b w:val="0"/>
          <w:bCs w:val="0"/>
          <w:color w:val="auto"/>
          <w:sz w:val="24"/>
          <w:szCs w:val="24"/>
          <w:lang w:eastAsia="zh-CN"/>
        </w:rPr>
        <w:t>评标</w:t>
      </w:r>
      <w:r>
        <w:rPr>
          <w:rFonts w:hint="eastAsia" w:ascii="微软雅黑" w:hAnsi="微软雅黑" w:eastAsia="微软雅黑" w:cs="微软雅黑"/>
          <w:b w:val="0"/>
          <w:bCs w:val="0"/>
          <w:color w:val="auto"/>
          <w:sz w:val="24"/>
          <w:szCs w:val="24"/>
        </w:rPr>
        <w:t>报告中明确记载。</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caps w:val="0"/>
          <w:color w:val="auto"/>
          <w:spacing w:val="0"/>
          <w:w w:val="100"/>
          <w:sz w:val="24"/>
          <w:szCs w:val="24"/>
          <w:highlight w:val="none"/>
          <w:lang w:val="en-US" w:eastAsia="zh-CN"/>
        </w:rPr>
        <w:t>（5）</w:t>
      </w:r>
      <w:r>
        <w:rPr>
          <w:rFonts w:hint="eastAsia" w:ascii="微软雅黑" w:hAnsi="微软雅黑" w:eastAsia="微软雅黑" w:cs="微软雅黑"/>
          <w:b/>
          <w:bCs/>
          <w:color w:val="auto"/>
          <w:sz w:val="24"/>
          <w:szCs w:val="24"/>
        </w:rPr>
        <w:t>评标专家</w:t>
      </w:r>
      <w:r>
        <w:rPr>
          <w:rFonts w:hint="eastAsia" w:ascii="微软雅黑" w:hAnsi="微软雅黑" w:eastAsia="微软雅黑" w:cs="微软雅黑"/>
          <w:b/>
          <w:bCs/>
          <w:color w:val="auto"/>
          <w:kern w:val="0"/>
          <w:sz w:val="24"/>
          <w:szCs w:val="24"/>
        </w:rPr>
        <w:t>与供应商有下列利害关系之一的人员，应当回避</w:t>
      </w:r>
    </w:p>
    <w:p>
      <w:pPr>
        <w:pStyle w:val="77"/>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）与供应商的法定代表人或者负责人有夫妻、直系血亲、三代以内旁系血亲或者近姻亲关系。</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firstLine="240" w:firstLineChars="1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（6）保密要求：</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采购人、采购代理机构确保</w:t>
      </w:r>
      <w:r>
        <w:rPr>
          <w:rFonts w:hint="eastAsia" w:ascii="微软雅黑" w:hAnsi="微软雅黑" w:eastAsia="微软雅黑" w:cs="微软雅黑"/>
          <w:color w:val="auto"/>
          <w:kern w:val="0"/>
          <w:sz w:val="24"/>
          <w:szCs w:val="24"/>
          <w:lang w:val="en-US" w:eastAsia="zh-CN"/>
        </w:rPr>
        <w:t>评标</w:t>
      </w:r>
      <w:r>
        <w:rPr>
          <w:rFonts w:hint="eastAsia" w:ascii="微软雅黑" w:hAnsi="微软雅黑" w:eastAsia="微软雅黑" w:cs="微软雅黑"/>
          <w:color w:val="auto"/>
          <w:kern w:val="0"/>
          <w:sz w:val="24"/>
          <w:szCs w:val="24"/>
        </w:rPr>
        <w:t>活动在严格保密的情况下进行。在采购结果确定前，采购人、采购代理机构对</w:t>
      </w:r>
      <w:r>
        <w:rPr>
          <w:rFonts w:hint="eastAsia" w:ascii="微软雅黑" w:hAnsi="微软雅黑" w:eastAsia="微软雅黑" w:cs="微软雅黑"/>
          <w:color w:val="auto"/>
          <w:kern w:val="0"/>
          <w:sz w:val="24"/>
          <w:szCs w:val="24"/>
          <w:lang w:val="en-US" w:eastAsia="zh-CN"/>
        </w:rPr>
        <w:t>评标</w:t>
      </w:r>
      <w:r>
        <w:rPr>
          <w:rFonts w:hint="eastAsia" w:ascii="微软雅黑" w:hAnsi="微软雅黑" w:eastAsia="微软雅黑" w:cs="微软雅黑"/>
          <w:color w:val="auto"/>
          <w:kern w:val="0"/>
          <w:sz w:val="24"/>
          <w:szCs w:val="24"/>
        </w:rPr>
        <w:t>委员会名单保密。</w:t>
      </w:r>
      <w:r>
        <w:rPr>
          <w:rFonts w:hint="eastAsia" w:ascii="微软雅黑" w:hAnsi="微软雅黑" w:eastAsia="微软雅黑" w:cs="微软雅黑"/>
          <w:color w:val="auto"/>
          <w:sz w:val="24"/>
          <w:szCs w:val="24"/>
        </w:rPr>
        <w:t>与评标工作无关的人员不得进入评标现场</w:t>
      </w:r>
      <w:r>
        <w:rPr>
          <w:rFonts w:hint="eastAsia" w:ascii="微软雅黑" w:hAnsi="微软雅黑" w:eastAsia="微软雅黑" w:cs="微软雅黑"/>
          <w:color w:val="auto"/>
          <w:kern w:val="0"/>
          <w:sz w:val="24"/>
          <w:szCs w:val="24"/>
          <w:lang w:val="en-US" w:eastAsia="zh-CN"/>
        </w:rPr>
        <w:t>标。有关人员须对评标情况以及在评标过程中获悉的国家秘密、商业秘密负有保密责任</w:t>
      </w:r>
      <w:r>
        <w:rPr>
          <w:rFonts w:hint="eastAsia" w:ascii="微软雅黑" w:hAnsi="微软雅黑" w:eastAsia="微软雅黑" w:cs="微软雅黑"/>
          <w:color w:val="auto"/>
          <w:kern w:val="0"/>
          <w:sz w:val="24"/>
          <w:szCs w:val="24"/>
        </w:rPr>
        <w:t>。</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）采购人或采购代理机构依据法律法规和招标文件中规定的内容，对投标人的投标文件进行资格性审查。</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）未通过资格审查的投标人不进入评标；通过资格审查的投标人少于不足三家的，不得评标。</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）符合性审查是指依据招标文件的规定，从投标文件的有效性和完整性对招标文件的响应程度进行审查，以确定是否对招标文件的实质性要求做出响应。</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）经符合性审查合格的投标文件，评标委员会将根据招标文件确定的评标方法和标准，对其技术部分和商务部分作进一步的比较和评价。</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11</w:t>
      </w:r>
      <w:r>
        <w:rPr>
          <w:rFonts w:hint="eastAsia" w:ascii="微软雅黑" w:hAnsi="微软雅黑" w:eastAsia="微软雅黑" w:cs="微软雅黑"/>
          <w:color w:val="auto"/>
          <w:sz w:val="24"/>
          <w:szCs w:val="24"/>
        </w:rPr>
        <w:t>）评标严格按照招标文件的要求和条件进行：综合评分法，是指投标文件满足招标文件全部实质性要求，且按照</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因素的量化指标</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得分最高的投标人为中标候选人的评标方法。</w:t>
      </w:r>
    </w:p>
    <w:p>
      <w:pPr>
        <w:pStyle w:val="9"/>
        <w:keepNext w:val="0"/>
        <w:keepLines w:val="0"/>
        <w:pageBreakBefore w:val="0"/>
        <w:widowControl w:val="0"/>
        <w:tabs>
          <w:tab w:val="clear" w:pos="567"/>
        </w:tabs>
        <w:kinsoku/>
        <w:wordWrap/>
        <w:overflowPunct/>
        <w:topLinePunct w:val="0"/>
        <w:autoSpaceDE/>
        <w:autoSpaceDN/>
        <w:bidi w:val="0"/>
        <w:adjustRightInd/>
        <w:snapToGrid/>
        <w:spacing w:before="0" w:line="460" w:lineRule="exact"/>
        <w:ind w:firstLine="540" w:firstLineChars="22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同品牌处理办法：</w:t>
      </w:r>
      <w:r>
        <w:rPr>
          <w:rFonts w:hint="eastAsia" w:ascii="微软雅黑" w:hAnsi="微软雅黑" w:eastAsia="微软雅黑" w:cs="微软雅黑"/>
          <w:color w:val="auto"/>
          <w:sz w:val="24"/>
          <w:szCs w:val="24"/>
        </w:rPr>
        <w:t>提供相同品牌产品且通过资格审查、符合性审查的不同供应商参加同一合同项下投标的，按一家供应商计算，</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后得分最高的同品牌供应商获得中标人推荐资格;</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得分相同的，由采购人或者采购人委托评标委员会按照招标文件规定的方式确定一个供应商获得中标人推荐资格，招标文件未规定的采取随机抽取方式确定，其他同品牌供应商不作为中标候选人。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b/>
          <w:bCs/>
          <w:color w:val="auto"/>
          <w:kern w:val="2"/>
          <w:sz w:val="24"/>
          <w:szCs w:val="24"/>
          <w:lang w:val="en-US" w:eastAsia="zh-CN" w:bidi="ar-SA"/>
        </w:rPr>
      </w:pPr>
      <w:r>
        <w:rPr>
          <w:rFonts w:hint="eastAsia" w:ascii="微软雅黑" w:hAnsi="微软雅黑" w:eastAsia="微软雅黑" w:cs="微软雅黑"/>
          <w:b/>
          <w:bCs/>
          <w:color w:val="auto"/>
          <w:kern w:val="2"/>
          <w:sz w:val="24"/>
          <w:szCs w:val="24"/>
          <w:lang w:val="en-US" w:eastAsia="zh-CN" w:bidi="ar-SA"/>
        </w:rPr>
        <w:t>9.答疑：</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在评标过程中，评标委员会在评审过程中发现供应商所提交的投标文件中存在含义不明确、同类问题表述不一致或者有明显文字和计算错误的内容，评标委员会应当以书面形式要求供应商作出必要的澄清、说明或者补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（2）供应商的澄清、说明或者补正应当采用书面形式，并加盖公章，或者由法定代表人或其授权的代表签字。供应商的澄清、说明或者补正不得超出投标文件的范围或者改变投标文件的实质性内容。</w:t>
      </w:r>
    </w:p>
    <w:p>
      <w:pPr>
        <w:pStyle w:val="9"/>
        <w:keepNext w:val="0"/>
        <w:keepLines w:val="0"/>
        <w:pageBreakBefore w:val="0"/>
        <w:widowControl w:val="0"/>
        <w:tabs>
          <w:tab w:val="clear" w:pos="567"/>
        </w:tabs>
        <w:kinsoku/>
        <w:wordWrap/>
        <w:overflowPunct/>
        <w:topLinePunct w:val="0"/>
        <w:autoSpaceDE/>
        <w:autoSpaceDN/>
        <w:bidi w:val="0"/>
        <w:adjustRightInd/>
        <w:snapToGrid/>
        <w:spacing w:before="0" w:line="460" w:lineRule="exact"/>
        <w:ind w:firstLine="540" w:firstLineChars="225"/>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w:t>
      </w:r>
      <w:r>
        <w:rPr>
          <w:rFonts w:hint="eastAsia" w:ascii="微软雅黑" w:hAnsi="微软雅黑" w:eastAsia="微软雅黑" w:cs="微软雅黑"/>
          <w:b/>
          <w:bCs/>
          <w:color w:val="auto"/>
          <w:sz w:val="24"/>
          <w:szCs w:val="24"/>
          <w:lang w:val="en-US" w:eastAsia="zh-CN"/>
        </w:rPr>
        <w:t>0</w:t>
      </w:r>
      <w:r>
        <w:rPr>
          <w:rFonts w:hint="eastAsia" w:ascii="微软雅黑" w:hAnsi="微软雅黑" w:eastAsia="微软雅黑" w:cs="微软雅黑"/>
          <w:b/>
          <w:bCs/>
          <w:color w:val="auto"/>
          <w:sz w:val="24"/>
          <w:szCs w:val="24"/>
        </w:rPr>
        <w:t>.定标：</w:t>
      </w:r>
    </w:p>
    <w:p>
      <w:pPr>
        <w:pStyle w:val="9"/>
        <w:keepNext w:val="0"/>
        <w:keepLines w:val="0"/>
        <w:pageBreakBefore w:val="0"/>
        <w:widowControl w:val="0"/>
        <w:tabs>
          <w:tab w:val="clear" w:pos="567"/>
        </w:tabs>
        <w:kinsoku/>
        <w:wordWrap/>
        <w:overflowPunct/>
        <w:topLinePunct w:val="0"/>
        <w:autoSpaceDE/>
        <w:autoSpaceDN/>
        <w:bidi w:val="0"/>
        <w:adjustRightInd/>
        <w:snapToGrid/>
        <w:spacing w:before="0" w:line="460" w:lineRule="exact"/>
        <w:ind w:firstLine="540" w:firstLineChars="22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（1）评标委员会推荐中标候选供应商的数量为3家。采购人不委托评标委员会直接确定中标人。</w:t>
      </w:r>
    </w:p>
    <w:p>
      <w:pPr>
        <w:pStyle w:val="9"/>
        <w:keepNext w:val="0"/>
        <w:keepLines w:val="0"/>
        <w:pageBreakBefore w:val="0"/>
        <w:widowControl w:val="0"/>
        <w:tabs>
          <w:tab w:val="clear" w:pos="567"/>
        </w:tabs>
        <w:kinsoku/>
        <w:wordWrap/>
        <w:overflowPunct/>
        <w:topLinePunct w:val="0"/>
        <w:autoSpaceDE/>
        <w:autoSpaceDN/>
        <w:bidi w:val="0"/>
        <w:adjustRightInd/>
        <w:snapToGrid/>
        <w:spacing w:before="0" w:line="460" w:lineRule="exact"/>
        <w:ind w:firstLine="540" w:firstLineChars="22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（2）采购代理机构在评标结束后2个工作日内将评标报告送采购人。</w:t>
      </w:r>
    </w:p>
    <w:p>
      <w:pPr>
        <w:pStyle w:val="9"/>
        <w:keepNext w:val="0"/>
        <w:keepLines w:val="0"/>
        <w:pageBreakBefore w:val="0"/>
        <w:widowControl w:val="0"/>
        <w:tabs>
          <w:tab w:val="clear" w:pos="567"/>
        </w:tabs>
        <w:kinsoku/>
        <w:wordWrap/>
        <w:overflowPunct/>
        <w:topLinePunct w:val="0"/>
        <w:autoSpaceDE/>
        <w:autoSpaceDN/>
        <w:bidi w:val="0"/>
        <w:adjustRightInd/>
        <w:snapToGrid/>
        <w:spacing w:before="0" w:line="460" w:lineRule="exact"/>
        <w:ind w:firstLine="540" w:firstLineChars="22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（3）采购人应当自收到评标报告之日起５个工作日内，在评标报告确定的中标候选人名单中按顺序确定中标人。中标候选人并列的，按照中标候选人并列时的处理方式：评标结果按</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后得分由高到低顺序排列。得分相同的，按投标报价由低到高顺序排列。得分且投标报价相同的并列。投标文件满足招标文件全部实质性要求，且按照</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因素的量化指标</w:t>
      </w:r>
      <w:r>
        <w:rPr>
          <w:rFonts w:hint="eastAsia" w:ascii="微软雅黑" w:hAnsi="微软雅黑" w:eastAsia="微软雅黑" w:cs="微软雅黑"/>
          <w:color w:val="auto"/>
          <w:sz w:val="24"/>
          <w:szCs w:val="24"/>
          <w:lang w:eastAsia="zh-CN"/>
        </w:rPr>
        <w:t>评标</w:t>
      </w:r>
      <w:r>
        <w:rPr>
          <w:rFonts w:hint="eastAsia" w:ascii="微软雅黑" w:hAnsi="微软雅黑" w:eastAsia="微软雅黑" w:cs="微软雅黑"/>
          <w:color w:val="auto"/>
          <w:sz w:val="24"/>
          <w:szCs w:val="24"/>
        </w:rPr>
        <w:t>得分最高的供应商为排名第一的中标候选人。</w:t>
      </w:r>
    </w:p>
    <w:p>
      <w:pPr>
        <w:pStyle w:val="9"/>
        <w:keepNext w:val="0"/>
        <w:keepLines w:val="0"/>
        <w:pageBreakBefore w:val="0"/>
        <w:tabs>
          <w:tab w:val="clear" w:pos="567"/>
        </w:tabs>
        <w:kinsoku/>
        <w:wordWrap/>
        <w:overflowPunct/>
        <w:topLinePunct w:val="0"/>
        <w:autoSpaceDE/>
        <w:autoSpaceDN/>
        <w:bidi w:val="0"/>
        <w:adjustRightInd/>
        <w:spacing w:before="0" w:line="460" w:lineRule="exact"/>
        <w:ind w:firstLine="540" w:firstLineChars="2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（4）采购人在收到评标报告5个工作日内未按评标报告推荐的中标候选人顺序确定中标人，又不能说明合法理由的，视同按评标报告推荐的顺序确定排名第一的中标候选人为中标人。</w:t>
      </w:r>
    </w:p>
    <w:p>
      <w:pPr>
        <w:pStyle w:val="21"/>
        <w:rPr>
          <w:rFonts w:hint="eastAsia" w:ascii="微软雅黑" w:hAnsi="微软雅黑" w:eastAsia="微软雅黑" w:cs="微软雅黑"/>
          <w:color w:val="auto"/>
        </w:rPr>
      </w:pPr>
    </w:p>
    <w:p>
      <w:pPr>
        <w:spacing w:line="300" w:lineRule="auto"/>
        <w:jc w:val="center"/>
        <w:outlineLvl w:val="0"/>
        <w:rPr>
          <w:rFonts w:hint="eastAsia" w:ascii="微软雅黑" w:hAnsi="微软雅黑" w:eastAsia="微软雅黑" w:cs="微软雅黑"/>
          <w:b/>
          <w:bCs/>
          <w:color w:val="auto"/>
          <w:sz w:val="22"/>
          <w:szCs w:val="22"/>
        </w:rPr>
      </w:pPr>
      <w:bookmarkStart w:id="856" w:name="_Toc1545"/>
      <w:bookmarkStart w:id="857" w:name="_Toc26572"/>
      <w:bookmarkStart w:id="858" w:name="_Toc25224"/>
      <w:bookmarkStart w:id="859" w:name="_Toc28942"/>
      <w:bookmarkStart w:id="860" w:name="_Toc13647"/>
      <w:bookmarkStart w:id="861" w:name="_Toc32167"/>
      <w:bookmarkStart w:id="862" w:name="_Toc22779"/>
      <w:bookmarkStart w:id="863" w:name="_Toc1126"/>
      <w:bookmarkStart w:id="864" w:name="_Toc12716"/>
      <w:bookmarkStart w:id="865" w:name="_Toc13711"/>
      <w:bookmarkStart w:id="866" w:name="_Toc15389"/>
      <w:bookmarkStart w:id="867" w:name="_Toc19633"/>
      <w:bookmarkStart w:id="868" w:name="_Toc13621"/>
      <w:bookmarkStart w:id="869" w:name="_Toc25776"/>
      <w:bookmarkStart w:id="870" w:name="_Toc3470"/>
      <w:bookmarkStart w:id="871" w:name="_Toc14552"/>
      <w:bookmarkStart w:id="872" w:name="_Toc27829"/>
      <w:bookmarkStart w:id="873" w:name="_Toc7251"/>
      <w:bookmarkStart w:id="874" w:name="_Toc21250"/>
      <w:bookmarkStart w:id="875" w:name="_Toc12438"/>
      <w:bookmarkStart w:id="876" w:name="_Toc18194"/>
      <w:bookmarkStart w:id="877" w:name="_Toc18687"/>
      <w:r>
        <w:rPr>
          <w:rFonts w:hint="eastAsia" w:ascii="微软雅黑" w:hAnsi="微软雅黑" w:eastAsia="微软雅黑" w:cs="微软雅黑"/>
          <w:b/>
          <w:bCs/>
          <w:color w:val="auto"/>
          <w:sz w:val="22"/>
          <w:szCs w:val="22"/>
        </w:rPr>
        <w:t>初步评审—资格性审查表</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pPr>
        <w:pStyle w:val="2"/>
        <w:rPr>
          <w:rFonts w:hint="default" w:eastAsia="微软雅黑"/>
          <w:lang w:val="en-US" w:eastAsia="zh-CN"/>
        </w:rPr>
      </w:pPr>
      <w:r>
        <w:rPr>
          <w:rFonts w:hint="eastAsia" w:ascii="微软雅黑" w:hAnsi="微软雅黑" w:eastAsia="微软雅黑" w:cs="微软雅黑"/>
          <w:b/>
          <w:bCs/>
          <w:color w:val="auto"/>
          <w:sz w:val="22"/>
          <w:szCs w:val="22"/>
          <w:lang w:eastAsia="zh-CN"/>
        </w:rPr>
        <w:t>第</w:t>
      </w:r>
      <w:r>
        <w:rPr>
          <w:rFonts w:hint="eastAsia" w:ascii="微软雅黑" w:hAnsi="微软雅黑" w:eastAsia="微软雅黑" w:cs="微软雅黑"/>
          <w:b/>
          <w:bCs/>
          <w:color w:val="auto"/>
          <w:sz w:val="22"/>
          <w:szCs w:val="22"/>
          <w:lang w:val="en-US" w:eastAsia="zh-CN"/>
        </w:rPr>
        <w:t>1包至第4包</w:t>
      </w:r>
    </w:p>
    <w:tbl>
      <w:tblPr>
        <w:tblStyle w:val="25"/>
        <w:tblpPr w:leftFromText="180" w:rightFromText="180" w:vertAnchor="text" w:horzAnchor="page" w:tblpXSpec="center" w:tblpY="234"/>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534"/>
        <w:gridCol w:w="883"/>
        <w:gridCol w:w="83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8" w:type="dxa"/>
            <w:vMerge w:val="restart"/>
            <w:vAlign w:val="center"/>
          </w:tcPr>
          <w:p>
            <w:pPr>
              <w:spacing w:line="400" w:lineRule="exact"/>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序号</w:t>
            </w:r>
          </w:p>
        </w:tc>
        <w:tc>
          <w:tcPr>
            <w:tcW w:w="6534" w:type="dxa"/>
            <w:vMerge w:val="restart"/>
            <w:vAlign w:val="center"/>
          </w:tcPr>
          <w:p>
            <w:pPr>
              <w:spacing w:line="400" w:lineRule="exact"/>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评审内容</w:t>
            </w:r>
          </w:p>
        </w:tc>
        <w:tc>
          <w:tcPr>
            <w:tcW w:w="2533" w:type="dxa"/>
            <w:gridSpan w:val="3"/>
            <w:vAlign w:val="center"/>
          </w:tcPr>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8" w:type="dxa"/>
            <w:vMerge w:val="continue"/>
            <w:vAlign w:val="center"/>
          </w:tcPr>
          <w:p>
            <w:pPr>
              <w:spacing w:line="400" w:lineRule="exact"/>
              <w:rPr>
                <w:rFonts w:hint="eastAsia" w:ascii="微软雅黑" w:hAnsi="微软雅黑" w:eastAsia="微软雅黑" w:cs="微软雅黑"/>
                <w:b/>
                <w:bCs/>
                <w:color w:val="auto"/>
                <w:sz w:val="22"/>
                <w:szCs w:val="22"/>
              </w:rPr>
            </w:pPr>
          </w:p>
        </w:tc>
        <w:tc>
          <w:tcPr>
            <w:tcW w:w="6534" w:type="dxa"/>
            <w:vMerge w:val="continue"/>
            <w:vAlign w:val="center"/>
          </w:tcPr>
          <w:p>
            <w:pPr>
              <w:spacing w:line="400" w:lineRule="exact"/>
              <w:rPr>
                <w:rFonts w:hint="eastAsia" w:ascii="微软雅黑" w:hAnsi="微软雅黑" w:eastAsia="微软雅黑" w:cs="微软雅黑"/>
                <w:b/>
                <w:bCs/>
                <w:color w:val="auto"/>
                <w:sz w:val="22"/>
                <w:szCs w:val="22"/>
              </w:rPr>
            </w:pPr>
          </w:p>
        </w:tc>
        <w:tc>
          <w:tcPr>
            <w:tcW w:w="883" w:type="dxa"/>
            <w:vAlign w:val="center"/>
          </w:tcPr>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是否</w:t>
            </w:r>
          </w:p>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合格</w:t>
            </w:r>
          </w:p>
        </w:tc>
        <w:tc>
          <w:tcPr>
            <w:tcW w:w="833" w:type="dxa"/>
            <w:vAlign w:val="center"/>
          </w:tcPr>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是否</w:t>
            </w:r>
          </w:p>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合格</w:t>
            </w:r>
          </w:p>
        </w:tc>
        <w:tc>
          <w:tcPr>
            <w:tcW w:w="817" w:type="dxa"/>
            <w:vAlign w:val="center"/>
          </w:tcPr>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是否</w:t>
            </w:r>
          </w:p>
          <w:p>
            <w:pPr>
              <w:spacing w:line="400" w:lineRule="exact"/>
              <w:jc w:val="center"/>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z w:val="22"/>
                <w:szCs w:val="2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rPr>
              <w:t>具有</w:t>
            </w:r>
            <w:r>
              <w:rPr>
                <w:rFonts w:hint="eastAsia" w:ascii="微软雅黑" w:hAnsi="微软雅黑" w:eastAsia="微软雅黑" w:cs="微软雅黑"/>
                <w:color w:val="auto"/>
                <w:lang w:eastAsia="zh-CN"/>
              </w:rPr>
              <w:t>有效</w:t>
            </w:r>
            <w:r>
              <w:rPr>
                <w:rFonts w:hint="eastAsia" w:ascii="微软雅黑" w:hAnsi="微软雅黑" w:eastAsia="微软雅黑" w:cs="微软雅黑"/>
                <w:color w:val="auto"/>
              </w:rPr>
              <w:t>的营业执照</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lang w:val="en-US" w:eastAsia="zh-CN"/>
              </w:rPr>
              <w:t>提供有效的《医疗器械生产许可证》或《医疗器械经营许可证》（所提供设备为二类医疗器械的须提供二类医疗器械备案凭证）；</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rPr>
              <w:t>法人投标</w:t>
            </w:r>
            <w:r>
              <w:rPr>
                <w:rFonts w:hint="eastAsia" w:ascii="微软雅黑" w:hAnsi="微软雅黑" w:eastAsia="微软雅黑" w:cs="微软雅黑"/>
                <w:color w:val="auto"/>
                <w:lang w:eastAsia="zh-CN"/>
              </w:rPr>
              <w:t>须</w:t>
            </w:r>
            <w:r>
              <w:rPr>
                <w:rFonts w:hint="eastAsia" w:ascii="微软雅黑" w:hAnsi="微软雅黑" w:eastAsia="微软雅黑" w:cs="微软雅黑"/>
                <w:color w:val="auto"/>
              </w:rPr>
              <w:t>提供法人身份证明</w:t>
            </w:r>
            <w:r>
              <w:rPr>
                <w:rFonts w:hint="eastAsia" w:ascii="微软雅黑" w:hAnsi="微软雅黑" w:eastAsia="微软雅黑" w:cs="微软雅黑"/>
                <w:color w:val="auto"/>
                <w:lang w:eastAsia="zh-CN"/>
              </w:rPr>
              <w:t>及</w:t>
            </w:r>
            <w:r>
              <w:rPr>
                <w:rFonts w:hint="eastAsia" w:ascii="微软雅黑" w:hAnsi="微软雅黑" w:eastAsia="微软雅黑" w:cs="微软雅黑"/>
                <w:color w:val="auto"/>
                <w:lang w:val="en-US" w:eastAsia="zh-CN"/>
              </w:rPr>
              <w:t>法人身份证，被授权委托人须提供法人身份证明、授权委托书及身份证</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lang w:val="en-US" w:eastAsia="zh-CN"/>
              </w:rPr>
              <w:t>提供本单位依法缴纳近三个月（7月至9月）的社保证明</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6</w:t>
            </w:r>
          </w:p>
        </w:tc>
        <w:tc>
          <w:tcPr>
            <w:tcW w:w="6534" w:type="dxa"/>
            <w:vAlign w:val="center"/>
          </w:tcPr>
          <w:p>
            <w:pPr>
              <w:spacing w:line="380" w:lineRule="exact"/>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lang w:eastAsia="zh-CN"/>
              </w:rPr>
              <w:t>提供税务部门出具近三个月（</w:t>
            </w:r>
            <w:r>
              <w:rPr>
                <w:rFonts w:hint="eastAsia" w:ascii="微软雅黑" w:hAnsi="微软雅黑" w:eastAsia="微软雅黑" w:cs="微软雅黑"/>
                <w:color w:val="auto"/>
                <w:lang w:val="en-US" w:eastAsia="zh-CN"/>
              </w:rPr>
              <w:t>6</w:t>
            </w:r>
            <w:r>
              <w:rPr>
                <w:rFonts w:hint="eastAsia" w:ascii="微软雅黑" w:hAnsi="微软雅黑" w:eastAsia="微软雅黑" w:cs="微软雅黑"/>
                <w:color w:val="auto"/>
                <w:lang w:eastAsia="zh-CN"/>
              </w:rPr>
              <w:t>月至</w:t>
            </w:r>
            <w:r>
              <w:rPr>
                <w:rFonts w:hint="eastAsia" w:ascii="微软雅黑" w:hAnsi="微软雅黑" w:eastAsia="微软雅黑" w:cs="微软雅黑"/>
                <w:color w:val="auto"/>
                <w:lang w:val="en-US" w:eastAsia="zh-CN"/>
              </w:rPr>
              <w:t>8</w:t>
            </w:r>
            <w:r>
              <w:rPr>
                <w:rFonts w:hint="eastAsia" w:ascii="微软雅黑" w:hAnsi="微软雅黑" w:eastAsia="微软雅黑" w:cs="微软雅黑"/>
                <w:color w:val="auto"/>
                <w:lang w:eastAsia="zh-CN"/>
              </w:rPr>
              <w:t>月）的完税证明（依法免缴的应提供依法免缴的相关证明文件或零申报报表）</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7</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提供</w:t>
            </w:r>
            <w:r>
              <w:rPr>
                <w:rFonts w:hint="eastAsia" w:ascii="微软雅黑" w:hAnsi="微软雅黑" w:eastAsia="微软雅黑" w:cs="微软雅黑"/>
                <w:color w:val="auto"/>
                <w:sz w:val="22"/>
                <w:szCs w:val="22"/>
                <w:lang w:val="en-US" w:eastAsia="zh-CN"/>
              </w:rPr>
              <w:t>2021年</w:t>
            </w:r>
            <w:r>
              <w:rPr>
                <w:rFonts w:hint="eastAsia" w:ascii="微软雅黑" w:hAnsi="微软雅黑" w:eastAsia="微软雅黑" w:cs="微软雅黑"/>
                <w:color w:val="auto"/>
                <w:sz w:val="22"/>
                <w:szCs w:val="22"/>
              </w:rPr>
              <w:t>的财务审计报告（</w:t>
            </w:r>
            <w:r>
              <w:rPr>
                <w:rFonts w:hint="eastAsia" w:ascii="微软雅黑" w:hAnsi="微软雅黑" w:eastAsia="微软雅黑" w:cs="微软雅黑"/>
                <w:color w:val="auto"/>
                <w:sz w:val="22"/>
                <w:szCs w:val="22"/>
                <w:lang w:val="en-US" w:eastAsia="zh-CN"/>
              </w:rPr>
              <w:t>2022年</w:t>
            </w:r>
            <w:r>
              <w:rPr>
                <w:rFonts w:hint="eastAsia" w:ascii="微软雅黑" w:hAnsi="微软雅黑" w:eastAsia="微软雅黑" w:cs="微软雅黑"/>
                <w:color w:val="auto"/>
                <w:sz w:val="22"/>
                <w:szCs w:val="22"/>
              </w:rPr>
              <w:t>新成立公司需提供</w:t>
            </w:r>
            <w:r>
              <w:rPr>
                <w:rFonts w:hint="eastAsia" w:ascii="微软雅黑" w:hAnsi="微软雅黑" w:eastAsia="微软雅黑" w:cs="微软雅黑"/>
                <w:color w:val="auto"/>
                <w:sz w:val="22"/>
                <w:szCs w:val="22"/>
                <w:lang w:val="en-US" w:eastAsia="zh-CN"/>
              </w:rPr>
              <w:t>近三个月（7月至9月）内的</w:t>
            </w:r>
            <w:r>
              <w:rPr>
                <w:rFonts w:hint="eastAsia" w:ascii="微软雅黑" w:hAnsi="微软雅黑" w:eastAsia="微软雅黑" w:cs="微软雅黑"/>
                <w:color w:val="auto"/>
                <w:sz w:val="22"/>
                <w:szCs w:val="22"/>
              </w:rPr>
              <w:t>银行资信证明）</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8</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rPr>
              <w:t>参加政府采购活动前3年内在经营活动中没有重大违法记录的书面声明</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9</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rPr>
              <w:t>提供针对本次项目的反商业贿赂承诺书</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w:t>
            </w:r>
          </w:p>
        </w:tc>
        <w:tc>
          <w:tcPr>
            <w:tcW w:w="6534" w:type="dxa"/>
            <w:vAlign w:val="center"/>
          </w:tcPr>
          <w:p>
            <w:pPr>
              <w:spacing w:line="38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lang w:val="en-US" w:eastAsia="zh-CN"/>
              </w:rPr>
              <w:t>持投标保证金有效凭证</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28" w:type="dxa"/>
            <w:vAlign w:val="center"/>
          </w:tcPr>
          <w:p>
            <w:pPr>
              <w:spacing w:line="400" w:lineRule="exact"/>
              <w:rPr>
                <w:rFonts w:hint="eastAsia" w:ascii="微软雅黑" w:hAnsi="微软雅黑" w:eastAsia="微软雅黑" w:cs="微软雅黑"/>
                <w:color w:val="auto"/>
                <w:sz w:val="22"/>
                <w:szCs w:val="22"/>
              </w:rPr>
            </w:pPr>
          </w:p>
        </w:tc>
        <w:tc>
          <w:tcPr>
            <w:tcW w:w="6534" w:type="dxa"/>
            <w:vAlign w:val="center"/>
          </w:tcPr>
          <w:p>
            <w:pPr>
              <w:spacing w:line="400" w:lineRule="exact"/>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结论</w:t>
            </w:r>
          </w:p>
        </w:tc>
        <w:tc>
          <w:tcPr>
            <w:tcW w:w="883" w:type="dxa"/>
            <w:vAlign w:val="center"/>
          </w:tcPr>
          <w:p>
            <w:pPr>
              <w:spacing w:line="400" w:lineRule="exact"/>
              <w:rPr>
                <w:rFonts w:hint="eastAsia" w:ascii="微软雅黑" w:hAnsi="微软雅黑" w:eastAsia="微软雅黑" w:cs="微软雅黑"/>
                <w:color w:val="auto"/>
                <w:sz w:val="22"/>
                <w:szCs w:val="22"/>
              </w:rPr>
            </w:pPr>
          </w:p>
        </w:tc>
        <w:tc>
          <w:tcPr>
            <w:tcW w:w="833" w:type="dxa"/>
            <w:vAlign w:val="center"/>
          </w:tcPr>
          <w:p>
            <w:pPr>
              <w:spacing w:line="400" w:lineRule="exact"/>
              <w:rPr>
                <w:rFonts w:hint="eastAsia" w:ascii="微软雅黑" w:hAnsi="微软雅黑" w:eastAsia="微软雅黑" w:cs="微软雅黑"/>
                <w:color w:val="auto"/>
                <w:sz w:val="22"/>
                <w:szCs w:val="22"/>
              </w:rPr>
            </w:pPr>
          </w:p>
        </w:tc>
        <w:tc>
          <w:tcPr>
            <w:tcW w:w="817" w:type="dxa"/>
            <w:vAlign w:val="center"/>
          </w:tcPr>
          <w:p>
            <w:pPr>
              <w:spacing w:line="400" w:lineRule="exact"/>
              <w:rPr>
                <w:rFonts w:hint="eastAsia" w:ascii="微软雅黑" w:hAnsi="微软雅黑" w:eastAsia="微软雅黑" w:cs="微软雅黑"/>
                <w:color w:val="auto"/>
                <w:sz w:val="22"/>
                <w:szCs w:val="22"/>
              </w:rPr>
            </w:pPr>
          </w:p>
        </w:tc>
      </w:tr>
    </w:tbl>
    <w:p>
      <w:pPr>
        <w:pStyle w:val="2"/>
        <w:ind w:firstLine="0"/>
        <w:rPr>
          <w:rFonts w:hint="eastAsia" w:ascii="微软雅黑" w:hAnsi="微软雅黑" w:eastAsia="微软雅黑" w:cs="微软雅黑"/>
          <w:b/>
          <w:bCs/>
          <w:color w:val="auto"/>
          <w:sz w:val="21"/>
          <w:szCs w:val="21"/>
        </w:rPr>
      </w:pPr>
    </w:p>
    <w:p>
      <w:pPr>
        <w:spacing w:line="300" w:lineRule="auto"/>
        <w:rPr>
          <w:rFonts w:hint="eastAsia" w:ascii="微软雅黑" w:hAnsi="微软雅黑" w:eastAsia="微软雅黑" w:cs="微软雅黑"/>
          <w:color w:val="auto"/>
        </w:rPr>
      </w:pPr>
      <w:r>
        <w:rPr>
          <w:rFonts w:hint="eastAsia" w:ascii="微软雅黑" w:hAnsi="微软雅黑" w:eastAsia="微软雅黑" w:cs="微软雅黑"/>
          <w:color w:val="auto"/>
        </w:rPr>
        <w:t>说明：（1）上述各项中用“√”表示通过，“×”表示不通过；</w:t>
      </w:r>
    </w:p>
    <w:p>
      <w:pPr>
        <w:spacing w:line="300" w:lineRule="auto"/>
        <w:rPr>
          <w:rFonts w:hint="eastAsia" w:ascii="微软雅黑" w:hAnsi="微软雅黑" w:eastAsia="微软雅黑" w:cs="微软雅黑"/>
          <w:color w:val="auto"/>
        </w:rPr>
      </w:pPr>
      <w:r>
        <w:rPr>
          <w:rFonts w:hint="eastAsia" w:ascii="微软雅黑" w:hAnsi="微软雅黑" w:eastAsia="微软雅黑" w:cs="微软雅黑"/>
          <w:color w:val="auto"/>
        </w:rPr>
        <w:t>（2）上述各项中如有一项为“×”，则结论为“×”，表示该投标文件中存在重大偏差，不能通过初步评审；评委对某一分项评审认为不合格时，必须要写明原因。</w:t>
      </w:r>
    </w:p>
    <w:p>
      <w:pPr>
        <w:spacing w:line="300" w:lineRule="auto"/>
        <w:ind w:left="60"/>
        <w:rPr>
          <w:rFonts w:hint="eastAsia" w:ascii="微软雅黑" w:hAnsi="微软雅黑" w:eastAsia="微软雅黑" w:cs="微软雅黑"/>
          <w:color w:val="auto"/>
        </w:rPr>
      </w:pPr>
      <w:r>
        <w:rPr>
          <w:rFonts w:hint="eastAsia" w:ascii="微软雅黑" w:hAnsi="微软雅黑" w:eastAsia="微软雅黑" w:cs="微软雅黑"/>
          <w:color w:val="auto"/>
        </w:rPr>
        <w:t>（3）投标文件最终合格与否，以所有评委的评审意见中少数服从多数为原则定论。</w:t>
      </w:r>
    </w:p>
    <w:p>
      <w:pPr>
        <w:spacing w:line="240" w:lineRule="atLeast"/>
        <w:rPr>
          <w:rFonts w:hint="eastAsia" w:ascii="微软雅黑" w:hAnsi="微软雅黑" w:eastAsia="微软雅黑" w:cs="微软雅黑"/>
          <w:b/>
          <w:bCs/>
          <w:color w:val="auto"/>
        </w:rPr>
      </w:pPr>
      <w:r>
        <w:rPr>
          <w:rFonts w:hint="eastAsia" w:ascii="微软雅黑" w:hAnsi="微软雅黑" w:eastAsia="微软雅黑" w:cs="微软雅黑"/>
          <w:b/>
          <w:bCs/>
          <w:color w:val="auto"/>
        </w:rPr>
        <w:t>未通过资格审查的供应商不进入评标；通过资格审查的供应商少于不足三家的，不得评标。</w:t>
      </w:r>
    </w:p>
    <w:p>
      <w:pPr>
        <w:rPr>
          <w:rFonts w:hint="eastAsia" w:ascii="微软雅黑" w:hAnsi="微软雅黑" w:eastAsia="微软雅黑" w:cs="微软雅黑"/>
          <w:color w:val="auto"/>
        </w:rPr>
      </w:pPr>
    </w:p>
    <w:p>
      <w:pPr>
        <w:pStyle w:val="2"/>
        <w:spacing w:line="300" w:lineRule="auto"/>
        <w:ind w:firstLine="0"/>
        <w:jc w:val="center"/>
        <w:outlineLvl w:val="0"/>
        <w:rPr>
          <w:rFonts w:hint="eastAsia" w:ascii="微软雅黑" w:hAnsi="微软雅黑" w:eastAsia="微软雅黑" w:cs="微软雅黑"/>
          <w:b/>
          <w:bCs/>
          <w:color w:val="auto"/>
          <w:sz w:val="21"/>
          <w:szCs w:val="21"/>
        </w:rPr>
      </w:pPr>
      <w:bookmarkStart w:id="878" w:name="_Toc8628"/>
      <w:bookmarkStart w:id="879" w:name="_Toc1293"/>
      <w:bookmarkStart w:id="880" w:name="_Toc11487"/>
      <w:bookmarkStart w:id="881" w:name="_Toc6402"/>
      <w:bookmarkStart w:id="882" w:name="_Toc8771"/>
      <w:bookmarkStart w:id="883" w:name="_Toc23770"/>
      <w:bookmarkStart w:id="884" w:name="_Toc14391"/>
      <w:bookmarkStart w:id="885" w:name="_Toc946"/>
      <w:bookmarkStart w:id="886" w:name="_Toc7343"/>
      <w:bookmarkStart w:id="887" w:name="_Toc21232"/>
      <w:bookmarkStart w:id="888" w:name="_Toc70"/>
      <w:bookmarkStart w:id="889" w:name="_Toc8014"/>
      <w:bookmarkStart w:id="890" w:name="_Toc12096"/>
      <w:bookmarkStart w:id="891" w:name="_Toc11822"/>
      <w:bookmarkStart w:id="892" w:name="_Toc29061"/>
      <w:bookmarkStart w:id="893" w:name="_Toc28345"/>
      <w:bookmarkStart w:id="894" w:name="_Toc11241"/>
      <w:bookmarkStart w:id="895" w:name="_Toc20635"/>
      <w:bookmarkStart w:id="896" w:name="_Toc4255"/>
      <w:bookmarkStart w:id="897" w:name="_Toc19523"/>
      <w:bookmarkStart w:id="898" w:name="_Toc22718"/>
      <w:bookmarkStart w:id="899" w:name="_Toc24305"/>
      <w:r>
        <w:rPr>
          <w:rFonts w:hint="eastAsia" w:ascii="微软雅黑" w:hAnsi="微软雅黑" w:eastAsia="微软雅黑" w:cs="微软雅黑"/>
          <w:b/>
          <w:bCs/>
          <w:color w:val="auto"/>
          <w:sz w:val="21"/>
          <w:szCs w:val="21"/>
        </w:rPr>
        <w:t>初步评审—符合性审查表</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pPr>
        <w:rPr>
          <w:rFonts w:hint="default" w:eastAsia="微软雅黑"/>
          <w:lang w:val="en-US" w:eastAsia="zh-CN"/>
        </w:rPr>
      </w:pPr>
      <w:r>
        <w:rPr>
          <w:rFonts w:hint="eastAsia" w:ascii="微软雅黑" w:hAnsi="微软雅黑" w:eastAsia="微软雅黑" w:cs="微软雅黑"/>
          <w:b/>
          <w:bCs/>
          <w:color w:val="auto"/>
          <w:sz w:val="21"/>
          <w:szCs w:val="21"/>
          <w:lang w:eastAsia="zh-CN"/>
        </w:rPr>
        <w:t>第</w:t>
      </w:r>
      <w:r>
        <w:rPr>
          <w:rFonts w:hint="eastAsia" w:ascii="微软雅黑" w:hAnsi="微软雅黑" w:eastAsia="微软雅黑" w:cs="微软雅黑"/>
          <w:b/>
          <w:bCs/>
          <w:color w:val="auto"/>
          <w:sz w:val="21"/>
          <w:szCs w:val="21"/>
          <w:lang w:val="en-US" w:eastAsia="zh-CN"/>
        </w:rPr>
        <w:t>1包至第4包</w:t>
      </w:r>
    </w:p>
    <w:tbl>
      <w:tblPr>
        <w:tblStyle w:val="25"/>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pPr>
              <w:spacing w:line="300" w:lineRule="auto"/>
              <w:jc w:val="center"/>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评审内容</w:t>
            </w:r>
          </w:p>
        </w:tc>
        <w:tc>
          <w:tcPr>
            <w:tcW w:w="1637" w:type="dxa"/>
            <w:vAlign w:val="center"/>
          </w:tcPr>
          <w:p>
            <w:pPr>
              <w:spacing w:line="300" w:lineRule="auto"/>
              <w:jc w:val="center"/>
              <w:rPr>
                <w:rFonts w:hint="eastAsia" w:ascii="微软雅黑" w:hAnsi="微软雅黑" w:eastAsia="微软雅黑" w:cs="微软雅黑"/>
                <w:color w:val="auto"/>
                <w:spacing w:val="-2"/>
                <w:sz w:val="22"/>
                <w:szCs w:val="22"/>
              </w:rPr>
            </w:pPr>
            <w:r>
              <w:rPr>
                <w:rFonts w:hint="eastAsia" w:ascii="微软雅黑" w:hAnsi="微软雅黑" w:eastAsia="微软雅黑" w:cs="微软雅黑"/>
                <w:b/>
                <w:bCs/>
                <w:color w:val="auto"/>
                <w:sz w:val="22"/>
                <w:szCs w:val="22"/>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30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序号</w:t>
            </w:r>
          </w:p>
        </w:tc>
        <w:tc>
          <w:tcPr>
            <w:tcW w:w="6755" w:type="dxa"/>
            <w:vAlign w:val="center"/>
          </w:tcPr>
          <w:p>
            <w:pPr>
              <w:spacing w:line="300" w:lineRule="auto"/>
              <w:rPr>
                <w:rFonts w:hint="eastAsia" w:ascii="微软雅黑" w:hAnsi="微软雅黑" w:eastAsia="微软雅黑" w:cs="微软雅黑"/>
                <w:color w:val="auto"/>
                <w:spacing w:val="-2"/>
                <w:sz w:val="22"/>
                <w:szCs w:val="22"/>
              </w:rPr>
            </w:pPr>
          </w:p>
        </w:tc>
        <w:tc>
          <w:tcPr>
            <w:tcW w:w="1637" w:type="dxa"/>
            <w:vAlign w:val="center"/>
          </w:tcPr>
          <w:p>
            <w:pPr>
              <w:spacing w:line="300" w:lineRule="auto"/>
              <w:jc w:val="center"/>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各供应商投标报价未高于预算金额</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评标委员会认为供应商的报价无明显低于其他通过符合性审查供应商的报价的，供应商的报价不存在异常一致并成规律性的，其报价合理</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3</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供应商按招标文件规定提交投标文件份数</w:t>
            </w:r>
          </w:p>
        </w:tc>
        <w:tc>
          <w:tcPr>
            <w:tcW w:w="1637" w:type="dxa"/>
            <w:vAlign w:val="center"/>
          </w:tcPr>
          <w:p>
            <w:pPr>
              <w:spacing w:line="300" w:lineRule="auto"/>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4</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投标文件按照招标文件的规定编制、标记及签署盖章的，法定代表人或其授权代表签字（章）和加盖供应商公章的（投标文件正本的印章和签字不能为复印件）</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5</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按招标文件规定的格式填写，内容齐全</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6</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没有采购人不能接受的附加条件的</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7</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b/>
                <w:bCs/>
                <w:color w:val="auto"/>
                <w:spacing w:val="-2"/>
                <w:sz w:val="22"/>
                <w:szCs w:val="22"/>
              </w:rPr>
              <w:t>符合招标文件中规定的其他实质性要求</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pPr>
              <w:spacing w:line="360" w:lineRule="auto"/>
              <w:jc w:val="center"/>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z w:val="22"/>
                <w:szCs w:val="22"/>
              </w:rPr>
              <w:t>8</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不同供应商的投标文件没有错漏一致的情况</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9</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供应商附有详细地址、联系人、电话标明的</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10</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投标文件没有散页、活页、未胶装的</w:t>
            </w:r>
          </w:p>
        </w:tc>
        <w:tc>
          <w:tcPr>
            <w:tcW w:w="1637" w:type="dxa"/>
            <w:vAlign w:val="center"/>
          </w:tcPr>
          <w:p>
            <w:pPr>
              <w:spacing w:line="300" w:lineRule="auto"/>
              <w:rPr>
                <w:rFonts w:hint="eastAsia" w:ascii="微软雅黑" w:hAnsi="微软雅黑" w:eastAsia="微软雅黑" w:cs="微软雅黑"/>
                <w:color w:val="auto"/>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300" w:lineRule="auto"/>
              <w:ind w:firstLine="388" w:firstLineChars="180"/>
              <w:rPr>
                <w:rFonts w:hint="eastAsia" w:ascii="微软雅黑" w:hAnsi="微软雅黑" w:eastAsia="微软雅黑" w:cs="微软雅黑"/>
                <w:color w:val="auto"/>
                <w:spacing w:val="-2"/>
                <w:sz w:val="22"/>
                <w:szCs w:val="22"/>
              </w:rPr>
            </w:pPr>
            <w:r>
              <w:rPr>
                <w:rFonts w:hint="eastAsia" w:ascii="微软雅黑" w:hAnsi="微软雅黑" w:eastAsia="微软雅黑" w:cs="微软雅黑"/>
                <w:color w:val="auto"/>
                <w:spacing w:val="-2"/>
                <w:sz w:val="22"/>
                <w:szCs w:val="22"/>
              </w:rPr>
              <w:t>结论：通过评审打“√”，未通过评审打“×”</w:t>
            </w:r>
          </w:p>
        </w:tc>
        <w:tc>
          <w:tcPr>
            <w:tcW w:w="1637" w:type="dxa"/>
            <w:vAlign w:val="center"/>
          </w:tcPr>
          <w:p>
            <w:pPr>
              <w:spacing w:line="300" w:lineRule="auto"/>
              <w:ind w:firstLine="388" w:firstLineChars="180"/>
              <w:rPr>
                <w:rFonts w:hint="eastAsia" w:ascii="微软雅黑" w:hAnsi="微软雅黑" w:eastAsia="微软雅黑" w:cs="微软雅黑"/>
                <w:color w:val="auto"/>
                <w:spacing w:val="-2"/>
                <w:sz w:val="22"/>
                <w:szCs w:val="22"/>
              </w:rPr>
            </w:pPr>
          </w:p>
        </w:tc>
      </w:tr>
    </w:tbl>
    <w:p>
      <w:pPr>
        <w:spacing w:line="300" w:lineRule="auto"/>
        <w:ind w:left="60"/>
        <w:rPr>
          <w:rFonts w:hint="eastAsia" w:ascii="微软雅黑" w:hAnsi="微软雅黑" w:eastAsia="微软雅黑" w:cs="微软雅黑"/>
          <w:color w:val="auto"/>
        </w:rPr>
      </w:pPr>
      <w:r>
        <w:rPr>
          <w:rFonts w:hint="eastAsia" w:ascii="微软雅黑" w:hAnsi="微软雅黑" w:eastAsia="微软雅黑" w:cs="微软雅黑"/>
          <w:color w:val="auto"/>
        </w:rPr>
        <w:t>说明：</w:t>
      </w:r>
    </w:p>
    <w:p>
      <w:pPr>
        <w:spacing w:line="300" w:lineRule="auto"/>
        <w:ind w:left="60"/>
        <w:rPr>
          <w:rFonts w:hint="eastAsia" w:ascii="微软雅黑" w:hAnsi="微软雅黑" w:eastAsia="微软雅黑" w:cs="微软雅黑"/>
          <w:color w:val="auto"/>
        </w:rPr>
      </w:pPr>
      <w:r>
        <w:rPr>
          <w:rFonts w:hint="eastAsia" w:ascii="微软雅黑" w:hAnsi="微软雅黑" w:eastAsia="微软雅黑" w:cs="微软雅黑"/>
          <w:color w:val="auto"/>
        </w:rPr>
        <w:t>（1）上述各项中用“√”表示合格，“×”表示不合格；</w:t>
      </w:r>
    </w:p>
    <w:p>
      <w:pPr>
        <w:spacing w:line="300" w:lineRule="auto"/>
        <w:ind w:left="689" w:leftChars="28" w:hanging="630" w:hangingChars="300"/>
        <w:rPr>
          <w:rFonts w:hint="eastAsia" w:ascii="微软雅黑" w:hAnsi="微软雅黑" w:eastAsia="微软雅黑" w:cs="微软雅黑"/>
          <w:color w:val="auto"/>
        </w:rPr>
      </w:pPr>
      <w:r>
        <w:rPr>
          <w:rFonts w:hint="eastAsia" w:ascii="微软雅黑" w:hAnsi="微软雅黑" w:eastAsia="微软雅黑" w:cs="微软雅黑"/>
          <w:color w:val="auto"/>
        </w:rPr>
        <w:t>（2）上述各项中如有一项为“×”，则结论为“×”，表示该投标文件中存在重大偏差，不能通过初步评审；评委对某一分项评审认为不合格时，必须要写明原因。</w:t>
      </w:r>
    </w:p>
    <w:p>
      <w:pPr>
        <w:pStyle w:val="2"/>
        <w:spacing w:line="300" w:lineRule="auto"/>
        <w:ind w:firstLine="0"/>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（3）投标文件最终合格与否，以所有评委的评审意见中少数服从多数为原则定论。</w:t>
      </w:r>
    </w:p>
    <w:p>
      <w:pPr>
        <w:spacing w:line="240" w:lineRule="atLeast"/>
        <w:rPr>
          <w:rFonts w:hint="eastAsia" w:ascii="微软雅黑" w:hAnsi="微软雅黑" w:eastAsia="微软雅黑" w:cs="微软雅黑"/>
          <w:b/>
          <w:bCs/>
          <w:color w:val="auto"/>
        </w:rPr>
      </w:pPr>
      <w:r>
        <w:rPr>
          <w:rFonts w:hint="eastAsia" w:ascii="微软雅黑" w:hAnsi="微软雅黑" w:eastAsia="微软雅黑" w:cs="微软雅黑"/>
          <w:b/>
          <w:bCs/>
          <w:color w:val="auto"/>
        </w:rPr>
        <w:t>未通过符合性审查的供应商不进入评标；通过符合性审查的供应商少于不足三家的，不得评标。</w:t>
      </w:r>
    </w:p>
    <w:p>
      <w:pPr>
        <w:rPr>
          <w:rFonts w:hint="eastAsia" w:ascii="微软雅黑" w:hAnsi="微软雅黑" w:eastAsia="微软雅黑" w:cs="微软雅黑"/>
          <w:color w:val="auto"/>
        </w:rPr>
      </w:pPr>
    </w:p>
    <w:p>
      <w:pPr>
        <w:pStyle w:val="21"/>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21"/>
        <w:rPr>
          <w:rFonts w:hint="eastAsia"/>
          <w:color w:val="auto"/>
        </w:rPr>
      </w:pPr>
    </w:p>
    <w:tbl>
      <w:tblPr>
        <w:tblStyle w:val="25"/>
        <w:tblW w:w="9330" w:type="dxa"/>
        <w:tblInd w:w="-430" w:type="dxa"/>
        <w:tblLayout w:type="fixed"/>
        <w:tblCellMar>
          <w:top w:w="0" w:type="dxa"/>
          <w:left w:w="108" w:type="dxa"/>
          <w:bottom w:w="0" w:type="dxa"/>
          <w:right w:w="108" w:type="dxa"/>
        </w:tblCellMar>
      </w:tblPr>
      <w:tblGrid>
        <w:gridCol w:w="3087"/>
        <w:gridCol w:w="4729"/>
        <w:gridCol w:w="505"/>
        <w:gridCol w:w="463"/>
        <w:gridCol w:w="546"/>
      </w:tblGrid>
      <w:tr>
        <w:tblPrEx>
          <w:tblCellMar>
            <w:top w:w="0" w:type="dxa"/>
            <w:left w:w="108" w:type="dxa"/>
            <w:bottom w:w="0" w:type="dxa"/>
            <w:right w:w="108" w:type="dxa"/>
          </w:tblCellMar>
        </w:tblPrEx>
        <w:trPr>
          <w:trHeight w:val="585" w:hRule="atLeast"/>
        </w:trPr>
        <w:tc>
          <w:tcPr>
            <w:tcW w:w="9330" w:type="dxa"/>
            <w:gridSpan w:val="5"/>
            <w:tcBorders>
              <w:top w:val="nil"/>
              <w:left w:val="nil"/>
              <w:bottom w:val="single" w:color="auto" w:sz="4" w:space="0"/>
              <w:right w:val="nil"/>
            </w:tcBorders>
            <w:vAlign w:val="center"/>
          </w:tcPr>
          <w:p>
            <w:pPr>
              <w:widowControl/>
              <w:spacing w:line="360" w:lineRule="exact"/>
              <w:jc w:val="center"/>
              <w:rPr>
                <w:rFonts w:hint="eastAsia"/>
              </w:rPr>
            </w:pPr>
            <w:r>
              <w:rPr>
                <w:rFonts w:hint="eastAsia" w:ascii="微软雅黑" w:hAnsi="微软雅黑" w:eastAsia="微软雅黑" w:cs="微软雅黑"/>
                <w:b/>
                <w:bCs/>
                <w:color w:val="auto"/>
                <w:kern w:val="0"/>
                <w:sz w:val="32"/>
                <w:szCs w:val="32"/>
                <w:lang w:val="en-US" w:eastAsia="zh-CN" w:bidi="ar-SA"/>
              </w:rPr>
              <w:t>商务符合性审查表</w:t>
            </w:r>
          </w:p>
          <w:p>
            <w:pPr>
              <w:pStyle w:val="2"/>
              <w:rPr>
                <w:rFonts w:hint="default" w:eastAsia="微软雅黑"/>
                <w:lang w:val="en-US" w:eastAsia="zh-CN"/>
              </w:rPr>
            </w:pPr>
            <w:r>
              <w:rPr>
                <w:rFonts w:hint="eastAsia" w:ascii="微软雅黑" w:hAnsi="微软雅黑" w:eastAsia="微软雅黑" w:cs="微软雅黑"/>
                <w:b/>
                <w:bCs/>
                <w:color w:val="auto"/>
                <w:kern w:val="0"/>
                <w:sz w:val="24"/>
                <w:szCs w:val="24"/>
                <w:lang w:eastAsia="zh-CN"/>
              </w:rPr>
              <w:t>第一包至第</w:t>
            </w:r>
            <w:r>
              <w:rPr>
                <w:rFonts w:hint="eastAsia" w:ascii="微软雅黑" w:hAnsi="微软雅黑" w:eastAsia="微软雅黑" w:cs="微软雅黑"/>
                <w:b/>
                <w:bCs/>
                <w:color w:val="auto"/>
                <w:kern w:val="0"/>
                <w:sz w:val="24"/>
                <w:szCs w:val="24"/>
                <w:lang w:val="en-US" w:eastAsia="zh-CN"/>
              </w:rPr>
              <w:t>4包</w:t>
            </w:r>
          </w:p>
        </w:tc>
      </w:tr>
      <w:tr>
        <w:tblPrEx>
          <w:tblCellMar>
            <w:top w:w="0" w:type="dxa"/>
            <w:left w:w="108" w:type="dxa"/>
            <w:bottom w:w="0" w:type="dxa"/>
            <w:right w:w="108" w:type="dxa"/>
          </w:tblCellMar>
        </w:tblPrEx>
        <w:trPr>
          <w:trHeight w:val="754" w:hRule="atLeast"/>
        </w:trPr>
        <w:tc>
          <w:tcPr>
            <w:tcW w:w="781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审查事项</w:t>
            </w:r>
          </w:p>
        </w:tc>
        <w:tc>
          <w:tcPr>
            <w:tcW w:w="1514"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招标文件条款（供应商须知、供应商须知资料表条款号）</w:t>
            </w:r>
          </w:p>
        </w:tc>
        <w:tc>
          <w:tcPr>
            <w:tcW w:w="472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本项目要求</w:t>
            </w:r>
          </w:p>
        </w:tc>
        <w:tc>
          <w:tcPr>
            <w:tcW w:w="50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9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中小企业投标要求（1.3.6）</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本项目</w:t>
            </w:r>
            <w:r>
              <w:rPr>
                <w:rFonts w:hint="eastAsia" w:ascii="微软雅黑" w:hAnsi="微软雅黑" w:eastAsia="微软雅黑" w:cs="微软雅黑"/>
                <w:i/>
                <w:iCs/>
                <w:color w:val="auto"/>
                <w:kern w:val="0"/>
                <w:sz w:val="22"/>
                <w:szCs w:val="22"/>
                <w:u w:val="single"/>
              </w:rPr>
              <w:t>适用</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联合体投标规（1.4）</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本项目</w:t>
            </w:r>
            <w:r>
              <w:rPr>
                <w:rFonts w:hint="eastAsia" w:ascii="微软雅黑" w:hAnsi="微软雅黑" w:eastAsia="微软雅黑" w:cs="微软雅黑"/>
                <w:i/>
                <w:iCs/>
                <w:color w:val="auto"/>
                <w:kern w:val="0"/>
                <w:sz w:val="22"/>
                <w:szCs w:val="22"/>
                <w:u w:val="single"/>
              </w:rPr>
              <w:t>不接受</w:t>
            </w:r>
            <w:r>
              <w:rPr>
                <w:rFonts w:hint="eastAsia" w:ascii="微软雅黑" w:hAnsi="微软雅黑" w:eastAsia="微软雅黑" w:cs="微软雅黑"/>
                <w:color w:val="auto"/>
                <w:kern w:val="0"/>
                <w:sz w:val="22"/>
                <w:szCs w:val="22"/>
              </w:rPr>
              <w:t>联合体投标</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供应商的关联（1.5）</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在同一标包内，单位负责人为非同一人或者不存在直接控股、管理关系的不同供应商。</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未发现影响采购人决策行为（1.5）</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供应商在投标过程中未向采购人提供、给予任何有价值的物品，影响其正常决策行为。</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满足投标范围的完整性要求（8.1）</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供应商对所投分包招标文件中所列的所有内容进行投标。</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未包含价格调整要求（11.4）</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供应商所报的各分项投标报价在合同履行过程中是固定不变的，不得以任何理由予以变更。</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投标保证金（12.1）</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符合招标文件要求</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投标有效期满足要求（13.1）</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自提交投标文件截止之日起</w:t>
            </w:r>
            <w:r>
              <w:rPr>
                <w:rFonts w:hint="eastAsia" w:ascii="微软雅黑" w:hAnsi="微软雅黑" w:eastAsia="微软雅黑" w:cs="微软雅黑"/>
                <w:color w:val="auto"/>
                <w:sz w:val="22"/>
                <w:szCs w:val="22"/>
                <w:u w:val="single"/>
              </w:rPr>
              <w:t xml:space="preserve"> </w:t>
            </w:r>
            <w:r>
              <w:rPr>
                <w:rFonts w:hint="eastAsia" w:ascii="微软雅黑" w:hAnsi="微软雅黑" w:eastAsia="微软雅黑" w:cs="微软雅黑"/>
                <w:color w:val="auto"/>
                <w:sz w:val="22"/>
                <w:szCs w:val="22"/>
                <w:u w:val="single"/>
                <w:lang w:val="en-US" w:eastAsia="zh-CN"/>
              </w:rPr>
              <w:t>90</w:t>
            </w:r>
            <w:r>
              <w:rPr>
                <w:rFonts w:hint="eastAsia" w:ascii="微软雅黑" w:hAnsi="微软雅黑" w:eastAsia="微软雅黑" w:cs="微软雅黑"/>
                <w:color w:val="auto"/>
                <w:sz w:val="22"/>
                <w:szCs w:val="22"/>
                <w:u w:val="single"/>
              </w:rPr>
              <w:t>日</w:t>
            </w:r>
            <w:r>
              <w:rPr>
                <w:rFonts w:hint="eastAsia" w:ascii="微软雅黑" w:hAnsi="微软雅黑" w:eastAsia="微软雅黑" w:cs="微软雅黑"/>
                <w:color w:val="auto"/>
                <w:sz w:val="22"/>
                <w:szCs w:val="22"/>
              </w:rPr>
              <w:t>历日</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投标文件的装订方式（14.3）</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所有投标文件采用不可拆装的胶订方式装订</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投标文件的签署和盖章符合要求</w:t>
            </w:r>
          </w:p>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（14.2、14.4）</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按照招标文件规定要求签署、盖章。</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接受价格的算术修正（20.3）</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投标文件报价出现前后不一致的，应按照招标文件规定的顺序修正。修正后的报价经供应商确认后产生约束力。</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符合强制采购节能产品要求（20.6）</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本项目</w:t>
            </w:r>
            <w:r>
              <w:rPr>
                <w:rFonts w:hint="eastAsia" w:ascii="微软雅黑" w:hAnsi="微软雅黑" w:eastAsia="微软雅黑" w:cs="微软雅黑"/>
                <w:i/>
                <w:iCs/>
                <w:color w:val="auto"/>
                <w:kern w:val="0"/>
                <w:sz w:val="22"/>
                <w:szCs w:val="22"/>
                <w:u w:val="single"/>
              </w:rPr>
              <w:t>适用</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未发现串通投标（22.2）</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未与其他供应商串通投标，或者与招标人串通投标。</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报价说明可以接受（22.2）</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供应商的报价明显低于其他通过符合性检查供应商的报价，有可能影响履约的，供应商能按照规定证明其报价合理性。</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kern w:val="0"/>
                <w:sz w:val="22"/>
                <w:szCs w:val="22"/>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无采购人不能接受的附加条件（22.2）</w:t>
            </w:r>
          </w:p>
        </w:tc>
        <w:tc>
          <w:tcPr>
            <w:tcW w:w="472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r>
              <w:rPr>
                <w:rFonts w:hint="eastAsia" w:ascii="微软雅黑" w:hAnsi="微软雅黑" w:eastAsia="微软雅黑" w:cs="微软雅黑"/>
                <w:color w:val="auto"/>
                <w:sz w:val="22"/>
                <w:szCs w:val="22"/>
              </w:rPr>
              <w:t>投标文件未含有采购人不能接受的附加条件。</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rPr>
            </w:pPr>
          </w:p>
        </w:tc>
      </w:tr>
      <w:tr>
        <w:tblPrEx>
          <w:tblCellMar>
            <w:top w:w="0" w:type="dxa"/>
            <w:left w:w="108" w:type="dxa"/>
            <w:bottom w:w="0" w:type="dxa"/>
            <w:right w:w="108" w:type="dxa"/>
          </w:tblCellMar>
        </w:tblPrEx>
        <w:trPr>
          <w:trHeight w:val="152" w:hRule="atLeast"/>
        </w:trPr>
        <w:tc>
          <w:tcPr>
            <w:tcW w:w="781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kern w:val="0"/>
                <w:sz w:val="22"/>
                <w:szCs w:val="22"/>
              </w:rPr>
              <w:t>结论</w:t>
            </w:r>
          </w:p>
        </w:tc>
        <w:tc>
          <w:tcPr>
            <w:tcW w:w="50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463"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p>
        </w:tc>
        <w:tc>
          <w:tcPr>
            <w:tcW w:w="54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rPr>
            </w:pPr>
          </w:p>
        </w:tc>
      </w:tr>
    </w:tbl>
    <w:p>
      <w:pPr>
        <w:outlineLvl w:val="9"/>
        <w:rPr>
          <w:rFonts w:hint="eastAsia" w:ascii="微软雅黑" w:hAnsi="微软雅黑" w:eastAsia="微软雅黑" w:cs="微软雅黑"/>
          <w:color w:val="auto"/>
        </w:rPr>
      </w:pPr>
    </w:p>
    <w:p>
      <w:pPr>
        <w:jc w:val="center"/>
        <w:rPr>
          <w:rFonts w:hint="eastAsia" w:ascii="微软雅黑" w:hAnsi="微软雅黑" w:eastAsia="微软雅黑" w:cs="微软雅黑"/>
          <w:color w:val="auto"/>
        </w:rPr>
      </w:pPr>
      <w:bookmarkStart w:id="900" w:name="_Toc507399904"/>
      <w:r>
        <w:rPr>
          <w:rFonts w:hint="eastAsia" w:ascii="微软雅黑" w:hAnsi="微软雅黑" w:eastAsia="微软雅黑" w:cs="微软雅黑"/>
          <w:b/>
          <w:bCs/>
          <w:color w:val="auto"/>
          <w:kern w:val="0"/>
          <w:sz w:val="32"/>
          <w:szCs w:val="32"/>
          <w:highlight w:val="none"/>
        </w:rPr>
        <w:t>综合评分法评分标准</w:t>
      </w:r>
    </w:p>
    <w:p>
      <w:pPr>
        <w:pStyle w:val="21"/>
        <w:outlineLvl w:val="1"/>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第一包至第4包</w:t>
      </w:r>
    </w:p>
    <w:tbl>
      <w:tblPr>
        <w:tblStyle w:val="25"/>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84"/>
        <w:gridCol w:w="644"/>
        <w:gridCol w:w="5529"/>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序号</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评分因素</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及权重</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分值</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评分标准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 xml:space="preserve">价格：40分  商务：8分   技术：52分              </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价格评分标 准</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投标报价</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40分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完全满足招标文件参数的投标报价中的最低价为评标基准价，按照下列公式计算每个投标人的投标价格得分。投标报价得分＝（基准价/投标报价）×价格权重。</w:t>
            </w:r>
            <w:r>
              <w:rPr>
                <w:rFonts w:hint="eastAsia" w:ascii="微软雅黑" w:hAnsi="微软雅黑" w:eastAsia="微软雅黑" w:cs="微软雅黑"/>
                <w:b/>
                <w:bCs/>
                <w:color w:val="auto"/>
                <w:kern w:val="2"/>
                <w:sz w:val="18"/>
                <w:szCs w:val="18"/>
                <w:highlight w:val="none"/>
                <w:lang w:val="en-US" w:eastAsia="zh-CN" w:bidi="ar-SA"/>
              </w:rPr>
              <w:t>（注：若报价单位为小微企业，其最终报价扣除10-20%后参与评审，须提供相关证明资料，否则无效。）</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技术评分标 准（52分）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配置及性能指标</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20分</w:t>
            </w:r>
          </w:p>
        </w:tc>
        <w:tc>
          <w:tcPr>
            <w:tcW w:w="5529"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0"/>
                <w:sz w:val="18"/>
                <w:szCs w:val="18"/>
                <w:highlight w:val="none"/>
              </w:rPr>
              <w:t>根据所投产品的配置与性能指标响应程度打分完全满足招标要求的得</w:t>
            </w:r>
            <w:r>
              <w:rPr>
                <w:rFonts w:hint="eastAsia" w:ascii="微软雅黑" w:hAnsi="微软雅黑" w:eastAsia="微软雅黑" w:cs="微软雅黑"/>
                <w:color w:val="auto"/>
                <w:kern w:val="0"/>
                <w:sz w:val="18"/>
                <w:szCs w:val="18"/>
                <w:highlight w:val="none"/>
                <w:lang w:val="en-US" w:eastAsia="zh-CN"/>
              </w:rPr>
              <w:t>20</w:t>
            </w:r>
            <w:r>
              <w:rPr>
                <w:rFonts w:hint="eastAsia" w:ascii="微软雅黑" w:hAnsi="微软雅黑" w:eastAsia="微软雅黑" w:cs="微软雅黑"/>
                <w:color w:val="auto"/>
                <w:kern w:val="0"/>
                <w:sz w:val="18"/>
                <w:szCs w:val="18"/>
                <w:highlight w:val="none"/>
              </w:rPr>
              <w:t>分</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每有一项</w:t>
            </w:r>
            <w:r>
              <w:rPr>
                <w:rFonts w:hint="eastAsia" w:ascii="微软雅黑" w:hAnsi="微软雅黑" w:eastAsia="微软雅黑" w:cs="微软雅黑"/>
                <w:color w:val="auto"/>
                <w:kern w:val="0"/>
                <w:sz w:val="18"/>
                <w:szCs w:val="18"/>
                <w:highlight w:val="none"/>
                <w:lang w:val="en-US" w:eastAsia="zh-CN"/>
              </w:rPr>
              <w:t>参数</w:t>
            </w:r>
            <w:r>
              <w:rPr>
                <w:rFonts w:hint="eastAsia" w:ascii="微软雅黑" w:hAnsi="微软雅黑" w:eastAsia="微软雅黑" w:cs="微软雅黑"/>
                <w:color w:val="auto"/>
                <w:kern w:val="0"/>
                <w:sz w:val="18"/>
                <w:szCs w:val="18"/>
                <w:highlight w:val="none"/>
              </w:rPr>
              <w:t>负偏离扣</w:t>
            </w:r>
            <w:r>
              <w:rPr>
                <w:rFonts w:hint="eastAsia" w:ascii="微软雅黑" w:hAnsi="微软雅黑" w:eastAsia="微软雅黑" w:cs="微软雅黑"/>
                <w:color w:val="auto"/>
                <w:kern w:val="0"/>
                <w:sz w:val="18"/>
                <w:szCs w:val="18"/>
                <w:highlight w:val="none"/>
                <w:lang w:val="en-US" w:eastAsia="zh-CN"/>
              </w:rPr>
              <w:t>3</w:t>
            </w:r>
            <w:r>
              <w:rPr>
                <w:rFonts w:hint="eastAsia" w:ascii="微软雅黑" w:hAnsi="微软雅黑" w:eastAsia="微软雅黑" w:cs="微软雅黑"/>
                <w:color w:val="auto"/>
                <w:kern w:val="0"/>
                <w:sz w:val="18"/>
                <w:szCs w:val="18"/>
                <w:highlight w:val="none"/>
              </w:rPr>
              <w:t>分</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直至扣完为止。</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11分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 xml:space="preserve">1、现场布置是否周密、合理(1分)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2、进度计划和措施是否科学合理、措施是否得当(1分)；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3、方案是否先进(</w:t>
            </w:r>
            <w:r>
              <w:rPr>
                <w:rFonts w:hint="eastAsia" w:ascii="微软雅黑" w:hAnsi="微软雅黑" w:eastAsia="微软雅黑" w:cs="微软雅黑"/>
                <w:color w:val="auto"/>
                <w:kern w:val="2"/>
                <w:sz w:val="18"/>
                <w:szCs w:val="18"/>
                <w:highlight w:val="none"/>
                <w:lang w:val="en-US" w:eastAsia="zh-CN" w:bidi="ar-SA"/>
              </w:rPr>
              <w:t>1</w:t>
            </w:r>
            <w:r>
              <w:rPr>
                <w:rFonts w:hint="default" w:ascii="微软雅黑" w:hAnsi="微软雅黑" w:eastAsia="微软雅黑" w:cs="微软雅黑"/>
                <w:color w:val="auto"/>
                <w:kern w:val="2"/>
                <w:sz w:val="18"/>
                <w:szCs w:val="18"/>
                <w:highlight w:val="none"/>
                <w:lang w:val="en-US" w:eastAsia="zh-CN" w:bidi="ar-SA"/>
              </w:rPr>
              <w:t>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4、平面配置是否合理(1分)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5、主要材料、构配件计划是否合理</w:t>
            </w:r>
            <w:r>
              <w:rPr>
                <w:rFonts w:hint="eastAsia" w:ascii="微软雅黑" w:hAnsi="微软雅黑" w:eastAsia="微软雅黑" w:cs="微软雅黑"/>
                <w:color w:val="auto"/>
                <w:kern w:val="2"/>
                <w:sz w:val="18"/>
                <w:szCs w:val="18"/>
                <w:highlight w:val="none"/>
                <w:lang w:val="en-US" w:eastAsia="zh-CN" w:bidi="ar-SA"/>
              </w:rPr>
              <w:t>（</w:t>
            </w:r>
            <w:r>
              <w:rPr>
                <w:rFonts w:hint="default" w:ascii="微软雅黑" w:hAnsi="微软雅黑" w:eastAsia="微软雅黑" w:cs="微软雅黑"/>
                <w:color w:val="auto"/>
                <w:kern w:val="2"/>
                <w:sz w:val="18"/>
                <w:szCs w:val="18"/>
                <w:highlight w:val="none"/>
                <w:lang w:val="en-US" w:eastAsia="zh-CN" w:bidi="ar-SA"/>
              </w:rPr>
              <w:t>1分)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6、主要机具配备计划是否合理((1分)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7、劳动力安排是否合理(1分)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8、安全措施是否可靠(1分)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9、文明措施是否完善(1分)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10、成品保护措施是否可靠(1分)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lang w:val="en-US" w:eastAsia="zh-CN"/>
              </w:rPr>
            </w:pPr>
            <w:r>
              <w:rPr>
                <w:rFonts w:hint="eastAsia" w:ascii="微软雅黑" w:hAnsi="微软雅黑" w:eastAsia="微软雅黑" w:cs="微软雅黑"/>
                <w:color w:val="auto"/>
                <w:kern w:val="2"/>
                <w:sz w:val="18"/>
                <w:szCs w:val="18"/>
                <w:highlight w:val="none"/>
                <w:lang w:val="en-US" w:eastAsia="zh-CN" w:bidi="ar-SA"/>
              </w:rPr>
              <w:t>11、应急处理措施是否合理（1分）</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技术服务能力</w:t>
            </w:r>
          </w:p>
        </w:tc>
        <w:tc>
          <w:tcPr>
            <w:tcW w:w="6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8分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产品厂家或供应商在项目实施地区有固定售后服务网点得3分；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产品厂家或供应商在疆内有固定售后服务网点得2分；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（须提供房屋购买合同或租赁合同）不提供此项不得分。</w:t>
            </w:r>
          </w:p>
        </w:tc>
        <w:tc>
          <w:tcPr>
            <w:tcW w:w="16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18"/>
                <w:szCs w:val="18"/>
              </w:rPr>
            </w:pPr>
          </w:p>
        </w:tc>
        <w:tc>
          <w:tcPr>
            <w:tcW w:w="6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18"/>
                <w:szCs w:val="18"/>
              </w:rPr>
            </w:pP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配备本项目固定工程师不得少于5人，得2分。减少1人扣0.5分；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产品厂家/供货商拟投入本项目工程技术人员每增加1人得0.5分，最高得3分。（需提供人员名单及人员相关专业证件）未提供的此项不得分。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注：以社保缴纳证明为依据。</w:t>
            </w:r>
          </w:p>
        </w:tc>
        <w:tc>
          <w:tcPr>
            <w:tcW w:w="16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售后服务</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6分</w:t>
            </w:r>
          </w:p>
        </w:tc>
        <w:tc>
          <w:tcPr>
            <w:tcW w:w="552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产品厂家/供货商售后服务体系完备且满足：</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乙方所供产品出现损坏不能正常使用需要维修时，乙方须在1小时内响应，4小时内到达现场进行处理，一般6小时内解决故障问题，重大故障8小时内解决故障问题；且售后服务体系有1名技术人员联系人及电话的得2分；</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乙方所供产品出现损坏不能正常使用需要维修时，乙方须在30分钟内响应，2小时内到达现场进行处理，一般4小时内解决故障问题，重大故障6小时内解决故障问题；且售后服务体系有2名技术人员联系人及电话的得4分；</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乙方所供产品出现损坏不能正常使用需要维修时，乙方须在10分钟内响应，1小时内到达现场进行处理，一般2小时内解决故障问题，重大故障3小时内解决故障问题；且售后服务体系有3名及以上技术人员联系人及电话的得6分；</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此项最高不超过6分。</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质保期</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4分</w:t>
            </w:r>
          </w:p>
        </w:tc>
        <w:tc>
          <w:tcPr>
            <w:tcW w:w="552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满足招标文件要求的基础分为2分，每增加一年加1分，满分4分</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备品备件</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依据招标文件货物参数的要求结合投标人产品性能情况，无偿提供的备品备件齐全，能满足采购人一年使用的得1分；投标人每增加一年得1分，总分为3分。</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9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商务评分标 准（8分）</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业绩</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提供近三年类似项目的业绩证明(需中标通知书或合同复印件)；每提供一个得1分，共3分；以上资料清晰可见，开标时携带业绩原件备查未提供着不得分。</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履约供货能力</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5分</w:t>
            </w:r>
          </w:p>
        </w:tc>
        <w:tc>
          <w:tcPr>
            <w:tcW w:w="552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供货期满足招标文件要求的得3分；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提前</w:t>
            </w:r>
            <w:r>
              <w:rPr>
                <w:rFonts w:hint="eastAsia" w:ascii="微软雅黑" w:hAnsi="微软雅黑" w:eastAsia="微软雅黑" w:cs="微软雅黑"/>
                <w:color w:val="auto"/>
                <w:kern w:val="2"/>
                <w:sz w:val="18"/>
                <w:szCs w:val="18"/>
                <w:highlight w:val="none"/>
                <w:lang w:val="en-US" w:eastAsia="zh-CN" w:bidi="ar-SA"/>
              </w:rPr>
              <w:t>3</w:t>
            </w:r>
            <w:r>
              <w:rPr>
                <w:rFonts w:hint="default" w:ascii="微软雅黑" w:hAnsi="微软雅黑" w:eastAsia="微软雅黑" w:cs="微软雅黑"/>
                <w:color w:val="auto"/>
                <w:kern w:val="2"/>
                <w:sz w:val="18"/>
                <w:szCs w:val="18"/>
                <w:highlight w:val="none"/>
                <w:lang w:val="en-US" w:eastAsia="zh-CN" w:bidi="ar-SA"/>
              </w:rPr>
              <w:t>天完工的得4分；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提前</w:t>
            </w:r>
            <w:r>
              <w:rPr>
                <w:rFonts w:hint="eastAsia" w:ascii="微软雅黑" w:hAnsi="微软雅黑" w:eastAsia="微软雅黑" w:cs="微软雅黑"/>
                <w:color w:val="auto"/>
                <w:kern w:val="2"/>
                <w:sz w:val="18"/>
                <w:szCs w:val="18"/>
                <w:highlight w:val="none"/>
                <w:lang w:val="en-US" w:eastAsia="zh-CN" w:bidi="ar-SA"/>
              </w:rPr>
              <w:t>5</w:t>
            </w:r>
            <w:r>
              <w:rPr>
                <w:rFonts w:hint="default" w:ascii="微软雅黑" w:hAnsi="微软雅黑" w:eastAsia="微软雅黑" w:cs="微软雅黑"/>
                <w:color w:val="auto"/>
                <w:kern w:val="2"/>
                <w:sz w:val="18"/>
                <w:szCs w:val="18"/>
                <w:highlight w:val="none"/>
                <w:lang w:val="en-US" w:eastAsia="zh-CN" w:bidi="ar-SA"/>
              </w:rPr>
              <w:t>天完工的得5分；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根据：施工单位针对本项目实际情况，科学、合理地编制安装施工技术方案、运输方案、设备调配、货物进场交接清单，工期安排计划（须详细阐述从设备发货时间-进场安排-</w:t>
            </w:r>
            <w:r>
              <w:rPr>
                <w:rFonts w:hint="eastAsia" w:ascii="微软雅黑" w:hAnsi="微软雅黑" w:eastAsia="微软雅黑" w:cs="微软雅黑"/>
                <w:color w:val="auto"/>
                <w:kern w:val="2"/>
                <w:sz w:val="18"/>
                <w:szCs w:val="18"/>
                <w:highlight w:val="none"/>
                <w:lang w:val="en-US" w:eastAsia="zh-CN" w:bidi="ar-SA"/>
              </w:rPr>
              <w:t>安装</w:t>
            </w:r>
            <w:r>
              <w:rPr>
                <w:rFonts w:hint="default" w:ascii="微软雅黑" w:hAnsi="微软雅黑" w:eastAsia="微软雅黑" w:cs="微软雅黑"/>
                <w:color w:val="auto"/>
                <w:kern w:val="2"/>
                <w:sz w:val="18"/>
                <w:szCs w:val="18"/>
                <w:highlight w:val="none"/>
                <w:lang w:val="en-US" w:eastAsia="zh-CN" w:bidi="ar-SA"/>
              </w:rPr>
              <w:t>各个阶段时间安排 -不可预见突发处理时间-验收时间等）来评定能否提前完工的打分依据。</w:t>
            </w:r>
          </w:p>
        </w:tc>
        <w:tc>
          <w:tcPr>
            <w:tcW w:w="161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bl>
    <w:p>
      <w:pPr>
        <w:pStyle w:val="21"/>
        <w:rPr>
          <w:rFonts w:hint="eastAsia" w:ascii="微软雅黑" w:hAnsi="微软雅黑" w:eastAsia="微软雅黑" w:cs="微软雅黑"/>
          <w:color w:val="auto"/>
        </w:rPr>
      </w:pPr>
    </w:p>
    <w:p>
      <w:pPr>
        <w:pStyle w:val="21"/>
        <w:rPr>
          <w:rFonts w:hint="eastAsia" w:ascii="微软雅黑" w:hAnsi="微软雅黑" w:eastAsia="微软雅黑" w:cs="微软雅黑"/>
          <w:color w:val="auto"/>
          <w:lang w:val="en-US" w:eastAsia="zh-CN"/>
        </w:rPr>
      </w:pPr>
    </w:p>
    <w:p>
      <w:pPr>
        <w:pStyle w:val="21"/>
        <w:rPr>
          <w:rFonts w:hint="eastAsia" w:ascii="微软雅黑" w:hAnsi="微软雅黑" w:eastAsia="微软雅黑" w:cs="微软雅黑"/>
          <w:color w:val="auto"/>
          <w:lang w:val="en-US" w:eastAsia="zh-CN"/>
        </w:rPr>
      </w:pPr>
    </w:p>
    <w:p>
      <w:pPr>
        <w:pStyle w:val="21"/>
        <w:rPr>
          <w:rFonts w:hint="eastAsia" w:ascii="微软雅黑" w:hAnsi="微软雅黑" w:eastAsia="微软雅黑" w:cs="微软雅黑"/>
          <w:color w:val="auto"/>
          <w:lang w:val="en-US"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p>
    <w:p>
      <w:pPr>
        <w:spacing w:line="240" w:lineRule="atLeast"/>
        <w:jc w:val="center"/>
        <w:rPr>
          <w:rFonts w:hint="eastAsia" w:ascii="微软雅黑" w:hAnsi="微软雅黑" w:eastAsia="微软雅黑" w:cs="微软雅黑"/>
          <w:b/>
          <w:bCs/>
          <w:color w:val="auto"/>
          <w:sz w:val="44"/>
          <w:szCs w:val="44"/>
          <w:lang w:eastAsia="zh-CN"/>
        </w:rPr>
      </w:pPr>
      <w:r>
        <w:rPr>
          <w:rFonts w:hint="eastAsia" w:ascii="微软雅黑" w:hAnsi="微软雅黑" w:eastAsia="微软雅黑" w:cs="微软雅黑"/>
          <w:b/>
          <w:bCs/>
          <w:color w:val="auto"/>
          <w:sz w:val="44"/>
          <w:szCs w:val="44"/>
          <w:lang w:eastAsia="zh-CN"/>
        </w:rPr>
        <w:t>喀什中医医院感染科医疗设备采购项目</w:t>
      </w:r>
    </w:p>
    <w:p>
      <w:pPr>
        <w:spacing w:line="240" w:lineRule="atLeast"/>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招 标 文 件</w:t>
      </w:r>
    </w:p>
    <w:p>
      <w:pPr>
        <w:spacing w:line="240" w:lineRule="atLeast"/>
        <w:jc w:val="center"/>
        <w:rPr>
          <w:rFonts w:hint="eastAsia" w:ascii="微软雅黑" w:hAnsi="微软雅黑" w:eastAsia="微软雅黑" w:cs="微软雅黑"/>
          <w:b/>
          <w:bCs/>
          <w:color w:val="auto"/>
          <w:sz w:val="40"/>
          <w:szCs w:val="40"/>
        </w:rPr>
      </w:pPr>
    </w:p>
    <w:p>
      <w:pPr>
        <w:spacing w:line="240" w:lineRule="atLeast"/>
        <w:jc w:val="center"/>
        <w:rPr>
          <w:rFonts w:hint="eastAsia" w:ascii="微软雅黑" w:hAnsi="微软雅黑" w:eastAsia="微软雅黑" w:cs="微软雅黑"/>
          <w:b/>
          <w:bCs/>
          <w:color w:val="auto"/>
          <w:sz w:val="40"/>
          <w:szCs w:val="40"/>
          <w:lang w:eastAsia="zh-CN"/>
        </w:rPr>
      </w:pPr>
      <w:r>
        <w:rPr>
          <w:rFonts w:hint="eastAsia" w:ascii="微软雅黑" w:hAnsi="微软雅黑" w:eastAsia="微软雅黑" w:cs="微软雅黑"/>
          <w:b/>
          <w:bCs/>
          <w:color w:val="auto"/>
          <w:sz w:val="40"/>
          <w:szCs w:val="40"/>
        </w:rPr>
        <w:t>项目编号：</w:t>
      </w:r>
    </w:p>
    <w:p>
      <w:pPr>
        <w:pStyle w:val="2"/>
        <w:rPr>
          <w:rFonts w:hint="eastAsia" w:ascii="微软雅黑" w:hAnsi="微软雅黑" w:eastAsia="微软雅黑" w:cs="微软雅黑"/>
          <w:color w:val="auto"/>
        </w:rPr>
      </w:pPr>
    </w:p>
    <w:p>
      <w:pPr>
        <w:pStyle w:val="2"/>
        <w:rPr>
          <w:rFonts w:hint="eastAsia" w:ascii="微软雅黑" w:hAnsi="微软雅黑" w:eastAsia="微软雅黑" w:cs="微软雅黑"/>
          <w:color w:val="auto"/>
        </w:rPr>
      </w:pPr>
    </w:p>
    <w:p>
      <w:pPr>
        <w:spacing w:line="240" w:lineRule="atLeast"/>
        <w:jc w:val="center"/>
        <w:outlineLvl w:val="0"/>
        <w:rPr>
          <w:rFonts w:hint="eastAsia" w:ascii="微软雅黑" w:hAnsi="微软雅黑" w:eastAsia="微软雅黑" w:cs="微软雅黑"/>
          <w:b/>
          <w:bCs/>
          <w:color w:val="auto"/>
          <w:sz w:val="40"/>
          <w:szCs w:val="40"/>
        </w:rPr>
      </w:pPr>
      <w:bookmarkStart w:id="901" w:name="_Toc5580"/>
      <w:bookmarkStart w:id="902" w:name="_Toc30135"/>
      <w:bookmarkStart w:id="903" w:name="_Toc29605"/>
      <w:bookmarkStart w:id="904" w:name="_Toc25236"/>
      <w:bookmarkStart w:id="905" w:name="_Toc18037"/>
      <w:bookmarkStart w:id="906" w:name="_Toc20854"/>
      <w:bookmarkStart w:id="907" w:name="_Toc997"/>
      <w:bookmarkStart w:id="908" w:name="_Toc4043"/>
      <w:bookmarkStart w:id="909" w:name="_Toc11428"/>
      <w:bookmarkStart w:id="910" w:name="_Toc16427"/>
      <w:bookmarkStart w:id="911" w:name="_Toc11667"/>
      <w:bookmarkStart w:id="912" w:name="_Toc21588"/>
      <w:bookmarkStart w:id="913" w:name="_Toc2497"/>
      <w:bookmarkStart w:id="914" w:name="_Toc20321"/>
      <w:bookmarkStart w:id="915" w:name="_Toc10296"/>
      <w:bookmarkStart w:id="916" w:name="_Toc8709"/>
      <w:bookmarkStart w:id="917" w:name="_Toc27374"/>
      <w:bookmarkStart w:id="918" w:name="_Toc14344"/>
      <w:bookmarkStart w:id="919" w:name="_Toc14078"/>
      <w:bookmarkStart w:id="920" w:name="_Toc21397"/>
      <w:r>
        <w:rPr>
          <w:rFonts w:hint="eastAsia" w:ascii="微软雅黑" w:hAnsi="微软雅黑" w:eastAsia="微软雅黑" w:cs="微软雅黑"/>
          <w:b/>
          <w:bCs/>
          <w:color w:val="auto"/>
          <w:sz w:val="40"/>
          <w:szCs w:val="40"/>
        </w:rPr>
        <w:t>第 三 册</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pPr>
        <w:spacing w:line="240" w:lineRule="atLeast"/>
        <w:jc w:val="center"/>
        <w:rPr>
          <w:rFonts w:hint="eastAsia" w:ascii="微软雅黑" w:hAnsi="微软雅黑" w:eastAsia="微软雅黑" w:cs="微软雅黑"/>
          <w:b/>
          <w:bCs/>
          <w:color w:val="auto"/>
          <w:sz w:val="32"/>
          <w:szCs w:val="32"/>
        </w:rPr>
      </w:pPr>
    </w:p>
    <w:p>
      <w:pPr>
        <w:spacing w:line="240" w:lineRule="atLeast"/>
        <w:ind w:left="1080" w:leftChars="257" w:hanging="540"/>
        <w:jc w:val="center"/>
        <w:rPr>
          <w:rFonts w:hint="eastAsia" w:ascii="微软雅黑" w:hAnsi="微软雅黑" w:eastAsia="微软雅黑" w:cs="微软雅黑"/>
          <w:b/>
          <w:bCs/>
          <w:color w:val="auto"/>
          <w:sz w:val="52"/>
          <w:szCs w:val="52"/>
        </w:rPr>
      </w:pPr>
    </w:p>
    <w:p>
      <w:pPr>
        <w:spacing w:line="240" w:lineRule="atLeast"/>
        <w:ind w:left="1080" w:leftChars="257" w:hanging="540"/>
        <w:jc w:val="center"/>
        <w:rPr>
          <w:rFonts w:hint="eastAsia" w:ascii="微软雅黑" w:hAnsi="微软雅黑" w:eastAsia="微软雅黑" w:cs="微软雅黑"/>
          <w:b/>
          <w:bCs/>
          <w:color w:val="auto"/>
          <w:sz w:val="52"/>
          <w:szCs w:val="52"/>
        </w:rPr>
      </w:pPr>
    </w:p>
    <w:p>
      <w:pPr>
        <w:spacing w:line="240" w:lineRule="atLeast"/>
        <w:rPr>
          <w:rFonts w:hint="eastAsia" w:ascii="微软雅黑" w:hAnsi="微软雅黑" w:eastAsia="微软雅黑" w:cs="微软雅黑"/>
          <w:b/>
          <w:bCs/>
          <w:color w:val="auto"/>
          <w:sz w:val="52"/>
          <w:szCs w:val="52"/>
        </w:rPr>
        <w:sectPr>
          <w:pgSz w:w="11905" w:h="16838"/>
          <w:pgMar w:top="1440" w:right="1797" w:bottom="1440" w:left="1797" w:header="851" w:footer="992" w:gutter="0"/>
          <w:pgNumType w:fmt="decimal"/>
          <w:cols w:space="0" w:num="1"/>
          <w:rtlGutter w:val="0"/>
          <w:docGrid w:linePitch="462" w:charSpace="0"/>
        </w:sectPr>
      </w:pPr>
    </w:p>
    <w:bookmarkEnd w:id="900"/>
    <w:p>
      <w:pPr>
        <w:pStyle w:val="3"/>
        <w:rPr>
          <w:rFonts w:hint="eastAsia" w:ascii="微软雅黑" w:hAnsi="微软雅黑" w:eastAsia="微软雅黑" w:cs="微软雅黑"/>
          <w:color w:val="auto"/>
        </w:rPr>
      </w:pPr>
      <w:bookmarkStart w:id="921" w:name="_Toc6865"/>
      <w:bookmarkStart w:id="922" w:name="_Toc12524"/>
      <w:bookmarkStart w:id="923" w:name="_Toc515647833"/>
      <w:bookmarkStart w:id="924" w:name="_Toc4796"/>
      <w:bookmarkStart w:id="925" w:name="_Toc12089"/>
      <w:r>
        <w:rPr>
          <w:rFonts w:hint="eastAsia" w:ascii="微软雅黑" w:hAnsi="微软雅黑" w:eastAsia="微软雅黑" w:cs="微软雅黑"/>
          <w:color w:val="auto"/>
        </w:rPr>
        <w:t>第7章 政府采购合同</w:t>
      </w:r>
      <w:bookmarkEnd w:id="921"/>
      <w:bookmarkEnd w:id="922"/>
      <w:bookmarkEnd w:id="923"/>
      <w:bookmarkEnd w:id="924"/>
      <w:bookmarkEnd w:id="925"/>
      <w:bookmarkStart w:id="926" w:name="_Hlt487972895"/>
      <w:bookmarkEnd w:id="926"/>
      <w:bookmarkStart w:id="927" w:name="_Toc216513788"/>
      <w:bookmarkStart w:id="928" w:name="_Toc487900382"/>
    </w:p>
    <w:bookmarkEnd w:id="927"/>
    <w:bookmarkEnd w:id="928"/>
    <w:p>
      <w:pPr>
        <w:rPr>
          <w:rFonts w:hint="eastAsia" w:ascii="微软雅黑" w:hAnsi="微软雅黑" w:eastAsia="微软雅黑" w:cs="微软雅黑"/>
          <w:color w:val="auto"/>
        </w:rPr>
      </w:pPr>
    </w:p>
    <w:p>
      <w:pPr>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 xml:space="preserve">合同编号：   </w:t>
      </w:r>
      <w:r>
        <w:rPr>
          <w:rFonts w:hint="eastAsia" w:ascii="微软雅黑" w:hAnsi="微软雅黑" w:eastAsia="微软雅黑" w:cs="微软雅黑"/>
          <w:color w:val="auto"/>
        </w:rPr>
        <w:t xml:space="preserve">        </w:t>
      </w: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spacing w:line="500" w:lineRule="exact"/>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政府采购合同参考范本</w:t>
      </w:r>
    </w:p>
    <w:p>
      <w:pPr>
        <w:spacing w:line="500" w:lineRule="exact"/>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（货物类）</w:t>
      </w: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47"/>
        <w:spacing w:line="360" w:lineRule="exact"/>
        <w:ind w:firstLine="0"/>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第一部分 合同书</w:t>
      </w:r>
    </w:p>
    <w:p>
      <w:pPr>
        <w:rPr>
          <w:rFonts w:hint="eastAsia" w:ascii="微软雅黑" w:hAnsi="微软雅黑" w:eastAsia="微软雅黑" w:cs="微软雅黑"/>
          <w:color w:val="auto"/>
        </w:rPr>
      </w:pPr>
    </w:p>
    <w:p>
      <w:pPr>
        <w:spacing w:before="120" w:line="360" w:lineRule="exact"/>
        <w:ind w:left="9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u w:val="single"/>
        </w:rPr>
        <w:t xml:space="preserve">                                   </w:t>
      </w:r>
    </w:p>
    <w:p>
      <w:pPr>
        <w:pStyle w:val="48"/>
        <w:spacing w:before="120" w:line="360" w:lineRule="exact"/>
        <w:rPr>
          <w:rFonts w:hint="eastAsia" w:ascii="微软雅黑" w:hAnsi="微软雅黑" w:eastAsia="微软雅黑" w:cs="微软雅黑"/>
          <w:color w:val="auto"/>
        </w:rPr>
      </w:pPr>
    </w:p>
    <w:p>
      <w:pPr>
        <w:pStyle w:val="48"/>
        <w:spacing w:before="120" w:line="360" w:lineRule="exact"/>
        <w:rPr>
          <w:rFonts w:hint="eastAsia" w:ascii="微软雅黑" w:hAnsi="微软雅黑" w:eastAsia="微软雅黑" w:cs="微软雅黑"/>
          <w:color w:val="auto"/>
        </w:rPr>
      </w:pPr>
    </w:p>
    <w:p>
      <w:pPr>
        <w:spacing w:line="360" w:lineRule="exact"/>
        <w:rPr>
          <w:rFonts w:hint="eastAsia" w:ascii="微软雅黑" w:hAnsi="微软雅黑" w:eastAsia="微软雅黑" w:cs="微软雅黑"/>
          <w:color w:val="auto"/>
        </w:rPr>
      </w:pPr>
    </w:p>
    <w:p>
      <w:pPr>
        <w:spacing w:before="120" w:line="360" w:lineRule="exact"/>
        <w:ind w:left="96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甲方：</w:t>
      </w:r>
      <w:r>
        <w:rPr>
          <w:rFonts w:hint="eastAsia" w:ascii="微软雅黑" w:hAnsi="微软雅黑" w:eastAsia="微软雅黑" w:cs="微软雅黑"/>
          <w:color w:val="auto"/>
          <w:sz w:val="24"/>
          <w:szCs w:val="24"/>
          <w:u w:val="single"/>
        </w:rPr>
        <w:t xml:space="preserve">                                       </w:t>
      </w:r>
    </w:p>
    <w:p>
      <w:pPr>
        <w:spacing w:before="120" w:line="360" w:lineRule="exact"/>
        <w:rPr>
          <w:rFonts w:hint="eastAsia" w:ascii="微软雅黑" w:hAnsi="微软雅黑" w:eastAsia="微软雅黑" w:cs="微软雅黑"/>
          <w:color w:val="auto"/>
          <w:sz w:val="24"/>
          <w:szCs w:val="24"/>
        </w:rPr>
      </w:pPr>
    </w:p>
    <w:p>
      <w:pPr>
        <w:spacing w:before="120" w:line="360" w:lineRule="exact"/>
        <w:ind w:left="96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乙方：</w:t>
      </w:r>
      <w:r>
        <w:rPr>
          <w:rFonts w:hint="eastAsia" w:ascii="微软雅黑" w:hAnsi="微软雅黑" w:eastAsia="微软雅黑" w:cs="微软雅黑"/>
          <w:color w:val="auto"/>
          <w:sz w:val="24"/>
          <w:szCs w:val="24"/>
          <w:u w:val="single"/>
        </w:rPr>
        <w:t xml:space="preserve">                                       </w:t>
      </w:r>
    </w:p>
    <w:p>
      <w:pPr>
        <w:spacing w:before="120" w:line="360" w:lineRule="exact"/>
        <w:rPr>
          <w:rFonts w:hint="eastAsia" w:ascii="微软雅黑" w:hAnsi="微软雅黑" w:eastAsia="微软雅黑" w:cs="微软雅黑"/>
          <w:color w:val="auto"/>
          <w:sz w:val="24"/>
          <w:szCs w:val="24"/>
        </w:rPr>
      </w:pPr>
    </w:p>
    <w:p>
      <w:pPr>
        <w:spacing w:before="120" w:line="360" w:lineRule="exact"/>
        <w:ind w:firstLine="960" w:firstLineChars="4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签订地：</w:t>
      </w:r>
      <w:r>
        <w:rPr>
          <w:rFonts w:hint="eastAsia" w:ascii="微软雅黑" w:hAnsi="微软雅黑" w:eastAsia="微软雅黑" w:cs="微软雅黑"/>
          <w:color w:val="auto"/>
          <w:sz w:val="24"/>
          <w:szCs w:val="24"/>
          <w:u w:val="single"/>
        </w:rPr>
        <w:t xml:space="preserve">                                     </w:t>
      </w:r>
    </w:p>
    <w:p>
      <w:pPr>
        <w:spacing w:before="120" w:line="360" w:lineRule="exact"/>
        <w:rPr>
          <w:rFonts w:hint="eastAsia" w:ascii="微软雅黑" w:hAnsi="微软雅黑" w:eastAsia="微软雅黑" w:cs="微软雅黑"/>
          <w:color w:val="auto"/>
          <w:sz w:val="24"/>
          <w:szCs w:val="24"/>
        </w:rPr>
      </w:pPr>
    </w:p>
    <w:p>
      <w:pPr>
        <w:spacing w:before="120" w:line="360" w:lineRule="exact"/>
        <w:ind w:firstLine="960" w:firstLineChars="4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签订日期：</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w:t>
      </w:r>
    </w:p>
    <w:p>
      <w:pPr>
        <w:autoSpaceDE w:val="0"/>
        <w:autoSpaceDN w:val="0"/>
        <w:adjustRightInd w:val="0"/>
        <w:spacing w:line="360" w:lineRule="exact"/>
        <w:ind w:firstLine="640"/>
        <w:jc w:val="center"/>
        <w:rPr>
          <w:rFonts w:hint="eastAsia" w:ascii="微软雅黑" w:hAnsi="微软雅黑" w:eastAsia="微软雅黑" w:cs="微软雅黑"/>
          <w:color w:val="auto"/>
          <w:sz w:val="24"/>
          <w:szCs w:val="24"/>
        </w:rPr>
        <w:sectPr>
          <w:footerReference r:id="rId7" w:type="default"/>
          <w:pgSz w:w="11905" w:h="16838"/>
          <w:pgMar w:top="1440" w:right="1797" w:bottom="1440" w:left="1797" w:header="851" w:footer="992" w:gutter="0"/>
          <w:pgNumType w:fmt="decimal"/>
          <w:cols w:space="0" w:num="1"/>
          <w:rtlGutter w:val="0"/>
          <w:docGrid w:linePitch="462" w:charSpace="0"/>
        </w:sectPr>
      </w:pPr>
    </w:p>
    <w:p>
      <w:pPr>
        <w:spacing w:line="360" w:lineRule="exact"/>
        <w:ind w:firstLine="480" w:firstLineChars="200"/>
        <w:rPr>
          <w:rFonts w:hint="eastAsia" w:ascii="微软雅黑" w:hAnsi="微软雅黑" w:eastAsia="微软雅黑" w:cs="微软雅黑"/>
          <w:color w:val="auto"/>
          <w:sz w:val="24"/>
          <w:szCs w:val="24"/>
        </w:rPr>
      </w:pPr>
      <w:bookmarkStart w:id="929" w:name="_Toc24059"/>
      <w:bookmarkStart w:id="930" w:name="_Toc26721"/>
      <w:bookmarkStart w:id="931" w:name="_Toc3029"/>
      <w:bookmarkStart w:id="932" w:name="_Toc2659"/>
      <w:bookmarkStart w:id="933" w:name="_Toc2232"/>
      <w:bookmarkStart w:id="934" w:name="_Toc1846"/>
      <w:r>
        <w:rPr>
          <w:rFonts w:hint="eastAsia" w:ascii="微软雅黑" w:hAnsi="微软雅黑" w:eastAsia="微软雅黑" w:cs="微软雅黑"/>
          <w:color w:val="auto"/>
          <w:sz w:val="24"/>
          <w:szCs w:val="24"/>
          <w:u w:val="single"/>
          <w:lang w:val="zh-CN"/>
        </w:rPr>
        <w:t xml:space="preserve">        </w:t>
      </w:r>
      <w:r>
        <w:rPr>
          <w:rFonts w:hint="eastAsia" w:ascii="微软雅黑" w:hAnsi="微软雅黑" w:eastAsia="微软雅黑" w:cs="微软雅黑"/>
          <w:color w:val="auto"/>
          <w:sz w:val="24"/>
          <w:szCs w:val="24"/>
          <w:lang w:val="zh-CN"/>
        </w:rPr>
        <w:t>年</w:t>
      </w:r>
      <w:r>
        <w:rPr>
          <w:rFonts w:hint="eastAsia" w:ascii="微软雅黑" w:hAnsi="微软雅黑" w:eastAsia="微软雅黑" w:cs="微软雅黑"/>
          <w:color w:val="auto"/>
          <w:sz w:val="24"/>
          <w:szCs w:val="24"/>
          <w:u w:val="single"/>
          <w:lang w:val="zh-CN"/>
        </w:rPr>
        <w:t xml:space="preserve">    </w:t>
      </w:r>
      <w:r>
        <w:rPr>
          <w:rFonts w:hint="eastAsia" w:ascii="微软雅黑" w:hAnsi="微软雅黑" w:eastAsia="微软雅黑" w:cs="微软雅黑"/>
          <w:color w:val="auto"/>
          <w:sz w:val="24"/>
          <w:szCs w:val="24"/>
          <w:lang w:val="zh-CN"/>
        </w:rPr>
        <w:t>月</w:t>
      </w:r>
      <w:r>
        <w:rPr>
          <w:rFonts w:hint="eastAsia" w:ascii="微软雅黑" w:hAnsi="微软雅黑" w:eastAsia="微软雅黑" w:cs="微软雅黑"/>
          <w:color w:val="auto"/>
          <w:sz w:val="24"/>
          <w:szCs w:val="24"/>
          <w:u w:val="single"/>
          <w:lang w:val="zh-CN"/>
        </w:rPr>
        <w:t xml:space="preserve">    </w:t>
      </w:r>
      <w:r>
        <w:rPr>
          <w:rFonts w:hint="eastAsia" w:ascii="微软雅黑" w:hAnsi="微软雅黑" w:eastAsia="微软雅黑" w:cs="微软雅黑"/>
          <w:color w:val="auto"/>
          <w:sz w:val="24"/>
          <w:szCs w:val="24"/>
          <w:lang w:val="zh-CN"/>
        </w:rPr>
        <w:t>日</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（采购人名称）   </w:t>
      </w:r>
      <w:r>
        <w:rPr>
          <w:rFonts w:hint="eastAsia" w:ascii="微软雅黑" w:hAnsi="微软雅黑" w:eastAsia="微软雅黑" w:cs="微软雅黑"/>
          <w:color w:val="auto"/>
          <w:sz w:val="24"/>
          <w:szCs w:val="24"/>
        </w:rPr>
        <w:t>以</w:t>
      </w:r>
      <w:r>
        <w:rPr>
          <w:rFonts w:hint="eastAsia" w:ascii="微软雅黑" w:hAnsi="微软雅黑" w:eastAsia="微软雅黑" w:cs="微软雅黑"/>
          <w:color w:val="auto"/>
          <w:sz w:val="24"/>
          <w:szCs w:val="24"/>
          <w:u w:val="single"/>
        </w:rPr>
        <w:t xml:space="preserve">   （政府采购方式）  </w:t>
      </w:r>
      <w:r>
        <w:rPr>
          <w:rFonts w:hint="eastAsia" w:ascii="微软雅黑" w:hAnsi="微软雅黑" w:eastAsia="微软雅黑" w:cs="微软雅黑"/>
          <w:color w:val="auto"/>
          <w:sz w:val="24"/>
          <w:szCs w:val="24"/>
        </w:rPr>
        <w:t>对</w:t>
      </w:r>
      <w:r>
        <w:rPr>
          <w:rFonts w:hint="eastAsia" w:ascii="微软雅黑" w:hAnsi="微软雅黑" w:eastAsia="微软雅黑" w:cs="微软雅黑"/>
          <w:color w:val="auto"/>
          <w:sz w:val="24"/>
          <w:szCs w:val="24"/>
          <w:u w:val="single"/>
        </w:rPr>
        <w:t xml:space="preserve">   （同前页项目名称）   </w:t>
      </w:r>
      <w:r>
        <w:rPr>
          <w:rFonts w:hint="eastAsia" w:ascii="微软雅黑" w:hAnsi="微软雅黑" w:eastAsia="微软雅黑" w:cs="微软雅黑"/>
          <w:color w:val="auto"/>
          <w:sz w:val="24"/>
          <w:szCs w:val="24"/>
        </w:rPr>
        <w:t>项目进行了采购。经</w:t>
      </w:r>
      <w:r>
        <w:rPr>
          <w:rFonts w:hint="eastAsia" w:ascii="微软雅黑" w:hAnsi="微软雅黑" w:eastAsia="微软雅黑" w:cs="微软雅黑"/>
          <w:color w:val="auto"/>
          <w:sz w:val="24"/>
          <w:szCs w:val="24"/>
          <w:u w:val="single"/>
        </w:rPr>
        <w:t xml:space="preserve">   （相关评定主体名称）   </w:t>
      </w:r>
      <w:r>
        <w:rPr>
          <w:rFonts w:hint="eastAsia" w:ascii="微软雅黑" w:hAnsi="微软雅黑" w:eastAsia="微软雅黑" w:cs="微软雅黑"/>
          <w:color w:val="auto"/>
          <w:sz w:val="24"/>
          <w:szCs w:val="24"/>
        </w:rPr>
        <w:t>评定，</w:t>
      </w:r>
      <w:r>
        <w:rPr>
          <w:rFonts w:hint="eastAsia" w:ascii="微软雅黑" w:hAnsi="微软雅黑" w:eastAsia="微软雅黑" w:cs="微软雅黑"/>
          <w:color w:val="auto"/>
          <w:sz w:val="24"/>
          <w:szCs w:val="24"/>
          <w:u w:val="single"/>
        </w:rPr>
        <w:t xml:space="preserve">   （中标供应商名称）</w:t>
      </w:r>
      <w:r>
        <w:rPr>
          <w:rFonts w:hint="eastAsia" w:ascii="微软雅黑" w:hAnsi="微软雅黑" w:eastAsia="微软雅黑" w:cs="微软雅黑"/>
          <w:color w:val="auto"/>
          <w:sz w:val="24"/>
          <w:szCs w:val="24"/>
        </w:rPr>
        <w:t>为该项目中标供应商。现于中标通知书发出之日起三十日内，按照采购文件确定的事项签订本合同。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zh-CN"/>
        </w:rPr>
        <w:t>根据《中华人民共和国民法典》、《中华人民共和国政府采购法》等相关法律法规之规定，按照平等、自愿、公平和诚实信用的原则，经</w:t>
      </w:r>
      <w:r>
        <w:rPr>
          <w:rFonts w:hint="eastAsia" w:ascii="微软雅黑" w:hAnsi="微软雅黑" w:eastAsia="微软雅黑" w:cs="微软雅黑"/>
          <w:color w:val="auto"/>
          <w:sz w:val="24"/>
          <w:szCs w:val="24"/>
          <w:u w:val="single"/>
        </w:rPr>
        <w:t xml:space="preserve">   （采购人名称）   </w:t>
      </w:r>
      <w:r>
        <w:rPr>
          <w:rFonts w:hint="eastAsia" w:ascii="微软雅黑" w:hAnsi="微软雅黑" w:eastAsia="微软雅黑" w:cs="微软雅黑"/>
          <w:color w:val="auto"/>
          <w:sz w:val="24"/>
          <w:szCs w:val="24"/>
          <w:lang w:val="zh-CN"/>
        </w:rPr>
        <w:t>(以下简称：甲方)和</w:t>
      </w:r>
      <w:r>
        <w:rPr>
          <w:rFonts w:hint="eastAsia" w:ascii="微软雅黑" w:hAnsi="微软雅黑" w:eastAsia="微软雅黑" w:cs="微软雅黑"/>
          <w:color w:val="auto"/>
          <w:sz w:val="24"/>
          <w:szCs w:val="24"/>
          <w:u w:val="single"/>
        </w:rPr>
        <w:t xml:space="preserve">   （中标供应商名称）   </w:t>
      </w:r>
      <w:r>
        <w:rPr>
          <w:rFonts w:hint="eastAsia" w:ascii="微软雅黑" w:hAnsi="微软雅黑" w:eastAsia="微软雅黑" w:cs="微软雅黑"/>
          <w:color w:val="auto"/>
          <w:sz w:val="24"/>
          <w:szCs w:val="24"/>
          <w:lang w:val="zh-CN"/>
        </w:rPr>
        <w:t>(以下简称：乙方)协商一致，约定以下合同</w:t>
      </w:r>
      <w:r>
        <w:rPr>
          <w:rFonts w:hint="eastAsia" w:ascii="微软雅黑" w:hAnsi="微软雅黑" w:eastAsia="微软雅黑" w:cs="微软雅黑"/>
          <w:color w:val="auto"/>
          <w:sz w:val="24"/>
          <w:szCs w:val="24"/>
        </w:rPr>
        <w:t>条款，以兹共同遵守、全面履行。</w:t>
      </w:r>
    </w:p>
    <w:bookmarkEnd w:id="929"/>
    <w:bookmarkEnd w:id="930"/>
    <w:bookmarkEnd w:id="931"/>
    <w:bookmarkEnd w:id="932"/>
    <w:bookmarkEnd w:id="933"/>
    <w:bookmarkEnd w:id="934"/>
    <w:p>
      <w:pPr>
        <w:spacing w:line="360" w:lineRule="exact"/>
        <w:ind w:firstLine="480" w:firstLineChars="200"/>
        <w:outlineLvl w:val="0"/>
        <w:rPr>
          <w:rFonts w:hint="eastAsia" w:ascii="微软雅黑" w:hAnsi="微软雅黑" w:eastAsia="微软雅黑" w:cs="微软雅黑"/>
          <w:b/>
          <w:bCs/>
          <w:color w:val="auto"/>
          <w:sz w:val="24"/>
          <w:szCs w:val="24"/>
        </w:rPr>
      </w:pPr>
      <w:bookmarkStart w:id="935" w:name="_Toc15812"/>
      <w:bookmarkStart w:id="936" w:name="_Toc18247"/>
      <w:bookmarkStart w:id="937" w:name="_Toc2048"/>
      <w:bookmarkStart w:id="938" w:name="_Toc24186"/>
      <w:bookmarkStart w:id="939" w:name="_Toc416"/>
      <w:bookmarkStart w:id="940" w:name="_Toc27428"/>
      <w:bookmarkStart w:id="941" w:name="_Toc21386"/>
      <w:bookmarkStart w:id="942" w:name="_Toc967"/>
      <w:bookmarkStart w:id="943" w:name="_Toc28090"/>
      <w:bookmarkStart w:id="944" w:name="_Toc30575"/>
      <w:bookmarkStart w:id="945" w:name="_Toc16284"/>
      <w:bookmarkStart w:id="946" w:name="_Toc4751"/>
      <w:bookmarkStart w:id="947" w:name="_Toc4498"/>
      <w:bookmarkStart w:id="948" w:name="_Toc31438"/>
      <w:bookmarkStart w:id="949" w:name="_Toc2992"/>
      <w:bookmarkStart w:id="950" w:name="_Toc25352"/>
      <w:bookmarkStart w:id="951" w:name="_Toc6038"/>
      <w:bookmarkStart w:id="952" w:name="_Toc29751"/>
      <w:bookmarkStart w:id="953" w:name="_Toc1740"/>
      <w:bookmarkStart w:id="954" w:name="_Toc29481"/>
      <w:bookmarkStart w:id="955" w:name="_Toc14766"/>
      <w:bookmarkStart w:id="956" w:name="_Toc27963"/>
      <w:r>
        <w:rPr>
          <w:rFonts w:hint="eastAsia" w:ascii="微软雅黑" w:hAnsi="微软雅黑" w:eastAsia="微软雅黑" w:cs="微软雅黑"/>
          <w:b/>
          <w:bCs/>
          <w:color w:val="auto"/>
          <w:sz w:val="24"/>
          <w:szCs w:val="24"/>
        </w:rPr>
        <w:t>1.1 合同组成部分</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 本合同及其补充合同、变更协议；</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1.1.2 中标通知书；</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1.1.3 投标文件（含澄清或者说明文件）；</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1.1.4 招标文件（含澄清或者修改文件）；</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1.1.5 其他相关采购文件。</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957" w:name="_Toc1446"/>
      <w:bookmarkStart w:id="958" w:name="_Toc14235"/>
      <w:bookmarkStart w:id="959" w:name="_Toc24413"/>
      <w:bookmarkStart w:id="960" w:name="_Toc21295"/>
      <w:bookmarkStart w:id="961" w:name="_Toc13138"/>
      <w:bookmarkStart w:id="962" w:name="_Toc2579"/>
      <w:bookmarkStart w:id="963" w:name="_Toc32674"/>
      <w:bookmarkStart w:id="964" w:name="_Toc9006"/>
      <w:bookmarkStart w:id="965" w:name="_Toc11238"/>
      <w:bookmarkStart w:id="966" w:name="_Toc25402"/>
      <w:bookmarkStart w:id="967" w:name="_Toc21690"/>
      <w:bookmarkStart w:id="968" w:name="_Toc19432"/>
      <w:bookmarkStart w:id="969" w:name="_Toc8631"/>
      <w:bookmarkStart w:id="970" w:name="_Toc4735"/>
      <w:bookmarkStart w:id="971" w:name="_Toc27318"/>
      <w:bookmarkStart w:id="972" w:name="_Toc7977"/>
      <w:bookmarkStart w:id="973" w:name="_Toc21217"/>
      <w:bookmarkStart w:id="974" w:name="_Toc24300"/>
      <w:bookmarkStart w:id="975" w:name="_Toc27126"/>
      <w:bookmarkStart w:id="976" w:name="_Toc31632"/>
      <w:bookmarkStart w:id="977" w:name="_Toc31638"/>
      <w:bookmarkStart w:id="978" w:name="_Toc22143"/>
      <w:bookmarkStart w:id="979" w:name="_Toc17543"/>
      <w:bookmarkStart w:id="980" w:name="_Toc19593"/>
      <w:bookmarkStart w:id="981" w:name="_Toc15345"/>
      <w:bookmarkStart w:id="982" w:name="_Toc25735"/>
      <w:bookmarkStart w:id="983" w:name="_Toc21149"/>
      <w:bookmarkStart w:id="984" w:name="_Toc5906"/>
      <w:r>
        <w:rPr>
          <w:rFonts w:hint="eastAsia" w:ascii="微软雅黑" w:hAnsi="微软雅黑" w:eastAsia="微软雅黑" w:cs="微软雅黑"/>
          <w:b/>
          <w:bCs/>
          <w:color w:val="auto"/>
          <w:sz w:val="24"/>
          <w:szCs w:val="24"/>
        </w:rPr>
        <w:t>1.2 货物</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pPr>
        <w:spacing w:line="36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1.2.1 货物名称：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1.2.2 货物数量：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1.2.3 货物质量：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985" w:name="_Toc25368"/>
      <w:bookmarkStart w:id="986" w:name="_Toc21631"/>
      <w:bookmarkStart w:id="987" w:name="_Toc1528"/>
      <w:bookmarkStart w:id="988" w:name="_Toc21040"/>
      <w:bookmarkStart w:id="989" w:name="_Toc16998"/>
      <w:bookmarkStart w:id="990" w:name="_Toc9364"/>
      <w:bookmarkStart w:id="991" w:name="_Toc12266"/>
      <w:bookmarkStart w:id="992" w:name="_Toc1267"/>
      <w:bookmarkStart w:id="993" w:name="_Toc13898"/>
      <w:bookmarkStart w:id="994" w:name="_Toc9271"/>
      <w:bookmarkStart w:id="995" w:name="_Toc30755"/>
      <w:bookmarkStart w:id="996" w:name="_Toc31994"/>
      <w:bookmarkStart w:id="997" w:name="_Toc15729"/>
      <w:bookmarkStart w:id="998" w:name="_Toc23292"/>
      <w:bookmarkStart w:id="999" w:name="_Toc633"/>
      <w:bookmarkStart w:id="1000" w:name="_Toc8386"/>
      <w:bookmarkStart w:id="1001" w:name="_Toc30667"/>
      <w:bookmarkStart w:id="1002" w:name="_Toc19682"/>
      <w:bookmarkStart w:id="1003" w:name="_Toc11463"/>
      <w:bookmarkStart w:id="1004" w:name="_Toc3756"/>
      <w:bookmarkStart w:id="1005" w:name="_Toc2897"/>
      <w:bookmarkStart w:id="1006" w:name="_Toc9579"/>
      <w:bookmarkStart w:id="1007" w:name="_Toc27282"/>
      <w:bookmarkStart w:id="1008" w:name="_Toc6581"/>
      <w:bookmarkStart w:id="1009" w:name="_Toc11045"/>
      <w:bookmarkStart w:id="1010" w:name="_Toc29540"/>
      <w:bookmarkStart w:id="1011" w:name="_Toc21551"/>
      <w:bookmarkStart w:id="1012" w:name="_Toc10942"/>
      <w:r>
        <w:rPr>
          <w:rFonts w:hint="eastAsia" w:ascii="微软雅黑" w:hAnsi="微软雅黑" w:eastAsia="微软雅黑" w:cs="微软雅黑"/>
          <w:b/>
          <w:bCs/>
          <w:color w:val="auto"/>
          <w:sz w:val="24"/>
          <w:szCs w:val="24"/>
        </w:rPr>
        <w:t>1.3 价款</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本合同总价为：￥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元人民币）。</w:t>
      </w:r>
    </w:p>
    <w:p>
      <w:pPr>
        <w:spacing w:line="36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分项价格：</w:t>
      </w:r>
    </w:p>
    <w:tbl>
      <w:tblPr>
        <w:tblStyle w:val="25"/>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9"/>
              <w:spacing w:line="360" w:lineRule="exact"/>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序号</w:t>
            </w:r>
          </w:p>
        </w:tc>
        <w:tc>
          <w:tcPr>
            <w:tcW w:w="3738" w:type="dxa"/>
            <w:vAlign w:val="center"/>
          </w:tcPr>
          <w:p>
            <w:pPr>
              <w:pStyle w:val="49"/>
              <w:spacing w:line="360" w:lineRule="exact"/>
              <w:ind w:firstLine="200"/>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分项名称</w:t>
            </w:r>
          </w:p>
        </w:tc>
        <w:tc>
          <w:tcPr>
            <w:tcW w:w="2803" w:type="dxa"/>
            <w:vAlign w:val="center"/>
          </w:tcPr>
          <w:p>
            <w:pPr>
              <w:pStyle w:val="49"/>
              <w:spacing w:line="360" w:lineRule="exact"/>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9"/>
              <w:spacing w:line="360" w:lineRule="exact"/>
              <w:ind w:firstLine="200"/>
              <w:jc w:val="center"/>
              <w:rPr>
                <w:rFonts w:hint="eastAsia" w:ascii="微软雅黑" w:hAnsi="微软雅黑" w:eastAsia="微软雅黑" w:cs="微软雅黑"/>
                <w:color w:val="auto"/>
                <w:kern w:val="2"/>
                <w:sz w:val="24"/>
                <w:szCs w:val="24"/>
              </w:rPr>
            </w:pPr>
          </w:p>
        </w:tc>
        <w:tc>
          <w:tcPr>
            <w:tcW w:w="3738" w:type="dxa"/>
            <w:vAlign w:val="center"/>
          </w:tcPr>
          <w:p>
            <w:pPr>
              <w:pStyle w:val="49"/>
              <w:spacing w:line="360" w:lineRule="exact"/>
              <w:ind w:firstLine="200"/>
              <w:jc w:val="center"/>
              <w:rPr>
                <w:rFonts w:hint="eastAsia" w:ascii="微软雅黑" w:hAnsi="微软雅黑" w:eastAsia="微软雅黑" w:cs="微软雅黑"/>
                <w:color w:val="auto"/>
                <w:kern w:val="2"/>
                <w:sz w:val="24"/>
                <w:szCs w:val="24"/>
              </w:rPr>
            </w:pPr>
          </w:p>
        </w:tc>
        <w:tc>
          <w:tcPr>
            <w:tcW w:w="2803" w:type="dxa"/>
            <w:vAlign w:val="center"/>
          </w:tcPr>
          <w:p>
            <w:pPr>
              <w:pStyle w:val="49"/>
              <w:spacing w:line="360" w:lineRule="exact"/>
              <w:ind w:firstLine="200"/>
              <w:jc w:val="center"/>
              <w:rPr>
                <w:rFonts w:hint="eastAsia" w:ascii="微软雅黑" w:hAnsi="微软雅黑" w:eastAsia="微软雅黑" w:cs="微软雅黑"/>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9"/>
              <w:spacing w:line="360" w:lineRule="exact"/>
              <w:ind w:firstLine="200"/>
              <w:jc w:val="center"/>
              <w:rPr>
                <w:rFonts w:hint="eastAsia" w:ascii="微软雅黑" w:hAnsi="微软雅黑" w:eastAsia="微软雅黑" w:cs="微软雅黑"/>
                <w:color w:val="auto"/>
                <w:kern w:val="2"/>
                <w:sz w:val="24"/>
                <w:szCs w:val="24"/>
              </w:rPr>
            </w:pPr>
          </w:p>
        </w:tc>
        <w:tc>
          <w:tcPr>
            <w:tcW w:w="3738" w:type="dxa"/>
            <w:vAlign w:val="center"/>
          </w:tcPr>
          <w:p>
            <w:pPr>
              <w:pStyle w:val="49"/>
              <w:spacing w:line="360" w:lineRule="exact"/>
              <w:ind w:firstLine="200"/>
              <w:jc w:val="center"/>
              <w:rPr>
                <w:rFonts w:hint="eastAsia" w:ascii="微软雅黑" w:hAnsi="微软雅黑" w:eastAsia="微软雅黑" w:cs="微软雅黑"/>
                <w:color w:val="auto"/>
                <w:kern w:val="2"/>
                <w:sz w:val="24"/>
                <w:szCs w:val="24"/>
              </w:rPr>
            </w:pPr>
          </w:p>
        </w:tc>
        <w:tc>
          <w:tcPr>
            <w:tcW w:w="2803" w:type="dxa"/>
            <w:vAlign w:val="center"/>
          </w:tcPr>
          <w:p>
            <w:pPr>
              <w:pStyle w:val="49"/>
              <w:spacing w:line="360" w:lineRule="exact"/>
              <w:ind w:firstLine="200"/>
              <w:jc w:val="center"/>
              <w:rPr>
                <w:rFonts w:hint="eastAsia" w:ascii="微软雅黑" w:hAnsi="微软雅黑" w:eastAsia="微软雅黑" w:cs="微软雅黑"/>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49"/>
              <w:spacing w:line="360" w:lineRule="exact"/>
              <w:ind w:firstLine="200"/>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总价</w:t>
            </w:r>
          </w:p>
        </w:tc>
        <w:tc>
          <w:tcPr>
            <w:tcW w:w="2803" w:type="dxa"/>
            <w:vAlign w:val="center"/>
          </w:tcPr>
          <w:p>
            <w:pPr>
              <w:pStyle w:val="49"/>
              <w:spacing w:line="360" w:lineRule="exact"/>
              <w:ind w:firstLine="200"/>
              <w:jc w:val="center"/>
              <w:rPr>
                <w:rFonts w:hint="eastAsia" w:ascii="微软雅黑" w:hAnsi="微软雅黑" w:eastAsia="微软雅黑" w:cs="微软雅黑"/>
                <w:color w:val="auto"/>
                <w:kern w:val="2"/>
                <w:sz w:val="24"/>
                <w:szCs w:val="24"/>
              </w:rPr>
            </w:pPr>
          </w:p>
        </w:tc>
      </w:tr>
    </w:tbl>
    <w:p>
      <w:pPr>
        <w:spacing w:line="360" w:lineRule="exact"/>
        <w:ind w:firstLine="480" w:firstLineChars="200"/>
        <w:outlineLvl w:val="0"/>
        <w:rPr>
          <w:rFonts w:hint="eastAsia" w:ascii="微软雅黑" w:hAnsi="微软雅黑" w:eastAsia="微软雅黑" w:cs="微软雅黑"/>
          <w:b/>
          <w:bCs/>
          <w:color w:val="auto"/>
          <w:sz w:val="24"/>
          <w:szCs w:val="24"/>
        </w:rPr>
      </w:pPr>
      <w:bookmarkStart w:id="1013" w:name="_Toc28773"/>
      <w:bookmarkStart w:id="1014" w:name="_Toc7458"/>
      <w:bookmarkStart w:id="1015" w:name="_Toc19093"/>
      <w:bookmarkStart w:id="1016" w:name="_Toc21854"/>
      <w:bookmarkStart w:id="1017" w:name="_Toc7801"/>
      <w:bookmarkStart w:id="1018" w:name="_Toc21104"/>
      <w:bookmarkStart w:id="1019" w:name="_Toc27654"/>
      <w:bookmarkStart w:id="1020" w:name="_Toc44"/>
      <w:bookmarkStart w:id="1021" w:name="_Toc26112"/>
      <w:bookmarkStart w:id="1022" w:name="_Toc27811"/>
      <w:bookmarkStart w:id="1023" w:name="_Toc4585"/>
      <w:bookmarkStart w:id="1024" w:name="_Toc1814"/>
      <w:bookmarkStart w:id="1025" w:name="_Toc27817"/>
      <w:bookmarkStart w:id="1026" w:name="_Toc2285"/>
      <w:bookmarkStart w:id="1027" w:name="_Toc30507"/>
      <w:bookmarkStart w:id="1028" w:name="_Toc29742"/>
      <w:bookmarkStart w:id="1029" w:name="_Toc30643"/>
      <w:bookmarkStart w:id="1030" w:name="_Toc26470"/>
      <w:bookmarkStart w:id="1031" w:name="_Toc673"/>
      <w:bookmarkStart w:id="1032" w:name="_Toc8933"/>
      <w:bookmarkStart w:id="1033" w:name="_Toc26752"/>
      <w:bookmarkStart w:id="1034" w:name="_Toc24781"/>
      <w:bookmarkStart w:id="1035" w:name="_Toc22618"/>
      <w:bookmarkStart w:id="1036" w:name="_Toc10340"/>
      <w:bookmarkStart w:id="1037" w:name="_Toc10086"/>
      <w:bookmarkStart w:id="1038" w:name="_Toc5736"/>
      <w:bookmarkStart w:id="1039" w:name="_Toc21349"/>
      <w:r>
        <w:rPr>
          <w:rFonts w:hint="eastAsia" w:ascii="微软雅黑" w:hAnsi="微软雅黑" w:eastAsia="微软雅黑" w:cs="微软雅黑"/>
          <w:b/>
          <w:bCs/>
          <w:color w:val="auto"/>
          <w:sz w:val="24"/>
          <w:szCs w:val="24"/>
        </w:rPr>
        <w:t>1.4 付款方式和发票开具方式</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 付款方式：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1.4.2 发票开具方式：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040" w:name="_Toc30447"/>
      <w:bookmarkStart w:id="1041" w:name="_Toc25278"/>
      <w:bookmarkStart w:id="1042" w:name="_Toc4058"/>
      <w:bookmarkStart w:id="1043" w:name="_Toc4377"/>
      <w:bookmarkStart w:id="1044" w:name="_Toc17448"/>
      <w:bookmarkStart w:id="1045" w:name="_Toc2846"/>
      <w:bookmarkStart w:id="1046" w:name="_Toc32641"/>
      <w:bookmarkStart w:id="1047" w:name="_Toc25427"/>
      <w:bookmarkStart w:id="1048" w:name="_Toc32071"/>
      <w:bookmarkStart w:id="1049" w:name="_Toc22861"/>
      <w:bookmarkStart w:id="1050" w:name="_Toc13284"/>
      <w:bookmarkStart w:id="1051" w:name="_Toc17179"/>
      <w:bookmarkStart w:id="1052" w:name="_Toc9478"/>
      <w:bookmarkStart w:id="1053" w:name="_Toc23862"/>
      <w:bookmarkStart w:id="1054" w:name="_Toc30894"/>
      <w:bookmarkStart w:id="1055" w:name="_Toc19978"/>
      <w:bookmarkStart w:id="1056" w:name="_Toc30563"/>
      <w:bookmarkStart w:id="1057" w:name="_Toc26187"/>
      <w:bookmarkStart w:id="1058" w:name="_Toc29386"/>
      <w:bookmarkStart w:id="1059" w:name="_Toc4501"/>
      <w:bookmarkStart w:id="1060" w:name="_Toc11682"/>
      <w:bookmarkStart w:id="1061" w:name="_Toc2083"/>
      <w:bookmarkStart w:id="1062" w:name="_Toc24466"/>
      <w:bookmarkStart w:id="1063" w:name="_Toc2750"/>
      <w:bookmarkStart w:id="1064" w:name="_Toc10276"/>
      <w:bookmarkStart w:id="1065" w:name="_Toc16823"/>
      <w:bookmarkStart w:id="1066" w:name="_Toc19304"/>
      <w:bookmarkStart w:id="1067" w:name="_Toc2852"/>
      <w:r>
        <w:rPr>
          <w:rFonts w:hint="eastAsia" w:ascii="微软雅黑" w:hAnsi="微软雅黑" w:eastAsia="微软雅黑" w:cs="微软雅黑"/>
          <w:b/>
          <w:bCs/>
          <w:color w:val="auto"/>
          <w:sz w:val="24"/>
          <w:szCs w:val="24"/>
        </w:rPr>
        <w:t>1.5 货物交付期限、地点和方式</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pPr>
        <w:spacing w:line="36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1.5.1 交付期限：</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1.5.2 交付地点：</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1.5.3 交付方式：</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068" w:name="_Toc29769"/>
      <w:bookmarkStart w:id="1069" w:name="_Toc27250"/>
      <w:bookmarkStart w:id="1070" w:name="_Toc4190"/>
      <w:bookmarkStart w:id="1071" w:name="_Toc6841"/>
      <w:bookmarkStart w:id="1072" w:name="_Toc19554"/>
      <w:bookmarkStart w:id="1073" w:name="_Toc2508"/>
      <w:bookmarkStart w:id="1074" w:name="_Toc12753"/>
      <w:bookmarkStart w:id="1075" w:name="_Toc25443"/>
      <w:bookmarkStart w:id="1076" w:name="_Toc12629"/>
      <w:bookmarkStart w:id="1077" w:name="_Toc8569"/>
      <w:bookmarkStart w:id="1078" w:name="_Toc12988"/>
      <w:bookmarkStart w:id="1079" w:name="_Toc13569"/>
      <w:bookmarkStart w:id="1080" w:name="_Toc21423"/>
      <w:bookmarkStart w:id="1081" w:name="_Toc15865"/>
      <w:bookmarkStart w:id="1082" w:name="_Toc27247"/>
      <w:bookmarkStart w:id="1083" w:name="_Toc10321"/>
      <w:bookmarkStart w:id="1084" w:name="_Toc29903"/>
      <w:bookmarkStart w:id="1085" w:name="_Toc12424"/>
      <w:bookmarkStart w:id="1086" w:name="_Toc10320"/>
      <w:bookmarkStart w:id="1087" w:name="_Toc26850"/>
      <w:bookmarkStart w:id="1088" w:name="_Toc21406"/>
      <w:bookmarkStart w:id="1089" w:name="_Toc12679"/>
      <w:bookmarkStart w:id="1090" w:name="_Toc28455"/>
      <w:bookmarkStart w:id="1091" w:name="_Toc1835"/>
      <w:bookmarkStart w:id="1092" w:name="_Toc30591"/>
      <w:bookmarkStart w:id="1093" w:name="_Toc13854"/>
      <w:bookmarkStart w:id="1094" w:name="_Toc11237"/>
      <w:bookmarkStart w:id="1095" w:name="_Toc8754"/>
      <w:r>
        <w:rPr>
          <w:rFonts w:hint="eastAsia" w:ascii="微软雅黑" w:hAnsi="微软雅黑" w:eastAsia="微软雅黑" w:cs="微软雅黑"/>
          <w:b/>
          <w:bCs/>
          <w:color w:val="auto"/>
          <w:sz w:val="24"/>
          <w:szCs w:val="24"/>
        </w:rPr>
        <w:t>1.6 违约责任</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%计算，最高限额为本合同总价的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%；迟延交付货物的违约金计算数额达到前述最高限额之日起，甲方有权在要求乙方支付违约金的同时，书面通知乙方解除本合同；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%计算，最高限额为本合同总价的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%；迟延付款的违约金计算数额达到前述最高限额之日起，乙方有权在要求甲方支付违约金的同时，书面通知甲方解除本合同；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096" w:name="_Toc12178"/>
      <w:bookmarkStart w:id="1097" w:name="_Toc25915"/>
      <w:bookmarkStart w:id="1098" w:name="_Toc5482"/>
      <w:bookmarkStart w:id="1099" w:name="_Toc19374"/>
      <w:bookmarkStart w:id="1100" w:name="_Toc23654"/>
      <w:bookmarkStart w:id="1101" w:name="_Toc21643"/>
      <w:bookmarkStart w:id="1102" w:name="_Toc29338"/>
      <w:bookmarkStart w:id="1103" w:name="_Toc28375"/>
      <w:bookmarkStart w:id="1104" w:name="_Toc7216"/>
      <w:bookmarkStart w:id="1105" w:name="_Toc31145"/>
      <w:bookmarkStart w:id="1106" w:name="_Toc19011"/>
      <w:bookmarkStart w:id="1107" w:name="_Toc22341"/>
      <w:bookmarkStart w:id="1108" w:name="_Toc24352"/>
      <w:bookmarkStart w:id="1109" w:name="_Toc15583"/>
      <w:bookmarkStart w:id="1110" w:name="_Toc27927"/>
      <w:bookmarkStart w:id="1111" w:name="_Toc29755"/>
      <w:bookmarkStart w:id="1112" w:name="_Toc24393"/>
      <w:bookmarkStart w:id="1113" w:name="_Toc20610"/>
      <w:bookmarkStart w:id="1114" w:name="_Toc13375"/>
      <w:bookmarkStart w:id="1115" w:name="_Toc3403"/>
      <w:bookmarkStart w:id="1116" w:name="_Toc16021"/>
      <w:bookmarkStart w:id="1117" w:name="_Toc27762"/>
      <w:bookmarkStart w:id="1118" w:name="_Toc9202"/>
      <w:bookmarkStart w:id="1119" w:name="_Toc8914"/>
      <w:bookmarkStart w:id="1120" w:name="_Toc20497"/>
      <w:bookmarkStart w:id="1121" w:name="_Toc6344"/>
      <w:bookmarkStart w:id="1122" w:name="_Toc16341"/>
      <w:bookmarkStart w:id="1123" w:name="_Toc12021"/>
      <w:r>
        <w:rPr>
          <w:rFonts w:hint="eastAsia" w:ascii="微软雅黑" w:hAnsi="微软雅黑" w:eastAsia="微软雅黑" w:cs="微软雅黑"/>
          <w:b/>
          <w:bCs/>
          <w:color w:val="auto"/>
          <w:sz w:val="24"/>
          <w:szCs w:val="24"/>
        </w:rPr>
        <w:t>1.7 合同争议的解决</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种方式解决：</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1.7.1 将争议提交</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eastAsia="zh-CN"/>
        </w:rPr>
        <w:t>乌鲁木齐仲裁委员会喀什分会</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仲裁委员会依申请仲裁时其现行有效的仲裁规则裁决；</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1.7.2 向</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eastAsia="zh-CN"/>
        </w:rPr>
        <w:t>甲方所在地</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人民法院起诉。</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124" w:name="_Toc30260"/>
      <w:bookmarkStart w:id="1125" w:name="_Toc2894"/>
      <w:bookmarkStart w:id="1126" w:name="_Toc7245"/>
      <w:bookmarkStart w:id="1127" w:name="_Toc26231"/>
      <w:bookmarkStart w:id="1128" w:name="_Toc10255"/>
      <w:bookmarkStart w:id="1129" w:name="_Toc9329"/>
      <w:bookmarkStart w:id="1130" w:name="_Toc6964"/>
      <w:bookmarkStart w:id="1131" w:name="_Toc14796"/>
      <w:bookmarkStart w:id="1132" w:name="_Toc12946"/>
      <w:bookmarkStart w:id="1133" w:name="_Toc15322"/>
      <w:bookmarkStart w:id="1134" w:name="_Toc2901"/>
      <w:bookmarkStart w:id="1135" w:name="_Toc17113"/>
      <w:bookmarkStart w:id="1136" w:name="_Toc20192"/>
      <w:bookmarkStart w:id="1137" w:name="_Toc17760"/>
      <w:bookmarkStart w:id="1138" w:name="_Toc5077"/>
      <w:bookmarkStart w:id="1139" w:name="_Toc11173"/>
      <w:bookmarkStart w:id="1140" w:name="_Toc29292"/>
      <w:bookmarkStart w:id="1141" w:name="_Toc20305"/>
      <w:bookmarkStart w:id="1142" w:name="_Toc1647"/>
      <w:bookmarkStart w:id="1143" w:name="_Toc16410"/>
      <w:bookmarkStart w:id="1144" w:name="_Toc4516"/>
      <w:bookmarkStart w:id="1145" w:name="_Toc10429"/>
      <w:bookmarkStart w:id="1146" w:name="_Toc6411"/>
      <w:bookmarkStart w:id="1147" w:name="_Toc10043"/>
      <w:bookmarkStart w:id="1148" w:name="_Toc8975"/>
      <w:bookmarkStart w:id="1149" w:name="_Toc32578"/>
      <w:bookmarkStart w:id="1150" w:name="_Toc29487"/>
      <w:bookmarkStart w:id="1151" w:name="_Toc518"/>
      <w:r>
        <w:rPr>
          <w:rFonts w:hint="eastAsia" w:ascii="微软雅黑" w:hAnsi="微软雅黑" w:eastAsia="微软雅黑" w:cs="微软雅黑"/>
          <w:b/>
          <w:bCs/>
          <w:color w:val="auto"/>
          <w:sz w:val="24"/>
          <w:szCs w:val="24"/>
        </w:rPr>
        <w:t>1.8 合同生效</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pPr>
        <w:spacing w:line="360" w:lineRule="exact"/>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本合同自双方当事人盖章</w:t>
      </w:r>
      <w:r>
        <w:rPr>
          <w:rFonts w:hint="eastAsia" w:ascii="微软雅黑" w:hAnsi="微软雅黑" w:eastAsia="微软雅黑" w:cs="微软雅黑"/>
          <w:color w:val="auto"/>
          <w:sz w:val="24"/>
          <w:szCs w:val="24"/>
          <w:lang w:eastAsia="zh-CN"/>
        </w:rPr>
        <w:t>并</w:t>
      </w:r>
      <w:r>
        <w:rPr>
          <w:rFonts w:hint="eastAsia" w:ascii="微软雅黑" w:hAnsi="微软雅黑" w:eastAsia="微软雅黑" w:cs="微软雅黑"/>
          <w:color w:val="auto"/>
          <w:sz w:val="24"/>
          <w:szCs w:val="24"/>
        </w:rPr>
        <w:t>签字时生效。</w:t>
      </w:r>
    </w:p>
    <w:p>
      <w:pPr>
        <w:autoSpaceDE w:val="0"/>
        <w:autoSpaceDN w:val="0"/>
        <w:adjustRightInd w:val="0"/>
        <w:spacing w:line="360" w:lineRule="exact"/>
        <w:rPr>
          <w:rFonts w:hint="eastAsia" w:ascii="微软雅黑" w:hAnsi="微软雅黑" w:eastAsia="微软雅黑" w:cs="微软雅黑"/>
          <w:color w:val="auto"/>
          <w:sz w:val="24"/>
          <w:szCs w:val="24"/>
          <w:lang w:val="zh-CN"/>
        </w:rPr>
      </w:pP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b/>
          <w:bCs/>
          <w:color w:val="auto"/>
          <w:sz w:val="24"/>
          <w:szCs w:val="24"/>
          <w:lang w:val="zh-CN"/>
        </w:rPr>
        <w:t>甲方</w:t>
      </w:r>
      <w:r>
        <w:rPr>
          <w:rFonts w:hint="eastAsia" w:ascii="微软雅黑" w:hAnsi="微软雅黑" w:eastAsia="微软雅黑" w:cs="微软雅黑"/>
          <w:color w:val="auto"/>
          <w:sz w:val="24"/>
          <w:szCs w:val="24"/>
          <w:lang w:val="zh-CN"/>
        </w:rPr>
        <w:t xml:space="preserve">：                             </w:t>
      </w:r>
      <w:r>
        <w:rPr>
          <w:rFonts w:hint="eastAsia" w:ascii="微软雅黑" w:hAnsi="微软雅黑" w:eastAsia="微软雅黑" w:cs="微软雅黑"/>
          <w:b/>
          <w:bCs/>
          <w:color w:val="auto"/>
          <w:sz w:val="24"/>
          <w:szCs w:val="24"/>
          <w:lang w:val="zh-CN"/>
        </w:rPr>
        <w:t xml:space="preserve">      乙方</w:t>
      </w:r>
      <w:r>
        <w:rPr>
          <w:rFonts w:hint="eastAsia" w:ascii="微软雅黑" w:hAnsi="微软雅黑" w:eastAsia="微软雅黑" w:cs="微软雅黑"/>
          <w:color w:val="auto"/>
          <w:sz w:val="24"/>
          <w:szCs w:val="24"/>
          <w:lang w:val="zh-CN"/>
        </w:rPr>
        <w:t>：</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统一社会信用代码：                        统一社会信用代码或身份证号码：</w:t>
      </w:r>
    </w:p>
    <w:p>
      <w:pPr>
        <w:autoSpaceDE w:val="0"/>
        <w:autoSpaceDN w:val="0"/>
        <w:adjustRightInd w:val="0"/>
        <w:spacing w:line="360" w:lineRule="exact"/>
        <w:rPr>
          <w:rFonts w:hint="eastAsia" w:ascii="微软雅黑" w:hAnsi="微软雅黑" w:eastAsia="微软雅黑" w:cs="微软雅黑"/>
          <w:color w:val="auto"/>
          <w:sz w:val="24"/>
          <w:szCs w:val="24"/>
          <w:lang w:val="zh-CN"/>
        </w:rPr>
      </w:pP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住所：                                   住所：</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法定代表人或                             法定代表人</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 xml:space="preserve">授权代表（签字）：                       或授权代表（签字）: </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联系人：                                 联系人：</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约定送达地址：                           约定送达地址：</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邮政编码：                               邮政编码：</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 xml:space="preserve">电话:                                    电话: </w:t>
      </w:r>
    </w:p>
    <w:p>
      <w:pPr>
        <w:autoSpaceDE w:val="0"/>
        <w:autoSpaceDN w:val="0"/>
        <w:adjustRightInd w:val="0"/>
        <w:spacing w:line="360" w:lineRule="exact"/>
        <w:rPr>
          <w:rFonts w:hint="eastAsia" w:ascii="微软雅黑" w:hAnsi="微软雅黑" w:eastAsia="微软雅黑" w:cs="微软雅黑"/>
          <w:color w:val="auto"/>
          <w:sz w:val="24"/>
          <w:szCs w:val="24"/>
          <w:lang w:val="zh-CN"/>
        </w:rPr>
      </w:pPr>
      <w:r>
        <w:rPr>
          <w:rFonts w:hint="eastAsia" w:ascii="微软雅黑" w:hAnsi="微软雅黑" w:eastAsia="微软雅黑" w:cs="微软雅黑"/>
          <w:color w:val="auto"/>
          <w:sz w:val="24"/>
          <w:szCs w:val="24"/>
          <w:lang w:val="zh-CN"/>
        </w:rPr>
        <w:t>传真:                                    传真:</w:t>
      </w:r>
    </w:p>
    <w:p>
      <w:pPr>
        <w:autoSpaceDE w:val="0"/>
        <w:autoSpaceDN w:val="0"/>
        <w:adjustRightInd w:val="0"/>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zh-CN"/>
        </w:rPr>
        <w:t>电子邮箱：                               电子邮箱：</w:t>
      </w:r>
    </w:p>
    <w:p>
      <w:pPr>
        <w:autoSpaceDE w:val="0"/>
        <w:autoSpaceDN w:val="0"/>
        <w:adjustRightInd w:val="0"/>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开户银行：                               开户银行： </w:t>
      </w:r>
    </w:p>
    <w:p>
      <w:pPr>
        <w:autoSpaceDE w:val="0"/>
        <w:autoSpaceDN w:val="0"/>
        <w:adjustRightInd w:val="0"/>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开户名称：                               开户名称： </w:t>
      </w:r>
    </w:p>
    <w:p>
      <w:pPr>
        <w:autoSpaceDE w:val="0"/>
        <w:autoSpaceDN w:val="0"/>
        <w:adjustRightInd w:val="0"/>
        <w:spacing w:line="3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开户账号：</w:t>
      </w:r>
      <w:r>
        <w:rPr>
          <w:rFonts w:hint="eastAsia" w:ascii="微软雅黑" w:hAnsi="微软雅黑" w:eastAsia="微软雅黑" w:cs="微软雅黑"/>
          <w:color w:val="auto"/>
          <w:sz w:val="24"/>
          <w:szCs w:val="24"/>
          <w:lang w:val="zh-CN"/>
        </w:rPr>
        <w:t xml:space="preserve">                               </w:t>
      </w:r>
      <w:r>
        <w:rPr>
          <w:rFonts w:hint="eastAsia" w:ascii="微软雅黑" w:hAnsi="微软雅黑" w:eastAsia="微软雅黑" w:cs="微软雅黑"/>
          <w:color w:val="auto"/>
          <w:sz w:val="24"/>
          <w:szCs w:val="24"/>
        </w:rPr>
        <w:t>开户账号：</w:t>
      </w:r>
    </w:p>
    <w:p>
      <w:pPr>
        <w:widowControl/>
        <w:spacing w:line="360" w:lineRule="exact"/>
        <w:jc w:val="left"/>
        <w:rPr>
          <w:rFonts w:hint="eastAsia" w:ascii="微软雅黑" w:hAnsi="微软雅黑" w:eastAsia="微软雅黑" w:cs="微软雅黑"/>
          <w:b/>
          <w:bCs/>
          <w:color w:val="auto"/>
        </w:rPr>
      </w:pPr>
      <w:bookmarkStart w:id="1152" w:name="_Toc331685783"/>
    </w:p>
    <w:p>
      <w:pPr>
        <w:widowControl/>
        <w:spacing w:line="360" w:lineRule="exact"/>
        <w:jc w:val="left"/>
        <w:rPr>
          <w:rFonts w:hint="eastAsia" w:ascii="微软雅黑" w:hAnsi="微软雅黑" w:eastAsia="微软雅黑" w:cs="微软雅黑"/>
          <w:b/>
          <w:bCs/>
          <w:color w:val="auto"/>
        </w:rPr>
      </w:pPr>
    </w:p>
    <w:p>
      <w:pPr>
        <w:pStyle w:val="47"/>
        <w:spacing w:line="360" w:lineRule="exact"/>
        <w:ind w:firstLine="200"/>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第二部分 合同一般条款</w:t>
      </w:r>
      <w:bookmarkEnd w:id="1152"/>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153" w:name="_Toc29659"/>
      <w:bookmarkStart w:id="1154" w:name="_Toc28547"/>
      <w:bookmarkStart w:id="1155" w:name="_Toc2034"/>
      <w:bookmarkStart w:id="1156" w:name="_Toc19614"/>
      <w:bookmarkStart w:id="1157" w:name="_Ref467379225"/>
      <w:bookmarkStart w:id="1158" w:name="_Ref467379094"/>
      <w:bookmarkStart w:id="1159" w:name="_Toc25554"/>
      <w:bookmarkStart w:id="1160" w:name="_Toc18089"/>
      <w:bookmarkStart w:id="1161" w:name="_Toc487900349"/>
      <w:bookmarkStart w:id="1162" w:name="_Toc259093669"/>
      <w:bookmarkStart w:id="1163" w:name="_Toc25060"/>
      <w:bookmarkStart w:id="1164" w:name="_Toc32624"/>
      <w:bookmarkStart w:id="1165" w:name="_Toc2854"/>
      <w:bookmarkStart w:id="1166" w:name="_Toc279701240"/>
      <w:bookmarkStart w:id="1167" w:name="_Toc26015"/>
      <w:bookmarkStart w:id="1168" w:name="_Ref467379109"/>
      <w:bookmarkStart w:id="1169" w:name="_Toc5579"/>
      <w:bookmarkStart w:id="1170" w:name="_Toc26415"/>
      <w:bookmarkStart w:id="1171" w:name="_Toc28763"/>
      <w:bookmarkStart w:id="1172" w:name="_Toc17718"/>
      <w:bookmarkStart w:id="1173" w:name="_Toc510"/>
      <w:bookmarkStart w:id="1174" w:name="_Toc10245"/>
      <w:bookmarkStart w:id="1175" w:name="_Ref467378404"/>
      <w:bookmarkStart w:id="1176" w:name="_Toc31417"/>
      <w:bookmarkStart w:id="1177" w:name="_Ref467379195"/>
      <w:bookmarkStart w:id="1178" w:name="_Ref467379214"/>
      <w:bookmarkStart w:id="1179" w:name="_Toc16917"/>
      <w:bookmarkStart w:id="1180" w:name="_Ref467378463"/>
      <w:bookmarkStart w:id="1181" w:name="_Toc21840"/>
      <w:bookmarkStart w:id="1182" w:name="_Toc15647"/>
      <w:bookmarkStart w:id="1183" w:name="_Toc3091"/>
      <w:bookmarkStart w:id="1184" w:name="_Toc14827"/>
      <w:bookmarkStart w:id="1185" w:name="_Ref467379101"/>
      <w:bookmarkStart w:id="1186" w:name="_Toc28865"/>
      <w:bookmarkStart w:id="1187" w:name="_Toc3703"/>
      <w:bookmarkStart w:id="1188" w:name="_Ref467378499"/>
      <w:bookmarkStart w:id="1189" w:name="_Toc26936"/>
      <w:bookmarkStart w:id="1190" w:name="_Toc20160"/>
      <w:bookmarkStart w:id="1191" w:name="_Toc25035"/>
      <w:bookmarkStart w:id="1192" w:name="_Ref467379205"/>
      <w:bookmarkStart w:id="1193" w:name="_Toc20709"/>
      <w:r>
        <w:rPr>
          <w:rFonts w:hint="eastAsia" w:ascii="微软雅黑" w:hAnsi="微软雅黑" w:eastAsia="微软雅黑" w:cs="微软雅黑"/>
          <w:b/>
          <w:bCs/>
          <w:color w:val="auto"/>
          <w:sz w:val="24"/>
          <w:szCs w:val="24"/>
        </w:rPr>
        <w:t>2.1 定义</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本合同中的下列词语应按以下内容进行解释：</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 “合同”系指采购人和中标供应商签订的载明双方当事人所达成的协议，并包括所有的附件、附录和构成合同的其他文件。</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2.1.2 “合同价”系指根据合同约定，中标供应商在完全履行合同义务后，采购人应支付给中标供应商的价格。</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2.1.3 “货物”系指中标供应商根据合同约定应向采购人交付的一切各种形态和种类的物品，包括原材料、燃料、设备、机械、仪表、备件、计算机软件、产品等，并包括工具、手册等其他相关资料。</w:t>
      </w:r>
    </w:p>
    <w:p>
      <w:pPr>
        <w:spacing w:line="360" w:lineRule="exact"/>
        <w:ind w:firstLine="480" w:firstLineChars="200"/>
        <w:rPr>
          <w:rFonts w:hint="eastAsia" w:ascii="微软雅黑" w:hAnsi="微软雅黑" w:eastAsia="微软雅黑" w:cs="微软雅黑"/>
          <w:color w:val="auto"/>
          <w:sz w:val="24"/>
          <w:szCs w:val="24"/>
        </w:rPr>
      </w:pPr>
      <w:bookmarkStart w:id="1194" w:name="_Ref467378840"/>
      <w:r>
        <w:rPr>
          <w:rFonts w:hint="eastAsia" w:ascii="微软雅黑" w:hAnsi="微软雅黑" w:eastAsia="微软雅黑" w:cs="微软雅黑"/>
          <w:color w:val="auto"/>
          <w:sz w:val="24"/>
          <w:szCs w:val="24"/>
        </w:rPr>
        <w:t>2.1.4 “甲方”系指与中标供应商签署合同的采购人</w:t>
      </w:r>
      <w:bookmarkEnd w:id="1194"/>
      <w:r>
        <w:rPr>
          <w:rFonts w:hint="eastAsia" w:ascii="微软雅黑" w:hAnsi="微软雅黑" w:eastAsia="微软雅黑" w:cs="微软雅黑"/>
          <w:color w:val="auto"/>
          <w:sz w:val="24"/>
          <w:szCs w:val="24"/>
        </w:rPr>
        <w:t>；采购人委托采购代理机构代表其与乙方签订合同的，采购人的授权委托书作为合同附件。</w:t>
      </w:r>
    </w:p>
    <w:p>
      <w:pPr>
        <w:spacing w:line="360" w:lineRule="exact"/>
        <w:ind w:firstLine="480" w:firstLineChars="200"/>
        <w:rPr>
          <w:rFonts w:hint="eastAsia" w:ascii="微软雅黑" w:hAnsi="微软雅黑" w:eastAsia="微软雅黑" w:cs="微软雅黑"/>
          <w:color w:val="auto"/>
          <w:sz w:val="24"/>
          <w:szCs w:val="24"/>
        </w:rPr>
      </w:pPr>
      <w:bookmarkStart w:id="1195" w:name="_Ref467379400"/>
      <w:r>
        <w:rPr>
          <w:rFonts w:hint="eastAsia" w:ascii="微软雅黑" w:hAnsi="微软雅黑" w:eastAsia="微软雅黑" w:cs="微软雅黑"/>
          <w:color w:val="auto"/>
          <w:sz w:val="24"/>
          <w:szCs w:val="24"/>
        </w:rPr>
        <w:t>2.1.5 “乙方”系指根据合同约定交付货物的中标供应商</w:t>
      </w:r>
      <w:bookmarkEnd w:id="1195"/>
      <w:r>
        <w:rPr>
          <w:rFonts w:hint="eastAsia" w:ascii="微软雅黑" w:hAnsi="微软雅黑" w:eastAsia="微软雅黑" w:cs="微软雅黑"/>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exact"/>
        <w:ind w:firstLine="480" w:firstLineChars="200"/>
        <w:rPr>
          <w:rFonts w:hint="eastAsia" w:ascii="微软雅黑" w:hAnsi="微软雅黑" w:eastAsia="微软雅黑" w:cs="微软雅黑"/>
          <w:color w:val="auto"/>
          <w:sz w:val="24"/>
          <w:szCs w:val="24"/>
        </w:rPr>
      </w:pPr>
      <w:bookmarkStart w:id="1196" w:name="_Ref467379436"/>
      <w:r>
        <w:rPr>
          <w:rFonts w:hint="eastAsia" w:ascii="微软雅黑" w:hAnsi="微软雅黑" w:eastAsia="微软雅黑" w:cs="微软雅黑"/>
          <w:color w:val="auto"/>
          <w:sz w:val="24"/>
          <w:szCs w:val="24"/>
        </w:rPr>
        <w:t>2.1.6 “现场”系指合同约定货物将要运至或者安装的地点。</w:t>
      </w:r>
      <w:bookmarkEnd w:id="1196"/>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197" w:name="_Toc17151"/>
      <w:bookmarkStart w:id="1198" w:name="_Toc1183"/>
      <w:bookmarkStart w:id="1199" w:name="_Toc7416"/>
      <w:bookmarkStart w:id="1200" w:name="_Toc259093670"/>
      <w:bookmarkStart w:id="1201" w:name="_Toc3193"/>
      <w:bookmarkStart w:id="1202" w:name="_Toc24322"/>
      <w:bookmarkStart w:id="1203" w:name="_Toc23702"/>
      <w:bookmarkStart w:id="1204" w:name="_Toc19892"/>
      <w:bookmarkStart w:id="1205" w:name="_Toc22122"/>
      <w:bookmarkStart w:id="1206" w:name="_Toc24523"/>
      <w:bookmarkStart w:id="1207" w:name="_Toc23689"/>
      <w:bookmarkStart w:id="1208" w:name="_Toc5592"/>
      <w:bookmarkStart w:id="1209" w:name="_Toc15240"/>
      <w:bookmarkStart w:id="1210" w:name="_Toc1447"/>
      <w:bookmarkStart w:id="1211" w:name="_Toc22104"/>
      <w:bookmarkStart w:id="1212" w:name="_Toc24792"/>
      <w:bookmarkStart w:id="1213" w:name="_Toc31414"/>
      <w:bookmarkStart w:id="1214" w:name="_Toc1221"/>
      <w:bookmarkStart w:id="1215" w:name="_Toc25266"/>
      <w:bookmarkStart w:id="1216" w:name="_Toc27635"/>
      <w:bookmarkStart w:id="1217" w:name="_Toc7048"/>
      <w:bookmarkStart w:id="1218" w:name="_Toc1352"/>
      <w:bookmarkStart w:id="1219" w:name="_Toc22769"/>
      <w:bookmarkStart w:id="1220" w:name="_Toc3949"/>
      <w:bookmarkStart w:id="1221" w:name="_Toc25269"/>
      <w:bookmarkStart w:id="1222" w:name="_Toc279701241"/>
      <w:bookmarkStart w:id="1223" w:name="_Toc13336"/>
      <w:bookmarkStart w:id="1224" w:name="_Toc487900350"/>
      <w:bookmarkStart w:id="1225" w:name="_Toc32504"/>
      <w:bookmarkStart w:id="1226" w:name="_Toc8687"/>
      <w:bookmarkStart w:id="1227" w:name="_Toc11142"/>
      <w:r>
        <w:rPr>
          <w:rFonts w:hint="eastAsia" w:ascii="微软雅黑" w:hAnsi="微软雅黑" w:eastAsia="微软雅黑" w:cs="微软雅黑"/>
          <w:b/>
          <w:bCs/>
          <w:color w:val="auto"/>
          <w:sz w:val="24"/>
          <w:szCs w:val="24"/>
        </w:rPr>
        <w:t>2.2 技术规范</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228" w:name="_Toc259093671"/>
      <w:bookmarkStart w:id="1229" w:name="_Toc4916"/>
      <w:bookmarkStart w:id="1230" w:name="_Toc487900351"/>
      <w:bookmarkStart w:id="1231" w:name="_Toc6835"/>
      <w:bookmarkStart w:id="1232" w:name="_Toc28662"/>
      <w:bookmarkStart w:id="1233" w:name="_Toc22279"/>
      <w:bookmarkStart w:id="1234" w:name="_Toc23791"/>
      <w:bookmarkStart w:id="1235" w:name="_Toc32048"/>
      <w:bookmarkStart w:id="1236" w:name="_Toc17383"/>
      <w:bookmarkStart w:id="1237" w:name="_Toc4029"/>
      <w:bookmarkStart w:id="1238" w:name="_Toc14632"/>
      <w:bookmarkStart w:id="1239" w:name="_Toc25100"/>
      <w:bookmarkStart w:id="1240" w:name="_Toc26928"/>
      <w:bookmarkStart w:id="1241" w:name="_Toc9829"/>
      <w:bookmarkStart w:id="1242" w:name="_Toc27853"/>
      <w:bookmarkStart w:id="1243" w:name="_Toc30552"/>
      <w:bookmarkStart w:id="1244" w:name="_Toc6121"/>
      <w:bookmarkStart w:id="1245" w:name="_Toc975"/>
      <w:bookmarkStart w:id="1246" w:name="_Toc23649"/>
      <w:bookmarkStart w:id="1247" w:name="_Toc4277"/>
      <w:bookmarkStart w:id="1248" w:name="_Toc24537"/>
      <w:bookmarkStart w:id="1249" w:name="_Toc1649"/>
      <w:bookmarkStart w:id="1250" w:name="_Toc31634"/>
      <w:bookmarkStart w:id="1251" w:name="_Toc20130"/>
      <w:bookmarkStart w:id="1252" w:name="_Toc28946"/>
      <w:bookmarkStart w:id="1253" w:name="_Toc10461"/>
      <w:bookmarkStart w:id="1254" w:name="_Toc7722"/>
      <w:bookmarkStart w:id="1255" w:name="_Toc15733"/>
      <w:bookmarkStart w:id="1256" w:name="_Toc279701242"/>
      <w:bookmarkStart w:id="1257" w:name="_Toc30700"/>
      <w:bookmarkStart w:id="1258" w:name="_Toc3854"/>
      <w:r>
        <w:rPr>
          <w:rFonts w:hint="eastAsia" w:ascii="微软雅黑" w:hAnsi="微软雅黑" w:eastAsia="微软雅黑" w:cs="微软雅黑"/>
          <w:b/>
          <w:bCs/>
          <w:color w:val="auto"/>
          <w:sz w:val="24"/>
          <w:szCs w:val="24"/>
        </w:rPr>
        <w:t>2.3 知识产权</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2.3.2具有知识产权的计算机软件等货物的知识产权归属，详见</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259" w:name="_Toc29149"/>
      <w:bookmarkStart w:id="1260" w:name="_Toc10970"/>
      <w:bookmarkStart w:id="1261" w:name="_Toc9470"/>
      <w:bookmarkStart w:id="1262" w:name="_Toc17080"/>
      <w:bookmarkStart w:id="1263" w:name="_Toc12219"/>
      <w:bookmarkStart w:id="1264" w:name="_Toc19638"/>
      <w:bookmarkStart w:id="1265" w:name="_Toc28170"/>
      <w:bookmarkStart w:id="1266" w:name="_Toc10397"/>
      <w:bookmarkStart w:id="1267" w:name="_Toc24384"/>
      <w:bookmarkStart w:id="1268" w:name="_Toc21468"/>
      <w:bookmarkStart w:id="1269" w:name="_Toc1877"/>
      <w:bookmarkStart w:id="1270" w:name="_Toc3486"/>
      <w:bookmarkStart w:id="1271" w:name="_Toc28714"/>
      <w:bookmarkStart w:id="1272" w:name="_Toc18554"/>
      <w:bookmarkStart w:id="1273" w:name="_Toc10546"/>
      <w:bookmarkStart w:id="1274" w:name="_Toc13341"/>
      <w:bookmarkStart w:id="1275" w:name="_Toc8795"/>
      <w:bookmarkStart w:id="1276" w:name="_Toc6781"/>
      <w:bookmarkStart w:id="1277" w:name="_Toc4194"/>
      <w:bookmarkStart w:id="1278" w:name="_Toc26731"/>
      <w:bookmarkStart w:id="1279" w:name="_Toc2585"/>
      <w:bookmarkStart w:id="1280" w:name="_Toc20620"/>
      <w:bookmarkStart w:id="1281" w:name="_Toc455"/>
      <w:bookmarkStart w:id="1282" w:name="_Toc5395"/>
      <w:bookmarkStart w:id="1283" w:name="_Toc25767"/>
      <w:bookmarkStart w:id="1284" w:name="_Toc9734"/>
      <w:bookmarkStart w:id="1285" w:name="_Toc11932"/>
      <w:bookmarkStart w:id="1286" w:name="_Toc23105"/>
      <w:r>
        <w:rPr>
          <w:rFonts w:hint="eastAsia" w:ascii="微软雅黑" w:hAnsi="微软雅黑" w:eastAsia="微软雅黑" w:cs="微软雅黑"/>
          <w:b/>
          <w:bCs/>
          <w:color w:val="auto"/>
          <w:sz w:val="24"/>
          <w:szCs w:val="24"/>
        </w:rPr>
        <w:t>2.4 包装和装运</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2.4.1除</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2.4.2 装运货物的要求和通知，详见</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287" w:name="_Toc279701245"/>
      <w:bookmarkStart w:id="1288" w:name="_Ref467379536"/>
      <w:bookmarkStart w:id="1289" w:name="_Ref467378541"/>
      <w:bookmarkStart w:id="1290" w:name="_Toc487900354"/>
      <w:bookmarkStart w:id="1291" w:name="_Ref467379542"/>
      <w:bookmarkStart w:id="1292" w:name="_Ref467379527"/>
      <w:bookmarkStart w:id="1293" w:name="_Toc259093674"/>
      <w:bookmarkStart w:id="1294" w:name="_Ref467378591"/>
      <w:bookmarkStart w:id="1295" w:name="_Toc2039"/>
      <w:bookmarkStart w:id="1296" w:name="_Toc30516"/>
      <w:bookmarkStart w:id="1297" w:name="_Toc18307"/>
      <w:bookmarkStart w:id="1298" w:name="_Toc7379"/>
      <w:bookmarkStart w:id="1299" w:name="_Toc24299"/>
      <w:bookmarkStart w:id="1300" w:name="_Toc5927"/>
      <w:bookmarkStart w:id="1301" w:name="_Toc7299"/>
      <w:bookmarkStart w:id="1302" w:name="_Toc8552"/>
      <w:bookmarkStart w:id="1303" w:name="_Toc2815"/>
      <w:bookmarkStart w:id="1304" w:name="_Toc28324"/>
      <w:bookmarkStart w:id="1305" w:name="_Toc24935"/>
      <w:bookmarkStart w:id="1306" w:name="_Toc12428"/>
      <w:bookmarkStart w:id="1307" w:name="_Toc10209"/>
      <w:bookmarkStart w:id="1308" w:name="_Toc14100"/>
      <w:bookmarkStart w:id="1309" w:name="_Toc21198"/>
      <w:bookmarkStart w:id="1310" w:name="_Toc30272"/>
      <w:bookmarkStart w:id="1311" w:name="_Toc12661"/>
      <w:bookmarkStart w:id="1312" w:name="_Toc21410"/>
      <w:bookmarkStart w:id="1313" w:name="_Toc4831"/>
      <w:bookmarkStart w:id="1314" w:name="_Toc30291"/>
      <w:bookmarkStart w:id="1315" w:name="_Toc530"/>
      <w:bookmarkStart w:id="1316" w:name="_Toc19074"/>
      <w:bookmarkStart w:id="1317" w:name="_Toc28937"/>
      <w:bookmarkStart w:id="1318" w:name="_Toc18515"/>
      <w:bookmarkStart w:id="1319" w:name="_Toc15512"/>
      <w:bookmarkStart w:id="1320" w:name="_Toc31437"/>
      <w:bookmarkStart w:id="1321" w:name="_Toc1580"/>
      <w:bookmarkStart w:id="1322" w:name="_Toc26182"/>
      <w:r>
        <w:rPr>
          <w:rFonts w:hint="eastAsia" w:ascii="微软雅黑" w:hAnsi="微软雅黑" w:eastAsia="微软雅黑" w:cs="微软雅黑"/>
          <w:b/>
          <w:bCs/>
          <w:color w:val="auto"/>
          <w:sz w:val="24"/>
          <w:szCs w:val="24"/>
        </w:rPr>
        <w:t>2.</w:t>
      </w:r>
      <w:bookmarkEnd w:id="1287"/>
      <w:bookmarkEnd w:id="1288"/>
      <w:bookmarkEnd w:id="1289"/>
      <w:bookmarkEnd w:id="1290"/>
      <w:bookmarkEnd w:id="1291"/>
      <w:bookmarkEnd w:id="1292"/>
      <w:bookmarkEnd w:id="1293"/>
      <w:bookmarkEnd w:id="1294"/>
      <w:r>
        <w:rPr>
          <w:rFonts w:hint="eastAsia" w:ascii="微软雅黑" w:hAnsi="微软雅黑" w:eastAsia="微软雅黑" w:cs="微软雅黑"/>
          <w:b/>
          <w:bCs/>
          <w:color w:val="auto"/>
          <w:sz w:val="24"/>
          <w:szCs w:val="24"/>
        </w:rPr>
        <w:t>5 履约检查和问题反馈</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pPr>
        <w:spacing w:line="360" w:lineRule="exact"/>
        <w:ind w:firstLine="480" w:firstLineChars="200"/>
        <w:rPr>
          <w:rFonts w:hint="eastAsia" w:ascii="微软雅黑" w:hAnsi="微软雅黑" w:eastAsia="微软雅黑" w:cs="微软雅黑"/>
          <w:color w:val="auto"/>
          <w:sz w:val="24"/>
          <w:szCs w:val="24"/>
        </w:rPr>
      </w:pPr>
      <w:bookmarkStart w:id="1323" w:name="_Ref467379657"/>
      <w:r>
        <w:rPr>
          <w:rFonts w:hint="eastAsia" w:ascii="微软雅黑" w:hAnsi="微软雅黑" w:eastAsia="微软雅黑" w:cs="微软雅黑"/>
          <w:color w:val="auto"/>
          <w:sz w:val="24"/>
          <w:szCs w:val="24"/>
        </w:rPr>
        <w:t>2.5.1</w:t>
      </w:r>
      <w:bookmarkEnd w:id="1323"/>
      <w:bookmarkStart w:id="1324" w:name="_Toc186431854"/>
      <w:bookmarkStart w:id="1325" w:name="_Ref467379807"/>
      <w:bookmarkStart w:id="1326" w:name="_Toc279701247"/>
      <w:bookmarkStart w:id="1327" w:name="_Ref467379793"/>
      <w:bookmarkStart w:id="1328" w:name="_Toc487900357"/>
      <w:bookmarkStart w:id="1329" w:name="_Toc259093676"/>
      <w:r>
        <w:rPr>
          <w:rFonts w:hint="eastAsia" w:ascii="微软雅黑" w:hAnsi="微软雅黑" w:eastAsia="微软雅黑" w:cs="微软雅黑"/>
          <w:color w:val="auto"/>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2.5.2 合同履行期间，甲方有权将履行过程中出现的问题反馈给乙方，双方当事人应以书面形式约定需要完善和改进的内容</w:t>
      </w:r>
      <w:bookmarkEnd w:id="1324"/>
      <w:bookmarkStart w:id="1330" w:name="_Toc186431855"/>
      <w:r>
        <w:rPr>
          <w:rFonts w:hint="eastAsia" w:ascii="微软雅黑" w:hAnsi="微软雅黑" w:eastAsia="微软雅黑" w:cs="微软雅黑"/>
          <w:color w:val="auto"/>
          <w:sz w:val="24"/>
          <w:szCs w:val="24"/>
        </w:rPr>
        <w:t>。</w:t>
      </w:r>
    </w:p>
    <w:bookmarkEnd w:id="1330"/>
    <w:p>
      <w:pPr>
        <w:spacing w:line="360" w:lineRule="exact"/>
        <w:ind w:firstLine="480" w:firstLineChars="200"/>
        <w:outlineLvl w:val="0"/>
        <w:rPr>
          <w:rFonts w:hint="eastAsia" w:ascii="微软雅黑" w:hAnsi="微软雅黑" w:eastAsia="微软雅黑" w:cs="微软雅黑"/>
          <w:b/>
          <w:bCs/>
          <w:color w:val="auto"/>
          <w:sz w:val="24"/>
          <w:szCs w:val="24"/>
        </w:rPr>
      </w:pPr>
      <w:bookmarkStart w:id="1331" w:name="_Toc9092"/>
      <w:bookmarkStart w:id="1332" w:name="_Toc15854"/>
      <w:bookmarkStart w:id="1333" w:name="_Toc10470"/>
      <w:bookmarkStart w:id="1334" w:name="_Toc5363"/>
      <w:bookmarkStart w:id="1335" w:name="_Toc28451"/>
      <w:bookmarkStart w:id="1336" w:name="_Toc234"/>
      <w:bookmarkStart w:id="1337" w:name="_Toc31520"/>
      <w:bookmarkStart w:id="1338" w:name="_Toc23261"/>
      <w:bookmarkStart w:id="1339" w:name="_Toc26245"/>
      <w:bookmarkStart w:id="1340" w:name="_Toc26232"/>
      <w:bookmarkStart w:id="1341" w:name="_Toc22499"/>
      <w:bookmarkStart w:id="1342" w:name="_Toc11522"/>
      <w:bookmarkStart w:id="1343" w:name="_Toc30354"/>
      <w:bookmarkStart w:id="1344" w:name="_Toc17283"/>
      <w:bookmarkStart w:id="1345" w:name="_Toc12377"/>
      <w:bookmarkStart w:id="1346" w:name="_Toc10980"/>
      <w:bookmarkStart w:id="1347" w:name="_Toc8058"/>
      <w:bookmarkStart w:id="1348" w:name="_Toc20293"/>
      <w:bookmarkStart w:id="1349" w:name="_Toc7836"/>
      <w:bookmarkStart w:id="1350" w:name="_Toc28142"/>
      <w:bookmarkStart w:id="1351" w:name="_Toc12360"/>
      <w:bookmarkStart w:id="1352" w:name="_Toc3518"/>
      <w:bookmarkStart w:id="1353" w:name="_Toc18294"/>
      <w:bookmarkStart w:id="1354" w:name="_Toc582"/>
      <w:bookmarkStart w:id="1355" w:name="_Toc19219"/>
      <w:bookmarkStart w:id="1356" w:name="_Toc2067"/>
      <w:bookmarkStart w:id="1357" w:name="_Toc5304"/>
      <w:bookmarkStart w:id="1358" w:name="_Toc26298"/>
      <w:r>
        <w:rPr>
          <w:rFonts w:hint="eastAsia" w:ascii="微软雅黑" w:hAnsi="微软雅黑" w:eastAsia="微软雅黑" w:cs="微软雅黑"/>
          <w:b/>
          <w:bCs/>
          <w:color w:val="auto"/>
          <w:sz w:val="24"/>
          <w:szCs w:val="24"/>
        </w:rPr>
        <w:t>2.6 结算方式和付款条件</w:t>
      </w:r>
      <w:bookmarkEnd w:id="1325"/>
      <w:bookmarkEnd w:id="1326"/>
      <w:bookmarkEnd w:id="1327"/>
      <w:bookmarkEnd w:id="1328"/>
      <w:bookmarkEnd w:id="1329"/>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详见</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359" w:name="_Toc259093677"/>
      <w:bookmarkStart w:id="1360" w:name="_Toc487900358"/>
      <w:bookmarkStart w:id="1361" w:name="_Ref467379863"/>
      <w:bookmarkStart w:id="1362" w:name="_Ref467379852"/>
      <w:bookmarkStart w:id="1363" w:name="_Toc279701248"/>
      <w:bookmarkStart w:id="1364" w:name="_Ref467379923"/>
      <w:bookmarkStart w:id="1365" w:name="_Toc3225"/>
      <w:bookmarkStart w:id="1366" w:name="_Toc11615"/>
      <w:bookmarkStart w:id="1367" w:name="_Toc17607"/>
      <w:bookmarkStart w:id="1368" w:name="_Toc16110"/>
      <w:bookmarkStart w:id="1369" w:name="_Toc31305"/>
      <w:bookmarkStart w:id="1370" w:name="_Toc24083"/>
      <w:bookmarkStart w:id="1371" w:name="_Toc29616"/>
      <w:bookmarkStart w:id="1372" w:name="_Toc8272"/>
      <w:bookmarkStart w:id="1373" w:name="_Toc14939"/>
      <w:bookmarkStart w:id="1374" w:name="_Toc23170"/>
      <w:bookmarkStart w:id="1375" w:name="_Toc14491"/>
      <w:bookmarkStart w:id="1376" w:name="_Toc31971"/>
      <w:bookmarkStart w:id="1377" w:name="_Toc13023"/>
      <w:bookmarkStart w:id="1378" w:name="_Toc3333"/>
      <w:bookmarkStart w:id="1379" w:name="_Toc11236"/>
      <w:bookmarkStart w:id="1380" w:name="_Toc6635"/>
      <w:bookmarkStart w:id="1381" w:name="_Toc9845"/>
      <w:bookmarkStart w:id="1382" w:name="_Toc14432"/>
      <w:bookmarkStart w:id="1383" w:name="_Toc7000"/>
      <w:bookmarkStart w:id="1384" w:name="_Toc774"/>
      <w:bookmarkStart w:id="1385" w:name="_Toc25277"/>
      <w:bookmarkStart w:id="1386" w:name="_Toc17136"/>
      <w:bookmarkStart w:id="1387" w:name="_Toc17051"/>
      <w:bookmarkStart w:id="1388" w:name="_Toc1200"/>
      <w:bookmarkStart w:id="1389" w:name="_Toc8942"/>
      <w:bookmarkStart w:id="1390" w:name="_Toc29030"/>
      <w:bookmarkStart w:id="1391" w:name="_Toc10114"/>
      <w:bookmarkStart w:id="1392" w:name="_Toc28781"/>
      <w:r>
        <w:rPr>
          <w:rFonts w:hint="eastAsia" w:ascii="微软雅黑" w:hAnsi="微软雅黑" w:eastAsia="微软雅黑" w:cs="微软雅黑"/>
          <w:b/>
          <w:bCs/>
          <w:color w:val="auto"/>
          <w:sz w:val="24"/>
          <w:szCs w:val="24"/>
        </w:rPr>
        <w:t>2.7 技术资料</w:t>
      </w:r>
      <w:bookmarkEnd w:id="1359"/>
      <w:bookmarkEnd w:id="1360"/>
      <w:bookmarkEnd w:id="1361"/>
      <w:bookmarkEnd w:id="1362"/>
      <w:bookmarkEnd w:id="1363"/>
      <w:bookmarkEnd w:id="1364"/>
      <w:r>
        <w:rPr>
          <w:rFonts w:hint="eastAsia" w:ascii="微软雅黑" w:hAnsi="微软雅黑" w:eastAsia="微软雅黑" w:cs="微软雅黑"/>
          <w:b/>
          <w:bCs/>
          <w:color w:val="auto"/>
          <w:sz w:val="24"/>
          <w:szCs w:val="24"/>
        </w:rPr>
        <w:t>和保密义务</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2.7.1 乙方有权依据合同约定和项目需要，向甲方了解有关情况，调阅有关资料等，甲方应予积极配合；</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2.7.2 乙方有义务妥善保管和保护由甲方提供的前款信息和资料等；</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393" w:name="_Toc122"/>
      <w:bookmarkStart w:id="1394" w:name="_Toc7860"/>
      <w:bookmarkStart w:id="1395" w:name="_Toc23081"/>
      <w:bookmarkStart w:id="1396" w:name="_Toc5556"/>
      <w:bookmarkStart w:id="1397" w:name="_Toc27453"/>
      <w:bookmarkStart w:id="1398" w:name="_Toc18231"/>
      <w:bookmarkStart w:id="1399" w:name="_Toc26425"/>
      <w:bookmarkStart w:id="1400" w:name="_Toc31496"/>
      <w:bookmarkStart w:id="1401" w:name="_Toc11328"/>
      <w:bookmarkStart w:id="1402" w:name="_Toc16190"/>
      <w:bookmarkStart w:id="1403" w:name="_Toc14045"/>
      <w:bookmarkStart w:id="1404" w:name="_Toc25676"/>
      <w:bookmarkStart w:id="1405" w:name="_Toc10326"/>
      <w:bookmarkStart w:id="1406" w:name="_Toc30477"/>
      <w:bookmarkStart w:id="1407" w:name="_Toc20641"/>
      <w:bookmarkStart w:id="1408" w:name="_Toc8288"/>
      <w:bookmarkStart w:id="1409" w:name="_Toc21267"/>
      <w:bookmarkStart w:id="1410" w:name="_Toc6228"/>
      <w:bookmarkStart w:id="1411" w:name="_Toc3156"/>
      <w:bookmarkStart w:id="1412" w:name="_Toc5200"/>
      <w:bookmarkStart w:id="1413" w:name="_Toc4779"/>
      <w:bookmarkStart w:id="1414" w:name="_Toc30503"/>
      <w:bookmarkStart w:id="1415" w:name="_Toc18551"/>
      <w:bookmarkStart w:id="1416" w:name="_Toc30167"/>
      <w:bookmarkStart w:id="1417" w:name="_Toc19659"/>
      <w:bookmarkStart w:id="1418" w:name="_Toc11530"/>
      <w:r>
        <w:rPr>
          <w:rFonts w:hint="eastAsia" w:ascii="微软雅黑" w:hAnsi="微软雅黑" w:eastAsia="微软雅黑" w:cs="微软雅黑"/>
          <w:b/>
          <w:bCs/>
          <w:color w:val="auto"/>
          <w:sz w:val="24"/>
          <w:szCs w:val="24"/>
        </w:rPr>
        <w:t>2.8 质量保证</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2.8.1 乙方应建立和完善履行合同的内部质量保证体系，并提供相关内部规章制度给甲方，以便甲方进行监督检查；</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2.8.2 乙方应保证履行合同的人员数量和素质、软件和硬件设备的配置、场地、环境和设施等满足全面履行合同的要求，并应接受甲方的监督检查。</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419" w:name="_Toc812"/>
      <w:bookmarkStart w:id="1420" w:name="_Toc12010"/>
      <w:bookmarkStart w:id="1421" w:name="_Toc27234"/>
      <w:bookmarkStart w:id="1422" w:name="_Toc14663"/>
      <w:bookmarkStart w:id="1423" w:name="_Toc12966"/>
      <w:bookmarkStart w:id="1424" w:name="_Toc23172"/>
      <w:bookmarkStart w:id="1425" w:name="_Toc26555"/>
      <w:bookmarkStart w:id="1426" w:name="_Toc15929"/>
      <w:bookmarkStart w:id="1427" w:name="_Toc17030"/>
      <w:bookmarkStart w:id="1428" w:name="_Toc14596"/>
      <w:bookmarkStart w:id="1429" w:name="_Toc22016"/>
      <w:bookmarkStart w:id="1430" w:name="_Toc17497"/>
      <w:bookmarkStart w:id="1431" w:name="_Toc21330"/>
      <w:bookmarkStart w:id="1432" w:name="_Toc13410"/>
      <w:bookmarkStart w:id="1433" w:name="_Toc28147"/>
      <w:bookmarkStart w:id="1434" w:name="_Toc31920"/>
      <w:bookmarkStart w:id="1435" w:name="_Toc15408"/>
      <w:bookmarkStart w:id="1436" w:name="_Toc12408"/>
      <w:bookmarkStart w:id="1437" w:name="_Toc3300"/>
      <w:bookmarkStart w:id="1438" w:name="_Toc16367"/>
      <w:bookmarkStart w:id="1439" w:name="_Toc13812"/>
      <w:bookmarkStart w:id="1440" w:name="_Toc27238"/>
      <w:bookmarkStart w:id="1441" w:name="_Toc801"/>
      <w:bookmarkStart w:id="1442" w:name="_Toc25529"/>
      <w:bookmarkStart w:id="1443" w:name="_Toc17244"/>
      <w:bookmarkStart w:id="1444" w:name="_Toc10150"/>
      <w:bookmarkStart w:id="1445" w:name="_Toc487900362"/>
      <w:bookmarkStart w:id="1446" w:name="_Toc279701252"/>
      <w:bookmarkStart w:id="1447" w:name="_Toc259093681"/>
      <w:r>
        <w:rPr>
          <w:rFonts w:hint="eastAsia" w:ascii="微软雅黑" w:hAnsi="微软雅黑" w:eastAsia="微软雅黑" w:cs="微软雅黑"/>
          <w:b/>
          <w:bCs/>
          <w:color w:val="auto"/>
          <w:sz w:val="24"/>
          <w:szCs w:val="24"/>
        </w:rPr>
        <w:t>2.9 货物的风险负担</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pPr>
        <w:spacing w:line="360" w:lineRule="exact"/>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货物或者在途货物或者交付给第一承运人后的货物毁损、灭失的风险负担详见</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448" w:name="_Toc20938"/>
      <w:bookmarkStart w:id="1449" w:name="_Toc17555"/>
      <w:bookmarkStart w:id="1450" w:name="_Toc24830"/>
      <w:bookmarkStart w:id="1451" w:name="_Toc26347"/>
      <w:bookmarkStart w:id="1452" w:name="_Toc25663"/>
      <w:bookmarkStart w:id="1453" w:name="_Toc11963"/>
      <w:bookmarkStart w:id="1454" w:name="_Toc15972"/>
      <w:bookmarkStart w:id="1455" w:name="_Toc26567"/>
      <w:bookmarkStart w:id="1456" w:name="_Toc10676"/>
      <w:bookmarkStart w:id="1457" w:name="_Toc29192"/>
      <w:bookmarkStart w:id="1458" w:name="_Toc22674"/>
      <w:bookmarkStart w:id="1459" w:name="_Toc20457"/>
      <w:bookmarkStart w:id="1460" w:name="_Toc1299"/>
      <w:bookmarkStart w:id="1461" w:name="_Toc14055"/>
      <w:bookmarkStart w:id="1462" w:name="_Toc5196"/>
      <w:bookmarkStart w:id="1463" w:name="_Toc2"/>
      <w:bookmarkStart w:id="1464" w:name="_Toc1494"/>
      <w:bookmarkStart w:id="1465" w:name="_Toc15465"/>
      <w:bookmarkStart w:id="1466" w:name="_Toc15112"/>
      <w:bookmarkStart w:id="1467" w:name="_Toc29837"/>
      <w:bookmarkStart w:id="1468" w:name="_Toc16001"/>
      <w:bookmarkStart w:id="1469" w:name="_Toc7986"/>
      <w:bookmarkStart w:id="1470" w:name="_Toc6602"/>
      <w:bookmarkStart w:id="1471" w:name="_Toc5876"/>
      <w:bookmarkStart w:id="1472" w:name="_Toc14698"/>
      <w:bookmarkStart w:id="1473" w:name="_Toc19684"/>
      <w:r>
        <w:rPr>
          <w:rFonts w:hint="eastAsia" w:ascii="微软雅黑" w:hAnsi="微软雅黑" w:eastAsia="微软雅黑" w:cs="微软雅黑"/>
          <w:b/>
          <w:bCs/>
          <w:color w:val="auto"/>
          <w:sz w:val="24"/>
          <w:szCs w:val="24"/>
        </w:rPr>
        <w:t>2.10 延迟交货</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474" w:name="_Toc12175"/>
      <w:bookmarkStart w:id="1475" w:name="_Toc18704"/>
      <w:bookmarkStart w:id="1476" w:name="_Toc16810"/>
      <w:bookmarkStart w:id="1477" w:name="_Toc9706"/>
      <w:bookmarkStart w:id="1478" w:name="_Toc19951"/>
      <w:bookmarkStart w:id="1479" w:name="_Toc8441"/>
      <w:bookmarkStart w:id="1480" w:name="_Toc16528"/>
      <w:bookmarkStart w:id="1481" w:name="_Toc23198"/>
      <w:bookmarkStart w:id="1482" w:name="_Toc20266"/>
      <w:bookmarkStart w:id="1483" w:name="_Toc14851"/>
      <w:bookmarkStart w:id="1484" w:name="_Toc10956"/>
      <w:bookmarkStart w:id="1485" w:name="_Toc507"/>
      <w:bookmarkStart w:id="1486" w:name="_Toc17237"/>
      <w:bookmarkStart w:id="1487" w:name="_Toc7502"/>
      <w:bookmarkStart w:id="1488" w:name="_Toc14590"/>
      <w:bookmarkStart w:id="1489" w:name="_Toc21567"/>
      <w:bookmarkStart w:id="1490" w:name="_Toc8126"/>
      <w:bookmarkStart w:id="1491" w:name="_Toc9194"/>
      <w:bookmarkStart w:id="1492" w:name="_Toc15143"/>
      <w:bookmarkStart w:id="1493" w:name="_Toc7444"/>
      <w:bookmarkStart w:id="1494" w:name="_Toc3064"/>
      <w:bookmarkStart w:id="1495" w:name="_Toc29075"/>
      <w:bookmarkStart w:id="1496" w:name="_Toc25717"/>
      <w:bookmarkStart w:id="1497" w:name="_Toc4586"/>
      <w:bookmarkStart w:id="1498" w:name="_Toc2860"/>
      <w:bookmarkStart w:id="1499" w:name="_Toc31403"/>
      <w:bookmarkStart w:id="1500" w:name="_Toc259093683"/>
      <w:bookmarkStart w:id="1501" w:name="_Toc487900364"/>
      <w:bookmarkStart w:id="1502" w:name="_Toc279701254"/>
      <w:bookmarkStart w:id="1503" w:name="_Ref467378121"/>
      <w:r>
        <w:rPr>
          <w:rFonts w:hint="eastAsia" w:ascii="微软雅黑" w:hAnsi="微软雅黑" w:eastAsia="微软雅黑" w:cs="微软雅黑"/>
          <w:b/>
          <w:bCs/>
          <w:color w:val="auto"/>
          <w:sz w:val="24"/>
          <w:szCs w:val="24"/>
        </w:rPr>
        <w:t>2.11 合同变更</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2.11.2 合同继续履行将损害国家利益和社会公共利益的，双方当事人应当以书面形式变更合同。有过错的一方应当承担赔偿责任，双方当事人都有过错的，各自承担相应的责任。</w:t>
      </w:r>
      <w:bookmarkStart w:id="1504" w:name="_Toc279701259"/>
      <w:bookmarkStart w:id="1505" w:name="_Toc487900369"/>
      <w:bookmarkStart w:id="1506" w:name="_Toc259093688"/>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507" w:name="_Toc3062"/>
      <w:bookmarkStart w:id="1508" w:name="_Toc23079"/>
      <w:bookmarkStart w:id="1509" w:name="_Toc3928"/>
      <w:bookmarkStart w:id="1510" w:name="_Toc22955"/>
      <w:bookmarkStart w:id="1511" w:name="_Toc2157"/>
      <w:bookmarkStart w:id="1512" w:name="_Toc24511"/>
      <w:bookmarkStart w:id="1513" w:name="_Toc26224"/>
      <w:bookmarkStart w:id="1514" w:name="_Toc29045"/>
      <w:bookmarkStart w:id="1515" w:name="_Toc27772"/>
      <w:bookmarkStart w:id="1516" w:name="_Toc10366"/>
      <w:bookmarkStart w:id="1517" w:name="_Toc19550"/>
      <w:bookmarkStart w:id="1518" w:name="_Toc3825"/>
      <w:bookmarkStart w:id="1519" w:name="_Toc8679"/>
      <w:bookmarkStart w:id="1520" w:name="_Toc26864"/>
      <w:bookmarkStart w:id="1521" w:name="_Toc10537"/>
      <w:bookmarkStart w:id="1522" w:name="_Toc32309"/>
      <w:bookmarkStart w:id="1523" w:name="_Toc15237"/>
      <w:bookmarkStart w:id="1524" w:name="_Toc14895"/>
      <w:bookmarkStart w:id="1525" w:name="_Toc32581"/>
      <w:bookmarkStart w:id="1526" w:name="_Toc11626"/>
      <w:bookmarkStart w:id="1527" w:name="_Toc30397"/>
      <w:bookmarkStart w:id="1528" w:name="_Toc31419"/>
      <w:bookmarkStart w:id="1529" w:name="_Toc19380"/>
      <w:bookmarkStart w:id="1530" w:name="_Toc3931"/>
      <w:bookmarkStart w:id="1531" w:name="_Toc18316"/>
      <w:bookmarkStart w:id="1532" w:name="_Toc21753"/>
      <w:bookmarkStart w:id="1533" w:name="_Toc6051"/>
      <w:bookmarkStart w:id="1534" w:name="_Toc25508"/>
      <w:r>
        <w:rPr>
          <w:rFonts w:hint="eastAsia" w:ascii="微软雅黑" w:hAnsi="微软雅黑" w:eastAsia="微软雅黑" w:cs="微软雅黑"/>
          <w:b/>
          <w:bCs/>
          <w:color w:val="auto"/>
          <w:sz w:val="24"/>
          <w:szCs w:val="24"/>
        </w:rPr>
        <w:t>2.12 合同转让</w:t>
      </w:r>
      <w:bookmarkEnd w:id="1504"/>
      <w:bookmarkEnd w:id="1505"/>
      <w:bookmarkEnd w:id="1506"/>
      <w:r>
        <w:rPr>
          <w:rFonts w:hint="eastAsia" w:ascii="微软雅黑" w:hAnsi="微软雅黑" w:eastAsia="微软雅黑" w:cs="微软雅黑"/>
          <w:b/>
          <w:bCs/>
          <w:color w:val="auto"/>
          <w:sz w:val="24"/>
          <w:szCs w:val="24"/>
        </w:rPr>
        <w:t>和分包</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535" w:name="_Toc5484"/>
      <w:bookmarkStart w:id="1536" w:name="_Toc19407"/>
      <w:bookmarkStart w:id="1537" w:name="_Toc16508"/>
      <w:bookmarkStart w:id="1538" w:name="_Toc32426"/>
      <w:bookmarkStart w:id="1539" w:name="_Toc8114"/>
      <w:bookmarkStart w:id="1540" w:name="_Toc2586"/>
      <w:bookmarkStart w:id="1541" w:name="_Toc32515"/>
      <w:bookmarkStart w:id="1542" w:name="_Toc10688"/>
      <w:bookmarkStart w:id="1543" w:name="_Toc3533"/>
      <w:bookmarkStart w:id="1544" w:name="_Toc12165"/>
      <w:bookmarkStart w:id="1545" w:name="_Toc16893"/>
      <w:bookmarkStart w:id="1546" w:name="_Toc24741"/>
      <w:bookmarkStart w:id="1547" w:name="_Toc12809"/>
      <w:bookmarkStart w:id="1548" w:name="_Toc31984"/>
      <w:bookmarkStart w:id="1549" w:name="_Toc14752"/>
      <w:bookmarkStart w:id="1550" w:name="_Toc13557"/>
      <w:bookmarkStart w:id="1551" w:name="_Toc6501"/>
      <w:bookmarkStart w:id="1552" w:name="_Toc22326"/>
      <w:bookmarkStart w:id="1553" w:name="_Toc14066"/>
      <w:bookmarkStart w:id="1554" w:name="_Toc18272"/>
      <w:bookmarkStart w:id="1555" w:name="_Toc4540"/>
      <w:bookmarkStart w:id="1556" w:name="_Toc3177"/>
      <w:bookmarkStart w:id="1557" w:name="_Toc13566"/>
      <w:bookmarkStart w:id="1558" w:name="_Toc19750"/>
      <w:bookmarkStart w:id="1559" w:name="_Toc11104"/>
      <w:bookmarkStart w:id="1560" w:name="_Toc14564"/>
      <w:bookmarkStart w:id="1561" w:name="_Toc17498"/>
      <w:bookmarkStart w:id="1562" w:name="_Toc15741"/>
      <w:r>
        <w:rPr>
          <w:rFonts w:hint="eastAsia" w:ascii="微软雅黑" w:hAnsi="微软雅黑" w:eastAsia="微软雅黑" w:cs="微软雅黑"/>
          <w:b/>
          <w:bCs/>
          <w:color w:val="auto"/>
          <w:sz w:val="24"/>
          <w:szCs w:val="24"/>
        </w:rPr>
        <w:t>2.13 不可抗力</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2.13.1如果任何一方遭遇法律规定的不可抗力，致使合同履行受阻时，履行合同的期限应予延长，延长的期限应相当于不可抗力所影响的时间；</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2.13.2 因不可抗力致使不能实现合同目的的，当事人可以解除合同；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2.13.3 因不可抗力致使合同有变更必要的，双方当事人应在</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约定时间内以书面形式变更合同；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2.13.4受不可抗力影响的一方在不可抗力发生后，应在</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约定时间内以书面形式通知对方当事人，并在</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约定时间内，将有关部门出具的证明文件送达对方当事人。</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563" w:name="_Toc16229"/>
      <w:bookmarkStart w:id="1564" w:name="_Toc4006"/>
      <w:bookmarkStart w:id="1565" w:name="_Toc12959"/>
      <w:bookmarkStart w:id="1566" w:name="_Toc1584"/>
      <w:bookmarkStart w:id="1567" w:name="_Toc7175"/>
      <w:bookmarkStart w:id="1568" w:name="_Toc28340"/>
      <w:bookmarkStart w:id="1569" w:name="_Toc16506"/>
      <w:bookmarkStart w:id="1570" w:name="_Toc11876"/>
      <w:bookmarkStart w:id="1571" w:name="_Toc25124"/>
      <w:bookmarkStart w:id="1572" w:name="_Toc6288"/>
      <w:bookmarkStart w:id="1573" w:name="_Toc20375"/>
      <w:bookmarkStart w:id="1574" w:name="_Toc6047"/>
      <w:bookmarkStart w:id="1575" w:name="_Toc487900365"/>
      <w:bookmarkStart w:id="1576" w:name="_Toc279701255"/>
      <w:bookmarkStart w:id="1577" w:name="_Toc26085"/>
      <w:bookmarkStart w:id="1578" w:name="_Toc30676"/>
      <w:bookmarkStart w:id="1579" w:name="_Toc31597"/>
      <w:bookmarkStart w:id="1580" w:name="_Toc7145"/>
      <w:bookmarkStart w:id="1581" w:name="_Toc19677"/>
      <w:bookmarkStart w:id="1582" w:name="_Toc28939"/>
      <w:bookmarkStart w:id="1583" w:name="_Toc6969"/>
      <w:bookmarkStart w:id="1584" w:name="_Toc6676"/>
      <w:bookmarkStart w:id="1585" w:name="_Toc689"/>
      <w:bookmarkStart w:id="1586" w:name="_Toc24010"/>
      <w:bookmarkStart w:id="1587" w:name="_Toc10528"/>
      <w:bookmarkStart w:id="1588" w:name="_Toc32764"/>
      <w:bookmarkStart w:id="1589" w:name="_Toc5884"/>
      <w:bookmarkStart w:id="1590" w:name="_Toc13910"/>
      <w:bookmarkStart w:id="1591" w:name="_Toc259093684"/>
      <w:bookmarkStart w:id="1592" w:name="_Toc28117"/>
      <w:bookmarkStart w:id="1593" w:name="_Toc11423"/>
      <w:r>
        <w:rPr>
          <w:rFonts w:hint="eastAsia" w:ascii="微软雅黑" w:hAnsi="微软雅黑" w:eastAsia="微软雅黑" w:cs="微软雅黑"/>
          <w:b/>
          <w:bCs/>
          <w:color w:val="auto"/>
          <w:sz w:val="24"/>
          <w:szCs w:val="24"/>
        </w:rPr>
        <w:t>2.14 税费</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与合同有关的一切税费，均按照中华人民共和国法律的相关规定。</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594" w:name="_Toc279701258"/>
      <w:bookmarkStart w:id="1595" w:name="_Toc15256"/>
      <w:bookmarkStart w:id="1596" w:name="_Toc7102"/>
      <w:bookmarkStart w:id="1597" w:name="_Toc20594"/>
      <w:bookmarkStart w:id="1598" w:name="_Toc259093687"/>
      <w:bookmarkStart w:id="1599" w:name="_Toc24862"/>
      <w:bookmarkStart w:id="1600" w:name="_Toc21290"/>
      <w:bookmarkStart w:id="1601" w:name="_Toc4812"/>
      <w:bookmarkStart w:id="1602" w:name="_Toc487900368"/>
      <w:bookmarkStart w:id="1603" w:name="_Toc515"/>
      <w:bookmarkStart w:id="1604" w:name="_Toc13626"/>
      <w:bookmarkStart w:id="1605" w:name="_Toc29993"/>
      <w:bookmarkStart w:id="1606" w:name="_Toc8496"/>
      <w:bookmarkStart w:id="1607" w:name="_Toc25055"/>
      <w:bookmarkStart w:id="1608" w:name="_Toc22239"/>
      <w:bookmarkStart w:id="1609" w:name="_Toc29869"/>
      <w:bookmarkStart w:id="1610" w:name="_Toc17523"/>
      <w:bookmarkStart w:id="1611" w:name="_Toc13488"/>
      <w:bookmarkStart w:id="1612" w:name="_Toc8298"/>
      <w:bookmarkStart w:id="1613" w:name="_Toc8934"/>
      <w:bookmarkStart w:id="1614" w:name="_Toc7117"/>
      <w:bookmarkStart w:id="1615" w:name="_Toc27541"/>
      <w:bookmarkStart w:id="1616" w:name="_Toc12141"/>
      <w:bookmarkStart w:id="1617" w:name="_Toc16959"/>
      <w:bookmarkStart w:id="1618" w:name="_Toc23872"/>
      <w:bookmarkStart w:id="1619" w:name="_Toc15527"/>
      <w:bookmarkStart w:id="1620" w:name="_Toc25260"/>
      <w:bookmarkStart w:id="1621" w:name="_Toc14403"/>
      <w:bookmarkStart w:id="1622" w:name="_Toc29019"/>
      <w:bookmarkStart w:id="1623" w:name="_Toc11308"/>
      <w:bookmarkStart w:id="1624" w:name="_Toc23266"/>
      <w:r>
        <w:rPr>
          <w:rFonts w:hint="eastAsia" w:ascii="微软雅黑" w:hAnsi="微软雅黑" w:eastAsia="微软雅黑" w:cs="微软雅黑"/>
          <w:b/>
          <w:bCs/>
          <w:color w:val="auto"/>
          <w:sz w:val="24"/>
          <w:szCs w:val="24"/>
        </w:rPr>
        <w:t>2.15 乙方破产</w:t>
      </w:r>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625" w:name="_Toc9318"/>
      <w:bookmarkStart w:id="1626" w:name="_Toc12606"/>
      <w:bookmarkStart w:id="1627" w:name="_Toc6134"/>
      <w:bookmarkStart w:id="1628" w:name="_Toc26255"/>
      <w:bookmarkStart w:id="1629" w:name="_Toc24867"/>
      <w:bookmarkStart w:id="1630" w:name="_Toc110"/>
      <w:bookmarkStart w:id="1631" w:name="_Toc818"/>
      <w:bookmarkStart w:id="1632" w:name="_Toc4013"/>
      <w:bookmarkStart w:id="1633" w:name="_Toc20564"/>
      <w:bookmarkStart w:id="1634" w:name="_Toc31639"/>
      <w:bookmarkStart w:id="1635" w:name="_Toc25273"/>
      <w:bookmarkStart w:id="1636" w:name="_Toc32508"/>
      <w:bookmarkStart w:id="1637" w:name="_Toc15605"/>
      <w:bookmarkStart w:id="1638" w:name="_Toc27106"/>
      <w:bookmarkStart w:id="1639" w:name="_Toc1942"/>
      <w:bookmarkStart w:id="1640" w:name="_Toc29764"/>
      <w:bookmarkStart w:id="1641" w:name="_Toc4227"/>
      <w:bookmarkStart w:id="1642" w:name="_Toc30362"/>
      <w:bookmarkStart w:id="1643" w:name="_Toc21321"/>
      <w:bookmarkStart w:id="1644" w:name="_Toc29333"/>
      <w:bookmarkStart w:id="1645" w:name="_Toc3991"/>
      <w:bookmarkStart w:id="1646" w:name="_Toc24066"/>
      <w:bookmarkStart w:id="1647" w:name="_Toc1303"/>
      <w:bookmarkStart w:id="1648" w:name="_Toc24976"/>
      <w:bookmarkStart w:id="1649" w:name="_Toc15445"/>
      <w:bookmarkStart w:id="1650" w:name="_Toc16990"/>
      <w:bookmarkStart w:id="1651" w:name="_Toc23040"/>
      <w:bookmarkStart w:id="1652" w:name="_Toc15387"/>
      <w:r>
        <w:rPr>
          <w:rFonts w:hint="eastAsia" w:ascii="微软雅黑" w:hAnsi="微软雅黑" w:eastAsia="微软雅黑" w:cs="微软雅黑"/>
          <w:b/>
          <w:bCs/>
          <w:color w:val="auto"/>
          <w:sz w:val="24"/>
          <w:szCs w:val="24"/>
        </w:rPr>
        <w:t>2.16 合同中止、终止</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2.16.1 双方当事人不得擅自中止或者终止合同；</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653" w:name="_Toc13848"/>
      <w:bookmarkStart w:id="1654" w:name="_Toc29952"/>
      <w:bookmarkStart w:id="1655" w:name="_Toc21636"/>
      <w:bookmarkStart w:id="1656" w:name="_Toc14890"/>
      <w:bookmarkStart w:id="1657" w:name="_Toc6596"/>
      <w:bookmarkStart w:id="1658" w:name="_Toc24731"/>
      <w:bookmarkStart w:id="1659" w:name="_Toc30133"/>
      <w:bookmarkStart w:id="1660" w:name="_Toc6704"/>
      <w:bookmarkStart w:id="1661" w:name="_Toc1125"/>
      <w:bookmarkStart w:id="1662" w:name="_Toc25358"/>
      <w:bookmarkStart w:id="1663" w:name="_Toc28047"/>
      <w:bookmarkStart w:id="1664" w:name="_Toc20145"/>
      <w:bookmarkStart w:id="1665" w:name="_Toc11658"/>
      <w:bookmarkStart w:id="1666" w:name="_Toc19755"/>
      <w:bookmarkStart w:id="1667" w:name="_Toc30958"/>
      <w:bookmarkStart w:id="1668" w:name="_Toc13150"/>
      <w:bookmarkStart w:id="1669" w:name="_Toc28303"/>
      <w:bookmarkStart w:id="1670" w:name="_Toc5648"/>
      <w:bookmarkStart w:id="1671" w:name="_Toc31577"/>
      <w:bookmarkStart w:id="1672" w:name="_Toc26299"/>
      <w:bookmarkStart w:id="1673" w:name="_Toc25710"/>
      <w:bookmarkStart w:id="1674" w:name="_Toc29336"/>
      <w:bookmarkStart w:id="1675" w:name="_Toc25516"/>
      <w:bookmarkStart w:id="1676" w:name="_Toc25230"/>
      <w:bookmarkStart w:id="1677" w:name="_Toc4111"/>
      <w:bookmarkStart w:id="1678" w:name="_Toc11637"/>
      <w:bookmarkStart w:id="1679" w:name="_Toc14563"/>
      <w:bookmarkStart w:id="1680" w:name="_Toc30476"/>
      <w:r>
        <w:rPr>
          <w:rFonts w:hint="eastAsia" w:ascii="微软雅黑" w:hAnsi="微软雅黑" w:eastAsia="微软雅黑" w:cs="微软雅黑"/>
          <w:b/>
          <w:bCs/>
          <w:color w:val="auto"/>
          <w:sz w:val="24"/>
          <w:szCs w:val="24"/>
        </w:rPr>
        <w:t>2.17 检验和验收</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p>
    <w:p>
      <w:pPr>
        <w:tabs>
          <w:tab w:val="left" w:pos="360"/>
          <w:tab w:val="left" w:pos="540"/>
          <w:tab w:val="left" w:pos="1080"/>
        </w:tabs>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约定时间内组织验收，并可依法邀请相关方参加，验收应出具验收书。</w:t>
      </w:r>
    </w:p>
    <w:p>
      <w:pPr>
        <w:tabs>
          <w:tab w:val="left" w:pos="360"/>
          <w:tab w:val="left" w:pos="540"/>
          <w:tab w:val="left" w:pos="1080"/>
        </w:tabs>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2.17.3 检验和验收标准、程序等具体内容以及前述验收书的效力详见</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i/>
          <w:iCs/>
          <w:color w:val="auto"/>
          <w:sz w:val="24"/>
          <w:szCs w:val="24"/>
        </w:rPr>
        <w:t>。</w:t>
      </w:r>
    </w:p>
    <w:bookmarkEnd w:id="1500"/>
    <w:bookmarkEnd w:id="1501"/>
    <w:bookmarkEnd w:id="1502"/>
    <w:bookmarkEnd w:id="1503"/>
    <w:p>
      <w:pPr>
        <w:spacing w:line="360" w:lineRule="exact"/>
        <w:ind w:firstLine="480" w:firstLineChars="200"/>
        <w:outlineLvl w:val="0"/>
        <w:rPr>
          <w:rFonts w:hint="eastAsia" w:ascii="微软雅黑" w:hAnsi="微软雅黑" w:eastAsia="微软雅黑" w:cs="微软雅黑"/>
          <w:b/>
          <w:bCs/>
          <w:color w:val="auto"/>
          <w:sz w:val="24"/>
          <w:szCs w:val="24"/>
        </w:rPr>
      </w:pPr>
      <w:bookmarkStart w:id="1681" w:name="_Toc487900371"/>
      <w:bookmarkStart w:id="1682" w:name="_Toc279701261"/>
      <w:bookmarkStart w:id="1683" w:name="_Toc259093690"/>
      <w:bookmarkStart w:id="1684" w:name="_Toc29039"/>
      <w:bookmarkStart w:id="1685" w:name="_Toc324"/>
      <w:bookmarkStart w:id="1686" w:name="_Toc14665"/>
      <w:bookmarkStart w:id="1687" w:name="_Toc26892"/>
      <w:bookmarkStart w:id="1688" w:name="_Toc27621"/>
      <w:bookmarkStart w:id="1689" w:name="_Toc4983"/>
      <w:bookmarkStart w:id="1690" w:name="_Toc29267"/>
      <w:bookmarkStart w:id="1691" w:name="_Toc31945"/>
      <w:bookmarkStart w:id="1692" w:name="_Toc17313"/>
      <w:bookmarkStart w:id="1693" w:name="_Toc8125"/>
      <w:bookmarkStart w:id="1694" w:name="_Toc26823"/>
      <w:bookmarkStart w:id="1695" w:name="_Toc13220"/>
      <w:bookmarkStart w:id="1696" w:name="_Toc17270"/>
      <w:bookmarkStart w:id="1697" w:name="_Toc25692"/>
      <w:bookmarkStart w:id="1698" w:name="_Toc7641"/>
      <w:bookmarkStart w:id="1699" w:name="_Toc9266"/>
      <w:bookmarkStart w:id="1700" w:name="_Toc14242"/>
      <w:bookmarkStart w:id="1701" w:name="_Toc7660"/>
      <w:bookmarkStart w:id="1702" w:name="_Toc25182"/>
      <w:bookmarkStart w:id="1703" w:name="_Toc22021"/>
      <w:bookmarkStart w:id="1704" w:name="_Toc8096"/>
      <w:bookmarkStart w:id="1705" w:name="_Toc11284"/>
      <w:bookmarkStart w:id="1706" w:name="_Toc23633"/>
      <w:bookmarkStart w:id="1707" w:name="_Toc725"/>
      <w:bookmarkStart w:id="1708" w:name="_Toc19604"/>
      <w:bookmarkStart w:id="1709" w:name="_Toc10130"/>
      <w:bookmarkStart w:id="1710" w:name="_Toc12493"/>
      <w:bookmarkStart w:id="1711" w:name="_Toc15037"/>
      <w:r>
        <w:rPr>
          <w:rFonts w:hint="eastAsia" w:ascii="微软雅黑" w:hAnsi="微软雅黑" w:eastAsia="微软雅黑" w:cs="微软雅黑"/>
          <w:b/>
          <w:bCs/>
          <w:color w:val="auto"/>
          <w:sz w:val="24"/>
          <w:szCs w:val="24"/>
        </w:rPr>
        <w:t>2.18 通知</w:t>
      </w:r>
      <w:bookmarkEnd w:id="1681"/>
      <w:bookmarkEnd w:id="1682"/>
      <w:bookmarkEnd w:id="1683"/>
      <w:r>
        <w:rPr>
          <w:rFonts w:hint="eastAsia" w:ascii="微软雅黑" w:hAnsi="微软雅黑" w:eastAsia="微软雅黑" w:cs="微软雅黑"/>
          <w:b/>
          <w:bCs/>
          <w:color w:val="auto"/>
          <w:sz w:val="24"/>
          <w:szCs w:val="24"/>
        </w:rPr>
        <w:t>和送达</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p>
      <w:pPr>
        <w:spacing w:line="360" w:lineRule="exact"/>
        <w:ind w:firstLine="480" w:firstLineChars="200"/>
        <w:rPr>
          <w:rFonts w:hint="eastAsia" w:ascii="微软雅黑" w:hAnsi="微软雅黑" w:eastAsia="微软雅黑" w:cs="微软雅黑"/>
          <w:color w:val="auto"/>
          <w:sz w:val="24"/>
          <w:szCs w:val="24"/>
        </w:rPr>
      </w:pPr>
      <w:bookmarkStart w:id="1712" w:name="_Toc6698"/>
      <w:bookmarkStart w:id="1713" w:name="_Toc3135"/>
      <w:bookmarkStart w:id="1714" w:name="_Toc259093691"/>
      <w:bookmarkStart w:id="1715" w:name="_Toc487900372"/>
      <w:bookmarkStart w:id="1716" w:name="_Toc279701262"/>
      <w:r>
        <w:rPr>
          <w:rFonts w:hint="eastAsia" w:ascii="微软雅黑" w:hAnsi="微软雅黑" w:eastAsia="微软雅黑" w:cs="微软雅黑"/>
          <w:color w:val="auto"/>
          <w:sz w:val="24"/>
          <w:szCs w:val="24"/>
        </w:rPr>
        <w:t>2.18.1 任何一方因履行合同而以合同第一部分尾部所列明的</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发出的所有通知、文件、材料，均视为已向对方当事人送达；任何一方变更上述送达方式或者地址的，应于</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个工作日内书面通知对方当事人，在对方当事人收到有关变更通知之前，变更前的约定送达方式或者地址仍视为有效。</w:t>
      </w:r>
      <w:bookmarkEnd w:id="1712"/>
      <w:bookmarkEnd w:id="1713"/>
    </w:p>
    <w:p>
      <w:pPr>
        <w:spacing w:line="360" w:lineRule="exact"/>
        <w:ind w:firstLine="480" w:firstLineChars="200"/>
        <w:rPr>
          <w:rFonts w:hint="eastAsia" w:ascii="微软雅黑" w:hAnsi="微软雅黑" w:eastAsia="微软雅黑" w:cs="微软雅黑"/>
          <w:color w:val="auto"/>
          <w:sz w:val="24"/>
          <w:szCs w:val="24"/>
        </w:rPr>
      </w:pPr>
      <w:bookmarkStart w:id="1717" w:name="_Toc23294"/>
      <w:bookmarkStart w:id="1718" w:name="_Toc23128"/>
      <w:r>
        <w:rPr>
          <w:rFonts w:hint="eastAsia" w:ascii="微软雅黑" w:hAnsi="微软雅黑" w:eastAsia="微软雅黑" w:cs="微软雅黑"/>
          <w:color w:val="auto"/>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17"/>
      <w:bookmarkEnd w:id="1718"/>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719" w:name="_Toc10932"/>
      <w:bookmarkStart w:id="1720" w:name="_Toc31861"/>
      <w:bookmarkStart w:id="1721" w:name="_Toc7942"/>
      <w:bookmarkStart w:id="1722" w:name="_Toc25392"/>
      <w:bookmarkStart w:id="1723" w:name="_Toc30599"/>
      <w:bookmarkStart w:id="1724" w:name="_Toc18621"/>
      <w:bookmarkStart w:id="1725" w:name="_Toc32386"/>
      <w:bookmarkStart w:id="1726" w:name="_Toc15273"/>
      <w:bookmarkStart w:id="1727" w:name="_Toc20837"/>
      <w:bookmarkStart w:id="1728" w:name="_Toc4241"/>
      <w:bookmarkStart w:id="1729" w:name="_Toc18540"/>
      <w:bookmarkStart w:id="1730" w:name="_Toc29312"/>
      <w:bookmarkStart w:id="1731" w:name="_Toc30497"/>
      <w:bookmarkStart w:id="1732" w:name="_Toc2100"/>
      <w:bookmarkStart w:id="1733" w:name="_Toc21923"/>
      <w:bookmarkStart w:id="1734" w:name="_Toc11892"/>
      <w:bookmarkStart w:id="1735" w:name="_Toc27038"/>
      <w:bookmarkStart w:id="1736" w:name="_Toc12721"/>
      <w:bookmarkStart w:id="1737" w:name="_Toc6770"/>
      <w:bookmarkStart w:id="1738" w:name="_Toc4355"/>
      <w:bookmarkStart w:id="1739" w:name="_Toc5141"/>
      <w:bookmarkStart w:id="1740" w:name="_Toc4747"/>
      <w:bookmarkStart w:id="1741" w:name="_Toc14810"/>
      <w:bookmarkStart w:id="1742" w:name="_Toc20914"/>
      <w:bookmarkStart w:id="1743" w:name="_Toc2623"/>
      <w:bookmarkStart w:id="1744" w:name="_Toc21464"/>
      <w:bookmarkStart w:id="1745" w:name="_Toc20309"/>
      <w:bookmarkStart w:id="1746" w:name="_Toc9371"/>
      <w:r>
        <w:rPr>
          <w:rFonts w:hint="eastAsia" w:ascii="微软雅黑" w:hAnsi="微软雅黑" w:eastAsia="微软雅黑" w:cs="微软雅黑"/>
          <w:b/>
          <w:bCs/>
          <w:color w:val="auto"/>
          <w:sz w:val="24"/>
          <w:szCs w:val="24"/>
        </w:rPr>
        <w:t>2.19 计量单位</w:t>
      </w:r>
      <w:bookmarkEnd w:id="1714"/>
      <w:bookmarkEnd w:id="1715"/>
      <w:bookmarkEnd w:id="1716"/>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除技术规范中另有规定外,合同的计量单位均使用国家法定计量单位。</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747" w:name="_Toc1728"/>
      <w:bookmarkStart w:id="1748" w:name="_Toc13041"/>
      <w:bookmarkStart w:id="1749" w:name="_Toc15428"/>
      <w:bookmarkStart w:id="1750" w:name="_Toc16663"/>
      <w:bookmarkStart w:id="1751" w:name="_Toc13131"/>
      <w:bookmarkStart w:id="1752" w:name="_Toc11130"/>
      <w:bookmarkStart w:id="1753" w:name="_Toc6555"/>
      <w:bookmarkStart w:id="1754" w:name="_Toc15261"/>
      <w:bookmarkStart w:id="1755" w:name="_Toc32236"/>
      <w:bookmarkStart w:id="1756" w:name="_Toc15288"/>
      <w:bookmarkStart w:id="1757" w:name="_Toc15868"/>
      <w:bookmarkStart w:id="1758" w:name="_Toc27589"/>
      <w:bookmarkStart w:id="1759" w:name="_Toc18634"/>
      <w:bookmarkStart w:id="1760" w:name="_Toc10330"/>
      <w:bookmarkStart w:id="1761" w:name="_Toc32583"/>
      <w:bookmarkStart w:id="1762" w:name="_Toc20624"/>
      <w:bookmarkStart w:id="1763" w:name="_Toc10830"/>
      <w:bookmarkStart w:id="1764" w:name="_Toc12773"/>
      <w:bookmarkStart w:id="1765" w:name="_Toc18567"/>
      <w:bookmarkStart w:id="1766" w:name="_Toc279701263"/>
      <w:bookmarkStart w:id="1767" w:name="_Toc19154"/>
      <w:bookmarkStart w:id="1768" w:name="_Toc15589"/>
      <w:bookmarkStart w:id="1769" w:name="_Toc259093692"/>
      <w:bookmarkStart w:id="1770" w:name="_Toc17517"/>
      <w:bookmarkStart w:id="1771" w:name="_Toc487900373"/>
      <w:bookmarkStart w:id="1772" w:name="_Toc27524"/>
      <w:bookmarkStart w:id="1773" w:name="_Toc28784"/>
      <w:bookmarkStart w:id="1774" w:name="_Toc9626"/>
      <w:bookmarkStart w:id="1775" w:name="_Toc5796"/>
      <w:bookmarkStart w:id="1776" w:name="_Toc16880"/>
      <w:bookmarkStart w:id="1777" w:name="_Toc9178"/>
      <w:r>
        <w:rPr>
          <w:rFonts w:hint="eastAsia" w:ascii="微软雅黑" w:hAnsi="微软雅黑" w:eastAsia="微软雅黑" w:cs="微软雅黑"/>
          <w:b/>
          <w:bCs/>
          <w:color w:val="auto"/>
          <w:sz w:val="24"/>
          <w:szCs w:val="24"/>
        </w:rPr>
        <w:t>2.20 合同使用的文字和适用的法律</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2.20.1 合同使用汉语书就、变更和解释；</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2.20.2 合同适用中华人民共和国法律。</w:t>
      </w:r>
    </w:p>
    <w:p>
      <w:pPr>
        <w:spacing w:line="360" w:lineRule="exact"/>
        <w:ind w:firstLine="480" w:firstLineChars="200"/>
        <w:outlineLvl w:val="0"/>
        <w:rPr>
          <w:rFonts w:hint="eastAsia" w:ascii="微软雅黑" w:hAnsi="微软雅黑" w:eastAsia="微软雅黑" w:cs="微软雅黑"/>
          <w:b/>
          <w:bCs/>
          <w:color w:val="auto"/>
          <w:sz w:val="24"/>
          <w:szCs w:val="24"/>
        </w:rPr>
      </w:pPr>
      <w:bookmarkStart w:id="1778" w:name="_Toc12004"/>
      <w:bookmarkStart w:id="1779" w:name="_Toc638"/>
      <w:bookmarkStart w:id="1780" w:name="_Toc5000"/>
      <w:bookmarkStart w:id="1781" w:name="_Toc16176"/>
      <w:bookmarkStart w:id="1782" w:name="_Toc13925"/>
      <w:bookmarkStart w:id="1783" w:name="_Toc22858"/>
      <w:bookmarkStart w:id="1784" w:name="_Toc279701264"/>
      <w:bookmarkStart w:id="1785" w:name="_Toc11628"/>
      <w:bookmarkStart w:id="1786" w:name="_Toc15434"/>
      <w:bookmarkStart w:id="1787" w:name="_Toc14964"/>
      <w:bookmarkStart w:id="1788" w:name="_Toc5571"/>
      <w:bookmarkStart w:id="1789" w:name="_Toc32497"/>
      <w:bookmarkStart w:id="1790" w:name="_Toc9739"/>
      <w:bookmarkStart w:id="1791" w:name="_Toc259093693"/>
      <w:bookmarkStart w:id="1792" w:name="_Toc25551"/>
      <w:bookmarkStart w:id="1793" w:name="_Toc1670"/>
      <w:bookmarkStart w:id="1794" w:name="_Toc14308"/>
      <w:bookmarkStart w:id="1795" w:name="_Toc30511"/>
      <w:bookmarkStart w:id="1796" w:name="_Toc31790"/>
      <w:bookmarkStart w:id="1797" w:name="_Toc3838"/>
      <w:bookmarkStart w:id="1798" w:name="_Toc16673"/>
      <w:bookmarkStart w:id="1799" w:name="_Toc30675"/>
      <w:bookmarkStart w:id="1800" w:name="_Toc29073"/>
      <w:bookmarkStart w:id="1801" w:name="_Toc3148"/>
      <w:bookmarkStart w:id="1802" w:name="_Toc31421"/>
      <w:bookmarkStart w:id="1803" w:name="_Toc26372"/>
      <w:bookmarkStart w:id="1804" w:name="_Toc28767"/>
      <w:bookmarkStart w:id="1805" w:name="_Toc18845"/>
      <w:bookmarkStart w:id="1806" w:name="_Toc7663"/>
      <w:bookmarkStart w:id="1807" w:name="_Toc8602"/>
      <w:bookmarkStart w:id="1808" w:name="_Toc487900374"/>
      <w:r>
        <w:rPr>
          <w:rFonts w:hint="eastAsia" w:ascii="微软雅黑" w:hAnsi="微软雅黑" w:eastAsia="微软雅黑" w:cs="微软雅黑"/>
          <w:b/>
          <w:bCs/>
          <w:color w:val="auto"/>
          <w:sz w:val="24"/>
          <w:szCs w:val="24"/>
        </w:rPr>
        <w:t>2.21 履约保证金</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2.21.1 采购文件要求乙方提交履约保证金的，乙方应按</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约定的方式，以支票、汇票、本票或者金融机构、担保机构出具的保函等非现金形式，提交不超过合同价10%的履约保证金；</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2.21.2  履约保证金在</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约定期间内或者货物质量保证期内不予退还或者应完全有效，前述约定期间届满或者货物质量保证期届满之日起</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个工作日内，甲方应将履约保证金退还乙方；</w:t>
      </w:r>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08"/>
    <w:p>
      <w:pPr>
        <w:spacing w:line="360" w:lineRule="exact"/>
        <w:ind w:firstLine="480" w:firstLineChars="200"/>
        <w:outlineLvl w:val="0"/>
        <w:rPr>
          <w:rFonts w:hint="eastAsia" w:ascii="微软雅黑" w:hAnsi="微软雅黑" w:eastAsia="微软雅黑" w:cs="微软雅黑"/>
          <w:b/>
          <w:bCs/>
          <w:color w:val="auto"/>
          <w:sz w:val="24"/>
          <w:szCs w:val="24"/>
        </w:rPr>
      </w:pPr>
      <w:bookmarkStart w:id="1809" w:name="_Toc24807"/>
      <w:bookmarkStart w:id="1810" w:name="_Toc21772"/>
      <w:bookmarkStart w:id="1811" w:name="_Toc23163"/>
      <w:bookmarkStart w:id="1812" w:name="_Toc14001"/>
      <w:bookmarkStart w:id="1813" w:name="_Toc28525"/>
      <w:bookmarkStart w:id="1814" w:name="_Toc12034"/>
      <w:bookmarkStart w:id="1815" w:name="_Toc14326"/>
      <w:bookmarkStart w:id="1816" w:name="_Toc22821"/>
      <w:bookmarkStart w:id="1817" w:name="_Toc16431"/>
      <w:bookmarkStart w:id="1818" w:name="_Toc20802"/>
      <w:bookmarkStart w:id="1819" w:name="_Toc25691"/>
      <w:bookmarkStart w:id="1820" w:name="_Toc14217"/>
      <w:bookmarkStart w:id="1821" w:name="_Toc2720"/>
      <w:bookmarkStart w:id="1822" w:name="_Toc22496"/>
      <w:bookmarkStart w:id="1823" w:name="_Toc8867"/>
      <w:bookmarkStart w:id="1824" w:name="_Toc6885"/>
      <w:bookmarkStart w:id="1825" w:name="_Toc8495"/>
      <w:bookmarkStart w:id="1826" w:name="_Toc10801"/>
      <w:bookmarkStart w:id="1827" w:name="_Toc30496"/>
      <w:bookmarkStart w:id="1828" w:name="_Toc17310"/>
      <w:bookmarkStart w:id="1829" w:name="_Toc24006"/>
      <w:bookmarkStart w:id="1830" w:name="_Toc19890"/>
      <w:bookmarkStart w:id="1831" w:name="_Toc32408"/>
      <w:bookmarkStart w:id="1832" w:name="_Toc30847"/>
      <w:bookmarkStart w:id="1833" w:name="_Toc11103"/>
      <w:bookmarkStart w:id="1834" w:name="_Toc3595"/>
      <w:bookmarkStart w:id="1835" w:name="_Toc16450"/>
      <w:bookmarkStart w:id="1836" w:name="_Toc27563"/>
      <w:r>
        <w:rPr>
          <w:rFonts w:hint="eastAsia" w:ascii="微软雅黑" w:hAnsi="微软雅黑" w:eastAsia="微软雅黑" w:cs="微软雅黑"/>
          <w:b/>
          <w:bCs/>
          <w:color w:val="auto"/>
          <w:sz w:val="24"/>
          <w:szCs w:val="24"/>
        </w:rPr>
        <w:t>2.22 合同份数</w:t>
      </w:r>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合同份数按</w:t>
      </w:r>
      <w:r>
        <w:rPr>
          <w:rFonts w:hint="eastAsia" w:ascii="微软雅黑" w:hAnsi="微软雅黑" w:eastAsia="微软雅黑" w:cs="微软雅黑"/>
          <w:b/>
          <w:bCs/>
          <w:i/>
          <w:iCs/>
          <w:color w:val="auto"/>
          <w:sz w:val="24"/>
          <w:szCs w:val="24"/>
          <w:u w:val="single"/>
        </w:rPr>
        <w:t>合同专用条款</w:t>
      </w:r>
      <w:r>
        <w:rPr>
          <w:rFonts w:hint="eastAsia" w:ascii="微软雅黑" w:hAnsi="微软雅黑" w:eastAsia="微软雅黑" w:cs="微软雅黑"/>
          <w:color w:val="auto"/>
          <w:sz w:val="24"/>
          <w:szCs w:val="24"/>
        </w:rPr>
        <w:t>规定，每份均具有同等法律效力。</w:t>
      </w:r>
    </w:p>
    <w:p>
      <w:pPr>
        <w:pStyle w:val="47"/>
        <w:spacing w:line="360" w:lineRule="exact"/>
        <w:ind w:firstLine="0"/>
        <w:jc w:val="center"/>
        <w:rPr>
          <w:rFonts w:hint="eastAsia" w:ascii="微软雅黑" w:hAnsi="微软雅黑" w:eastAsia="微软雅黑" w:cs="微软雅黑"/>
          <w:b/>
          <w:bCs/>
          <w:color w:val="auto"/>
        </w:rPr>
      </w:pPr>
      <w:bookmarkStart w:id="1837" w:name="_Toc331685784"/>
    </w:p>
    <w:p>
      <w:pPr>
        <w:pStyle w:val="47"/>
        <w:spacing w:line="360" w:lineRule="exact"/>
        <w:ind w:firstLine="0"/>
        <w:jc w:val="center"/>
        <w:rPr>
          <w:rFonts w:hint="eastAsia" w:ascii="微软雅黑" w:hAnsi="微软雅黑" w:eastAsia="微软雅黑" w:cs="微软雅黑"/>
          <w:b/>
          <w:bCs/>
          <w:color w:val="auto"/>
        </w:rPr>
      </w:pPr>
    </w:p>
    <w:p>
      <w:pPr>
        <w:pStyle w:val="47"/>
        <w:spacing w:line="360" w:lineRule="exact"/>
        <w:ind w:firstLine="0"/>
        <w:jc w:val="center"/>
        <w:rPr>
          <w:rFonts w:hint="eastAsia" w:ascii="微软雅黑" w:hAnsi="微软雅黑" w:eastAsia="微软雅黑" w:cs="微软雅黑"/>
          <w:b/>
          <w:bCs/>
          <w:color w:val="auto"/>
        </w:rPr>
      </w:pPr>
    </w:p>
    <w:p>
      <w:pPr>
        <w:pStyle w:val="47"/>
        <w:spacing w:line="360" w:lineRule="exact"/>
        <w:ind w:firstLine="0"/>
        <w:jc w:val="center"/>
        <w:rPr>
          <w:rFonts w:hint="eastAsia" w:ascii="微软雅黑" w:hAnsi="微软雅黑" w:eastAsia="微软雅黑" w:cs="微软雅黑"/>
          <w:b/>
          <w:bCs/>
          <w:color w:val="auto"/>
        </w:rPr>
      </w:pPr>
    </w:p>
    <w:p>
      <w:pPr>
        <w:pStyle w:val="47"/>
        <w:spacing w:line="360" w:lineRule="exact"/>
        <w:ind w:firstLine="0"/>
        <w:jc w:val="center"/>
        <w:rPr>
          <w:rFonts w:hint="eastAsia" w:ascii="微软雅黑" w:hAnsi="微软雅黑" w:eastAsia="微软雅黑" w:cs="微软雅黑"/>
          <w:b/>
          <w:bCs/>
          <w:color w:val="auto"/>
        </w:rPr>
      </w:pPr>
    </w:p>
    <w:p>
      <w:pPr>
        <w:pStyle w:val="47"/>
        <w:spacing w:line="360" w:lineRule="exact"/>
        <w:ind w:firstLine="0"/>
        <w:jc w:val="center"/>
        <w:rPr>
          <w:rFonts w:hint="eastAsia" w:ascii="微软雅黑" w:hAnsi="微软雅黑" w:eastAsia="微软雅黑" w:cs="微软雅黑"/>
          <w:b/>
          <w:bCs/>
          <w:color w:val="auto"/>
        </w:rPr>
      </w:pPr>
    </w:p>
    <w:p>
      <w:pPr>
        <w:pStyle w:val="47"/>
        <w:spacing w:line="360" w:lineRule="exact"/>
        <w:ind w:firstLine="0"/>
        <w:jc w:val="center"/>
        <w:rPr>
          <w:rFonts w:hint="eastAsia" w:ascii="微软雅黑" w:hAnsi="微软雅黑" w:eastAsia="微软雅黑" w:cs="微软雅黑"/>
          <w:b/>
          <w:bCs/>
          <w:color w:val="auto"/>
        </w:rPr>
      </w:pPr>
    </w:p>
    <w:p>
      <w:pPr>
        <w:pStyle w:val="47"/>
        <w:spacing w:line="360" w:lineRule="exact"/>
        <w:ind w:firstLine="0"/>
        <w:jc w:val="center"/>
        <w:rPr>
          <w:rFonts w:hint="eastAsia" w:ascii="微软雅黑" w:hAnsi="微软雅黑" w:eastAsia="微软雅黑" w:cs="微软雅黑"/>
          <w:b/>
          <w:bCs/>
          <w:color w:val="auto"/>
        </w:rPr>
      </w:pPr>
    </w:p>
    <w:p>
      <w:pPr>
        <w:pStyle w:val="47"/>
        <w:spacing w:line="360" w:lineRule="exact"/>
        <w:ind w:firstLine="0"/>
        <w:jc w:val="center"/>
        <w:rPr>
          <w:rFonts w:hint="eastAsia" w:ascii="微软雅黑" w:hAnsi="微软雅黑" w:eastAsia="微软雅黑" w:cs="微软雅黑"/>
          <w:b/>
          <w:bCs/>
          <w:color w:val="auto"/>
        </w:rPr>
      </w:pPr>
      <w:r>
        <w:rPr>
          <w:rFonts w:hint="eastAsia" w:ascii="微软雅黑" w:hAnsi="微软雅黑" w:eastAsia="微软雅黑" w:cs="微软雅黑"/>
          <w:b/>
          <w:bCs/>
          <w:color w:val="auto"/>
        </w:rPr>
        <w:t>第三部分  合同专用条款</w:t>
      </w:r>
      <w:bookmarkEnd w:id="1837"/>
    </w:p>
    <w:p>
      <w:pP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360" w:lineRule="exact"/>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条款号</w:t>
            </w:r>
          </w:p>
        </w:tc>
        <w:tc>
          <w:tcPr>
            <w:tcW w:w="7633" w:type="dxa"/>
            <w:vAlign w:val="center"/>
          </w:tcPr>
          <w:p>
            <w:pPr>
              <w:spacing w:line="360" w:lineRule="exact"/>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hint="eastAsia" w:ascii="微软雅黑" w:hAnsi="微软雅黑" w:eastAsia="微软雅黑" w:cs="微软雅黑"/>
                <w:color w:val="auto"/>
                <w:sz w:val="24"/>
                <w:szCs w:val="24"/>
              </w:rPr>
            </w:pPr>
          </w:p>
        </w:tc>
        <w:tc>
          <w:tcPr>
            <w:tcW w:w="7633" w:type="dxa"/>
            <w:vAlign w:val="center"/>
          </w:tcPr>
          <w:p>
            <w:pPr>
              <w:spacing w:line="360" w:lineRule="exact"/>
              <w:rPr>
                <w:rFonts w:hint="eastAsia" w:ascii="微软雅黑" w:hAnsi="微软雅黑" w:eastAsia="微软雅黑" w:cs="微软雅黑"/>
                <w:color w:val="auto"/>
                <w:sz w:val="24"/>
                <w:szCs w:val="24"/>
              </w:rPr>
            </w:pPr>
          </w:p>
        </w:tc>
      </w:tr>
    </w:tbl>
    <w:p>
      <w:pPr>
        <w:pStyle w:val="2"/>
        <w:spacing w:line="360" w:lineRule="exact"/>
        <w:ind w:firstLine="0"/>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 xml:space="preserve"> </w:t>
      </w:r>
    </w:p>
    <w:p>
      <w:pPr>
        <w:rPr>
          <w:rFonts w:hint="eastAsia" w:ascii="微软雅黑" w:hAnsi="微软雅黑" w:eastAsia="微软雅黑" w:cs="微软雅黑"/>
          <w:color w:val="auto"/>
        </w:rPr>
      </w:pPr>
    </w:p>
    <w:p>
      <w:pPr>
        <w:pStyle w:val="2"/>
        <w:spacing w:line="240" w:lineRule="atLeast"/>
        <w:ind w:firstLine="0"/>
        <w:rPr>
          <w:rFonts w:hint="eastAsia" w:ascii="微软雅黑" w:hAnsi="微软雅黑" w:eastAsia="微软雅黑" w:cs="微软雅黑"/>
          <w:color w:val="auto"/>
          <w:sz w:val="28"/>
          <w:szCs w:val="28"/>
        </w:rPr>
      </w:pPr>
    </w:p>
    <w:p>
      <w:pPr>
        <w:rPr>
          <w:rFonts w:hint="eastAsia" w:ascii="微软雅黑" w:hAnsi="微软雅黑" w:eastAsia="微软雅黑" w:cs="微软雅黑"/>
          <w:color w:val="auto"/>
        </w:rPr>
      </w:pPr>
    </w:p>
    <w:sectPr>
      <w:headerReference r:id="rId8" w:type="default"/>
      <w:footerReference r:id="rId9" w:type="default"/>
      <w:pgSz w:w="11905" w:h="16838"/>
      <w:pgMar w:top="1440" w:right="1797" w:bottom="1440" w:left="179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SimSun;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eastAsia="宋体" w:cs="Times New Roman"/>
        <w:lang w:eastAsia="zh-CN"/>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410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rPr>
                              <w:rFonts w:cs="Times New Roman"/>
                            </w:rPr>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rect id="410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PgdHcSvAQAA&#10;gAMAAA4AAAAAAAAAAQAgAAAAHwEAAGRycy9lMm9Eb2MueG1sUEsFBgAAAAAGAAYAWQEAAEAFAAAA&#10;AA==&#10;">
              <v:fill on="f" focussize="0,0"/>
              <v:stroke on="f"/>
              <v:imagedata o:title=""/>
              <o:lock v:ext="edit" aspectratio="f"/>
              <v:textbox inset="0mm,0mm,0mm,0mm" style="mso-fit-shape-to-text:t;">
                <w:txbxContent>
                  <w:p>
                    <w:pPr>
                      <w:pStyle w:val="18"/>
                      <w:rPr>
                        <w:rFonts w:cs="Times New Roman"/>
                      </w:rPr>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eastAsia="宋体" w:cs="Times New Roman"/>
        <w:lang w:eastAsia="zh-CN"/>
      </w:rP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410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rPr>
                              <w:rFonts w:cs="Times New Roman"/>
                            </w:rPr>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rect id="4108"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LU9JZWvAQAA&#10;gAMAAA4AAAAAAAAAAQAgAAAAHwEAAGRycy9lMm9Eb2MueG1sUEsFBgAAAAAGAAYAWQEAAEAFAAAA&#10;AA==&#10;">
              <v:fill on="f" focussize="0,0"/>
              <v:stroke on="f"/>
              <v:imagedata o:title=""/>
              <o:lock v:ext="edit" aspectratio="f"/>
              <v:textbox inset="0mm,0mm,0mm,0mm" style="mso-fit-shape-to-text:t;">
                <w:txbxContent>
                  <w:p>
                    <w:pPr>
                      <w:pStyle w:val="18"/>
                      <w:rPr>
                        <w:rFonts w:cs="Times New Roman"/>
                      </w:rPr>
                    </w:pPr>
                    <w:r>
                      <w:fldChar w:fldCharType="begin"/>
                    </w:r>
                    <w:r>
                      <w:instrText xml:space="preserve"> PAGE  \* MERGEFORMAT </w:instrText>
                    </w:r>
                    <w:r>
                      <w:fldChar w:fldCharType="separate"/>
                    </w:r>
                    <w:r>
                      <w:t>76</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cs="Times New Roman"/>
      </w:rPr>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410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rPr>
                              <w:rFonts w:cs="Times New Roman"/>
                            </w:rPr>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rect id="4109"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D50aQAsAEA&#10;AIADAAAOAAAAAAAAAAEAIAAAAB8BAABkcnMvZTJvRG9jLnhtbFBLBQYAAAAABgAGAFkBAABBBQAA&#10;AAA=&#10;">
              <v:fill on="f" focussize="0,0"/>
              <v:stroke on="f"/>
              <v:imagedata o:title=""/>
              <o:lock v:ext="edit" aspectratio="f"/>
              <v:textbox inset="0mm,0mm,0mm,0mm" style="mso-fit-shape-to-text:t;">
                <w:txbxContent>
                  <w:p>
                    <w:pPr>
                      <w:pStyle w:val="18"/>
                      <w:rPr>
                        <w:rFonts w:cs="Times New Roman"/>
                      </w:rPr>
                    </w:pPr>
                    <w:r>
                      <w:fldChar w:fldCharType="begin"/>
                    </w:r>
                    <w:r>
                      <w:instrText xml:space="preserve"> PAGE  \* MERGEFORMAT </w:instrText>
                    </w:r>
                    <w:r>
                      <w:fldChar w:fldCharType="separate"/>
                    </w:r>
                    <w:r>
                      <w:t>78</w:t>
                    </w:r>
                    <w:r>
                      <w:fldChar w:fldCharType="end"/>
                    </w:r>
                  </w:p>
                </w:txbxContent>
              </v:textbox>
            </v:rect>
          </w:pict>
        </mc:Fallback>
      </mc:AlternateContent>
    </w:r>
  </w:p>
  <w:p>
    <w:pPr>
      <w:pStyle w:val="18"/>
      <w:ind w:right="360"/>
      <w:jc w:val="center"/>
      <w:rPr>
        <w:rFonts w:hint="eastAsia" w:eastAsia="宋体" w:cs="Times New Roman"/>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eastAsia="宋体" w:cs="Times New Roman"/>
        <w:lang w:eastAsia="zh-CN"/>
      </w:rPr>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41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rPr>
                              <w:rFonts w:cs="Times New Roman"/>
                            </w:rPr>
                          </w:pPr>
                          <w:r>
                            <w:fldChar w:fldCharType="begin"/>
                          </w:r>
                          <w:r>
                            <w:instrText xml:space="preserve"> PAGE  \* MERGEFORMAT </w:instrText>
                          </w:r>
                          <w:r>
                            <w:fldChar w:fldCharType="separate"/>
                          </w:r>
                          <w:r>
                            <w:t>82</w:t>
                          </w:r>
                          <w:r>
                            <w:fldChar w:fldCharType="end"/>
                          </w:r>
                        </w:p>
                      </w:txbxContent>
                    </wps:txbx>
                    <wps:bodyPr wrap="none" lIns="0" tIns="0" rIns="0" bIns="0" upright="1">
                      <a:spAutoFit/>
                    </wps:bodyPr>
                  </wps:wsp>
                </a:graphicData>
              </a:graphic>
            </wp:anchor>
          </w:drawing>
        </mc:Choice>
        <mc:Fallback>
          <w:pict>
            <v:rect id="4110"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5dblS0AAAAAUBAAAP&#10;AAAAAAAAAAEAIAAAACIAAABkcnMvZG93bnJldi54bWxQSwECFAAUAAAACACHTuJAz2jO464BAACA&#10;AwAADgAAAAAAAAABACAAAAAfAQAAZHJzL2Uyb0RvYy54bWxQSwUGAAAAAAYABgBZAQAAPwUAAAAA&#10;">
              <v:fill on="f" focussize="0,0"/>
              <v:stroke on="f"/>
              <v:imagedata o:title=""/>
              <o:lock v:ext="edit" aspectratio="f"/>
              <v:textbox inset="0mm,0mm,0mm,0mm" style="mso-fit-shape-to-text:t;">
                <w:txbxContent>
                  <w:p>
                    <w:pPr>
                      <w:pStyle w:val="18"/>
                      <w:rPr>
                        <w:rFonts w:cs="Times New Roman"/>
                      </w:rPr>
                    </w:pPr>
                    <w:r>
                      <w:fldChar w:fldCharType="begin"/>
                    </w:r>
                    <w:r>
                      <w:instrText xml:space="preserve"> PAGE  \* MERGEFORMAT </w:instrText>
                    </w:r>
                    <w:r>
                      <w:fldChar w:fldCharType="separate"/>
                    </w:r>
                    <w:r>
                      <w:t>82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left" w:pos="6202"/>
        <w:tab w:val="clear" w:pos="4153"/>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1">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00000004"/>
    <w:multiLevelType w:val="multilevel"/>
    <w:tmpl w:val="00000004"/>
    <w:lvl w:ilvl="0" w:tentative="0">
      <w:start w:val="1"/>
      <w:numFmt w:val="decimal"/>
      <w:lvlText w:val="%1"/>
      <w:lvlJc w:val="left"/>
      <w:pPr>
        <w:ind w:left="432" w:hanging="432"/>
      </w:pPr>
    </w:lvl>
    <w:lvl w:ilvl="1" w:tentative="0">
      <w:start w:val="1"/>
      <w:numFmt w:val="decimal"/>
      <w:pStyle w:val="46"/>
      <w:lvlText w:val="%1.%2"/>
      <w:lvlJc w:val="left"/>
      <w:pPr>
        <w:ind w:left="1710"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
    <w:nsid w:val="00000005"/>
    <w:multiLevelType w:val="singleLevel"/>
    <w:tmpl w:val="00000005"/>
    <w:lvl w:ilvl="0" w:tentative="0">
      <w:start w:val="2"/>
      <w:numFmt w:val="chineseCounting"/>
      <w:suff w:val="space"/>
      <w:lvlText w:val="第%1部分"/>
      <w:lvlJc w:val="left"/>
      <w:rPr>
        <w:rFonts w:hint="eastAsia"/>
      </w:rPr>
    </w:lvl>
  </w:abstractNum>
  <w:abstractNum w:abstractNumId="5">
    <w:nsid w:val="00000006"/>
    <w:multiLevelType w:val="singleLevel"/>
    <w:tmpl w:val="00000006"/>
    <w:lvl w:ilvl="0" w:tentative="0">
      <w:start w:val="3"/>
      <w:numFmt w:val="decimal"/>
      <w:suff w:val="space"/>
      <w:lvlText w:val="第%1章"/>
      <w:lvlJc w:val="left"/>
    </w:lvl>
  </w:abstractNum>
  <w:abstractNum w:abstractNumId="6">
    <w:nsid w:val="00000007"/>
    <w:multiLevelType w:val="singleLevel"/>
    <w:tmpl w:val="00000007"/>
    <w:lvl w:ilvl="0" w:tentative="0">
      <w:start w:val="2"/>
      <w:numFmt w:val="decimal"/>
      <w:suff w:val="nothing"/>
      <w:lvlText w:val="%1、"/>
      <w:lvlJc w:val="left"/>
      <w:pPr>
        <w:ind w:left="151"/>
      </w:pPr>
    </w:lvl>
  </w:abstractNum>
  <w:abstractNum w:abstractNumId="7">
    <w:nsid w:val="6DFF939E"/>
    <w:multiLevelType w:val="singleLevel"/>
    <w:tmpl w:val="6DFF939E"/>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NGUwYWEzZmE1MWMwN2M3NjljMWRlZTBmNjdlMDAifQ=="/>
  </w:docVars>
  <w:rsids>
    <w:rsidRoot w:val="009E3562"/>
    <w:rsid w:val="00005227"/>
    <w:rsid w:val="00295551"/>
    <w:rsid w:val="00343638"/>
    <w:rsid w:val="00370F52"/>
    <w:rsid w:val="005F0884"/>
    <w:rsid w:val="0091476F"/>
    <w:rsid w:val="009E3562"/>
    <w:rsid w:val="00C71A2A"/>
    <w:rsid w:val="00EA7B92"/>
    <w:rsid w:val="027D7DB2"/>
    <w:rsid w:val="02890B17"/>
    <w:rsid w:val="029F7154"/>
    <w:rsid w:val="02E94832"/>
    <w:rsid w:val="02FC6355"/>
    <w:rsid w:val="03BB6210"/>
    <w:rsid w:val="03D6122D"/>
    <w:rsid w:val="04144940"/>
    <w:rsid w:val="04D04C03"/>
    <w:rsid w:val="04DA48F7"/>
    <w:rsid w:val="057F6DC9"/>
    <w:rsid w:val="06295921"/>
    <w:rsid w:val="06427327"/>
    <w:rsid w:val="06B753EC"/>
    <w:rsid w:val="078A03D3"/>
    <w:rsid w:val="08674B68"/>
    <w:rsid w:val="08CF2B0E"/>
    <w:rsid w:val="0A710906"/>
    <w:rsid w:val="0AC260D6"/>
    <w:rsid w:val="0B001FFB"/>
    <w:rsid w:val="0B65388C"/>
    <w:rsid w:val="0B9776CB"/>
    <w:rsid w:val="0B9D09BD"/>
    <w:rsid w:val="0C2423A5"/>
    <w:rsid w:val="0CE1125A"/>
    <w:rsid w:val="0DDA54E4"/>
    <w:rsid w:val="0EDF2BD5"/>
    <w:rsid w:val="0EF81A51"/>
    <w:rsid w:val="0F5F275E"/>
    <w:rsid w:val="0F915F0B"/>
    <w:rsid w:val="0FA933C0"/>
    <w:rsid w:val="0FA979D6"/>
    <w:rsid w:val="0FC131F2"/>
    <w:rsid w:val="0FD92567"/>
    <w:rsid w:val="10540A9B"/>
    <w:rsid w:val="106C0B1D"/>
    <w:rsid w:val="10C35769"/>
    <w:rsid w:val="10F31B71"/>
    <w:rsid w:val="113203A8"/>
    <w:rsid w:val="11352E1F"/>
    <w:rsid w:val="12590F79"/>
    <w:rsid w:val="127C427C"/>
    <w:rsid w:val="12A52565"/>
    <w:rsid w:val="12AB4B7C"/>
    <w:rsid w:val="13A00AD2"/>
    <w:rsid w:val="13E470BD"/>
    <w:rsid w:val="157B3678"/>
    <w:rsid w:val="16067520"/>
    <w:rsid w:val="16ED1B63"/>
    <w:rsid w:val="17183EC8"/>
    <w:rsid w:val="174D6D27"/>
    <w:rsid w:val="17A16E37"/>
    <w:rsid w:val="1AE33019"/>
    <w:rsid w:val="1B0943CF"/>
    <w:rsid w:val="1BA65FD2"/>
    <w:rsid w:val="1BF86C40"/>
    <w:rsid w:val="1C16002F"/>
    <w:rsid w:val="1D1B04E9"/>
    <w:rsid w:val="1D3306A7"/>
    <w:rsid w:val="1D3F320D"/>
    <w:rsid w:val="1D521E73"/>
    <w:rsid w:val="1D6848BB"/>
    <w:rsid w:val="1DA64079"/>
    <w:rsid w:val="1E3F1AF9"/>
    <w:rsid w:val="1EBB36BF"/>
    <w:rsid w:val="1ED60FA2"/>
    <w:rsid w:val="1EF7680C"/>
    <w:rsid w:val="1F28633A"/>
    <w:rsid w:val="1F54471C"/>
    <w:rsid w:val="1FBF0E43"/>
    <w:rsid w:val="205D1405"/>
    <w:rsid w:val="212B46A7"/>
    <w:rsid w:val="215D163E"/>
    <w:rsid w:val="21785D96"/>
    <w:rsid w:val="21861BE1"/>
    <w:rsid w:val="21A46D1F"/>
    <w:rsid w:val="227C7DB0"/>
    <w:rsid w:val="234E27C3"/>
    <w:rsid w:val="23AF5188"/>
    <w:rsid w:val="24910197"/>
    <w:rsid w:val="256C2605"/>
    <w:rsid w:val="25BC57A4"/>
    <w:rsid w:val="25C662F0"/>
    <w:rsid w:val="261B419B"/>
    <w:rsid w:val="26920BFA"/>
    <w:rsid w:val="26B27891"/>
    <w:rsid w:val="26C33638"/>
    <w:rsid w:val="26D7485F"/>
    <w:rsid w:val="271A33B1"/>
    <w:rsid w:val="276A23F6"/>
    <w:rsid w:val="27AB1F74"/>
    <w:rsid w:val="27E10833"/>
    <w:rsid w:val="27ED7221"/>
    <w:rsid w:val="28063B7E"/>
    <w:rsid w:val="28C71961"/>
    <w:rsid w:val="298452AD"/>
    <w:rsid w:val="2AF8432B"/>
    <w:rsid w:val="2AFD56B7"/>
    <w:rsid w:val="2B084FE7"/>
    <w:rsid w:val="2BDA24ED"/>
    <w:rsid w:val="2C773904"/>
    <w:rsid w:val="2D4259F2"/>
    <w:rsid w:val="2D493BEB"/>
    <w:rsid w:val="2DAF4190"/>
    <w:rsid w:val="2DE7182C"/>
    <w:rsid w:val="2E5C3FC8"/>
    <w:rsid w:val="2FAB5D78"/>
    <w:rsid w:val="30332B06"/>
    <w:rsid w:val="305F519B"/>
    <w:rsid w:val="309B5E73"/>
    <w:rsid w:val="30F82350"/>
    <w:rsid w:val="312D43C1"/>
    <w:rsid w:val="314E0214"/>
    <w:rsid w:val="31C0661C"/>
    <w:rsid w:val="31D46B78"/>
    <w:rsid w:val="322602DB"/>
    <w:rsid w:val="3238199A"/>
    <w:rsid w:val="323B661D"/>
    <w:rsid w:val="327A0EC0"/>
    <w:rsid w:val="332A1ECC"/>
    <w:rsid w:val="33542A8B"/>
    <w:rsid w:val="337E22EA"/>
    <w:rsid w:val="338B17A7"/>
    <w:rsid w:val="36160D32"/>
    <w:rsid w:val="365433E3"/>
    <w:rsid w:val="367E17E2"/>
    <w:rsid w:val="36A24542"/>
    <w:rsid w:val="36C54E3E"/>
    <w:rsid w:val="37B10DBF"/>
    <w:rsid w:val="37D57B6F"/>
    <w:rsid w:val="38440D4F"/>
    <w:rsid w:val="390A7133"/>
    <w:rsid w:val="39447F64"/>
    <w:rsid w:val="394E1896"/>
    <w:rsid w:val="39AD2802"/>
    <w:rsid w:val="39B90520"/>
    <w:rsid w:val="39C63892"/>
    <w:rsid w:val="3A7C2944"/>
    <w:rsid w:val="3A825089"/>
    <w:rsid w:val="3AB30EA3"/>
    <w:rsid w:val="3AD511C6"/>
    <w:rsid w:val="3AF811CC"/>
    <w:rsid w:val="3B6E0E96"/>
    <w:rsid w:val="3BD6375B"/>
    <w:rsid w:val="3C39455E"/>
    <w:rsid w:val="3CD712D4"/>
    <w:rsid w:val="3CEB5B57"/>
    <w:rsid w:val="3CF3708A"/>
    <w:rsid w:val="3CFC0B47"/>
    <w:rsid w:val="3DB021B2"/>
    <w:rsid w:val="3E104487"/>
    <w:rsid w:val="3E3068D7"/>
    <w:rsid w:val="3E3909F2"/>
    <w:rsid w:val="3E3935EE"/>
    <w:rsid w:val="3E5A3CE1"/>
    <w:rsid w:val="3EB92D70"/>
    <w:rsid w:val="3EBF04BC"/>
    <w:rsid w:val="3F2C52F0"/>
    <w:rsid w:val="3F8769CB"/>
    <w:rsid w:val="3FAB163D"/>
    <w:rsid w:val="405F34A4"/>
    <w:rsid w:val="4062685E"/>
    <w:rsid w:val="407E0667"/>
    <w:rsid w:val="40BB3B4D"/>
    <w:rsid w:val="40FE1B91"/>
    <w:rsid w:val="4135116F"/>
    <w:rsid w:val="41C01E85"/>
    <w:rsid w:val="41EE7295"/>
    <w:rsid w:val="4221518F"/>
    <w:rsid w:val="429A6960"/>
    <w:rsid w:val="433A140F"/>
    <w:rsid w:val="435A0517"/>
    <w:rsid w:val="43F619AE"/>
    <w:rsid w:val="43FF7CCC"/>
    <w:rsid w:val="44BA6EFA"/>
    <w:rsid w:val="45890463"/>
    <w:rsid w:val="45D72F87"/>
    <w:rsid w:val="45E5704A"/>
    <w:rsid w:val="45EE5D64"/>
    <w:rsid w:val="463F2E10"/>
    <w:rsid w:val="464C1B5B"/>
    <w:rsid w:val="466D60A8"/>
    <w:rsid w:val="49740D11"/>
    <w:rsid w:val="49857991"/>
    <w:rsid w:val="4ACC710E"/>
    <w:rsid w:val="4B230F7F"/>
    <w:rsid w:val="4B775925"/>
    <w:rsid w:val="4BD47F04"/>
    <w:rsid w:val="4C2957E8"/>
    <w:rsid w:val="4CC76612"/>
    <w:rsid w:val="4D7C530C"/>
    <w:rsid w:val="4DA727EE"/>
    <w:rsid w:val="4DE07676"/>
    <w:rsid w:val="4DFA15AC"/>
    <w:rsid w:val="4E3C476F"/>
    <w:rsid w:val="4EE44B34"/>
    <w:rsid w:val="4F737530"/>
    <w:rsid w:val="4FA72771"/>
    <w:rsid w:val="50043E9A"/>
    <w:rsid w:val="5032310D"/>
    <w:rsid w:val="50602CD6"/>
    <w:rsid w:val="52035B5A"/>
    <w:rsid w:val="523659F9"/>
    <w:rsid w:val="541903E8"/>
    <w:rsid w:val="549F7427"/>
    <w:rsid w:val="559652CB"/>
    <w:rsid w:val="559B2B89"/>
    <w:rsid w:val="55DF5E59"/>
    <w:rsid w:val="57262AED"/>
    <w:rsid w:val="57362868"/>
    <w:rsid w:val="577A33AF"/>
    <w:rsid w:val="57825F9E"/>
    <w:rsid w:val="58357612"/>
    <w:rsid w:val="58785286"/>
    <w:rsid w:val="58B86286"/>
    <w:rsid w:val="5A8A05E6"/>
    <w:rsid w:val="5ADA57C9"/>
    <w:rsid w:val="5B37559B"/>
    <w:rsid w:val="5B7E79F8"/>
    <w:rsid w:val="5BBB524E"/>
    <w:rsid w:val="5BC50F0C"/>
    <w:rsid w:val="5BD479D9"/>
    <w:rsid w:val="5BED655E"/>
    <w:rsid w:val="5C3F15C0"/>
    <w:rsid w:val="5C594399"/>
    <w:rsid w:val="5D4A6D8C"/>
    <w:rsid w:val="5D50269A"/>
    <w:rsid w:val="5DA402F0"/>
    <w:rsid w:val="602B1D4B"/>
    <w:rsid w:val="60655BC8"/>
    <w:rsid w:val="614779C0"/>
    <w:rsid w:val="62623041"/>
    <w:rsid w:val="634C24C3"/>
    <w:rsid w:val="636619A6"/>
    <w:rsid w:val="63EB4ECB"/>
    <w:rsid w:val="64421BCC"/>
    <w:rsid w:val="64581217"/>
    <w:rsid w:val="64E21E2A"/>
    <w:rsid w:val="65685739"/>
    <w:rsid w:val="65BC6CC7"/>
    <w:rsid w:val="65C4643F"/>
    <w:rsid w:val="6621033E"/>
    <w:rsid w:val="662F5543"/>
    <w:rsid w:val="670342B7"/>
    <w:rsid w:val="672C3CCB"/>
    <w:rsid w:val="67306E97"/>
    <w:rsid w:val="67B2587F"/>
    <w:rsid w:val="67DE1B6A"/>
    <w:rsid w:val="67F72037"/>
    <w:rsid w:val="69822FAD"/>
    <w:rsid w:val="69C33672"/>
    <w:rsid w:val="69D823CA"/>
    <w:rsid w:val="69ED78DB"/>
    <w:rsid w:val="6A880126"/>
    <w:rsid w:val="6B1D10B5"/>
    <w:rsid w:val="6B715133"/>
    <w:rsid w:val="6BBC674B"/>
    <w:rsid w:val="6C847C6A"/>
    <w:rsid w:val="6CAD51ED"/>
    <w:rsid w:val="6CFC3CA5"/>
    <w:rsid w:val="6D492E60"/>
    <w:rsid w:val="6E8403F6"/>
    <w:rsid w:val="6E841887"/>
    <w:rsid w:val="6E946466"/>
    <w:rsid w:val="6F232FA1"/>
    <w:rsid w:val="70855382"/>
    <w:rsid w:val="70A3417B"/>
    <w:rsid w:val="70B7739F"/>
    <w:rsid w:val="70E7131E"/>
    <w:rsid w:val="712F4EED"/>
    <w:rsid w:val="71CA0A17"/>
    <w:rsid w:val="72360220"/>
    <w:rsid w:val="728D0BDD"/>
    <w:rsid w:val="731F249B"/>
    <w:rsid w:val="737364B4"/>
    <w:rsid w:val="7426743E"/>
    <w:rsid w:val="750278D7"/>
    <w:rsid w:val="75C30938"/>
    <w:rsid w:val="761B0991"/>
    <w:rsid w:val="763C357C"/>
    <w:rsid w:val="766A4BC9"/>
    <w:rsid w:val="76FC1F1B"/>
    <w:rsid w:val="77291B3A"/>
    <w:rsid w:val="78501572"/>
    <w:rsid w:val="78AD22F7"/>
    <w:rsid w:val="78FD6A86"/>
    <w:rsid w:val="791C4226"/>
    <w:rsid w:val="791C5171"/>
    <w:rsid w:val="7A1A45DD"/>
    <w:rsid w:val="7AC77031"/>
    <w:rsid w:val="7B0A7CBC"/>
    <w:rsid w:val="7B8E7EEC"/>
    <w:rsid w:val="7C1903CF"/>
    <w:rsid w:val="7C2D5C29"/>
    <w:rsid w:val="7D4522EE"/>
    <w:rsid w:val="7D7171F6"/>
    <w:rsid w:val="7DA119B4"/>
    <w:rsid w:val="7EC74E4B"/>
    <w:rsid w:val="7FE71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0"/>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autoSpaceDE w:val="0"/>
      <w:autoSpaceDN w:val="0"/>
      <w:adjustRightInd w:val="0"/>
      <w:spacing w:before="240" w:after="120" w:line="300" w:lineRule="auto"/>
      <w:jc w:val="center"/>
      <w:outlineLvl w:val="0"/>
    </w:pPr>
    <w:rPr>
      <w:rFonts w:ascii="宋体" w:cs="宋体"/>
      <w:b/>
      <w:bCs/>
      <w:kern w:val="44"/>
      <w:sz w:val="32"/>
      <w:szCs w:val="32"/>
    </w:rPr>
  </w:style>
  <w:style w:type="paragraph" w:styleId="4">
    <w:name w:val="heading 2"/>
    <w:basedOn w:val="1"/>
    <w:next w:val="1"/>
    <w:link w:val="34"/>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5">
    <w:name w:val="heading 3"/>
    <w:basedOn w:val="1"/>
    <w:next w:val="2"/>
    <w:link w:val="35"/>
    <w:qFormat/>
    <w:uiPriority w:val="99"/>
    <w:pPr>
      <w:spacing w:before="360" w:after="120"/>
      <w:jc w:val="left"/>
      <w:outlineLvl w:val="2"/>
    </w:pPr>
    <w:rPr>
      <w:rFonts w:ascii="宋体" w:cs="宋体"/>
      <w:b/>
      <w:bCs/>
      <w:sz w:val="24"/>
      <w:szCs w:val="24"/>
      <w:u w:val="single"/>
    </w:rPr>
  </w:style>
  <w:style w:type="paragraph" w:styleId="6">
    <w:name w:val="heading 4"/>
    <w:basedOn w:val="1"/>
    <w:next w:val="1"/>
    <w:link w:val="36"/>
    <w:qFormat/>
    <w:uiPriority w:val="99"/>
    <w:pPr>
      <w:keepNext/>
      <w:keepLines/>
      <w:spacing w:before="280" w:after="290" w:line="374" w:lineRule="auto"/>
      <w:ind w:left="1296" w:hanging="1296"/>
      <w:jc w:val="left"/>
      <w:outlineLvl w:val="3"/>
    </w:pPr>
    <w:rPr>
      <w:rFonts w:ascii="Cambria" w:hAnsi="Cambria" w:eastAsia="黑体" w:cs="Cambria"/>
      <w:kern w:val="0"/>
      <w:sz w:val="28"/>
      <w:szCs w:val="28"/>
    </w:rPr>
  </w:style>
  <w:style w:type="paragraph" w:styleId="7">
    <w:name w:val="heading 5"/>
    <w:basedOn w:val="1"/>
    <w:next w:val="1"/>
    <w:link w:val="37"/>
    <w:qFormat/>
    <w:uiPriority w:val="99"/>
    <w:pPr>
      <w:keepNext/>
      <w:keepLines/>
      <w:spacing w:line="372"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autoSpaceDE w:val="0"/>
      <w:autoSpaceDN w:val="0"/>
      <w:adjustRightInd w:val="0"/>
      <w:ind w:firstLine="420"/>
      <w:jc w:val="left"/>
    </w:pPr>
    <w:rPr>
      <w:rFonts w:ascii="宋体" w:cs="宋体"/>
      <w:kern w:val="0"/>
      <w:sz w:val="24"/>
      <w:szCs w:val="24"/>
    </w:rPr>
  </w:style>
  <w:style w:type="paragraph" w:styleId="8">
    <w:name w:val="toa heading"/>
    <w:basedOn w:val="1"/>
    <w:next w:val="1"/>
    <w:qFormat/>
    <w:uiPriority w:val="99"/>
    <w:pPr>
      <w:spacing w:before="120"/>
    </w:pPr>
    <w:rPr>
      <w:rFonts w:ascii="Cambria" w:hAnsi="Cambria" w:cs="Cambria"/>
      <w:sz w:val="24"/>
      <w:szCs w:val="24"/>
    </w:rPr>
  </w:style>
  <w:style w:type="paragraph" w:styleId="9">
    <w:name w:val="Body Text"/>
    <w:basedOn w:val="1"/>
    <w:next w:val="10"/>
    <w:link w:val="38"/>
    <w:qFormat/>
    <w:uiPriority w:val="99"/>
    <w:pPr>
      <w:tabs>
        <w:tab w:val="left" w:pos="567"/>
      </w:tabs>
      <w:spacing w:before="120" w:line="22" w:lineRule="atLeast"/>
    </w:pPr>
    <w:rPr>
      <w:rFonts w:ascii="宋体" w:hAnsi="宋体" w:cs="宋体"/>
      <w:sz w:val="24"/>
      <w:szCs w:val="24"/>
    </w:rPr>
  </w:style>
  <w:style w:type="paragraph" w:customStyle="1" w:styleId="10">
    <w:name w:val="Default"/>
    <w:next w:val="11"/>
    <w:qFormat/>
    <w:uiPriority w:val="99"/>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1">
    <w:name w:val="大标题"/>
    <w:basedOn w:val="1"/>
    <w:next w:val="12"/>
    <w:qFormat/>
    <w:uiPriority w:val="0"/>
    <w:pPr>
      <w:jc w:val="center"/>
    </w:pPr>
    <w:rPr>
      <w:rFonts w:ascii="Arial" w:hAnsi="Arial" w:eastAsia="宋体" w:cs="Times New Roman"/>
      <w:b/>
      <w:sz w:val="28"/>
      <w:szCs w:val="24"/>
    </w:rPr>
  </w:style>
  <w:style w:type="paragraph" w:styleId="12">
    <w:name w:val="Body Text First Indent 2"/>
    <w:basedOn w:val="13"/>
    <w:next w:val="2"/>
    <w:link w:val="45"/>
    <w:qFormat/>
    <w:uiPriority w:val="99"/>
    <w:pPr>
      <w:ind w:firstLine="420" w:firstLineChars="200"/>
    </w:pPr>
  </w:style>
  <w:style w:type="paragraph" w:styleId="13">
    <w:name w:val="Body Text Indent"/>
    <w:basedOn w:val="1"/>
    <w:next w:val="14"/>
    <w:link w:val="39"/>
    <w:qFormat/>
    <w:uiPriority w:val="99"/>
    <w:pPr>
      <w:spacing w:line="360" w:lineRule="auto"/>
      <w:ind w:firstLine="570"/>
    </w:pPr>
    <w:rPr>
      <w:sz w:val="24"/>
      <w:szCs w:val="24"/>
    </w:rPr>
  </w:style>
  <w:style w:type="paragraph" w:styleId="14">
    <w:name w:val="envelope return"/>
    <w:basedOn w:val="1"/>
    <w:unhideWhenUsed/>
    <w:qFormat/>
    <w:uiPriority w:val="99"/>
    <w:pPr>
      <w:snapToGrid w:val="0"/>
    </w:pPr>
    <w:rPr>
      <w:rFonts w:ascii="Arial" w:hAnsi="Arial"/>
    </w:rPr>
  </w:style>
  <w:style w:type="paragraph" w:styleId="15">
    <w:name w:val="toc 3"/>
    <w:basedOn w:val="1"/>
    <w:next w:val="1"/>
    <w:qFormat/>
    <w:uiPriority w:val="99"/>
    <w:pPr>
      <w:ind w:left="840" w:leftChars="400"/>
    </w:pPr>
  </w:style>
  <w:style w:type="paragraph" w:styleId="16">
    <w:name w:val="Plain Text"/>
    <w:basedOn w:val="1"/>
    <w:link w:val="40"/>
    <w:qFormat/>
    <w:uiPriority w:val="99"/>
    <w:rPr>
      <w:rFonts w:ascii="宋体" w:hAnsi="Courier New" w:cs="宋体"/>
    </w:rPr>
  </w:style>
  <w:style w:type="paragraph" w:styleId="17">
    <w:name w:val="Body Text Indent 2"/>
    <w:basedOn w:val="1"/>
    <w:qFormat/>
    <w:uiPriority w:val="0"/>
    <w:pPr>
      <w:spacing w:line="520" w:lineRule="atLeast"/>
      <w:ind w:firstLine="420" w:firstLineChars="200"/>
    </w:pPr>
    <w:rPr>
      <w:rFonts w:ascii="Times New Roman" w:hAnsi="Times New Roman" w:cs="Times New Roman"/>
      <w:szCs w:val="24"/>
    </w:rPr>
  </w:style>
  <w:style w:type="paragraph" w:styleId="18">
    <w:name w:val="footer"/>
    <w:basedOn w:val="1"/>
    <w:link w:val="41"/>
    <w:qFormat/>
    <w:uiPriority w:val="99"/>
    <w:pPr>
      <w:tabs>
        <w:tab w:val="center" w:pos="4153"/>
        <w:tab w:val="right" w:pos="8306"/>
      </w:tabs>
      <w:autoSpaceDE w:val="0"/>
      <w:autoSpaceDN w:val="0"/>
      <w:adjustRightInd w:val="0"/>
      <w:snapToGrid w:val="0"/>
      <w:jc w:val="left"/>
    </w:pPr>
    <w:rPr>
      <w:rFonts w:ascii="宋体" w:cs="宋体"/>
      <w:kern w:val="0"/>
      <w:sz w:val="18"/>
      <w:szCs w:val="18"/>
    </w:rPr>
  </w:style>
  <w:style w:type="paragraph" w:styleId="19">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99"/>
  </w:style>
  <w:style w:type="paragraph" w:styleId="21">
    <w:name w:val="footnote text"/>
    <w:basedOn w:val="1"/>
    <w:link w:val="43"/>
    <w:qFormat/>
    <w:uiPriority w:val="99"/>
    <w:pPr>
      <w:snapToGrid w:val="0"/>
      <w:jc w:val="left"/>
    </w:pPr>
    <w:rPr>
      <w:sz w:val="18"/>
      <w:szCs w:val="18"/>
    </w:rPr>
  </w:style>
  <w:style w:type="paragraph" w:styleId="22">
    <w:name w:val="toc 2"/>
    <w:basedOn w:val="1"/>
    <w:next w:val="1"/>
    <w:qFormat/>
    <w:uiPriority w:val="99"/>
    <w:pPr>
      <w:ind w:left="420" w:leftChars="200"/>
    </w:pPr>
  </w:style>
  <w:style w:type="paragraph" w:styleId="23">
    <w:name w:val="Normal (Web)"/>
    <w:basedOn w:val="1"/>
    <w:qFormat/>
    <w:uiPriority w:val="99"/>
    <w:pPr>
      <w:spacing w:before="100" w:beforeAutospacing="1" w:after="100" w:afterAutospacing="1"/>
      <w:jc w:val="left"/>
    </w:pPr>
    <w:rPr>
      <w:rFonts w:ascii="Calibri" w:hAnsi="Calibri" w:cs="Calibri"/>
      <w:kern w:val="0"/>
      <w:sz w:val="24"/>
      <w:szCs w:val="24"/>
    </w:rPr>
  </w:style>
  <w:style w:type="paragraph" w:styleId="24">
    <w:name w:val="Body Text First Indent"/>
    <w:basedOn w:val="9"/>
    <w:next w:val="1"/>
    <w:link w:val="44"/>
    <w:qFormat/>
    <w:uiPriority w:val="99"/>
    <w:pPr>
      <w:autoSpaceDE w:val="0"/>
      <w:autoSpaceDN w:val="0"/>
      <w:adjustRightInd w:val="0"/>
      <w:spacing w:line="312" w:lineRule="atLeast"/>
      <w:ind w:firstLine="420"/>
    </w:pPr>
    <w:rPr>
      <w:kern w:val="0"/>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basedOn w:val="30"/>
    <w:qFormat/>
    <w:uiPriority w:val="99"/>
    <w:rPr>
      <w:rFonts w:ascii="Times New Roman" w:hAnsi="Times New Roman" w:eastAsia="宋体" w:cs="Times New Roman"/>
    </w:rPr>
  </w:style>
  <w:style w:type="character" w:customStyle="1" w:styleId="30">
    <w:name w:val="默认段落字体1"/>
    <w:qFormat/>
    <w:uiPriority w:val="99"/>
  </w:style>
  <w:style w:type="character" w:styleId="31">
    <w:name w:val="Hyperlink"/>
    <w:basedOn w:val="27"/>
    <w:qFormat/>
    <w:uiPriority w:val="99"/>
    <w:rPr>
      <w:color w:val="0000FF"/>
      <w:u w:val="single"/>
    </w:rPr>
  </w:style>
  <w:style w:type="character" w:styleId="32">
    <w:name w:val="HTML Sample"/>
    <w:basedOn w:val="27"/>
    <w:semiHidden/>
    <w:unhideWhenUsed/>
    <w:qFormat/>
    <w:uiPriority w:val="99"/>
    <w:rPr>
      <w:rFonts w:ascii="Courier New" w:hAnsi="Courier New"/>
    </w:rPr>
  </w:style>
  <w:style w:type="character" w:customStyle="1" w:styleId="33">
    <w:name w:val="标题 1 字符"/>
    <w:basedOn w:val="27"/>
    <w:link w:val="3"/>
    <w:qFormat/>
    <w:uiPriority w:val="99"/>
    <w:rPr>
      <w:rFonts w:ascii="宋体" w:hAnsi="Times New Roman" w:eastAsia="宋体" w:cs="宋体"/>
      <w:b/>
      <w:bCs/>
      <w:kern w:val="44"/>
      <w:sz w:val="20"/>
      <w:szCs w:val="20"/>
    </w:rPr>
  </w:style>
  <w:style w:type="character" w:customStyle="1" w:styleId="34">
    <w:name w:val="标题 2 字符"/>
    <w:basedOn w:val="27"/>
    <w:link w:val="4"/>
    <w:qFormat/>
    <w:uiPriority w:val="99"/>
    <w:rPr>
      <w:rFonts w:ascii="Cambria" w:hAnsi="Cambria" w:eastAsia="宋体" w:cs="Cambria"/>
      <w:b/>
      <w:bCs/>
      <w:sz w:val="32"/>
      <w:szCs w:val="32"/>
    </w:rPr>
  </w:style>
  <w:style w:type="character" w:customStyle="1" w:styleId="35">
    <w:name w:val="标题 3 字符"/>
    <w:basedOn w:val="27"/>
    <w:link w:val="5"/>
    <w:qFormat/>
    <w:uiPriority w:val="99"/>
    <w:rPr>
      <w:b/>
      <w:bCs/>
      <w:sz w:val="32"/>
      <w:szCs w:val="32"/>
    </w:rPr>
  </w:style>
  <w:style w:type="character" w:customStyle="1" w:styleId="36">
    <w:name w:val="标题 4 字符"/>
    <w:basedOn w:val="27"/>
    <w:link w:val="6"/>
    <w:qFormat/>
    <w:uiPriority w:val="99"/>
    <w:rPr>
      <w:rFonts w:ascii="Cambria" w:hAnsi="Cambria" w:eastAsia="宋体" w:cs="Cambria"/>
      <w:b/>
      <w:bCs/>
      <w:sz w:val="28"/>
      <w:szCs w:val="28"/>
    </w:rPr>
  </w:style>
  <w:style w:type="character" w:customStyle="1" w:styleId="37">
    <w:name w:val="标题 5 字符"/>
    <w:basedOn w:val="27"/>
    <w:link w:val="7"/>
    <w:qFormat/>
    <w:uiPriority w:val="99"/>
    <w:rPr>
      <w:b/>
      <w:bCs/>
      <w:sz w:val="28"/>
      <w:szCs w:val="28"/>
    </w:rPr>
  </w:style>
  <w:style w:type="character" w:customStyle="1" w:styleId="38">
    <w:name w:val="正文文本 字符"/>
    <w:basedOn w:val="27"/>
    <w:link w:val="9"/>
    <w:qFormat/>
    <w:uiPriority w:val="99"/>
    <w:rPr>
      <w:sz w:val="21"/>
      <w:szCs w:val="21"/>
    </w:rPr>
  </w:style>
  <w:style w:type="character" w:customStyle="1" w:styleId="39">
    <w:name w:val="正文文本缩进 字符"/>
    <w:basedOn w:val="27"/>
    <w:link w:val="13"/>
    <w:qFormat/>
    <w:uiPriority w:val="99"/>
    <w:rPr>
      <w:sz w:val="21"/>
      <w:szCs w:val="21"/>
    </w:rPr>
  </w:style>
  <w:style w:type="character" w:customStyle="1" w:styleId="40">
    <w:name w:val="纯文本 字符"/>
    <w:basedOn w:val="27"/>
    <w:link w:val="16"/>
    <w:qFormat/>
    <w:uiPriority w:val="99"/>
    <w:rPr>
      <w:rFonts w:ascii="宋体" w:hAnsi="Courier New" w:cs="宋体"/>
      <w:sz w:val="21"/>
      <w:szCs w:val="21"/>
    </w:rPr>
  </w:style>
  <w:style w:type="character" w:customStyle="1" w:styleId="41">
    <w:name w:val="页脚 字符"/>
    <w:basedOn w:val="27"/>
    <w:link w:val="18"/>
    <w:qFormat/>
    <w:uiPriority w:val="99"/>
    <w:rPr>
      <w:sz w:val="18"/>
      <w:szCs w:val="18"/>
    </w:rPr>
  </w:style>
  <w:style w:type="character" w:customStyle="1" w:styleId="42">
    <w:name w:val="页眉 字符"/>
    <w:basedOn w:val="27"/>
    <w:link w:val="19"/>
    <w:qFormat/>
    <w:uiPriority w:val="99"/>
    <w:rPr>
      <w:sz w:val="18"/>
      <w:szCs w:val="18"/>
    </w:rPr>
  </w:style>
  <w:style w:type="character" w:customStyle="1" w:styleId="43">
    <w:name w:val="脚注文本 字符"/>
    <w:basedOn w:val="27"/>
    <w:link w:val="21"/>
    <w:qFormat/>
    <w:uiPriority w:val="99"/>
    <w:rPr>
      <w:sz w:val="18"/>
      <w:szCs w:val="18"/>
    </w:rPr>
  </w:style>
  <w:style w:type="character" w:customStyle="1" w:styleId="44">
    <w:name w:val="正文文本首行缩进 字符"/>
    <w:basedOn w:val="38"/>
    <w:link w:val="24"/>
    <w:qFormat/>
    <w:uiPriority w:val="99"/>
    <w:rPr>
      <w:sz w:val="21"/>
      <w:szCs w:val="21"/>
    </w:rPr>
  </w:style>
  <w:style w:type="character" w:customStyle="1" w:styleId="45">
    <w:name w:val="正文文本首行缩进 2 字符"/>
    <w:basedOn w:val="39"/>
    <w:link w:val="12"/>
    <w:qFormat/>
    <w:uiPriority w:val="99"/>
    <w:rPr>
      <w:sz w:val="21"/>
      <w:szCs w:val="21"/>
    </w:rPr>
  </w:style>
  <w:style w:type="paragraph" w:customStyle="1" w:styleId="46">
    <w:name w:val="Heading2"/>
    <w:basedOn w:val="1"/>
    <w:next w:val="1"/>
    <w:qFormat/>
    <w:uiPriority w:val="99"/>
    <w:pPr>
      <w:keepNext/>
      <w:widowControl/>
      <w:numPr>
        <w:ilvl w:val="1"/>
        <w:numId w:val="1"/>
      </w:numPr>
      <w:spacing w:before="240" w:after="60"/>
      <w:jc w:val="left"/>
      <w:textAlignment w:val="baseline"/>
    </w:pPr>
    <w:rPr>
      <w:rFonts w:ascii="Cambria" w:hAnsi="Cambria" w:cs="Cambria"/>
      <w:b/>
      <w:bCs/>
      <w:i/>
      <w:iCs/>
      <w:kern w:val="0"/>
      <w:sz w:val="28"/>
      <w:szCs w:val="28"/>
      <w:lang w:eastAsia="en-US"/>
    </w:rPr>
  </w:style>
  <w:style w:type="paragraph" w:customStyle="1" w:styleId="47">
    <w:name w:val="正文缩进1"/>
    <w:basedOn w:val="1"/>
    <w:qFormat/>
    <w:uiPriority w:val="99"/>
    <w:pPr>
      <w:autoSpaceDE w:val="0"/>
      <w:autoSpaceDN w:val="0"/>
      <w:adjustRightInd w:val="0"/>
      <w:ind w:firstLine="420"/>
      <w:jc w:val="left"/>
    </w:pPr>
    <w:rPr>
      <w:rFonts w:ascii="宋体" w:cs="宋体"/>
      <w:kern w:val="0"/>
      <w:sz w:val="24"/>
      <w:szCs w:val="24"/>
    </w:rPr>
  </w:style>
  <w:style w:type="paragraph" w:customStyle="1" w:styleId="48">
    <w:name w:val="索引 11"/>
    <w:basedOn w:val="1"/>
    <w:next w:val="1"/>
    <w:qFormat/>
    <w:uiPriority w:val="99"/>
    <w:pPr>
      <w:spacing w:line="360" w:lineRule="auto"/>
    </w:pPr>
    <w:rPr>
      <w:rFonts w:ascii="仿宋_GB2312" w:eastAsia="仿宋_GB2312" w:cs="仿宋_GB2312"/>
      <w:sz w:val="24"/>
      <w:szCs w:val="24"/>
    </w:rPr>
  </w:style>
  <w:style w:type="paragraph" w:customStyle="1" w:styleId="49">
    <w:name w:val="纯文本1"/>
    <w:basedOn w:val="1"/>
    <w:qFormat/>
    <w:uiPriority w:val="99"/>
    <w:rPr>
      <w:rFonts w:ascii="宋体" w:hAnsi="Courier New" w:cs="宋体"/>
      <w:kern w:val="0"/>
      <w:sz w:val="20"/>
      <w:szCs w:val="20"/>
    </w:rPr>
  </w:style>
  <w:style w:type="character" w:customStyle="1" w:styleId="50">
    <w:name w:val="NormalCharacter"/>
    <w:link w:val="1"/>
    <w:qFormat/>
    <w:uiPriority w:val="99"/>
    <w:rPr>
      <w:rFonts w:ascii="Times New Roman" w:hAnsi="Times New Roman" w:eastAsia="宋体" w:cs="Times New Roman"/>
      <w:kern w:val="2"/>
      <w:sz w:val="21"/>
      <w:szCs w:val="21"/>
      <w:lang w:val="en-US" w:eastAsia="zh-CN" w:bidi="ar-SA"/>
    </w:rPr>
  </w:style>
  <w:style w:type="paragraph" w:customStyle="1" w:styleId="51">
    <w:name w:val="UserStyle_44"/>
    <w:basedOn w:val="1"/>
    <w:qFormat/>
    <w:uiPriority w:val="99"/>
    <w:pPr>
      <w:spacing w:before="120" w:after="120" w:line="360" w:lineRule="auto"/>
      <w:jc w:val="center"/>
    </w:pPr>
    <w:rPr>
      <w:rFonts w:eastAsia="仿宋_GB2312"/>
      <w:b/>
      <w:bCs/>
      <w:sz w:val="24"/>
      <w:szCs w:val="24"/>
    </w:rPr>
  </w:style>
  <w:style w:type="paragraph" w:customStyle="1" w:styleId="52">
    <w:name w:val="NormalIndent"/>
    <w:basedOn w:val="1"/>
    <w:qFormat/>
    <w:uiPriority w:val="99"/>
    <w:pPr>
      <w:ind w:firstLine="420"/>
      <w:jc w:val="left"/>
    </w:pPr>
    <w:rPr>
      <w:rFonts w:ascii="宋体" w:cs="宋体"/>
      <w:kern w:val="0"/>
      <w:sz w:val="24"/>
      <w:szCs w:val="24"/>
    </w:rPr>
  </w:style>
  <w:style w:type="paragraph" w:customStyle="1" w:styleId="53">
    <w:name w:val="图例"/>
    <w:basedOn w:val="1"/>
    <w:qFormat/>
    <w:uiPriority w:val="99"/>
    <w:pPr>
      <w:spacing w:before="120" w:after="120" w:line="360" w:lineRule="auto"/>
      <w:jc w:val="center"/>
    </w:pPr>
    <w:rPr>
      <w:rFonts w:eastAsia="仿宋_GB2312"/>
      <w:b/>
      <w:bCs/>
      <w:sz w:val="24"/>
      <w:szCs w:val="24"/>
    </w:rPr>
  </w:style>
  <w:style w:type="character" w:customStyle="1" w:styleId="54">
    <w:name w:val="font11"/>
    <w:basedOn w:val="27"/>
    <w:qFormat/>
    <w:uiPriority w:val="99"/>
    <w:rPr>
      <w:rFonts w:ascii="宋体" w:hAnsi="宋体" w:eastAsia="宋体" w:cs="宋体"/>
      <w:color w:val="FF0000"/>
      <w:sz w:val="16"/>
      <w:szCs w:val="16"/>
      <w:u w:val="none"/>
    </w:rPr>
  </w:style>
  <w:style w:type="character" w:customStyle="1" w:styleId="55">
    <w:name w:val="font21"/>
    <w:basedOn w:val="27"/>
    <w:qFormat/>
    <w:uiPriority w:val="99"/>
    <w:rPr>
      <w:rFonts w:ascii="宋体" w:hAnsi="宋体" w:eastAsia="宋体" w:cs="宋体"/>
      <w:color w:val="000000"/>
      <w:sz w:val="16"/>
      <w:szCs w:val="16"/>
      <w:u w:val="none"/>
    </w:rPr>
  </w:style>
  <w:style w:type="character" w:customStyle="1" w:styleId="56">
    <w:name w:val="style23"/>
    <w:basedOn w:val="27"/>
    <w:qFormat/>
    <w:uiPriority w:val="99"/>
  </w:style>
  <w:style w:type="paragraph" w:customStyle="1" w:styleId="57">
    <w:name w:val="表格文字"/>
    <w:basedOn w:val="1"/>
    <w:qFormat/>
    <w:uiPriority w:val="99"/>
    <w:pPr>
      <w:spacing w:before="25" w:after="25"/>
      <w:jc w:val="left"/>
    </w:pPr>
    <w:rPr>
      <w:spacing w:val="10"/>
      <w:kern w:val="0"/>
      <w:sz w:val="24"/>
      <w:szCs w:val="24"/>
    </w:rPr>
  </w:style>
  <w:style w:type="paragraph" w:styleId="58">
    <w:name w:val="List Paragraph"/>
    <w:basedOn w:val="1"/>
    <w:qFormat/>
    <w:uiPriority w:val="99"/>
    <w:pPr>
      <w:ind w:firstLine="420" w:firstLineChars="200"/>
    </w:pPr>
  </w:style>
  <w:style w:type="character" w:customStyle="1" w:styleId="59">
    <w:name w:val="font01"/>
    <w:basedOn w:val="27"/>
    <w:qFormat/>
    <w:uiPriority w:val="99"/>
    <w:rPr>
      <w:rFonts w:ascii="宋体" w:hAnsi="宋体" w:eastAsia="宋体" w:cs="宋体"/>
      <w:color w:val="000000"/>
      <w:sz w:val="22"/>
      <w:szCs w:val="22"/>
      <w:u w:val="none"/>
    </w:rPr>
  </w:style>
  <w:style w:type="character" w:customStyle="1" w:styleId="60">
    <w:name w:val="font71"/>
    <w:basedOn w:val="27"/>
    <w:qFormat/>
    <w:uiPriority w:val="99"/>
    <w:rPr>
      <w:rFonts w:ascii="Arial" w:hAnsi="Arial" w:cs="Arial"/>
      <w:color w:val="000000"/>
      <w:sz w:val="22"/>
      <w:szCs w:val="22"/>
      <w:u w:val="none"/>
    </w:rPr>
  </w:style>
  <w:style w:type="character" w:customStyle="1" w:styleId="61">
    <w:name w:val="font81"/>
    <w:basedOn w:val="27"/>
    <w:qFormat/>
    <w:uiPriority w:val="99"/>
    <w:rPr>
      <w:rFonts w:ascii="Calibri" w:hAnsi="Calibri" w:cs="Calibri"/>
      <w:color w:val="000000"/>
      <w:sz w:val="22"/>
      <w:szCs w:val="22"/>
      <w:u w:val="none"/>
    </w:rPr>
  </w:style>
  <w:style w:type="character" w:customStyle="1" w:styleId="62">
    <w:name w:val="font91"/>
    <w:basedOn w:val="27"/>
    <w:qFormat/>
    <w:uiPriority w:val="99"/>
    <w:rPr>
      <w:rFonts w:ascii="宋体" w:hAnsi="宋体" w:eastAsia="宋体" w:cs="宋体"/>
      <w:color w:val="FF0000"/>
      <w:sz w:val="22"/>
      <w:szCs w:val="22"/>
      <w:u w:val="none"/>
    </w:rPr>
  </w:style>
  <w:style w:type="paragraph" w:customStyle="1" w:styleId="63">
    <w:name w:val="样式 首行缩进:  2 字符"/>
    <w:basedOn w:val="1"/>
    <w:qFormat/>
    <w:uiPriority w:val="99"/>
    <w:pPr>
      <w:spacing w:line="360" w:lineRule="auto"/>
      <w:ind w:firstLine="480" w:firstLineChars="200"/>
      <w:jc w:val="left"/>
    </w:pPr>
    <w:rPr>
      <w:rFonts w:ascii="宋体" w:hAnsi="宋体" w:cs="宋体"/>
      <w:color w:val="000000"/>
      <w:sz w:val="24"/>
      <w:szCs w:val="24"/>
    </w:rPr>
  </w:style>
  <w:style w:type="table" w:customStyle="1" w:styleId="64">
    <w:name w:val="Table Normal1"/>
    <w:qFormat/>
    <w:uiPriority w:val="99"/>
    <w:tblPr>
      <w:tblCellMar>
        <w:top w:w="0" w:type="dxa"/>
        <w:left w:w="0" w:type="dxa"/>
        <w:bottom w:w="0" w:type="dxa"/>
        <w:right w:w="0" w:type="dxa"/>
      </w:tblCellMar>
    </w:tblPr>
  </w:style>
  <w:style w:type="character" w:customStyle="1" w:styleId="65">
    <w:name w:val="font31"/>
    <w:basedOn w:val="27"/>
    <w:qFormat/>
    <w:uiPriority w:val="99"/>
    <w:rPr>
      <w:rFonts w:ascii="宋体" w:hAnsi="宋体" w:eastAsia="宋体" w:cs="宋体"/>
      <w:color w:val="000000"/>
      <w:sz w:val="22"/>
      <w:szCs w:val="22"/>
      <w:u w:val="none"/>
    </w:rPr>
  </w:style>
  <w:style w:type="character" w:customStyle="1" w:styleId="66">
    <w:name w:val="font101"/>
    <w:basedOn w:val="27"/>
    <w:qFormat/>
    <w:uiPriority w:val="99"/>
    <w:rPr>
      <w:rFonts w:ascii="Calibri" w:hAnsi="Calibri" w:cs="Calibri"/>
      <w:color w:val="000000"/>
      <w:sz w:val="22"/>
      <w:szCs w:val="22"/>
      <w:u w:val="none"/>
    </w:rPr>
  </w:style>
  <w:style w:type="character" w:customStyle="1" w:styleId="67">
    <w:name w:val="font41"/>
    <w:basedOn w:val="27"/>
    <w:qFormat/>
    <w:uiPriority w:val="99"/>
    <w:rPr>
      <w:rFonts w:ascii="宋体" w:hAnsi="宋体" w:eastAsia="宋体" w:cs="宋体"/>
      <w:color w:val="000000"/>
      <w:sz w:val="22"/>
      <w:szCs w:val="22"/>
      <w:u w:val="none"/>
    </w:rPr>
  </w:style>
  <w:style w:type="character" w:customStyle="1" w:styleId="68">
    <w:name w:val="font51"/>
    <w:basedOn w:val="27"/>
    <w:qFormat/>
    <w:uiPriority w:val="99"/>
    <w:rPr>
      <w:rFonts w:ascii="宋体" w:hAnsi="宋体" w:eastAsia="宋体" w:cs="宋体"/>
      <w:color w:val="000000"/>
      <w:sz w:val="22"/>
      <w:szCs w:val="22"/>
      <w:u w:val="none"/>
    </w:rPr>
  </w:style>
  <w:style w:type="character" w:customStyle="1" w:styleId="69">
    <w:name w:val="font61"/>
    <w:basedOn w:val="27"/>
    <w:qFormat/>
    <w:uiPriority w:val="99"/>
    <w:rPr>
      <w:rFonts w:ascii="宋体" w:hAnsi="宋体" w:eastAsia="宋体" w:cs="宋体"/>
      <w:color w:val="000000"/>
      <w:sz w:val="22"/>
      <w:szCs w:val="22"/>
      <w:u w:val="none"/>
      <w:vertAlign w:val="superscript"/>
    </w:rPr>
  </w:style>
  <w:style w:type="paragraph" w:customStyle="1" w:styleId="70">
    <w:name w:val="列出段落1"/>
    <w:basedOn w:val="1"/>
    <w:qFormat/>
    <w:uiPriority w:val="99"/>
    <w:pPr>
      <w:ind w:firstLine="420" w:firstLineChars="200"/>
    </w:pPr>
  </w:style>
  <w:style w:type="paragraph" w:customStyle="1" w:styleId="71">
    <w:name w:val="正文1"/>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72">
    <w:name w:val="正文文本 21"/>
    <w:basedOn w:val="71"/>
    <w:qFormat/>
    <w:uiPriority w:val="0"/>
    <w:rPr>
      <w:rFonts w:ascii="SimSun;宋体" w:hAnsi="SimSun;宋体"/>
      <w:color w:val="000000"/>
      <w:sz w:val="28"/>
    </w:rPr>
  </w:style>
  <w:style w:type="paragraph" w:customStyle="1" w:styleId="73">
    <w:name w:val="列出段落11"/>
    <w:basedOn w:val="1"/>
    <w:next w:val="70"/>
    <w:qFormat/>
    <w:uiPriority w:val="34"/>
    <w:pPr>
      <w:ind w:firstLine="420" w:firstLineChars="200"/>
    </w:pPr>
  </w:style>
  <w:style w:type="character" w:customStyle="1" w:styleId="74">
    <w:name w:val="明显参考1"/>
    <w:basedOn w:val="27"/>
    <w:qFormat/>
    <w:uiPriority w:val="32"/>
    <w:rPr>
      <w:b/>
      <w:bCs/>
      <w:smallCaps/>
      <w:color w:val="C0504D"/>
      <w:spacing w:val="5"/>
      <w:u w:val="single"/>
    </w:rPr>
  </w:style>
  <w:style w:type="paragraph" w:customStyle="1" w:styleId="75">
    <w:name w:val="列表段落1"/>
    <w:basedOn w:val="1"/>
    <w:qFormat/>
    <w:uiPriority w:val="34"/>
    <w:pPr>
      <w:ind w:firstLine="420" w:firstLineChars="200"/>
    </w:pPr>
  </w:style>
  <w:style w:type="paragraph" w:customStyle="1" w:styleId="76">
    <w:name w:val="_Style 5"/>
    <w:basedOn w:val="1"/>
    <w:next w:val="58"/>
    <w:qFormat/>
    <w:uiPriority w:val="34"/>
    <w:pPr>
      <w:ind w:firstLine="420" w:firstLineChars="200"/>
    </w:pPr>
  </w:style>
  <w:style w:type="paragraph" w:customStyle="1" w:styleId="77">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05E3D-918F-4BBA-8E55-002CC68EA9D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142</Pages>
  <Words>86803</Words>
  <Characters>99369</Characters>
  <Lines>465</Lines>
  <Paragraphs>131</Paragraphs>
  <TotalTime>30</TotalTime>
  <ScaleCrop>false</ScaleCrop>
  <LinksUpToDate>false</LinksUpToDate>
  <CharactersWithSpaces>106121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一本正经的胡说八道</cp:lastModifiedBy>
  <cp:lastPrinted>2022-09-19T15:40:00Z</cp:lastPrinted>
  <dcterms:modified xsi:type="dcterms:W3CDTF">2022-12-01T09:46:06Z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FD86EBB73D8F4FB092602C11C9685C9F</vt:lpwstr>
  </property>
</Properties>
</file>