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360" w:lineRule="auto"/>
        <w:jc w:val="center"/>
        <w:rPr>
          <w:rFonts w:ascii="仿宋" w:hAnsi="仿宋" w:eastAsia="仿宋"/>
          <w:color w:val="000000"/>
          <w:sz w:val="48"/>
        </w:rPr>
      </w:pPr>
      <w:bookmarkStart w:id="0" w:name="_Toc55990499"/>
      <w:bookmarkStart w:id="1" w:name="_Toc56170377"/>
      <w:bookmarkStart w:id="2" w:name="_Toc82497891"/>
      <w:bookmarkStart w:id="3" w:name="_Toc55990498"/>
      <w:r>
        <w:rPr>
          <w:rFonts w:hint="eastAsia" w:ascii="仿宋" w:hAnsi="仿宋" w:eastAsia="仿宋"/>
          <w:color w:val="000000"/>
          <w:sz w:val="120"/>
          <w:szCs w:val="120"/>
        </w:rPr>
        <w:t>磋 商 文 件</w:t>
      </w:r>
    </w:p>
    <w:p>
      <w:pPr>
        <w:pStyle w:val="28"/>
        <w:spacing w:beforeLines="550" w:line="360" w:lineRule="auto"/>
        <w:ind w:firstLine="720"/>
        <w:rPr>
          <w:rFonts w:hint="eastAsia" w:ascii="仿宋" w:hAnsi="仿宋" w:eastAsia="仿宋"/>
          <w:sz w:val="36"/>
          <w:szCs w:val="36"/>
          <w:highlight w:val="yellow"/>
          <w:lang w:eastAsia="zh-CN"/>
        </w:rPr>
      </w:pPr>
      <w:r>
        <w:rPr>
          <w:rFonts w:hint="eastAsia" w:ascii="仿宋" w:hAnsi="仿宋" w:eastAsia="仿宋"/>
          <w:sz w:val="36"/>
          <w:szCs w:val="36"/>
          <w:highlight w:val="yellow"/>
        </w:rPr>
        <w:t>项目编号：</w:t>
      </w:r>
      <w:r>
        <w:rPr>
          <w:rFonts w:hint="eastAsia" w:ascii="仿宋" w:hAnsi="仿宋" w:eastAsia="仿宋"/>
          <w:sz w:val="36"/>
          <w:szCs w:val="36"/>
          <w:highlight w:val="yellow"/>
          <w:lang w:val="en-US" w:eastAsia="zh-CN"/>
        </w:rPr>
        <w:t xml:space="preserve"> </w:t>
      </w:r>
    </w:p>
    <w:p>
      <w:pPr>
        <w:pStyle w:val="28"/>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新疆医科大学附属肿瘤医院高档彩色多普勒超声诊断仪（介入功能）采购项目</w:t>
      </w: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28"/>
        <w:spacing w:line="360" w:lineRule="auto"/>
        <w:ind w:firstLine="720"/>
        <w:rPr>
          <w:rFonts w:ascii="仿宋" w:hAnsi="仿宋" w:eastAsia="仿宋" w:cs="仿宋"/>
          <w:sz w:val="36"/>
          <w:szCs w:val="36"/>
        </w:rPr>
      </w:pP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28"/>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联 系 人：</w:t>
      </w:r>
      <w:r>
        <w:rPr>
          <w:rFonts w:hint="eastAsia" w:ascii="仿宋" w:hAnsi="仿宋" w:eastAsia="仿宋" w:cs="仿宋"/>
          <w:sz w:val="36"/>
          <w:szCs w:val="36"/>
          <w:lang w:val="en-US" w:eastAsia="zh-CN"/>
        </w:rPr>
        <w:t>付文、</w:t>
      </w:r>
      <w:r>
        <w:rPr>
          <w:rFonts w:hint="eastAsia" w:ascii="仿宋" w:hAnsi="仿宋" w:eastAsia="仿宋" w:cs="仿宋"/>
          <w:sz w:val="36"/>
          <w:szCs w:val="36"/>
        </w:rPr>
        <w:t>何勋</w:t>
      </w:r>
    </w:p>
    <w:p>
      <w:pPr>
        <w:pStyle w:val="28"/>
        <w:spacing w:line="360" w:lineRule="auto"/>
        <w:ind w:firstLine="720"/>
        <w:rPr>
          <w:rFonts w:ascii="仿宋" w:hAnsi="仿宋" w:eastAsia="仿宋" w:cs="仿宋"/>
          <w:sz w:val="36"/>
          <w:szCs w:val="36"/>
        </w:rPr>
      </w:pPr>
      <w:r>
        <w:rPr>
          <w:rFonts w:hint="eastAsia" w:ascii="仿宋" w:hAnsi="仿宋" w:eastAsia="仿宋" w:cs="仿宋"/>
          <w:sz w:val="36"/>
          <w:szCs w:val="36"/>
        </w:rPr>
        <w:t>联系电话：</w:t>
      </w:r>
      <w:r>
        <w:rPr>
          <w:rFonts w:hint="eastAsia" w:ascii="仿宋" w:hAnsi="仿宋" w:eastAsia="仿宋" w:cs="仿宋"/>
          <w:sz w:val="36"/>
          <w:szCs w:val="36"/>
          <w:lang w:val="en-US" w:eastAsia="zh-CN"/>
        </w:rPr>
        <w:t>13999191325、</w:t>
      </w:r>
      <w:r>
        <w:rPr>
          <w:rFonts w:hint="eastAsia" w:ascii="仿宋" w:hAnsi="仿宋" w:eastAsia="仿宋" w:cs="仿宋"/>
          <w:sz w:val="36"/>
          <w:szCs w:val="36"/>
        </w:rPr>
        <w:t>13659965991</w:t>
      </w: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7"/>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4"/>
      </w:pPr>
      <w:bookmarkStart w:id="4" w:name="_Toc61184620"/>
      <w:bookmarkStart w:id="5" w:name="_Toc28475"/>
      <w:r>
        <w:rPr>
          <w:rFonts w:hint="eastAsia"/>
        </w:rPr>
        <w:t>第一章、磋商公告</w:t>
      </w:r>
      <w:bookmarkEnd w:id="4"/>
      <w:bookmarkEnd w:id="5"/>
    </w:p>
    <w:p>
      <w:pPr>
        <w:pStyle w:val="27"/>
        <w:snapToGrid w:val="0"/>
        <w:spacing w:line="360" w:lineRule="auto"/>
        <w:ind w:firstLine="560" w:firstLineChars="200"/>
        <w:jc w:val="both"/>
        <w:rPr>
          <w:rFonts w:hint="eastAsia" w:ascii="仿宋" w:hAnsi="仿宋" w:eastAsia="仿宋"/>
          <w:sz w:val="28"/>
          <w:highlight w:val="yellow"/>
          <w:lang w:eastAsia="zh-CN"/>
        </w:rPr>
      </w:pPr>
      <w:r>
        <w:rPr>
          <w:rFonts w:ascii="仿宋" w:hAnsi="仿宋" w:eastAsia="仿宋"/>
          <w:sz w:val="28"/>
          <w:highlight w:val="yellow"/>
        </w:rPr>
        <w:t>一、</w:t>
      </w:r>
      <w:r>
        <w:rPr>
          <w:rFonts w:hint="eastAsia" w:ascii="仿宋" w:hAnsi="仿宋" w:eastAsia="仿宋"/>
          <w:sz w:val="28"/>
          <w:highlight w:val="yellow"/>
        </w:rPr>
        <w:t>磋商</w:t>
      </w:r>
      <w:r>
        <w:rPr>
          <w:rFonts w:ascii="仿宋" w:hAnsi="仿宋" w:eastAsia="仿宋"/>
          <w:sz w:val="28"/>
          <w:highlight w:val="yellow"/>
        </w:rPr>
        <w:t>项目编号：</w:t>
      </w:r>
      <w:r>
        <w:rPr>
          <w:rFonts w:hint="eastAsia" w:ascii="仿宋" w:hAnsi="仿宋" w:eastAsia="仿宋"/>
          <w:sz w:val="28"/>
          <w:highlight w:val="yellow"/>
          <w:lang w:val="en-US" w:eastAsia="zh-CN"/>
        </w:rPr>
        <w:t xml:space="preserve"> </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采购</w:t>
      </w:r>
      <w:r>
        <w:rPr>
          <w:rFonts w:hint="eastAsia" w:ascii="仿宋" w:hAnsi="仿宋" w:eastAsia="仿宋"/>
          <w:sz w:val="28"/>
          <w:lang w:eastAsia="zh-CN"/>
        </w:rPr>
        <w:t>高档彩色多普勒超声诊断仪（介入功能）</w:t>
      </w:r>
      <w:r>
        <w:rPr>
          <w:rFonts w:hint="eastAsia" w:ascii="仿宋" w:hAnsi="仿宋" w:eastAsia="仿宋"/>
          <w:sz w:val="28"/>
          <w:lang w:val="en-US" w:eastAsia="zh-CN"/>
        </w:rPr>
        <w:t>1套</w:t>
      </w:r>
      <w:r>
        <w:rPr>
          <w:rFonts w:hint="eastAsia" w:ascii="仿宋" w:hAnsi="仿宋" w:eastAsia="仿宋"/>
          <w:sz w:val="28"/>
        </w:rPr>
        <w:t>，预算</w:t>
      </w:r>
      <w:r>
        <w:rPr>
          <w:rFonts w:hint="eastAsia" w:ascii="仿宋" w:hAnsi="仿宋" w:eastAsia="仿宋"/>
          <w:sz w:val="28"/>
          <w:lang w:val="en-US" w:eastAsia="zh-CN"/>
        </w:rPr>
        <w:t>180</w:t>
      </w:r>
      <w:r>
        <w:rPr>
          <w:rFonts w:hint="eastAsia" w:ascii="仿宋" w:hAnsi="仿宋" w:eastAsia="仿宋"/>
          <w:sz w:val="28"/>
        </w:rPr>
        <w:t>万元，最高限价</w:t>
      </w:r>
      <w:r>
        <w:rPr>
          <w:rFonts w:hint="eastAsia" w:ascii="仿宋" w:hAnsi="仿宋" w:eastAsia="仿宋"/>
          <w:sz w:val="28"/>
          <w:lang w:val="en-US" w:eastAsia="zh-CN"/>
        </w:rPr>
        <w:t>180</w:t>
      </w:r>
      <w:r>
        <w:rPr>
          <w:rFonts w:hint="eastAsia" w:ascii="仿宋" w:hAnsi="仿宋" w:eastAsia="仿宋"/>
          <w:sz w:val="28"/>
        </w:rPr>
        <w:t>万元。</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2.落实政府采购政策需满足的资格要求：供应商为中小企业/小微企业,本项目为专门面向中小企业（含中型、小型、微型企业）采购项目，根据《政府采购促进中小企业发展管理办法》（财库[2020]46号）的规定，不再执行价格评审优惠的扶持政策，必须提供此声明函。 </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3.本项目的特定资格要求：</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（1）具备有效的营业执照；</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（3）法定代表人投标需提供法定代表人资格证明书，委托代理人投标需提供法定代表人授权委托书；</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7"/>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（5）本项目不接受联合体投标。</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highlight w:val="yellow"/>
          <w:u w:val="single"/>
        </w:rPr>
        <w:t>2022</w:t>
      </w:r>
      <w:r>
        <w:rPr>
          <w:rFonts w:hint="eastAsia" w:ascii="仿宋" w:hAnsi="仿宋" w:eastAsia="仿宋"/>
          <w:sz w:val="28"/>
          <w:highlight w:val="yellow"/>
        </w:rPr>
        <w:t>年</w:t>
      </w:r>
      <w:r>
        <w:rPr>
          <w:rFonts w:hint="eastAsia" w:ascii="仿宋" w:hAnsi="仿宋" w:eastAsia="仿宋"/>
          <w:sz w:val="28"/>
          <w:highlight w:val="yellow"/>
          <w:u w:val="single"/>
          <w:lang w:val="en-US" w:eastAsia="zh-CN"/>
        </w:rPr>
        <w:t xml:space="preserve">  </w:t>
      </w:r>
      <w:r>
        <w:rPr>
          <w:rFonts w:hint="eastAsia" w:ascii="仿宋" w:hAnsi="仿宋" w:eastAsia="仿宋"/>
          <w:sz w:val="28"/>
          <w:highlight w:val="yellow"/>
        </w:rPr>
        <w:t>月</w:t>
      </w:r>
      <w:r>
        <w:rPr>
          <w:rFonts w:hint="eastAsia" w:ascii="仿宋" w:hAnsi="仿宋" w:eastAsia="仿宋"/>
          <w:sz w:val="28"/>
          <w:highlight w:val="yellow"/>
          <w:u w:val="single"/>
          <w:lang w:val="en-US" w:eastAsia="zh-CN"/>
        </w:rPr>
        <w:t xml:space="preserve">  </w:t>
      </w:r>
      <w:r>
        <w:rPr>
          <w:rFonts w:hint="eastAsia" w:ascii="仿宋" w:hAnsi="仿宋" w:eastAsia="仿宋"/>
          <w:sz w:val="28"/>
          <w:highlight w:val="yellow"/>
        </w:rPr>
        <w:t>日-2022年</w:t>
      </w:r>
      <w:r>
        <w:rPr>
          <w:rFonts w:hint="eastAsia" w:ascii="仿宋" w:hAnsi="仿宋" w:eastAsia="仿宋"/>
          <w:sz w:val="28"/>
          <w:highlight w:val="yellow"/>
          <w:u w:val="single"/>
          <w:lang w:val="en-US" w:eastAsia="zh-CN"/>
        </w:rPr>
        <w:t xml:space="preserve">  </w:t>
      </w:r>
      <w:r>
        <w:rPr>
          <w:rFonts w:hint="eastAsia" w:ascii="仿宋" w:hAnsi="仿宋" w:eastAsia="仿宋"/>
          <w:sz w:val="28"/>
          <w:highlight w:val="yellow"/>
        </w:rPr>
        <w:t>月</w:t>
      </w:r>
      <w:r>
        <w:rPr>
          <w:rFonts w:hint="eastAsia" w:ascii="仿宋" w:hAnsi="仿宋" w:eastAsia="仿宋"/>
          <w:sz w:val="28"/>
          <w:highlight w:val="yellow"/>
          <w:u w:val="single"/>
          <w:lang w:val="en-US" w:eastAsia="zh-CN"/>
        </w:rPr>
        <w:t xml:space="preserve">  </w:t>
      </w:r>
      <w:r>
        <w:rPr>
          <w:rFonts w:hint="eastAsia" w:ascii="仿宋" w:hAnsi="仿宋" w:eastAsia="仿宋"/>
          <w:sz w:val="28"/>
          <w:highlight w:val="yellow"/>
        </w:rPr>
        <w:t>日</w:t>
      </w:r>
      <w:bookmarkEnd w:id="6"/>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4</w:t>
      </w:r>
      <w:r>
        <w:rPr>
          <w:rFonts w:ascii="仿宋" w:hAnsi="仿宋" w:eastAsia="仿宋"/>
          <w:sz w:val="28"/>
        </w:rPr>
        <w:t>：00，下午：1</w:t>
      </w:r>
      <w:r>
        <w:rPr>
          <w:rFonts w:hint="eastAsia" w:ascii="仿宋" w:hAnsi="仿宋" w:eastAsia="仿宋"/>
          <w:sz w:val="28"/>
          <w:lang w:val="en-US" w:eastAsia="zh-CN"/>
        </w:rPr>
        <w:t>6</w:t>
      </w:r>
      <w:r>
        <w:rPr>
          <w:rFonts w:ascii="仿宋" w:hAnsi="仿宋" w:eastAsia="仿宋"/>
          <w:sz w:val="28"/>
        </w:rPr>
        <w:t>：00-19：00</w:t>
      </w:r>
    </w:p>
    <w:p>
      <w:pPr>
        <w:pStyle w:val="27"/>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7"/>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r>
        <w:rPr>
          <w:rFonts w:hint="eastAsia" w:ascii="仿宋" w:hAnsi="仿宋" w:eastAsia="仿宋"/>
          <w:sz w:val="28"/>
          <w:highlight w:val="yellow"/>
        </w:rPr>
        <w:t>获取文件需将报名资料法定代表人证明书或法定代表人授权委托书及被授权人的身份证、营业执照、网页截图证明。所有报名的供应商需提供上述所需资料扫描件（PDF格式）并加盖公章发送至指定邮箱342585189@qq.com，并联系代理公司人员进行确认（注：如因疫情原因无法加盖公章及法人章，可将有关材料先行提供，待本地区疫情解封后3日内将公章及法人章加盖齐全并重新提供，否则视为报名无效。）</w:t>
      </w:r>
    </w:p>
    <w:p>
      <w:pPr>
        <w:pStyle w:val="27"/>
        <w:snapToGrid w:val="0"/>
        <w:spacing w:line="360" w:lineRule="auto"/>
        <w:ind w:firstLine="560" w:firstLineChars="200"/>
        <w:jc w:val="both"/>
        <w:rPr>
          <w:rFonts w:ascii="仿宋" w:hAnsi="仿宋" w:eastAsia="仿宋"/>
          <w:b w:val="0"/>
          <w:bCs w:val="0"/>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7" w:name="_Hlk56775416"/>
      <w:r>
        <w:rPr>
          <w:rFonts w:hint="eastAsia" w:ascii="仿宋" w:hAnsi="仿宋" w:eastAsia="仿宋"/>
          <w:b w:val="0"/>
          <w:bCs w:val="0"/>
          <w:sz w:val="28"/>
          <w:highlight w:val="yellow"/>
          <w:u w:val="single"/>
        </w:rPr>
        <w:t>2022年</w:t>
      </w:r>
      <w:r>
        <w:rPr>
          <w:rFonts w:hint="eastAsia" w:ascii="仿宋" w:hAnsi="仿宋" w:eastAsia="仿宋"/>
          <w:b w:val="0"/>
          <w:bCs w:val="0"/>
          <w:sz w:val="28"/>
          <w:highlight w:val="yellow"/>
          <w:u w:val="single"/>
          <w:lang w:val="en-US" w:eastAsia="zh-CN"/>
        </w:rPr>
        <w:t xml:space="preserve">  </w:t>
      </w:r>
      <w:r>
        <w:rPr>
          <w:rFonts w:hint="eastAsia" w:ascii="仿宋" w:hAnsi="仿宋" w:eastAsia="仿宋"/>
          <w:b w:val="0"/>
          <w:bCs w:val="0"/>
          <w:sz w:val="28"/>
          <w:highlight w:val="yellow"/>
          <w:u w:val="single"/>
        </w:rPr>
        <w:t>月</w:t>
      </w:r>
      <w:r>
        <w:rPr>
          <w:rFonts w:hint="eastAsia" w:ascii="仿宋" w:hAnsi="仿宋" w:eastAsia="仿宋"/>
          <w:b w:val="0"/>
          <w:bCs w:val="0"/>
          <w:sz w:val="28"/>
          <w:highlight w:val="yellow"/>
          <w:u w:val="single"/>
          <w:lang w:val="en-US" w:eastAsia="zh-CN"/>
        </w:rPr>
        <w:t xml:space="preserve">  </w:t>
      </w:r>
      <w:r>
        <w:rPr>
          <w:rFonts w:hint="eastAsia" w:ascii="仿宋" w:hAnsi="仿宋" w:eastAsia="仿宋"/>
          <w:b w:val="0"/>
          <w:bCs w:val="0"/>
          <w:sz w:val="28"/>
          <w:highlight w:val="yellow"/>
          <w:u w:val="single"/>
        </w:rPr>
        <w:t>日11时00分</w:t>
      </w:r>
      <w:r>
        <w:rPr>
          <w:rFonts w:hint="eastAsia" w:ascii="仿宋" w:hAnsi="仿宋" w:eastAsia="仿宋"/>
          <w:b w:val="0"/>
          <w:bCs w:val="0"/>
          <w:sz w:val="28"/>
          <w:highlight w:val="yellow"/>
        </w:rPr>
        <w:t>（北京时间）</w:t>
      </w:r>
      <w:bookmarkEnd w:id="7"/>
    </w:p>
    <w:p>
      <w:pPr>
        <w:pStyle w:val="27"/>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7"/>
        <w:snapToGrid w:val="0"/>
        <w:spacing w:line="360" w:lineRule="auto"/>
        <w:ind w:firstLine="560" w:firstLineChars="200"/>
        <w:jc w:val="both"/>
        <w:rPr>
          <w:rFonts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b w:val="0"/>
          <w:bCs w:val="0"/>
          <w:sz w:val="28"/>
          <w:highlight w:val="yellow"/>
          <w:u w:val="single"/>
        </w:rPr>
        <w:t>2022年</w:t>
      </w:r>
      <w:r>
        <w:rPr>
          <w:rFonts w:hint="eastAsia" w:ascii="仿宋" w:hAnsi="仿宋" w:eastAsia="仿宋"/>
          <w:b w:val="0"/>
          <w:bCs w:val="0"/>
          <w:sz w:val="28"/>
          <w:highlight w:val="yellow"/>
          <w:u w:val="single"/>
          <w:lang w:val="en-US" w:eastAsia="zh-CN"/>
        </w:rPr>
        <w:t xml:space="preserve">  </w:t>
      </w:r>
      <w:r>
        <w:rPr>
          <w:rFonts w:hint="eastAsia" w:ascii="仿宋" w:hAnsi="仿宋" w:eastAsia="仿宋"/>
          <w:b w:val="0"/>
          <w:bCs w:val="0"/>
          <w:sz w:val="28"/>
          <w:highlight w:val="yellow"/>
          <w:u w:val="single"/>
        </w:rPr>
        <w:t>月</w:t>
      </w:r>
      <w:r>
        <w:rPr>
          <w:rFonts w:hint="eastAsia" w:ascii="仿宋" w:hAnsi="仿宋" w:eastAsia="仿宋"/>
          <w:b w:val="0"/>
          <w:bCs w:val="0"/>
          <w:sz w:val="28"/>
          <w:highlight w:val="yellow"/>
          <w:u w:val="single"/>
          <w:lang w:val="en-US" w:eastAsia="zh-CN"/>
        </w:rPr>
        <w:t xml:space="preserve">  </w:t>
      </w:r>
      <w:r>
        <w:rPr>
          <w:rFonts w:hint="eastAsia" w:ascii="仿宋" w:hAnsi="仿宋" w:eastAsia="仿宋"/>
          <w:b w:val="0"/>
          <w:bCs w:val="0"/>
          <w:sz w:val="28"/>
          <w:highlight w:val="yellow"/>
          <w:u w:val="single"/>
        </w:rPr>
        <w:t>日11时00分</w:t>
      </w:r>
      <w:r>
        <w:rPr>
          <w:rFonts w:hint="eastAsia" w:ascii="仿宋" w:hAnsi="仿宋" w:eastAsia="仿宋"/>
          <w:b w:val="0"/>
          <w:bCs w:val="0"/>
          <w:sz w:val="28"/>
          <w:highlight w:val="yellow"/>
        </w:rPr>
        <w:t>（北京时间）</w:t>
      </w:r>
    </w:p>
    <w:p>
      <w:pPr>
        <w:pStyle w:val="27"/>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7"/>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7"/>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w:t>
      </w:r>
      <w:r>
        <w:rPr>
          <w:rFonts w:hint="eastAsia" w:ascii="仿宋" w:hAnsi="仿宋" w:eastAsia="仿宋"/>
          <w:sz w:val="28"/>
          <w:szCs w:val="22"/>
          <w:lang w:val="en-US" w:eastAsia="zh-CN"/>
        </w:rPr>
        <w:t>付文、</w:t>
      </w:r>
      <w:r>
        <w:rPr>
          <w:rFonts w:hint="eastAsia" w:ascii="仿宋" w:hAnsi="仿宋" w:eastAsia="仿宋"/>
          <w:sz w:val="28"/>
          <w:szCs w:val="22"/>
        </w:rPr>
        <w:t>何勋</w:t>
      </w:r>
    </w:p>
    <w:p>
      <w:pPr>
        <w:pStyle w:val="27"/>
        <w:snapToGrid w:val="0"/>
        <w:spacing w:line="360" w:lineRule="auto"/>
        <w:ind w:firstLine="560"/>
        <w:jc w:val="both"/>
        <w:rPr>
          <w:rFonts w:ascii="仿宋" w:hAnsi="仿宋" w:eastAsia="仿宋"/>
          <w:sz w:val="28"/>
          <w:szCs w:val="22"/>
        </w:rPr>
      </w:pPr>
      <w:r>
        <w:rPr>
          <w:rFonts w:hint="eastAsia" w:ascii="仿宋" w:hAnsi="仿宋" w:eastAsia="仿宋"/>
          <w:sz w:val="28"/>
          <w:szCs w:val="22"/>
        </w:rPr>
        <w:t>电 话：</w:t>
      </w:r>
      <w:r>
        <w:rPr>
          <w:rFonts w:hint="eastAsia" w:ascii="仿宋" w:hAnsi="仿宋" w:eastAsia="仿宋"/>
          <w:sz w:val="28"/>
          <w:szCs w:val="22"/>
          <w:lang w:val="en-US" w:eastAsia="zh-CN"/>
        </w:rPr>
        <w:t>13999191325、</w:t>
      </w:r>
      <w:r>
        <w:rPr>
          <w:rFonts w:hint="eastAsia" w:ascii="仿宋" w:hAnsi="仿宋" w:eastAsia="仿宋"/>
          <w:sz w:val="28"/>
          <w:szCs w:val="22"/>
        </w:rPr>
        <w:t>13659965991</w:t>
      </w:r>
    </w:p>
    <w:p>
      <w:pPr>
        <w:pStyle w:val="4"/>
      </w:pPr>
      <w:r>
        <w:rPr>
          <w:rFonts w:hint="eastAsia"/>
        </w:rPr>
        <w:br w:type="page"/>
      </w:r>
      <w:bookmarkStart w:id="8" w:name="_Toc5896489"/>
      <w:bookmarkStart w:id="9" w:name="_Toc25500"/>
      <w:bookmarkStart w:id="10" w:name="_Toc55990500"/>
      <w:bookmarkStart w:id="11" w:name="_Toc56170378"/>
      <w:bookmarkStart w:id="12" w:name="_Toc61184621"/>
      <w:bookmarkStart w:id="13" w:name="_Toc399523005"/>
      <w:r>
        <w:rPr>
          <w:rFonts w:hint="eastAsia"/>
        </w:rPr>
        <w:t>第二章、磋商须知</w:t>
      </w:r>
      <w:bookmarkEnd w:id="8"/>
      <w:bookmarkEnd w:id="9"/>
      <w:bookmarkEnd w:id="10"/>
      <w:bookmarkEnd w:id="11"/>
      <w:bookmarkEnd w:id="12"/>
    </w:p>
    <w:p>
      <w:pPr>
        <w:pStyle w:val="6"/>
      </w:pPr>
      <w:bookmarkStart w:id="14" w:name="_Toc61184622"/>
      <w:bookmarkStart w:id="15" w:name="_Toc56170379"/>
      <w:bookmarkStart w:id="16" w:name="_Toc105"/>
      <w:r>
        <w:rPr>
          <w:rFonts w:hint="eastAsia"/>
        </w:rPr>
        <w:t>磋商须知前附表</w:t>
      </w:r>
      <w:bookmarkEnd w:id="14"/>
      <w:bookmarkEnd w:id="15"/>
      <w:bookmarkEnd w:id="16"/>
    </w:p>
    <w:tbl>
      <w:tblPr>
        <w:tblStyle w:val="22"/>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28"/>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28"/>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28"/>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新疆医科大学附属肿瘤医院高档彩色多普勒超声诊断仪（介入功能）采购项目</w:t>
            </w:r>
          </w:p>
          <w:p>
            <w:pPr>
              <w:pStyle w:val="28"/>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highlight w:val="yellow"/>
              </w:rPr>
              <w:t>项目编号：</w:t>
            </w:r>
            <w:r>
              <w:rPr>
                <w:rFonts w:hint="eastAsia" w:ascii="仿宋" w:hAnsi="仿宋" w:eastAsia="仿宋"/>
                <w:color w:val="000000"/>
                <w:sz w:val="24"/>
                <w:szCs w:val="24"/>
                <w:lang w:val="en-US" w:eastAsia="zh-CN"/>
              </w:rPr>
              <w:t xml:space="preserve"> </w:t>
            </w:r>
          </w:p>
          <w:p>
            <w:pPr>
              <w:pStyle w:val="28"/>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采购高档彩色多普勒超声诊断仪（介入功能）</w:t>
            </w:r>
            <w:bookmarkStart w:id="101" w:name="_GoBack"/>
            <w:bookmarkEnd w:id="101"/>
            <w:r>
              <w:rPr>
                <w:rFonts w:hint="eastAsia" w:ascii="仿宋" w:hAnsi="仿宋" w:eastAsia="仿宋"/>
                <w:color w:val="000000"/>
                <w:sz w:val="24"/>
                <w:szCs w:val="24"/>
                <w:lang w:val="en-US" w:eastAsia="zh-CN"/>
              </w:rPr>
              <w:t>1</w:t>
            </w:r>
            <w:r>
              <w:rPr>
                <w:rFonts w:hint="eastAsia" w:ascii="仿宋" w:hAnsi="仿宋" w:eastAsia="仿宋"/>
                <w:color w:val="000000"/>
                <w:sz w:val="24"/>
                <w:szCs w:val="24"/>
                <w:lang w:eastAsia="zh-CN"/>
              </w:rPr>
              <w:t>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180万元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28"/>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8"/>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28"/>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18000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壹万捌仟元整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8"/>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8"/>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8"/>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7"/>
              <w:snapToGrid w:val="0"/>
              <w:spacing w:line="360" w:lineRule="auto"/>
              <w:rPr>
                <w:rFonts w:ascii="仿宋" w:hAnsi="仿宋" w:eastAsia="仿宋"/>
                <w:szCs w:val="24"/>
              </w:rPr>
            </w:pPr>
            <w:r>
              <w:rPr>
                <w:rFonts w:hint="eastAsia" w:ascii="仿宋" w:hAnsi="仿宋" w:eastAsia="仿宋"/>
                <w:szCs w:val="24"/>
              </w:rPr>
              <w:t>供应商资格要求：</w:t>
            </w:r>
          </w:p>
          <w:p>
            <w:pPr>
              <w:pStyle w:val="27"/>
              <w:snapToGrid w:val="0"/>
              <w:spacing w:line="360" w:lineRule="auto"/>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7"/>
              <w:snapToGrid w:val="0"/>
              <w:spacing w:line="360" w:lineRule="auto"/>
              <w:rPr>
                <w:rFonts w:hint="eastAsia" w:ascii="仿宋" w:hAnsi="仿宋" w:eastAsia="仿宋"/>
                <w:szCs w:val="24"/>
              </w:rPr>
            </w:pPr>
            <w:r>
              <w:rPr>
                <w:rFonts w:hint="eastAsia" w:ascii="仿宋" w:hAnsi="仿宋" w:eastAsia="仿宋"/>
                <w:szCs w:val="24"/>
              </w:rPr>
              <w:t>2、具有有效的营业执照；</w:t>
            </w:r>
          </w:p>
          <w:p>
            <w:pPr>
              <w:pStyle w:val="27"/>
              <w:snapToGrid w:val="0"/>
              <w:spacing w:line="360" w:lineRule="auto"/>
              <w:rPr>
                <w:rFonts w:hint="eastAsia"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7"/>
              <w:snapToGrid w:val="0"/>
              <w:spacing w:line="360" w:lineRule="auto"/>
              <w:rPr>
                <w:rFonts w:hint="eastAsia"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27"/>
              <w:snapToGrid w:val="0"/>
              <w:spacing w:line="360" w:lineRule="auto"/>
              <w:rPr>
                <w:rFonts w:hint="eastAsia"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7"/>
              <w:snapToGrid w:val="0"/>
              <w:spacing w:line="360" w:lineRule="auto"/>
              <w:rPr>
                <w:rFonts w:hint="eastAsia" w:ascii="仿宋" w:hAnsi="仿宋" w:eastAsia="仿宋"/>
                <w:szCs w:val="24"/>
              </w:rPr>
            </w:pPr>
            <w:r>
              <w:rPr>
                <w:rFonts w:hint="eastAsia" w:ascii="仿宋" w:hAnsi="仿宋" w:eastAsia="仿宋"/>
                <w:szCs w:val="24"/>
              </w:rPr>
              <w:t>6、本项目不接受联合体投标。</w:t>
            </w:r>
          </w:p>
          <w:p>
            <w:pPr>
              <w:pStyle w:val="27"/>
              <w:snapToGrid w:val="0"/>
              <w:spacing w:line="360" w:lineRule="auto"/>
              <w:rPr>
                <w:rFonts w:hint="eastAsia"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）政府采购严重违法失信行为记录名单中被财政部门禁止参加政府采购活动的供应商（处罚决定规定的时间和地域范围内）。信用信息截止时点为报名期限内。和地域范围内）。信用信息截止时点为报名期限内。</w:t>
            </w:r>
          </w:p>
          <w:p>
            <w:pPr>
              <w:pStyle w:val="27"/>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27"/>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w:t>
            </w:r>
            <w:r>
              <w:rPr>
                <w:rFonts w:hint="eastAsia" w:ascii="仿宋" w:hAnsi="仿宋" w:eastAsia="仿宋"/>
                <w:b/>
                <w:bCs/>
                <w:szCs w:val="24"/>
                <w:lang w:val="en-US" w:eastAsia="zh-CN"/>
              </w:rPr>
              <w:t>投标</w:t>
            </w:r>
            <w:r>
              <w:rPr>
                <w:rFonts w:hint="eastAsia" w:ascii="仿宋" w:hAnsi="仿宋" w:eastAsia="仿宋"/>
                <w:b/>
                <w:bCs/>
                <w:szCs w:val="24"/>
              </w:rPr>
              <w:t>时携带）。</w:t>
            </w:r>
          </w:p>
          <w:p>
            <w:pPr>
              <w:pStyle w:val="27"/>
              <w:snapToGrid w:val="0"/>
              <w:spacing w:line="360" w:lineRule="auto"/>
              <w:ind w:firstLine="560"/>
              <w:rPr>
                <w:rFonts w:hint="eastAsia"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27"/>
              <w:snapToGrid w:val="0"/>
              <w:spacing w:line="360" w:lineRule="auto"/>
              <w:ind w:firstLine="560"/>
              <w:rPr>
                <w:rFonts w:hint="default" w:ascii="仿宋" w:hAnsi="仿宋" w:eastAsia="仿宋"/>
                <w:b/>
                <w:bCs/>
                <w:szCs w:val="24"/>
                <w:lang w:val="en-US"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3</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lang w:eastAsia="zh-CN"/>
              </w:rPr>
              <w:t>医疗器械经营（生产）许可证原件。</w:t>
            </w:r>
          </w:p>
          <w:p>
            <w:pPr>
              <w:pStyle w:val="27"/>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4</w:t>
            </w:r>
            <w:r>
              <w:rPr>
                <w:rFonts w:hint="eastAsia" w:ascii="仿宋" w:hAnsi="仿宋" w:eastAsia="仿宋"/>
                <w:b/>
                <w:bCs/>
                <w:szCs w:val="24"/>
              </w:rPr>
              <w:t>） 保证金缴纳凭证。（加盖公章的复印件）</w:t>
            </w:r>
          </w:p>
          <w:p>
            <w:pPr>
              <w:pStyle w:val="27"/>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 参加政府采购活动近三年内在经营活动中没有重大违法记录的书面声明。（原件）</w:t>
            </w:r>
          </w:p>
          <w:p>
            <w:pPr>
              <w:pStyle w:val="27"/>
              <w:snapToGrid w:val="0"/>
              <w:spacing w:line="360" w:lineRule="auto"/>
              <w:ind w:firstLine="560"/>
              <w:rPr>
                <w:rFonts w:ascii="仿宋" w:hAnsi="仿宋" w:eastAsia="仿宋"/>
                <w:b/>
                <w:bCs/>
                <w:szCs w:val="24"/>
              </w:rPr>
            </w:pPr>
            <w:r>
              <w:rPr>
                <w:rFonts w:hint="eastAsia" w:ascii="仿宋" w:hAnsi="仿宋" w:eastAsia="仿宋"/>
                <w:b/>
                <w:bCs/>
                <w:szCs w:val="24"/>
                <w:highlight w:val="none"/>
              </w:rPr>
              <w:t>（</w:t>
            </w:r>
            <w:r>
              <w:rPr>
                <w:rFonts w:hint="eastAsia" w:ascii="仿宋" w:hAnsi="仿宋" w:eastAsia="仿宋"/>
                <w:b/>
                <w:bCs/>
                <w:szCs w:val="24"/>
                <w:highlight w:val="none"/>
                <w:lang w:val="en-US" w:eastAsia="zh-CN"/>
              </w:rPr>
              <w:t>6</w:t>
            </w:r>
            <w:r>
              <w:rPr>
                <w:rFonts w:hint="eastAsia" w:ascii="仿宋" w:hAnsi="仿宋" w:eastAsia="仿宋"/>
                <w:b/>
                <w:bCs/>
                <w:szCs w:val="24"/>
                <w:highlight w:val="none"/>
              </w:rPr>
              <w:t>）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28"/>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8"/>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highlight w:val="yellow"/>
                <w:u w:val="single"/>
              </w:rPr>
              <w:t>2022年</w:t>
            </w:r>
            <w:r>
              <w:rPr>
                <w:rFonts w:hint="eastAsia" w:ascii="仿宋" w:hAnsi="仿宋" w:eastAsia="仿宋"/>
                <w:color w:val="000000"/>
                <w:sz w:val="24"/>
                <w:szCs w:val="24"/>
                <w:highlight w:val="yellow"/>
                <w:u w:val="single"/>
                <w:lang w:val="en-US" w:eastAsia="zh-CN"/>
              </w:rPr>
              <w:t xml:space="preserve">  </w:t>
            </w:r>
            <w:r>
              <w:rPr>
                <w:rFonts w:hint="eastAsia" w:ascii="仿宋" w:hAnsi="仿宋" w:eastAsia="仿宋"/>
                <w:color w:val="000000"/>
                <w:sz w:val="24"/>
                <w:szCs w:val="24"/>
                <w:highlight w:val="yellow"/>
                <w:u w:val="single"/>
              </w:rPr>
              <w:t>月</w:t>
            </w:r>
            <w:r>
              <w:rPr>
                <w:rFonts w:hint="eastAsia" w:ascii="仿宋" w:hAnsi="仿宋" w:eastAsia="仿宋"/>
                <w:color w:val="000000"/>
                <w:sz w:val="24"/>
                <w:szCs w:val="24"/>
                <w:highlight w:val="yellow"/>
                <w:u w:val="single"/>
                <w:lang w:val="en-US" w:eastAsia="zh-CN"/>
              </w:rPr>
              <w:t xml:space="preserve"> </w:t>
            </w:r>
            <w:r>
              <w:rPr>
                <w:rFonts w:hint="eastAsia" w:ascii="仿宋" w:hAnsi="仿宋" w:eastAsia="仿宋"/>
                <w:color w:val="000000"/>
                <w:sz w:val="24"/>
                <w:szCs w:val="24"/>
                <w:highlight w:val="yellow"/>
                <w:u w:val="single"/>
              </w:rPr>
              <w:t>日上午11时00分（北京时间）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highlight w:val="yellow"/>
                <w:u w:val="single"/>
              </w:rPr>
              <w:t>2022年</w:t>
            </w:r>
            <w:r>
              <w:rPr>
                <w:rFonts w:hint="eastAsia" w:ascii="仿宋" w:hAnsi="仿宋" w:eastAsia="仿宋"/>
                <w:color w:val="000000"/>
                <w:sz w:val="24"/>
                <w:szCs w:val="24"/>
                <w:highlight w:val="yellow"/>
                <w:u w:val="single"/>
                <w:lang w:val="en-US" w:eastAsia="zh-CN"/>
              </w:rPr>
              <w:t xml:space="preserve"> </w:t>
            </w:r>
            <w:r>
              <w:rPr>
                <w:rFonts w:hint="eastAsia" w:ascii="仿宋" w:hAnsi="仿宋" w:eastAsia="仿宋"/>
                <w:color w:val="000000"/>
                <w:sz w:val="24"/>
                <w:szCs w:val="24"/>
                <w:highlight w:val="yellow"/>
                <w:u w:val="single"/>
              </w:rPr>
              <w:t>月</w:t>
            </w:r>
            <w:r>
              <w:rPr>
                <w:rFonts w:hint="eastAsia" w:ascii="仿宋" w:hAnsi="仿宋" w:eastAsia="仿宋"/>
                <w:color w:val="000000"/>
                <w:sz w:val="24"/>
                <w:szCs w:val="24"/>
                <w:highlight w:val="yellow"/>
                <w:u w:val="single"/>
                <w:lang w:val="en-US" w:eastAsia="zh-CN"/>
              </w:rPr>
              <w:t xml:space="preserve"> </w:t>
            </w:r>
            <w:r>
              <w:rPr>
                <w:rFonts w:hint="eastAsia" w:ascii="仿宋" w:hAnsi="仿宋" w:eastAsia="仿宋"/>
                <w:color w:val="000000"/>
                <w:sz w:val="24"/>
                <w:szCs w:val="24"/>
                <w:highlight w:val="yellow"/>
                <w:u w:val="single"/>
              </w:rPr>
              <w:t>日上午11时00分（北京时间）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yellow"/>
              </w:rPr>
            </w:pPr>
            <w:r>
              <w:rPr>
                <w:rFonts w:hint="eastAsia" w:ascii="仿宋" w:hAnsi="仿宋" w:eastAsia="仿宋"/>
                <w:b/>
                <w:bCs/>
                <w:sz w:val="24"/>
                <w:szCs w:val="24"/>
                <w:highlight w:val="yellow"/>
              </w:rPr>
              <w:t>交货期：30日历日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color w:val="FF0000"/>
                <w:sz w:val="24"/>
                <w:szCs w:val="24"/>
                <w:highlight w:val="yellow"/>
              </w:rPr>
            </w:pPr>
            <w:r>
              <w:rPr>
                <w:rFonts w:hint="eastAsia" w:ascii="仿宋" w:hAnsi="仿宋" w:eastAsia="仿宋"/>
                <w:b/>
                <w:bCs/>
                <w:color w:val="000000"/>
                <w:sz w:val="24"/>
                <w:szCs w:val="24"/>
                <w:highlight w:val="yellow"/>
              </w:rPr>
              <w:t>付款方式：合同签订后付合同总额（人民币）的95％，付款至全额的95％时供货方应提供设备真实、合法、有效的全额发票，合同余额5％质保期满后付清。（如设备验收不合格医院有权拒绝付款并要求退货）。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yellow"/>
              </w:rPr>
            </w:pPr>
            <w:r>
              <w:rPr>
                <w:rFonts w:hint="eastAsia" w:ascii="仿宋" w:hAnsi="仿宋" w:eastAsia="仿宋"/>
                <w:b/>
                <w:bCs/>
                <w:sz w:val="24"/>
                <w:szCs w:val="24"/>
                <w:highlight w:val="yellow"/>
              </w:rPr>
              <w:t>保修期≥</w:t>
            </w:r>
            <w:r>
              <w:rPr>
                <w:rFonts w:hint="eastAsia" w:ascii="仿宋" w:hAnsi="仿宋" w:eastAsia="仿宋"/>
                <w:b/>
                <w:bCs/>
                <w:sz w:val="24"/>
                <w:szCs w:val="24"/>
                <w:highlight w:val="yellow"/>
                <w:lang w:val="en-US" w:eastAsia="zh-CN"/>
              </w:rPr>
              <w:t>3</w:t>
            </w:r>
            <w:r>
              <w:rPr>
                <w:rFonts w:hint="eastAsia" w:ascii="仿宋" w:hAnsi="仿宋" w:eastAsia="仿宋"/>
                <w:b/>
                <w:bCs/>
                <w:sz w:val="24"/>
                <w:szCs w:val="24"/>
                <w:highlight w:val="yellow"/>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w:t>
            </w:r>
            <w:r>
              <w:rPr>
                <w:rFonts w:hint="eastAsia" w:ascii="仿宋" w:hAnsi="仿宋" w:eastAsia="仿宋"/>
                <w:color w:val="000000"/>
                <w:sz w:val="24"/>
                <w:szCs w:val="24"/>
                <w:lang w:val="en-US" w:eastAsia="zh-CN"/>
              </w:rPr>
              <w:t>付文、</w:t>
            </w:r>
            <w:r>
              <w:rPr>
                <w:rFonts w:hint="eastAsia" w:ascii="仿宋" w:hAnsi="仿宋" w:eastAsia="仿宋"/>
                <w:color w:val="000000"/>
                <w:sz w:val="24"/>
                <w:szCs w:val="24"/>
              </w:rPr>
              <w:t>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w:t>
            </w:r>
            <w:r>
              <w:rPr>
                <w:rFonts w:hint="eastAsia" w:ascii="仿宋" w:hAnsi="仿宋" w:eastAsia="仿宋"/>
                <w:color w:val="000000"/>
                <w:sz w:val="24"/>
                <w:szCs w:val="24"/>
                <w:lang w:val="en-US" w:eastAsia="zh-CN"/>
              </w:rPr>
              <w:t>13999191325、</w:t>
            </w:r>
            <w:r>
              <w:rPr>
                <w:rFonts w:hint="eastAsia" w:ascii="仿宋" w:hAnsi="仿宋" w:eastAsia="仿宋"/>
                <w:color w:val="000000"/>
                <w:sz w:val="24"/>
                <w:szCs w:val="24"/>
              </w:rPr>
              <w:t>13659965991</w:t>
            </w:r>
          </w:p>
        </w:tc>
      </w:tr>
    </w:tbl>
    <w:p>
      <w:pPr>
        <w:rPr>
          <w:rFonts w:ascii="仿宋" w:hAnsi="仿宋" w:eastAsia="仿宋"/>
        </w:rPr>
      </w:pPr>
    </w:p>
    <w:p>
      <w:bookmarkStart w:id="17" w:name="_Toc61184623"/>
      <w:bookmarkStart w:id="18" w:name="_Toc56170380"/>
      <w:r>
        <w:rPr>
          <w:rFonts w:hint="eastAsia"/>
        </w:rPr>
        <w:br w:type="page"/>
      </w:r>
    </w:p>
    <w:p>
      <w:pPr>
        <w:pStyle w:val="6"/>
      </w:pPr>
      <w:bookmarkStart w:id="19" w:name="_Toc9701"/>
      <w:r>
        <w:rPr>
          <w:rFonts w:hint="eastAsia"/>
        </w:rPr>
        <w:t>一、总 则</w:t>
      </w:r>
      <w:bookmarkEnd w:id="17"/>
      <w:bookmarkEnd w:id="18"/>
      <w:bookmarkEnd w:id="19"/>
    </w:p>
    <w:p>
      <w:pPr>
        <w:pStyle w:val="27"/>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7"/>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7"/>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7"/>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7"/>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7"/>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27"/>
        <w:spacing w:line="360" w:lineRule="auto"/>
        <w:ind w:firstLine="560"/>
        <w:jc w:val="both"/>
        <w:rPr>
          <w:rFonts w:ascii="仿宋" w:hAnsi="仿宋" w:eastAsia="仿宋"/>
          <w:sz w:val="28"/>
        </w:rPr>
      </w:pPr>
      <w:r>
        <w:rPr>
          <w:rFonts w:hint="eastAsia" w:ascii="仿宋" w:hAnsi="仿宋" w:eastAsia="仿宋"/>
          <w:sz w:val="28"/>
        </w:rPr>
        <w:t>2. 定义</w:t>
      </w:r>
    </w:p>
    <w:p>
      <w:pPr>
        <w:pStyle w:val="27"/>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7"/>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27"/>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7"/>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7"/>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27"/>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27"/>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7"/>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7"/>
        <w:spacing w:line="360" w:lineRule="auto"/>
        <w:ind w:firstLine="561"/>
        <w:rPr>
          <w:rFonts w:ascii="仿宋" w:hAnsi="仿宋" w:eastAsia="仿宋"/>
          <w:sz w:val="28"/>
        </w:rPr>
      </w:pPr>
      <w:r>
        <w:rPr>
          <w:rFonts w:hint="eastAsia" w:ascii="仿宋" w:hAnsi="仿宋" w:eastAsia="仿宋"/>
          <w:sz w:val="28"/>
        </w:rPr>
        <w:t>3. 其他要求</w:t>
      </w:r>
    </w:p>
    <w:p>
      <w:pPr>
        <w:pStyle w:val="27"/>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27"/>
        <w:spacing w:line="360" w:lineRule="auto"/>
        <w:ind w:firstLine="561"/>
        <w:rPr>
          <w:rFonts w:ascii="仿宋" w:hAnsi="仿宋" w:eastAsia="仿宋"/>
          <w:sz w:val="28"/>
        </w:rPr>
      </w:pPr>
      <w:r>
        <w:rPr>
          <w:rFonts w:hint="eastAsia" w:ascii="仿宋" w:hAnsi="仿宋" w:eastAsia="仿宋"/>
          <w:sz w:val="28"/>
        </w:rPr>
        <w:t>3.2 政府采购政策支持</w:t>
      </w:r>
    </w:p>
    <w:p>
      <w:pPr>
        <w:pStyle w:val="27"/>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7"/>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7"/>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6"/>
        <w:spacing w:line="360" w:lineRule="auto"/>
      </w:pPr>
      <w:bookmarkStart w:id="20" w:name="_Toc61184624"/>
      <w:bookmarkStart w:id="21" w:name="_Toc17589"/>
      <w:bookmarkStart w:id="22" w:name="_Toc56170381"/>
      <w:r>
        <w:rPr>
          <w:rFonts w:hint="eastAsia"/>
        </w:rPr>
        <w:t>二、磋商文件</w:t>
      </w:r>
      <w:bookmarkEnd w:id="20"/>
      <w:bookmarkEnd w:id="21"/>
      <w:bookmarkEnd w:id="22"/>
    </w:p>
    <w:p>
      <w:pPr>
        <w:pStyle w:val="27"/>
        <w:spacing w:line="360" w:lineRule="auto"/>
        <w:ind w:firstLine="560"/>
        <w:jc w:val="both"/>
        <w:rPr>
          <w:rFonts w:ascii="仿宋" w:hAnsi="仿宋" w:eastAsia="仿宋"/>
          <w:sz w:val="28"/>
        </w:rPr>
      </w:pPr>
      <w:r>
        <w:rPr>
          <w:rFonts w:hint="eastAsia" w:ascii="仿宋" w:hAnsi="仿宋" w:eastAsia="仿宋"/>
          <w:sz w:val="28"/>
        </w:rPr>
        <w:t>4. 磋商文件</w:t>
      </w:r>
    </w:p>
    <w:p>
      <w:pPr>
        <w:pStyle w:val="27"/>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27"/>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7"/>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7"/>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7"/>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7"/>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7"/>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7"/>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27"/>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6"/>
        <w:spacing w:line="360" w:lineRule="auto"/>
      </w:pPr>
      <w:bookmarkStart w:id="23" w:name="_Toc29097"/>
      <w:bookmarkStart w:id="24" w:name="_Toc61184625"/>
      <w:bookmarkStart w:id="25" w:name="_Toc56170382"/>
      <w:r>
        <w:rPr>
          <w:rFonts w:hint="eastAsia"/>
        </w:rPr>
        <w:t>三、响应文件的编制</w:t>
      </w:r>
      <w:bookmarkEnd w:id="23"/>
      <w:bookmarkEnd w:id="24"/>
      <w:bookmarkEnd w:id="25"/>
    </w:p>
    <w:p>
      <w:pPr>
        <w:pStyle w:val="27"/>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27"/>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7"/>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27"/>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7"/>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7"/>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27"/>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27"/>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27"/>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7"/>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7"/>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27"/>
        <w:spacing w:line="360" w:lineRule="auto"/>
        <w:ind w:firstLine="560"/>
        <w:jc w:val="both"/>
        <w:rPr>
          <w:rFonts w:ascii="仿宋" w:hAnsi="仿宋" w:eastAsia="仿宋"/>
          <w:sz w:val="28"/>
        </w:rPr>
      </w:pPr>
      <w:r>
        <w:rPr>
          <w:rFonts w:hint="eastAsia" w:ascii="仿宋" w:hAnsi="仿宋" w:eastAsia="仿宋"/>
          <w:sz w:val="28"/>
        </w:rPr>
        <w:t>（1） 响应文件</w:t>
      </w:r>
    </w:p>
    <w:p>
      <w:pPr>
        <w:pStyle w:val="27"/>
        <w:spacing w:line="360" w:lineRule="auto"/>
        <w:ind w:firstLine="562"/>
        <w:jc w:val="both"/>
        <w:rPr>
          <w:rFonts w:ascii="仿宋" w:hAnsi="仿宋" w:eastAsia="仿宋"/>
          <w:sz w:val="28"/>
        </w:rPr>
      </w:pPr>
      <w:r>
        <w:rPr>
          <w:rFonts w:hint="eastAsia" w:ascii="仿宋" w:hAnsi="仿宋" w:eastAsia="仿宋"/>
          <w:sz w:val="28"/>
        </w:rPr>
        <w:t>（2） 磋商一览表</w:t>
      </w:r>
    </w:p>
    <w:p>
      <w:pPr>
        <w:pStyle w:val="27"/>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27"/>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7"/>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7"/>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28"/>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8"/>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7"/>
        <w:spacing w:line="360" w:lineRule="auto"/>
        <w:ind w:firstLine="560"/>
        <w:jc w:val="both"/>
        <w:rPr>
          <w:rFonts w:ascii="仿宋" w:hAnsi="仿宋" w:eastAsia="仿宋"/>
          <w:sz w:val="28"/>
        </w:rPr>
      </w:pPr>
      <w:r>
        <w:rPr>
          <w:rFonts w:hint="eastAsia" w:ascii="仿宋" w:hAnsi="仿宋" w:eastAsia="仿宋"/>
          <w:sz w:val="28"/>
        </w:rPr>
        <w:t>8.1.3 响应文件</w:t>
      </w:r>
    </w:p>
    <w:p>
      <w:pPr>
        <w:pStyle w:val="27"/>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7"/>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27"/>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7"/>
        <w:spacing w:line="360" w:lineRule="auto"/>
        <w:ind w:firstLine="560"/>
        <w:jc w:val="both"/>
        <w:rPr>
          <w:rFonts w:ascii="仿宋" w:hAnsi="仿宋" w:eastAsia="仿宋"/>
          <w:sz w:val="28"/>
        </w:rPr>
      </w:pPr>
      <w:r>
        <w:rPr>
          <w:rFonts w:hint="eastAsia" w:ascii="仿宋" w:hAnsi="仿宋" w:eastAsia="仿宋"/>
          <w:sz w:val="28"/>
        </w:rPr>
        <w:t>10. 磋商报价</w:t>
      </w:r>
    </w:p>
    <w:p>
      <w:pPr>
        <w:pStyle w:val="27"/>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7"/>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7"/>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7"/>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7"/>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27"/>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7"/>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7"/>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7"/>
        <w:spacing w:line="360" w:lineRule="auto"/>
        <w:ind w:firstLine="560"/>
        <w:jc w:val="both"/>
        <w:rPr>
          <w:rFonts w:ascii="仿宋" w:hAnsi="仿宋" w:eastAsia="仿宋"/>
          <w:sz w:val="28"/>
        </w:rPr>
      </w:pPr>
      <w:r>
        <w:rPr>
          <w:rFonts w:hint="eastAsia" w:ascii="仿宋" w:hAnsi="仿宋" w:eastAsia="仿宋"/>
          <w:sz w:val="28"/>
        </w:rPr>
        <w:t>11. 磋商货币</w:t>
      </w:r>
    </w:p>
    <w:p>
      <w:pPr>
        <w:pStyle w:val="27"/>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27"/>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7"/>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7"/>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27"/>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27"/>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7"/>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7"/>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27"/>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27"/>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7"/>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7"/>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7"/>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7"/>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27"/>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7"/>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7"/>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27"/>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7"/>
        <w:spacing w:line="360" w:lineRule="auto"/>
        <w:ind w:firstLine="560"/>
        <w:rPr>
          <w:rFonts w:ascii="仿宋" w:hAnsi="仿宋" w:eastAsia="仿宋"/>
          <w:sz w:val="28"/>
        </w:rPr>
      </w:pPr>
      <w:r>
        <w:rPr>
          <w:rFonts w:hint="eastAsia" w:ascii="仿宋" w:hAnsi="仿宋" w:eastAsia="仿宋"/>
          <w:sz w:val="28"/>
        </w:rPr>
        <w:t>16. 磋商保证金</w:t>
      </w:r>
    </w:p>
    <w:p>
      <w:pPr>
        <w:pStyle w:val="27"/>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27"/>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7"/>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7"/>
        <w:spacing w:line="360" w:lineRule="auto"/>
        <w:ind w:firstLine="560"/>
        <w:rPr>
          <w:rFonts w:ascii="仿宋" w:hAnsi="仿宋" w:eastAsia="仿宋"/>
          <w:sz w:val="28"/>
        </w:rPr>
      </w:pPr>
      <w:r>
        <w:rPr>
          <w:rFonts w:hint="eastAsia" w:ascii="仿宋" w:hAnsi="仿宋" w:eastAsia="仿宋"/>
          <w:sz w:val="28"/>
        </w:rPr>
        <w:t>16.4 磋商保证金的退还</w:t>
      </w:r>
    </w:p>
    <w:p>
      <w:pPr>
        <w:pStyle w:val="27"/>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27"/>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28"/>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28"/>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28"/>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6"/>
        <w:spacing w:line="360" w:lineRule="auto"/>
      </w:pPr>
      <w:bookmarkStart w:id="26" w:name="_Toc61184626"/>
      <w:bookmarkStart w:id="27" w:name="_Toc26897"/>
      <w:bookmarkStart w:id="28" w:name="_Toc56170383"/>
      <w:r>
        <w:rPr>
          <w:rFonts w:hint="eastAsia"/>
        </w:rPr>
        <w:t>四、响应文件的递交</w:t>
      </w:r>
      <w:bookmarkEnd w:id="26"/>
      <w:bookmarkEnd w:id="27"/>
      <w:bookmarkEnd w:id="28"/>
    </w:p>
    <w:p>
      <w:pPr>
        <w:pStyle w:val="27"/>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27"/>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7"/>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27"/>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7"/>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27"/>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27"/>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27"/>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27"/>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7"/>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27"/>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29"/>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9"/>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9"/>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9"/>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9"/>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9"/>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29"/>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29"/>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29"/>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29"/>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29"/>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6"/>
        <w:spacing w:line="360" w:lineRule="auto"/>
      </w:pPr>
      <w:bookmarkStart w:id="29" w:name="_Toc30907"/>
      <w:bookmarkStart w:id="30" w:name="_Toc56170384"/>
      <w:bookmarkStart w:id="31" w:name="_Toc61184627"/>
      <w:r>
        <w:rPr>
          <w:rFonts w:hint="eastAsia"/>
        </w:rPr>
        <w:t>五、磋商</w:t>
      </w:r>
      <w:bookmarkEnd w:id="29"/>
      <w:bookmarkEnd w:id="30"/>
      <w:bookmarkEnd w:id="31"/>
    </w:p>
    <w:p>
      <w:pPr>
        <w:pStyle w:val="29"/>
        <w:spacing w:line="360" w:lineRule="auto"/>
        <w:ind w:firstLine="560"/>
        <w:jc w:val="both"/>
        <w:rPr>
          <w:rFonts w:ascii="仿宋" w:hAnsi="仿宋" w:eastAsia="仿宋"/>
          <w:sz w:val="28"/>
        </w:rPr>
      </w:pPr>
      <w:r>
        <w:rPr>
          <w:rFonts w:hint="eastAsia" w:ascii="仿宋" w:hAnsi="仿宋" w:eastAsia="仿宋"/>
          <w:sz w:val="28"/>
        </w:rPr>
        <w:t>21. 磋商</w:t>
      </w:r>
    </w:p>
    <w:p>
      <w:pPr>
        <w:pStyle w:val="27"/>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7"/>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27"/>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27"/>
        <w:spacing w:line="360" w:lineRule="auto"/>
        <w:ind w:firstLine="560"/>
        <w:jc w:val="both"/>
        <w:rPr>
          <w:rFonts w:ascii="仿宋" w:hAnsi="仿宋" w:eastAsia="仿宋"/>
          <w:sz w:val="28"/>
        </w:rPr>
      </w:pPr>
    </w:p>
    <w:p>
      <w:pPr>
        <w:pStyle w:val="6"/>
        <w:spacing w:line="360" w:lineRule="auto"/>
      </w:pPr>
      <w:bookmarkStart w:id="32" w:name="_Toc56170385"/>
      <w:bookmarkStart w:id="33" w:name="_Toc61184628"/>
      <w:bookmarkStart w:id="34" w:name="_Toc22021"/>
      <w:r>
        <w:rPr>
          <w:rFonts w:hint="eastAsia"/>
        </w:rPr>
        <w:t>六、资格审查</w:t>
      </w:r>
      <w:bookmarkEnd w:id="32"/>
      <w:bookmarkEnd w:id="33"/>
      <w:bookmarkEnd w:id="34"/>
    </w:p>
    <w:p>
      <w:pPr>
        <w:pStyle w:val="27"/>
        <w:spacing w:line="360" w:lineRule="auto"/>
        <w:ind w:firstLine="561"/>
        <w:rPr>
          <w:rFonts w:ascii="仿宋" w:hAnsi="仿宋" w:eastAsia="仿宋"/>
          <w:b/>
          <w:bCs/>
          <w:sz w:val="28"/>
        </w:rPr>
      </w:pPr>
      <w:r>
        <w:rPr>
          <w:rFonts w:hint="eastAsia" w:ascii="仿宋" w:hAnsi="仿宋" w:eastAsia="仿宋"/>
          <w:b/>
          <w:bCs/>
          <w:sz w:val="28"/>
        </w:rPr>
        <w:t>22. 资格审查</w:t>
      </w:r>
    </w:p>
    <w:p>
      <w:pPr>
        <w:pStyle w:val="27"/>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27"/>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6"/>
        <w:spacing w:line="360" w:lineRule="auto"/>
      </w:pPr>
      <w:bookmarkStart w:id="35" w:name="_Toc3968"/>
      <w:bookmarkStart w:id="36" w:name="_Toc56170386"/>
      <w:bookmarkStart w:id="37" w:name="_Toc61184629"/>
      <w:r>
        <w:rPr>
          <w:rFonts w:hint="eastAsia"/>
        </w:rPr>
        <w:t>七、磋商和定标</w:t>
      </w:r>
      <w:bookmarkEnd w:id="35"/>
      <w:bookmarkEnd w:id="36"/>
      <w:bookmarkEnd w:id="37"/>
    </w:p>
    <w:p>
      <w:pPr>
        <w:pStyle w:val="27"/>
        <w:spacing w:line="360" w:lineRule="auto"/>
        <w:ind w:firstLine="560"/>
        <w:jc w:val="both"/>
        <w:rPr>
          <w:rFonts w:ascii="仿宋" w:hAnsi="仿宋" w:eastAsia="仿宋"/>
          <w:sz w:val="28"/>
        </w:rPr>
      </w:pPr>
      <w:r>
        <w:rPr>
          <w:rFonts w:hint="eastAsia" w:ascii="仿宋" w:hAnsi="仿宋" w:eastAsia="仿宋"/>
          <w:sz w:val="28"/>
        </w:rPr>
        <w:t>23. 磋商原则</w:t>
      </w:r>
    </w:p>
    <w:p>
      <w:pPr>
        <w:pStyle w:val="27"/>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27"/>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7"/>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7"/>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7"/>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7"/>
        <w:spacing w:line="360" w:lineRule="auto"/>
        <w:ind w:firstLine="560"/>
        <w:jc w:val="both"/>
        <w:rPr>
          <w:rFonts w:ascii="仿宋" w:hAnsi="仿宋" w:eastAsia="仿宋"/>
          <w:sz w:val="28"/>
        </w:rPr>
      </w:pPr>
      <w:r>
        <w:rPr>
          <w:rFonts w:hint="eastAsia" w:ascii="仿宋" w:hAnsi="仿宋" w:eastAsia="仿宋"/>
          <w:sz w:val="28"/>
        </w:rPr>
        <w:t>24. 磋商方法</w:t>
      </w:r>
    </w:p>
    <w:p>
      <w:pPr>
        <w:pStyle w:val="27"/>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7"/>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7"/>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7"/>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7"/>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7"/>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27"/>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27"/>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7"/>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7"/>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8"/>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0"/>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0"/>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0"/>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30"/>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0"/>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2"/>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5"/>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35"/>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35"/>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5"/>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35"/>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left w:val="single" w:color="auto" w:sz="4" w:space="0"/>
              <w:right w:val="single" w:color="auto" w:sz="4" w:space="0"/>
            </w:tcBorders>
            <w:vAlign w:val="center"/>
          </w:tcPr>
          <w:p>
            <w:pPr>
              <w:pStyle w:val="35"/>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0"/>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30"/>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2分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满足磋商文件要求得0分，每优于文件要求5天加1分。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0"/>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30"/>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30"/>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5"/>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5"/>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5"/>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7"/>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7"/>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7"/>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7"/>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27"/>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6"/>
        <w:spacing w:line="360" w:lineRule="auto"/>
      </w:pPr>
      <w:bookmarkStart w:id="38" w:name="_Toc19574"/>
      <w:bookmarkStart w:id="39" w:name="_Toc56170387"/>
      <w:bookmarkStart w:id="40" w:name="_Toc61184630"/>
      <w:r>
        <w:rPr>
          <w:rFonts w:hint="eastAsia"/>
        </w:rPr>
        <w:t>八、授予合同</w:t>
      </w:r>
      <w:bookmarkEnd w:id="38"/>
      <w:bookmarkEnd w:id="39"/>
      <w:bookmarkEnd w:id="40"/>
    </w:p>
    <w:p>
      <w:pPr>
        <w:pStyle w:val="27"/>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6"/>
        <w:spacing w:line="360" w:lineRule="auto"/>
      </w:pPr>
      <w:bookmarkStart w:id="41" w:name="_Toc275"/>
      <w:bookmarkStart w:id="42" w:name="_Toc56170388"/>
      <w:bookmarkStart w:id="43" w:name="_Toc61184631"/>
      <w:r>
        <w:rPr>
          <w:rFonts w:hint="eastAsia"/>
        </w:rPr>
        <w:t>九、买方授标时更改采购货物数量的权利</w:t>
      </w:r>
      <w:bookmarkEnd w:id="41"/>
      <w:bookmarkEnd w:id="42"/>
      <w:bookmarkEnd w:id="43"/>
    </w:p>
    <w:p>
      <w:pPr>
        <w:pStyle w:val="28"/>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6"/>
        <w:spacing w:line="360" w:lineRule="auto"/>
      </w:pPr>
      <w:bookmarkStart w:id="44" w:name="_Toc56170389"/>
      <w:bookmarkStart w:id="45" w:name="_Toc27059"/>
      <w:bookmarkStart w:id="46" w:name="_Toc61184632"/>
      <w:r>
        <w:rPr>
          <w:rFonts w:hint="eastAsia"/>
        </w:rPr>
        <w:t>十、其他事项</w:t>
      </w:r>
      <w:bookmarkEnd w:id="44"/>
      <w:bookmarkEnd w:id="45"/>
      <w:bookmarkEnd w:id="46"/>
    </w:p>
    <w:p>
      <w:pPr>
        <w:pStyle w:val="27"/>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7"/>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3"/>
    <w:p>
      <w:pPr>
        <w:pStyle w:val="4"/>
      </w:pPr>
      <w:r>
        <w:rPr>
          <w:rFonts w:cs="Times New Roman"/>
          <w:szCs w:val="20"/>
        </w:rPr>
        <w:br w:type="page"/>
      </w:r>
      <w:bookmarkStart w:id="47" w:name="_Toc55990501"/>
      <w:bookmarkStart w:id="48" w:name="_Toc413"/>
      <w:bookmarkStart w:id="49" w:name="_Toc56170390"/>
      <w:bookmarkStart w:id="50" w:name="_Toc61184633"/>
      <w:r>
        <w:rPr>
          <w:rFonts w:hint="eastAsia"/>
        </w:rPr>
        <w:t>第三章、磋商内容及技术要求</w:t>
      </w:r>
      <w:bookmarkEnd w:id="47"/>
      <w:bookmarkEnd w:id="48"/>
      <w:bookmarkEnd w:id="49"/>
      <w:bookmarkEnd w:id="50"/>
    </w:p>
    <w:p>
      <w:pPr>
        <w:spacing w:line="360" w:lineRule="auto"/>
        <w:jc w:val="center"/>
        <w:rPr>
          <w:rFonts w:ascii="仿宋" w:hAnsi="仿宋" w:eastAsia="仿宋" w:cs="仿宋"/>
          <w:b/>
          <w:bCs/>
          <w:sz w:val="28"/>
          <w:szCs w:val="28"/>
        </w:rPr>
      </w:pPr>
      <w:r>
        <w:rPr>
          <w:rFonts w:hint="eastAsia" w:ascii="仿宋" w:hAnsi="仿宋" w:eastAsia="仿宋"/>
          <w:b/>
          <w:color w:val="000000"/>
          <w:sz w:val="22"/>
          <w:szCs w:val="22"/>
        </w:rPr>
        <w:t>星号</w:t>
      </w:r>
      <w:r>
        <w:rPr>
          <w:rFonts w:hint="eastAsia" w:ascii="仿宋" w:hAnsi="仿宋" w:eastAsia="仿宋"/>
          <w:b/>
          <w:color w:val="000000"/>
          <w:sz w:val="21"/>
          <w:szCs w:val="21"/>
          <w:lang w:eastAsia="zh-CN"/>
        </w:rPr>
        <w:t>“</w:t>
      </w:r>
      <w:r>
        <w:rPr>
          <w:rFonts w:hint="eastAsia" w:ascii="仿宋" w:hAnsi="仿宋" w:eastAsia="仿宋"/>
          <w:b/>
          <w:color w:val="000000"/>
          <w:sz w:val="21"/>
          <w:szCs w:val="21"/>
        </w:rPr>
        <w:t>★</w:t>
      </w:r>
      <w:r>
        <w:rPr>
          <w:rFonts w:hint="eastAsia" w:ascii="仿宋" w:hAnsi="仿宋" w:eastAsia="仿宋"/>
          <w:b/>
          <w:color w:val="000000"/>
          <w:sz w:val="21"/>
          <w:szCs w:val="21"/>
          <w:lang w:eastAsia="zh-CN"/>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pPr>
        <w:spacing w:line="500" w:lineRule="exact"/>
        <w:jc w:val="center"/>
        <w:rPr>
          <w:rFonts w:hint="eastAsia" w:ascii="微软雅黑" w:hAnsi="微软雅黑" w:eastAsia="微软雅黑"/>
          <w:b/>
          <w:sz w:val="30"/>
        </w:rPr>
      </w:pPr>
      <w:bookmarkStart w:id="51" w:name="_Toc21747"/>
      <w:bookmarkStart w:id="52" w:name="_Toc61184634"/>
      <w:bookmarkStart w:id="53" w:name="_Toc55990502"/>
      <w:bookmarkStart w:id="54" w:name="_Toc56170391"/>
    </w:p>
    <w:p>
      <w:pPr>
        <w:spacing w:line="500" w:lineRule="exact"/>
        <w:jc w:val="center"/>
        <w:rPr>
          <w:rFonts w:ascii="微软雅黑" w:hAnsi="微软雅黑" w:eastAsia="微软雅黑"/>
          <w:b/>
          <w:sz w:val="30"/>
        </w:rPr>
      </w:pPr>
      <w:r>
        <w:rPr>
          <w:rFonts w:hint="eastAsia" w:ascii="微软雅黑" w:hAnsi="微软雅黑" w:eastAsia="微软雅黑"/>
          <w:b/>
          <w:sz w:val="30"/>
        </w:rPr>
        <w:t>高端彩色多普勒超声诊断仪技术规格（介入）</w:t>
      </w:r>
    </w:p>
    <w:p>
      <w:pPr>
        <w:spacing w:line="500" w:lineRule="exact"/>
        <w:jc w:val="center"/>
        <w:rPr>
          <w:rFonts w:eastAsia="楷体_GB2312"/>
          <w:b/>
          <w:sz w:val="28"/>
        </w:rPr>
      </w:pPr>
    </w:p>
    <w:p>
      <w:pPr>
        <w:pStyle w:val="38"/>
        <w:numPr>
          <w:ilvl w:val="0"/>
          <w:numId w:val="2"/>
        </w:numPr>
        <w:spacing w:line="300" w:lineRule="exact"/>
        <w:ind w:firstLineChars="0"/>
        <w:rPr>
          <w:rFonts w:ascii="微软雅黑" w:hAnsi="微软雅黑" w:eastAsia="微软雅黑" w:cs="Arial"/>
          <w:b/>
          <w:szCs w:val="21"/>
        </w:rPr>
      </w:pPr>
      <w:r>
        <w:rPr>
          <w:rFonts w:hint="eastAsia" w:ascii="微软雅黑" w:hAnsi="微软雅黑" w:eastAsia="微软雅黑" w:cs="Arial"/>
          <w:b/>
          <w:szCs w:val="21"/>
        </w:rPr>
        <w:t>货物名称：</w:t>
      </w:r>
    </w:p>
    <w:p>
      <w:pPr>
        <w:pStyle w:val="38"/>
        <w:spacing w:line="300" w:lineRule="exact"/>
        <w:ind w:left="571" w:leftChars="272" w:firstLine="0" w:firstLineChars="0"/>
        <w:rPr>
          <w:rFonts w:ascii="微软雅黑" w:hAnsi="微软雅黑" w:eastAsia="微软雅黑" w:cs="Arial"/>
          <w:b/>
          <w:szCs w:val="21"/>
        </w:rPr>
      </w:pPr>
      <w:r>
        <w:rPr>
          <w:rFonts w:hint="eastAsia" w:ascii="微软雅黑" w:hAnsi="微软雅黑" w:eastAsia="微软雅黑" w:cs="Arial"/>
          <w:b/>
          <w:szCs w:val="21"/>
        </w:rPr>
        <w:t>全数字高档彩色多普勒超声诊断仪</w:t>
      </w:r>
    </w:p>
    <w:p>
      <w:pPr>
        <w:pStyle w:val="38"/>
        <w:numPr>
          <w:ilvl w:val="0"/>
          <w:numId w:val="2"/>
        </w:numPr>
        <w:spacing w:line="300" w:lineRule="exact"/>
        <w:ind w:firstLineChars="0"/>
        <w:rPr>
          <w:rFonts w:ascii="微软雅黑" w:hAnsi="微软雅黑" w:eastAsia="微软雅黑" w:cs="Arial"/>
          <w:b/>
          <w:szCs w:val="21"/>
        </w:rPr>
      </w:pPr>
      <w:r>
        <w:rPr>
          <w:rFonts w:hint="eastAsia" w:ascii="微软雅黑" w:hAnsi="微软雅黑" w:eastAsia="微软雅黑" w:cs="Arial"/>
          <w:b/>
          <w:szCs w:val="21"/>
        </w:rPr>
        <w:t>用途说明：</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高端全身应用型彩色超声诊断仪:腹部、产科、妇科、心脏、小器官、泌尿、血管、儿科、神经、急诊、麻醉、其它</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※要求</w:t>
      </w:r>
      <w:r>
        <w:rPr>
          <w:rFonts w:ascii="微软雅黑" w:hAnsi="微软雅黑" w:eastAsia="微软雅黑" w:cs="Arial"/>
          <w:szCs w:val="21"/>
        </w:rPr>
        <w:t>为</w:t>
      </w:r>
      <w:r>
        <w:rPr>
          <w:rFonts w:hint="eastAsia" w:ascii="微软雅黑" w:hAnsi="微软雅黑" w:eastAsia="微软雅黑" w:cs="Arial"/>
          <w:szCs w:val="21"/>
        </w:rPr>
        <w:t>20</w:t>
      </w:r>
      <w:r>
        <w:rPr>
          <w:rFonts w:ascii="微软雅黑" w:hAnsi="微软雅黑" w:eastAsia="微软雅黑" w:cs="Arial"/>
          <w:szCs w:val="21"/>
        </w:rPr>
        <w:t>20年最新</w:t>
      </w:r>
      <w:r>
        <w:rPr>
          <w:rFonts w:hint="eastAsia" w:ascii="微软雅黑" w:hAnsi="微软雅黑" w:eastAsia="微软雅黑" w:cs="Arial"/>
          <w:szCs w:val="21"/>
        </w:rPr>
        <w:t>版本及最新</w:t>
      </w:r>
      <w:r>
        <w:rPr>
          <w:rFonts w:ascii="微软雅黑" w:hAnsi="微软雅黑" w:eastAsia="微软雅黑" w:cs="Arial"/>
          <w:szCs w:val="21"/>
        </w:rPr>
        <w:t>机型，</w:t>
      </w:r>
      <w:r>
        <w:rPr>
          <w:rFonts w:hint="eastAsia" w:ascii="微软雅黑" w:hAnsi="微软雅黑" w:eastAsia="微软雅黑" w:cs="Arial"/>
          <w:szCs w:val="21"/>
        </w:rPr>
        <w:t>以</w:t>
      </w:r>
      <w:r>
        <w:rPr>
          <w:rFonts w:ascii="微软雅黑" w:hAnsi="微软雅黑" w:eastAsia="微软雅黑" w:cs="Arial"/>
          <w:szCs w:val="21"/>
        </w:rPr>
        <w:t>首次注册证为准</w:t>
      </w:r>
      <w:r>
        <w:rPr>
          <w:rFonts w:hint="eastAsia" w:ascii="微软雅黑" w:hAnsi="微软雅黑" w:eastAsia="微软雅黑" w:cs="Arial"/>
          <w:szCs w:val="21"/>
        </w:rPr>
        <w:t>,</w:t>
      </w:r>
      <w:r>
        <w:rPr>
          <w:rFonts w:ascii="微软雅黑" w:hAnsi="微软雅黑" w:eastAsia="微软雅黑" w:cs="Arial"/>
          <w:szCs w:val="21"/>
        </w:rPr>
        <w:t>具有</w:t>
      </w:r>
      <w:r>
        <w:rPr>
          <w:rFonts w:hint="eastAsia" w:ascii="微软雅黑" w:hAnsi="微软雅黑" w:eastAsia="微软雅黑" w:cs="Arial"/>
          <w:szCs w:val="21"/>
        </w:rPr>
        <w:t>用户现场</w:t>
      </w:r>
      <w:r>
        <w:rPr>
          <w:rFonts w:ascii="微软雅黑" w:hAnsi="微软雅黑" w:eastAsia="微软雅黑" w:cs="Arial"/>
          <w:szCs w:val="21"/>
        </w:rPr>
        <w:t>升级能力，</w:t>
      </w:r>
      <w:r>
        <w:rPr>
          <w:rFonts w:hint="eastAsia" w:ascii="微软雅黑" w:hAnsi="微软雅黑" w:eastAsia="微软雅黑" w:cs="Arial"/>
          <w:szCs w:val="21"/>
        </w:rPr>
        <w:t>可</w:t>
      </w:r>
      <w:r>
        <w:rPr>
          <w:rFonts w:ascii="微软雅黑" w:hAnsi="微软雅黑" w:eastAsia="微软雅黑" w:cs="Arial"/>
          <w:szCs w:val="21"/>
        </w:rPr>
        <w:t>满足将来临床应用</w:t>
      </w:r>
      <w:r>
        <w:rPr>
          <w:rFonts w:hint="eastAsia" w:ascii="微软雅黑" w:hAnsi="微软雅黑" w:eastAsia="微软雅黑" w:cs="Arial"/>
          <w:szCs w:val="21"/>
        </w:rPr>
        <w:t>扩展</w:t>
      </w:r>
      <w:r>
        <w:rPr>
          <w:rFonts w:ascii="微软雅黑" w:hAnsi="微软雅黑" w:eastAsia="微软雅黑" w:cs="Arial"/>
          <w:szCs w:val="21"/>
        </w:rPr>
        <w:t>需求</w:t>
      </w:r>
    </w:p>
    <w:p>
      <w:pPr>
        <w:pStyle w:val="38"/>
        <w:numPr>
          <w:ilvl w:val="0"/>
          <w:numId w:val="2"/>
        </w:numPr>
        <w:spacing w:line="300" w:lineRule="exact"/>
        <w:ind w:firstLineChars="0"/>
        <w:jc w:val="left"/>
        <w:rPr>
          <w:rFonts w:ascii="微软雅黑" w:hAnsi="微软雅黑" w:eastAsia="微软雅黑"/>
          <w:bCs/>
          <w:sz w:val="24"/>
        </w:rPr>
      </w:pPr>
      <w:r>
        <w:rPr>
          <w:rFonts w:ascii="微软雅黑" w:hAnsi="微软雅黑" w:eastAsia="微软雅黑" w:cs="Arial"/>
          <w:b/>
          <w:szCs w:val="21"/>
        </w:rPr>
        <w:t>交货</w:t>
      </w:r>
      <w:r>
        <w:rPr>
          <w:rFonts w:hint="eastAsia" w:ascii="微软雅黑" w:hAnsi="微软雅黑" w:eastAsia="微软雅黑" w:cs="Arial"/>
          <w:b/>
          <w:szCs w:val="21"/>
        </w:rPr>
        <w:t>期限</w:t>
      </w:r>
      <w:r>
        <w:rPr>
          <w:rFonts w:ascii="微软雅黑" w:hAnsi="微软雅黑" w:eastAsia="微软雅黑" w:cs="Arial"/>
          <w:b/>
          <w:szCs w:val="21"/>
        </w:rPr>
        <w:t>：</w:t>
      </w:r>
      <w:r>
        <w:rPr>
          <w:rFonts w:hint="eastAsia" w:ascii="微软雅黑" w:hAnsi="微软雅黑" w:eastAsia="微软雅黑" w:cs="Arial"/>
          <w:szCs w:val="21"/>
        </w:rPr>
        <w:t>合同签订后 30天</w:t>
      </w:r>
    </w:p>
    <w:p>
      <w:pPr>
        <w:pStyle w:val="38"/>
        <w:numPr>
          <w:ilvl w:val="0"/>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b/>
          <w:szCs w:val="21"/>
        </w:rPr>
        <w:t>系统技术规格及概述：</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全数字化彩色多普勒超声诊断系统主机</w:t>
      </w:r>
    </w:p>
    <w:p>
      <w:pPr>
        <w:pStyle w:val="38"/>
        <w:numPr>
          <w:ilvl w:val="1"/>
          <w:numId w:val="2"/>
        </w:numPr>
        <w:spacing w:line="300" w:lineRule="exact"/>
        <w:ind w:firstLineChars="0"/>
        <w:jc w:val="left"/>
        <w:rPr>
          <w:rFonts w:ascii="微软雅黑" w:hAnsi="微软雅黑" w:eastAsia="微软雅黑" w:cs="Arial"/>
          <w:szCs w:val="21"/>
        </w:rPr>
      </w:pPr>
      <w:bookmarkStart w:id="55" w:name="_Hlk96282702"/>
      <w:r>
        <w:rPr>
          <w:rFonts w:hint="eastAsia" w:ascii="微软雅黑" w:hAnsi="微软雅黑" w:eastAsia="微软雅黑" w:cs="Arial"/>
          <w:szCs w:val="21"/>
        </w:rPr>
        <w:t>≥</w:t>
      </w:r>
      <w:r>
        <w:rPr>
          <w:rFonts w:ascii="微软雅黑" w:hAnsi="微软雅黑" w:eastAsia="微软雅黑" w:cs="Arial"/>
          <w:szCs w:val="21"/>
        </w:rPr>
        <w:t>21</w:t>
      </w:r>
      <w:r>
        <w:rPr>
          <w:rFonts w:hint="eastAsia" w:ascii="微软雅黑" w:hAnsi="微软雅黑" w:eastAsia="微软雅黑" w:cs="Arial"/>
          <w:szCs w:val="21"/>
        </w:rPr>
        <w:t>英寸高分辨率彩色液晶监视器，具备关节臂设计，</w:t>
      </w:r>
      <w:r>
        <w:rPr>
          <w:rFonts w:hint="eastAsia" w:ascii="微软雅黑" w:hAnsi="微软雅黑" w:eastAsia="微软雅黑" w:cs="Calibri"/>
          <w:kern w:val="0"/>
          <w:szCs w:val="21"/>
        </w:rPr>
        <w:t>可实现上下左右前后等方位调节</w:t>
      </w:r>
      <w:bookmarkEnd w:id="55"/>
      <w:r>
        <w:rPr>
          <w:rFonts w:hint="eastAsia" w:ascii="微软雅黑" w:hAnsi="微软雅黑" w:eastAsia="微软雅黑" w:cs="Calibri"/>
          <w:kern w:val="0"/>
          <w:szCs w:val="21"/>
        </w:rPr>
        <w:t>，</w:t>
      </w:r>
    </w:p>
    <w:p>
      <w:pPr>
        <w:pStyle w:val="38"/>
        <w:numPr>
          <w:ilvl w:val="1"/>
          <w:numId w:val="2"/>
        </w:numPr>
        <w:spacing w:line="300" w:lineRule="exact"/>
        <w:ind w:firstLineChars="0"/>
        <w:jc w:val="left"/>
        <w:rPr>
          <w:rFonts w:ascii="微软雅黑" w:hAnsi="微软雅黑" w:eastAsia="微软雅黑" w:cs="Arial"/>
          <w:szCs w:val="21"/>
        </w:rPr>
      </w:pPr>
      <w:bookmarkStart w:id="56" w:name="_Hlk96282715"/>
      <w:r>
        <w:rPr>
          <w:rFonts w:hint="eastAsia" w:ascii="微软雅黑" w:hAnsi="微软雅黑" w:eastAsia="微软雅黑" w:cs="Calibri"/>
          <w:kern w:val="0"/>
          <w:szCs w:val="21"/>
        </w:rPr>
        <w:t>液晶触摸屏</w:t>
      </w:r>
      <w:r>
        <w:rPr>
          <w:rFonts w:hint="eastAsia" w:ascii="微软雅黑" w:hAnsi="微软雅黑" w:eastAsia="微软雅黑" w:cs="Arial"/>
          <w:szCs w:val="21"/>
        </w:rPr>
        <w:t>≥</w:t>
      </w:r>
      <w:r>
        <w:rPr>
          <w:rFonts w:ascii="微软雅黑" w:hAnsi="微软雅黑" w:eastAsia="微软雅黑" w:cs="Arial"/>
          <w:szCs w:val="21"/>
        </w:rPr>
        <w:t>13</w:t>
      </w:r>
      <w:r>
        <w:rPr>
          <w:rFonts w:hint="eastAsia" w:ascii="微软雅黑" w:hAnsi="微软雅黑" w:eastAsia="微软雅黑" w:cs="Arial"/>
          <w:szCs w:val="21"/>
        </w:rPr>
        <w:t>英寸</w:t>
      </w:r>
      <w:r>
        <w:rPr>
          <w:rFonts w:hint="eastAsia" w:ascii="微软雅黑" w:hAnsi="微软雅黑" w:eastAsia="微软雅黑" w:cs="Calibri"/>
          <w:kern w:val="0"/>
          <w:szCs w:val="21"/>
        </w:rPr>
        <w:t>，</w:t>
      </w:r>
      <w:r>
        <w:rPr>
          <w:rFonts w:hint="eastAsia" w:ascii="微软雅黑" w:hAnsi="微软雅黑" w:eastAsia="微软雅黑" w:cs="Arial"/>
          <w:szCs w:val="21"/>
        </w:rPr>
        <w:t>高灵敏度防反光，支持</w:t>
      </w:r>
      <w:r>
        <w:rPr>
          <w:rFonts w:ascii="微软雅黑" w:hAnsi="微软雅黑" w:eastAsia="微软雅黑" w:cs="Arial"/>
          <w:szCs w:val="21"/>
        </w:rPr>
        <w:t>手势操作</w:t>
      </w:r>
      <w:r>
        <w:rPr>
          <w:rFonts w:hint="eastAsia" w:ascii="微软雅黑" w:hAnsi="微软雅黑" w:eastAsia="微软雅黑" w:cs="Arial"/>
          <w:szCs w:val="21"/>
        </w:rPr>
        <w:t>，</w:t>
      </w:r>
      <w:r>
        <w:rPr>
          <w:rFonts w:hint="eastAsia" w:ascii="微软雅黑" w:hAnsi="微软雅黑" w:eastAsia="微软雅黑" w:cs="Calibri"/>
          <w:kern w:val="0"/>
          <w:szCs w:val="21"/>
        </w:rPr>
        <w:t>界面编辑及滑动翻页功能，并支持</w:t>
      </w:r>
      <w:r>
        <w:rPr>
          <w:rFonts w:ascii="微软雅黑" w:hAnsi="微软雅黑" w:eastAsia="微软雅黑" w:cs="Arial"/>
          <w:szCs w:val="21"/>
        </w:rPr>
        <w:t>角度可调</w:t>
      </w:r>
      <w:r>
        <w:rPr>
          <w:rFonts w:hint="eastAsia" w:ascii="微软雅黑" w:hAnsi="微软雅黑" w:eastAsia="微软雅黑" w:cs="Arial"/>
          <w:szCs w:val="21"/>
        </w:rPr>
        <w:t>。</w:t>
      </w:r>
      <w:bookmarkEnd w:id="56"/>
      <w:r>
        <w:rPr>
          <w:rFonts w:ascii="微软雅黑" w:hAnsi="微软雅黑" w:eastAsia="微软雅黑" w:cs="Arial"/>
          <w:szCs w:val="21"/>
        </w:rPr>
        <w:t xml:space="preserve"> </w:t>
      </w:r>
    </w:p>
    <w:p>
      <w:pPr>
        <w:pStyle w:val="38"/>
        <w:numPr>
          <w:ilvl w:val="1"/>
          <w:numId w:val="2"/>
        </w:numPr>
        <w:spacing w:line="300" w:lineRule="exact"/>
        <w:ind w:firstLineChars="0"/>
        <w:jc w:val="left"/>
        <w:rPr>
          <w:rFonts w:ascii="微软雅黑" w:hAnsi="微软雅黑" w:eastAsia="微软雅黑" w:cs="宋体"/>
          <w:szCs w:val="21"/>
        </w:rPr>
      </w:pPr>
      <w:bookmarkStart w:id="57" w:name="_Hlk96282760"/>
      <w:r>
        <w:rPr>
          <w:rFonts w:hint="eastAsia" w:ascii="微软雅黑" w:hAnsi="微软雅黑" w:eastAsia="微软雅黑" w:cs="宋体"/>
          <w:szCs w:val="21"/>
        </w:rPr>
        <w:t>触摸屏能进行患者档案管理、图像预览和图像输出操作等</w:t>
      </w:r>
    </w:p>
    <w:p>
      <w:pPr>
        <w:pStyle w:val="38"/>
        <w:numPr>
          <w:ilvl w:val="1"/>
          <w:numId w:val="2"/>
        </w:numPr>
        <w:spacing w:line="300" w:lineRule="exact"/>
        <w:ind w:firstLineChars="0"/>
        <w:jc w:val="left"/>
        <w:rPr>
          <w:rFonts w:ascii="微软雅黑" w:hAnsi="微软雅黑" w:eastAsia="微软雅黑" w:cs="宋体"/>
          <w:szCs w:val="21"/>
        </w:rPr>
      </w:pPr>
      <w:r>
        <w:rPr>
          <w:rFonts w:hint="eastAsia" w:ascii="微软雅黑" w:hAnsi="微软雅黑" w:eastAsia="微软雅黑" w:cs="宋体"/>
          <w:szCs w:val="21"/>
        </w:rPr>
        <w:t>触摸屏能与主显示器同步显示相同超声图像(提供证明材料)</w:t>
      </w:r>
    </w:p>
    <w:p>
      <w:pPr>
        <w:pStyle w:val="38"/>
        <w:numPr>
          <w:ilvl w:val="1"/>
          <w:numId w:val="2"/>
        </w:numPr>
        <w:spacing w:line="300" w:lineRule="exact"/>
        <w:ind w:firstLineChars="0"/>
        <w:jc w:val="left"/>
        <w:rPr>
          <w:rFonts w:ascii="微软雅黑" w:hAnsi="微软雅黑" w:eastAsia="微软雅黑" w:cs="宋体"/>
          <w:szCs w:val="21"/>
        </w:rPr>
      </w:pPr>
      <w:r>
        <w:rPr>
          <w:rFonts w:hint="eastAsia" w:ascii="微软雅黑" w:hAnsi="微软雅黑" w:eastAsia="微软雅黑" w:cs="宋体"/>
          <w:szCs w:val="21"/>
        </w:rPr>
        <w:t>支持触摸屏快速距离测量（非多普勒包络测量）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宋体"/>
          <w:szCs w:val="21"/>
        </w:rPr>
        <w:t>智能化操作系统，人体工程学设计，操作平台电动控制，</w:t>
      </w:r>
      <w:r>
        <w:rPr>
          <w:rFonts w:hint="eastAsia" w:ascii="微软雅黑" w:hAnsi="微软雅黑" w:eastAsia="微软雅黑" w:cs="Arial"/>
          <w:szCs w:val="21"/>
        </w:rPr>
        <w:t>可独立旋转、升降及</w:t>
      </w:r>
      <w:r>
        <w:rPr>
          <w:rFonts w:ascii="微软雅黑" w:hAnsi="微软雅黑" w:eastAsia="微软雅黑" w:cs="Arial"/>
          <w:szCs w:val="21"/>
        </w:rPr>
        <w:t>平移</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采用全域聚焦成像技术，图像无聚焦点或聚焦带（无焦点附图）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组织差异矫正技术，针对不同脏器预设最佳声波传播速度用于计算成像，减少因成像声速值与实际声速值偏差导致图像失真</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声束自适应技术，可根据人体组织真实情况，自动匹配至最佳成像声速，并以具体声速值在屏幕上显示，可调节开、闭（提供屏幕证明图片）</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智能雾化技术，可根据人体组织真实情况，调节实质脏器图像，增强对比分辨率及降低信噪比，≥2</w:t>
      </w:r>
      <w:r>
        <w:rPr>
          <w:rFonts w:ascii="微软雅黑" w:hAnsi="微软雅黑" w:eastAsia="微软雅黑" w:cs="Arial"/>
          <w:szCs w:val="21"/>
        </w:rPr>
        <w:t>7</w:t>
      </w:r>
      <w:r>
        <w:rPr>
          <w:rFonts w:hint="eastAsia" w:ascii="微软雅黑" w:hAnsi="微软雅黑" w:eastAsia="微软雅黑" w:cs="Arial"/>
          <w:szCs w:val="21"/>
        </w:rPr>
        <w:t>档可调（请附图），支持所有探头</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耦合剂加热装置，温度可调（附图）</w:t>
      </w:r>
    </w:p>
    <w:bookmarkEnd w:id="57"/>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多级信号处理系统</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高倍波束并行处理系统</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探头接口≥</w:t>
      </w:r>
      <w:r>
        <w:rPr>
          <w:rFonts w:ascii="微软雅黑" w:hAnsi="微软雅黑" w:eastAsia="微软雅黑" w:cs="Arial"/>
          <w:szCs w:val="21"/>
        </w:rPr>
        <w:t>5</w:t>
      </w:r>
      <w:r>
        <w:rPr>
          <w:rFonts w:hint="eastAsia" w:ascii="微软雅黑" w:hAnsi="微软雅黑" w:eastAsia="微软雅黑" w:cs="Arial"/>
          <w:szCs w:val="21"/>
        </w:rPr>
        <w:t>个</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二维灰阶模式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谐波成像模式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M型模式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彩色M型模式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彩色多普勒成像（包括彩色、能量、方向能量多普勒模式）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频谱多普勒成像（包括脉冲多普勒、高脉冲重复频率、连续波多普勒）</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宽景成像（支持彩色宽景，扫描速度提示，提供证明图片）</w:t>
      </w:r>
    </w:p>
    <w:p>
      <w:pPr>
        <w:pStyle w:val="38"/>
        <w:numPr>
          <w:ilvl w:val="1"/>
          <w:numId w:val="2"/>
        </w:numPr>
        <w:spacing w:line="300" w:lineRule="exact"/>
        <w:ind w:firstLineChars="0"/>
        <w:jc w:val="left"/>
        <w:rPr>
          <w:rFonts w:ascii="微软雅黑" w:hAnsi="微软雅黑" w:eastAsia="微软雅黑" w:cs="Arial"/>
          <w:szCs w:val="21"/>
        </w:rPr>
      </w:pPr>
      <w:bookmarkStart w:id="58" w:name="_Hlk96282800"/>
      <w:r>
        <w:rPr>
          <w:rFonts w:hint="eastAsia" w:ascii="微软雅黑" w:hAnsi="微软雅黑" w:eastAsia="微软雅黑" w:cs="Arial"/>
          <w:szCs w:val="21"/>
        </w:rPr>
        <w:t>S</w:t>
      </w:r>
      <w:r>
        <w:rPr>
          <w:rFonts w:ascii="微软雅黑" w:hAnsi="微软雅黑" w:eastAsia="微软雅黑" w:cs="Arial"/>
          <w:szCs w:val="21"/>
        </w:rPr>
        <w:t>onoCT</w:t>
      </w:r>
      <w:r>
        <w:rPr>
          <w:rFonts w:hint="eastAsia" w:ascii="微软雅黑" w:hAnsi="微软雅黑" w:eastAsia="微软雅黑" w:cs="Arial"/>
          <w:szCs w:val="21"/>
        </w:rPr>
        <w:t>空间复合成像，</w:t>
      </w:r>
      <w:r>
        <w:rPr>
          <w:rFonts w:ascii="微软雅黑" w:hAnsi="微软雅黑" w:eastAsia="微软雅黑" w:cs="Arial"/>
          <w:szCs w:val="21"/>
        </w:rPr>
        <w:t>最高可达9线偏转（要求作曲别针试验显示9条扫描线并附图片)，</w:t>
      </w:r>
      <w:r>
        <w:rPr>
          <w:rFonts w:hint="eastAsia" w:ascii="微软雅黑" w:hAnsi="微软雅黑" w:eastAsia="微软雅黑" w:cs="Arial"/>
          <w:szCs w:val="21"/>
        </w:rPr>
        <w:t>从而获得更多信息，减少因角度偏转造成的伪像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斑点抑制成像，</w:t>
      </w:r>
      <w:r>
        <w:rPr>
          <w:rFonts w:hint="eastAsia" w:ascii="微软雅黑" w:hAnsi="微软雅黑" w:eastAsia="微软雅黑" w:cs="Calibri"/>
          <w:kern w:val="0"/>
          <w:szCs w:val="21"/>
        </w:rPr>
        <w:t>支持所有探头，多级可调，支持3D/4D、造影成像等技术</w:t>
      </w:r>
    </w:p>
    <w:bookmarkEnd w:id="58"/>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频率复合成像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独立角度偏转</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扩展成像（要求凸阵、线阵探头可用，提供证明图片）</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实时双幅对比成像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高分辨率血流成像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超微细血流成像技术，显示超微细血流及低速血流信号</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可支持腹部及小器官应用，支持≥</w:t>
      </w:r>
      <w:r>
        <w:rPr>
          <w:rFonts w:ascii="微软雅黑" w:hAnsi="微软雅黑" w:eastAsia="微软雅黑" w:cs="Calibri"/>
          <w:kern w:val="0"/>
          <w:szCs w:val="21"/>
        </w:rPr>
        <w:t>3</w:t>
      </w:r>
      <w:r>
        <w:rPr>
          <w:rFonts w:hint="eastAsia" w:ascii="微软雅黑" w:hAnsi="微软雅黑" w:eastAsia="微软雅黑" w:cs="Calibri"/>
          <w:kern w:val="0"/>
          <w:szCs w:val="21"/>
        </w:rPr>
        <w:t>支线阵探头</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二维立体血流显示技术；二维血流显示达到三维显示效果，可联合超低速血流技术给与临床更加直观及敏感的图像。（附图）。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智能自动优化，要求一键快速优化造</w:t>
      </w:r>
      <w:r>
        <w:rPr>
          <w:rFonts w:ascii="微软雅黑" w:hAnsi="微软雅黑" w:eastAsia="微软雅黑" w:cs="Arial"/>
          <w:szCs w:val="21"/>
        </w:rPr>
        <w:t>影</w:t>
      </w:r>
      <w:r>
        <w:rPr>
          <w:rFonts w:hint="eastAsia" w:ascii="微软雅黑" w:hAnsi="微软雅黑" w:eastAsia="微软雅黑" w:cs="Arial"/>
          <w:szCs w:val="21"/>
        </w:rPr>
        <w:t>图</w:t>
      </w:r>
      <w:r>
        <w:rPr>
          <w:rFonts w:ascii="微软雅黑" w:hAnsi="微软雅黑" w:eastAsia="微软雅黑" w:cs="Arial"/>
          <w:szCs w:val="21"/>
        </w:rPr>
        <w:t>像</w:t>
      </w:r>
      <w:r>
        <w:rPr>
          <w:rFonts w:hint="eastAsia" w:ascii="微软雅黑" w:hAnsi="微软雅黑" w:eastAsia="微软雅黑" w:cs="Arial"/>
          <w:szCs w:val="21"/>
        </w:rPr>
        <w:t>、二维图像、彩色图像、彩色取样框位置、频谱图像、频谱取样门大小、取样门位置、偏转角度及造影图像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智能血管检查技术：一键自动识别血管位置、自动启动彩色多普勒功能、自动调整彩色取样框位置、角度，自动启动频谱多普勒、调整频谱取样容积及角度、自动优化频谱并自动测量。（附图）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全屏放大</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局部放大（支持前端、后端放大）</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造影及造影定量分析功能，要求支持腹部探头、浅表探头、腔内探头、双平面探头</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支持低机械指数造影</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双计时器</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支持向后存储，≥</w:t>
      </w:r>
      <w:r>
        <w:rPr>
          <w:rFonts w:ascii="微软雅黑" w:hAnsi="微软雅黑" w:eastAsia="微软雅黑" w:cs="Arial"/>
          <w:szCs w:val="21"/>
        </w:rPr>
        <w:t>7</w:t>
      </w:r>
      <w:r>
        <w:rPr>
          <w:rFonts w:hint="eastAsia" w:ascii="微软雅黑" w:hAnsi="微软雅黑" w:eastAsia="微软雅黑" w:cs="Arial"/>
          <w:szCs w:val="21"/>
        </w:rPr>
        <w:t>分钟电影</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支持向前存储</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双实时: 实时显示组织图像和造影图像</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支持造影击碎</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支持斑点噪声抑制</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具备混合模式</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支持M</w:t>
      </w:r>
      <w:r>
        <w:rPr>
          <w:rFonts w:ascii="微软雅黑" w:hAnsi="微软雅黑" w:eastAsia="微软雅黑" w:cs="Arial"/>
          <w:szCs w:val="21"/>
        </w:rPr>
        <w:t>FE</w:t>
      </w:r>
      <w:r>
        <w:rPr>
          <w:rFonts w:hint="eastAsia" w:ascii="微软雅黑" w:hAnsi="微软雅黑" w:eastAsia="微软雅黑" w:cs="Arial"/>
          <w:szCs w:val="21"/>
        </w:rPr>
        <w:t>模式，精细描绘造影下微血管结构（附图）</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支持造影图像和组织图像位置互换</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支持微血管造影增强功能</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Arial"/>
          <w:szCs w:val="21"/>
        </w:rPr>
        <w:t>支持造影定量分析（取样点可跟踪感兴趣区运动）</w:t>
      </w:r>
    </w:p>
    <w:p>
      <w:pPr>
        <w:pStyle w:val="38"/>
        <w:spacing w:line="300" w:lineRule="exact"/>
        <w:ind w:left="1264" w:leftChars="602" w:firstLine="0" w:firstLineChars="0"/>
        <w:jc w:val="left"/>
        <w:rPr>
          <w:rFonts w:ascii="微软雅黑" w:hAnsi="微软雅黑" w:eastAsia="微软雅黑" w:cs="Arial"/>
          <w:szCs w:val="21"/>
        </w:rPr>
      </w:pPr>
      <w:r>
        <w:rPr>
          <w:rFonts w:hint="eastAsia" w:ascii="微软雅黑" w:hAnsi="微软雅黑" w:eastAsia="微软雅黑" w:cs="Calibri"/>
          <w:kern w:val="0"/>
          <w:szCs w:val="21"/>
        </w:rPr>
        <w:t>B型图与造影图像实时同屏双幅显示，可带双穿刺引导线（附图）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※高级造影成像，要求帧率≥48帧/秒及以上，可提供病灶血供特点、造影剂进入状态、时间信息</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要求支持腹部探头、浅表探头、双平面探头（附图）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可选配血管弹性评估软件，通过射频数据计算血管直径的变化，计算脉搏波速度以评估血管弹性</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具备参量成像功能；使用不同颜色标记造影剂到达时间，方便观察并比较病灶及组织的造影剂灌注特点（附图）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支持应</w:t>
      </w:r>
      <w:r>
        <w:rPr>
          <w:rFonts w:ascii="微软雅黑" w:hAnsi="微软雅黑" w:eastAsia="微软雅黑" w:cs="Arial"/>
          <w:szCs w:val="21"/>
        </w:rPr>
        <w:t>变式</w:t>
      </w:r>
      <w:r>
        <w:rPr>
          <w:rFonts w:hint="eastAsia" w:ascii="微软雅黑" w:hAnsi="微软雅黑" w:eastAsia="微软雅黑" w:cs="Arial"/>
          <w:szCs w:val="21"/>
        </w:rPr>
        <w:t>弹性成像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w:t>
      </w:r>
      <w:r>
        <w:rPr>
          <w:rFonts w:hint="eastAsia" w:ascii="微软雅黑" w:hAnsi="微软雅黑" w:eastAsia="微软雅黑" w:cs="Calibri"/>
          <w:kern w:val="0"/>
          <w:szCs w:val="21"/>
        </w:rPr>
        <w:t>具备成像质量监控色棒和操作动作曲线，指导医生操作，质量监控方式≥2种（附图）</w:t>
      </w:r>
    </w:p>
    <w:p>
      <w:pPr>
        <w:pStyle w:val="38"/>
        <w:spacing w:line="300" w:lineRule="exact"/>
        <w:ind w:left="1197" w:leftChars="570" w:firstLine="0" w:firstLineChars="0"/>
        <w:jc w:val="left"/>
        <w:rPr>
          <w:rFonts w:ascii="微软雅黑" w:hAnsi="微软雅黑" w:eastAsia="微软雅黑" w:cs="Arial"/>
          <w:szCs w:val="21"/>
        </w:rPr>
      </w:pPr>
      <w:r>
        <w:rPr>
          <w:rFonts w:hint="eastAsia" w:ascii="微软雅黑" w:hAnsi="微软雅黑" w:eastAsia="微软雅黑" w:cs="Arial"/>
          <w:szCs w:val="21"/>
        </w:rPr>
        <w:t>具备组织硬度定量分析软件、压力曲线提示图标，直</w:t>
      </w:r>
      <w:r>
        <w:rPr>
          <w:rFonts w:ascii="微软雅黑" w:hAnsi="微软雅黑" w:eastAsia="微软雅黑" w:cs="Arial"/>
          <w:szCs w:val="21"/>
        </w:rPr>
        <w:t>方图等分析工具</w:t>
      </w:r>
    </w:p>
    <w:p>
      <w:pPr>
        <w:pStyle w:val="38"/>
        <w:spacing w:line="300" w:lineRule="exact"/>
        <w:ind w:left="1197" w:leftChars="570" w:firstLine="0" w:firstLineChars="0"/>
        <w:jc w:val="left"/>
        <w:rPr>
          <w:rFonts w:ascii="微软雅黑" w:hAnsi="微软雅黑" w:eastAsia="微软雅黑" w:cs="Arial"/>
          <w:szCs w:val="21"/>
        </w:rPr>
      </w:pPr>
      <w:r>
        <w:rPr>
          <w:rFonts w:hint="eastAsia" w:ascii="微软雅黑" w:hAnsi="微软雅黑" w:eastAsia="微软雅黑" w:cs="Arial"/>
          <w:szCs w:val="21"/>
        </w:rPr>
        <w:t>具备肿块周边组织与</w:t>
      </w:r>
      <w:r>
        <w:rPr>
          <w:rFonts w:ascii="微软雅黑" w:hAnsi="微软雅黑" w:eastAsia="微软雅黑" w:cs="Arial"/>
          <w:szCs w:val="21"/>
        </w:rPr>
        <w:t>正常</w:t>
      </w:r>
      <w:r>
        <w:rPr>
          <w:rFonts w:hint="eastAsia" w:ascii="微软雅黑" w:hAnsi="微软雅黑" w:eastAsia="微软雅黑" w:cs="Arial"/>
          <w:szCs w:val="21"/>
        </w:rPr>
        <w:t>组织、肿</w:t>
      </w:r>
      <w:r>
        <w:rPr>
          <w:rFonts w:ascii="微软雅黑" w:hAnsi="微软雅黑" w:eastAsia="微软雅黑" w:cs="Arial"/>
          <w:szCs w:val="21"/>
        </w:rPr>
        <w:t>块周边组织与肿块</w:t>
      </w:r>
      <w:r>
        <w:rPr>
          <w:rFonts w:hint="eastAsia" w:ascii="微软雅黑" w:hAnsi="微软雅黑" w:eastAsia="微软雅黑" w:cs="Arial"/>
          <w:szCs w:val="21"/>
        </w:rPr>
        <w:t>内</w:t>
      </w:r>
      <w:r>
        <w:rPr>
          <w:rFonts w:ascii="微软雅黑" w:hAnsi="微软雅黑" w:eastAsia="微软雅黑" w:cs="Arial"/>
          <w:szCs w:val="21"/>
        </w:rPr>
        <w:t>组织</w:t>
      </w:r>
      <w:r>
        <w:rPr>
          <w:rFonts w:hint="eastAsia" w:ascii="微软雅黑" w:hAnsi="微软雅黑" w:eastAsia="微软雅黑" w:cs="Arial"/>
          <w:szCs w:val="21"/>
        </w:rPr>
        <w:t>弹性定量分析功能</w:t>
      </w:r>
      <w:r>
        <w:rPr>
          <w:rFonts w:ascii="微软雅黑" w:hAnsi="微软雅黑" w:eastAsia="微软雅黑" w:cs="Arial"/>
          <w:szCs w:val="21"/>
        </w:rPr>
        <w:t xml:space="preserve"> </w:t>
      </w:r>
    </w:p>
    <w:p>
      <w:pPr>
        <w:pStyle w:val="38"/>
        <w:spacing w:line="300" w:lineRule="exact"/>
        <w:ind w:left="1277" w:firstLine="0" w:firstLineChars="0"/>
        <w:jc w:val="left"/>
        <w:rPr>
          <w:rFonts w:ascii="微软雅黑" w:hAnsi="微软雅黑" w:eastAsia="微软雅黑" w:cs="Calibri"/>
          <w:kern w:val="0"/>
          <w:szCs w:val="21"/>
        </w:rPr>
      </w:pPr>
      <w:r>
        <w:rPr>
          <w:rFonts w:hint="eastAsia" w:ascii="微软雅黑" w:hAnsi="微软雅黑" w:eastAsia="微软雅黑" w:cs="Calibri"/>
          <w:kern w:val="0"/>
          <w:szCs w:val="21"/>
        </w:rPr>
        <w:t>可支持凸阵、线阵、腔内、双平面等探头（附图）</w:t>
      </w:r>
    </w:p>
    <w:p>
      <w:pPr>
        <w:pStyle w:val="38"/>
        <w:numPr>
          <w:ilvl w:val="1"/>
          <w:numId w:val="2"/>
        </w:numPr>
        <w:spacing w:line="300" w:lineRule="exact"/>
        <w:ind w:firstLineChars="0"/>
        <w:jc w:val="left"/>
        <w:rPr>
          <w:rFonts w:ascii="微软雅黑" w:hAnsi="微软雅黑" w:eastAsia="微软雅黑" w:cs="Arial"/>
          <w:szCs w:val="21"/>
        </w:rPr>
      </w:pPr>
      <w:bookmarkStart w:id="59" w:name="_Hlk96283203"/>
      <w:r>
        <w:rPr>
          <w:rFonts w:hint="eastAsia" w:ascii="微软雅黑" w:hAnsi="微软雅黑" w:eastAsia="微软雅黑" w:cs="Arial"/>
          <w:szCs w:val="21"/>
        </w:rPr>
        <w:t>※支持高级剪切波定量式弹性成像功能，要求同时支持点式剪切波弹性成像及二维剪切波弹性成像技术，可以</w:t>
      </w:r>
      <w:r>
        <w:rPr>
          <w:rFonts w:ascii="微软雅黑" w:hAnsi="微软雅黑" w:eastAsia="微软雅黑" w:cs="Arial"/>
          <w:szCs w:val="21"/>
        </w:rPr>
        <w:t>动态显示</w:t>
      </w:r>
      <w:r>
        <w:rPr>
          <w:rFonts w:hint="eastAsia" w:ascii="微软雅黑" w:hAnsi="微软雅黑" w:eastAsia="微软雅黑" w:cs="Arial"/>
          <w:szCs w:val="21"/>
        </w:rPr>
        <w:t>二维剪切波</w:t>
      </w:r>
      <w:r>
        <w:rPr>
          <w:rFonts w:ascii="微软雅黑" w:hAnsi="微软雅黑" w:eastAsia="微软雅黑" w:cs="Arial"/>
          <w:szCs w:val="21"/>
        </w:rPr>
        <w:t>弹性成像图，</w:t>
      </w:r>
      <w:r>
        <w:rPr>
          <w:rFonts w:hint="eastAsia" w:ascii="微软雅黑" w:hAnsi="微软雅黑" w:eastAsia="微软雅黑" w:cs="Arial"/>
          <w:szCs w:val="21"/>
        </w:rPr>
        <w:t>要求凸阵频率可达5帧/秒以上，线阵可达9帧/秒以上（附图）。</w:t>
      </w:r>
    </w:p>
    <w:p>
      <w:pPr>
        <w:pStyle w:val="38"/>
        <w:spacing w:line="300" w:lineRule="exact"/>
        <w:ind w:left="710"/>
        <w:jc w:val="left"/>
        <w:rPr>
          <w:rFonts w:ascii="微软雅黑" w:hAnsi="微软雅黑" w:eastAsia="微软雅黑" w:cs="Arial"/>
          <w:szCs w:val="21"/>
        </w:rPr>
      </w:pPr>
      <w:r>
        <w:rPr>
          <w:rFonts w:hint="eastAsia" w:ascii="微软雅黑" w:hAnsi="微软雅黑" w:eastAsia="微软雅黑" w:cs="Calibri"/>
          <w:kern w:val="0"/>
          <w:szCs w:val="21"/>
        </w:rPr>
        <w:t>可支持凸阵、线阵、腔内、双平面等探头（附图）</w:t>
      </w:r>
    </w:p>
    <w:p>
      <w:pPr>
        <w:pStyle w:val="38"/>
        <w:spacing w:line="300" w:lineRule="exact"/>
        <w:ind w:left="1197" w:leftChars="570" w:firstLine="0" w:firstLineChars="0"/>
        <w:jc w:val="left"/>
        <w:rPr>
          <w:rFonts w:ascii="微软雅黑" w:hAnsi="微软雅黑" w:eastAsia="微软雅黑" w:cs="Arial"/>
          <w:szCs w:val="21"/>
        </w:rPr>
      </w:pPr>
      <w:r>
        <w:rPr>
          <w:rFonts w:hint="eastAsia" w:ascii="微软雅黑" w:hAnsi="微软雅黑" w:eastAsia="微软雅黑" w:cs="Arial"/>
          <w:szCs w:val="21"/>
        </w:rPr>
        <w:t>可以</w:t>
      </w:r>
      <w:r>
        <w:rPr>
          <w:rFonts w:ascii="微软雅黑" w:hAnsi="微软雅黑" w:eastAsia="微软雅黑" w:cs="Arial"/>
          <w:szCs w:val="21"/>
        </w:rPr>
        <w:t>动态显示</w:t>
      </w:r>
      <w:r>
        <w:rPr>
          <w:rFonts w:hint="eastAsia" w:ascii="微软雅黑" w:hAnsi="微软雅黑" w:eastAsia="微软雅黑" w:cs="Arial"/>
          <w:szCs w:val="21"/>
        </w:rPr>
        <w:t>二维剪切波</w:t>
      </w:r>
      <w:r>
        <w:rPr>
          <w:rFonts w:ascii="微软雅黑" w:hAnsi="微软雅黑" w:eastAsia="微软雅黑" w:cs="Arial"/>
          <w:szCs w:val="21"/>
        </w:rPr>
        <w:t>弹性成像图，</w:t>
      </w:r>
    </w:p>
    <w:p>
      <w:pPr>
        <w:pStyle w:val="38"/>
        <w:spacing w:line="300" w:lineRule="exact"/>
        <w:ind w:left="1197" w:leftChars="570" w:firstLine="0" w:firstLineChars="0"/>
        <w:jc w:val="left"/>
        <w:rPr>
          <w:rFonts w:ascii="微软雅黑" w:hAnsi="微软雅黑" w:eastAsia="微软雅黑" w:cs="Arial"/>
          <w:szCs w:val="21"/>
        </w:rPr>
      </w:pPr>
      <w:r>
        <w:rPr>
          <w:rFonts w:hint="eastAsia" w:ascii="微软雅黑" w:hAnsi="微软雅黑" w:eastAsia="微软雅黑" w:cs="Arial"/>
          <w:szCs w:val="21"/>
        </w:rPr>
        <w:t>具备三种定量参数，包括剪切波速度，杨氏模量和剪切模量。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融合成像功能，支持凸阵、线阵、双平面探头；支持回放状态下的空间配准；支持标记功能，最多支持19个标记；支持呼吸补偿功能，减少因呼吸或移位而引起的匹配误差；支持三维数据的采集；支持基于三维数据的测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※支持腔内融合成像功能，支持回放状态下的空间配准；支持标记功能；</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※支持肝脏介入消融方案，支持术前3D模拟和规划，术中3D消融引导</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※支持单模态消融术后评估系统，可以对消融术前病灶的三维超声造影与术后消融灶的三维超声造影进行融合，即时全面的评估消融效果</w:t>
      </w:r>
    </w:p>
    <w:bookmarkEnd w:id="59"/>
    <w:p>
      <w:pPr>
        <w:pStyle w:val="38"/>
        <w:numPr>
          <w:ilvl w:val="1"/>
          <w:numId w:val="2"/>
        </w:numPr>
        <w:spacing w:line="300" w:lineRule="exact"/>
        <w:ind w:firstLineChars="0"/>
        <w:jc w:val="left"/>
        <w:rPr>
          <w:rFonts w:ascii="微软雅黑" w:hAnsi="微软雅黑" w:eastAsia="微软雅黑" w:cs="Arial"/>
          <w:szCs w:val="21"/>
        </w:rPr>
      </w:pPr>
      <w:bookmarkStart w:id="60" w:name="_Hlk96283229"/>
      <w:r>
        <w:rPr>
          <w:rFonts w:hint="eastAsia" w:ascii="微软雅黑" w:hAnsi="微软雅黑" w:eastAsia="微软雅黑" w:cs="Arial"/>
          <w:szCs w:val="21"/>
        </w:rPr>
        <w:t>支持脂肪肝定量检测技术，肝脏实质与肾脏皮质灰阶度进行对比，自动计算肝脏与肾皮层增益比值，提供</w:t>
      </w:r>
      <w:bookmarkEnd w:id="60"/>
      <w:r>
        <w:rPr>
          <w:rFonts w:hint="eastAsia" w:ascii="微软雅黑" w:hAnsi="微软雅黑" w:eastAsia="微软雅黑" w:cs="Arial"/>
          <w:szCs w:val="21"/>
        </w:rPr>
        <w:t>HRI</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小儿髋关节自动识别测量技术，采用业内G</w:t>
      </w:r>
      <w:r>
        <w:rPr>
          <w:rFonts w:ascii="微软雅黑" w:hAnsi="微软雅黑" w:eastAsia="微软雅黑" w:cs="Arial"/>
          <w:szCs w:val="21"/>
        </w:rPr>
        <w:t>raf</w:t>
      </w:r>
      <w:r>
        <w:rPr>
          <w:rFonts w:hint="eastAsia" w:ascii="微软雅黑" w:hAnsi="微软雅黑" w:eastAsia="微软雅黑" w:cs="Arial"/>
          <w:szCs w:val="21"/>
        </w:rPr>
        <w:t>分型标准，可自动识别并计算测量α与β角度；</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自动工作流协</w:t>
      </w:r>
      <w:r>
        <w:rPr>
          <w:rFonts w:ascii="微软雅黑" w:hAnsi="微软雅黑" w:eastAsia="微软雅黑" w:cs="Arial"/>
          <w:szCs w:val="21"/>
        </w:rPr>
        <w:t>议</w:t>
      </w:r>
      <w:r>
        <w:rPr>
          <w:rFonts w:hint="eastAsia" w:ascii="微软雅黑" w:hAnsi="微软雅黑" w:eastAsia="微软雅黑" w:cs="Arial"/>
          <w:szCs w:val="21"/>
        </w:rPr>
        <w:t>，自</w:t>
      </w:r>
      <w:r>
        <w:rPr>
          <w:rFonts w:ascii="微软雅黑" w:hAnsi="微软雅黑" w:eastAsia="微软雅黑" w:cs="Arial"/>
          <w:szCs w:val="21"/>
        </w:rPr>
        <w:t>动标注体位图</w:t>
      </w:r>
      <w:r>
        <w:rPr>
          <w:rFonts w:hint="eastAsia" w:ascii="微软雅黑" w:hAnsi="微软雅黑" w:eastAsia="微软雅黑" w:cs="Arial"/>
          <w:szCs w:val="21"/>
        </w:rPr>
        <w:t>、注</w:t>
      </w:r>
      <w:r>
        <w:rPr>
          <w:rFonts w:ascii="微软雅黑" w:hAnsi="微软雅黑" w:eastAsia="微软雅黑" w:cs="Arial"/>
          <w:szCs w:val="21"/>
        </w:rPr>
        <w:t>释及自动</w:t>
      </w:r>
      <w:r>
        <w:rPr>
          <w:rFonts w:hint="eastAsia" w:ascii="微软雅黑" w:hAnsi="微软雅黑" w:eastAsia="微软雅黑" w:cs="Arial"/>
          <w:szCs w:val="21"/>
        </w:rPr>
        <w:t>切</w:t>
      </w:r>
      <w:r>
        <w:rPr>
          <w:rFonts w:ascii="微软雅黑" w:hAnsi="微软雅黑" w:eastAsia="微软雅黑" w:cs="Arial"/>
          <w:szCs w:val="21"/>
        </w:rPr>
        <w:t>换</w:t>
      </w:r>
      <w:r>
        <w:rPr>
          <w:rFonts w:hint="eastAsia" w:ascii="微软雅黑" w:hAnsi="微软雅黑" w:eastAsia="微软雅黑" w:cs="Arial"/>
          <w:szCs w:val="21"/>
        </w:rPr>
        <w:t>检</w:t>
      </w:r>
      <w:r>
        <w:rPr>
          <w:rFonts w:ascii="微软雅黑" w:hAnsi="微软雅黑" w:eastAsia="微软雅黑" w:cs="Arial"/>
          <w:szCs w:val="21"/>
        </w:rPr>
        <w:t>查模式</w:t>
      </w:r>
      <w:r>
        <w:rPr>
          <w:rFonts w:hint="eastAsia" w:ascii="微软雅黑" w:hAnsi="微软雅黑" w:eastAsia="微软雅黑" w:cs="Arial"/>
          <w:szCs w:val="21"/>
        </w:rPr>
        <w:t>，显</w:t>
      </w:r>
      <w:r>
        <w:rPr>
          <w:rFonts w:ascii="微软雅黑" w:hAnsi="微软雅黑" w:eastAsia="微软雅黑" w:cs="Arial"/>
          <w:szCs w:val="21"/>
        </w:rPr>
        <w:t>著减少</w:t>
      </w:r>
      <w:r>
        <w:rPr>
          <w:rFonts w:hint="eastAsia" w:ascii="微软雅黑" w:hAnsi="微软雅黑" w:eastAsia="微软雅黑" w:cs="Arial"/>
          <w:szCs w:val="21"/>
        </w:rPr>
        <w:t>操作</w:t>
      </w:r>
      <w:r>
        <w:rPr>
          <w:rFonts w:ascii="微软雅黑" w:hAnsi="微软雅黑" w:eastAsia="微软雅黑" w:cs="Arial"/>
          <w:szCs w:val="21"/>
        </w:rPr>
        <w:t>时间</w:t>
      </w:r>
    </w:p>
    <w:p>
      <w:pPr>
        <w:pStyle w:val="38"/>
        <w:numPr>
          <w:ilvl w:val="1"/>
          <w:numId w:val="2"/>
        </w:numPr>
        <w:spacing w:line="300" w:lineRule="exact"/>
        <w:ind w:firstLineChars="0"/>
        <w:jc w:val="left"/>
        <w:rPr>
          <w:rFonts w:ascii="微软雅黑" w:hAnsi="微软雅黑" w:eastAsia="微软雅黑" w:cs="Calibri"/>
          <w:kern w:val="0"/>
          <w:szCs w:val="21"/>
        </w:rPr>
      </w:pPr>
      <w:r>
        <w:rPr>
          <w:rFonts w:hint="eastAsia" w:ascii="微软雅黑" w:hAnsi="微软雅黑" w:eastAsia="微软雅黑" w:cs="Arial"/>
          <w:szCs w:val="21"/>
        </w:rPr>
        <w:t>穿刺针增强技术，要求具有双屏实时对比显示，增强前后效果，并同时支持增强平面多角度可调（提供证明图片）</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支持语言，英语,中文（包括键盘输入、注释、操作面板等）</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支持手动触摸屏上注释</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支持手动触摸屏上包络测量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支持语音注释及播放</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体位图</w:t>
      </w:r>
    </w:p>
    <w:p>
      <w:pPr>
        <w:spacing w:line="300" w:lineRule="exact"/>
        <w:jc w:val="left"/>
        <w:rPr>
          <w:rFonts w:ascii="微软雅黑" w:hAnsi="微软雅黑" w:eastAsia="微软雅黑" w:cs="Arial"/>
          <w:szCs w:val="21"/>
        </w:rPr>
      </w:pPr>
    </w:p>
    <w:p>
      <w:pPr>
        <w:pStyle w:val="38"/>
        <w:numPr>
          <w:ilvl w:val="0"/>
          <w:numId w:val="2"/>
        </w:numPr>
        <w:spacing w:line="300" w:lineRule="exact"/>
        <w:ind w:firstLineChars="0"/>
        <w:jc w:val="left"/>
        <w:rPr>
          <w:rFonts w:ascii="微软雅黑" w:hAnsi="微软雅黑" w:eastAsia="微软雅黑"/>
          <w:b/>
          <w:szCs w:val="21"/>
        </w:rPr>
      </w:pPr>
      <w:r>
        <w:rPr>
          <w:rFonts w:hint="eastAsia" w:ascii="微软雅黑" w:hAnsi="微软雅黑" w:eastAsia="微软雅黑"/>
          <w:b/>
          <w:szCs w:val="21"/>
        </w:rPr>
        <w:t>测量/分析和报告</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常规测量</w:t>
      </w:r>
    </w:p>
    <w:p>
      <w:pPr>
        <w:pStyle w:val="38"/>
        <w:spacing w:line="300" w:lineRule="exact"/>
        <w:ind w:left="1054" w:leftChars="502" w:firstLine="105" w:firstLineChars="50"/>
        <w:jc w:val="left"/>
        <w:rPr>
          <w:rFonts w:ascii="微软雅黑" w:hAnsi="微软雅黑" w:eastAsia="微软雅黑" w:cs="Arial"/>
          <w:szCs w:val="21"/>
        </w:rPr>
      </w:pPr>
      <w:r>
        <w:rPr>
          <w:rFonts w:hint="eastAsia" w:ascii="微软雅黑" w:hAnsi="微软雅黑" w:eastAsia="微软雅黑" w:cs="Arial"/>
          <w:szCs w:val="21"/>
        </w:rPr>
        <w:t>多普勒测量</w:t>
      </w:r>
    </w:p>
    <w:p>
      <w:pPr>
        <w:pStyle w:val="38"/>
        <w:spacing w:line="300" w:lineRule="exact"/>
        <w:ind w:left="1054" w:leftChars="502" w:firstLine="105" w:firstLineChars="50"/>
        <w:jc w:val="left"/>
        <w:rPr>
          <w:rFonts w:ascii="微软雅黑" w:hAnsi="微软雅黑" w:eastAsia="微软雅黑" w:cs="Arial"/>
          <w:szCs w:val="21"/>
        </w:rPr>
      </w:pPr>
      <w:r>
        <w:rPr>
          <w:rFonts w:hint="eastAsia" w:ascii="微软雅黑" w:hAnsi="微软雅黑" w:eastAsia="微软雅黑" w:cs="Arial"/>
          <w:szCs w:val="21"/>
        </w:rPr>
        <w:t>自动频谱测量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全科测量包，自动生成报告</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腹部、妇科、产科、心脏、泌尿、小器官、儿科、血管、神经、急诊科</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血管内中膜自动测量，可同时进行血管前、后壁的内中膜一段距离的自动描记、自动生成测量数据结果，并</w:t>
      </w:r>
      <w:r>
        <w:rPr>
          <w:rFonts w:ascii="微软雅黑" w:hAnsi="微软雅黑" w:eastAsia="微软雅黑" w:cs="Arial"/>
          <w:szCs w:val="21"/>
        </w:rPr>
        <w:t>具备</w:t>
      </w:r>
      <w:r>
        <w:rPr>
          <w:rFonts w:hint="eastAsia" w:ascii="微软雅黑" w:hAnsi="微软雅黑" w:eastAsia="微软雅黑" w:cs="Arial"/>
          <w:szCs w:val="21"/>
        </w:rPr>
        <w:t>ＩＭＴ评估</w:t>
      </w:r>
      <w:r>
        <w:rPr>
          <w:rFonts w:ascii="微软雅黑" w:hAnsi="微软雅黑" w:eastAsia="微软雅黑" w:cs="Arial"/>
          <w:szCs w:val="21"/>
        </w:rPr>
        <w:t xml:space="preserve">曲线分析 </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w:t>
      </w:r>
      <w:r>
        <w:rPr>
          <w:rFonts w:ascii="微软雅黑" w:hAnsi="微软雅黑" w:eastAsia="微软雅黑" w:cs="Arial"/>
          <w:szCs w:val="21"/>
        </w:rPr>
        <w:t>血管内中膜自动实时测量</w:t>
      </w:r>
      <w:r>
        <w:rPr>
          <w:rFonts w:hint="eastAsia" w:ascii="微软雅黑" w:hAnsi="微软雅黑" w:eastAsia="微软雅黑" w:cs="Arial"/>
          <w:szCs w:val="21"/>
        </w:rPr>
        <w:t>,自</w:t>
      </w:r>
      <w:r>
        <w:rPr>
          <w:rFonts w:ascii="微软雅黑" w:hAnsi="微软雅黑" w:eastAsia="微软雅黑" w:cs="Arial"/>
          <w:szCs w:val="21"/>
        </w:rPr>
        <w:t>动获</w:t>
      </w:r>
      <w:r>
        <w:rPr>
          <w:rFonts w:hint="eastAsia" w:ascii="微软雅黑" w:hAnsi="微软雅黑" w:eastAsia="微软雅黑" w:cs="Arial"/>
          <w:szCs w:val="21"/>
        </w:rPr>
        <w:t>取6组IM</w:t>
      </w:r>
      <w:r>
        <w:rPr>
          <w:rFonts w:ascii="微软雅黑" w:hAnsi="微软雅黑" w:eastAsia="微软雅黑" w:cs="Arial"/>
          <w:szCs w:val="21"/>
        </w:rPr>
        <w:t>T</w:t>
      </w:r>
      <w:r>
        <w:rPr>
          <w:rFonts w:hint="eastAsia" w:ascii="微软雅黑" w:hAnsi="微软雅黑" w:eastAsia="微软雅黑" w:cs="Arial"/>
          <w:szCs w:val="21"/>
        </w:rPr>
        <w:t>内</w:t>
      </w:r>
      <w:r>
        <w:rPr>
          <w:rFonts w:ascii="微软雅黑" w:hAnsi="微软雅黑" w:eastAsia="微软雅黑" w:cs="Arial"/>
          <w:szCs w:val="21"/>
        </w:rPr>
        <w:t>膜厚度值</w:t>
      </w:r>
      <w:r>
        <w:rPr>
          <w:rFonts w:hint="eastAsia" w:ascii="微软雅黑" w:hAnsi="微软雅黑" w:eastAsia="微软雅黑" w:cs="Arial"/>
          <w:szCs w:val="21"/>
        </w:rPr>
        <w:t>,并</w:t>
      </w:r>
      <w:r>
        <w:rPr>
          <w:rFonts w:ascii="微软雅黑" w:hAnsi="微软雅黑" w:eastAsia="微软雅黑" w:cs="Arial"/>
          <w:szCs w:val="21"/>
        </w:rPr>
        <w:t>实时更新</w:t>
      </w:r>
      <w:r>
        <w:rPr>
          <w:rFonts w:hint="eastAsia" w:ascii="微软雅黑" w:hAnsi="微软雅黑" w:eastAsia="微软雅黑" w:cs="Arial"/>
          <w:szCs w:val="21"/>
        </w:rPr>
        <w:t>。</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支持血管体位图手动编辑功能，通过手动编辑体位图，直观显示病变的位置。</w:t>
      </w: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电影回放和原始数据处理</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所有模式下可用</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支持手动、自动回放</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支持4D 电影回放</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支持向后存储和向前存储，时间长度可预置，向后存储≥</w:t>
      </w:r>
      <w:r>
        <w:rPr>
          <w:rFonts w:ascii="微软雅黑" w:hAnsi="微软雅黑" w:eastAsia="微软雅黑" w:cs="Arial"/>
          <w:szCs w:val="21"/>
        </w:rPr>
        <w:t>7</w:t>
      </w:r>
      <w:r>
        <w:rPr>
          <w:rFonts w:hint="eastAsia" w:ascii="微软雅黑" w:hAnsi="微软雅黑" w:eastAsia="微软雅黑" w:cs="Arial"/>
          <w:szCs w:val="21"/>
        </w:rPr>
        <w:t>分钟的电影</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支持图像对比（动态、静态）</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原始数据处理，支持动、静态图像冻结后，最大可进行3６项参数调节。</w:t>
      </w:r>
    </w:p>
    <w:p>
      <w:pPr>
        <w:spacing w:line="300" w:lineRule="exact"/>
        <w:jc w:val="left"/>
        <w:rPr>
          <w:rFonts w:ascii="微软雅黑" w:hAnsi="微软雅黑" w:eastAsia="微软雅黑" w:cs="Arial"/>
          <w:szCs w:val="21"/>
        </w:rPr>
      </w:pP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检查存储和管理（内置超声工作站）</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检查存储</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≥1T硬盘</w:t>
      </w:r>
      <w:r>
        <w:rPr>
          <w:rFonts w:ascii="微软雅黑" w:hAnsi="微软雅黑" w:eastAsia="微软雅黑" w:cs="Arial"/>
          <w:szCs w:val="21"/>
        </w:rPr>
        <w:t xml:space="preserve"> </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内置超声工作站</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多种导出图像格式：动态图像、静态图像以PC格式直接导出，无需特殊软件即能在普通PC 机上直接观看图像。导出、备份图像数据资料同时，可进行实时检查，不影响检查操作</w:t>
      </w:r>
    </w:p>
    <w:p>
      <w:pPr>
        <w:spacing w:line="300" w:lineRule="exact"/>
        <w:jc w:val="left"/>
        <w:rPr>
          <w:rFonts w:ascii="微软雅黑" w:hAnsi="微软雅黑" w:eastAsia="微软雅黑" w:cs="Arial"/>
          <w:szCs w:val="21"/>
        </w:rPr>
      </w:pP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连通性要求</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支持网络连接</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支持移动设备无线传输，要求将机器超声图像通过无线网络直接发送到智能移动终端平台</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通</w:t>
      </w:r>
      <w:r>
        <w:rPr>
          <w:rFonts w:ascii="微软雅黑" w:hAnsi="微软雅黑" w:eastAsia="微软雅黑" w:cs="Arial"/>
          <w:szCs w:val="21"/>
        </w:rPr>
        <w:t>过无线传输支持移动终端设备进行</w:t>
      </w:r>
      <w:r>
        <w:rPr>
          <w:rFonts w:hint="eastAsia" w:ascii="微软雅黑" w:hAnsi="微软雅黑" w:eastAsia="微软雅黑" w:cs="Arial"/>
          <w:szCs w:val="21"/>
        </w:rPr>
        <w:t>远程控制超声机器图</w:t>
      </w:r>
      <w:r>
        <w:rPr>
          <w:rFonts w:ascii="微软雅黑" w:hAnsi="微软雅黑" w:eastAsia="微软雅黑" w:cs="Arial"/>
          <w:szCs w:val="21"/>
        </w:rPr>
        <w:t>像参数调节</w:t>
      </w:r>
      <w:r>
        <w:rPr>
          <w:rFonts w:hint="eastAsia" w:ascii="微软雅黑" w:hAnsi="微软雅黑" w:eastAsia="微软雅黑" w:cs="Arial"/>
          <w:szCs w:val="21"/>
        </w:rPr>
        <w:t>、远程病人信息管理: 浏览，查询，获取，删除病人信息等</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 xml:space="preserve">DICOM 3.0 </w:t>
      </w:r>
    </w:p>
    <w:p>
      <w:pPr>
        <w:pStyle w:val="38"/>
        <w:spacing w:line="300" w:lineRule="exact"/>
        <w:ind w:left="1197" w:leftChars="570" w:firstLine="0" w:firstLineChars="0"/>
        <w:jc w:val="left"/>
        <w:rPr>
          <w:rFonts w:ascii="微软雅黑" w:hAnsi="微软雅黑" w:eastAsia="微软雅黑" w:cs="Arial"/>
          <w:szCs w:val="21"/>
        </w:rPr>
      </w:pPr>
      <w:r>
        <w:rPr>
          <w:rFonts w:hint="eastAsia" w:ascii="微软雅黑" w:hAnsi="微软雅黑" w:eastAsia="微软雅黑" w:cs="Arial"/>
          <w:szCs w:val="21"/>
        </w:rPr>
        <w:t>DICOM妇产科、心脏、血管、乳腺结构化报告</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视频/音频输入、输出</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支持ECG/PCG信号</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≥５个USB接口</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DVD R/W 刻录光驱</w:t>
      </w:r>
    </w:p>
    <w:p>
      <w:pPr>
        <w:pStyle w:val="38"/>
        <w:spacing w:line="300" w:lineRule="exact"/>
        <w:ind w:firstLine="0" w:firstLineChars="0"/>
        <w:jc w:val="left"/>
        <w:rPr>
          <w:rFonts w:ascii="微软雅黑" w:hAnsi="微软雅黑" w:eastAsia="微软雅黑" w:cs="Arial"/>
          <w:b/>
          <w:szCs w:val="21"/>
        </w:rPr>
      </w:pP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系统技术参数及要求</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w:t>
      </w:r>
      <w:r>
        <w:rPr>
          <w:rFonts w:ascii="微软雅黑" w:hAnsi="微软雅黑" w:eastAsia="微软雅黑" w:cs="Arial"/>
          <w:szCs w:val="21"/>
        </w:rPr>
        <w:t>21</w:t>
      </w:r>
      <w:r>
        <w:rPr>
          <w:rFonts w:hint="eastAsia" w:ascii="微软雅黑" w:hAnsi="微软雅黑" w:eastAsia="微软雅黑" w:cs="Arial"/>
          <w:szCs w:val="21"/>
        </w:rPr>
        <w:t>英寸高分辨率彩色液晶监视器，具备关节臂设计，</w:t>
      </w:r>
      <w:r>
        <w:rPr>
          <w:rFonts w:hint="eastAsia" w:ascii="微软雅黑" w:hAnsi="微软雅黑" w:eastAsia="微软雅黑" w:cs="Calibri"/>
          <w:kern w:val="0"/>
          <w:szCs w:val="21"/>
        </w:rPr>
        <w:t>可实现上下左右前后等方位调节，</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Calibri"/>
          <w:kern w:val="0"/>
          <w:szCs w:val="21"/>
        </w:rPr>
        <w:t>液晶触摸屏</w:t>
      </w:r>
      <w:r>
        <w:rPr>
          <w:rFonts w:hint="eastAsia" w:ascii="微软雅黑" w:hAnsi="微软雅黑" w:eastAsia="微软雅黑" w:cs="Arial"/>
          <w:szCs w:val="21"/>
        </w:rPr>
        <w:t>≥</w:t>
      </w:r>
      <w:r>
        <w:rPr>
          <w:rFonts w:ascii="微软雅黑" w:hAnsi="微软雅黑" w:eastAsia="微软雅黑" w:cs="Arial"/>
          <w:szCs w:val="21"/>
        </w:rPr>
        <w:t>13</w:t>
      </w:r>
      <w:r>
        <w:rPr>
          <w:rFonts w:hint="eastAsia" w:ascii="微软雅黑" w:hAnsi="微软雅黑" w:eastAsia="微软雅黑" w:cs="Arial"/>
          <w:szCs w:val="21"/>
        </w:rPr>
        <w:t>英寸</w:t>
      </w:r>
      <w:r>
        <w:rPr>
          <w:rFonts w:hint="eastAsia" w:ascii="微软雅黑" w:hAnsi="微软雅黑" w:eastAsia="微软雅黑" w:cs="Calibri"/>
          <w:kern w:val="0"/>
          <w:szCs w:val="21"/>
        </w:rPr>
        <w:t>，</w:t>
      </w:r>
      <w:r>
        <w:rPr>
          <w:rFonts w:hint="eastAsia" w:ascii="微软雅黑" w:hAnsi="微软雅黑" w:eastAsia="微软雅黑" w:cs="Arial"/>
          <w:szCs w:val="21"/>
        </w:rPr>
        <w:t>高灵敏度防反光，支持</w:t>
      </w:r>
      <w:r>
        <w:rPr>
          <w:rFonts w:ascii="微软雅黑" w:hAnsi="微软雅黑" w:eastAsia="微软雅黑" w:cs="Arial"/>
          <w:szCs w:val="21"/>
        </w:rPr>
        <w:t>手势操作</w:t>
      </w:r>
      <w:r>
        <w:rPr>
          <w:rFonts w:hint="eastAsia" w:ascii="微软雅黑" w:hAnsi="微软雅黑" w:eastAsia="微软雅黑" w:cs="Arial"/>
          <w:szCs w:val="21"/>
        </w:rPr>
        <w:t>，</w:t>
      </w:r>
      <w:r>
        <w:rPr>
          <w:rFonts w:hint="eastAsia" w:ascii="微软雅黑" w:hAnsi="微软雅黑" w:eastAsia="微软雅黑" w:cs="Calibri"/>
          <w:kern w:val="0"/>
          <w:szCs w:val="21"/>
        </w:rPr>
        <w:t>界面编辑及滑动翻页功能，并支持</w:t>
      </w:r>
      <w:r>
        <w:rPr>
          <w:rFonts w:ascii="微软雅黑" w:hAnsi="微软雅黑" w:eastAsia="微软雅黑" w:cs="Arial"/>
          <w:szCs w:val="21"/>
        </w:rPr>
        <w:t>角度可调</w:t>
      </w:r>
      <w:r>
        <w:rPr>
          <w:rFonts w:hint="eastAsia" w:ascii="微软雅黑" w:hAnsi="微软雅黑" w:eastAsia="微软雅黑" w:cs="Arial"/>
          <w:szCs w:val="21"/>
        </w:rPr>
        <w:t>。</w:t>
      </w:r>
      <w:r>
        <w:rPr>
          <w:rFonts w:ascii="微软雅黑" w:hAnsi="微软雅黑" w:eastAsia="微软雅黑" w:cs="Arial"/>
          <w:szCs w:val="21"/>
        </w:rPr>
        <w:t xml:space="preserve"> </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探头接口≥５个</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二维灰阶模式</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数字化声束形成器</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全程动态聚焦</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多倍信号并行处理</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预设条件：针对不同的检查脏器，预置最佳图像检查条件</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最大显示深度:≥</w:t>
      </w:r>
      <w:r>
        <w:rPr>
          <w:rFonts w:ascii="微软雅黑" w:hAnsi="微软雅黑" w:eastAsia="微软雅黑" w:cs="Arial"/>
          <w:szCs w:val="21"/>
        </w:rPr>
        <w:t>38</w:t>
      </w:r>
      <w:r>
        <w:rPr>
          <w:rFonts w:hint="eastAsia" w:ascii="微软雅黑" w:hAnsi="微软雅黑" w:eastAsia="微软雅黑" w:cs="Arial"/>
          <w:szCs w:val="21"/>
        </w:rPr>
        <w:t xml:space="preserve">cm（提供图片证明） </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最大帧率: ≥</w:t>
      </w:r>
      <w:r>
        <w:rPr>
          <w:rFonts w:ascii="微软雅黑" w:hAnsi="微软雅黑" w:eastAsia="微软雅黑" w:cs="Arial"/>
          <w:szCs w:val="21"/>
        </w:rPr>
        <w:t>640</w:t>
      </w:r>
      <w:r>
        <w:rPr>
          <w:rFonts w:hint="eastAsia" w:ascii="微软雅黑" w:hAnsi="微软雅黑" w:eastAsia="微软雅黑" w:cs="Arial"/>
          <w:szCs w:val="21"/>
        </w:rPr>
        <w:t xml:space="preserve"> 帧/秒</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TGC: ≥8段</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LGC: ≥8段</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二维灰阶：≥</w:t>
      </w:r>
      <w:r>
        <w:rPr>
          <w:rFonts w:ascii="微软雅黑" w:hAnsi="微软雅黑" w:eastAsia="微软雅黑" w:cs="Arial"/>
          <w:szCs w:val="21"/>
        </w:rPr>
        <w:t>256</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动态范围: ≥160</w:t>
      </w:r>
      <w:r>
        <w:rPr>
          <w:rFonts w:ascii="微软雅黑" w:hAnsi="微软雅黑" w:eastAsia="微软雅黑" w:cs="Arial"/>
          <w:szCs w:val="21"/>
        </w:rPr>
        <w:t xml:space="preserve"> </w:t>
      </w:r>
      <w:r>
        <w:rPr>
          <w:rFonts w:hint="eastAsia" w:ascii="微软雅黑" w:hAnsi="微软雅黑" w:eastAsia="微软雅黑" w:cs="Arial"/>
          <w:szCs w:val="21"/>
        </w:rPr>
        <w:t>（可视可调，提供图片证明）</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增益调节: B/M/D分别独立可调，≥100</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伪彩图谱: ≥8种</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彩色多普勒成像</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包括速度、速度方差、能量、方向能量显示等</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显示方式：</w:t>
      </w:r>
      <w:r>
        <w:rPr>
          <w:rFonts w:ascii="微软雅黑" w:hAnsi="微软雅黑" w:eastAsia="微软雅黑" w:cs="Arial"/>
          <w:szCs w:val="21"/>
        </w:rPr>
        <w:t>B/</w:t>
      </w:r>
      <w:r>
        <w:rPr>
          <w:rFonts w:hint="eastAsia" w:ascii="微软雅黑" w:hAnsi="微软雅黑" w:eastAsia="微软雅黑" w:cs="Arial"/>
          <w:szCs w:val="21"/>
        </w:rPr>
        <w:t>C、B/C/M、B/POWER、B/C/PW</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取样框偏转: ≥±30度 (线阵探头)</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最大帧率: ≥</w:t>
      </w:r>
      <w:r>
        <w:rPr>
          <w:rFonts w:ascii="微软雅黑" w:hAnsi="微软雅黑" w:eastAsia="微软雅黑" w:cs="Arial"/>
          <w:szCs w:val="21"/>
        </w:rPr>
        <w:t>2</w:t>
      </w:r>
      <w:r>
        <w:rPr>
          <w:rFonts w:hint="eastAsia" w:ascii="微软雅黑" w:hAnsi="微软雅黑" w:eastAsia="微软雅黑" w:cs="Arial"/>
          <w:szCs w:val="21"/>
        </w:rPr>
        <w:t>00 帧/秒</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支持B/C 同宽（提供图片证明）</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频谱多普勒模式</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包括脉冲多普勒、高脉冲重复频率、连续多普勒</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显示方式：</w:t>
      </w:r>
      <w:r>
        <w:rPr>
          <w:rFonts w:ascii="微软雅黑" w:hAnsi="微软雅黑" w:eastAsia="微软雅黑" w:cs="Arial"/>
          <w:szCs w:val="21"/>
        </w:rPr>
        <w:t>B,</w:t>
      </w:r>
      <w:r>
        <w:rPr>
          <w:rFonts w:hint="eastAsia" w:ascii="微软雅黑" w:hAnsi="微软雅黑" w:eastAsia="微软雅黑" w:cs="Arial"/>
          <w:szCs w:val="21"/>
        </w:rPr>
        <w:t xml:space="preserve"> PW，</w:t>
      </w:r>
      <w:r>
        <w:rPr>
          <w:rFonts w:ascii="微软雅黑" w:hAnsi="微软雅黑" w:eastAsia="微软雅黑" w:cs="Arial"/>
          <w:szCs w:val="21"/>
        </w:rPr>
        <w:t>B/</w:t>
      </w:r>
      <w:r>
        <w:rPr>
          <w:rFonts w:hint="eastAsia" w:ascii="微软雅黑" w:hAnsi="微软雅黑" w:eastAsia="微软雅黑" w:cs="Arial"/>
          <w:szCs w:val="21"/>
        </w:rPr>
        <w:t>PW</w:t>
      </w:r>
      <w:r>
        <w:rPr>
          <w:rFonts w:ascii="微软雅黑" w:hAnsi="微软雅黑" w:eastAsia="微软雅黑" w:cs="Arial"/>
          <w:szCs w:val="21"/>
        </w:rPr>
        <w:t>,</w:t>
      </w:r>
      <w:r>
        <w:rPr>
          <w:rFonts w:hint="eastAsia" w:ascii="微软雅黑" w:hAnsi="微软雅黑" w:eastAsia="微软雅黑" w:cs="Arial"/>
          <w:szCs w:val="21"/>
        </w:rPr>
        <w:t xml:space="preserve"> B/C/PW, B/CW, B/C/CW等等</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显示控制：反转、零移位、</w:t>
      </w:r>
      <w:r>
        <w:rPr>
          <w:rFonts w:ascii="微软雅黑" w:hAnsi="微软雅黑" w:eastAsia="微软雅黑" w:cs="Arial"/>
          <w:szCs w:val="21"/>
        </w:rPr>
        <w:t>B</w:t>
      </w:r>
      <w:r>
        <w:rPr>
          <w:rFonts w:hint="eastAsia" w:ascii="微软雅黑" w:hAnsi="微软雅黑" w:eastAsia="微软雅黑" w:cs="Arial"/>
          <w:szCs w:val="21"/>
        </w:rPr>
        <w:t>刷新、</w:t>
      </w:r>
      <w:r>
        <w:rPr>
          <w:rFonts w:ascii="微软雅黑" w:hAnsi="微软雅黑" w:eastAsia="微软雅黑" w:cs="Arial"/>
          <w:szCs w:val="21"/>
        </w:rPr>
        <w:t>D</w:t>
      </w:r>
      <w:r>
        <w:rPr>
          <w:rFonts w:hint="eastAsia" w:ascii="微软雅黑" w:hAnsi="微软雅黑" w:eastAsia="微软雅黑" w:cs="Arial"/>
          <w:szCs w:val="21"/>
        </w:rPr>
        <w:t>扩展、</w:t>
      </w:r>
      <w:r>
        <w:rPr>
          <w:rFonts w:ascii="微软雅黑" w:hAnsi="微软雅黑" w:eastAsia="微软雅黑" w:cs="Arial"/>
          <w:szCs w:val="21"/>
        </w:rPr>
        <w:t>B/D</w:t>
      </w:r>
      <w:r>
        <w:rPr>
          <w:rFonts w:hint="eastAsia" w:ascii="微软雅黑" w:hAnsi="微软雅黑" w:eastAsia="微软雅黑" w:cs="Arial"/>
          <w:szCs w:val="21"/>
        </w:rPr>
        <w:t>扩展等</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最大速度: ≥7.60m/s（连续多普勒速度: ≥30m/s）</w:t>
      </w:r>
    </w:p>
    <w:p>
      <w:pPr>
        <w:pStyle w:val="38"/>
        <w:spacing w:line="300" w:lineRule="exact"/>
        <w:ind w:left="1201" w:leftChars="572" w:firstLine="0" w:firstLineChars="0"/>
        <w:jc w:val="left"/>
        <w:rPr>
          <w:rFonts w:ascii="微软雅黑" w:hAnsi="微软雅黑" w:eastAsia="微软雅黑" w:cs="Arial"/>
          <w:b/>
          <w:szCs w:val="21"/>
        </w:rPr>
      </w:pPr>
      <w:r>
        <w:rPr>
          <w:rFonts w:hint="eastAsia" w:ascii="微软雅黑" w:hAnsi="微软雅黑" w:eastAsia="微软雅黑" w:cs="Arial"/>
          <w:b/>
          <w:szCs w:val="21"/>
        </w:rPr>
        <w:t>最小速度: ≤1 mm /s（非噪声信号）</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取样容积: 0.5-30mm ,支持所有探头</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偏转角度: ≥±30度 (线阵探头)</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零位移动：≥</w:t>
      </w:r>
      <w:r>
        <w:rPr>
          <w:rFonts w:ascii="微软雅黑" w:hAnsi="微软雅黑" w:eastAsia="微软雅黑" w:cs="Arial"/>
          <w:szCs w:val="21"/>
        </w:rPr>
        <w:t>8</w:t>
      </w:r>
      <w:r>
        <w:rPr>
          <w:rFonts w:hint="eastAsia" w:ascii="微软雅黑" w:hAnsi="微软雅黑" w:eastAsia="微软雅黑" w:cs="Arial"/>
          <w:szCs w:val="21"/>
        </w:rPr>
        <w:t xml:space="preserve"> 级</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快速角度校正</w:t>
      </w:r>
    </w:p>
    <w:p>
      <w:pPr>
        <w:pStyle w:val="38"/>
        <w:spacing w:line="300" w:lineRule="exact"/>
        <w:ind w:left="1201" w:leftChars="572" w:firstLine="0" w:firstLineChars="0"/>
        <w:jc w:val="left"/>
        <w:rPr>
          <w:rFonts w:ascii="微软雅黑" w:hAnsi="微软雅黑" w:eastAsia="微软雅黑" w:cs="Arial"/>
          <w:szCs w:val="21"/>
        </w:rPr>
      </w:pPr>
      <w:r>
        <w:rPr>
          <w:rFonts w:hint="eastAsia" w:ascii="微软雅黑" w:hAnsi="微软雅黑" w:eastAsia="微软雅黑" w:cs="Arial"/>
          <w:szCs w:val="21"/>
        </w:rPr>
        <w:t>支持频谱自动测量</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支持腔内S</w:t>
      </w:r>
      <w:r>
        <w:rPr>
          <w:rFonts w:ascii="微软雅黑" w:hAnsi="微软雅黑" w:eastAsia="微软雅黑" w:cs="Arial"/>
          <w:szCs w:val="21"/>
        </w:rPr>
        <w:t>TE</w:t>
      </w:r>
      <w:r>
        <w:rPr>
          <w:rFonts w:hint="eastAsia" w:ascii="微软雅黑" w:hAnsi="微软雅黑" w:eastAsia="微软雅黑" w:cs="Arial"/>
          <w:szCs w:val="21"/>
        </w:rPr>
        <w:t>剪切波弹性成像及高级造影功能。</w:t>
      </w:r>
    </w:p>
    <w:p>
      <w:pPr>
        <w:pStyle w:val="38"/>
        <w:spacing w:line="300" w:lineRule="exact"/>
        <w:ind w:left="425" w:firstLine="0" w:firstLineChars="0"/>
        <w:jc w:val="left"/>
        <w:rPr>
          <w:rFonts w:ascii="微软雅黑" w:hAnsi="微软雅黑" w:eastAsia="微软雅黑" w:cs="Arial"/>
          <w:b/>
          <w:szCs w:val="21"/>
        </w:rPr>
      </w:pP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探头规格</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频率：</w:t>
      </w:r>
      <w:r>
        <w:rPr>
          <w:rFonts w:ascii="微软雅黑" w:hAnsi="微软雅黑" w:eastAsia="微软雅黑" w:cs="Arial"/>
          <w:szCs w:val="21"/>
        </w:rPr>
        <w:t>超宽频带或变频探头</w:t>
      </w:r>
    </w:p>
    <w:p>
      <w:pPr>
        <w:pStyle w:val="38"/>
        <w:numPr>
          <w:ilvl w:val="1"/>
          <w:numId w:val="2"/>
        </w:numPr>
        <w:spacing w:line="300" w:lineRule="exact"/>
        <w:ind w:firstLineChars="0"/>
        <w:jc w:val="left"/>
        <w:rPr>
          <w:rFonts w:ascii="微软雅黑" w:hAnsi="微软雅黑" w:eastAsia="微软雅黑" w:cs="Arial"/>
          <w:szCs w:val="21"/>
        </w:rPr>
      </w:pPr>
      <w:r>
        <w:rPr>
          <w:rFonts w:ascii="微软雅黑" w:hAnsi="微软雅黑" w:eastAsia="微软雅黑" w:cs="Arial"/>
          <w:szCs w:val="21"/>
        </w:rPr>
        <w:t>二维、彩色、多普勒均可独立变频</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可选探头类型：凸阵、线阵、腔内、双平面</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标配探头中具备腹部、线阵、腔内、双平面</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探头频率：</w:t>
      </w:r>
    </w:p>
    <w:p>
      <w:pPr>
        <w:pStyle w:val="38"/>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频率带宽1.2-15.0 MHz（依赖不同探头）</w:t>
      </w:r>
    </w:p>
    <w:p>
      <w:pPr>
        <w:pStyle w:val="38"/>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所有探头均为宽频变频探头,二维、谐波、彩色及频谱多普勒模式分别独立变频，≥3段</w:t>
      </w:r>
    </w:p>
    <w:p>
      <w:pPr>
        <w:pStyle w:val="38"/>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阵元：最大有效阵元数≥</w:t>
      </w:r>
      <w:r>
        <w:rPr>
          <w:rFonts w:ascii="微软雅黑" w:hAnsi="微软雅黑" w:eastAsia="微软雅黑" w:cs="Arial"/>
          <w:szCs w:val="21"/>
        </w:rPr>
        <w:t>576</w:t>
      </w:r>
      <w:r>
        <w:rPr>
          <w:rFonts w:hint="eastAsia" w:ascii="微软雅黑" w:hAnsi="微软雅黑" w:eastAsia="微软雅黑" w:cs="Arial"/>
          <w:szCs w:val="21"/>
        </w:rPr>
        <w:t>阵元</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穿刺引导：凸阵、线阵、相控阵具备多角度穿刺引导功能</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探头配置：</w:t>
      </w:r>
    </w:p>
    <w:p>
      <w:pPr>
        <w:pStyle w:val="38"/>
        <w:numPr>
          <w:ilvl w:val="1"/>
          <w:numId w:val="2"/>
        </w:numPr>
        <w:spacing w:line="300" w:lineRule="exact"/>
        <w:ind w:firstLineChars="0"/>
        <w:jc w:val="left"/>
        <w:rPr>
          <w:rFonts w:ascii="微软雅黑" w:hAnsi="微软雅黑" w:eastAsia="微软雅黑" w:cs="Arial"/>
          <w:szCs w:val="21"/>
        </w:rPr>
      </w:pPr>
      <w:bookmarkStart w:id="61" w:name="_Hlk108040896"/>
      <w:r>
        <w:rPr>
          <w:rFonts w:hint="eastAsia" w:ascii="微软雅黑" w:hAnsi="微软雅黑" w:eastAsia="微软雅黑" w:cs="Arial"/>
          <w:szCs w:val="21"/>
        </w:rPr>
        <w:t>每台标配</w:t>
      </w:r>
      <w:bookmarkEnd w:id="61"/>
      <w:r>
        <w:rPr>
          <w:rFonts w:hint="eastAsia" w:ascii="微软雅黑" w:hAnsi="微软雅黑" w:eastAsia="微软雅黑" w:cs="Arial"/>
          <w:szCs w:val="21"/>
        </w:rPr>
        <w:t>5把探头：</w:t>
      </w:r>
    </w:p>
    <w:p>
      <w:pPr>
        <w:pStyle w:val="38"/>
        <w:spacing w:line="300" w:lineRule="exact"/>
        <w:ind w:left="1277" w:firstLine="1890" w:firstLineChars="900"/>
        <w:jc w:val="left"/>
        <w:rPr>
          <w:rFonts w:ascii="微软雅黑" w:hAnsi="微软雅黑" w:eastAsia="微软雅黑" w:cs="Arial"/>
          <w:szCs w:val="21"/>
        </w:rPr>
      </w:pPr>
      <w:r>
        <w:rPr>
          <w:rFonts w:hint="eastAsia" w:ascii="微软雅黑" w:hAnsi="微软雅黑" w:eastAsia="微软雅黑" w:cs="Arial"/>
          <w:szCs w:val="21"/>
        </w:rPr>
        <w:t>单晶凸阵探头：带宽: 1.2-</w:t>
      </w:r>
      <w:r>
        <w:rPr>
          <w:rFonts w:ascii="微软雅黑" w:hAnsi="微软雅黑" w:eastAsia="微软雅黑" w:cs="Arial"/>
          <w:szCs w:val="21"/>
        </w:rPr>
        <w:t>6</w:t>
      </w:r>
      <w:r>
        <w:rPr>
          <w:rFonts w:hint="eastAsia" w:ascii="微软雅黑" w:hAnsi="微软雅黑" w:eastAsia="微软雅黑" w:cs="Arial"/>
          <w:szCs w:val="21"/>
        </w:rPr>
        <w:t>.</w:t>
      </w:r>
      <w:r>
        <w:rPr>
          <w:rFonts w:ascii="微软雅黑" w:hAnsi="微软雅黑" w:eastAsia="微软雅黑" w:cs="Arial"/>
          <w:szCs w:val="21"/>
        </w:rPr>
        <w:t>0</w:t>
      </w:r>
      <w:r>
        <w:rPr>
          <w:rFonts w:hint="eastAsia" w:ascii="微软雅黑" w:hAnsi="微软雅黑" w:eastAsia="微软雅黑" w:cs="Arial"/>
          <w:szCs w:val="21"/>
        </w:rPr>
        <w:t>MHz，角度≥</w:t>
      </w:r>
      <w:r>
        <w:rPr>
          <w:rFonts w:ascii="微软雅黑" w:hAnsi="微软雅黑" w:eastAsia="微软雅黑" w:cs="Arial"/>
          <w:szCs w:val="21"/>
        </w:rPr>
        <w:t>72</w:t>
      </w:r>
      <w:r>
        <w:rPr>
          <w:rFonts w:hint="eastAsia" w:ascii="微软雅黑" w:hAnsi="微软雅黑" w:eastAsia="微软雅黑" w:cs="Arial"/>
          <w:szCs w:val="21"/>
        </w:rPr>
        <w:t>°</w:t>
      </w:r>
    </w:p>
    <w:p>
      <w:pPr>
        <w:spacing w:line="300" w:lineRule="exact"/>
        <w:ind w:firstLine="3150" w:firstLineChars="1500"/>
        <w:jc w:val="left"/>
        <w:rPr>
          <w:rFonts w:ascii="微软雅黑" w:hAnsi="微软雅黑" w:eastAsia="微软雅黑" w:cs="Arial"/>
          <w:szCs w:val="21"/>
        </w:rPr>
      </w:pPr>
      <w:bookmarkStart w:id="62" w:name="_Hlk108040959"/>
      <w:r>
        <w:rPr>
          <w:rFonts w:hint="eastAsia" w:ascii="微软雅黑" w:hAnsi="微软雅黑" w:eastAsia="微软雅黑" w:cs="Arial"/>
          <w:szCs w:val="21"/>
        </w:rPr>
        <w:t>低频线阵探头：带宽2.5-9.0MHz</w:t>
      </w:r>
    </w:p>
    <w:p>
      <w:pPr>
        <w:spacing w:line="300" w:lineRule="exact"/>
        <w:ind w:firstLine="630" w:firstLineChars="300"/>
        <w:jc w:val="left"/>
        <w:rPr>
          <w:rFonts w:ascii="微软雅黑" w:hAnsi="微软雅黑" w:eastAsia="微软雅黑" w:cs="Arial"/>
          <w:szCs w:val="21"/>
        </w:rPr>
      </w:pPr>
      <w:r>
        <w:rPr>
          <w:rFonts w:hint="eastAsia" w:ascii="微软雅黑" w:hAnsi="微软雅黑" w:eastAsia="微软雅黑" w:cs="Arial"/>
          <w:szCs w:val="21"/>
        </w:rPr>
        <w:t xml:space="preserve">                        高频线阵探头：带宽：</w:t>
      </w:r>
      <w:r>
        <w:rPr>
          <w:rFonts w:ascii="微软雅黑" w:hAnsi="微软雅黑" w:eastAsia="微软雅黑" w:cs="Arial"/>
          <w:szCs w:val="21"/>
        </w:rPr>
        <w:t>3</w:t>
      </w:r>
      <w:r>
        <w:rPr>
          <w:rFonts w:hint="eastAsia" w:ascii="微软雅黑" w:hAnsi="微软雅黑" w:eastAsia="微软雅黑" w:cs="Arial"/>
          <w:szCs w:val="21"/>
        </w:rPr>
        <w:t>.8-</w:t>
      </w:r>
      <w:r>
        <w:rPr>
          <w:rFonts w:ascii="微软雅黑" w:hAnsi="微软雅黑" w:eastAsia="微软雅黑" w:cs="Arial"/>
          <w:szCs w:val="21"/>
        </w:rPr>
        <w:t>1</w:t>
      </w:r>
      <w:r>
        <w:rPr>
          <w:rFonts w:hint="eastAsia" w:ascii="微软雅黑" w:hAnsi="微软雅黑" w:eastAsia="微软雅黑" w:cs="Arial"/>
          <w:szCs w:val="21"/>
        </w:rPr>
        <w:t>5.0MHz</w:t>
      </w:r>
      <w:bookmarkEnd w:id="62"/>
    </w:p>
    <w:p>
      <w:pPr>
        <w:spacing w:line="300" w:lineRule="exact"/>
        <w:ind w:firstLine="3150" w:firstLineChars="1500"/>
        <w:jc w:val="left"/>
        <w:rPr>
          <w:rFonts w:ascii="微软雅黑" w:hAnsi="微软雅黑" w:eastAsia="微软雅黑" w:cs="Arial"/>
          <w:szCs w:val="21"/>
        </w:rPr>
      </w:pPr>
      <w:r>
        <w:rPr>
          <w:rFonts w:hint="eastAsia" w:ascii="微软雅黑" w:hAnsi="微软雅黑" w:eastAsia="微软雅黑" w:cs="Arial"/>
          <w:szCs w:val="21"/>
        </w:rPr>
        <w:t xml:space="preserve">腔内凸阵探头 ：带宽3.0-11.0 MHz </w:t>
      </w:r>
    </w:p>
    <w:p>
      <w:pPr>
        <w:spacing w:line="300" w:lineRule="exact"/>
        <w:ind w:firstLine="2520" w:firstLineChars="1200"/>
        <w:jc w:val="left"/>
        <w:rPr>
          <w:rFonts w:ascii="微软雅黑" w:hAnsi="微软雅黑" w:eastAsia="微软雅黑" w:cs="Arial"/>
          <w:szCs w:val="21"/>
        </w:rPr>
      </w:pPr>
      <w:r>
        <w:rPr>
          <w:rFonts w:hint="eastAsia" w:ascii="微软雅黑" w:hAnsi="微软雅黑" w:eastAsia="微软雅黑" w:cs="Arial"/>
          <w:szCs w:val="21"/>
        </w:rPr>
        <w:t xml:space="preserve"> 一线一凸双平面探头：带宽凸阵3.5-9.5MHz </w:t>
      </w:r>
    </w:p>
    <w:p>
      <w:pPr>
        <w:spacing w:line="300" w:lineRule="exact"/>
        <w:ind w:firstLine="5250" w:firstLineChars="2500"/>
        <w:jc w:val="left"/>
        <w:rPr>
          <w:rFonts w:ascii="微软雅黑" w:hAnsi="微软雅黑" w:eastAsia="微软雅黑" w:cs="Arial"/>
          <w:b/>
          <w:szCs w:val="21"/>
        </w:rPr>
      </w:pPr>
      <w:r>
        <w:rPr>
          <w:rFonts w:hint="eastAsia" w:ascii="微软雅黑" w:hAnsi="微软雅黑" w:eastAsia="微软雅黑" w:cs="Arial"/>
          <w:szCs w:val="21"/>
        </w:rPr>
        <w:t>线阵3.2-12.8MHz</w:t>
      </w: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声功率输出调节</w:t>
      </w:r>
    </w:p>
    <w:p>
      <w:pPr>
        <w:pStyle w:val="38"/>
        <w:spacing w:line="300" w:lineRule="exact"/>
        <w:ind w:left="567" w:firstLine="0" w:firstLineChars="0"/>
        <w:jc w:val="left"/>
        <w:rPr>
          <w:rFonts w:ascii="微软雅黑" w:hAnsi="微软雅黑" w:eastAsia="微软雅黑" w:cs="Arial"/>
          <w:szCs w:val="21"/>
        </w:rPr>
      </w:pPr>
      <w:r>
        <w:rPr>
          <w:rFonts w:ascii="微软雅黑" w:hAnsi="微软雅黑" w:eastAsia="微软雅黑" w:cs="Arial"/>
          <w:szCs w:val="21"/>
        </w:rPr>
        <w:t>B/M</w:t>
      </w:r>
      <w:r>
        <w:rPr>
          <w:rFonts w:hint="eastAsia" w:ascii="微软雅黑" w:hAnsi="微软雅黑" w:eastAsia="微软雅黑" w:cs="Arial"/>
          <w:szCs w:val="21"/>
        </w:rPr>
        <w:t>、彩色、频谱多普勒输出功率可选择分级调节</w:t>
      </w:r>
    </w:p>
    <w:p>
      <w:pPr>
        <w:pStyle w:val="38"/>
        <w:spacing w:line="300" w:lineRule="exact"/>
        <w:ind w:left="992" w:firstLine="0" w:firstLineChars="0"/>
        <w:jc w:val="left"/>
        <w:rPr>
          <w:rFonts w:ascii="微软雅黑" w:hAnsi="微软雅黑" w:eastAsia="微软雅黑" w:cs="Arial"/>
          <w:szCs w:val="21"/>
        </w:rPr>
      </w:pP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外设和附件</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耦合剂加热器</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专</w:t>
      </w:r>
      <w:r>
        <w:rPr>
          <w:rFonts w:ascii="微软雅黑" w:hAnsi="微软雅黑" w:eastAsia="微软雅黑" w:cs="Arial"/>
          <w:szCs w:val="21"/>
        </w:rPr>
        <w:t>业</w:t>
      </w:r>
      <w:r>
        <w:rPr>
          <w:rFonts w:hint="eastAsia" w:ascii="微软雅黑" w:hAnsi="微软雅黑" w:eastAsia="微软雅黑" w:cs="Arial"/>
          <w:szCs w:val="21"/>
        </w:rPr>
        <w:t>腔</w:t>
      </w:r>
      <w:r>
        <w:rPr>
          <w:rFonts w:ascii="微软雅黑" w:hAnsi="微软雅黑" w:eastAsia="微软雅黑" w:cs="Arial"/>
          <w:szCs w:val="21"/>
        </w:rPr>
        <w:t>内探头放置架</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储物托架套件</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支持磁导航控制器固定支架</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专</w:t>
      </w:r>
      <w:r>
        <w:rPr>
          <w:rFonts w:ascii="微软雅黑" w:hAnsi="微软雅黑" w:eastAsia="微软雅黑" w:cs="Arial"/>
          <w:szCs w:val="21"/>
        </w:rPr>
        <w:t>业探头放置槽</w:t>
      </w:r>
      <w:r>
        <w:rPr>
          <w:rFonts w:hint="eastAsia" w:ascii="微软雅黑" w:hAnsi="微软雅黑" w:eastAsia="微软雅黑" w:cs="Arial"/>
          <w:szCs w:val="21"/>
        </w:rPr>
        <w:t>≥7个</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支持数字黑白、模拟黑白、数字彩色、模拟彩色、文本及无线打印机</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支持脚踏开关</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支持生理信号：ECG及PCG</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 xml:space="preserve"> 超声专用检查床1张</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超声专用检查椅1把</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超声工作站1套（包含计算机1台，专用软件1套，配图像高清采集卡1套，电脑桌椅1套）,电脑必须为高端配置，保证运行速度。</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打印机1台</w:t>
      </w:r>
    </w:p>
    <w:p>
      <w:pPr>
        <w:spacing w:line="300" w:lineRule="exact"/>
        <w:ind w:left="425"/>
        <w:jc w:val="left"/>
        <w:rPr>
          <w:rFonts w:ascii="微软雅黑" w:hAnsi="微软雅黑" w:eastAsia="微软雅黑" w:cs="Arial"/>
          <w:szCs w:val="21"/>
        </w:rPr>
      </w:pPr>
      <w:r>
        <w:rPr>
          <w:rFonts w:hint="eastAsia" w:ascii="微软雅黑" w:hAnsi="微软雅黑" w:eastAsia="微软雅黑" w:cs="Arial"/>
          <w:szCs w:val="21"/>
        </w:rPr>
        <w:t xml:space="preserve">   12.13.   稳压器1台</w:t>
      </w:r>
    </w:p>
    <w:p>
      <w:pPr>
        <w:spacing w:line="300" w:lineRule="exact"/>
        <w:ind w:left="425"/>
        <w:jc w:val="left"/>
        <w:rPr>
          <w:rFonts w:ascii="微软雅黑" w:hAnsi="微软雅黑" w:eastAsia="微软雅黑" w:cs="Arial"/>
          <w:szCs w:val="21"/>
        </w:rPr>
      </w:pPr>
      <w:r>
        <w:rPr>
          <w:rFonts w:hint="eastAsia"/>
        </w:rPr>
        <w:t xml:space="preserve">  </w:t>
      </w:r>
      <w:r>
        <w:rPr>
          <w:rFonts w:hint="eastAsia" w:ascii="微软雅黑" w:hAnsi="微软雅黑" w:eastAsia="微软雅黑" w:cs="Arial"/>
          <w:szCs w:val="21"/>
        </w:rPr>
        <w:t xml:space="preserve"> 12.14.   B超探头消毒器1台</w:t>
      </w:r>
    </w:p>
    <w:p>
      <w:pPr>
        <w:spacing w:line="300" w:lineRule="exact"/>
        <w:ind w:left="425"/>
        <w:jc w:val="left"/>
        <w:rPr>
          <w:rFonts w:ascii="微软雅黑" w:hAnsi="微软雅黑" w:eastAsia="微软雅黑" w:cs="Arial"/>
          <w:szCs w:val="21"/>
        </w:rPr>
      </w:pPr>
      <w:r>
        <w:rPr>
          <w:rFonts w:hint="eastAsia" w:ascii="微软雅黑" w:hAnsi="微软雅黑" w:eastAsia="微软雅黑" w:cs="Arial"/>
          <w:szCs w:val="21"/>
        </w:rPr>
        <w:t>(提供生产企业盖章文件：医疗器械生产许可证、二类医疗器械注册证、本项目售后服务承诺书及原厂项目授权)</w:t>
      </w:r>
    </w:p>
    <w:p>
      <w:pPr>
        <w:spacing w:line="300" w:lineRule="exact"/>
        <w:ind w:left="425"/>
        <w:jc w:val="left"/>
        <w:rPr>
          <w:rFonts w:ascii="微软雅黑" w:hAnsi="微软雅黑" w:eastAsia="微软雅黑" w:cs="Arial"/>
          <w:szCs w:val="21"/>
        </w:rPr>
      </w:pPr>
      <w:r>
        <w:rPr>
          <w:rFonts w:hint="eastAsia" w:ascii="微软雅黑" w:hAnsi="微软雅黑" w:eastAsia="微软雅黑" w:cs="Arial"/>
          <w:szCs w:val="21"/>
        </w:rPr>
        <w:t>适用范围：</w:t>
      </w:r>
    </w:p>
    <w:p>
      <w:pPr>
        <w:spacing w:line="300" w:lineRule="exact"/>
        <w:ind w:left="425"/>
        <w:jc w:val="left"/>
        <w:rPr>
          <w:rFonts w:ascii="微软雅黑" w:hAnsi="微软雅黑" w:eastAsia="微软雅黑" w:cs="Arial"/>
          <w:szCs w:val="21"/>
        </w:rPr>
      </w:pPr>
      <w:r>
        <w:rPr>
          <w:rFonts w:hint="eastAsia" w:ascii="微软雅黑" w:hAnsi="微软雅黑" w:eastAsia="微软雅黑" w:cs="Arial"/>
          <w:szCs w:val="21"/>
        </w:rPr>
        <w:t>ZMQY-V型探头消毒器，用于腔内探头（阴超、直肠）的高水平消毒。</w:t>
      </w:r>
    </w:p>
    <w:p>
      <w:pPr>
        <w:spacing w:line="300" w:lineRule="exact"/>
        <w:ind w:left="425"/>
        <w:jc w:val="left"/>
        <w:rPr>
          <w:rFonts w:ascii="微软雅黑" w:hAnsi="微软雅黑" w:eastAsia="微软雅黑" w:cs="Arial"/>
          <w:szCs w:val="21"/>
        </w:rPr>
      </w:pPr>
      <w:r>
        <w:rPr>
          <w:rFonts w:hint="eastAsia" w:ascii="微软雅黑" w:hAnsi="微软雅黑" w:eastAsia="微软雅黑" w:cs="Arial"/>
          <w:szCs w:val="21"/>
        </w:rPr>
        <w:t>产品特征:无臭氧产生(提供检测报告)、无紫外泄露(提供检测报告)</w:t>
      </w:r>
    </w:p>
    <w:p>
      <w:pPr>
        <w:spacing w:line="300" w:lineRule="exact"/>
        <w:ind w:left="425"/>
        <w:jc w:val="left"/>
        <w:rPr>
          <w:rFonts w:ascii="微软雅黑" w:hAnsi="微软雅黑" w:eastAsia="微软雅黑" w:cs="Arial"/>
          <w:szCs w:val="21"/>
        </w:rPr>
      </w:pPr>
      <w:r>
        <w:rPr>
          <w:rFonts w:hint="eastAsia" w:ascii="微软雅黑" w:hAnsi="微软雅黑" w:eastAsia="微软雅黑" w:cs="Arial"/>
          <w:szCs w:val="21"/>
        </w:rPr>
        <w:t>配置：1个专用接口备件</w:t>
      </w:r>
    </w:p>
    <w:p>
      <w:pPr>
        <w:pStyle w:val="2"/>
      </w:pPr>
    </w:p>
    <w:p>
      <w:pPr>
        <w:pStyle w:val="38"/>
        <w:numPr>
          <w:ilvl w:val="0"/>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b/>
          <w:szCs w:val="21"/>
        </w:rPr>
        <w:t>备件、技术及维修服务，培训要求及其它</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备件要求</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卖方应在用户当地或省会中心城市设置备件库，存入所有必须的备件，保证必要时可以及时供应</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技术及维修服务</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在用户当地或省会中心城市，卖方应配置多名工程技术人员，随时提供开箱验货、安装、调试或维修等服务</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技术培训要求</w:t>
      </w:r>
    </w:p>
    <w:p>
      <w:pPr>
        <w:pStyle w:val="38"/>
        <w:numPr>
          <w:ilvl w:val="1"/>
          <w:numId w:val="2"/>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在用户当地或省会中心城市，卖方应配置专业技术人员提供现场技术培训，保证使用人员正常操作设备的各种功能</w:t>
      </w:r>
    </w:p>
    <w:p>
      <w:pPr>
        <w:pStyle w:val="31"/>
        <w:spacing w:line="360" w:lineRule="auto"/>
        <w:ind w:left="431" w:firstLine="0" w:firstLineChars="0"/>
        <w:rPr>
          <w:rFonts w:ascii="微软雅黑" w:hAnsi="微软雅黑" w:eastAsia="微软雅黑" w:cs="Arial"/>
          <w:szCs w:val="21"/>
        </w:rPr>
      </w:pPr>
      <w:r>
        <w:rPr>
          <w:rFonts w:hint="eastAsia" w:ascii="微软雅黑" w:hAnsi="微软雅黑" w:eastAsia="微软雅黑" w:cs="Arial"/>
          <w:szCs w:val="21"/>
        </w:rPr>
        <w:t>13.7保修期：厂家提供主机、探头3年保修</w:t>
      </w:r>
    </w:p>
    <w:p>
      <w:pPr>
        <w:pStyle w:val="38"/>
        <w:spacing w:line="300" w:lineRule="exact"/>
        <w:ind w:firstLine="0" w:firstLineChars="0"/>
        <w:jc w:val="left"/>
        <w:rPr>
          <w:rFonts w:ascii="微软雅黑" w:hAnsi="微软雅黑" w:eastAsia="微软雅黑" w:cs="Arial"/>
          <w:szCs w:val="21"/>
        </w:rPr>
      </w:pPr>
    </w:p>
    <w:p>
      <w:pPr>
        <w:pStyle w:val="38"/>
        <w:spacing w:line="300" w:lineRule="exact"/>
        <w:ind w:left="425" w:firstLine="0" w:firstLineChars="0"/>
        <w:jc w:val="left"/>
        <w:rPr>
          <w:rFonts w:ascii="微软雅黑" w:hAnsi="微软雅黑" w:eastAsia="微软雅黑" w:cs="Arial"/>
          <w:b/>
          <w:szCs w:val="21"/>
        </w:rPr>
      </w:pPr>
    </w:p>
    <w:p>
      <w:pPr>
        <w:pStyle w:val="38"/>
        <w:numPr>
          <w:ilvl w:val="0"/>
          <w:numId w:val="2"/>
        </w:numPr>
        <w:spacing w:line="300" w:lineRule="exact"/>
        <w:ind w:firstLineChars="0"/>
        <w:jc w:val="left"/>
        <w:rPr>
          <w:rFonts w:ascii="微软雅黑" w:hAnsi="微软雅黑" w:eastAsia="微软雅黑" w:cs="Arial"/>
          <w:b/>
          <w:szCs w:val="21"/>
        </w:rPr>
      </w:pPr>
      <w:r>
        <w:rPr>
          <w:rFonts w:hint="eastAsia" w:ascii="微软雅黑" w:hAnsi="微软雅黑" w:eastAsia="微软雅黑" w:cs="Arial"/>
          <w:b/>
          <w:szCs w:val="21"/>
        </w:rPr>
        <w:t>其他商务条款：例如</w:t>
      </w:r>
    </w:p>
    <w:p>
      <w:pPr>
        <w:pStyle w:val="38"/>
        <w:numPr>
          <w:ilvl w:val="1"/>
          <w:numId w:val="2"/>
        </w:numPr>
        <w:spacing w:line="300" w:lineRule="exact"/>
        <w:ind w:firstLineChars="0"/>
        <w:jc w:val="left"/>
        <w:rPr>
          <w:rFonts w:ascii="微软雅黑" w:hAnsi="微软雅黑" w:eastAsia="微软雅黑"/>
        </w:rPr>
      </w:pPr>
      <w:r>
        <w:rPr>
          <w:rFonts w:hint="eastAsia" w:ascii="微软雅黑" w:hAnsi="微软雅黑" w:eastAsia="微软雅黑" w:cs="Arial"/>
          <w:szCs w:val="21"/>
        </w:rPr>
        <w:t>要求提供所在地中心城市工商行政管理局网站可查询的生产厂家专业售后服务机构，并提供相应资格证明</w:t>
      </w:r>
    </w:p>
    <w:p>
      <w:pPr>
        <w:pStyle w:val="38"/>
        <w:spacing w:line="300" w:lineRule="exact"/>
        <w:ind w:left="1197" w:leftChars="570" w:firstLine="0" w:firstLineChars="0"/>
        <w:jc w:val="left"/>
        <w:rPr>
          <w:rFonts w:ascii="微软雅黑" w:hAnsi="微软雅黑" w:eastAsia="微软雅黑" w:cs="Calibri"/>
          <w:kern w:val="0"/>
          <w:szCs w:val="21"/>
        </w:rPr>
      </w:pPr>
    </w:p>
    <w:p>
      <w:pPr>
        <w:pStyle w:val="38"/>
        <w:spacing w:line="300" w:lineRule="exact"/>
        <w:jc w:val="left"/>
        <w:rPr>
          <w:rFonts w:ascii="微软雅黑" w:hAnsi="微软雅黑" w:eastAsia="微软雅黑" w:cs="Calibri"/>
          <w:color w:val="000000"/>
          <w:kern w:val="0"/>
          <w:szCs w:val="21"/>
        </w:rPr>
      </w:pPr>
    </w:p>
    <w:p/>
    <w:p>
      <w:pPr>
        <w:rPr>
          <w:rFonts w:hint="eastAsia"/>
        </w:rPr>
      </w:pPr>
    </w:p>
    <w:p>
      <w:pPr>
        <w:pStyle w:val="2"/>
        <w:rPr>
          <w:rFonts w:hint="eastAsia"/>
        </w:rPr>
      </w:pPr>
    </w:p>
    <w:p>
      <w:pPr>
        <w:rPr>
          <w:rFonts w:hint="eastAsia"/>
        </w:rPr>
      </w:pPr>
      <w:r>
        <w:rPr>
          <w:rFonts w:hint="eastAsia"/>
        </w:rPr>
        <w:br w:type="page"/>
      </w:r>
    </w:p>
    <w:p>
      <w:pPr>
        <w:pStyle w:val="4"/>
        <w:ind w:left="0" w:firstLine="0"/>
        <w:rPr>
          <w:sz w:val="28"/>
        </w:rPr>
      </w:pPr>
      <w:r>
        <w:rPr>
          <w:rFonts w:hint="eastAsia"/>
        </w:rPr>
        <w:t>第四章、合同</w:t>
      </w:r>
      <w:bookmarkEnd w:id="51"/>
      <w:bookmarkEnd w:id="52"/>
      <w:bookmarkEnd w:id="53"/>
      <w:bookmarkEnd w:id="54"/>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2"/>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highlight w:val="yellow"/>
        </w:rPr>
      </w:pPr>
      <w:r>
        <w:rPr>
          <w:rFonts w:hint="eastAsia" w:ascii="仿宋" w:hAnsi="仿宋" w:eastAsia="仿宋"/>
          <w:b/>
          <w:color w:val="000000"/>
          <w:sz w:val="24"/>
          <w:highlight w:val="yellow"/>
        </w:rPr>
        <w:t>八、货款的支付</w:t>
      </w:r>
      <w:r>
        <w:rPr>
          <w:rFonts w:hint="eastAsia" w:ascii="仿宋" w:hAnsi="仿宋" w:eastAsia="仿宋"/>
          <w:color w:val="000000"/>
          <w:sz w:val="24"/>
          <w:highlight w:val="yellow"/>
          <w:u w:val="single"/>
        </w:rPr>
        <w:t>（与招标现场或招标文件约定一致）例：</w:t>
      </w:r>
    </w:p>
    <w:p>
      <w:pPr>
        <w:spacing w:line="520" w:lineRule="exact"/>
        <w:ind w:firstLine="360" w:firstLineChars="150"/>
        <w:rPr>
          <w:rFonts w:hint="eastAsia" w:ascii="仿宋" w:hAnsi="仿宋" w:eastAsia="仿宋"/>
          <w:color w:val="000000"/>
          <w:sz w:val="24"/>
          <w:highlight w:val="yellow"/>
        </w:rPr>
      </w:pPr>
      <w:r>
        <w:rPr>
          <w:rFonts w:hint="eastAsia" w:ascii="仿宋" w:hAnsi="仿宋" w:eastAsia="仿宋"/>
          <w:color w:val="000000"/>
          <w:sz w:val="24"/>
          <w:highlight w:val="yellow"/>
        </w:rPr>
        <w:t>1、货到经甲方书面验收合格后运行壹个月，付总货款的60％，为（大写：  元整，小写：￥  元）；</w:t>
      </w:r>
    </w:p>
    <w:p>
      <w:pPr>
        <w:spacing w:line="520" w:lineRule="exact"/>
        <w:ind w:firstLine="360" w:firstLineChars="150"/>
        <w:rPr>
          <w:rFonts w:hint="eastAsia" w:ascii="仿宋" w:hAnsi="仿宋" w:eastAsia="仿宋"/>
          <w:color w:val="000000"/>
          <w:sz w:val="24"/>
          <w:highlight w:val="yellow"/>
          <w:lang w:eastAsia="zh-CN"/>
        </w:rPr>
      </w:pPr>
      <w:r>
        <w:rPr>
          <w:rFonts w:hint="eastAsia" w:ascii="仿宋" w:hAnsi="仿宋" w:eastAsia="仿宋"/>
          <w:color w:val="000000"/>
          <w:sz w:val="24"/>
          <w:highlight w:val="yellow"/>
          <w:lang w:val="en-US" w:eastAsia="zh-CN"/>
        </w:rPr>
        <w:t>2、</w:t>
      </w:r>
      <w:r>
        <w:rPr>
          <w:rFonts w:hint="eastAsia" w:ascii="仿宋" w:hAnsi="仿宋" w:eastAsia="仿宋"/>
          <w:color w:val="000000"/>
          <w:sz w:val="24"/>
          <w:highlight w:val="yellow"/>
        </w:rPr>
        <w:t>正常运行三个月后付合同总额的30%，付款至全额的90％时供货方应提供设备真实、合法、有效的全额发票</w:t>
      </w:r>
      <w:r>
        <w:rPr>
          <w:rFonts w:hint="eastAsia" w:ascii="仿宋" w:hAnsi="仿宋" w:eastAsia="仿宋"/>
          <w:color w:val="000000"/>
          <w:sz w:val="24"/>
          <w:highlight w:val="yellow"/>
          <w:lang w:eastAsia="zh-CN"/>
        </w:rPr>
        <w:t>。</w:t>
      </w:r>
    </w:p>
    <w:p>
      <w:pPr>
        <w:spacing w:line="520" w:lineRule="exact"/>
        <w:ind w:firstLine="360" w:firstLineChars="150"/>
        <w:rPr>
          <w:rFonts w:ascii="仿宋" w:hAnsi="仿宋" w:eastAsia="仿宋"/>
          <w:color w:val="000000"/>
          <w:sz w:val="24"/>
          <w:highlight w:val="yellow"/>
        </w:rPr>
      </w:pPr>
      <w:r>
        <w:rPr>
          <w:rFonts w:hint="eastAsia" w:ascii="仿宋" w:hAnsi="仿宋" w:eastAsia="仿宋"/>
          <w:color w:val="000000"/>
          <w:sz w:val="24"/>
          <w:highlight w:val="yellow"/>
          <w:lang w:val="en-US" w:eastAsia="zh-CN"/>
        </w:rPr>
        <w:t>3</w:t>
      </w:r>
      <w:r>
        <w:rPr>
          <w:rFonts w:hint="eastAsia" w:ascii="仿宋" w:hAnsi="仿宋" w:eastAsia="仿宋"/>
          <w:color w:val="000000"/>
          <w:sz w:val="24"/>
          <w:highlight w:val="yellow"/>
        </w:rPr>
        <w:t>、质保金为10%，即（大写：</w:t>
      </w:r>
      <w:r>
        <w:rPr>
          <w:rFonts w:hint="eastAsia" w:ascii="仿宋" w:hAnsi="仿宋" w:eastAsia="仿宋"/>
          <w:color w:val="000000"/>
          <w:sz w:val="24"/>
          <w:highlight w:val="yellow"/>
          <w:u w:val="single"/>
        </w:rPr>
        <w:t xml:space="preserve">  </w:t>
      </w:r>
      <w:r>
        <w:rPr>
          <w:rFonts w:hint="eastAsia" w:ascii="仿宋" w:hAnsi="仿宋" w:eastAsia="仿宋"/>
          <w:color w:val="000000"/>
          <w:sz w:val="24"/>
          <w:highlight w:val="yellow"/>
        </w:rPr>
        <w:t>元整，小写：￥</w:t>
      </w:r>
      <w:r>
        <w:rPr>
          <w:rFonts w:hint="eastAsia" w:ascii="仿宋" w:hAnsi="仿宋" w:eastAsia="仿宋"/>
          <w:color w:val="000000"/>
          <w:sz w:val="24"/>
          <w:highlight w:val="yellow"/>
          <w:u w:val="single"/>
        </w:rPr>
        <w:t xml:space="preserve">  </w:t>
      </w:r>
      <w:r>
        <w:rPr>
          <w:rFonts w:hint="eastAsia" w:ascii="仿宋" w:hAnsi="仿宋" w:eastAsia="仿宋"/>
          <w:color w:val="000000"/>
          <w:sz w:val="24"/>
          <w:highlight w:val="yellow"/>
        </w:rPr>
        <w:t>元），验收合格之日起质保期满后无息支付；</w:t>
      </w:r>
    </w:p>
    <w:p>
      <w:pPr>
        <w:spacing w:line="520" w:lineRule="exact"/>
        <w:ind w:firstLine="360" w:firstLineChars="150"/>
        <w:rPr>
          <w:rFonts w:ascii="仿宋" w:hAnsi="仿宋" w:eastAsia="仿宋"/>
          <w:color w:val="000000"/>
          <w:sz w:val="24"/>
          <w:highlight w:val="yellow"/>
        </w:rPr>
      </w:pPr>
      <w:r>
        <w:rPr>
          <w:rFonts w:hint="eastAsia" w:ascii="仿宋" w:hAnsi="仿宋" w:eastAsia="仿宋"/>
          <w:color w:val="000000"/>
          <w:sz w:val="24"/>
          <w:highlight w:val="yellow"/>
          <w:lang w:val="en-US" w:eastAsia="zh-CN"/>
        </w:rPr>
        <w:t>4</w:t>
      </w:r>
      <w:r>
        <w:rPr>
          <w:rFonts w:hint="eastAsia" w:ascii="仿宋" w:hAnsi="仿宋" w:eastAsia="仿宋"/>
          <w:color w:val="000000"/>
          <w:sz w:val="24"/>
          <w:highlight w:val="yellow"/>
        </w:rPr>
        <w:t>、甲方支付上述任何一笔款项前，乙方应提供符合甲方财务做账要求的正规增值税发票，否则，甲方有权拒付款项且不承担违约责任。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4"/>
      </w:pPr>
      <w:r>
        <w:rPr>
          <w:rFonts w:hint="eastAsia"/>
        </w:rPr>
        <w:br w:type="page"/>
      </w:r>
      <w:bookmarkStart w:id="63" w:name="_Toc56170392"/>
      <w:bookmarkStart w:id="64" w:name="_Toc6245"/>
      <w:bookmarkStart w:id="65" w:name="_Toc61184635"/>
      <w:r>
        <w:rPr>
          <w:rFonts w:hint="eastAsia"/>
        </w:rPr>
        <w:t>第五章、响应文件格式</w:t>
      </w:r>
      <w:bookmarkEnd w:id="63"/>
      <w:bookmarkEnd w:id="64"/>
      <w:bookmarkEnd w:id="65"/>
    </w:p>
    <w:p>
      <w:pPr>
        <w:pStyle w:val="29"/>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6"/>
      </w:pPr>
      <w:r>
        <w:rPr>
          <w:rFonts w:hint="eastAsia"/>
          <w:sz w:val="36"/>
        </w:rPr>
        <w:br w:type="page"/>
      </w:r>
      <w:bookmarkStart w:id="66" w:name="_Toc10657"/>
      <w:bookmarkStart w:id="67" w:name="_Toc61184636"/>
      <w:bookmarkStart w:id="68" w:name="_Toc56170393"/>
      <w:r>
        <w:rPr>
          <w:rFonts w:hint="eastAsia"/>
        </w:rPr>
        <w:t>附件一、投标书</w:t>
      </w:r>
      <w:bookmarkEnd w:id="66"/>
      <w:bookmarkEnd w:id="67"/>
      <w:bookmarkEnd w:id="68"/>
    </w:p>
    <w:p>
      <w:pPr>
        <w:pStyle w:val="30"/>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6"/>
      </w:pPr>
      <w:r>
        <w:rPr>
          <w:rFonts w:hint="eastAsia"/>
        </w:rPr>
        <w:br w:type="page"/>
      </w:r>
      <w:bookmarkStart w:id="69" w:name="_Toc56170394"/>
      <w:bookmarkStart w:id="70" w:name="_Toc26466"/>
      <w:bookmarkStart w:id="71" w:name="_Toc61184637"/>
      <w:r>
        <w:rPr>
          <w:rFonts w:hint="eastAsia"/>
        </w:rPr>
        <w:t>附件二、</w:t>
      </w:r>
      <w:r>
        <w:t>法定代表人资格证明书</w:t>
      </w:r>
      <w:bookmarkEnd w:id="69"/>
      <w:bookmarkEnd w:id="70"/>
      <w:bookmarkEnd w:id="71"/>
    </w:p>
    <w:p>
      <w:pPr>
        <w:spacing w:line="360" w:lineRule="auto"/>
        <w:rPr>
          <w:rFonts w:ascii="仿宋" w:hAnsi="仿宋" w:eastAsia="仿宋"/>
          <w:color w:val="000000"/>
          <w:szCs w:val="21"/>
        </w:rPr>
      </w:pPr>
    </w:p>
    <w:p>
      <w:pPr>
        <w:pStyle w:val="28"/>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8"/>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8"/>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8"/>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8"/>
        <w:spacing w:line="360" w:lineRule="auto"/>
        <w:ind w:firstLine="560"/>
        <w:rPr>
          <w:rFonts w:ascii="仿宋" w:hAnsi="仿宋" w:eastAsia="仿宋"/>
          <w:color w:val="000000"/>
        </w:rPr>
      </w:pPr>
    </w:p>
    <w:p>
      <w:pPr>
        <w:pStyle w:val="28"/>
        <w:spacing w:line="360" w:lineRule="auto"/>
        <w:ind w:firstLine="560"/>
        <w:rPr>
          <w:rFonts w:ascii="仿宋" w:hAnsi="仿宋" w:eastAsia="仿宋"/>
          <w:color w:val="000000"/>
        </w:rPr>
      </w:pPr>
      <w:r>
        <w:rPr>
          <w:rFonts w:ascii="仿宋" w:hAnsi="仿宋" w:eastAsia="仿宋"/>
          <w:color w:val="000000"/>
        </w:rPr>
        <w:t>特此证明</w:t>
      </w:r>
    </w:p>
    <w:p>
      <w:pPr>
        <w:pStyle w:val="28"/>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path/>
            <v:fill on="f" focussize="0,0"/>
            <v:stroke weight="1pt" color="#000000" joinstyle="miter"/>
            <v:imagedata o:title=""/>
            <o:lock v:ext="edit"/>
            <v:textbox>
              <w:txbxContent>
                <w:p>
                  <w:pPr>
                    <w:pStyle w:val="28"/>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4" o:spid="_x0000_s2054"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path/>
            <v:fill on="f" focussize="0,0"/>
            <v:stroke weight="1pt" color="#000000" joinstyle="miter"/>
            <v:imagedata o:title=""/>
            <o:lock v:ext="edit"/>
            <v:textbox>
              <w:txbxContent>
                <w:p>
                  <w:pPr>
                    <w:pStyle w:val="28"/>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8"/>
        <w:spacing w:line="360" w:lineRule="auto"/>
        <w:ind w:firstLine="560"/>
        <w:jc w:val="left"/>
        <w:rPr>
          <w:rFonts w:ascii="仿宋" w:hAnsi="仿宋" w:eastAsia="仿宋"/>
          <w:color w:val="000000"/>
        </w:rPr>
      </w:pPr>
    </w:p>
    <w:p>
      <w:pPr>
        <w:pStyle w:val="28"/>
        <w:spacing w:line="360" w:lineRule="auto"/>
        <w:ind w:firstLine="560"/>
        <w:rPr>
          <w:rFonts w:ascii="仿宋" w:hAnsi="仿宋" w:eastAsia="仿宋"/>
          <w:color w:val="000000"/>
        </w:rPr>
      </w:pPr>
    </w:p>
    <w:p>
      <w:pPr>
        <w:pStyle w:val="28"/>
        <w:spacing w:line="360" w:lineRule="auto"/>
        <w:ind w:firstLine="560"/>
        <w:rPr>
          <w:rFonts w:ascii="仿宋" w:hAnsi="仿宋" w:eastAsia="仿宋"/>
          <w:color w:val="000000"/>
        </w:rPr>
      </w:pPr>
    </w:p>
    <w:p>
      <w:pPr>
        <w:pStyle w:val="28"/>
        <w:spacing w:line="360" w:lineRule="auto"/>
        <w:ind w:firstLine="4200" w:firstLineChars="1500"/>
        <w:rPr>
          <w:rFonts w:ascii="仿宋" w:hAnsi="仿宋" w:eastAsia="仿宋"/>
          <w:color w:val="000000"/>
        </w:rPr>
      </w:pPr>
    </w:p>
    <w:p>
      <w:pPr>
        <w:pStyle w:val="28"/>
        <w:spacing w:line="360" w:lineRule="auto"/>
        <w:ind w:firstLine="4200" w:firstLineChars="1500"/>
        <w:rPr>
          <w:rFonts w:ascii="仿宋" w:hAnsi="仿宋" w:eastAsia="仿宋"/>
          <w:color w:val="000000"/>
        </w:rPr>
      </w:pPr>
    </w:p>
    <w:p>
      <w:pPr>
        <w:pStyle w:val="28"/>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8"/>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8"/>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spacing w:line="360" w:lineRule="auto"/>
        <w:rPr>
          <w:szCs w:val="21"/>
        </w:rPr>
      </w:pPr>
      <w:r>
        <w:br w:type="page"/>
      </w:r>
      <w:bookmarkStart w:id="72" w:name="_Toc3373"/>
      <w:bookmarkStart w:id="73" w:name="_Toc56170395"/>
      <w:bookmarkStart w:id="74" w:name="_Toc61184638"/>
      <w:r>
        <w:rPr>
          <w:rFonts w:hint="eastAsia"/>
        </w:rPr>
        <w:t>附件三、法定代表人</w:t>
      </w:r>
      <w:r>
        <w:t>授权委托书</w:t>
      </w:r>
      <w:bookmarkEnd w:id="72"/>
      <w:bookmarkEnd w:id="73"/>
      <w:bookmarkEnd w:id="74"/>
    </w:p>
    <w:p>
      <w:pPr>
        <w:pStyle w:val="28"/>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28"/>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8"/>
        <w:spacing w:line="360" w:lineRule="auto"/>
        <w:ind w:firstLine="560"/>
        <w:rPr>
          <w:rFonts w:ascii="仿宋" w:hAnsi="仿宋" w:eastAsia="仿宋"/>
          <w:color w:val="000000"/>
        </w:rPr>
      </w:pPr>
      <w:r>
        <w:pict>
          <v:roundrect id="_x0000_s2053" o:spid="_x0000_s2053"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path/>
            <v:fill on="f" focussize="0,0"/>
            <v:stroke weight="1pt" color="#000000" joinstyle="miter"/>
            <v:imagedata o:title=""/>
            <o:lock v:ext="edit"/>
            <v:textbox>
              <w:txbxContent>
                <w:p>
                  <w:pPr>
                    <w:pStyle w:val="28"/>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2" o:spid="_x0000_s2052"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path/>
            <v:fill on="f" focussize="0,0"/>
            <v:stroke weight="1pt" color="#000000" joinstyle="miter"/>
            <v:imagedata o:title=""/>
            <o:lock v:ext="edit"/>
            <v:textbox>
              <w:txbxContent>
                <w:p>
                  <w:pPr>
                    <w:pStyle w:val="28"/>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28"/>
        <w:spacing w:line="360" w:lineRule="auto"/>
        <w:ind w:firstLine="560"/>
        <w:rPr>
          <w:rFonts w:ascii="仿宋" w:hAnsi="仿宋" w:eastAsia="仿宋"/>
          <w:color w:val="000000"/>
        </w:rPr>
      </w:pPr>
    </w:p>
    <w:p>
      <w:pPr>
        <w:pStyle w:val="28"/>
        <w:spacing w:line="360" w:lineRule="auto"/>
        <w:ind w:firstLine="560"/>
        <w:rPr>
          <w:rFonts w:ascii="仿宋" w:hAnsi="仿宋" w:eastAsia="仿宋"/>
          <w:color w:val="000000"/>
        </w:rPr>
      </w:pPr>
    </w:p>
    <w:p>
      <w:pPr>
        <w:pStyle w:val="28"/>
        <w:spacing w:line="360" w:lineRule="auto"/>
        <w:ind w:firstLine="560"/>
        <w:rPr>
          <w:rFonts w:ascii="仿宋" w:hAnsi="仿宋" w:eastAsia="仿宋"/>
          <w:color w:val="000000"/>
        </w:rPr>
      </w:pPr>
    </w:p>
    <w:p>
      <w:pPr>
        <w:pStyle w:val="28"/>
        <w:spacing w:line="360" w:lineRule="auto"/>
        <w:ind w:firstLine="560"/>
        <w:rPr>
          <w:rFonts w:ascii="仿宋" w:hAnsi="仿宋" w:eastAsia="仿宋"/>
          <w:color w:val="000000"/>
        </w:rPr>
      </w:pPr>
      <w:r>
        <w:pict>
          <v:roundrect id="_x0000_s2051" o:spid="_x0000_s2051"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path/>
            <v:fill on="f" focussize="0,0"/>
            <v:stroke weight="1pt" color="#000000" joinstyle="miter"/>
            <v:imagedata o:title=""/>
            <o:lock v:ext="edit"/>
            <v:textbox>
              <w:txbxContent>
                <w:p>
                  <w:pPr>
                    <w:pStyle w:val="28"/>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2050" o:spid="_x0000_s2050"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path/>
            <v:fill on="f" focussize="0,0"/>
            <v:stroke weight="1pt" color="#000000" joinstyle="miter"/>
            <v:imagedata o:title=""/>
            <o:lock v:ext="edit"/>
            <v:textbox>
              <w:txbxContent>
                <w:p>
                  <w:pPr>
                    <w:pStyle w:val="28"/>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8"/>
        <w:spacing w:line="360" w:lineRule="auto"/>
        <w:ind w:firstLine="560"/>
        <w:rPr>
          <w:rFonts w:ascii="仿宋" w:hAnsi="仿宋" w:eastAsia="仿宋"/>
          <w:color w:val="000000"/>
        </w:rPr>
      </w:pPr>
    </w:p>
    <w:p>
      <w:pPr>
        <w:pStyle w:val="28"/>
        <w:spacing w:line="360" w:lineRule="auto"/>
        <w:ind w:firstLine="560"/>
        <w:rPr>
          <w:rFonts w:ascii="仿宋" w:hAnsi="仿宋" w:eastAsia="仿宋"/>
          <w:color w:val="000000"/>
        </w:rPr>
      </w:pPr>
    </w:p>
    <w:p>
      <w:pPr>
        <w:pStyle w:val="28"/>
        <w:spacing w:line="360" w:lineRule="auto"/>
        <w:ind w:firstLine="0" w:firstLineChars="0"/>
        <w:rPr>
          <w:rFonts w:ascii="仿宋" w:hAnsi="仿宋" w:eastAsia="仿宋"/>
          <w:color w:val="000000"/>
        </w:rPr>
      </w:pPr>
    </w:p>
    <w:p>
      <w:pPr>
        <w:pStyle w:val="28"/>
        <w:spacing w:line="360" w:lineRule="auto"/>
        <w:ind w:firstLine="0" w:firstLineChars="0"/>
        <w:rPr>
          <w:rFonts w:ascii="仿宋" w:hAnsi="仿宋" w:eastAsia="仿宋"/>
          <w:color w:val="000000"/>
        </w:rPr>
      </w:pPr>
    </w:p>
    <w:p>
      <w:pPr>
        <w:pStyle w:val="28"/>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8"/>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8"/>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8"/>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8"/>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8"/>
        <w:spacing w:line="360" w:lineRule="auto"/>
        <w:ind w:firstLine="560"/>
        <w:rPr>
          <w:rFonts w:ascii="仿宋" w:hAnsi="仿宋" w:eastAsia="仿宋"/>
          <w:color w:val="000000"/>
        </w:rPr>
      </w:pPr>
    </w:p>
    <w:p>
      <w:pPr>
        <w:pStyle w:val="6"/>
      </w:pPr>
      <w:r>
        <w:br w:type="page"/>
      </w:r>
      <w:bookmarkStart w:id="75" w:name="_Toc9301"/>
      <w:bookmarkStart w:id="76" w:name="_Toc61184639"/>
      <w:bookmarkStart w:id="77" w:name="_Toc56170396"/>
      <w:r>
        <w:rPr>
          <w:rFonts w:hint="eastAsia"/>
        </w:rPr>
        <w:t>附件四、关于磋商文件的声明函</w:t>
      </w:r>
      <w:bookmarkEnd w:id="75"/>
      <w:bookmarkEnd w:id="76"/>
      <w:bookmarkEnd w:id="77"/>
    </w:p>
    <w:p>
      <w:pPr>
        <w:adjustRightInd w:val="0"/>
        <w:snapToGrid w:val="0"/>
        <w:spacing w:line="360" w:lineRule="auto"/>
        <w:ind w:firstLine="560" w:firstLineChars="200"/>
        <w:rPr>
          <w:rFonts w:ascii="仿宋" w:hAnsi="仿宋" w:eastAsia="仿宋"/>
          <w:color w:val="000000"/>
          <w:sz w:val="28"/>
          <w:szCs w:val="28"/>
        </w:rPr>
      </w:pPr>
    </w:p>
    <w:p>
      <w:pPr>
        <w:pStyle w:val="28"/>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28"/>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28"/>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8"/>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28"/>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28"/>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8"/>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8"/>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pPr>
      <w:r>
        <w:rPr>
          <w:rFonts w:hint="eastAsia"/>
        </w:rPr>
        <w:br w:type="page"/>
      </w:r>
      <w:bookmarkStart w:id="78" w:name="_Toc61184640"/>
      <w:bookmarkStart w:id="79" w:name="_Toc56170397"/>
      <w:bookmarkStart w:id="80" w:name="_Toc5174"/>
      <w:r>
        <w:rPr>
          <w:rFonts w:hint="eastAsia"/>
        </w:rPr>
        <w:t>附件五、诚信磋商承诺书</w:t>
      </w:r>
      <w:bookmarkEnd w:id="78"/>
      <w:bookmarkEnd w:id="79"/>
      <w:bookmarkEnd w:id="80"/>
    </w:p>
    <w:p>
      <w:pPr>
        <w:pStyle w:val="28"/>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28"/>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28"/>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28"/>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8"/>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8"/>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28"/>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8"/>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8"/>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8"/>
        <w:spacing w:line="360" w:lineRule="auto"/>
        <w:ind w:firstLine="560"/>
        <w:rPr>
          <w:rFonts w:ascii="仿宋" w:hAnsi="仿宋" w:eastAsia="仿宋"/>
          <w:color w:val="000000"/>
        </w:rPr>
      </w:pPr>
      <w:r>
        <w:rPr>
          <w:rFonts w:hint="eastAsia" w:ascii="仿宋" w:hAnsi="仿宋" w:eastAsia="仿宋"/>
          <w:color w:val="000000"/>
        </w:rPr>
        <w:t>供应商：（公章）</w:t>
      </w:r>
    </w:p>
    <w:p>
      <w:pPr>
        <w:pStyle w:val="28"/>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6"/>
      </w:pPr>
      <w:r>
        <w:rPr>
          <w:rFonts w:hint="eastAsia"/>
          <w:szCs w:val="28"/>
        </w:rPr>
        <w:br w:type="page"/>
      </w:r>
      <w:bookmarkStart w:id="81" w:name="_Toc435087575"/>
      <w:bookmarkStart w:id="82" w:name="_Toc56170398"/>
      <w:bookmarkStart w:id="83" w:name="_Toc61184641"/>
      <w:bookmarkStart w:id="84" w:name="_Toc30642"/>
      <w:r>
        <w:rPr>
          <w:rFonts w:hint="eastAsia"/>
        </w:rPr>
        <w:t>附件</w:t>
      </w:r>
      <w:bookmarkEnd w:id="81"/>
      <w:r>
        <w:rPr>
          <w:rFonts w:hint="eastAsia"/>
        </w:rPr>
        <w:t>六、供应商反商业贿赂承诺书</w:t>
      </w:r>
      <w:bookmarkEnd w:id="82"/>
      <w:bookmarkEnd w:id="83"/>
      <w:bookmarkEnd w:id="84"/>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8"/>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6"/>
        <w:rPr>
          <w:rFonts w:cs="sans-serif"/>
          <w:sz w:val="19"/>
          <w:szCs w:val="19"/>
        </w:rPr>
      </w:pPr>
      <w:r>
        <w:br w:type="page"/>
      </w:r>
      <w:bookmarkStart w:id="85" w:name="_Toc31315"/>
      <w:r>
        <w:rPr>
          <w:rFonts w:hint="eastAsia"/>
        </w:rPr>
        <w:t>附件七、</w:t>
      </w:r>
      <w:r>
        <w:t>中小企业声明函（货物）</w:t>
      </w:r>
      <w:bookmarkEnd w:id="85"/>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8"/>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8"/>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8"/>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6"/>
        <w:spacing w:line="360" w:lineRule="auto"/>
      </w:pPr>
      <w:bookmarkStart w:id="86" w:name="_Toc56170399"/>
      <w:bookmarkStart w:id="87" w:name="_Toc22501"/>
      <w:bookmarkStart w:id="88" w:name="_Toc61184642"/>
      <w:r>
        <w:rPr>
          <w:rFonts w:hint="eastAsia"/>
        </w:rPr>
        <w:t>附件八、磋商一览表</w:t>
      </w:r>
      <w:bookmarkEnd w:id="86"/>
      <w:bookmarkEnd w:id="87"/>
      <w:bookmarkEnd w:id="88"/>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2"/>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noWrap w:val="0"/>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noWrap w:val="0"/>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noWrap w:val="0"/>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noWrap w:val="0"/>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noWrap w:val="0"/>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noWrap w:val="0"/>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noWrap w:val="0"/>
            <w:vAlign w:val="center"/>
          </w:tcPr>
          <w:p>
            <w:pPr>
              <w:snapToGrid w:val="0"/>
              <w:jc w:val="center"/>
              <w:rPr>
                <w:rFonts w:ascii="仿宋" w:hAnsi="仿宋" w:eastAsia="仿宋"/>
                <w:sz w:val="28"/>
                <w:szCs w:val="28"/>
              </w:rPr>
            </w:pPr>
          </w:p>
        </w:tc>
        <w:tc>
          <w:tcPr>
            <w:tcW w:w="1706" w:type="dxa"/>
            <w:noWrap w:val="0"/>
            <w:vAlign w:val="center"/>
          </w:tcPr>
          <w:p>
            <w:pPr>
              <w:snapToGrid w:val="0"/>
              <w:jc w:val="center"/>
              <w:rPr>
                <w:rFonts w:ascii="仿宋" w:hAnsi="仿宋" w:eastAsia="仿宋"/>
                <w:sz w:val="28"/>
                <w:szCs w:val="28"/>
              </w:rPr>
            </w:pPr>
          </w:p>
        </w:tc>
        <w:tc>
          <w:tcPr>
            <w:tcW w:w="1120" w:type="dxa"/>
            <w:noWrap w:val="0"/>
            <w:vAlign w:val="center"/>
          </w:tcPr>
          <w:p>
            <w:pPr>
              <w:snapToGrid w:val="0"/>
              <w:jc w:val="center"/>
              <w:rPr>
                <w:rFonts w:ascii="仿宋" w:hAnsi="仿宋" w:eastAsia="仿宋"/>
                <w:sz w:val="28"/>
                <w:szCs w:val="28"/>
              </w:rPr>
            </w:pPr>
          </w:p>
        </w:tc>
        <w:tc>
          <w:tcPr>
            <w:tcW w:w="3120" w:type="dxa"/>
            <w:noWrap w:val="0"/>
            <w:vAlign w:val="center"/>
          </w:tcPr>
          <w:p>
            <w:pPr>
              <w:snapToGrid w:val="0"/>
              <w:jc w:val="center"/>
              <w:rPr>
                <w:rFonts w:ascii="仿宋" w:hAnsi="仿宋" w:eastAsia="仿宋"/>
                <w:sz w:val="28"/>
                <w:szCs w:val="28"/>
              </w:rPr>
            </w:pPr>
          </w:p>
        </w:tc>
        <w:tc>
          <w:tcPr>
            <w:tcW w:w="1990" w:type="dxa"/>
            <w:noWrap w:val="0"/>
            <w:vAlign w:val="center"/>
          </w:tcPr>
          <w:p>
            <w:pPr>
              <w:snapToGrid w:val="0"/>
              <w:jc w:val="center"/>
              <w:rPr>
                <w:rFonts w:ascii="仿宋" w:hAnsi="仿宋" w:eastAsia="仿宋"/>
                <w:sz w:val="28"/>
                <w:szCs w:val="28"/>
              </w:rPr>
            </w:pPr>
          </w:p>
        </w:tc>
        <w:tc>
          <w:tcPr>
            <w:tcW w:w="1980" w:type="dxa"/>
            <w:noWrap w:val="0"/>
            <w:vAlign w:val="center"/>
          </w:tcPr>
          <w:p>
            <w:pPr>
              <w:snapToGrid w:val="0"/>
              <w:jc w:val="center"/>
              <w:rPr>
                <w:rFonts w:ascii="仿宋" w:hAnsi="仿宋" w:eastAsia="仿宋"/>
                <w:sz w:val="28"/>
                <w:szCs w:val="28"/>
              </w:rPr>
            </w:pPr>
          </w:p>
        </w:tc>
        <w:tc>
          <w:tcPr>
            <w:tcW w:w="1408" w:type="dxa"/>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noWrap w:val="0"/>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noWrap w:val="0"/>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6"/>
      </w:pPr>
      <w:r>
        <w:rPr>
          <w:rFonts w:hint="eastAsia"/>
        </w:rPr>
        <w:br w:type="page"/>
      </w:r>
      <w:bookmarkStart w:id="89" w:name="_Toc61184643"/>
      <w:bookmarkStart w:id="90" w:name="_Toc2236"/>
      <w:bookmarkStart w:id="91" w:name="_Toc56170400"/>
      <w:r>
        <w:rPr>
          <w:rFonts w:hint="eastAsia"/>
        </w:rPr>
        <w:t>附件九、磋商产品名称、数量、规格分项报价表</w:t>
      </w:r>
      <w:bookmarkEnd w:id="89"/>
      <w:bookmarkEnd w:id="90"/>
      <w:bookmarkEnd w:id="91"/>
    </w:p>
    <w:p>
      <w:pPr>
        <w:pStyle w:val="28"/>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2"/>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br w:type="page"/>
      </w:r>
      <w:bookmarkStart w:id="92" w:name="_Toc56170401"/>
      <w:bookmarkStart w:id="93" w:name="_Toc27579"/>
      <w:bookmarkStart w:id="94" w:name="_Toc61184644"/>
      <w:r>
        <w:rPr>
          <w:rFonts w:hint="eastAsia"/>
        </w:rPr>
        <w:t>附件十、技术规格偏离表</w:t>
      </w:r>
      <w:bookmarkEnd w:id="92"/>
      <w:bookmarkEnd w:id="93"/>
      <w:bookmarkEnd w:id="94"/>
    </w:p>
    <w:tbl>
      <w:tblPr>
        <w:tblStyle w:val="22"/>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sz w:val="42"/>
        </w:rPr>
        <w:br w:type="page"/>
      </w:r>
      <w:bookmarkStart w:id="95" w:name="_Toc56170402"/>
      <w:bookmarkStart w:id="96" w:name="_Toc11172"/>
      <w:bookmarkStart w:id="97" w:name="_Toc61184645"/>
      <w:r>
        <w:rPr>
          <w:rFonts w:hint="eastAsia"/>
        </w:rPr>
        <w:t>附件十一、商务条款偏离表</w:t>
      </w:r>
      <w:bookmarkEnd w:id="95"/>
      <w:bookmarkEnd w:id="96"/>
      <w:bookmarkEnd w:id="97"/>
    </w:p>
    <w:tbl>
      <w:tblPr>
        <w:tblStyle w:val="22"/>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rPr>
        <w:br w:type="page"/>
      </w:r>
      <w:bookmarkStart w:id="98" w:name="_Toc61184646"/>
      <w:bookmarkStart w:id="99" w:name="_Toc56170403"/>
      <w:bookmarkStart w:id="100" w:name="_Toc5354"/>
      <w:r>
        <w:rPr>
          <w:rFonts w:hint="eastAsia"/>
        </w:rPr>
        <w:t>附件十二、磋商产品近三年同类产品销售业绩表</w:t>
      </w:r>
      <w:bookmarkEnd w:id="98"/>
      <w:bookmarkEnd w:id="99"/>
      <w:bookmarkEnd w:id="100"/>
    </w:p>
    <w:tbl>
      <w:tblPr>
        <w:tblStyle w:val="22"/>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6" o:spid="_x0000_s307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8" o:spid="_x0000_s307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joinstyle="miter"/>
          <v:imagedata o:title=""/>
          <o:lock v:ext="edit"/>
          <v:textbox inset="0mm,0mm,0mm,0mm" style="mso-fit-shape-to-text:t;">
            <w:txbxContent>
              <w:p>
                <w:pPr>
                  <w:pStyle w:val="15"/>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4"/>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8"/>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1F011B4C"/>
    <w:multiLevelType w:val="multilevel"/>
    <w:tmpl w:val="1F011B4C"/>
    <w:lvl w:ilvl="0" w:tentative="0">
      <w:start w:val="1"/>
      <w:numFmt w:val="decimal"/>
      <w:lvlText w:val="%1."/>
      <w:lvlJc w:val="left"/>
      <w:pPr>
        <w:ind w:left="425" w:hanging="425"/>
      </w:pPr>
    </w:lvl>
    <w:lvl w:ilvl="1" w:tentative="0">
      <w:start w:val="1"/>
      <w:numFmt w:val="decimal"/>
      <w:lvlText w:val="%1.%2."/>
      <w:lvlJc w:val="left"/>
      <w:pPr>
        <w:ind w:left="127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jMjNlNmM1MGEzZDJmYTBhMDBiNThiNTgyMjc0YmMifQ=="/>
  </w:docVars>
  <w:rsids>
    <w:rsidRoot w:val="00077980"/>
    <w:rsid w:val="00077980"/>
    <w:rsid w:val="00083076"/>
    <w:rsid w:val="00170B57"/>
    <w:rsid w:val="008F08CE"/>
    <w:rsid w:val="00C20AA0"/>
    <w:rsid w:val="00CD1788"/>
    <w:rsid w:val="00E40206"/>
    <w:rsid w:val="00E5707A"/>
    <w:rsid w:val="00FD16FA"/>
    <w:rsid w:val="01973B44"/>
    <w:rsid w:val="01CC2A72"/>
    <w:rsid w:val="023F1905"/>
    <w:rsid w:val="026262C0"/>
    <w:rsid w:val="02842A7E"/>
    <w:rsid w:val="02A30234"/>
    <w:rsid w:val="032558AB"/>
    <w:rsid w:val="035E2B6B"/>
    <w:rsid w:val="035E6419"/>
    <w:rsid w:val="036A7762"/>
    <w:rsid w:val="036D3DE7"/>
    <w:rsid w:val="039D18E6"/>
    <w:rsid w:val="03E27385"/>
    <w:rsid w:val="045A77D7"/>
    <w:rsid w:val="04BA216D"/>
    <w:rsid w:val="055752FB"/>
    <w:rsid w:val="05663F59"/>
    <w:rsid w:val="056D41A2"/>
    <w:rsid w:val="0642797C"/>
    <w:rsid w:val="06741563"/>
    <w:rsid w:val="076170CE"/>
    <w:rsid w:val="076C4A0F"/>
    <w:rsid w:val="079851F1"/>
    <w:rsid w:val="07FE7A63"/>
    <w:rsid w:val="081A742F"/>
    <w:rsid w:val="08395A08"/>
    <w:rsid w:val="08670714"/>
    <w:rsid w:val="0932487E"/>
    <w:rsid w:val="09661D2F"/>
    <w:rsid w:val="09AC5E32"/>
    <w:rsid w:val="0A0A7955"/>
    <w:rsid w:val="0A183EA3"/>
    <w:rsid w:val="0A4C26EB"/>
    <w:rsid w:val="0AD54619"/>
    <w:rsid w:val="0BB55228"/>
    <w:rsid w:val="0BF5180D"/>
    <w:rsid w:val="0C5302AB"/>
    <w:rsid w:val="0CA96E7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AC5ADF"/>
    <w:rsid w:val="10C5422A"/>
    <w:rsid w:val="114754DD"/>
    <w:rsid w:val="11C444E1"/>
    <w:rsid w:val="11CF7681"/>
    <w:rsid w:val="11D230A2"/>
    <w:rsid w:val="12C06D22"/>
    <w:rsid w:val="138403CC"/>
    <w:rsid w:val="13971ACE"/>
    <w:rsid w:val="139776B8"/>
    <w:rsid w:val="13A753C5"/>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AD19E8"/>
    <w:rsid w:val="16B20DAC"/>
    <w:rsid w:val="16F93156"/>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92241C"/>
    <w:rsid w:val="1B1572B6"/>
    <w:rsid w:val="1B281F85"/>
    <w:rsid w:val="1B476B6D"/>
    <w:rsid w:val="1B970EB9"/>
    <w:rsid w:val="1BA17641"/>
    <w:rsid w:val="1BBC2159"/>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94CB4"/>
    <w:rsid w:val="25895BF3"/>
    <w:rsid w:val="25DD2143"/>
    <w:rsid w:val="26445799"/>
    <w:rsid w:val="265D7EFE"/>
    <w:rsid w:val="26AF355A"/>
    <w:rsid w:val="2772724D"/>
    <w:rsid w:val="278E7BCD"/>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B6302F"/>
    <w:rsid w:val="2CE30411"/>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14B0347"/>
    <w:rsid w:val="315106F8"/>
    <w:rsid w:val="31C51E84"/>
    <w:rsid w:val="3316539F"/>
    <w:rsid w:val="33A67A93"/>
    <w:rsid w:val="33DB0B5D"/>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A246CF"/>
    <w:rsid w:val="3BBE2933"/>
    <w:rsid w:val="3BCC21A9"/>
    <w:rsid w:val="3BD55452"/>
    <w:rsid w:val="3C1F5AB4"/>
    <w:rsid w:val="3CA37A53"/>
    <w:rsid w:val="3CC53369"/>
    <w:rsid w:val="3CD45671"/>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A130D7"/>
    <w:rsid w:val="46E26BDC"/>
    <w:rsid w:val="474858DB"/>
    <w:rsid w:val="47506DF0"/>
    <w:rsid w:val="477A307F"/>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FA27B7"/>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9D3885"/>
    <w:rsid w:val="59C32FE7"/>
    <w:rsid w:val="5A3D61AC"/>
    <w:rsid w:val="5A590CCA"/>
    <w:rsid w:val="5A607F12"/>
    <w:rsid w:val="5A7476F4"/>
    <w:rsid w:val="5B9524A0"/>
    <w:rsid w:val="5BA23B75"/>
    <w:rsid w:val="5BA35E47"/>
    <w:rsid w:val="5C46556A"/>
    <w:rsid w:val="5C58107B"/>
    <w:rsid w:val="5C7F2045"/>
    <w:rsid w:val="5C983B6D"/>
    <w:rsid w:val="5CA01070"/>
    <w:rsid w:val="5CA02A22"/>
    <w:rsid w:val="5CF04846"/>
    <w:rsid w:val="5D1642F8"/>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60E1EAC"/>
    <w:rsid w:val="66967370"/>
    <w:rsid w:val="66E15D4B"/>
    <w:rsid w:val="66F34A87"/>
    <w:rsid w:val="67006EDF"/>
    <w:rsid w:val="67067352"/>
    <w:rsid w:val="671731D8"/>
    <w:rsid w:val="67226022"/>
    <w:rsid w:val="674C3ED2"/>
    <w:rsid w:val="67D5211A"/>
    <w:rsid w:val="67DA4BE8"/>
    <w:rsid w:val="681F5B80"/>
    <w:rsid w:val="682442E4"/>
    <w:rsid w:val="68347765"/>
    <w:rsid w:val="68570199"/>
    <w:rsid w:val="68C10EA3"/>
    <w:rsid w:val="68E00D76"/>
    <w:rsid w:val="69276BA6"/>
    <w:rsid w:val="692F726B"/>
    <w:rsid w:val="69B144C0"/>
    <w:rsid w:val="69E14DA6"/>
    <w:rsid w:val="6ACA63DC"/>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6E74D32"/>
    <w:rsid w:val="77EC1587"/>
    <w:rsid w:val="78236D41"/>
    <w:rsid w:val="78681753"/>
    <w:rsid w:val="78BE00B5"/>
    <w:rsid w:val="792151BF"/>
    <w:rsid w:val="79627585"/>
    <w:rsid w:val="79746AF1"/>
    <w:rsid w:val="79BC0A44"/>
    <w:rsid w:val="79D81B77"/>
    <w:rsid w:val="7A0A5C53"/>
    <w:rsid w:val="7A1563A6"/>
    <w:rsid w:val="7AB34C00"/>
    <w:rsid w:val="7B091A01"/>
    <w:rsid w:val="7B281593"/>
    <w:rsid w:val="7B3B008E"/>
    <w:rsid w:val="7B875186"/>
    <w:rsid w:val="7BB35E76"/>
    <w:rsid w:val="7BB4541E"/>
    <w:rsid w:val="7BE4235C"/>
    <w:rsid w:val="7C1D5AC8"/>
    <w:rsid w:val="7C5A7F0B"/>
    <w:rsid w:val="7CB86217"/>
    <w:rsid w:val="7D000293"/>
    <w:rsid w:val="7D162B61"/>
    <w:rsid w:val="7D6F2271"/>
    <w:rsid w:val="7DE40569"/>
    <w:rsid w:val="7E565E98"/>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5"/>
    <w:next w:val="1"/>
    <w:qFormat/>
    <w:uiPriority w:val="0"/>
    <w:pPr>
      <w:spacing w:line="360" w:lineRule="auto"/>
    </w:pPr>
    <w:rPr>
      <w:rFonts w:ascii="仿宋" w:hAnsi="仿宋" w:eastAsia="仿宋"/>
      <w:color w:val="000000"/>
      <w:sz w:val="36"/>
    </w:rPr>
  </w:style>
  <w:style w:type="paragraph" w:styleId="6">
    <w:name w:val="heading 2"/>
    <w:basedOn w:val="7"/>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8">
    <w:name w:val="heading 3"/>
    <w:basedOn w:val="1"/>
    <w:next w:val="9"/>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styleId="3">
    <w:name w:val="Body Text First Indent"/>
    <w:basedOn w:val="2"/>
    <w:qFormat/>
    <w:uiPriority w:val="99"/>
    <w:pPr>
      <w:spacing w:after="120"/>
      <w:ind w:firstLine="420" w:firstLineChars="100"/>
      <w:jc w:val="both"/>
    </w:pPr>
    <w:rPr>
      <w:sz w:val="21"/>
    </w:rPr>
  </w:style>
  <w:style w:type="paragraph" w:styleId="5">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7">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9">
    <w:name w:val="Normal Indent"/>
    <w:basedOn w:val="1"/>
    <w:qFormat/>
    <w:uiPriority w:val="0"/>
    <w:pPr>
      <w:ind w:firstLine="420"/>
      <w:jc w:val="left"/>
    </w:pPr>
  </w:style>
  <w:style w:type="paragraph" w:styleId="10">
    <w:name w:val="toa heading"/>
    <w:basedOn w:val="1"/>
    <w:next w:val="1"/>
    <w:qFormat/>
    <w:uiPriority w:val="0"/>
    <w:pPr>
      <w:spacing w:before="120"/>
    </w:pPr>
    <w:rPr>
      <w:rFonts w:ascii="Arial" w:hAnsi="Arial" w:cs="Arial"/>
      <w:sz w:val="24"/>
    </w:rPr>
  </w:style>
  <w:style w:type="paragraph" w:styleId="11">
    <w:name w:val="Body Text Indent"/>
    <w:basedOn w:val="1"/>
    <w:next w:val="12"/>
    <w:unhideWhenUsed/>
    <w:qFormat/>
    <w:uiPriority w:val="0"/>
    <w:pPr>
      <w:autoSpaceDE w:val="0"/>
      <w:autoSpaceDN w:val="0"/>
      <w:spacing w:after="120"/>
      <w:ind w:left="420"/>
    </w:pPr>
    <w:rPr>
      <w:szCs w:val="24"/>
      <w:lang w:val="zh-CN"/>
    </w:rPr>
  </w:style>
  <w:style w:type="paragraph" w:styleId="12">
    <w:name w:val="envelope return"/>
    <w:basedOn w:val="1"/>
    <w:unhideWhenUsed/>
    <w:qFormat/>
    <w:uiPriority w:val="0"/>
    <w:pPr>
      <w:snapToGrid w:val="0"/>
    </w:pPr>
    <w:rPr>
      <w:rFonts w:ascii="Arial" w:hAnsi="Arial"/>
    </w:rPr>
  </w:style>
  <w:style w:type="paragraph" w:styleId="13">
    <w:name w:val="Plain Text"/>
    <w:basedOn w:val="1"/>
    <w:qFormat/>
    <w:uiPriority w:val="0"/>
    <w:rPr>
      <w:rFonts w:ascii="宋体" w:hAnsi="Courier New"/>
      <w:sz w:val="11"/>
    </w:rPr>
  </w:style>
  <w:style w:type="paragraph" w:styleId="14">
    <w:name w:val="Balloon Text"/>
    <w:basedOn w:val="1"/>
    <w:link w:val="39"/>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List"/>
    <w:basedOn w:val="1"/>
    <w:qFormat/>
    <w:uiPriority w:val="0"/>
    <w:pPr>
      <w:ind w:left="420" w:hanging="420"/>
    </w:pPr>
    <w:rPr>
      <w:rFonts w:ascii="Arial" w:hAnsi="Arial" w:eastAsia="楷体_GB2312"/>
      <w:sz w:val="28"/>
    </w:rPr>
  </w:style>
  <w:style w:type="paragraph" w:styleId="19">
    <w:name w:val="toc 2"/>
    <w:basedOn w:val="1"/>
    <w:next w:val="1"/>
    <w:qFormat/>
    <w:uiPriority w:val="39"/>
    <w:pPr>
      <w:ind w:left="100" w:leftChars="100"/>
      <w:jc w:val="left"/>
    </w:pPr>
    <w:rPr>
      <w:rFonts w:ascii="Arial" w:hAnsi="Arial"/>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1"/>
    <w:next w:val="18"/>
    <w:unhideWhenUsed/>
    <w:qFormat/>
    <w:uiPriority w:val="0"/>
    <w:pPr>
      <w:ind w:firstLine="420"/>
    </w:pPr>
    <w:rPr>
      <w:lang w:bidi="zh-CN"/>
    </w:rPr>
  </w:style>
  <w:style w:type="character" w:styleId="24">
    <w:name w:val="Emphasis"/>
    <w:qFormat/>
    <w:uiPriority w:val="0"/>
    <w:rPr>
      <w:i/>
      <w:iCs/>
    </w:rPr>
  </w:style>
  <w:style w:type="character" w:styleId="25">
    <w:name w:val="Hyperlink"/>
    <w:qFormat/>
    <w:uiPriority w:val="99"/>
    <w:rPr>
      <w:color w:val="333333"/>
      <w:u w:val="none"/>
    </w:rPr>
  </w:style>
  <w:style w:type="paragraph" w:customStyle="1" w:styleId="26">
    <w:name w:val="_Style 2"/>
    <w:basedOn w:val="1"/>
    <w:next w:val="1"/>
    <w:qFormat/>
    <w:uiPriority w:val="99"/>
    <w:pPr>
      <w:ind w:firstLine="420" w:firstLineChars="200"/>
    </w:pPr>
    <w:rPr>
      <w:szCs w:val="24"/>
    </w:rPr>
  </w:style>
  <w:style w:type="paragraph" w:customStyle="1" w:styleId="27">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列出段落1"/>
    <w:basedOn w:val="1"/>
    <w:qFormat/>
    <w:uiPriority w:val="34"/>
    <w:pPr>
      <w:ind w:firstLine="420" w:firstLineChars="200"/>
    </w:pPr>
    <w:rPr>
      <w:szCs w:val="21"/>
    </w:rPr>
  </w:style>
  <w:style w:type="paragraph" w:customStyle="1" w:styleId="32">
    <w:name w:val="正文缩进1"/>
    <w:basedOn w:val="1"/>
    <w:qFormat/>
    <w:uiPriority w:val="0"/>
    <w:pPr>
      <w:ind w:firstLine="420"/>
    </w:pPr>
    <w:rPr>
      <w:rFonts w:ascii="Times New Roman" w:hAnsi="Times New Roman"/>
    </w:rPr>
  </w:style>
  <w:style w:type="paragraph" w:customStyle="1" w:styleId="3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4">
    <w:name w:val="7）页眉页脚"/>
    <w:qFormat/>
    <w:uiPriority w:val="0"/>
    <w:rPr>
      <w:rFonts w:ascii="仿宋_GB2312" w:eastAsia="仿宋_GB2312"/>
      <w:b/>
      <w:i/>
      <w:sz w:val="18"/>
      <w:vertAlign w:val="baseline"/>
    </w:rPr>
  </w:style>
  <w:style w:type="paragraph" w:customStyle="1" w:styleId="35">
    <w:name w:val="答复表头"/>
    <w:basedOn w:val="36"/>
    <w:next w:val="1"/>
    <w:qFormat/>
    <w:uiPriority w:val="0"/>
    <w:pPr>
      <w:tabs>
        <w:tab w:val="left" w:pos="480"/>
      </w:tabs>
    </w:pPr>
    <w:rPr>
      <w:b/>
    </w:rPr>
  </w:style>
  <w:style w:type="paragraph" w:customStyle="1" w:styleId="3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8">
    <w:name w:val="List Paragraph"/>
    <w:basedOn w:val="1"/>
    <w:qFormat/>
    <w:uiPriority w:val="99"/>
    <w:pPr>
      <w:ind w:firstLine="420" w:firstLineChars="200"/>
    </w:pPr>
    <w:rPr>
      <w:szCs w:val="24"/>
    </w:rPr>
  </w:style>
  <w:style w:type="character" w:customStyle="1" w:styleId="39">
    <w:name w:val="批注框文本 Char"/>
    <w:basedOn w:val="23"/>
    <w:link w:val="14"/>
    <w:qFormat/>
    <w:uiPriority w:val="0"/>
    <w:rPr>
      <w:rFonts w:ascii="Calibri" w:hAnsi="Calibri" w:eastAsia="宋体" w:cs="Times New Roman"/>
      <w:kern w:val="2"/>
      <w:sz w:val="18"/>
      <w:szCs w:val="18"/>
    </w:rPr>
  </w:style>
  <w:style w:type="paragraph" w:customStyle="1" w:styleId="40">
    <w:name w:val="引用1"/>
    <w:basedOn w:val="1"/>
    <w:next w:val="1"/>
    <w:qFormat/>
    <w:uiPriority w:val="29"/>
    <w:pPr>
      <w:spacing w:beforeLines="50" w:afterLines="50" w:line="360" w:lineRule="auto"/>
    </w:pPr>
    <w:rPr>
      <w:i/>
      <w:iCs/>
      <w:color w:val="000000"/>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7"/>
    <customShpInfo spid="_x0000_s3073"/>
    <customShpInfo spid="_x0000_s3075"/>
    <customShpInfo spid="_x0000_s3074"/>
    <customShpInfo spid="_x0000_s1026"/>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28793</Words>
  <Characters>30233</Characters>
  <Lines>227</Lines>
  <Paragraphs>64</Paragraphs>
  <TotalTime>0</TotalTime>
  <ScaleCrop>false</ScaleCrop>
  <LinksUpToDate>false</LinksUpToDate>
  <CharactersWithSpaces>32517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啊西巴</cp:lastModifiedBy>
  <cp:lastPrinted>2022-07-28T03:22:00Z</cp:lastPrinted>
  <dcterms:modified xsi:type="dcterms:W3CDTF">2022-11-25T10:37:39Z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7C2F16EED52E4191B732E9AB9CBA4BE9</vt:lpwstr>
  </property>
</Properties>
</file>