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tabs>
          <w:tab w:val="left" w:pos="709"/>
          <w:tab w:val="left" w:pos="993"/>
        </w:tabs>
        <w:jc w:val="both"/>
        <w:rPr>
          <w:rFonts w:hint="eastAsia" w:ascii="宋体" w:hAnsi="宋体" w:eastAsia="宋体" w:cs="宋体"/>
          <w:b w:val="0"/>
          <w:bCs/>
          <w:i w:val="0"/>
          <w:iCs w:val="0"/>
          <w:color w:val="auto"/>
          <w:kern w:val="2"/>
          <w:sz w:val="48"/>
          <w:szCs w:val="48"/>
          <w:highlight w:val="none"/>
          <w:lang w:val="en-US" w:eastAsia="zh-CN" w:bidi="ar-SA"/>
        </w:rPr>
      </w:pPr>
    </w:p>
    <w:p>
      <w:pPr>
        <w:rPr>
          <w:rFonts w:hint="eastAsia"/>
          <w:lang w:val="en-US" w:eastAsia="zh-CN"/>
        </w:rPr>
      </w:pPr>
    </w:p>
    <w:p>
      <w:pPr>
        <w:pStyle w:val="4"/>
        <w:numPr>
          <w:ilvl w:val="0"/>
          <w:numId w:val="0"/>
        </w:numPr>
        <w:tabs>
          <w:tab w:val="left" w:pos="709"/>
          <w:tab w:val="left" w:pos="993"/>
        </w:tabs>
        <w:jc w:val="center"/>
        <w:rPr>
          <w:rFonts w:hint="eastAsia" w:ascii="宋体" w:hAnsi="宋体" w:eastAsia="宋体" w:cs="宋体"/>
          <w:b w:val="0"/>
          <w:bCs/>
          <w:i w:val="0"/>
          <w:iCs w:val="0"/>
          <w:color w:val="auto"/>
          <w:kern w:val="2"/>
          <w:sz w:val="52"/>
          <w:szCs w:val="52"/>
          <w:highlight w:val="none"/>
          <w:lang w:val="en-US" w:eastAsia="zh-CN" w:bidi="ar-SA"/>
        </w:rPr>
      </w:pPr>
      <w:r>
        <w:rPr>
          <w:rFonts w:hint="eastAsia" w:ascii="宋体" w:hAnsi="宋体" w:eastAsia="宋体" w:cs="宋体"/>
          <w:b w:val="0"/>
          <w:bCs/>
          <w:i w:val="0"/>
          <w:iCs w:val="0"/>
          <w:color w:val="auto"/>
          <w:kern w:val="2"/>
          <w:sz w:val="52"/>
          <w:szCs w:val="52"/>
          <w:highlight w:val="none"/>
          <w:lang w:val="en-US" w:eastAsia="zh-CN" w:bidi="ar-SA"/>
        </w:rPr>
        <w:t>新疆交通职业技术学院数据治理采购项目</w:t>
      </w:r>
    </w:p>
    <w:p>
      <w:pPr>
        <w:pStyle w:val="4"/>
        <w:rPr>
          <w:rFonts w:hint="eastAsia"/>
        </w:rPr>
      </w:pPr>
    </w:p>
    <w:p>
      <w:pPr>
        <w:tabs>
          <w:tab w:val="left" w:pos="1960"/>
          <w:tab w:val="left" w:pos="3480"/>
          <w:tab w:val="left" w:pos="4980"/>
        </w:tabs>
        <w:spacing w:line="360" w:lineRule="auto"/>
        <w:jc w:val="center"/>
        <w:rPr>
          <w:rFonts w:hint="eastAsia" w:ascii="宋体" w:hAnsi="宋体" w:eastAsia="宋体" w:cs="宋体"/>
          <w:i w:val="0"/>
          <w:iCs w:val="0"/>
          <w:color w:val="auto"/>
          <w:sz w:val="24"/>
          <w:highlight w:val="none"/>
        </w:rPr>
      </w:pPr>
      <w:r>
        <w:rPr>
          <w:rFonts w:hint="eastAsia" w:ascii="宋体" w:hAnsi="宋体" w:cs="宋体"/>
          <w:b/>
          <w:i w:val="0"/>
          <w:iCs w:val="0"/>
          <w:color w:val="auto"/>
          <w:sz w:val="84"/>
          <w:highlight w:val="none"/>
          <w:lang w:eastAsia="zh-CN"/>
        </w:rPr>
        <w:t>竞争性磋商</w:t>
      </w:r>
      <w:r>
        <w:rPr>
          <w:rFonts w:hint="eastAsia" w:ascii="宋体" w:hAnsi="宋体" w:eastAsia="宋体" w:cs="宋体"/>
          <w:b/>
          <w:i w:val="0"/>
          <w:iCs w:val="0"/>
          <w:color w:val="auto"/>
          <w:sz w:val="84"/>
          <w:highlight w:val="none"/>
        </w:rPr>
        <w:t>文</w:t>
      </w:r>
      <w:r>
        <w:rPr>
          <w:rFonts w:hint="eastAsia" w:ascii="宋体" w:hAnsi="宋体" w:eastAsia="宋体" w:cs="宋体"/>
          <w:b/>
          <w:i w:val="0"/>
          <w:iCs w:val="0"/>
          <w:color w:val="auto"/>
          <w:sz w:val="83"/>
          <w:highlight w:val="none"/>
        </w:rPr>
        <w:t>件</w:t>
      </w:r>
    </w:p>
    <w:p>
      <w:pPr>
        <w:spacing w:line="360" w:lineRule="auto"/>
        <w:rPr>
          <w:rFonts w:hint="eastAsia" w:ascii="宋体" w:hAnsi="宋体" w:eastAsia="宋体" w:cs="宋体"/>
          <w:i w:val="0"/>
          <w:iCs w:val="0"/>
          <w:color w:val="auto"/>
          <w:sz w:val="24"/>
          <w:highlight w:val="none"/>
        </w:rPr>
      </w:pPr>
    </w:p>
    <w:p>
      <w:pPr>
        <w:spacing w:line="360" w:lineRule="auto"/>
        <w:jc w:val="center"/>
        <w:rPr>
          <w:rFonts w:hint="default" w:ascii="宋体" w:hAnsi="宋体" w:eastAsia="宋体" w:cs="宋体"/>
          <w:b w:val="0"/>
          <w:bCs/>
          <w:i w:val="0"/>
          <w:iCs w:val="0"/>
          <w:color w:val="auto"/>
          <w:sz w:val="28"/>
          <w:szCs w:val="16"/>
          <w:highlight w:val="none"/>
          <w:lang w:val="en-US" w:eastAsia="zh-CN"/>
        </w:rPr>
      </w:pPr>
      <w:r>
        <w:rPr>
          <w:rFonts w:hint="eastAsia" w:ascii="宋体" w:hAnsi="宋体" w:eastAsia="宋体" w:cs="宋体"/>
          <w:b w:val="0"/>
          <w:bCs/>
          <w:i w:val="0"/>
          <w:iCs w:val="0"/>
          <w:color w:val="auto"/>
          <w:sz w:val="28"/>
          <w:szCs w:val="16"/>
          <w:highlight w:val="none"/>
        </w:rPr>
        <w:t>项目编号：XJYHZB202</w:t>
      </w:r>
      <w:r>
        <w:rPr>
          <w:rFonts w:hint="eastAsia" w:ascii="宋体" w:hAnsi="宋体" w:eastAsia="宋体" w:cs="宋体"/>
          <w:b w:val="0"/>
          <w:bCs/>
          <w:i w:val="0"/>
          <w:iCs w:val="0"/>
          <w:color w:val="auto"/>
          <w:sz w:val="28"/>
          <w:szCs w:val="16"/>
          <w:highlight w:val="none"/>
          <w:lang w:val="en-US" w:eastAsia="zh-CN"/>
        </w:rPr>
        <w:t>2</w:t>
      </w:r>
      <w:r>
        <w:rPr>
          <w:rFonts w:hint="eastAsia" w:ascii="宋体" w:hAnsi="宋体" w:eastAsia="宋体" w:cs="宋体"/>
          <w:b w:val="0"/>
          <w:bCs/>
          <w:i w:val="0"/>
          <w:iCs w:val="0"/>
          <w:color w:val="auto"/>
          <w:sz w:val="28"/>
          <w:szCs w:val="16"/>
          <w:highlight w:val="none"/>
        </w:rPr>
        <w:t>-</w:t>
      </w:r>
      <w:r>
        <w:rPr>
          <w:rFonts w:hint="eastAsia" w:ascii="宋体" w:hAnsi="宋体" w:cs="宋体"/>
          <w:b w:val="0"/>
          <w:bCs/>
          <w:i w:val="0"/>
          <w:iCs w:val="0"/>
          <w:color w:val="auto"/>
          <w:sz w:val="28"/>
          <w:szCs w:val="16"/>
          <w:highlight w:val="none"/>
          <w:lang w:val="en-US" w:eastAsia="zh-CN"/>
        </w:rPr>
        <w:t>166</w:t>
      </w:r>
    </w:p>
    <w:p>
      <w:pPr>
        <w:pStyle w:val="21"/>
        <w:spacing w:line="360" w:lineRule="auto"/>
        <w:rPr>
          <w:rFonts w:hint="eastAsia" w:ascii="宋体" w:hAnsi="宋体" w:eastAsia="宋体" w:cs="宋体"/>
          <w:i w:val="0"/>
          <w:iCs w:val="0"/>
          <w:color w:val="auto"/>
          <w:sz w:val="24"/>
          <w:highlight w:val="none"/>
        </w:rPr>
      </w:pPr>
    </w:p>
    <w:p>
      <w:pPr>
        <w:pStyle w:val="22"/>
        <w:rPr>
          <w:rFonts w:hint="eastAsia" w:ascii="宋体" w:hAnsi="宋体" w:eastAsia="宋体" w:cs="宋体"/>
          <w:i w:val="0"/>
          <w:iCs w:val="0"/>
          <w:color w:val="auto"/>
          <w:sz w:val="24"/>
          <w:highlight w:val="none"/>
        </w:rPr>
      </w:pPr>
    </w:p>
    <w:p>
      <w:pPr>
        <w:pStyle w:val="22"/>
        <w:rPr>
          <w:rFonts w:hint="eastAsia" w:ascii="宋体" w:hAnsi="宋体" w:eastAsia="宋体" w:cs="宋体"/>
          <w:i w:val="0"/>
          <w:iCs w:val="0"/>
          <w:color w:val="auto"/>
          <w:sz w:val="24"/>
          <w:highlight w:val="none"/>
        </w:rPr>
      </w:pPr>
    </w:p>
    <w:p>
      <w:pPr>
        <w:pStyle w:val="22"/>
        <w:rPr>
          <w:rFonts w:hint="eastAsia" w:ascii="宋体" w:hAnsi="宋体" w:eastAsia="宋体" w:cs="宋体"/>
          <w:i w:val="0"/>
          <w:iCs w:val="0"/>
          <w:color w:val="auto"/>
          <w:sz w:val="24"/>
          <w:highlight w:val="none"/>
        </w:rPr>
      </w:pPr>
    </w:p>
    <w:p>
      <w:pPr>
        <w:spacing w:line="360" w:lineRule="auto"/>
        <w:rPr>
          <w:rFonts w:hint="eastAsia" w:ascii="宋体" w:hAnsi="宋体" w:eastAsia="宋体" w:cs="宋体"/>
          <w:i w:val="0"/>
          <w:iCs w:val="0"/>
          <w:color w:val="auto"/>
          <w:sz w:val="24"/>
          <w:highlight w:val="none"/>
        </w:rPr>
      </w:pP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采购人：</w:t>
      </w:r>
      <w:r>
        <w:rPr>
          <w:rFonts w:hint="eastAsia" w:ascii="宋体" w:hAnsi="宋体" w:eastAsia="宋体" w:cs="宋体"/>
          <w:i w:val="0"/>
          <w:iCs w:val="0"/>
          <w:color w:val="auto"/>
          <w:sz w:val="28"/>
          <w:szCs w:val="28"/>
          <w:highlight w:val="none"/>
          <w:lang w:val="en-US" w:eastAsia="zh-CN"/>
        </w:rPr>
        <w:t>新疆交通职业技术学院</w:t>
      </w:r>
    </w:p>
    <w:p>
      <w:pPr>
        <w:spacing w:line="360" w:lineRule="auto"/>
        <w:ind w:right="2520" w:firstLine="840" w:firstLineChars="3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联系人：</w:t>
      </w:r>
      <w:r>
        <w:rPr>
          <w:rFonts w:hint="eastAsia" w:ascii="宋体" w:hAnsi="宋体" w:eastAsia="宋体" w:cs="宋体"/>
          <w:i w:val="0"/>
          <w:iCs w:val="0"/>
          <w:color w:val="auto"/>
          <w:sz w:val="28"/>
          <w:szCs w:val="28"/>
          <w:highlight w:val="none"/>
          <w:lang w:val="en-US" w:eastAsia="zh-CN"/>
        </w:rPr>
        <w:t>张老师</w:t>
      </w:r>
    </w:p>
    <w:p>
      <w:pPr>
        <w:spacing w:line="360" w:lineRule="auto"/>
        <w:ind w:right="2520" w:firstLine="840" w:firstLineChars="3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0991</w:t>
      </w:r>
      <w:r>
        <w:rPr>
          <w:rFonts w:hint="eastAsia" w:ascii="宋体" w:hAnsi="宋体" w:cs="宋体"/>
          <w:i w:val="0"/>
          <w:iCs w:val="0"/>
          <w:color w:val="auto"/>
          <w:sz w:val="28"/>
          <w:szCs w:val="28"/>
          <w:highlight w:val="none"/>
          <w:lang w:val="en-US" w:eastAsia="zh-CN"/>
        </w:rPr>
        <w:t>-</w:t>
      </w:r>
      <w:r>
        <w:rPr>
          <w:rFonts w:hint="eastAsia" w:ascii="宋体" w:hAnsi="宋体" w:eastAsia="宋体" w:cs="宋体"/>
          <w:i w:val="0"/>
          <w:iCs w:val="0"/>
          <w:color w:val="auto"/>
          <w:sz w:val="28"/>
          <w:szCs w:val="28"/>
          <w:highlight w:val="none"/>
          <w:lang w:val="en-US" w:eastAsia="zh-CN"/>
        </w:rPr>
        <w:t>3392167</w:t>
      </w:r>
    </w:p>
    <w:p>
      <w:pPr>
        <w:spacing w:line="360" w:lineRule="auto"/>
        <w:rPr>
          <w:rFonts w:hint="eastAsia" w:ascii="宋体" w:hAnsi="宋体" w:eastAsia="宋体" w:cs="宋体"/>
          <w:i w:val="0"/>
          <w:iCs w:val="0"/>
          <w:color w:val="auto"/>
          <w:sz w:val="28"/>
          <w:szCs w:val="28"/>
          <w:highlight w:val="none"/>
        </w:rPr>
      </w:pPr>
    </w:p>
    <w:p>
      <w:pPr>
        <w:spacing w:line="360" w:lineRule="auto"/>
        <w:ind w:firstLine="840" w:firstLineChars="3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采购代理机构：</w:t>
      </w:r>
      <w:r>
        <w:rPr>
          <w:rFonts w:hint="eastAsia" w:ascii="宋体" w:hAnsi="宋体" w:eastAsia="宋体" w:cs="宋体"/>
          <w:i w:val="0"/>
          <w:iCs w:val="0"/>
          <w:color w:val="auto"/>
          <w:sz w:val="28"/>
          <w:szCs w:val="28"/>
          <w:highlight w:val="none"/>
          <w:lang w:eastAsia="zh-CN"/>
        </w:rPr>
        <w:t>新疆元泓工程项目管理咨询有限公司</w:t>
      </w:r>
    </w:p>
    <w:p>
      <w:pPr>
        <w:spacing w:line="360" w:lineRule="auto"/>
        <w:ind w:firstLine="280" w:firstLineChars="1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 xml:space="preserve">    联系人：</w:t>
      </w:r>
      <w:r>
        <w:rPr>
          <w:rFonts w:hint="eastAsia" w:ascii="宋体" w:hAnsi="宋体" w:eastAsia="宋体" w:cs="宋体"/>
          <w:i w:val="0"/>
          <w:iCs w:val="0"/>
          <w:color w:val="auto"/>
          <w:sz w:val="28"/>
          <w:szCs w:val="28"/>
          <w:highlight w:val="none"/>
          <w:lang w:eastAsia="zh-CN"/>
        </w:rPr>
        <w:t>宋方方</w:t>
      </w:r>
    </w:p>
    <w:p>
      <w:pPr>
        <w:spacing w:line="360" w:lineRule="auto"/>
        <w:ind w:firstLine="840" w:firstLineChars="300"/>
        <w:rPr>
          <w:rFonts w:hint="default" w:ascii="宋体" w:hAnsi="宋体" w:eastAsia="宋体" w:cs="宋体"/>
          <w:i w:val="0"/>
          <w:iCs w:val="0"/>
          <w:color w:val="auto"/>
          <w:sz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15099177725</w:t>
      </w:r>
    </w:p>
    <w:p>
      <w:pPr>
        <w:spacing w:line="240" w:lineRule="auto"/>
        <w:jc w:val="both"/>
        <w:rPr>
          <w:rFonts w:hint="eastAsia" w:asciiTheme="minorEastAsia" w:hAnsiTheme="minorEastAsia" w:eastAsiaTheme="minorEastAsia" w:cstheme="minorEastAsia"/>
          <w:b/>
          <w:i w:val="0"/>
          <w:iCs w:val="0"/>
          <w:color w:val="auto"/>
          <w:kern w:val="0"/>
          <w:sz w:val="36"/>
          <w:szCs w:val="36"/>
          <w:highlight w:val="none"/>
        </w:rPr>
      </w:pPr>
    </w:p>
    <w:p>
      <w:pPr>
        <w:spacing w:line="240" w:lineRule="auto"/>
        <w:jc w:val="center"/>
        <w:rPr>
          <w:rFonts w:hint="eastAsia" w:asciiTheme="minorEastAsia" w:hAnsiTheme="minorEastAsia" w:eastAsiaTheme="minorEastAsia" w:cstheme="minorEastAsia"/>
          <w:b/>
          <w:i w:val="0"/>
          <w:iCs w:val="0"/>
          <w:color w:val="auto"/>
          <w:sz w:val="36"/>
          <w:highlight w:val="none"/>
        </w:rPr>
      </w:pPr>
    </w:p>
    <w:p>
      <w:pPr>
        <w:spacing w:line="360" w:lineRule="auto"/>
        <w:jc w:val="center"/>
        <w:rPr>
          <w:rFonts w:hint="eastAsia" w:asciiTheme="minorEastAsia" w:hAnsiTheme="minorEastAsia" w:eastAsiaTheme="minorEastAsia" w:cstheme="minorEastAsia"/>
          <w:b/>
          <w:i w:val="0"/>
          <w:iCs w:val="0"/>
          <w:color w:val="auto"/>
          <w:sz w:val="36"/>
          <w:highlight w:val="none"/>
        </w:rPr>
      </w:pPr>
      <w:r>
        <w:rPr>
          <w:rFonts w:hint="eastAsia" w:asciiTheme="minorEastAsia" w:hAnsiTheme="minorEastAsia" w:eastAsiaTheme="minorEastAsia" w:cstheme="minorEastAsia"/>
          <w:b/>
          <w:i w:val="0"/>
          <w:iCs w:val="0"/>
          <w:color w:val="auto"/>
          <w:sz w:val="36"/>
          <w:highlight w:val="none"/>
        </w:rPr>
        <w:t>目     录</w:t>
      </w:r>
    </w:p>
    <w:p>
      <w:pPr>
        <w:pStyle w:val="28"/>
        <w:tabs>
          <w:tab w:val="right" w:leader="dot" w:pos="9683"/>
        </w:tabs>
        <w:spacing w:line="36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b/>
          <w:i w:val="0"/>
          <w:iCs w:val="0"/>
          <w:color w:val="auto"/>
          <w:sz w:val="24"/>
          <w:szCs w:val="24"/>
          <w:highlight w:val="none"/>
        </w:rPr>
        <w:fldChar w:fldCharType="begin"/>
      </w:r>
      <w:r>
        <w:rPr>
          <w:rFonts w:hint="eastAsia" w:asciiTheme="minorEastAsia" w:hAnsiTheme="minorEastAsia" w:eastAsiaTheme="minorEastAsia" w:cstheme="minorEastAsia"/>
          <w:b/>
          <w:i w:val="0"/>
          <w:iCs w:val="0"/>
          <w:color w:val="auto"/>
          <w:sz w:val="24"/>
          <w:szCs w:val="24"/>
          <w:highlight w:val="none"/>
        </w:rPr>
        <w:instrText xml:space="preserve"> TOC \o "1-2" \h \z \u </w:instrText>
      </w:r>
      <w:r>
        <w:rPr>
          <w:rFonts w:hint="eastAsia" w:asciiTheme="minorEastAsia" w:hAnsiTheme="minorEastAsia" w:eastAsiaTheme="minorEastAsia" w:cstheme="minorEastAsia"/>
          <w:b/>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"_Toc468707215"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第一部分 磋商公告</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_Toc468707215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1</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9683"/>
        </w:tabs>
        <w:spacing w:line="36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"_Toc468707216"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第二部分  供应商须知</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4</w:t>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9683"/>
        </w:tabs>
        <w:spacing w:line="360" w:lineRule="auto"/>
        <w:rPr>
          <w:rFonts w:hint="default"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"_Toc468707217"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供应商须知附表</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4</w:t>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9683"/>
        </w:tabs>
        <w:spacing w:line="360" w:lineRule="auto"/>
        <w:rPr>
          <w:rFonts w:hint="eastAsia"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"_Toc468707225"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第三部分 合同范本</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1</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lang w:val="en-US" w:eastAsia="zh-CN"/>
        </w:rPr>
        <w:t>9</w:t>
      </w:r>
    </w:p>
    <w:p>
      <w:pPr>
        <w:pStyle w:val="28"/>
        <w:tabs>
          <w:tab w:val="right" w:leader="dot" w:pos="9683"/>
        </w:tabs>
        <w:spacing w:line="360" w:lineRule="auto"/>
        <w:rPr>
          <w:rFonts w:hint="eastAsia"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"_Toc468707226"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 xml:space="preserve">第四部分 </w:t>
      </w:r>
      <w:r>
        <w:rPr>
          <w:rStyle w:val="43"/>
          <w:rFonts w:hint="eastAsia" w:asciiTheme="minorEastAsia" w:hAnsiTheme="minorEastAsia" w:eastAsiaTheme="minorEastAsia" w:cstheme="minorEastAsia"/>
          <w:i w:val="0"/>
          <w:iCs w:val="0"/>
          <w:color w:val="auto"/>
          <w:highlight w:val="none"/>
          <w:lang w:eastAsia="zh-CN"/>
        </w:rPr>
        <w:t>采购</w:t>
      </w:r>
      <w:r>
        <w:rPr>
          <w:rStyle w:val="43"/>
          <w:rFonts w:hint="eastAsia" w:asciiTheme="minorEastAsia" w:hAnsiTheme="minorEastAsia" w:eastAsiaTheme="minorEastAsia" w:cstheme="minorEastAsia"/>
          <w:i w:val="0"/>
          <w:iCs w:val="0"/>
          <w:color w:val="auto"/>
          <w:highlight w:val="none"/>
        </w:rPr>
        <w:t>需求及技术要求</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2</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lang w:val="en-US" w:eastAsia="zh-CN"/>
        </w:rPr>
        <w:t>2</w:t>
      </w:r>
    </w:p>
    <w:p>
      <w:pPr>
        <w:pStyle w:val="28"/>
        <w:tabs>
          <w:tab w:val="right" w:leader="dot" w:pos="9683"/>
        </w:tabs>
        <w:spacing w:line="36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"_Toc468707227"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第五部分</w:t>
      </w:r>
      <w:r>
        <w:rPr>
          <w:rStyle w:val="43"/>
          <w:rFonts w:hint="eastAsia" w:asciiTheme="minorEastAsia" w:hAnsiTheme="minorEastAsia" w:eastAsiaTheme="minorEastAsia" w:cstheme="minorEastAsia"/>
          <w:i w:val="0"/>
          <w:iCs w:val="0"/>
          <w:color w:val="auto"/>
          <w:highlight w:val="none"/>
          <w:lang w:val="en-US" w:eastAsia="zh-CN"/>
        </w:rPr>
        <w:t xml:space="preserve"> </w:t>
      </w:r>
      <w:r>
        <w:rPr>
          <w:rStyle w:val="43"/>
          <w:rFonts w:hint="eastAsia" w:asciiTheme="minorEastAsia" w:hAnsiTheme="minorEastAsia" w:eastAsiaTheme="minorEastAsia" w:cstheme="minorEastAsia"/>
          <w:i w:val="0"/>
          <w:iCs w:val="0"/>
          <w:color w:val="auto"/>
          <w:highlight w:val="none"/>
        </w:rPr>
        <w:t>范本格式</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_Toc468707227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22</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8541"/>
        </w:tabs>
        <w:spacing w:line="36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fldChar w:fldCharType="end"/>
      </w:r>
    </w:p>
    <w:p>
      <w:pPr>
        <w:pStyle w:val="3"/>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bookmarkStart w:id="0" w:name="_Toc349573118"/>
      <w:bookmarkStart w:id="1" w:name="_Toc298240402"/>
      <w:bookmarkStart w:id="2" w:name="_Toc349637917"/>
      <w:bookmarkStart w:id="3" w:name="_Toc468707215"/>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jc w:val="center"/>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tabs>
          <w:tab w:val="center" w:pos="4846"/>
        </w:tabs>
        <w:bidi w:val="0"/>
        <w:spacing w:line="240" w:lineRule="auto"/>
        <w:jc w:val="left"/>
        <w:rPr>
          <w:rFonts w:hint="eastAsia" w:asciiTheme="minorEastAsia" w:hAnsiTheme="minorEastAsia" w:eastAsiaTheme="minorEastAsia" w:cstheme="minorEastAsia"/>
          <w:color w:val="auto"/>
          <w:highlight w:val="none"/>
          <w:lang w:eastAsia="zh-CN"/>
        </w:rPr>
        <w:sectPr>
          <w:headerReference r:id="rId4" w:type="first"/>
          <w:headerReference r:id="rId3" w:type="default"/>
          <w:footerReference r:id="rId5" w:type="default"/>
          <w:footerReference r:id="rId6" w:type="even"/>
          <w:pgSz w:w="11907" w:h="16840"/>
          <w:pgMar w:top="1276" w:right="1080" w:bottom="1440" w:left="1134" w:header="851" w:footer="798" w:gutter="0"/>
          <w:pgBorders>
            <w:top w:val="none" w:sz="0" w:space="0"/>
            <w:left w:val="none" w:sz="0" w:space="0"/>
            <w:bottom w:val="none" w:sz="0" w:space="0"/>
            <w:right w:val="none" w:sz="0" w:space="0"/>
          </w:pgBorders>
          <w:pgNumType w:fmt="decimal" w:start="0"/>
          <w:cols w:space="720" w:num="1"/>
          <w:titlePg/>
          <w:docGrid w:type="lines" w:linePitch="409" w:charSpace="0"/>
        </w:sectPr>
      </w:pPr>
      <w:r>
        <w:rPr>
          <w:rFonts w:hint="eastAsia" w:asciiTheme="minorEastAsia" w:hAnsiTheme="minorEastAsia" w:eastAsiaTheme="minorEastAsia" w:cstheme="minorEastAsia"/>
          <w:color w:val="auto"/>
          <w:highlight w:val="none"/>
          <w:lang w:eastAsia="zh-CN"/>
        </w:rPr>
        <w:tab/>
      </w:r>
    </w:p>
    <w:p>
      <w:pPr>
        <w:pStyle w:val="3"/>
        <w:spacing w:line="240" w:lineRule="auto"/>
        <w:ind w:left="0" w:firstLine="0"/>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 xml:space="preserve">第一部分 </w:t>
      </w:r>
      <w:bookmarkEnd w:id="0"/>
      <w:bookmarkEnd w:id="1"/>
      <w:bookmarkEnd w:id="2"/>
      <w:r>
        <w:rPr>
          <w:rFonts w:hint="eastAsia" w:asciiTheme="minorEastAsia" w:hAnsiTheme="minorEastAsia" w:eastAsiaTheme="minorEastAsia" w:cstheme="minorEastAsia"/>
          <w:i w:val="0"/>
          <w:iCs w:val="0"/>
          <w:color w:val="auto"/>
          <w:sz w:val="28"/>
          <w:szCs w:val="28"/>
          <w:highlight w:val="none"/>
        </w:rPr>
        <w:t>磋商公告</w:t>
      </w:r>
      <w:bookmarkEnd w:id="3"/>
    </w:p>
    <w:p>
      <w:pPr>
        <w:pStyle w:val="3"/>
        <w:spacing w:line="240" w:lineRule="auto"/>
        <w:ind w:left="0" w:firstLine="0"/>
        <w:jc w:val="center"/>
        <w:rPr>
          <w:rFonts w:hint="eastAsia" w:asciiTheme="minorEastAsia" w:hAnsiTheme="minorEastAsia" w:eastAsiaTheme="minorEastAsia" w:cstheme="minorEastAsia"/>
          <w:b/>
          <w:i w:val="0"/>
          <w:iCs w:val="0"/>
          <w:color w:val="auto"/>
          <w:sz w:val="28"/>
          <w:szCs w:val="28"/>
          <w:highlight w:val="none"/>
          <w:lang w:val="en-US" w:eastAsia="zh-CN"/>
        </w:rPr>
      </w:pPr>
      <w:bookmarkStart w:id="4" w:name="_Toc298240403"/>
      <w:bookmarkStart w:id="5" w:name="_Toc468707216"/>
      <w:bookmarkStart w:id="6" w:name="_Toc349637918"/>
      <w:bookmarkStart w:id="7" w:name="_Toc349573119"/>
      <w:bookmarkStart w:id="8" w:name="_Toc267301280"/>
      <w:r>
        <w:rPr>
          <w:rFonts w:hint="eastAsia" w:asciiTheme="minorEastAsia" w:hAnsiTheme="minorEastAsia" w:eastAsiaTheme="minorEastAsia" w:cstheme="minorEastAsia"/>
          <w:b/>
          <w:i w:val="0"/>
          <w:iCs w:val="0"/>
          <w:color w:val="auto"/>
          <w:sz w:val="28"/>
          <w:szCs w:val="28"/>
          <w:highlight w:val="none"/>
          <w:lang w:val="en-US" w:eastAsia="zh-CN"/>
        </w:rPr>
        <w:t>新疆交通职业技术学院数据治理采购项目竞争性磋商公告</w:t>
      </w:r>
    </w:p>
    <w:p>
      <w:pPr>
        <w:pStyle w:val="32"/>
        <w:keepNext w:val="0"/>
        <w:keepLines w:val="0"/>
        <w:widowControl/>
        <w:suppressLineNumbers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新疆交通职业技术学院数据治理采购项目 </w:t>
      </w:r>
      <w:r>
        <w:rPr>
          <w:rFonts w:hint="eastAsia" w:asciiTheme="minorEastAsia" w:hAnsiTheme="minorEastAsia" w:eastAsiaTheme="minorEastAsia" w:cstheme="minorEastAsia"/>
          <w:color w:val="auto"/>
          <w:sz w:val="24"/>
          <w:szCs w:val="24"/>
          <w:highlight w:val="none"/>
        </w:rPr>
        <w:t>采购项目的潜在供应商应在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乌鲁木齐市经济技术开发区乌昌路252号九方财富广场A座525室</w:t>
      </w:r>
      <w:r>
        <w:rPr>
          <w:rFonts w:hint="eastAsia" w:asciiTheme="minorEastAsia" w:hAnsiTheme="minorEastAsia" w:eastAsiaTheme="minorEastAsia" w:cstheme="minorEastAsia"/>
          <w:color w:val="auto"/>
          <w:sz w:val="24"/>
          <w:szCs w:val="24"/>
          <w:highlight w:val="none"/>
        </w:rPr>
        <w:t>获取采购文件，并于</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yellow"/>
          <w:u w:val="single"/>
        </w:rPr>
        <w:t>202</w:t>
      </w:r>
      <w:r>
        <w:rPr>
          <w:rFonts w:hint="eastAsia" w:asciiTheme="minorEastAsia" w:hAnsiTheme="minorEastAsia" w:eastAsiaTheme="minorEastAsia" w:cstheme="minorEastAsia"/>
          <w:color w:val="auto"/>
          <w:sz w:val="24"/>
          <w:szCs w:val="24"/>
          <w:highlight w:val="yellow"/>
          <w:u w:val="single"/>
          <w:lang w:val="en-US" w:eastAsia="zh-CN"/>
        </w:rPr>
        <w:t>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8</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25</w:t>
      </w:r>
      <w:r>
        <w:rPr>
          <w:rFonts w:hint="eastAsia" w:asciiTheme="minorEastAsia" w:hAnsiTheme="minorEastAsia" w:eastAsiaTheme="minorEastAsia" w:cstheme="minorEastAsia"/>
          <w:color w:val="auto"/>
          <w:sz w:val="24"/>
          <w:szCs w:val="24"/>
          <w:highlight w:val="yellow"/>
          <w:u w:val="single"/>
        </w:rPr>
        <w:t>日1</w:t>
      </w:r>
      <w:r>
        <w:rPr>
          <w:rFonts w:hint="eastAsia" w:asciiTheme="minorEastAsia" w:hAnsiTheme="minorEastAsia" w:eastAsiaTheme="minorEastAsia" w:cstheme="minorEastAsia"/>
          <w:color w:val="auto"/>
          <w:sz w:val="24"/>
          <w:szCs w:val="24"/>
          <w:highlight w:val="yellow"/>
          <w:u w:val="single"/>
          <w:lang w:val="en-US" w:eastAsia="zh-CN"/>
        </w:rPr>
        <w:t>1</w:t>
      </w:r>
      <w:r>
        <w:rPr>
          <w:rFonts w:hint="eastAsia" w:asciiTheme="minorEastAsia" w:hAnsiTheme="minorEastAsia" w:eastAsiaTheme="minorEastAsia" w:cstheme="minorEastAsia"/>
          <w:color w:val="auto"/>
          <w:sz w:val="24"/>
          <w:szCs w:val="24"/>
          <w:highlight w:val="yellow"/>
          <w:u w:val="single"/>
        </w:rPr>
        <w:t>:</w:t>
      </w:r>
      <w:r>
        <w:rPr>
          <w:rFonts w:hint="eastAsia" w:asciiTheme="minorEastAsia" w:hAnsiTheme="minorEastAsia" w:eastAsiaTheme="minorEastAsia" w:cstheme="minorEastAsia"/>
          <w:color w:val="auto"/>
          <w:sz w:val="24"/>
          <w:szCs w:val="24"/>
          <w:highlight w:val="yellow"/>
          <w:u w:val="single"/>
          <w:lang w:val="en-US" w:eastAsia="zh-CN"/>
        </w:rPr>
        <w:t>0</w:t>
      </w:r>
      <w:r>
        <w:rPr>
          <w:rFonts w:hint="eastAsia" w:asciiTheme="minorEastAsia" w:hAnsiTheme="minorEastAsia" w:eastAsiaTheme="minorEastAsia" w:cstheme="minorEastAsia"/>
          <w:color w:val="auto"/>
          <w:sz w:val="24"/>
          <w:szCs w:val="24"/>
          <w:highlight w:val="yellow"/>
          <w:u w:val="single"/>
        </w:rPr>
        <w:t>0 </w:t>
      </w:r>
      <w:r>
        <w:rPr>
          <w:rFonts w:hint="eastAsia" w:asciiTheme="minorEastAsia" w:hAnsiTheme="minorEastAsia" w:eastAsiaTheme="minorEastAsia" w:cstheme="minorEastAsia"/>
          <w:color w:val="auto"/>
          <w:sz w:val="24"/>
          <w:szCs w:val="24"/>
          <w:highlight w:val="none"/>
        </w:rPr>
        <w:t>（北京时间）前提交响应文件。</w:t>
      </w:r>
    </w:p>
    <w:p>
      <w:pPr>
        <w:pStyle w:val="32"/>
        <w:keepNext w:val="0"/>
        <w:keepLines w:val="0"/>
        <w:widowControl/>
        <w:numPr>
          <w:ilvl w:val="0"/>
          <w:numId w:val="1"/>
        </w:numPr>
        <w:suppressLineNumbers w:val="0"/>
        <w:spacing w:line="240" w:lineRule="auto"/>
        <w:rPr>
          <w:rStyle w:val="39"/>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项目基本情况</w:t>
      </w:r>
    </w:p>
    <w:p>
      <w:pPr>
        <w:pStyle w:val="32"/>
        <w:keepNext w:val="0"/>
        <w:keepLines w:val="0"/>
        <w:widowControl/>
        <w:numPr>
          <w:ilvl w:val="0"/>
          <w:numId w:val="0"/>
        </w:numPr>
        <w:suppressLineNumbers w:val="0"/>
        <w:spacing w:line="240" w:lineRule="auto"/>
        <w:ind w:right="0" w:rightChars="0"/>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项目编号：XJYHZB202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166</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 新疆交通职业技术学院数据治理采购项目</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660000元</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660000元</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         </w:t>
      </w:r>
    </w:p>
    <w:tbl>
      <w:tblPr>
        <w:tblStyle w:val="36"/>
        <w:tblW w:w="4945" w:type="pct"/>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06"/>
        <w:gridCol w:w="2513"/>
        <w:gridCol w:w="871"/>
        <w:gridCol w:w="1781"/>
        <w:gridCol w:w="871"/>
        <w:gridCol w:w="1943"/>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tblCellSpacing w:w="15" w:type="dxa"/>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标项序号</w:t>
            </w:r>
          </w:p>
        </w:tc>
        <w:tc>
          <w:tcPr>
            <w:tcW w:w="127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标项名称</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数量</w:t>
            </w:r>
          </w:p>
        </w:tc>
        <w:tc>
          <w:tcPr>
            <w:tcW w:w="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预算金额(元)</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单位</w:t>
            </w:r>
          </w:p>
        </w:tc>
        <w:tc>
          <w:tcPr>
            <w:tcW w:w="98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简要规格描述</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9" w:hRule="atLeast"/>
          <w:tblCellSpacing w:w="15" w:type="dxa"/>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rPr>
              <w:t>1</w:t>
            </w:r>
          </w:p>
        </w:tc>
        <w:tc>
          <w:tcPr>
            <w:tcW w:w="127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新疆交通职业技术学院数据治理采购项目</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rPr>
              <w:t>1</w:t>
            </w:r>
          </w:p>
        </w:tc>
        <w:tc>
          <w:tcPr>
            <w:tcW w:w="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32"/>
              <w:keepNext w:val="0"/>
              <w:keepLines w:val="0"/>
              <w:widowControl/>
              <w:suppressLineNumbers w:val="0"/>
              <w:spacing w:line="24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color w:val="auto"/>
                <w:sz w:val="24"/>
                <w:szCs w:val="24"/>
                <w:highlight w:val="none"/>
                <w:lang w:val="en-US" w:eastAsia="zh-CN"/>
              </w:rPr>
              <w:t>660000</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lang w:eastAsia="zh-CN"/>
              </w:rPr>
            </w:pPr>
            <w:r>
              <w:rPr>
                <w:rFonts w:hint="eastAsia" w:ascii="宋体" w:hAnsi="宋体" w:eastAsia="宋体" w:cs="宋体"/>
                <w:color w:val="auto"/>
                <w:sz w:val="22"/>
                <w:szCs w:val="22"/>
                <w:highlight w:val="none"/>
                <w:lang w:eastAsia="zh-CN"/>
              </w:rPr>
              <w:t>批</w:t>
            </w:r>
          </w:p>
        </w:tc>
        <w:tc>
          <w:tcPr>
            <w:tcW w:w="98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lang w:val="en-US" w:eastAsia="zh-CN"/>
              </w:rPr>
              <w:t>新疆交通职业技术学院数据治理采购项目</w:t>
            </w:r>
            <w:r>
              <w:rPr>
                <w:rFonts w:hint="eastAsia" w:ascii="宋体" w:hAnsi="宋体" w:eastAsia="宋体" w:cs="宋体"/>
                <w:color w:val="auto"/>
                <w:sz w:val="22"/>
                <w:szCs w:val="22"/>
                <w:highlight w:val="none"/>
              </w:rPr>
              <w:t>（具体详见</w:t>
            </w:r>
            <w:r>
              <w:rPr>
                <w:rFonts w:hint="eastAsia" w:ascii="宋体" w:hAnsi="宋体" w:cs="宋体"/>
                <w:color w:val="auto"/>
                <w:sz w:val="22"/>
                <w:szCs w:val="22"/>
                <w:highlight w:val="none"/>
                <w:lang w:eastAsia="zh-CN"/>
              </w:rPr>
              <w:t>竞争性磋商</w:t>
            </w:r>
            <w:r>
              <w:rPr>
                <w:rFonts w:hint="eastAsia" w:ascii="宋体" w:hAnsi="宋体" w:eastAsia="宋体" w:cs="宋体"/>
                <w:color w:val="auto"/>
                <w:sz w:val="22"/>
                <w:szCs w:val="22"/>
                <w:highlight w:val="none"/>
                <w:lang w:eastAsia="zh-CN"/>
              </w:rPr>
              <w:t>文件</w:t>
            </w:r>
            <w:r>
              <w:rPr>
                <w:rFonts w:hint="eastAsia" w:ascii="宋体" w:hAnsi="宋体" w:eastAsia="宋体" w:cs="宋体"/>
                <w:color w:val="auto"/>
                <w:sz w:val="22"/>
                <w:szCs w:val="22"/>
                <w:highlight w:val="none"/>
              </w:rPr>
              <w:t>）</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bl>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合同履行期限：详见竞争性磋商文件 </w:t>
      </w:r>
      <w:r>
        <w:rPr>
          <w:rFonts w:hint="eastAsia" w:asciiTheme="minorEastAsia" w:hAnsiTheme="minorEastAsia" w:eastAsiaTheme="minorEastAsia" w:cstheme="minorEastAsia"/>
          <w:color w:val="auto"/>
          <w:sz w:val="24"/>
          <w:szCs w:val="24"/>
          <w:highlight w:val="none"/>
          <w:lang w:val="en-US" w:eastAsia="zh-CN"/>
        </w:rPr>
        <w:t xml:space="preserve">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 否 ）接受联合体。 </w:t>
      </w:r>
    </w:p>
    <w:p>
      <w:pPr>
        <w:numPr>
          <w:ilvl w:val="0"/>
          <w:numId w:val="1"/>
        </w:numPr>
        <w:spacing w:line="240" w:lineRule="auto"/>
        <w:ind w:left="0" w:leftChars="0" w:firstLine="0" w:firstLineChars="0"/>
        <w:rPr>
          <w:rStyle w:val="39"/>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申请人的资格要求：</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1）具有独立承担民事责任的能力；</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2）具有良好的商业信誉和健全的财务会计制度；</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3）具有履行合同所必需的设备和专业技术能力；</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4）有依法缴纳税收和社会保障资金的良好记录；</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2.落实政府采购政策需满足的资格要求：供应商为中小企业/小微企业,</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1）供应商须出具工商营业执照副本、税务登记证副本、组织机构代码证副本或“三证合一”的营业执照副本；</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3）单位负责人为同一人或者存在直接控股、管理关系的不同供应商，不得同时参加本项目的竞争； </w:t>
      </w:r>
    </w:p>
    <w:p>
      <w:pPr>
        <w:pStyle w:val="32"/>
        <w:keepNext w:val="0"/>
        <w:keepLines w:val="0"/>
        <w:widowControl/>
        <w:suppressLineNumbers w:val="0"/>
        <w:spacing w:before="255" w:beforeAutospacing="0" w:after="255" w:afterAutospacing="0" w:line="240" w:lineRule="auto"/>
        <w:ind w:left="0" w:right="0"/>
        <w:jc w:val="both"/>
        <w:rPr>
          <w:rStyle w:val="39"/>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三、获取（下载）采购文件</w:t>
      </w:r>
    </w:p>
    <w:p>
      <w:pPr>
        <w:pStyle w:val="32"/>
        <w:keepNext w:val="0"/>
        <w:keepLines w:val="0"/>
        <w:widowControl/>
        <w:suppressLineNumbers w:val="0"/>
        <w:spacing w:before="255" w:beforeAutospacing="0" w:after="255" w:afterAutospacing="0" w:line="240" w:lineRule="auto"/>
        <w:ind w:left="0" w:right="0"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yellow"/>
          <w:u w:val="single"/>
        </w:rPr>
        <w:t>202</w:t>
      </w:r>
      <w:r>
        <w:rPr>
          <w:rFonts w:hint="eastAsia" w:asciiTheme="minorEastAsia" w:hAnsiTheme="minorEastAsia" w:eastAsiaTheme="minorEastAsia" w:cstheme="minorEastAsia"/>
          <w:color w:val="auto"/>
          <w:sz w:val="24"/>
          <w:szCs w:val="24"/>
          <w:highlight w:val="yellow"/>
          <w:u w:val="single"/>
          <w:lang w:val="en-US" w:eastAsia="zh-CN"/>
        </w:rPr>
        <w:t>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8</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12</w:t>
      </w:r>
      <w:r>
        <w:rPr>
          <w:rFonts w:hint="eastAsia" w:asciiTheme="minorEastAsia" w:hAnsiTheme="minorEastAsia" w:eastAsiaTheme="minorEastAsia" w:cstheme="minorEastAsia"/>
          <w:color w:val="auto"/>
          <w:sz w:val="24"/>
          <w:szCs w:val="24"/>
          <w:highlight w:val="yellow"/>
          <w:u w:val="single"/>
        </w:rPr>
        <w:t>日 </w:t>
      </w:r>
      <w:r>
        <w:rPr>
          <w:rFonts w:hint="eastAsia" w:asciiTheme="minorEastAsia" w:hAnsiTheme="minorEastAsia" w:eastAsiaTheme="minorEastAsia" w:cstheme="minorEastAsia"/>
          <w:color w:val="auto"/>
          <w:sz w:val="24"/>
          <w:szCs w:val="24"/>
          <w:highlight w:val="yellow"/>
          <w:u w:val="none"/>
        </w:rPr>
        <w:t>至</w:t>
      </w:r>
      <w:r>
        <w:rPr>
          <w:rFonts w:hint="eastAsia" w:asciiTheme="minorEastAsia" w:hAnsiTheme="minorEastAsia" w:eastAsiaTheme="minorEastAsia" w:cstheme="minorEastAsia"/>
          <w:color w:val="auto"/>
          <w:sz w:val="24"/>
          <w:szCs w:val="24"/>
          <w:highlight w:val="yellow"/>
          <w:u w:val="single"/>
        </w:rPr>
        <w:t> 202</w:t>
      </w:r>
      <w:r>
        <w:rPr>
          <w:rFonts w:hint="eastAsia" w:asciiTheme="minorEastAsia" w:hAnsiTheme="minorEastAsia" w:eastAsiaTheme="minorEastAsia" w:cstheme="minorEastAsia"/>
          <w:color w:val="auto"/>
          <w:sz w:val="24"/>
          <w:szCs w:val="24"/>
          <w:highlight w:val="yellow"/>
          <w:u w:val="single"/>
          <w:lang w:val="en-US" w:eastAsia="zh-CN"/>
        </w:rPr>
        <w:t>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8</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19</w:t>
      </w:r>
      <w:r>
        <w:rPr>
          <w:rFonts w:hint="eastAsia" w:asciiTheme="minorEastAsia" w:hAnsiTheme="minorEastAsia" w:eastAsiaTheme="minorEastAsia" w:cstheme="minorEastAsia"/>
          <w:color w:val="auto"/>
          <w:sz w:val="24"/>
          <w:szCs w:val="24"/>
          <w:highlight w:val="yellow"/>
          <w:u w:val="single"/>
        </w:rPr>
        <w:t>日</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rPr>
        <w:t> 10:00至13:30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15:30至19:00 </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法定节假日除外）获取文件</w:t>
      </w:r>
      <w:r>
        <w:rPr>
          <w:rFonts w:hint="eastAsia" w:asciiTheme="minorEastAsia" w:hAnsiTheme="minorEastAsia" w:eastAsiaTheme="minorEastAsia" w:cstheme="minorEastAsia"/>
          <w:color w:val="auto"/>
          <w:sz w:val="24"/>
          <w:szCs w:val="24"/>
          <w:highlight w:val="none"/>
          <w:lang w:eastAsia="zh-CN"/>
        </w:rPr>
        <w:t>。</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地点（网址）：乌鲁木齐市经济技术开发区乌昌路252号九方财富广场A座525室 </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获取方式：线上获取，凡符合资格要求，且有意参加投标的供应商，须提供文件领取记录表(附件中下载并填写）、法人授权委托书（附法人身份证复印件及被授权人身份证复印件，加盖公章及法人章）或法定代表人身份证明书、营业执照复印件。须将上述资料加盖公章的扫描件发送至1127728006@qq.com，（须注明所投项目名称、单位名称、联系人、联系电话等信息），资料不全者一律谢绝领取磋商文件。</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售价（元）：</w:t>
      </w:r>
      <w:r>
        <w:rPr>
          <w:rFonts w:hint="eastAsia" w:asciiTheme="minorEastAsia" w:hAnsiTheme="minorEastAsia" w:eastAsiaTheme="minorEastAsia" w:cstheme="minorEastAsia"/>
          <w:color w:val="auto"/>
          <w:sz w:val="24"/>
          <w:szCs w:val="24"/>
          <w:highlight w:val="none"/>
          <w:lang w:val="en-US" w:eastAsia="zh-CN"/>
        </w:rPr>
        <w:t>200元</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四、响应文件提交（上传）</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yellow"/>
          <w:u w:val="single"/>
        </w:rPr>
        <w:t>202</w:t>
      </w:r>
      <w:r>
        <w:rPr>
          <w:rFonts w:hint="eastAsia" w:asciiTheme="minorEastAsia" w:hAnsiTheme="minorEastAsia" w:eastAsiaTheme="minorEastAsia" w:cstheme="minorEastAsia"/>
          <w:color w:val="auto"/>
          <w:sz w:val="24"/>
          <w:szCs w:val="24"/>
          <w:highlight w:val="yellow"/>
          <w:u w:val="single"/>
          <w:lang w:val="en-US" w:eastAsia="zh-CN"/>
        </w:rPr>
        <w:t>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8</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25</w:t>
      </w:r>
      <w:r>
        <w:rPr>
          <w:rFonts w:hint="eastAsia" w:asciiTheme="minorEastAsia" w:hAnsiTheme="minorEastAsia" w:eastAsiaTheme="minorEastAsia" w:cstheme="minorEastAsia"/>
          <w:color w:val="auto"/>
          <w:sz w:val="24"/>
          <w:szCs w:val="24"/>
          <w:highlight w:val="yellow"/>
          <w:u w:val="single"/>
        </w:rPr>
        <w:t>日1</w:t>
      </w:r>
      <w:r>
        <w:rPr>
          <w:rFonts w:hint="eastAsia" w:asciiTheme="minorEastAsia" w:hAnsiTheme="minorEastAsia" w:eastAsiaTheme="minorEastAsia" w:cstheme="minorEastAsia"/>
          <w:color w:val="auto"/>
          <w:sz w:val="24"/>
          <w:szCs w:val="24"/>
          <w:highlight w:val="yellow"/>
          <w:u w:val="single"/>
          <w:lang w:val="en-US" w:eastAsia="zh-CN"/>
        </w:rPr>
        <w:t>1</w:t>
      </w:r>
      <w:r>
        <w:rPr>
          <w:rFonts w:hint="eastAsia" w:asciiTheme="minorEastAsia" w:hAnsiTheme="minorEastAsia" w:eastAsiaTheme="minorEastAsia" w:cstheme="minorEastAsia"/>
          <w:color w:val="auto"/>
          <w:sz w:val="24"/>
          <w:szCs w:val="24"/>
          <w:highlight w:val="yellow"/>
          <w:u w:val="single"/>
        </w:rPr>
        <w:t>:</w:t>
      </w:r>
      <w:r>
        <w:rPr>
          <w:rFonts w:hint="eastAsia" w:asciiTheme="minorEastAsia" w:hAnsiTheme="minorEastAsia" w:eastAsiaTheme="minorEastAsia" w:cstheme="minorEastAsia"/>
          <w:color w:val="auto"/>
          <w:sz w:val="24"/>
          <w:szCs w:val="24"/>
          <w:highlight w:val="yellow"/>
          <w:u w:val="single"/>
          <w:lang w:val="en-US" w:eastAsia="zh-CN"/>
        </w:rPr>
        <w:t>00</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（北京时间）</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地点（网址）：乌鲁木齐市经济技术开发区乌昌路252号九方财富广场A座525室 </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五、响应文件开启</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yellow"/>
          <w:u w:val="single"/>
        </w:rPr>
        <w:t>202</w:t>
      </w:r>
      <w:r>
        <w:rPr>
          <w:rFonts w:hint="eastAsia" w:asciiTheme="minorEastAsia" w:hAnsiTheme="minorEastAsia" w:eastAsiaTheme="minorEastAsia" w:cstheme="minorEastAsia"/>
          <w:color w:val="auto"/>
          <w:sz w:val="24"/>
          <w:szCs w:val="24"/>
          <w:highlight w:val="yellow"/>
          <w:u w:val="single"/>
          <w:lang w:val="en-US" w:eastAsia="zh-CN"/>
        </w:rPr>
        <w:t>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8</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25</w:t>
      </w:r>
      <w:r>
        <w:rPr>
          <w:rFonts w:hint="eastAsia" w:asciiTheme="minorEastAsia" w:hAnsiTheme="minorEastAsia" w:eastAsiaTheme="minorEastAsia" w:cstheme="minorEastAsia"/>
          <w:color w:val="auto"/>
          <w:sz w:val="24"/>
          <w:szCs w:val="24"/>
          <w:highlight w:val="yellow"/>
          <w:u w:val="single"/>
        </w:rPr>
        <w:t>日 1</w:t>
      </w:r>
      <w:r>
        <w:rPr>
          <w:rFonts w:hint="eastAsia" w:asciiTheme="minorEastAsia" w:hAnsiTheme="minorEastAsia" w:eastAsiaTheme="minorEastAsia" w:cstheme="minorEastAsia"/>
          <w:color w:val="auto"/>
          <w:sz w:val="24"/>
          <w:szCs w:val="24"/>
          <w:highlight w:val="yellow"/>
          <w:u w:val="single"/>
          <w:lang w:val="en-US" w:eastAsia="zh-CN"/>
        </w:rPr>
        <w:t>1</w:t>
      </w:r>
      <w:r>
        <w:rPr>
          <w:rFonts w:hint="eastAsia" w:asciiTheme="minorEastAsia" w:hAnsiTheme="minorEastAsia" w:eastAsiaTheme="minorEastAsia" w:cstheme="minorEastAsia"/>
          <w:color w:val="auto"/>
          <w:sz w:val="24"/>
          <w:szCs w:val="24"/>
          <w:highlight w:val="yellow"/>
          <w:u w:val="single"/>
        </w:rPr>
        <w:t>:</w:t>
      </w:r>
      <w:r>
        <w:rPr>
          <w:rFonts w:hint="eastAsia" w:asciiTheme="minorEastAsia" w:hAnsiTheme="minorEastAsia" w:eastAsiaTheme="minorEastAsia" w:cstheme="minorEastAsia"/>
          <w:color w:val="auto"/>
          <w:sz w:val="24"/>
          <w:szCs w:val="24"/>
          <w:highlight w:val="yellow"/>
          <w:u w:val="single"/>
          <w:lang w:val="en-US" w:eastAsia="zh-CN"/>
        </w:rPr>
        <w:t>00</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（北京时间）</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地点（网址）：乌鲁木齐市经济技术开发区乌昌路252号九方财富广场A座525室</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六、公告期限</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自本公告发布之日起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Style w:val="39"/>
          <w:rFonts w:hint="eastAsia" w:asciiTheme="minorEastAsia" w:hAnsiTheme="minorEastAsia" w:eastAsiaTheme="minorEastAsia" w:cstheme="minorEastAsia"/>
          <w:color w:val="auto"/>
          <w:sz w:val="24"/>
          <w:szCs w:val="24"/>
          <w:highlight w:val="none"/>
          <w:lang w:eastAsia="zh-CN"/>
        </w:rPr>
        <w:t>七、</w:t>
      </w:r>
      <w:r>
        <w:rPr>
          <w:rStyle w:val="39"/>
          <w:rFonts w:hint="eastAsia" w:asciiTheme="minorEastAsia" w:hAnsiTheme="minorEastAsia" w:eastAsiaTheme="minorEastAsia" w:cstheme="minorEastAsia"/>
          <w:color w:val="auto"/>
          <w:sz w:val="24"/>
          <w:szCs w:val="24"/>
          <w:highlight w:val="none"/>
        </w:rPr>
        <w:t>其他补充事宜</w:t>
      </w:r>
    </w:p>
    <w:p>
      <w:pPr>
        <w:pStyle w:val="32"/>
        <w:keepNext w:val="0"/>
        <w:keepLines w:val="0"/>
        <w:widowControl/>
        <w:numPr>
          <w:ilvl w:val="0"/>
          <w:numId w:val="0"/>
        </w:numPr>
        <w:suppressLineNumbers w:val="0"/>
        <w:spacing w:before="255" w:beforeAutospacing="0" w:after="255" w:afterAutospacing="0" w:line="240" w:lineRule="auto"/>
        <w:ind w:right="0" w:righ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凡符合资格要求，且有意参加投标的供应商，须提供文件领取记录表(附件中下载并填写）、法人授权委托书（附法人身份证复印件及被授权人身份证复印件，加盖公章及法人章）或法定代表人身份证明书、营业执照复印件。须将上述资料加盖公章的扫描件发送至1127728006@qq.com，（须注明所投项目名称、单位名称、联系人、联系电话等信息），资料不全者一律谢绝领取磋商文件。</w:t>
      </w:r>
    </w:p>
    <w:p>
      <w:pPr>
        <w:pStyle w:val="32"/>
        <w:keepNext w:val="0"/>
        <w:keepLines w:val="0"/>
        <w:widowControl/>
        <w:suppressLineNumbers w:val="0"/>
        <w:spacing w:before="255" w:beforeAutospacing="0" w:after="255" w:afterAutospacing="0" w:line="240" w:lineRule="auto"/>
        <w:ind w:left="622" w:right="0" w:hanging="482" w:hangingChars="20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八、对本次采购提出询问，请按以下方式联系</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before="255" w:beforeAutospacing="0" w:after="255" w:afterAutospacing="0" w:line="240" w:lineRule="auto"/>
        <w:ind w:left="559" w:leftChars="266"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新疆交通职业技术学院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乌鲁木齐市米东区永顺街478号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项目联系人（询问）</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张老师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项目联系方式（询问）：</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09913392167</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2.采购代理机构信息</w:t>
      </w:r>
      <w:bookmarkStart w:id="434" w:name="_GoBack"/>
      <w:bookmarkEnd w:id="434"/>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新疆元泓工程项目管理咨询有限公司</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乌鲁木齐市经济技术开发区乌昌路252号九方财富广场A座525室</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项目联系人（询问）：</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宋方方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项目联系方式（询问）：</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eastAsia="zh-CN"/>
        </w:rPr>
        <w:t>15099177725</w:t>
      </w:r>
      <w:r>
        <w:rPr>
          <w:rFonts w:hint="eastAsia" w:asciiTheme="minorEastAsia" w:hAnsiTheme="minorEastAsia" w:eastAsiaTheme="minorEastAsia" w:cstheme="minorEastAsia"/>
          <w:color w:val="auto"/>
          <w:sz w:val="24"/>
          <w:szCs w:val="24"/>
          <w:highlight w:val="none"/>
          <w:u w:val="single"/>
        </w:rPr>
        <w:t> </w:t>
      </w:r>
    </w:p>
    <w:p>
      <w:pPr>
        <w:pStyle w:val="32"/>
        <w:keepNext w:val="0"/>
        <w:keepLines w:val="0"/>
        <w:widowControl/>
        <w:suppressLineNumbers w:val="0"/>
        <w:spacing w:line="240" w:lineRule="auto"/>
        <w:rPr>
          <w:rFonts w:hint="eastAsia" w:asciiTheme="minorEastAsia" w:hAnsiTheme="minorEastAsia" w:eastAsiaTheme="minorEastAsia" w:cstheme="minorEastAsia"/>
          <w:b/>
          <w:bCs/>
          <w:i w:val="0"/>
          <w:iCs w:val="0"/>
          <w:color w:val="auto"/>
          <w:sz w:val="32"/>
          <w:szCs w:val="32"/>
          <w:highlight w:val="none"/>
        </w:rPr>
      </w:pPr>
      <w:r>
        <w:rPr>
          <w:rFonts w:hint="eastAsia" w:asciiTheme="minorEastAsia" w:hAnsiTheme="minorEastAsia" w:eastAsiaTheme="minorEastAsia" w:cstheme="minorEastAsia"/>
          <w:color w:val="auto"/>
          <w:sz w:val="24"/>
          <w:szCs w:val="24"/>
          <w:highlight w:val="none"/>
          <w:u w:val="none"/>
          <w:lang w:eastAsia="zh-CN"/>
        </w:rPr>
        <w:t>财政监督电话：</w:t>
      </w:r>
      <w:r>
        <w:rPr>
          <w:rFonts w:hint="eastAsia" w:asciiTheme="minorEastAsia" w:hAnsiTheme="minorEastAsia" w:eastAsiaTheme="minorEastAsia" w:cstheme="minorEastAsia"/>
          <w:color w:val="auto"/>
          <w:sz w:val="24"/>
          <w:szCs w:val="24"/>
          <w:highlight w:val="none"/>
          <w:u w:val="none"/>
          <w:lang w:val="en-US" w:eastAsia="zh-CN"/>
        </w:rPr>
        <w:t>0991-2359482</w:t>
      </w:r>
    </w:p>
    <w:p>
      <w:pPr>
        <w:spacing w:line="240" w:lineRule="auto"/>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b/>
          <w:bCs/>
          <w:i w:val="0"/>
          <w:iCs w:val="0"/>
          <w:color w:val="auto"/>
          <w:sz w:val="32"/>
          <w:szCs w:val="32"/>
          <w:highlight w:val="none"/>
        </w:rPr>
        <w:t>第二部分  供应商须知</w:t>
      </w:r>
      <w:bookmarkEnd w:id="4"/>
      <w:bookmarkEnd w:id="5"/>
      <w:bookmarkEnd w:id="6"/>
      <w:bookmarkEnd w:id="7"/>
      <w:bookmarkEnd w:id="8"/>
      <w:bookmarkStart w:id="9" w:name="_Toc349637919"/>
      <w:bookmarkStart w:id="10" w:name="_Toc267301281"/>
      <w:bookmarkStart w:id="11" w:name="_Toc298240404"/>
      <w:bookmarkStart w:id="12" w:name="_Toc349573120"/>
    </w:p>
    <w:p>
      <w:pPr>
        <w:pStyle w:val="3"/>
        <w:spacing w:line="240" w:lineRule="auto"/>
        <w:ind w:left="0" w:firstLine="0"/>
        <w:jc w:val="center"/>
        <w:rPr>
          <w:rFonts w:hint="eastAsia" w:asciiTheme="minorEastAsia" w:hAnsiTheme="minorEastAsia" w:eastAsiaTheme="minorEastAsia" w:cstheme="minorEastAsia"/>
          <w:i w:val="0"/>
          <w:iCs w:val="0"/>
          <w:color w:val="auto"/>
          <w:sz w:val="28"/>
          <w:szCs w:val="28"/>
          <w:highlight w:val="none"/>
        </w:rPr>
      </w:pPr>
      <w:bookmarkStart w:id="13" w:name="_Toc468707217"/>
      <w:r>
        <w:rPr>
          <w:rFonts w:hint="eastAsia" w:asciiTheme="minorEastAsia" w:hAnsiTheme="minorEastAsia" w:eastAsiaTheme="minorEastAsia" w:cstheme="minorEastAsia"/>
          <w:i w:val="0"/>
          <w:iCs w:val="0"/>
          <w:color w:val="auto"/>
          <w:sz w:val="28"/>
          <w:szCs w:val="28"/>
          <w:highlight w:val="none"/>
        </w:rPr>
        <w:t>供应商须知附表</w:t>
      </w:r>
      <w:bookmarkEnd w:id="9"/>
      <w:bookmarkEnd w:id="10"/>
      <w:bookmarkEnd w:id="11"/>
      <w:bookmarkEnd w:id="12"/>
      <w:bookmarkEnd w:id="13"/>
    </w:p>
    <w:tbl>
      <w:tblPr>
        <w:tblStyle w:val="36"/>
        <w:tblW w:w="9739"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9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序号</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0" w:firstLineChars="1500"/>
              <w:jc w:val="both"/>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采购人名称：</w:t>
            </w:r>
            <w:r>
              <w:rPr>
                <w:rFonts w:hint="eastAsia" w:asciiTheme="minorEastAsia" w:hAnsiTheme="minorEastAsia" w:eastAsiaTheme="minorEastAsia" w:cstheme="minorEastAsia"/>
                <w:i w:val="0"/>
                <w:iCs w:val="0"/>
                <w:color w:val="auto"/>
                <w:sz w:val="24"/>
                <w:szCs w:val="24"/>
                <w:highlight w:val="none"/>
                <w:lang w:val="en-US" w:eastAsia="zh-CN"/>
              </w:rPr>
              <w:t>新疆交通职业技术学院</w:t>
            </w:r>
          </w:p>
          <w:p>
            <w:pPr>
              <w:spacing w:line="240" w:lineRule="auto"/>
              <w:rPr>
                <w:rFonts w:hint="eastAsia" w:asciiTheme="minorEastAsia" w:hAnsiTheme="minorEastAsia" w:eastAsiaTheme="minorEastAsia" w:cstheme="minorEastAsia"/>
                <w:i w:val="0"/>
                <w:iCs w:val="0"/>
                <w:color w:val="auto"/>
                <w:spacing w:val="8"/>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项目</w:t>
            </w:r>
            <w:r>
              <w:rPr>
                <w:rFonts w:hint="eastAsia" w:asciiTheme="minorEastAsia" w:hAnsiTheme="minorEastAsia" w:eastAsiaTheme="minorEastAsia" w:cstheme="minorEastAsia"/>
                <w:i w:val="0"/>
                <w:iCs w:val="0"/>
                <w:color w:val="auto"/>
                <w:spacing w:val="8"/>
                <w:sz w:val="24"/>
                <w:szCs w:val="24"/>
                <w:highlight w:val="none"/>
              </w:rPr>
              <w:t>名称：</w:t>
            </w:r>
            <w:r>
              <w:rPr>
                <w:rFonts w:hint="eastAsia" w:asciiTheme="minorEastAsia" w:hAnsiTheme="minorEastAsia" w:eastAsiaTheme="minorEastAsia" w:cstheme="minorEastAsia"/>
                <w:i w:val="0"/>
                <w:iCs w:val="0"/>
                <w:color w:val="auto"/>
                <w:spacing w:val="8"/>
                <w:sz w:val="24"/>
                <w:szCs w:val="24"/>
                <w:highlight w:val="none"/>
                <w:lang w:val="en-US" w:eastAsia="zh-CN"/>
              </w:rPr>
              <w:t>新疆交通职业技术学院数据治理采购项目</w:t>
            </w:r>
          </w:p>
          <w:p>
            <w:pPr>
              <w:spacing w:line="240" w:lineRule="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pacing w:val="8"/>
                <w:sz w:val="24"/>
                <w:szCs w:val="24"/>
                <w:highlight w:val="none"/>
              </w:rPr>
              <w:t>项目</w:t>
            </w:r>
            <w:r>
              <w:rPr>
                <w:rFonts w:hint="eastAsia" w:asciiTheme="minorEastAsia" w:hAnsiTheme="minorEastAsia" w:eastAsiaTheme="minorEastAsia" w:cstheme="minorEastAsia"/>
                <w:i w:val="0"/>
                <w:iCs w:val="0"/>
                <w:color w:val="auto"/>
                <w:sz w:val="24"/>
                <w:szCs w:val="24"/>
                <w:highlight w:val="none"/>
              </w:rPr>
              <w:t>编号：XJYHZB202</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166</w:t>
            </w:r>
          </w:p>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bCs/>
                <w:i w:val="0"/>
                <w:iCs w:val="0"/>
                <w:color w:val="auto"/>
                <w:sz w:val="24"/>
                <w:szCs w:val="24"/>
                <w:highlight w:val="none"/>
              </w:rPr>
              <w:t>预算金额：</w:t>
            </w:r>
            <w:r>
              <w:rPr>
                <w:rFonts w:hint="eastAsia" w:asciiTheme="minorEastAsia" w:hAnsiTheme="minorEastAsia" w:eastAsiaTheme="minorEastAsia" w:cstheme="minorEastAsia"/>
                <w:bCs/>
                <w:i w:val="0"/>
                <w:iCs w:val="0"/>
                <w:color w:val="auto"/>
                <w:sz w:val="24"/>
                <w:szCs w:val="24"/>
                <w:highlight w:val="none"/>
                <w:lang w:val="en-US" w:eastAsia="zh-CN"/>
              </w:rPr>
              <w:t>660000</w:t>
            </w:r>
            <w:r>
              <w:rPr>
                <w:rFonts w:hint="eastAsia" w:asciiTheme="minorEastAsia" w:hAnsiTheme="minorEastAsia" w:eastAsiaTheme="minorEastAsia" w:cstheme="minorEastAsia"/>
                <w:bCs/>
                <w:i w:val="0"/>
                <w:iCs w:val="0"/>
                <w:color w:val="auto"/>
                <w:sz w:val="24"/>
                <w:szCs w:val="24"/>
                <w:highlight w:val="none"/>
              </w:rPr>
              <w:t>元。</w:t>
            </w:r>
            <w:r>
              <w:rPr>
                <w:rFonts w:hint="eastAsia" w:asciiTheme="minorEastAsia" w:hAnsiTheme="minorEastAsia" w:eastAsiaTheme="minorEastAsia" w:cstheme="minorEastAsia"/>
                <w:bCs/>
                <w:i w:val="0"/>
                <w:iCs w:val="0"/>
                <w:color w:val="auto"/>
                <w:sz w:val="24"/>
                <w:szCs w:val="24"/>
                <w:highlight w:val="none"/>
                <w:lang w:eastAsia="zh-CN"/>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pacing w:val="8"/>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rPr>
              <w:t>招标代理机构名称：</w:t>
            </w:r>
            <w:r>
              <w:rPr>
                <w:rFonts w:hint="eastAsia" w:asciiTheme="minorEastAsia" w:hAnsiTheme="minorEastAsia" w:eastAsiaTheme="minorEastAsia" w:cstheme="minorEastAsia"/>
                <w:i w:val="0"/>
                <w:iCs w:val="0"/>
                <w:color w:val="auto"/>
                <w:spacing w:val="8"/>
                <w:sz w:val="24"/>
                <w:szCs w:val="24"/>
                <w:highlight w:val="none"/>
                <w:lang w:eastAsia="zh-CN"/>
              </w:rPr>
              <w:t>新疆元泓工程项目管理咨询有限公司</w:t>
            </w:r>
          </w:p>
          <w:p>
            <w:pPr>
              <w:spacing w:line="240" w:lineRule="auto"/>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i w:val="0"/>
                <w:iCs w:val="0"/>
                <w:color w:val="auto"/>
                <w:spacing w:val="8"/>
                <w:sz w:val="24"/>
                <w:szCs w:val="24"/>
                <w:highlight w:val="none"/>
              </w:rPr>
              <w:t>单位地址：乌鲁木齐市经济技术开发区乌昌路252号九方财富广场A座525室 </w:t>
            </w:r>
          </w:p>
          <w:p>
            <w:pPr>
              <w:spacing w:line="240" w:lineRule="auto"/>
              <w:rPr>
                <w:rFonts w:hint="eastAsia" w:asciiTheme="minorEastAsia" w:hAnsiTheme="minorEastAsia" w:eastAsiaTheme="minorEastAsia" w:cstheme="minorEastAsia"/>
                <w:i w:val="0"/>
                <w:iCs w:val="0"/>
                <w:color w:val="auto"/>
                <w:spacing w:val="8"/>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eastAsia="zh-CN"/>
              </w:rPr>
              <w:t>宋方方</w:t>
            </w:r>
          </w:p>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rPr>
              <w:t>电话：</w:t>
            </w:r>
            <w:r>
              <w:rPr>
                <w:rFonts w:hint="eastAsia" w:asciiTheme="minorEastAsia" w:hAnsiTheme="minorEastAsia" w:eastAsiaTheme="minorEastAsia" w:cstheme="minorEastAsia"/>
                <w:i w:val="0"/>
                <w:iCs w:val="0"/>
                <w:color w:val="auto"/>
                <w:spacing w:val="8"/>
                <w:sz w:val="24"/>
                <w:szCs w:val="24"/>
                <w:highlight w:val="none"/>
                <w:lang w:val="en-US" w:eastAsia="zh-CN"/>
              </w:rPr>
              <w:t>15099177725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Theme="minorEastAsia" w:hAnsiTheme="minorEastAsia" w:eastAsiaTheme="minorEastAsia" w:cstheme="minorEastAsia"/>
                <w:i w:val="0"/>
                <w:iCs w:val="0"/>
                <w:color w:val="auto"/>
                <w:spacing w:val="8"/>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项目完成期限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自合同签订之日起</w:t>
            </w:r>
            <w:r>
              <w:rPr>
                <w:rFonts w:hint="eastAsia" w:asciiTheme="minorEastAsia" w:hAnsiTheme="minorEastAsia" w:eastAsiaTheme="minorEastAsia" w:cstheme="minorEastAsia"/>
                <w:color w:val="auto"/>
                <w:sz w:val="24"/>
                <w:szCs w:val="24"/>
                <w:highlight w:val="none"/>
                <w:lang w:val="en-US" w:eastAsia="zh-CN"/>
              </w:rPr>
              <w:t>3个月内</w:t>
            </w:r>
            <w:r>
              <w:rPr>
                <w:rFonts w:hint="eastAsia" w:asciiTheme="minorEastAsia" w:hAnsiTheme="minorEastAsia" w:eastAsiaTheme="minorEastAsia" w:cstheme="minorEastAsia"/>
                <w:color w:val="auto"/>
                <w:sz w:val="24"/>
                <w:szCs w:val="24"/>
                <w:highlight w:val="none"/>
                <w:lang w:eastAsia="zh-CN"/>
              </w:rPr>
              <w:t>完成</w:t>
            </w:r>
            <w:r>
              <w:rPr>
                <w:rFonts w:hint="eastAsia" w:asciiTheme="minorEastAsia" w:hAnsiTheme="minorEastAsia" w:eastAsiaTheme="minorEastAsia" w:cstheme="minorEastAsia"/>
                <w:color w:val="auto"/>
                <w:sz w:val="24"/>
                <w:szCs w:val="24"/>
                <w:highlight w:val="none"/>
                <w:lang w:val="en-US" w:eastAsia="zh-CN"/>
              </w:rPr>
              <w:t xml:space="preserve">   质保期：三年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磋商响应保证金金额：</w:t>
            </w:r>
            <w:r>
              <w:rPr>
                <w:rFonts w:hint="eastAsia" w:asciiTheme="minorEastAsia" w:hAnsiTheme="minorEastAsia" w:eastAsiaTheme="minorEastAsia" w:cstheme="minorEastAsia"/>
                <w:b/>
                <w:i w:val="0"/>
                <w:iCs w:val="0"/>
                <w:color w:val="auto"/>
                <w:sz w:val="24"/>
                <w:szCs w:val="24"/>
                <w:highlight w:val="none"/>
                <w:lang w:val="en-US" w:eastAsia="zh-CN"/>
              </w:rPr>
              <w:t>6000元</w:t>
            </w:r>
            <w:r>
              <w:rPr>
                <w:rFonts w:hint="eastAsia" w:asciiTheme="minorEastAsia" w:hAnsiTheme="minorEastAsia" w:eastAsiaTheme="minorEastAsia" w:cstheme="minorEastAsia"/>
                <w:b/>
                <w:i w:val="0"/>
                <w:iCs w:val="0"/>
                <w:color w:val="auto"/>
                <w:sz w:val="24"/>
                <w:szCs w:val="24"/>
                <w:highlight w:val="none"/>
              </w:rPr>
              <w:t>（</w:t>
            </w:r>
            <w:r>
              <w:rPr>
                <w:rFonts w:hint="eastAsia" w:asciiTheme="minorEastAsia" w:hAnsiTheme="minorEastAsia" w:eastAsiaTheme="minorEastAsia" w:cstheme="minorEastAsia"/>
                <w:b/>
                <w:i w:val="0"/>
                <w:iCs w:val="0"/>
                <w:color w:val="auto"/>
                <w:sz w:val="24"/>
                <w:szCs w:val="24"/>
                <w:highlight w:val="none"/>
                <w:lang w:val="en-US" w:eastAsia="zh-CN"/>
              </w:rPr>
              <w:t>陆仟元</w:t>
            </w:r>
            <w:r>
              <w:rPr>
                <w:rFonts w:hint="eastAsia" w:asciiTheme="minorEastAsia" w:hAnsiTheme="minorEastAsia" w:eastAsiaTheme="minorEastAsia" w:cstheme="minorEastAsia"/>
                <w:b/>
                <w:i w:val="0"/>
                <w:iCs w:val="0"/>
                <w:color w:val="auto"/>
                <w:sz w:val="24"/>
                <w:szCs w:val="24"/>
                <w:highlight w:val="none"/>
              </w:rPr>
              <w:t>整）。</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保证金有效期：</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0日历天（从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截止之日算起）</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val="en-US" w:eastAsia="zh-CN"/>
              </w:rPr>
              <w:t xml:space="preserve">新疆元泓工程项目管理咨询有限公司 </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 户 行：</w:t>
            </w:r>
            <w:r>
              <w:rPr>
                <w:rFonts w:hint="eastAsia" w:asciiTheme="minorEastAsia" w:hAnsiTheme="minorEastAsia" w:eastAsiaTheme="minorEastAsia" w:cstheme="minorEastAsia"/>
                <w:color w:val="auto"/>
                <w:sz w:val="24"/>
                <w:szCs w:val="24"/>
                <w:highlight w:val="none"/>
                <w:lang w:eastAsia="zh-CN"/>
              </w:rPr>
              <w:t>交通银行乌鲁木齐青年路支行</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行  号：301881000198</w:t>
            </w:r>
          </w:p>
          <w:p>
            <w:pPr>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银行帐号：86516510350188001000812</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保证金的缴纳形式：</w:t>
            </w:r>
            <w:r>
              <w:rPr>
                <w:rFonts w:hint="eastAsia" w:asciiTheme="minorEastAsia" w:hAnsiTheme="minorEastAsia" w:eastAsiaTheme="minorEastAsia" w:cstheme="minorEastAsia"/>
                <w:color w:val="auto"/>
                <w:sz w:val="24"/>
                <w:szCs w:val="24"/>
                <w:highlight w:val="none"/>
                <w:lang w:eastAsia="zh-CN"/>
              </w:rPr>
              <w:t>转账、电汇等其他形式。</w:t>
            </w:r>
          </w:p>
          <w:p>
            <w:pPr>
              <w:spacing w:line="240" w:lineRule="auto"/>
              <w:rPr>
                <w:rFonts w:hint="eastAsia" w:asciiTheme="minorEastAsia" w:hAnsiTheme="minorEastAsia" w:eastAsiaTheme="minorEastAsia" w:cstheme="minorEastAsia"/>
                <w:b/>
                <w:i w:val="0"/>
                <w:i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注：汇款单上需注明供应商单位名称、项目名称、金额（可简写）。磋商保证金于磋商截止时间前确认到账，若供应商未按照上述规定缴纳磋商保证金,磋商响应文件将被拒绝评审，</w:t>
            </w:r>
            <w:r>
              <w:rPr>
                <w:rFonts w:hint="eastAsia" w:asciiTheme="minorEastAsia" w:hAnsiTheme="minorEastAsia" w:eastAsiaTheme="minorEastAsia" w:cstheme="minorEastAsia"/>
                <w:i w:val="0"/>
                <w:iCs w:val="0"/>
                <w:color w:val="auto"/>
                <w:sz w:val="24"/>
                <w:szCs w:val="24"/>
                <w:highlight w:val="none"/>
              </w:rPr>
              <w:t>提交</w:t>
            </w:r>
            <w:r>
              <w:rPr>
                <w:rFonts w:hint="eastAsia" w:asciiTheme="minorEastAsia" w:hAnsiTheme="minorEastAsia" w:eastAsiaTheme="minorEastAsia" w:cstheme="minorEastAsia"/>
                <w:i w:val="0"/>
                <w:iCs w:val="0"/>
                <w:color w:val="auto"/>
                <w:sz w:val="24"/>
                <w:szCs w:val="24"/>
                <w:highlight w:val="none"/>
                <w:lang w:eastAsia="zh-CN"/>
              </w:rPr>
              <w:t>磋商</w:t>
            </w:r>
            <w:r>
              <w:rPr>
                <w:rFonts w:hint="eastAsia" w:asciiTheme="minorEastAsia" w:hAnsiTheme="minorEastAsia" w:eastAsiaTheme="minorEastAsia" w:cstheme="minorEastAsia"/>
                <w:i w:val="0"/>
                <w:iCs w:val="0"/>
                <w:color w:val="auto"/>
                <w:sz w:val="24"/>
                <w:szCs w:val="24"/>
                <w:highlight w:val="none"/>
              </w:rPr>
              <w:t>保证金应充分考虑资金在途时间。</w:t>
            </w:r>
            <w:r>
              <w:rPr>
                <w:rFonts w:hint="eastAsia" w:ascii="宋体" w:hAnsi="宋体" w:cs="宋体"/>
                <w:color w:val="auto"/>
                <w:kern w:val="0"/>
                <w:sz w:val="24"/>
                <w:szCs w:val="24"/>
                <w:highlight w:val="none"/>
              </w:rPr>
              <w:t>汇款后请把汇款凭证放在</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文件中，无需到公司换取</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保证金收据。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5</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磋</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lang w:eastAsia="zh-CN"/>
              </w:rPr>
              <w:t>商</w:t>
            </w:r>
            <w:r>
              <w:rPr>
                <w:rFonts w:hint="eastAsia" w:asciiTheme="minorEastAsia" w:hAnsiTheme="minorEastAsia" w:eastAsiaTheme="minorEastAsia" w:cstheme="minorEastAsia"/>
                <w:i w:val="0"/>
                <w:iCs w:val="0"/>
                <w:color w:val="auto"/>
                <w:sz w:val="24"/>
                <w:szCs w:val="24"/>
                <w:highlight w:val="none"/>
              </w:rPr>
              <w:t xml:space="preserve"> 响 应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7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spacing w:line="240" w:lineRule="auto"/>
              <w:jc w:val="center"/>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i w:val="0"/>
                <w:iCs w:val="0"/>
                <w:color w:val="auto"/>
                <w:spacing w:val="8"/>
                <w:sz w:val="24"/>
                <w:szCs w:val="24"/>
                <w:highlight w:val="none"/>
              </w:rPr>
              <w:t>6</w:t>
            </w:r>
          </w:p>
        </w:tc>
        <w:tc>
          <w:tcPr>
            <w:tcW w:w="9034" w:type="dxa"/>
            <w:tcBorders>
              <w:top w:val="single" w:color="auto" w:sz="4" w:space="0"/>
              <w:left w:val="single" w:color="auto" w:sz="4" w:space="0"/>
              <w:bottom w:val="single" w:color="auto" w:sz="4" w:space="0"/>
              <w:right w:val="single" w:color="auto" w:sz="4" w:space="0"/>
            </w:tcBorders>
            <w:vAlign w:val="center"/>
          </w:tcPr>
          <w:p>
            <w:pPr>
              <w:pStyle w:val="86"/>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供应商的资格要求：</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1.满足《中华人民共和国政府采购法》第二十二条规定；</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1）具有独立承担民事责任的能力；</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2）具有良好的商业信誉和健全的财务会计制度；</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3）具有履行合同所必需的设备和专业技术能力；</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4）有依法缴纳税收和社会保障资金的良好记录；</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5）参加政府采购活动前三年内，在经营活动中没有重大违法记录；</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2.落实政府采购政策需满足的资格要求：供应商为中小企业/小微企业；</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3.本项目的特定资格要求：</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1）供应商须出具工商营业执照副本、税务登记证副本、组织机构代码证副本或“三证合一”的营业执照副本；</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tabs>
                <w:tab w:val="left" w:pos="252"/>
                <w:tab w:val="left" w:pos="671"/>
              </w:tabs>
              <w:spacing w:line="240" w:lineRule="auto"/>
              <w:ind w:firstLine="480" w:firstLineChars="200"/>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3）单位负责人为同一人或者存在直接控股、管理关系的不同供应商，不得同时参加本项目的竞争；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8</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磋商响应有效期：60天（如不满足将导致废标）。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9</w:t>
            </w:r>
          </w:p>
        </w:tc>
        <w:tc>
          <w:tcPr>
            <w:tcW w:w="9034"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spacing w:line="240" w:lineRule="auto"/>
              <w:jc w:val="left"/>
              <w:rPr>
                <w:rFonts w:hint="eastAsia" w:asciiTheme="minorEastAsia" w:hAnsiTheme="minorEastAsia" w:eastAsiaTheme="minorEastAsia" w:cstheme="minorEastAsia"/>
                <w:color w:val="auto"/>
                <w:kern w:val="2"/>
                <w:sz w:val="24"/>
                <w:szCs w:val="24"/>
                <w:highlight w:val="yellow"/>
                <w:lang w:val="en-US" w:eastAsia="zh-CN" w:bidi="ar-SA"/>
              </w:rPr>
            </w:pPr>
            <w:r>
              <w:rPr>
                <w:rFonts w:hint="eastAsia" w:asciiTheme="minorEastAsia" w:hAnsiTheme="minorEastAsia" w:eastAsiaTheme="minorEastAsia" w:cstheme="minorEastAsia"/>
                <w:color w:val="auto"/>
                <w:kern w:val="2"/>
                <w:sz w:val="24"/>
                <w:szCs w:val="24"/>
                <w:highlight w:val="yellow"/>
                <w:lang w:val="en-US" w:eastAsia="zh-CN" w:bidi="ar-SA"/>
              </w:rPr>
              <w:t>履约保证金：合同签订价的5%</w:t>
            </w:r>
          </w:p>
          <w:p>
            <w:pPr>
              <w:tabs>
                <w:tab w:val="left" w:pos="252"/>
                <w:tab w:val="left" w:pos="671"/>
              </w:tabs>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注：中标人在签订合同前</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\l "_Hlk38643053"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提交履约保证金。</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p>
          <w:p>
            <w:pPr>
              <w:tabs>
                <w:tab w:val="left" w:pos="252"/>
                <w:tab w:val="left" w:pos="671"/>
              </w:tabs>
              <w:spacing w:line="240" w:lineRule="auto"/>
              <w:jc w:val="left"/>
              <w:rPr>
                <w:rFonts w:hint="eastAsia" w:asciiTheme="minorEastAsia" w:hAnsiTheme="minorEastAsia" w:eastAsiaTheme="minorEastAsia" w:cstheme="minorEastAsia"/>
                <w:i w:val="0"/>
                <w:iCs w:val="0"/>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履约保证金形式：现金或转帐支票。如不缴纳履约保证金，视为放弃中标。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10</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付款方式：</w:t>
            </w:r>
          </w:p>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1、建设完成后即验收，项目验收通过后付款；</w:t>
            </w:r>
          </w:p>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2、采购人采用转帐支票或电汇、承兑汇票等方式向成交人支付货款；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1</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采购人单位监督部门的工作人员将对供应商磋商响应进行资格初审。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2</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资格审查内容：</w:t>
            </w:r>
          </w:p>
          <w:p>
            <w:pPr>
              <w:numPr>
                <w:ilvl w:val="0"/>
                <w:numId w:val="2"/>
              </w:numPr>
              <w:spacing w:line="240" w:lineRule="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eastAsia="zh-CN"/>
              </w:rPr>
              <w:t>有效的营业执照原件；</w:t>
            </w:r>
          </w:p>
          <w:p>
            <w:pPr>
              <w:numPr>
                <w:ilvl w:val="0"/>
                <w:numId w:val="2"/>
              </w:numPr>
              <w:ind w:left="0" w:leftChars="0" w:firstLine="0" w:firstLineChars="0"/>
              <w:rPr>
                <w:rFonts w:hint="eastAsia" w:asciiTheme="minorEastAsia" w:hAnsiTheme="minorEastAsia" w:eastAsiaTheme="minorEastAsia" w:cstheme="minorEastAsia"/>
                <w:b/>
                <w:bCs/>
                <w:i w:val="0"/>
                <w:iCs w:val="0"/>
                <w:caps w:val="0"/>
                <w:color w:val="auto"/>
                <w:spacing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法人授权委托书（附法人身份证复印件及被授权人身份证复印件，加盖公章及法人章）</w:t>
            </w:r>
            <w:r>
              <w:rPr>
                <w:rFonts w:hint="eastAsia" w:asciiTheme="minorEastAsia" w:hAnsiTheme="minorEastAsia" w:eastAsiaTheme="minorEastAsia" w:cstheme="minorEastAsia"/>
                <w:b/>
                <w:bCs/>
                <w:i w:val="0"/>
                <w:iCs w:val="0"/>
                <w:caps w:val="0"/>
                <w:color w:val="auto"/>
                <w:spacing w:val="0"/>
                <w:sz w:val="24"/>
                <w:szCs w:val="24"/>
                <w:highlight w:val="none"/>
                <w:lang w:eastAsia="zh-CN"/>
              </w:rPr>
              <w:t>；</w:t>
            </w:r>
          </w:p>
          <w:p>
            <w:pPr>
              <w:numPr>
                <w:ilvl w:val="0"/>
                <w:numId w:val="0"/>
              </w:numPr>
              <w:ind w:leftChars="0"/>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lang w:val="en-US" w:eastAsia="zh-CN"/>
              </w:rPr>
              <w:t>3、</w:t>
            </w:r>
            <w:r>
              <w:rPr>
                <w:rFonts w:hint="eastAsia" w:asciiTheme="minorEastAsia" w:hAnsiTheme="minorEastAsia" w:eastAsiaTheme="minorEastAsia" w:cstheme="minorEastAsia"/>
                <w:b/>
                <w:bCs/>
                <w:i w:val="0"/>
                <w:iCs w:val="0"/>
                <w:color w:val="auto"/>
                <w:sz w:val="24"/>
                <w:szCs w:val="24"/>
                <w:highlight w:val="none"/>
                <w:lang w:eastAsia="zh-CN"/>
              </w:rPr>
              <w:t>磋商</w:t>
            </w:r>
            <w:r>
              <w:rPr>
                <w:rFonts w:hint="eastAsia" w:asciiTheme="minorEastAsia" w:hAnsiTheme="minorEastAsia" w:eastAsiaTheme="minorEastAsia" w:cstheme="minorEastAsia"/>
                <w:b/>
                <w:bCs/>
                <w:i w:val="0"/>
                <w:iCs w:val="0"/>
                <w:color w:val="auto"/>
                <w:sz w:val="24"/>
                <w:szCs w:val="24"/>
                <w:highlight w:val="none"/>
              </w:rPr>
              <w:t>保证金汇款凭证（复印件盖公章）</w:t>
            </w:r>
            <w:r>
              <w:rPr>
                <w:rFonts w:hint="eastAsia" w:asciiTheme="minorEastAsia" w:hAnsiTheme="minorEastAsia" w:eastAsiaTheme="minorEastAsia" w:cstheme="minorEastAsia"/>
                <w:b/>
                <w:bCs/>
                <w:i w:val="0"/>
                <w:iCs w:val="0"/>
                <w:color w:val="auto"/>
                <w:sz w:val="24"/>
                <w:szCs w:val="24"/>
                <w:highlight w:val="none"/>
                <w:lang w:eastAsia="zh-CN"/>
              </w:rPr>
              <w:t>；</w:t>
            </w:r>
          </w:p>
          <w:p>
            <w:pPr>
              <w:numPr>
                <w:ilvl w:val="0"/>
                <w:numId w:val="0"/>
              </w:numPr>
              <w:spacing w:line="240" w:lineRule="auto"/>
              <w:ind w:leftChars="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b/>
                <w:bCs/>
                <w:i w:val="0"/>
                <w:iCs w:val="0"/>
                <w:color w:val="auto"/>
                <w:sz w:val="24"/>
                <w:highlight w:val="none"/>
              </w:rPr>
              <w:t>注：若</w:t>
            </w:r>
            <w:r>
              <w:rPr>
                <w:rFonts w:hint="eastAsia" w:asciiTheme="minorEastAsia" w:hAnsiTheme="minorEastAsia" w:eastAsiaTheme="minorEastAsia" w:cstheme="minorEastAsia"/>
                <w:b/>
                <w:bCs/>
                <w:i w:val="0"/>
                <w:iCs w:val="0"/>
                <w:color w:val="auto"/>
                <w:sz w:val="24"/>
                <w:highlight w:val="none"/>
                <w:lang w:eastAsia="zh-CN"/>
              </w:rPr>
              <w:t>供应商</w:t>
            </w:r>
            <w:r>
              <w:rPr>
                <w:rFonts w:hint="eastAsia" w:asciiTheme="minorEastAsia" w:hAnsiTheme="minorEastAsia" w:eastAsiaTheme="minorEastAsia" w:cstheme="minorEastAsia"/>
                <w:b/>
                <w:bCs/>
                <w:i w:val="0"/>
                <w:iCs w:val="0"/>
                <w:color w:val="auto"/>
                <w:sz w:val="24"/>
                <w:highlight w:val="none"/>
              </w:rPr>
              <w:t>开标时</w:t>
            </w:r>
            <w:r>
              <w:rPr>
                <w:rFonts w:hint="eastAsia" w:asciiTheme="minorEastAsia" w:hAnsiTheme="minorEastAsia" w:eastAsiaTheme="minorEastAsia" w:cstheme="minorEastAsia"/>
                <w:b/>
                <w:bCs/>
                <w:i w:val="0"/>
                <w:iCs w:val="0"/>
                <w:color w:val="auto"/>
                <w:sz w:val="24"/>
                <w:highlight w:val="none"/>
                <w:lang w:eastAsia="zh-CN"/>
              </w:rPr>
              <w:t>以上证件不全者</w:t>
            </w:r>
            <w:r>
              <w:rPr>
                <w:rFonts w:hint="eastAsia" w:asciiTheme="minorEastAsia" w:hAnsiTheme="minorEastAsia" w:eastAsiaTheme="minorEastAsia" w:cstheme="minorEastAsia"/>
                <w:b/>
                <w:bCs/>
                <w:i w:val="0"/>
                <w:iCs w:val="0"/>
                <w:color w:val="auto"/>
                <w:sz w:val="24"/>
                <w:highlight w:val="none"/>
              </w:rPr>
              <w:t>，</w:t>
            </w:r>
            <w:r>
              <w:rPr>
                <w:rFonts w:hint="eastAsia" w:asciiTheme="minorEastAsia" w:hAnsiTheme="minorEastAsia" w:eastAsiaTheme="minorEastAsia" w:cstheme="minorEastAsia"/>
                <w:b/>
                <w:bCs/>
                <w:i w:val="0"/>
                <w:iCs w:val="0"/>
                <w:color w:val="auto"/>
                <w:sz w:val="24"/>
                <w:highlight w:val="none"/>
                <w:lang w:eastAsia="zh-CN"/>
              </w:rPr>
              <w:t>视为无效的供应商。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3</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磋商响应文件：正本一份、副本</w:t>
            </w:r>
            <w:r>
              <w:rPr>
                <w:rFonts w:hint="eastAsia" w:asciiTheme="minorEastAsia" w:hAnsiTheme="minorEastAsia" w:eastAsiaTheme="minorEastAsia" w:cstheme="minorEastAsia"/>
                <w:i w:val="0"/>
                <w:iCs w:val="0"/>
                <w:color w:val="auto"/>
                <w:sz w:val="24"/>
                <w:szCs w:val="24"/>
                <w:highlight w:val="none"/>
                <w:lang w:eastAsia="zh-CN"/>
              </w:rPr>
              <w:t>二</w:t>
            </w:r>
            <w:r>
              <w:rPr>
                <w:rFonts w:hint="eastAsia" w:asciiTheme="minorEastAsia" w:hAnsiTheme="minorEastAsia" w:eastAsiaTheme="minorEastAsia" w:cstheme="minorEastAsia"/>
                <w:i w:val="0"/>
                <w:iCs w:val="0"/>
                <w:color w:val="auto"/>
                <w:sz w:val="24"/>
                <w:szCs w:val="24"/>
                <w:highlight w:val="none"/>
              </w:rPr>
              <w:t>份。</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电子版响应文件：</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u w:val="single"/>
                <w:lang w:val="en-US" w:eastAsia="zh-CN"/>
              </w:rPr>
              <w:t>U盘</w:t>
            </w:r>
            <w:r>
              <w:rPr>
                <w:rFonts w:hint="eastAsia" w:asciiTheme="minorEastAsia" w:hAnsiTheme="minorEastAsia" w:eastAsiaTheme="minorEastAsia" w:cstheme="minorEastAsia"/>
                <w:i w:val="0"/>
                <w:iCs w:val="0"/>
                <w:color w:val="auto"/>
                <w:sz w:val="24"/>
                <w:szCs w:val="24"/>
                <w:highlight w:val="none"/>
                <w:u w:val="single"/>
              </w:rPr>
              <w:t xml:space="preserve">一 </w:t>
            </w:r>
            <w:r>
              <w:rPr>
                <w:rFonts w:hint="eastAsia" w:asciiTheme="minorEastAsia" w:hAnsiTheme="minorEastAsia" w:eastAsiaTheme="minorEastAsia" w:cstheme="minorEastAsia"/>
                <w:i w:val="0"/>
                <w:iCs w:val="0"/>
                <w:color w:val="auto"/>
                <w:sz w:val="24"/>
                <w:szCs w:val="24"/>
                <w:highlight w:val="none"/>
              </w:rPr>
              <w:t>份(</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扫描件，内容：磋商响应文件正本按照采购文件规定的响应文件格式加盖完</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公章及法定代表人章的彩色扫描件，PDF格式，不提供电子文件的投标书将被拒收。)</w:t>
            </w:r>
          </w:p>
          <w:p>
            <w:pPr>
              <w:spacing w:line="240" w:lineRule="auto"/>
              <w:rPr>
                <w:rFonts w:hint="eastAsia" w:asciiTheme="minorEastAsia" w:hAnsiTheme="minorEastAsia" w:eastAsiaTheme="minorEastAsia" w:cstheme="minorEastAsia"/>
                <w:b/>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（注：</w:t>
            </w:r>
            <w:r>
              <w:rPr>
                <w:rFonts w:hint="eastAsia" w:asciiTheme="minorEastAsia" w:hAnsiTheme="minorEastAsia" w:eastAsiaTheme="minorEastAsia" w:cstheme="minorEastAsia"/>
                <w:b/>
                <w:bCs/>
                <w:i w:val="0"/>
                <w:iCs w:val="0"/>
                <w:color w:val="auto"/>
                <w:sz w:val="24"/>
                <w:szCs w:val="24"/>
                <w:highlight w:val="none"/>
                <w:lang w:val="en-US" w:eastAsia="zh-CN"/>
              </w:rPr>
              <w:t>1.</w:t>
            </w:r>
            <w:r>
              <w:rPr>
                <w:rFonts w:hint="eastAsia" w:asciiTheme="minorEastAsia" w:hAnsiTheme="minorEastAsia" w:eastAsiaTheme="minorEastAsia" w:cstheme="minorEastAsia"/>
                <w:b/>
                <w:bCs/>
                <w:i w:val="0"/>
                <w:iCs w:val="0"/>
                <w:color w:val="auto"/>
                <w:sz w:val="24"/>
                <w:szCs w:val="24"/>
                <w:highlight w:val="none"/>
              </w:rPr>
              <w:t>装订形式：不得采用活页、拉杆等方式，必须采用胶装</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b/>
                <w:bCs/>
                <w:i w:val="0"/>
                <w:iCs w:val="0"/>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纸质版磋商响应文件须采用双面打印）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4</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磋商响应文件以密封形式递交至：乌鲁木齐市经济技术开发区乌昌路252号九方财富广场A座525室（开标</w:t>
            </w:r>
            <w:r>
              <w:rPr>
                <w:rFonts w:hint="eastAsia" w:asciiTheme="minorEastAsia" w:hAnsiTheme="minorEastAsia" w:eastAsiaTheme="minorEastAsia" w:cstheme="minorEastAsia"/>
                <w:i w:val="0"/>
                <w:iCs w:val="0"/>
                <w:color w:val="auto"/>
                <w:sz w:val="24"/>
                <w:szCs w:val="24"/>
                <w:highlight w:val="none"/>
                <w:lang w:eastAsia="zh-CN"/>
              </w:rPr>
              <w:t>厅</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eastAsia="zh-CN"/>
              </w:rPr>
              <w:t>。</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磋商响应文件递交截止时间：</w:t>
            </w:r>
            <w:r>
              <w:rPr>
                <w:rStyle w:val="39"/>
                <w:rFonts w:hint="eastAsia" w:asciiTheme="minorEastAsia" w:hAnsiTheme="minorEastAsia" w:eastAsiaTheme="minorEastAsia" w:cstheme="minorEastAsia"/>
                <w:b w:val="0"/>
                <w:bCs w:val="0"/>
                <w:i w:val="0"/>
                <w:caps w:val="0"/>
                <w:color w:val="auto"/>
                <w:spacing w:val="0"/>
                <w:sz w:val="24"/>
                <w:szCs w:val="24"/>
                <w:highlight w:val="yellow"/>
                <w:lang w:val="en-US" w:eastAsia="zh-CN"/>
              </w:rPr>
              <w:t>2022年8月25日</w:t>
            </w:r>
            <w:r>
              <w:rPr>
                <w:rStyle w:val="39"/>
                <w:rFonts w:hint="eastAsia" w:asciiTheme="minorEastAsia" w:hAnsiTheme="minorEastAsia" w:eastAsiaTheme="minorEastAsia" w:cstheme="minorEastAsia"/>
                <w:b w:val="0"/>
                <w:bCs w:val="0"/>
                <w:i w:val="0"/>
                <w:caps w:val="0"/>
                <w:color w:val="auto"/>
                <w:spacing w:val="0"/>
                <w:sz w:val="24"/>
                <w:szCs w:val="24"/>
                <w:highlight w:val="none"/>
                <w:lang w:val="en-US" w:eastAsia="zh-CN"/>
              </w:rPr>
              <w:t xml:space="preserve"> 11:00</w:t>
            </w:r>
            <w:r>
              <w:rPr>
                <w:rFonts w:hint="eastAsia" w:asciiTheme="minorEastAsia" w:hAnsiTheme="minorEastAsia" w:eastAsiaTheme="minorEastAsia" w:cstheme="minorEastAsia"/>
                <w:i w:val="0"/>
                <w:iCs w:val="0"/>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5</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磋商日期</w:t>
            </w:r>
            <w:r>
              <w:rPr>
                <w:rFonts w:hint="eastAsia" w:asciiTheme="minorEastAsia" w:hAnsiTheme="minorEastAsia" w:eastAsiaTheme="minorEastAsia" w:cstheme="minorEastAsia"/>
                <w:i w:val="0"/>
                <w:iCs w:val="0"/>
                <w:color w:val="auto"/>
                <w:sz w:val="24"/>
                <w:szCs w:val="24"/>
                <w:highlight w:val="none"/>
                <w:lang w:eastAsia="zh-CN"/>
              </w:rPr>
              <w:t>：</w:t>
            </w:r>
            <w:r>
              <w:rPr>
                <w:rStyle w:val="39"/>
                <w:rFonts w:hint="eastAsia" w:asciiTheme="minorEastAsia" w:hAnsiTheme="minorEastAsia" w:eastAsiaTheme="minorEastAsia" w:cstheme="minorEastAsia"/>
                <w:b w:val="0"/>
                <w:bCs w:val="0"/>
                <w:i w:val="0"/>
                <w:caps w:val="0"/>
                <w:color w:val="auto"/>
                <w:spacing w:val="0"/>
                <w:sz w:val="24"/>
                <w:szCs w:val="24"/>
                <w:highlight w:val="yellow"/>
                <w:lang w:val="en-US" w:eastAsia="zh-CN"/>
              </w:rPr>
              <w:t>2022年8月25日</w:t>
            </w:r>
            <w:r>
              <w:rPr>
                <w:rFonts w:hint="eastAsia" w:asciiTheme="minorEastAsia" w:hAnsiTheme="minorEastAsia" w:eastAsiaTheme="minorEastAsia" w:cstheme="minorEastAsia"/>
                <w:i w:val="0"/>
                <w:iCs w:val="0"/>
                <w:color w:val="auto"/>
                <w:sz w:val="24"/>
                <w:szCs w:val="24"/>
                <w:highlight w:val="none"/>
                <w:lang w:val="en-US" w:eastAsia="zh-CN"/>
              </w:rPr>
              <w:t xml:space="preserve"> 11:00</w:t>
            </w:r>
            <w:r>
              <w:rPr>
                <w:rFonts w:hint="eastAsia" w:asciiTheme="minorEastAsia" w:hAnsiTheme="minorEastAsia" w:eastAsiaTheme="minorEastAsia" w:cstheme="minorEastAsia"/>
                <w:i w:val="0"/>
                <w:iCs w:val="0"/>
                <w:color w:val="auto"/>
                <w:sz w:val="24"/>
                <w:szCs w:val="24"/>
                <w:highlight w:val="none"/>
                <w:lang w:eastAsia="zh-CN"/>
              </w:rPr>
              <w:t>（北京时间）</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磋商地点：乌鲁木齐市经济技术开发区乌昌路252号九方财富广场A座525室（开标</w:t>
            </w:r>
            <w:r>
              <w:rPr>
                <w:rFonts w:hint="eastAsia" w:asciiTheme="minorEastAsia" w:hAnsiTheme="minorEastAsia" w:eastAsiaTheme="minorEastAsia" w:cstheme="minorEastAsia"/>
                <w:i w:val="0"/>
                <w:iCs w:val="0"/>
                <w:color w:val="auto"/>
                <w:sz w:val="24"/>
                <w:szCs w:val="24"/>
                <w:highlight w:val="none"/>
                <w:lang w:eastAsia="zh-CN"/>
              </w:rPr>
              <w:t>厅</w:t>
            </w:r>
            <w:r>
              <w:rPr>
                <w:rFonts w:hint="eastAsia" w:asciiTheme="minorEastAsia" w:hAnsiTheme="minorEastAsia" w:eastAsiaTheme="minorEastAsia" w:cstheme="minorEastAsia"/>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16</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磋商小组构成：共 3人，由技术、经济等方面的专家组成。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17</w:t>
            </w:r>
          </w:p>
        </w:tc>
        <w:tc>
          <w:tcPr>
            <w:tcW w:w="9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cs="宋体"/>
                <w:color w:val="auto"/>
                <w:kern w:val="0"/>
                <w:sz w:val="24"/>
                <w:szCs w:val="24"/>
                <w:highlight w:val="none"/>
              </w:rPr>
              <w:t>自购买</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应保证其提供的联系方式(电话、传真、电子邮件)一直有效，以保证往来函件(招标文件的澄清、修改等)能及时通知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，并能及时反馈信息，否则</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不承担由此引起的一切后果。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18</w:t>
            </w:r>
          </w:p>
        </w:tc>
        <w:tc>
          <w:tcPr>
            <w:tcW w:w="9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供应商须提供信用记录查询资料；</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查询时间为：自公告发布之日起至响应文件递交截止时间的期间的任一时间。  </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查询渠道为：“信用中国”网站及“中国政府采购网”。</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查询结果：附网页截图的扫描件。</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对列入失信被执行人、重大税收违法案件当事人名单、政府采购严重违法失信行为记录名单及其他不符合《中华人民共和国政府采购法》第二十二条规定条件的供应商，其投标文件将被拒绝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19</w:t>
            </w:r>
          </w:p>
        </w:tc>
        <w:tc>
          <w:tcPr>
            <w:tcW w:w="9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20</w:t>
            </w:r>
          </w:p>
        </w:tc>
        <w:tc>
          <w:tcPr>
            <w:tcW w:w="9034" w:type="dxa"/>
            <w:tcBorders>
              <w:top w:val="single" w:color="auto" w:sz="4" w:space="0"/>
              <w:left w:val="single" w:color="auto" w:sz="4" w:space="0"/>
              <w:bottom w:val="single" w:color="auto" w:sz="4" w:space="0"/>
              <w:right w:val="single" w:color="auto" w:sz="4" w:space="0"/>
            </w:tcBorders>
            <w:vAlign w:val="top"/>
          </w:tcPr>
          <w:p>
            <w:pPr>
              <w:pStyle w:val="10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78" w:rightChars="0"/>
              <w:jc w:val="both"/>
              <w:textAlignment w:val="auto"/>
              <w:rPr>
                <w:rFonts w:hint="eastAsia" w:asciiTheme="minorEastAsia" w:hAnsiTheme="minorEastAsia" w:eastAsiaTheme="minorEastAsia" w:cstheme="minorEastAsia"/>
                <w:i w:val="0"/>
                <w:iCs w:val="0"/>
                <w:color w:val="auto"/>
                <w:kern w:val="2"/>
                <w:sz w:val="24"/>
                <w:szCs w:val="24"/>
                <w:highlight w:val="none"/>
                <w:lang w:val="zh-CN" w:eastAsia="zh-CN" w:bidi="ar-SA"/>
              </w:rPr>
            </w:pPr>
            <w:r>
              <w:rPr>
                <w:rFonts w:hint="default" w:asciiTheme="minorEastAsia" w:hAnsiTheme="minorEastAsia" w:eastAsiaTheme="minorEastAsia" w:cstheme="minorEastAsia"/>
                <w:i w:val="0"/>
                <w:iCs w:val="0"/>
                <w:color w:val="auto"/>
                <w:kern w:val="2"/>
                <w:sz w:val="24"/>
                <w:szCs w:val="24"/>
                <w:highlight w:val="none"/>
                <w:lang w:val="en-US" w:eastAsia="zh-CN" w:bidi="ar-SA"/>
              </w:rPr>
              <w:t>如本《</w:t>
            </w:r>
            <w:r>
              <w:rPr>
                <w:rFonts w:hint="eastAsia" w:asciiTheme="minorEastAsia" w:hAnsiTheme="minorEastAsia" w:eastAsiaTheme="minorEastAsia" w:cstheme="minorEastAsia"/>
                <w:i w:val="0"/>
                <w:iCs w:val="0"/>
                <w:color w:val="auto"/>
                <w:kern w:val="2"/>
                <w:sz w:val="24"/>
                <w:szCs w:val="24"/>
                <w:highlight w:val="none"/>
                <w:lang w:val="en-US" w:eastAsia="zh-CN" w:bidi="ar-SA"/>
              </w:rPr>
              <w:t>供应商</w:t>
            </w:r>
            <w:r>
              <w:rPr>
                <w:rFonts w:hint="default" w:asciiTheme="minorEastAsia" w:hAnsiTheme="minorEastAsia" w:eastAsiaTheme="minorEastAsia" w:cstheme="minorEastAsia"/>
                <w:i w:val="0"/>
                <w:iCs w:val="0"/>
                <w:color w:val="auto"/>
                <w:kern w:val="2"/>
                <w:sz w:val="24"/>
                <w:szCs w:val="24"/>
                <w:highlight w:val="none"/>
                <w:lang w:val="en-US" w:eastAsia="zh-CN" w:bidi="ar-SA"/>
              </w:rPr>
              <w:t>须知前附表》相关内容与招标文件中的相关内容如有不一致处，则以本《</w:t>
            </w:r>
            <w:r>
              <w:rPr>
                <w:rFonts w:hint="eastAsia" w:asciiTheme="minorEastAsia" w:hAnsiTheme="minorEastAsia" w:eastAsiaTheme="minorEastAsia" w:cstheme="minorEastAsia"/>
                <w:i w:val="0"/>
                <w:iCs w:val="0"/>
                <w:color w:val="auto"/>
                <w:kern w:val="2"/>
                <w:sz w:val="24"/>
                <w:szCs w:val="24"/>
                <w:highlight w:val="none"/>
                <w:lang w:val="en-US" w:eastAsia="zh-CN" w:bidi="ar-SA"/>
              </w:rPr>
              <w:t>供应商</w:t>
            </w:r>
            <w:r>
              <w:rPr>
                <w:rFonts w:hint="default" w:asciiTheme="minorEastAsia" w:hAnsiTheme="minorEastAsia" w:eastAsiaTheme="minorEastAsia" w:cstheme="minorEastAsia"/>
                <w:i w:val="0"/>
                <w:iCs w:val="0"/>
                <w:color w:val="auto"/>
                <w:kern w:val="2"/>
                <w:sz w:val="24"/>
                <w:szCs w:val="24"/>
                <w:highlight w:val="none"/>
                <w:lang w:val="en-US" w:eastAsia="zh-CN" w:bidi="ar-SA"/>
              </w:rPr>
              <w:t>须知前附表》相关内容为准。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21</w:t>
            </w:r>
          </w:p>
        </w:tc>
        <w:tc>
          <w:tcPr>
            <w:tcW w:w="9034" w:type="dxa"/>
            <w:tcBorders>
              <w:top w:val="single" w:color="auto" w:sz="4" w:space="0"/>
              <w:left w:val="single" w:color="auto" w:sz="4" w:space="0"/>
              <w:bottom w:val="single" w:color="auto" w:sz="4" w:space="0"/>
              <w:right w:val="single" w:color="auto" w:sz="4" w:space="0"/>
            </w:tcBorders>
            <w:vAlign w:val="top"/>
          </w:tcPr>
          <w:p>
            <w:pPr>
              <w:pStyle w:val="10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78" w:rightChars="0"/>
              <w:jc w:val="both"/>
              <w:textAlignment w:val="auto"/>
              <w:rPr>
                <w:rFonts w:hint="default"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b/>
                <w:bCs/>
                <w:i w:val="0"/>
                <w:iCs w:val="0"/>
                <w:color w:val="auto"/>
                <w:kern w:val="2"/>
                <w:sz w:val="24"/>
                <w:szCs w:val="24"/>
                <w:highlight w:val="none"/>
                <w:lang w:val="en-US" w:eastAsia="zh-CN" w:bidi="ar-SA"/>
              </w:rPr>
              <w:t>现场踏勘：</w:t>
            </w:r>
            <w:r>
              <w:rPr>
                <w:rFonts w:hint="eastAsia" w:ascii="宋体" w:hAnsi="宋体" w:cs="宋体"/>
                <w:b/>
                <w:bCs/>
                <w:i w:val="0"/>
                <w:iCs w:val="0"/>
                <w:color w:val="auto"/>
                <w:kern w:val="0"/>
                <w:sz w:val="22"/>
                <w:szCs w:val="22"/>
                <w:highlight w:val="none"/>
                <w:u w:val="none"/>
                <w:lang w:val="en-US" w:eastAsia="zh-CN" w:bidi="ar"/>
              </w:rPr>
              <w:t>因数据治理项目复杂、涉及内容较多，为确保项目顺利实施，</w:t>
            </w:r>
            <w:r>
              <w:rPr>
                <w:rFonts w:hint="eastAsia" w:cs="宋体"/>
                <w:b/>
                <w:bCs/>
                <w:i w:val="0"/>
                <w:iCs w:val="0"/>
                <w:color w:val="auto"/>
                <w:kern w:val="0"/>
                <w:sz w:val="22"/>
                <w:szCs w:val="22"/>
                <w:highlight w:val="none"/>
                <w:u w:val="none"/>
                <w:lang w:val="en-US" w:eastAsia="zh-CN" w:bidi="ar"/>
              </w:rPr>
              <w:t>需在2022年8月22日11时（8月21日12时前提供两码一核酸报备进校，逾期将无法进校），供应商派专业技术人员统一到学校进行现场踏勘，学校</w:t>
            </w:r>
            <w:r>
              <w:rPr>
                <w:rFonts w:hint="eastAsia" w:ascii="宋体" w:hAnsi="宋体" w:cs="宋体"/>
                <w:b/>
                <w:bCs/>
                <w:i w:val="0"/>
                <w:iCs w:val="0"/>
                <w:color w:val="auto"/>
                <w:kern w:val="0"/>
                <w:sz w:val="22"/>
                <w:szCs w:val="22"/>
                <w:highlight w:val="none"/>
                <w:u w:val="none"/>
                <w:lang w:val="en-US" w:eastAsia="zh-CN" w:bidi="ar"/>
              </w:rPr>
              <w:t>出具现场</w:t>
            </w:r>
            <w:r>
              <w:rPr>
                <w:rFonts w:hint="eastAsia" w:cs="宋体"/>
                <w:b/>
                <w:bCs/>
                <w:i w:val="0"/>
                <w:iCs w:val="0"/>
                <w:color w:val="auto"/>
                <w:kern w:val="0"/>
                <w:sz w:val="22"/>
                <w:szCs w:val="22"/>
                <w:highlight w:val="none"/>
                <w:u w:val="none"/>
                <w:lang w:val="en-US" w:eastAsia="zh-CN" w:bidi="ar"/>
              </w:rPr>
              <w:t>踏勘</w:t>
            </w:r>
            <w:r>
              <w:rPr>
                <w:rFonts w:hint="eastAsia" w:ascii="宋体" w:hAnsi="宋体" w:cs="宋体"/>
                <w:b/>
                <w:bCs/>
                <w:i w:val="0"/>
                <w:iCs w:val="0"/>
                <w:color w:val="auto"/>
                <w:kern w:val="0"/>
                <w:sz w:val="22"/>
                <w:szCs w:val="22"/>
                <w:highlight w:val="none"/>
                <w:u w:val="none"/>
                <w:lang w:val="en-US" w:eastAsia="zh-CN" w:bidi="ar"/>
              </w:rPr>
              <w:t>证明文件</w:t>
            </w:r>
            <w:r>
              <w:rPr>
                <w:rFonts w:hint="eastAsia" w:cs="宋体"/>
                <w:b/>
                <w:bCs/>
                <w:i w:val="0"/>
                <w:iCs w:val="0"/>
                <w:color w:val="auto"/>
                <w:kern w:val="0"/>
                <w:sz w:val="22"/>
                <w:szCs w:val="22"/>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22</w:t>
            </w:r>
          </w:p>
        </w:tc>
        <w:tc>
          <w:tcPr>
            <w:tcW w:w="9034" w:type="dxa"/>
            <w:tcBorders>
              <w:top w:val="single" w:color="auto" w:sz="4" w:space="0"/>
              <w:left w:val="single" w:color="auto" w:sz="4" w:space="0"/>
              <w:bottom w:val="single" w:color="auto" w:sz="4" w:space="0"/>
              <w:right w:val="single" w:color="auto" w:sz="4" w:space="0"/>
            </w:tcBorders>
            <w:vAlign w:val="top"/>
          </w:tcPr>
          <w:p>
            <w:pPr>
              <w:pStyle w:val="10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78" w:rightChars="0"/>
              <w:jc w:val="both"/>
              <w:textAlignment w:val="auto"/>
              <w:rPr>
                <w:rFonts w:hint="eastAsia" w:asciiTheme="minorEastAsia" w:hAnsiTheme="minorEastAsia" w:eastAsiaTheme="minorEastAsia" w:cstheme="minorEastAsia"/>
                <w:i w:val="0"/>
                <w:iCs w:val="0"/>
                <w:color w:val="auto"/>
                <w:kern w:val="2"/>
                <w:sz w:val="24"/>
                <w:szCs w:val="24"/>
                <w:highlight w:val="none"/>
                <w:lang w:val="zh-CN" w:eastAsia="zh-CN" w:bidi="ar-SA"/>
              </w:rPr>
            </w:pPr>
            <w:r>
              <w:rPr>
                <w:rFonts w:hint="eastAsia" w:asciiTheme="minorEastAsia" w:hAnsiTheme="minorEastAsia" w:eastAsiaTheme="minorEastAsia" w:cstheme="minorEastAsia"/>
                <w:i w:val="0"/>
                <w:iCs w:val="0"/>
                <w:color w:val="auto"/>
                <w:kern w:val="2"/>
                <w:sz w:val="24"/>
                <w:szCs w:val="24"/>
                <w:highlight w:val="none"/>
                <w:lang w:val="zh-CN" w:eastAsia="zh-CN" w:bidi="ar-SA"/>
              </w:rPr>
              <w:t xml:space="preserve">本项目招标代理服务费参考《招标代理服务收费管理暂行办法》（计价格[2002]1980号）按照采购类计价，由成交人支付。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授　予　合　同</w:t>
            </w:r>
          </w:p>
        </w:tc>
      </w:tr>
    </w:tbl>
    <w:p>
      <w:pPr>
        <w:rPr>
          <w:rFonts w:hint="eastAsia"/>
          <w:color w:val="auto"/>
          <w:highlight w:val="none"/>
        </w:rPr>
      </w:pPr>
      <w:bookmarkStart w:id="14" w:name="_Toc349637920"/>
      <w:bookmarkStart w:id="15" w:name="_Toc267301282"/>
      <w:bookmarkStart w:id="16" w:name="_Toc349573121"/>
      <w:bookmarkStart w:id="17" w:name="_Toc298240405"/>
      <w:bookmarkStart w:id="18" w:name="_Toc468707218"/>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A  说　明</w:t>
      </w:r>
      <w:bookmarkEnd w:id="14"/>
      <w:bookmarkEnd w:id="15"/>
      <w:bookmarkEnd w:id="16"/>
      <w:bookmarkEnd w:id="17"/>
      <w:bookmarkEnd w:id="18"/>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 适用范围</w:t>
      </w:r>
    </w:p>
    <w:p>
      <w:pPr>
        <w:numPr>
          <w:ilvl w:val="1"/>
          <w:numId w:val="3"/>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本磋商文件仅适用于本次磋商中所叙述项目的货物及服务采购。</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2．定义</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2.1 “招标代理机构”系指</w:t>
      </w:r>
      <w:r>
        <w:rPr>
          <w:rFonts w:hint="eastAsia" w:asciiTheme="minorEastAsia" w:hAnsiTheme="minorEastAsia" w:eastAsiaTheme="minorEastAsia" w:cstheme="minorEastAsia"/>
          <w:i w:val="0"/>
          <w:iCs w:val="0"/>
          <w:color w:val="auto"/>
          <w:sz w:val="24"/>
          <w:highlight w:val="none"/>
          <w:lang w:eastAsia="zh-CN"/>
        </w:rPr>
        <w:t>新疆元泓工程项目管理咨询有限公司</w:t>
      </w:r>
      <w:r>
        <w:rPr>
          <w:rFonts w:hint="eastAsia" w:asciiTheme="minorEastAsia" w:hAnsiTheme="minorEastAsia" w:eastAsiaTheme="minorEastAsia" w:cstheme="minorEastAsia"/>
          <w:i w:val="0"/>
          <w:iCs w:val="0"/>
          <w:color w:val="auto"/>
          <w:sz w:val="24"/>
          <w:highlight w:val="none"/>
        </w:rPr>
        <w:t>；</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 “买方”系指</w:t>
      </w:r>
      <w:r>
        <w:rPr>
          <w:rFonts w:hint="eastAsia" w:asciiTheme="minorEastAsia" w:hAnsiTheme="minorEastAsia" w:eastAsiaTheme="minorEastAsia" w:cstheme="minorEastAsia"/>
          <w:i w:val="0"/>
          <w:iCs w:val="0"/>
          <w:color w:val="auto"/>
          <w:sz w:val="24"/>
          <w:highlight w:val="none"/>
          <w:lang w:val="en-US" w:eastAsia="zh-CN"/>
        </w:rPr>
        <w:t>新疆交通职业技术学院</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 “磋商供应商”系指向招标代理机构提交磋商响应文件的制造商或代理商；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 “成交方”系指在本次磋商中成交，将被授予合同的供应商，即成为“成交方”。</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3．合格的供应商</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 有能力提供磋商文件中所要求的货物及服务、资格审查合格的制造商或代理商为合格的供应商；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3.2 供应商必须遵守有关的国内法律和规章条例。</w:t>
      </w:r>
    </w:p>
    <w:p>
      <w:pPr>
        <w:spacing w:line="240" w:lineRule="auto"/>
        <w:rPr>
          <w:rFonts w:hint="eastAsia" w:asciiTheme="minorEastAsia" w:hAnsiTheme="minorEastAsia" w:eastAsiaTheme="minorEastAsia" w:cstheme="minorEastAsia"/>
          <w:b w:val="0"/>
          <w:bCs w:val="0"/>
          <w:i w:val="0"/>
          <w:iCs w:val="0"/>
          <w:color w:val="auto"/>
          <w:sz w:val="24"/>
          <w:highlight w:val="none"/>
          <w:lang w:eastAsia="zh-CN"/>
        </w:rPr>
      </w:pPr>
      <w:r>
        <w:rPr>
          <w:rFonts w:hint="eastAsia" w:asciiTheme="minorEastAsia" w:hAnsiTheme="minorEastAsia" w:eastAsiaTheme="minorEastAsia" w:cstheme="minorEastAsia"/>
          <w:b w:val="0"/>
          <w:bCs w:val="0"/>
          <w:i w:val="0"/>
          <w:iCs w:val="0"/>
          <w:color w:val="auto"/>
          <w:sz w:val="24"/>
          <w:highlight w:val="none"/>
        </w:rPr>
        <w:t>4．供应商</w:t>
      </w:r>
      <w:r>
        <w:rPr>
          <w:rFonts w:hint="eastAsia" w:asciiTheme="minorEastAsia" w:hAnsiTheme="minorEastAsia" w:eastAsiaTheme="minorEastAsia" w:cstheme="minorEastAsia"/>
          <w:b w:val="0"/>
          <w:bCs w:val="0"/>
          <w:i w:val="0"/>
          <w:iCs w:val="0"/>
          <w:color w:val="auto"/>
          <w:sz w:val="24"/>
          <w:highlight w:val="none"/>
          <w:lang w:eastAsia="zh-CN"/>
        </w:rPr>
        <w:t>的</w:t>
      </w:r>
      <w:r>
        <w:rPr>
          <w:rFonts w:hint="eastAsia" w:asciiTheme="minorEastAsia" w:hAnsiTheme="minorEastAsia" w:eastAsiaTheme="minorEastAsia" w:cstheme="minorEastAsia"/>
          <w:b w:val="0"/>
          <w:bCs w:val="0"/>
          <w:i w:val="0"/>
          <w:iCs w:val="0"/>
          <w:color w:val="auto"/>
          <w:sz w:val="24"/>
          <w:highlight w:val="none"/>
        </w:rPr>
        <w:t>资格</w:t>
      </w:r>
      <w:r>
        <w:rPr>
          <w:rFonts w:hint="eastAsia" w:asciiTheme="minorEastAsia" w:hAnsiTheme="minorEastAsia" w:eastAsiaTheme="minorEastAsia" w:cstheme="minorEastAsia"/>
          <w:b w:val="0"/>
          <w:bCs w:val="0"/>
          <w:i w:val="0"/>
          <w:iCs w:val="0"/>
          <w:color w:val="auto"/>
          <w:sz w:val="24"/>
          <w:highlight w:val="none"/>
          <w:lang w:eastAsia="zh-CN"/>
        </w:rPr>
        <w:t>要求</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4.1.满足《中华人民共和国政府采购法》第二十二条规定；</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1）具有独立承担民事责任的能力；</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2）具有良好的商业信誉和健全的财务会计制度；</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3）具有履行合同所必需的设备和专业技术能力；</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4）有依法缴纳税收和社会保障资金的良好记录；</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5）参加政府采购活动前三年内，在经营活动中没有重大违法记录；</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4.2.落实政府采购政策需满足的资格要求：供应商为中小企业/小微企业；</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4.3.本项目的特定资格要求：</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1）供应商须出具工商营业执照副本、税务登记证副本、组织机构代码证副本或“三证合一”的营业执照副本；</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3）单位负责人为同一人或者存在直接控股、管理关系的不同供应商，不得同时参加本项目的竞争； </w:t>
      </w: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5．磋商费用</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w:t>
      </w:r>
      <w:r>
        <w:rPr>
          <w:rFonts w:hint="eastAsia" w:asciiTheme="minorEastAsia" w:hAnsiTheme="minorEastAsia" w:eastAsiaTheme="minorEastAsia" w:cstheme="minorEastAsia"/>
          <w:i w:val="0"/>
          <w:iCs w:val="0"/>
          <w:color w:val="auto"/>
          <w:sz w:val="24"/>
          <w:highlight w:val="none"/>
          <w:lang w:val="en-US" w:eastAsia="zh-CN"/>
        </w:rPr>
        <w:t>1</w:t>
      </w:r>
      <w:r>
        <w:rPr>
          <w:rFonts w:hint="eastAsia" w:asciiTheme="minorEastAsia" w:hAnsiTheme="minorEastAsia" w:eastAsiaTheme="minorEastAsia" w:cstheme="minorEastAsia"/>
          <w:i w:val="0"/>
          <w:iCs w:val="0"/>
          <w:color w:val="auto"/>
          <w:sz w:val="24"/>
          <w:highlight w:val="none"/>
        </w:rPr>
        <w:t>无论磋商过程中的结果如何，供应商将自行承担所有与参加磋商有关的全部费用。</w:t>
      </w:r>
      <w:bookmarkStart w:id="19" w:name="_Toc349637921"/>
      <w:bookmarkStart w:id="20" w:name="_Toc298240406"/>
      <w:bookmarkStart w:id="21" w:name="_Toc267301283"/>
      <w:bookmarkStart w:id="22" w:name="_Toc349573122"/>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3" w:name="_Toc468707219"/>
      <w:r>
        <w:rPr>
          <w:rFonts w:hint="eastAsia" w:asciiTheme="minorEastAsia" w:hAnsiTheme="minorEastAsia" w:eastAsiaTheme="minorEastAsia" w:cstheme="minorEastAsia"/>
          <w:i w:val="0"/>
          <w:iCs w:val="0"/>
          <w:color w:val="auto"/>
          <w:sz w:val="28"/>
          <w:szCs w:val="28"/>
          <w:highlight w:val="none"/>
        </w:rPr>
        <w:t>B  磋商文件</w:t>
      </w:r>
      <w:bookmarkEnd w:id="19"/>
      <w:bookmarkEnd w:id="20"/>
      <w:bookmarkEnd w:id="21"/>
      <w:bookmarkEnd w:id="22"/>
      <w:bookmarkEnd w:id="23"/>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6．磋商文件构成</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6.1磋商文件包括：</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⑴磋商公告；</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⑵供应商须知；</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⑶</w:t>
      </w:r>
      <w:r>
        <w:rPr>
          <w:rFonts w:hint="eastAsia" w:asciiTheme="minorEastAsia" w:hAnsiTheme="minorEastAsia" w:eastAsiaTheme="minorEastAsia" w:cstheme="minorEastAsia"/>
          <w:i w:val="0"/>
          <w:iCs w:val="0"/>
          <w:color w:val="auto"/>
          <w:sz w:val="24"/>
          <w:highlight w:val="none"/>
          <w:lang w:eastAsia="zh-CN"/>
        </w:rPr>
        <w:t>采购</w:t>
      </w:r>
      <w:r>
        <w:rPr>
          <w:rFonts w:hint="eastAsia" w:asciiTheme="minorEastAsia" w:hAnsiTheme="minorEastAsia" w:eastAsiaTheme="minorEastAsia" w:cstheme="minorEastAsia"/>
          <w:i w:val="0"/>
          <w:iCs w:val="0"/>
          <w:color w:val="auto"/>
          <w:sz w:val="24"/>
          <w:highlight w:val="none"/>
        </w:rPr>
        <w:t>需求及技术要求；</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⑷合同一般条款；</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⑸合同特殊条款；</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⑹范本格式。</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6.2 磋商文件以中文编写。</w:t>
      </w:r>
    </w:p>
    <w:p>
      <w:pPr>
        <w:spacing w:line="240" w:lineRule="auto"/>
        <w:ind w:left="360" w:hanging="360" w:hangingChars="1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7．磋商文件澄清</w:t>
      </w:r>
    </w:p>
    <w:p>
      <w:pPr>
        <w:spacing w:line="240" w:lineRule="auto"/>
        <w:ind w:left="480" w:hanging="48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7.1 供应商对磋商文件有疑问的，可以向招标代理机构提出询问，招标代理机构将及时做出答复；</w:t>
      </w:r>
      <w:r>
        <w:rPr>
          <w:rFonts w:hint="eastAsia" w:asciiTheme="minorEastAsia" w:hAnsiTheme="minorEastAsia" w:eastAsiaTheme="minorEastAsia" w:cstheme="minorEastAsia"/>
          <w:i w:val="0"/>
          <w:iCs w:val="0"/>
          <w:color w:val="auto"/>
          <w:sz w:val="24"/>
          <w:highlight w:val="none"/>
          <w:lang w:val="en-US" w:eastAsia="zh-CN"/>
        </w:rPr>
        <w:t xml:space="preserve"> </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7.2 供应商对磋商文件有质疑，须在磋商响应文件</w:t>
      </w:r>
      <w:r>
        <w:rPr>
          <w:rFonts w:hint="eastAsia" w:asciiTheme="minorEastAsia" w:hAnsiTheme="minorEastAsia" w:eastAsiaTheme="minorEastAsia" w:cstheme="minorEastAsia"/>
          <w:i w:val="0"/>
          <w:iCs w:val="0"/>
          <w:color w:val="auto"/>
          <w:sz w:val="24"/>
          <w:szCs w:val="24"/>
          <w:highlight w:val="none"/>
        </w:rPr>
        <w:t>递交截止时间5日以前，以书面形式向招标机构提出质疑；招标机构在收到书面质疑后尽快做</w:t>
      </w:r>
      <w:r>
        <w:rPr>
          <w:rFonts w:hint="eastAsia" w:asciiTheme="minorEastAsia" w:hAnsiTheme="minorEastAsia" w:eastAsiaTheme="minorEastAsia" w:cstheme="minorEastAsia"/>
          <w:i w:val="0"/>
          <w:iCs w:val="0"/>
          <w:color w:val="auto"/>
          <w:sz w:val="24"/>
          <w:highlight w:val="none"/>
        </w:rPr>
        <w:t>出答复，并以书面形式通知质疑供应商。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  磋商文件的修改</w:t>
      </w:r>
    </w:p>
    <w:p>
      <w:pPr>
        <w:spacing w:line="240" w:lineRule="auto"/>
        <w:ind w:left="480" w:hanging="48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highlight w:val="none"/>
        </w:rPr>
        <w:t>8.1 对磋商文件进行必要的修改，招标代理机</w:t>
      </w:r>
      <w:r>
        <w:rPr>
          <w:rFonts w:hint="eastAsia" w:asciiTheme="minorEastAsia" w:hAnsiTheme="minorEastAsia" w:eastAsiaTheme="minorEastAsia" w:cstheme="minorEastAsia"/>
          <w:i w:val="0"/>
          <w:iCs w:val="0"/>
          <w:color w:val="auto"/>
          <w:sz w:val="24"/>
          <w:szCs w:val="24"/>
          <w:highlight w:val="none"/>
        </w:rPr>
        <w:t>构将在投标截止时间2日前以书面形式通知所有购买磋商文件的供应商。该修改的内容为磋商文件的组成部分；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8.2 供应商在规定的时间内未对磋商文件提出澄清要求的，招标代理机构将视其为同意。</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8.3 在投标截止时间前，招标机构可视具体情况延长磋商截止时间，并将变更时间书面通知所有购买磋商文件的供应商。</w:t>
      </w: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4" w:name="_Toc349573123"/>
      <w:bookmarkStart w:id="25" w:name="_Toc468707220"/>
      <w:bookmarkStart w:id="26" w:name="_Toc267301284"/>
      <w:bookmarkStart w:id="27" w:name="_Toc349637922"/>
      <w:bookmarkStart w:id="28" w:name="_Toc298240407"/>
      <w:r>
        <w:rPr>
          <w:rFonts w:hint="eastAsia" w:asciiTheme="minorEastAsia" w:hAnsiTheme="minorEastAsia" w:eastAsiaTheme="minorEastAsia" w:cstheme="minorEastAsia"/>
          <w:i w:val="0"/>
          <w:iCs w:val="0"/>
          <w:color w:val="auto"/>
          <w:sz w:val="28"/>
          <w:szCs w:val="28"/>
          <w:highlight w:val="none"/>
        </w:rPr>
        <w:t>C  磋商响应文件的编写</w:t>
      </w:r>
      <w:bookmarkEnd w:id="24"/>
      <w:bookmarkEnd w:id="25"/>
      <w:bookmarkEnd w:id="26"/>
      <w:bookmarkEnd w:id="27"/>
      <w:bookmarkEnd w:id="28"/>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9．要求</w:t>
      </w:r>
    </w:p>
    <w:p>
      <w:pPr>
        <w:spacing w:line="240" w:lineRule="auto"/>
        <w:ind w:left="360" w:hanging="360" w:hangingChars="1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9.1 供应商应仔细阅读磋商文件的所有内容，按磋商文件的要求提供磋商响应文件，并保证所提供的全部资料的真实性，以使其磋商响应对磋商文件作出实质性响应，否则，其磋商可能被拒绝。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10．磋商语言</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11．磋商响应文件的构成</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11.1 </w:t>
      </w:r>
      <w:r>
        <w:rPr>
          <w:rFonts w:hint="eastAsia" w:asciiTheme="minorEastAsia" w:hAnsiTheme="minorEastAsia" w:eastAsiaTheme="minorEastAsia" w:cstheme="minorEastAsia"/>
          <w:b/>
          <w:i w:val="0"/>
          <w:iCs w:val="0"/>
          <w:color w:val="auto"/>
          <w:sz w:val="24"/>
          <w:highlight w:val="none"/>
        </w:rPr>
        <w:t>供应商编写的磋商响应文件应包括下列内容</w:t>
      </w:r>
      <w:r>
        <w:rPr>
          <w:rFonts w:hint="eastAsia" w:asciiTheme="minorEastAsia" w:hAnsiTheme="minorEastAsia" w:eastAsiaTheme="minorEastAsia" w:cstheme="minorEastAsia"/>
          <w:i w:val="0"/>
          <w:iCs w:val="0"/>
          <w:color w:val="auto"/>
          <w:sz w:val="24"/>
          <w:highlight w:val="none"/>
        </w:rPr>
        <w:t>：</w:t>
      </w:r>
    </w:p>
    <w:p>
      <w:pPr>
        <w:numPr>
          <w:ilvl w:val="0"/>
          <w:numId w:val="4"/>
        </w:numPr>
        <w:tabs>
          <w:tab w:val="left" w:pos="540"/>
          <w:tab w:val="left" w:pos="900"/>
        </w:tabs>
        <w:spacing w:line="240" w:lineRule="auto"/>
        <w:ind w:left="640" w:leftChars="0" w:hanging="22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磋商书</w:t>
      </w:r>
      <w:r>
        <w:rPr>
          <w:rFonts w:hint="eastAsia" w:asciiTheme="minorEastAsia" w:hAnsiTheme="minorEastAsia" w:eastAsiaTheme="minorEastAsia" w:cstheme="minorEastAsia"/>
          <w:i w:val="0"/>
          <w:iCs w:val="0"/>
          <w:color w:val="auto"/>
          <w:sz w:val="24"/>
          <w:highlight w:val="none"/>
          <w:lang w:eastAsia="zh-CN"/>
        </w:rPr>
        <w:t>承诺书</w:t>
      </w:r>
    </w:p>
    <w:p>
      <w:pPr>
        <w:numPr>
          <w:ilvl w:val="0"/>
          <w:numId w:val="4"/>
        </w:numPr>
        <w:tabs>
          <w:tab w:val="left" w:pos="540"/>
          <w:tab w:val="left" w:pos="900"/>
        </w:tabs>
        <w:spacing w:line="240" w:lineRule="auto"/>
        <w:ind w:left="1260" w:leftChars="0" w:hanging="84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报价表</w:t>
      </w:r>
      <w:r>
        <w:rPr>
          <w:rFonts w:hint="eastAsia" w:asciiTheme="minorEastAsia" w:hAnsiTheme="minorEastAsia" w:eastAsiaTheme="minorEastAsia" w:cstheme="minorEastAsia"/>
          <w:i w:val="0"/>
          <w:iCs w:val="0"/>
          <w:color w:val="auto"/>
          <w:sz w:val="24"/>
          <w:highlight w:val="none"/>
          <w:lang w:eastAsia="zh-CN"/>
        </w:rPr>
        <w:t>、最终报价表</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法定代表人授权书</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法定代表人身份证明书</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保证金汇款凭证</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商务标</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技术标</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关于资格的声明函</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反商业贿赂承诺书</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近三年（20</w:t>
      </w:r>
      <w:r>
        <w:rPr>
          <w:rFonts w:hint="eastAsia" w:asciiTheme="minorEastAsia" w:hAnsiTheme="minorEastAsia" w:eastAsiaTheme="minorEastAsia" w:cstheme="minorEastAsia"/>
          <w:i w:val="0"/>
          <w:iCs w:val="0"/>
          <w:color w:val="auto"/>
          <w:sz w:val="24"/>
          <w:highlight w:val="none"/>
          <w:lang w:val="en-US" w:eastAsia="zh-CN"/>
        </w:rPr>
        <w:t>19</w:t>
      </w:r>
      <w:r>
        <w:rPr>
          <w:rFonts w:hint="eastAsia" w:asciiTheme="minorEastAsia" w:hAnsiTheme="minorEastAsia" w:eastAsiaTheme="minorEastAsia" w:cstheme="minorEastAsia"/>
          <w:i w:val="0"/>
          <w:iCs w:val="0"/>
          <w:color w:val="auto"/>
          <w:sz w:val="24"/>
          <w:highlight w:val="none"/>
        </w:rPr>
        <w:t>年</w:t>
      </w:r>
      <w:r>
        <w:rPr>
          <w:rFonts w:hint="eastAsia" w:asciiTheme="minorEastAsia" w:hAnsiTheme="minorEastAsia" w:eastAsiaTheme="minorEastAsia" w:cstheme="minorEastAsia"/>
          <w:i w:val="0"/>
          <w:iCs w:val="0"/>
          <w:color w:val="auto"/>
          <w:sz w:val="24"/>
          <w:highlight w:val="none"/>
          <w:lang w:val="en-US" w:eastAsia="zh-CN"/>
        </w:rPr>
        <w:t>8月1日</w:t>
      </w:r>
      <w:r>
        <w:rPr>
          <w:rFonts w:hint="eastAsia" w:asciiTheme="minorEastAsia" w:hAnsiTheme="minorEastAsia" w:eastAsiaTheme="minorEastAsia" w:cstheme="minorEastAsia"/>
          <w:i w:val="0"/>
          <w:iCs w:val="0"/>
          <w:color w:val="auto"/>
          <w:sz w:val="24"/>
          <w:highlight w:val="none"/>
        </w:rPr>
        <w:t>至今）类似业绩表</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供应商具备投标资格的证明文件</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项目负责人简历表及拟投入本项目主要成员表</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财务状况报告</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中小企业声明函（符合本声明函填写）</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售后服务承诺</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投标人认为的其他资料及附件格式自拟</w:t>
      </w:r>
    </w:p>
    <w:p>
      <w:pPr>
        <w:autoSpaceDE w:val="0"/>
        <w:autoSpaceDN w:val="0"/>
        <w:spacing w:line="360" w:lineRule="auto"/>
        <w:ind w:firstLine="480" w:firstLineChars="200"/>
        <w:jc w:val="left"/>
        <w:rPr>
          <w:rFonts w:hint="eastAsia"/>
          <w:color w:val="auto"/>
          <w:highlight w:val="none"/>
          <w:lang w:val="en-US" w:eastAsia="zh-CN"/>
        </w:rPr>
      </w:pP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文件包括但不仅限于上述内容，如有不足，请自行补充提供。</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11.2 供应商应将磋商响应文件装订成册，并填写文件资料清单。</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12．磋商响应文件格式</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12.1 供应商应按磋商文件的范本格式中提供的文件格式填写磋商书、磋商报价表、磋商报价分项表。</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13．磋商报价</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13.1 供应商应在磋商报价表上标明单价和总价。单价和总价要相符。小写和大写要相符。供应商应在磋商报价表中标明其提供的所有货物及其相关工作范围内所有费用的总价，不接受有任何选择性磋商报价。</w:t>
      </w:r>
    </w:p>
    <w:p>
      <w:pPr>
        <w:spacing w:line="240" w:lineRule="auto"/>
        <w:ind w:left="629" w:hanging="628" w:hangingChars="262"/>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 算术性修正。算术性修正是指对磋商响应文件的报价明细进行校核，并对其算术上和运算上的差错给予修正。修正的原则如下：</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13.2.1 当以数字表示的金额与文字表示的金额有差异时，以文字表示的金额为准；</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13.2.2 当单价与数量相乘不等于合价时，以单价计算为准。如果单价有明显的小数点位置差错，应以标出的合价为准，同时对单价予以修正；</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13.2.3 当各明细部分的价格累计不等于合价时，应以各明细的累计计数为准，修正合价。</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13.2.4 按以上原则对算术性差错修正，应取得供应商的同意，并确认修正后最终磋商报价。如果供应商拒绝确认，则其磋商响应文件将不予以评审并按废标处理，没收其投标担保。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14．投标货币</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14.1人民币报价。</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15．供应商的证明文件：</w:t>
      </w:r>
    </w:p>
    <w:p>
      <w:pPr>
        <w:spacing w:line="240" w:lineRule="auto"/>
        <w:ind w:left="525" w:leftChars="250"/>
        <w:rPr>
          <w:rFonts w:hint="eastAsia" w:asciiTheme="minorEastAsia" w:hAnsiTheme="minorEastAsia" w:eastAsiaTheme="minorEastAsia" w:cstheme="minorEastAsia"/>
          <w:b/>
          <w:i w:val="0"/>
          <w:iCs w:val="0"/>
          <w:color w:val="auto"/>
          <w:spacing w:val="8"/>
          <w:sz w:val="24"/>
          <w:szCs w:val="24"/>
          <w:highlight w:val="none"/>
        </w:rPr>
      </w:pPr>
      <w:r>
        <w:rPr>
          <w:rFonts w:hint="eastAsia" w:asciiTheme="minorEastAsia" w:hAnsiTheme="minorEastAsia" w:eastAsiaTheme="minorEastAsia" w:cstheme="minorEastAsia"/>
          <w:i w:val="0"/>
          <w:iCs w:val="0"/>
          <w:color w:val="auto"/>
          <w:sz w:val="24"/>
          <w:highlight w:val="none"/>
        </w:rPr>
        <w:t>供应商必须提交证明其有资格进行磋商和有能力履行合同的文件（范本格式），作为磋商响应文件的一部分。</w:t>
      </w:r>
      <w:r>
        <w:rPr>
          <w:rFonts w:hint="eastAsia" w:asciiTheme="minorEastAsia" w:hAnsiTheme="minorEastAsia" w:eastAsiaTheme="minorEastAsia" w:cstheme="minorEastAsia"/>
          <w:b/>
          <w:i w:val="0"/>
          <w:iCs w:val="0"/>
          <w:color w:val="auto"/>
          <w:sz w:val="24"/>
          <w:highlight w:val="none"/>
        </w:rPr>
        <w:t>（</w:t>
      </w:r>
      <w:r>
        <w:rPr>
          <w:rFonts w:hint="eastAsia" w:asciiTheme="minorEastAsia" w:hAnsiTheme="minorEastAsia" w:eastAsiaTheme="minorEastAsia" w:cstheme="minorEastAsia"/>
          <w:b/>
          <w:i w:val="0"/>
          <w:iCs w:val="0"/>
          <w:color w:val="auto"/>
          <w:spacing w:val="8"/>
          <w:sz w:val="24"/>
          <w:szCs w:val="24"/>
          <w:highlight w:val="none"/>
        </w:rPr>
        <w:t>如不满足以下条款将导致废标）</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1、有效的营业执照原件；</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lang w:val="en-US" w:eastAsia="zh-CN"/>
        </w:rPr>
        <w:t>2、法人授权委托书（附法人身份证复印件及被授权人身份证复印件，加盖公章及法人章）；3、</w:t>
      </w:r>
      <w:r>
        <w:rPr>
          <w:rFonts w:hint="eastAsia" w:asciiTheme="minorEastAsia" w:hAnsiTheme="minorEastAsia" w:eastAsiaTheme="minorEastAsia" w:cstheme="minorEastAsia"/>
          <w:b/>
          <w:bCs/>
          <w:i w:val="0"/>
          <w:iCs w:val="0"/>
          <w:color w:val="auto"/>
          <w:sz w:val="24"/>
          <w:szCs w:val="24"/>
          <w:highlight w:val="none"/>
          <w:lang w:eastAsia="zh-CN"/>
        </w:rPr>
        <w:t>磋商</w:t>
      </w:r>
      <w:r>
        <w:rPr>
          <w:rFonts w:hint="eastAsia" w:asciiTheme="minorEastAsia" w:hAnsiTheme="minorEastAsia" w:eastAsiaTheme="minorEastAsia" w:cstheme="minorEastAsia"/>
          <w:b/>
          <w:bCs/>
          <w:i w:val="0"/>
          <w:iCs w:val="0"/>
          <w:color w:val="auto"/>
          <w:sz w:val="24"/>
          <w:szCs w:val="24"/>
          <w:highlight w:val="none"/>
        </w:rPr>
        <w:t>保证金汇款凭证（复印件盖公章）</w:t>
      </w:r>
      <w:r>
        <w:rPr>
          <w:rFonts w:hint="eastAsia" w:asciiTheme="minorEastAsia" w:hAnsiTheme="minorEastAsia" w:eastAsiaTheme="minorEastAsia" w:cstheme="minorEastAsia"/>
          <w:b/>
          <w:bCs/>
          <w:i w:val="0"/>
          <w:iCs w:val="0"/>
          <w:color w:val="auto"/>
          <w:sz w:val="24"/>
          <w:szCs w:val="24"/>
          <w:highlight w:val="none"/>
          <w:lang w:eastAsia="zh-CN"/>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16 货物符合磋商文件规定的技术响应文件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16.1供应商须提交证明拟供货物和服务符合磋商文件规定的技术响应文件，作为磋商响应文件的一部分。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17．磋商的有效期</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17.1</w:t>
      </w:r>
      <w:r>
        <w:rPr>
          <w:rFonts w:hint="eastAsia" w:asciiTheme="minorEastAsia" w:hAnsiTheme="minorEastAsia" w:eastAsiaTheme="minorEastAsia" w:cstheme="minorEastAsia"/>
          <w:b/>
          <w:i w:val="0"/>
          <w:iCs w:val="0"/>
          <w:color w:val="auto"/>
          <w:sz w:val="24"/>
          <w:highlight w:val="none"/>
        </w:rPr>
        <w:t xml:space="preserve"> 磋商响应文件从磋商之日起，</w:t>
      </w:r>
      <w:r>
        <w:rPr>
          <w:rFonts w:hint="eastAsia" w:asciiTheme="minorEastAsia" w:hAnsiTheme="minorEastAsia" w:eastAsiaTheme="minorEastAsia" w:cstheme="minorEastAsia"/>
          <w:b/>
          <w:i w:val="0"/>
          <w:iCs w:val="0"/>
          <w:color w:val="auto"/>
          <w:sz w:val="24"/>
          <w:highlight w:val="none"/>
          <w:lang w:eastAsia="zh-CN"/>
        </w:rPr>
        <w:t>磋商</w:t>
      </w:r>
      <w:r>
        <w:rPr>
          <w:rFonts w:hint="eastAsia" w:asciiTheme="minorEastAsia" w:hAnsiTheme="minorEastAsia" w:eastAsiaTheme="minorEastAsia" w:cstheme="minorEastAsia"/>
          <w:b/>
          <w:i w:val="0"/>
          <w:iCs w:val="0"/>
          <w:color w:val="auto"/>
          <w:sz w:val="24"/>
          <w:highlight w:val="none"/>
        </w:rPr>
        <w:t>有效期为60天。（如不满足将导致废标）</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17.2 在特殊情况下，招标代理机构可与供应商商量延长磋商响应文件的有效期。</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18．磋商响应文件的书写要求。</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18.1 磋商响应文件须打印。</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18.2 磋商响应文件应清楚工整，修改处应由磋商供应商全权代表签章。</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18.3磋商响应文件应由法人代表或法人授权代表在凡规定签章处逐一签署及加盖单位的公章。</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18.4电报、电话、传真形式的投标概不接受。</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18.5磋商响应文件的份数：一式</w:t>
      </w:r>
      <w:r>
        <w:rPr>
          <w:rFonts w:hint="eastAsia" w:asciiTheme="minorEastAsia" w:hAnsiTheme="minorEastAsia" w:eastAsiaTheme="minorEastAsia" w:cstheme="minorEastAsia"/>
          <w:i w:val="0"/>
          <w:iCs w:val="0"/>
          <w:color w:val="auto"/>
          <w:sz w:val="24"/>
          <w:highlight w:val="none"/>
          <w:lang w:val="en-US" w:eastAsia="zh-CN"/>
        </w:rPr>
        <w:t>3</w:t>
      </w:r>
      <w:r>
        <w:rPr>
          <w:rFonts w:hint="eastAsia" w:asciiTheme="minorEastAsia" w:hAnsiTheme="minorEastAsia" w:eastAsiaTheme="minorEastAsia" w:cstheme="minorEastAsia"/>
          <w:i w:val="0"/>
          <w:iCs w:val="0"/>
          <w:color w:val="auto"/>
          <w:sz w:val="24"/>
          <w:highlight w:val="none"/>
        </w:rPr>
        <w:t>份。正本1份，副本</w:t>
      </w: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份。</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19.1</w:t>
      </w:r>
      <w:r>
        <w:rPr>
          <w:rFonts w:hint="eastAsia" w:asciiTheme="minorEastAsia" w:hAnsiTheme="minorEastAsia" w:eastAsiaTheme="minorEastAsia" w:cstheme="minorEastAsia"/>
          <w:b/>
          <w:i w:val="0"/>
          <w:iCs w:val="0"/>
          <w:color w:val="auto"/>
          <w:sz w:val="24"/>
          <w:highlight w:val="none"/>
        </w:rPr>
        <w:t>供应商按照供应商须知附表第4条缴纳磋商响应保证金。</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19.2 本次招标仅接受网银或电汇作为磋商保证金，</w:t>
      </w:r>
      <w:r>
        <w:rPr>
          <w:rFonts w:hint="eastAsia" w:asciiTheme="minorEastAsia" w:hAnsiTheme="minorEastAsia" w:eastAsiaTheme="minorEastAsia" w:cstheme="minorEastAsia"/>
          <w:i w:val="0"/>
          <w:iCs w:val="0"/>
          <w:color w:val="auto"/>
          <w:sz w:val="24"/>
          <w:szCs w:val="24"/>
          <w:highlight w:val="none"/>
        </w:rPr>
        <w:t>磋商保证金有效期应当与磋商响应有效期一致</w:t>
      </w:r>
      <w:r>
        <w:rPr>
          <w:rFonts w:hint="eastAsia" w:asciiTheme="minorEastAsia" w:hAnsiTheme="minorEastAsia" w:eastAsiaTheme="minorEastAsia" w:cstheme="minorEastAsia"/>
          <w:i w:val="0"/>
          <w:iCs w:val="0"/>
          <w:color w:val="auto"/>
          <w:sz w:val="24"/>
          <w:highlight w:val="none"/>
        </w:rPr>
        <w:t>。</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19.3磋商保证金的退还时间：</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19.3.1</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供应商的</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保证金，将在合同签订后的5个工作日内予以退还；未</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供应商的</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保证金在</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通知书发出后5个工作日内予以退还。</w:t>
      </w: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19.4</w:t>
      </w:r>
      <w:r>
        <w:rPr>
          <w:rFonts w:hint="eastAsia" w:asciiTheme="minorEastAsia" w:hAnsiTheme="minorEastAsia" w:eastAsiaTheme="minorEastAsia" w:cstheme="minorEastAsia"/>
          <w:b/>
          <w:i w:val="0"/>
          <w:iCs w:val="0"/>
          <w:color w:val="auto"/>
          <w:sz w:val="24"/>
          <w:highlight w:val="none"/>
        </w:rPr>
        <w:t>未按规定提交磋商保证金的磋商，将被视为磋商无效。</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19.5下列任何情况发生时，磋商保证金将被没收：</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19.5.1供应商在磋商文件规定的投标有效期内撤回其磋商</w:t>
      </w:r>
      <w:r>
        <w:rPr>
          <w:rFonts w:hint="eastAsia" w:asciiTheme="minorEastAsia" w:hAnsiTheme="minorEastAsia" w:eastAsiaTheme="minorEastAsia" w:cstheme="minorEastAsia"/>
          <w:i w:val="0"/>
          <w:iCs w:val="0"/>
          <w:color w:val="auto"/>
          <w:sz w:val="24"/>
          <w:highlight w:val="none"/>
          <w:lang w:eastAsia="zh-CN"/>
        </w:rPr>
        <w:t>文件</w:t>
      </w:r>
      <w:r>
        <w:rPr>
          <w:rFonts w:hint="eastAsia" w:asciiTheme="minorEastAsia" w:hAnsiTheme="minorEastAsia" w:eastAsiaTheme="minorEastAsia" w:cstheme="minorEastAsia"/>
          <w:i w:val="0"/>
          <w:iCs w:val="0"/>
          <w:color w:val="auto"/>
          <w:sz w:val="24"/>
          <w:highlight w:val="none"/>
        </w:rPr>
        <w:t>；</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19.5.2成交方在规定期限内未能：</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19.5.2.1按规定签订合同； </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19.5.2.2按规定向招标代理机构交纳代理服务费。</w:t>
      </w: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9" w:name="_Toc468707221"/>
      <w:bookmarkStart w:id="30" w:name="_Toc349573124"/>
      <w:bookmarkStart w:id="31" w:name="_Toc267301285"/>
      <w:bookmarkStart w:id="32" w:name="_Toc349637923"/>
      <w:bookmarkStart w:id="33" w:name="_Toc298240408"/>
      <w:r>
        <w:rPr>
          <w:rFonts w:hint="eastAsia" w:asciiTheme="minorEastAsia" w:hAnsiTheme="minorEastAsia" w:eastAsiaTheme="minorEastAsia" w:cstheme="minorEastAsia"/>
          <w:i w:val="0"/>
          <w:iCs w:val="0"/>
          <w:color w:val="auto"/>
          <w:sz w:val="28"/>
          <w:szCs w:val="28"/>
          <w:highlight w:val="none"/>
        </w:rPr>
        <w:t>D  磋商响应文件的递交</w:t>
      </w:r>
      <w:bookmarkEnd w:id="29"/>
      <w:bookmarkEnd w:id="30"/>
      <w:bookmarkEnd w:id="31"/>
      <w:bookmarkEnd w:id="32"/>
      <w:bookmarkEnd w:id="33"/>
    </w:p>
    <w:p>
      <w:pPr>
        <w:spacing w:line="240" w:lineRule="auto"/>
        <w:rPr>
          <w:rFonts w:hint="eastAsia" w:asciiTheme="minorEastAsia" w:hAnsiTheme="minorEastAsia" w:eastAsiaTheme="minorEastAsia" w:cstheme="minorEastAsia"/>
          <w:b/>
          <w:bCs/>
          <w:i w:val="0"/>
          <w:iCs w:val="0"/>
          <w:color w:val="auto"/>
          <w:sz w:val="24"/>
          <w:highlight w:val="none"/>
        </w:rPr>
      </w:pPr>
      <w:bookmarkStart w:id="34" w:name="_Toc349573125"/>
      <w:bookmarkStart w:id="35" w:name="_Toc349637924"/>
      <w:bookmarkStart w:id="36" w:name="_Toc267301286"/>
      <w:bookmarkStart w:id="37" w:name="_Toc468707222"/>
      <w:bookmarkStart w:id="38" w:name="_Toc298240409"/>
      <w:r>
        <w:rPr>
          <w:rFonts w:hint="eastAsia" w:asciiTheme="minorEastAsia" w:hAnsiTheme="minorEastAsia" w:eastAsiaTheme="minorEastAsia" w:cstheme="minorEastAsia"/>
          <w:b/>
          <w:bCs/>
          <w:i w:val="0"/>
          <w:iCs w:val="0"/>
          <w:color w:val="auto"/>
          <w:sz w:val="24"/>
          <w:highlight w:val="none"/>
        </w:rPr>
        <w:t>20. 磋商响应文件的密封与标记</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20.1 供应商应将磋商响应文件正、副本分别密封，在每个密封件的封面上标明供应商名称、法定代表人</w:t>
      </w:r>
      <w:r>
        <w:rPr>
          <w:rFonts w:hint="eastAsia" w:asciiTheme="minorEastAsia" w:hAnsiTheme="minorEastAsia" w:eastAsiaTheme="minorEastAsia" w:cstheme="minorEastAsia"/>
          <w:i w:val="0"/>
          <w:iCs w:val="0"/>
          <w:color w:val="auto"/>
          <w:sz w:val="24"/>
          <w:highlight w:val="none"/>
          <w:lang w:eastAsia="zh-CN"/>
        </w:rPr>
        <w:t>签字或盖章</w:t>
      </w:r>
      <w:r>
        <w:rPr>
          <w:rFonts w:hint="eastAsia" w:asciiTheme="minorEastAsia" w:hAnsiTheme="minorEastAsia" w:eastAsiaTheme="minorEastAsia" w:cstheme="minorEastAsia"/>
          <w:i w:val="0"/>
          <w:iCs w:val="0"/>
          <w:color w:val="auto"/>
          <w:sz w:val="24"/>
          <w:highlight w:val="none"/>
        </w:rPr>
        <w:t>、单位公章、正本或副本。</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20.2 磋商响应文件袋上应写明：</w:t>
      </w:r>
    </w:p>
    <w:p>
      <w:pPr>
        <w:numPr>
          <w:ilvl w:val="0"/>
          <w:numId w:val="0"/>
        </w:numPr>
        <w:tabs>
          <w:tab w:val="left" w:pos="1080"/>
        </w:tabs>
        <w:spacing w:line="240" w:lineRule="auto"/>
        <w:ind w:firstLine="240" w:firstLineChars="1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1、</w:t>
      </w:r>
      <w:r>
        <w:rPr>
          <w:rFonts w:hint="eastAsia" w:asciiTheme="minorEastAsia" w:hAnsiTheme="minorEastAsia" w:eastAsiaTheme="minorEastAsia" w:cstheme="minorEastAsia"/>
          <w:i w:val="0"/>
          <w:iCs w:val="0"/>
          <w:color w:val="auto"/>
          <w:sz w:val="24"/>
          <w:highlight w:val="none"/>
        </w:rPr>
        <w:t>招标机构：</w:t>
      </w:r>
    </w:p>
    <w:p>
      <w:pPr>
        <w:numPr>
          <w:ilvl w:val="0"/>
          <w:numId w:val="0"/>
        </w:numPr>
        <w:tabs>
          <w:tab w:val="left" w:pos="1080"/>
        </w:tabs>
        <w:spacing w:line="240" w:lineRule="auto"/>
        <w:ind w:firstLine="240" w:firstLineChars="1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项目名称：</w:t>
      </w:r>
    </w:p>
    <w:p>
      <w:pPr>
        <w:numPr>
          <w:ilvl w:val="0"/>
          <w:numId w:val="0"/>
        </w:numPr>
        <w:tabs>
          <w:tab w:val="left" w:pos="1080"/>
        </w:tabs>
        <w:spacing w:line="240" w:lineRule="auto"/>
        <w:ind w:firstLine="240" w:firstLineChars="1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3、</w:t>
      </w:r>
      <w:r>
        <w:rPr>
          <w:rFonts w:hint="eastAsia" w:asciiTheme="minorEastAsia" w:hAnsiTheme="minorEastAsia" w:eastAsiaTheme="minorEastAsia" w:cstheme="minorEastAsia"/>
          <w:i w:val="0"/>
          <w:iCs w:val="0"/>
          <w:color w:val="auto"/>
          <w:sz w:val="24"/>
          <w:highlight w:val="none"/>
        </w:rPr>
        <w:t>项目编号：</w:t>
      </w:r>
    </w:p>
    <w:p>
      <w:pPr>
        <w:numPr>
          <w:ilvl w:val="0"/>
          <w:numId w:val="0"/>
        </w:numPr>
        <w:tabs>
          <w:tab w:val="left" w:pos="1080"/>
        </w:tabs>
        <w:spacing w:line="240" w:lineRule="auto"/>
        <w:ind w:firstLine="240" w:firstLineChars="1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4、</w:t>
      </w:r>
      <w:r>
        <w:rPr>
          <w:rFonts w:hint="eastAsia" w:asciiTheme="minorEastAsia" w:hAnsiTheme="minorEastAsia" w:eastAsiaTheme="minorEastAsia" w:cstheme="minorEastAsia"/>
          <w:i w:val="0"/>
          <w:iCs w:val="0"/>
          <w:color w:val="auto"/>
          <w:sz w:val="24"/>
          <w:highlight w:val="none"/>
        </w:rPr>
        <w:t>注明“开标时才能启封”</w:t>
      </w:r>
    </w:p>
    <w:p>
      <w:pPr>
        <w:numPr>
          <w:ilvl w:val="0"/>
          <w:numId w:val="0"/>
        </w:numPr>
        <w:tabs>
          <w:tab w:val="left" w:pos="1080"/>
        </w:tabs>
        <w:spacing w:line="240" w:lineRule="auto"/>
        <w:ind w:firstLine="240" w:firstLineChars="1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5、</w:t>
      </w:r>
      <w:r>
        <w:rPr>
          <w:rFonts w:hint="eastAsia" w:asciiTheme="minorEastAsia" w:hAnsiTheme="minorEastAsia" w:eastAsiaTheme="minorEastAsia" w:cstheme="minorEastAsia"/>
          <w:i w:val="0"/>
          <w:iCs w:val="0"/>
          <w:color w:val="auto"/>
          <w:sz w:val="24"/>
          <w:highlight w:val="none"/>
        </w:rPr>
        <w:t>磋商单位名称：</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20.3磋商响应文件装订要求：磋商响应文件要求不得活页装订</w:t>
      </w:r>
    </w:p>
    <w:p>
      <w:pPr>
        <w:spacing w:line="24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rPr>
        <w:t>21. 磋商响应文件递交截止时间</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21.1 磋商响应文件的递交截止时间为</w:t>
      </w:r>
      <w:r>
        <w:rPr>
          <w:rFonts w:hint="eastAsia" w:asciiTheme="minorEastAsia" w:hAnsiTheme="minorEastAsia" w:eastAsiaTheme="minorEastAsia" w:cstheme="minorEastAsia"/>
          <w:b/>
          <w:bCs/>
          <w:i w:val="0"/>
          <w:iCs w:val="0"/>
          <w:color w:val="auto"/>
          <w:sz w:val="24"/>
          <w:highlight w:val="none"/>
        </w:rPr>
        <w:t>：</w:t>
      </w:r>
      <w:r>
        <w:rPr>
          <w:rFonts w:hint="eastAsia" w:asciiTheme="minorEastAsia" w:hAnsiTheme="minorEastAsia" w:eastAsiaTheme="minorEastAsia" w:cstheme="minorEastAsia"/>
          <w:b/>
          <w:bCs/>
          <w:i w:val="0"/>
          <w:iCs w:val="0"/>
          <w:color w:val="auto"/>
          <w:sz w:val="24"/>
          <w:highlight w:val="yellow"/>
          <w:lang w:val="en-US" w:eastAsia="zh-CN"/>
        </w:rPr>
        <w:t>2022年8月25日</w:t>
      </w:r>
      <w:r>
        <w:rPr>
          <w:rFonts w:hint="eastAsia" w:asciiTheme="minorEastAsia" w:hAnsiTheme="minorEastAsia" w:eastAsiaTheme="minorEastAsia" w:cstheme="minorEastAsia"/>
          <w:b/>
          <w:bCs/>
          <w:i w:val="0"/>
          <w:iCs w:val="0"/>
          <w:color w:val="auto"/>
          <w:sz w:val="24"/>
          <w:szCs w:val="24"/>
          <w:highlight w:val="yellow"/>
          <w:lang w:val="en-US" w:eastAsia="zh-CN"/>
        </w:rPr>
        <w:t>11</w:t>
      </w:r>
      <w:r>
        <w:rPr>
          <w:rFonts w:hint="eastAsia" w:asciiTheme="minorEastAsia" w:hAnsiTheme="minorEastAsia" w:eastAsiaTheme="minorEastAsia" w:cstheme="minorEastAsia"/>
          <w:b/>
          <w:bCs/>
          <w:i w:val="0"/>
          <w:iCs w:val="0"/>
          <w:color w:val="auto"/>
          <w:sz w:val="24"/>
          <w:szCs w:val="24"/>
          <w:highlight w:val="yellow"/>
        </w:rPr>
        <w:t>：</w:t>
      </w:r>
      <w:r>
        <w:rPr>
          <w:rFonts w:hint="eastAsia" w:asciiTheme="minorEastAsia" w:hAnsiTheme="minorEastAsia" w:eastAsiaTheme="minorEastAsia" w:cstheme="minorEastAsia"/>
          <w:b/>
          <w:bCs/>
          <w:i w:val="0"/>
          <w:iCs w:val="0"/>
          <w:color w:val="auto"/>
          <w:sz w:val="24"/>
          <w:szCs w:val="24"/>
          <w:highlight w:val="yellow"/>
          <w:lang w:val="en-US" w:eastAsia="zh-CN"/>
        </w:rPr>
        <w:t>00</w:t>
      </w:r>
      <w:r>
        <w:rPr>
          <w:rFonts w:hint="eastAsia" w:asciiTheme="minorEastAsia" w:hAnsiTheme="minorEastAsia" w:eastAsiaTheme="minorEastAsia" w:cstheme="minorEastAsia"/>
          <w:b/>
          <w:bCs/>
          <w:i w:val="0"/>
          <w:iCs w:val="0"/>
          <w:color w:val="auto"/>
          <w:sz w:val="24"/>
          <w:szCs w:val="24"/>
          <w:highlight w:val="yellow"/>
        </w:rPr>
        <w:t>时（北京时间）</w:t>
      </w:r>
      <w:r>
        <w:rPr>
          <w:rFonts w:hint="eastAsia" w:asciiTheme="minorEastAsia" w:hAnsiTheme="minorEastAsia" w:eastAsiaTheme="minorEastAsia" w:cstheme="minorEastAsia"/>
          <w:b/>
          <w:bCs/>
          <w:i w:val="0"/>
          <w:iCs w:val="0"/>
          <w:color w:val="auto"/>
          <w:sz w:val="24"/>
          <w:highlight w:val="yellow"/>
        </w:rPr>
        <w:t>。</w:t>
      </w:r>
    </w:p>
    <w:p>
      <w:pPr>
        <w:spacing w:line="240" w:lineRule="auto"/>
        <w:ind w:left="540" w:leftChars="257"/>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磋商响应文件以密封形式递交至：开标现场</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21.2 </w:t>
      </w:r>
      <w:r>
        <w:rPr>
          <w:rFonts w:hint="eastAsia" w:asciiTheme="minorEastAsia" w:hAnsiTheme="minorEastAsia" w:eastAsiaTheme="minorEastAsia" w:cstheme="minorEastAsia"/>
          <w:i w:val="0"/>
          <w:iCs w:val="0"/>
          <w:color w:val="auto"/>
          <w:sz w:val="24"/>
          <w:highlight w:val="none"/>
          <w:lang w:eastAsia="zh-CN"/>
        </w:rPr>
        <w:t>所有响应文件</w:t>
      </w:r>
      <w:r>
        <w:rPr>
          <w:rFonts w:hint="eastAsia" w:asciiTheme="minorEastAsia" w:hAnsiTheme="minorEastAsia" w:eastAsiaTheme="minorEastAsia" w:cstheme="minorEastAsia"/>
          <w:i w:val="0"/>
          <w:iCs w:val="0"/>
          <w:color w:val="auto"/>
          <w:sz w:val="24"/>
          <w:highlight w:val="none"/>
        </w:rPr>
        <w:t>都必须按招标代理机构在磋商</w:t>
      </w:r>
      <w:r>
        <w:rPr>
          <w:rFonts w:hint="eastAsia" w:asciiTheme="minorEastAsia" w:hAnsiTheme="minorEastAsia" w:eastAsiaTheme="minorEastAsia" w:cstheme="minorEastAsia"/>
          <w:i w:val="0"/>
          <w:iCs w:val="0"/>
          <w:color w:val="auto"/>
          <w:sz w:val="24"/>
          <w:highlight w:val="none"/>
          <w:lang w:eastAsia="zh-CN"/>
        </w:rPr>
        <w:t>文件</w:t>
      </w:r>
      <w:r>
        <w:rPr>
          <w:rFonts w:hint="eastAsia" w:asciiTheme="minorEastAsia" w:hAnsiTheme="minorEastAsia" w:eastAsiaTheme="minorEastAsia" w:cstheme="minorEastAsia"/>
          <w:i w:val="0"/>
          <w:iCs w:val="0"/>
          <w:color w:val="auto"/>
          <w:sz w:val="24"/>
          <w:highlight w:val="none"/>
        </w:rPr>
        <w:t>规定的</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截止时间之前送到磋商文件规定的地点。</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21.3 出现因磋商文件的修改推迟</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截止时间时，则按招标代理机构修改通知规定的时间递交。</w:t>
      </w:r>
    </w:p>
    <w:p>
      <w:pPr>
        <w:spacing w:line="24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rPr>
        <w:t>22．磋商响应文件的修改和撤销</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22.1 供应商在提交磋商响应文件后可对其磋商响应文件进行修改或撤销，但招标代理机构须在</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截止时间之前收到该修改或撤销的书面通知，该通知须有经正式授权的供应商代表签字。</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22.2 供应商不得在磋商时间起至磋商有效期期满前撤销磋商响应文件。否则招标代理机构将没收其磋商保证金。</w:t>
      </w: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E  磋商程序</w:t>
      </w:r>
      <w:bookmarkEnd w:id="34"/>
      <w:bookmarkEnd w:id="35"/>
      <w:bookmarkEnd w:id="36"/>
      <w:bookmarkEnd w:id="37"/>
      <w:bookmarkEnd w:id="38"/>
    </w:p>
    <w:p>
      <w:pPr>
        <w:spacing w:line="24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rPr>
        <w:t>23．磋商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23.1磋商时，有关行政监督部门的工作人员将对供应商进行资格初审。</w:t>
      </w:r>
    </w:p>
    <w:p>
      <w:pPr>
        <w:numPr>
          <w:ilvl w:val="0"/>
          <w:numId w:val="5"/>
        </w:num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eastAsia="zh-CN"/>
        </w:rPr>
        <w:t>有效的营业执照原件；</w:t>
      </w:r>
    </w:p>
    <w:p>
      <w:pPr>
        <w:numPr>
          <w:ilvl w:val="0"/>
          <w:numId w:val="0"/>
        </w:num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2、法人授权委托书（附法人身份证复印件及被授权人身份证复印件，加盖公章及法人章）、被授权人身份证原件，或</w:t>
      </w:r>
      <w:r>
        <w:rPr>
          <w:rFonts w:hint="eastAsia" w:asciiTheme="minorEastAsia" w:hAnsiTheme="minorEastAsia" w:eastAsiaTheme="minorEastAsia" w:cstheme="minorEastAsia"/>
          <w:i w:val="0"/>
          <w:iCs w:val="0"/>
          <w:color w:val="auto"/>
          <w:sz w:val="24"/>
          <w:szCs w:val="24"/>
          <w:highlight w:val="none"/>
        </w:rPr>
        <w:t>法定代表人身份证明书及法定代表人身份证原件</w:t>
      </w:r>
      <w:r>
        <w:rPr>
          <w:rFonts w:hint="eastAsia" w:asciiTheme="minorEastAsia" w:hAnsiTheme="minorEastAsia" w:eastAsiaTheme="minorEastAsia" w:cstheme="minorEastAsia"/>
          <w:i w:val="0"/>
          <w:iCs w:val="0"/>
          <w:color w:val="auto"/>
          <w:sz w:val="24"/>
          <w:szCs w:val="24"/>
          <w:highlight w:val="none"/>
          <w:lang w:eastAsia="zh-CN"/>
        </w:rPr>
        <w:t>；</w:t>
      </w:r>
    </w:p>
    <w:p>
      <w:pPr>
        <w:numPr>
          <w:ilvl w:val="0"/>
          <w:numId w:val="0"/>
        </w:num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磋商</w:t>
      </w:r>
      <w:r>
        <w:rPr>
          <w:rFonts w:hint="eastAsia" w:asciiTheme="minorEastAsia" w:hAnsiTheme="minorEastAsia" w:eastAsiaTheme="minorEastAsia" w:cstheme="minorEastAsia"/>
          <w:i w:val="0"/>
          <w:iCs w:val="0"/>
          <w:color w:val="auto"/>
          <w:sz w:val="24"/>
          <w:szCs w:val="24"/>
          <w:highlight w:val="none"/>
        </w:rPr>
        <w:t>保证金汇款凭证（复印件盖公章）。</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以备磋商前做资格审查，确认其是否已具备提交磋商响应文件的资格。</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23.2 本次磋商按磋商文件中规定的时间地点进行磋商，供应商的法定代表人或其授权委托人准时参加磋商会。</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23.3</w:t>
      </w:r>
      <w:r>
        <w:rPr>
          <w:rFonts w:hint="eastAsia" w:asciiTheme="minorEastAsia" w:hAnsiTheme="minorEastAsia" w:eastAsiaTheme="minorEastAsia" w:cstheme="minorEastAsia"/>
          <w:i w:val="0"/>
          <w:iCs w:val="0"/>
          <w:color w:val="auto"/>
          <w:sz w:val="24"/>
          <w:szCs w:val="24"/>
          <w:highlight w:val="none"/>
        </w:rPr>
        <w:t>宣布磋商响应文件开启顺序</w:t>
      </w:r>
      <w:r>
        <w:rPr>
          <w:rFonts w:hint="eastAsia" w:asciiTheme="minorEastAsia" w:hAnsiTheme="minorEastAsia" w:eastAsiaTheme="minorEastAsia" w:cstheme="minorEastAsia"/>
          <w:i w:val="0"/>
          <w:iCs w:val="0"/>
          <w:color w:val="auto"/>
          <w:sz w:val="30"/>
          <w:szCs w:val="30"/>
          <w:highlight w:val="none"/>
        </w:rPr>
        <w:t>。</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23.4 磋商时检查磋商响应文件密封情况。</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23.5 磋商原则在磋商会议上宣布。</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23.6 对采购方的纪律要求</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采购方不得泄露磋商活动中应当保密的情况和资料，不得与供应商串通损害国家利益、社会公共利益或者他人合法权益。</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23.7对供应商的纪律要求</w:t>
      </w:r>
    </w:p>
    <w:p>
      <w:pPr>
        <w:spacing w:line="240" w:lineRule="auto"/>
        <w:ind w:left="598" w:leftChars="28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23.8 对与磋商活动有关的工作人员的纪律要求</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23.9对磋商小组成员要求磋商纪律</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23.9.1磋商小组应当依照有关法律法规的规定，按照磋商文件确定的磋商标准和办法客观、公正的对磋商响应文件提出评审意见。磋商文件设有规定的磋商标准和方法不得作为磋商依据。</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23.9.2磋商小组成员不得私下接触供应商，不得收受供应商给予的财务或者其他好处，不得向采购方征询确定成交方意向。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23.9.3不得接受任何单位或个人明示或暗示提出的倾向或排斥特定供应商的要求。</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23.9.4不得有其他不客观，不公正履行职务的行为。</w:t>
      </w:r>
    </w:p>
    <w:p>
      <w:pPr>
        <w:spacing w:line="24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rPr>
        <w:t>24．磋商过程</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24.1 磋商的依据为磋商文件和磋商响应文件。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24.2 磋商后磋商小组审查磋商响应文件是否完整，是否有计算错误，要求的</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保证金是否提供，文件是否恰当地签署。</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24.3 在对磋商响应文件进行详细评估之前，磋商小组将依据供应商提供的资格证明文件审查供应商的财务、技术和生产能力。如果确定供应商无资格履行合同，其</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将被拒绝。</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pPr>
        <w:spacing w:line="24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rPr>
        <w:t>25．磋商响应文件的澄清</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25.2 要澄清的答复应是书面的，但不得对磋商内容进行实质性修改。澄清文件须由供应商法人代表或法人授权代表签字和/或加盖公章并作为磋商响应文件的组成部分。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25.3 磋商结束后，磋商小组要求所有参加磋商的供应商在规定的时间内进行最后报价。</w:t>
      </w:r>
    </w:p>
    <w:p>
      <w:pPr>
        <w:spacing w:line="24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rPr>
        <w:t>26．确定成交供应商的办法</w:t>
      </w:r>
    </w:p>
    <w:p>
      <w:pPr>
        <w:spacing w:line="240" w:lineRule="auto"/>
        <w:ind w:left="480" w:hanging="480" w:hanging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26.1磋商小组按照磋商文件要求对磋商响应文件中的供应商资格、供应商资格证明文件、重要技术指标以及技术和商务上要求的其它重要内容进行审核。</w:t>
      </w:r>
    </w:p>
    <w:p>
      <w:pPr>
        <w:spacing w:line="240" w:lineRule="auto"/>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26.2磋商小组和供应商磋商过程中作出的书面承诺是否符合磋商文件中对质量、技术和服务的要求。</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bCs/>
          <w:i w:val="0"/>
          <w:iCs w:val="0"/>
          <w:color w:val="auto"/>
          <w:sz w:val="24"/>
          <w:highlight w:val="none"/>
        </w:rPr>
        <w:t>26.3</w:t>
      </w:r>
      <w:r>
        <w:rPr>
          <w:rFonts w:hint="eastAsia" w:asciiTheme="minorEastAsia" w:hAnsiTheme="minorEastAsia" w:eastAsiaTheme="minorEastAsia" w:cstheme="minorEastAsia"/>
          <w:i w:val="0"/>
          <w:iCs w:val="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pPr>
        <w:spacing w:line="240" w:lineRule="auto"/>
        <w:ind w:firstLine="480" w:firstLine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w:t>
      </w:r>
      <w:r>
        <w:rPr>
          <w:rFonts w:hint="eastAsia" w:asciiTheme="minorEastAsia" w:hAnsiTheme="minorEastAsia" w:eastAsiaTheme="minorEastAsia" w:cstheme="minorEastAsia"/>
          <w:bCs/>
          <w:i w:val="0"/>
          <w:iCs w:val="0"/>
          <w:color w:val="auto"/>
          <w:sz w:val="24"/>
          <w:highlight w:val="none"/>
          <w:lang w:eastAsia="zh-CN"/>
        </w:rPr>
        <w:t>部分</w:t>
      </w:r>
      <w:r>
        <w:rPr>
          <w:rFonts w:hint="eastAsia" w:asciiTheme="minorEastAsia" w:hAnsiTheme="minorEastAsia" w:eastAsiaTheme="minorEastAsia" w:cstheme="minorEastAsia"/>
          <w:bCs/>
          <w:i w:val="0"/>
          <w:iCs w:val="0"/>
          <w:color w:val="auto"/>
          <w:sz w:val="24"/>
          <w:highlight w:val="none"/>
        </w:rPr>
        <w:t>占</w:t>
      </w:r>
      <w:r>
        <w:rPr>
          <w:rFonts w:hint="eastAsia" w:asciiTheme="minorEastAsia" w:hAnsiTheme="minorEastAsia" w:eastAsiaTheme="minorEastAsia" w:cstheme="minorEastAsia"/>
          <w:bCs/>
          <w:i w:val="0"/>
          <w:iCs w:val="0"/>
          <w:color w:val="auto"/>
          <w:sz w:val="24"/>
          <w:highlight w:val="none"/>
          <w:lang w:val="en-US" w:eastAsia="zh-CN"/>
        </w:rPr>
        <w:t>3</w:t>
      </w:r>
      <w:r>
        <w:rPr>
          <w:rFonts w:hint="eastAsia" w:asciiTheme="minorEastAsia" w:hAnsiTheme="minorEastAsia" w:eastAsiaTheme="minorEastAsia" w:cstheme="minorEastAsia"/>
          <w:bCs/>
          <w:i w:val="0"/>
          <w:iCs w:val="0"/>
          <w:color w:val="auto"/>
          <w:sz w:val="24"/>
          <w:highlight w:val="none"/>
        </w:rPr>
        <w:t>0分，技术</w:t>
      </w:r>
      <w:r>
        <w:rPr>
          <w:rFonts w:hint="eastAsia" w:asciiTheme="minorEastAsia" w:hAnsiTheme="minorEastAsia" w:eastAsiaTheme="minorEastAsia" w:cstheme="minorEastAsia"/>
          <w:bCs/>
          <w:i w:val="0"/>
          <w:iCs w:val="0"/>
          <w:color w:val="auto"/>
          <w:sz w:val="24"/>
          <w:highlight w:val="none"/>
          <w:lang w:eastAsia="zh-CN"/>
        </w:rPr>
        <w:t>部分</w:t>
      </w:r>
      <w:r>
        <w:rPr>
          <w:rFonts w:hint="eastAsia" w:asciiTheme="minorEastAsia" w:hAnsiTheme="minorEastAsia" w:eastAsiaTheme="minorEastAsia" w:cstheme="minorEastAsia"/>
          <w:bCs/>
          <w:i w:val="0"/>
          <w:iCs w:val="0"/>
          <w:color w:val="auto"/>
          <w:sz w:val="24"/>
          <w:highlight w:val="none"/>
        </w:rPr>
        <w:t>、商务</w:t>
      </w:r>
      <w:r>
        <w:rPr>
          <w:rFonts w:hint="eastAsia" w:asciiTheme="minorEastAsia" w:hAnsiTheme="minorEastAsia" w:eastAsiaTheme="minorEastAsia" w:cstheme="minorEastAsia"/>
          <w:bCs/>
          <w:i w:val="0"/>
          <w:iCs w:val="0"/>
          <w:color w:val="auto"/>
          <w:sz w:val="24"/>
          <w:highlight w:val="none"/>
          <w:lang w:eastAsia="zh-CN"/>
        </w:rPr>
        <w:t>部分</w:t>
      </w:r>
      <w:r>
        <w:rPr>
          <w:rFonts w:hint="eastAsia" w:asciiTheme="minorEastAsia" w:hAnsiTheme="minorEastAsia" w:eastAsiaTheme="minorEastAsia" w:cstheme="minorEastAsia"/>
          <w:bCs/>
          <w:i w:val="0"/>
          <w:iCs w:val="0"/>
          <w:color w:val="auto"/>
          <w:sz w:val="24"/>
          <w:highlight w:val="none"/>
        </w:rPr>
        <w:t>占</w:t>
      </w:r>
      <w:r>
        <w:rPr>
          <w:rFonts w:hint="eastAsia" w:asciiTheme="minorEastAsia" w:hAnsiTheme="minorEastAsia" w:eastAsiaTheme="minorEastAsia" w:cstheme="minorEastAsia"/>
          <w:bCs/>
          <w:i w:val="0"/>
          <w:iCs w:val="0"/>
          <w:color w:val="auto"/>
          <w:sz w:val="24"/>
          <w:highlight w:val="none"/>
          <w:lang w:val="en-US" w:eastAsia="zh-CN"/>
        </w:rPr>
        <w:t>7</w:t>
      </w:r>
      <w:r>
        <w:rPr>
          <w:rFonts w:hint="eastAsia" w:asciiTheme="minorEastAsia" w:hAnsiTheme="minorEastAsia" w:eastAsiaTheme="minorEastAsia" w:cstheme="minorEastAsia"/>
          <w:bCs/>
          <w:i w:val="0"/>
          <w:iCs w:val="0"/>
          <w:color w:val="auto"/>
          <w:sz w:val="24"/>
          <w:highlight w:val="none"/>
        </w:rPr>
        <w:t>0分。将每位投标商的价格得分、技术得分、商务得分相加即为该投标商的总得分。详细评分标准如下：</w:t>
      </w:r>
    </w:p>
    <w:p>
      <w:pPr>
        <w:spacing w:line="240" w:lineRule="auto"/>
        <w:jc w:val="both"/>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资格性检查表</w:t>
      </w:r>
    </w:p>
    <w:tbl>
      <w:tblPr>
        <w:tblStyle w:val="36"/>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16"/>
        <w:gridCol w:w="2264"/>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70"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15" w:type="pct"/>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检查因素</w:t>
            </w:r>
          </w:p>
        </w:tc>
        <w:tc>
          <w:tcPr>
            <w:tcW w:w="2913"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70" w:type="pct"/>
            <w:vMerge w:val="restar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94" w:type="pct"/>
            <w:vMerge w:val="restar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符合《中华人民共和国政府采购法》第二十二条规定，提供：</w:t>
            </w: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1）具有独立承担民事责任的能力；</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供应商提供有效的统一社会信用代码的营业执照，供应商必须是中华人民共和国境内注册的</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2）具有良好的商业信誉和健全的财务会计制度；</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供应商提供20</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年度经第三方权威机构出具的完整的财务审计报告</w:t>
            </w:r>
            <w:r>
              <w:rPr>
                <w:rFonts w:hint="eastAsia" w:asciiTheme="minorEastAsia" w:hAnsiTheme="minorEastAsia" w:eastAsiaTheme="minorEastAsia" w:cstheme="minorEastAsia"/>
                <w:color w:val="auto"/>
                <w:sz w:val="24"/>
                <w:szCs w:val="24"/>
                <w:highlight w:val="none"/>
                <w:lang w:eastAsia="zh-CN"/>
              </w:rPr>
              <w:t>或财务报表</w:t>
            </w:r>
            <w:r>
              <w:rPr>
                <w:rFonts w:hint="eastAsia" w:asciiTheme="minorEastAsia" w:hAnsiTheme="minorEastAsia" w:eastAsiaTheme="minorEastAsia" w:cstheme="minorEastAsia"/>
                <w:color w:val="auto"/>
                <w:sz w:val="24"/>
                <w:szCs w:val="24"/>
                <w:highlight w:val="none"/>
              </w:rPr>
              <w:t>相关材料</w:t>
            </w:r>
            <w:r>
              <w:rPr>
                <w:rFonts w:hint="eastAsia" w:asciiTheme="minorEastAsia" w:hAnsiTheme="minorEastAsia" w:eastAsiaTheme="minorEastAsia" w:cstheme="minorEastAsia"/>
                <w:color w:val="auto"/>
                <w:sz w:val="24"/>
                <w:szCs w:val="24"/>
                <w:highlight w:val="none"/>
                <w:lang w:eastAsia="zh-CN"/>
              </w:rPr>
              <w:t>或基础开户银行出具的资信证明</w:t>
            </w:r>
            <w:r>
              <w:rPr>
                <w:rFonts w:hint="eastAsia" w:asciiTheme="minorEastAsia" w:hAnsiTheme="minorEastAsia" w:eastAsiaTheme="minorEastAsia" w:cstheme="minorEastAsia"/>
                <w:color w:val="auto"/>
                <w:sz w:val="24"/>
                <w:szCs w:val="24"/>
                <w:highlight w:val="none"/>
              </w:rPr>
              <w:t>（复印件加盖公章）；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3）具有履行合同所必需的设备和专业技术能力；</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4）有依法缴纳税收和社会保障资金的良好记录；</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供应商提供自投标截止之日前半年内任意一个月依法缴纳社会保障资金的凭据；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参加政府采购活动前3年内在经营活动中没有重大违法记录的书面声明（格式自拟）</w:t>
            </w:r>
          </w:p>
          <w:p>
            <w:pPr>
              <w:pStyle w:val="12"/>
              <w:spacing w:line="24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处于中国政府采购网(www.ccgp.gov.cn)“政府采购严重违法失信行为信息记录”中的禁止参加政府采购活动期间（以采购代理机构于递交投标文件截止日当天在中国政府采购网(www.ccgp.gov.cn)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370"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15" w:type="pct"/>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信用查询</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被列入“信用中国”网站(www.creditchina.gov.cn)“记录失信被执行人或重大税收违法案件当事人名单或政府采购严重违法失信行为”记录名单；（以采购代理机构于递交投标文件截止日当天在“信用中国”网站（www.creditchina.gov.cn）查询结果为准，如相关失信记录已失效，投标人需提供相关证明资料）；</w:t>
            </w:r>
          </w:p>
        </w:tc>
      </w:tr>
    </w:tbl>
    <w:p>
      <w:pPr>
        <w:pStyle w:val="4"/>
        <w:rPr>
          <w:rFonts w:hint="eastAsia"/>
        </w:rPr>
      </w:pPr>
    </w:p>
    <w:p>
      <w:pPr>
        <w:rPr>
          <w:rFonts w:hint="eastAsia"/>
        </w:rPr>
      </w:pPr>
    </w:p>
    <w:p>
      <w:pPr>
        <w:pStyle w:val="4"/>
        <w:rPr>
          <w:rFonts w:hint="eastAsia"/>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符合性检查表</w:t>
      </w:r>
    </w:p>
    <w:tbl>
      <w:tblPr>
        <w:tblStyle w:val="3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79"/>
        <w:gridCol w:w="1976"/>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955" w:type="dxa"/>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评标因素</w:t>
            </w:r>
          </w:p>
        </w:tc>
        <w:tc>
          <w:tcPr>
            <w:tcW w:w="5947"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7" w:type="dxa"/>
            <w:vMerge w:val="restar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79" w:type="dxa"/>
            <w:vMerge w:val="restar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有效性</w:t>
            </w:r>
          </w:p>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审查</w:t>
            </w:r>
          </w:p>
        </w:tc>
        <w:tc>
          <w:tcPr>
            <w:tcW w:w="1976"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文件签署</w:t>
            </w:r>
          </w:p>
        </w:tc>
        <w:tc>
          <w:tcPr>
            <w:tcW w:w="5947"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文件上法定代表人或其授权代理人的</w:t>
            </w:r>
            <w:r>
              <w:rPr>
                <w:rFonts w:hint="eastAsia" w:asciiTheme="minorEastAsia" w:hAnsiTheme="minorEastAsia" w:eastAsiaTheme="minorEastAsia" w:cstheme="minorEastAsia"/>
                <w:color w:val="auto"/>
                <w:sz w:val="24"/>
                <w:szCs w:val="24"/>
                <w:highlight w:val="none"/>
                <w:lang w:eastAsia="zh-CN"/>
              </w:rPr>
              <w:t>盖章或签字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的单位章齐全符合</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947"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法定代表人或授权委托人是否签字和是否加盖单位公章；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响应方案</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报价唯一</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按时、足额缴纳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r>
              <w:rPr>
                <w:rFonts w:hint="eastAsia" w:asciiTheme="minorEastAsia" w:hAnsiTheme="minorEastAsia" w:eastAsiaTheme="minorEastAsia" w:cstheme="minorEastAsia"/>
                <w:color w:val="auto"/>
                <w:sz w:val="24"/>
                <w:szCs w:val="24"/>
                <w:highlight w:val="none"/>
                <w:lang w:eastAsia="zh-CN"/>
              </w:rPr>
              <w:t>（提供汇款凭证复印件加盖公章）</w:t>
            </w: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响应有效期</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w:t>
            </w:r>
          </w:p>
        </w:tc>
        <w:tc>
          <w:tcPr>
            <w:tcW w:w="5947" w:type="dxa"/>
            <w:tcBorders>
              <w:bottom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文件未附有采购人不能接受的附加条件及法律、法规和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文件规定的其他无效情形。</w:t>
            </w:r>
          </w:p>
        </w:tc>
      </w:tr>
    </w:tbl>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备注：</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1.本表与</w:t>
      </w:r>
      <w:r>
        <w:rPr>
          <w:rFonts w:hint="eastAsia" w:asciiTheme="minorEastAsia" w:hAnsiTheme="minorEastAsia" w:eastAsiaTheme="minorEastAsia" w:cstheme="minorEastAsia"/>
          <w:b/>
          <w:color w:val="auto"/>
          <w:sz w:val="24"/>
          <w:szCs w:val="32"/>
          <w:highlight w:val="none"/>
          <w:lang w:eastAsia="zh-CN"/>
        </w:rPr>
        <w:t>磋商</w:t>
      </w:r>
      <w:r>
        <w:rPr>
          <w:rFonts w:hint="eastAsia" w:asciiTheme="minorEastAsia" w:hAnsiTheme="minorEastAsia" w:eastAsiaTheme="minorEastAsia" w:cstheme="minorEastAsia"/>
          <w:b/>
          <w:color w:val="auto"/>
          <w:sz w:val="24"/>
          <w:szCs w:val="32"/>
          <w:highlight w:val="none"/>
        </w:rPr>
        <w:t>文件中相关评审条款内容不一致的，以本表内容为准。</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2.每一项符合的打“</w:t>
      </w:r>
      <w:r>
        <w:rPr>
          <w:rFonts w:hint="eastAsia" w:asciiTheme="minorEastAsia" w:hAnsiTheme="minorEastAsia" w:eastAsiaTheme="minorEastAsia" w:cstheme="minorEastAsia"/>
          <w:b/>
          <w:color w:val="auto"/>
          <w:sz w:val="24"/>
          <w:szCs w:val="32"/>
          <w:highlight w:val="none"/>
          <w:lang w:eastAsia="zh-CN"/>
        </w:rPr>
        <w:t>√</w:t>
      </w:r>
      <w:r>
        <w:rPr>
          <w:rFonts w:hint="eastAsia" w:asciiTheme="minorEastAsia" w:hAnsiTheme="minorEastAsia" w:eastAsiaTheme="minorEastAsia" w:cstheme="minorEastAsia"/>
          <w:b/>
          <w:color w:val="auto"/>
          <w:sz w:val="24"/>
          <w:szCs w:val="32"/>
          <w:highlight w:val="none"/>
        </w:rPr>
        <w:t>”，不符合的打“×”。</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3.“结论”一栏填写“通过”或“不通过”；任何一项出现“×”的，结论为不通过；不通过的为无效响应。</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4.汇总时出现不同意见的，评标委员会按少数服从多数原则表决决定。</w:t>
      </w:r>
    </w:p>
    <w:p>
      <w:pPr>
        <w:spacing w:line="240" w:lineRule="auto"/>
        <w:jc w:val="center"/>
        <w:rPr>
          <w:rFonts w:hint="eastAsia" w:asciiTheme="minorEastAsia" w:hAnsiTheme="minorEastAsia" w:eastAsiaTheme="minorEastAsia" w:cstheme="minorEastAsia"/>
          <w:b/>
          <w:color w:val="auto"/>
          <w:sz w:val="32"/>
          <w:szCs w:val="32"/>
          <w:highlight w:val="none"/>
        </w:rPr>
      </w:pPr>
    </w:p>
    <w:p>
      <w:pPr>
        <w:spacing w:line="240" w:lineRule="auto"/>
        <w:jc w:val="center"/>
        <w:rPr>
          <w:rFonts w:hint="eastAsia" w:asciiTheme="minorEastAsia" w:hAnsiTheme="minorEastAsia" w:eastAsiaTheme="minorEastAsia" w:cstheme="minorEastAsia"/>
          <w:b/>
          <w:color w:val="auto"/>
          <w:sz w:val="32"/>
          <w:szCs w:val="32"/>
          <w:highlight w:val="none"/>
        </w:rPr>
      </w:pPr>
    </w:p>
    <w:p>
      <w:pPr>
        <w:spacing w:line="240" w:lineRule="auto"/>
        <w:jc w:val="both"/>
        <w:rPr>
          <w:rFonts w:hint="eastAsia" w:asciiTheme="minorEastAsia" w:hAnsiTheme="minorEastAsia" w:eastAsiaTheme="minorEastAsia" w:cstheme="minorEastAsia"/>
          <w:b/>
          <w:color w:val="auto"/>
          <w:sz w:val="32"/>
          <w:szCs w:val="32"/>
          <w:highlight w:val="none"/>
        </w:rPr>
      </w:pPr>
    </w:p>
    <w:p>
      <w:pPr>
        <w:spacing w:line="240" w:lineRule="auto"/>
        <w:jc w:val="both"/>
        <w:rPr>
          <w:rFonts w:hint="eastAsia" w:asciiTheme="minorEastAsia" w:hAnsiTheme="minorEastAsia" w:eastAsiaTheme="minorEastAsia" w:cstheme="minorEastAsia"/>
          <w:b/>
          <w:color w:val="auto"/>
          <w:sz w:val="32"/>
          <w:szCs w:val="32"/>
          <w:highlight w:val="none"/>
        </w:rPr>
      </w:pPr>
    </w:p>
    <w:p>
      <w:pPr>
        <w:spacing w:line="24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评分标准</w:t>
      </w:r>
    </w:p>
    <w:p>
      <w:pPr>
        <w:spacing w:line="240" w:lineRule="auto"/>
        <w:jc w:val="left"/>
        <w:rPr>
          <w:rFonts w:hint="eastAsia" w:asciiTheme="minorEastAsia" w:hAnsiTheme="minorEastAsia" w:eastAsiaTheme="minorEastAsia" w:cstheme="minorEastAsia"/>
          <w:color w:val="auto"/>
          <w:sz w:val="22"/>
          <w:szCs w:val="21"/>
          <w:highlight w:val="none"/>
        </w:rPr>
      </w:pPr>
      <w:r>
        <w:rPr>
          <w:rFonts w:hint="eastAsia" w:asciiTheme="minorEastAsia" w:hAnsiTheme="minorEastAsia" w:eastAsiaTheme="minorEastAsia" w:cstheme="minorEastAsia"/>
          <w:b/>
          <w:color w:val="auto"/>
          <w:sz w:val="28"/>
          <w:szCs w:val="36"/>
          <w:highlight w:val="none"/>
        </w:rPr>
        <w:t>经济部分（</w:t>
      </w:r>
      <w:r>
        <w:rPr>
          <w:rFonts w:hint="eastAsia" w:asciiTheme="minorEastAsia" w:hAnsiTheme="minorEastAsia" w:eastAsiaTheme="minorEastAsia" w:cstheme="minorEastAsia"/>
          <w:b/>
          <w:color w:val="auto"/>
          <w:sz w:val="28"/>
          <w:szCs w:val="36"/>
          <w:highlight w:val="none"/>
          <w:lang w:val="en-US" w:eastAsia="zh-CN"/>
        </w:rPr>
        <w:t>20分</w:t>
      </w:r>
      <w:r>
        <w:rPr>
          <w:rFonts w:hint="eastAsia" w:asciiTheme="minorEastAsia" w:hAnsiTheme="minorEastAsia" w:eastAsiaTheme="minorEastAsia" w:cstheme="minorEastAsia"/>
          <w:b/>
          <w:color w:val="auto"/>
          <w:sz w:val="28"/>
          <w:szCs w:val="36"/>
          <w:highlight w:val="none"/>
        </w:rPr>
        <w:t>）</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9"/>
        <w:gridCol w:w="1505"/>
        <w:gridCol w:w="883"/>
        <w:gridCol w:w="62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blHeade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评审项目</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c>
          <w:tcPr>
            <w:tcW w:w="62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投标报价</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rPr>
              <w:t>分</w:t>
            </w:r>
          </w:p>
        </w:tc>
        <w:tc>
          <w:tcPr>
            <w:tcW w:w="62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综合评分法中的价格分统一采用低价优先法计算，即满足招标文件要求且投标价格最低的投标报价为评标基准价，其价格分为满分。其他投标人的价格分统一按照下列公式计算：</w:t>
            </w:r>
            <w:r>
              <w:rPr>
                <w:rFonts w:hint="eastAsia" w:asciiTheme="minorEastAsia" w:hAnsiTheme="minorEastAsia" w:eastAsiaTheme="minorEastAsia" w:cstheme="minorEastAsia"/>
                <w:bCs/>
                <w:color w:val="auto"/>
                <w:sz w:val="24"/>
                <w:szCs w:val="24"/>
                <w:highlight w:val="none"/>
              </w:rPr>
              <w:br w:type="textWrapping"/>
            </w:r>
            <w:r>
              <w:rPr>
                <w:rFonts w:hint="eastAsia" w:asciiTheme="minorEastAsia" w:hAnsiTheme="minorEastAsia" w:eastAsiaTheme="minorEastAsia" w:cstheme="minorEastAsia"/>
                <w:bCs/>
                <w:color w:val="auto"/>
                <w:sz w:val="24"/>
                <w:szCs w:val="24"/>
                <w:highlight w:val="none"/>
              </w:rPr>
              <w:t>投标报价得分=(评标基准价／投标报价)×</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rPr>
              <w:t>（计算分值时，百分比按四舍五入原则，保留小数点后二位数）</w:t>
            </w:r>
          </w:p>
        </w:tc>
      </w:tr>
    </w:tbl>
    <w:p>
      <w:pPr>
        <w:spacing w:line="240" w:lineRule="auto"/>
        <w:jc w:val="center"/>
        <w:rPr>
          <w:rFonts w:hint="eastAsia" w:asciiTheme="minorEastAsia" w:hAnsiTheme="minorEastAsia" w:eastAsiaTheme="minorEastAsia" w:cstheme="minorEastAsia"/>
          <w:b/>
          <w:bCs/>
          <w:i w:val="0"/>
          <w:iCs w:val="0"/>
          <w:color w:val="auto"/>
          <w:sz w:val="24"/>
          <w:szCs w:val="24"/>
          <w:highlight w:val="none"/>
          <w:shd w:val="clear" w:color="auto" w:fill="FFFFFF"/>
        </w:rPr>
      </w:pPr>
    </w:p>
    <w:p>
      <w:pPr>
        <w:spacing w:line="240" w:lineRule="auto"/>
        <w:jc w:val="left"/>
        <w:rPr>
          <w:rFonts w:hint="eastAsia" w:asciiTheme="minorEastAsia" w:hAnsiTheme="minorEastAsia" w:eastAsiaTheme="minorEastAsia" w:cstheme="minorEastAsia"/>
          <w:b/>
          <w:bCs/>
          <w:i w:val="0"/>
          <w:iCs w:val="0"/>
          <w:color w:val="auto"/>
          <w:sz w:val="28"/>
          <w:szCs w:val="28"/>
          <w:highlight w:val="none"/>
          <w:shd w:val="clear" w:color="auto" w:fill="FFFFFF"/>
        </w:rPr>
      </w:pPr>
      <w:r>
        <w:rPr>
          <w:rFonts w:hint="eastAsia" w:asciiTheme="minorEastAsia" w:hAnsiTheme="minorEastAsia" w:eastAsiaTheme="minorEastAsia" w:cstheme="minorEastAsia"/>
          <w:b/>
          <w:bCs/>
          <w:i w:val="0"/>
          <w:iCs w:val="0"/>
          <w:color w:val="auto"/>
          <w:sz w:val="28"/>
          <w:szCs w:val="28"/>
          <w:highlight w:val="none"/>
          <w:shd w:val="clear" w:color="auto" w:fill="FFFFFF"/>
        </w:rPr>
        <w:t>商务</w:t>
      </w:r>
      <w:r>
        <w:rPr>
          <w:rFonts w:hint="eastAsia" w:asciiTheme="minorEastAsia" w:hAnsiTheme="minorEastAsia" w:eastAsiaTheme="minorEastAsia" w:cstheme="minorEastAsia"/>
          <w:b/>
          <w:bCs/>
          <w:i w:val="0"/>
          <w:iCs w:val="0"/>
          <w:color w:val="auto"/>
          <w:sz w:val="28"/>
          <w:szCs w:val="28"/>
          <w:highlight w:val="none"/>
          <w:shd w:val="clear" w:color="auto" w:fill="FFFFFF"/>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FFFFFF"/>
          <w:lang w:val="en-US" w:eastAsia="zh-CN"/>
        </w:rPr>
        <w:t>技术</w:t>
      </w:r>
      <w:r>
        <w:rPr>
          <w:rFonts w:hint="eastAsia" w:asciiTheme="minorEastAsia" w:hAnsiTheme="minorEastAsia" w:eastAsiaTheme="minorEastAsia" w:cstheme="minorEastAsia"/>
          <w:b/>
          <w:bCs/>
          <w:i w:val="0"/>
          <w:iCs w:val="0"/>
          <w:color w:val="auto"/>
          <w:sz w:val="28"/>
          <w:szCs w:val="28"/>
          <w:highlight w:val="none"/>
          <w:shd w:val="clear" w:color="auto" w:fill="FFFFFF"/>
        </w:rPr>
        <w:t>评分标准（</w:t>
      </w:r>
      <w:r>
        <w:rPr>
          <w:rFonts w:hint="eastAsia" w:asciiTheme="minorEastAsia" w:hAnsiTheme="minorEastAsia" w:eastAsiaTheme="minorEastAsia" w:cstheme="minorEastAsia"/>
          <w:b/>
          <w:bCs/>
          <w:i w:val="0"/>
          <w:iCs w:val="0"/>
          <w:color w:val="auto"/>
          <w:sz w:val="28"/>
          <w:szCs w:val="28"/>
          <w:highlight w:val="none"/>
          <w:shd w:val="clear" w:color="auto" w:fill="FFFFFF"/>
          <w:lang w:val="en-US" w:eastAsia="zh-CN"/>
        </w:rPr>
        <w:t>8</w:t>
      </w:r>
      <w:r>
        <w:rPr>
          <w:rFonts w:hint="eastAsia" w:asciiTheme="minorEastAsia" w:hAnsiTheme="minorEastAsia" w:eastAsiaTheme="minorEastAsia" w:cstheme="minorEastAsia"/>
          <w:b/>
          <w:bCs/>
          <w:i w:val="0"/>
          <w:iCs w:val="0"/>
          <w:color w:val="auto"/>
          <w:sz w:val="28"/>
          <w:szCs w:val="28"/>
          <w:highlight w:val="none"/>
          <w:shd w:val="clear" w:color="auto" w:fill="FFFFFF"/>
        </w:rPr>
        <w:t>0分）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72"/>
        <w:gridCol w:w="858"/>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30" w:type="dxa"/>
            <w:gridSpan w:val="2"/>
            <w:vAlign w:val="center"/>
          </w:tcPr>
          <w:p>
            <w:pPr>
              <w:tabs>
                <w:tab w:val="left" w:pos="1418"/>
              </w:tabs>
              <w:snapToGri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858" w:type="dxa"/>
            <w:vAlign w:val="center"/>
          </w:tcPr>
          <w:p>
            <w:pPr>
              <w:tabs>
                <w:tab w:val="left" w:pos="1418"/>
              </w:tabs>
              <w:snapToGri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c>
          <w:tcPr>
            <w:tcW w:w="6491" w:type="dxa"/>
            <w:vAlign w:val="center"/>
          </w:tcPr>
          <w:p>
            <w:pPr>
              <w:tabs>
                <w:tab w:val="left" w:pos="1418"/>
              </w:tabs>
              <w:snapToGri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58" w:type="dxa"/>
            <w:vMerge w:val="restart"/>
            <w:tcBorders>
              <w:top w:val="single" w:color="auto" w:sz="4" w:space="0"/>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w:t>
            </w:r>
            <w:r>
              <w:rPr>
                <w:rFonts w:hint="eastAsia" w:ascii="宋体" w:hAnsi="宋体" w:eastAsia="宋体" w:cs="宋体"/>
                <w:bCs/>
                <w:color w:val="auto"/>
                <w:sz w:val="21"/>
                <w:szCs w:val="21"/>
                <w:highlight w:val="none"/>
                <w:lang w:eastAsia="zh-CN"/>
              </w:rPr>
              <w:t>、技术</w:t>
            </w:r>
            <w:r>
              <w:rPr>
                <w:rFonts w:hint="eastAsia" w:ascii="宋体" w:hAnsi="宋体" w:eastAsia="宋体" w:cs="宋体"/>
                <w:bCs/>
                <w:color w:val="auto"/>
                <w:sz w:val="21"/>
                <w:szCs w:val="21"/>
                <w:highlight w:val="none"/>
              </w:rPr>
              <w:t>部分</w:t>
            </w: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企业资信及企业实力</w:t>
            </w:r>
          </w:p>
        </w:tc>
        <w:tc>
          <w:tcPr>
            <w:tcW w:w="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根据企业实力（包括人员、资质、财务等状况）及信誉情况评审，满分得3分；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类似项目业绩</w:t>
            </w:r>
          </w:p>
        </w:tc>
        <w:tc>
          <w:tcPr>
            <w:tcW w:w="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6491"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根据供应商近三年（2019年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月1日至今）</w:t>
            </w:r>
            <w:r>
              <w:rPr>
                <w:rFonts w:hint="eastAsia" w:ascii="宋体" w:hAnsi="宋体" w:cs="宋体"/>
                <w:color w:val="auto"/>
                <w:sz w:val="21"/>
                <w:szCs w:val="21"/>
                <w:highlight w:val="none"/>
                <w:lang w:val="en-US" w:eastAsia="zh-CN"/>
              </w:rPr>
              <w:t>供应商参与建设同类信息化项目案例</w:t>
            </w:r>
            <w:r>
              <w:rPr>
                <w:rFonts w:hint="eastAsia" w:ascii="宋体" w:hAnsi="宋体" w:eastAsia="宋体" w:cs="宋体"/>
                <w:color w:val="auto"/>
                <w:sz w:val="21"/>
                <w:szCs w:val="21"/>
                <w:highlight w:val="none"/>
                <w:lang w:val="en-US" w:eastAsia="zh-CN"/>
              </w:rPr>
              <w:t>，每提供1个得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pPr>
              <w:numPr>
                <w:ilvl w:val="0"/>
                <w:numId w:val="0"/>
              </w:numPr>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评审依据：</w:t>
            </w:r>
            <w:r>
              <w:rPr>
                <w:rFonts w:hint="eastAsia" w:ascii="宋体" w:hAnsi="宋体" w:cs="宋体"/>
                <w:color w:val="auto"/>
                <w:sz w:val="21"/>
                <w:szCs w:val="21"/>
                <w:highlight w:val="none"/>
                <w:lang w:val="en-US" w:eastAsia="zh-CN"/>
              </w:rPr>
              <w:t>提供中标通知书及</w:t>
            </w:r>
            <w:r>
              <w:rPr>
                <w:rFonts w:hint="eastAsia" w:ascii="宋体" w:hAnsi="宋体" w:eastAsia="宋体" w:cs="宋体"/>
                <w:color w:val="auto"/>
                <w:sz w:val="21"/>
                <w:szCs w:val="21"/>
                <w:highlight w:val="none"/>
                <w:lang w:val="en-US" w:eastAsia="zh-CN"/>
              </w:rPr>
              <w:t>合同作为证明材料，应提供合同全本或合同关键页复印件，关键页包含：合同首页、合同签订时间、合同服务内容页、合同金额页、合同签字或盖章页等。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color w:val="auto"/>
                <w:kern w:val="0"/>
              </w:rPr>
              <w:t>综合技术实力</w:t>
            </w:r>
          </w:p>
        </w:tc>
        <w:tc>
          <w:tcPr>
            <w:tcW w:w="858" w:type="dxa"/>
            <w:tcBorders>
              <w:top w:val="single" w:color="auto" w:sz="4" w:space="0"/>
              <w:left w:val="single" w:color="auto" w:sz="4" w:space="0"/>
              <w:bottom w:val="single" w:color="auto" w:sz="4" w:space="0"/>
              <w:right w:val="single" w:color="auto" w:sz="4" w:space="0"/>
            </w:tcBorders>
            <w:vAlign w:val="center"/>
          </w:tcPr>
          <w:p>
            <w:pPr>
              <w:pStyle w:val="109"/>
              <w:jc w:val="center"/>
              <w:rPr>
                <w:rFonts w:hint="eastAsia" w:ascii="宋体" w:hAnsi="宋体" w:eastAsia="宋体" w:cs="宋体"/>
                <w:bCs/>
                <w:color w:val="auto"/>
                <w:kern w:val="2"/>
                <w:sz w:val="21"/>
                <w:szCs w:val="21"/>
                <w:highlight w:val="none"/>
                <w:lang w:val="en-US" w:eastAsia="zh-CN" w:bidi="ar-SA"/>
              </w:rPr>
            </w:pPr>
            <w:r>
              <w:rPr>
                <w:rFonts w:hint="eastAsia"/>
                <w:color w:val="auto"/>
                <w:kern w:val="0"/>
                <w:lang w:val="en-US" w:eastAsia="zh-CN"/>
              </w:rPr>
              <w:t>15</w:t>
            </w:r>
            <w:r>
              <w:rPr>
                <w:rFonts w:hint="eastAsia"/>
                <w:color w:val="auto"/>
                <w:kern w:val="0"/>
              </w:rPr>
              <w:t>分</w:t>
            </w:r>
          </w:p>
        </w:tc>
        <w:tc>
          <w:tcPr>
            <w:tcW w:w="6491" w:type="dxa"/>
            <w:tcBorders>
              <w:top w:val="single" w:color="auto" w:sz="4" w:space="0"/>
              <w:left w:val="single" w:color="auto" w:sz="4" w:space="0"/>
              <w:bottom w:val="single" w:color="auto" w:sz="4" w:space="0"/>
              <w:right w:val="single" w:color="auto" w:sz="4" w:space="0"/>
            </w:tcBorders>
            <w:vAlign w:val="center"/>
          </w:tcPr>
          <w:p>
            <w:pPr>
              <w:pStyle w:val="109"/>
              <w:rPr>
                <w:color w:val="auto"/>
                <w:kern w:val="0"/>
              </w:rPr>
            </w:pPr>
            <w:r>
              <w:rPr>
                <w:color w:val="auto"/>
                <w:kern w:val="0"/>
              </w:rPr>
              <w:t>1、</w:t>
            </w:r>
            <w:r>
              <w:rPr>
                <w:rFonts w:hint="eastAsia"/>
                <w:color w:val="auto"/>
                <w:kern w:val="0"/>
              </w:rPr>
              <w:t>要求</w:t>
            </w:r>
            <w:r>
              <w:rPr>
                <w:color w:val="auto"/>
                <w:kern w:val="0"/>
              </w:rPr>
              <w:t>所投产品需基于文件安全管理技术并支持加密管理</w:t>
            </w:r>
            <w:r>
              <w:rPr>
                <w:rFonts w:hint="eastAsia"/>
                <w:color w:val="auto"/>
                <w:kern w:val="0"/>
              </w:rPr>
              <w:t>，</w:t>
            </w:r>
            <w:r>
              <w:rPr>
                <w:color w:val="auto"/>
                <w:kern w:val="0"/>
              </w:rPr>
              <w:t>关键技术为国产自主知识产权。全部符合的得</w:t>
            </w:r>
            <w:r>
              <w:rPr>
                <w:rFonts w:hint="eastAsia"/>
                <w:color w:val="auto"/>
                <w:kern w:val="0"/>
                <w:lang w:val="en-US" w:eastAsia="zh-CN"/>
              </w:rPr>
              <w:t>5</w:t>
            </w:r>
            <w:r>
              <w:rPr>
                <w:color w:val="auto"/>
                <w:kern w:val="0"/>
              </w:rPr>
              <w:t>分。</w:t>
            </w:r>
          </w:p>
          <w:p>
            <w:pPr>
              <w:pStyle w:val="109"/>
              <w:rPr>
                <w:color w:val="auto"/>
                <w:lang w:val="en-US"/>
              </w:rPr>
            </w:pPr>
            <w:r>
              <w:rPr>
                <w:rFonts w:hint="eastAsia"/>
                <w:color w:val="auto"/>
                <w:lang w:val="en-US"/>
              </w:rPr>
              <w:t>2、要求所投产品应具有良好的数据开放性及扩展性，投标人具有智慧校园大数据关键技术科技成果证书。</w:t>
            </w:r>
            <w:r>
              <w:rPr>
                <w:color w:val="auto"/>
                <w:kern w:val="0"/>
              </w:rPr>
              <w:t>全部符合的得</w:t>
            </w:r>
            <w:r>
              <w:rPr>
                <w:rFonts w:hint="eastAsia"/>
                <w:color w:val="auto"/>
                <w:kern w:val="0"/>
                <w:lang w:val="en-US" w:eastAsia="zh-CN"/>
              </w:rPr>
              <w:t>5</w:t>
            </w:r>
            <w:r>
              <w:rPr>
                <w:color w:val="auto"/>
                <w:kern w:val="0"/>
              </w:rPr>
              <w:t>分。</w:t>
            </w:r>
          </w:p>
          <w:p>
            <w:pPr>
              <w:pStyle w:val="109"/>
              <w:rPr>
                <w:color w:val="auto"/>
                <w:kern w:val="0"/>
              </w:rPr>
            </w:pPr>
            <w:r>
              <w:rPr>
                <w:color w:val="auto"/>
                <w:kern w:val="0"/>
              </w:rPr>
              <w:t>3、为保障项目实施质量和项目实施进度，投标人需提供专业的项目质量保障能力和信息技术运维能力。全部符合的得</w:t>
            </w:r>
            <w:r>
              <w:rPr>
                <w:rFonts w:hint="eastAsia"/>
                <w:color w:val="auto"/>
                <w:kern w:val="0"/>
                <w:lang w:val="en-US" w:eastAsia="zh-CN"/>
              </w:rPr>
              <w:t>5</w:t>
            </w:r>
            <w:r>
              <w:rPr>
                <w:color w:val="auto"/>
                <w:kern w:val="0"/>
              </w:rPr>
              <w:t>分。</w:t>
            </w:r>
          </w:p>
          <w:p>
            <w:pPr>
              <w:pStyle w:val="109"/>
              <w:jc w:val="both"/>
              <w:rPr>
                <w:rFonts w:hint="eastAsia" w:ascii="宋体" w:hAnsi="宋体" w:eastAsia="宋体" w:cs="宋体"/>
                <w:bCs/>
                <w:color w:val="auto"/>
                <w:kern w:val="2"/>
                <w:sz w:val="21"/>
                <w:szCs w:val="21"/>
                <w:highlight w:val="none"/>
                <w:lang w:val="en-US" w:eastAsia="zh-CN" w:bidi="ar-SA"/>
              </w:rPr>
            </w:pPr>
            <w:r>
              <w:rPr>
                <w:rFonts w:hint="eastAsia"/>
                <w:b/>
                <w:bCs/>
                <w:color w:val="auto"/>
                <w:kern w:val="0"/>
              </w:rPr>
              <w:t>评审依据：</w:t>
            </w:r>
            <w:r>
              <w:rPr>
                <w:rFonts w:hint="eastAsia"/>
                <w:b/>
                <w:bCs/>
                <w:color w:val="auto"/>
              </w:rPr>
              <w:t>提供上述有效证明文件复印件，</w:t>
            </w:r>
            <w:r>
              <w:rPr>
                <w:rFonts w:hint="eastAsia"/>
                <w:b/>
                <w:bCs/>
                <w:color w:val="auto"/>
                <w:kern w:val="0"/>
              </w:rPr>
              <w:t>未提供或提供不符合的不得分。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color w:val="auto"/>
                <w:kern w:val="0"/>
              </w:rPr>
              <w:t>技术符合性评审</w:t>
            </w:r>
          </w:p>
        </w:tc>
        <w:tc>
          <w:tcPr>
            <w:tcW w:w="858" w:type="dxa"/>
            <w:tcBorders>
              <w:top w:val="single" w:color="auto" w:sz="4" w:space="0"/>
              <w:left w:val="single" w:color="auto" w:sz="4" w:space="0"/>
              <w:bottom w:val="single" w:color="auto" w:sz="4" w:space="0"/>
              <w:right w:val="single" w:color="auto" w:sz="4" w:space="0"/>
            </w:tcBorders>
            <w:vAlign w:val="center"/>
          </w:tcPr>
          <w:p>
            <w:pPr>
              <w:pStyle w:val="109"/>
              <w:jc w:val="center"/>
              <w:rPr>
                <w:rFonts w:hint="eastAsia"/>
                <w:color w:val="auto"/>
                <w:kern w:val="0"/>
                <w:lang w:val="en-US" w:eastAsia="zh-CN"/>
              </w:rPr>
            </w:pPr>
            <w:r>
              <w:rPr>
                <w:rFonts w:hint="eastAsia"/>
                <w:color w:val="auto"/>
                <w:kern w:val="0"/>
                <w:lang w:val="en-US" w:eastAsia="zh-CN"/>
              </w:rPr>
              <w:t>15</w:t>
            </w:r>
            <w:r>
              <w:rPr>
                <w:rFonts w:hint="eastAsia"/>
                <w:color w:val="auto"/>
                <w:kern w:val="0"/>
              </w:rPr>
              <w:t>分</w:t>
            </w:r>
          </w:p>
        </w:tc>
        <w:tc>
          <w:tcPr>
            <w:tcW w:w="6491" w:type="dxa"/>
            <w:tcBorders>
              <w:top w:val="single" w:color="auto" w:sz="4" w:space="0"/>
              <w:left w:val="single" w:color="auto" w:sz="4" w:space="0"/>
              <w:bottom w:val="single" w:color="auto" w:sz="4" w:space="0"/>
              <w:right w:val="single" w:color="auto" w:sz="4" w:space="0"/>
            </w:tcBorders>
            <w:vAlign w:val="center"/>
          </w:tcPr>
          <w:p>
            <w:pPr>
              <w:pStyle w:val="109"/>
              <w:jc w:val="left"/>
              <w:rPr>
                <w:color w:val="auto"/>
                <w:kern w:val="0"/>
              </w:rPr>
            </w:pPr>
            <w:r>
              <w:rPr>
                <w:rFonts w:hint="eastAsia"/>
                <w:color w:val="auto"/>
                <w:kern w:val="0"/>
                <w:lang w:eastAsia="zh-CN"/>
              </w:rPr>
              <w:t>供应商</w:t>
            </w:r>
            <w:r>
              <w:rPr>
                <w:rFonts w:hint="eastAsia"/>
                <w:color w:val="auto"/>
                <w:kern w:val="0"/>
              </w:rPr>
              <w:t>对技术参数指标响应情况，全部满足得1</w:t>
            </w:r>
            <w:r>
              <w:rPr>
                <w:color w:val="auto"/>
                <w:kern w:val="0"/>
              </w:rPr>
              <w:t>5分。每负偏离一项“</w:t>
            </w:r>
            <w:r>
              <w:rPr>
                <w:rFonts w:hint="eastAsia"/>
                <w:color w:val="auto"/>
                <w:kern w:val="0"/>
              </w:rPr>
              <w:t>▲</w:t>
            </w:r>
            <w:r>
              <w:rPr>
                <w:color w:val="auto"/>
                <w:kern w:val="0"/>
              </w:rPr>
              <w:t>”扣</w:t>
            </w:r>
            <w:r>
              <w:rPr>
                <w:rFonts w:hint="eastAsia"/>
                <w:color w:val="auto"/>
                <w:kern w:val="0"/>
                <w:lang w:val="en-US" w:eastAsia="zh-CN"/>
              </w:rPr>
              <w:t>1</w:t>
            </w:r>
            <w:r>
              <w:rPr>
                <w:color w:val="auto"/>
                <w:kern w:val="0"/>
              </w:rPr>
              <w:t>分，每负偏离一项普通参数指标扣</w:t>
            </w:r>
            <w:r>
              <w:rPr>
                <w:rFonts w:hint="eastAsia"/>
                <w:color w:val="auto"/>
                <w:kern w:val="0"/>
                <w:lang w:val="en-US" w:eastAsia="zh-CN"/>
              </w:rPr>
              <w:t>0.5</w:t>
            </w:r>
            <w:r>
              <w:rPr>
                <w:color w:val="auto"/>
                <w:kern w:val="0"/>
              </w:rPr>
              <w:t>分，直到扣完为止。</w:t>
            </w:r>
          </w:p>
          <w:p>
            <w:pPr>
              <w:pStyle w:val="109"/>
              <w:jc w:val="left"/>
              <w:rPr>
                <w:rFonts w:hint="eastAsia"/>
                <w:color w:val="auto"/>
                <w:kern w:val="0"/>
                <w:lang w:val="en-US" w:eastAsia="zh-CN"/>
              </w:rPr>
            </w:pPr>
            <w:r>
              <w:rPr>
                <w:rFonts w:hint="eastAsia"/>
                <w:color w:val="auto"/>
                <w:kern w:val="0"/>
              </w:rPr>
              <w:t>评审依据：①证明材料中若“测评</w:t>
            </w:r>
            <w:r>
              <w:rPr>
                <w:color w:val="auto"/>
                <w:kern w:val="0"/>
              </w:rPr>
              <w:t>/检验报告”类的证明材料内容过多，可仅提供（但不限于）报告封面/首页、可证明技术参数的关键页内容；</w:t>
            </w:r>
            <w:r>
              <w:rPr>
                <w:color w:val="auto"/>
                <w:kern w:val="0"/>
              </w:rPr>
              <w:fldChar w:fldCharType="begin"/>
            </w:r>
            <w:r>
              <w:rPr>
                <w:color w:val="auto"/>
                <w:kern w:val="0"/>
              </w:rPr>
              <w:instrText xml:space="preserve"> </w:instrText>
            </w:r>
            <w:r>
              <w:rPr>
                <w:rFonts w:hint="eastAsia"/>
                <w:color w:val="auto"/>
                <w:kern w:val="0"/>
              </w:rPr>
              <w:instrText xml:space="preserve">= 2 \* GB3</w:instrText>
            </w:r>
            <w:r>
              <w:rPr>
                <w:color w:val="auto"/>
                <w:kern w:val="0"/>
              </w:rPr>
              <w:instrText xml:space="preserve"> </w:instrText>
            </w:r>
            <w:r>
              <w:rPr>
                <w:color w:val="auto"/>
                <w:kern w:val="0"/>
              </w:rPr>
              <w:fldChar w:fldCharType="separate"/>
            </w:r>
            <w:r>
              <w:rPr>
                <w:rFonts w:hint="eastAsia"/>
                <w:color w:val="auto"/>
                <w:kern w:val="0"/>
              </w:rPr>
              <w:t>②</w:t>
            </w:r>
            <w:r>
              <w:rPr>
                <w:color w:val="auto"/>
                <w:kern w:val="0"/>
              </w:rPr>
              <w:fldChar w:fldCharType="end"/>
            </w:r>
            <w:r>
              <w:rPr>
                <w:color w:val="auto"/>
                <w:kern w:val="0"/>
              </w:rPr>
              <w:t>证明材料未提供或无法识别内容不得分。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项目整体方案</w:t>
            </w:r>
          </w:p>
        </w:tc>
        <w:tc>
          <w:tcPr>
            <w:tcW w:w="858" w:type="dxa"/>
            <w:tcBorders>
              <w:top w:val="single" w:color="auto" w:sz="4" w:space="0"/>
              <w:left w:val="single" w:color="auto" w:sz="4" w:space="0"/>
              <w:bottom w:val="single" w:color="auto" w:sz="4" w:space="0"/>
              <w:right w:val="single" w:color="auto" w:sz="4" w:space="0"/>
            </w:tcBorders>
            <w:vAlign w:val="center"/>
          </w:tcPr>
          <w:p>
            <w:pPr>
              <w:pStyle w:val="109"/>
              <w:jc w:val="center"/>
              <w:rPr>
                <w:rFonts w:hint="eastAsia" w:ascii="宋体" w:hAnsi="宋体" w:eastAsia="宋体" w:cs="宋体"/>
                <w:bCs/>
                <w:color w:val="auto"/>
                <w:sz w:val="21"/>
                <w:szCs w:val="21"/>
                <w:highlight w:val="none"/>
              </w:rPr>
            </w:pPr>
            <w:r>
              <w:rPr>
                <w:color w:val="auto"/>
                <w:kern w:val="0"/>
                <w:highlight w:val="none"/>
              </w:rPr>
              <w:t>8</w:t>
            </w:r>
            <w:r>
              <w:rPr>
                <w:rFonts w:hint="eastAsia"/>
                <w:color w:val="auto"/>
                <w:kern w:val="0"/>
                <w:highlight w:val="none"/>
              </w:rPr>
              <w:t>分</w:t>
            </w:r>
          </w:p>
        </w:tc>
        <w:tc>
          <w:tcPr>
            <w:tcW w:w="6491" w:type="dxa"/>
            <w:tcBorders>
              <w:top w:val="single" w:color="auto" w:sz="4" w:space="0"/>
              <w:left w:val="single" w:color="auto" w:sz="4" w:space="0"/>
              <w:bottom w:val="single" w:color="auto" w:sz="4" w:space="0"/>
              <w:right w:val="single" w:color="auto" w:sz="4" w:space="0"/>
            </w:tcBorders>
            <w:vAlign w:val="center"/>
          </w:tcPr>
          <w:p>
            <w:pPr>
              <w:pStyle w:val="109"/>
              <w:rPr>
                <w:color w:val="auto"/>
                <w:kern w:val="0"/>
                <w:highlight w:val="none"/>
              </w:rPr>
            </w:pPr>
            <w:r>
              <w:rPr>
                <w:rFonts w:hint="eastAsia"/>
                <w:color w:val="auto"/>
                <w:kern w:val="0"/>
                <w:highlight w:val="none"/>
              </w:rPr>
              <w:t>1、根据</w:t>
            </w:r>
            <w:r>
              <w:rPr>
                <w:rFonts w:hint="eastAsia"/>
                <w:color w:val="auto"/>
                <w:kern w:val="0"/>
                <w:highlight w:val="none"/>
                <w:lang w:eastAsia="zh-CN"/>
              </w:rPr>
              <w:t>供应商</w:t>
            </w:r>
            <w:r>
              <w:rPr>
                <w:rFonts w:hint="eastAsia"/>
                <w:color w:val="auto"/>
                <w:kern w:val="0"/>
                <w:highlight w:val="none"/>
              </w:rPr>
              <w:t>整体建设实施方案的科学、完整、详细、可操作性及系统资源整合详细、全面、合理性等进行综合评定。优得</w:t>
            </w:r>
            <w:r>
              <w:rPr>
                <w:color w:val="auto"/>
                <w:kern w:val="0"/>
                <w:highlight w:val="none"/>
              </w:rPr>
              <w:t>5</w:t>
            </w:r>
            <w:r>
              <w:rPr>
                <w:rFonts w:hint="eastAsia"/>
                <w:color w:val="auto"/>
                <w:kern w:val="0"/>
                <w:highlight w:val="none"/>
              </w:rPr>
              <w:t>分、良得</w:t>
            </w:r>
            <w:r>
              <w:rPr>
                <w:color w:val="auto"/>
                <w:kern w:val="0"/>
                <w:highlight w:val="none"/>
              </w:rPr>
              <w:t>3</w:t>
            </w:r>
            <w:r>
              <w:rPr>
                <w:rFonts w:hint="eastAsia"/>
                <w:color w:val="auto"/>
                <w:kern w:val="0"/>
                <w:highlight w:val="none"/>
              </w:rPr>
              <w:t>分、差或不符合要求不得分。</w:t>
            </w:r>
          </w:p>
          <w:p>
            <w:pPr>
              <w:pStyle w:val="109"/>
              <w:rPr>
                <w:rFonts w:hint="eastAsia" w:ascii="宋体" w:hAnsi="宋体" w:eastAsia="宋体" w:cs="宋体"/>
                <w:bCs/>
                <w:color w:val="auto"/>
                <w:sz w:val="21"/>
                <w:szCs w:val="21"/>
                <w:highlight w:val="none"/>
              </w:rPr>
            </w:pPr>
            <w:r>
              <w:rPr>
                <w:rFonts w:hint="eastAsia"/>
                <w:color w:val="auto"/>
                <w:kern w:val="0"/>
                <w:highlight w:val="none"/>
              </w:rPr>
              <w:t>2、根据对学校现状分析程度及提出的针对性建设建议与学校需求吻合程度进行综合评定。优得</w:t>
            </w:r>
            <w:r>
              <w:rPr>
                <w:color w:val="auto"/>
                <w:kern w:val="0"/>
                <w:highlight w:val="none"/>
              </w:rPr>
              <w:t>3</w:t>
            </w:r>
            <w:r>
              <w:rPr>
                <w:rFonts w:hint="eastAsia"/>
                <w:color w:val="auto"/>
                <w:kern w:val="0"/>
                <w:highlight w:val="none"/>
              </w:rPr>
              <w:t>分、良得</w:t>
            </w:r>
            <w:r>
              <w:rPr>
                <w:color w:val="auto"/>
                <w:kern w:val="0"/>
                <w:highlight w:val="none"/>
              </w:rPr>
              <w:t>2</w:t>
            </w:r>
            <w:r>
              <w:rPr>
                <w:rFonts w:hint="eastAsia"/>
                <w:color w:val="auto"/>
                <w:kern w:val="0"/>
                <w:highlight w:val="none"/>
              </w:rPr>
              <w:t>分、差或不符合要求不得分。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现场演示</w:t>
            </w:r>
          </w:p>
        </w:tc>
        <w:tc>
          <w:tcPr>
            <w:tcW w:w="858" w:type="dxa"/>
            <w:tcBorders>
              <w:top w:val="single" w:color="auto" w:sz="4" w:space="0"/>
              <w:left w:val="single" w:color="auto" w:sz="4" w:space="0"/>
              <w:bottom w:val="single" w:color="auto" w:sz="4" w:space="0"/>
              <w:right w:val="single" w:color="auto" w:sz="4" w:space="0"/>
            </w:tcBorders>
            <w:vAlign w:val="center"/>
          </w:tcPr>
          <w:p>
            <w:pPr>
              <w:pStyle w:val="109"/>
              <w:jc w:val="center"/>
              <w:rPr>
                <w:rFonts w:hint="eastAsia" w:ascii="宋体" w:hAnsi="宋体" w:eastAsia="宋体" w:cs="宋体"/>
                <w:bCs/>
                <w:color w:val="auto"/>
                <w:sz w:val="21"/>
                <w:szCs w:val="21"/>
                <w:highlight w:val="none"/>
              </w:rPr>
            </w:pPr>
            <w:r>
              <w:rPr>
                <w:color w:val="auto"/>
                <w:highlight w:val="none"/>
              </w:rPr>
              <w:t>14</w:t>
            </w:r>
            <w:r>
              <w:rPr>
                <w:rFonts w:hint="eastAsia"/>
                <w:color w:val="auto"/>
                <w:highlight w:val="none"/>
              </w:rPr>
              <w:t>分</w:t>
            </w:r>
          </w:p>
        </w:tc>
        <w:tc>
          <w:tcPr>
            <w:tcW w:w="6491" w:type="dxa"/>
            <w:tcBorders>
              <w:top w:val="single" w:color="auto" w:sz="4" w:space="0"/>
              <w:left w:val="single" w:color="auto" w:sz="4" w:space="0"/>
              <w:bottom w:val="single" w:color="auto" w:sz="4" w:space="0"/>
              <w:right w:val="single" w:color="auto" w:sz="4" w:space="0"/>
            </w:tcBorders>
            <w:vAlign w:val="center"/>
          </w:tcPr>
          <w:p>
            <w:pPr>
              <w:pStyle w:val="109"/>
              <w:rPr>
                <w:color w:val="auto"/>
                <w:highlight w:val="none"/>
                <w:lang w:val="en-US"/>
              </w:rPr>
            </w:pPr>
            <w:r>
              <w:rPr>
                <w:rFonts w:hint="eastAsia"/>
                <w:color w:val="auto"/>
                <w:highlight w:val="none"/>
                <w:lang w:val="en-US" w:eastAsia="zh-CN"/>
              </w:rPr>
              <w:t>供应商</w:t>
            </w:r>
            <w:r>
              <w:rPr>
                <w:rFonts w:hint="eastAsia"/>
                <w:color w:val="auto"/>
                <w:highlight w:val="none"/>
                <w:lang w:val="en-US"/>
              </w:rPr>
              <w:t>需进行真实系统演示，演示若采用录屏、静态页面或</w:t>
            </w:r>
            <w:r>
              <w:rPr>
                <w:color w:val="auto"/>
                <w:highlight w:val="none"/>
                <w:lang w:val="en-US"/>
              </w:rPr>
              <w:t>PPT演示，演示不得分；（</w:t>
            </w:r>
            <w:r>
              <w:rPr>
                <w:rFonts w:hint="eastAsia"/>
                <w:color w:val="auto"/>
                <w:highlight w:val="none"/>
                <w:lang w:val="en-US" w:eastAsia="zh-CN"/>
              </w:rPr>
              <w:t>供应商</w:t>
            </w:r>
            <w:r>
              <w:rPr>
                <w:color w:val="auto"/>
                <w:highlight w:val="none"/>
                <w:lang w:val="en-US"/>
              </w:rPr>
              <w:t>自备演示时需要的相关设备及可能用到的线材插座等，演示时间不超过15分钟）</w:t>
            </w:r>
          </w:p>
          <w:p>
            <w:pPr>
              <w:pStyle w:val="109"/>
              <w:rPr>
                <w:color w:val="auto"/>
                <w:highlight w:val="none"/>
                <w:lang w:val="en-US"/>
              </w:rPr>
            </w:pPr>
            <w:r>
              <w:rPr>
                <w:rFonts w:hint="eastAsia"/>
                <w:color w:val="auto"/>
                <w:highlight w:val="none"/>
                <w:lang w:val="en-US"/>
              </w:rPr>
              <w:t>1、演示信息标准发布网站，要求支持业务域信息标准统计，包括业务域总表数、业务域总字段数、总代码数以及规则字段总数等。并且对来源与支撑进行分系统统计。（全部满足得2分，否则不得分）</w:t>
            </w:r>
          </w:p>
          <w:p>
            <w:pPr>
              <w:pStyle w:val="109"/>
              <w:rPr>
                <w:color w:val="auto"/>
                <w:highlight w:val="none"/>
                <w:lang w:val="en-US"/>
              </w:rPr>
            </w:pPr>
            <w:r>
              <w:rPr>
                <w:rFonts w:hint="eastAsia"/>
                <w:color w:val="auto"/>
                <w:highlight w:val="none"/>
                <w:lang w:val="en-US"/>
              </w:rPr>
              <w:t>2、演示支持不同版本的信息标准之间可以进行标准对比，并生成版本对比报告，以及支持导出，查看信息标准的数据结构、数据字段、代码集和代码项的变动情况。当前版本支持版本预览和版本导出操作，导出格式至少包括</w:t>
            </w:r>
            <w:r>
              <w:rPr>
                <w:color w:val="auto"/>
                <w:highlight w:val="none"/>
                <w:lang w:val="en-US"/>
              </w:rPr>
              <w:t>word、Excel、PDF等。</w:t>
            </w:r>
            <w:r>
              <w:rPr>
                <w:rFonts w:hint="eastAsia"/>
                <w:color w:val="auto"/>
                <w:highlight w:val="none"/>
                <w:lang w:val="en-US"/>
              </w:rPr>
              <w:t>（全部满足得2分，否则不得分）</w:t>
            </w:r>
          </w:p>
          <w:p>
            <w:pPr>
              <w:pStyle w:val="109"/>
              <w:rPr>
                <w:color w:val="auto"/>
                <w:highlight w:val="none"/>
                <w:lang w:val="en-US"/>
              </w:rPr>
            </w:pPr>
            <w:r>
              <w:rPr>
                <w:rFonts w:hint="eastAsia"/>
                <w:color w:val="auto"/>
                <w:highlight w:val="none"/>
                <w:lang w:val="en-US"/>
              </w:rPr>
              <w:t>3、演示数据仓库，要求支持按不同主题数据的分析查看，至少包括总体运行情况分析、事实表、维度表和指标的查看，可对指标公式进行配置，并可以实现任务调度和调度历史的查看。（全部满足得2分，否则不得分）</w:t>
            </w:r>
          </w:p>
          <w:p>
            <w:pPr>
              <w:pStyle w:val="109"/>
              <w:rPr>
                <w:color w:val="auto"/>
                <w:highlight w:val="none"/>
                <w:lang w:val="en-US"/>
              </w:rPr>
            </w:pPr>
            <w:r>
              <w:rPr>
                <w:rFonts w:hint="eastAsia"/>
                <w:color w:val="auto"/>
                <w:highlight w:val="none"/>
                <w:lang w:val="en-US"/>
              </w:rPr>
              <w:t>4、演示历史库的数据分析能力，要求支持集中展示历史库增量态势、系统数据分布和数据增量排名，支持全局数据查询。针对业务系统，支持数据生命周期查看，除了表字段数、表记录数、所占空间等基本信息，还应包括可自选时间段、可自定义配置查询字段的详细查询功能。（全部满足得2分，否则不得分）</w:t>
            </w:r>
          </w:p>
          <w:p>
            <w:pPr>
              <w:pStyle w:val="109"/>
              <w:rPr>
                <w:color w:val="auto"/>
                <w:highlight w:val="none"/>
                <w:lang w:val="en-US"/>
              </w:rPr>
            </w:pPr>
            <w:r>
              <w:rPr>
                <w:rFonts w:hint="eastAsia"/>
                <w:color w:val="auto"/>
                <w:highlight w:val="none"/>
                <w:lang w:val="en-US"/>
              </w:rPr>
              <w:t>5、演示各业务系统与数据中心数据库的动态数据流向图，并基于图形支持下钻查看具体数据流程的详细信息和调度配置情况，展示流程的运行次数与失败次数，向下挖掘展示数据流的源库源表信息和目标库目标表信息，实现数据运行质量监控。（全部满足得2分，否则不得分）</w:t>
            </w:r>
          </w:p>
          <w:p>
            <w:pPr>
              <w:pStyle w:val="109"/>
              <w:rPr>
                <w:color w:val="auto"/>
                <w:highlight w:val="none"/>
                <w:lang w:val="en-US"/>
              </w:rPr>
            </w:pPr>
            <w:r>
              <w:rPr>
                <w:rFonts w:hint="eastAsia"/>
                <w:color w:val="auto"/>
                <w:highlight w:val="none"/>
                <w:lang w:val="en-US"/>
              </w:rPr>
              <w:t>6、</w:t>
            </w:r>
            <w:r>
              <w:rPr>
                <w:rFonts w:hint="eastAsia"/>
                <w:color w:val="auto"/>
                <w:highlight w:val="none"/>
              </w:rPr>
              <w:t>演示数据质量报告生成效果，能够生成自定义数据检测报告、也可按月份自动生成的质量报告，并实现报告订阅。</w:t>
            </w:r>
            <w:r>
              <w:rPr>
                <w:rFonts w:hint="eastAsia"/>
                <w:color w:val="auto"/>
                <w:highlight w:val="none"/>
                <w:lang w:val="en-US"/>
              </w:rPr>
              <w:t>（全部满足得2分，否则不得分）</w:t>
            </w:r>
          </w:p>
          <w:p>
            <w:pPr>
              <w:pStyle w:val="109"/>
              <w:rPr>
                <w:rFonts w:hint="eastAsia" w:ascii="宋体" w:hAnsi="宋体" w:eastAsia="宋体" w:cs="宋体"/>
                <w:color w:val="auto"/>
                <w:sz w:val="21"/>
                <w:szCs w:val="21"/>
                <w:highlight w:val="none"/>
              </w:rPr>
            </w:pPr>
            <w:r>
              <w:rPr>
                <w:rFonts w:hint="eastAsia"/>
                <w:color w:val="auto"/>
                <w:highlight w:val="none"/>
                <w:lang w:val="en-US"/>
              </w:rPr>
              <w:t>7、</w:t>
            </w:r>
            <w:r>
              <w:rPr>
                <w:rFonts w:hint="eastAsia" w:ascii="宋体" w:hAnsi="宋体"/>
                <w:color w:val="auto"/>
                <w:highlight w:val="none"/>
              </w:rPr>
              <w:t>演示数据交换流程配置。支持可视化拖拽式的操作，至少包括数据模型抽取、数据模型加载、增量运算、脚本节点、运算器、定时器等20个工具。同时可对具体流转环节的基本属性、字段映射进行配置，可对字段的数据补全规则、转换规则、脱敏规则进行选择。</w:t>
            </w:r>
            <w:r>
              <w:rPr>
                <w:rFonts w:hint="eastAsia"/>
                <w:color w:val="auto"/>
                <w:highlight w:val="none"/>
                <w:lang w:val="en-US"/>
              </w:rPr>
              <w:t>（全部满足得2分，否则不得分）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color w:val="auto"/>
                <w:kern w:val="0"/>
                <w:highlight w:val="none"/>
              </w:rPr>
              <w:t>项目技术团队</w:t>
            </w:r>
          </w:p>
        </w:tc>
        <w:tc>
          <w:tcPr>
            <w:tcW w:w="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拟派负责人基本情况及相关专业人员配备情况，是否能够达到本项目服务要求（现场项目负责人、技术人员、安装人员，需提供相关证书如学历证书、上岗证书、作业证书等），满分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售后服务方案</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6491" w:type="dxa"/>
            <w:tcBorders>
              <w:top w:val="single" w:color="auto" w:sz="4" w:space="0"/>
              <w:left w:val="single" w:color="auto" w:sz="4" w:space="0"/>
              <w:bottom w:val="single" w:color="auto" w:sz="4" w:space="0"/>
              <w:right w:val="single" w:color="auto" w:sz="4" w:space="0"/>
            </w:tcBorders>
            <w:vAlign w:val="center"/>
          </w:tcPr>
          <w:p>
            <w:pPr>
              <w:pStyle w:val="109"/>
              <w:rPr>
                <w:color w:val="auto"/>
                <w:highlight w:val="none"/>
              </w:rPr>
            </w:pPr>
            <w:r>
              <w:rPr>
                <w:rFonts w:hint="eastAsia"/>
                <w:color w:val="auto"/>
                <w:highlight w:val="none"/>
                <w:lang w:val="en-US" w:eastAsia="zh-CN"/>
              </w:rPr>
              <w:t>1、</w:t>
            </w:r>
            <w:r>
              <w:rPr>
                <w:rFonts w:hint="eastAsia"/>
                <w:color w:val="auto"/>
                <w:highlight w:val="none"/>
                <w:lang w:eastAsia="zh-CN"/>
              </w:rPr>
              <w:t>供应商</w:t>
            </w:r>
            <w:r>
              <w:rPr>
                <w:rFonts w:hint="eastAsia"/>
                <w:color w:val="auto"/>
                <w:highlight w:val="none"/>
              </w:rPr>
              <w:t>须提供详细的售后服务方案，针对服务体系、服务范围以及故障解决方案、响应时间、应急处理方案、专业技术人员保障、售后服务电话等进行描述。优得</w:t>
            </w:r>
            <w:r>
              <w:rPr>
                <w:color w:val="auto"/>
                <w:highlight w:val="none"/>
              </w:rPr>
              <w:t>5分，良得3分，差或不提供不得分；</w:t>
            </w:r>
          </w:p>
          <w:p>
            <w:pPr>
              <w:jc w:val="left"/>
              <w:rPr>
                <w:rFonts w:hint="eastAsia"/>
                <w:color w:val="auto"/>
                <w:highlight w:val="none"/>
              </w:rPr>
            </w:pPr>
            <w:r>
              <w:rPr>
                <w:rFonts w:hint="eastAsia"/>
                <w:color w:val="auto"/>
                <w:highlight w:val="none"/>
              </w:rPr>
              <w:t>以上须提供售后服务承诺函加盖投标人公章。</w:t>
            </w:r>
          </w:p>
          <w:p>
            <w:pPr>
              <w:jc w:val="left"/>
              <w:rPr>
                <w:color w:val="auto"/>
                <w:highlight w:val="none"/>
              </w:rPr>
            </w:pPr>
            <w:r>
              <w:rPr>
                <w:rFonts w:hint="eastAsia"/>
                <w:color w:val="auto"/>
                <w:highlight w:val="none"/>
                <w:lang w:val="en-US" w:eastAsia="zh-CN"/>
              </w:rPr>
              <w:t>2、</w:t>
            </w:r>
            <w:r>
              <w:rPr>
                <w:rFonts w:hint="eastAsia"/>
                <w:color w:val="auto"/>
                <w:highlight w:val="none"/>
                <w:lang w:eastAsia="zh-CN"/>
              </w:rPr>
              <w:t>供应商</w:t>
            </w:r>
            <w:r>
              <w:rPr>
                <w:rFonts w:hint="eastAsia"/>
                <w:color w:val="auto"/>
                <w:highlight w:val="none"/>
              </w:rPr>
              <w:t>需提供详细的</w:t>
            </w:r>
            <w:r>
              <w:rPr>
                <w:color w:val="auto"/>
                <w:highlight w:val="none"/>
              </w:rPr>
              <w:t>培训方案</w:t>
            </w:r>
            <w:r>
              <w:rPr>
                <w:rFonts w:hint="eastAsia"/>
                <w:color w:val="auto"/>
                <w:highlight w:val="none"/>
              </w:rPr>
              <w:t>，针对培训策略、培训内容、培训监控及针对性培训方案进行描述。优得</w:t>
            </w:r>
            <w:r>
              <w:rPr>
                <w:color w:val="auto"/>
                <w:highlight w:val="none"/>
              </w:rPr>
              <w:t>3分，良得2分，差或不提供不得分；</w:t>
            </w:r>
          </w:p>
          <w:p>
            <w:pPr>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基础质保期为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年，得基础分1分，每增加1年得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分，此项满分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r>
    </w:tbl>
    <w:p>
      <w:pPr>
        <w:spacing w:line="240" w:lineRule="auto"/>
        <w:ind w:left="479" w:leftChars="114" w:hanging="240" w:hangingChars="100"/>
        <w:rPr>
          <w:rFonts w:hint="eastAsia" w:asciiTheme="minorEastAsia" w:hAnsiTheme="minorEastAsia" w:eastAsiaTheme="minorEastAsia" w:cstheme="minorEastAsia"/>
          <w:bCs/>
          <w:i w:val="0"/>
          <w:iCs w:val="0"/>
          <w:color w:val="auto"/>
          <w:sz w:val="24"/>
          <w:highlight w:val="none"/>
        </w:rPr>
      </w:pPr>
    </w:p>
    <w:p>
      <w:pPr>
        <w:spacing w:line="240" w:lineRule="auto"/>
        <w:ind w:left="479" w:leftChars="114" w:hanging="240" w:hangingChars="100"/>
        <w:rPr>
          <w:rFonts w:hint="eastAsia" w:asciiTheme="minorEastAsia" w:hAnsiTheme="minorEastAsia" w:eastAsiaTheme="minorEastAsia" w:cstheme="minorEastAsia"/>
          <w:i w:val="0"/>
          <w:iCs w:val="0"/>
          <w:color w:val="auto"/>
          <w:sz w:val="24"/>
          <w:szCs w:val="24"/>
          <w:highlight w:val="none"/>
          <w:shd w:val="clear" w:color="auto" w:fill="FFFFFF"/>
        </w:rPr>
      </w:pPr>
      <w:r>
        <w:rPr>
          <w:rFonts w:hint="eastAsia" w:asciiTheme="minorEastAsia" w:hAnsiTheme="minorEastAsia" w:eastAsiaTheme="minorEastAsia" w:cstheme="minorEastAsia"/>
          <w:bCs/>
          <w:i w:val="0"/>
          <w:iCs w:val="0"/>
          <w:color w:val="auto"/>
          <w:sz w:val="24"/>
          <w:highlight w:val="none"/>
        </w:rPr>
        <w:t>26.4</w:t>
      </w:r>
      <w:r>
        <w:rPr>
          <w:rFonts w:hint="eastAsia" w:asciiTheme="minorEastAsia" w:hAnsiTheme="minorEastAsia" w:eastAsiaTheme="minorEastAsia" w:cstheme="minorEastAsia"/>
          <w:i w:val="0"/>
          <w:iCs w:val="0"/>
          <w:color w:val="auto"/>
          <w:sz w:val="24"/>
          <w:szCs w:val="24"/>
          <w:highlight w:val="none"/>
          <w:shd w:val="clear" w:color="auto" w:fill="FFFFFF"/>
        </w:rPr>
        <w:t>磋商小组应当根据综合评分情况，按照评审得分由高到低顺序推荐3名以上成交候选供应商。评审得分相同的，按照最后报价由低到高的顺序推荐。评审得分且最后报价相同的，按照技术指标优劣顺序推荐。</w:t>
      </w:r>
    </w:p>
    <w:p>
      <w:pPr>
        <w:spacing w:line="240" w:lineRule="auto"/>
        <w:ind w:left="480" w:hanging="480" w:hanging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26.5采购人根据磋商小组推荐的成交候选供应商名单，根据相关法律法规的规定确定最终成交商。如果排名第一的成交候选供应商的实际情况与其磋商资料不相符，将取消其成交资格，</w:t>
      </w:r>
      <w:r>
        <w:rPr>
          <w:rFonts w:hint="eastAsia" w:asciiTheme="minorEastAsia" w:hAnsiTheme="minorEastAsia" w:eastAsiaTheme="minorEastAsia" w:cstheme="minorEastAsia"/>
          <w:color w:val="auto"/>
          <w:sz w:val="24"/>
          <w:szCs w:val="24"/>
          <w:highlight w:val="none"/>
        </w:rPr>
        <w:t>此项目做废标处理</w:t>
      </w:r>
      <w:r>
        <w:rPr>
          <w:rFonts w:hint="eastAsia" w:asciiTheme="minorEastAsia" w:hAnsiTheme="minorEastAsia" w:eastAsiaTheme="minorEastAsia" w:cstheme="minorEastAsia"/>
          <w:bCs/>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27．磋商过程的保密性</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27.2 供应商在磋商过程中，所进行的力图影响磋商结果的，不符合《政府采购法》及本次磋商中有关规定的活动，将被取消其磋商资格。</w:t>
      </w:r>
      <w:bookmarkStart w:id="39" w:name="_Toc468707223"/>
      <w:bookmarkStart w:id="40" w:name="_Toc298240410"/>
      <w:bookmarkStart w:id="41" w:name="_Toc349637925"/>
      <w:bookmarkStart w:id="42" w:name="_Toc267301287"/>
      <w:bookmarkStart w:id="43" w:name="_Toc349573126"/>
    </w:p>
    <w:p>
      <w:pPr>
        <w:pStyle w:val="4"/>
        <w:spacing w:before="100" w:beforeAutospacing="1" w:after="100" w:afterAutospacing="1" w:line="240" w:lineRule="auto"/>
        <w:jc w:val="both"/>
        <w:rPr>
          <w:rFonts w:hint="eastAsia" w:asciiTheme="minorEastAsia" w:hAnsiTheme="minorEastAsia" w:eastAsiaTheme="minorEastAsia" w:cstheme="minorEastAsia"/>
          <w:i w:val="0"/>
          <w:iCs w:val="0"/>
          <w:color w:val="auto"/>
          <w:sz w:val="28"/>
          <w:szCs w:val="28"/>
          <w:highlight w:val="none"/>
        </w:rPr>
      </w:pP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F  授予合同</w:t>
      </w:r>
      <w:bookmarkEnd w:id="39"/>
      <w:bookmarkEnd w:id="40"/>
      <w:bookmarkEnd w:id="41"/>
      <w:bookmarkEnd w:id="42"/>
      <w:bookmarkEnd w:id="43"/>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28．合同授予标准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28.1</w:t>
      </w:r>
      <w:r>
        <w:rPr>
          <w:rFonts w:hint="eastAsia" w:asciiTheme="minorEastAsia" w:hAnsiTheme="minorEastAsia" w:eastAsiaTheme="minorEastAsia" w:cstheme="minorEastAsia"/>
          <w:bCs/>
          <w:i w:val="0"/>
          <w:iCs w:val="0"/>
          <w:color w:val="auto"/>
          <w:sz w:val="24"/>
          <w:highlight w:val="none"/>
        </w:rPr>
        <w:t>合同将授予被确定为实质上响应磋商文件要求，符合采购需求、质量和服务相等且报价最低的供应商</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28.2 最低报价不一定是被授予合同的保证。</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28.3 如果确定该供应商无法圆满履行合同，招标代理机构</w:t>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lang w:eastAsia="zh-CN"/>
        </w:rPr>
        <w:t>将对此项目做出废标处理</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29．接受和拒绝任何或所有磋商的权力</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29.1为维护国家利益，买方在授予合同之前仍有选择或拒绝任何全部磋商的权力，并对所采取的行为不作任何解释。</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30．成交通知书</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30.1 成交公告期满后，招标代理机构将以书面形式发出《成交通知书》，但发出时间不超过磋商有效期，《成交通知书》一经发出即发生法律效力。</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30.2 《成交通知书》将作为签订合同的依据。</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30.3 招标代理机构将在成交方按规定签订合同并提交履约保证金（如适用）后退还其磋商保证金。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31．签订合同</w:t>
      </w:r>
    </w:p>
    <w:p>
      <w:pPr>
        <w:spacing w:line="240" w:lineRule="auto"/>
        <w:ind w:left="540" w:hanging="540" w:hangingChars="22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31.1 供应商收到《成交通知书》后，按《成交通知书》中规定的时间地点与买方签订合同。买方和成交方不得再订立背离合同实质性内容的其他协议。</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31.2如成交方拒签合同，则按违约处理。招标代理机构没收其磋商保证金。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31.3磋商文件、成交方的磋商响应文件及其澄清文件等，均为签订经济合同的依据。</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32．履约保证金（如适用）</w:t>
      </w:r>
    </w:p>
    <w:p>
      <w:pPr>
        <w:spacing w:line="240" w:lineRule="auto"/>
        <w:ind w:left="720" w:hanging="72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32.1成交方应按合同规定的方式、时间和金额向买方提交履约保证金。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33．招标代理服务费</w:t>
      </w:r>
    </w:p>
    <w:p>
      <w:pPr>
        <w:pStyle w:val="4"/>
        <w:spacing w:line="240" w:lineRule="auto"/>
        <w:rPr>
          <w:rFonts w:hint="eastAsia" w:asciiTheme="minorEastAsia" w:hAnsiTheme="minorEastAsia" w:eastAsiaTheme="minorEastAsia" w:cstheme="minorEastAsia"/>
          <w:b w:val="0"/>
          <w:i w:val="0"/>
          <w:iCs w:val="0"/>
          <w:color w:val="auto"/>
          <w:kern w:val="2"/>
          <w:sz w:val="24"/>
          <w:highlight w:val="none"/>
          <w:lang w:val="en-US" w:eastAsia="zh-CN" w:bidi="ar-SA"/>
        </w:rPr>
      </w:pPr>
      <w:r>
        <w:rPr>
          <w:rFonts w:hint="eastAsia" w:asciiTheme="minorEastAsia" w:hAnsiTheme="minorEastAsia" w:eastAsiaTheme="minorEastAsia" w:cstheme="minorEastAsia"/>
          <w:b w:val="0"/>
          <w:i w:val="0"/>
          <w:iCs w:val="0"/>
          <w:color w:val="auto"/>
          <w:kern w:val="2"/>
          <w:sz w:val="24"/>
          <w:highlight w:val="none"/>
          <w:lang w:val="en-US" w:eastAsia="zh-CN" w:bidi="ar-SA"/>
        </w:rPr>
        <w:t>33.1成交方须按照如下标准向新疆元泓工程项目管理咨询有限公司支付招标代理代理服务费：（本项目由成交人向代理机构支付代理费。招标代理服务费收取标准: 参照计价格[2002]1980号文件收取招标代理服务费。）</w:t>
      </w:r>
      <w:bookmarkStart w:id="44" w:name="_Toc468707224"/>
      <w:bookmarkStart w:id="45" w:name="_Toc267301288"/>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p>
    <w:p>
      <w:pPr>
        <w:pStyle w:val="4"/>
        <w:spacing w:before="100" w:beforeAutospacing="1" w:after="100" w:afterAutospacing="1" w:line="240" w:lineRule="auto"/>
        <w:jc w:val="center"/>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i w:val="0"/>
          <w:iCs w:val="0"/>
          <w:color w:val="auto"/>
          <w:sz w:val="28"/>
          <w:szCs w:val="28"/>
          <w:highlight w:val="none"/>
        </w:rPr>
        <w:t>G  磋商失败条件</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34.出现影响采购公正的违法、违规行为的；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35.因重大变故，采购任务取消的；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36.磋商响应文件截止时间后，实际参与的供应商不足法定家数的；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37.最终报价均超过采购预算的；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38.对磋商文件作出实质性响应的供应商不足法定家数的；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p>
    <w:p>
      <w:pPr>
        <w:rPr>
          <w:rFonts w:hint="eastAsia"/>
          <w:color w:val="auto"/>
          <w:highlight w:val="none"/>
        </w:rPr>
      </w:pPr>
    </w:p>
    <w:p>
      <w:pPr>
        <w:pStyle w:val="3"/>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p>
    <w:p>
      <w:pPr>
        <w:pStyle w:val="3"/>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rPr>
      </w:pPr>
    </w:p>
    <w:p>
      <w:pPr>
        <w:pStyle w:val="17"/>
        <w:rPr>
          <w:rFonts w:hint="eastAsia"/>
          <w:color w:val="auto"/>
          <w:highlight w:val="none"/>
        </w:rPr>
      </w:pPr>
    </w:p>
    <w:p>
      <w:pPr>
        <w:pStyle w:val="3"/>
        <w:spacing w:line="240" w:lineRule="auto"/>
        <w:ind w:left="0" w:firstLine="0"/>
        <w:jc w:val="center"/>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i w:val="0"/>
          <w:iCs w:val="0"/>
          <w:color w:val="auto"/>
          <w:sz w:val="32"/>
          <w:szCs w:val="32"/>
          <w:highlight w:val="none"/>
        </w:rPr>
        <w:t>第</w:t>
      </w:r>
      <w:r>
        <w:rPr>
          <w:rFonts w:hint="eastAsia" w:asciiTheme="minorEastAsia" w:hAnsiTheme="minorEastAsia" w:eastAsiaTheme="minorEastAsia" w:cstheme="minorEastAsia"/>
          <w:i w:val="0"/>
          <w:iCs w:val="0"/>
          <w:color w:val="auto"/>
          <w:sz w:val="32"/>
          <w:szCs w:val="32"/>
          <w:highlight w:val="none"/>
          <w:lang w:eastAsia="zh-CN"/>
        </w:rPr>
        <w:t>三</w:t>
      </w:r>
      <w:r>
        <w:rPr>
          <w:rFonts w:hint="eastAsia" w:asciiTheme="minorEastAsia" w:hAnsiTheme="minorEastAsia" w:eastAsiaTheme="minorEastAsia" w:cstheme="minorEastAsia"/>
          <w:i w:val="0"/>
          <w:iCs w:val="0"/>
          <w:color w:val="auto"/>
          <w:sz w:val="32"/>
          <w:szCs w:val="32"/>
          <w:highlight w:val="none"/>
        </w:rPr>
        <w:t>部分  合同</w:t>
      </w:r>
      <w:bookmarkStart w:id="46" w:name="_Toc455412769"/>
      <w:bookmarkStart w:id="47" w:name="_Toc381724073"/>
      <w:r>
        <w:rPr>
          <w:rFonts w:hint="eastAsia" w:asciiTheme="minorEastAsia" w:hAnsiTheme="minorEastAsia" w:eastAsiaTheme="minorEastAsia" w:cstheme="minorEastAsia"/>
          <w:i w:val="0"/>
          <w:iCs w:val="0"/>
          <w:color w:val="auto"/>
          <w:sz w:val="32"/>
          <w:szCs w:val="32"/>
          <w:highlight w:val="none"/>
        </w:rPr>
        <w:t>范本</w:t>
      </w:r>
      <w:bookmarkEnd w:id="46"/>
      <w:bookmarkEnd w:id="47"/>
      <w:bookmarkStart w:id="48" w:name="_Hlt487972895"/>
      <w:bookmarkEnd w:id="48"/>
      <w:bookmarkStart w:id="49" w:name="_Toc487900382"/>
    </w:p>
    <w:bookmarkEnd w:id="49"/>
    <w:p>
      <w:pPr>
        <w:snapToGrid w:val="0"/>
        <w:spacing w:line="240" w:lineRule="auto"/>
        <w:rPr>
          <w:rFonts w:hint="eastAsia" w:asciiTheme="minorEastAsia" w:hAnsiTheme="minorEastAsia" w:eastAsiaTheme="minorEastAsia" w:cstheme="minorEastAsia"/>
          <w:b/>
          <w:i w:val="0"/>
          <w:iCs w:val="0"/>
          <w:color w:val="auto"/>
          <w:kern w:val="2"/>
          <w:sz w:val="32"/>
          <w:szCs w:val="32"/>
          <w:highlight w:val="none"/>
          <w:lang w:val="en-US" w:eastAsia="zh-CN" w:bidi="ar-SA"/>
        </w:rPr>
      </w:pP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合同号：</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甲方（采购单位）：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甲乙双方根据   年  月  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所签发的《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通知书》（编号：   ），以及招标文件、投标文件的规定，并经双方协商一致，达成本购销合同（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w:t>
      </w:r>
      <w:r>
        <w:rPr>
          <w:rFonts w:hint="eastAsia" w:asciiTheme="minorEastAsia" w:hAnsiTheme="minorEastAsia" w:eastAsiaTheme="minorEastAsia" w:cstheme="minorEastAsia"/>
          <w:color w:val="auto"/>
          <w:sz w:val="24"/>
          <w:szCs w:val="24"/>
          <w:highlight w:val="none"/>
          <w:lang w:eastAsia="zh-CN"/>
        </w:rPr>
        <w:t>竞争性磋商</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文件以及甲、乙双方商定确认后的补充协议构成本合同不可分割的部份）：</w:t>
      </w:r>
    </w:p>
    <w:p>
      <w:pPr>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2"/>
        <w:gridCol w:w="2119"/>
        <w:gridCol w:w="2119"/>
        <w:gridCol w:w="1801"/>
        <w:gridCol w:w="18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名称</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数量</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bl>
    <w:p>
      <w:pPr>
        <w:snapToGrid w:val="0"/>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snapToGrid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本合同的采购总金额为（大写）</w:t>
      </w:r>
      <w:r>
        <w:rPr>
          <w:rFonts w:hint="eastAsia" w:asciiTheme="minorEastAsia" w:hAnsiTheme="minorEastAsia" w:eastAsiaTheme="minorEastAsia" w:cstheme="minorEastAsia"/>
          <w:color w:val="auto"/>
          <w:sz w:val="24"/>
          <w:szCs w:val="24"/>
          <w:highlight w:val="none"/>
          <w:u w:val="single"/>
        </w:rPr>
        <w:t xml:space="preserve">                （¥）人民</w:t>
      </w:r>
      <w:r>
        <w:rPr>
          <w:rFonts w:hint="eastAsia" w:asciiTheme="minorEastAsia" w:hAnsiTheme="minorEastAsia" w:eastAsiaTheme="minorEastAsia" w:cstheme="minorEastAsia"/>
          <w:color w:val="auto"/>
          <w:sz w:val="24"/>
          <w:szCs w:val="24"/>
          <w:highlight w:val="none"/>
        </w:rPr>
        <w:t>币，该价格为交货含税价。</w:t>
      </w:r>
    </w:p>
    <w:p>
      <w:pPr>
        <w:snapToGrid w:val="0"/>
        <w:spacing w:line="24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、付款方式</w:t>
      </w:r>
      <w:r>
        <w:rPr>
          <w:rFonts w:hint="eastAsia" w:asciiTheme="minorEastAsia" w:hAnsiTheme="minorEastAsia" w:eastAsiaTheme="minorEastAsia" w:cstheme="minorEastAsia"/>
          <w:bCs/>
          <w:color w:val="auto"/>
          <w:sz w:val="24"/>
          <w:szCs w:val="24"/>
          <w:highlight w:val="none"/>
          <w:lang w:eastAsia="zh-CN"/>
        </w:rPr>
        <w:t>：</w:t>
      </w:r>
    </w:p>
    <w:p>
      <w:pPr>
        <w:snapToGrid w:val="0"/>
        <w:spacing w:line="24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1、</w:t>
      </w:r>
      <w:r>
        <w:rPr>
          <w:rFonts w:hint="eastAsia" w:asciiTheme="minorEastAsia" w:hAnsiTheme="minorEastAsia" w:eastAsiaTheme="minorEastAsia" w:cstheme="minorEastAsia"/>
          <w:b w:val="0"/>
          <w:bCs/>
          <w:color w:val="auto"/>
          <w:sz w:val="24"/>
          <w:szCs w:val="24"/>
          <w:highlight w:val="none"/>
          <w:lang w:val="en-US" w:eastAsia="zh-CN"/>
        </w:rPr>
        <w:t>建设完成后即验收，项目验收通过后付款</w:t>
      </w:r>
      <w:r>
        <w:rPr>
          <w:rFonts w:hint="eastAsia" w:asciiTheme="minorEastAsia" w:hAnsiTheme="minorEastAsia" w:eastAsiaTheme="minorEastAsia" w:cstheme="minorEastAsia"/>
          <w:b w:val="0"/>
          <w:bCs/>
          <w:color w:val="auto"/>
          <w:sz w:val="24"/>
          <w:szCs w:val="24"/>
          <w:highlight w:val="none"/>
          <w:lang w:eastAsia="zh-CN"/>
        </w:rPr>
        <w:t>；</w:t>
      </w:r>
    </w:p>
    <w:p>
      <w:pPr>
        <w:snapToGrid w:val="0"/>
        <w:spacing w:line="24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2、采购人采用转帐支票或电汇、承兑汇票等方式向成交人支付货款；</w:t>
      </w: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、知识产权</w:t>
      </w:r>
    </w:p>
    <w:p>
      <w:pPr>
        <w:snapToGrid w:val="0"/>
        <w:spacing w:line="24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乙方应保证甲方在使用、接受本合同产品和服务或其任何一部分时不受第三方提出侵犯其专利权、版权、商标权和工业设计权等知识产权的起诉。一旦出现侵权，由乙方负全部责任。</w:t>
      </w:r>
    </w:p>
    <w:p>
      <w:pPr>
        <w:snapToGrid w:val="0"/>
        <w:spacing w:line="240" w:lineRule="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eastAsia="zh-CN"/>
        </w:rPr>
        <w:t>四</w:t>
      </w:r>
      <w:r>
        <w:rPr>
          <w:rFonts w:hint="eastAsia" w:asciiTheme="minorEastAsia" w:hAnsiTheme="minorEastAsia" w:eastAsiaTheme="minorEastAsia" w:cstheme="minorEastAsia"/>
          <w:b/>
          <w:bCs w:val="0"/>
          <w:color w:val="auto"/>
          <w:sz w:val="24"/>
          <w:szCs w:val="24"/>
          <w:highlight w:val="none"/>
        </w:rPr>
        <w:t>、 违约责任</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1、在本合同约定的供货周期完成前，乙方单位单方解除合同或中止供货，视为乙方违约，应支付本合同总金额 10 %给甲方作为违约金。</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、因乙方提供的产品质量原因造成的甲方直接及间接损失由乙方承担责任。</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、因履行合同造成的甲方及第三人人身损害及财产损失由乙方承担责任。</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、甲方无正当理由拒收货物的，甲方应偿付本合同总额的10%违约金。</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、甲方不按照本合同规定准时支付货款时，应从最迟付款日的次日起，每日向乙方偿付1‰违约金。违约金额不超过合同总额的5%为限度。</w:t>
      </w:r>
    </w:p>
    <w:p>
      <w:pPr>
        <w:snapToGrid w:val="0"/>
        <w:spacing w:line="240" w:lineRule="auto"/>
        <w:rPr>
          <w:rFonts w:hint="eastAsia" w:asciiTheme="minorEastAsia" w:hAnsiTheme="minorEastAsia" w:eastAsiaTheme="minorEastAsia" w:cstheme="minorEastAsia"/>
          <w:b/>
          <w:color w:val="auto"/>
          <w:sz w:val="24"/>
          <w:szCs w:val="24"/>
          <w:highlight w:val="none"/>
        </w:rPr>
      </w:pP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w:t>
      </w:r>
      <w:r>
        <w:rPr>
          <w:rFonts w:hint="eastAsia" w:asciiTheme="minorEastAsia" w:hAnsiTheme="minorEastAsia" w:eastAsiaTheme="minorEastAsia" w:cstheme="minorEastAsia"/>
          <w:b/>
          <w:color w:val="auto"/>
          <w:sz w:val="24"/>
          <w:szCs w:val="24"/>
          <w:highlight w:val="none"/>
          <w:lang w:eastAsia="zh-CN"/>
        </w:rPr>
        <w:t>项目完成</w:t>
      </w:r>
      <w:r>
        <w:rPr>
          <w:rFonts w:hint="eastAsia" w:asciiTheme="minorEastAsia" w:hAnsiTheme="minorEastAsia" w:eastAsiaTheme="minorEastAsia" w:cstheme="minorEastAsia"/>
          <w:b/>
          <w:color w:val="auto"/>
          <w:sz w:val="24"/>
          <w:szCs w:val="24"/>
          <w:highlight w:val="none"/>
        </w:rPr>
        <w:t>期限：</w:t>
      </w:r>
      <w:r>
        <w:rPr>
          <w:rFonts w:hint="eastAsia" w:asciiTheme="minorEastAsia" w:hAnsiTheme="minorEastAsia" w:eastAsiaTheme="minorEastAsia" w:cstheme="minorEastAsia"/>
          <w:b/>
          <w:color w:val="auto"/>
          <w:sz w:val="24"/>
          <w:szCs w:val="24"/>
          <w:highlight w:val="yellow"/>
          <w:lang w:eastAsia="zh-CN"/>
        </w:rPr>
        <w:t>自合同签订之日起</w:t>
      </w:r>
      <w:r>
        <w:rPr>
          <w:rFonts w:hint="eastAsia" w:asciiTheme="minorEastAsia" w:hAnsiTheme="minorEastAsia" w:eastAsiaTheme="minorEastAsia" w:cstheme="minorEastAsia"/>
          <w:b/>
          <w:color w:val="auto"/>
          <w:sz w:val="24"/>
          <w:szCs w:val="24"/>
          <w:highlight w:val="yellow"/>
          <w:lang w:val="en-US" w:eastAsia="zh-CN"/>
        </w:rPr>
        <w:t>3个月内</w:t>
      </w:r>
      <w:r>
        <w:rPr>
          <w:rFonts w:hint="eastAsia" w:asciiTheme="minorEastAsia" w:hAnsiTheme="minorEastAsia" w:eastAsiaTheme="minorEastAsia" w:cstheme="minorEastAsia"/>
          <w:b/>
          <w:color w:val="auto"/>
          <w:sz w:val="24"/>
          <w:szCs w:val="24"/>
          <w:highlight w:val="yellow"/>
          <w:lang w:eastAsia="zh-CN"/>
        </w:rPr>
        <w:t>完成</w:t>
      </w:r>
    </w:p>
    <w:p>
      <w:pPr>
        <w:snapToGrid w:val="0"/>
        <w:spacing w:line="240" w:lineRule="auto"/>
        <w:rPr>
          <w:rFonts w:hint="eastAsia" w:asciiTheme="minorEastAsia" w:hAnsiTheme="minorEastAsia" w:eastAsiaTheme="minorEastAsia" w:cstheme="minorEastAsia"/>
          <w:b/>
          <w:bCs w:val="0"/>
          <w:color w:val="auto"/>
          <w:sz w:val="24"/>
          <w:szCs w:val="24"/>
          <w:highlight w:val="none"/>
        </w:rPr>
      </w:pP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六、双方义务：</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1.甲方义务：</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（1）甲方应按合同规定，按时支付合同项目所需的费用。</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（2）未经乙方同意，甲方不得将由乙方提供的技术资料和其他资料泄露给与本项目无关的单位或个人。</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2.乙方义务</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（1）乙方应根据合同按时、按质、按量向甲方提交供货清单的全套设备（包括软件和硬件）及设备说明书。</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（2）不得将由甲方提供的，构成秘密的技术资料和其他资料，泄露给与本项目无关的单位或个人。</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）乙方免费为甲方相关人员提供现场技术培训。</w:t>
      </w: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七</w:t>
      </w:r>
      <w:r>
        <w:rPr>
          <w:rFonts w:hint="eastAsia" w:asciiTheme="minorEastAsia" w:hAnsiTheme="minorEastAsia" w:eastAsiaTheme="minorEastAsia" w:cstheme="minorEastAsia"/>
          <w:b/>
          <w:color w:val="auto"/>
          <w:sz w:val="24"/>
          <w:szCs w:val="24"/>
          <w:highlight w:val="none"/>
        </w:rPr>
        <w:t>、仲裁</w:t>
      </w:r>
    </w:p>
    <w:p>
      <w:pPr>
        <w:snapToGrid w:val="0"/>
        <w:spacing w:line="240" w:lineRule="auto"/>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双方在执行合同中所发生的一切争议，应通过协商解决。如协商不成，则向合同签订所在地仲裁部门提交仲裁或法院起诉。</w:t>
      </w: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八</w:t>
      </w:r>
      <w:r>
        <w:rPr>
          <w:rFonts w:hint="eastAsia" w:asciiTheme="minorEastAsia" w:hAnsiTheme="minorEastAsia" w:eastAsiaTheme="minorEastAsia" w:cstheme="minorEastAsia"/>
          <w:b/>
          <w:color w:val="auto"/>
          <w:sz w:val="24"/>
          <w:szCs w:val="24"/>
          <w:highlight w:val="none"/>
        </w:rPr>
        <w:t>、合同生效及其它</w:t>
      </w:r>
    </w:p>
    <w:p>
      <w:pPr>
        <w:tabs>
          <w:tab w:val="left" w:pos="0"/>
        </w:tabs>
        <w:snapToGrid w:val="0"/>
        <w:spacing w:line="24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1、合同经双方法定代表人或委托代理人签字加盖单位公章后生效。</w:t>
      </w:r>
    </w:p>
    <w:p>
      <w:pPr>
        <w:tabs>
          <w:tab w:val="left" w:pos="0"/>
        </w:tabs>
        <w:snapToGrid w:val="0"/>
        <w:spacing w:line="24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2、合同执行中，如需修改或补充合同内容，由双方协商同意后，另签署书面修改或补充协议作为主合同不可分割的一部分。</w:t>
      </w:r>
    </w:p>
    <w:p>
      <w:pPr>
        <w:tabs>
          <w:tab w:val="left" w:pos="0"/>
        </w:tabs>
        <w:snapToGrid w:val="0"/>
        <w:spacing w:line="24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3、本合同一式二份，甲、乙双方各一份，均具同等法律效力。</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   （盖章）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乙方：   （盖章）</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法定代表人（授权代表）：            法定代表人（授权代表）：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                         地    址：</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                         开户银行：</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                             账号：</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    话：                         电    话：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签约日期：XX年XX月XX日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签约日期：XX年XX月XX日</w:t>
      </w:r>
    </w:p>
    <w:p>
      <w:pPr>
        <w:spacing w:line="240" w:lineRule="auto"/>
        <w:ind w:firstLine="482" w:firstLineChars="200"/>
        <w:jc w:val="left"/>
        <w:rPr>
          <w:rFonts w:hint="eastAsia" w:asciiTheme="minorEastAsia" w:hAnsiTheme="minorEastAsia" w:eastAsiaTheme="minorEastAsia" w:cstheme="minorEastAsia"/>
          <w:b/>
          <w:color w:val="auto"/>
          <w:sz w:val="24"/>
          <w:szCs w:val="24"/>
          <w:highlight w:val="none"/>
        </w:rPr>
      </w:pPr>
    </w:p>
    <w:p>
      <w:pPr>
        <w:spacing w:line="240" w:lineRule="auto"/>
        <w:ind w:firstLine="482" w:firstLineChars="200"/>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具体合同以实际签订为准</w:t>
      </w:r>
    </w:p>
    <w:p>
      <w:pPr>
        <w:pStyle w:val="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bookmarkEnd w:id="44"/>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p>
    <w:p>
      <w:pPr>
        <w:pStyle w:val="4"/>
        <w:keepNext/>
        <w:keepLines/>
        <w:pageBreakBefore w:val="0"/>
        <w:widowControl w:val="0"/>
        <w:numPr>
          <w:ilvl w:val="0"/>
          <w:numId w:val="6"/>
        </w:numPr>
        <w:kinsoku/>
        <w:wordWrap/>
        <w:overflowPunct/>
        <w:topLinePunct w:val="0"/>
        <w:autoSpaceDE/>
        <w:autoSpaceDN/>
        <w:bidi w:val="0"/>
        <w:adjustRightInd w:val="0"/>
        <w:snapToGrid w:val="0"/>
        <w:spacing w:before="0" w:after="0" w:line="360" w:lineRule="auto"/>
        <w:jc w:val="center"/>
        <w:textAlignment w:val="auto"/>
        <w:outlineLvl w:val="1"/>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i w:val="0"/>
          <w:iCs w:val="0"/>
          <w:color w:val="auto"/>
          <w:sz w:val="32"/>
          <w:szCs w:val="32"/>
          <w:highlight w:val="none"/>
        </w:rPr>
        <w:br w:type="page"/>
      </w:r>
      <w:bookmarkStart w:id="50" w:name="_Toc349637926"/>
      <w:bookmarkStart w:id="51" w:name="_Toc468707225"/>
      <w:bookmarkStart w:id="52" w:name="_Toc349573127"/>
      <w:bookmarkStart w:id="53" w:name="_Toc298240411"/>
      <w:r>
        <w:rPr>
          <w:rFonts w:hint="eastAsia" w:asciiTheme="minorEastAsia" w:hAnsiTheme="minorEastAsia" w:eastAsiaTheme="minorEastAsia" w:cstheme="minorEastAsia"/>
          <w:i w:val="0"/>
          <w:iCs w:val="0"/>
          <w:color w:val="auto"/>
          <w:sz w:val="32"/>
          <w:szCs w:val="32"/>
          <w:highlight w:val="none"/>
          <w:lang w:eastAsia="zh-CN"/>
        </w:rPr>
        <w:t>采购</w:t>
      </w:r>
      <w:r>
        <w:rPr>
          <w:rFonts w:hint="eastAsia" w:asciiTheme="minorEastAsia" w:hAnsiTheme="minorEastAsia" w:eastAsiaTheme="minorEastAsia" w:cstheme="minorEastAsia"/>
          <w:i w:val="0"/>
          <w:iCs w:val="0"/>
          <w:color w:val="auto"/>
          <w:sz w:val="32"/>
          <w:szCs w:val="32"/>
          <w:highlight w:val="none"/>
        </w:rPr>
        <w:t>需求及技术要求</w:t>
      </w:r>
      <w:bookmarkEnd w:id="45"/>
      <w:bookmarkEnd w:id="50"/>
      <w:bookmarkEnd w:id="51"/>
      <w:bookmarkEnd w:id="52"/>
      <w:bookmarkEnd w:id="53"/>
      <w:bookmarkStart w:id="54" w:name="_Toc267301295"/>
    </w:p>
    <w:p>
      <w:pPr>
        <w:pStyle w:val="4"/>
        <w:pageBreakBefore w:val="0"/>
        <w:widowControl w:val="0"/>
        <w:kinsoku/>
        <w:wordWrap/>
        <w:overflowPunct/>
        <w:topLinePunct w:val="0"/>
        <w:autoSpaceDE/>
        <w:autoSpaceDN/>
        <w:bidi w:val="0"/>
        <w:spacing w:line="400" w:lineRule="exact"/>
        <w:textAlignment w:val="auto"/>
        <w:rPr>
          <w:rFonts w:ascii="宋体" w:hAnsi="宋体" w:eastAsia="宋体" w:cs="宋体"/>
          <w:sz w:val="28"/>
          <w:szCs w:val="18"/>
        </w:rPr>
      </w:pPr>
      <w:r>
        <w:rPr>
          <w:rFonts w:hint="eastAsia" w:ascii="宋体" w:hAnsi="宋体" w:eastAsia="宋体" w:cs="宋体"/>
          <w:sz w:val="28"/>
          <w:szCs w:val="18"/>
        </w:rPr>
        <w:t>（一）建设内容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第1章 总体技术要求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要求本次建设平台可扩展性强，采用微服务架构，具备更高强度的柔性、鲁棒性和开放性。该架构可以允许用户更加专注于构建业务单元，围绕一个最小业务单元形成的场景服务是微小、自治且完整的，同时这些服务相互之间通过与语言无关的API通信，拥有快速且持续的迭代能力。▲要求提供微服务容器管理平台相关自主知识产权证明。</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基于SOA松耦合方式架构。在系统设计整体化的同时，系统基于SOA架构，减少各子系统在技术上的相互依赖性），使任一子系统未来的减少、增加和变更，不影响到其它子系统和总系统，从而最大限度地保护既有的投资，减少对系统的维护和未来开发的投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3、在数据交换与传输过程中，统一采用WebService接口的方式，支持xml和json格式数据，通过简单配置可以实现数据集成，向外提供数据共享接口服务，以满足用户基于校园大数据中心平台数据发布及二次开发。</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4、平台支持多种主流平台部署，如WINDOWS、Linux、HP UX、IBM AIX、SUN SOLARIS等。支持这些平台的32位及64位操作系统；支持多种主流的数据库，如：Oracle Database、SQL Server、DB2、MySQL等；支持多种主流的浏览器，Chrome、Firefox、Safari、360等。移动平台支持Android、IOS等主流操作系统。</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由于本次建设系统涉及学校大部分重要数据与信息，系统应基于可信安全网络部署来充分保障其安全性，同时关键技术应为国产自主知识产权。▲投标人应提供可信网络安全平台及信息安全卫士产品软件有效证明文件，并提供完整的信息安全保障策略方案。</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第2章 </w:t>
      </w:r>
      <w:r>
        <w:rPr>
          <w:rFonts w:hint="eastAsia" w:ascii="宋体" w:hAnsi="宋体" w:cs="宋体"/>
          <w:sz w:val="24"/>
          <w:szCs w:val="24"/>
          <w:highlight w:val="none"/>
        </w:rPr>
        <w:tab/>
      </w:r>
      <w:r>
        <w:rPr>
          <w:rFonts w:hint="eastAsia" w:ascii="宋体" w:hAnsi="宋体" w:cs="宋体"/>
          <w:sz w:val="24"/>
          <w:szCs w:val="24"/>
          <w:highlight w:val="none"/>
        </w:rPr>
        <w:t>具体参数要求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2.1</w:t>
      </w:r>
      <w:r>
        <w:rPr>
          <w:rFonts w:hint="eastAsia" w:ascii="宋体" w:hAnsi="宋体" w:cs="宋体"/>
          <w:sz w:val="24"/>
          <w:szCs w:val="24"/>
          <w:highlight w:val="none"/>
        </w:rPr>
        <w:tab/>
      </w:r>
      <w:r>
        <w:rPr>
          <w:rFonts w:hint="eastAsia" w:ascii="宋体" w:hAnsi="宋体" w:cs="宋体"/>
          <w:sz w:val="24"/>
          <w:szCs w:val="24"/>
          <w:highlight w:val="none"/>
        </w:rPr>
        <w:t>全校业务调研及信息标准建设服务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全校业务进行数据关系和数据标准的梳理，在对学校现状调研与评估后，以教师、学生、教学、科研、财务、设备等为主数据对象，摸清各主数据信息源头、数据关系、应用范围、数据标准、更新使用规则、质量管控规则、数据维护工作规程、数据归档要求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1、针对调研成果，对学校的数据体系做出整体设计，至少包含且不限于以下文档成果：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《数据治理现状报告》、《数据治理实施规划》、《数据管理体系架构设计》、《数据技术框架设计》、《数据质量管控设计》、《数据安全建设规范》。</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2、协助学校建设相关管理制度，至少包含且不限于以下制度成果：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《数据管理办法》、《数据标准管理制度》、《数据质量管理制度》、《元数据管理制度》、《配套工作流程、管理制度、工作规范》、《数据使用授权规范》、《数据集成与共享规范》。</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3、制度符合学校实际现状及业务需求的数据标准以及相关技术、管理属性，并交付各业务《信息标准白皮书》、《数据标准落地实施建议》、《数据标准落地实施总结报告》</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▲投标人需提供真实项目地业务设计模型、管理制度及有关交付文档的设计概要等资料，以证明具备高校数据调研经验及能力。</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w:t>
      </w:r>
      <w:r>
        <w:rPr>
          <w:rFonts w:hint="eastAsia" w:ascii="宋体" w:hAnsi="宋体" w:cs="宋体"/>
          <w:sz w:val="24"/>
          <w:szCs w:val="24"/>
          <w:highlight w:val="none"/>
        </w:rPr>
        <w:tab/>
      </w:r>
      <w:r>
        <w:rPr>
          <w:rFonts w:hint="eastAsia" w:ascii="宋体" w:hAnsi="宋体" w:cs="宋体"/>
          <w:sz w:val="24"/>
          <w:szCs w:val="24"/>
          <w:highlight w:val="none"/>
        </w:rPr>
        <w:t>数据中台建设与数据实施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sz w:val="24"/>
          <w:szCs w:val="24"/>
          <w:highlight w:val="none"/>
        </w:rPr>
        <w:tab/>
      </w:r>
      <w:r>
        <w:rPr>
          <w:rFonts w:hint="eastAsia" w:ascii="宋体" w:hAnsi="宋体" w:cs="宋体"/>
          <w:sz w:val="24"/>
          <w:szCs w:val="24"/>
          <w:highlight w:val="none"/>
        </w:rPr>
        <w:t>信息标准管理平台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2.2.1.1</w:t>
      </w:r>
      <w:r>
        <w:rPr>
          <w:rFonts w:hint="eastAsia" w:ascii="宋体" w:hAnsi="宋体" w:cs="宋体"/>
          <w:sz w:val="24"/>
          <w:szCs w:val="24"/>
          <w:highlight w:val="none"/>
        </w:rPr>
        <w:tab/>
      </w:r>
      <w:r>
        <w:rPr>
          <w:rFonts w:hint="eastAsia" w:ascii="宋体" w:hAnsi="宋体" w:cs="宋体"/>
          <w:sz w:val="24"/>
          <w:szCs w:val="24"/>
          <w:highlight w:val="none"/>
        </w:rPr>
        <w:t>性能需求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1.▲要求系统基本满足GB/T22239-2019 《信息安全技术网络安全等级保护基本要求》第三级“安全通用要求”中的“安全计算环境（应用系统）”的测评要求，测试内容应至少包含身份鉴别、访问控制、安全审计、入侵防范、数据完整性、数据保密性、数据备份恢复、个人信息保护。提供第三方信息安全评测机构出具的等级保护测评报告复印件加盖原厂公章。</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2.2.1.2</w:t>
      </w:r>
      <w:r>
        <w:rPr>
          <w:rFonts w:hint="eastAsia" w:ascii="宋体" w:hAnsi="宋体" w:cs="宋体"/>
          <w:sz w:val="24"/>
          <w:szCs w:val="24"/>
          <w:highlight w:val="none"/>
        </w:rPr>
        <w:tab/>
      </w:r>
      <w:r>
        <w:rPr>
          <w:rFonts w:hint="eastAsia" w:ascii="宋体" w:hAnsi="宋体" w:cs="宋体"/>
          <w:sz w:val="24"/>
          <w:szCs w:val="24"/>
          <w:highlight w:val="none"/>
        </w:rPr>
        <w:t>功能要求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2.2.1.2.1</w:t>
      </w:r>
      <w:r>
        <w:rPr>
          <w:rFonts w:hint="eastAsia" w:ascii="宋体" w:hAnsi="宋体" w:cs="宋体"/>
          <w:sz w:val="24"/>
          <w:szCs w:val="24"/>
          <w:highlight w:val="none"/>
        </w:rPr>
        <w:tab/>
      </w:r>
      <w:r>
        <w:rPr>
          <w:rFonts w:hint="eastAsia" w:ascii="宋体" w:hAnsi="宋体" w:cs="宋体"/>
          <w:sz w:val="24"/>
          <w:szCs w:val="24"/>
          <w:highlight w:val="none"/>
        </w:rPr>
        <w:t>标准公开</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开放式公开业务域标准规范，提供业务域大纲阅览，业务域信息规范各职能部门报告，业务系统来源及应用数据综合性分析。同时，提供标准资讯、业务域、代码集统计报告、标签云、来源与支撑相关参数指标。</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支持丰富多样化通用、标准、资讯检索功能。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可以展示学校现有的信息标准数据和标准动态信息，并根据不同的操作权限提供数据搜索查看功能。▲要求提供国家级软件测评中心开具的测评报告中关键页复印件并加盖原厂公章，报告测评内容包括以上内容。</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2.2.1.2.2</w:t>
      </w:r>
      <w:r>
        <w:rPr>
          <w:rFonts w:hint="eastAsia" w:ascii="宋体" w:hAnsi="宋体" w:cs="宋体"/>
          <w:sz w:val="24"/>
          <w:szCs w:val="24"/>
          <w:highlight w:val="none"/>
        </w:rPr>
        <w:tab/>
      </w:r>
      <w:r>
        <w:rPr>
          <w:rFonts w:hint="eastAsia" w:ascii="宋体" w:hAnsi="宋体" w:cs="宋体"/>
          <w:sz w:val="24"/>
          <w:szCs w:val="24"/>
          <w:highlight w:val="none"/>
        </w:rPr>
        <w:t>标准管理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1、业务域管理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（1）支持可视化阅览业务域大纲图谱，实现业务域树菜单拖拽，支持业务域分类排序和挂载。支持业务域信息细分为目录和数据表。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（2）支持数据字段信息服务。要求数据字段信息包括数据库表字段的基本属性（字段名称、字段注释、字段类型长度、是否为空、是否主键等）和便于使用者管理数据仓库的拓展管理属性。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（3）支持数据字段拆分合并，应对通过业务分析进行拆分或合并数据表需要，实现不同数据表之间的数据字段相互移动。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（4）支持维护业务来源表、字段结构信息，为后续进行数据建模提供真实来源信息。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2、代码集管理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（1）支持代码拆分合并，应对通过业务分析进行拆分或合并代码集，实现不同代码表之间的代码项相互移动。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（2）支持维护业务源头代码信息，为后续数据清洗工作提供映射关系信息。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数据导入。要求按照表、字段、代码、代码项的形式，从excel模板中整理好数据，按照一系列的规则校验之后，根据校验显示出来的新增、修改、异常、重复等信息进行修改和重新校验，进而审核导入业务域、字段、代码、代码项。</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4、标准自检</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通过数据报告页面快速查看当前数据标准模块的整体运行情况。要求对信息标准进行必要的合法性校验，用户也可根据具体需求自定义一些规则对信息标准进行额外的校验，自定义规则至少应包含：基本属性、质量属性、管理属性的规则校验；校验完成后汇总校验结果形成异常报告，并提供便捷的信息标准规范手段。</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2.2.1.2.3</w:t>
      </w:r>
      <w:r>
        <w:rPr>
          <w:rFonts w:hint="eastAsia" w:ascii="宋体" w:hAnsi="宋体" w:cs="宋体"/>
          <w:sz w:val="24"/>
          <w:szCs w:val="24"/>
          <w:highlight w:val="none"/>
        </w:rPr>
        <w:tab/>
      </w:r>
      <w:r>
        <w:rPr>
          <w:rFonts w:hint="eastAsia" w:ascii="宋体" w:hAnsi="宋体" w:cs="宋体"/>
          <w:sz w:val="24"/>
          <w:szCs w:val="24"/>
          <w:highlight w:val="none"/>
        </w:rPr>
        <w:t>参考标准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支持提供中华人民共和国教育行业标准（2012年版）参考标准模板。</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要求为用户提供维护参考标准的可视化界面接口以应对行业标准发生变更或各大高校需要在国家标准的基础上建立适应自身的特色标准，包括导入、新增、修改、删除等功能。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2.2.1.2.4</w:t>
      </w:r>
      <w:r>
        <w:rPr>
          <w:rFonts w:hint="eastAsia" w:ascii="宋体" w:hAnsi="宋体" w:cs="宋体"/>
          <w:sz w:val="24"/>
          <w:szCs w:val="24"/>
          <w:highlight w:val="none"/>
        </w:rPr>
        <w:tab/>
      </w:r>
      <w:r>
        <w:rPr>
          <w:rFonts w:hint="eastAsia" w:ascii="宋体" w:hAnsi="宋体" w:cs="宋体"/>
          <w:sz w:val="24"/>
          <w:szCs w:val="24"/>
          <w:highlight w:val="none"/>
        </w:rPr>
        <w:t>版本管理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在版本管理首页展示当前的版本信息标准数据收录量，并可分各个业务域的统计数据量，以及统计来源于各个部门的字段管理属性。同时对于新增、修改、删除的标准数据，要求包括业务域数据和代码数据，只有发布版本并审核通过后，才能被引用于各个业务数据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2.支持在浏览器打开该版本的信息标准白皮书pdf文档，实现版本预览。</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3.支持查询系统中已经发布的版本信息，了解版本历程。</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4.支持版本审核服务、版本发布、版本对比、版本回退等功能。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5.支持版本导出。分为“全量导出”和“自定义导出”两种方式，可以导出word、pdf、excel三种格式的文档。</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2.2.1.2.5</w:t>
      </w:r>
      <w:r>
        <w:rPr>
          <w:rFonts w:hint="eastAsia" w:ascii="宋体" w:hAnsi="宋体" w:cs="宋体"/>
          <w:sz w:val="24"/>
          <w:szCs w:val="24"/>
          <w:highlight w:val="none"/>
        </w:rPr>
        <w:tab/>
      </w:r>
      <w:r>
        <w:rPr>
          <w:rFonts w:hint="eastAsia" w:ascii="宋体" w:hAnsi="宋体" w:cs="宋体"/>
          <w:sz w:val="24"/>
          <w:szCs w:val="24"/>
          <w:highlight w:val="none"/>
        </w:rPr>
        <w:t>系统建模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1.数据源管理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（1）支持数据源管理服务，用户可以通过系统创建业务系统数据源。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（2）支持兼容数据中心数据源，能够登记oracle数据中心数据库，用于物理同步反向核验读取信息标准数据结构。</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旧标准数据元素升级，能够登记oracle旧标准平台数据库，通过升级标准元素、建模数据、版本信息到微服务信息标准管理子系统。对新增的数据源进行管理和查看，通过创建或登记数据源用户和表空间，版本发布创建标准数据库，调用平台数据进行系统集成。兼容数据中心数据源反向核验生成信息标准、旧标准数据元素升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2.引用结构</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支持结构引用，要求包括一键引用和自定义引用。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3.业务代码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创建的数据源统计引用的代码集，显示各个数据源下引用的代码信息以及引用详情,用于物理同步数据建模创建代码表。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4.物理同步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（1）支持通过给创建的数据源进行数据引用操作后，在物理同步中可以对该数据源下引用的表数据进行核验数据结构状态。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（2）支持通过数据治理技术规范与业务需求梳理的信息标准数据集，对未创建的数据表创建到物理库实体中，提供查看该引用表的建表脚本。</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（3）支持提供依据信息标准数据结构同步物理表，提供脚本及执行影响分析，并提供直接删除重建物理表。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（4）可以对系统建模引用的数据结构和数据字典进行同步操作。▲要求提供国家级软件测评中心开具的测评报告中关键页复印件并加盖原厂公章，报告测评内容包括以上内容。</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w:t>
      </w:r>
      <w:r>
        <w:rPr>
          <w:rFonts w:hint="eastAsia" w:ascii="宋体" w:hAnsi="宋体" w:cs="宋体"/>
          <w:sz w:val="24"/>
          <w:szCs w:val="24"/>
          <w:highlight w:val="none"/>
        </w:rPr>
        <w:tab/>
      </w:r>
      <w:r>
        <w:rPr>
          <w:rFonts w:hint="eastAsia" w:ascii="宋体" w:hAnsi="宋体" w:cs="宋体"/>
          <w:sz w:val="24"/>
          <w:szCs w:val="24"/>
          <w:highlight w:val="none"/>
        </w:rPr>
        <w:t>主数据管理平台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2.2.2.1</w:t>
      </w:r>
      <w:r>
        <w:rPr>
          <w:rFonts w:hint="eastAsia" w:ascii="宋体" w:hAnsi="宋体" w:cs="宋体"/>
          <w:sz w:val="24"/>
          <w:szCs w:val="24"/>
          <w:highlight w:val="none"/>
        </w:rPr>
        <w:tab/>
      </w:r>
      <w:r>
        <w:rPr>
          <w:rFonts w:hint="eastAsia" w:ascii="宋体" w:hAnsi="宋体" w:cs="宋体"/>
          <w:sz w:val="24"/>
          <w:szCs w:val="24"/>
          <w:highlight w:val="none"/>
        </w:rPr>
        <w:t>性能需求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1.▲要求系统基本满足GB/T22239-2019 《信息安全技术网络安全等级保护基本要求》第三级“安全通用要求”中的“安全计算环境（应用系统）”的测评要求，测试内容应至少包含身份鉴别、访问控制、安全审计、入侵防范、数据完整性、数据保密性、数据备份恢复、个人信息保护。提供第三方信息安全评测机构出具的等级保护测评报告复印件加盖原厂公章。</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w:t>
      </w:r>
      <w:r>
        <w:rPr>
          <w:rFonts w:hint="eastAsia" w:ascii="宋体" w:hAnsi="宋体" w:cs="宋体"/>
          <w:sz w:val="24"/>
          <w:szCs w:val="24"/>
          <w:highlight w:val="none"/>
        </w:rPr>
        <w:tab/>
      </w:r>
      <w:r>
        <w:rPr>
          <w:rFonts w:hint="eastAsia" w:ascii="宋体" w:hAnsi="宋体" w:cs="宋体"/>
          <w:sz w:val="24"/>
          <w:szCs w:val="24"/>
          <w:highlight w:val="none"/>
        </w:rPr>
        <w:t>功能要求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2.2.2.2.1</w:t>
      </w:r>
      <w:r>
        <w:rPr>
          <w:rFonts w:hint="eastAsia" w:ascii="宋体" w:hAnsi="宋体" w:cs="宋体"/>
          <w:sz w:val="24"/>
          <w:szCs w:val="24"/>
          <w:highlight w:val="none"/>
        </w:rPr>
        <w:tab/>
      </w:r>
      <w:r>
        <w:rPr>
          <w:rFonts w:hint="eastAsia" w:ascii="宋体" w:hAnsi="宋体" w:cs="宋体"/>
          <w:sz w:val="24"/>
          <w:szCs w:val="24"/>
          <w:highlight w:val="none"/>
        </w:rPr>
        <w:t>全局库管理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展示各全局库数据的汇总信息以及已清洗的业务系统的基本信息，查看各业务系统数据表结构信息集及代码集信息。支持查看全局库各个业务系统的总体数据增长、总体数据分布情况，包括系统表总量和数据量情况统计等信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▲支持全局库和各系统的信息标准项、引用代码集数据查询、自定义查询。（要求投标人提供产品彩页或系统截图作为证明材料）</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▲支持对用户和角色授权，使其有权限查询表数据。支持为学校任意角色和用户对所有业务库资源实现批量授权。（要求投标人提供产品彩页或系统截图作为证明材料）</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2.2.2.2.2</w:t>
      </w:r>
      <w:r>
        <w:rPr>
          <w:rFonts w:hint="eastAsia" w:ascii="宋体" w:hAnsi="宋体" w:cs="宋体"/>
          <w:sz w:val="24"/>
          <w:szCs w:val="24"/>
          <w:highlight w:val="none"/>
        </w:rPr>
        <w:tab/>
      </w:r>
      <w:r>
        <w:rPr>
          <w:rFonts w:hint="eastAsia" w:ascii="宋体" w:hAnsi="宋体" w:cs="宋体"/>
          <w:sz w:val="24"/>
          <w:szCs w:val="24"/>
          <w:highlight w:val="none"/>
        </w:rPr>
        <w:t>历史库管理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支持对当前所有任务执行状态的反馈，包括任务总数、失败成功数及操作状态的监控和展示。支持提供数据地图管理功能，以图形方式展现数据的流向，同时提供各个业务系统的存量以及增量数据情况。</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▲支持提供各个历史数据库表的数据的查询操作，依据主键提供历史数据的查看，可配置的查询条件。（要求投标人提供产品彩页或系统截图作为证明材料）</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集中展示历史库增量态势、系统数据分布和数据增量排名，支持全局数据查询。针对业务系统，支持数据生命周期查看，除了表字段数、表记录数、所占空间等基本信息，还应包括可自选时间段、可自定义配置查询字段的详细查询功能。（要求投标人提供产品彩页或系统截图作为证明材料）</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支持通过调度的方式及时对业务数据进行备份并增加时间维度，提供手工与定时等多种覆盖时间范围方式。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支持对历史数据备份的过程进行监控。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2.2.2.2.3</w:t>
      </w:r>
      <w:r>
        <w:rPr>
          <w:rFonts w:hint="eastAsia" w:ascii="宋体" w:hAnsi="宋体" w:cs="宋体"/>
          <w:sz w:val="24"/>
          <w:szCs w:val="24"/>
          <w:highlight w:val="none"/>
        </w:rPr>
        <w:tab/>
      </w:r>
      <w:r>
        <w:rPr>
          <w:rFonts w:hint="eastAsia" w:ascii="宋体" w:hAnsi="宋体" w:cs="宋体"/>
          <w:sz w:val="24"/>
          <w:szCs w:val="24"/>
          <w:highlight w:val="none"/>
        </w:rPr>
        <w:t>接口管理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1.数据源管理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支持提供输入输出接口的数据源，提供增删查改以及测试功能，包含全局库数据源可视化和自定义异构数据源（包括ORACLE、MYSQL、SQLSERVER、POSTGRESQL）的管理。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2.接口管理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提供对外restful接口和Web Service接口，用户可图形化配置接口，可选择数据源（包含自定义的异构数据源）、多表级联、自定义设置查询条件和显示列等功能。同时提供发布、测试、停止等功能。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3.接口授权</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支持配置发布接口后根据应用对接口授权，授权后，第三方应用或者业务系统即可通过restful接口或Web Service接口使用主数据平台发布的接口。</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支持通过对发布接口不同授权应用添加指定的过滤条件，对输出接口的数据进行不同应用不同输出数据，对输出接口的数据进行严格管控。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4.接口配置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提供自定义导入的图形化配置功能，支持配置excel接口、restful接口和Web Service接口，接口发布成功后均能授权应用后在接口平台上查询和使用，支持对数据的增、改、删操作。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5.数据查看</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提供查看excel接口和Web Service接口导入数据功能，验证导入数据是否成功。</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6.数据审核</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对导入数据进行审核，提供审核通过、打回等操作，通过审核后才真正入库到全局库表或业务库表中。</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7.接口统计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包括接口分析和接口日志，接口分析，针对输入输出接口进行各类型分析，包括接口总量分析、接口调用分析、调用态势等。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8.接口日志</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支持对接口的访问情况进行统计，可查询接口访问的时间、开始结束时间、耗时等等信息。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9.接口安全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支持接口安全黑白名单，当启用黑名单后，黑名单内的IP将不能正常使用接口，白名单是对应用IP调用接口的授权调用的作用，当启用白名单后，白名单内的IP才能正常使用接口。</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10.接口审核</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支持对应用通过接口平台申请调试和调用接口的审核操作，通过审核操作，决定应用授权接口是否能调试和调用接口。</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2.2.2.2.4</w:t>
      </w:r>
      <w:r>
        <w:rPr>
          <w:rFonts w:hint="eastAsia" w:ascii="宋体" w:hAnsi="宋体" w:cs="宋体"/>
          <w:sz w:val="24"/>
          <w:szCs w:val="24"/>
          <w:highlight w:val="none"/>
        </w:rPr>
        <w:tab/>
      </w:r>
      <w:r>
        <w:rPr>
          <w:rFonts w:hint="eastAsia" w:ascii="宋体" w:hAnsi="宋体" w:cs="宋体"/>
          <w:sz w:val="24"/>
          <w:szCs w:val="24"/>
          <w:highlight w:val="none"/>
        </w:rPr>
        <w:t>数据仓库</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业务数据进行多维度分析构建事实表，提供事实表管理及建模。提供对历史数据通过聚合等多种统计产生的聚集数据，支持事实表的创建维护功能及事实数据查看，从总体到部门再到具体表的事实数据查看。</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支持对仓库的维度表进行管理，用于维度建模、多维度分析。提供数据分析过程中进行数据钻取，创建立方体的必要条件，提供维度表的增删改查以及创建功能和维度数据的查看操作。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支持对数据仓库的指标进行管理，提供指标的维护与指标数据查询。</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支持任务调度，包括配置事实表、维度表数据拉取任务信息和调度任务管理等操作。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支持通过对全局库与用户关注主题相关的表进行重新组合，并对组合表的字段进行重新分类配置，形成主题查询展示。</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支持对配置的主题进行用户、角色、部门的查询个人数据、部门数据、全部数据的权限配置。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2.2.2.2.5</w:t>
      </w:r>
      <w:r>
        <w:rPr>
          <w:rFonts w:hint="eastAsia" w:ascii="宋体" w:hAnsi="宋体" w:cs="宋体"/>
          <w:sz w:val="24"/>
          <w:szCs w:val="24"/>
          <w:highlight w:val="none"/>
        </w:rPr>
        <w:tab/>
      </w:r>
      <w:r>
        <w:rPr>
          <w:rFonts w:hint="eastAsia" w:ascii="宋体" w:hAnsi="宋体" w:cs="宋体"/>
          <w:sz w:val="24"/>
          <w:szCs w:val="24"/>
          <w:highlight w:val="none"/>
        </w:rPr>
        <w:t>数据库监控核验</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支持分析系统当前以及历史运行情况，提供CPU、内存、活动情况、SGA、HitRatio、业务数据等监控统计。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支持包括表权限查看和用户权限查看。能够按数据库用户查看授权的数据表，按表查看授权用户，对授权信息进行修改。</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支持查询最近访问的SQL查询，提供多种查询方式。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支持对死锁情况进行查询。</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支持提供数据库与标准的比照核验功能，核验选项包括组织结构、空间、定义、反向等操作，同时会记录上一次核验的相关信息。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支持批量选择核验对象，系统会提示之前核验过和未核验的系统，提供表级选择权限，核验过程进行实时反馈，核验结束后提供统计信息。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支持针对核验出的不一致情况，系统提供同步脚本。</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支持对每次核验的记录进行展示，并生成每次核验的核验报告。支持核验记录查阅。</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支持手动核验和自动核验。</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支持对已经核验的业务系统的核验报告进行订阅管理，将核验报告推送给相关部门或管理人员。</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2.2.2.2.6</w:t>
      </w:r>
      <w:r>
        <w:rPr>
          <w:rFonts w:hint="eastAsia" w:ascii="宋体" w:hAnsi="宋体" w:cs="宋体"/>
          <w:sz w:val="24"/>
          <w:szCs w:val="24"/>
          <w:highlight w:val="none"/>
        </w:rPr>
        <w:tab/>
      </w:r>
      <w:r>
        <w:rPr>
          <w:rFonts w:hint="eastAsia" w:ascii="宋体" w:hAnsi="宋体" w:cs="宋体"/>
          <w:sz w:val="24"/>
          <w:szCs w:val="24"/>
          <w:highlight w:val="none"/>
        </w:rPr>
        <w:t>数据脱敏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支持配置脱敏字段及其对应的脱敏算法，提供新增、修改、删除、测试和一键配置快速配置常用的字段配置功能，同时如果存在历史数据，还提供查看配置历史作参考。</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支持授权查看脱敏后原始数据用户、部门、角色、应用权限，授权后，可查看所有的脱敏字段的原始数据。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支持统计脱敏字段脱敏的数据量的日志。</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支持记录配置脱敏字段的历史。</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支持对当前脱敏的配置进行统计分析展示。</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2.2.3</w:t>
      </w:r>
      <w:r>
        <w:rPr>
          <w:rFonts w:hint="eastAsia" w:ascii="宋体" w:hAnsi="宋体" w:cs="宋体"/>
          <w:sz w:val="24"/>
          <w:szCs w:val="24"/>
          <w:highlight w:val="none"/>
        </w:rPr>
        <w:tab/>
      </w:r>
      <w:r>
        <w:rPr>
          <w:rFonts w:hint="eastAsia" w:ascii="宋体" w:hAnsi="宋体" w:cs="宋体"/>
          <w:sz w:val="24"/>
          <w:szCs w:val="24"/>
          <w:highlight w:val="none"/>
        </w:rPr>
        <w:t>数据交换平台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2.2.3.1性能需求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1.▲要求系统基本满足GB/T22239-2019 《信息安全技术网络安全等级保护基本要求》第三级“安全通用要求”中的“安全计算环境（应用系统）”的测评要求，测试内容应至少包含身份鉴别、访问控制、安全审计、入侵防范、数据完整性、数据保密性、数据备份恢复、个人信息保护。提供第三方信息安全评测机构出具的等级保护测评报告复印件加盖原厂公章。</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2.2.3.2功能要求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1.系统监控与统计分析服务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支持系统监控与统计分析服务，至少包括正在运行流程、运行结束流程、运行异常流程、流程调度统计、流程调度日记、流程运行统计、流程调试日记、流程运行情况统计、控制台日记、登录日志和操作日志等。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2.支持提供自定义测试数据流程功能。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3.全Web化配置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支持全Web化配置功能，只需要链接相应的数据源并创建数据流程即可交换数据。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4.数据路由规则定义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支持在Web界面下直接定义数据路由规则，制定规则后系统可根据规则自动运行或手工运行交换数据。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5.多数据源支持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在Web界面下管理所有业务系统的数据源和数据库链接池，数据源密码采用加密算法保存。除原有Oracle、MySQL、sqlserver、postgresql等主流关系型数据库、NOSQL数据库、半结构化及API、webservice外，还支持人大金仓、webAPI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6.多数据库链接池支持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平台内置多种数据库链接池(DBCP、C3P0、Druid)可供选择，根据不同的数据库类型或要求可以选择不同的数据库链接池管理组件，可以根据不同的数据量及频率定义不同的数据库链接管理方案。</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7.API接口接入服务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平台支持提供面向各种客户端的webAPI服务。数据处理前，借助自定义规则及规则校验机制，快速拓展webAPI节点；数据处理时，智能加载分页数据、智能判断尾页等逻辑的加入大幅提升使用体验和使用效率，缩短流程周期。</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8.数据过滤器支持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平台在数据路由时会自动调用配置的数据过滤器插件，并把数据交由数据过滤器进行处理，数据过滤器不但可以过滤不需要交换的数据同时还能对数据进行格式化或二次加工运算。</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9.SQL语句支持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平台在数据交换时允许直接把SQL语句作为数据源或目标数据源进行数据交换，通过SQL语句可以更灵活更简单的实现数据交换。</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10.支持复杂的数据校验规则和数据转换规则</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在数据交换时支持自动复杂的数据校验规则和数据转换规则，数据校验、转换失败时系统会自动写入日记中并给出相应的报告。</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11.容错机制</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数据容错机制，可根据流程数据总数量自定义容错率。当流程数据报错达到预置容错率时，平台将自动停止流程，减少内存占用。同时平台通过自定义预警机制及时提醒，直达病灶，快速响应。同时支持问题修复后流程自动执行。</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2.2.4</w:t>
      </w:r>
      <w:r>
        <w:rPr>
          <w:rFonts w:hint="eastAsia" w:ascii="宋体" w:hAnsi="宋体" w:cs="宋体"/>
          <w:sz w:val="24"/>
          <w:szCs w:val="24"/>
          <w:highlight w:val="none"/>
        </w:rPr>
        <w:tab/>
      </w:r>
      <w:r>
        <w:rPr>
          <w:rFonts w:hint="eastAsia" w:ascii="宋体" w:hAnsi="宋体" w:cs="宋体"/>
          <w:sz w:val="24"/>
          <w:szCs w:val="24"/>
          <w:highlight w:val="none"/>
        </w:rPr>
        <w:t>数据整合清洗</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▲需完成学校现有XX个核心业务系统的数据清洗工作，因系统对接发生的相关费用由中标人承担，并包含在本次投标报价中，应提供承诺函并加盖投标人公章。（学校提供数据字典及数据库访问权限）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全面清洗后的数据需要存储至主数据中心统一管理，以支撑未来全面的业务数据联动、历史数据分析、大数据挖掘等数据需求。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对新接入的系统，按照业务模型进行抽取转换清洗入库，逐步构造、完善全量数据标准。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w:t>
      </w:r>
      <w:r>
        <w:rPr>
          <w:rFonts w:hint="eastAsia" w:ascii="宋体" w:hAnsi="宋体" w:cs="宋体"/>
          <w:sz w:val="24"/>
          <w:szCs w:val="24"/>
          <w:highlight w:val="none"/>
        </w:rPr>
        <w:tab/>
      </w:r>
      <w:r>
        <w:rPr>
          <w:rFonts w:hint="eastAsia" w:ascii="宋体" w:hAnsi="宋体" w:cs="宋体"/>
          <w:sz w:val="24"/>
          <w:szCs w:val="24"/>
          <w:highlight w:val="none"/>
        </w:rPr>
        <w:t>数据质量管理平台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2.2.5.1性能需求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1.▲要求系统基本满足GB/T22239-2019 《信息安全技术网络安全等级保护基本要求》第三级“安全通用要求”中的“安全计算环境（应用系统）”的测评要求，测试内容应至少包含身份鉴别、访问控制、安全审计、入侵防范、数据完整性、数据保密性、数据备份恢复、个人信息保护。提供第三方信息安全评测机构出具的等级保护测评报告复印件加盖原厂公章。</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2.2.5.2</w:t>
      </w:r>
      <w:r>
        <w:rPr>
          <w:rFonts w:hint="eastAsia" w:ascii="宋体" w:hAnsi="宋体" w:cs="宋体"/>
          <w:sz w:val="24"/>
          <w:szCs w:val="24"/>
          <w:highlight w:val="none"/>
        </w:rPr>
        <w:tab/>
      </w:r>
      <w:r>
        <w:rPr>
          <w:rFonts w:hint="eastAsia" w:ascii="宋体" w:hAnsi="宋体" w:cs="宋体"/>
          <w:sz w:val="24"/>
          <w:szCs w:val="24"/>
          <w:highlight w:val="none"/>
        </w:rPr>
        <w:t>功能要求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2.2.5.2.1</w:t>
      </w:r>
      <w:r>
        <w:rPr>
          <w:rFonts w:hint="eastAsia" w:ascii="宋体" w:hAnsi="宋体" w:cs="宋体"/>
          <w:sz w:val="24"/>
          <w:szCs w:val="24"/>
          <w:highlight w:val="none"/>
        </w:rPr>
        <w:tab/>
      </w:r>
      <w:r>
        <w:rPr>
          <w:rFonts w:hint="eastAsia" w:ascii="宋体" w:hAnsi="宋体" w:cs="宋体"/>
          <w:sz w:val="24"/>
          <w:szCs w:val="24"/>
          <w:highlight w:val="none"/>
        </w:rPr>
        <w:t>统计大屏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支持从数据的完整性、规范性两个维度展示数据质量情况及各部门质量改进统计。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支持展示所有流程的总体基本情况、今日流程运行情况，以及为业务部门共享的数据情况。</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支持展示数据治理过程中各个阶段梳理的成果统计，包括业务调研、资产盘点、系统分析、标准梳理等情况统计。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2.2.5.2.2</w:t>
      </w:r>
      <w:r>
        <w:rPr>
          <w:rFonts w:hint="eastAsia" w:ascii="宋体" w:hAnsi="宋体" w:cs="宋体"/>
          <w:sz w:val="24"/>
          <w:szCs w:val="24"/>
          <w:highlight w:val="none"/>
        </w:rPr>
        <w:tab/>
      </w:r>
      <w:r>
        <w:rPr>
          <w:rFonts w:hint="eastAsia" w:ascii="宋体" w:hAnsi="宋体" w:cs="宋体"/>
          <w:sz w:val="24"/>
          <w:szCs w:val="24"/>
          <w:highlight w:val="none"/>
        </w:rPr>
        <w:t>流程监控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支持以业务系统等角度来统计分析流程执行情况，实现所有流程的实时监控，保证数据供给稳定。</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支持以业务系统的角度查看相关流程的执行情况和统计，以及展示最近的流程执行分析结果。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1）支持流程未定时执行、流程执行超时、流程为手动执行等的统计分析。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2）实现定时推送流程异常告警明细以及流程进一步分析的异常明细。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3）支持定时推送关键数据的流程运行情况和数据质量情况。包括关键流程对核心表新增、修改、删除记录数，已经新增记录数据质量情况需要通过邮件定时推送。</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支持提供流程的详细明细列表及丰富的搜索和筛选条件。包括且不限于流程名称、调度信息、流程执行成功、失败总情况统计、流程字段映射关系等。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支持展示所有流程运行日志明细，且提供丰富的搜索和筛选条件。</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支持以日历的方式展示所有流程执行的信息，包括成功次数、失败次数，以及执行失败的流程详情。</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支持流程全链监控及数据血缘分析，实现数据回溯、数据流向关系定位，并以元数据与流程结合拓扑图综合展示数据对象全链路情况。</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1）提供链路数据对比，跨源、跨表的多个节点中数据进行横向一致性对比。</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2）提供链路数据流通情况分析。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支持分析所有集成到数据中心，以及从数据中心共享出去的相关时间段的数据量统计。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2.2.5.2.3</w:t>
      </w:r>
      <w:r>
        <w:rPr>
          <w:rFonts w:hint="eastAsia" w:ascii="宋体" w:hAnsi="宋体" w:cs="宋体"/>
          <w:sz w:val="24"/>
          <w:szCs w:val="24"/>
          <w:highlight w:val="none"/>
        </w:rPr>
        <w:tab/>
      </w:r>
      <w:r>
        <w:rPr>
          <w:rFonts w:hint="eastAsia" w:ascii="宋体" w:hAnsi="宋体" w:cs="宋体"/>
          <w:sz w:val="24"/>
          <w:szCs w:val="24"/>
          <w:highlight w:val="none"/>
        </w:rPr>
        <w:t>质量监控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质量监控首页：从完整性、规范性、一致性、唯一性、时效性、准确性六大质量维度来评估和监控数据质量。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质量监控首页从整体呈现数据中心所有已集成的数据的质量情况。</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部门质量概况：以部门的角度去展示数据质量得分、核心数据情况、质量改进情况，以及部门的质量改进排名情况。</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质量查看：提供更加详细的系统级别、表级别、字段级的数据质量明细情况、数据核验异常明细。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量核验：提供自定义选择系统、规则的方式手动进行数据质量核验，以完整性、规范性、一致性、唯一性、时效性、准确性六大质量维度来评估数据质量并根据维度权重综合计算质量得分，线上生成质量核验报告，并提供数据核验分析详细记录。</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1）自定义勾选系统或单表、自定义选择规则进行核验。</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2）可对数据进行增量或全量的核验选择，增量只对新增的数据和有变更的数据进行核验，减少重复的数据核验，提供核验的效率。</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3）支持页面可配置的联合校验，比如证件类型和证件号码联合校验等。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常规规则配置：提供正则、非空、值域、数据范围四个常规质量规则的配置入口（对接标准中的质量属性），更方便用户一体化地配置质量规则、核验数据质量。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业务监控：提供多种质量模板规则，以及完全自定义规则，实现全校的业务数据监控，定期地进行数据质量监控，并提供详细的质量告警信息查看、异常数据查看。</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1）支持按照严重告警、重要告警、一般告警、提示告警分级对数据质量问题进行定级。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2）支持质量监控问题定时推送通知，以邮件方式推送质量告警信息和告警明细。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2.2.5.2.4</w:t>
      </w:r>
      <w:r>
        <w:rPr>
          <w:rFonts w:hint="eastAsia" w:ascii="宋体" w:hAnsi="宋体" w:cs="宋体"/>
          <w:sz w:val="24"/>
          <w:szCs w:val="24"/>
          <w:highlight w:val="none"/>
        </w:rPr>
        <w:tab/>
      </w:r>
      <w:r>
        <w:rPr>
          <w:rFonts w:hint="eastAsia" w:ascii="宋体" w:hAnsi="宋体" w:cs="宋体"/>
          <w:sz w:val="24"/>
          <w:szCs w:val="24"/>
          <w:highlight w:val="none"/>
        </w:rPr>
        <w:t>质量报告</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支持通过分析当前各部门业务系统现状，以部门去统计系统集成状况、数据质量情况等综合月度定期生成一份质量报告，可订阅发送和在线预览生成。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2.2.6</w:t>
      </w:r>
      <w:r>
        <w:rPr>
          <w:rFonts w:hint="eastAsia" w:ascii="宋体" w:hAnsi="宋体" w:cs="宋体"/>
          <w:sz w:val="24"/>
          <w:szCs w:val="24"/>
          <w:highlight w:val="none"/>
        </w:rPr>
        <w:tab/>
      </w:r>
      <w:r>
        <w:rPr>
          <w:rFonts w:hint="eastAsia" w:ascii="宋体" w:hAnsi="宋体" w:cs="宋体"/>
          <w:sz w:val="24"/>
          <w:szCs w:val="24"/>
          <w:highlight w:val="none"/>
        </w:rPr>
        <w:t>职教智慧大脑数据上报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2.2.6.1</w:t>
      </w:r>
      <w:r>
        <w:rPr>
          <w:rFonts w:hint="eastAsia" w:ascii="宋体" w:hAnsi="宋体" w:cs="宋体"/>
          <w:sz w:val="24"/>
          <w:szCs w:val="24"/>
          <w:highlight w:val="none"/>
        </w:rPr>
        <w:tab/>
      </w:r>
      <w:r>
        <w:rPr>
          <w:rFonts w:hint="eastAsia" w:ascii="宋体" w:hAnsi="宋体" w:cs="宋体"/>
          <w:sz w:val="24"/>
          <w:szCs w:val="24"/>
          <w:highlight w:val="none"/>
        </w:rPr>
        <w:t>数据上报调研</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需根据《全国职业教育智慧大脑院校中台【高职】数据标准及计算指标规划方案》对学校本期需要上报的8大数据集、31个数据子集采集规范进行调研分析。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需明确分析出数据上报需要采集哪些数据表、字段，以字段级别的细粒度，明确数据字段的来源渠道，是来自系统数据库、Excel、手工填报或是其他来源，以及数据字段最小能支持的采集周期。</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2.2.6.2</w:t>
      </w:r>
      <w:r>
        <w:rPr>
          <w:rFonts w:hint="eastAsia" w:ascii="宋体" w:hAnsi="宋体" w:cs="宋体"/>
          <w:sz w:val="24"/>
          <w:szCs w:val="24"/>
          <w:highlight w:val="none"/>
        </w:rPr>
        <w:tab/>
      </w:r>
      <w:r>
        <w:rPr>
          <w:rFonts w:hint="eastAsia" w:ascii="宋体" w:hAnsi="宋体" w:cs="宋体"/>
          <w:sz w:val="24"/>
          <w:szCs w:val="24"/>
          <w:highlight w:val="none"/>
        </w:rPr>
        <w:t>数据上报服务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（1）需按照上报表的要求，在上报系统中，配置上报数据表，并且指定上报表的数据来源，实现上报表的数据自动填充，支持对表内数据进行基础核验。</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支持将上报表封装成数据接口，参照教育部信息中心接口的说明定制开发完成31个数据集的API读取接口服务。（▲学校教育管理相关数据要与全国职业教育智慧大脑院校中台做好对接，投标人需提供数据对接服务承诺函，以确保成功接入教育部数据中心。）</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（3）对封装完成的接口进行发布，可以将多个接口上报组合成代理的形式进行批量上报。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（4）通过分发的接口上报账号密码，在正确的Token规则使用条件下，实现数据的一键上报。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（5）支持数据核验。上报完成后，通过咨询教育部系统技术人员，得到上报数据正确性的反馈，若数据有误，根据反馈的情况进行调整，再次进行上报，直到确认上报数据符合要求为止。</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（6）支持API调用推送监控。用于查看监控上报API接口调用的成功、失败记录，如果出现调用推送失败，能够支持手动执行API接口调用保障数据推送成功。</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w:t>
      </w:r>
      <w:r>
        <w:rPr>
          <w:rFonts w:hint="eastAsia" w:ascii="宋体" w:hAnsi="宋体" w:cs="宋体"/>
          <w:sz w:val="24"/>
          <w:szCs w:val="24"/>
          <w:highlight w:val="none"/>
        </w:rPr>
        <w:tab/>
      </w:r>
      <w:r>
        <w:rPr>
          <w:rFonts w:hint="eastAsia" w:ascii="宋体" w:hAnsi="宋体" w:cs="宋体"/>
          <w:sz w:val="24"/>
          <w:szCs w:val="24"/>
          <w:highlight w:val="none"/>
        </w:rPr>
        <w:t>数据分析工具及综合分析服务建设</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szCs w:val="24"/>
          <w:highlight w:val="none"/>
        </w:rPr>
        <w:tab/>
      </w:r>
      <w:r>
        <w:rPr>
          <w:rFonts w:hint="eastAsia" w:ascii="宋体" w:hAnsi="宋体" w:cs="宋体"/>
          <w:sz w:val="24"/>
          <w:szCs w:val="24"/>
          <w:highlight w:val="none"/>
        </w:rPr>
        <w:t>综合校情大屏分析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需从高校的五大基本职能人才培养、科学研究、社会服务、文化传承创新和国际交流合作的视角出发，精选代表性指标，展示宏观层面高校建设情况。（学校提供具体数据）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2.3.2</w:t>
      </w:r>
      <w:r>
        <w:rPr>
          <w:rFonts w:hint="eastAsia" w:ascii="宋体" w:hAnsi="宋体" w:cs="宋体"/>
          <w:sz w:val="24"/>
          <w:szCs w:val="24"/>
          <w:highlight w:val="none"/>
        </w:rPr>
        <w:tab/>
      </w:r>
      <w:r>
        <w:rPr>
          <w:rFonts w:hint="eastAsia" w:ascii="宋体" w:hAnsi="宋体" w:cs="宋体"/>
          <w:sz w:val="24"/>
          <w:szCs w:val="24"/>
          <w:highlight w:val="none"/>
        </w:rPr>
        <w:t>学生情况大屏分析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需描述高校的学生组成结构及学生的在校状态，同时从学生生源质量分析、学生队伍的国际化程度、学生的获奖情况以及学生的毕业就业情况等方面粗颗粒度的展示高校学生队伍的整体素质。（学校提供具体数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w:t>
      </w:r>
      <w:r>
        <w:rPr>
          <w:rFonts w:hint="eastAsia" w:ascii="宋体" w:hAnsi="宋体" w:cs="宋体"/>
          <w:sz w:val="24"/>
          <w:szCs w:val="24"/>
          <w:highlight w:val="none"/>
        </w:rPr>
        <w:tab/>
      </w:r>
      <w:r>
        <w:rPr>
          <w:rFonts w:hint="eastAsia" w:ascii="宋体" w:hAnsi="宋体" w:cs="宋体"/>
          <w:sz w:val="24"/>
          <w:szCs w:val="24"/>
          <w:highlight w:val="none"/>
        </w:rPr>
        <w:t>数据分析工具</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w:t>
      </w:r>
      <w:r>
        <w:rPr>
          <w:rFonts w:hint="eastAsia" w:ascii="宋体" w:hAnsi="宋体" w:cs="宋体"/>
          <w:sz w:val="24"/>
          <w:szCs w:val="24"/>
          <w:highlight w:val="none"/>
        </w:rPr>
        <w:tab/>
      </w:r>
      <w:r>
        <w:rPr>
          <w:rFonts w:hint="eastAsia" w:ascii="宋体" w:hAnsi="宋体" w:cs="宋体"/>
          <w:sz w:val="24"/>
          <w:szCs w:val="24"/>
          <w:highlight w:val="none"/>
        </w:rPr>
        <w:t>功能要求</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2.3.3.1.1</w:t>
      </w:r>
      <w:r>
        <w:rPr>
          <w:rFonts w:hint="eastAsia" w:ascii="宋体" w:hAnsi="宋体" w:cs="宋体"/>
          <w:sz w:val="24"/>
          <w:szCs w:val="24"/>
          <w:highlight w:val="none"/>
        </w:rPr>
        <w:tab/>
      </w:r>
      <w:r>
        <w:rPr>
          <w:rFonts w:hint="eastAsia" w:ascii="宋体" w:hAnsi="宋体" w:cs="宋体"/>
          <w:sz w:val="24"/>
          <w:szCs w:val="24"/>
          <w:highlight w:val="none"/>
        </w:rPr>
        <w:t>数据接入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软件应支持目前主流的数据库系统，包括 Mysql、Oracle 等主流的关系型数据库服务。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软件应内置强大的取数接口，通过配置相关的 JDBC 连接池建立多数据库连接，能够轻松连接到不同数据库用户甚至不同的数据库类型的用户，进行数据的调用。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软件支持几种常用格式的文件作为数据源，包括EXCEL、TXT、CSV、db等，智能、精准解析文件结构和数据以及强大的数据预处理能力。</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软件支持web接口作为数据源，与三方软件无缝对接。</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软件支持微信小程序的数据作为数据源。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软件支持基于 Hadoop 的分布式数据库，并可通过适配基于 Hadoop 框架 hive 架构下的其他分布式数据库。</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2.3.3.1.2</w:t>
      </w:r>
      <w:r>
        <w:rPr>
          <w:rFonts w:hint="eastAsia" w:ascii="宋体" w:hAnsi="宋体" w:cs="宋体"/>
          <w:sz w:val="24"/>
          <w:szCs w:val="24"/>
          <w:highlight w:val="none"/>
        </w:rPr>
        <w:tab/>
      </w:r>
      <w:r>
        <w:rPr>
          <w:rFonts w:hint="eastAsia" w:ascii="宋体" w:hAnsi="宋体" w:cs="宋体"/>
          <w:sz w:val="24"/>
          <w:szCs w:val="24"/>
          <w:highlight w:val="none"/>
        </w:rPr>
        <w:t>数据集管理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支持按照业务逻辑建立分析主题。</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软件应支持聚集主题模型，通过聚集主题技术提高海量数据统计分析的处理效率。</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软件应支持TXT/CSV/EXCEL等常见格式文件建模，降低数据准备难度。</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软件应支持系统通用数据库包DB文件建模，方便从任意数据库查询拿到的结果DB文件开始分析。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软件应支持对接口数据建模，可以从外部URL取数，支持WebService/Restful/REST/JSON/XML/AJAX URL接口等API接口，新建主题然后分析展现。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软件应支持直接对SQL语句建模，将SQL语句的查询结果作为分析源头，进行二次分析。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软件在构建数据仓库时应遵循规范的“事实表＋维表”的数据库模型，后台提供 OLAP 引擎，前台提供基于 WEB 的 OLAP 操作，并完整支持下钻、切片、旋转、钻透等操作。</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软件应能够针对后台数据库表的语法对前端数据模型进行语义层转换，通过定义指标的标题、主题表的标题、维表的标题，能够对数据的业务含义进行有效的把控，软件还应支持建立数据模型时直接获取数据库表 comment 字段值作为相关指标的标题而无需逐个定义。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已经构建的数据模型应可实现数据的后续追加、覆盖，将相同结构的数据追加或覆盖到已有模型中。</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2.3.3.1.3</w:t>
      </w:r>
      <w:r>
        <w:rPr>
          <w:rFonts w:hint="eastAsia" w:ascii="宋体" w:hAnsi="宋体" w:cs="宋体"/>
          <w:sz w:val="24"/>
          <w:szCs w:val="24"/>
          <w:highlight w:val="none"/>
        </w:rPr>
        <w:tab/>
      </w:r>
      <w:r>
        <w:rPr>
          <w:rFonts w:hint="eastAsia" w:ascii="宋体" w:hAnsi="宋体" w:cs="宋体"/>
          <w:sz w:val="24"/>
          <w:szCs w:val="24"/>
          <w:highlight w:val="none"/>
        </w:rPr>
        <w:t>报表分析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系统应提供猜想式、求证式分析，提升报表分析的交互能力，通过鼠标拖拽操作就实现数据的分析展现，并且还可直接即兴定义指标间的列运算，可对源头表进行追溯及搜索定位，同时为分析结果即时生成统计图，并将需要的数据导出、打印，也可以进行预警。</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支持任意维度切换，可以对已有的表样切换维度来进行自由分析。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拖拽式多维分析的结果可以轻松的拖拽到主题门户，并在门户上可直接对结果表进行再度拖拽分析。同时，拖拽式多维分析的结果可以保存为固定方案持续使用。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软件内置多种风格的报表模板，包括自然简约、清新隽永、现代商务等40+的模板，方便用户快速上手做表。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软件应提供在线的纯 web 报表设计工具，采用图形化设计界面，实现控件式、多表体设计，支持选项卡切换展现。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支持多表格分页，一张分析报表上有多张表格时，可对每张表格设置不同的分页行数。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支持直接复制粘贴或者导入EXCEL表格，表格通过简单的修改即可完成分析表样的设计。</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在线报表设计工具应具有良好的浏览器兼容性，支持 IE11 以及以上版本浏览器,支持chrome。</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在线报表设计工具应具有良好的扩展性，报表设计工具应采用多组件的模型设计，支持用户自定义扩展组件而无需重启服务器，也无需升级软件版本。</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排版支持 WEB2.0 风格，支持工字型、田字型、上下型、左右型，并可嵌套展现。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软件应支持表格、图片、统计图、富文本、tab 组件、滑块、日历、日期、时间轴、容器、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布局等多组件的嵌套混合展示，支持无限 Undo&amp;Redo (撤销重做)等功能。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表格编辑上支持合并拆分单元格、任意表头、多级斜线、字体设置、序列填充、格式刷等，能实现各种复杂报表的快速设计，并支持从 EXCEL复制、导入表样。</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软件应支持矩形、菱形、圆形、三角形、直线和曲线等常用基本图形，以及图形画布容器，以便于制作内容丰富，元素多样的报告。</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软件应在报表模板和酷屏上支持直播组件，通过纯web的方式来实现直播功能。</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 js、flash、html5、技术路线自主开发统计图，也支持 fushionchart、anychart、html5 统计图控件，提供丰富的统计图类型和样式，除了常用的柱状图、线状图、条形图、面积图、饼图、点图、仪表盘、走势图外，还应支持瀑布图、风险图谱、流向图、词云图、和弦图、圈饼图、金字塔、组织机构图、漏斗图、K 线图、关系图、网络图、玫瑰图、帕累托图、螺旋气泡图、数学公式图、预测曲线图，正态分布图等等。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GIS地图，包含Gis统计图、Gis渲染图、Gis地标展现、Gis标点图、Gis圆点图、Gis流向图、Gis路由图、Gis热力图。应支持天地图、百度地图，并可根据需要进行扩展。支持通过点选、框选方式实现地图上数据查询、统计、钻取、预警、渲染、统计图联动、信息提示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软件支持自定义平面图，可制作完美符合用户特定平面图需求的微缩或放大展现效果，并用数据点缀渲染平面图，具有最直观最贴切的表现力。</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软件应提供多功能的 OLAP 操作，如钻取切片。软件应支持多样的钻取模型，如本表向下钻取、本表钻取子表并显示在本表的具体位置、本表钻取子表并直接跳转到子表界面、本表钻取统计图、本表点击后下拉菜单进行选择性钻取，子表嵌入本表钻取，本表逐级钻取，展开时钻取，还能实现 URL 链接、图片、附件等模式的钻取功能。同时软件应支持数据切片，如从地区钻取变换到根据时间进行钻取，从而能对数据进行多角度的分析展现。</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软件应提供对报表历史版本的控制服务，可以对修改于不同时期的同一张报表进行统一管理，从一张表入口管理 N 张不同的表。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软件支持报表模板编辑过程自动保存草稿，并支持报表模板回收站功能，删除的报表可在回收站中一键恢复。</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软件应提供报表分支管理功能，通过分支选择表达式和参数计算，轻松地设置在不同的场合计算和展示不同的报表版本。</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支持多样的汇总统计及指标方式，指标支持求和、平均、最大值、最小值等等一系列统计方式。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软件应既能作为普通的查询系统用，又能进行复杂组合的统计分析。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软件应内置公式引擎，包含常用公式，语法应与 EXCEL 类似，支持指标拾取，可自动分析出运算表达式中的依赖顺序，自动的按顺序计算表达式，并支持回车键对公式进行排版。</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支持除四则运算外的其它复杂的分析模式，如：取前期数据、增幅、排名、标准差、相关系数和跨报表取数等。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软件支持对数值类型字段进行数值分段分组。</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软件支持内存计算，即使数据不存入通用意义上的数据库，也能立即进行分析。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软件支持跨库计算，在不同数据库（甚至是异构数据库）中的数据，也能在一起进行各种分析。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软件应支持对报表数据和业务数据的多种展现形式，提供固定报表、多维分析报表、丰富的统计图模型、领导驾驶舱、报告分析等常用展现方式。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支持所有常用展现方式的钻取功能，允许用户对所有常用展现方式定义热点，通过点击热点钻取到其他报表、图形或明细。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支持单元格鼠标指向的高亮显示，包括：鼠标悬停时高亮，鼠标点击时高亮，鼠标选中后保持高亮。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支持报表的行列锁定，可以自定义行列锁定线条的颜色。</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支持交互式统计图；样式应包括：2d、3d、EXCEL、web、Autumn、flash 风格等。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软件应支持通过使用JS脚本制作任意效果的Echart统计图，支持HTML5统计图，很多好看的echart统计图都能为报表模板所用。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软件应提供领导驾驶舱功能，可以将一些关键的 KPI 指标简单明了的用图形或仪表盘等形式呈现给领导，可以使用报表模板拥有的所有的数据展现形式，如：表格、富文本、绘图、统计图、GIS 地图、杜邦分析、What-if分析等等。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软件应支持地图的应用，软件自带一些地图，也可以自己上传地图。同时，还可以根据不同的数据为地图的不同区块着色，也可以实现在地图上的钻取，信息提示等。</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软件中应自带全国地图，包含各省，市，细致到县区的完整地图无需二次购买地图组件。</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地图类型包含图片式、flash、html5 地图。</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软件应支持自助式功能，提供图形化方式，通过拖拉方式自定义 BI 门户，并能够提供丰富的页面显示风格置，可以对门户做全方位的规划，可为门户做权限控制，可成批为设置默认门户，可在门户中进行资源搜索。支持制作好的资源到门户页面中，也支持通过 URL 方式挂接第三方系统的资源。软件应提供门户设计器，设计器中提供多种控件，包括图片框、文字框、选项卡、跑马灯、视频播放框等，直接拖动组件到需要展示的地方即可。</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2.3.3.1.4</w:t>
      </w:r>
      <w:r>
        <w:rPr>
          <w:rFonts w:hint="eastAsia" w:ascii="宋体" w:hAnsi="宋体" w:cs="宋体"/>
          <w:sz w:val="24"/>
          <w:szCs w:val="24"/>
          <w:highlight w:val="none"/>
        </w:rPr>
        <w:tab/>
      </w:r>
      <w:r>
        <w:rPr>
          <w:rFonts w:hint="eastAsia" w:ascii="宋体" w:hAnsi="宋体" w:cs="宋体"/>
          <w:sz w:val="24"/>
          <w:szCs w:val="24"/>
          <w:highlight w:val="none"/>
        </w:rPr>
        <w:t>应用发布</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软件应支持PC门户，简单地拖拉拽即可实现自定义个性化门户和各种复杂的自定义门户，并支持多样式的预定义门户风格。</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2.3.3.1.5</w:t>
      </w:r>
      <w:r>
        <w:rPr>
          <w:rFonts w:hint="eastAsia" w:ascii="宋体" w:hAnsi="宋体" w:cs="宋体"/>
          <w:sz w:val="24"/>
          <w:szCs w:val="24"/>
          <w:highlight w:val="none"/>
        </w:rPr>
        <w:tab/>
      </w:r>
      <w:r>
        <w:rPr>
          <w:rFonts w:hint="eastAsia" w:ascii="宋体" w:hAnsi="宋体" w:cs="宋体"/>
          <w:sz w:val="24"/>
          <w:szCs w:val="24"/>
          <w:highlight w:val="none"/>
        </w:rPr>
        <w:t>权限管理</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支持表字段权限限定，可以通过设置字段权限（列权限），控制某些涉密字段只给相关用户查看,以进行精细化的权限控制。</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2.3.3.1.6</w:t>
      </w:r>
      <w:r>
        <w:rPr>
          <w:rFonts w:hint="eastAsia" w:ascii="宋体" w:hAnsi="宋体" w:cs="宋体"/>
          <w:sz w:val="24"/>
          <w:szCs w:val="24"/>
          <w:highlight w:val="none"/>
        </w:rPr>
        <w:tab/>
      </w:r>
      <w:r>
        <w:rPr>
          <w:rFonts w:hint="eastAsia" w:ascii="宋体" w:hAnsi="宋体" w:cs="宋体"/>
          <w:sz w:val="24"/>
          <w:szCs w:val="24"/>
          <w:highlight w:val="none"/>
        </w:rPr>
        <w:t>运营监控</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软件应支持运营监控的功能，供管理员实时了解系统运营状况，监控用户行为进行分析。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软件应提供系统概况统计，可对系统运营状况进行概览，其主要指标包括：当前在线人数、今日登录次数、累计登录次数、累计错误问题数、浏览器使用占比、资源访问量。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软件应提供资源访问量统计，可查看每类资源的访问量，并以图形化的方式展现资源访量前十名。</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软件应提供用户活跃情况统计，可用图型化方式查看选择时间范围内的用户活跃情况，点击图形可钻取查看活跃用户详情。</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系统应提供操作耗时统计，可查看用户对系统模块的操作耗时，并可钻取查看详情。</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系统应提供系统占用监控统计，以图形化的方式展现，内存占用率、活动连接数、CPU占用率。</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系统应提供错误问题统计，记录各类错误产生次数，并可钻取查看错误详情。</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2.3.3.1.7</w:t>
      </w:r>
      <w:r>
        <w:rPr>
          <w:rFonts w:hint="eastAsia" w:ascii="宋体" w:hAnsi="宋体" w:cs="宋体"/>
          <w:sz w:val="24"/>
          <w:szCs w:val="24"/>
          <w:highlight w:val="none"/>
        </w:rPr>
        <w:tab/>
      </w:r>
      <w:r>
        <w:rPr>
          <w:rFonts w:hint="eastAsia" w:ascii="宋体" w:hAnsi="宋体" w:cs="宋体"/>
          <w:sz w:val="24"/>
          <w:szCs w:val="24"/>
          <w:highlight w:val="none"/>
        </w:rPr>
        <w:t>部署集成</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软件应采用J2EE架构和 B/S 模式，采用 JAVA 语言开发，支持 Tomcat、WebLogic 等多种应用服务器运行平台。用户可以通过 IE，chrome 等浏览器进行访问。</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软件应支持集群部署，支持主流的中间件如Websphere、Weblogic、Jboss、Tomcat等上的集群部署，任意节点可查看和管理其它集群节点，集群节点可随时动态加入或退出，对某个服务器实例状态的修改，也会自动同步到集群环境中的其他节点服务器上而无需重启各节点服务器。</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支持各种常见的操作系统，如 Windows、Linux、UniX 系列</w:t>
      </w:r>
      <w:r>
        <w:rPr>
          <w:rFonts w:hint="eastAsia" w:ascii="宋体" w:hAnsi="宋体" w:cs="宋体"/>
          <w:sz w:val="24"/>
          <w:szCs w:val="24"/>
          <w:highlight w:val="none"/>
          <w:lang w:eastAsia="zh-CN"/>
        </w:rPr>
        <w:t>，</w:t>
      </w:r>
      <w:r>
        <w:rPr>
          <w:rFonts w:hint="eastAsia" w:ascii="宋体" w:hAnsi="宋体" w:cs="宋体"/>
          <w:sz w:val="24"/>
          <w:szCs w:val="24"/>
          <w:highlight w:val="none"/>
        </w:rPr>
        <w:t>支持跟其他业务系统无缝集成，支持单点登录、权限同步。</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55" w:name="_Toc104848127"/>
      <w:r>
        <w:rPr>
          <w:rFonts w:hint="eastAsia" w:ascii="宋体" w:hAnsi="宋体" w:cs="宋体"/>
          <w:sz w:val="24"/>
          <w:szCs w:val="24"/>
          <w:highlight w:val="none"/>
          <w:lang w:val="en-US" w:eastAsia="zh-CN"/>
        </w:rPr>
        <w:t>第三章项目实施要求</w:t>
      </w:r>
      <w:bookmarkEnd w:id="55"/>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3.</w:t>
      </w:r>
      <w:r>
        <w:rPr>
          <w:rFonts w:hint="eastAsia" w:ascii="宋体" w:hAnsi="宋体" w:cs="宋体"/>
          <w:sz w:val="24"/>
          <w:szCs w:val="24"/>
          <w:highlight w:val="none"/>
          <w:lang w:val="en-US" w:eastAsia="zh-CN"/>
        </w:rPr>
        <w:t>1项目启动后，中标人应允许业主（招标）单位以及相关的工作人员参与项目开发及系统整合本身必须的需求分析、初步设计、单元测试等相关工作。</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3.</w:t>
      </w:r>
      <w:r>
        <w:rPr>
          <w:rFonts w:hint="eastAsia" w:ascii="宋体" w:hAnsi="宋体" w:cs="宋体"/>
          <w:sz w:val="24"/>
          <w:szCs w:val="24"/>
          <w:highlight w:val="none"/>
          <w:lang w:val="en-US" w:eastAsia="zh-CN"/>
        </w:rPr>
        <w:t>2中标人应负责在项目完成时将系统的全部有关技术文件、资料及测试、验收报告和系统测试使用的测试数据等文档汇集成册提交给招标单位。</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3.</w:t>
      </w:r>
      <w:r>
        <w:rPr>
          <w:rFonts w:hint="eastAsia" w:ascii="宋体" w:hAnsi="宋体" w:cs="宋体"/>
          <w:sz w:val="24"/>
          <w:szCs w:val="24"/>
          <w:highlight w:val="none"/>
          <w:lang w:val="en-US" w:eastAsia="zh-CN"/>
        </w:rPr>
        <w:t>3中标人应明确承诺在项目完成时对业主（招标）单位人员进行运维、二次开发等涉及项目后续发展有关技术培训、支持的具体实施办法或目标。</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56" w:name="_Toc104848128"/>
      <w:r>
        <w:rPr>
          <w:rFonts w:hint="eastAsia" w:ascii="宋体" w:hAnsi="宋体" w:cs="宋体"/>
          <w:sz w:val="24"/>
          <w:szCs w:val="24"/>
          <w:highlight w:val="none"/>
          <w:lang w:val="en-US" w:eastAsia="zh-CN"/>
        </w:rPr>
        <w:t>第四章项目人员配置</w:t>
      </w:r>
      <w:bookmarkEnd w:id="56"/>
    </w:p>
    <w:p>
      <w:pPr>
        <w:adjustRightInd w:val="0"/>
        <w:snapToGrid w:val="0"/>
        <w:spacing w:line="520" w:lineRule="exact"/>
        <w:ind w:firstLine="480" w:firstLineChars="200"/>
        <w:rPr>
          <w:rFonts w:hint="eastAsia" w:ascii="宋体" w:hAnsi="宋体" w:cs="宋体"/>
          <w:sz w:val="24"/>
          <w:szCs w:val="24"/>
          <w:highlight w:val="none"/>
        </w:rPr>
      </w:pPr>
      <w:r>
        <w:rPr>
          <w:rFonts w:hint="default" w:ascii="宋体" w:hAnsi="宋体" w:cs="宋体"/>
          <w:sz w:val="24"/>
          <w:szCs w:val="24"/>
          <w:highlight w:val="none"/>
          <w:lang w:val="en-US" w:eastAsia="zh-CN"/>
        </w:rPr>
        <w:t>4.</w:t>
      </w:r>
      <w:r>
        <w:rPr>
          <w:rFonts w:hint="eastAsia" w:ascii="宋体" w:hAnsi="宋体" w:cs="宋体"/>
          <w:sz w:val="24"/>
          <w:szCs w:val="24"/>
          <w:highlight w:val="none"/>
          <w:lang w:val="en-US" w:eastAsia="zh-CN"/>
        </w:rPr>
        <w:t>1中标人必须成立合理的组织机构，建立健全保障项目顺利实施的各项管理制度和质量保证体系，安排好足够的高素质人才参加本项目的建设；在项目机构中应明确各岗位的职责、任职资格及成果，确保工程顺利实施。根据工作的业务</w:t>
      </w:r>
      <w:r>
        <w:rPr>
          <w:rFonts w:hint="eastAsia" w:ascii="宋体" w:hAnsi="宋体" w:cs="宋体"/>
          <w:sz w:val="24"/>
          <w:szCs w:val="24"/>
          <w:highlight w:val="none"/>
        </w:rPr>
        <w:t>性质，应配备有优势的项目经理、技术总监等人员承担本项目工作。</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4.</w:t>
      </w:r>
      <w:r>
        <w:rPr>
          <w:rFonts w:hint="eastAsia" w:ascii="宋体" w:hAnsi="宋体" w:cs="宋体"/>
          <w:sz w:val="24"/>
          <w:szCs w:val="24"/>
          <w:highlight w:val="none"/>
          <w:lang w:val="en-US" w:eastAsia="zh-CN"/>
        </w:rPr>
        <w:t>2参与此项目的技术人员必须具有强烈的服务意识和高度的责任感。</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4.</w:t>
      </w:r>
      <w:r>
        <w:rPr>
          <w:rFonts w:hint="eastAsia" w:ascii="宋体" w:hAnsi="宋体" w:cs="宋体"/>
          <w:sz w:val="24"/>
          <w:szCs w:val="24"/>
          <w:highlight w:val="none"/>
          <w:lang w:val="en-US" w:eastAsia="zh-CN"/>
        </w:rPr>
        <w:t>3中标人在项目实施中应至少应具备2人的建设开发团队且由高级项目经理带队驻场（直至项目验收通过后三年，同学校员工一同上下班）实施，主要负责人如需更换，需要征得项目管理委员会的书面同意；</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default" w:ascii="宋体" w:hAnsi="宋体" w:cs="宋体"/>
          <w:sz w:val="24"/>
          <w:szCs w:val="24"/>
          <w:highlight w:val="none"/>
          <w:lang w:val="en-US" w:eastAsia="zh-CN"/>
        </w:rPr>
        <w:t>.4</w:t>
      </w:r>
      <w:r>
        <w:rPr>
          <w:rFonts w:hint="eastAsia" w:ascii="宋体" w:hAnsi="宋体" w:cs="宋体"/>
          <w:sz w:val="24"/>
          <w:szCs w:val="24"/>
          <w:highlight w:val="none"/>
          <w:lang w:val="en-US" w:eastAsia="zh-CN"/>
        </w:rPr>
        <w:t>在建设期内，项目管理负责人应在接到学校通知1小时内到达学校现场处理问题或交流情况。</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57" w:name="_Toc104848130"/>
      <w:r>
        <w:rPr>
          <w:rFonts w:hint="eastAsia" w:ascii="宋体" w:hAnsi="宋体" w:cs="宋体"/>
          <w:sz w:val="24"/>
          <w:szCs w:val="24"/>
          <w:highlight w:val="none"/>
          <w:lang w:val="en-US" w:eastAsia="zh-CN"/>
        </w:rPr>
        <w:t>第五章安装、测试和验收要求</w:t>
      </w:r>
      <w:bookmarkEnd w:id="57"/>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58" w:name="_Toc104848131"/>
      <w:r>
        <w:rPr>
          <w:rFonts w:hint="default" w:ascii="宋体" w:hAnsi="宋体" w:cs="宋体"/>
          <w:sz w:val="24"/>
          <w:szCs w:val="24"/>
          <w:highlight w:val="none"/>
          <w:lang w:val="en-US" w:eastAsia="zh-CN"/>
        </w:rPr>
        <w:t>5.1</w:t>
      </w:r>
      <w:r>
        <w:rPr>
          <w:rFonts w:hint="eastAsia" w:ascii="宋体" w:hAnsi="宋体" w:cs="宋体"/>
          <w:sz w:val="24"/>
          <w:szCs w:val="24"/>
          <w:highlight w:val="none"/>
          <w:lang w:val="en-US" w:eastAsia="zh-CN"/>
        </w:rPr>
        <w:t>软件系统部署与安装</w:t>
      </w:r>
      <w:bookmarkEnd w:id="58"/>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必须向采购人提供本项目采购的所有智慧校园平台软件系统的部署与安装、调试和已有的应用系统集成及后期维护服务的全部内容，软件系统的部署安装的主</w:t>
      </w:r>
      <w:r>
        <w:rPr>
          <w:rFonts w:hint="eastAsia" w:ascii="宋体" w:hAnsi="宋体" w:cs="宋体"/>
          <w:sz w:val="24"/>
          <w:szCs w:val="24"/>
          <w:highlight w:val="none"/>
        </w:rPr>
        <w:t>要目标不仅是使所有软件能够在相应平台上正常运行，而且必须具有对软件系统运行的监控测试手段，以证明系统优化运行。中标人有责任且必须承诺使项目单位的系统达到以上目标。</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系统及设备安装方面对中标人要求：</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5.1.1</w:t>
      </w:r>
      <w:r>
        <w:rPr>
          <w:rFonts w:hint="eastAsia" w:ascii="宋体" w:hAnsi="宋体" w:cs="宋体"/>
          <w:sz w:val="24"/>
          <w:szCs w:val="24"/>
          <w:highlight w:val="none"/>
          <w:lang w:val="en-US" w:eastAsia="zh-CN"/>
        </w:rPr>
        <w:t>要求中标人必须具有良好信誉和相关实力的技术队伍。</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5.1.2</w:t>
      </w:r>
      <w:r>
        <w:rPr>
          <w:rFonts w:hint="eastAsia" w:ascii="宋体" w:hAnsi="宋体" w:cs="宋体"/>
          <w:sz w:val="24"/>
          <w:szCs w:val="24"/>
          <w:highlight w:val="none"/>
          <w:lang w:val="en-US" w:eastAsia="zh-CN"/>
        </w:rPr>
        <w:t>中标人应本着认真负责态度，组织技术队伍，做好投标的整体方案，并书面提出长期保修、维护、服务以及今后技术支持的措施计划和承诺。</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5.1.3</w:t>
      </w:r>
      <w:r>
        <w:rPr>
          <w:rFonts w:hint="eastAsia" w:ascii="宋体" w:hAnsi="宋体" w:cs="宋体"/>
          <w:sz w:val="24"/>
          <w:szCs w:val="24"/>
          <w:highlight w:val="none"/>
          <w:lang w:val="en-US" w:eastAsia="zh-CN"/>
        </w:rPr>
        <w:t>数字校园平台软件系统的部署与安装根据实施计划执行。</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5.1.4</w:t>
      </w:r>
      <w:r>
        <w:rPr>
          <w:rFonts w:hint="eastAsia" w:ascii="宋体" w:hAnsi="宋体" w:cs="宋体"/>
          <w:sz w:val="24"/>
          <w:szCs w:val="24"/>
          <w:highlight w:val="none"/>
          <w:lang w:val="en-US" w:eastAsia="zh-CN"/>
        </w:rPr>
        <w:t>所有软件系统均须由中标人送货上门并安装调试，用户不再支付任何费用。</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5.1.5</w:t>
      </w:r>
      <w:r>
        <w:rPr>
          <w:rFonts w:hint="eastAsia" w:ascii="宋体" w:hAnsi="宋体" w:cs="宋体"/>
          <w:sz w:val="24"/>
          <w:szCs w:val="24"/>
          <w:highlight w:val="none"/>
          <w:lang w:val="en-US" w:eastAsia="zh-CN"/>
        </w:rPr>
        <w:t>自系统安装工作一开始，中标人应允许采购单位的工作人员一起参与系统的安装、测试、诊断及解决遇到的问题等各项工作。</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59" w:name="_Toc104848132"/>
      <w:r>
        <w:rPr>
          <w:rFonts w:hint="default" w:ascii="宋体" w:hAnsi="宋体" w:cs="宋体"/>
          <w:sz w:val="24"/>
          <w:szCs w:val="24"/>
          <w:highlight w:val="none"/>
          <w:lang w:val="en-US" w:eastAsia="zh-CN"/>
        </w:rPr>
        <w:t>5.2</w:t>
      </w:r>
      <w:r>
        <w:rPr>
          <w:rFonts w:hint="eastAsia" w:ascii="宋体" w:hAnsi="宋体" w:cs="宋体"/>
          <w:sz w:val="24"/>
          <w:szCs w:val="24"/>
          <w:highlight w:val="none"/>
          <w:lang w:val="en-US" w:eastAsia="zh-CN"/>
        </w:rPr>
        <w:t>测试和验收</w:t>
      </w:r>
      <w:bookmarkEnd w:id="59"/>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5.2.1</w:t>
      </w:r>
      <w:r>
        <w:rPr>
          <w:rFonts w:hint="eastAsia" w:ascii="宋体" w:hAnsi="宋体" w:cs="宋体"/>
          <w:sz w:val="24"/>
          <w:szCs w:val="24"/>
          <w:highlight w:val="none"/>
          <w:lang w:val="en-US" w:eastAsia="zh-CN"/>
        </w:rPr>
        <w:t>产品测试</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中标人应根据所提交的验收方案和实施办法，自行组织设备和人员，并在使用单位监察下现场进行测试和验收。</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5.2.2</w:t>
      </w:r>
      <w:r>
        <w:rPr>
          <w:rFonts w:hint="eastAsia" w:ascii="宋体" w:hAnsi="宋体" w:cs="宋体"/>
          <w:sz w:val="24"/>
          <w:szCs w:val="24"/>
          <w:highlight w:val="none"/>
          <w:lang w:val="en-US" w:eastAsia="zh-CN"/>
        </w:rPr>
        <w:t>产品验收</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采购人、中标人双方按验收要求对项目文档、培训情况及试运行出现问题进行验收。在所有验收项全部达到相应要求后，由中标方出具《验收报告》，双方签署《验收报告》。</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60" w:name="_Toc104848133"/>
      <w:r>
        <w:rPr>
          <w:rFonts w:hint="eastAsia" w:ascii="宋体" w:hAnsi="宋体" w:cs="宋体"/>
          <w:sz w:val="24"/>
          <w:szCs w:val="24"/>
          <w:highlight w:val="none"/>
          <w:lang w:val="en-US" w:eastAsia="zh-CN"/>
        </w:rPr>
        <w:t>第六章售后服务和培训要求</w:t>
      </w:r>
      <w:bookmarkEnd w:id="60"/>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61" w:name="_Toc104848134"/>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售后服务</w:t>
      </w:r>
      <w:bookmarkEnd w:id="61"/>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1中标人应承诺保证该项目按时正式稳定地运行。</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2售后服务从系统验收通过之日起计算。</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3中标人在项目终验后，必须提供三年的维护期，在维护期内对软件进行维护和完善，费用计入投标总价。</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4所有保修服务方式均为中标人上门保修，即由中标人派员到业主使用现场维护。由此产生的一切费用均由中标人承担。</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5全天候24小时服务响应，维护工程师应在接到报障后2个小时内到现场处理应用系统出现的故障；一年内每三个月一次系统安全检测。</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6中标人需协助学院开展现有所有业务系统数据整治，少的字段添加、不规范的数据标准化等。</w:t>
      </w:r>
    </w:p>
    <w:p>
      <w:pPr>
        <w:adjustRightInd w:val="0"/>
        <w:snapToGrid w:val="0"/>
        <w:spacing w:line="520" w:lineRule="exact"/>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7中标人需协助学校开展教育部数字校园试点校各项工作，包含但不限于数据整理、数据上报，提供数据接口并根据教育部数据要求更新完善等。</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6.1.</w:t>
      </w:r>
      <w:r>
        <w:rPr>
          <w:rFonts w:hint="eastAsia" w:ascii="宋体" w:hAnsi="宋体" w:cs="宋体"/>
          <w:sz w:val="24"/>
          <w:szCs w:val="24"/>
          <w:highlight w:val="none"/>
          <w:lang w:val="en-US" w:eastAsia="zh-CN"/>
        </w:rPr>
        <w:t>8中标人需协助学校完成一项不低于厅局级课题研究；中标人应提供定期的咨询服务（维护期内至少每三个月一次，维护期后至少每半年一次），若业主行政组织调整或业务流程变更，则中标人应提供及时的变更服务。</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62" w:name="_Toc104848135"/>
      <w:r>
        <w:rPr>
          <w:rFonts w:hint="default" w:ascii="宋体" w:hAnsi="宋体" w:cs="宋体"/>
          <w:sz w:val="24"/>
          <w:szCs w:val="24"/>
          <w:highlight w:val="none"/>
          <w:lang w:val="en-US" w:eastAsia="zh-CN"/>
        </w:rPr>
        <w:t>6.2</w:t>
      </w:r>
      <w:r>
        <w:rPr>
          <w:rFonts w:hint="eastAsia" w:ascii="宋体" w:hAnsi="宋体" w:cs="宋体"/>
          <w:sz w:val="24"/>
          <w:szCs w:val="24"/>
          <w:highlight w:val="none"/>
          <w:lang w:val="en-US" w:eastAsia="zh-CN"/>
        </w:rPr>
        <w:t>项目培训</w:t>
      </w:r>
      <w:bookmarkEnd w:id="62"/>
      <w:r>
        <w:rPr>
          <w:rFonts w:hint="eastAsia" w:ascii="宋体" w:hAnsi="宋体" w:cs="宋体"/>
          <w:sz w:val="24"/>
          <w:szCs w:val="24"/>
          <w:highlight w:val="none"/>
          <w:lang w:val="en-US" w:eastAsia="zh-CN"/>
        </w:rPr>
        <w:t>及服务</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中标人必须提供相应的应用软件技术、系统操作等方面的培训。有关应用软件的操作培训课程，培训应该在系统运作前完成。</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对于所有培训，中标人必须派出具有相应专业资格和实际工作、教育经验的教师和相应的辅导人员进行培训，主要培训教员应至少具有三年的相关培训经验，培训所使用的语言必须是中文，否则中标人必须提供相应的翻译。</w:t>
      </w:r>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中标人必须为所有被培训人员提供文字资料和讲义等培训教材，培训教材必须以印刷品形式提供，费用由中标人支付。所有的资料必须是中文或英文书写。</w:t>
      </w:r>
    </w:p>
    <w:p>
      <w:pPr>
        <w:adjustRightInd w:val="0"/>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中标人须提供详细的培训计划。</w:t>
      </w:r>
    </w:p>
    <w:p>
      <w:pPr>
        <w:adjustRightInd w:val="0"/>
        <w:snapToGrid w:val="0"/>
        <w:spacing w:line="520" w:lineRule="exact"/>
        <w:ind w:firstLine="480" w:firstLineChars="200"/>
        <w:rPr>
          <w:rFonts w:hint="eastAsia" w:ascii="宋体" w:hAnsi="宋体" w:cs="宋体"/>
          <w:sz w:val="24"/>
          <w:szCs w:val="24"/>
          <w:highlight w:val="none"/>
          <w:lang w:val="en-US" w:eastAsia="zh-CN"/>
        </w:rPr>
      </w:pPr>
      <w:bookmarkStart w:id="63" w:name="_Toc1787"/>
      <w:r>
        <w:rPr>
          <w:rFonts w:hint="eastAsia" w:ascii="宋体" w:hAnsi="宋体" w:cs="宋体"/>
          <w:sz w:val="24"/>
          <w:szCs w:val="24"/>
          <w:highlight w:val="none"/>
          <w:lang w:val="en-US" w:eastAsia="zh-CN"/>
        </w:rPr>
        <w:t>第七章</w:t>
      </w:r>
      <w:r>
        <w:rPr>
          <w:rFonts w:hint="default"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t>项目建设预期的效益</w:t>
      </w:r>
      <w:bookmarkEnd w:id="63"/>
    </w:p>
    <w:p>
      <w:pPr>
        <w:adjustRightInd w:val="0"/>
        <w:snapToGrid w:val="0"/>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利用信息化手段支撑高等教育治理体系改革新模式要求，以“育人为本、融合创新、系统推进、引领发展”为原则，以“用数据说话、用数据决策、用数据管理、用数据创新”为思路，大力推动信息系统整合和公共数据汇聚互联，完善公共数据共享交换机制，加快建设基础数据库和全局数据库，有序推进公共数据开放，扩大共享数据范围，加强数据质量和数据安全管控，实施公共数据集中统一管理与应用，构建从数据采集、归集、整合、共享、开放到应用等全生命周期管理的公共数据管理平台，为学校信息化建设提供大数据支撑。同时，通过数据治理和数据中台的建设，能够支持完成全国职业教育智慧大脑院校中台数据对接上报工作。</w:t>
      </w:r>
    </w:p>
    <w:p>
      <w:pPr>
        <w:adjustRightInd w:val="0"/>
        <w:snapToGrid w:val="0"/>
        <w:spacing w:line="520" w:lineRule="exact"/>
        <w:ind w:firstLine="480" w:firstLineChars="200"/>
        <w:rPr>
          <w:rFonts w:hint="eastAsia" w:ascii="宋体" w:hAnsi="宋体" w:cs="宋体"/>
          <w:b/>
          <w:sz w:val="24"/>
          <w:highlight w:val="none"/>
        </w:rPr>
      </w:pPr>
      <w:r>
        <w:rPr>
          <w:rFonts w:hint="eastAsia" w:ascii="宋体" w:hAnsi="宋体" w:cs="宋体"/>
          <w:sz w:val="24"/>
          <w:szCs w:val="24"/>
          <w:highlight w:val="none"/>
        </w:rPr>
        <w:t>注：为有助于投标人选择投标产品，项目说明中提供了推荐品牌（或型号）、参考品牌（或型号）等，但这些品牌（或型号）仅供参考，并无限制性。投标人可以选择性能不低于推荐（或参考）的品牌（或型号）的其他品牌产品，投标时应当提供有关技术证明资料。</w:t>
      </w:r>
    </w:p>
    <w:p>
      <w:pPr>
        <w:pStyle w:val="2"/>
        <w:rPr>
          <w:rFonts w:hint="eastAsia" w:ascii="宋体" w:hAnsi="宋体" w:cs="宋体"/>
          <w:b/>
          <w:sz w:val="24"/>
          <w:highlight w:val="none"/>
        </w:rPr>
      </w:pPr>
    </w:p>
    <w:p>
      <w:pPr>
        <w:rPr>
          <w:rFonts w:hint="eastAsia" w:ascii="宋体" w:hAnsi="宋体" w:cs="宋体"/>
          <w:b/>
          <w:sz w:val="24"/>
          <w:highlight w:val="none"/>
        </w:rPr>
      </w:pPr>
    </w:p>
    <w:p>
      <w:pPr>
        <w:pStyle w:val="2"/>
        <w:rPr>
          <w:rFonts w:hint="eastAsia" w:ascii="宋体" w:hAnsi="宋体" w:cs="宋体"/>
          <w:b/>
          <w:sz w:val="24"/>
          <w:highlight w:val="none"/>
        </w:rPr>
      </w:pPr>
    </w:p>
    <w:p>
      <w:pPr>
        <w:rPr>
          <w:rFonts w:hint="eastAsia" w:ascii="宋体" w:hAnsi="宋体" w:cs="宋体"/>
          <w:b/>
          <w:sz w:val="24"/>
          <w:highlight w:val="none"/>
        </w:rPr>
      </w:pPr>
    </w:p>
    <w:p>
      <w:pPr>
        <w:pStyle w:val="2"/>
        <w:rPr>
          <w:rFonts w:hint="eastAsia" w:ascii="宋体" w:hAnsi="宋体" w:cs="宋体"/>
          <w:b/>
          <w:sz w:val="24"/>
          <w:highlight w:val="none"/>
        </w:rPr>
      </w:pPr>
    </w:p>
    <w:p>
      <w:pPr>
        <w:rPr>
          <w:rFonts w:hint="eastAsia" w:ascii="宋体" w:hAnsi="宋体" w:cs="宋体"/>
          <w:b/>
          <w:sz w:val="24"/>
          <w:highlight w:val="none"/>
        </w:rPr>
      </w:pPr>
    </w:p>
    <w:p>
      <w:pPr>
        <w:pStyle w:val="2"/>
        <w:rPr>
          <w:rFonts w:hint="eastAsia" w:ascii="宋体" w:hAnsi="宋体" w:cs="宋体"/>
          <w:b/>
          <w:sz w:val="24"/>
          <w:highlight w:val="none"/>
        </w:rPr>
      </w:pPr>
    </w:p>
    <w:p>
      <w:pPr>
        <w:rPr>
          <w:rFonts w:hint="eastAsia" w:ascii="宋体" w:hAnsi="宋体" w:cs="宋体"/>
          <w:b/>
          <w:sz w:val="24"/>
          <w:highlight w:val="none"/>
        </w:rPr>
      </w:pPr>
    </w:p>
    <w:p>
      <w:pPr>
        <w:pStyle w:val="2"/>
        <w:rPr>
          <w:rFonts w:hint="eastAsia" w:ascii="宋体" w:hAnsi="宋体" w:cs="宋体"/>
          <w:b/>
          <w:sz w:val="24"/>
          <w:highlight w:val="none"/>
        </w:rPr>
      </w:pPr>
    </w:p>
    <w:p>
      <w:pPr>
        <w:rPr>
          <w:rFonts w:hint="eastAsia" w:ascii="宋体" w:hAnsi="宋体" w:cs="宋体"/>
          <w:b/>
          <w:sz w:val="24"/>
          <w:highlight w:val="none"/>
        </w:rPr>
      </w:pPr>
    </w:p>
    <w:p>
      <w:pPr>
        <w:pStyle w:val="2"/>
        <w:rPr>
          <w:rFonts w:hint="eastAsia" w:ascii="宋体" w:hAnsi="宋体" w:cs="宋体"/>
          <w:b/>
          <w:sz w:val="24"/>
          <w:highlight w:val="none"/>
        </w:rPr>
      </w:pPr>
    </w:p>
    <w:p>
      <w:pPr>
        <w:rPr>
          <w:rFonts w:hint="eastAsia"/>
        </w:rPr>
      </w:pPr>
    </w:p>
    <w:p>
      <w:pPr>
        <w:rPr>
          <w:rFonts w:hint="eastAsia"/>
        </w:rPr>
      </w:pPr>
    </w:p>
    <w:p>
      <w:pPr>
        <w:pStyle w:val="2"/>
        <w:pageBreakBefore w:val="0"/>
        <w:numPr>
          <w:ilvl w:val="2"/>
          <w:numId w:val="0"/>
        </w:numPr>
        <w:kinsoku/>
        <w:wordWrap/>
        <w:overflowPunct/>
        <w:topLinePunct w:val="0"/>
        <w:autoSpaceDE/>
        <w:autoSpaceDN/>
        <w:bidi w:val="0"/>
        <w:spacing w:line="300" w:lineRule="exact"/>
        <w:ind w:right="210" w:rightChars="100"/>
        <w:jc w:val="left"/>
        <w:rPr>
          <w:rFonts w:hint="eastAsia" w:ascii="宋体" w:hAnsi="宋体" w:eastAsia="宋体" w:cs="宋体"/>
          <w:b/>
          <w:bCs w:val="0"/>
          <w:kern w:val="2"/>
          <w:sz w:val="24"/>
          <w:szCs w:val="20"/>
          <w:highlight w:val="none"/>
          <w:lang w:val="en-US" w:eastAsia="zh-CN" w:bidi="ar-SA"/>
        </w:rPr>
      </w:pPr>
      <w:r>
        <w:rPr>
          <w:rFonts w:hint="eastAsia" w:ascii="宋体" w:hAnsi="宋体" w:eastAsia="宋体" w:cs="宋体"/>
          <w:b/>
          <w:bCs w:val="0"/>
          <w:kern w:val="2"/>
          <w:sz w:val="24"/>
          <w:szCs w:val="20"/>
          <w:highlight w:val="none"/>
          <w:lang w:val="en-US" w:eastAsia="zh-CN" w:bidi="ar-SA"/>
        </w:rPr>
        <w:t>附件</w:t>
      </w:r>
      <w:r>
        <w:rPr>
          <w:rFonts w:hint="default" w:ascii="宋体" w:hAnsi="宋体" w:eastAsia="宋体" w:cs="宋体"/>
          <w:b/>
          <w:bCs w:val="0"/>
          <w:kern w:val="2"/>
          <w:sz w:val="24"/>
          <w:szCs w:val="20"/>
          <w:highlight w:val="none"/>
          <w:lang w:val="en-US" w:eastAsia="zh-CN" w:bidi="ar-SA"/>
        </w:rPr>
        <w:t>1</w:t>
      </w:r>
      <w:r>
        <w:rPr>
          <w:rFonts w:hint="eastAsia" w:ascii="宋体" w:hAnsi="宋体" w:eastAsia="宋体" w:cs="宋体"/>
          <w:b/>
          <w:bCs w:val="0"/>
          <w:kern w:val="2"/>
          <w:sz w:val="24"/>
          <w:szCs w:val="20"/>
          <w:highlight w:val="none"/>
          <w:lang w:val="en-US" w:eastAsia="zh-CN" w:bidi="ar-SA"/>
        </w:rPr>
        <w:t>：数据治理项目建设清单</w:t>
      </w:r>
    </w:p>
    <w:tbl>
      <w:tblPr>
        <w:tblStyle w:val="36"/>
        <w:tblpPr w:leftFromText="180" w:rightFromText="180" w:vertAnchor="text" w:horzAnchor="page" w:tblpX="1573" w:tblpY="9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655"/>
        <w:gridCol w:w="1023"/>
        <w:gridCol w:w="654"/>
        <w:gridCol w:w="859"/>
        <w:gridCol w:w="5211"/>
        <w:gridCol w:w="414"/>
        <w:gridCol w:w="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建设内容</w:t>
            </w:r>
          </w:p>
        </w:tc>
        <w:tc>
          <w:tcPr>
            <w:tcW w:w="102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系统名称</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功能模块</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系统功能点</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功能描述</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数量</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数据治理规划与标准制定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数据治理与服务体系设计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对学校数据管控现状进行全面评估，对比同类高校和其他行业的实践经验形成差距分析，制定数据治理体系和实施路径规划，以及数据服务架构规划。</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数据治理组织架构及制度建设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明确数据治理的组织架构和职责分工，建立数据治理的配套管理机制和流程，配套相应管理制度和规范，保证数据治理体系的日常运行，形成数据治理长效机制。</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梳理数据标准和数据关系</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成对学生和教职工及其在学校各部门、各系统、各岗位有关的全生命周期业务流和主要业务子集或数据子集的整体规划，建立数据关系管理模型，形成一套符合自身实际，涵盖定义、操作、应用多层次数据的标准化体系。</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数据中台建设与数据实施</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信息标准管理平台</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标准校内公开网站</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门户页面</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信息标准网门户页面主要提供标准业务域规范公开、标准资讯、业务域、代码集统计报告、标签云、来源与支撑相关参数指标。并提供丰富多样化通用、标准、资讯检索功能。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个人中心</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展示用户基本信息、收藏和下载信息。以图表的方式展现，整体页面看起来既简洁明了，内容又显得丰满，有助于用户快速的了解学校信息标准的现状及精确的定位用户关注的信息标准。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标准管理</w:t>
            </w:r>
          </w:p>
        </w:tc>
        <w:tc>
          <w:tcPr>
            <w:tcW w:w="859"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业务域</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技术规范基础管理业务域中业务的信息，维护数据元素的元数据结构，其目的主要在于提供规范现有的信息标准信息项唯一性的可视化操作平台，通过现有信息标准的录入和微调来整理一份信息标准，为以后规范信息标准打下基础。</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代码集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代码分类和代码表：代码采用规律的编码方法，规定了指定代码集的分类或类别，适用于指定对象，代码表为代码项的集合，主要为后续数据清洗提供依据或凭证。</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代码项：代码项为基本数据元素，用于相关信息处理之间的信息交换，依据编码规则，相同系列代码项组成代码集合</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数据导入</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表、字段、字典、字典项的形式，从excel模板中整理好数据，按照一系列的规则校验之后，根据校验显示出来的新增、修改、异常、重复等信息进行修改和重新校验，进而审核导入业务域、字段、字典、字典项。</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标准自检</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信息标准进行必要的合法性校验外，用户可根据具体需求自定义一些规则对信息标准进行额外的校验，自定义规则被分为三大类：关于基本属性的规则校验、关于质量属性的规则校验、关于管理属性的规则校验；校验完成后汇总校验结果形成异常报告，并提供便捷的信息标准规范手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参考标准</w:t>
            </w: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参考标准</w:t>
            </w:r>
          </w:p>
        </w:tc>
        <w:tc>
          <w:tcPr>
            <w:tcW w:w="5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标准为信息标准提供一个规范的、面向教育行业的国家层面上的信息化标准模板，当前参考标准的数据主要来源于中华人民共和国教育行业标准（2012年版）。该模块为用户提供维护参考标准的可视化界面接口以应对行业标准发生变更或各大高校需要在国家标准的基础上建立适应自身的特色标准，包括导入、新增、修改、删除等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版本管理首页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展示当前的版本信息标准数据收录量，并可分各个业务域的统计数据量，以及统计来源于各个部门的字段管理属性。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对于的新增、修改、删除的标准数据，包括业务域数据和字典数据，只有发布版本并审核通过后，才能被引用于各个业务数据源。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版本预览</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在浏览器打开该版本的信息标准白皮书pdf文档。</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版本历程</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查询系统中已经发布的版本信息。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版本审核</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审核发布版本是否通过，若审核通过，该版本会成为信息标准最新版本，标准网站，系统建模将使用最新版本的标准数据。</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版本发布</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统计系统中维护的那套信息标准与生效版本的信息标准之间的差异，告知用户对信息标准做了哪些操作。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版本导出</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分为“全量导出”和“自定义导出”两种方式，可以导出word、pdf、excel三种格式的文档。 全量导出会导出该版本全部的信息标准数据，自定义导出会根据选择的部门，筛选出相关的信息标准数据。</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版本对比</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版本对比报告会展示两个版本的信息标准数据量，小版本到大版本的数据变化量和字段、字典的具体变更情况。系统后台只能同时进行一个文档导出任务，如果已存在导出任务，会有提示信息。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版本回退</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信息标准数据会恢复到该回退版本发布时的状态，也就是说该回退版本之后的信息标准数据会清除掉。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系统建模</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数据源管理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数据源管理：用户可以使用新增功能，通过本系统创建业务系统数据源,登记功能是把线下已经建立的用户信息记录到本系统,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用于批量登记线下已经创建的业务系统用户。</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left"/>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兼容数据中心数据源：登记oracle数据中心数据库，用于物理同步反向核验读取信息标准数据结构。</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left"/>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旧标准数据元素升级：登记oracle旧标准平台数据库，通过升级标准元素、建模数据、版本信息到微服务信息标准管理子系统。</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引用结构</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引用主要分为一键引用和自定义引用，自定义引用主要根据业务域进行分类显示标准数据结构信息，并可根据需求手动勾选所需的数据进行引用，还可进行系统过滤。一键引用根据系统过滤来选择所需数据，根据系统来源过滤的条件批量引用数据,用于物理同步数据建模创建数据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业务代码</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创建的数据源统计引用的代码集，显示各个数据源下引用的代码信息以及引用详情,用于物理同步数据建模创建代码表。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物理同步</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核验：通过给创建的数据源进行数据引用操作后，在物理同步中可以对该数据源下引用的表数据进行核验数据结构状态。</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建表：通过数据治理技术规范与业务需求梳理的信息标准数据集，对未创建的数据表创建到物理库实体中，提供查看该引用表的建表脚本。</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同步不匹配表：提供依据信息标准数据结构同步物理表，提供脚本及执行影响分析，并提供直接删除重建物理表。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资讯管理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资讯管理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资讯模块是给学校提供管理信息标准相关的权威性公告，各种规范文件的平台，在标准网站首页可以看到已发布的资讯信息。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标签云</w:t>
            </w:r>
          </w:p>
        </w:tc>
        <w:tc>
          <w:tcPr>
            <w:tcW w:w="5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标签云即是关键字的集合，标签是典型的超链接，让用户可以仔细了解对应标签的内容，每个标签都有对应的资源链接地址。</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组织架构</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组织架构</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组织架构可以录入信息标准对应学校的整体架构信息，也能切换到对应的树拓扑图查看详细的架构内容，通过新增或者导入可以录入组织架构以及对应的业务系统信息。用于维护数据字段关于部门系列的管理属性</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业务系统</w:t>
            </w:r>
          </w:p>
        </w:tc>
        <w:tc>
          <w:tcPr>
            <w:tcW w:w="5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业务系统是属于组织架构下是业务部门对应的数据,用于维护数据字段关于系统系列的管理属性。</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系统设置</w:t>
            </w:r>
          </w:p>
        </w:tc>
        <w:tc>
          <w:tcPr>
            <w:tcW w:w="5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配置该系统需用到的一些动态数据参数，所需用到的数据都必须从系统设置读取。主要包括版权、LOGO标志、白皮书、数据源读取属性配置等信息。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操作日志</w:t>
            </w:r>
          </w:p>
        </w:tc>
        <w:tc>
          <w:tcPr>
            <w:tcW w:w="5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记录在该平台的操作详情，包括用户账号、浏览器类型、访问IP、登录时间、操作次数、操作详情等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主数据管理平台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首页</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首页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展示数据库各类型分析，包括数据库状态、表空间状态、业务表状况、最近接口调用情况、最新核验动态统计展现。</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数据湖</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数据湖数据查询</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数据湖为用户提供了查询集成到全局数据中心的各业务系统的原始数据的入口，可用于统一入口查询业务数据原始数据，实现对全局数据中心的业务数据集成情况作对比验证。</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物理同步</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同步需要数据入湖的表和字段数据，并后台创建对应数据湖物理表和字段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任务管理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管理数据入湖的任务策略</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日志管理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提供数据入湖的日志信息查看</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全局库</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全局库</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提供全局库数据的汇总信息以及各业务系统数据表结构信息集及代码集信息、总体数据增长、总体数据分布情况内容。并提供全局数据查看和引用代码集数据查询、自定义查询等查询功能。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表权限配置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主要是对用户和角色授权使其有权限查询该表数据。要求对所有业务库资源实现批量授权，授权对象为学校任意角色和用户，支持批量勾选。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组织结构</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数据结构是对全局库的数据结构、数据字典信息的查看。数据字典是管理各业务库的数据字典、代码集。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历史库管理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首页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历史库提供数据地图管理功能，以图形方式展现数据的流向，同时提供各个业务系统的存量以及增量数据情况。提供热门数据库的数据量。</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数据查询</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提供各个历史数据库表的数据的查询操作。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数据统计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提供历史数据库数据增量情况分析、历史数据表数据分布、数据增量排名。</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任务监控</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对当前所有任务执行状态的反馈，包括任务总数、失败成功数及操作状态的监控和展示</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任务管理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通过任务的方式对业务数据进行备份并增加时间维度。</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任务日志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提供任务执行的日志信息查看功能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表权限配置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主要是对用户和角色授权使其有权限查询该表数据。要求对所有业务库资源实现批量授权，授权对象为学校任意角色和用户，支持批量勾选。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服务中心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应用管理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提供服务的访问应用管理功能。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数据源管理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提供输入输出接口的数据源，包括全局库数据源可视化和自定义异构数据源的管理。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输入接口</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对输入接口的管理，支持通过图形化对excel接口、restful接口和Web Service接口的创建发布，所有类型的输入接口支持对应用授权，并通过开发者平台对接输入数据，包括接口配置、数据查看和数据审核模块。</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输出接口</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输出接口的管理，支持全局库表单表自动发布，支持可图形化和编写sql脚本形式配置接口，支持返回json格式的restful风格和xml格式的webserver接口的发布,接口授权支持字段级别的授权，实现同一接口不同应用输出字段不同的结果，加强对输出字段的安全权限控制，输出接口包括接口管理、接口授权和数据授权。</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接口统计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包括接口分析和接口日志，支持输入输出接口进行各类型分析以及接口访问情况查询功能。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接口安全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保证接口使用的安全，对系统接口黑白名单进行编辑及启用管理等。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接口审核</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对开发者在开发者平台申请访问的接口进行审核授权操作。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数据仓库</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事实表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对业务数据进行多维度分析构建事实表，提供事实表管理及建模。</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维度表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对仓库的维度表进行管理，用于维度建模、多维度分析。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指标体系</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对仓库的指标进行管理，提供指标的维护与指标数据查询。</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任务调度</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包括配置事实表、维度表数据拉取任务信息和调度任务管理等操作。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通过对全局库与用户关注主题相关的表进行重新组合。</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分组管理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对已有的数据维度进行维度细化，形成新的维度。</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调度日志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仓库任务的调度历史信息查看.</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主题查询配置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通过配置以教师和学生一条线的主题查询，为老师和学生提供集中统一查看个人数据的入口，同时支持部门管理员和学校领导查看部门数据和全部数据的配置</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运行情况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分析系统当前以及历史运行情况，直观显示服务器可能面临的问题，预测未来服务器的数据容量情况。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资源统计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统计业务数据库的数据资源分布情况，查看各表在业务系统的数据占有量，查看展示资源分布的历史信息等。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权限查看</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按数据库用户查看授权的数据表，按表查看授权用户，对授权信息进行修改。</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热点表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图标及列表的方式展示各业务系统当前及历史SQL数量统计。</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SQL查询记录</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提供SQL记录查询功能。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TOP SQL</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由数据库检索日志定位出热点SQL语句，对热点SQL语句进行分类存储，可以分析出热点SQL性能以及热点SQL的历史信息等。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死锁查看</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查询数据库当前死锁情况，并提供在线解锁功能。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监控告警订阅</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对数据库服务器的实时资源占用情况进行监控，监控阈值可触发邮件发送邮箱功能。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数据库核验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手动核验</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展示上次核验得分，并可查看上次核验报告，可手动立即执行核验任务</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核验任务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将待核验的业务系统以及规则定义成一个个任务，并配置调度策略，系统将按照核验策略自动核验业务系统。</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核验分析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展示各业务系统的核验结果，包括健康度分析，核验数据合格性分析等。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核验明细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展示各业务系统所包含的详细核验分析结果信息，包括表完整性、字段完整性和一致性。</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核验历史</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对每次核验的记录进行展示，并生成每次核验的核验报告。</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报告订阅</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对已经核验的业务系统的核验报告进行订阅管理，将核验报告推送给相关部门或管理人员。</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8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以图形方式提供访问统计、模块操作量分析统计。</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系统设置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展示系统设置界面。</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操作日志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记录访问系统的用户详细信息。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主题查询</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主题组查询</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支持通过切换主题查看不同主题的数据。</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主题标签分类查询</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查看主题重构后的分类信息。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主题数据查询</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支持切换，查看授权部门、全部数据内容。</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数据脱敏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脱敏首页</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展示数据脱敏相关介绍及脱敏算法的介绍。</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脱敏配置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配置脱敏字段级对应的脱敏算法。</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脱敏查看授权</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授权后可查看所有脱敏字段的原始数据。</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脱敏执行日志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统计脱敏字段脱敏的数据量的日志。</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脱敏配置日志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记录配置脱敏字段的历史。</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脱敏统计</w:t>
            </w:r>
          </w:p>
        </w:tc>
        <w:tc>
          <w:tcPr>
            <w:tcW w:w="5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对当前脱敏的配置进行统计分析展示。</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数据交换管理平台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系统首页</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系统首页主要对今日调度异常流程、今日运行流程总数（次）、接入数据源（个）、总流程数（个）进行展示，包括正在运行的流程、内存使用量、线程使用情况。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主要包括运行中流程、已结束流程、流程调度日记、增量读取日记、流程调试日记、集群服务器。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数据流程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包括测试流程、WJJ_RS两个功能。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数据模型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包括测试主模型、测试次模型、MX_RS功能。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数据校验规则</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包括所有校验规则、长度校验规则、类型校验规则、字段数值校验。</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数据转换规则</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包括所有转换规则、数据补全规则、类型转换规则、数据值转换、数据脱敏规则。</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数据计算规则</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包括所有计算规则、数据集合计算、数据分组计算、数据过滤计算、数据排序计算、数据计算函数。</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数据模拟规则</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包括所有模拟规则、用户数据模拟、字符串数据模拟。</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数据模拟插件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分为所有模拟插件、Excel数据模拟、MQ数据模拟。</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调度策略管理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提供几类调度方式的支持，包括所有调度策略、实时调度策略、每天调度策略、每周调度策略、每月调度策略。</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数据源管理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支持多种数据源类型，例如Oracle、SQL Server、MongoDB、MySql。</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系统设置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包括关于平台、系统设置。主要包括平台版权信息以及平台序列号。主要用于平台参数设置、定时任务设置以及数据字典管理。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用户管理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包括机构管理、部门管理、用户管理、角色管理、权限管理。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菜单管理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菜单管理支持具体功能模块的菜单设置，支持导出和删除功能。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数据质量管理平台</w:t>
            </w:r>
          </w:p>
        </w:tc>
        <w:tc>
          <w:tcPr>
            <w:tcW w:w="6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监控大屏</w:t>
            </w:r>
          </w:p>
        </w:tc>
        <w:tc>
          <w:tcPr>
            <w:tcW w:w="8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监控大屏</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将隐藏在后台的数据信息以简明易懂的可视化表达方式呈现出来，整体展现数据中心的数据质量情况，实时呈现学校数据质量的最新状态。</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流程监控大屏</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以全局、业务系统等多角度来统计分析流程执行情况，实现所有流程的实时监控，保证数据供给稳定。</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系统流程监控</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以业务系统的角度查看相关流程的执行情况和统计，以及展示最近的流程执行分析结果。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流程明细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提供流程的详细明细列表，以及丰富的搜索和筛选条件。</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流程运行日志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展示所有流程运行日志明细，以及丰富的搜索和筛选条件。</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流程调度监控</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以日历的方式展示了所有流程执行的信息。</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数据溯源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流程全链监控，提供强大的数据血缘分析查询能力，为用户实现数据回溯、数据流向关系定位，方便快速异常问题定位，并以元数据与流程结合拓扑图综合展示数据对象全链路情况。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链路告警订阅</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提供某张核心关键表的全链路运行情况监控的告警订阅，当发现当前表涉及到的所有上游流程或下游流程出现异常，对该表的数据产生关键性的影响，即可配置告警订阅，及时把链路问题详情下发到相关负责人。</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流程流量分析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分析所有集成到数据中心、以及从数据中心共享出去的相关时间段的数据量统计，以桑基图的方式呈现。</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质量监控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质量监控首页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从整体呈现数据中心所有已集成的数据的质量情况。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部门质量概况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以部门的角度去展示数据质量得分、核心数据情况、质量改进情况，以及部门的质量改进排名情况。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质量查看</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提供更加详细的系统级别、表级别、字段级的数据质量明细情况、数据核验异常明细。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质量核验</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提供自定义选择系统、规则的方式手动进行数据质量核验，以六大质量维度来评估数据质量并根据维度权重综合计算质量得分，线上生成质量核验报告，并提供数据核验分析详细记录。</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常规规则配置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提供正则、非空、值域、数据范围四个常规质量规则的配置入口，方便用户一体化地配置质量规则、核验数据质量。</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业务监控</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提供多种质量模板规则，以及完全自定义规则，实现全校的业务数据监控，定期地进行数据质量监控，并提供详细的质量告警信息查看、异常数据查看。</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数据地图</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数据地图</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展示全校数据资源概貌和数据全流向监控，包括数据在业务系统、数据中心、数仓及共享应用层的流向，同步展示业务系统集成和共享情况，以及相关数据接口运行正常、异常统计，并支持下钻查看数据接口详情，便于学校信息中心掌握全校数据资产关系的全貌。可按校方要求进行数据展示。</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UC分析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部门UC</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部门UC使用全局数据流向图展示了业务部门与数据中心之间的数据供需情况统计。</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系统UC</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系统UC以关系图的方式呈现业务系统之间的数据流向关系，以及完整的表流向详情。</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UC矩阵</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通过UC矩阵的可视化方式，呈现数据中心的表的产生与使用关系，清晰地展示数据治理过程中各业务系统间数据共享及流程情况。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部门质量报告</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通过数据治理分析当前各部门业务系统现状，充分评估当前学校数据整体质量情况，依据质量规则对数据质量进行综合校验，生成数据质量报告，供领导查看和对外公布。</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系统设置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对平台的基本设置项的配置，包括logo，学校名称等。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对平台用到的相关参数的集中管理和配置。</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告警订阅</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可设置定期以邮件方式推送流程告警、质量告警和质量报告。</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调度策略管理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对平台质量核验告警、流程告警等用到的所有相关调度进行集中式配置和管理。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初始化配置</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在平台初始化过程中提供配置向导，指导如何配置平台关联的相关数据源等维护，分步骤式指导用户配置平台相关的系统参数。</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操作日志</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记录在该平台的操作详情，包括用户账号、浏览器类型、访问IP、登录时间、操作次数、操作详情等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数据整合与清洗服务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数据整合与清洗：对本阶段清洗的应用系统进行数据清洗：完成系统的数据清洗，按照业务模型进行抽取转换清洗入库，构建全量数据中心。</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数据分析工具及综合分析服务建设</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校情概况大屏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从高校的五大基本职能人才培养、科学研究、社会服务、文化传承创新和国际交流合作的视角出发，精选代表性指标，展示宏观层面高校建设情况。</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学生情况大屏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学生情况大屏描述了高校的学生组成结构及学生的在校状态，同时从学生生源质量分析、学生队伍的国际化程度、学生的获奖情况以及学生的毕业就业情况等方面粗颗粒度的展示高校学生队伍的整体素质。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数据分析工具</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数据源管理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Mysql、Oracle、SQL Server、DB2、GBase、PetaBase、Essbase等，同时也支持通过接入其他数据库驱动的方式自定义数据库。</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文件数据源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文件数据源支持excel、DB、txt、csv类型，并支持更新覆盖</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接口数据源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接口数据源支持添加各种API接口，将从接口中传递过来的数据存库</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第三方数据源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支持通过第三方数据源方式创建数据源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数据集管理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创建物理主题表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支持通过数据库表类型、excel、txt、csv、db创建物理主题表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创建接口主题表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支持通过接口创建接口主题表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创建敏捷主题表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支持通过数据库表类型、sql语句类型、excel、txt、csv、db创建敏捷主题表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创建SQL主题表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支持根据SQL语句创建SQL主题表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创建虚拟主题表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支持通过拾取其他主题表字段来创建虚拟主题表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通过ETL处理生成主题表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支持通过聚合、行转列、列转行、表连接生成主题表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多表关联生成新表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支持通过多张主题表关联生成新的主题表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数据预处理-框选生成新主题表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数据预处理时，通过框选数据生成新的主题表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主题表数据查询</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支持对主题表进行数据查询，并支持开启数据预处理操作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数据导出服务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支持对主题表提供打包数据及结构下载功能，并支持批量操作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主题导入服务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支持主题导入，并支持批量导入操作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数据预处理-主题表字段统计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支持数据预处理时，对主题表的字段进行统计，包括：唯一值、最大值、最小值、均值、方差、分布等信息的统计</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数据预处理功能优化</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对查找替换、添加计算列等功能进行优化</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预处理性能优化</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优化数据预处理中撤销、重做、复制、粘贴等操作的性能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批量建模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支持通过数据库表批量创建主题表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支持创建单级维、多级维、通用维、螺旋维，支持维表批量导入导出，维表分组功能</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主题表支持根据视图创建</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根据视图创建主题表，视图预处理不支持编辑，可以查看过滤</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库表中文含义支持</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主题表支持业务含义描述；跨产品；直接读取数据库表时可以看到对应的中文含义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报表分析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报表分析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支持固定报表分析、分组分析、嵌套分组分析、交叉分析、同环比分析、排序分析、预警分析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统计图</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柱状图、线状图、饼图、仪表盘、条形图、点图、面积图、横向面积图、雷达图、气泡图、走势图、散点图、箱线图、K线图、漏斗图、金字塔图、帕累托图、瀑布图、词云图、和炫图、力导向布局图、风险图、自定义曲线、混合类型、人口图、螺旋气泡图、迷你柱状图、迷你堆积图、迷你走势图、迷你进度图、迷你饼环图、迷你占比图、迷你子弹图、H5流向图、H5主干线图、H5双线图、H5渲染图、H5标点图</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地图分析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支持html、flash、图片式地图，也支持gis地图分析，同时也支持自定义平面地图</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多维分析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通过简单的拖拽指标和维度即可完成分析表的制作，完成自助数据分析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dashboard</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可以将一些关键的 KPI 指标简单明了的用图形或仪表盘等形式呈现给领导，可以使用报表模板拥有的所有的数据展现形式，如：表格、富文本、绘图、统计图、GIS 地图、杜邦分析、What-if分析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钻取联动</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提供了十多种钻取联动的方式，快速完成报表间的上钻、下钻、切换、跳转、数据联动等效果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报表参数</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按钮、下拉按钮、滑块、输入框、日期、年月、年、起止日期、勾选框、勾选框组、枚举下拉、维下拉、单位级次下拉框、数据期下拉框、时间滑动轴、自定义滑动轴、扩展时间参数、扩展时间滑动轴等多种参数种类，同时也支持参数间的数值联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报表自适应</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报表支持布局排版，轻松完成不同分辨率下屏幕的报表自适应效果</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sql数据源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支持使用sql数据源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报表定时刷新</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支持报表定时刷新（每隔多长时间自动组件局部刷新）</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跨库分析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初步支持多个数据库跨库分析</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内存计算</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支持通过内存计算提高分析表计算效率</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报表分支</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提供报表分支管理功能，通过分支选择表达式和参数计算，轻松地设置在不同的场合计算和展示不同的报表版本</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历史版本</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支持查看报表历史版本</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门户管理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PC门户</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支持模板或自定义的方式制作PC门户展示分析表</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用户权限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机构用户权限</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机构用户、角色管理、权限审计、库表配置、高级设置、免登陆设置、秘钥管理</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系统公告、系统连接池、备份恢复、资源管理器、外观与主题、公共维表、日志、分析与展现、性能与维护、参数配置等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计划任务</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支持计划任务管理功能，通过配制可以让系统定期自动执行某个功能，如定时计算、定时备份、定时抽数导数、执行脚本等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运营监控</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全方位的运营监控，实时查看平台运行的健康状态，用户访问情况，资源访问情况等</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w:t>
            </w:r>
            <w:r>
              <w:rPr>
                <w:rFonts w:hint="eastAsia" w:ascii="宋体" w:hAnsi="宋体" w:cs="宋体"/>
                <w:i w:val="0"/>
                <w:iCs w:val="0"/>
                <w:color w:val="000000"/>
                <w:kern w:val="0"/>
                <w:sz w:val="20"/>
                <w:szCs w:val="20"/>
                <w:highlight w:val="none"/>
                <w:u w:val="none"/>
                <w:lang w:val="en-US" w:eastAsia="zh-CN" w:bidi="ar"/>
              </w:rPr>
              <w:t>（但不限于）</w:t>
            </w:r>
            <w:r>
              <w:rPr>
                <w:rFonts w:hint="eastAsia" w:ascii="宋体" w:hAnsi="宋体" w:eastAsia="宋体" w:cs="宋体"/>
                <w:i w:val="0"/>
                <w:iCs w:val="0"/>
                <w:color w:val="000000"/>
                <w:kern w:val="0"/>
                <w:sz w:val="20"/>
                <w:szCs w:val="20"/>
                <w:highlight w:val="none"/>
                <w:u w:val="none"/>
                <w:lang w:val="en-US" w:eastAsia="zh-CN" w:bidi="ar"/>
              </w:rPr>
              <w:t>与学院人事、学生、教务、数据中心、诊改平台、数据分析平台、毕业离校系统、统一身份认证、统一门户、一站式办事大厅、一表通、职教云、智慧树、OA办公、</w:t>
            </w:r>
            <w:r>
              <w:rPr>
                <w:rFonts w:hint="eastAsia" w:ascii="宋体" w:hAnsi="宋体" w:cs="宋体"/>
                <w:i w:val="0"/>
                <w:iCs w:val="0"/>
                <w:color w:val="000000"/>
                <w:kern w:val="0"/>
                <w:sz w:val="20"/>
                <w:szCs w:val="20"/>
                <w:highlight w:val="none"/>
                <w:u w:val="none"/>
                <w:lang w:val="en-US" w:eastAsia="zh-CN" w:bidi="ar"/>
              </w:rPr>
              <w:t>工学云</w:t>
            </w:r>
            <w:r>
              <w:rPr>
                <w:rFonts w:hint="eastAsia" w:ascii="宋体" w:hAnsi="宋体" w:eastAsia="宋体" w:cs="宋体"/>
                <w:i w:val="0"/>
                <w:iCs w:val="0"/>
                <w:color w:val="000000"/>
                <w:kern w:val="0"/>
                <w:sz w:val="20"/>
                <w:szCs w:val="20"/>
                <w:highlight w:val="none"/>
                <w:u w:val="none"/>
                <w:lang w:val="en-US" w:eastAsia="zh-CN" w:bidi="ar"/>
              </w:rPr>
              <w:t>、权限中心、消息中心、诊改平台等现有系统进行数据对接</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1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2"/>
                <w:szCs w:val="22"/>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数据服务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宋体" w:cs="宋体"/>
                <w:i w:val="0"/>
                <w:iCs w:val="0"/>
                <w:color w:val="000000"/>
                <w:sz w:val="20"/>
                <w:szCs w:val="20"/>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系统BUG终生免费修复；提供三年</w:t>
            </w:r>
            <w:r>
              <w:rPr>
                <w:rFonts w:hint="eastAsia" w:ascii="宋体" w:hAnsi="宋体" w:cs="宋体"/>
                <w:i w:val="0"/>
                <w:iCs w:val="0"/>
                <w:color w:val="000000"/>
                <w:kern w:val="0"/>
                <w:sz w:val="20"/>
                <w:szCs w:val="20"/>
                <w:highlight w:val="none"/>
                <w:u w:val="none"/>
                <w:lang w:val="en-US" w:eastAsia="zh-CN" w:bidi="ar"/>
              </w:rPr>
              <w:t>（项目验收后三年）</w:t>
            </w:r>
            <w:r>
              <w:rPr>
                <w:rFonts w:hint="eastAsia" w:ascii="宋体" w:hAnsi="宋体" w:eastAsia="宋体" w:cs="宋体"/>
                <w:i w:val="0"/>
                <w:iCs w:val="0"/>
                <w:color w:val="000000"/>
                <w:kern w:val="0"/>
                <w:sz w:val="20"/>
                <w:szCs w:val="20"/>
                <w:highlight w:val="none"/>
                <w:u w:val="none"/>
                <w:lang w:val="en-US" w:eastAsia="zh-CN" w:bidi="ar"/>
              </w:rPr>
              <w:t>不少于</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人的驻场技术服务</w:t>
            </w:r>
            <w:r>
              <w:rPr>
                <w:rFonts w:hint="eastAsia" w:ascii="宋体" w:hAnsi="宋体" w:cs="宋体"/>
                <w:i w:val="0"/>
                <w:iCs w:val="0"/>
                <w:color w:val="000000"/>
                <w:kern w:val="0"/>
                <w:sz w:val="20"/>
                <w:szCs w:val="20"/>
                <w:highlight w:val="none"/>
                <w:u w:val="none"/>
                <w:lang w:val="en-US" w:eastAsia="zh-CN" w:bidi="ar"/>
              </w:rPr>
              <w:t>，同学校职工一同上下班</w:t>
            </w:r>
            <w:r>
              <w:rPr>
                <w:rFonts w:hint="eastAsia" w:ascii="宋体" w:hAnsi="宋体" w:eastAsia="宋体" w:cs="宋体"/>
                <w:i w:val="0"/>
                <w:iCs w:val="0"/>
                <w:color w:val="000000"/>
                <w:kern w:val="0"/>
                <w:sz w:val="20"/>
                <w:szCs w:val="20"/>
                <w:highlight w:val="none"/>
                <w:u w:val="none"/>
                <w:lang w:val="en-US" w:eastAsia="zh-CN" w:bidi="ar"/>
              </w:rPr>
              <w:t>；按学院数据标准对</w:t>
            </w:r>
            <w:r>
              <w:rPr>
                <w:rFonts w:hint="eastAsia" w:ascii="宋体" w:hAnsi="宋体" w:cs="宋体"/>
                <w:i w:val="0"/>
                <w:iCs w:val="0"/>
                <w:color w:val="000000"/>
                <w:kern w:val="0"/>
                <w:sz w:val="20"/>
                <w:szCs w:val="20"/>
                <w:highlight w:val="none"/>
                <w:u w:val="none"/>
                <w:lang w:val="en-US" w:eastAsia="zh-CN" w:bidi="ar"/>
              </w:rPr>
              <w:t>（但不限于）</w:t>
            </w:r>
            <w:r>
              <w:rPr>
                <w:rFonts w:hint="eastAsia" w:ascii="宋体" w:hAnsi="宋体" w:eastAsia="宋体" w:cs="宋体"/>
                <w:i w:val="0"/>
                <w:iCs w:val="0"/>
                <w:color w:val="000000"/>
                <w:kern w:val="0"/>
                <w:sz w:val="20"/>
                <w:szCs w:val="20"/>
                <w:highlight w:val="none"/>
                <w:u w:val="none"/>
                <w:lang w:val="en-US" w:eastAsia="zh-CN" w:bidi="ar"/>
              </w:rPr>
              <w:t>人事、教务、学工、</w:t>
            </w:r>
            <w:r>
              <w:rPr>
                <w:rFonts w:hint="eastAsia" w:ascii="宋体" w:hAnsi="宋体" w:cs="宋体"/>
                <w:i w:val="0"/>
                <w:iCs w:val="0"/>
                <w:color w:val="000000"/>
                <w:kern w:val="0"/>
                <w:sz w:val="20"/>
                <w:szCs w:val="20"/>
                <w:highlight w:val="none"/>
                <w:u w:val="none"/>
                <w:lang w:val="en-US" w:eastAsia="zh-CN" w:bidi="ar"/>
              </w:rPr>
              <w:t>工学云</w:t>
            </w:r>
            <w:r>
              <w:rPr>
                <w:rFonts w:hint="eastAsia" w:ascii="宋体" w:hAnsi="宋体" w:eastAsia="宋体" w:cs="宋体"/>
                <w:i w:val="0"/>
                <w:iCs w:val="0"/>
                <w:color w:val="000000"/>
                <w:kern w:val="0"/>
                <w:sz w:val="20"/>
                <w:szCs w:val="20"/>
                <w:highlight w:val="none"/>
                <w:u w:val="none"/>
                <w:lang w:val="en-US" w:eastAsia="zh-CN" w:bidi="ar"/>
              </w:rPr>
              <w:t>、财务等数据源系统所有字段进行数据标准化；对接教育部人才状态数据采集平台，实现数据自动获取；对接教育部智慧教育平台等；</w:t>
            </w:r>
            <w:r>
              <w:rPr>
                <w:rFonts w:hint="eastAsia" w:ascii="宋体" w:hAnsi="宋体" w:cs="宋体"/>
                <w:i w:val="0"/>
                <w:iCs w:val="0"/>
                <w:color w:val="000000"/>
                <w:kern w:val="0"/>
                <w:sz w:val="20"/>
                <w:szCs w:val="20"/>
                <w:highlight w:val="none"/>
                <w:u w:val="none"/>
                <w:lang w:val="en-US" w:eastAsia="zh-CN" w:bidi="ar"/>
              </w:rPr>
              <w:t>厅局级</w:t>
            </w:r>
            <w:r>
              <w:rPr>
                <w:rFonts w:hint="eastAsia" w:ascii="宋体" w:hAnsi="宋体" w:eastAsia="宋体" w:cs="宋体"/>
                <w:i w:val="0"/>
                <w:iCs w:val="0"/>
                <w:color w:val="000000"/>
                <w:kern w:val="0"/>
                <w:sz w:val="20"/>
                <w:szCs w:val="20"/>
                <w:highlight w:val="none"/>
                <w:u w:val="none"/>
                <w:lang w:val="en-US" w:eastAsia="zh-CN" w:bidi="ar"/>
              </w:rPr>
              <w:t>课题支持，提供标准数据接口，配合完成数字校园试点校工作。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提供全业务数据字典和数据接口。</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bl>
    <w:p>
      <w:pPr>
        <w:pStyle w:val="3"/>
        <w:numPr>
          <w:ilvl w:val="0"/>
          <w:numId w:val="0"/>
        </w:numPr>
        <w:spacing w:line="240" w:lineRule="auto"/>
        <w:ind w:leftChars="0"/>
        <w:jc w:val="center"/>
        <w:rPr>
          <w:rFonts w:hint="eastAsia" w:asciiTheme="minorEastAsia" w:hAnsiTheme="minorEastAsia" w:eastAsiaTheme="minorEastAsia" w:cstheme="minorEastAsia"/>
          <w:i w:val="0"/>
          <w:iCs w:val="0"/>
          <w:color w:val="auto"/>
          <w:sz w:val="32"/>
          <w:szCs w:val="32"/>
          <w:highlight w:val="none"/>
        </w:rPr>
      </w:pPr>
    </w:p>
    <w:p>
      <w:pPr>
        <w:rPr>
          <w:rFonts w:hint="eastAsia"/>
        </w:rPr>
      </w:pPr>
    </w:p>
    <w:bookmarkEnd w:id="54"/>
    <w:p>
      <w:pPr>
        <w:spacing w:line="276" w:lineRule="auto"/>
        <w:rPr>
          <w:rFonts w:ascii="宋体" w:hAnsi="宋体" w:eastAsia="宋体"/>
          <w:color w:val="auto"/>
          <w:highlight w:val="none"/>
        </w:rPr>
      </w:pPr>
      <w:bookmarkStart w:id="64" w:name="_Toc184314441"/>
      <w:bookmarkEnd w:id="64"/>
      <w:bookmarkStart w:id="65" w:name="_Toc184308106"/>
      <w:bookmarkEnd w:id="65"/>
      <w:bookmarkStart w:id="66" w:name="_Toc184308077"/>
      <w:bookmarkEnd w:id="66"/>
      <w:bookmarkStart w:id="67" w:name="_Toc184313256"/>
      <w:bookmarkEnd w:id="67"/>
      <w:bookmarkStart w:id="68" w:name="_Toc184312069"/>
      <w:bookmarkEnd w:id="68"/>
      <w:bookmarkStart w:id="69" w:name="_Toc184313308"/>
      <w:bookmarkEnd w:id="69"/>
      <w:bookmarkStart w:id="70" w:name="_Toc184312127"/>
      <w:bookmarkEnd w:id="70"/>
      <w:bookmarkStart w:id="71" w:name="_Toc184310302"/>
      <w:bookmarkEnd w:id="71"/>
      <w:bookmarkStart w:id="72" w:name="_Toc184308052"/>
      <w:bookmarkEnd w:id="72"/>
      <w:bookmarkStart w:id="73" w:name="_Toc184308058"/>
      <w:bookmarkEnd w:id="73"/>
      <w:bookmarkStart w:id="74" w:name="_Toc184312088"/>
      <w:bookmarkEnd w:id="74"/>
      <w:bookmarkStart w:id="75" w:name="_Toc184308090"/>
      <w:bookmarkEnd w:id="75"/>
      <w:bookmarkStart w:id="76" w:name="_Toc184314413"/>
      <w:bookmarkEnd w:id="76"/>
      <w:bookmarkStart w:id="77" w:name="_Toc184308081"/>
      <w:bookmarkEnd w:id="77"/>
      <w:bookmarkStart w:id="78" w:name="_Toc184312126"/>
      <w:bookmarkEnd w:id="78"/>
      <w:bookmarkStart w:id="79" w:name="_Toc184313292"/>
      <w:bookmarkEnd w:id="79"/>
      <w:bookmarkStart w:id="80" w:name="_Toc184313289"/>
      <w:bookmarkEnd w:id="80"/>
      <w:bookmarkStart w:id="81" w:name="_Toc184312079"/>
      <w:bookmarkEnd w:id="81"/>
      <w:bookmarkStart w:id="82" w:name="_Toc184313257"/>
      <w:bookmarkEnd w:id="82"/>
      <w:bookmarkStart w:id="83" w:name="_Toc184310303"/>
      <w:bookmarkEnd w:id="83"/>
      <w:bookmarkStart w:id="84" w:name="_Toc184312086"/>
      <w:bookmarkEnd w:id="84"/>
      <w:bookmarkStart w:id="85" w:name="_Toc184310315"/>
      <w:bookmarkEnd w:id="85"/>
      <w:bookmarkStart w:id="86" w:name="_Toc184313294"/>
      <w:bookmarkEnd w:id="86"/>
      <w:bookmarkStart w:id="87" w:name="_Toc184314456"/>
      <w:bookmarkEnd w:id="87"/>
      <w:bookmarkStart w:id="88" w:name="_Toc184308042"/>
      <w:bookmarkEnd w:id="88"/>
      <w:bookmarkStart w:id="89" w:name="_Toc184312097"/>
      <w:bookmarkEnd w:id="89"/>
      <w:bookmarkStart w:id="90" w:name="_Toc184308050"/>
      <w:bookmarkEnd w:id="90"/>
      <w:bookmarkStart w:id="91" w:name="_Toc184312117"/>
      <w:bookmarkEnd w:id="91"/>
      <w:bookmarkStart w:id="92" w:name="_Toc184313307"/>
      <w:bookmarkEnd w:id="92"/>
      <w:bookmarkStart w:id="93" w:name="_Toc184310273"/>
      <w:bookmarkEnd w:id="93"/>
      <w:bookmarkStart w:id="94" w:name="_Toc184310284"/>
      <w:bookmarkEnd w:id="94"/>
      <w:bookmarkStart w:id="95" w:name="_Toc184308091"/>
      <w:bookmarkEnd w:id="95"/>
      <w:bookmarkStart w:id="96" w:name="_Toc184313270"/>
      <w:bookmarkEnd w:id="96"/>
      <w:bookmarkStart w:id="97" w:name="_Toc184310304"/>
      <w:bookmarkEnd w:id="97"/>
      <w:bookmarkStart w:id="98" w:name="_Toc184308092"/>
      <w:bookmarkEnd w:id="98"/>
      <w:bookmarkStart w:id="99" w:name="_Toc184310336"/>
      <w:bookmarkEnd w:id="99"/>
      <w:bookmarkStart w:id="100" w:name="_Toc184313286"/>
      <w:bookmarkEnd w:id="100"/>
      <w:bookmarkStart w:id="101" w:name="_Toc184308073"/>
      <w:bookmarkEnd w:id="101"/>
      <w:bookmarkStart w:id="102" w:name="_Toc184310320"/>
      <w:bookmarkEnd w:id="102"/>
      <w:bookmarkStart w:id="103" w:name="_Toc184314445"/>
      <w:bookmarkEnd w:id="103"/>
      <w:bookmarkStart w:id="104" w:name="_Toc184314437"/>
      <w:bookmarkEnd w:id="104"/>
      <w:bookmarkStart w:id="105" w:name="_Toc184308098"/>
      <w:bookmarkEnd w:id="105"/>
      <w:bookmarkStart w:id="106" w:name="_Toc184308041"/>
      <w:bookmarkEnd w:id="106"/>
      <w:bookmarkStart w:id="107" w:name="_Toc184313250"/>
      <w:bookmarkEnd w:id="107"/>
      <w:bookmarkStart w:id="108" w:name="_Toc184314482"/>
      <w:bookmarkEnd w:id="108"/>
      <w:bookmarkStart w:id="109" w:name="_Toc184314479"/>
      <w:bookmarkEnd w:id="109"/>
      <w:bookmarkStart w:id="110" w:name="_Toc184312083"/>
      <w:bookmarkEnd w:id="110"/>
      <w:bookmarkStart w:id="111" w:name="_Toc184314435"/>
      <w:bookmarkEnd w:id="111"/>
      <w:bookmarkStart w:id="112" w:name="_Toc184312108"/>
      <w:bookmarkEnd w:id="112"/>
      <w:bookmarkStart w:id="113" w:name="_Toc184308108"/>
      <w:bookmarkEnd w:id="113"/>
      <w:bookmarkStart w:id="114" w:name="_Toc184314421"/>
      <w:bookmarkEnd w:id="114"/>
      <w:bookmarkStart w:id="115" w:name="_Toc184308037"/>
      <w:bookmarkEnd w:id="115"/>
      <w:bookmarkStart w:id="116" w:name="_Toc184308079"/>
      <w:bookmarkEnd w:id="116"/>
      <w:bookmarkStart w:id="117" w:name="_Toc184314412"/>
      <w:bookmarkEnd w:id="117"/>
      <w:bookmarkStart w:id="118" w:name="_Toc184310272"/>
      <w:bookmarkEnd w:id="118"/>
      <w:bookmarkStart w:id="119" w:name="_Toc184310279"/>
      <w:bookmarkEnd w:id="119"/>
      <w:bookmarkStart w:id="120" w:name="_Toc184310299"/>
      <w:bookmarkEnd w:id="120"/>
      <w:bookmarkStart w:id="121" w:name="_Toc184310294"/>
      <w:bookmarkEnd w:id="121"/>
      <w:bookmarkStart w:id="122" w:name="_Toc184314414"/>
      <w:bookmarkEnd w:id="122"/>
      <w:bookmarkStart w:id="123" w:name="_Toc184310331"/>
      <w:bookmarkEnd w:id="123"/>
      <w:bookmarkStart w:id="124" w:name="_Toc184310280"/>
      <w:bookmarkEnd w:id="124"/>
      <w:bookmarkStart w:id="125" w:name="_Toc184314417"/>
      <w:bookmarkEnd w:id="125"/>
      <w:bookmarkStart w:id="126" w:name="_Toc184312118"/>
      <w:bookmarkEnd w:id="126"/>
      <w:bookmarkStart w:id="127" w:name="_Toc184314451"/>
      <w:bookmarkEnd w:id="127"/>
      <w:bookmarkStart w:id="128" w:name="_Toc184312073"/>
      <w:bookmarkEnd w:id="128"/>
      <w:bookmarkStart w:id="129" w:name="_Toc184312074"/>
      <w:bookmarkEnd w:id="129"/>
      <w:bookmarkStart w:id="130" w:name="_Toc184310314"/>
      <w:bookmarkEnd w:id="130"/>
      <w:bookmarkStart w:id="131" w:name="_Toc184310309"/>
      <w:bookmarkEnd w:id="131"/>
      <w:bookmarkStart w:id="132" w:name="_Toc184308067"/>
      <w:bookmarkEnd w:id="132"/>
      <w:bookmarkStart w:id="133" w:name="_Toc184308036"/>
      <w:bookmarkEnd w:id="133"/>
      <w:bookmarkStart w:id="134" w:name="_Toc184310319"/>
      <w:bookmarkEnd w:id="134"/>
      <w:bookmarkStart w:id="135" w:name="_Toc184313274"/>
      <w:bookmarkEnd w:id="135"/>
      <w:bookmarkStart w:id="136" w:name="_Toc184314466"/>
      <w:bookmarkEnd w:id="136"/>
      <w:bookmarkStart w:id="137" w:name="_Toc184308105"/>
      <w:bookmarkEnd w:id="137"/>
      <w:bookmarkStart w:id="138" w:name="_Toc184310277"/>
      <w:bookmarkEnd w:id="138"/>
      <w:bookmarkStart w:id="139" w:name="_Toc184312089"/>
      <w:bookmarkEnd w:id="139"/>
      <w:bookmarkStart w:id="140" w:name="_Toc184312136"/>
      <w:bookmarkEnd w:id="140"/>
      <w:bookmarkStart w:id="141" w:name="_Toc184313279"/>
      <w:bookmarkEnd w:id="141"/>
      <w:bookmarkStart w:id="142" w:name="_Toc184312094"/>
      <w:bookmarkEnd w:id="142"/>
      <w:bookmarkStart w:id="143" w:name="_Toc184308088"/>
      <w:bookmarkEnd w:id="143"/>
      <w:bookmarkStart w:id="144" w:name="_Toc184314416"/>
      <w:bookmarkEnd w:id="144"/>
      <w:bookmarkStart w:id="145" w:name="_Toc184310282"/>
      <w:bookmarkEnd w:id="145"/>
      <w:bookmarkStart w:id="146" w:name="_Toc184314422"/>
      <w:bookmarkEnd w:id="146"/>
      <w:bookmarkStart w:id="147" w:name="_Toc184310339"/>
      <w:bookmarkEnd w:id="147"/>
      <w:bookmarkStart w:id="148" w:name="_Toc184314411"/>
      <w:bookmarkEnd w:id="148"/>
      <w:bookmarkStart w:id="149" w:name="_Toc184310297"/>
      <w:bookmarkEnd w:id="149"/>
      <w:bookmarkStart w:id="150" w:name="_Toc184314415"/>
      <w:bookmarkEnd w:id="150"/>
      <w:bookmarkStart w:id="151" w:name="_Toc184313267"/>
      <w:bookmarkEnd w:id="151"/>
      <w:bookmarkStart w:id="152" w:name="_Toc184314430"/>
      <w:bookmarkEnd w:id="152"/>
      <w:bookmarkStart w:id="153" w:name="_Toc184310325"/>
      <w:bookmarkEnd w:id="153"/>
      <w:bookmarkStart w:id="154" w:name="_Toc184310312"/>
      <w:bookmarkEnd w:id="154"/>
      <w:bookmarkStart w:id="155" w:name="_Toc184313275"/>
      <w:bookmarkEnd w:id="155"/>
      <w:bookmarkStart w:id="156" w:name="_Toc184312105"/>
      <w:bookmarkEnd w:id="156"/>
      <w:bookmarkStart w:id="157" w:name="_Toc184313290"/>
      <w:bookmarkEnd w:id="157"/>
      <w:bookmarkStart w:id="158" w:name="_Toc184308059"/>
      <w:bookmarkEnd w:id="158"/>
      <w:bookmarkStart w:id="159" w:name="_Toc184310278"/>
      <w:bookmarkEnd w:id="159"/>
      <w:bookmarkStart w:id="160" w:name="_Toc184312123"/>
      <w:bookmarkEnd w:id="160"/>
      <w:bookmarkStart w:id="161" w:name="_Toc184314439"/>
      <w:bookmarkEnd w:id="161"/>
      <w:bookmarkStart w:id="162" w:name="_Toc184313291"/>
      <w:bookmarkEnd w:id="162"/>
      <w:bookmarkStart w:id="163" w:name="_Toc184313239"/>
      <w:bookmarkEnd w:id="163"/>
      <w:bookmarkStart w:id="164" w:name="_Toc184313298"/>
      <w:bookmarkEnd w:id="164"/>
      <w:bookmarkStart w:id="165" w:name="_Toc184312076"/>
      <w:bookmarkEnd w:id="165"/>
      <w:bookmarkStart w:id="166" w:name="_Toc184312125"/>
      <w:bookmarkEnd w:id="166"/>
      <w:bookmarkStart w:id="167" w:name="_Toc184314438"/>
      <w:bookmarkEnd w:id="167"/>
      <w:bookmarkStart w:id="168" w:name="_Toc184312080"/>
      <w:bookmarkEnd w:id="168"/>
      <w:bookmarkStart w:id="169" w:name="_Toc184313246"/>
      <w:bookmarkEnd w:id="169"/>
      <w:bookmarkStart w:id="170" w:name="_Toc184310332"/>
      <w:bookmarkEnd w:id="170"/>
      <w:bookmarkStart w:id="171" w:name="_Toc184312109"/>
      <w:bookmarkEnd w:id="171"/>
      <w:bookmarkStart w:id="172" w:name="_Toc184310343"/>
      <w:bookmarkEnd w:id="172"/>
      <w:bookmarkStart w:id="173" w:name="_Toc184314431"/>
      <w:bookmarkEnd w:id="173"/>
      <w:bookmarkStart w:id="174" w:name="_Toc184314462"/>
      <w:bookmarkEnd w:id="174"/>
      <w:bookmarkStart w:id="175" w:name="_Toc184308057"/>
      <w:bookmarkEnd w:id="175"/>
      <w:bookmarkStart w:id="176" w:name="_Toc184314477"/>
      <w:bookmarkEnd w:id="176"/>
      <w:bookmarkStart w:id="177" w:name="_Toc184313293"/>
      <w:bookmarkEnd w:id="177"/>
      <w:bookmarkStart w:id="178" w:name="_Toc184308068"/>
      <w:bookmarkEnd w:id="178"/>
      <w:bookmarkStart w:id="179" w:name="_Toc184313280"/>
      <w:bookmarkEnd w:id="179"/>
      <w:bookmarkStart w:id="180" w:name="_Toc184312087"/>
      <w:bookmarkEnd w:id="180"/>
      <w:bookmarkStart w:id="181" w:name="_Toc184312093"/>
      <w:bookmarkEnd w:id="181"/>
      <w:bookmarkStart w:id="182" w:name="_Toc184310318"/>
      <w:bookmarkEnd w:id="182"/>
      <w:bookmarkStart w:id="183" w:name="_Toc184314459"/>
      <w:bookmarkEnd w:id="183"/>
      <w:bookmarkStart w:id="184" w:name="_Toc184310274"/>
      <w:bookmarkEnd w:id="184"/>
      <w:bookmarkStart w:id="185" w:name="_Toc184313264"/>
      <w:bookmarkEnd w:id="185"/>
      <w:bookmarkStart w:id="186" w:name="_Toc184312121"/>
      <w:bookmarkEnd w:id="186"/>
      <w:bookmarkStart w:id="187" w:name="_Toc184308049"/>
      <w:bookmarkEnd w:id="187"/>
      <w:bookmarkStart w:id="188" w:name="_Toc184313269"/>
      <w:bookmarkEnd w:id="188"/>
      <w:bookmarkStart w:id="189" w:name="_Toc184314469"/>
      <w:bookmarkEnd w:id="189"/>
      <w:bookmarkStart w:id="190" w:name="_Toc184308086"/>
      <w:bookmarkEnd w:id="190"/>
      <w:bookmarkStart w:id="191" w:name="_Toc184313302"/>
      <w:bookmarkEnd w:id="191"/>
      <w:bookmarkStart w:id="192" w:name="_Toc184312139"/>
      <w:bookmarkEnd w:id="192"/>
      <w:bookmarkStart w:id="193" w:name="_Toc184308051"/>
      <w:bookmarkEnd w:id="193"/>
      <w:bookmarkStart w:id="194" w:name="_Toc184312129"/>
      <w:bookmarkEnd w:id="194"/>
      <w:bookmarkStart w:id="195" w:name="_Toc184312099"/>
      <w:bookmarkEnd w:id="195"/>
      <w:bookmarkStart w:id="196" w:name="_Toc184308107"/>
      <w:bookmarkEnd w:id="196"/>
      <w:bookmarkStart w:id="197" w:name="_Toc184314453"/>
      <w:bookmarkEnd w:id="197"/>
      <w:bookmarkStart w:id="198" w:name="_Toc184310326"/>
      <w:bookmarkEnd w:id="198"/>
      <w:bookmarkStart w:id="199" w:name="_Toc184310300"/>
      <w:bookmarkEnd w:id="199"/>
      <w:bookmarkStart w:id="200" w:name="_Toc184308095"/>
      <w:bookmarkEnd w:id="200"/>
      <w:bookmarkStart w:id="201" w:name="_Toc184312098"/>
      <w:bookmarkEnd w:id="201"/>
      <w:bookmarkStart w:id="202" w:name="_Toc184313283"/>
      <w:bookmarkEnd w:id="202"/>
      <w:bookmarkStart w:id="203" w:name="_Toc184313241"/>
      <w:bookmarkEnd w:id="203"/>
      <w:bookmarkStart w:id="204" w:name="_Toc184308039"/>
      <w:bookmarkEnd w:id="204"/>
      <w:bookmarkStart w:id="205" w:name="_Toc184308089"/>
      <w:bookmarkEnd w:id="205"/>
      <w:bookmarkStart w:id="206" w:name="_Toc184313240"/>
      <w:bookmarkEnd w:id="206"/>
      <w:bookmarkStart w:id="207" w:name="_Toc184308082"/>
      <w:bookmarkEnd w:id="207"/>
      <w:bookmarkStart w:id="208" w:name="_Toc184310306"/>
      <w:bookmarkEnd w:id="208"/>
      <w:bookmarkStart w:id="209" w:name="_Toc184308066"/>
      <w:bookmarkEnd w:id="209"/>
      <w:bookmarkStart w:id="210" w:name="_Toc184308094"/>
      <w:bookmarkEnd w:id="210"/>
      <w:bookmarkStart w:id="211" w:name="_Toc184308083"/>
      <w:bookmarkEnd w:id="211"/>
      <w:bookmarkStart w:id="212" w:name="_Toc184313295"/>
      <w:bookmarkEnd w:id="212"/>
      <w:bookmarkStart w:id="213" w:name="_Toc184308065"/>
      <w:bookmarkEnd w:id="213"/>
      <w:bookmarkStart w:id="214" w:name="_Toc184313245"/>
      <w:bookmarkEnd w:id="214"/>
      <w:bookmarkStart w:id="215" w:name="_Toc184308103"/>
      <w:bookmarkEnd w:id="215"/>
      <w:bookmarkStart w:id="216" w:name="_Toc184312131"/>
      <w:bookmarkEnd w:id="216"/>
      <w:bookmarkStart w:id="217" w:name="_Toc184314436"/>
      <w:bookmarkEnd w:id="217"/>
      <w:bookmarkStart w:id="218" w:name="_Toc184313277"/>
      <w:bookmarkEnd w:id="218"/>
      <w:bookmarkStart w:id="219" w:name="_Toc184313260"/>
      <w:bookmarkEnd w:id="219"/>
      <w:bookmarkStart w:id="220" w:name="_Toc184308071"/>
      <w:bookmarkEnd w:id="220"/>
      <w:bookmarkStart w:id="221" w:name="_Toc184312071"/>
      <w:bookmarkEnd w:id="221"/>
      <w:bookmarkStart w:id="222" w:name="_Toc184310311"/>
      <w:bookmarkEnd w:id="222"/>
      <w:bookmarkStart w:id="223" w:name="_Toc184308078"/>
      <w:bookmarkEnd w:id="223"/>
      <w:bookmarkStart w:id="224" w:name="_Toc184310307"/>
      <w:bookmarkEnd w:id="224"/>
      <w:bookmarkStart w:id="225" w:name="_Toc184310286"/>
      <w:bookmarkEnd w:id="225"/>
      <w:bookmarkStart w:id="226" w:name="_Toc184314444"/>
      <w:bookmarkEnd w:id="226"/>
      <w:bookmarkStart w:id="227" w:name="_Toc184312113"/>
      <w:bookmarkEnd w:id="227"/>
      <w:bookmarkStart w:id="228" w:name="_Toc184313266"/>
      <w:bookmarkEnd w:id="228"/>
      <w:bookmarkStart w:id="229" w:name="_Toc184313268"/>
      <w:bookmarkEnd w:id="229"/>
      <w:bookmarkStart w:id="230" w:name="_Toc184310341"/>
      <w:bookmarkEnd w:id="230"/>
      <w:bookmarkStart w:id="231" w:name="_Toc184310289"/>
      <w:bookmarkEnd w:id="231"/>
      <w:bookmarkStart w:id="232" w:name="_Toc184313249"/>
      <w:bookmarkEnd w:id="232"/>
      <w:bookmarkStart w:id="233" w:name="_Toc184313254"/>
      <w:bookmarkEnd w:id="233"/>
      <w:bookmarkStart w:id="234" w:name="_Toc184312095"/>
      <w:bookmarkEnd w:id="234"/>
      <w:bookmarkStart w:id="235" w:name="_Toc184314475"/>
      <w:bookmarkEnd w:id="235"/>
      <w:bookmarkStart w:id="236" w:name="_Toc184312135"/>
      <w:bookmarkEnd w:id="236"/>
      <w:bookmarkStart w:id="237" w:name="_Toc184308064"/>
      <w:bookmarkEnd w:id="237"/>
      <w:bookmarkStart w:id="238" w:name="_Toc184314467"/>
      <w:bookmarkEnd w:id="238"/>
      <w:bookmarkStart w:id="239" w:name="_Toc184314410"/>
      <w:bookmarkEnd w:id="239"/>
      <w:bookmarkStart w:id="240" w:name="_Toc184314442"/>
      <w:bookmarkEnd w:id="240"/>
      <w:bookmarkStart w:id="241" w:name="_Toc184314425"/>
      <w:bookmarkEnd w:id="241"/>
      <w:bookmarkStart w:id="242" w:name="_Toc184313243"/>
      <w:bookmarkEnd w:id="242"/>
      <w:bookmarkStart w:id="243" w:name="_Toc184308102"/>
      <w:bookmarkEnd w:id="243"/>
      <w:bookmarkStart w:id="244" w:name="_Toc184308045"/>
      <w:bookmarkEnd w:id="244"/>
      <w:bookmarkStart w:id="245" w:name="_Toc184314454"/>
      <w:bookmarkEnd w:id="245"/>
      <w:bookmarkStart w:id="246" w:name="_Toc184308072"/>
      <w:bookmarkEnd w:id="246"/>
      <w:bookmarkStart w:id="247" w:name="_Toc184310305"/>
      <w:bookmarkEnd w:id="247"/>
      <w:bookmarkStart w:id="248" w:name="_Toc184313303"/>
      <w:bookmarkEnd w:id="248"/>
      <w:bookmarkStart w:id="249" w:name="_Toc184308048"/>
      <w:bookmarkEnd w:id="249"/>
      <w:bookmarkStart w:id="250" w:name="_Toc184314447"/>
      <w:bookmarkEnd w:id="250"/>
      <w:bookmarkStart w:id="251" w:name="_Toc184314440"/>
      <w:bookmarkEnd w:id="251"/>
      <w:bookmarkStart w:id="252" w:name="_Toc184312114"/>
      <w:bookmarkEnd w:id="252"/>
      <w:bookmarkStart w:id="253" w:name="_Toc184313242"/>
      <w:bookmarkEnd w:id="253"/>
      <w:bookmarkStart w:id="254" w:name="_Toc184312120"/>
      <w:bookmarkEnd w:id="254"/>
      <w:bookmarkStart w:id="255" w:name="_Toc184312068"/>
      <w:bookmarkEnd w:id="255"/>
      <w:bookmarkStart w:id="256" w:name="_Toc184310313"/>
      <w:bookmarkEnd w:id="256"/>
      <w:bookmarkStart w:id="257" w:name="_Toc184312081"/>
      <w:bookmarkEnd w:id="257"/>
      <w:bookmarkStart w:id="258" w:name="_Toc184310324"/>
      <w:bookmarkEnd w:id="258"/>
      <w:bookmarkStart w:id="259" w:name="_Toc184310330"/>
      <w:bookmarkEnd w:id="259"/>
      <w:bookmarkStart w:id="260" w:name="_Toc184312103"/>
      <w:bookmarkEnd w:id="260"/>
      <w:bookmarkStart w:id="261" w:name="_Toc184312075"/>
      <w:bookmarkEnd w:id="261"/>
      <w:bookmarkStart w:id="262" w:name="_Toc184312102"/>
      <w:bookmarkEnd w:id="262"/>
      <w:bookmarkStart w:id="263" w:name="_Toc184308074"/>
      <w:bookmarkEnd w:id="263"/>
      <w:bookmarkStart w:id="264" w:name="_Toc184310308"/>
      <w:bookmarkEnd w:id="264"/>
      <w:bookmarkStart w:id="265" w:name="_Toc184308093"/>
      <w:bookmarkEnd w:id="265"/>
      <w:bookmarkStart w:id="266" w:name="_Toc184310328"/>
      <w:bookmarkEnd w:id="266"/>
      <w:bookmarkStart w:id="267" w:name="_Toc184312100"/>
      <w:bookmarkEnd w:id="267"/>
      <w:bookmarkStart w:id="268" w:name="_Toc184313284"/>
      <w:bookmarkEnd w:id="268"/>
      <w:bookmarkStart w:id="269" w:name="_Toc184312072"/>
      <w:bookmarkEnd w:id="269"/>
      <w:bookmarkStart w:id="270" w:name="_Toc184313273"/>
      <w:bookmarkEnd w:id="270"/>
      <w:bookmarkStart w:id="271" w:name="_Toc184312101"/>
      <w:bookmarkEnd w:id="271"/>
      <w:bookmarkStart w:id="272" w:name="_Toc184314419"/>
      <w:bookmarkEnd w:id="272"/>
      <w:bookmarkStart w:id="273" w:name="_Toc184314434"/>
      <w:bookmarkEnd w:id="273"/>
      <w:bookmarkStart w:id="274" w:name="_Toc184310283"/>
      <w:bookmarkEnd w:id="274"/>
      <w:bookmarkStart w:id="275" w:name="_Toc184312138"/>
      <w:bookmarkEnd w:id="275"/>
      <w:bookmarkStart w:id="276" w:name="_Toc184312133"/>
      <w:bookmarkEnd w:id="276"/>
      <w:bookmarkStart w:id="277" w:name="_Toc184314420"/>
      <w:bookmarkEnd w:id="277"/>
      <w:bookmarkStart w:id="278" w:name="_Toc184312137"/>
      <w:bookmarkEnd w:id="278"/>
      <w:bookmarkStart w:id="279" w:name="_Toc184308070"/>
      <w:bookmarkEnd w:id="279"/>
      <w:bookmarkStart w:id="280" w:name="_Toc184310327"/>
      <w:bookmarkEnd w:id="280"/>
      <w:bookmarkStart w:id="281" w:name="_Toc184312119"/>
      <w:bookmarkEnd w:id="281"/>
      <w:bookmarkStart w:id="282" w:name="_Toc184308044"/>
      <w:bookmarkEnd w:id="282"/>
      <w:bookmarkStart w:id="283" w:name="_Toc184312078"/>
      <w:bookmarkEnd w:id="283"/>
      <w:bookmarkStart w:id="284" w:name="_Toc184313252"/>
      <w:bookmarkEnd w:id="284"/>
      <w:bookmarkStart w:id="285" w:name="_Toc184314423"/>
      <w:bookmarkEnd w:id="285"/>
      <w:bookmarkStart w:id="286" w:name="_Toc184314443"/>
      <w:bookmarkEnd w:id="286"/>
      <w:bookmarkStart w:id="287" w:name="_Toc184310329"/>
      <w:bookmarkEnd w:id="287"/>
      <w:bookmarkStart w:id="288" w:name="_Toc184314426"/>
      <w:bookmarkEnd w:id="288"/>
      <w:bookmarkStart w:id="289" w:name="_Toc184313310"/>
      <w:bookmarkEnd w:id="289"/>
      <w:bookmarkStart w:id="290" w:name="_Toc184310322"/>
      <w:bookmarkEnd w:id="290"/>
      <w:bookmarkStart w:id="291" w:name="_Toc184310342"/>
      <w:bookmarkEnd w:id="291"/>
      <w:bookmarkStart w:id="292" w:name="_Toc184308069"/>
      <w:bookmarkEnd w:id="292"/>
      <w:bookmarkStart w:id="293" w:name="_Toc184314465"/>
      <w:bookmarkEnd w:id="293"/>
      <w:bookmarkStart w:id="294" w:name="_Toc184310301"/>
      <w:bookmarkEnd w:id="294"/>
      <w:bookmarkStart w:id="295" w:name="_Toc184313263"/>
      <w:bookmarkEnd w:id="295"/>
      <w:bookmarkStart w:id="296" w:name="_Toc184314468"/>
      <w:bookmarkEnd w:id="296"/>
      <w:bookmarkStart w:id="297" w:name="_Toc184314418"/>
      <w:bookmarkEnd w:id="297"/>
      <w:bookmarkStart w:id="298" w:name="_Toc184310338"/>
      <w:bookmarkEnd w:id="298"/>
      <w:bookmarkStart w:id="299" w:name="_Toc184314452"/>
      <w:bookmarkEnd w:id="299"/>
      <w:bookmarkStart w:id="300" w:name="_Toc184313244"/>
      <w:bookmarkEnd w:id="300"/>
      <w:bookmarkStart w:id="301" w:name="_Toc184314429"/>
      <w:bookmarkEnd w:id="301"/>
      <w:bookmarkStart w:id="302" w:name="第四部分"/>
      <w:bookmarkEnd w:id="302"/>
      <w:bookmarkStart w:id="303" w:name="_Toc184310281"/>
      <w:bookmarkEnd w:id="303"/>
      <w:bookmarkStart w:id="304" w:name="_Toc184308100"/>
      <w:bookmarkEnd w:id="304"/>
      <w:bookmarkStart w:id="305" w:name="_Toc184312085"/>
      <w:bookmarkEnd w:id="305"/>
      <w:bookmarkStart w:id="306" w:name="_Toc184308085"/>
      <w:bookmarkEnd w:id="306"/>
      <w:bookmarkStart w:id="307" w:name="_Toc184308047"/>
      <w:bookmarkEnd w:id="307"/>
      <w:bookmarkStart w:id="308" w:name="_Toc184312116"/>
      <w:bookmarkEnd w:id="308"/>
      <w:bookmarkStart w:id="309" w:name="_Toc184314427"/>
      <w:bookmarkEnd w:id="309"/>
      <w:bookmarkStart w:id="310" w:name="_Toc184312070"/>
      <w:bookmarkEnd w:id="310"/>
      <w:bookmarkStart w:id="311" w:name="_Toc184310344"/>
      <w:bookmarkEnd w:id="311"/>
      <w:bookmarkStart w:id="312" w:name="_Toc184310298"/>
      <w:bookmarkEnd w:id="312"/>
      <w:bookmarkStart w:id="313" w:name="_Toc184312115"/>
      <w:bookmarkEnd w:id="313"/>
      <w:bookmarkStart w:id="314" w:name="_Toc184314481"/>
      <w:bookmarkEnd w:id="314"/>
      <w:bookmarkStart w:id="315" w:name="_Toc184313281"/>
      <w:bookmarkEnd w:id="315"/>
      <w:bookmarkStart w:id="316" w:name="_Toc184312104"/>
      <w:bookmarkEnd w:id="316"/>
      <w:bookmarkStart w:id="317" w:name="_Toc184312096"/>
      <w:bookmarkEnd w:id="317"/>
      <w:bookmarkStart w:id="318" w:name="_Toc184312110"/>
      <w:bookmarkEnd w:id="318"/>
      <w:bookmarkStart w:id="319" w:name="_Toc184310321"/>
      <w:bookmarkEnd w:id="319"/>
      <w:bookmarkStart w:id="320" w:name="_Toc184310337"/>
      <w:bookmarkEnd w:id="320"/>
      <w:bookmarkStart w:id="321" w:name="_Toc184313288"/>
      <w:bookmarkEnd w:id="321"/>
      <w:bookmarkStart w:id="322" w:name="_Toc184313247"/>
      <w:bookmarkEnd w:id="322"/>
      <w:bookmarkStart w:id="323" w:name="_Toc184308053"/>
      <w:bookmarkEnd w:id="323"/>
      <w:bookmarkStart w:id="324" w:name="_Toc184310323"/>
      <w:bookmarkEnd w:id="324"/>
      <w:bookmarkStart w:id="325" w:name="_Toc184312124"/>
      <w:bookmarkEnd w:id="325"/>
      <w:bookmarkStart w:id="326" w:name="_Toc184313272"/>
      <w:bookmarkEnd w:id="326"/>
      <w:bookmarkStart w:id="327" w:name="_Toc184308043"/>
      <w:bookmarkEnd w:id="327"/>
      <w:bookmarkStart w:id="328" w:name="_Toc184313282"/>
      <w:bookmarkEnd w:id="328"/>
      <w:bookmarkStart w:id="329" w:name="_Toc184308038"/>
      <w:bookmarkEnd w:id="329"/>
      <w:bookmarkStart w:id="330" w:name="_Toc184314433"/>
      <w:bookmarkEnd w:id="330"/>
      <w:bookmarkStart w:id="331" w:name="_Toc184312090"/>
      <w:bookmarkEnd w:id="331"/>
      <w:bookmarkStart w:id="332" w:name="_Toc184308087"/>
      <w:bookmarkEnd w:id="332"/>
      <w:bookmarkStart w:id="333" w:name="_Toc184312092"/>
      <w:bookmarkEnd w:id="333"/>
      <w:bookmarkStart w:id="334" w:name="_Toc184314464"/>
      <w:bookmarkEnd w:id="334"/>
      <w:bookmarkStart w:id="335" w:name="_Toc184312122"/>
      <w:bookmarkEnd w:id="335"/>
      <w:bookmarkStart w:id="336" w:name="_Toc184308076"/>
      <w:bookmarkEnd w:id="336"/>
      <w:bookmarkStart w:id="337" w:name="_Toc184308096"/>
      <w:bookmarkEnd w:id="337"/>
      <w:bookmarkStart w:id="338" w:name="_Toc184314449"/>
      <w:bookmarkEnd w:id="338"/>
      <w:bookmarkStart w:id="339" w:name="_Toc184312077"/>
      <w:bookmarkEnd w:id="339"/>
      <w:bookmarkStart w:id="340" w:name="_Toc184310335"/>
      <w:bookmarkEnd w:id="340"/>
      <w:bookmarkStart w:id="341" w:name="_Toc184313304"/>
      <w:bookmarkEnd w:id="341"/>
      <w:bookmarkStart w:id="342" w:name="_Toc184312111"/>
      <w:bookmarkEnd w:id="342"/>
      <w:bookmarkStart w:id="343" w:name="_Toc184310288"/>
      <w:bookmarkEnd w:id="343"/>
      <w:bookmarkStart w:id="344" w:name="_Toc184313238"/>
      <w:bookmarkEnd w:id="344"/>
      <w:bookmarkStart w:id="345" w:name="_Toc184310316"/>
      <w:bookmarkEnd w:id="345"/>
      <w:bookmarkStart w:id="346" w:name="_Toc184313271"/>
      <w:bookmarkEnd w:id="346"/>
      <w:bookmarkStart w:id="347" w:name="_Toc184310291"/>
      <w:bookmarkEnd w:id="347"/>
      <w:bookmarkStart w:id="348" w:name="_Toc184312128"/>
      <w:bookmarkEnd w:id="348"/>
      <w:bookmarkStart w:id="349" w:name="_Toc184313248"/>
      <w:bookmarkEnd w:id="349"/>
      <w:bookmarkStart w:id="350" w:name="_Toc184308046"/>
      <w:bookmarkEnd w:id="350"/>
      <w:bookmarkStart w:id="351" w:name="_Toc184308099"/>
      <w:bookmarkEnd w:id="351"/>
      <w:bookmarkStart w:id="352" w:name="_Toc184313253"/>
      <w:bookmarkEnd w:id="352"/>
      <w:bookmarkStart w:id="353" w:name="_Toc184314463"/>
      <w:bookmarkEnd w:id="353"/>
      <w:bookmarkStart w:id="354" w:name="_Toc184314446"/>
      <w:bookmarkEnd w:id="354"/>
      <w:bookmarkStart w:id="355" w:name="_Toc184313309"/>
      <w:bookmarkEnd w:id="355"/>
      <w:bookmarkStart w:id="356" w:name="_Toc184308080"/>
      <w:bookmarkEnd w:id="356"/>
      <w:bookmarkStart w:id="357" w:name="_Toc184310310"/>
      <w:bookmarkEnd w:id="357"/>
      <w:bookmarkStart w:id="358" w:name="_Toc184312134"/>
      <w:bookmarkEnd w:id="358"/>
      <w:bookmarkStart w:id="359" w:name="_Toc184312084"/>
      <w:bookmarkEnd w:id="359"/>
      <w:bookmarkStart w:id="360" w:name="_Toc184313261"/>
      <w:bookmarkEnd w:id="360"/>
      <w:bookmarkStart w:id="361" w:name="_Toc184308084"/>
      <w:bookmarkEnd w:id="361"/>
      <w:bookmarkStart w:id="362" w:name="_Toc184313255"/>
      <w:bookmarkEnd w:id="362"/>
      <w:bookmarkStart w:id="363" w:name="_Toc184313262"/>
      <w:bookmarkEnd w:id="363"/>
      <w:bookmarkStart w:id="364" w:name="_Toc184308101"/>
      <w:bookmarkEnd w:id="364"/>
      <w:bookmarkStart w:id="365" w:name="_Toc184314480"/>
      <w:bookmarkEnd w:id="365"/>
      <w:bookmarkStart w:id="366" w:name="_Toc184310285"/>
      <w:bookmarkEnd w:id="366"/>
      <w:bookmarkStart w:id="367" w:name="_Toc184313285"/>
      <w:bookmarkEnd w:id="367"/>
      <w:bookmarkStart w:id="368" w:name="_Toc184310333"/>
      <w:bookmarkEnd w:id="368"/>
      <w:bookmarkStart w:id="369" w:name="_Toc184313297"/>
      <w:bookmarkEnd w:id="369"/>
      <w:bookmarkStart w:id="370" w:name="_Toc184308061"/>
      <w:bookmarkEnd w:id="370"/>
      <w:bookmarkStart w:id="371" w:name="_Toc184313278"/>
      <w:bookmarkEnd w:id="371"/>
      <w:bookmarkStart w:id="372" w:name="_Toc184313301"/>
      <w:bookmarkEnd w:id="372"/>
      <w:bookmarkStart w:id="373" w:name="_Toc184313296"/>
      <w:bookmarkEnd w:id="373"/>
      <w:bookmarkStart w:id="374" w:name="_Toc184312112"/>
      <w:bookmarkEnd w:id="374"/>
      <w:bookmarkStart w:id="375" w:name="_Toc184312067"/>
      <w:bookmarkEnd w:id="375"/>
      <w:bookmarkStart w:id="376" w:name="_Toc184312132"/>
      <w:bookmarkEnd w:id="376"/>
      <w:bookmarkStart w:id="377" w:name="_Toc184313276"/>
      <w:bookmarkEnd w:id="377"/>
      <w:bookmarkStart w:id="378" w:name="_Toc184310340"/>
      <w:bookmarkEnd w:id="378"/>
      <w:bookmarkStart w:id="379" w:name="_Toc184313287"/>
      <w:bookmarkEnd w:id="379"/>
      <w:bookmarkStart w:id="380" w:name="_Toc184314457"/>
      <w:bookmarkEnd w:id="380"/>
      <w:bookmarkStart w:id="381" w:name="_Toc184312106"/>
      <w:bookmarkEnd w:id="381"/>
      <w:bookmarkStart w:id="382" w:name="_Toc184313251"/>
      <w:bookmarkEnd w:id="382"/>
      <w:bookmarkStart w:id="383" w:name="_Toc184308063"/>
      <w:bookmarkEnd w:id="383"/>
      <w:bookmarkStart w:id="384" w:name="_Toc184314450"/>
      <w:bookmarkEnd w:id="384"/>
      <w:bookmarkStart w:id="385" w:name="_Toc184313259"/>
      <w:bookmarkEnd w:id="385"/>
      <w:bookmarkStart w:id="386" w:name="_Toc184310276"/>
      <w:bookmarkEnd w:id="386"/>
      <w:bookmarkStart w:id="387" w:name="_Toc184312091"/>
      <w:bookmarkEnd w:id="387"/>
      <w:bookmarkStart w:id="388" w:name="_Toc184314424"/>
      <w:bookmarkEnd w:id="388"/>
      <w:bookmarkStart w:id="389" w:name="_Toc184312107"/>
      <w:bookmarkEnd w:id="389"/>
      <w:bookmarkStart w:id="390" w:name="_Toc184308104"/>
      <w:bookmarkEnd w:id="390"/>
      <w:bookmarkStart w:id="391" w:name="_Toc184310292"/>
      <w:bookmarkEnd w:id="391"/>
      <w:bookmarkStart w:id="392" w:name="_Toc184313299"/>
      <w:bookmarkEnd w:id="392"/>
      <w:bookmarkStart w:id="393" w:name="_Toc184308097"/>
      <w:bookmarkEnd w:id="393"/>
      <w:bookmarkStart w:id="394" w:name="_Toc184314455"/>
      <w:bookmarkEnd w:id="394"/>
      <w:bookmarkStart w:id="395" w:name="_Toc184310293"/>
      <w:bookmarkEnd w:id="395"/>
      <w:bookmarkStart w:id="396" w:name="_Toc184314473"/>
      <w:bookmarkEnd w:id="396"/>
      <w:bookmarkStart w:id="397" w:name="_Toc184308054"/>
      <w:bookmarkEnd w:id="397"/>
      <w:bookmarkStart w:id="398" w:name="_Toc184314428"/>
      <w:bookmarkEnd w:id="398"/>
      <w:bookmarkStart w:id="399" w:name="_Toc184308040"/>
      <w:bookmarkEnd w:id="399"/>
      <w:bookmarkStart w:id="400" w:name="_Toc184313306"/>
      <w:bookmarkEnd w:id="400"/>
      <w:bookmarkStart w:id="401" w:name="_Toc184312082"/>
      <w:bookmarkEnd w:id="401"/>
      <w:bookmarkStart w:id="402" w:name="_Toc184310275"/>
      <w:bookmarkEnd w:id="402"/>
      <w:bookmarkStart w:id="403" w:name="_Toc184308060"/>
      <w:bookmarkEnd w:id="403"/>
      <w:bookmarkStart w:id="404" w:name="_Toc184308075"/>
      <w:bookmarkEnd w:id="404"/>
      <w:bookmarkStart w:id="405" w:name="_Toc184314476"/>
      <w:bookmarkEnd w:id="405"/>
      <w:bookmarkStart w:id="406" w:name="_Toc184314471"/>
      <w:bookmarkEnd w:id="406"/>
      <w:bookmarkStart w:id="407" w:name="_Toc184308056"/>
      <w:bookmarkEnd w:id="407"/>
      <w:bookmarkStart w:id="408" w:name="_Toc184314460"/>
      <w:bookmarkEnd w:id="408"/>
      <w:bookmarkStart w:id="409" w:name="_Toc184314458"/>
      <w:bookmarkEnd w:id="409"/>
      <w:bookmarkStart w:id="410" w:name="_Toc184314478"/>
      <w:bookmarkEnd w:id="410"/>
      <w:bookmarkStart w:id="411" w:name="_Toc184313258"/>
      <w:bookmarkEnd w:id="411"/>
      <w:bookmarkStart w:id="412" w:name="_Toc184310290"/>
      <w:bookmarkEnd w:id="412"/>
      <w:bookmarkStart w:id="413" w:name="_Toc184308055"/>
      <w:bookmarkEnd w:id="413"/>
      <w:bookmarkStart w:id="414" w:name="_Toc184313305"/>
      <w:bookmarkEnd w:id="414"/>
      <w:bookmarkStart w:id="415" w:name="_Toc184314461"/>
      <w:bookmarkEnd w:id="415"/>
      <w:bookmarkStart w:id="416" w:name="_Toc184310296"/>
      <w:bookmarkEnd w:id="416"/>
      <w:bookmarkStart w:id="417" w:name="_Toc184310317"/>
      <w:bookmarkEnd w:id="417"/>
      <w:bookmarkStart w:id="418" w:name="_Toc184314472"/>
      <w:bookmarkEnd w:id="418"/>
      <w:bookmarkStart w:id="419" w:name="_Toc184314470"/>
      <w:bookmarkEnd w:id="419"/>
      <w:bookmarkStart w:id="420" w:name="_Toc184314448"/>
      <w:bookmarkEnd w:id="420"/>
      <w:bookmarkStart w:id="421" w:name="_Toc184308062"/>
      <w:bookmarkEnd w:id="421"/>
      <w:bookmarkStart w:id="422" w:name="_Toc184310334"/>
      <w:bookmarkEnd w:id="422"/>
      <w:bookmarkStart w:id="423" w:name="_Toc184313300"/>
      <w:bookmarkEnd w:id="423"/>
      <w:bookmarkStart w:id="424" w:name="_Toc184314474"/>
      <w:bookmarkEnd w:id="424"/>
      <w:bookmarkStart w:id="425" w:name="_Toc184310295"/>
      <w:bookmarkEnd w:id="425"/>
      <w:bookmarkStart w:id="426" w:name="_Toc184313265"/>
      <w:bookmarkEnd w:id="426"/>
      <w:bookmarkStart w:id="427" w:name="_Toc184314432"/>
      <w:bookmarkEnd w:id="427"/>
      <w:bookmarkStart w:id="428" w:name="_Toc184310287"/>
      <w:bookmarkEnd w:id="428"/>
      <w:bookmarkStart w:id="429" w:name="_Toc184312130"/>
      <w:bookmarkEnd w:id="429"/>
      <w:bookmarkStart w:id="430" w:name="_Toc468707227"/>
      <w:bookmarkStart w:id="431" w:name="_Toc298240429"/>
      <w:bookmarkStart w:id="432" w:name="_Toc349637943"/>
      <w:bookmarkStart w:id="433" w:name="_Toc349573144"/>
    </w:p>
    <w:p>
      <w:pPr>
        <w:pStyle w:val="3"/>
        <w:spacing w:after="100" w:afterAutospacing="1"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rPr>
      </w:pPr>
    </w:p>
    <w:p>
      <w:pPr>
        <w:pStyle w:val="3"/>
        <w:spacing w:after="100" w:afterAutospacing="1"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i w:val="0"/>
          <w:iCs w:val="0"/>
          <w:color w:val="auto"/>
          <w:sz w:val="32"/>
          <w:szCs w:val="32"/>
          <w:highlight w:val="none"/>
        </w:rPr>
        <w:t>第五部分　范本格式</w:t>
      </w:r>
      <w:bookmarkEnd w:id="430"/>
      <w:bookmarkEnd w:id="431"/>
      <w:bookmarkEnd w:id="432"/>
      <w:bookmarkEnd w:id="433"/>
    </w:p>
    <w:p>
      <w:pPr>
        <w:spacing w:line="240" w:lineRule="auto"/>
        <w:jc w:val="center"/>
        <w:rPr>
          <w:rFonts w:hint="eastAsia" w:asciiTheme="minorEastAsia" w:hAnsiTheme="minorEastAsia" w:eastAsiaTheme="minorEastAsia" w:cstheme="minorEastAsia"/>
          <w:b/>
          <w:bCs/>
          <w:i w:val="0"/>
          <w:iCs w:val="0"/>
          <w:color w:val="auto"/>
          <w:sz w:val="24"/>
          <w:highlight w:val="none"/>
          <w:lang w:eastAsia="zh-CN"/>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1</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rPr>
        <w:t xml:space="preserve"> 磋商</w:t>
      </w:r>
      <w:r>
        <w:rPr>
          <w:rFonts w:hint="eastAsia" w:asciiTheme="minorEastAsia" w:hAnsiTheme="minorEastAsia" w:eastAsiaTheme="minorEastAsia" w:cstheme="minorEastAsia"/>
          <w:b/>
          <w:bCs/>
          <w:i w:val="0"/>
          <w:iCs w:val="0"/>
          <w:color w:val="auto"/>
          <w:sz w:val="24"/>
          <w:highlight w:val="none"/>
          <w:lang w:eastAsia="zh-CN"/>
        </w:rPr>
        <w:t>承诺书</w:t>
      </w:r>
    </w:p>
    <w:p>
      <w:pPr>
        <w:spacing w:line="240" w:lineRule="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 xml:space="preserve">致： </w:t>
      </w:r>
      <w:r>
        <w:rPr>
          <w:rFonts w:hint="eastAsia" w:asciiTheme="minorEastAsia" w:hAnsiTheme="minorEastAsia" w:eastAsiaTheme="minorEastAsia" w:cstheme="minorEastAsia"/>
          <w:i w:val="0"/>
          <w:iCs w:val="0"/>
          <w:color w:val="auto"/>
          <w:sz w:val="24"/>
          <w:highlight w:val="none"/>
          <w:lang w:eastAsia="zh-CN"/>
        </w:rPr>
        <w:t>（采购人）</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根据贵方为</w:t>
      </w:r>
      <w:r>
        <w:rPr>
          <w:rFonts w:hint="eastAsia" w:asciiTheme="minorEastAsia" w:hAnsiTheme="minorEastAsia" w:eastAsiaTheme="minorEastAsia" w:cstheme="minorEastAsia"/>
          <w:i w:val="0"/>
          <w:iCs w:val="0"/>
          <w:color w:val="auto"/>
          <w:sz w:val="24"/>
          <w:highlight w:val="none"/>
          <w:u w:val="single"/>
        </w:rPr>
        <w:t xml:space="preserve">　　　（项目名称）    </w:t>
      </w:r>
      <w:r>
        <w:rPr>
          <w:rFonts w:hint="eastAsia" w:asciiTheme="minorEastAsia" w:hAnsiTheme="minorEastAsia" w:eastAsiaTheme="minorEastAsia" w:cstheme="minorEastAsia"/>
          <w:i w:val="0"/>
          <w:iCs w:val="0"/>
          <w:color w:val="auto"/>
          <w:sz w:val="24"/>
          <w:highlight w:val="none"/>
        </w:rPr>
        <w:t>项目采购的招标（项目编号），签字代表（姓名、职务）经正式授权并代表供应商（供应商名称、地址）提交下述文件正本一份和副本</w:t>
      </w:r>
      <w:r>
        <w:rPr>
          <w:rFonts w:hint="eastAsia" w:asciiTheme="minorEastAsia" w:hAnsiTheme="minorEastAsia" w:eastAsiaTheme="minorEastAsia" w:cstheme="minorEastAsia"/>
          <w:i w:val="0"/>
          <w:iCs w:val="0"/>
          <w:color w:val="auto"/>
          <w:sz w:val="24"/>
          <w:highlight w:val="none"/>
          <w:lang w:eastAsia="zh-CN"/>
        </w:rPr>
        <w:t>两</w:t>
      </w:r>
      <w:r>
        <w:rPr>
          <w:rFonts w:hint="eastAsia" w:asciiTheme="minorEastAsia" w:hAnsiTheme="minorEastAsia" w:eastAsiaTheme="minorEastAsia" w:cstheme="minorEastAsia"/>
          <w:i w:val="0"/>
          <w:iCs w:val="0"/>
          <w:color w:val="auto"/>
          <w:sz w:val="24"/>
          <w:highlight w:val="none"/>
        </w:rPr>
        <w:t>份。</w:t>
      </w:r>
    </w:p>
    <w:p>
      <w:pPr>
        <w:numPr>
          <w:ilvl w:val="0"/>
          <w:numId w:val="7"/>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报价表</w:t>
      </w:r>
    </w:p>
    <w:p>
      <w:pPr>
        <w:numPr>
          <w:ilvl w:val="0"/>
          <w:numId w:val="7"/>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资格证明文件</w:t>
      </w:r>
    </w:p>
    <w:p>
      <w:pPr>
        <w:numPr>
          <w:ilvl w:val="0"/>
          <w:numId w:val="7"/>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磋商保证金，形式（网银或电汇），金额为（注明币种）。</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据此函，签字代表宣布同意如下：</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1．供应商将按磋商文件的规定履行合同责任和义务；</w:t>
      </w:r>
    </w:p>
    <w:p>
      <w:pPr>
        <w:spacing w:line="240" w:lineRule="auto"/>
        <w:ind w:left="1112" w:hanging="56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2．供应商已详细审查全部磋商文件，包括修改文件（如有的话）。我们完全理解并同意放弃对这方面有不明及误解的权利。</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3．本投标有效期自开标之日起</w:t>
      </w:r>
      <w:r>
        <w:rPr>
          <w:rFonts w:hint="eastAsia" w:asciiTheme="minorEastAsia" w:hAnsiTheme="minorEastAsia" w:eastAsiaTheme="minorEastAsia" w:cstheme="minorEastAsia"/>
          <w:i w:val="0"/>
          <w:iCs w:val="0"/>
          <w:color w:val="auto"/>
          <w:sz w:val="24"/>
          <w:highlight w:val="none"/>
          <w:lang w:val="en-US" w:eastAsia="zh-CN"/>
        </w:rPr>
        <w:t>60</w:t>
      </w:r>
      <w:r>
        <w:rPr>
          <w:rFonts w:hint="eastAsia" w:asciiTheme="minorEastAsia" w:hAnsiTheme="minorEastAsia" w:eastAsiaTheme="minorEastAsia" w:cstheme="minorEastAsia"/>
          <w:i w:val="0"/>
          <w:iCs w:val="0"/>
          <w:color w:val="auto"/>
          <w:sz w:val="24"/>
          <w:highlight w:val="none"/>
        </w:rPr>
        <w:t>个日历日。</w:t>
      </w:r>
    </w:p>
    <w:p>
      <w:pPr>
        <w:spacing w:line="240" w:lineRule="auto"/>
        <w:ind w:left="900" w:hanging="348"/>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4．如果在规定的开标时间后，供应商在投标有效期内撤回投标，其磋商保证金将被贵方没收。</w:t>
      </w:r>
    </w:p>
    <w:p>
      <w:pPr>
        <w:spacing w:line="240" w:lineRule="auto"/>
        <w:ind w:left="900" w:hanging="33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5．供应商同意提供按照贵方可能要求的与其磋商有关的一切数据或资料，完全理解贵方不一定要接受最低价的报价投标或收到的任何磋商。</w:t>
      </w:r>
    </w:p>
    <w:p>
      <w:pPr>
        <w:spacing w:line="240" w:lineRule="auto"/>
        <w:ind w:firstLine="57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6．与本磋商有关的一切正式往来信函请寄：</w:t>
      </w:r>
    </w:p>
    <w:p>
      <w:pPr>
        <w:spacing w:line="240" w:lineRule="auto"/>
        <w:ind w:firstLine="280"/>
        <w:rPr>
          <w:rFonts w:hint="eastAsia" w:asciiTheme="minorEastAsia" w:hAnsiTheme="minorEastAsia" w:eastAsiaTheme="minorEastAsia" w:cstheme="minorEastAsia"/>
          <w:i w:val="0"/>
          <w:iCs w:val="0"/>
          <w:color w:val="auto"/>
          <w:sz w:val="24"/>
          <w:highlight w:val="none"/>
        </w:rPr>
      </w:pPr>
    </w:p>
    <w:p>
      <w:pPr>
        <w:spacing w:line="240" w:lineRule="auto"/>
        <w:ind w:firstLine="2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地址：　　　　　　　　    　　邮编：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电话：　　　　　　　　　　    传真：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供应商法定代表人或被授权人签字：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供应商名称：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公      章：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日　　　期：　　 　年　  月  　日</w:t>
      </w:r>
    </w:p>
    <w:p>
      <w:pPr>
        <w:spacing w:line="240" w:lineRule="auto"/>
        <w:rPr>
          <w:rFonts w:hint="eastAsia" w:asciiTheme="minorEastAsia" w:hAnsiTheme="minorEastAsia" w:eastAsiaTheme="minorEastAsia" w:cstheme="minorEastAsia"/>
          <w:i w:val="0"/>
          <w:iCs w:val="0"/>
          <w:color w:val="auto"/>
          <w:sz w:val="24"/>
          <w:highlight w:val="none"/>
        </w:rPr>
        <w:sectPr>
          <w:footerReference r:id="rId8" w:type="first"/>
          <w:footerReference r:id="rId7" w:type="default"/>
          <w:pgSz w:w="11907" w:h="16840"/>
          <w:pgMar w:top="1276" w:right="1080" w:bottom="1440" w:left="1354" w:header="851" w:footer="798" w:gutter="0"/>
          <w:pgBorders>
            <w:top w:val="none" w:sz="0" w:space="0"/>
            <w:left w:val="none" w:sz="0" w:space="0"/>
            <w:bottom w:val="none" w:sz="0" w:space="0"/>
            <w:right w:val="none" w:sz="0" w:space="0"/>
          </w:pgBorders>
          <w:pgNumType w:fmt="decimal" w:start="1"/>
          <w:cols w:space="720" w:num="1"/>
          <w:titlePg/>
          <w:docGrid w:type="lines" w:linePitch="409" w:charSpace="0"/>
        </w:sectPr>
      </w:pPr>
    </w:p>
    <w:p>
      <w:pPr>
        <w:tabs>
          <w:tab w:val="left" w:pos="9135"/>
        </w:tabs>
        <w:spacing w:line="240" w:lineRule="auto"/>
        <w:jc w:val="center"/>
        <w:rPr>
          <w:rFonts w:hint="eastAsia" w:asciiTheme="minorEastAsia" w:hAnsiTheme="minorEastAsia" w:eastAsiaTheme="minorEastAsia" w:cstheme="minorEastAsia"/>
          <w:i w:val="0"/>
          <w:iCs w:val="0"/>
          <w:color w:val="auto"/>
          <w:sz w:val="32"/>
          <w:szCs w:val="22"/>
          <w:highlight w:val="none"/>
        </w:rPr>
      </w:pPr>
    </w:p>
    <w:p>
      <w:pPr>
        <w:tabs>
          <w:tab w:val="left" w:pos="9135"/>
        </w:tabs>
        <w:spacing w:line="240" w:lineRule="auto"/>
        <w:jc w:val="center"/>
        <w:rPr>
          <w:rFonts w:hint="eastAsia" w:asciiTheme="minorEastAsia" w:hAnsiTheme="minorEastAsia" w:eastAsiaTheme="minorEastAsia" w:cstheme="minorEastAsia"/>
          <w:b/>
          <w:bCs/>
          <w:i w:val="0"/>
          <w:iCs w:val="0"/>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lang w:eastAsia="zh-CN"/>
        </w:rPr>
        <w:t>（</w:t>
      </w:r>
      <w:r>
        <w:rPr>
          <w:rFonts w:hint="eastAsia" w:asciiTheme="minorEastAsia" w:hAnsiTheme="minorEastAsia" w:eastAsiaTheme="minorEastAsia" w:cstheme="minorEastAsia"/>
          <w:b/>
          <w:bCs/>
          <w:i w:val="0"/>
          <w:iCs w:val="0"/>
          <w:color w:val="auto"/>
          <w:sz w:val="28"/>
          <w:szCs w:val="28"/>
          <w:highlight w:val="none"/>
          <w:lang w:val="en-US" w:eastAsia="zh-CN"/>
        </w:rPr>
        <w:t>2</w:t>
      </w:r>
      <w:r>
        <w:rPr>
          <w:rFonts w:hint="eastAsia" w:asciiTheme="minorEastAsia" w:hAnsiTheme="minorEastAsia" w:eastAsiaTheme="minorEastAsia" w:cstheme="minorEastAsia"/>
          <w:b/>
          <w:bCs/>
          <w:i w:val="0"/>
          <w:iCs w:val="0"/>
          <w:color w:val="auto"/>
          <w:sz w:val="28"/>
          <w:szCs w:val="28"/>
          <w:highlight w:val="none"/>
          <w:lang w:eastAsia="zh-CN"/>
        </w:rPr>
        <w:t>）磋商</w:t>
      </w:r>
      <w:r>
        <w:rPr>
          <w:rFonts w:hint="eastAsia" w:asciiTheme="minorEastAsia" w:hAnsiTheme="minorEastAsia" w:eastAsiaTheme="minorEastAsia" w:cstheme="minorEastAsia"/>
          <w:b/>
          <w:bCs/>
          <w:i w:val="0"/>
          <w:iCs w:val="0"/>
          <w:color w:val="auto"/>
          <w:sz w:val="28"/>
          <w:szCs w:val="28"/>
          <w:highlight w:val="none"/>
        </w:rPr>
        <w:t>报价表</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p>
      <w:pPr>
        <w:tabs>
          <w:tab w:val="left" w:pos="9135"/>
        </w:tabs>
        <w:spacing w:line="240" w:lineRule="auto"/>
        <w:ind w:firstLine="480" w:firstLineChars="200"/>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rPr>
        <w:t>供应商名称(公章)：</w:t>
      </w:r>
      <w:r>
        <w:rPr>
          <w:rFonts w:hint="eastAsia" w:asciiTheme="minorEastAsia" w:hAnsiTheme="minorEastAsia" w:eastAsiaTheme="minorEastAsia" w:cstheme="minorEastAsia"/>
          <w:i w:val="0"/>
          <w:iCs w:val="0"/>
          <w:color w:val="auto"/>
          <w:sz w:val="24"/>
          <w:highlight w:val="none"/>
          <w:u w:val="single"/>
        </w:rPr>
        <w:t>　　        　　　　　</w:t>
      </w:r>
      <w:r>
        <w:rPr>
          <w:rFonts w:hint="eastAsia" w:asciiTheme="minorEastAsia" w:hAnsiTheme="minorEastAsia" w:eastAsiaTheme="minorEastAsia" w:cstheme="minorEastAsia"/>
          <w:i w:val="0"/>
          <w:iCs w:val="0"/>
          <w:color w:val="auto"/>
          <w:sz w:val="24"/>
          <w:highlight w:val="none"/>
        </w:rPr>
        <w:t>　项目编号：</w:t>
      </w:r>
      <w:r>
        <w:rPr>
          <w:rFonts w:hint="eastAsia" w:asciiTheme="minorEastAsia" w:hAnsiTheme="minorEastAsia" w:eastAsiaTheme="minorEastAsia" w:cstheme="minorEastAsia"/>
          <w:i w:val="0"/>
          <w:iCs w:val="0"/>
          <w:color w:val="auto"/>
          <w:sz w:val="24"/>
          <w:highlight w:val="none"/>
          <w:u w:val="single"/>
        </w:rPr>
        <w:t>　　　　　　　　　　</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bl>
      <w:tblPr>
        <w:tblStyle w:val="36"/>
        <w:tblW w:w="97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533"/>
        <w:gridCol w:w="298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2862"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项目名称</w:t>
            </w: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lang w:eastAsia="zh-CN"/>
              </w:rPr>
              <w:t>磋商报价</w:t>
            </w:r>
          </w:p>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（元）</w:t>
            </w:r>
          </w:p>
        </w:tc>
        <w:tc>
          <w:tcPr>
            <w:tcW w:w="2986"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1397"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862" w:type="dxa"/>
            <w:vAlign w:val="center"/>
          </w:tcPr>
          <w:p>
            <w:pPr>
              <w:spacing w:line="240" w:lineRule="auto"/>
              <w:rPr>
                <w:rFonts w:hint="eastAsia" w:asciiTheme="minorEastAsia" w:hAnsiTheme="minorEastAsia" w:eastAsiaTheme="minorEastAsia" w:cstheme="minorEastAsia"/>
                <w:i w:val="0"/>
                <w:iCs w:val="0"/>
                <w:color w:val="auto"/>
                <w:sz w:val="24"/>
                <w:highlight w:val="none"/>
              </w:rPr>
            </w:pP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p>
        </w:tc>
        <w:tc>
          <w:tcPr>
            <w:tcW w:w="2986" w:type="dxa"/>
            <w:vAlign w:val="center"/>
          </w:tcPr>
          <w:p>
            <w:pPr>
              <w:tabs>
                <w:tab w:val="left" w:pos="9135"/>
              </w:tabs>
              <w:spacing w:line="240" w:lineRule="auto"/>
              <w:jc w:val="center"/>
              <w:rPr>
                <w:rFonts w:hint="default" w:asciiTheme="minorEastAsia" w:hAnsiTheme="minorEastAsia" w:eastAsiaTheme="minorEastAsia" w:cstheme="minorEastAsia"/>
                <w:i w:val="0"/>
                <w:iCs w:val="0"/>
                <w:color w:val="auto"/>
                <w:sz w:val="24"/>
                <w:highlight w:val="none"/>
                <w:lang w:val="en-US"/>
              </w:rPr>
            </w:pPr>
          </w:p>
        </w:tc>
        <w:tc>
          <w:tcPr>
            <w:tcW w:w="1397" w:type="dxa"/>
            <w:vAlign w:val="center"/>
          </w:tcPr>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c>
      </w:tr>
    </w:tbl>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注：1、</w:t>
      </w:r>
      <w:r>
        <w:rPr>
          <w:rFonts w:hint="eastAsia" w:asciiTheme="minorEastAsia" w:hAnsiTheme="minorEastAsia" w:eastAsiaTheme="minorEastAsia" w:cstheme="minorEastAsia"/>
          <w:i w:val="0"/>
          <w:iCs w:val="0"/>
          <w:color w:val="auto"/>
          <w:sz w:val="24"/>
          <w:szCs w:val="24"/>
          <w:highlight w:val="none"/>
        </w:rPr>
        <w:t>报价包括项目实施所需的人工费、服务费、税费及其他一切费用。</w:t>
      </w:r>
    </w:p>
    <w:p>
      <w:pPr>
        <w:pStyle w:val="14"/>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供应商应将</w:t>
      </w:r>
      <w:r>
        <w:rPr>
          <w:rFonts w:hint="eastAsia" w:asciiTheme="minorEastAsia" w:hAnsiTheme="minorEastAsia" w:eastAsiaTheme="minorEastAsia" w:cstheme="minorEastAsia"/>
          <w:i w:val="0"/>
          <w:iCs w:val="0"/>
          <w:color w:val="auto"/>
          <w:sz w:val="24"/>
          <w:highlight w:val="none"/>
        </w:rPr>
        <w:t>报价表</w:t>
      </w:r>
      <w:r>
        <w:rPr>
          <w:rFonts w:hint="eastAsia" w:asciiTheme="minorEastAsia" w:hAnsiTheme="minorEastAsia" w:eastAsiaTheme="minorEastAsia" w:cstheme="minorEastAsia"/>
          <w:color w:val="auto"/>
          <w:highlight w:val="none"/>
          <w:lang w:eastAsia="zh-CN"/>
        </w:rPr>
        <w:t>附在正本里</w:t>
      </w:r>
      <w:r>
        <w:rPr>
          <w:rFonts w:hint="eastAsia" w:asciiTheme="minorEastAsia" w:hAnsiTheme="minorEastAsia" w:eastAsiaTheme="minorEastAsia" w:cstheme="minorEastAsia"/>
          <w:color w:val="auto"/>
          <w:highlight w:val="none"/>
        </w:rPr>
        <w:t>。</w:t>
      </w:r>
    </w:p>
    <w:p>
      <w:pPr>
        <w:tabs>
          <w:tab w:val="left" w:pos="9135"/>
        </w:tabs>
        <w:spacing w:line="240" w:lineRule="auto"/>
        <w:ind w:firstLine="480" w:firstLineChars="20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 （加盖公章）</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法定代表人签字或盖章：</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授权代表签字或盖章：</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签署日期：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年   月  日</w:t>
      </w: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sectPr>
          <w:footerReference r:id="rId9" w:type="default"/>
          <w:pgSz w:w="11906" w:h="16838"/>
          <w:pgMar w:top="1103" w:right="886" w:bottom="1276" w:left="9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240" w:lineRule="auto"/>
        <w:jc w:val="both"/>
        <w:rPr>
          <w:rFonts w:hint="eastAsia" w:asciiTheme="minorEastAsia" w:hAnsiTheme="minorEastAsia" w:eastAsiaTheme="minorEastAsia" w:cstheme="minorEastAsia"/>
          <w:b/>
          <w:bCs/>
          <w:i w:val="0"/>
          <w:iCs w:val="0"/>
          <w:color w:val="auto"/>
          <w:sz w:val="24"/>
          <w:highlight w:val="none"/>
        </w:rPr>
      </w:pPr>
    </w:p>
    <w:p>
      <w:pPr>
        <w:pStyle w:val="14"/>
        <w:spacing w:line="240" w:lineRule="auto"/>
        <w:rPr>
          <w:rFonts w:hint="eastAsia" w:asciiTheme="minorEastAsia" w:hAnsiTheme="minorEastAsia" w:eastAsiaTheme="minorEastAsia" w:cstheme="minorEastAsia"/>
          <w:b/>
          <w:bCs/>
          <w:i w:val="0"/>
          <w:iCs w:val="0"/>
          <w:color w:val="auto"/>
          <w:sz w:val="24"/>
          <w:highlight w:val="none"/>
          <w:lang w:eastAsia="zh-CN"/>
        </w:rPr>
      </w:pPr>
    </w:p>
    <w:p>
      <w:pPr>
        <w:rPr>
          <w:rFonts w:hint="eastAsia" w:asciiTheme="minorEastAsia" w:hAnsiTheme="minorEastAsia" w:eastAsiaTheme="minorEastAsia" w:cstheme="minorEastAsia"/>
          <w:color w:val="auto"/>
          <w:highlight w:val="none"/>
          <w:lang w:eastAsia="zh-CN"/>
        </w:rPr>
      </w:pPr>
    </w:p>
    <w:p>
      <w:pPr>
        <w:spacing w:line="24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投标分项报价明细表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p>
    <w:tbl>
      <w:tblPr>
        <w:tblStyle w:val="3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9337"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注：格式自拟，内容包括：规格、型号、技术参数、</w:t>
            </w:r>
            <w:r>
              <w:rPr>
                <w:rFonts w:hint="eastAsia" w:asciiTheme="minorEastAsia" w:hAnsiTheme="minorEastAsia" w:eastAsiaTheme="minorEastAsia" w:cstheme="minorEastAsia"/>
                <w:bCs/>
                <w:color w:val="auto"/>
                <w:sz w:val="24"/>
                <w:szCs w:val="24"/>
                <w:highlight w:val="none"/>
              </w:rPr>
              <w:t>产地、品牌、</w:t>
            </w:r>
            <w:r>
              <w:rPr>
                <w:rFonts w:hint="eastAsia" w:asciiTheme="minorEastAsia" w:hAnsiTheme="minorEastAsia" w:eastAsiaTheme="minorEastAsia" w:cstheme="minorEastAsia"/>
                <w:color w:val="auto"/>
                <w:sz w:val="24"/>
                <w:szCs w:val="24"/>
                <w:highlight w:val="none"/>
              </w:rPr>
              <w:t>供货厂商名称、</w:t>
            </w:r>
            <w:r>
              <w:rPr>
                <w:rFonts w:hint="eastAsia" w:asciiTheme="minorEastAsia" w:hAnsiTheme="minorEastAsia" w:eastAsiaTheme="minorEastAsia" w:cstheme="minorEastAsia"/>
                <w:bCs/>
                <w:color w:val="auto"/>
                <w:sz w:val="24"/>
                <w:szCs w:val="24"/>
                <w:highlight w:val="none"/>
              </w:rPr>
              <w:t>价格、运保、安装、调试费等</w:t>
            </w:r>
            <w:r>
              <w:rPr>
                <w:rFonts w:hint="eastAsia" w:asciiTheme="minorEastAsia" w:hAnsiTheme="minorEastAsia" w:eastAsiaTheme="minorEastAsia" w:cstheme="minorEastAsia"/>
                <w:color w:val="auto"/>
                <w:sz w:val="24"/>
                <w:szCs w:val="24"/>
                <w:highlight w:val="none"/>
              </w:rPr>
              <w:t>，如果不提供详细报价将视为没有实质性响应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p>
        </w:tc>
      </w:tr>
    </w:tbl>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供应商法定代表人</w:t>
      </w:r>
      <w:r>
        <w:rPr>
          <w:rFonts w:hint="eastAsia" w:asciiTheme="minorEastAsia" w:hAnsiTheme="minorEastAsia" w:eastAsiaTheme="minorEastAsia" w:cstheme="minorEastAsia"/>
          <w:color w:val="auto"/>
          <w:sz w:val="24"/>
          <w:szCs w:val="24"/>
          <w:highlight w:val="none"/>
        </w:rPr>
        <w:t>或授权代表签字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供应商名称（加</w:t>
      </w:r>
      <w:r>
        <w:rPr>
          <w:rFonts w:hint="eastAsia" w:asciiTheme="minorEastAsia" w:hAnsiTheme="minorEastAsia" w:eastAsiaTheme="minorEastAsia" w:cstheme="minorEastAsia"/>
          <w:color w:val="auto"/>
          <w:sz w:val="24"/>
          <w:szCs w:val="24"/>
          <w:highlight w:val="none"/>
        </w:rPr>
        <w:t>盖</w:t>
      </w:r>
      <w:r>
        <w:rPr>
          <w:rFonts w:hint="eastAsia" w:asciiTheme="minorEastAsia" w:hAnsiTheme="minorEastAsia" w:eastAsiaTheme="minorEastAsia" w:cstheme="minorEastAsia"/>
          <w:color w:val="auto"/>
          <w:sz w:val="24"/>
          <w:szCs w:val="24"/>
          <w:highlight w:val="none"/>
          <w:lang w:eastAsia="zh-CN"/>
        </w:rPr>
        <w:t>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p>
    <w:p>
      <w:pPr>
        <w:pStyle w:val="14"/>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1"/>
          <w:highlight w:val="none"/>
        </w:rPr>
        <w:t>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p>
    <w:p>
      <w:pPr>
        <w:tabs>
          <w:tab w:val="left" w:pos="9135"/>
        </w:tabs>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i w:val="0"/>
          <w:iCs w:val="0"/>
          <w:color w:val="auto"/>
          <w:sz w:val="32"/>
          <w:szCs w:val="22"/>
          <w:highlight w:val="none"/>
        </w:rPr>
        <w:t>　</w:t>
      </w:r>
      <w:r>
        <w:rPr>
          <w:rFonts w:hint="eastAsia" w:asciiTheme="minorEastAsia" w:hAnsiTheme="minorEastAsia" w:eastAsiaTheme="minorEastAsia" w:cstheme="minorEastAsia"/>
          <w:i w:val="0"/>
          <w:iCs w:val="0"/>
          <w:color w:val="auto"/>
          <w:sz w:val="32"/>
          <w:szCs w:val="22"/>
          <w:highlight w:val="none"/>
          <w:lang w:eastAsia="zh-CN"/>
        </w:rPr>
        <w:t>最终磋商</w:t>
      </w:r>
      <w:r>
        <w:rPr>
          <w:rFonts w:hint="eastAsia" w:asciiTheme="minorEastAsia" w:hAnsiTheme="minorEastAsia" w:eastAsiaTheme="minorEastAsia" w:cstheme="minorEastAsia"/>
          <w:i w:val="0"/>
          <w:iCs w:val="0"/>
          <w:color w:val="auto"/>
          <w:sz w:val="32"/>
          <w:szCs w:val="22"/>
          <w:highlight w:val="none"/>
        </w:rPr>
        <w:t>报价表</w:t>
      </w:r>
    </w:p>
    <w:p>
      <w:pPr>
        <w:tabs>
          <w:tab w:val="left" w:pos="9135"/>
        </w:tabs>
        <w:spacing w:line="240" w:lineRule="auto"/>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rPr>
        <w:t>供应商名称</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rPr>
        <w:t>公章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u w:val="single"/>
        </w:rPr>
        <w:t>　　           　　　　　　　</w:t>
      </w:r>
      <w:r>
        <w:rPr>
          <w:rFonts w:hint="eastAsia" w:asciiTheme="minorEastAsia" w:hAnsiTheme="minorEastAsia" w:eastAsiaTheme="minorEastAsia" w:cstheme="minorEastAsia"/>
          <w:i w:val="0"/>
          <w:iCs w:val="0"/>
          <w:color w:val="auto"/>
          <w:sz w:val="24"/>
          <w:highlight w:val="none"/>
        </w:rPr>
        <w:t>　项目编号：</w:t>
      </w:r>
      <w:r>
        <w:rPr>
          <w:rFonts w:hint="eastAsia" w:asciiTheme="minorEastAsia" w:hAnsiTheme="minorEastAsia" w:eastAsiaTheme="minorEastAsia" w:cstheme="minorEastAsia"/>
          <w:i w:val="0"/>
          <w:iCs w:val="0"/>
          <w:color w:val="auto"/>
          <w:sz w:val="24"/>
          <w:highlight w:val="none"/>
          <w:u w:val="single"/>
        </w:rPr>
        <w:t>　　　　　　　　　　</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bl>
      <w:tblPr>
        <w:tblStyle w:val="36"/>
        <w:tblW w:w="97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533"/>
        <w:gridCol w:w="298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2862"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项目名称</w:t>
            </w: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lang w:eastAsia="zh-CN"/>
              </w:rPr>
              <w:t>磋商报价</w:t>
            </w:r>
          </w:p>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（元）</w:t>
            </w:r>
          </w:p>
        </w:tc>
        <w:tc>
          <w:tcPr>
            <w:tcW w:w="2986"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1397"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862" w:type="dxa"/>
            <w:vAlign w:val="center"/>
          </w:tcPr>
          <w:p>
            <w:pPr>
              <w:spacing w:line="240" w:lineRule="auto"/>
              <w:rPr>
                <w:rFonts w:hint="eastAsia" w:asciiTheme="minorEastAsia" w:hAnsiTheme="minorEastAsia" w:eastAsiaTheme="minorEastAsia" w:cstheme="minorEastAsia"/>
                <w:i w:val="0"/>
                <w:iCs w:val="0"/>
                <w:color w:val="auto"/>
                <w:sz w:val="24"/>
                <w:highlight w:val="none"/>
              </w:rPr>
            </w:pP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p>
        </w:tc>
        <w:tc>
          <w:tcPr>
            <w:tcW w:w="2986" w:type="dxa"/>
            <w:vAlign w:val="center"/>
          </w:tcPr>
          <w:p>
            <w:pPr>
              <w:tabs>
                <w:tab w:val="left" w:pos="9135"/>
              </w:tabs>
              <w:spacing w:line="240" w:lineRule="auto"/>
              <w:jc w:val="center"/>
              <w:rPr>
                <w:rFonts w:hint="default" w:asciiTheme="minorEastAsia" w:hAnsiTheme="minorEastAsia" w:eastAsiaTheme="minorEastAsia" w:cstheme="minorEastAsia"/>
                <w:i w:val="0"/>
                <w:iCs w:val="0"/>
                <w:color w:val="auto"/>
                <w:sz w:val="24"/>
                <w:highlight w:val="none"/>
                <w:lang w:val="en-US"/>
              </w:rPr>
            </w:pPr>
          </w:p>
        </w:tc>
        <w:tc>
          <w:tcPr>
            <w:tcW w:w="1397" w:type="dxa"/>
            <w:vAlign w:val="center"/>
          </w:tcPr>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c>
      </w:tr>
    </w:tbl>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注：1、</w:t>
      </w:r>
      <w:r>
        <w:rPr>
          <w:rFonts w:hint="eastAsia" w:asciiTheme="minorEastAsia" w:hAnsiTheme="minorEastAsia" w:eastAsiaTheme="minorEastAsia" w:cstheme="minorEastAsia"/>
          <w:i w:val="0"/>
          <w:iCs w:val="0"/>
          <w:color w:val="auto"/>
          <w:sz w:val="24"/>
          <w:szCs w:val="24"/>
          <w:highlight w:val="none"/>
        </w:rPr>
        <w:t>报价包括项目实施所需的人工费、服务费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税费及其他一切费用。</w:t>
      </w:r>
    </w:p>
    <w:p>
      <w:pPr>
        <w:pStyle w:val="14"/>
        <w:numPr>
          <w:ilvl w:val="0"/>
          <w:numId w:val="0"/>
        </w:numPr>
        <w:spacing w:line="240" w:lineRule="auto"/>
        <w:ind w:leftChars="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numPr>
          <w:ilvl w:val="0"/>
          <w:numId w:val="0"/>
        </w:numPr>
        <w:spacing w:line="240" w:lineRule="auto"/>
        <w:ind w:leftChars="0"/>
        <w:rPr>
          <w:rFonts w:hint="eastAsia" w:asciiTheme="minorEastAsia" w:hAnsiTheme="minorEastAsia" w:eastAsiaTheme="minorEastAsia" w:cstheme="minorEastAsia"/>
          <w:b/>
          <w:bCs/>
          <w:i w:val="0"/>
          <w:iCs w:val="0"/>
          <w:color w:val="auto"/>
          <w:kern w:val="2"/>
          <w:sz w:val="28"/>
          <w:szCs w:val="28"/>
          <w:highlight w:val="none"/>
          <w:lang w:val="en-US" w:eastAsia="zh-CN" w:bidi="ar-SA"/>
        </w:rPr>
      </w:pPr>
      <w:r>
        <w:rPr>
          <w:rFonts w:hint="eastAsia" w:asciiTheme="minorEastAsia" w:hAnsiTheme="minorEastAsia" w:eastAsiaTheme="minorEastAsia" w:cstheme="minorEastAsia"/>
          <w:b/>
          <w:bCs/>
          <w:i w:val="0"/>
          <w:iCs w:val="0"/>
          <w:color w:val="auto"/>
          <w:kern w:val="2"/>
          <w:sz w:val="28"/>
          <w:szCs w:val="28"/>
          <w:highlight w:val="none"/>
          <w:lang w:val="en-US" w:eastAsia="zh-CN" w:bidi="ar-SA"/>
        </w:rPr>
        <w:t>3、本页最终报价表由供应商在磋商现场依磋商情况填写，请加盖公章后带至磋商现场备填(不需装订在响应文件内)</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 （加盖公章）</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法定代表人签字或盖章：</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授权代表签字或盖章：</w:t>
      </w:r>
    </w:p>
    <w:p>
      <w:pPr>
        <w:pStyle w:val="14"/>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签署日期：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年   月  日</w:t>
      </w: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4"/>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sectPr>
          <w:type w:val="continuous"/>
          <w:pgSz w:w="11906" w:h="16838"/>
          <w:pgMar w:top="1103" w:right="886" w:bottom="1276" w:left="9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14"/>
        <w:spacing w:line="240" w:lineRule="auto"/>
        <w:rPr>
          <w:rFonts w:hint="eastAsia" w:asciiTheme="minorEastAsia" w:hAnsiTheme="minorEastAsia" w:eastAsiaTheme="minorEastAsia" w:cstheme="minorEastAsia"/>
          <w:b/>
          <w:bCs/>
          <w:i w:val="0"/>
          <w:iCs w:val="0"/>
          <w:color w:val="auto"/>
          <w:sz w:val="24"/>
          <w:highlight w:val="none"/>
        </w:rPr>
      </w:pPr>
    </w:p>
    <w:p>
      <w:pPr>
        <w:spacing w:line="24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投标分项报价明细表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p>
    <w:tbl>
      <w:tblPr>
        <w:tblStyle w:val="3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9337"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注：格式自拟，内容包括：规格、型号、技术参数、</w:t>
            </w:r>
            <w:r>
              <w:rPr>
                <w:rFonts w:hint="eastAsia" w:asciiTheme="minorEastAsia" w:hAnsiTheme="minorEastAsia" w:eastAsiaTheme="minorEastAsia" w:cstheme="minorEastAsia"/>
                <w:bCs/>
                <w:color w:val="auto"/>
                <w:sz w:val="24"/>
                <w:szCs w:val="24"/>
                <w:highlight w:val="none"/>
              </w:rPr>
              <w:t>产地、品牌、</w:t>
            </w:r>
            <w:r>
              <w:rPr>
                <w:rFonts w:hint="eastAsia" w:asciiTheme="minorEastAsia" w:hAnsiTheme="minorEastAsia" w:eastAsiaTheme="minorEastAsia" w:cstheme="minorEastAsia"/>
                <w:color w:val="auto"/>
                <w:sz w:val="24"/>
                <w:szCs w:val="24"/>
                <w:highlight w:val="none"/>
              </w:rPr>
              <w:t>供货厂商名称、</w:t>
            </w:r>
            <w:r>
              <w:rPr>
                <w:rFonts w:hint="eastAsia" w:asciiTheme="minorEastAsia" w:hAnsiTheme="minorEastAsia" w:eastAsiaTheme="minorEastAsia" w:cstheme="minorEastAsia"/>
                <w:bCs/>
                <w:color w:val="auto"/>
                <w:sz w:val="24"/>
                <w:szCs w:val="24"/>
                <w:highlight w:val="none"/>
              </w:rPr>
              <w:t>价格、运保、安装、调试费等</w:t>
            </w:r>
            <w:r>
              <w:rPr>
                <w:rFonts w:hint="eastAsia" w:asciiTheme="minorEastAsia" w:hAnsiTheme="minorEastAsia" w:eastAsiaTheme="minorEastAsia" w:cstheme="minorEastAsia"/>
                <w:color w:val="auto"/>
                <w:sz w:val="24"/>
                <w:szCs w:val="24"/>
                <w:highlight w:val="none"/>
              </w:rPr>
              <w:t>，如果不提供详细报价将视为没有实质性响应招标文件。</w:t>
            </w:r>
          </w:p>
        </w:tc>
      </w:tr>
    </w:tbl>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供应商法定代表人</w:t>
      </w:r>
      <w:r>
        <w:rPr>
          <w:rFonts w:hint="eastAsia" w:asciiTheme="minorEastAsia" w:hAnsiTheme="minorEastAsia" w:eastAsiaTheme="minorEastAsia" w:cstheme="minorEastAsia"/>
          <w:color w:val="auto"/>
          <w:sz w:val="24"/>
          <w:szCs w:val="24"/>
          <w:highlight w:val="none"/>
        </w:rPr>
        <w:t>或授权代表签字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供应商名称（加</w:t>
      </w:r>
      <w:r>
        <w:rPr>
          <w:rFonts w:hint="eastAsia" w:asciiTheme="minorEastAsia" w:hAnsiTheme="minorEastAsia" w:eastAsiaTheme="minorEastAsia" w:cstheme="minorEastAsia"/>
          <w:color w:val="auto"/>
          <w:sz w:val="24"/>
          <w:szCs w:val="24"/>
          <w:highlight w:val="none"/>
        </w:rPr>
        <w:t>盖</w:t>
      </w:r>
      <w:r>
        <w:rPr>
          <w:rFonts w:hint="eastAsia" w:asciiTheme="minorEastAsia" w:hAnsiTheme="minorEastAsia" w:eastAsiaTheme="minorEastAsia" w:cstheme="minorEastAsia"/>
          <w:color w:val="auto"/>
          <w:sz w:val="24"/>
          <w:szCs w:val="24"/>
          <w:highlight w:val="none"/>
          <w:lang w:eastAsia="zh-CN"/>
        </w:rPr>
        <w:t>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p>
    <w:p>
      <w:pPr>
        <w:pStyle w:val="14"/>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1"/>
          <w:highlight w:val="none"/>
        </w:rPr>
        <w:t>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12"/>
        <w:spacing w:line="240" w:lineRule="auto"/>
        <w:rPr>
          <w:rFonts w:hint="eastAsia" w:asciiTheme="minorEastAsia" w:hAnsiTheme="minorEastAsia" w:eastAsiaTheme="minorEastAsia" w:cstheme="minorEastAsia"/>
          <w:color w:val="auto"/>
          <w:highlight w:val="none"/>
        </w:rPr>
      </w:pPr>
    </w:p>
    <w:p>
      <w:pPr>
        <w:pStyle w:val="12"/>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3</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8"/>
          <w:szCs w:val="21"/>
          <w:highlight w:val="none"/>
        </w:rPr>
        <w:t>法</w:t>
      </w:r>
      <w:r>
        <w:rPr>
          <w:rFonts w:hint="eastAsia" w:asciiTheme="minorEastAsia" w:hAnsiTheme="minorEastAsia" w:eastAsiaTheme="minorEastAsia" w:cstheme="minorEastAsia"/>
          <w:b/>
          <w:bCs/>
          <w:i w:val="0"/>
          <w:iCs w:val="0"/>
          <w:color w:val="auto"/>
          <w:sz w:val="28"/>
          <w:szCs w:val="21"/>
          <w:highlight w:val="none"/>
          <w:lang w:eastAsia="zh-CN"/>
        </w:rPr>
        <w:t>定代表人</w:t>
      </w:r>
      <w:r>
        <w:rPr>
          <w:rFonts w:hint="eastAsia" w:asciiTheme="minorEastAsia" w:hAnsiTheme="minorEastAsia" w:eastAsiaTheme="minorEastAsia" w:cstheme="minorEastAsia"/>
          <w:b/>
          <w:bCs/>
          <w:i w:val="0"/>
          <w:iCs w:val="0"/>
          <w:color w:val="auto"/>
          <w:sz w:val="28"/>
          <w:szCs w:val="21"/>
          <w:highlight w:val="none"/>
        </w:rPr>
        <w:t>授权书格式</w:t>
      </w:r>
    </w:p>
    <w:p>
      <w:pPr>
        <w:pStyle w:val="18"/>
        <w:spacing w:line="240" w:lineRule="auto"/>
        <w:rPr>
          <w:rFonts w:hint="eastAsia" w:asciiTheme="minorEastAsia" w:hAnsiTheme="minorEastAsia" w:eastAsiaTheme="minorEastAsia" w:cstheme="minorEastAsia"/>
          <w:i w:val="0"/>
          <w:iCs w:val="0"/>
          <w:color w:val="auto"/>
          <w:highlight w:val="none"/>
        </w:rPr>
      </w:pPr>
    </w:p>
    <w:p>
      <w:pPr>
        <w:pStyle w:val="18"/>
        <w:spacing w:line="240" w:lineRule="auto"/>
        <w:rPr>
          <w:rFonts w:hint="eastAsia" w:asciiTheme="minorEastAsia" w:hAnsiTheme="minorEastAsia" w:eastAsiaTheme="minorEastAsia" w:cstheme="minorEastAsia"/>
          <w:i w:val="0"/>
          <w:iCs w:val="0"/>
          <w:color w:val="auto"/>
          <w:highlight w:val="none"/>
          <w:lang w:eastAsia="zh-CN"/>
        </w:rPr>
      </w:pPr>
      <w:r>
        <w:rPr>
          <w:rFonts w:hint="eastAsia" w:asciiTheme="minorEastAsia" w:hAnsiTheme="minorEastAsia" w:eastAsiaTheme="minorEastAsia" w:cstheme="minorEastAsia"/>
          <w:i w:val="0"/>
          <w:iCs w:val="0"/>
          <w:color w:val="auto"/>
          <w:highlight w:val="none"/>
        </w:rPr>
        <w:t>本授权书声明：注册于（地区的名称）的（公司名称）的在下面签字的（法</w:t>
      </w:r>
      <w:r>
        <w:rPr>
          <w:rFonts w:hint="eastAsia" w:asciiTheme="minorEastAsia" w:hAnsiTheme="minorEastAsia" w:eastAsiaTheme="minorEastAsia" w:cstheme="minorEastAsia"/>
          <w:i w:val="0"/>
          <w:iCs w:val="0"/>
          <w:color w:val="auto"/>
          <w:highlight w:val="none"/>
          <w:lang w:eastAsia="zh-CN"/>
        </w:rPr>
        <w:t>定</w:t>
      </w:r>
      <w:r>
        <w:rPr>
          <w:rFonts w:hint="eastAsia" w:asciiTheme="minorEastAsia" w:hAnsiTheme="minorEastAsia" w:eastAsiaTheme="minorEastAsia" w:cstheme="minorEastAsia"/>
          <w:i w:val="0"/>
          <w:iCs w:val="0"/>
          <w:color w:val="auto"/>
          <w:highlight w:val="none"/>
        </w:rPr>
        <w:t>代表人姓名、职务）代表本公司授权（单位名称）的在下面签字的（被授权人的姓名、职务）为本公司的合法代理人，就（项目名称、项目编号）的磋商，以本公司的名义处理一切与之有关的事务。</w:t>
      </w:r>
      <w:r>
        <w:rPr>
          <w:rFonts w:hint="eastAsia" w:asciiTheme="minorEastAsia" w:hAnsiTheme="minorEastAsia" w:eastAsiaTheme="minorEastAsia" w:cstheme="minorEastAsia"/>
          <w:i w:val="0"/>
          <w:iCs w:val="0"/>
          <w:color w:val="auto"/>
          <w:highlight w:val="none"/>
          <w:lang w:eastAsia="zh-CN"/>
        </w:rPr>
        <w:t>（）</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本授权书于　　　　　　年　　　月　　日签字生效，特此声明。</w:t>
      </w:r>
    </w:p>
    <w:p>
      <w:pPr>
        <w:spacing w:line="240" w:lineRule="auto"/>
        <w:ind w:firstLine="480"/>
        <w:rPr>
          <w:rFonts w:hint="eastAsia" w:asciiTheme="minorEastAsia" w:hAnsiTheme="minorEastAsia" w:eastAsiaTheme="minorEastAsia" w:cstheme="minorEastAsia"/>
          <w:i w:val="0"/>
          <w:iCs w:val="0"/>
          <w:color w:val="auto"/>
          <w:sz w:val="24"/>
          <w:highlight w:val="none"/>
          <w:lang w:eastAsia="zh-CN"/>
        </w:rPr>
      </w:pPr>
    </w:p>
    <w:p>
      <w:pPr>
        <w:spacing w:line="240" w:lineRule="auto"/>
        <w:ind w:firstLine="480"/>
        <w:rPr>
          <w:rFonts w:hint="eastAsia" w:asciiTheme="minorEastAsia" w:hAnsiTheme="minorEastAsia" w:eastAsiaTheme="minorEastAsia" w:cstheme="minorEastAsia"/>
          <w:i w:val="0"/>
          <w:iCs w:val="0"/>
          <w:color w:val="auto"/>
          <w:sz w:val="24"/>
          <w:highlight w:val="none"/>
          <w:lang w:eastAsia="zh-CN"/>
        </w:rPr>
      </w:pPr>
    </w:p>
    <w:p>
      <w:pPr>
        <w:spacing w:line="240" w:lineRule="auto"/>
        <w:ind w:firstLine="480"/>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lang w:eastAsia="zh-CN"/>
        </w:rPr>
        <w:t>（附：法人、授权委托人身份证正、反面）</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w:t>
      </w:r>
      <w:r>
        <w:rPr>
          <w:rFonts w:hint="eastAsia" w:asciiTheme="minorEastAsia" w:hAnsiTheme="minorEastAsia" w:eastAsiaTheme="minorEastAsia" w:cstheme="minorEastAsia"/>
          <w:i w:val="0"/>
          <w:iCs w:val="0"/>
          <w:color w:val="auto"/>
          <w:sz w:val="24"/>
          <w:highlight w:val="none"/>
          <w:lang w:eastAsia="zh-CN"/>
        </w:rPr>
        <w:t>定代表</w:t>
      </w:r>
      <w:r>
        <w:rPr>
          <w:rFonts w:hint="eastAsia" w:asciiTheme="minorEastAsia" w:hAnsiTheme="minorEastAsia" w:eastAsiaTheme="minorEastAsia" w:cstheme="minorEastAsia"/>
          <w:i w:val="0"/>
          <w:iCs w:val="0"/>
          <w:color w:val="auto"/>
          <w:sz w:val="24"/>
          <w:highlight w:val="none"/>
        </w:rPr>
        <w:t>人签字</w:t>
      </w:r>
      <w:r>
        <w:rPr>
          <w:rFonts w:hint="eastAsia" w:asciiTheme="minorEastAsia" w:hAnsiTheme="minorEastAsia" w:eastAsiaTheme="minorEastAsia" w:cstheme="minorEastAsia"/>
          <w:i w:val="0"/>
          <w:iCs w:val="0"/>
          <w:color w:val="auto"/>
          <w:sz w:val="24"/>
          <w:highlight w:val="none"/>
          <w:lang w:eastAsia="zh-CN"/>
        </w:rPr>
        <w:t>或盖章：</w:t>
      </w:r>
      <w:r>
        <w:rPr>
          <w:rFonts w:hint="eastAsia" w:asciiTheme="minorEastAsia" w:hAnsiTheme="minorEastAsia" w:eastAsiaTheme="minorEastAsia" w:cstheme="minorEastAsia"/>
          <w:i w:val="0"/>
          <w:iCs w:val="0"/>
          <w:color w:val="auto"/>
          <w:sz w:val="24"/>
          <w:highlight w:val="none"/>
        </w:rPr>
        <w:t>　　　　　　　　　　　　　　　　　</w:t>
      </w: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被授权人签字</w:t>
      </w:r>
      <w:r>
        <w:rPr>
          <w:rFonts w:hint="eastAsia" w:asciiTheme="minorEastAsia" w:hAnsiTheme="minorEastAsia" w:eastAsiaTheme="minorEastAsia" w:cstheme="minorEastAsia"/>
          <w:i w:val="0"/>
          <w:iCs w:val="0"/>
          <w:color w:val="auto"/>
          <w:sz w:val="24"/>
          <w:highlight w:val="none"/>
          <w:lang w:eastAsia="zh-CN"/>
        </w:rPr>
        <w:t>或盖章：</w:t>
      </w:r>
      <w:r>
        <w:rPr>
          <w:rFonts w:hint="eastAsia" w:asciiTheme="minorEastAsia" w:hAnsiTheme="minorEastAsia" w:eastAsiaTheme="minorEastAsia" w:cstheme="minorEastAsia"/>
          <w:i w:val="0"/>
          <w:iCs w:val="0"/>
          <w:color w:val="auto"/>
          <w:sz w:val="24"/>
          <w:highlight w:val="none"/>
        </w:rPr>
        <w:t>　　　　　　　　　　　　　　　　</w:t>
      </w: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公        章：                                      </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注：凡公司法</w:t>
      </w:r>
      <w:r>
        <w:rPr>
          <w:rFonts w:hint="eastAsia" w:asciiTheme="minorEastAsia" w:hAnsiTheme="minorEastAsia" w:eastAsiaTheme="minorEastAsia" w:cstheme="minorEastAsia"/>
          <w:i w:val="0"/>
          <w:iCs w:val="0"/>
          <w:color w:val="auto"/>
          <w:sz w:val="24"/>
          <w:highlight w:val="none"/>
          <w:lang w:eastAsia="zh-CN"/>
        </w:rPr>
        <w:t>定代表</w:t>
      </w:r>
      <w:r>
        <w:rPr>
          <w:rFonts w:hint="eastAsia" w:asciiTheme="minorEastAsia" w:hAnsiTheme="minorEastAsia" w:eastAsiaTheme="minorEastAsia" w:cstheme="minorEastAsia"/>
          <w:i w:val="0"/>
          <w:iCs w:val="0"/>
          <w:color w:val="auto"/>
          <w:sz w:val="24"/>
          <w:highlight w:val="none"/>
        </w:rPr>
        <w:t>人前来参加磋商的供应商，可以不提供此项证明文件。</w:t>
      </w: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i w:val="0"/>
          <w:iCs w:val="0"/>
          <w:color w:val="auto"/>
          <w:sz w:val="22"/>
          <w:szCs w:val="22"/>
          <w:highlight w:val="none"/>
        </w:rPr>
      </w:pPr>
      <w:r>
        <w:rPr>
          <w:rFonts w:hint="eastAsia" w:asciiTheme="minorEastAsia" w:hAnsiTheme="minorEastAsia" w:eastAsiaTheme="minorEastAsia" w:cstheme="minorEastAsia"/>
          <w:b/>
          <w:bCs/>
          <w:i w:val="0"/>
          <w:iCs w:val="0"/>
          <w:color w:val="auto"/>
          <w:sz w:val="28"/>
          <w:szCs w:val="21"/>
          <w:highlight w:val="none"/>
          <w:lang w:val="en-US" w:eastAsia="zh-CN"/>
        </w:rPr>
        <w:t>法定代表人身 份证明书</w:t>
      </w: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企业名称：</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lang w:val="zh-CN"/>
        </w:rPr>
        <w:t>企业类型：</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地</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zh-CN"/>
        </w:rPr>
        <w:t>址：</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营业期限：</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成立时间：</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姓名：</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性别：</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年龄：</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职务：</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系</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（投标人名称）</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的法定代表人。</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特此证明。</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（附法定代表人身份证正、反面）</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供应商：</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lang w:val="zh-CN"/>
        </w:rPr>
        <w:t>盖章</w:t>
      </w:r>
      <w:r>
        <w:rPr>
          <w:rFonts w:hint="eastAsia" w:ascii="宋体" w:hAnsi="宋体" w:eastAsia="宋体" w:cs="宋体"/>
          <w:color w:val="auto"/>
          <w:kern w:val="2"/>
          <w:sz w:val="24"/>
          <w:szCs w:val="24"/>
          <w:highlight w:val="none"/>
          <w:lang w:val="en-US" w:eastAsia="zh-CN" w:bidi="ar-SA"/>
        </w:rPr>
        <w:t>）</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r>
        <w:rPr>
          <w:rFonts w:hint="eastAsia" w:asciiTheme="minorEastAsia" w:hAnsiTheme="minorEastAsia" w:eastAsiaTheme="minorEastAsia" w:cstheme="minorEastAsia"/>
          <w:i w:val="0"/>
          <w:iCs w:val="0"/>
          <w:color w:val="auto"/>
          <w:sz w:val="24"/>
          <w:highlight w:val="none"/>
          <w:lang w:val="zh-CN"/>
        </w:rPr>
        <w:t>日</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zh-CN"/>
        </w:rPr>
        <w:t>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年</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月</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日</w:t>
      </w:r>
    </w:p>
    <w:p>
      <w:pPr>
        <w:spacing w:line="240" w:lineRule="auto"/>
        <w:jc w:val="both"/>
        <w:rPr>
          <w:rFonts w:hint="eastAsia" w:asciiTheme="minorEastAsia" w:hAnsiTheme="minorEastAsia" w:eastAsiaTheme="minorEastAsia" w:cstheme="minorEastAsia"/>
          <w:i w:val="0"/>
          <w:iCs w:val="0"/>
          <w:color w:val="auto"/>
          <w:sz w:val="24"/>
          <w:highlight w:val="none"/>
        </w:rPr>
      </w:pPr>
    </w:p>
    <w:p>
      <w:pPr>
        <w:spacing w:line="240" w:lineRule="auto"/>
        <w:jc w:val="both"/>
        <w:rPr>
          <w:rFonts w:hint="eastAsia" w:asciiTheme="minorEastAsia" w:hAnsiTheme="minorEastAsia" w:eastAsiaTheme="minorEastAsia" w:cstheme="minorEastAsia"/>
          <w:i w:val="0"/>
          <w:iCs w:val="0"/>
          <w:color w:val="auto"/>
          <w:sz w:val="24"/>
          <w:highlight w:val="none"/>
        </w:rPr>
      </w:pPr>
    </w:p>
    <w:p>
      <w:pPr>
        <w:pStyle w:val="14"/>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4"/>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4"/>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4"/>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4"/>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pStyle w:val="17"/>
        <w:spacing w:line="240" w:lineRule="auto"/>
        <w:jc w:val="center"/>
        <w:rPr>
          <w:rFonts w:hint="eastAsia" w:asciiTheme="minorEastAsia" w:hAnsiTheme="minorEastAsia" w:eastAsiaTheme="minorEastAsia" w:cstheme="minorEastAsia"/>
          <w:b/>
          <w:bCs/>
          <w:i w:val="0"/>
          <w:iCs w:val="0"/>
          <w:color w:val="auto"/>
          <w:kern w:val="2"/>
          <w:sz w:val="28"/>
          <w:szCs w:val="21"/>
          <w:highlight w:val="none"/>
          <w:lang w:val="en-US" w:eastAsia="zh-CN" w:bidi="ar-SA"/>
        </w:rPr>
      </w:pPr>
      <w:r>
        <w:rPr>
          <w:rFonts w:hint="eastAsia" w:asciiTheme="minorEastAsia" w:hAnsiTheme="minorEastAsia" w:eastAsiaTheme="minorEastAsia" w:cstheme="minorEastAsia"/>
          <w:b/>
          <w:bCs/>
          <w:i w:val="0"/>
          <w:iCs w:val="0"/>
          <w:color w:val="auto"/>
          <w:kern w:val="2"/>
          <w:sz w:val="28"/>
          <w:szCs w:val="21"/>
          <w:highlight w:val="none"/>
          <w:lang w:val="en-US" w:eastAsia="zh-CN" w:bidi="ar-SA"/>
        </w:rPr>
        <w:t>（4）磋商保证金缴纳凭证</w:t>
      </w:r>
    </w:p>
    <w:p>
      <w:pPr>
        <w:pStyle w:val="17"/>
        <w:spacing w:line="240" w:lineRule="auto"/>
        <w:rPr>
          <w:rFonts w:hint="eastAsia" w:asciiTheme="minorEastAsia" w:hAnsiTheme="minorEastAsia" w:eastAsiaTheme="minorEastAsia" w:cstheme="minorEastAsia"/>
          <w:b/>
          <w:bCs/>
          <w:i w:val="0"/>
          <w:iCs w:val="0"/>
          <w:color w:val="auto"/>
          <w:kern w:val="2"/>
          <w:sz w:val="24"/>
          <w:highlight w:val="none"/>
          <w:lang w:val="en-US" w:eastAsia="zh-CN" w:bidi="ar-SA"/>
        </w:rPr>
      </w:pPr>
    </w:p>
    <w:p>
      <w:pPr>
        <w:pStyle w:val="17"/>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致：（采购人）</w:t>
      </w:r>
    </w:p>
    <w:p>
      <w:pPr>
        <w:pStyle w:val="17"/>
        <w:spacing w:line="24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我方于</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 xml:space="preserve"> 日参加</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u w:val="single"/>
        </w:rPr>
        <w:t xml:space="preserve">（项目名称）   </w:t>
      </w:r>
      <w:r>
        <w:rPr>
          <w:rFonts w:hint="eastAsia" w:asciiTheme="minorEastAsia" w:hAnsiTheme="minorEastAsia" w:eastAsiaTheme="minorEastAsia" w:cstheme="minorEastAsia"/>
          <w:bCs/>
          <w:color w:val="auto"/>
          <w:sz w:val="24"/>
          <w:highlight w:val="none"/>
        </w:rPr>
        <w:t>的</w:t>
      </w:r>
      <w:r>
        <w:rPr>
          <w:rFonts w:hint="eastAsia" w:asciiTheme="minorEastAsia" w:hAnsiTheme="minorEastAsia" w:eastAsiaTheme="minorEastAsia" w:cstheme="minorEastAsia"/>
          <w:bCs/>
          <w:color w:val="auto"/>
          <w:sz w:val="24"/>
          <w:highlight w:val="none"/>
          <w:lang w:eastAsia="zh-CN"/>
        </w:rPr>
        <w:t>竞争性磋商</w:t>
      </w:r>
      <w:r>
        <w:rPr>
          <w:rFonts w:hint="eastAsia" w:asciiTheme="minorEastAsia" w:hAnsiTheme="minorEastAsia" w:eastAsiaTheme="minorEastAsia" w:cstheme="minorEastAsia"/>
          <w:bCs/>
          <w:color w:val="auto"/>
          <w:sz w:val="24"/>
          <w:highlight w:val="none"/>
        </w:rPr>
        <w:t>，现保证：我方在规定的投标有效期内撤销或修改</w:t>
      </w: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文件的，或者在收到成交通知书后无正当理由拒签合同或拒交规定履约担保的，</w:t>
      </w: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保证金不予退还。</w:t>
      </w:r>
    </w:p>
    <w:p>
      <w:pPr>
        <w:pStyle w:val="17"/>
        <w:spacing w:line="240" w:lineRule="auto"/>
        <w:ind w:firstLine="480" w:firstLineChars="200"/>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p>
    <w:p>
      <w:pPr>
        <w:pStyle w:val="17"/>
        <w:spacing w:line="24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磋商保证金汇款</w:t>
      </w:r>
      <w:r>
        <w:rPr>
          <w:rFonts w:hint="eastAsia" w:asciiTheme="minorEastAsia" w:hAnsiTheme="minorEastAsia" w:eastAsiaTheme="minorEastAsia" w:cstheme="minorEastAsia"/>
          <w:bCs/>
          <w:color w:val="auto"/>
          <w:sz w:val="24"/>
          <w:highlight w:val="none"/>
          <w:lang w:val="en-US" w:eastAsia="zh-CN"/>
        </w:rPr>
        <w:t>凭证</w:t>
      </w:r>
      <w:r>
        <w:rPr>
          <w:rFonts w:hint="eastAsia" w:asciiTheme="minorEastAsia" w:hAnsiTheme="minorEastAsia" w:eastAsiaTheme="minorEastAsia" w:cstheme="minorEastAsia"/>
          <w:bCs/>
          <w:color w:val="auto"/>
          <w:sz w:val="24"/>
          <w:highlight w:val="none"/>
        </w:rPr>
        <w:t>（复印件应附在</w:t>
      </w:r>
      <w:r>
        <w:rPr>
          <w:rFonts w:hint="eastAsia" w:asciiTheme="minorEastAsia" w:hAnsiTheme="minorEastAsia" w:eastAsiaTheme="minorEastAsia" w:cstheme="minorEastAsia"/>
          <w:bCs/>
          <w:color w:val="auto"/>
          <w:sz w:val="24"/>
          <w:highlight w:val="none"/>
          <w:lang w:eastAsia="zh-CN"/>
        </w:rPr>
        <w:t>响应</w:t>
      </w:r>
      <w:r>
        <w:rPr>
          <w:rFonts w:hint="eastAsia" w:asciiTheme="minorEastAsia" w:hAnsiTheme="minorEastAsia" w:eastAsiaTheme="minorEastAsia" w:cstheme="minorEastAsia"/>
          <w:bCs/>
          <w:color w:val="auto"/>
          <w:sz w:val="24"/>
          <w:highlight w:val="none"/>
        </w:rPr>
        <w:t>文件中）</w:t>
      </w:r>
    </w:p>
    <w:p>
      <w:pPr>
        <w:pStyle w:val="17"/>
        <w:spacing w:line="240" w:lineRule="auto"/>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pict>
          <v:group id="_x0000_s1026" o:spid="_x0000_s1026" o:spt="203" style="height:179.5pt;width:453pt;" coordsize="7425,5060203">
            <o:lock v:ext="edit" rotation="t"/>
            <v:group id="组合 89" o:spid="_x0000_s1027" o:spt="203" style="position:absolute;left:0;top:0;height:5060;width:7425;" coordsize="7425,506020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v:shape id="_x0000_s1028" o:spid="_x0000_s1028"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483,19l412,19,426,0,497,0,483,19xe">
                <v:path o:connecttype="segments"/>
                <v:fill on="t" focussize="0,0"/>
                <v:stroke on="f" joinstyle="round"/>
                <v:imagedata o:title=""/>
                <o:lock v:ext="edit"/>
              </v:shape>
              <v:shape id="_x0000_s1029" o:spid="_x0000_s1029"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7011,19l6940,19,6926,0,6998,0,7011,19xe">
                <v:path o:connecttype="segments"/>
                <v:fill on="t" focussize="0,0"/>
                <v:stroke on="f" joinstyle="round"/>
                <v:imagedata o:title=""/>
                <o:lock v:ext="edit"/>
              </v:shape>
              <v:shape id="_x0000_s1030" o:spid="_x0000_s1030"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390,39l346,39,359,19,403,19,390,39xe">
                <v:path o:connecttype="segments"/>
                <v:fill on="t" focussize="0,0"/>
                <v:stroke on="f" joinstyle="round"/>
                <v:imagedata o:title=""/>
                <o:lock v:ext="edit"/>
              </v:shape>
              <v:shape id="_x0000_s1031" o:spid="_x0000_s1031"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7077,39l7033,39,7020,19,7064,19,7077,39xe">
                <v:path o:connecttype="segments"/>
                <v:fill on="t" focussize="0,0"/>
                <v:stroke on="f" joinstyle="round"/>
                <v:imagedata o:title=""/>
                <o:lock v:ext="edit"/>
              </v:shape>
              <v:shape id="_x0000_s1032" o:spid="_x0000_s1032"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340,59l309,59,321,39,352,39,340,59xe">
                <v:path o:connecttype="segments"/>
                <v:fill on="t" focussize="0,0"/>
                <v:stroke on="f" joinstyle="round"/>
                <v:imagedata o:title=""/>
                <o:lock v:ext="edit"/>
              </v:shape>
              <v:shape id="_x0000_s1033" o:spid="_x0000_s1033"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7115,59l7084,59,7071,39,7102,39,7115,59xe">
                <v:path o:connecttype="segments"/>
                <v:fill on="t" focussize="0,0"/>
                <v:stroke on="f" joinstyle="round"/>
                <v:imagedata o:title=""/>
                <o:lock v:ext="edit"/>
              </v:shape>
              <v:shape id="_x0000_s1034" o:spid="_x0000_s1034"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304,79l273,79,285,59,316,59,304,79xe">
                <v:path o:connecttype="segments"/>
                <v:fill on="t" focussize="0,0"/>
                <v:stroke on="f" joinstyle="round"/>
                <v:imagedata o:title=""/>
                <o:lock v:ext="edit"/>
              </v:shape>
              <v:shape id="_x0000_s1035" o:spid="_x0000_s1035"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7151,79l7120,79,7108,59,7139,59,7151,79xe">
                <v:path o:connecttype="segments"/>
                <v:fill on="t" focussize="0,0"/>
                <v:stroke on="f" joinstyle="round"/>
                <v:imagedata o:title=""/>
                <o:lock v:ext="edit"/>
              </v:shape>
              <v:shape id="_x0000_s1036" o:spid="_x0000_s103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269,99l239,99,250,79,281,79,269,99xe">
                <v:path o:connecttype="segments"/>
                <v:fill on="t" focussize="0,0"/>
                <v:stroke on="f" joinstyle="round"/>
                <v:imagedata o:title=""/>
                <o:lock v:ext="edit"/>
              </v:shape>
              <v:shape id="_x0000_s1037" o:spid="_x0000_s1037"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7185,99l7154,99,7143,79,7174,79,7185,99xe">
                <v:path o:connecttype="segments"/>
                <v:fill on="t" focussize="0,0"/>
                <v:stroke on="f" joinstyle="round"/>
                <v:imagedata o:title=""/>
                <o:lock v:ext="edit"/>
              </v:shape>
              <v:shape id="_x0000_s1038" o:spid="_x0000_s1038"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237,119l217,119,228,99,247,99,237,119xe">
                <v:path o:connecttype="segments"/>
                <v:fill on="t" focussize="0,0"/>
                <v:stroke on="f" joinstyle="round"/>
                <v:imagedata o:title=""/>
                <o:lock v:ext="edit"/>
              </v:shape>
              <v:shape id="_x0000_s1039" o:spid="_x0000_s1039"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7207,119l7187,119,7176,99,7196,99,7207,119xe">
                <v:path o:connecttype="segments"/>
                <v:fill on="t" focussize="0,0"/>
                <v:stroke on="f" joinstyle="round"/>
                <v:imagedata o:title=""/>
                <o:lock v:ext="edit"/>
              </v:shape>
              <v:shape id="_x0000_s1040" o:spid="_x0000_s1040"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216,139l186,139,196,119,226,119,216,139xe">
                <v:path o:connecttype="segments"/>
                <v:fill on="t" focussize="0,0"/>
                <v:stroke on="f" joinstyle="round"/>
                <v:imagedata o:title=""/>
                <o:lock v:ext="edit"/>
              </v:shape>
              <v:shape id="_x0000_s1041" o:spid="_x0000_s1041"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7238,139l7208,139,7197,119,7228,119,7238,139xe">
                <v:path o:connecttype="segments"/>
                <v:fill on="t" focussize="0,0"/>
                <v:stroke on="f" joinstyle="round"/>
                <v:imagedata o:title=""/>
                <o:lock v:ext="edit"/>
              </v:shape>
              <v:shape id="_x0000_s1042" o:spid="_x0000_s1042"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186,159l166,159,176,139,196,139,186,159xe">
                <v:path o:connecttype="segments"/>
                <v:fill on="t" focussize="0,0"/>
                <v:stroke on="f" joinstyle="round"/>
                <v:imagedata o:title=""/>
                <o:lock v:ext="edit"/>
              </v:shape>
              <v:shape id="_x0000_s1043" o:spid="_x0000_s1043"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7258,159l7238,159,7228,139,7248,139,7258,159xe">
                <v:path o:connecttype="segments"/>
                <v:fill on="t" focussize="0,0"/>
                <v:stroke on="f" joinstyle="round"/>
                <v:imagedata o:title=""/>
                <o:lock v:ext="edit"/>
              </v:shape>
              <v:shape id="_x0000_s1044" o:spid="_x0000_s1044"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167,179l147,179,156,159,176,159,167,179xe">
                <v:path o:connecttype="segments"/>
                <v:fill on="t" focussize="0,0"/>
                <v:stroke on="f" joinstyle="round"/>
                <v:imagedata o:title=""/>
                <o:lock v:ext="edit"/>
              </v:shape>
              <v:shape id="_x0000_s1045" o:spid="_x0000_s1045"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7277,179l7256,179,7247,159,7267,159,7277,179xe">
                <v:path o:connecttype="segments"/>
                <v:fill on="t" focussize="0,0"/>
                <v:stroke on="f" joinstyle="round"/>
                <v:imagedata o:title=""/>
                <o:lock v:ext="edit"/>
              </v:shape>
              <v:shape id="_x0000_s1046" o:spid="_x0000_s104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149,199l129,199,138,179,158,179,149,199xe">
                <v:path o:connecttype="segments"/>
                <v:fill on="t" focussize="0,0"/>
                <v:stroke on="f" joinstyle="round"/>
                <v:imagedata o:title=""/>
                <o:lock v:ext="edit"/>
              </v:shape>
              <v:shape id="_x0000_s1047" o:spid="_x0000_s1047"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7294,199l7274,199,7265,179,7286,179,7294,199xe">
                <v:path o:connecttype="segments"/>
                <v:fill on="t" focussize="0,0"/>
                <v:stroke on="f" joinstyle="round"/>
                <v:imagedata o:title=""/>
                <o:lock v:ext="edit"/>
              </v:shape>
              <v:shape id="_x0000_s1048" o:spid="_x0000_s1048"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132,219l112,219,121,199,141,199,132,219xe">
                <v:path o:connecttype="segments"/>
                <v:fill on="t" focussize="0,0"/>
                <v:stroke on="f" joinstyle="round"/>
                <v:imagedata o:title=""/>
                <o:lock v:ext="edit"/>
              </v:shape>
              <v:shape id="_x0000_s1049" o:spid="_x0000_s1049"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7311,219l7291,219,7283,199,7303,199,7311,219xe">
                <v:path o:connecttype="segments"/>
                <v:fill on="t" focussize="0,0"/>
                <v:stroke on="f" joinstyle="round"/>
                <v:imagedata o:title=""/>
                <o:lock v:ext="edit"/>
              </v:shape>
              <v:shape id="_x0000_s1050" o:spid="_x0000_s1050"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101,259l89,259,96,239,104,219,124,219,116,239,109,239,101,259xe">
                <v:path o:connecttype="segments"/>
                <v:fill on="t" focussize="0,0"/>
                <v:stroke on="f" joinstyle="round"/>
                <v:imagedata o:title=""/>
                <o:lock v:ext="edit"/>
              </v:shape>
              <v:shape id="_x0000_s1051" o:spid="_x0000_s1051"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7335,259l7322,259,7315,239,7307,239,7299,219,7319,219,7327,239,7335,259xe">
                <v:path o:connecttype="segments"/>
                <v:fill on="t" focussize="0,0"/>
                <v:stroke on="f" joinstyle="round"/>
                <v:imagedata o:title=""/>
                <o:lock v:ext="edit"/>
              </v:shape>
              <v:shape id="_x0000_s1052" o:spid="_x0000_s1052"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94,279l75,279,82,259,102,259,94,279xe">
                <v:path o:connecttype="segments"/>
                <v:fill on="t" focussize="0,0"/>
                <v:stroke on="f" joinstyle="round"/>
                <v:imagedata o:title=""/>
                <o:lock v:ext="edit"/>
              </v:shape>
              <v:shape id="_x0000_s1053" o:spid="_x0000_s1053"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7349,279l7329,279,7322,259,7342,259,7349,279xe">
                <v:path o:connecttype="segments"/>
                <v:fill on="t" focussize="0,0"/>
                <v:stroke on="f" joinstyle="round"/>
                <v:imagedata o:title=""/>
                <o:lock v:ext="edit"/>
              </v:shape>
              <v:shape id="_x0000_s1054" o:spid="_x0000_s1054"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69,319l55,319,62,299,68,279,88,279,81,299,75,299,69,319xe">
                <v:path o:connecttype="segments"/>
                <v:fill on="t" focussize="0,0"/>
                <v:stroke on="f" joinstyle="round"/>
                <v:imagedata o:title=""/>
                <o:lock v:ext="edit"/>
              </v:shape>
              <v:shape id="_x0000_s1055" o:spid="_x0000_s1055"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7368,319l7355,319,7349,299,7342,299,7336,279,7356,279,7362,299,7368,319xe">
                <v:path o:connecttype="segments"/>
                <v:fill on="t" focussize="0,0"/>
                <v:stroke on="f" joinstyle="round"/>
                <v:imagedata o:title=""/>
                <o:lock v:ext="edit"/>
              </v:shape>
              <v:shape id="_x0000_s1056" o:spid="_x0000_s105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63,339l44,339,50,319,69,319,63,339xe">
                <v:path o:connecttype="segments"/>
                <v:fill on="t" focussize="0,0"/>
                <v:stroke on="f" joinstyle="round"/>
                <v:imagedata o:title=""/>
                <o:lock v:ext="edit"/>
              </v:shape>
              <v:shape id="_x0000_s1057" o:spid="_x0000_s1057"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7380,339l7360,339,7355,319,7374,319,7380,339xe">
                <v:path o:connecttype="segments"/>
                <v:fill on="t" focussize="0,0"/>
                <v:stroke on="f" joinstyle="round"/>
                <v:imagedata o:title=""/>
                <o:lock v:ext="edit"/>
              </v:shape>
              <v:shape id="_x0000_s1058" o:spid="_x0000_s1058"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43,379l29,379,34,359,39,339,58,339,53,359,48,359,43,379xe">
                <v:path o:connecttype="segments"/>
                <v:fill on="t" focussize="0,0"/>
                <v:stroke on="f" joinstyle="round"/>
                <v:imagedata o:title=""/>
                <o:lock v:ext="edit"/>
              </v:shape>
              <v:shape id="_x0000_s1059" o:spid="_x0000_s1059"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394,379l7380,379,7376,359,7371,359,7366,339,7385,339,7390,359,7394,379xe">
                <v:path o:connecttype="segments"/>
                <v:fill on="t" focussize="0,0"/>
                <v:stroke on="f" joinstyle="round"/>
                <v:imagedata o:title=""/>
                <o:lock v:ext="edit"/>
              </v:shape>
              <v:shape id="_x0000_s1060" o:spid="_x0000_s1060"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32,419l17,419,21,399,25,379,43,379,39,399,35,399,32,419xe">
                <v:path o:connecttype="segments"/>
                <v:fill on="t" focussize="0,0"/>
                <v:stroke on="f" joinstyle="round"/>
                <v:imagedata o:title=""/>
                <o:lock v:ext="edit"/>
              </v:shape>
              <v:shape id="_x0000_s1061" o:spid="_x0000_s1061"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406,419l7392,419,7388,399,7384,399,7380,379,7399,379,7403,399,7406,419xe">
                <v:path o:connecttype="segments"/>
                <v:fill on="t" focussize="0,0"/>
                <v:stroke on="f" joinstyle="round"/>
                <v:imagedata o:title=""/>
                <o:lock v:ext="edit"/>
              </v:shape>
              <v:shape id="_x0000_s1062" o:spid="_x0000_s1062"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21,479l6,479,8,459,11,439,14,419,32,419,28,439,26,439,23,459,23,459,21,479xe">
                <v:path o:connecttype="segments"/>
                <v:fill on="t" focussize="0,0"/>
                <v:stroke on="f" joinstyle="round"/>
                <v:imagedata o:title=""/>
                <o:lock v:ext="edit"/>
              </v:shape>
              <v:shape id="_x0000_s1063" o:spid="_x0000_s1063"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418,479l7403,479,7401,459,7401,459,7398,439,7395,439,7392,419,7410,419,7413,439,7415,459,7418,479xe">
                <v:path o:connecttype="segments"/>
                <v:fill on="t" focussize="0,0"/>
                <v:stroke on="f" joinstyle="round"/>
                <v:imagedata o:title=""/>
                <o:lock v:ext="edit"/>
              </v:shape>
              <v:shape id="_x0000_s1064" o:spid="_x0000_s1064"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16,519l1,519,2,499,4,479,19,479,17,499,17,499,16,519xe">
                <v:path o:connecttype="segments"/>
                <v:fill on="t" focussize="0,0"/>
                <v:stroke on="f" joinstyle="round"/>
                <v:imagedata o:title=""/>
                <o:lock v:ext="edit"/>
              </v:shape>
              <v:shape id="_x0000_s1065" o:spid="_x0000_s1065"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423,519l7408,519,7406,499,7406,499,7405,479,7420,479,7421,499,7423,519xe">
                <v:path o:connecttype="segments"/>
                <v:fill on="t" focussize="0,0"/>
                <v:stroke on="f" joinstyle="round"/>
                <v:imagedata o:title=""/>
                <o:lock v:ext="edit"/>
              </v:shape>
              <v:shape id="_x0000_s1066" o:spid="_x0000_s106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19,4559l2,4559,1,4539,0,4519,0,4499,0,539,0,519,15,519,15,539,15,4499,15,4519,16,4539,17,4539,19,4559xe">
                <v:path o:connecttype="segments"/>
                <v:fill on="t" focussize="0,0"/>
                <v:stroke on="f" joinstyle="round"/>
                <v:imagedata o:title=""/>
                <o:lock v:ext="edit"/>
              </v:shape>
              <v:shape id="_x0000_s1067" o:spid="_x0000_s1067"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421,4559l7405,4559,7406,4539,7408,4539,7408,4519,7408,4519,7409,4499,7409,539,7408,519,7423,519,7424,539,7424,4499,7423,4519,7423,4539,7421,4559xe">
                <v:path o:connecttype="segments"/>
                <v:fill on="t" focussize="0,0"/>
                <v:stroke on="f" joinstyle="round"/>
                <v:imagedata o:title=""/>
                <o:lock v:ext="edit"/>
              </v:shape>
              <v:shape id="_x0000_s1068" o:spid="_x0000_s1068"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23,4599l8,4599,6,4579,4,4559,19,4559,21,4579,21,4579,23,4599xe">
                <v:path o:connecttype="segments"/>
                <v:fill on="t" focussize="0,0"/>
                <v:stroke on="f" joinstyle="round"/>
                <v:imagedata o:title=""/>
                <o:lock v:ext="edit"/>
              </v:shape>
              <v:shape id="_x0000_s1069" o:spid="_x0000_s1069"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415,4599l7401,4599,7403,4579,7403,4579,7405,4559,7420,4559,7418,4579,7415,4599xe">
                <v:path o:connecttype="segments"/>
                <v:fill on="t" focussize="0,0"/>
                <v:stroke on="f" joinstyle="round"/>
                <v:imagedata o:title=""/>
                <o:lock v:ext="edit"/>
              </v:shape>
              <v:shape id="_x0000_s1070" o:spid="_x0000_s1070"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32,4639l17,4639,14,4619,11,4599,26,4599,29,4619,28,4619,32,4639xe">
                <v:path o:connecttype="segments"/>
                <v:fill on="t" focussize="0,0"/>
                <v:stroke on="f" joinstyle="round"/>
                <v:imagedata o:title=""/>
                <o:lock v:ext="edit"/>
              </v:shape>
              <v:shape id="_x0000_s1071" o:spid="_x0000_s1071"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406,4639l7392,4639,7395,4619,7395,4619,7398,4599,7413,4599,7410,4619,7406,4639xe">
                <v:path o:connecttype="segments"/>
                <v:fill on="t" focussize="0,0"/>
                <v:stroke on="f" joinstyle="round"/>
                <v:imagedata o:title=""/>
                <o:lock v:ext="edit"/>
              </v:shape>
              <v:shape id="_x0000_s1072" o:spid="_x0000_s1072"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43,4679l29,4679,25,4659,21,4639,35,4639,39,4659,39,4659,43,4679xe">
                <v:path o:connecttype="segments"/>
                <v:fill on="t" focussize="0,0"/>
                <v:stroke on="f" joinstyle="round"/>
                <v:imagedata o:title=""/>
                <o:lock v:ext="edit"/>
              </v:shape>
              <v:shape id="_x0000_s1073" o:spid="_x0000_s1073"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394,4679l7380,4679,7384,4659,7384,4659,7388,4639,7403,4639,7399,4659,7394,4679xe">
                <v:path o:connecttype="segments"/>
                <v:fill on="t" focussize="0,0"/>
                <v:stroke on="f" joinstyle="round"/>
                <v:imagedata o:title=""/>
                <o:lock v:ext="edit"/>
              </v:shape>
              <v:shape id="_x0000_s1074" o:spid="_x0000_s1074"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48,4679l43,4679,43,4659,48,4679xe">
                <v:path o:connecttype="segments"/>
                <v:fill on="t" focussize="0,0"/>
                <v:stroke on="f" joinstyle="round"/>
                <v:imagedata o:title=""/>
                <o:lock v:ext="edit"/>
              </v:shape>
              <v:shape id="_x0000_s1075" o:spid="_x0000_s1075"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380,4679l7376,4679,7380,4659,7380,4679xe">
                <v:path o:connecttype="segments"/>
                <v:fill on="t" focussize="0,0"/>
                <v:stroke on="f" joinstyle="round"/>
                <v:imagedata o:title=""/>
                <o:lock v:ext="edit"/>
              </v:shape>
              <v:shape id="_x0000_s1076" o:spid="_x0000_s107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63,4719l44,4719,39,4699,34,4679,48,4679,53,4699,58,4699,63,4719xe">
                <v:path o:connecttype="segments"/>
                <v:fill on="t" focussize="0,0"/>
                <v:stroke on="f" joinstyle="round"/>
                <v:imagedata o:title=""/>
                <o:lock v:ext="edit"/>
              </v:shape>
              <v:shape id="_x0000_s1077" o:spid="_x0000_s1077"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380,4719l7360,4719,7366,4699,7371,4699,7376,4679,7390,4679,7385,4699,7380,4719xe">
                <v:path o:connecttype="segments"/>
                <v:fill on="t" focussize="0,0"/>
                <v:stroke on="f" joinstyle="round"/>
                <v:imagedata o:title=""/>
                <o:lock v:ext="edit"/>
              </v:shape>
              <v:shape id="_x0000_s1078" o:spid="_x0000_s1078"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81,4759l62,4759,55,4739,50,4719,63,4719,69,4739,75,4739,81,4759xe">
                <v:path o:connecttype="segments"/>
                <v:fill on="t" focussize="0,0"/>
                <v:stroke on="f" joinstyle="round"/>
                <v:imagedata o:title=""/>
                <o:lock v:ext="edit"/>
              </v:shape>
              <v:shape id="_x0000_s1079" o:spid="_x0000_s1079"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362,4759l7342,4759,7349,4739,7355,4739,7360,4719,7374,4719,7368,4739,7362,4759xe">
                <v:path o:connecttype="segments"/>
                <v:fill on="t" focussize="0,0"/>
                <v:stroke on="f" joinstyle="round"/>
                <v:imagedata o:title=""/>
                <o:lock v:ext="edit"/>
              </v:shape>
              <v:shape id="_x0000_s1080" o:spid="_x0000_s1080"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94,4779l75,4779,68,4759,88,4759,94,4779xe">
                <v:path o:connecttype="segments"/>
                <v:fill on="t" focussize="0,0"/>
                <v:stroke on="f" joinstyle="round"/>
                <v:imagedata o:title=""/>
                <o:lock v:ext="edit"/>
              </v:shape>
              <v:shape id="_x0000_s1081" o:spid="_x0000_s1081"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349,4779l7329,4779,7336,4759,7356,4759,7349,4779xe">
                <v:path o:connecttype="segments"/>
                <v:fill on="t" focussize="0,0"/>
                <v:stroke on="f" joinstyle="round"/>
                <v:imagedata o:title=""/>
                <o:lock v:ext="edit"/>
              </v:shape>
              <v:shape id="_x0000_s1082" o:spid="_x0000_s1082"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116,4819l96,4819,89,4799,82,4779,94,4779,102,4799,109,4799,116,4819xe">
                <v:path o:connecttype="segments"/>
                <v:fill on="t" focussize="0,0"/>
                <v:stroke on="f" joinstyle="round"/>
                <v:imagedata o:title=""/>
                <o:lock v:ext="edit"/>
              </v:shape>
              <v:shape id="_x0000_s1083" o:spid="_x0000_s1083"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327,4819l7307,4819,7315,4799,7322,4799,7329,4779,7342,4779,7335,4799,7327,4819xe">
                <v:path o:connecttype="segments"/>
                <v:fill on="t" focussize="0,0"/>
                <v:stroke on="f" joinstyle="round"/>
                <v:imagedata o:title=""/>
                <o:lock v:ext="edit"/>
              </v:shape>
              <v:shape id="_x0000_s1084" o:spid="_x0000_s1084"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132,4839l112,4839,104,4819,124,4819,132,4839xe">
                <v:path o:connecttype="segments"/>
                <v:fill on="t" focussize="0,0"/>
                <v:stroke on="f" joinstyle="round"/>
                <v:imagedata o:title=""/>
                <o:lock v:ext="edit"/>
              </v:shape>
              <v:shape id="_x0000_s1085" o:spid="_x0000_s1085"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311,4839l7291,4839,7299,4819,7319,4819,7311,4839xe">
                <v:path o:connecttype="segments"/>
                <v:fill on="t" focussize="0,0"/>
                <v:stroke on="f" joinstyle="round"/>
                <v:imagedata o:title=""/>
                <o:lock v:ext="edit"/>
              </v:shape>
              <v:shape id="_x0000_s1086" o:spid="_x0000_s108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149,4859l129,4859,121,4839,141,4839,149,4859xe">
                <v:path o:connecttype="segments"/>
                <v:fill on="t" focussize="0,0"/>
                <v:stroke on="f" joinstyle="round"/>
                <v:imagedata o:title=""/>
                <o:lock v:ext="edit"/>
              </v:shape>
              <v:shape id="_x0000_s1087" o:spid="_x0000_s1087"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294,4859l7274,4859,7283,4839,7303,4839,7294,4859xe">
                <v:path o:connecttype="segments"/>
                <v:fill on="t" focussize="0,0"/>
                <v:stroke on="f" joinstyle="round"/>
                <v:imagedata o:title=""/>
                <o:lock v:ext="edit"/>
              </v:shape>
              <v:shape id="_x0000_s1088" o:spid="_x0000_s1088"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167,4879l147,4879,138,4859,158,4859,167,4879xe">
                <v:path o:connecttype="segments"/>
                <v:fill on="t" focussize="0,0"/>
                <v:stroke on="f" joinstyle="round"/>
                <v:imagedata o:title=""/>
                <o:lock v:ext="edit"/>
              </v:shape>
              <v:shape id="_x0000_s1089" o:spid="_x0000_s1089"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277,4879l7256,4879,7265,4859,7286,4859,7277,4879xe">
                <v:path o:connecttype="segments"/>
                <v:fill on="t" focussize="0,0"/>
                <v:stroke on="f" joinstyle="round"/>
                <v:imagedata o:title=""/>
                <o:lock v:ext="edit"/>
              </v:shape>
              <v:shape id="_x0000_s1090" o:spid="_x0000_s1090"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186,4899l166,4899,156,4879,176,4879,186,4899xe">
                <v:path o:connecttype="segments"/>
                <v:fill on="t" focussize="0,0"/>
                <v:stroke on="f" joinstyle="round"/>
                <v:imagedata o:title=""/>
                <o:lock v:ext="edit"/>
              </v:shape>
              <v:shape id="_x0000_s1091" o:spid="_x0000_s1091"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258,4899l7238,4899,7247,4879,7267,4879,7258,4899xe">
                <v:path o:connecttype="segments"/>
                <v:fill on="t" focussize="0,0"/>
                <v:stroke on="f" joinstyle="round"/>
                <v:imagedata o:title=""/>
                <o:lock v:ext="edit"/>
              </v:shape>
              <v:shape id="_x0000_s1092" o:spid="_x0000_s1092"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206,4919l186,4919,176,4899,196,4899,206,4919xe">
                <v:path o:connecttype="segments"/>
                <v:fill on="t" focussize="0,0"/>
                <v:stroke on="f" joinstyle="round"/>
                <v:imagedata o:title=""/>
                <o:lock v:ext="edit"/>
              </v:shape>
              <v:shape id="_x0000_s1093" o:spid="_x0000_s1093"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238,4919l7218,4919,7228,4899,7248,4899,7238,4919xe">
                <v:path o:connecttype="segments"/>
                <v:fill on="t" focussize="0,0"/>
                <v:stroke on="f" joinstyle="round"/>
                <v:imagedata o:title=""/>
                <o:lock v:ext="edit"/>
              </v:shape>
              <v:shape id="_x0000_s1094" o:spid="_x0000_s1094"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237,4939l206,4939,196,4919,226,4919,237,4939xe">
                <v:path o:connecttype="segments"/>
                <v:fill on="t" focussize="0,0"/>
                <v:stroke on="f" joinstyle="round"/>
                <v:imagedata o:title=""/>
                <o:lock v:ext="edit"/>
              </v:shape>
              <v:shape id="_x0000_s1095" o:spid="_x0000_s1095"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217,4939l7187,4939,7198,4919,7228,4919,7217,4939xe">
                <v:path o:connecttype="segments"/>
                <v:fill on="t" focussize="0,0"/>
                <v:stroke on="f" joinstyle="round"/>
                <v:imagedata o:title=""/>
                <o:lock v:ext="edit"/>
              </v:shape>
              <v:shape id="_x0000_s1096" o:spid="_x0000_s109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258,4959l239,4959,228,4939,247,4939,258,4959xe">
                <v:path o:connecttype="segments"/>
                <v:fill on="t" focussize="0,0"/>
                <v:stroke on="f" joinstyle="round"/>
                <v:imagedata o:title=""/>
                <o:lock v:ext="edit"/>
              </v:shape>
              <v:shape id="_x0000_s1097" o:spid="_x0000_s1097"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185,4959l7165,4959,7176,4939,7196,4939,7185,4959xe">
                <v:path o:connecttype="segments"/>
                <v:fill on="t" focussize="0,0"/>
                <v:stroke on="f" joinstyle="round"/>
                <v:imagedata o:title=""/>
                <o:lock v:ext="edit"/>
              </v:shape>
              <v:shape id="_x0000_s1098" o:spid="_x0000_s1098"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292,4979l261,4979,250,4959,281,4959,292,4979xe">
                <v:path o:connecttype="segments"/>
                <v:fill on="t" focussize="0,0"/>
                <v:stroke on="f" joinstyle="round"/>
                <v:imagedata o:title=""/>
                <o:lock v:ext="edit"/>
              </v:shape>
              <v:shape id="_x0000_s1099" o:spid="_x0000_s1099"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7162,4979l7131,4979,7143,4959,7174,4959,7162,4979xe">
                <v:path o:connecttype="segments"/>
                <v:fill on="t" focussize="0,0"/>
                <v:stroke on="f" joinstyle="round"/>
                <v:imagedata o:title=""/>
                <o:lock v:ext="edit"/>
              </v:shape>
              <v:shape id="_x0000_s1100" o:spid="_x0000_s1100"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328,4999l297,4999,285,4979,316,4979,328,4999xe">
                <v:path o:connecttype="segments"/>
                <v:fill on="t" focussize="0,0"/>
                <v:stroke on="f" joinstyle="round"/>
                <v:imagedata o:title=""/>
                <o:lock v:ext="edit"/>
              </v:shape>
              <v:shape id="_x0000_s1101" o:spid="_x0000_s1101"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7127,4999l7096,4999,7108,4979,7139,4979,7127,4999xe">
                <v:path o:connecttype="segments"/>
                <v:fill on="t" focussize="0,0"/>
                <v:stroke on="f" joinstyle="round"/>
                <v:imagedata o:title=""/>
                <o:lock v:ext="edit"/>
              </v:shape>
              <v:shape id="_x0000_s1102" o:spid="_x0000_s1102"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378,5019l334,5019,321,4999,365,4999,378,5019xe">
                <v:path o:connecttype="segments"/>
                <v:fill on="t" focussize="0,0"/>
                <v:stroke on="f" joinstyle="round"/>
                <v:imagedata o:title=""/>
                <o:lock v:ext="edit"/>
              </v:shape>
              <v:shape id="_x0000_s1103" o:spid="_x0000_s1103"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7090,5019l7046,5019,7059,4999,7102,4999,7090,5019xe">
                <v:path o:connecttype="segments"/>
                <v:fill on="t" focussize="0,0"/>
                <v:stroke on="f" joinstyle="round"/>
                <v:imagedata o:title=""/>
                <o:lock v:ext="edit"/>
              </v:shape>
              <v:shape id="_x0000_s1104" o:spid="_x0000_s1104"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443,5039l385,5039,372,5019,429,5019,443,5039xe">
                <v:path o:connecttype="segments"/>
                <v:fill on="t" focussize="0,0"/>
                <v:stroke on="f" joinstyle="round"/>
                <v:imagedata o:title=""/>
                <o:lock v:ext="edit"/>
              </v:shape>
              <v:shape id="_x0000_s1105" o:spid="_x0000_s1105"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7038,5039l6981,5039,6994,5019,7051,5019,7038,5039xe">
                <v:path o:connecttype="segments"/>
                <v:fill on="t" focussize="0,0"/>
                <v:stroke on="f" joinstyle="round"/>
                <v:imagedata o:title=""/>
                <o:lock v:ext="edit"/>
              </v:shape>
              <v:shape id="_x0000_s1106" o:spid="_x0000_s110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6956,5059l467,5059,453,5039,6970,5039,6956,5059xe">
                <v:path o:connecttype="segments"/>
                <v:fill on="t" focussize="0,0"/>
                <v:stroke on="f" joinstyle="round"/>
                <v:imagedata o:title=""/>
                <o:lock v:ext="edit"/>
              </v:shape>
            </v:group>
            <w10:wrap type="none"/>
            <w10:anchorlock/>
          </v:group>
        </w:pict>
      </w:r>
    </w:p>
    <w:p>
      <w:pPr>
        <w:pStyle w:val="17"/>
        <w:spacing w:line="240" w:lineRule="auto"/>
        <w:rPr>
          <w:rFonts w:hint="eastAsia" w:asciiTheme="minorEastAsia" w:hAnsiTheme="minorEastAsia" w:eastAsiaTheme="minorEastAsia" w:cstheme="minorEastAsia"/>
          <w:bCs/>
          <w:color w:val="auto"/>
          <w:sz w:val="24"/>
          <w:highlight w:val="none"/>
        </w:rPr>
      </w:pPr>
    </w:p>
    <w:p>
      <w:pPr>
        <w:pStyle w:val="17"/>
        <w:wordWrap w:val="0"/>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 xml:space="preserve">（盖章） </w:t>
      </w:r>
    </w:p>
    <w:p>
      <w:pPr>
        <w:pStyle w:val="17"/>
        <w:wordWrap w:val="0"/>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法定代表人或被授权人：</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（签字</w:t>
      </w:r>
      <w:r>
        <w:rPr>
          <w:rFonts w:hint="eastAsia" w:asciiTheme="minorEastAsia" w:hAnsiTheme="minorEastAsia" w:eastAsiaTheme="minorEastAsia" w:cstheme="minorEastAsia"/>
          <w:bCs/>
          <w:color w:val="auto"/>
          <w:sz w:val="24"/>
          <w:highlight w:val="none"/>
          <w:lang w:eastAsia="zh-CN"/>
        </w:rPr>
        <w:t>或盖章</w:t>
      </w:r>
      <w:r>
        <w:rPr>
          <w:rFonts w:hint="eastAsia" w:asciiTheme="minorEastAsia" w:hAnsiTheme="minorEastAsia" w:eastAsiaTheme="minorEastAsia" w:cstheme="minorEastAsia"/>
          <w:bCs/>
          <w:color w:val="auto"/>
          <w:sz w:val="24"/>
          <w:highlight w:val="none"/>
        </w:rPr>
        <w:t>）</w:t>
      </w:r>
    </w:p>
    <w:p>
      <w:pPr>
        <w:pStyle w:val="17"/>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期：</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日</w:t>
      </w:r>
    </w:p>
    <w:p>
      <w:pPr>
        <w:pStyle w:val="17"/>
        <w:spacing w:line="240" w:lineRule="auto"/>
        <w:jc w:val="right"/>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p>
    <w:p>
      <w:pPr>
        <w:pStyle w:val="17"/>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w:t>
      </w: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保证金</w:t>
      </w:r>
      <w:r>
        <w:rPr>
          <w:rFonts w:hint="eastAsia" w:asciiTheme="minorEastAsia" w:hAnsiTheme="minorEastAsia" w:eastAsiaTheme="minorEastAsia" w:cstheme="minorEastAsia"/>
          <w:bCs/>
          <w:color w:val="auto"/>
          <w:sz w:val="24"/>
          <w:highlight w:val="none"/>
          <w:lang w:val="en-US" w:eastAsia="zh-CN"/>
        </w:rPr>
        <w:t>汇款凭证</w:t>
      </w:r>
      <w:r>
        <w:rPr>
          <w:rFonts w:hint="eastAsia" w:asciiTheme="minorEastAsia" w:hAnsiTheme="minorEastAsia" w:eastAsiaTheme="minorEastAsia" w:cstheme="minorEastAsia"/>
          <w:bCs/>
          <w:color w:val="auto"/>
          <w:sz w:val="24"/>
          <w:highlight w:val="none"/>
        </w:rPr>
        <w:t>复印件加盖公章</w:t>
      </w:r>
    </w:p>
    <w:p>
      <w:pPr>
        <w:spacing w:line="240" w:lineRule="auto"/>
        <w:jc w:val="both"/>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8"/>
          <w:szCs w:val="21"/>
          <w:highlight w:val="none"/>
          <w:lang w:val="en-US" w:eastAsia="zh-CN"/>
        </w:rPr>
        <w:t>（5）商务</w:t>
      </w:r>
      <w:r>
        <w:rPr>
          <w:rFonts w:hint="eastAsia" w:asciiTheme="minorEastAsia" w:hAnsiTheme="minorEastAsia" w:eastAsiaTheme="minorEastAsia" w:cstheme="minorEastAsia"/>
          <w:b/>
          <w:bCs/>
          <w:i w:val="0"/>
          <w:iCs w:val="0"/>
          <w:color w:val="auto"/>
          <w:sz w:val="28"/>
          <w:szCs w:val="21"/>
          <w:highlight w:val="none"/>
        </w:rPr>
        <w:t>标</w:t>
      </w: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（1）*</w:t>
      </w:r>
      <w:r>
        <w:rPr>
          <w:rFonts w:hint="eastAsia" w:asciiTheme="minorEastAsia" w:hAnsiTheme="minorEastAsia" w:eastAsiaTheme="minorEastAsia" w:cstheme="minorEastAsia"/>
          <w:b/>
          <w:i w:val="0"/>
          <w:iCs w:val="0"/>
          <w:color w:val="auto"/>
          <w:sz w:val="24"/>
          <w:highlight w:val="none"/>
          <w:lang w:val="en-US" w:eastAsia="zh-CN"/>
        </w:rPr>
        <w:t>商务</w:t>
      </w:r>
      <w:r>
        <w:rPr>
          <w:rFonts w:hint="eastAsia" w:asciiTheme="minorEastAsia" w:hAnsiTheme="minorEastAsia" w:eastAsiaTheme="minorEastAsia" w:cstheme="minorEastAsia"/>
          <w:b/>
          <w:i w:val="0"/>
          <w:iCs w:val="0"/>
          <w:color w:val="auto"/>
          <w:sz w:val="24"/>
          <w:highlight w:val="none"/>
        </w:rPr>
        <w:t>偏离表（逐条响应）</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）评分细则提及或响应人认为需要提供的其他说明和资料</w:t>
      </w:r>
    </w:p>
    <w:p>
      <w:pPr>
        <w:pStyle w:val="81"/>
        <w:spacing w:line="240" w:lineRule="auto"/>
        <w:ind w:hanging="23"/>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项目编号：</w:t>
      </w:r>
    </w:p>
    <w:p>
      <w:pPr>
        <w:pStyle w:val="95"/>
        <w:spacing w:line="240" w:lineRule="auto"/>
        <w:rPr>
          <w:rFonts w:hint="eastAsia" w:asciiTheme="minorEastAsia" w:hAnsiTheme="minorEastAsia" w:eastAsiaTheme="minorEastAsia" w:cstheme="minorEastAsia"/>
          <w:color w:val="auto"/>
          <w:highlight w:val="none"/>
        </w:rPr>
      </w:pPr>
    </w:p>
    <w:tbl>
      <w:tblPr>
        <w:tblStyle w:val="36"/>
        <w:tblW w:w="91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77"/>
        <w:gridCol w:w="1330"/>
        <w:gridCol w:w="1208"/>
        <w:gridCol w:w="123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177" w:type="dxa"/>
            <w:vAlign w:val="center"/>
          </w:tcPr>
          <w:p>
            <w:pPr>
              <w:pStyle w:val="81"/>
              <w:spacing w:line="24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磋商项目</w:t>
            </w:r>
          </w:p>
        </w:tc>
        <w:tc>
          <w:tcPr>
            <w:tcW w:w="1330" w:type="dxa"/>
            <w:vAlign w:val="center"/>
          </w:tcPr>
          <w:p>
            <w:pPr>
              <w:pStyle w:val="81"/>
              <w:spacing w:line="24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lang w:val="en-US" w:eastAsia="zh-CN"/>
              </w:rPr>
              <w:t>要求</w:t>
            </w:r>
          </w:p>
        </w:tc>
        <w:tc>
          <w:tcPr>
            <w:tcW w:w="1208" w:type="dxa"/>
            <w:vAlign w:val="center"/>
          </w:tcPr>
          <w:p>
            <w:pPr>
              <w:pStyle w:val="81"/>
              <w:spacing w:line="24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磋商内容</w:t>
            </w:r>
          </w:p>
        </w:tc>
        <w:tc>
          <w:tcPr>
            <w:tcW w:w="1236"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w:t>
            </w:r>
          </w:p>
        </w:tc>
        <w:tc>
          <w:tcPr>
            <w:tcW w:w="1380"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bl>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注:若有偏离,请将具体偏离条款在”偏离”一栏中详细说明;若无偏离,请在”偏离”一栏中标注”无”字样.</w:t>
      </w:r>
    </w:p>
    <w:p>
      <w:pPr>
        <w:pStyle w:val="81"/>
        <w:spacing w:line="240" w:lineRule="auto"/>
        <w:rPr>
          <w:rFonts w:hint="eastAsia" w:asciiTheme="minorEastAsia" w:hAnsiTheme="minorEastAsia" w:eastAsiaTheme="minorEastAsia" w:cstheme="minorEastAsia"/>
          <w:b/>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供应商名称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1"/>
          <w:highlight w:val="none"/>
        </w:rPr>
        <w:t>）：</w:t>
      </w:r>
    </w:p>
    <w:p>
      <w:pPr>
        <w:adjustRightInd w:val="0"/>
        <w:snapToGrid w:val="0"/>
        <w:spacing w:line="240" w:lineRule="auto"/>
        <w:ind w:left="479" w:leftChars="228" w:firstLine="9360" w:firstLineChars="39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法定代表人或其委托代理人签字</w:t>
      </w:r>
      <w:r>
        <w:rPr>
          <w:rFonts w:hint="eastAsia" w:asciiTheme="minorEastAsia" w:hAnsiTheme="minorEastAsia" w:eastAsiaTheme="minorEastAsia" w:cstheme="minorEastAsia"/>
          <w:color w:val="auto"/>
          <w:sz w:val="24"/>
          <w:szCs w:val="21"/>
          <w:highlight w:val="none"/>
          <w:lang w:val="en-US" w:eastAsia="zh-CN"/>
        </w:rPr>
        <w:t>或盖章</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u w:val="single"/>
        </w:rPr>
        <w:t xml:space="preserve">       </w:t>
      </w:r>
    </w:p>
    <w:p>
      <w:pPr>
        <w:adjustRightInd w:val="0"/>
        <w:snapToGrid w:val="0"/>
        <w:spacing w:line="240" w:lineRule="auto"/>
        <w:ind w:left="479" w:leftChars="228" w:right="24" w:firstLine="9360" w:firstLineChars="3900"/>
        <w:rPr>
          <w:rFonts w:hint="eastAsia" w:asciiTheme="minorEastAsia" w:hAnsiTheme="minorEastAsia" w:eastAsiaTheme="minorEastAsia" w:cstheme="minorEastAsia"/>
          <w:bCs/>
          <w:color w:val="auto"/>
          <w:sz w:val="36"/>
          <w:szCs w:val="28"/>
          <w:highlight w:val="none"/>
        </w:rPr>
      </w:pPr>
      <w:r>
        <w:rPr>
          <w:rFonts w:hint="eastAsia" w:asciiTheme="minorEastAsia" w:hAnsiTheme="minorEastAsia" w:eastAsiaTheme="minorEastAsia" w:cstheme="minorEastAsia"/>
          <w:color w:val="auto"/>
          <w:sz w:val="24"/>
          <w:szCs w:val="21"/>
          <w:highlight w:val="none"/>
        </w:rPr>
        <w:t xml:space="preserve">  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jc w:val="both"/>
        <w:rPr>
          <w:rFonts w:hint="eastAsia" w:asciiTheme="minorEastAsia" w:hAnsiTheme="minorEastAsia" w:eastAsiaTheme="minorEastAsia" w:cstheme="minorEastAsia"/>
          <w:b/>
          <w:bCs/>
          <w:color w:val="auto"/>
          <w:sz w:val="24"/>
          <w:szCs w:val="24"/>
          <w:highlight w:val="none"/>
          <w:lang w:val="en-US" w:eastAsia="zh-CN"/>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35"/>
        <w:rPr>
          <w:rFonts w:hint="eastAsia" w:asciiTheme="minorEastAsia" w:hAnsiTheme="minorEastAsia" w:eastAsiaTheme="minorEastAsia" w:cstheme="minorEastAsia"/>
          <w:color w:val="auto"/>
          <w:highlight w:val="none"/>
        </w:rPr>
      </w:pPr>
    </w:p>
    <w:p>
      <w:pPr>
        <w:pStyle w:val="35"/>
        <w:rPr>
          <w:rFonts w:hint="eastAsia" w:asciiTheme="minorEastAsia" w:hAnsiTheme="minorEastAsia" w:eastAsiaTheme="minorEastAsia" w:cstheme="minorEastAsia"/>
          <w:color w:val="auto"/>
          <w:highlight w:val="none"/>
        </w:rPr>
      </w:pPr>
    </w:p>
    <w:p>
      <w:pPr>
        <w:pStyle w:val="35"/>
        <w:rPr>
          <w:rFonts w:hint="eastAsia" w:asciiTheme="minorEastAsia" w:hAnsiTheme="minorEastAsia" w:eastAsiaTheme="minorEastAsia" w:cstheme="minorEastAsia"/>
          <w:color w:val="auto"/>
          <w:highlight w:val="none"/>
        </w:rPr>
      </w:pPr>
    </w:p>
    <w:p>
      <w:pPr>
        <w:pStyle w:val="35"/>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8"/>
          <w:szCs w:val="21"/>
          <w:highlight w:val="none"/>
          <w:lang w:eastAsia="zh-CN"/>
        </w:rPr>
        <w:t>（</w:t>
      </w:r>
      <w:r>
        <w:rPr>
          <w:rFonts w:hint="eastAsia" w:asciiTheme="minorEastAsia" w:hAnsiTheme="minorEastAsia" w:eastAsiaTheme="minorEastAsia" w:cstheme="minorEastAsia"/>
          <w:b/>
          <w:bCs/>
          <w:i w:val="0"/>
          <w:iCs w:val="0"/>
          <w:color w:val="auto"/>
          <w:sz w:val="28"/>
          <w:szCs w:val="21"/>
          <w:highlight w:val="none"/>
          <w:lang w:val="en-US" w:eastAsia="zh-CN"/>
        </w:rPr>
        <w:t>6</w:t>
      </w:r>
      <w:r>
        <w:rPr>
          <w:rFonts w:hint="eastAsia" w:asciiTheme="minorEastAsia" w:hAnsiTheme="minorEastAsia" w:eastAsiaTheme="minorEastAsia" w:cstheme="minorEastAsia"/>
          <w:b/>
          <w:bCs/>
          <w:i w:val="0"/>
          <w:iCs w:val="0"/>
          <w:color w:val="auto"/>
          <w:sz w:val="28"/>
          <w:szCs w:val="21"/>
          <w:highlight w:val="none"/>
          <w:lang w:eastAsia="zh-CN"/>
        </w:rPr>
        <w:t>）</w:t>
      </w:r>
      <w:r>
        <w:rPr>
          <w:rFonts w:hint="eastAsia" w:asciiTheme="minorEastAsia" w:hAnsiTheme="minorEastAsia" w:eastAsiaTheme="minorEastAsia" w:cstheme="minorEastAsia"/>
          <w:b/>
          <w:bCs/>
          <w:i w:val="0"/>
          <w:iCs w:val="0"/>
          <w:color w:val="auto"/>
          <w:sz w:val="28"/>
          <w:szCs w:val="21"/>
          <w:highlight w:val="none"/>
        </w:rPr>
        <w:t>技术标</w:t>
      </w:r>
    </w:p>
    <w:p>
      <w:pPr>
        <w:spacing w:line="240" w:lineRule="auto"/>
        <w:rPr>
          <w:rFonts w:hint="eastAsia" w:asciiTheme="minorEastAsia" w:hAnsiTheme="minorEastAsia" w:eastAsiaTheme="minorEastAsia" w:cstheme="minorEastAsia"/>
          <w:b/>
          <w:i w:val="0"/>
          <w:iCs w:val="0"/>
          <w:color w:val="auto"/>
          <w:sz w:val="24"/>
          <w:highlight w:val="none"/>
        </w:rPr>
      </w:pP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（1）*技术偏离表（逐条响应）</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）评分细则提及或响应人认为需要提供的其他说明和资料</w:t>
      </w:r>
    </w:p>
    <w:p>
      <w:pPr>
        <w:pStyle w:val="81"/>
        <w:spacing w:line="240" w:lineRule="auto"/>
        <w:ind w:hanging="23"/>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项目编号：</w:t>
      </w:r>
    </w:p>
    <w:p>
      <w:pPr>
        <w:pStyle w:val="95"/>
        <w:spacing w:line="240" w:lineRule="auto"/>
        <w:rPr>
          <w:rFonts w:hint="eastAsia" w:asciiTheme="minorEastAsia" w:hAnsiTheme="minorEastAsia" w:eastAsiaTheme="minorEastAsia" w:cstheme="minorEastAsia"/>
          <w:color w:val="auto"/>
          <w:highlight w:val="none"/>
        </w:rPr>
      </w:pPr>
    </w:p>
    <w:tbl>
      <w:tblPr>
        <w:tblStyle w:val="36"/>
        <w:tblW w:w="91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77"/>
        <w:gridCol w:w="1330"/>
        <w:gridCol w:w="1208"/>
        <w:gridCol w:w="123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177"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货物名称</w:t>
            </w:r>
          </w:p>
        </w:tc>
        <w:tc>
          <w:tcPr>
            <w:tcW w:w="1330"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规格</w:t>
            </w:r>
          </w:p>
        </w:tc>
        <w:tc>
          <w:tcPr>
            <w:tcW w:w="1208"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规格</w:t>
            </w:r>
          </w:p>
        </w:tc>
        <w:tc>
          <w:tcPr>
            <w:tcW w:w="1236"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w:t>
            </w:r>
          </w:p>
        </w:tc>
        <w:tc>
          <w:tcPr>
            <w:tcW w:w="1380"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bl>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注:若有偏离,请将具体偏离条款在”偏离”一栏中详细说明;若无偏离,请在”偏离”一栏中标注”无”字样.</w:t>
      </w:r>
    </w:p>
    <w:p>
      <w:pPr>
        <w:pStyle w:val="81"/>
        <w:spacing w:line="240" w:lineRule="auto"/>
        <w:rPr>
          <w:rFonts w:hint="eastAsia" w:asciiTheme="minorEastAsia" w:hAnsiTheme="minorEastAsia" w:eastAsiaTheme="minorEastAsia" w:cstheme="minorEastAsia"/>
          <w:b/>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供应商名称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1"/>
          <w:highlight w:val="none"/>
        </w:rPr>
        <w:t>）：</w:t>
      </w:r>
    </w:p>
    <w:p>
      <w:pPr>
        <w:adjustRightInd w:val="0"/>
        <w:snapToGrid w:val="0"/>
        <w:spacing w:line="240" w:lineRule="auto"/>
        <w:ind w:left="479" w:leftChars="228" w:firstLine="9360" w:firstLineChars="39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法定代表人或其委托代理人签字</w:t>
      </w:r>
      <w:r>
        <w:rPr>
          <w:rFonts w:hint="eastAsia" w:asciiTheme="minorEastAsia" w:hAnsiTheme="minorEastAsia" w:eastAsiaTheme="minorEastAsia" w:cstheme="minorEastAsia"/>
          <w:color w:val="auto"/>
          <w:sz w:val="24"/>
          <w:szCs w:val="21"/>
          <w:highlight w:val="none"/>
          <w:lang w:val="en-US" w:eastAsia="zh-CN"/>
        </w:rPr>
        <w:t>或盖章</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u w:val="single"/>
        </w:rPr>
        <w:t xml:space="preserve">       </w:t>
      </w:r>
    </w:p>
    <w:p>
      <w:pPr>
        <w:adjustRightInd w:val="0"/>
        <w:snapToGrid w:val="0"/>
        <w:spacing w:line="240" w:lineRule="auto"/>
        <w:ind w:left="479" w:leftChars="228" w:right="24" w:firstLine="9360" w:firstLineChars="3900"/>
        <w:rPr>
          <w:rFonts w:hint="eastAsia" w:asciiTheme="minorEastAsia" w:hAnsiTheme="minorEastAsia" w:eastAsiaTheme="minorEastAsia" w:cstheme="minorEastAsia"/>
          <w:bCs/>
          <w:color w:val="auto"/>
          <w:sz w:val="36"/>
          <w:szCs w:val="28"/>
          <w:highlight w:val="none"/>
        </w:rPr>
      </w:pPr>
      <w:r>
        <w:rPr>
          <w:rFonts w:hint="eastAsia" w:asciiTheme="minorEastAsia" w:hAnsiTheme="minorEastAsia" w:eastAsiaTheme="minorEastAsia" w:cstheme="minorEastAsia"/>
          <w:color w:val="auto"/>
          <w:sz w:val="24"/>
          <w:szCs w:val="21"/>
          <w:highlight w:val="none"/>
        </w:rPr>
        <w:t xml:space="preserve">  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jc w:val="both"/>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val="en-US" w:eastAsia="zh-CN"/>
        </w:rPr>
      </w:pPr>
    </w:p>
    <w:p>
      <w:pPr>
        <w:pStyle w:val="35"/>
        <w:rPr>
          <w:rFonts w:hint="eastAsia" w:asciiTheme="minorEastAsia" w:hAnsiTheme="minorEastAsia" w:eastAsiaTheme="minorEastAsia" w:cstheme="minorEastAsia"/>
          <w:b/>
          <w:bCs/>
          <w:color w:val="auto"/>
          <w:sz w:val="24"/>
          <w:szCs w:val="24"/>
          <w:highlight w:val="none"/>
          <w:lang w:val="en-US" w:eastAsia="zh-CN"/>
        </w:rPr>
      </w:pPr>
    </w:p>
    <w:p>
      <w:pPr>
        <w:pStyle w:val="35"/>
        <w:rPr>
          <w:rFonts w:hint="eastAsia" w:asciiTheme="minorEastAsia" w:hAnsiTheme="minorEastAsia" w:eastAsiaTheme="minorEastAsia" w:cstheme="minorEastAsia"/>
          <w:b/>
          <w:bCs/>
          <w:color w:val="auto"/>
          <w:sz w:val="24"/>
          <w:szCs w:val="24"/>
          <w:highlight w:val="none"/>
          <w:lang w:val="en-US" w:eastAsia="zh-CN"/>
        </w:rPr>
      </w:pPr>
    </w:p>
    <w:p>
      <w:pPr>
        <w:pStyle w:val="35"/>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both"/>
        <w:rPr>
          <w:rFonts w:hint="eastAsia" w:asciiTheme="minorEastAsia" w:hAnsiTheme="minorEastAsia" w:eastAsiaTheme="minorEastAsia" w:cstheme="minorEastAsia"/>
          <w:b/>
          <w:bCs/>
          <w:color w:val="auto"/>
          <w:sz w:val="24"/>
          <w:szCs w:val="24"/>
          <w:highlight w:val="none"/>
        </w:rPr>
      </w:pPr>
    </w:p>
    <w:p>
      <w:pPr>
        <w:spacing w:line="24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关于资格的声明函</w:t>
      </w:r>
    </w:p>
    <w:p>
      <w:pPr>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关于贵方    年   月   日第（项目编号）竞争性磋商公告关于   项目名称  的采购</w:t>
      </w:r>
      <w:r>
        <w:rPr>
          <w:rFonts w:hint="eastAsia" w:asciiTheme="minorEastAsia" w:hAnsiTheme="minorEastAsia" w:eastAsiaTheme="minorEastAsia" w:cstheme="minorEastAsia"/>
          <w:color w:val="auto"/>
          <w:sz w:val="24"/>
          <w:highlight w:val="none"/>
        </w:rPr>
        <w:t>项目，本签字人愿意参加磋商采购活动，并有能力提供</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项目中的货物及相关服务，并保证所提交的所有文件和说明是真实和准确的。</w:t>
      </w:r>
    </w:p>
    <w:p>
      <w:pPr>
        <w:spacing w:line="240" w:lineRule="auto"/>
        <w:ind w:firstLine="57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 xml:space="preserve">   签字人姓名、职务：</w:t>
      </w:r>
      <w:r>
        <w:rPr>
          <w:rFonts w:hint="eastAsia" w:asciiTheme="minorEastAsia" w:hAnsiTheme="minorEastAsia" w:eastAsiaTheme="minorEastAsia" w:cstheme="minorEastAsia"/>
          <w:color w:val="auto"/>
          <w:sz w:val="24"/>
          <w:highlight w:val="none"/>
          <w:u w:val="single"/>
        </w:rPr>
        <w:t xml:space="preserve">               </w:t>
      </w:r>
    </w:p>
    <w:p>
      <w:pPr>
        <w:spacing w:line="240" w:lineRule="auto"/>
        <w:ind w:firstLine="57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地址：                 授权签署本资格文件人：</w:t>
      </w:r>
      <w:r>
        <w:rPr>
          <w:rFonts w:hint="eastAsia" w:asciiTheme="minorEastAsia" w:hAnsiTheme="minorEastAsia" w:eastAsiaTheme="minorEastAsia" w:cstheme="minorEastAsia"/>
          <w:color w:val="auto"/>
          <w:sz w:val="24"/>
          <w:highlight w:val="none"/>
          <w:u w:val="single"/>
        </w:rPr>
        <w:t xml:space="preserve">授权人姓名 </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传真：        </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电话：</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供应商法人盖章：       </w:t>
      </w:r>
    </w:p>
    <w:p>
      <w:pPr>
        <w:pStyle w:val="14"/>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eastAsia="zh-CN"/>
        </w:rPr>
        <w:t>名称（加盖公章）</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spacing w:line="240" w:lineRule="auto"/>
        <w:rPr>
          <w:rFonts w:hint="eastAsia" w:asciiTheme="minorEastAsia" w:hAnsiTheme="minorEastAsia" w:eastAsiaTheme="minorEastAsia" w:cstheme="minorEastAsia"/>
          <w:color w:val="auto"/>
          <w:sz w:val="24"/>
          <w:highlight w:val="none"/>
        </w:rPr>
      </w:pPr>
    </w:p>
    <w:p>
      <w:pPr>
        <w:pStyle w:val="14"/>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4"/>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4"/>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4"/>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4"/>
        <w:spacing w:line="240" w:lineRule="auto"/>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pStyle w:val="35"/>
        <w:rPr>
          <w:rFonts w:hint="eastAsia" w:asciiTheme="minorEastAsia" w:hAnsiTheme="minorEastAsia" w:eastAsiaTheme="minorEastAsia" w:cstheme="minorEastAsia"/>
          <w:b/>
          <w:bCs/>
          <w:color w:val="auto"/>
          <w:sz w:val="24"/>
          <w:highlight w:val="none"/>
          <w:lang w:val="en-US" w:eastAsia="zh-CN"/>
        </w:rPr>
      </w:pPr>
    </w:p>
    <w:p>
      <w:pPr>
        <w:pStyle w:val="35"/>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pStyle w:val="17"/>
        <w:rPr>
          <w:rFonts w:hint="eastAsia"/>
          <w:color w:val="auto"/>
          <w:highlight w:val="none"/>
          <w:lang w:val="en-US" w:eastAsia="zh-CN"/>
        </w:rPr>
      </w:pPr>
    </w:p>
    <w:p>
      <w:pPr>
        <w:rPr>
          <w:rFonts w:hint="eastAsia"/>
          <w:color w:val="auto"/>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8"/>
          <w:szCs w:val="21"/>
          <w:highlight w:val="none"/>
          <w:lang w:val="en-US" w:eastAsia="zh-CN"/>
        </w:rPr>
      </w:pPr>
      <w:r>
        <w:rPr>
          <w:rFonts w:hint="eastAsia" w:asciiTheme="minorEastAsia" w:hAnsiTheme="minorEastAsia" w:eastAsiaTheme="minorEastAsia" w:cstheme="minorEastAsia"/>
          <w:b/>
          <w:bCs/>
          <w:color w:val="auto"/>
          <w:sz w:val="28"/>
          <w:szCs w:val="21"/>
          <w:highlight w:val="none"/>
          <w:lang w:val="en-US" w:eastAsia="zh-CN"/>
        </w:rPr>
        <w:t>（8）反商业贿赂承诺书</w:t>
      </w:r>
    </w:p>
    <w:p>
      <w:pPr>
        <w:pStyle w:val="35"/>
        <w:spacing w:line="240" w:lineRule="auto"/>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被授权代表签字或盖章：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供应商名称（加盖公章）：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日期：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近三年（20</w:t>
      </w:r>
      <w:r>
        <w:rPr>
          <w:rFonts w:hint="eastAsia" w:asciiTheme="minorEastAsia" w:hAnsiTheme="minorEastAsia" w:eastAsiaTheme="minorEastAsia" w:cstheme="minorEastAsia"/>
          <w:b/>
          <w:bCs/>
          <w:color w:val="auto"/>
          <w:sz w:val="28"/>
          <w:szCs w:val="28"/>
          <w:highlight w:val="none"/>
          <w:lang w:val="en-US" w:eastAsia="zh-CN"/>
        </w:rPr>
        <w:t>19</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lang w:val="en-US" w:eastAsia="zh-CN"/>
        </w:rPr>
        <w:t>8月1日</w:t>
      </w:r>
      <w:r>
        <w:rPr>
          <w:rFonts w:hint="eastAsia" w:asciiTheme="minorEastAsia" w:hAnsiTheme="minorEastAsia" w:eastAsiaTheme="minorEastAsia" w:cstheme="minorEastAsia"/>
          <w:b/>
          <w:bCs/>
          <w:color w:val="auto"/>
          <w:sz w:val="28"/>
          <w:szCs w:val="28"/>
          <w:highlight w:val="none"/>
        </w:rPr>
        <w:t>至今）类似业绩表</w:t>
      </w:r>
    </w:p>
    <w:p>
      <w:pPr>
        <w:pStyle w:val="87"/>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pPr>
        <w:pStyle w:val="87"/>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                                              填表日期：年   月   日</w:t>
      </w:r>
    </w:p>
    <w:tbl>
      <w:tblPr>
        <w:tblStyle w:val="36"/>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采购单位</w:t>
            </w:r>
          </w:p>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合同签订</w:t>
            </w:r>
          </w:p>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bl>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供应商名称（加盖公章）：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24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法定代表人或授权代表签字：</w:t>
      </w:r>
      <w:r>
        <w:rPr>
          <w:rFonts w:hint="eastAsia" w:asciiTheme="minorEastAsia" w:hAnsiTheme="minorEastAsia" w:eastAsiaTheme="minorEastAsia" w:cstheme="minorEastAsia"/>
          <w:color w:val="auto"/>
          <w:sz w:val="24"/>
          <w:highlight w:val="none"/>
          <w:u w:val="single"/>
        </w:rPr>
        <w:t xml:space="preserve">                </w:t>
      </w: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附中标通知书或合同复印件。</w:t>
      </w: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1、类似业绩一览表</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2、中标通知书或合同复印件</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3、供应商认为有必要提供的其他材料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35"/>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21"/>
        <w:spacing w:line="24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i w:val="0"/>
          <w:iCs w:val="0"/>
          <w:color w:val="auto"/>
          <w:sz w:val="28"/>
          <w:szCs w:val="28"/>
          <w:highlight w:val="none"/>
          <w:lang w:val="en-US" w:eastAsia="zh-CN"/>
        </w:rPr>
        <w:t>（10）供应商</w:t>
      </w:r>
      <w:r>
        <w:rPr>
          <w:rFonts w:hint="eastAsia" w:asciiTheme="minorEastAsia" w:hAnsiTheme="minorEastAsia" w:eastAsiaTheme="minorEastAsia" w:cstheme="minorEastAsia"/>
          <w:b/>
          <w:color w:val="auto"/>
          <w:sz w:val="28"/>
          <w:szCs w:val="28"/>
          <w:highlight w:val="none"/>
        </w:rPr>
        <w:t>具备</w:t>
      </w:r>
      <w:r>
        <w:rPr>
          <w:rFonts w:hint="eastAsia" w:asciiTheme="minorEastAsia" w:hAnsiTheme="minorEastAsia" w:eastAsiaTheme="minorEastAsia" w:cstheme="minorEastAsia"/>
          <w:b/>
          <w:color w:val="auto"/>
          <w:sz w:val="28"/>
          <w:szCs w:val="28"/>
          <w:highlight w:val="none"/>
          <w:lang w:eastAsia="zh-CN"/>
        </w:rPr>
        <w:t>磋商</w:t>
      </w:r>
      <w:r>
        <w:rPr>
          <w:rFonts w:hint="eastAsia" w:asciiTheme="minorEastAsia" w:hAnsiTheme="minorEastAsia" w:eastAsiaTheme="minorEastAsia" w:cstheme="minorEastAsia"/>
          <w:b/>
          <w:color w:val="auto"/>
          <w:sz w:val="28"/>
          <w:szCs w:val="28"/>
          <w:highlight w:val="none"/>
        </w:rPr>
        <w:t>资格的证明文件</w:t>
      </w:r>
    </w:p>
    <w:p>
      <w:pPr>
        <w:pStyle w:val="21"/>
        <w:spacing w:line="24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供应商基本情况表</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lang w:val="en-US" w:eastAsia="zh-CN"/>
        </w:rPr>
        <w:t>供应商名称</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rPr>
        <w:t>公章</w:t>
      </w:r>
      <w:r>
        <w:rPr>
          <w:rFonts w:hint="eastAsia" w:ascii="宋体" w:hAnsi="宋体" w:eastAsia="宋体" w:cs="宋体"/>
          <w:color w:val="auto"/>
          <w:kern w:val="2"/>
          <w:sz w:val="24"/>
          <w:szCs w:val="24"/>
          <w:highlight w:val="none"/>
          <w:lang w:val="en-US" w:eastAsia="zh-CN" w:bidi="ar-SA"/>
        </w:rPr>
        <w:t>）</w:t>
      </w:r>
    </w:p>
    <w:tbl>
      <w:tblPr>
        <w:tblStyle w:val="3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上年营业收入</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员工总人数</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基本账户开户行及账号</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税务登记机关</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资质名称</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等级</w:t>
            </w: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发证机关</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bl>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附件2-1　法人或者其他组织的营业执照副本复印件或自然人的身份证明复印件</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(示例略)</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具备履行合同所必需的货物和专业技术能力的证明材料</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(示例略)</w:t>
      </w:r>
    </w:p>
    <w:p>
      <w:pPr>
        <w:pStyle w:val="14"/>
        <w:spacing w:line="240" w:lineRule="auto"/>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b/>
          <w:bCs/>
          <w:color w:val="auto"/>
          <w:sz w:val="28"/>
          <w:szCs w:val="21"/>
          <w:highlight w:val="none"/>
          <w:lang w:val="en-US" w:eastAsia="zh-CN"/>
        </w:rPr>
        <w:t>（11）项目负责人简历表及拟投入本项目主要成员表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1.项目负责人</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435"/>
        <w:gridCol w:w="1334"/>
        <w:gridCol w:w="1701"/>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姓名</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年龄</w:t>
            </w: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身份证号码</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毕业院校</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专业</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学位</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职务</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现所在机构或部门</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服务时间</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主要经历</w:t>
            </w:r>
          </w:p>
        </w:tc>
        <w:tc>
          <w:tcPr>
            <w:tcW w:w="730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日期</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参加过的项目名称</w:t>
            </w:r>
          </w:p>
        </w:tc>
        <w:tc>
          <w:tcPr>
            <w:tcW w:w="3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担任何职务</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备注</w:t>
            </w: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2、拟投入本项目的主要成员表</w:t>
      </w:r>
    </w:p>
    <w:tbl>
      <w:tblPr>
        <w:tblStyle w:val="36"/>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457"/>
        <w:gridCol w:w="875"/>
        <w:gridCol w:w="2187"/>
        <w:gridCol w:w="2187"/>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姓名</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性别</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职称</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岗位</w:t>
            </w: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供应商名称（加盖公章）：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法定代表人签字或盖章：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授权代表签字或盖章：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pStyle w:val="17"/>
        <w:rPr>
          <w:rFonts w:hint="eastAsia" w:asciiTheme="minorEastAsia" w:hAnsiTheme="minorEastAsia" w:eastAsiaTheme="minorEastAsia" w:cstheme="minorEastAsia"/>
          <w:b/>
          <w:bCs/>
          <w:color w:val="auto"/>
          <w:sz w:val="24"/>
          <w:szCs w:val="24"/>
          <w:highlight w:val="none"/>
          <w:lang w:val="en-US" w:eastAsia="zh-CN"/>
        </w:rPr>
      </w:pPr>
    </w:p>
    <w:p>
      <w:pPr>
        <w:rPr>
          <w:rFonts w:hint="eastAsia"/>
          <w:color w:val="auto"/>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（12）财务状况报告</w:t>
      </w:r>
    </w:p>
    <w:p>
      <w:pPr>
        <w:pStyle w:val="35"/>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p>
    <w:p>
      <w:pPr>
        <w:widowControl/>
        <w:jc w:val="center"/>
        <w:rPr>
          <w:rFonts w:hint="eastAsia" w:ascii="宋体" w:hAnsi="宋体" w:eastAsia="宋体" w:cs="宋体"/>
          <w:color w:val="auto"/>
          <w:kern w:val="0"/>
          <w:sz w:val="24"/>
          <w:szCs w:val="24"/>
          <w:highlight w:val="none"/>
        </w:rPr>
      </w:pPr>
    </w:p>
    <w:p>
      <w:pPr>
        <w:pStyle w:val="35"/>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供应商提供2020年度经第三方权威机构出具的完整的财务审计报告或财务报表相关材料或基础开户银行出具的资信证明（复印件加盖公章）； </w:t>
      </w:r>
    </w:p>
    <w:p>
      <w:pPr>
        <w:pStyle w:val="35"/>
        <w:rPr>
          <w:rFonts w:hint="eastAsia" w:asciiTheme="minorEastAsia" w:hAnsiTheme="minorEastAsia" w:eastAsiaTheme="minorEastAsia" w:cstheme="minorEastAsia"/>
          <w:b/>
          <w:bCs/>
          <w:color w:val="auto"/>
          <w:sz w:val="24"/>
          <w:szCs w:val="24"/>
          <w:highlight w:val="none"/>
          <w:lang w:val="en-US"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both"/>
        <w:rPr>
          <w:rFonts w:hint="eastAsia" w:ascii="宋体" w:hAnsi="宋体" w:cs="宋体"/>
          <w:b/>
          <w:bCs/>
          <w:color w:val="auto"/>
          <w:kern w:val="0"/>
          <w:sz w:val="28"/>
          <w:szCs w:val="28"/>
          <w:highlight w:val="none"/>
          <w:lang w:eastAsia="zh-CN"/>
        </w:rPr>
      </w:pPr>
    </w:p>
    <w:p>
      <w:pPr>
        <w:numPr>
          <w:ilvl w:val="0"/>
          <w:numId w:val="8"/>
        </w:numPr>
        <w:autoSpaceDE w:val="0"/>
        <w:autoSpaceDN w:val="0"/>
        <w:adjustRightInd w:val="0"/>
        <w:spacing w:line="360" w:lineRule="auto"/>
        <w:jc w:val="center"/>
        <w:rPr>
          <w:rFonts w:ascii="宋体" w:cs="宋体"/>
          <w:color w:val="auto"/>
          <w:kern w:val="0"/>
          <w:sz w:val="24"/>
          <w:szCs w:val="24"/>
          <w:highlight w:val="none"/>
        </w:rPr>
      </w:pPr>
      <w:r>
        <w:rPr>
          <w:rFonts w:hint="eastAsia" w:ascii="宋体" w:hAnsi="宋体" w:cs="宋体"/>
          <w:b/>
          <w:bCs/>
          <w:color w:val="auto"/>
          <w:kern w:val="0"/>
          <w:sz w:val="28"/>
          <w:szCs w:val="28"/>
          <w:highlight w:val="none"/>
        </w:rPr>
        <w:t>中小微企业证明文件</w:t>
      </w:r>
    </w:p>
    <w:p>
      <w:pPr>
        <w:numPr>
          <w:ilvl w:val="0"/>
          <w:numId w:val="0"/>
        </w:numPr>
        <w:autoSpaceDE w:val="0"/>
        <w:autoSpaceDN w:val="0"/>
        <w:adjustRightInd w:val="0"/>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中小企业声明函（货物）</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本公司（联合体） 郑重声明， 根据《政府采购促进中小企业发展管理办法》（财库﹝ 2020﹞ 46 号） 的规定， 本公司（联合体） 参加</w:t>
      </w:r>
      <w:r>
        <w:rPr>
          <w:rFonts w:ascii="宋体" w:hAnsi="宋体" w:cs="宋体"/>
          <w:color w:val="auto"/>
          <w:kern w:val="0"/>
          <w:sz w:val="24"/>
          <w:szCs w:val="24"/>
          <w:highlight w:val="none"/>
          <w:u w:val="single"/>
        </w:rPr>
        <w:t>（单位名称）</w:t>
      </w:r>
      <w:r>
        <w:rPr>
          <w:rFonts w:ascii="宋体" w:hAnsi="宋体" w:cs="宋体"/>
          <w:color w:val="auto"/>
          <w:kern w:val="0"/>
          <w:sz w:val="24"/>
          <w:szCs w:val="24"/>
          <w:highlight w:val="none"/>
        </w:rPr>
        <w:t xml:space="preserve"> 的</w:t>
      </w:r>
      <w:r>
        <w:rPr>
          <w:rFonts w:ascii="宋体" w:hAnsi="宋体" w:cs="宋体"/>
          <w:color w:val="auto"/>
          <w:kern w:val="0"/>
          <w:sz w:val="24"/>
          <w:szCs w:val="24"/>
          <w:highlight w:val="none"/>
          <w:u w:val="single"/>
        </w:rPr>
        <w:t>（项目名称）</w:t>
      </w:r>
      <w:r>
        <w:rPr>
          <w:rFonts w:ascii="宋体" w:hAnsi="宋体" w:cs="宋体"/>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（采购文件中明确的所属行业）行业</w:t>
      </w:r>
      <w:r>
        <w:rPr>
          <w:rFonts w:ascii="宋体" w:hAnsi="宋体" w:cs="宋体"/>
          <w:color w:val="auto"/>
          <w:kern w:val="0"/>
          <w:sz w:val="24"/>
          <w:szCs w:val="24"/>
          <w:highlight w:val="none"/>
        </w:rPr>
        <w:t>；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营业收入为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w:t>
      </w: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w:t>
      </w:r>
      <w:r>
        <w:rPr>
          <w:rFonts w:ascii="宋体" w:hAnsi="宋体" w:cs="宋体"/>
          <w:color w:val="auto"/>
          <w:kern w:val="0"/>
          <w:sz w:val="24"/>
          <w:szCs w:val="24"/>
          <w:highlight w:val="none"/>
        </w:rPr>
        <w:t>行业；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ascii="宋体" w:hAnsi="宋体" w:cs="宋体"/>
          <w:color w:val="auto"/>
          <w:kern w:val="0"/>
          <w:sz w:val="24"/>
          <w:szCs w:val="24"/>
          <w:highlight w:val="none"/>
        </w:rPr>
      </w:pPr>
    </w:p>
    <w:p>
      <w:pPr>
        <w:widowControl/>
        <w:wordWrap w:val="0"/>
        <w:spacing w:line="360" w:lineRule="auto"/>
        <w:ind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企业名称</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盖公章</w:t>
      </w:r>
      <w:r>
        <w:rPr>
          <w:rFonts w:hint="eastAsia" w:ascii="宋体" w:hAnsi="宋体" w:eastAsia="宋体" w:cs="宋体"/>
          <w:color w:val="auto"/>
          <w:kern w:val="2"/>
          <w:sz w:val="24"/>
          <w:szCs w:val="24"/>
          <w:highlight w:val="none"/>
          <w:lang w:val="en-US" w:eastAsia="zh-CN" w:bidi="ar-SA"/>
        </w:rPr>
        <w:t>）</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 xml:space="preserve">        </w:t>
      </w:r>
    </w:p>
    <w:p>
      <w:pPr>
        <w:widowControl/>
        <w:wordWrap w:val="0"/>
        <w:spacing w:line="360" w:lineRule="auto"/>
        <w:ind w:right="480"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日 期：</w:t>
      </w:r>
      <w:r>
        <w:rPr>
          <w:rFonts w:hint="eastAsia" w:ascii="宋体" w:hAnsi="宋体" w:cs="宋体"/>
          <w:color w:val="auto"/>
          <w:kern w:val="0"/>
          <w:sz w:val="24"/>
          <w:szCs w:val="24"/>
          <w:highlight w:val="none"/>
        </w:rPr>
        <w:t xml:space="preserve">         </w:t>
      </w:r>
    </w:p>
    <w:p>
      <w:pPr>
        <w:pStyle w:val="12"/>
        <w:rPr>
          <w:rFonts w:ascii="宋体" w:hAnsi="宋体" w:cs="宋体"/>
          <w:color w:val="auto"/>
          <w:kern w:val="0"/>
          <w:sz w:val="24"/>
          <w:szCs w:val="24"/>
          <w:highlight w:val="none"/>
        </w:rPr>
      </w:pPr>
    </w:p>
    <w:p>
      <w:pPr>
        <w:spacing w:line="360" w:lineRule="auto"/>
        <w:ind w:firstLine="480" w:firstLineChars="200"/>
        <w:rPr>
          <w:rFonts w:hint="eastAsia" w:asciiTheme="minorEastAsia" w:hAnsiTheme="minorEastAsia" w:eastAsiaTheme="minorEastAsia" w:cstheme="minorEastAsia"/>
          <w:b/>
          <w:bCs/>
          <w:color w:val="auto"/>
          <w:sz w:val="28"/>
          <w:szCs w:val="28"/>
          <w:highlight w:val="none"/>
          <w:lang w:val="en-US" w:eastAsia="zh-CN"/>
        </w:rPr>
      </w:pP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从业人员、 营业收入、 资产总额填报上一年度数据， 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（14）售后服务承诺（格式自拟）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（15）供应商认为的其他资料及附件（格式自拟）</w:t>
      </w:r>
    </w:p>
    <w:sectPr>
      <w:type w:val="continuous"/>
      <w:pgSz w:w="11906" w:h="16838"/>
      <w:pgMar w:top="720" w:right="1086" w:bottom="720" w:left="1160" w:header="851" w:footer="992" w:gutter="0"/>
      <w:pgBorders>
        <w:top w:val="none" w:sz="0" w:space="0"/>
        <w:left w:val="none" w:sz="0" w:space="0"/>
        <w:bottom w:val="none" w:sz="0" w:space="0"/>
        <w:right w:val="none" w:sz="0" w:space="0"/>
      </w:pgBorders>
      <w:pgNumType w:fmt="decimal"/>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tabs>
        <w:tab w:val="center" w:pos="4906"/>
        <w:tab w:val="right" w:pos="9693"/>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0"/>
      </w:rPr>
    </w:pPr>
    <w:r>
      <w:fldChar w:fldCharType="begin"/>
    </w:r>
    <w:r>
      <w:rPr>
        <w:rStyle w:val="40"/>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jc w:val="center"/>
    </w:pPr>
    <w:r>
      <w:rPr>
        <w:sz w:val="18"/>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jc w:val="center"/>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2496"/>
      </w:tabs>
      <w:jc w:val="left"/>
      <w:rPr>
        <w:rFonts w:hint="eastAsia"/>
        <w:lang w:val="en-US" w:eastAsia="zh-CN"/>
      </w:rPr>
    </w:pPr>
    <w:r>
      <w:rPr>
        <w:rFonts w:hint="eastAsia"/>
        <w:lang w:val="en-US" w:eastAsia="zh-CN"/>
      </w:rPr>
      <w:tab/>
    </w:r>
    <w:r>
      <w:rPr>
        <w:rFonts w:hint="eastAsia"/>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BB2B"/>
    <w:multiLevelType w:val="singleLevel"/>
    <w:tmpl w:val="80FCBB2B"/>
    <w:lvl w:ilvl="0" w:tentative="0">
      <w:start w:val="13"/>
      <w:numFmt w:val="decimal"/>
      <w:suff w:val="nothing"/>
      <w:lvlText w:val="（%1）"/>
      <w:lvlJc w:val="left"/>
    </w:lvl>
  </w:abstractNum>
  <w:abstractNum w:abstractNumId="1">
    <w:nsid w:val="CF383F5D"/>
    <w:multiLevelType w:val="singleLevel"/>
    <w:tmpl w:val="CF383F5D"/>
    <w:lvl w:ilvl="0" w:tentative="0">
      <w:start w:val="1"/>
      <w:numFmt w:val="chineseCounting"/>
      <w:suff w:val="nothing"/>
      <w:lvlText w:val="%1、"/>
      <w:lvlJc w:val="left"/>
      <w:rPr>
        <w:rFonts w:hint="eastAsia"/>
      </w:rPr>
    </w:lvl>
  </w:abstractNum>
  <w:abstractNum w:abstractNumId="2">
    <w:nsid w:val="D13399B1"/>
    <w:multiLevelType w:val="singleLevel"/>
    <w:tmpl w:val="D13399B1"/>
    <w:lvl w:ilvl="0" w:tentative="0">
      <w:start w:val="4"/>
      <w:numFmt w:val="chineseCounting"/>
      <w:suff w:val="space"/>
      <w:lvlText w:val="第%1部分"/>
      <w:lvlJc w:val="left"/>
      <w:rPr>
        <w:rFonts w:hint="eastAsia"/>
      </w:rPr>
    </w:lvl>
  </w:abstractNum>
  <w:abstractNum w:abstractNumId="3">
    <w:nsid w:val="E25DC556"/>
    <w:multiLevelType w:val="singleLevel"/>
    <w:tmpl w:val="E25DC556"/>
    <w:lvl w:ilvl="0" w:tentative="0">
      <w:start w:val="1"/>
      <w:numFmt w:val="decimal"/>
      <w:suff w:val="nothing"/>
      <w:lvlText w:val="%1、"/>
      <w:lvlJc w:val="left"/>
    </w:lvl>
  </w:abstractNum>
  <w:abstractNum w:abstractNumId="4">
    <w:nsid w:val="13A95EE0"/>
    <w:multiLevelType w:val="singleLevel"/>
    <w:tmpl w:val="13A95EE0"/>
    <w:lvl w:ilvl="0" w:tentative="0">
      <w:start w:val="1"/>
      <w:numFmt w:val="decimal"/>
      <w:lvlText w:val="（%1）"/>
      <w:lvlJc w:val="left"/>
      <w:pPr>
        <w:tabs>
          <w:tab w:val="left" w:pos="1440"/>
        </w:tabs>
        <w:ind w:left="1500" w:hanging="900"/>
      </w:pPr>
      <w:rPr>
        <w:rFonts w:hint="eastAsia"/>
      </w:r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57DC6833"/>
    <w:multiLevelType w:val="multilevel"/>
    <w:tmpl w:val="57DC6833"/>
    <w:lvl w:ilvl="0" w:tentative="0">
      <w:start w:val="1"/>
      <w:numFmt w:val="japaneseCount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D4C6378"/>
    <w:multiLevelType w:val="singleLevel"/>
    <w:tmpl w:val="7D4C6378"/>
    <w:lvl w:ilvl="0" w:tentative="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YxMjk3YTY5Y2NjZjg0YjVjYTdjN2I3YzU1MmJlMDEifQ=="/>
  </w:docVars>
  <w:rsids>
    <w:rsidRoot w:val="00172A27"/>
    <w:rsid w:val="00024650"/>
    <w:rsid w:val="00036A89"/>
    <w:rsid w:val="000425A0"/>
    <w:rsid w:val="00064EFA"/>
    <w:rsid w:val="0006542F"/>
    <w:rsid w:val="00073F02"/>
    <w:rsid w:val="00082A2C"/>
    <w:rsid w:val="0009612E"/>
    <w:rsid w:val="000A6DF1"/>
    <w:rsid w:val="000B13AC"/>
    <w:rsid w:val="000C1A30"/>
    <w:rsid w:val="000C3AEE"/>
    <w:rsid w:val="000D5F95"/>
    <w:rsid w:val="00100E18"/>
    <w:rsid w:val="00122D47"/>
    <w:rsid w:val="001243B6"/>
    <w:rsid w:val="001468F3"/>
    <w:rsid w:val="00146B6B"/>
    <w:rsid w:val="00147FF3"/>
    <w:rsid w:val="001506BC"/>
    <w:rsid w:val="00150F04"/>
    <w:rsid w:val="0016211E"/>
    <w:rsid w:val="00170231"/>
    <w:rsid w:val="00172A27"/>
    <w:rsid w:val="0017789E"/>
    <w:rsid w:val="00181A1F"/>
    <w:rsid w:val="00182453"/>
    <w:rsid w:val="0019439C"/>
    <w:rsid w:val="001C35A7"/>
    <w:rsid w:val="001D066D"/>
    <w:rsid w:val="002141AE"/>
    <w:rsid w:val="0022583C"/>
    <w:rsid w:val="00241D9A"/>
    <w:rsid w:val="002511A3"/>
    <w:rsid w:val="002535CF"/>
    <w:rsid w:val="00262605"/>
    <w:rsid w:val="0026486A"/>
    <w:rsid w:val="00281B38"/>
    <w:rsid w:val="00284F22"/>
    <w:rsid w:val="002A5A60"/>
    <w:rsid w:val="002C7414"/>
    <w:rsid w:val="002C7F2E"/>
    <w:rsid w:val="002D5AC0"/>
    <w:rsid w:val="002E11BC"/>
    <w:rsid w:val="002F05DC"/>
    <w:rsid w:val="002F4340"/>
    <w:rsid w:val="002F43D5"/>
    <w:rsid w:val="003013D3"/>
    <w:rsid w:val="003041F9"/>
    <w:rsid w:val="003165AF"/>
    <w:rsid w:val="00320D76"/>
    <w:rsid w:val="00331DC5"/>
    <w:rsid w:val="00344D55"/>
    <w:rsid w:val="00362AFB"/>
    <w:rsid w:val="0037168C"/>
    <w:rsid w:val="003856A8"/>
    <w:rsid w:val="003A645F"/>
    <w:rsid w:val="003B0C90"/>
    <w:rsid w:val="003B494C"/>
    <w:rsid w:val="003D1996"/>
    <w:rsid w:val="003F00C7"/>
    <w:rsid w:val="003F0240"/>
    <w:rsid w:val="003F2130"/>
    <w:rsid w:val="00403F3E"/>
    <w:rsid w:val="0040568E"/>
    <w:rsid w:val="00415280"/>
    <w:rsid w:val="00435E6B"/>
    <w:rsid w:val="00436FDD"/>
    <w:rsid w:val="004536E3"/>
    <w:rsid w:val="004575AF"/>
    <w:rsid w:val="004616CB"/>
    <w:rsid w:val="00475972"/>
    <w:rsid w:val="00482333"/>
    <w:rsid w:val="0048398C"/>
    <w:rsid w:val="004901B8"/>
    <w:rsid w:val="00490CEA"/>
    <w:rsid w:val="004B48CF"/>
    <w:rsid w:val="004B5550"/>
    <w:rsid w:val="004C0FEC"/>
    <w:rsid w:val="004D4802"/>
    <w:rsid w:val="004D7252"/>
    <w:rsid w:val="004E029E"/>
    <w:rsid w:val="0053150A"/>
    <w:rsid w:val="005331D3"/>
    <w:rsid w:val="00545412"/>
    <w:rsid w:val="00546B79"/>
    <w:rsid w:val="0056504C"/>
    <w:rsid w:val="0057757F"/>
    <w:rsid w:val="005837D9"/>
    <w:rsid w:val="00587F42"/>
    <w:rsid w:val="005A210C"/>
    <w:rsid w:val="005A3CB5"/>
    <w:rsid w:val="005A49EA"/>
    <w:rsid w:val="005B01D9"/>
    <w:rsid w:val="005B1758"/>
    <w:rsid w:val="005B5BD1"/>
    <w:rsid w:val="005C6EA8"/>
    <w:rsid w:val="005D0851"/>
    <w:rsid w:val="005D0941"/>
    <w:rsid w:val="005D2898"/>
    <w:rsid w:val="00606D35"/>
    <w:rsid w:val="00624552"/>
    <w:rsid w:val="006333E4"/>
    <w:rsid w:val="00643AE8"/>
    <w:rsid w:val="00657D30"/>
    <w:rsid w:val="00657D6D"/>
    <w:rsid w:val="00677008"/>
    <w:rsid w:val="00686954"/>
    <w:rsid w:val="006929D6"/>
    <w:rsid w:val="006A6A06"/>
    <w:rsid w:val="006D548D"/>
    <w:rsid w:val="006E05DB"/>
    <w:rsid w:val="007006F4"/>
    <w:rsid w:val="007176E6"/>
    <w:rsid w:val="007252B9"/>
    <w:rsid w:val="00736F86"/>
    <w:rsid w:val="0074200E"/>
    <w:rsid w:val="0074765C"/>
    <w:rsid w:val="0074781A"/>
    <w:rsid w:val="00756E2C"/>
    <w:rsid w:val="00766F56"/>
    <w:rsid w:val="007906DF"/>
    <w:rsid w:val="007A6883"/>
    <w:rsid w:val="007B4151"/>
    <w:rsid w:val="007C391F"/>
    <w:rsid w:val="007C67CA"/>
    <w:rsid w:val="007D14B5"/>
    <w:rsid w:val="007E3771"/>
    <w:rsid w:val="007E5C76"/>
    <w:rsid w:val="0081325F"/>
    <w:rsid w:val="00820889"/>
    <w:rsid w:val="00840937"/>
    <w:rsid w:val="0084281E"/>
    <w:rsid w:val="008462BD"/>
    <w:rsid w:val="0084729F"/>
    <w:rsid w:val="00852B21"/>
    <w:rsid w:val="008A421C"/>
    <w:rsid w:val="008A5826"/>
    <w:rsid w:val="008B05FF"/>
    <w:rsid w:val="008D201D"/>
    <w:rsid w:val="008E6BA1"/>
    <w:rsid w:val="008F7A58"/>
    <w:rsid w:val="00905E06"/>
    <w:rsid w:val="00934683"/>
    <w:rsid w:val="00945987"/>
    <w:rsid w:val="009538C3"/>
    <w:rsid w:val="00976C40"/>
    <w:rsid w:val="009838B2"/>
    <w:rsid w:val="00983D86"/>
    <w:rsid w:val="0098603A"/>
    <w:rsid w:val="00992C1C"/>
    <w:rsid w:val="009A321E"/>
    <w:rsid w:val="009A3F0D"/>
    <w:rsid w:val="009A5A6C"/>
    <w:rsid w:val="009C1B8D"/>
    <w:rsid w:val="009E5E78"/>
    <w:rsid w:val="00A0052D"/>
    <w:rsid w:val="00A12332"/>
    <w:rsid w:val="00A13D66"/>
    <w:rsid w:val="00A15AE2"/>
    <w:rsid w:val="00A16FAD"/>
    <w:rsid w:val="00A1792D"/>
    <w:rsid w:val="00A37B89"/>
    <w:rsid w:val="00A4238B"/>
    <w:rsid w:val="00A53906"/>
    <w:rsid w:val="00A61C47"/>
    <w:rsid w:val="00A629A0"/>
    <w:rsid w:val="00A64B06"/>
    <w:rsid w:val="00A65F40"/>
    <w:rsid w:val="00A66C6C"/>
    <w:rsid w:val="00A71F72"/>
    <w:rsid w:val="00A73D57"/>
    <w:rsid w:val="00A74CE4"/>
    <w:rsid w:val="00A844D2"/>
    <w:rsid w:val="00A858B7"/>
    <w:rsid w:val="00A916EB"/>
    <w:rsid w:val="00AB003D"/>
    <w:rsid w:val="00AC5F83"/>
    <w:rsid w:val="00AD439E"/>
    <w:rsid w:val="00AD6880"/>
    <w:rsid w:val="00AF11C2"/>
    <w:rsid w:val="00AF1202"/>
    <w:rsid w:val="00AF4544"/>
    <w:rsid w:val="00B004A5"/>
    <w:rsid w:val="00B065CF"/>
    <w:rsid w:val="00B22E17"/>
    <w:rsid w:val="00B501DC"/>
    <w:rsid w:val="00B61965"/>
    <w:rsid w:val="00B703B7"/>
    <w:rsid w:val="00B75ED2"/>
    <w:rsid w:val="00B83BAD"/>
    <w:rsid w:val="00B8684C"/>
    <w:rsid w:val="00BA13F8"/>
    <w:rsid w:val="00BC253A"/>
    <w:rsid w:val="00BD3A00"/>
    <w:rsid w:val="00BD7399"/>
    <w:rsid w:val="00BE4AAB"/>
    <w:rsid w:val="00BF5110"/>
    <w:rsid w:val="00C042CF"/>
    <w:rsid w:val="00C131B5"/>
    <w:rsid w:val="00C14E72"/>
    <w:rsid w:val="00C20AA2"/>
    <w:rsid w:val="00C27FCE"/>
    <w:rsid w:val="00C4142E"/>
    <w:rsid w:val="00C4338B"/>
    <w:rsid w:val="00C5576C"/>
    <w:rsid w:val="00C71F95"/>
    <w:rsid w:val="00C84ECB"/>
    <w:rsid w:val="00C90B45"/>
    <w:rsid w:val="00C919C1"/>
    <w:rsid w:val="00C94A2E"/>
    <w:rsid w:val="00CA693D"/>
    <w:rsid w:val="00CD46BD"/>
    <w:rsid w:val="00CD64B9"/>
    <w:rsid w:val="00D033CF"/>
    <w:rsid w:val="00D123A0"/>
    <w:rsid w:val="00D13A0F"/>
    <w:rsid w:val="00D27209"/>
    <w:rsid w:val="00D31F76"/>
    <w:rsid w:val="00D346F6"/>
    <w:rsid w:val="00D449DE"/>
    <w:rsid w:val="00D504F4"/>
    <w:rsid w:val="00D554A1"/>
    <w:rsid w:val="00D55B0D"/>
    <w:rsid w:val="00D600C1"/>
    <w:rsid w:val="00D71472"/>
    <w:rsid w:val="00D72269"/>
    <w:rsid w:val="00D734F5"/>
    <w:rsid w:val="00D8368C"/>
    <w:rsid w:val="00D84D53"/>
    <w:rsid w:val="00D923FA"/>
    <w:rsid w:val="00D93B85"/>
    <w:rsid w:val="00DA5DAC"/>
    <w:rsid w:val="00DB0D83"/>
    <w:rsid w:val="00DB4169"/>
    <w:rsid w:val="00DD3886"/>
    <w:rsid w:val="00DD66F0"/>
    <w:rsid w:val="00DE5065"/>
    <w:rsid w:val="00DF3C4A"/>
    <w:rsid w:val="00DF6329"/>
    <w:rsid w:val="00E06217"/>
    <w:rsid w:val="00E15328"/>
    <w:rsid w:val="00E25566"/>
    <w:rsid w:val="00E25617"/>
    <w:rsid w:val="00E30650"/>
    <w:rsid w:val="00E34463"/>
    <w:rsid w:val="00E55B16"/>
    <w:rsid w:val="00E72F0D"/>
    <w:rsid w:val="00E906A9"/>
    <w:rsid w:val="00E90D49"/>
    <w:rsid w:val="00E97279"/>
    <w:rsid w:val="00EC004E"/>
    <w:rsid w:val="00EE05B0"/>
    <w:rsid w:val="00EE3CB6"/>
    <w:rsid w:val="00EF3DF6"/>
    <w:rsid w:val="00EF7F78"/>
    <w:rsid w:val="00EF7FE5"/>
    <w:rsid w:val="00F04C3D"/>
    <w:rsid w:val="00F20292"/>
    <w:rsid w:val="00F65FBF"/>
    <w:rsid w:val="00F7290F"/>
    <w:rsid w:val="00F72E74"/>
    <w:rsid w:val="00F758D0"/>
    <w:rsid w:val="00FC7F07"/>
    <w:rsid w:val="011D7167"/>
    <w:rsid w:val="01205CFA"/>
    <w:rsid w:val="01356720"/>
    <w:rsid w:val="01513462"/>
    <w:rsid w:val="0159046E"/>
    <w:rsid w:val="015B4FCE"/>
    <w:rsid w:val="016A0439"/>
    <w:rsid w:val="01787705"/>
    <w:rsid w:val="017F478B"/>
    <w:rsid w:val="0190389C"/>
    <w:rsid w:val="01964401"/>
    <w:rsid w:val="01C856EF"/>
    <w:rsid w:val="01D83A1A"/>
    <w:rsid w:val="01FB509F"/>
    <w:rsid w:val="02156D57"/>
    <w:rsid w:val="02247FAE"/>
    <w:rsid w:val="02250DA9"/>
    <w:rsid w:val="024759EA"/>
    <w:rsid w:val="02707571"/>
    <w:rsid w:val="02791DD6"/>
    <w:rsid w:val="02873BB9"/>
    <w:rsid w:val="02A97FD3"/>
    <w:rsid w:val="02BF67EB"/>
    <w:rsid w:val="02DC7BA4"/>
    <w:rsid w:val="02DE1A58"/>
    <w:rsid w:val="030376E3"/>
    <w:rsid w:val="031D4487"/>
    <w:rsid w:val="0331086A"/>
    <w:rsid w:val="03423C1D"/>
    <w:rsid w:val="03547F3F"/>
    <w:rsid w:val="03607A8F"/>
    <w:rsid w:val="03750701"/>
    <w:rsid w:val="03826222"/>
    <w:rsid w:val="039600E0"/>
    <w:rsid w:val="03A03184"/>
    <w:rsid w:val="03A27D70"/>
    <w:rsid w:val="03AF3B6F"/>
    <w:rsid w:val="03AF6D28"/>
    <w:rsid w:val="03B66170"/>
    <w:rsid w:val="03BB1E0E"/>
    <w:rsid w:val="03CB4763"/>
    <w:rsid w:val="03E04029"/>
    <w:rsid w:val="03E87843"/>
    <w:rsid w:val="040A2F25"/>
    <w:rsid w:val="04103B84"/>
    <w:rsid w:val="0418746B"/>
    <w:rsid w:val="042B70DE"/>
    <w:rsid w:val="04306AAA"/>
    <w:rsid w:val="04371C9F"/>
    <w:rsid w:val="04462680"/>
    <w:rsid w:val="046E162C"/>
    <w:rsid w:val="049E3380"/>
    <w:rsid w:val="04A02811"/>
    <w:rsid w:val="04A62441"/>
    <w:rsid w:val="04AF732B"/>
    <w:rsid w:val="04B50530"/>
    <w:rsid w:val="04C30D51"/>
    <w:rsid w:val="04D07A99"/>
    <w:rsid w:val="04EB225B"/>
    <w:rsid w:val="051A3950"/>
    <w:rsid w:val="052D3D60"/>
    <w:rsid w:val="054D592E"/>
    <w:rsid w:val="055A0EB4"/>
    <w:rsid w:val="055B2A0C"/>
    <w:rsid w:val="055E3D37"/>
    <w:rsid w:val="05782146"/>
    <w:rsid w:val="05783C44"/>
    <w:rsid w:val="057F7CA8"/>
    <w:rsid w:val="058B4A62"/>
    <w:rsid w:val="059170AF"/>
    <w:rsid w:val="05D26A0C"/>
    <w:rsid w:val="05D96B92"/>
    <w:rsid w:val="05DB5D0B"/>
    <w:rsid w:val="05E41A4E"/>
    <w:rsid w:val="060A5C98"/>
    <w:rsid w:val="061F2A6B"/>
    <w:rsid w:val="06267310"/>
    <w:rsid w:val="064E06A4"/>
    <w:rsid w:val="066602E1"/>
    <w:rsid w:val="06661A27"/>
    <w:rsid w:val="0671518A"/>
    <w:rsid w:val="068257F5"/>
    <w:rsid w:val="06B94734"/>
    <w:rsid w:val="06C54FBD"/>
    <w:rsid w:val="06E23AEE"/>
    <w:rsid w:val="06FF5D66"/>
    <w:rsid w:val="0715214B"/>
    <w:rsid w:val="073F59E4"/>
    <w:rsid w:val="07582445"/>
    <w:rsid w:val="07820E68"/>
    <w:rsid w:val="078D7EC3"/>
    <w:rsid w:val="079C006E"/>
    <w:rsid w:val="07B71328"/>
    <w:rsid w:val="07C12195"/>
    <w:rsid w:val="07DD3664"/>
    <w:rsid w:val="07E62A60"/>
    <w:rsid w:val="07FB1A66"/>
    <w:rsid w:val="07FD5E03"/>
    <w:rsid w:val="0844046D"/>
    <w:rsid w:val="08547747"/>
    <w:rsid w:val="08590D67"/>
    <w:rsid w:val="086A7BA8"/>
    <w:rsid w:val="08736554"/>
    <w:rsid w:val="08B612F2"/>
    <w:rsid w:val="08C1472A"/>
    <w:rsid w:val="08CE0652"/>
    <w:rsid w:val="08D351DA"/>
    <w:rsid w:val="08DD2784"/>
    <w:rsid w:val="08E84395"/>
    <w:rsid w:val="09012F5C"/>
    <w:rsid w:val="09113961"/>
    <w:rsid w:val="09283FF7"/>
    <w:rsid w:val="096E2876"/>
    <w:rsid w:val="097C1ACD"/>
    <w:rsid w:val="0984078A"/>
    <w:rsid w:val="098A1EDD"/>
    <w:rsid w:val="09A96050"/>
    <w:rsid w:val="09C941C0"/>
    <w:rsid w:val="0A0507DB"/>
    <w:rsid w:val="0A203692"/>
    <w:rsid w:val="0A560A40"/>
    <w:rsid w:val="0A8B227D"/>
    <w:rsid w:val="0AB70E62"/>
    <w:rsid w:val="0AE91D9E"/>
    <w:rsid w:val="0AED498F"/>
    <w:rsid w:val="0B042A78"/>
    <w:rsid w:val="0B28411A"/>
    <w:rsid w:val="0B3B463A"/>
    <w:rsid w:val="0B4371F8"/>
    <w:rsid w:val="0B5B793C"/>
    <w:rsid w:val="0B6077CA"/>
    <w:rsid w:val="0B616C53"/>
    <w:rsid w:val="0B637935"/>
    <w:rsid w:val="0B7D3DAB"/>
    <w:rsid w:val="0B86689B"/>
    <w:rsid w:val="0B8E5FB8"/>
    <w:rsid w:val="0BA20139"/>
    <w:rsid w:val="0BA47E76"/>
    <w:rsid w:val="0BAD3328"/>
    <w:rsid w:val="0BC330C9"/>
    <w:rsid w:val="0BC87659"/>
    <w:rsid w:val="0BD97819"/>
    <w:rsid w:val="0BEB7BE0"/>
    <w:rsid w:val="0C117273"/>
    <w:rsid w:val="0C39190D"/>
    <w:rsid w:val="0C4A6383"/>
    <w:rsid w:val="0C646855"/>
    <w:rsid w:val="0C6E5712"/>
    <w:rsid w:val="0C873133"/>
    <w:rsid w:val="0C96560F"/>
    <w:rsid w:val="0CC721DF"/>
    <w:rsid w:val="0CFA1BB5"/>
    <w:rsid w:val="0D074DB2"/>
    <w:rsid w:val="0D3708FD"/>
    <w:rsid w:val="0D531053"/>
    <w:rsid w:val="0D610B1D"/>
    <w:rsid w:val="0D942758"/>
    <w:rsid w:val="0DC37C14"/>
    <w:rsid w:val="0DC60162"/>
    <w:rsid w:val="0DD03123"/>
    <w:rsid w:val="0DE06A73"/>
    <w:rsid w:val="0DE54B94"/>
    <w:rsid w:val="0E0D15F0"/>
    <w:rsid w:val="0E1416D4"/>
    <w:rsid w:val="0E171581"/>
    <w:rsid w:val="0E200FA6"/>
    <w:rsid w:val="0E2B392C"/>
    <w:rsid w:val="0E3F3EC9"/>
    <w:rsid w:val="0E4C1ECE"/>
    <w:rsid w:val="0E51284A"/>
    <w:rsid w:val="0E5246BE"/>
    <w:rsid w:val="0E6C15DD"/>
    <w:rsid w:val="0E8912C6"/>
    <w:rsid w:val="0EB62561"/>
    <w:rsid w:val="0EB638EB"/>
    <w:rsid w:val="0EBE6BB4"/>
    <w:rsid w:val="0EBF6520"/>
    <w:rsid w:val="0ED357DA"/>
    <w:rsid w:val="0EE25BCE"/>
    <w:rsid w:val="0EED73FE"/>
    <w:rsid w:val="0EF62022"/>
    <w:rsid w:val="0EFC0054"/>
    <w:rsid w:val="0F0D7C19"/>
    <w:rsid w:val="0F195488"/>
    <w:rsid w:val="0F253238"/>
    <w:rsid w:val="0F351BD9"/>
    <w:rsid w:val="0F525DF0"/>
    <w:rsid w:val="0F59744C"/>
    <w:rsid w:val="0F7205AB"/>
    <w:rsid w:val="0FA62C34"/>
    <w:rsid w:val="0FA753FD"/>
    <w:rsid w:val="0FB858EA"/>
    <w:rsid w:val="0FE467C4"/>
    <w:rsid w:val="0FE92435"/>
    <w:rsid w:val="10056617"/>
    <w:rsid w:val="100F2C7E"/>
    <w:rsid w:val="101630D3"/>
    <w:rsid w:val="10463140"/>
    <w:rsid w:val="10564BB9"/>
    <w:rsid w:val="105E07D3"/>
    <w:rsid w:val="10691591"/>
    <w:rsid w:val="10700132"/>
    <w:rsid w:val="107923A3"/>
    <w:rsid w:val="107F7DBE"/>
    <w:rsid w:val="108C3D89"/>
    <w:rsid w:val="10A205C1"/>
    <w:rsid w:val="10A80C54"/>
    <w:rsid w:val="10BE4667"/>
    <w:rsid w:val="10D54DC5"/>
    <w:rsid w:val="10E7407D"/>
    <w:rsid w:val="10E83B30"/>
    <w:rsid w:val="10EA2CAA"/>
    <w:rsid w:val="10ED6A6F"/>
    <w:rsid w:val="10EF48D2"/>
    <w:rsid w:val="10F83F0C"/>
    <w:rsid w:val="10F94A5D"/>
    <w:rsid w:val="10FA6A2B"/>
    <w:rsid w:val="10FE3D73"/>
    <w:rsid w:val="11083E33"/>
    <w:rsid w:val="110E23E3"/>
    <w:rsid w:val="11133C75"/>
    <w:rsid w:val="111569C0"/>
    <w:rsid w:val="11182203"/>
    <w:rsid w:val="112B2267"/>
    <w:rsid w:val="112D6653"/>
    <w:rsid w:val="1137610C"/>
    <w:rsid w:val="113E5D8A"/>
    <w:rsid w:val="115668EE"/>
    <w:rsid w:val="11592A69"/>
    <w:rsid w:val="115E1C2D"/>
    <w:rsid w:val="11711D37"/>
    <w:rsid w:val="119E4B45"/>
    <w:rsid w:val="11A378BA"/>
    <w:rsid w:val="11C911DD"/>
    <w:rsid w:val="11DE0DB6"/>
    <w:rsid w:val="11DE4BDF"/>
    <w:rsid w:val="11E76422"/>
    <w:rsid w:val="11F0158B"/>
    <w:rsid w:val="11F612D3"/>
    <w:rsid w:val="11F66DAA"/>
    <w:rsid w:val="1251141E"/>
    <w:rsid w:val="12597699"/>
    <w:rsid w:val="12755413"/>
    <w:rsid w:val="127B61A7"/>
    <w:rsid w:val="127F5BDF"/>
    <w:rsid w:val="12984E7A"/>
    <w:rsid w:val="12BD6E30"/>
    <w:rsid w:val="12BE07F4"/>
    <w:rsid w:val="12C04F78"/>
    <w:rsid w:val="12C71CC9"/>
    <w:rsid w:val="12C84937"/>
    <w:rsid w:val="12C94CFF"/>
    <w:rsid w:val="12E24EAF"/>
    <w:rsid w:val="12E33173"/>
    <w:rsid w:val="12E86631"/>
    <w:rsid w:val="12EB3B25"/>
    <w:rsid w:val="12F67F64"/>
    <w:rsid w:val="12F801B7"/>
    <w:rsid w:val="130822BA"/>
    <w:rsid w:val="13196170"/>
    <w:rsid w:val="13312ACD"/>
    <w:rsid w:val="13731D86"/>
    <w:rsid w:val="13746E00"/>
    <w:rsid w:val="137A64F1"/>
    <w:rsid w:val="137C63E8"/>
    <w:rsid w:val="13927DB7"/>
    <w:rsid w:val="139562FC"/>
    <w:rsid w:val="13A215C1"/>
    <w:rsid w:val="13AC657F"/>
    <w:rsid w:val="13BE18FA"/>
    <w:rsid w:val="13C7360E"/>
    <w:rsid w:val="13D80534"/>
    <w:rsid w:val="13F653EB"/>
    <w:rsid w:val="13F72E3B"/>
    <w:rsid w:val="14314B29"/>
    <w:rsid w:val="144D7F0F"/>
    <w:rsid w:val="1464566E"/>
    <w:rsid w:val="148D16CC"/>
    <w:rsid w:val="149D6256"/>
    <w:rsid w:val="14A16446"/>
    <w:rsid w:val="14CB202B"/>
    <w:rsid w:val="14D30590"/>
    <w:rsid w:val="14E86363"/>
    <w:rsid w:val="14F452CC"/>
    <w:rsid w:val="14F82CF0"/>
    <w:rsid w:val="150F739D"/>
    <w:rsid w:val="15164BED"/>
    <w:rsid w:val="154431BF"/>
    <w:rsid w:val="15465BF2"/>
    <w:rsid w:val="155A4E73"/>
    <w:rsid w:val="158E72E0"/>
    <w:rsid w:val="159420A7"/>
    <w:rsid w:val="15A4186A"/>
    <w:rsid w:val="15BA676A"/>
    <w:rsid w:val="15BE2D0F"/>
    <w:rsid w:val="15E954F4"/>
    <w:rsid w:val="164536EF"/>
    <w:rsid w:val="164D09C0"/>
    <w:rsid w:val="166B0ED1"/>
    <w:rsid w:val="167A3448"/>
    <w:rsid w:val="1681058B"/>
    <w:rsid w:val="16961184"/>
    <w:rsid w:val="16CF5B5B"/>
    <w:rsid w:val="170E0B6C"/>
    <w:rsid w:val="17244B74"/>
    <w:rsid w:val="172B3B0C"/>
    <w:rsid w:val="1730374E"/>
    <w:rsid w:val="173639EA"/>
    <w:rsid w:val="173F0D3D"/>
    <w:rsid w:val="174C7D8F"/>
    <w:rsid w:val="17A80DB9"/>
    <w:rsid w:val="17BA27A5"/>
    <w:rsid w:val="17C07952"/>
    <w:rsid w:val="17D07A46"/>
    <w:rsid w:val="17D82840"/>
    <w:rsid w:val="17EA6F4B"/>
    <w:rsid w:val="17FC319F"/>
    <w:rsid w:val="180975ED"/>
    <w:rsid w:val="180A5DAE"/>
    <w:rsid w:val="181C25FF"/>
    <w:rsid w:val="182435F8"/>
    <w:rsid w:val="1865467C"/>
    <w:rsid w:val="18856F76"/>
    <w:rsid w:val="18A85F6F"/>
    <w:rsid w:val="18C823B4"/>
    <w:rsid w:val="19197904"/>
    <w:rsid w:val="19420BBF"/>
    <w:rsid w:val="19457B50"/>
    <w:rsid w:val="194962A4"/>
    <w:rsid w:val="19622F5E"/>
    <w:rsid w:val="19736A79"/>
    <w:rsid w:val="19932086"/>
    <w:rsid w:val="199450E1"/>
    <w:rsid w:val="199B1DE5"/>
    <w:rsid w:val="19A10D9B"/>
    <w:rsid w:val="19AE02FD"/>
    <w:rsid w:val="19C2603C"/>
    <w:rsid w:val="19CB6D7D"/>
    <w:rsid w:val="19CF0E0E"/>
    <w:rsid w:val="19CF2D83"/>
    <w:rsid w:val="19D436DA"/>
    <w:rsid w:val="19DA67F8"/>
    <w:rsid w:val="1A193FA4"/>
    <w:rsid w:val="1A2A3B02"/>
    <w:rsid w:val="1A3D3A25"/>
    <w:rsid w:val="1A620DC3"/>
    <w:rsid w:val="1A6E5AF4"/>
    <w:rsid w:val="1A7C1205"/>
    <w:rsid w:val="1A7D36E7"/>
    <w:rsid w:val="1A7E6857"/>
    <w:rsid w:val="1A7F7C2D"/>
    <w:rsid w:val="1A9426CE"/>
    <w:rsid w:val="1A9473EE"/>
    <w:rsid w:val="1AAC4F2B"/>
    <w:rsid w:val="1ACC7975"/>
    <w:rsid w:val="1ADF4337"/>
    <w:rsid w:val="1ADF797D"/>
    <w:rsid w:val="1B2C11F3"/>
    <w:rsid w:val="1B375D24"/>
    <w:rsid w:val="1B414E17"/>
    <w:rsid w:val="1B530C10"/>
    <w:rsid w:val="1B7620EB"/>
    <w:rsid w:val="1B7D3CC5"/>
    <w:rsid w:val="1B8302A5"/>
    <w:rsid w:val="1BBB2BCA"/>
    <w:rsid w:val="1BDE4BA8"/>
    <w:rsid w:val="1BE51668"/>
    <w:rsid w:val="1BF27E9D"/>
    <w:rsid w:val="1BF63FC6"/>
    <w:rsid w:val="1BFE7891"/>
    <w:rsid w:val="1C025D71"/>
    <w:rsid w:val="1C1B706E"/>
    <w:rsid w:val="1C586237"/>
    <w:rsid w:val="1C865410"/>
    <w:rsid w:val="1CA00858"/>
    <w:rsid w:val="1CA70C88"/>
    <w:rsid w:val="1CBA09BB"/>
    <w:rsid w:val="1CE92E50"/>
    <w:rsid w:val="1CEC0E75"/>
    <w:rsid w:val="1CF1209E"/>
    <w:rsid w:val="1D013EED"/>
    <w:rsid w:val="1D0936F0"/>
    <w:rsid w:val="1D0E118D"/>
    <w:rsid w:val="1D1B294F"/>
    <w:rsid w:val="1D2279A7"/>
    <w:rsid w:val="1D580109"/>
    <w:rsid w:val="1D7A0D99"/>
    <w:rsid w:val="1D7A677A"/>
    <w:rsid w:val="1D7A67A3"/>
    <w:rsid w:val="1D81772B"/>
    <w:rsid w:val="1D940887"/>
    <w:rsid w:val="1D9678FA"/>
    <w:rsid w:val="1DA44C61"/>
    <w:rsid w:val="1DA560E5"/>
    <w:rsid w:val="1DAC5239"/>
    <w:rsid w:val="1DAF79C6"/>
    <w:rsid w:val="1DB1380D"/>
    <w:rsid w:val="1DBA2C3C"/>
    <w:rsid w:val="1DCE1E57"/>
    <w:rsid w:val="1E0C16EA"/>
    <w:rsid w:val="1E10428D"/>
    <w:rsid w:val="1E1353A2"/>
    <w:rsid w:val="1E290310"/>
    <w:rsid w:val="1E35592C"/>
    <w:rsid w:val="1E371617"/>
    <w:rsid w:val="1E3E5F0A"/>
    <w:rsid w:val="1E455734"/>
    <w:rsid w:val="1E5259AB"/>
    <w:rsid w:val="1E6B1561"/>
    <w:rsid w:val="1E7826F9"/>
    <w:rsid w:val="1E9906BC"/>
    <w:rsid w:val="1E9C7BF6"/>
    <w:rsid w:val="1EA53DCD"/>
    <w:rsid w:val="1EC517CD"/>
    <w:rsid w:val="1EC6348A"/>
    <w:rsid w:val="1EE41C7A"/>
    <w:rsid w:val="1EEC0EB7"/>
    <w:rsid w:val="1EEF04C7"/>
    <w:rsid w:val="1F302496"/>
    <w:rsid w:val="1F4051A1"/>
    <w:rsid w:val="1F6F5615"/>
    <w:rsid w:val="1F8B70FC"/>
    <w:rsid w:val="1F900D9D"/>
    <w:rsid w:val="1FAC14F6"/>
    <w:rsid w:val="1FB74DC5"/>
    <w:rsid w:val="1FB911FE"/>
    <w:rsid w:val="1FC51CD2"/>
    <w:rsid w:val="1FF93590"/>
    <w:rsid w:val="20000DDB"/>
    <w:rsid w:val="20270A5D"/>
    <w:rsid w:val="204E363D"/>
    <w:rsid w:val="2050749E"/>
    <w:rsid w:val="2055016A"/>
    <w:rsid w:val="205D6C30"/>
    <w:rsid w:val="20924ADD"/>
    <w:rsid w:val="209C4E08"/>
    <w:rsid w:val="20D636BB"/>
    <w:rsid w:val="20E235FD"/>
    <w:rsid w:val="20EB0662"/>
    <w:rsid w:val="21107317"/>
    <w:rsid w:val="211D6281"/>
    <w:rsid w:val="213C5839"/>
    <w:rsid w:val="21442374"/>
    <w:rsid w:val="215B05E2"/>
    <w:rsid w:val="21704D09"/>
    <w:rsid w:val="21747CD2"/>
    <w:rsid w:val="21A15550"/>
    <w:rsid w:val="21A31D48"/>
    <w:rsid w:val="21A84038"/>
    <w:rsid w:val="21B50C68"/>
    <w:rsid w:val="21B6131B"/>
    <w:rsid w:val="21DA3B98"/>
    <w:rsid w:val="21DC65D7"/>
    <w:rsid w:val="21F043AC"/>
    <w:rsid w:val="22093ABC"/>
    <w:rsid w:val="220D4E24"/>
    <w:rsid w:val="22185BCF"/>
    <w:rsid w:val="223F5798"/>
    <w:rsid w:val="22400EC3"/>
    <w:rsid w:val="224C5779"/>
    <w:rsid w:val="224E57F5"/>
    <w:rsid w:val="22597E4D"/>
    <w:rsid w:val="226273B5"/>
    <w:rsid w:val="22692311"/>
    <w:rsid w:val="228A7462"/>
    <w:rsid w:val="228C09E0"/>
    <w:rsid w:val="229E2F5F"/>
    <w:rsid w:val="22E31EAB"/>
    <w:rsid w:val="230A01C2"/>
    <w:rsid w:val="230B5CEA"/>
    <w:rsid w:val="232C6177"/>
    <w:rsid w:val="23422AA7"/>
    <w:rsid w:val="237A0F67"/>
    <w:rsid w:val="23A457AD"/>
    <w:rsid w:val="23D27134"/>
    <w:rsid w:val="23DC24F9"/>
    <w:rsid w:val="23DF4E20"/>
    <w:rsid w:val="23F55D19"/>
    <w:rsid w:val="23FC7491"/>
    <w:rsid w:val="24101B61"/>
    <w:rsid w:val="24163028"/>
    <w:rsid w:val="241D22C1"/>
    <w:rsid w:val="241F6095"/>
    <w:rsid w:val="245D12D7"/>
    <w:rsid w:val="246A716A"/>
    <w:rsid w:val="247C7D40"/>
    <w:rsid w:val="2497339C"/>
    <w:rsid w:val="24C0007B"/>
    <w:rsid w:val="24C70070"/>
    <w:rsid w:val="24E403B5"/>
    <w:rsid w:val="250D7A95"/>
    <w:rsid w:val="25445D4E"/>
    <w:rsid w:val="257C36CA"/>
    <w:rsid w:val="257F48EA"/>
    <w:rsid w:val="259049AF"/>
    <w:rsid w:val="25BA5381"/>
    <w:rsid w:val="25E62B08"/>
    <w:rsid w:val="25ED0D60"/>
    <w:rsid w:val="25F56829"/>
    <w:rsid w:val="260C7E74"/>
    <w:rsid w:val="260D592D"/>
    <w:rsid w:val="262256B5"/>
    <w:rsid w:val="263432D2"/>
    <w:rsid w:val="264B4D7A"/>
    <w:rsid w:val="2650022B"/>
    <w:rsid w:val="266168BA"/>
    <w:rsid w:val="266D7C1C"/>
    <w:rsid w:val="268A5837"/>
    <w:rsid w:val="26936996"/>
    <w:rsid w:val="26B2130D"/>
    <w:rsid w:val="26B8707B"/>
    <w:rsid w:val="26B97FE6"/>
    <w:rsid w:val="26BF6339"/>
    <w:rsid w:val="26E4522E"/>
    <w:rsid w:val="26F82AB8"/>
    <w:rsid w:val="27210491"/>
    <w:rsid w:val="27354CBD"/>
    <w:rsid w:val="273A47D2"/>
    <w:rsid w:val="27407BD9"/>
    <w:rsid w:val="27425261"/>
    <w:rsid w:val="27432487"/>
    <w:rsid w:val="27530623"/>
    <w:rsid w:val="276037EA"/>
    <w:rsid w:val="27907C7F"/>
    <w:rsid w:val="27A95CE8"/>
    <w:rsid w:val="27B91FEB"/>
    <w:rsid w:val="27DE1A98"/>
    <w:rsid w:val="27E366FA"/>
    <w:rsid w:val="27E40F3F"/>
    <w:rsid w:val="27E62A47"/>
    <w:rsid w:val="28001312"/>
    <w:rsid w:val="282D1622"/>
    <w:rsid w:val="287405B8"/>
    <w:rsid w:val="288D5549"/>
    <w:rsid w:val="28932B31"/>
    <w:rsid w:val="289415A4"/>
    <w:rsid w:val="289C5A9D"/>
    <w:rsid w:val="28AF0DD9"/>
    <w:rsid w:val="28B069D1"/>
    <w:rsid w:val="28BB61E6"/>
    <w:rsid w:val="28CB46B2"/>
    <w:rsid w:val="28EC299C"/>
    <w:rsid w:val="290964FB"/>
    <w:rsid w:val="29144490"/>
    <w:rsid w:val="29422259"/>
    <w:rsid w:val="296005ED"/>
    <w:rsid w:val="29766A8A"/>
    <w:rsid w:val="297C757C"/>
    <w:rsid w:val="299062E9"/>
    <w:rsid w:val="29943CFD"/>
    <w:rsid w:val="29BD593F"/>
    <w:rsid w:val="29C53952"/>
    <w:rsid w:val="29DA2233"/>
    <w:rsid w:val="2A1E1FBC"/>
    <w:rsid w:val="2A331FC6"/>
    <w:rsid w:val="2A5A2ED2"/>
    <w:rsid w:val="2A795213"/>
    <w:rsid w:val="2AC213CF"/>
    <w:rsid w:val="2AF55B17"/>
    <w:rsid w:val="2B095A6A"/>
    <w:rsid w:val="2B1F6F2D"/>
    <w:rsid w:val="2B501363"/>
    <w:rsid w:val="2B717A93"/>
    <w:rsid w:val="2B844FB6"/>
    <w:rsid w:val="2B881C5D"/>
    <w:rsid w:val="2B943B6E"/>
    <w:rsid w:val="2BB33D28"/>
    <w:rsid w:val="2BEC5BA0"/>
    <w:rsid w:val="2BF85F0B"/>
    <w:rsid w:val="2C027C88"/>
    <w:rsid w:val="2C0969BA"/>
    <w:rsid w:val="2C1B51BC"/>
    <w:rsid w:val="2C2B5879"/>
    <w:rsid w:val="2C4E2ECE"/>
    <w:rsid w:val="2C677DB4"/>
    <w:rsid w:val="2C7C3B29"/>
    <w:rsid w:val="2C965486"/>
    <w:rsid w:val="2CAD5FF5"/>
    <w:rsid w:val="2CB91EDF"/>
    <w:rsid w:val="2CBD5C63"/>
    <w:rsid w:val="2CC86B49"/>
    <w:rsid w:val="2CE37EF9"/>
    <w:rsid w:val="2CFC4C87"/>
    <w:rsid w:val="2CFF7969"/>
    <w:rsid w:val="2D0068BE"/>
    <w:rsid w:val="2D022223"/>
    <w:rsid w:val="2D026977"/>
    <w:rsid w:val="2D0D4B37"/>
    <w:rsid w:val="2D4F6EFD"/>
    <w:rsid w:val="2D596E60"/>
    <w:rsid w:val="2D5E097B"/>
    <w:rsid w:val="2D604F88"/>
    <w:rsid w:val="2D7B79CA"/>
    <w:rsid w:val="2D8E6D0E"/>
    <w:rsid w:val="2D9B3D79"/>
    <w:rsid w:val="2D9C5EBB"/>
    <w:rsid w:val="2DAA6490"/>
    <w:rsid w:val="2DB24D38"/>
    <w:rsid w:val="2DC72317"/>
    <w:rsid w:val="2DEF6F35"/>
    <w:rsid w:val="2DFD4BAB"/>
    <w:rsid w:val="2E077221"/>
    <w:rsid w:val="2E0912EC"/>
    <w:rsid w:val="2E19586C"/>
    <w:rsid w:val="2E531DC1"/>
    <w:rsid w:val="2E657F72"/>
    <w:rsid w:val="2E7E2267"/>
    <w:rsid w:val="2E8A3797"/>
    <w:rsid w:val="2E9B4948"/>
    <w:rsid w:val="2EA33CA1"/>
    <w:rsid w:val="2EB343B4"/>
    <w:rsid w:val="2EDF6ADE"/>
    <w:rsid w:val="2EF72370"/>
    <w:rsid w:val="2F0E425F"/>
    <w:rsid w:val="2F5C72AE"/>
    <w:rsid w:val="2F683607"/>
    <w:rsid w:val="2F7D2956"/>
    <w:rsid w:val="2F8C6115"/>
    <w:rsid w:val="2F997A6F"/>
    <w:rsid w:val="2FA56633"/>
    <w:rsid w:val="2FE018EA"/>
    <w:rsid w:val="2FE63701"/>
    <w:rsid w:val="2FE8432A"/>
    <w:rsid w:val="30252F0A"/>
    <w:rsid w:val="305655BE"/>
    <w:rsid w:val="306B6EB2"/>
    <w:rsid w:val="30796BB7"/>
    <w:rsid w:val="30E04D91"/>
    <w:rsid w:val="30ED27D2"/>
    <w:rsid w:val="30F1554C"/>
    <w:rsid w:val="30F93D50"/>
    <w:rsid w:val="31076911"/>
    <w:rsid w:val="31486773"/>
    <w:rsid w:val="318C2E86"/>
    <w:rsid w:val="319375DC"/>
    <w:rsid w:val="31A16591"/>
    <w:rsid w:val="31DB11A9"/>
    <w:rsid w:val="31DC746D"/>
    <w:rsid w:val="31E55221"/>
    <w:rsid w:val="320C7AB3"/>
    <w:rsid w:val="32181BBA"/>
    <w:rsid w:val="32274116"/>
    <w:rsid w:val="322F18A1"/>
    <w:rsid w:val="32325BDB"/>
    <w:rsid w:val="324B52D0"/>
    <w:rsid w:val="32552F54"/>
    <w:rsid w:val="328357B9"/>
    <w:rsid w:val="328D6F97"/>
    <w:rsid w:val="329130C6"/>
    <w:rsid w:val="329176C7"/>
    <w:rsid w:val="32953E66"/>
    <w:rsid w:val="32A6351E"/>
    <w:rsid w:val="32BC6507"/>
    <w:rsid w:val="32C50978"/>
    <w:rsid w:val="32DA195F"/>
    <w:rsid w:val="32FC6556"/>
    <w:rsid w:val="3304791A"/>
    <w:rsid w:val="33255DB7"/>
    <w:rsid w:val="332D71A2"/>
    <w:rsid w:val="333A63E0"/>
    <w:rsid w:val="3346708B"/>
    <w:rsid w:val="336761D9"/>
    <w:rsid w:val="338852AD"/>
    <w:rsid w:val="33B0332D"/>
    <w:rsid w:val="33CB35C9"/>
    <w:rsid w:val="33D05561"/>
    <w:rsid w:val="33E86480"/>
    <w:rsid w:val="3434035E"/>
    <w:rsid w:val="344A798E"/>
    <w:rsid w:val="344C743E"/>
    <w:rsid w:val="34506272"/>
    <w:rsid w:val="34656996"/>
    <w:rsid w:val="34757CF8"/>
    <w:rsid w:val="348002E4"/>
    <w:rsid w:val="34B41F67"/>
    <w:rsid w:val="34CC6D6C"/>
    <w:rsid w:val="34D04B8B"/>
    <w:rsid w:val="34F4247F"/>
    <w:rsid w:val="351B4516"/>
    <w:rsid w:val="351D03AB"/>
    <w:rsid w:val="353C0A34"/>
    <w:rsid w:val="354448AD"/>
    <w:rsid w:val="35472BB0"/>
    <w:rsid w:val="355819E9"/>
    <w:rsid w:val="356579F6"/>
    <w:rsid w:val="356C541F"/>
    <w:rsid w:val="35AC3DF1"/>
    <w:rsid w:val="35B04537"/>
    <w:rsid w:val="35CD38BA"/>
    <w:rsid w:val="35D14198"/>
    <w:rsid w:val="35E07462"/>
    <w:rsid w:val="35ED43E5"/>
    <w:rsid w:val="35F779B0"/>
    <w:rsid w:val="361A191D"/>
    <w:rsid w:val="36243098"/>
    <w:rsid w:val="36260010"/>
    <w:rsid w:val="3646712A"/>
    <w:rsid w:val="36596C5B"/>
    <w:rsid w:val="36616EC9"/>
    <w:rsid w:val="366F052E"/>
    <w:rsid w:val="368E53B3"/>
    <w:rsid w:val="36940349"/>
    <w:rsid w:val="36A95EF1"/>
    <w:rsid w:val="36C11506"/>
    <w:rsid w:val="36C91F79"/>
    <w:rsid w:val="36E82E5A"/>
    <w:rsid w:val="36F63B9B"/>
    <w:rsid w:val="3715077B"/>
    <w:rsid w:val="371B7FA8"/>
    <w:rsid w:val="376C6862"/>
    <w:rsid w:val="377415C5"/>
    <w:rsid w:val="378B537B"/>
    <w:rsid w:val="37927872"/>
    <w:rsid w:val="37AD3FC3"/>
    <w:rsid w:val="37BD66C8"/>
    <w:rsid w:val="37E37096"/>
    <w:rsid w:val="37F130E1"/>
    <w:rsid w:val="38384DFC"/>
    <w:rsid w:val="3867705C"/>
    <w:rsid w:val="38751980"/>
    <w:rsid w:val="38886D3C"/>
    <w:rsid w:val="389117FA"/>
    <w:rsid w:val="38AC610F"/>
    <w:rsid w:val="38AF6FF6"/>
    <w:rsid w:val="38E64830"/>
    <w:rsid w:val="38F13621"/>
    <w:rsid w:val="38F74AF1"/>
    <w:rsid w:val="38FC12B4"/>
    <w:rsid w:val="390B72C0"/>
    <w:rsid w:val="391E50C4"/>
    <w:rsid w:val="39251610"/>
    <w:rsid w:val="393B1379"/>
    <w:rsid w:val="39434A0B"/>
    <w:rsid w:val="39533E66"/>
    <w:rsid w:val="39596FA3"/>
    <w:rsid w:val="395D7C70"/>
    <w:rsid w:val="39722F50"/>
    <w:rsid w:val="397B0057"/>
    <w:rsid w:val="39810BC5"/>
    <w:rsid w:val="39B71604"/>
    <w:rsid w:val="39BA3D1F"/>
    <w:rsid w:val="39D15BE4"/>
    <w:rsid w:val="39EB2E7E"/>
    <w:rsid w:val="39F47D44"/>
    <w:rsid w:val="3A003B3E"/>
    <w:rsid w:val="3A1239E2"/>
    <w:rsid w:val="3A1362EC"/>
    <w:rsid w:val="3A3F0C26"/>
    <w:rsid w:val="3A5C275E"/>
    <w:rsid w:val="3A6D0056"/>
    <w:rsid w:val="3A7724DE"/>
    <w:rsid w:val="3A9F125E"/>
    <w:rsid w:val="3A9F603A"/>
    <w:rsid w:val="3AA90407"/>
    <w:rsid w:val="3AB0699C"/>
    <w:rsid w:val="3AB72D4A"/>
    <w:rsid w:val="3AC74873"/>
    <w:rsid w:val="3AC802EF"/>
    <w:rsid w:val="3AD874CE"/>
    <w:rsid w:val="3AE96ED8"/>
    <w:rsid w:val="3AFE4AF0"/>
    <w:rsid w:val="3B28130F"/>
    <w:rsid w:val="3B362B34"/>
    <w:rsid w:val="3B38325F"/>
    <w:rsid w:val="3B6E3194"/>
    <w:rsid w:val="3B8030EC"/>
    <w:rsid w:val="3B922E95"/>
    <w:rsid w:val="3BA11AA2"/>
    <w:rsid w:val="3BBF54CE"/>
    <w:rsid w:val="3BC349C6"/>
    <w:rsid w:val="3BED2703"/>
    <w:rsid w:val="3BF40037"/>
    <w:rsid w:val="3C0B1085"/>
    <w:rsid w:val="3C186CF4"/>
    <w:rsid w:val="3C213401"/>
    <w:rsid w:val="3C280127"/>
    <w:rsid w:val="3C386CD5"/>
    <w:rsid w:val="3C4E312A"/>
    <w:rsid w:val="3C541ACD"/>
    <w:rsid w:val="3C6215B0"/>
    <w:rsid w:val="3C641E17"/>
    <w:rsid w:val="3C6520A7"/>
    <w:rsid w:val="3C7A0AE1"/>
    <w:rsid w:val="3C7A6548"/>
    <w:rsid w:val="3C8A58F6"/>
    <w:rsid w:val="3C9669FD"/>
    <w:rsid w:val="3CD07B0B"/>
    <w:rsid w:val="3CF939C7"/>
    <w:rsid w:val="3CFC02A2"/>
    <w:rsid w:val="3D375B14"/>
    <w:rsid w:val="3D570A7C"/>
    <w:rsid w:val="3D634FCC"/>
    <w:rsid w:val="3D645961"/>
    <w:rsid w:val="3D8C30E9"/>
    <w:rsid w:val="3D8E5B12"/>
    <w:rsid w:val="3D8F6655"/>
    <w:rsid w:val="3D973F41"/>
    <w:rsid w:val="3D9A6657"/>
    <w:rsid w:val="3D9B41EA"/>
    <w:rsid w:val="3D9C08F9"/>
    <w:rsid w:val="3DA02954"/>
    <w:rsid w:val="3DA87EB3"/>
    <w:rsid w:val="3DAC43AC"/>
    <w:rsid w:val="3DE57A68"/>
    <w:rsid w:val="3DFF005A"/>
    <w:rsid w:val="3E0013C5"/>
    <w:rsid w:val="3E175188"/>
    <w:rsid w:val="3E1D39DE"/>
    <w:rsid w:val="3E3C56E5"/>
    <w:rsid w:val="3E540297"/>
    <w:rsid w:val="3E5B67E4"/>
    <w:rsid w:val="3E764854"/>
    <w:rsid w:val="3E85718B"/>
    <w:rsid w:val="3EA469BA"/>
    <w:rsid w:val="3F366B60"/>
    <w:rsid w:val="3F607D70"/>
    <w:rsid w:val="3F6C3363"/>
    <w:rsid w:val="3F754F3F"/>
    <w:rsid w:val="3F7C0C99"/>
    <w:rsid w:val="3F8F354C"/>
    <w:rsid w:val="3F964E60"/>
    <w:rsid w:val="3F9F2955"/>
    <w:rsid w:val="3FB26BB3"/>
    <w:rsid w:val="3FBC700F"/>
    <w:rsid w:val="3FC565D7"/>
    <w:rsid w:val="3FCE1D09"/>
    <w:rsid w:val="3FD37E62"/>
    <w:rsid w:val="3FE825C5"/>
    <w:rsid w:val="3FE96BFD"/>
    <w:rsid w:val="3FEE11A8"/>
    <w:rsid w:val="4002682C"/>
    <w:rsid w:val="402A7C80"/>
    <w:rsid w:val="402B5856"/>
    <w:rsid w:val="403B1563"/>
    <w:rsid w:val="404358AB"/>
    <w:rsid w:val="404E4C2F"/>
    <w:rsid w:val="406A0DA8"/>
    <w:rsid w:val="40814DA0"/>
    <w:rsid w:val="40983649"/>
    <w:rsid w:val="40AF3547"/>
    <w:rsid w:val="40D30637"/>
    <w:rsid w:val="40F833FB"/>
    <w:rsid w:val="4101741D"/>
    <w:rsid w:val="410202B7"/>
    <w:rsid w:val="410B4576"/>
    <w:rsid w:val="410E2BF5"/>
    <w:rsid w:val="41241D57"/>
    <w:rsid w:val="412560BF"/>
    <w:rsid w:val="413F34AF"/>
    <w:rsid w:val="4146671A"/>
    <w:rsid w:val="414F3A4D"/>
    <w:rsid w:val="415046BF"/>
    <w:rsid w:val="41586D10"/>
    <w:rsid w:val="416F5522"/>
    <w:rsid w:val="418C27AD"/>
    <w:rsid w:val="418E26E0"/>
    <w:rsid w:val="419C1AF4"/>
    <w:rsid w:val="419E540C"/>
    <w:rsid w:val="41A82C28"/>
    <w:rsid w:val="41AD14E2"/>
    <w:rsid w:val="41B01478"/>
    <w:rsid w:val="41E72F93"/>
    <w:rsid w:val="41F15BE2"/>
    <w:rsid w:val="41F951CD"/>
    <w:rsid w:val="42254A91"/>
    <w:rsid w:val="425335E8"/>
    <w:rsid w:val="4282471A"/>
    <w:rsid w:val="42AA5C84"/>
    <w:rsid w:val="42B55022"/>
    <w:rsid w:val="42CA5AD8"/>
    <w:rsid w:val="42FA74B4"/>
    <w:rsid w:val="430701C9"/>
    <w:rsid w:val="432571C9"/>
    <w:rsid w:val="432D095D"/>
    <w:rsid w:val="434128DF"/>
    <w:rsid w:val="43607BA5"/>
    <w:rsid w:val="43730079"/>
    <w:rsid w:val="437555CC"/>
    <w:rsid w:val="43917440"/>
    <w:rsid w:val="44066844"/>
    <w:rsid w:val="44104C38"/>
    <w:rsid w:val="44156A77"/>
    <w:rsid w:val="443809C5"/>
    <w:rsid w:val="444E6071"/>
    <w:rsid w:val="445354B0"/>
    <w:rsid w:val="446A5487"/>
    <w:rsid w:val="44710A54"/>
    <w:rsid w:val="448101CB"/>
    <w:rsid w:val="44971E9C"/>
    <w:rsid w:val="44BD3F7D"/>
    <w:rsid w:val="44BD56EC"/>
    <w:rsid w:val="44C9176D"/>
    <w:rsid w:val="44D32355"/>
    <w:rsid w:val="44EC30A2"/>
    <w:rsid w:val="45117228"/>
    <w:rsid w:val="451F73A1"/>
    <w:rsid w:val="45230F44"/>
    <w:rsid w:val="452A4667"/>
    <w:rsid w:val="45684A24"/>
    <w:rsid w:val="45715C8C"/>
    <w:rsid w:val="45726986"/>
    <w:rsid w:val="457A3508"/>
    <w:rsid w:val="45CF14AB"/>
    <w:rsid w:val="45E16709"/>
    <w:rsid w:val="45E277DE"/>
    <w:rsid w:val="45E95DC9"/>
    <w:rsid w:val="460D74FE"/>
    <w:rsid w:val="462146FA"/>
    <w:rsid w:val="463641AC"/>
    <w:rsid w:val="464F70BE"/>
    <w:rsid w:val="46520AE1"/>
    <w:rsid w:val="46523CC9"/>
    <w:rsid w:val="467F57F0"/>
    <w:rsid w:val="468C6585"/>
    <w:rsid w:val="46BC2ED7"/>
    <w:rsid w:val="46D15F6E"/>
    <w:rsid w:val="46DA28B9"/>
    <w:rsid w:val="46F72AB7"/>
    <w:rsid w:val="46F760C0"/>
    <w:rsid w:val="470C7644"/>
    <w:rsid w:val="4726763D"/>
    <w:rsid w:val="47291929"/>
    <w:rsid w:val="472B28B6"/>
    <w:rsid w:val="473A6C2F"/>
    <w:rsid w:val="473D2747"/>
    <w:rsid w:val="47574AC4"/>
    <w:rsid w:val="475B0CCF"/>
    <w:rsid w:val="47791D28"/>
    <w:rsid w:val="47794055"/>
    <w:rsid w:val="47927E74"/>
    <w:rsid w:val="479F4F80"/>
    <w:rsid w:val="47A216E5"/>
    <w:rsid w:val="47C15575"/>
    <w:rsid w:val="48247577"/>
    <w:rsid w:val="48290DBE"/>
    <w:rsid w:val="483B01D3"/>
    <w:rsid w:val="484B24B4"/>
    <w:rsid w:val="485D05C0"/>
    <w:rsid w:val="485E0996"/>
    <w:rsid w:val="48710FD5"/>
    <w:rsid w:val="487C1127"/>
    <w:rsid w:val="488A34C2"/>
    <w:rsid w:val="488B74B8"/>
    <w:rsid w:val="48A905A4"/>
    <w:rsid w:val="48C15329"/>
    <w:rsid w:val="48D65B21"/>
    <w:rsid w:val="48E5484F"/>
    <w:rsid w:val="48F613D6"/>
    <w:rsid w:val="48FC153E"/>
    <w:rsid w:val="48FD7C7C"/>
    <w:rsid w:val="49127192"/>
    <w:rsid w:val="492A1F39"/>
    <w:rsid w:val="493556E9"/>
    <w:rsid w:val="494B7659"/>
    <w:rsid w:val="494F1D9E"/>
    <w:rsid w:val="495C34A3"/>
    <w:rsid w:val="495F4514"/>
    <w:rsid w:val="496E6505"/>
    <w:rsid w:val="49774EF4"/>
    <w:rsid w:val="497B19C2"/>
    <w:rsid w:val="498139A8"/>
    <w:rsid w:val="498727E9"/>
    <w:rsid w:val="49960963"/>
    <w:rsid w:val="49A76D02"/>
    <w:rsid w:val="49A81AF4"/>
    <w:rsid w:val="49B5210D"/>
    <w:rsid w:val="49D4593D"/>
    <w:rsid w:val="49D77C15"/>
    <w:rsid w:val="49D85CB7"/>
    <w:rsid w:val="4A01037B"/>
    <w:rsid w:val="4A0C31F4"/>
    <w:rsid w:val="4A127F90"/>
    <w:rsid w:val="4A186357"/>
    <w:rsid w:val="4A207652"/>
    <w:rsid w:val="4A291FC8"/>
    <w:rsid w:val="4A4310BF"/>
    <w:rsid w:val="4A4318DB"/>
    <w:rsid w:val="4A4975FC"/>
    <w:rsid w:val="4A653817"/>
    <w:rsid w:val="4A6673A7"/>
    <w:rsid w:val="4A6D4FC6"/>
    <w:rsid w:val="4A73595A"/>
    <w:rsid w:val="4A7F3ACD"/>
    <w:rsid w:val="4A921BC4"/>
    <w:rsid w:val="4AB30317"/>
    <w:rsid w:val="4AB616FB"/>
    <w:rsid w:val="4AB752F8"/>
    <w:rsid w:val="4ACD7A27"/>
    <w:rsid w:val="4ACE4E88"/>
    <w:rsid w:val="4AEA75CC"/>
    <w:rsid w:val="4AFA2CF8"/>
    <w:rsid w:val="4B0610EB"/>
    <w:rsid w:val="4B2E502A"/>
    <w:rsid w:val="4B38326F"/>
    <w:rsid w:val="4B4A5703"/>
    <w:rsid w:val="4B4C1467"/>
    <w:rsid w:val="4B586142"/>
    <w:rsid w:val="4B7117CB"/>
    <w:rsid w:val="4B82044B"/>
    <w:rsid w:val="4B8631D9"/>
    <w:rsid w:val="4B8C1F71"/>
    <w:rsid w:val="4B8E4DD1"/>
    <w:rsid w:val="4BA100D5"/>
    <w:rsid w:val="4BB511C3"/>
    <w:rsid w:val="4BCF4759"/>
    <w:rsid w:val="4BDD04C2"/>
    <w:rsid w:val="4BF8728A"/>
    <w:rsid w:val="4BFE7DA9"/>
    <w:rsid w:val="4BFF5B3B"/>
    <w:rsid w:val="4C0527FE"/>
    <w:rsid w:val="4C2D69B4"/>
    <w:rsid w:val="4C4968C3"/>
    <w:rsid w:val="4C5A5799"/>
    <w:rsid w:val="4C6F344B"/>
    <w:rsid w:val="4C863FF4"/>
    <w:rsid w:val="4CA0735D"/>
    <w:rsid w:val="4CA663B0"/>
    <w:rsid w:val="4CAB6AD3"/>
    <w:rsid w:val="4CAD2538"/>
    <w:rsid w:val="4CC5146B"/>
    <w:rsid w:val="4CCC7E5F"/>
    <w:rsid w:val="4CCF7234"/>
    <w:rsid w:val="4CDE4C74"/>
    <w:rsid w:val="4CEF0661"/>
    <w:rsid w:val="4CF76F16"/>
    <w:rsid w:val="4D036188"/>
    <w:rsid w:val="4D29736F"/>
    <w:rsid w:val="4D365487"/>
    <w:rsid w:val="4D693BB4"/>
    <w:rsid w:val="4D695AD7"/>
    <w:rsid w:val="4D6D3234"/>
    <w:rsid w:val="4D795A52"/>
    <w:rsid w:val="4D813723"/>
    <w:rsid w:val="4D89186A"/>
    <w:rsid w:val="4D8961BD"/>
    <w:rsid w:val="4D8A39BA"/>
    <w:rsid w:val="4D8A4461"/>
    <w:rsid w:val="4DA15041"/>
    <w:rsid w:val="4DED5BFB"/>
    <w:rsid w:val="4E461210"/>
    <w:rsid w:val="4E5205FA"/>
    <w:rsid w:val="4E7246DD"/>
    <w:rsid w:val="4EB55BCA"/>
    <w:rsid w:val="4EB95CD2"/>
    <w:rsid w:val="4EC537BA"/>
    <w:rsid w:val="4F2E01D0"/>
    <w:rsid w:val="4F31507C"/>
    <w:rsid w:val="4F561E0F"/>
    <w:rsid w:val="4F5E0F5F"/>
    <w:rsid w:val="4F65376C"/>
    <w:rsid w:val="4F760873"/>
    <w:rsid w:val="4F7800DE"/>
    <w:rsid w:val="4F816A39"/>
    <w:rsid w:val="4FE23EBE"/>
    <w:rsid w:val="4FE347CD"/>
    <w:rsid w:val="50016BC0"/>
    <w:rsid w:val="50203E0B"/>
    <w:rsid w:val="502B5BC3"/>
    <w:rsid w:val="50330A3B"/>
    <w:rsid w:val="503802D5"/>
    <w:rsid w:val="50534CD4"/>
    <w:rsid w:val="505B15A1"/>
    <w:rsid w:val="50677175"/>
    <w:rsid w:val="506A08FB"/>
    <w:rsid w:val="50752FCB"/>
    <w:rsid w:val="50761671"/>
    <w:rsid w:val="50A45502"/>
    <w:rsid w:val="50BE1C27"/>
    <w:rsid w:val="50D43A3A"/>
    <w:rsid w:val="50F10974"/>
    <w:rsid w:val="50FA6819"/>
    <w:rsid w:val="511A3B20"/>
    <w:rsid w:val="51317416"/>
    <w:rsid w:val="513619C3"/>
    <w:rsid w:val="514F33A1"/>
    <w:rsid w:val="51505C0D"/>
    <w:rsid w:val="51755AFF"/>
    <w:rsid w:val="51766CA6"/>
    <w:rsid w:val="519B18C1"/>
    <w:rsid w:val="51C65DB3"/>
    <w:rsid w:val="51C74FFD"/>
    <w:rsid w:val="51CB2EB0"/>
    <w:rsid w:val="51E83037"/>
    <w:rsid w:val="51EC0A29"/>
    <w:rsid w:val="51F53C68"/>
    <w:rsid w:val="51FE1E95"/>
    <w:rsid w:val="520D0E0A"/>
    <w:rsid w:val="52100998"/>
    <w:rsid w:val="52296A3A"/>
    <w:rsid w:val="52704C44"/>
    <w:rsid w:val="5273200A"/>
    <w:rsid w:val="52934218"/>
    <w:rsid w:val="52BB44F6"/>
    <w:rsid w:val="52C378C2"/>
    <w:rsid w:val="52D42127"/>
    <w:rsid w:val="52E90046"/>
    <w:rsid w:val="52F830AC"/>
    <w:rsid w:val="53211498"/>
    <w:rsid w:val="533D63F9"/>
    <w:rsid w:val="53404529"/>
    <w:rsid w:val="53427285"/>
    <w:rsid w:val="534D33CC"/>
    <w:rsid w:val="535C0377"/>
    <w:rsid w:val="53895F53"/>
    <w:rsid w:val="539E1DCD"/>
    <w:rsid w:val="53A35427"/>
    <w:rsid w:val="53A9454A"/>
    <w:rsid w:val="53AB7B78"/>
    <w:rsid w:val="53E5784E"/>
    <w:rsid w:val="54087264"/>
    <w:rsid w:val="540F4DC4"/>
    <w:rsid w:val="54206536"/>
    <w:rsid w:val="54210A02"/>
    <w:rsid w:val="5428311C"/>
    <w:rsid w:val="544D1032"/>
    <w:rsid w:val="5453182B"/>
    <w:rsid w:val="5462745A"/>
    <w:rsid w:val="546674CB"/>
    <w:rsid w:val="548126A4"/>
    <w:rsid w:val="54824CF4"/>
    <w:rsid w:val="548E5BC6"/>
    <w:rsid w:val="549E47BB"/>
    <w:rsid w:val="54B21A7B"/>
    <w:rsid w:val="54C10F05"/>
    <w:rsid w:val="54C17030"/>
    <w:rsid w:val="55037CCD"/>
    <w:rsid w:val="550458EB"/>
    <w:rsid w:val="554D2278"/>
    <w:rsid w:val="557A528B"/>
    <w:rsid w:val="55870F61"/>
    <w:rsid w:val="558A151C"/>
    <w:rsid w:val="55B5683B"/>
    <w:rsid w:val="55BF316C"/>
    <w:rsid w:val="55D31CA8"/>
    <w:rsid w:val="55EE31B8"/>
    <w:rsid w:val="55F258FA"/>
    <w:rsid w:val="55F2647E"/>
    <w:rsid w:val="55FD4587"/>
    <w:rsid w:val="561A6861"/>
    <w:rsid w:val="56265B86"/>
    <w:rsid w:val="562D7900"/>
    <w:rsid w:val="56316C60"/>
    <w:rsid w:val="565D24BA"/>
    <w:rsid w:val="56656E68"/>
    <w:rsid w:val="56680C38"/>
    <w:rsid w:val="56A140BE"/>
    <w:rsid w:val="56B36457"/>
    <w:rsid w:val="56BC6B02"/>
    <w:rsid w:val="56D20724"/>
    <w:rsid w:val="56DE4CCA"/>
    <w:rsid w:val="56E2316B"/>
    <w:rsid w:val="56EA7B13"/>
    <w:rsid w:val="56EF1B0D"/>
    <w:rsid w:val="56F43BC0"/>
    <w:rsid w:val="56F456C4"/>
    <w:rsid w:val="571122E3"/>
    <w:rsid w:val="572528F9"/>
    <w:rsid w:val="57317E75"/>
    <w:rsid w:val="57327818"/>
    <w:rsid w:val="57671ED3"/>
    <w:rsid w:val="578D424F"/>
    <w:rsid w:val="579A12C7"/>
    <w:rsid w:val="57B076F4"/>
    <w:rsid w:val="57D609E1"/>
    <w:rsid w:val="57D91C0E"/>
    <w:rsid w:val="57EA63E4"/>
    <w:rsid w:val="57EF13F4"/>
    <w:rsid w:val="57EF679C"/>
    <w:rsid w:val="57F40634"/>
    <w:rsid w:val="581F75FE"/>
    <w:rsid w:val="583455F0"/>
    <w:rsid w:val="5839581D"/>
    <w:rsid w:val="584630A7"/>
    <w:rsid w:val="585615F8"/>
    <w:rsid w:val="586011DB"/>
    <w:rsid w:val="586A6260"/>
    <w:rsid w:val="586D648B"/>
    <w:rsid w:val="58781D71"/>
    <w:rsid w:val="588504EA"/>
    <w:rsid w:val="58910F58"/>
    <w:rsid w:val="58A42C05"/>
    <w:rsid w:val="58D97E3F"/>
    <w:rsid w:val="58F9752E"/>
    <w:rsid w:val="590309C9"/>
    <w:rsid w:val="59061892"/>
    <w:rsid w:val="5907692C"/>
    <w:rsid w:val="59113B07"/>
    <w:rsid w:val="59325F98"/>
    <w:rsid w:val="5939748C"/>
    <w:rsid w:val="59452339"/>
    <w:rsid w:val="596F079A"/>
    <w:rsid w:val="59713C86"/>
    <w:rsid w:val="597E1DFC"/>
    <w:rsid w:val="599C726E"/>
    <w:rsid w:val="59CA3528"/>
    <w:rsid w:val="59D300B4"/>
    <w:rsid w:val="59EC247E"/>
    <w:rsid w:val="5A0F5EC1"/>
    <w:rsid w:val="5A1E3887"/>
    <w:rsid w:val="5A2C517F"/>
    <w:rsid w:val="5A2C6373"/>
    <w:rsid w:val="5A2F04C9"/>
    <w:rsid w:val="5A324C14"/>
    <w:rsid w:val="5A3572F7"/>
    <w:rsid w:val="5A3F48DA"/>
    <w:rsid w:val="5A5F7487"/>
    <w:rsid w:val="5A655C07"/>
    <w:rsid w:val="5A687386"/>
    <w:rsid w:val="5A6F2534"/>
    <w:rsid w:val="5A920D52"/>
    <w:rsid w:val="5A9B0895"/>
    <w:rsid w:val="5A9C0D38"/>
    <w:rsid w:val="5AAC27F7"/>
    <w:rsid w:val="5AC131B0"/>
    <w:rsid w:val="5ACD5C57"/>
    <w:rsid w:val="5B184F31"/>
    <w:rsid w:val="5B1B1FF2"/>
    <w:rsid w:val="5B44786E"/>
    <w:rsid w:val="5B515BEA"/>
    <w:rsid w:val="5B595861"/>
    <w:rsid w:val="5B6F0B6F"/>
    <w:rsid w:val="5B961F1F"/>
    <w:rsid w:val="5BAC2B38"/>
    <w:rsid w:val="5BB73C3C"/>
    <w:rsid w:val="5BD43D9D"/>
    <w:rsid w:val="5BDE576D"/>
    <w:rsid w:val="5BE117E4"/>
    <w:rsid w:val="5BF24465"/>
    <w:rsid w:val="5C02145B"/>
    <w:rsid w:val="5C0F3FBE"/>
    <w:rsid w:val="5C1F46EC"/>
    <w:rsid w:val="5C31247F"/>
    <w:rsid w:val="5C627068"/>
    <w:rsid w:val="5C7141B0"/>
    <w:rsid w:val="5C740821"/>
    <w:rsid w:val="5C7F1603"/>
    <w:rsid w:val="5C7F35B0"/>
    <w:rsid w:val="5C8169B3"/>
    <w:rsid w:val="5C832F59"/>
    <w:rsid w:val="5C8A31FF"/>
    <w:rsid w:val="5CAE687F"/>
    <w:rsid w:val="5CBB0364"/>
    <w:rsid w:val="5CC53F50"/>
    <w:rsid w:val="5CCE55A6"/>
    <w:rsid w:val="5CE224E0"/>
    <w:rsid w:val="5CE44607"/>
    <w:rsid w:val="5D096333"/>
    <w:rsid w:val="5D2039BC"/>
    <w:rsid w:val="5D3C1375"/>
    <w:rsid w:val="5D5F435D"/>
    <w:rsid w:val="5D7A1D04"/>
    <w:rsid w:val="5D7B0206"/>
    <w:rsid w:val="5D8906AD"/>
    <w:rsid w:val="5D8C552D"/>
    <w:rsid w:val="5DEA0059"/>
    <w:rsid w:val="5E093575"/>
    <w:rsid w:val="5E1361A0"/>
    <w:rsid w:val="5E3A4C77"/>
    <w:rsid w:val="5E3B5A72"/>
    <w:rsid w:val="5E4A0CE0"/>
    <w:rsid w:val="5E5852B1"/>
    <w:rsid w:val="5E720C07"/>
    <w:rsid w:val="5E8C59D7"/>
    <w:rsid w:val="5ECF52E1"/>
    <w:rsid w:val="5EE5605E"/>
    <w:rsid w:val="5EEA730C"/>
    <w:rsid w:val="5F0D7FD8"/>
    <w:rsid w:val="5F151FDD"/>
    <w:rsid w:val="5F3C7A4F"/>
    <w:rsid w:val="5F5163CB"/>
    <w:rsid w:val="5F516AF3"/>
    <w:rsid w:val="5F7441AA"/>
    <w:rsid w:val="5F7E258F"/>
    <w:rsid w:val="5F97010C"/>
    <w:rsid w:val="5FDB26EF"/>
    <w:rsid w:val="5FDC6A5B"/>
    <w:rsid w:val="600734E4"/>
    <w:rsid w:val="600C1C49"/>
    <w:rsid w:val="6034348E"/>
    <w:rsid w:val="605424BF"/>
    <w:rsid w:val="605D2DC9"/>
    <w:rsid w:val="606A5CEB"/>
    <w:rsid w:val="606B34E4"/>
    <w:rsid w:val="608073AB"/>
    <w:rsid w:val="60894442"/>
    <w:rsid w:val="609360F2"/>
    <w:rsid w:val="609D0B4F"/>
    <w:rsid w:val="60C17AC0"/>
    <w:rsid w:val="60D976C2"/>
    <w:rsid w:val="60DF6F54"/>
    <w:rsid w:val="60F2015A"/>
    <w:rsid w:val="61562615"/>
    <w:rsid w:val="615C3BCB"/>
    <w:rsid w:val="616324AF"/>
    <w:rsid w:val="617821BF"/>
    <w:rsid w:val="61887236"/>
    <w:rsid w:val="6199203F"/>
    <w:rsid w:val="61A95399"/>
    <w:rsid w:val="61B44944"/>
    <w:rsid w:val="61D01F09"/>
    <w:rsid w:val="62686B89"/>
    <w:rsid w:val="62697252"/>
    <w:rsid w:val="62722C8F"/>
    <w:rsid w:val="62782477"/>
    <w:rsid w:val="629E51BB"/>
    <w:rsid w:val="62A05BD4"/>
    <w:rsid w:val="62A11D17"/>
    <w:rsid w:val="62A97BE5"/>
    <w:rsid w:val="62B34043"/>
    <w:rsid w:val="62BA6067"/>
    <w:rsid w:val="62F80C54"/>
    <w:rsid w:val="631E292F"/>
    <w:rsid w:val="6345211F"/>
    <w:rsid w:val="634B2D95"/>
    <w:rsid w:val="63564E5A"/>
    <w:rsid w:val="637220AF"/>
    <w:rsid w:val="638A16F3"/>
    <w:rsid w:val="63D06546"/>
    <w:rsid w:val="63FE1C5D"/>
    <w:rsid w:val="643D0F75"/>
    <w:rsid w:val="64495945"/>
    <w:rsid w:val="64657321"/>
    <w:rsid w:val="647A07BC"/>
    <w:rsid w:val="64916FD1"/>
    <w:rsid w:val="64A81D45"/>
    <w:rsid w:val="64AD5355"/>
    <w:rsid w:val="64B20C22"/>
    <w:rsid w:val="64C96A10"/>
    <w:rsid w:val="64D535E5"/>
    <w:rsid w:val="64F30CB9"/>
    <w:rsid w:val="65286BC9"/>
    <w:rsid w:val="652E68C9"/>
    <w:rsid w:val="65330DE2"/>
    <w:rsid w:val="655468BD"/>
    <w:rsid w:val="657101AF"/>
    <w:rsid w:val="65CE65CB"/>
    <w:rsid w:val="65F71905"/>
    <w:rsid w:val="66053776"/>
    <w:rsid w:val="6609725D"/>
    <w:rsid w:val="6609788A"/>
    <w:rsid w:val="66584C4D"/>
    <w:rsid w:val="666E07F4"/>
    <w:rsid w:val="668F1847"/>
    <w:rsid w:val="66A7122E"/>
    <w:rsid w:val="66CB4445"/>
    <w:rsid w:val="66E83943"/>
    <w:rsid w:val="66F33D28"/>
    <w:rsid w:val="670579D8"/>
    <w:rsid w:val="67160D7D"/>
    <w:rsid w:val="671655BC"/>
    <w:rsid w:val="672D37E7"/>
    <w:rsid w:val="67464B7B"/>
    <w:rsid w:val="67613BFA"/>
    <w:rsid w:val="67664F0E"/>
    <w:rsid w:val="676C4779"/>
    <w:rsid w:val="67710F37"/>
    <w:rsid w:val="67BF28F6"/>
    <w:rsid w:val="67C44CF5"/>
    <w:rsid w:val="67C96C84"/>
    <w:rsid w:val="67E065C3"/>
    <w:rsid w:val="68120C78"/>
    <w:rsid w:val="68157A10"/>
    <w:rsid w:val="68181339"/>
    <w:rsid w:val="682F1B2B"/>
    <w:rsid w:val="68547C15"/>
    <w:rsid w:val="685D0300"/>
    <w:rsid w:val="685F40E6"/>
    <w:rsid w:val="68993147"/>
    <w:rsid w:val="68A22809"/>
    <w:rsid w:val="68C7200A"/>
    <w:rsid w:val="68DE3F79"/>
    <w:rsid w:val="68DF5AB3"/>
    <w:rsid w:val="68EB54F6"/>
    <w:rsid w:val="68F03B1F"/>
    <w:rsid w:val="69495103"/>
    <w:rsid w:val="69667737"/>
    <w:rsid w:val="69B10FE2"/>
    <w:rsid w:val="69B83B3F"/>
    <w:rsid w:val="69DF2954"/>
    <w:rsid w:val="69EB70F4"/>
    <w:rsid w:val="69F61166"/>
    <w:rsid w:val="69FC2A63"/>
    <w:rsid w:val="6A074337"/>
    <w:rsid w:val="6A096527"/>
    <w:rsid w:val="6A25150F"/>
    <w:rsid w:val="6A2F68BB"/>
    <w:rsid w:val="6A4175F2"/>
    <w:rsid w:val="6A916F25"/>
    <w:rsid w:val="6A9542E1"/>
    <w:rsid w:val="6A9862EB"/>
    <w:rsid w:val="6A9E215D"/>
    <w:rsid w:val="6AD34D81"/>
    <w:rsid w:val="6AF06CC2"/>
    <w:rsid w:val="6AF25806"/>
    <w:rsid w:val="6B0F2944"/>
    <w:rsid w:val="6B2D1298"/>
    <w:rsid w:val="6B41688F"/>
    <w:rsid w:val="6B4A6A1C"/>
    <w:rsid w:val="6B4B4C04"/>
    <w:rsid w:val="6B7B7FB2"/>
    <w:rsid w:val="6B81475D"/>
    <w:rsid w:val="6B9111A7"/>
    <w:rsid w:val="6BA92A41"/>
    <w:rsid w:val="6BA94467"/>
    <w:rsid w:val="6BAF67DE"/>
    <w:rsid w:val="6BDE75BB"/>
    <w:rsid w:val="6BE77307"/>
    <w:rsid w:val="6C031C4E"/>
    <w:rsid w:val="6C153B11"/>
    <w:rsid w:val="6C244DF8"/>
    <w:rsid w:val="6C730B9C"/>
    <w:rsid w:val="6C81563D"/>
    <w:rsid w:val="6C9F0172"/>
    <w:rsid w:val="6CA81D79"/>
    <w:rsid w:val="6CDD445F"/>
    <w:rsid w:val="6CFF081D"/>
    <w:rsid w:val="6D0A60E0"/>
    <w:rsid w:val="6D2049A3"/>
    <w:rsid w:val="6D29138D"/>
    <w:rsid w:val="6D48513C"/>
    <w:rsid w:val="6D54763D"/>
    <w:rsid w:val="6D6A20BC"/>
    <w:rsid w:val="6D745E8C"/>
    <w:rsid w:val="6D9F6413"/>
    <w:rsid w:val="6DC737E8"/>
    <w:rsid w:val="6DF36AC9"/>
    <w:rsid w:val="6E044155"/>
    <w:rsid w:val="6E1C36F9"/>
    <w:rsid w:val="6E1E1B9C"/>
    <w:rsid w:val="6E674DCA"/>
    <w:rsid w:val="6E721410"/>
    <w:rsid w:val="6E756E2D"/>
    <w:rsid w:val="6E8A0523"/>
    <w:rsid w:val="6E985C4F"/>
    <w:rsid w:val="6E9B70F1"/>
    <w:rsid w:val="6EAD0318"/>
    <w:rsid w:val="6EB20507"/>
    <w:rsid w:val="6EB57020"/>
    <w:rsid w:val="6EBD5F83"/>
    <w:rsid w:val="6EDC4259"/>
    <w:rsid w:val="6EEF4BA0"/>
    <w:rsid w:val="6EF8078A"/>
    <w:rsid w:val="6F57721C"/>
    <w:rsid w:val="6F5B505B"/>
    <w:rsid w:val="6F690A27"/>
    <w:rsid w:val="6F6C5CEF"/>
    <w:rsid w:val="6F6C7B4A"/>
    <w:rsid w:val="6F8B2DE9"/>
    <w:rsid w:val="6F8C4FF1"/>
    <w:rsid w:val="6F8D1B94"/>
    <w:rsid w:val="6FA01FD4"/>
    <w:rsid w:val="6FA90A85"/>
    <w:rsid w:val="6FB00136"/>
    <w:rsid w:val="6FC14319"/>
    <w:rsid w:val="6FEE246B"/>
    <w:rsid w:val="6FF13869"/>
    <w:rsid w:val="6FFD1AF9"/>
    <w:rsid w:val="70277993"/>
    <w:rsid w:val="704B3402"/>
    <w:rsid w:val="70881F5C"/>
    <w:rsid w:val="70884027"/>
    <w:rsid w:val="709B235A"/>
    <w:rsid w:val="709D4605"/>
    <w:rsid w:val="70A2327F"/>
    <w:rsid w:val="70AE175A"/>
    <w:rsid w:val="70BC65FA"/>
    <w:rsid w:val="70D2044A"/>
    <w:rsid w:val="70EF2446"/>
    <w:rsid w:val="710E7C1E"/>
    <w:rsid w:val="711E1A2A"/>
    <w:rsid w:val="71441D5D"/>
    <w:rsid w:val="714A7DF3"/>
    <w:rsid w:val="7153129D"/>
    <w:rsid w:val="71551708"/>
    <w:rsid w:val="71A5490B"/>
    <w:rsid w:val="71A95464"/>
    <w:rsid w:val="71AE0F7D"/>
    <w:rsid w:val="71CD062E"/>
    <w:rsid w:val="71D07FA9"/>
    <w:rsid w:val="72035F64"/>
    <w:rsid w:val="72036C99"/>
    <w:rsid w:val="72100ECF"/>
    <w:rsid w:val="721152F3"/>
    <w:rsid w:val="72197386"/>
    <w:rsid w:val="72224DB6"/>
    <w:rsid w:val="722C196C"/>
    <w:rsid w:val="724151B8"/>
    <w:rsid w:val="72496199"/>
    <w:rsid w:val="7267064E"/>
    <w:rsid w:val="72830E04"/>
    <w:rsid w:val="72837912"/>
    <w:rsid w:val="729118C8"/>
    <w:rsid w:val="729E684F"/>
    <w:rsid w:val="72A67706"/>
    <w:rsid w:val="72AC3961"/>
    <w:rsid w:val="72BF76EF"/>
    <w:rsid w:val="72CB51AE"/>
    <w:rsid w:val="72CC0522"/>
    <w:rsid w:val="72E02AE6"/>
    <w:rsid w:val="73134C4E"/>
    <w:rsid w:val="73185E3E"/>
    <w:rsid w:val="732B7D6D"/>
    <w:rsid w:val="73306581"/>
    <w:rsid w:val="733E1621"/>
    <w:rsid w:val="73555EBD"/>
    <w:rsid w:val="73606663"/>
    <w:rsid w:val="7364463C"/>
    <w:rsid w:val="73733DBA"/>
    <w:rsid w:val="73780C1E"/>
    <w:rsid w:val="738B502A"/>
    <w:rsid w:val="73A06D31"/>
    <w:rsid w:val="73A47EF3"/>
    <w:rsid w:val="73BC67D4"/>
    <w:rsid w:val="744E71C2"/>
    <w:rsid w:val="74535612"/>
    <w:rsid w:val="74766877"/>
    <w:rsid w:val="748E17DE"/>
    <w:rsid w:val="749A768C"/>
    <w:rsid w:val="74C66779"/>
    <w:rsid w:val="74D31DBA"/>
    <w:rsid w:val="74E15EEB"/>
    <w:rsid w:val="752E7843"/>
    <w:rsid w:val="7535162B"/>
    <w:rsid w:val="75442232"/>
    <w:rsid w:val="754629ED"/>
    <w:rsid w:val="754E52B9"/>
    <w:rsid w:val="75543796"/>
    <w:rsid w:val="758308F2"/>
    <w:rsid w:val="758522D6"/>
    <w:rsid w:val="758E4DDA"/>
    <w:rsid w:val="75C77680"/>
    <w:rsid w:val="75DF7969"/>
    <w:rsid w:val="75E52DC6"/>
    <w:rsid w:val="75FA7439"/>
    <w:rsid w:val="7617519B"/>
    <w:rsid w:val="761F370F"/>
    <w:rsid w:val="76274953"/>
    <w:rsid w:val="76692538"/>
    <w:rsid w:val="76850350"/>
    <w:rsid w:val="768C0C0E"/>
    <w:rsid w:val="76B20C94"/>
    <w:rsid w:val="76E93393"/>
    <w:rsid w:val="76F54942"/>
    <w:rsid w:val="77012BB4"/>
    <w:rsid w:val="77161B70"/>
    <w:rsid w:val="774869A2"/>
    <w:rsid w:val="774F0FBF"/>
    <w:rsid w:val="77535EA9"/>
    <w:rsid w:val="775856D6"/>
    <w:rsid w:val="775D0065"/>
    <w:rsid w:val="77814A57"/>
    <w:rsid w:val="77845549"/>
    <w:rsid w:val="77873144"/>
    <w:rsid w:val="779A0F15"/>
    <w:rsid w:val="77BA6BE3"/>
    <w:rsid w:val="77D27C85"/>
    <w:rsid w:val="77EC4D75"/>
    <w:rsid w:val="77ED356C"/>
    <w:rsid w:val="77EF68E0"/>
    <w:rsid w:val="77F573DB"/>
    <w:rsid w:val="77F6503E"/>
    <w:rsid w:val="77FF5C29"/>
    <w:rsid w:val="78082F10"/>
    <w:rsid w:val="780B786C"/>
    <w:rsid w:val="78114937"/>
    <w:rsid w:val="78306740"/>
    <w:rsid w:val="783C5AB6"/>
    <w:rsid w:val="786E1F85"/>
    <w:rsid w:val="7879745E"/>
    <w:rsid w:val="787C3171"/>
    <w:rsid w:val="78A371D4"/>
    <w:rsid w:val="78C63C5C"/>
    <w:rsid w:val="78C64AEA"/>
    <w:rsid w:val="78EB6DFD"/>
    <w:rsid w:val="78F54FE1"/>
    <w:rsid w:val="7900455D"/>
    <w:rsid w:val="79095EF9"/>
    <w:rsid w:val="7919191A"/>
    <w:rsid w:val="791D0DC5"/>
    <w:rsid w:val="79517126"/>
    <w:rsid w:val="798F6D2F"/>
    <w:rsid w:val="79990B7C"/>
    <w:rsid w:val="799E2F42"/>
    <w:rsid w:val="79B61ECB"/>
    <w:rsid w:val="79F747CC"/>
    <w:rsid w:val="7A194AF9"/>
    <w:rsid w:val="7A1D1D70"/>
    <w:rsid w:val="7A236605"/>
    <w:rsid w:val="7A3706A6"/>
    <w:rsid w:val="7A3D2E61"/>
    <w:rsid w:val="7A5073DE"/>
    <w:rsid w:val="7A792DD8"/>
    <w:rsid w:val="7A90608E"/>
    <w:rsid w:val="7A9717A1"/>
    <w:rsid w:val="7AAF05A8"/>
    <w:rsid w:val="7ABC0187"/>
    <w:rsid w:val="7AC1034C"/>
    <w:rsid w:val="7AD715E6"/>
    <w:rsid w:val="7AE54BF3"/>
    <w:rsid w:val="7B0654D9"/>
    <w:rsid w:val="7B1A2A95"/>
    <w:rsid w:val="7B1B650A"/>
    <w:rsid w:val="7B39121D"/>
    <w:rsid w:val="7B392F66"/>
    <w:rsid w:val="7B44715D"/>
    <w:rsid w:val="7B737F45"/>
    <w:rsid w:val="7B7D7FAC"/>
    <w:rsid w:val="7B831893"/>
    <w:rsid w:val="7BAD5B41"/>
    <w:rsid w:val="7BB0067D"/>
    <w:rsid w:val="7BCD3E0F"/>
    <w:rsid w:val="7BD55F3D"/>
    <w:rsid w:val="7BD76061"/>
    <w:rsid w:val="7BDC17ED"/>
    <w:rsid w:val="7BF96677"/>
    <w:rsid w:val="7C414196"/>
    <w:rsid w:val="7C6D2BF0"/>
    <w:rsid w:val="7C734E79"/>
    <w:rsid w:val="7C86358B"/>
    <w:rsid w:val="7C8C6AAB"/>
    <w:rsid w:val="7CC913E8"/>
    <w:rsid w:val="7CEC5AE4"/>
    <w:rsid w:val="7D024F7C"/>
    <w:rsid w:val="7D0E338E"/>
    <w:rsid w:val="7D193673"/>
    <w:rsid w:val="7D2031FA"/>
    <w:rsid w:val="7D3737A2"/>
    <w:rsid w:val="7D402679"/>
    <w:rsid w:val="7D4C234A"/>
    <w:rsid w:val="7D573D8C"/>
    <w:rsid w:val="7D790B65"/>
    <w:rsid w:val="7D7E6D85"/>
    <w:rsid w:val="7D8E7BDF"/>
    <w:rsid w:val="7D930A34"/>
    <w:rsid w:val="7D9F3D8D"/>
    <w:rsid w:val="7DA142DA"/>
    <w:rsid w:val="7DA222DF"/>
    <w:rsid w:val="7DBA5693"/>
    <w:rsid w:val="7DC444FD"/>
    <w:rsid w:val="7DC74247"/>
    <w:rsid w:val="7DDF4B95"/>
    <w:rsid w:val="7DF17C90"/>
    <w:rsid w:val="7DF63E4F"/>
    <w:rsid w:val="7DF67CB6"/>
    <w:rsid w:val="7DFB1FE6"/>
    <w:rsid w:val="7E015FE8"/>
    <w:rsid w:val="7E094473"/>
    <w:rsid w:val="7E2E6FBC"/>
    <w:rsid w:val="7E385E9E"/>
    <w:rsid w:val="7E3F106D"/>
    <w:rsid w:val="7E482A3A"/>
    <w:rsid w:val="7E4D5748"/>
    <w:rsid w:val="7E576F8D"/>
    <w:rsid w:val="7E603BC7"/>
    <w:rsid w:val="7E686E2E"/>
    <w:rsid w:val="7E6C24CF"/>
    <w:rsid w:val="7E9F54B0"/>
    <w:rsid w:val="7EBA2DFC"/>
    <w:rsid w:val="7EDE0E26"/>
    <w:rsid w:val="7EF303A8"/>
    <w:rsid w:val="7F01662D"/>
    <w:rsid w:val="7F02440F"/>
    <w:rsid w:val="7F0B6148"/>
    <w:rsid w:val="7F275802"/>
    <w:rsid w:val="7F647EC2"/>
    <w:rsid w:val="7F766662"/>
    <w:rsid w:val="7F8E1D57"/>
    <w:rsid w:val="7F9C7108"/>
    <w:rsid w:val="7FA55DB9"/>
    <w:rsid w:val="7FB33FC2"/>
    <w:rsid w:val="7FB6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2"/>
    <w:qFormat/>
    <w:uiPriority w:val="0"/>
    <w:pPr>
      <w:keepNext/>
      <w:tabs>
        <w:tab w:val="left" w:pos="360"/>
      </w:tabs>
      <w:ind w:left="360" w:hanging="360"/>
      <w:outlineLvl w:val="0"/>
    </w:pPr>
    <w:rPr>
      <w:b/>
    </w:rPr>
  </w:style>
  <w:style w:type="paragraph" w:styleId="4">
    <w:name w:val="heading 2"/>
    <w:basedOn w:val="1"/>
    <w:next w:val="1"/>
    <w:link w:val="57"/>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75"/>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6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52"/>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style>
  <w:style w:type="paragraph" w:styleId="12">
    <w:name w:val="Normal Indent"/>
    <w:basedOn w:val="1"/>
    <w:next w:val="1"/>
    <w:qFormat/>
    <w:uiPriority w:val="0"/>
    <w:pPr>
      <w:ind w:firstLine="420" w:firstLineChars="200"/>
    </w:pPr>
    <w:rPr>
      <w:szCs w:val="24"/>
    </w:rPr>
  </w:style>
  <w:style w:type="paragraph" w:styleId="13">
    <w:name w:val="Document Map"/>
    <w:basedOn w:val="1"/>
    <w:link w:val="49"/>
    <w:qFormat/>
    <w:uiPriority w:val="0"/>
    <w:pPr>
      <w:shd w:val="clear" w:color="auto" w:fill="000080"/>
    </w:pPr>
  </w:style>
  <w:style w:type="paragraph" w:styleId="14">
    <w:name w:val="toa heading"/>
    <w:basedOn w:val="1"/>
    <w:next w:val="1"/>
    <w:qFormat/>
    <w:uiPriority w:val="0"/>
    <w:pPr>
      <w:spacing w:before="120"/>
    </w:pPr>
    <w:rPr>
      <w:rFonts w:ascii="Cambria" w:hAnsi="Cambria" w:cs="Times New Roman"/>
      <w:sz w:val="24"/>
    </w:rPr>
  </w:style>
  <w:style w:type="paragraph" w:styleId="15">
    <w:name w:val="annotation text"/>
    <w:basedOn w:val="1"/>
    <w:semiHidden/>
    <w:unhideWhenUsed/>
    <w:qFormat/>
    <w:uiPriority w:val="0"/>
    <w:pPr>
      <w:spacing w:line="360" w:lineRule="auto"/>
      <w:jc w:val="left"/>
    </w:pPr>
    <w:rPr>
      <w:rFonts w:ascii="Times New Roman" w:hAnsi="Times New Roman" w:eastAsia="宋体" w:cs="Times New Roman"/>
      <w:sz w:val="24"/>
      <w:szCs w:val="24"/>
      <w:lang w:eastAsia="en-US"/>
    </w:rPr>
  </w:style>
  <w:style w:type="paragraph" w:styleId="16">
    <w:name w:val="Salutation"/>
    <w:basedOn w:val="1"/>
    <w:next w:val="1"/>
    <w:qFormat/>
    <w:uiPriority w:val="0"/>
    <w:rPr>
      <w:rFonts w:ascii="宋体"/>
      <w:b/>
      <w:sz w:val="28"/>
    </w:rPr>
  </w:style>
  <w:style w:type="paragraph" w:styleId="17">
    <w:name w:val="Body Text"/>
    <w:basedOn w:val="1"/>
    <w:next w:val="1"/>
    <w:link w:val="46"/>
    <w:qFormat/>
    <w:uiPriority w:val="0"/>
    <w:rPr>
      <w:rFonts w:ascii="Arial" w:hAnsi="Arial"/>
      <w:sz w:val="24"/>
    </w:rPr>
  </w:style>
  <w:style w:type="paragraph" w:styleId="18">
    <w:name w:val="Body Text Indent"/>
    <w:basedOn w:val="1"/>
    <w:qFormat/>
    <w:uiPriority w:val="0"/>
    <w:pPr>
      <w:ind w:firstLine="480"/>
    </w:pPr>
    <w:rPr>
      <w:rFonts w:ascii="宋体" w:hAnsi="宋体"/>
      <w:sz w:val="24"/>
    </w:rPr>
  </w:style>
  <w:style w:type="paragraph" w:styleId="19">
    <w:name w:val="Block Text"/>
    <w:basedOn w:val="17"/>
    <w:qFormat/>
    <w:uiPriority w:val="0"/>
    <w:pPr>
      <w:jc w:val="left"/>
    </w:pPr>
    <w:rPr>
      <w:rFonts w:ascii="Times New Roman" w:hAnsi="Times New Roman" w:eastAsia="仿宋_GB2312"/>
      <w:sz w:val="32"/>
      <w:szCs w:val="30"/>
    </w:rPr>
  </w:style>
  <w:style w:type="paragraph" w:styleId="20">
    <w:name w:val="toc 3"/>
    <w:basedOn w:val="1"/>
    <w:next w:val="1"/>
    <w:qFormat/>
    <w:uiPriority w:val="39"/>
    <w:pPr>
      <w:ind w:left="840" w:leftChars="400"/>
    </w:pPr>
  </w:style>
  <w:style w:type="paragraph" w:styleId="21">
    <w:name w:val="Plain Text"/>
    <w:basedOn w:val="1"/>
    <w:next w:val="22"/>
    <w:link w:val="47"/>
    <w:qFormat/>
    <w:uiPriority w:val="0"/>
    <w:rPr>
      <w:rFonts w:ascii="宋体" w:hAnsi="Courier New"/>
    </w:rPr>
  </w:style>
  <w:style w:type="paragraph" w:customStyle="1" w:styleId="22">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23">
    <w:name w:val="Date"/>
    <w:basedOn w:val="1"/>
    <w:next w:val="1"/>
    <w:qFormat/>
    <w:uiPriority w:val="0"/>
    <w:pPr>
      <w:ind w:left="100"/>
    </w:pPr>
    <w:rPr>
      <w:sz w:val="24"/>
    </w:rPr>
  </w:style>
  <w:style w:type="paragraph" w:styleId="24">
    <w:name w:val="Body Text Indent 2"/>
    <w:basedOn w:val="1"/>
    <w:link w:val="68"/>
    <w:qFormat/>
    <w:uiPriority w:val="0"/>
    <w:pPr>
      <w:ind w:firstLine="435"/>
    </w:pPr>
    <w:rPr>
      <w:rFonts w:ascii="宋体" w:hAnsi="宋体"/>
      <w:sz w:val="24"/>
    </w:rPr>
  </w:style>
  <w:style w:type="paragraph" w:styleId="25">
    <w:name w:val="Balloon Text"/>
    <w:basedOn w:val="1"/>
    <w:semiHidden/>
    <w:qFormat/>
    <w:uiPriority w:val="0"/>
    <w:rPr>
      <w:sz w:val="18"/>
      <w:szCs w:val="18"/>
    </w:rPr>
  </w:style>
  <w:style w:type="paragraph" w:styleId="26">
    <w:name w:val="footer"/>
    <w:basedOn w:val="1"/>
    <w:link w:val="67"/>
    <w:qFormat/>
    <w:uiPriority w:val="0"/>
    <w:pPr>
      <w:tabs>
        <w:tab w:val="center" w:pos="4153"/>
        <w:tab w:val="right" w:pos="8306"/>
      </w:tabs>
      <w:snapToGrid w:val="0"/>
      <w:jc w:val="left"/>
    </w:pPr>
    <w:rPr>
      <w:sz w:val="18"/>
    </w:rPr>
  </w:style>
  <w:style w:type="paragraph" w:styleId="27">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Body Text Indent 3"/>
    <w:basedOn w:val="1"/>
    <w:qFormat/>
    <w:uiPriority w:val="0"/>
    <w:pPr>
      <w:ind w:left="471" w:hanging="471" w:hangingChars="200"/>
    </w:pPr>
    <w:rPr>
      <w:rFonts w:ascii="Arial" w:hAnsi="Arial" w:cs="Arial"/>
      <w:b/>
      <w:bCs/>
      <w:sz w:val="24"/>
    </w:rPr>
  </w:style>
  <w:style w:type="paragraph" w:styleId="30">
    <w:name w:val="toc 2"/>
    <w:basedOn w:val="1"/>
    <w:next w:val="1"/>
    <w:qFormat/>
    <w:uiPriority w:val="39"/>
    <w:pPr>
      <w:ind w:left="420" w:leftChars="200"/>
    </w:pPr>
  </w:style>
  <w:style w:type="paragraph" w:styleId="31">
    <w:name w:val="Body Text 2"/>
    <w:basedOn w:val="1"/>
    <w:qFormat/>
    <w:uiPriority w:val="0"/>
    <w:pPr>
      <w:spacing w:line="360" w:lineRule="auto"/>
    </w:pPr>
    <w:rPr>
      <w:b/>
      <w:sz w:val="28"/>
      <w:szCs w:val="21"/>
    </w:rPr>
  </w:style>
  <w:style w:type="paragraph" w:styleId="3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3">
    <w:name w:val="Title"/>
    <w:basedOn w:val="1"/>
    <w:next w:val="1"/>
    <w:link w:val="90"/>
    <w:qFormat/>
    <w:uiPriority w:val="10"/>
    <w:pPr>
      <w:spacing w:before="240" w:after="60"/>
      <w:jc w:val="center"/>
      <w:outlineLvl w:val="0"/>
    </w:pPr>
    <w:rPr>
      <w:rFonts w:asciiTheme="majorHAnsi" w:hAnsiTheme="majorHAnsi" w:cstheme="majorBidi"/>
      <w:b/>
      <w:bCs/>
      <w:sz w:val="32"/>
      <w:szCs w:val="32"/>
    </w:rPr>
  </w:style>
  <w:style w:type="paragraph" w:styleId="34">
    <w:name w:val="Body Text First Indent"/>
    <w:basedOn w:val="17"/>
    <w:next w:val="1"/>
    <w:link w:val="45"/>
    <w:qFormat/>
    <w:uiPriority w:val="0"/>
    <w:pPr>
      <w:spacing w:after="120"/>
      <w:ind w:firstLine="420" w:firstLineChars="100"/>
    </w:pPr>
    <w:rPr>
      <w:rFonts w:ascii="Times New Roman" w:hAnsi="Times New Roman"/>
      <w:sz w:val="21"/>
    </w:rPr>
  </w:style>
  <w:style w:type="paragraph" w:styleId="35">
    <w:name w:val="Body Text First Indent 2"/>
    <w:basedOn w:val="18"/>
    <w:qFormat/>
    <w:uiPriority w:val="99"/>
    <w:pPr>
      <w:spacing w:after="0"/>
      <w:ind w:left="0" w:leftChars="0" w:firstLine="200" w:firstLineChars="200"/>
    </w:pPr>
    <w:rPr>
      <w:sz w:val="28"/>
    </w:rPr>
  </w:style>
  <w:style w:type="table" w:styleId="37">
    <w:name w:val="Table Grid"/>
    <w:basedOn w:val="3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qFormat/>
    <w:uiPriority w:val="99"/>
    <w:rPr>
      <w:color w:val="0000FF"/>
      <w:u w:val="single"/>
    </w:rPr>
  </w:style>
  <w:style w:type="paragraph" w:customStyle="1" w:styleId="44">
    <w:name w:val="样式 首行缩进:  2 字符"/>
    <w:basedOn w:val="1"/>
    <w:qFormat/>
    <w:uiPriority w:val="99"/>
    <w:pPr>
      <w:widowControl w:val="0"/>
      <w:ind w:firstLine="560"/>
      <w:jc w:val="both"/>
    </w:pPr>
    <w:rPr>
      <w:kern w:val="2"/>
      <w:sz w:val="21"/>
      <w:szCs w:val="21"/>
    </w:rPr>
  </w:style>
  <w:style w:type="character" w:customStyle="1" w:styleId="45">
    <w:name w:val="正文首行缩进 Char"/>
    <w:basedOn w:val="46"/>
    <w:link w:val="34"/>
    <w:qFormat/>
    <w:uiPriority w:val="0"/>
  </w:style>
  <w:style w:type="character" w:customStyle="1" w:styleId="46">
    <w:name w:val="正文文本 Char"/>
    <w:link w:val="17"/>
    <w:qFormat/>
    <w:uiPriority w:val="0"/>
    <w:rPr>
      <w:rFonts w:ascii="Arial" w:hAnsi="Arial" w:cs="Arial"/>
      <w:kern w:val="2"/>
      <w:sz w:val="24"/>
    </w:rPr>
  </w:style>
  <w:style w:type="character" w:customStyle="1" w:styleId="47">
    <w:name w:val="纯文本 Char"/>
    <w:link w:val="21"/>
    <w:qFormat/>
    <w:uiPriority w:val="0"/>
    <w:rPr>
      <w:rFonts w:ascii="宋体" w:hAnsi="Courier New" w:eastAsia="宋体"/>
      <w:kern w:val="2"/>
      <w:sz w:val="21"/>
      <w:lang w:val="en-US" w:eastAsia="zh-CN" w:bidi="ar-SA"/>
    </w:rPr>
  </w:style>
  <w:style w:type="character" w:customStyle="1" w:styleId="48">
    <w:name w:val="unnamed1"/>
    <w:basedOn w:val="38"/>
    <w:qFormat/>
    <w:uiPriority w:val="0"/>
  </w:style>
  <w:style w:type="character" w:customStyle="1" w:styleId="49">
    <w:name w:val="文档结构图 Char"/>
    <w:link w:val="13"/>
    <w:qFormat/>
    <w:uiPriority w:val="0"/>
    <w:rPr>
      <w:kern w:val="2"/>
      <w:sz w:val="21"/>
      <w:shd w:val="clear" w:color="auto" w:fill="000080"/>
    </w:rPr>
  </w:style>
  <w:style w:type="character" w:customStyle="1" w:styleId="50">
    <w:name w:val="所标正文 Char Char"/>
    <w:link w:val="51"/>
    <w:qFormat/>
    <w:uiPriority w:val="0"/>
    <w:rPr>
      <w:rFonts w:ascii="仿宋_GB2312" w:hAnsi="Calibri" w:eastAsia="仿宋_GB2312"/>
      <w:kern w:val="2"/>
      <w:sz w:val="30"/>
      <w:szCs w:val="28"/>
    </w:rPr>
  </w:style>
  <w:style w:type="paragraph" w:customStyle="1" w:styleId="51">
    <w:name w:val="所标正文"/>
    <w:basedOn w:val="1"/>
    <w:link w:val="50"/>
    <w:qFormat/>
    <w:uiPriority w:val="0"/>
    <w:pPr>
      <w:spacing w:line="360" w:lineRule="auto"/>
      <w:ind w:firstLine="200" w:firstLineChars="200"/>
    </w:pPr>
    <w:rPr>
      <w:rFonts w:ascii="仿宋_GB2312" w:hAnsi="Calibri" w:eastAsia="仿宋_GB2312"/>
      <w:sz w:val="30"/>
      <w:szCs w:val="28"/>
    </w:rPr>
  </w:style>
  <w:style w:type="character" w:customStyle="1" w:styleId="52">
    <w:name w:val="标题 9 Char"/>
    <w:link w:val="10"/>
    <w:qFormat/>
    <w:uiPriority w:val="0"/>
    <w:rPr>
      <w:rFonts w:ascii="Arial" w:hAnsi="Arial" w:eastAsia="黑体"/>
      <w:kern w:val="2"/>
      <w:sz w:val="21"/>
    </w:rPr>
  </w:style>
  <w:style w:type="character" w:customStyle="1" w:styleId="53">
    <w:name w:val="页眉 Char"/>
    <w:link w:val="27"/>
    <w:qFormat/>
    <w:uiPriority w:val="0"/>
    <w:rPr>
      <w:kern w:val="2"/>
      <w:sz w:val="18"/>
    </w:rPr>
  </w:style>
  <w:style w:type="character" w:customStyle="1" w:styleId="54">
    <w:name w:val="标题 6 Char"/>
    <w:link w:val="7"/>
    <w:qFormat/>
    <w:uiPriority w:val="0"/>
    <w:rPr>
      <w:rFonts w:ascii="Arial" w:hAnsi="Arial" w:eastAsia="黑体"/>
      <w:b/>
      <w:kern w:val="2"/>
      <w:sz w:val="24"/>
    </w:rPr>
  </w:style>
  <w:style w:type="character" w:customStyle="1" w:styleId="55">
    <w:name w:val="样式 正文缩进 + 首行缩进:  2 字符 Char"/>
    <w:link w:val="56"/>
    <w:qFormat/>
    <w:uiPriority w:val="0"/>
    <w:rPr>
      <w:sz w:val="24"/>
    </w:rPr>
  </w:style>
  <w:style w:type="paragraph" w:customStyle="1" w:styleId="56">
    <w:name w:val="样式 正文缩进 + 首行缩进:  2 字符"/>
    <w:basedOn w:val="12"/>
    <w:link w:val="55"/>
    <w:qFormat/>
    <w:uiPriority w:val="0"/>
    <w:pPr>
      <w:spacing w:line="360" w:lineRule="auto"/>
      <w:ind w:firstLine="200"/>
    </w:pPr>
    <w:rPr>
      <w:kern w:val="0"/>
      <w:sz w:val="24"/>
      <w:szCs w:val="20"/>
    </w:rPr>
  </w:style>
  <w:style w:type="character" w:customStyle="1" w:styleId="57">
    <w:name w:val="标题 2 Char"/>
    <w:link w:val="4"/>
    <w:qFormat/>
    <w:uiPriority w:val="0"/>
    <w:rPr>
      <w:rFonts w:ascii="Arial" w:hAnsi="Arial" w:eastAsia="黑体"/>
      <w:b/>
      <w:kern w:val="2"/>
      <w:sz w:val="32"/>
    </w:rPr>
  </w:style>
  <w:style w:type="character" w:customStyle="1" w:styleId="58">
    <w:name w:val="正文文字 Char1"/>
    <w:link w:val="59"/>
    <w:qFormat/>
    <w:uiPriority w:val="0"/>
    <w:rPr>
      <w:rFonts w:ascii="宋体" w:eastAsia="宋体"/>
      <w:color w:val="000000"/>
      <w:sz w:val="28"/>
      <w:u w:color="000000"/>
      <w:lang w:val="en-US" w:eastAsia="zh-CN" w:bidi="ar-SA"/>
    </w:rPr>
  </w:style>
  <w:style w:type="paragraph" w:customStyle="1" w:styleId="59">
    <w:name w:val="正文文字"/>
    <w:basedOn w:val="1"/>
    <w:link w:val="58"/>
    <w:qFormat/>
    <w:uiPriority w:val="0"/>
    <w:pPr>
      <w:widowControl/>
      <w:spacing w:line="2375" w:lineRule="atLeast"/>
      <w:ind w:firstLine="419"/>
      <w:textAlignment w:val="baseline"/>
    </w:pPr>
    <w:rPr>
      <w:rFonts w:ascii="宋体"/>
      <w:color w:val="000000"/>
      <w:kern w:val="0"/>
      <w:sz w:val="28"/>
      <w:u w:color="000000"/>
    </w:rPr>
  </w:style>
  <w:style w:type="character" w:customStyle="1" w:styleId="60">
    <w:name w:val="标题 8 Char"/>
    <w:link w:val="9"/>
    <w:qFormat/>
    <w:uiPriority w:val="0"/>
    <w:rPr>
      <w:rFonts w:ascii="Arial" w:hAnsi="Arial" w:eastAsia="黑体"/>
      <w:kern w:val="2"/>
      <w:sz w:val="24"/>
    </w:rPr>
  </w:style>
  <w:style w:type="character" w:customStyle="1" w:styleId="61">
    <w:name w:val="纯文本 Char Char Char Char Char Char"/>
    <w:qFormat/>
    <w:locked/>
    <w:uiPriority w:val="0"/>
    <w:rPr>
      <w:rFonts w:ascii="宋体" w:hAnsi="Courier New" w:eastAsia="宋体"/>
      <w:kern w:val="2"/>
      <w:sz w:val="21"/>
      <w:lang w:val="en-US" w:eastAsia="zh-CN" w:bidi="ar-SA"/>
    </w:rPr>
  </w:style>
  <w:style w:type="character" w:customStyle="1" w:styleId="62">
    <w:name w:val="sam正文 Char"/>
    <w:link w:val="63"/>
    <w:qFormat/>
    <w:uiPriority w:val="0"/>
    <w:rPr>
      <w:rFonts w:ascii="宋体" w:hAnsi="宋体"/>
      <w:sz w:val="24"/>
      <w:szCs w:val="24"/>
    </w:rPr>
  </w:style>
  <w:style w:type="paragraph" w:customStyle="1" w:styleId="63">
    <w:name w:val="sam正文"/>
    <w:basedOn w:val="1"/>
    <w:link w:val="62"/>
    <w:qFormat/>
    <w:uiPriority w:val="0"/>
    <w:pPr>
      <w:spacing w:line="360" w:lineRule="auto"/>
      <w:ind w:firstLine="478" w:firstLineChars="200"/>
    </w:pPr>
    <w:rPr>
      <w:rFonts w:ascii="宋体" w:hAnsi="宋体"/>
      <w:kern w:val="0"/>
      <w:sz w:val="24"/>
      <w:szCs w:val="24"/>
    </w:rPr>
  </w:style>
  <w:style w:type="character" w:customStyle="1" w:styleId="64">
    <w:name w:val="书籍标题1"/>
    <w:qFormat/>
    <w:uiPriority w:val="0"/>
    <w:rPr>
      <w:b/>
      <w:bCs/>
      <w:smallCaps/>
      <w:spacing w:val="5"/>
    </w:rPr>
  </w:style>
  <w:style w:type="character" w:customStyle="1" w:styleId="65">
    <w:name w:val="明显参考1"/>
    <w:qFormat/>
    <w:uiPriority w:val="0"/>
    <w:rPr>
      <w:b/>
      <w:bCs/>
      <w:smallCaps/>
      <w:color w:val="C0504D"/>
      <w:spacing w:val="5"/>
      <w:u w:val="single"/>
    </w:rPr>
  </w:style>
  <w:style w:type="character" w:customStyle="1" w:styleId="66">
    <w:name w:val="p21"/>
    <w:qFormat/>
    <w:uiPriority w:val="0"/>
    <w:rPr>
      <w:rFonts w:hint="default" w:ascii="Arial" w:hAnsi="Arial" w:cs="Arial"/>
      <w:color w:val="333333"/>
      <w:sz w:val="18"/>
      <w:szCs w:val="18"/>
      <w:u w:val="none"/>
    </w:rPr>
  </w:style>
  <w:style w:type="character" w:customStyle="1" w:styleId="67">
    <w:name w:val="页脚 Char"/>
    <w:link w:val="26"/>
    <w:qFormat/>
    <w:uiPriority w:val="0"/>
    <w:rPr>
      <w:kern w:val="2"/>
      <w:sz w:val="18"/>
    </w:rPr>
  </w:style>
  <w:style w:type="character" w:customStyle="1" w:styleId="68">
    <w:name w:val="正文文本缩进 2 Char"/>
    <w:link w:val="24"/>
    <w:qFormat/>
    <w:uiPriority w:val="0"/>
    <w:rPr>
      <w:rFonts w:ascii="宋体" w:hAnsi="宋体"/>
      <w:kern w:val="2"/>
      <w:sz w:val="24"/>
    </w:rPr>
  </w:style>
  <w:style w:type="character" w:customStyle="1" w:styleId="69">
    <w:name w:val="grame"/>
    <w:basedOn w:val="38"/>
    <w:qFormat/>
    <w:uiPriority w:val="0"/>
  </w:style>
  <w:style w:type="character" w:customStyle="1" w:styleId="70">
    <w:name w:val="标题 5 Char"/>
    <w:link w:val="6"/>
    <w:qFormat/>
    <w:uiPriority w:val="0"/>
    <w:rPr>
      <w:b/>
      <w:kern w:val="2"/>
      <w:sz w:val="28"/>
    </w:rPr>
  </w:style>
  <w:style w:type="character" w:customStyle="1" w:styleId="71">
    <w:name w:val="css21"/>
    <w:qFormat/>
    <w:uiPriority w:val="0"/>
    <w:rPr>
      <w:sz w:val="18"/>
      <w:szCs w:val="18"/>
    </w:rPr>
  </w:style>
  <w:style w:type="character" w:customStyle="1" w:styleId="72">
    <w:name w:val="标题 1 Char"/>
    <w:link w:val="3"/>
    <w:qFormat/>
    <w:uiPriority w:val="0"/>
    <w:rPr>
      <w:b/>
      <w:kern w:val="2"/>
      <w:sz w:val="21"/>
    </w:rPr>
  </w:style>
  <w:style w:type="character" w:customStyle="1" w:styleId="73">
    <w:name w:val="正文文字 Char"/>
    <w:qFormat/>
    <w:uiPriority w:val="0"/>
    <w:rPr>
      <w:rFonts w:ascii="Arial" w:hAnsi="Arial" w:eastAsia="宋体" w:cs="Arial"/>
      <w:kern w:val="2"/>
      <w:sz w:val="24"/>
      <w:lang w:val="en-US" w:eastAsia="zh-CN" w:bidi="ar-SA"/>
    </w:rPr>
  </w:style>
  <w:style w:type="character" w:customStyle="1" w:styleId="74">
    <w:name w:val="marklong"/>
    <w:basedOn w:val="38"/>
    <w:qFormat/>
    <w:uiPriority w:val="0"/>
  </w:style>
  <w:style w:type="character" w:customStyle="1" w:styleId="75">
    <w:name w:val="标题 7 Char"/>
    <w:link w:val="8"/>
    <w:qFormat/>
    <w:uiPriority w:val="0"/>
    <w:rPr>
      <w:b/>
      <w:kern w:val="2"/>
      <w:sz w:val="24"/>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7">
    <w:name w:val="p0"/>
    <w:basedOn w:val="1"/>
    <w:qFormat/>
    <w:uiPriority w:val="0"/>
    <w:pPr>
      <w:widowControl/>
    </w:pPr>
    <w:rPr>
      <w:kern w:val="0"/>
      <w:szCs w:val="21"/>
    </w:rPr>
  </w:style>
  <w:style w:type="paragraph" w:customStyle="1" w:styleId="78">
    <w:name w:val="正文缩进1"/>
    <w:basedOn w:val="1"/>
    <w:qFormat/>
    <w:uiPriority w:val="0"/>
    <w:pPr>
      <w:ind w:firstLine="420" w:firstLineChars="200"/>
    </w:pPr>
    <w:rPr>
      <w:rFonts w:ascii="Calibri" w:hAnsi="Calibri"/>
    </w:rPr>
  </w:style>
  <w:style w:type="paragraph" w:customStyle="1" w:styleId="79">
    <w:name w:val="条目2"/>
    <w:basedOn w:val="21"/>
    <w:qFormat/>
    <w:uiPriority w:val="0"/>
    <w:pPr>
      <w:tabs>
        <w:tab w:val="left" w:pos="420"/>
      </w:tabs>
      <w:spacing w:line="360" w:lineRule="auto"/>
      <w:ind w:left="420" w:hanging="420"/>
    </w:pPr>
    <w:rPr>
      <w:color w:val="000000"/>
      <w:sz w:val="30"/>
    </w:rPr>
  </w:style>
  <w:style w:type="paragraph" w:customStyle="1" w:styleId="80">
    <w:name w:val="Char"/>
    <w:basedOn w:val="1"/>
    <w:semiHidden/>
    <w:qFormat/>
    <w:uiPriority w:val="0"/>
    <w:rPr>
      <w:rFonts w:ascii="Tahoma" w:hAnsi="Tahoma" w:cs="仿宋_GB2312"/>
      <w:sz w:val="24"/>
      <w:szCs w:val="28"/>
    </w:rPr>
  </w:style>
  <w:style w:type="paragraph" w:customStyle="1" w:styleId="8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首页大标题"/>
    <w:basedOn w:val="51"/>
    <w:qFormat/>
    <w:uiPriority w:val="0"/>
    <w:pPr>
      <w:ind w:firstLine="0" w:firstLineChars="0"/>
      <w:jc w:val="center"/>
    </w:pPr>
    <w:rPr>
      <w:rFonts w:ascii="黑体" w:eastAsia="黑体"/>
      <w:b/>
      <w:sz w:val="52"/>
    </w:rPr>
  </w:style>
  <w:style w:type="paragraph" w:customStyle="1" w:styleId="83">
    <w:name w:val="条目3"/>
    <w:basedOn w:val="21"/>
    <w:qFormat/>
    <w:uiPriority w:val="0"/>
    <w:pPr>
      <w:tabs>
        <w:tab w:val="left" w:pos="960"/>
        <w:tab w:val="left" w:pos="2940"/>
      </w:tabs>
      <w:spacing w:line="360" w:lineRule="auto"/>
      <w:ind w:left="2940" w:hanging="420"/>
    </w:pPr>
    <w:rPr>
      <w:color w:val="000000"/>
      <w:sz w:val="30"/>
    </w:rPr>
  </w:style>
  <w:style w:type="paragraph" w:customStyle="1" w:styleId="8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85">
    <w:name w:val="1 Char Char Char Char"/>
    <w:basedOn w:val="1"/>
    <w:qFormat/>
    <w:uiPriority w:val="0"/>
    <w:rPr>
      <w:rFonts w:ascii="Tahoma" w:hAnsi="Tahoma"/>
      <w:sz w:val="24"/>
    </w:rPr>
  </w:style>
  <w:style w:type="paragraph" w:styleId="86">
    <w:name w:val="List Paragraph"/>
    <w:basedOn w:val="1"/>
    <w:qFormat/>
    <w:uiPriority w:val="0"/>
    <w:pPr>
      <w:ind w:firstLine="420" w:firstLineChars="200"/>
    </w:pPr>
    <w:rPr>
      <w:rFonts w:ascii="Calibri" w:hAnsi="Calibri"/>
      <w:szCs w:val="22"/>
    </w:rPr>
  </w:style>
  <w:style w:type="paragraph" w:customStyle="1" w:styleId="87">
    <w:name w:val="缺省文本"/>
    <w:link w:val="9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列出段落1"/>
    <w:basedOn w:val="1"/>
    <w:qFormat/>
    <w:uiPriority w:val="0"/>
    <w:pPr>
      <w:ind w:firstLine="420" w:firstLineChars="200"/>
    </w:pPr>
  </w:style>
  <w:style w:type="paragraph" w:customStyle="1" w:styleId="89">
    <w:name w:val="样式 样式 小四 行距: 1.5 倍行距 首行缩进:  2 字符 + +中文正文"/>
    <w:basedOn w:val="1"/>
    <w:qFormat/>
    <w:uiPriority w:val="0"/>
    <w:pPr>
      <w:spacing w:line="360" w:lineRule="auto"/>
      <w:ind w:firstLine="480" w:firstLineChars="200"/>
    </w:pPr>
    <w:rPr>
      <w:rFonts w:ascii="宋体" w:hAnsi="宋体" w:cs="宋体"/>
      <w:sz w:val="24"/>
    </w:rPr>
  </w:style>
  <w:style w:type="character" w:customStyle="1" w:styleId="90">
    <w:name w:val="标题 Char"/>
    <w:basedOn w:val="38"/>
    <w:link w:val="33"/>
    <w:qFormat/>
    <w:uiPriority w:val="10"/>
    <w:rPr>
      <w:rFonts w:asciiTheme="majorHAnsi" w:hAnsiTheme="majorHAnsi" w:cstheme="majorBidi"/>
      <w:b/>
      <w:bCs/>
      <w:kern w:val="2"/>
      <w:sz w:val="32"/>
      <w:szCs w:val="32"/>
    </w:rPr>
  </w:style>
  <w:style w:type="character" w:customStyle="1" w:styleId="91">
    <w:name w:val="缺省文本 Char"/>
    <w:basedOn w:val="38"/>
    <w:link w:val="87"/>
    <w:qFormat/>
    <w:uiPriority w:val="0"/>
    <w:rPr>
      <w:color w:val="000000"/>
      <w:sz w:val="24"/>
      <w:szCs w:val="24"/>
    </w:rPr>
  </w:style>
  <w:style w:type="character" w:customStyle="1" w:styleId="92">
    <w:name w:val="apple-converted-space"/>
    <w:basedOn w:val="38"/>
    <w:qFormat/>
    <w:uiPriority w:val="0"/>
  </w:style>
  <w:style w:type="character" w:customStyle="1" w:styleId="93">
    <w:name w:val="18"/>
    <w:basedOn w:val="38"/>
    <w:qFormat/>
    <w:uiPriority w:val="0"/>
    <w:rPr>
      <w:rFonts w:hint="default" w:ascii="Times New Roman" w:hAnsi="Times New Roman" w:cs="Times New Roman"/>
      <w:b/>
      <w:bCs/>
      <w:color w:val="000000"/>
      <w:sz w:val="20"/>
      <w:szCs w:val="20"/>
    </w:rPr>
  </w:style>
  <w:style w:type="character" w:customStyle="1" w:styleId="94">
    <w:name w:val="17"/>
    <w:basedOn w:val="38"/>
    <w:qFormat/>
    <w:uiPriority w:val="0"/>
    <w:rPr>
      <w:rFonts w:hint="eastAsia" w:ascii="宋体" w:hAnsi="宋体" w:eastAsia="宋体"/>
      <w:b/>
      <w:bCs/>
      <w:color w:val="000000"/>
      <w:sz w:val="20"/>
      <w:szCs w:val="20"/>
    </w:rPr>
  </w:style>
  <w:style w:type="paragraph" w:customStyle="1" w:styleId="95">
    <w:name w:val="BodyText1I2"/>
    <w:basedOn w:val="96"/>
    <w:qFormat/>
    <w:uiPriority w:val="0"/>
    <w:pPr>
      <w:ind w:firstLine="420" w:firstLineChars="200"/>
      <w:jc w:val="both"/>
      <w:textAlignment w:val="baseline"/>
    </w:pPr>
  </w:style>
  <w:style w:type="paragraph" w:customStyle="1" w:styleId="96">
    <w:name w:val="BodyTextIndent"/>
    <w:basedOn w:val="1"/>
    <w:qFormat/>
    <w:uiPriority w:val="0"/>
    <w:pPr>
      <w:ind w:firstLine="480"/>
      <w:jc w:val="both"/>
      <w:textAlignment w:val="baseline"/>
    </w:pPr>
    <w:rPr>
      <w:rFonts w:ascii="宋体" w:hAnsi="宋体"/>
      <w:kern w:val="2"/>
      <w:sz w:val="24"/>
      <w:lang w:val="en-US" w:eastAsia="zh-CN" w:bidi="ar-SA"/>
    </w:rPr>
  </w:style>
  <w:style w:type="character" w:customStyle="1" w:styleId="97">
    <w:name w:val="font41"/>
    <w:basedOn w:val="38"/>
    <w:qFormat/>
    <w:uiPriority w:val="0"/>
    <w:rPr>
      <w:rFonts w:hint="eastAsia" w:ascii="宋体" w:hAnsi="宋体" w:eastAsia="宋体" w:cs="宋体"/>
      <w:color w:val="000000"/>
      <w:sz w:val="20"/>
      <w:szCs w:val="20"/>
      <w:u w:val="none"/>
    </w:rPr>
  </w:style>
  <w:style w:type="character" w:customStyle="1" w:styleId="98">
    <w:name w:val="font11"/>
    <w:basedOn w:val="38"/>
    <w:qFormat/>
    <w:uiPriority w:val="0"/>
    <w:rPr>
      <w:rFonts w:hint="eastAsia" w:ascii="宋体" w:hAnsi="宋体" w:eastAsia="宋体" w:cs="宋体"/>
      <w:color w:val="000000"/>
      <w:sz w:val="20"/>
      <w:szCs w:val="20"/>
      <w:u w:val="none"/>
    </w:rPr>
  </w:style>
  <w:style w:type="character" w:customStyle="1" w:styleId="99">
    <w:name w:val="font31"/>
    <w:basedOn w:val="38"/>
    <w:qFormat/>
    <w:uiPriority w:val="0"/>
    <w:rPr>
      <w:rFonts w:hint="eastAsia" w:ascii="宋体" w:hAnsi="宋体" w:eastAsia="宋体" w:cs="宋体"/>
      <w:color w:val="000000"/>
      <w:sz w:val="20"/>
      <w:szCs w:val="20"/>
      <w:u w:val="none"/>
    </w:rPr>
  </w:style>
  <w:style w:type="paragraph" w:customStyle="1" w:styleId="10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Table Paragraph"/>
    <w:basedOn w:val="1"/>
    <w:qFormat/>
    <w:uiPriority w:val="1"/>
    <w:rPr>
      <w:rFonts w:ascii="宋体" w:hAnsi="宋体" w:eastAsia="宋体" w:cs="宋体"/>
      <w:lang w:val="zh-CN" w:eastAsia="zh-CN" w:bidi="zh-CN"/>
    </w:rPr>
  </w:style>
  <w:style w:type="paragraph" w:customStyle="1" w:styleId="102">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3">
    <w:name w:val="正文_1"/>
    <w:basedOn w:val="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_3"/>
    <w:next w:val="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文本_0"/>
    <w:basedOn w:val="106"/>
    <w:qFormat/>
    <w:uiPriority w:val="0"/>
    <w:pPr>
      <w:spacing w:after="120"/>
    </w:pPr>
    <w:rPr>
      <w:rFonts w:ascii="Times New Roman" w:hAnsi="Times New Roman"/>
      <w:szCs w:val="24"/>
    </w:rPr>
  </w:style>
  <w:style w:type="paragraph" w:customStyle="1" w:styleId="106">
    <w:name w:val="正文_3_0_0"/>
    <w:basedOn w:val="107"/>
    <w:qFormat/>
    <w:uiPriority w:val="0"/>
    <w:pPr>
      <w:widowControl w:val="0"/>
      <w:jc w:val="both"/>
    </w:pPr>
    <w:rPr>
      <w:rFonts w:ascii="Calibri" w:hAnsi="Calibri"/>
      <w:kern w:val="2"/>
      <w:sz w:val="21"/>
      <w:szCs w:val="22"/>
      <w:lang w:val="en-US" w:eastAsia="zh-CN" w:bidi="ar-SA"/>
    </w:rPr>
  </w:style>
  <w:style w:type="paragraph" w:customStyle="1" w:styleId="107">
    <w:name w:val="Normal"/>
    <w:next w:val="108"/>
    <w:qFormat/>
    <w:uiPriority w:val="0"/>
    <w:rPr>
      <w:rFonts w:ascii="Times New Roman" w:hAnsi="Times New Roman" w:eastAsia="Times New Roman" w:cs="Times New Roman"/>
      <w:sz w:val="24"/>
      <w:szCs w:val="24"/>
      <w:lang w:bidi="ar-SA"/>
    </w:rPr>
  </w:style>
  <w:style w:type="paragraph" w:customStyle="1" w:styleId="108">
    <w:name w:val="Body Text"/>
    <w:basedOn w:val="107"/>
    <w:qFormat/>
    <w:uiPriority w:val="0"/>
    <w:pPr>
      <w:spacing w:after="120"/>
    </w:pPr>
  </w:style>
  <w:style w:type="paragraph" w:customStyle="1" w:styleId="109">
    <w:name w:val="表格内容"/>
    <w:basedOn w:val="1"/>
    <w:qFormat/>
    <w:uiPriority w:val="0"/>
    <w:pPr>
      <w:jc w:val="left"/>
    </w:pPr>
    <w:rPr>
      <w:rFonts w:ascii="Calibri" w:hAnsi="Calibri"/>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textRotate="1"/>
    <customShpInfo spid="_x0000_s2055" textRotate="1"/>
    <customShpInfo spid="_x0000_s2053"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CD2F7-B25C-4339-803C-CA89E233C266}">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73</Pages>
  <Words>41486</Words>
  <Characters>44040</Characters>
  <Lines>144</Lines>
  <Paragraphs>40</Paragraphs>
  <TotalTime>1</TotalTime>
  <ScaleCrop>false</ScaleCrop>
  <LinksUpToDate>false</LinksUpToDate>
  <CharactersWithSpaces>46047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2016-09-20T09:37:00Z</dcterms:created>
  <dc:creator>xt</dc:creator>
  <cp:lastModifiedBy>Lenovo</cp:lastModifiedBy>
  <cp:lastPrinted>2021-08-27T11:37:00Z</cp:lastPrinted>
  <dcterms:modified xsi:type="dcterms:W3CDTF">2022-08-11T03:17:38Z</dcterms:modified>
  <dc:title>　　　　　　　　　　　　  第一部份 投标邀请</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85B1F840E39642F9A192F0B4E505ED3B</vt:lpwstr>
  </property>
</Properties>
</file>