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80" w:firstLineChars="300"/>
        <w:rPr>
          <w:rFonts w:cs="Times New Roman"/>
          <w:b/>
          <w:sz w:val="44"/>
          <w:szCs w:val="44"/>
        </w:rPr>
      </w:pPr>
      <w:r>
        <w:rPr>
          <w:rFonts w:hint="eastAsia" w:cs="Times New Roman"/>
          <w:b/>
          <w:sz w:val="36"/>
          <w:szCs w:val="36"/>
        </w:rPr>
        <w:t>自治州流域生态环境保护类EOD技术咨询服务项目</w:t>
      </w:r>
      <w:r>
        <w:rPr>
          <w:rFonts w:hint="eastAsia" w:cs="Times New Roman"/>
          <w:b/>
          <w:sz w:val="44"/>
          <w:szCs w:val="44"/>
        </w:rPr>
        <w:t xml:space="preserve"> </w:t>
      </w:r>
    </w:p>
    <w:p>
      <w:pPr>
        <w:pStyle w:val="43"/>
        <w:rPr>
          <w:lang w:val="en-US"/>
        </w:rPr>
      </w:pPr>
    </w:p>
    <w:p>
      <w:pPr>
        <w:spacing w:line="360" w:lineRule="auto"/>
        <w:jc w:val="center"/>
        <w:rPr>
          <w:rFonts w:cs="Times New Roman"/>
          <w:b/>
          <w:sz w:val="72"/>
          <w:szCs w:val="72"/>
        </w:rPr>
      </w:pPr>
    </w:p>
    <w:p>
      <w:pPr>
        <w:spacing w:line="360" w:lineRule="auto"/>
        <w:jc w:val="center"/>
        <w:rPr>
          <w:rFonts w:cs="Times New Roman"/>
          <w:b/>
          <w:sz w:val="72"/>
          <w:szCs w:val="72"/>
        </w:rPr>
      </w:pPr>
    </w:p>
    <w:p>
      <w:pPr>
        <w:spacing w:line="360" w:lineRule="auto"/>
        <w:jc w:val="center"/>
        <w:rPr>
          <w:rFonts w:cs="Times New Roman"/>
          <w:b/>
          <w:sz w:val="72"/>
          <w:szCs w:val="72"/>
        </w:rPr>
      </w:pPr>
      <w:r>
        <w:rPr>
          <w:rFonts w:hint="eastAsia" w:cs="Times New Roman"/>
          <w:b/>
          <w:sz w:val="72"/>
          <w:szCs w:val="72"/>
        </w:rPr>
        <w:t>竞争性磋商文件</w:t>
      </w:r>
    </w:p>
    <w:p>
      <w:pPr>
        <w:pStyle w:val="42"/>
        <w:numPr>
          <w:ilvl w:val="1"/>
          <w:numId w:val="0"/>
        </w:numPr>
        <w:spacing w:line="360" w:lineRule="auto"/>
        <w:jc w:val="both"/>
        <w:rPr>
          <w:rFonts w:hAnsi="宋体"/>
          <w:color w:val="auto"/>
        </w:rPr>
      </w:pPr>
    </w:p>
    <w:p>
      <w:pPr>
        <w:pStyle w:val="21"/>
        <w:snapToGrid w:val="0"/>
        <w:spacing w:before="76" w:beforeAutospacing="0" w:after="0" w:afterAutospacing="0" w:line="360" w:lineRule="auto"/>
        <w:ind w:firstLine="2707" w:firstLineChars="846"/>
        <w:rPr>
          <w:b/>
          <w:bCs/>
          <w:sz w:val="32"/>
          <w:szCs w:val="32"/>
        </w:rPr>
      </w:pPr>
    </w:p>
    <w:p>
      <w:pPr>
        <w:pStyle w:val="9"/>
      </w:pPr>
    </w:p>
    <w:p>
      <w:pPr>
        <w:pStyle w:val="25"/>
        <w:spacing w:line="360" w:lineRule="auto"/>
        <w:ind w:left="0" w:leftChars="0" w:firstLine="0" w:firstLineChars="0"/>
        <w:rPr>
          <w:rFonts w:ascii="宋体" w:hAnsi="宋体"/>
          <w:b/>
          <w:kern w:val="0"/>
          <w:sz w:val="32"/>
          <w:szCs w:val="32"/>
        </w:rPr>
      </w:pPr>
    </w:p>
    <w:p>
      <w:pPr>
        <w:pStyle w:val="9"/>
        <w:ind w:firstLine="643"/>
        <w:rPr>
          <w:rFonts w:ascii="宋体" w:hAnsi="宋体"/>
          <w:b/>
          <w:kern w:val="0"/>
          <w:sz w:val="32"/>
          <w:szCs w:val="32"/>
        </w:rPr>
      </w:pPr>
    </w:p>
    <w:p>
      <w:pPr>
        <w:pStyle w:val="9"/>
        <w:ind w:firstLine="643"/>
        <w:rPr>
          <w:rFonts w:ascii="宋体" w:hAnsi="宋体"/>
          <w:b/>
          <w:kern w:val="0"/>
          <w:sz w:val="32"/>
          <w:szCs w:val="32"/>
        </w:rPr>
      </w:pPr>
    </w:p>
    <w:p>
      <w:pPr>
        <w:pStyle w:val="9"/>
        <w:ind w:firstLine="643"/>
        <w:rPr>
          <w:rFonts w:ascii="宋体" w:hAnsi="宋体"/>
          <w:b/>
          <w:kern w:val="0"/>
          <w:sz w:val="32"/>
          <w:szCs w:val="32"/>
        </w:rPr>
      </w:pPr>
    </w:p>
    <w:p>
      <w:pPr>
        <w:pStyle w:val="9"/>
        <w:ind w:firstLine="643"/>
        <w:rPr>
          <w:rFonts w:ascii="宋体" w:hAnsi="宋体"/>
          <w:b/>
          <w:kern w:val="0"/>
          <w:sz w:val="32"/>
          <w:szCs w:val="32"/>
        </w:rPr>
      </w:pPr>
    </w:p>
    <w:p>
      <w:pPr>
        <w:pStyle w:val="9"/>
        <w:ind w:firstLine="643"/>
        <w:rPr>
          <w:rFonts w:ascii="宋体" w:hAnsi="宋体"/>
          <w:b/>
          <w:kern w:val="0"/>
          <w:sz w:val="32"/>
          <w:szCs w:val="32"/>
        </w:rPr>
      </w:pPr>
    </w:p>
    <w:p>
      <w:pPr>
        <w:pStyle w:val="25"/>
        <w:spacing w:line="360" w:lineRule="auto"/>
        <w:ind w:firstLine="467" w:firstLineChars="146"/>
        <w:rPr>
          <w:rFonts w:ascii="宋体" w:hAnsi="宋体"/>
          <w:b/>
          <w:kern w:val="0"/>
          <w:sz w:val="32"/>
          <w:szCs w:val="32"/>
        </w:rPr>
      </w:pPr>
      <w:r>
        <w:rPr>
          <w:rFonts w:hint="eastAsia" w:ascii="宋体" w:hAnsi="宋体"/>
          <w:b/>
          <w:kern w:val="0"/>
          <w:sz w:val="32"/>
          <w:szCs w:val="32"/>
        </w:rPr>
        <w:t>采 购 人：昌吉州生态环境局</w:t>
      </w:r>
    </w:p>
    <w:p>
      <w:pPr>
        <w:pStyle w:val="25"/>
        <w:spacing w:line="360" w:lineRule="auto"/>
        <w:ind w:firstLine="467" w:firstLineChars="146"/>
        <w:rPr>
          <w:rFonts w:hAnsi="宋体"/>
          <w:b/>
          <w:kern w:val="0"/>
          <w:sz w:val="32"/>
          <w:szCs w:val="32"/>
        </w:rPr>
      </w:pPr>
      <w:r>
        <w:rPr>
          <w:rFonts w:hint="eastAsia" w:hAnsi="宋体"/>
          <w:b/>
          <w:kern w:val="0"/>
          <w:sz w:val="32"/>
          <w:szCs w:val="32"/>
        </w:rPr>
        <w:t>代理机构：新疆国恩工程管理有限公司</w:t>
      </w:r>
    </w:p>
    <w:p>
      <w:pPr>
        <w:pStyle w:val="15"/>
        <w:spacing w:before="312" w:beforeLines="100" w:after="312" w:afterLines="100" w:line="360" w:lineRule="auto"/>
        <w:ind w:firstLine="944" w:firstLineChars="295"/>
        <w:rPr>
          <w:rFonts w:hAnsi="宋体"/>
          <w:b/>
          <w:bCs/>
          <w:sz w:val="32"/>
          <w:szCs w:val="32"/>
        </w:rPr>
        <w:sectPr>
          <w:footerReference r:id="rId4" w:type="first"/>
          <w:footerReference r:id="rId3" w:type="default"/>
          <w:pgSz w:w="11907" w:h="16840"/>
          <w:pgMar w:top="1134" w:right="1134" w:bottom="1134" w:left="1134" w:header="777" w:footer="641" w:gutter="0"/>
          <w:pgNumType w:start="1"/>
          <w:cols w:space="720" w:num="1"/>
          <w:docGrid w:type="linesAndChars" w:linePitch="312" w:charSpace="0"/>
        </w:sectPr>
      </w:pPr>
      <w:r>
        <w:rPr>
          <w:rFonts w:hint="eastAsia" w:hAnsi="宋体" w:cs="Times New Roman"/>
          <w:b/>
          <w:kern w:val="0"/>
          <w:sz w:val="32"/>
          <w:szCs w:val="32"/>
        </w:rPr>
        <w:t>日    期：二零二二年十</w:t>
      </w:r>
      <w:r>
        <w:rPr>
          <w:rFonts w:hint="eastAsia" w:hAnsi="宋体" w:cs="Times New Roman"/>
          <w:b/>
          <w:kern w:val="0"/>
          <w:sz w:val="32"/>
          <w:szCs w:val="32"/>
          <w:lang w:val="en-US" w:eastAsia="zh-CN"/>
        </w:rPr>
        <w:t>二</w:t>
      </w:r>
      <w:r>
        <w:rPr>
          <w:rFonts w:hint="eastAsia" w:hAnsi="宋体" w:cs="Times New Roman"/>
          <w:b/>
          <w:kern w:val="0"/>
          <w:sz w:val="32"/>
          <w:szCs w:val="32"/>
        </w:rPr>
        <w:t>月</w:t>
      </w:r>
    </w:p>
    <w:p>
      <w:pPr>
        <w:pStyle w:val="44"/>
        <w:tabs>
          <w:tab w:val="right" w:leader="dot" w:pos="8788"/>
        </w:tabs>
        <w:spacing w:line="360" w:lineRule="auto"/>
        <w:jc w:val="center"/>
        <w:rPr>
          <w:rFonts w:ascii="宋体" w:hAnsi="宋体"/>
          <w:b/>
          <w:sz w:val="44"/>
          <w:szCs w:val="44"/>
        </w:rPr>
      </w:pPr>
      <w:r>
        <w:rPr>
          <w:rFonts w:hint="eastAsia" w:ascii="宋体" w:hAnsi="宋体"/>
          <w:b/>
          <w:sz w:val="44"/>
          <w:szCs w:val="44"/>
        </w:rPr>
        <w:t>目  录</w:t>
      </w:r>
    </w:p>
    <w:p>
      <w:pPr>
        <w:pStyle w:val="44"/>
        <w:tabs>
          <w:tab w:val="right" w:leader="dot" w:pos="8788"/>
        </w:tabs>
        <w:spacing w:line="360" w:lineRule="auto"/>
        <w:jc w:val="center"/>
        <w:rPr>
          <w:rFonts w:ascii="宋体" w:hAnsi="宋体"/>
          <w:sz w:val="44"/>
          <w:szCs w:val="44"/>
        </w:rPr>
      </w:pPr>
    </w:p>
    <w:p>
      <w:pPr>
        <w:pStyle w:val="20"/>
        <w:tabs>
          <w:tab w:val="right" w:leader="dot" w:pos="9652"/>
        </w:tabs>
        <w:spacing w:line="360" w:lineRule="auto"/>
        <w:rPr>
          <w:sz w:val="28"/>
          <w:szCs w:val="28"/>
        </w:rPr>
      </w:pPr>
      <w:r>
        <w:rPr>
          <w:rFonts w:asciiTheme="minorEastAsia" w:hAnsiTheme="minorEastAsia" w:eastAsiaTheme="minorEastAsia"/>
          <w:b/>
          <w:sz w:val="28"/>
          <w:szCs w:val="28"/>
        </w:rPr>
        <w:fldChar w:fldCharType="begin"/>
      </w:r>
      <w:r>
        <w:rPr>
          <w:rFonts w:asciiTheme="minorEastAsia" w:hAnsiTheme="minorEastAsia" w:eastAsiaTheme="minorEastAsia"/>
          <w:b/>
          <w:sz w:val="28"/>
          <w:szCs w:val="28"/>
        </w:rPr>
        <w:instrText xml:space="preserve"> TOC \o "1-1" \h \z \u </w:instrText>
      </w:r>
      <w:r>
        <w:rPr>
          <w:rFonts w:asciiTheme="minorEastAsia" w:hAnsiTheme="minorEastAsia" w:eastAsiaTheme="minorEastAsia"/>
          <w:b/>
          <w:sz w:val="28"/>
          <w:szCs w:val="28"/>
        </w:rPr>
        <w:fldChar w:fldCharType="separate"/>
      </w:r>
      <w:r>
        <w:fldChar w:fldCharType="begin"/>
      </w:r>
      <w:r>
        <w:instrText xml:space="preserve"> HYPERLINK \l "_Toc753" </w:instrText>
      </w:r>
      <w:r>
        <w:fldChar w:fldCharType="separate"/>
      </w:r>
      <w:r>
        <w:rPr>
          <w:rFonts w:hint="eastAsia"/>
          <w:sz w:val="28"/>
          <w:szCs w:val="28"/>
        </w:rPr>
        <w:t>第一章  竞争性磋商公告</w:t>
      </w:r>
      <w:r>
        <w:rPr>
          <w:sz w:val="28"/>
          <w:szCs w:val="28"/>
        </w:rPr>
        <w:tab/>
      </w:r>
      <w:r>
        <w:rPr>
          <w:sz w:val="28"/>
          <w:szCs w:val="28"/>
        </w:rPr>
        <w:fldChar w:fldCharType="begin"/>
      </w:r>
      <w:r>
        <w:rPr>
          <w:sz w:val="28"/>
          <w:szCs w:val="28"/>
        </w:rPr>
        <w:instrText xml:space="preserve"> PAGEREF _Toc753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0"/>
        <w:tabs>
          <w:tab w:val="right" w:leader="dot" w:pos="9652"/>
        </w:tabs>
        <w:spacing w:line="360" w:lineRule="auto"/>
        <w:rPr>
          <w:sz w:val="28"/>
          <w:szCs w:val="28"/>
        </w:rPr>
      </w:pPr>
      <w:r>
        <w:fldChar w:fldCharType="begin"/>
      </w:r>
      <w:r>
        <w:instrText xml:space="preserve"> HYPERLINK \l "_Toc29754" </w:instrText>
      </w:r>
      <w:r>
        <w:fldChar w:fldCharType="separate"/>
      </w:r>
      <w:r>
        <w:rPr>
          <w:rFonts w:hint="eastAsia"/>
          <w:sz w:val="28"/>
          <w:szCs w:val="28"/>
        </w:rPr>
        <w:t>第二章  供应商须知</w:t>
      </w:r>
      <w:r>
        <w:rPr>
          <w:sz w:val="28"/>
          <w:szCs w:val="28"/>
        </w:rPr>
        <w:tab/>
      </w:r>
      <w:r>
        <w:rPr>
          <w:sz w:val="28"/>
          <w:szCs w:val="28"/>
        </w:rPr>
        <w:fldChar w:fldCharType="begin"/>
      </w:r>
      <w:r>
        <w:rPr>
          <w:sz w:val="28"/>
          <w:szCs w:val="28"/>
        </w:rPr>
        <w:instrText xml:space="preserve"> PAGEREF _Toc29754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20"/>
        <w:tabs>
          <w:tab w:val="right" w:leader="dot" w:pos="9652"/>
        </w:tabs>
        <w:spacing w:line="360" w:lineRule="auto"/>
        <w:rPr>
          <w:sz w:val="28"/>
          <w:szCs w:val="28"/>
        </w:rPr>
      </w:pPr>
      <w:r>
        <w:fldChar w:fldCharType="begin"/>
      </w:r>
      <w:r>
        <w:instrText xml:space="preserve"> HYPERLINK \l "_Toc14081" </w:instrText>
      </w:r>
      <w:r>
        <w:fldChar w:fldCharType="separate"/>
      </w:r>
      <w:r>
        <w:rPr>
          <w:rFonts w:hint="eastAsia"/>
          <w:sz w:val="28"/>
          <w:szCs w:val="28"/>
        </w:rPr>
        <w:t>第三章  评审办法</w:t>
      </w:r>
      <w:r>
        <w:rPr>
          <w:sz w:val="28"/>
          <w:szCs w:val="28"/>
        </w:rPr>
        <w:tab/>
      </w:r>
      <w:r>
        <w:rPr>
          <w:sz w:val="28"/>
          <w:szCs w:val="28"/>
        </w:rPr>
        <w:fldChar w:fldCharType="begin"/>
      </w:r>
      <w:r>
        <w:rPr>
          <w:sz w:val="28"/>
          <w:szCs w:val="28"/>
        </w:rPr>
        <w:instrText xml:space="preserve"> PAGEREF _Toc14081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20"/>
        <w:tabs>
          <w:tab w:val="right" w:leader="dot" w:pos="9652"/>
        </w:tabs>
        <w:spacing w:line="360" w:lineRule="auto"/>
        <w:rPr>
          <w:sz w:val="28"/>
          <w:szCs w:val="28"/>
        </w:rPr>
      </w:pPr>
      <w:r>
        <w:fldChar w:fldCharType="begin"/>
      </w:r>
      <w:r>
        <w:instrText xml:space="preserve"> HYPERLINK \l "_Toc9654" </w:instrText>
      </w:r>
      <w:r>
        <w:fldChar w:fldCharType="separate"/>
      </w:r>
      <w:r>
        <w:rPr>
          <w:rFonts w:hint="eastAsia"/>
          <w:sz w:val="28"/>
          <w:szCs w:val="28"/>
        </w:rPr>
        <w:t>第四章  合同</w:t>
      </w:r>
      <w:r>
        <w:rPr>
          <w:sz w:val="28"/>
          <w:szCs w:val="28"/>
        </w:rPr>
        <w:tab/>
      </w:r>
      <w:r>
        <w:rPr>
          <w:sz w:val="28"/>
          <w:szCs w:val="28"/>
        </w:rPr>
        <w:fldChar w:fldCharType="begin"/>
      </w:r>
      <w:r>
        <w:rPr>
          <w:sz w:val="28"/>
          <w:szCs w:val="28"/>
        </w:rPr>
        <w:instrText xml:space="preserve"> PAGEREF _Toc9654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20"/>
        <w:tabs>
          <w:tab w:val="right" w:leader="dot" w:pos="9652"/>
        </w:tabs>
        <w:spacing w:line="360" w:lineRule="auto"/>
        <w:rPr>
          <w:sz w:val="28"/>
          <w:szCs w:val="28"/>
        </w:rPr>
      </w:pPr>
      <w:r>
        <w:fldChar w:fldCharType="begin"/>
      </w:r>
      <w:r>
        <w:instrText xml:space="preserve"> HYPERLINK \l "_Toc939" </w:instrText>
      </w:r>
      <w:r>
        <w:fldChar w:fldCharType="separate"/>
      </w:r>
      <w:r>
        <w:rPr>
          <w:rFonts w:hint="eastAsia"/>
          <w:sz w:val="28"/>
          <w:szCs w:val="28"/>
        </w:rPr>
        <w:t>第五章  采购内容及要求</w:t>
      </w:r>
      <w:r>
        <w:rPr>
          <w:sz w:val="28"/>
          <w:szCs w:val="28"/>
        </w:rPr>
        <w:tab/>
      </w:r>
      <w:r>
        <w:rPr>
          <w:sz w:val="28"/>
          <w:szCs w:val="28"/>
        </w:rPr>
        <w:fldChar w:fldCharType="begin"/>
      </w:r>
      <w:r>
        <w:rPr>
          <w:sz w:val="28"/>
          <w:szCs w:val="28"/>
        </w:rPr>
        <w:instrText xml:space="preserve"> PAGEREF _Toc939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20"/>
        <w:tabs>
          <w:tab w:val="right" w:leader="dot" w:pos="9652"/>
        </w:tabs>
        <w:spacing w:line="360" w:lineRule="auto"/>
        <w:rPr>
          <w:sz w:val="28"/>
          <w:szCs w:val="28"/>
        </w:rPr>
      </w:pPr>
      <w:r>
        <w:fldChar w:fldCharType="begin"/>
      </w:r>
      <w:r>
        <w:instrText xml:space="preserve"> HYPERLINK \l "_Toc15878" </w:instrText>
      </w:r>
      <w:r>
        <w:fldChar w:fldCharType="separate"/>
      </w:r>
      <w:r>
        <w:rPr>
          <w:rFonts w:hint="eastAsia"/>
          <w:sz w:val="28"/>
          <w:szCs w:val="28"/>
        </w:rPr>
        <w:t>第六章  磋商响应文件格式</w:t>
      </w:r>
      <w:r>
        <w:rPr>
          <w:sz w:val="28"/>
          <w:szCs w:val="28"/>
        </w:rPr>
        <w:tab/>
      </w:r>
      <w:r>
        <w:rPr>
          <w:sz w:val="28"/>
          <w:szCs w:val="28"/>
        </w:rPr>
        <w:fldChar w:fldCharType="begin"/>
      </w:r>
      <w:r>
        <w:rPr>
          <w:sz w:val="28"/>
          <w:szCs w:val="28"/>
        </w:rPr>
        <w:instrText xml:space="preserve"> PAGEREF _Toc15878 \h </w:instrText>
      </w:r>
      <w:r>
        <w:rPr>
          <w:sz w:val="28"/>
          <w:szCs w:val="28"/>
        </w:rPr>
        <w:fldChar w:fldCharType="separate"/>
      </w:r>
      <w:r>
        <w:rPr>
          <w:sz w:val="28"/>
          <w:szCs w:val="28"/>
        </w:rPr>
        <w:t>31</w:t>
      </w:r>
      <w:r>
        <w:rPr>
          <w:sz w:val="28"/>
          <w:szCs w:val="28"/>
        </w:rPr>
        <w:fldChar w:fldCharType="end"/>
      </w:r>
      <w:r>
        <w:rPr>
          <w:sz w:val="28"/>
          <w:szCs w:val="28"/>
        </w:rPr>
        <w:fldChar w:fldCharType="end"/>
      </w:r>
    </w:p>
    <w:p>
      <w:pPr>
        <w:pStyle w:val="44"/>
        <w:tabs>
          <w:tab w:val="right" w:leader="dot" w:pos="8788"/>
        </w:tabs>
        <w:spacing w:line="360" w:lineRule="auto"/>
        <w:rPr>
          <w:rFonts w:asciiTheme="minorEastAsia" w:hAnsiTheme="minorEastAsia" w:eastAsiaTheme="minorEastAsia"/>
          <w:sz w:val="24"/>
          <w:szCs w:val="24"/>
        </w:rPr>
      </w:pPr>
      <w:r>
        <w:rPr>
          <w:rFonts w:asciiTheme="minorEastAsia" w:hAnsiTheme="minorEastAsia" w:eastAsiaTheme="minorEastAsia"/>
          <w:sz w:val="28"/>
          <w:szCs w:val="28"/>
        </w:rPr>
        <w:fldChar w:fldCharType="end"/>
      </w:r>
    </w:p>
    <w:p>
      <w:pPr>
        <w:pStyle w:val="44"/>
        <w:tabs>
          <w:tab w:val="right" w:leader="dot" w:pos="8788"/>
        </w:tabs>
        <w:spacing w:line="360" w:lineRule="auto"/>
        <w:rPr>
          <w:rFonts w:ascii="宋体" w:hAnsi="宋体"/>
          <w:sz w:val="28"/>
          <w:szCs w:val="28"/>
        </w:rPr>
      </w:pPr>
    </w:p>
    <w:p>
      <w:pPr>
        <w:pStyle w:val="44"/>
        <w:tabs>
          <w:tab w:val="right" w:leader="dot" w:pos="8788"/>
        </w:tabs>
        <w:spacing w:line="360" w:lineRule="auto"/>
        <w:rPr>
          <w:rFonts w:ascii="宋体" w:hAnsi="宋体"/>
          <w:sz w:val="28"/>
          <w:szCs w:val="28"/>
        </w:rPr>
      </w:pPr>
    </w:p>
    <w:p>
      <w:pPr>
        <w:pStyle w:val="44"/>
        <w:tabs>
          <w:tab w:val="right" w:leader="dot" w:pos="8788"/>
        </w:tabs>
        <w:spacing w:line="360" w:lineRule="auto"/>
        <w:rPr>
          <w:rFonts w:ascii="宋体" w:hAnsi="宋体"/>
          <w:sz w:val="28"/>
          <w:szCs w:val="28"/>
        </w:rPr>
      </w:pPr>
    </w:p>
    <w:p>
      <w:pPr>
        <w:pStyle w:val="44"/>
        <w:tabs>
          <w:tab w:val="right" w:leader="dot" w:pos="8788"/>
        </w:tabs>
        <w:spacing w:line="360" w:lineRule="auto"/>
        <w:rPr>
          <w:rFonts w:ascii="宋体" w:hAnsi="宋体"/>
          <w:sz w:val="28"/>
          <w:szCs w:val="28"/>
        </w:rPr>
      </w:pPr>
    </w:p>
    <w:p>
      <w:pPr>
        <w:pStyle w:val="44"/>
        <w:tabs>
          <w:tab w:val="right" w:leader="dot" w:pos="8788"/>
        </w:tabs>
        <w:spacing w:line="360" w:lineRule="auto"/>
        <w:rPr>
          <w:rFonts w:ascii="宋体" w:hAnsi="宋体"/>
          <w:sz w:val="28"/>
          <w:szCs w:val="28"/>
        </w:rPr>
      </w:pPr>
    </w:p>
    <w:p>
      <w:pPr>
        <w:pStyle w:val="44"/>
        <w:tabs>
          <w:tab w:val="right" w:leader="dot" w:pos="8788"/>
        </w:tabs>
        <w:spacing w:line="360" w:lineRule="auto"/>
        <w:rPr>
          <w:rFonts w:ascii="宋体" w:hAnsi="宋体"/>
          <w:sz w:val="28"/>
          <w:szCs w:val="28"/>
        </w:rPr>
      </w:pPr>
    </w:p>
    <w:p>
      <w:pPr>
        <w:pStyle w:val="44"/>
        <w:tabs>
          <w:tab w:val="right" w:leader="dot" w:pos="8788"/>
        </w:tabs>
        <w:spacing w:line="360" w:lineRule="auto"/>
        <w:rPr>
          <w:rFonts w:ascii="宋体" w:hAnsi="宋体"/>
          <w:sz w:val="28"/>
          <w:szCs w:val="28"/>
        </w:rPr>
      </w:pPr>
    </w:p>
    <w:p>
      <w:pPr>
        <w:pStyle w:val="44"/>
        <w:tabs>
          <w:tab w:val="right" w:leader="dot" w:pos="8788"/>
        </w:tabs>
        <w:spacing w:line="360" w:lineRule="auto"/>
        <w:rPr>
          <w:rFonts w:ascii="宋体" w:hAnsi="宋体"/>
          <w:sz w:val="28"/>
          <w:szCs w:val="28"/>
        </w:rPr>
      </w:pPr>
    </w:p>
    <w:p>
      <w:pPr>
        <w:pStyle w:val="44"/>
        <w:tabs>
          <w:tab w:val="right" w:leader="dot" w:pos="8788"/>
        </w:tabs>
        <w:spacing w:line="360" w:lineRule="auto"/>
        <w:rPr>
          <w:rFonts w:ascii="宋体" w:hAnsi="宋体"/>
          <w:sz w:val="28"/>
          <w:szCs w:val="28"/>
        </w:rPr>
      </w:pPr>
    </w:p>
    <w:p>
      <w:pPr>
        <w:pStyle w:val="44"/>
        <w:tabs>
          <w:tab w:val="right" w:leader="dot" w:pos="8788"/>
        </w:tabs>
        <w:spacing w:line="360" w:lineRule="auto"/>
        <w:rPr>
          <w:rFonts w:ascii="宋体" w:hAnsi="宋体"/>
        </w:rPr>
      </w:pPr>
    </w:p>
    <w:p>
      <w:pPr>
        <w:pStyle w:val="44"/>
        <w:tabs>
          <w:tab w:val="right" w:leader="dot" w:pos="8788"/>
        </w:tabs>
        <w:spacing w:line="360" w:lineRule="auto"/>
        <w:rPr>
          <w:rFonts w:ascii="宋体" w:hAnsi="宋体"/>
        </w:rPr>
      </w:pPr>
    </w:p>
    <w:p>
      <w:pPr>
        <w:pStyle w:val="44"/>
        <w:tabs>
          <w:tab w:val="right" w:leader="dot" w:pos="8788"/>
        </w:tabs>
        <w:spacing w:line="360" w:lineRule="auto"/>
        <w:rPr>
          <w:rFonts w:ascii="宋体" w:hAnsi="宋体"/>
        </w:rPr>
      </w:pPr>
    </w:p>
    <w:p>
      <w:pPr>
        <w:widowControl/>
        <w:wordWrap/>
        <w:topLinePunct w:val="0"/>
        <w:jc w:val="left"/>
        <w:rPr>
          <w:b/>
          <w:sz w:val="32"/>
          <w:szCs w:val="32"/>
        </w:rPr>
      </w:pPr>
      <w:bookmarkStart w:id="0" w:name="_Toc72694684"/>
      <w:r>
        <w:rPr>
          <w:b/>
          <w:sz w:val="32"/>
          <w:szCs w:val="32"/>
        </w:rPr>
        <w:br w:type="page"/>
      </w:r>
    </w:p>
    <w:p>
      <w:pPr>
        <w:pStyle w:val="4"/>
        <w:tabs>
          <w:tab w:val="left" w:pos="0"/>
        </w:tabs>
        <w:autoSpaceDE w:val="0"/>
        <w:autoSpaceDN w:val="0"/>
        <w:adjustRightInd w:val="0"/>
        <w:rPr>
          <w:rFonts w:ascii="华文中宋" w:hAnsi="华文中宋" w:eastAsia="华文中宋"/>
          <w:lang w:eastAsia="zh-CN"/>
        </w:rPr>
      </w:pPr>
      <w:bookmarkStart w:id="1" w:name="_Toc753"/>
      <w:r>
        <w:rPr>
          <w:rFonts w:hint="eastAsia"/>
          <w:sz w:val="32"/>
          <w:lang w:eastAsia="zh-CN"/>
        </w:rPr>
        <w:t xml:space="preserve">第一章  </w:t>
      </w:r>
      <w:bookmarkEnd w:id="0"/>
      <w:bookmarkEnd w:id="1"/>
      <w:bookmarkStart w:id="2" w:name="_Toc35393797"/>
      <w:bookmarkStart w:id="3" w:name="_Toc28359011"/>
      <w:bookmarkStart w:id="4" w:name="_Toc1254"/>
      <w:bookmarkStart w:id="5" w:name="_Toc28007"/>
      <w:bookmarkStart w:id="6" w:name="_Toc29754"/>
      <w:r>
        <w:rPr>
          <w:rFonts w:hint="eastAsia"/>
          <w:sz w:val="32"/>
          <w:lang w:eastAsia="zh-CN"/>
        </w:rPr>
        <w:t>竞争性磋商公告</w:t>
      </w:r>
      <w:bookmarkEnd w:id="2"/>
      <w:bookmarkEnd w:id="3"/>
    </w:p>
    <w:p/>
    <w:p>
      <w:pPr>
        <w:pBdr>
          <w:top w:val="single" w:color="auto" w:sz="4" w:space="1"/>
          <w:left w:val="single" w:color="auto" w:sz="4" w:space="4"/>
          <w:bottom w:val="single" w:color="auto" w:sz="4" w:space="1"/>
          <w:right w:val="single" w:color="auto" w:sz="4" w:space="4"/>
        </w:pBdr>
        <w:ind w:firstLine="3640" w:firstLineChars="13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sz w:val="28"/>
          <w:szCs w:val="28"/>
          <w:u w:val="single"/>
        </w:rPr>
        <w:t>自治州流域生态环境保护类EOD技术咨询服务项目</w:t>
      </w:r>
      <w:r>
        <w:rPr>
          <w:rFonts w:hint="eastAsia" w:ascii="仿宋" w:hAnsi="仿宋" w:eastAsia="仿宋"/>
          <w:sz w:val="28"/>
          <w:szCs w:val="28"/>
        </w:rPr>
        <w:t>的潜在供应商应在</w:t>
      </w:r>
      <w:r>
        <w:rPr>
          <w:rFonts w:hint="eastAsia" w:ascii="仿宋" w:hAnsi="仿宋" w:eastAsia="仿宋"/>
          <w:sz w:val="28"/>
          <w:szCs w:val="28"/>
          <w:u w:val="single"/>
        </w:rPr>
        <w:t>新</w:t>
      </w:r>
      <w:r>
        <w:rPr>
          <w:rFonts w:hint="eastAsia" w:ascii="仿宋" w:hAnsi="仿宋" w:eastAsia="仿宋" w:cs="仿宋"/>
          <w:color w:val="000000"/>
          <w:spacing w:val="10"/>
          <w:sz w:val="28"/>
          <w:szCs w:val="28"/>
          <w:u w:val="single"/>
        </w:rPr>
        <w:t>疆国恩工程管理有限公司</w:t>
      </w:r>
      <w:r>
        <w:rPr>
          <w:rFonts w:hint="eastAsia" w:ascii="仿宋" w:hAnsi="仿宋" w:eastAsia="仿宋"/>
          <w:sz w:val="28"/>
          <w:szCs w:val="28"/>
        </w:rPr>
        <w:t>获取采购文件，并于</w:t>
      </w:r>
      <w:r>
        <w:rPr>
          <w:rFonts w:hint="eastAsia" w:ascii="仿宋" w:hAnsi="仿宋" w:eastAsia="仿宋"/>
          <w:sz w:val="28"/>
          <w:szCs w:val="28"/>
          <w:u w:val="single"/>
        </w:rPr>
        <w:t>2022</w:t>
      </w:r>
      <w:r>
        <w:rPr>
          <w:rFonts w:hint="eastAsia" w:ascii="仿宋" w:hAnsi="仿宋" w:eastAsia="仿宋"/>
          <w:bCs/>
          <w:sz w:val="28"/>
          <w:szCs w:val="28"/>
          <w:u w:val="single"/>
        </w:rPr>
        <w:t>年12月</w:t>
      </w:r>
      <w:r>
        <w:rPr>
          <w:rFonts w:hint="eastAsia" w:ascii="仿宋" w:hAnsi="仿宋" w:eastAsia="仿宋"/>
          <w:bCs/>
          <w:sz w:val="28"/>
          <w:szCs w:val="28"/>
          <w:u w:val="single"/>
          <w:lang w:val="en-US" w:eastAsia="zh-CN"/>
        </w:rPr>
        <w:t>13</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w:t>
      </w:r>
      <w:r>
        <w:rPr>
          <w:rFonts w:hint="eastAsia" w:ascii="仿宋" w:hAnsi="仿宋" w:eastAsia="仿宋"/>
          <w:bCs/>
          <w:sz w:val="28"/>
          <w:szCs w:val="28"/>
          <w:u w:val="single"/>
        </w:rPr>
        <w:t>0分</w:t>
      </w:r>
      <w:r>
        <w:rPr>
          <w:rFonts w:hint="eastAsia" w:ascii="仿宋" w:hAnsi="仿宋" w:eastAsia="仿宋"/>
          <w:bCs/>
          <w:color w:val="0D0D0D" w:themeColor="text1" w:themeTint="F2"/>
          <w:sz w:val="28"/>
          <w:szCs w:val="28"/>
          <w14:textFill>
            <w14:solidFill>
              <w14:schemeClr w14:val="tx1">
                <w14:lumMod w14:val="95000"/>
                <w14:lumOff w14:val="5000"/>
              </w14:schemeClr>
            </w14:solidFill>
          </w14:textFill>
        </w:rPr>
        <w:t>（北京时间）前提交响应</w:t>
      </w:r>
      <w:r>
        <w:rPr>
          <w:rFonts w:ascii="仿宋" w:hAnsi="仿宋" w:eastAsia="仿宋"/>
          <w:bCs/>
          <w:color w:val="0D0D0D" w:themeColor="text1" w:themeTint="F2"/>
          <w:sz w:val="28"/>
          <w:szCs w:val="28"/>
          <w14:textFill>
            <w14:solidFill>
              <w14:schemeClr w14:val="tx1">
                <w14:lumMod w14:val="95000"/>
                <w14:lumOff w14:val="5000"/>
              </w14:schemeClr>
            </w14:solidFill>
          </w14:textFill>
        </w:rPr>
        <w:t>文件</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w:t>
      </w:r>
    </w:p>
    <w:p/>
    <w:p>
      <w:pPr>
        <w:pStyle w:val="5"/>
        <w:jc w:val="both"/>
        <w:rPr>
          <w:rFonts w:ascii="黑体" w:hAnsi="黑体" w:cs="宋体"/>
          <w:b w:val="0"/>
          <w:sz w:val="28"/>
          <w:szCs w:val="28"/>
        </w:rPr>
      </w:pPr>
      <w:bookmarkStart w:id="7" w:name="_Toc28359012"/>
      <w:bookmarkStart w:id="8" w:name="_Toc35393798"/>
      <w:bookmarkStart w:id="9" w:name="_Toc28359089"/>
      <w:bookmarkStart w:id="10" w:name="_Toc35393629"/>
      <w:r>
        <w:rPr>
          <w:rFonts w:hint="eastAsia" w:ascii="黑体" w:hAnsi="黑体" w:cs="宋体"/>
          <w:b w:val="0"/>
          <w:sz w:val="28"/>
          <w:szCs w:val="28"/>
        </w:rPr>
        <w:t>一、项目基本情况</w:t>
      </w:r>
      <w:bookmarkEnd w:id="7"/>
      <w:bookmarkEnd w:id="8"/>
      <w:bookmarkEnd w:id="9"/>
      <w:bookmarkEnd w:id="10"/>
    </w:p>
    <w:p>
      <w:pPr>
        <w:ind w:firstLine="560" w:firstLineChars="200"/>
        <w:rPr>
          <w:rFonts w:ascii="仿宋" w:hAnsi="仿宋" w:eastAsia="仿宋"/>
          <w:sz w:val="28"/>
          <w:szCs w:val="28"/>
        </w:rPr>
      </w:pPr>
      <w:r>
        <w:rPr>
          <w:rFonts w:hint="eastAsia" w:ascii="仿宋" w:hAnsi="仿宋" w:eastAsia="仿宋"/>
          <w:sz w:val="28"/>
          <w:szCs w:val="28"/>
        </w:rPr>
        <w:t>项目编号：XJGE-2022-1123-CG-001</w:t>
      </w:r>
    </w:p>
    <w:p>
      <w:pPr>
        <w:ind w:firstLine="560" w:firstLineChars="200"/>
        <w:rPr>
          <w:rFonts w:ascii="仿宋" w:hAnsi="仿宋" w:eastAsia="仿宋"/>
          <w:sz w:val="28"/>
          <w:szCs w:val="28"/>
        </w:rPr>
      </w:pPr>
      <w:r>
        <w:rPr>
          <w:rFonts w:hint="eastAsia" w:ascii="仿宋" w:hAnsi="仿宋" w:eastAsia="仿宋"/>
          <w:sz w:val="28"/>
          <w:szCs w:val="28"/>
        </w:rPr>
        <w:t>项目名称：自治州流域生态环境保护类EOD技术咨询服务项目</w:t>
      </w:r>
    </w:p>
    <w:p>
      <w:pPr>
        <w:ind w:firstLine="560" w:firstLineChars="200"/>
        <w:rPr>
          <w:rFonts w:ascii="仿宋" w:hAnsi="仿宋" w:eastAsia="仿宋"/>
          <w:sz w:val="28"/>
          <w:szCs w:val="28"/>
        </w:rPr>
      </w:pPr>
      <w:r>
        <w:rPr>
          <w:rFonts w:hint="eastAsia" w:ascii="仿宋" w:hAnsi="仿宋" w:eastAsia="仿宋"/>
          <w:sz w:val="28"/>
          <w:szCs w:val="28"/>
        </w:rPr>
        <w:t>采购方式：竞争性磋商</w:t>
      </w:r>
    </w:p>
    <w:p>
      <w:pPr>
        <w:ind w:firstLine="560" w:firstLineChars="200"/>
        <w:rPr>
          <w:rFonts w:ascii="仿宋" w:hAnsi="仿宋" w:eastAsia="仿宋"/>
          <w:sz w:val="28"/>
          <w:szCs w:val="28"/>
        </w:rPr>
      </w:pPr>
      <w:r>
        <w:rPr>
          <w:rFonts w:hint="eastAsia" w:ascii="仿宋" w:hAnsi="仿宋" w:eastAsia="仿宋"/>
          <w:sz w:val="28"/>
          <w:szCs w:val="28"/>
        </w:rPr>
        <w:t>预算金额：190万元</w:t>
      </w:r>
    </w:p>
    <w:p>
      <w:pPr>
        <w:pStyle w:val="25"/>
        <w:ind w:left="0" w:leftChars="0" w:firstLine="560"/>
        <w:rPr>
          <w:rFonts w:ascii="仿宋" w:hAnsi="仿宋" w:eastAsia="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 xml:space="preserve">资金来源：财政拨付 </w:t>
      </w:r>
    </w:p>
    <w:p>
      <w:pPr>
        <w:ind w:firstLine="560" w:firstLineChars="200"/>
        <w:rPr>
          <w:rFonts w:ascii="仿宋" w:hAnsi="仿宋" w:eastAsia="仿宋"/>
          <w:b/>
          <w:bCs/>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最高限价：190万元</w:t>
      </w:r>
      <w:r>
        <w:rPr>
          <w:rFonts w:hint="eastAsia" w:ascii="仿宋" w:hAnsi="仿宋" w:eastAsia="仿宋"/>
          <w:b/>
          <w:bCs/>
          <w:color w:val="0D0D0D" w:themeColor="text1" w:themeTint="F2"/>
          <w:sz w:val="28"/>
          <w:szCs w:val="28"/>
          <w14:textFill>
            <w14:solidFill>
              <w14:schemeClr w14:val="tx1">
                <w14:lumMod w14:val="95000"/>
                <w14:lumOff w14:val="5000"/>
              </w14:schemeClr>
            </w14:solidFill>
          </w14:textFill>
        </w:rPr>
        <w:t xml:space="preserve">   </w:t>
      </w:r>
    </w:p>
    <w:p>
      <w:pPr>
        <w:ind w:left="1959" w:leftChars="266" w:hanging="1400" w:hangingChars="5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采购需求：为</w:t>
      </w:r>
      <w:r>
        <w:rPr>
          <w:rFonts w:hint="eastAsia" w:ascii="仿宋" w:hAnsi="仿宋" w:eastAsia="仿宋"/>
          <w:sz w:val="28"/>
          <w:szCs w:val="28"/>
        </w:rPr>
        <w:t>昌吉州流域生态环境保护类EOD技术咨询服务项目</w:t>
      </w:r>
      <w:r>
        <w:rPr>
          <w:rFonts w:hint="eastAsia" w:ascii="仿宋" w:hAnsi="仿宋" w:eastAsia="仿宋"/>
          <w:color w:val="000000" w:themeColor="text1"/>
          <w:sz w:val="28"/>
          <w:szCs w:val="28"/>
          <w14:textFill>
            <w14:solidFill>
              <w14:schemeClr w14:val="tx1"/>
            </w14:solidFill>
          </w14:textFill>
        </w:rPr>
        <w:t>提供实施方案编制及技术咨询服务（</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具体内容详见磋商文件</w:t>
      </w:r>
      <w:r>
        <w:rPr>
          <w:rFonts w:hint="eastAsia" w:ascii="仿宋" w:hAnsi="仿宋" w:eastAsia="仿宋"/>
          <w:color w:val="000000" w:themeColor="text1"/>
          <w:sz w:val="28"/>
          <w:szCs w:val="28"/>
          <w14:textFill>
            <w14:solidFill>
              <w14:schemeClr w14:val="tx1"/>
            </w14:solidFill>
          </w14:textFill>
        </w:rPr>
        <w:t>）</w:t>
      </w:r>
    </w:p>
    <w:p>
      <w:pPr>
        <w:ind w:firstLine="560" w:firstLineChars="200"/>
        <w:rPr>
          <w:rFonts w:ascii="仿宋" w:hAnsi="仿宋" w:eastAsia="仿宋"/>
          <w:sz w:val="28"/>
          <w:szCs w:val="28"/>
        </w:rPr>
      </w:pPr>
      <w:r>
        <w:rPr>
          <w:rFonts w:hint="eastAsia" w:ascii="仿宋" w:hAnsi="仿宋" w:eastAsia="仿宋"/>
          <w:sz w:val="28"/>
          <w:szCs w:val="28"/>
          <w:lang w:val="zh-CN"/>
        </w:rPr>
        <w:t>项目地点：</w:t>
      </w:r>
      <w:bookmarkStart w:id="11" w:name="_Toc35393799"/>
      <w:bookmarkStart w:id="12" w:name="_Toc28359090"/>
      <w:bookmarkStart w:id="13" w:name="_Toc35393630"/>
      <w:bookmarkStart w:id="14" w:name="_Toc28359013"/>
      <w:r>
        <w:rPr>
          <w:rFonts w:hint="eastAsia" w:ascii="仿宋" w:hAnsi="仿宋" w:eastAsia="仿宋"/>
          <w:sz w:val="28"/>
          <w:szCs w:val="28"/>
          <w:lang w:val="zh-CN"/>
        </w:rPr>
        <w:t>采购人指定地点</w:t>
      </w:r>
      <w:r>
        <w:rPr>
          <w:rFonts w:hint="eastAsia" w:ascii="仿宋" w:hAnsi="仿宋" w:eastAsia="仿宋"/>
          <w:sz w:val="28"/>
          <w:szCs w:val="28"/>
        </w:rPr>
        <w:t xml:space="preserve"> </w:t>
      </w:r>
    </w:p>
    <w:p>
      <w:pPr>
        <w:spacing w:line="360" w:lineRule="auto"/>
        <w:ind w:left="559" w:leftChars="266"/>
        <w:jc w:val="left"/>
        <w:rPr>
          <w:rFonts w:ascii="仿宋" w:hAnsi="仿宋" w:eastAsia="仿宋"/>
          <w:sz w:val="28"/>
          <w:szCs w:val="28"/>
        </w:rPr>
      </w:pPr>
      <w:r>
        <w:rPr>
          <w:rFonts w:hint="eastAsia" w:ascii="仿宋" w:hAnsi="仿宋" w:eastAsia="仿宋"/>
          <w:sz w:val="28"/>
          <w:szCs w:val="28"/>
        </w:rPr>
        <w:t>合同履约期限：第一阶段：合同签订后10个工作日内</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，依据政府提供的规划和项目</w:t>
      </w:r>
      <w:r>
        <w:rPr>
          <w:rFonts w:hint="eastAsia" w:ascii="仿宋" w:hAnsi="仿宋" w:eastAsia="仿宋"/>
          <w:sz w:val="28"/>
          <w:szCs w:val="28"/>
        </w:rPr>
        <w:t>等基础资料，完成EOD项目库的梳理整合工作，完成现场调查及相关调研工作。</w:t>
      </w:r>
    </w:p>
    <w:p>
      <w:pPr>
        <w:spacing w:line="360" w:lineRule="auto"/>
        <w:ind w:left="559" w:leftChars="266"/>
        <w:jc w:val="left"/>
        <w:rPr>
          <w:rFonts w:ascii="仿宋" w:hAnsi="仿宋" w:eastAsia="仿宋"/>
          <w:sz w:val="28"/>
          <w:szCs w:val="28"/>
        </w:rPr>
      </w:pPr>
      <w:r>
        <w:rPr>
          <w:rFonts w:hint="eastAsia" w:ascii="仿宋" w:hAnsi="仿宋" w:eastAsia="仿宋"/>
          <w:sz w:val="28"/>
          <w:szCs w:val="28"/>
        </w:rPr>
        <w:t>第二阶段：依据政府提供前期基础资料后30个工作日内，完成《昌吉州生态环境导向的开发(EOD)模式试点初步实施方案》报告。</w:t>
      </w:r>
    </w:p>
    <w:p>
      <w:pPr>
        <w:spacing w:line="360" w:lineRule="auto"/>
        <w:ind w:left="559" w:leftChars="266"/>
        <w:jc w:val="left"/>
        <w:rPr>
          <w:rFonts w:ascii="仿宋" w:hAnsi="仿宋" w:eastAsia="仿宋"/>
          <w:sz w:val="28"/>
          <w:szCs w:val="28"/>
        </w:rPr>
      </w:pPr>
      <w:r>
        <w:rPr>
          <w:rFonts w:hint="eastAsia" w:ascii="仿宋" w:hAnsi="仿宋" w:eastAsia="仿宋"/>
          <w:sz w:val="28"/>
          <w:szCs w:val="28"/>
        </w:rPr>
        <w:t>第三阶段：2023年4月30日前，配合完成自治区生态环境厅组织的专家论证评估。</w:t>
      </w:r>
    </w:p>
    <w:p>
      <w:pPr>
        <w:spacing w:line="360" w:lineRule="auto"/>
        <w:ind w:left="559" w:leftChars="266"/>
        <w:jc w:val="left"/>
        <w:rPr>
          <w:rFonts w:ascii="仿宋" w:hAnsi="仿宋" w:eastAsia="仿宋"/>
          <w:sz w:val="28"/>
          <w:szCs w:val="28"/>
        </w:rPr>
      </w:pPr>
      <w:r>
        <w:rPr>
          <w:rFonts w:hint="eastAsia" w:ascii="仿宋" w:hAnsi="仿宋" w:eastAsia="仿宋"/>
          <w:sz w:val="28"/>
          <w:szCs w:val="28"/>
        </w:rPr>
        <w:t>第四阶段：2023年5月10日前，配合完成昌吉州生态环境流域水环境导向的开发(EOD)模式试点项目入库。</w:t>
      </w:r>
    </w:p>
    <w:p>
      <w:pPr>
        <w:spacing w:line="360" w:lineRule="auto"/>
        <w:ind w:left="559" w:leftChars="266"/>
        <w:jc w:val="left"/>
      </w:pPr>
      <w:r>
        <w:rPr>
          <w:rFonts w:hint="eastAsia" w:ascii="仿宋" w:hAnsi="仿宋" w:eastAsia="仿宋" w:cs="仿宋"/>
          <w:kern w:val="0"/>
          <w:sz w:val="28"/>
          <w:szCs w:val="28"/>
        </w:rPr>
        <w:t>本项目接受联合体投标。</w:t>
      </w:r>
    </w:p>
    <w:p>
      <w:pPr>
        <w:pStyle w:val="5"/>
        <w:jc w:val="both"/>
        <w:rPr>
          <w:rFonts w:ascii="黑体" w:hAnsi="黑体" w:cs="宋体"/>
          <w:b w:val="0"/>
          <w:sz w:val="28"/>
          <w:szCs w:val="28"/>
        </w:rPr>
      </w:pPr>
      <w:r>
        <w:rPr>
          <w:rFonts w:hint="eastAsia" w:ascii="黑体" w:hAnsi="黑体" w:cs="宋体"/>
          <w:b w:val="0"/>
          <w:sz w:val="28"/>
          <w:szCs w:val="28"/>
        </w:rPr>
        <w:t>二、申请人的资格要求：</w:t>
      </w:r>
      <w:bookmarkEnd w:id="11"/>
      <w:bookmarkEnd w:id="12"/>
      <w:bookmarkEnd w:id="13"/>
      <w:bookmarkEnd w:id="14"/>
    </w:p>
    <w:p>
      <w:pPr>
        <w:ind w:firstLine="560" w:firstLineChars="200"/>
        <w:rPr>
          <w:rFonts w:ascii="仿宋" w:hAnsi="仿宋" w:eastAsia="仿宋"/>
          <w:sz w:val="28"/>
          <w:szCs w:val="28"/>
        </w:rPr>
      </w:pPr>
      <w:bookmarkStart w:id="15" w:name="_Toc28359014"/>
      <w:bookmarkStart w:id="16" w:name="_Toc35393631"/>
      <w:bookmarkStart w:id="17" w:name="_Toc35393800"/>
      <w:bookmarkStart w:id="18" w:name="_Toc28359091"/>
      <w:r>
        <w:rPr>
          <w:rFonts w:hint="eastAsia" w:ascii="仿宋" w:hAnsi="仿宋" w:eastAsia="仿宋"/>
          <w:sz w:val="28"/>
          <w:szCs w:val="28"/>
        </w:rPr>
        <w:t>1.满足《中华人民共和国政府采购法》第二十二条规定；</w:t>
      </w:r>
    </w:p>
    <w:p>
      <w:pPr>
        <w:spacing w:line="360" w:lineRule="auto"/>
        <w:ind w:firstLine="560" w:firstLineChars="200"/>
        <w:rPr>
          <w:rFonts w:ascii="仿宋" w:hAnsi="仿宋" w:eastAsia="仿宋" w:cs="仿宋"/>
          <w:sz w:val="28"/>
          <w:szCs w:val="28"/>
        </w:rPr>
      </w:pP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cs="仿宋"/>
          <w:sz w:val="28"/>
          <w:szCs w:val="28"/>
        </w:rPr>
        <w:t>根据《财政部关于在政府采购活动中查询及使用信用记录有关问题的通知》（财库﹝2016﹞125号）的要求，凡拟参加本次采购项目的供应商，供应商未被列入“信用中国”网站（www.creditchina.gov.cn）失信被执行人、重大税收违法案件当事人名单及中国政府采购网（www.ccgp.gov.cn）“政府采购严重违法失信行为信息记录”，提供上述网站信用信息查询记录的网页截图;</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3.落实政府采购政策需满足的资格要求：（1）</w:t>
      </w:r>
      <w:r>
        <w:rPr>
          <w:rFonts w:hint="eastAsia" w:ascii="仿宋" w:hAnsi="仿宋" w:eastAsia="仿宋" w:cs="仿宋"/>
          <w:kern w:val="0"/>
          <w:sz w:val="28"/>
          <w:szCs w:val="28"/>
        </w:rPr>
        <w:t>执行财政部工业和信息化部关于印发</w:t>
      </w:r>
      <w:r>
        <w:rPr>
          <w:rFonts w:hint="eastAsia" w:ascii="仿宋" w:hAnsi="仿宋" w:eastAsia="仿宋" w:cs="仿宋"/>
          <w:color w:val="000000" w:themeColor="text1"/>
          <w:kern w:val="0"/>
          <w:sz w:val="28"/>
          <w:szCs w:val="28"/>
          <w14:textFill>
            <w14:solidFill>
              <w14:schemeClr w14:val="tx1"/>
            </w14:solidFill>
          </w14:textFill>
        </w:rPr>
        <w:t>《政府采购促进中小企业发展管理办法》财库〔2020〕46号的通知中</w:t>
      </w:r>
      <w:r>
        <w:rPr>
          <w:rFonts w:hint="eastAsia" w:ascii="仿宋" w:hAnsi="仿宋" w:eastAsia="仿宋" w:cs="仿宋"/>
          <w:kern w:val="0"/>
          <w:sz w:val="28"/>
          <w:szCs w:val="28"/>
        </w:rPr>
        <w:t>的相关规定。（2）（财库〔2014〕68号）；（3）《国务院办公厅关于建立政府强制采购节能产品制度的通知》（国办发〔2007〕51号）；（4）《财政部、民政部、中国残疾人联合会关于促进残疾人就业政府采购政策的通知》财库〔2017〕141号；</w:t>
      </w:r>
    </w:p>
    <w:p>
      <w:pPr>
        <w:ind w:firstLine="560" w:firstLineChars="200"/>
        <w:rPr>
          <w:rFonts w:ascii="仿宋" w:hAnsi="仿宋" w:eastAsia="仿宋"/>
          <w:sz w:val="28"/>
          <w:szCs w:val="28"/>
        </w:rPr>
      </w:pPr>
      <w:r>
        <w:rPr>
          <w:rFonts w:hint="eastAsia" w:ascii="仿宋" w:hAnsi="仿宋" w:eastAsia="仿宋"/>
          <w:sz w:val="28"/>
          <w:szCs w:val="28"/>
        </w:rPr>
        <w:t>4.本项目的特定资格要求：</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（1）在中华人民共和国境内注册，具有独立法人资格，符合《中华人民共和国政府采购法》第二十二条的规定；</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（2）具有有效的营业执照需包含本次采购相关经营范围；</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（3）供应商应具有依法缴纳税收及社会保障资金证明，需提供2021年1月1日以来任意一个月的缴纳税收及社保证明；</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 供应商应具有良好的商业信誉和健全的财务会计制度（提供2021年度财务审计报告或基本开户银行出具的资信证明，不足年份以成立之日起计，提供相关财务报表）；</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（5）供应商没有处于被责令停业、财产被接管、冻结、破产的状态，需提供参加本次采购活动前三年内，在经营活动中无重大违法记录声明函； </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6）供应商没有被列入失信被执行人、重大税收违法案件当事人名单，须提供规范的信用报告，信用报告应通过“信用中国”网站(www.creditchina.gov.cn)下载，中国政府采购网(www.ccgp.gov.cn)查询政府采购严重违法失信行为记录名单（提供磋商公告发布之后的网站查询结果截图并加盖公章）；</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 xml:space="preserve">（7）供应商需提供无行贿犯罪记录承诺函（承诺对象包括：投标企业、法定代表人），并对真实性负责，若承诺不实，造成的后果由供应商自行负责； </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（8）本项目允许联合体投标；组成单个联合体的成员单位数量不得超过两家（含）且每个联合体成员须为一个独立法人单位。联合体需满足以下要求：</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1、联合体各成员均应具备磋商文件要求的相应资质。</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联合体各成员单位间必须签订联合体协议，协议中必须明确联合体牵头人。（在投标时提交联合体协议并注明牵头人及各方拟承担的工作和责任，联合体各方应当共同与招标单位签订服务合同，就服务项目承担连带责任。在投标文件中附联合体协议书原件，加盖各成员单位公章）。</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3、联合体投标时，由联合体牵头人领取磋商文件和递交投标文件等相关操作，文件费和投标保证金等费用（如有）均由联合体牵头人缴纳办理。</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4、组成联合体的各成员单位不得再与其他单位组成其他联合体或者以单独的名义参与本项目的投标；</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5、法律/法规规定的其他要求。联合体协议书应随投标文件一起提交。</w:t>
      </w:r>
      <w:r>
        <w:rPr>
          <w:rFonts w:hint="eastAsia"/>
          <w:kern w:val="0"/>
          <w:sz w:val="24"/>
          <w:szCs w:val="24"/>
        </w:rPr>
        <w:t xml:space="preserve"> </w:t>
      </w:r>
    </w:p>
    <w:p>
      <w:pPr>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9）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5"/>
        <w:ind w:left="0" w:leftChars="0" w:firstLine="560"/>
        <w:rPr>
          <w:rFonts w:ascii="仿宋" w:hAnsi="仿宋" w:eastAsia="仿宋" w:cs="仿宋"/>
          <w:kern w:val="0"/>
          <w:sz w:val="28"/>
          <w:szCs w:val="28"/>
        </w:rPr>
      </w:pPr>
      <w:r>
        <w:rPr>
          <w:rFonts w:hint="eastAsia" w:ascii="仿宋" w:hAnsi="仿宋" w:eastAsia="仿宋" w:cs="仿宋"/>
          <w:kern w:val="0"/>
          <w:sz w:val="28"/>
          <w:szCs w:val="28"/>
        </w:rPr>
        <w:t>（10）本项目接受联合体投标；</w:t>
      </w:r>
    </w:p>
    <w:p>
      <w:pPr>
        <w:pStyle w:val="5"/>
        <w:jc w:val="both"/>
        <w:rPr>
          <w:rFonts w:ascii="黑体" w:hAnsi="黑体" w:cs="宋体"/>
          <w:b w:val="0"/>
          <w:sz w:val="28"/>
          <w:szCs w:val="28"/>
        </w:rPr>
      </w:pPr>
      <w:r>
        <w:rPr>
          <w:rFonts w:hint="eastAsia" w:ascii="黑体" w:hAnsi="黑体" w:cs="宋体"/>
          <w:b w:val="0"/>
          <w:sz w:val="28"/>
          <w:szCs w:val="28"/>
        </w:rPr>
        <w:t>三、获取采购文件</w:t>
      </w:r>
      <w:bookmarkEnd w:id="15"/>
      <w:bookmarkEnd w:id="16"/>
      <w:bookmarkEnd w:id="17"/>
      <w:bookmarkEnd w:id="18"/>
    </w:p>
    <w:p>
      <w:pPr>
        <w:spacing w:line="360" w:lineRule="auto"/>
        <w:ind w:firstLine="540"/>
        <w:rPr>
          <w:rFonts w:ascii="仿宋" w:hAnsi="仿宋" w:eastAsia="仿宋"/>
          <w:sz w:val="28"/>
          <w:szCs w:val="28"/>
        </w:rPr>
      </w:pPr>
      <w:r>
        <w:rPr>
          <w:rFonts w:hint="eastAsia" w:ascii="仿宋" w:hAnsi="仿宋" w:eastAsia="仿宋"/>
          <w:sz w:val="28"/>
          <w:szCs w:val="28"/>
        </w:rPr>
        <w:t>时间：</w:t>
      </w:r>
      <w:bookmarkStart w:id="699" w:name="_GoBack"/>
      <w:bookmarkEnd w:id="699"/>
      <w:r>
        <w:rPr>
          <w:rFonts w:hint="eastAsia" w:ascii="仿宋" w:hAnsi="仿宋" w:eastAsia="仿宋"/>
          <w:sz w:val="28"/>
          <w:szCs w:val="28"/>
          <w:u w:val="single"/>
          <w:lang w:eastAsia="zh-CN"/>
        </w:rPr>
        <w:t>2022年12月1日至2022年 12月8日</w:t>
      </w:r>
      <w:r>
        <w:rPr>
          <w:rFonts w:hint="eastAsia" w:ascii="仿宋" w:hAnsi="仿宋" w:eastAsia="仿宋"/>
          <w:sz w:val="28"/>
          <w:szCs w:val="28"/>
          <w:u w:val="single"/>
        </w:rPr>
        <w:t>，</w:t>
      </w:r>
      <w:r>
        <w:rPr>
          <w:rFonts w:hint="eastAsia" w:ascii="仿宋" w:hAnsi="仿宋" w:eastAsia="仿宋"/>
          <w:sz w:val="28"/>
          <w:szCs w:val="28"/>
        </w:rPr>
        <w:t>每</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天</w:t>
      </w:r>
      <w:r>
        <w:rPr>
          <w:rFonts w:hint="eastAsia" w:ascii="仿宋" w:hAnsi="仿宋" w:eastAsia="仿宋"/>
          <w:sz w:val="28"/>
          <w:szCs w:val="28"/>
        </w:rPr>
        <w:t>上午</w:t>
      </w:r>
      <w:r>
        <w:rPr>
          <w:rFonts w:hint="eastAsia" w:ascii="仿宋" w:hAnsi="仿宋" w:eastAsia="仿宋"/>
          <w:sz w:val="28"/>
          <w:szCs w:val="28"/>
          <w:u w:val="single"/>
        </w:rPr>
        <w:t>10:00</w:t>
      </w:r>
      <w:r>
        <w:rPr>
          <w:rFonts w:hint="eastAsia" w:ascii="仿宋" w:hAnsi="仿宋" w:eastAsia="仿宋"/>
          <w:sz w:val="28"/>
          <w:szCs w:val="28"/>
        </w:rPr>
        <w:t>至</w:t>
      </w:r>
      <w:r>
        <w:rPr>
          <w:rFonts w:hint="eastAsia" w:ascii="仿宋" w:hAnsi="仿宋" w:eastAsia="仿宋"/>
          <w:sz w:val="28"/>
          <w:szCs w:val="28"/>
          <w:u w:val="single"/>
        </w:rPr>
        <w:t>14:00</w:t>
      </w:r>
      <w:r>
        <w:rPr>
          <w:rFonts w:hint="eastAsia" w:ascii="仿宋" w:hAnsi="仿宋" w:eastAsia="仿宋"/>
          <w:sz w:val="28"/>
          <w:szCs w:val="28"/>
        </w:rPr>
        <w:t>，下午</w:t>
      </w:r>
      <w:r>
        <w:rPr>
          <w:rFonts w:hint="eastAsia" w:ascii="仿宋" w:hAnsi="仿宋" w:eastAsia="仿宋"/>
          <w:sz w:val="28"/>
          <w:szCs w:val="28"/>
          <w:u w:val="single"/>
        </w:rPr>
        <w:t>15:30</w:t>
      </w:r>
      <w:r>
        <w:rPr>
          <w:rFonts w:hint="eastAsia" w:ascii="仿宋" w:hAnsi="仿宋" w:eastAsia="仿宋"/>
          <w:sz w:val="28"/>
          <w:szCs w:val="28"/>
        </w:rPr>
        <w:t>至</w:t>
      </w:r>
      <w:r>
        <w:rPr>
          <w:rFonts w:hint="eastAsia" w:ascii="仿宋" w:hAnsi="仿宋" w:eastAsia="仿宋"/>
          <w:sz w:val="28"/>
          <w:szCs w:val="28"/>
          <w:u w:val="single"/>
        </w:rPr>
        <w:t>19:30</w:t>
      </w:r>
      <w:r>
        <w:rPr>
          <w:rFonts w:hint="eastAsia" w:ascii="仿宋" w:hAnsi="仿宋" w:eastAsia="仿宋"/>
          <w:sz w:val="28"/>
          <w:szCs w:val="28"/>
        </w:rPr>
        <w:t>（北京时间，</w:t>
      </w:r>
      <w:r>
        <w:rPr>
          <w:rFonts w:ascii="仿宋" w:hAnsi="仿宋" w:eastAsia="仿宋"/>
          <w:sz w:val="28"/>
          <w:szCs w:val="28"/>
        </w:rPr>
        <w:t>法定节假日</w:t>
      </w:r>
      <w:r>
        <w:rPr>
          <w:rFonts w:hint="eastAsia" w:ascii="仿宋" w:hAnsi="仿宋" w:eastAsia="仿宋"/>
          <w:sz w:val="28"/>
          <w:szCs w:val="28"/>
        </w:rPr>
        <w:t>除外 ）</w:t>
      </w:r>
    </w:p>
    <w:p>
      <w:pPr>
        <w:spacing w:line="360" w:lineRule="auto"/>
        <w:ind w:firstLine="540"/>
        <w:rPr>
          <w:rFonts w:hint="eastAsia" w:ascii="仿宋" w:hAnsi="仿宋" w:eastAsia="仿宋"/>
          <w:sz w:val="28"/>
          <w:szCs w:val="28"/>
        </w:rPr>
      </w:pPr>
      <w:r>
        <w:rPr>
          <w:rFonts w:hint="eastAsia" w:ascii="仿宋" w:hAnsi="仿宋" w:eastAsia="仿宋"/>
          <w:sz w:val="28"/>
          <w:szCs w:val="28"/>
        </w:rPr>
        <w:t>地点：新疆国恩工程管理有限公司（昌吉市青年南路73号青年壹号大厦A座13楼1314室咨询处）领取</w:t>
      </w:r>
    </w:p>
    <w:p>
      <w:pPr>
        <w:spacing w:line="360" w:lineRule="auto"/>
        <w:ind w:firstLine="540"/>
        <w:rPr>
          <w:rFonts w:ascii="仿宋" w:hAnsi="仿宋" w:eastAsia="仿宋"/>
          <w:sz w:val="28"/>
          <w:szCs w:val="28"/>
          <w:u w:val="single"/>
        </w:rPr>
      </w:pPr>
      <w:r>
        <w:rPr>
          <w:rFonts w:hint="eastAsia" w:ascii="仿宋" w:hAnsi="仿宋" w:eastAsia="仿宋"/>
          <w:sz w:val="28"/>
          <w:szCs w:val="28"/>
        </w:rPr>
        <w:t>方式：</w:t>
      </w:r>
      <w:r>
        <w:rPr>
          <w:rFonts w:hint="eastAsia" w:ascii="仿宋" w:hAnsi="仿宋" w:eastAsia="仿宋" w:cs="宋体"/>
          <w:sz w:val="28"/>
          <w:szCs w:val="28"/>
        </w:rPr>
        <w:t>线上获取或线下获取均可</w:t>
      </w:r>
    </w:p>
    <w:p>
      <w:pPr>
        <w:spacing w:line="360" w:lineRule="auto"/>
        <w:ind w:firstLine="540"/>
        <w:jc w:val="left"/>
        <w:rPr>
          <w:rFonts w:ascii="仿宋" w:hAnsi="仿宋" w:eastAsia="仿宋"/>
          <w:sz w:val="28"/>
          <w:szCs w:val="28"/>
        </w:rPr>
      </w:pPr>
      <w:r>
        <w:rPr>
          <w:rFonts w:hint="eastAsia" w:ascii="仿宋" w:hAnsi="仿宋" w:eastAsia="仿宋"/>
          <w:sz w:val="28"/>
          <w:szCs w:val="28"/>
        </w:rPr>
        <w:t>售价：</w:t>
      </w:r>
      <w:r>
        <w:rPr>
          <w:rFonts w:hint="eastAsia" w:ascii="仿宋" w:hAnsi="仿宋" w:eastAsia="仿宋" w:cs="宋体"/>
          <w:sz w:val="28"/>
          <w:szCs w:val="28"/>
        </w:rPr>
        <w:t>200元</w:t>
      </w:r>
      <w:r>
        <w:rPr>
          <w:rFonts w:hint="eastAsia" w:ascii="仿宋" w:hAnsi="仿宋" w:eastAsia="仿宋" w:cs="宋体"/>
          <w:color w:val="000000" w:themeColor="text1"/>
          <w:sz w:val="28"/>
          <w:szCs w:val="28"/>
          <w14:textFill>
            <w14:solidFill>
              <w14:schemeClr w14:val="tx1"/>
            </w14:solidFill>
          </w14:textFill>
        </w:rPr>
        <w:t>/份，售后</w:t>
      </w:r>
      <w:r>
        <w:rPr>
          <w:rFonts w:hint="eastAsia" w:ascii="仿宋" w:hAnsi="仿宋" w:eastAsia="仿宋" w:cs="宋体"/>
          <w:sz w:val="28"/>
          <w:szCs w:val="28"/>
        </w:rPr>
        <w:t>不退</w:t>
      </w:r>
    </w:p>
    <w:p>
      <w:pPr>
        <w:pStyle w:val="5"/>
        <w:jc w:val="both"/>
        <w:rPr>
          <w:rFonts w:ascii="黑体" w:hAnsi="黑体" w:cs="宋体"/>
          <w:b w:val="0"/>
          <w:sz w:val="28"/>
          <w:szCs w:val="28"/>
        </w:rPr>
      </w:pPr>
      <w:bookmarkStart w:id="19" w:name="_Toc35393801"/>
      <w:bookmarkStart w:id="20" w:name="_Toc35393632"/>
      <w:bookmarkStart w:id="21" w:name="_Toc28359015"/>
      <w:bookmarkStart w:id="22" w:name="_Toc28359092"/>
      <w:r>
        <w:rPr>
          <w:rFonts w:hint="eastAsia" w:ascii="黑体" w:hAnsi="黑体" w:cs="宋体"/>
          <w:b w:val="0"/>
          <w:sz w:val="28"/>
          <w:szCs w:val="28"/>
        </w:rPr>
        <w:t>四、响应文件提交</w:t>
      </w:r>
      <w:bookmarkEnd w:id="19"/>
      <w:bookmarkEnd w:id="20"/>
      <w:bookmarkEnd w:id="21"/>
      <w:bookmarkEnd w:id="22"/>
    </w:p>
    <w:p>
      <w:pPr>
        <w:ind w:firstLine="560" w:firstLineChars="200"/>
        <w:rPr>
          <w:rFonts w:ascii="仿宋" w:hAnsi="仿宋" w:eastAsia="仿宋"/>
          <w:bCs/>
          <w:color w:val="0D0D0D" w:themeColor="text1" w:themeTint="F2"/>
          <w:sz w:val="28"/>
          <w:szCs w:val="28"/>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截止时间：</w:t>
      </w:r>
      <w:r>
        <w:rPr>
          <w:rFonts w:hint="eastAsia" w:ascii="仿宋" w:hAnsi="仿宋" w:eastAsia="仿宋"/>
          <w:sz w:val="28"/>
          <w:szCs w:val="28"/>
          <w:u w:val="single"/>
        </w:rPr>
        <w:t>2022</w:t>
      </w:r>
      <w:r>
        <w:rPr>
          <w:rFonts w:hint="eastAsia" w:ascii="仿宋" w:hAnsi="仿宋" w:eastAsia="仿宋"/>
          <w:bCs/>
          <w:sz w:val="28"/>
          <w:szCs w:val="28"/>
          <w:u w:val="single"/>
        </w:rPr>
        <w:t>年12月</w:t>
      </w:r>
      <w:r>
        <w:rPr>
          <w:rFonts w:hint="eastAsia" w:ascii="仿宋" w:hAnsi="仿宋" w:eastAsia="仿宋"/>
          <w:bCs/>
          <w:sz w:val="28"/>
          <w:szCs w:val="28"/>
          <w:u w:val="single"/>
          <w:lang w:val="en-US" w:eastAsia="zh-CN"/>
        </w:rPr>
        <w:t>13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w:t>
      </w:r>
      <w:r>
        <w:rPr>
          <w:rFonts w:hint="eastAsia" w:ascii="仿宋" w:hAnsi="仿宋" w:eastAsia="仿宋"/>
          <w:bCs/>
          <w:sz w:val="28"/>
          <w:szCs w:val="28"/>
          <w:u w:val="single"/>
        </w:rPr>
        <w:t>0分</w:t>
      </w:r>
      <w:r>
        <w:rPr>
          <w:rFonts w:hint="eastAsia" w:ascii="仿宋" w:hAnsi="仿宋" w:eastAsia="仿宋"/>
          <w:bCs/>
          <w:color w:val="0D0D0D" w:themeColor="text1" w:themeTint="F2"/>
          <w:sz w:val="28"/>
          <w:szCs w:val="28"/>
          <w14:textFill>
            <w14:solidFill>
              <w14:schemeClr w14:val="tx1">
                <w14:lumMod w14:val="95000"/>
                <w14:lumOff w14:val="5000"/>
              </w14:schemeClr>
            </w14:solidFill>
          </w14:textFill>
        </w:rPr>
        <w:t>（北京时间）</w:t>
      </w:r>
    </w:p>
    <w:p>
      <w:pPr>
        <w:spacing w:line="360" w:lineRule="auto"/>
        <w:ind w:firstLine="540"/>
        <w:rPr>
          <w:rFonts w:ascii="仿宋" w:hAnsi="仿宋" w:eastAsia="仿宋"/>
          <w:bCs/>
          <w:color w:val="0D0D0D" w:themeColor="text1" w:themeTint="F2"/>
          <w:sz w:val="28"/>
          <w:szCs w:val="28"/>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 xml:space="preserve">地点：昌吉市青年南路73号青年壹号大厦A座13楼1313室  </w:t>
      </w:r>
    </w:p>
    <w:p>
      <w:pPr>
        <w:pStyle w:val="5"/>
        <w:jc w:val="both"/>
        <w:rPr>
          <w:rFonts w:ascii="黑体" w:hAnsi="黑体" w:cs="宋体"/>
          <w:b w:val="0"/>
          <w:color w:val="0D0D0D" w:themeColor="text1" w:themeTint="F2"/>
          <w:sz w:val="28"/>
          <w:szCs w:val="28"/>
          <w14:textFill>
            <w14:solidFill>
              <w14:schemeClr w14:val="tx1">
                <w14:lumMod w14:val="95000"/>
                <w14:lumOff w14:val="5000"/>
              </w14:schemeClr>
            </w14:solidFill>
          </w14:textFill>
        </w:rPr>
      </w:pPr>
      <w:bookmarkStart w:id="23" w:name="_Toc35393633"/>
      <w:bookmarkStart w:id="24" w:name="_Toc28359016"/>
      <w:bookmarkStart w:id="25" w:name="_Toc28359093"/>
      <w:bookmarkStart w:id="26" w:name="_Toc35393802"/>
      <w:r>
        <w:rPr>
          <w:rFonts w:hint="eastAsia" w:ascii="黑体" w:hAnsi="黑体" w:cs="宋体"/>
          <w:b w:val="0"/>
          <w:color w:val="0D0D0D" w:themeColor="text1" w:themeTint="F2"/>
          <w:sz w:val="28"/>
          <w:szCs w:val="28"/>
          <w14:textFill>
            <w14:solidFill>
              <w14:schemeClr w14:val="tx1">
                <w14:lumMod w14:val="95000"/>
                <w14:lumOff w14:val="5000"/>
              </w14:schemeClr>
            </w14:solidFill>
          </w14:textFill>
        </w:rPr>
        <w:t>五、开启</w:t>
      </w:r>
      <w:bookmarkEnd w:id="23"/>
      <w:bookmarkEnd w:id="24"/>
      <w:bookmarkEnd w:id="25"/>
      <w:bookmarkEnd w:id="26"/>
    </w:p>
    <w:p>
      <w:pPr>
        <w:ind w:firstLine="560" w:firstLineChars="200"/>
        <w:rPr>
          <w:rFonts w:ascii="仿宋" w:hAnsi="仿宋" w:eastAsia="仿宋"/>
          <w:bCs/>
          <w:color w:val="0D0D0D" w:themeColor="text1" w:themeTint="F2"/>
          <w:sz w:val="28"/>
          <w:szCs w:val="28"/>
          <w:u w:val="single"/>
          <w14:textFill>
            <w14:solidFill>
              <w14:schemeClr w14:val="tx1">
                <w14:lumMod w14:val="95000"/>
                <w14:lumOff w14:val="5000"/>
              </w14:schemeClr>
            </w14:solidFill>
          </w14:textFill>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时间：</w:t>
      </w:r>
      <w:r>
        <w:rPr>
          <w:rFonts w:hint="eastAsia" w:ascii="仿宋" w:hAnsi="仿宋" w:eastAsia="仿宋"/>
          <w:sz w:val="28"/>
          <w:szCs w:val="28"/>
          <w:u w:val="single"/>
        </w:rPr>
        <w:t>2022</w:t>
      </w:r>
      <w:r>
        <w:rPr>
          <w:rFonts w:hint="eastAsia" w:ascii="仿宋" w:hAnsi="仿宋" w:eastAsia="仿宋"/>
          <w:bCs/>
          <w:sz w:val="28"/>
          <w:szCs w:val="28"/>
          <w:u w:val="single"/>
        </w:rPr>
        <w:t>年12月</w:t>
      </w:r>
      <w:r>
        <w:rPr>
          <w:rFonts w:hint="eastAsia" w:ascii="仿宋" w:hAnsi="仿宋" w:eastAsia="仿宋"/>
          <w:bCs/>
          <w:sz w:val="28"/>
          <w:szCs w:val="28"/>
          <w:u w:val="single"/>
          <w:lang w:val="en-US" w:eastAsia="zh-CN"/>
        </w:rPr>
        <w:t>13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w:t>
      </w:r>
      <w:r>
        <w:rPr>
          <w:rFonts w:hint="eastAsia" w:ascii="仿宋" w:hAnsi="仿宋" w:eastAsia="仿宋"/>
          <w:bCs/>
          <w:sz w:val="28"/>
          <w:szCs w:val="28"/>
          <w:u w:val="single"/>
        </w:rPr>
        <w:t>0分</w:t>
      </w:r>
      <w:r>
        <w:rPr>
          <w:rFonts w:hint="eastAsia" w:ascii="仿宋" w:hAnsi="仿宋" w:eastAsia="仿宋"/>
          <w:bCs/>
          <w:color w:val="0D0D0D" w:themeColor="text1" w:themeTint="F2"/>
          <w:sz w:val="28"/>
          <w:szCs w:val="28"/>
          <w14:textFill>
            <w14:solidFill>
              <w14:schemeClr w14:val="tx1">
                <w14:lumMod w14:val="95000"/>
                <w14:lumOff w14:val="5000"/>
              </w14:schemeClr>
            </w14:solidFill>
          </w14:textFill>
        </w:rPr>
        <w:t>（北京时间）</w:t>
      </w:r>
    </w:p>
    <w:p>
      <w:pPr>
        <w:ind w:firstLine="560" w:firstLineChars="200"/>
        <w:rPr>
          <w:rFonts w:ascii="仿宋" w:hAnsi="仿宋" w:eastAsia="仿宋"/>
          <w:bCs/>
          <w:sz w:val="28"/>
          <w:szCs w:val="28"/>
          <w:u w:val="single"/>
        </w:rPr>
      </w:pP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地点：昌吉市青年南路73号青年壹号大厦A座13楼1313室</w:t>
      </w:r>
    </w:p>
    <w:p>
      <w:pPr>
        <w:pStyle w:val="5"/>
        <w:jc w:val="both"/>
        <w:rPr>
          <w:rFonts w:ascii="黑体" w:hAnsi="黑体" w:cs="宋体"/>
          <w:b w:val="0"/>
          <w:sz w:val="28"/>
          <w:szCs w:val="28"/>
        </w:rPr>
      </w:pPr>
      <w:bookmarkStart w:id="27" w:name="_Toc35393803"/>
      <w:bookmarkStart w:id="28" w:name="_Toc28359094"/>
      <w:bookmarkStart w:id="29" w:name="_Toc35393634"/>
      <w:bookmarkStart w:id="30" w:name="_Toc28359017"/>
      <w:r>
        <w:rPr>
          <w:rFonts w:hint="eastAsia" w:ascii="黑体" w:hAnsi="黑体" w:cs="宋体"/>
          <w:b w:val="0"/>
          <w:sz w:val="28"/>
          <w:szCs w:val="28"/>
        </w:rPr>
        <w:t>六、公告期限</w:t>
      </w:r>
      <w:bookmarkEnd w:id="27"/>
      <w:bookmarkEnd w:id="28"/>
      <w:bookmarkEnd w:id="29"/>
      <w:bookmarkEnd w:id="30"/>
    </w:p>
    <w:p>
      <w:pPr>
        <w:ind w:firstLine="560" w:firstLineChars="200"/>
        <w:rPr>
          <w:rFonts w:ascii="仿宋" w:hAnsi="仿宋" w:eastAsia="仿宋"/>
          <w:kern w:val="0"/>
          <w:sz w:val="28"/>
          <w:szCs w:val="28"/>
        </w:rPr>
      </w:pPr>
      <w:r>
        <w:rPr>
          <w:rFonts w:hint="eastAsia" w:ascii="仿宋" w:hAnsi="仿宋" w:eastAsia="仿宋"/>
          <w:kern w:val="0"/>
          <w:sz w:val="28"/>
          <w:szCs w:val="28"/>
        </w:rPr>
        <w:t>自本公告发布之日起3个工作日。</w:t>
      </w:r>
    </w:p>
    <w:p>
      <w:pPr>
        <w:pStyle w:val="5"/>
        <w:jc w:val="both"/>
        <w:rPr>
          <w:rFonts w:ascii="黑体" w:hAnsi="黑体" w:cs="宋体"/>
          <w:b w:val="0"/>
          <w:sz w:val="28"/>
          <w:szCs w:val="28"/>
        </w:rPr>
      </w:pPr>
      <w:bookmarkStart w:id="31" w:name="_Toc35393804"/>
      <w:bookmarkStart w:id="32" w:name="_Toc35393635"/>
      <w:r>
        <w:rPr>
          <w:rFonts w:hint="eastAsia" w:ascii="黑体" w:hAnsi="黑体" w:cs="宋体"/>
          <w:b w:val="0"/>
          <w:sz w:val="28"/>
          <w:szCs w:val="28"/>
        </w:rPr>
        <w:t>七、其他补充事宜</w:t>
      </w:r>
      <w:bookmarkEnd w:id="31"/>
      <w:bookmarkEnd w:id="32"/>
    </w:p>
    <w:p>
      <w:pPr>
        <w:ind w:firstLine="560" w:firstLineChars="200"/>
        <w:rPr>
          <w:rFonts w:ascii="仿宋" w:hAnsi="仿宋" w:eastAsia="仿宋"/>
          <w:b/>
          <w:bCs/>
          <w:color w:val="FF0000"/>
          <w:kern w:val="0"/>
          <w:sz w:val="28"/>
          <w:szCs w:val="28"/>
        </w:rPr>
      </w:pPr>
      <w:r>
        <w:rPr>
          <w:rFonts w:hint="eastAsia" w:ascii="仿宋" w:hAnsi="仿宋" w:eastAsia="仿宋"/>
          <w:kern w:val="0"/>
          <w:sz w:val="28"/>
          <w:szCs w:val="28"/>
        </w:rPr>
        <w:t>1.需缴纳磋商保证金，磋商保证金：30000元整；</w:t>
      </w:r>
    </w:p>
    <w:p>
      <w:pPr>
        <w:numPr>
          <w:ilvl w:val="0"/>
          <w:numId w:val="3"/>
        </w:numPr>
        <w:wordWrap w:val="0"/>
        <w:topLinePunct/>
        <w:ind w:left="70" w:leftChars="0" w:firstLine="600" w:firstLineChars="0"/>
        <w:rPr>
          <w:rFonts w:ascii="仿宋" w:hAnsi="仿宋" w:eastAsia="仿宋" w:cs="仿宋"/>
          <w:spacing w:val="10"/>
          <w:sz w:val="28"/>
          <w:szCs w:val="28"/>
        </w:rPr>
      </w:pPr>
      <w:r>
        <w:rPr>
          <w:rFonts w:hint="eastAsia" w:ascii="仿宋" w:hAnsi="仿宋" w:eastAsia="仿宋" w:cs="仿宋"/>
          <w:spacing w:val="10"/>
          <w:sz w:val="28"/>
          <w:szCs w:val="28"/>
        </w:rPr>
        <w:t>磋商保证金应当以支票、汇票、本票或者金融机构、担保机构出具的保函等非现金形式提交，若采用电汇或网银转账的方式，由供应商单位基本账户汇至新疆国恩工程管理有限公司</w:t>
      </w:r>
      <w:r>
        <w:rPr>
          <w:rFonts w:hint="eastAsia" w:ascii="仿宋" w:hAnsi="仿宋" w:eastAsia="仿宋" w:cs="仿宋"/>
          <w:color w:val="000000"/>
          <w:spacing w:val="10"/>
          <w:sz w:val="28"/>
          <w:szCs w:val="28"/>
        </w:rPr>
        <w:t>（</w:t>
      </w:r>
      <w:r>
        <w:rPr>
          <w:rFonts w:hint="eastAsia" w:ascii="仿宋" w:hAnsi="仿宋" w:eastAsia="仿宋" w:cs="仿宋"/>
          <w:spacing w:val="10"/>
          <w:sz w:val="28"/>
          <w:szCs w:val="28"/>
        </w:rPr>
        <w:t>账户名称：新疆国恩工程管理有限公司，</w:t>
      </w:r>
      <w:r>
        <w:rPr>
          <w:rFonts w:hint="eastAsia" w:ascii="仿宋" w:hAnsi="仿宋" w:eastAsia="仿宋" w:cs="仿宋"/>
          <w:color w:val="000000"/>
          <w:spacing w:val="10"/>
          <w:sz w:val="28"/>
          <w:szCs w:val="28"/>
        </w:rPr>
        <w:t>开户行：新疆昌吉农商银行股份有限公司石河子路支行，开户行行号：402885000311、开户行账号：806020512010113257528）</w:t>
      </w:r>
      <w:r>
        <w:rPr>
          <w:rFonts w:hint="eastAsia" w:ascii="仿宋" w:hAnsi="仿宋" w:eastAsia="仿宋" w:cs="仿宋"/>
          <w:spacing w:val="10"/>
          <w:sz w:val="28"/>
          <w:szCs w:val="28"/>
        </w:rPr>
        <w:t>。不得以现金和其他形式缴纳，供应商在缴纳磋商保证金时，需在进账凭证上明确资金用途和投标项目名称，并注明联系人及电话，以便查对核实。供应商应充分考虑资金到账时间，在规定的时限前自行办妥磋商保证金缴纳手续，磋商保证金的缴付时间以电汇凭证和网银对账单上的时间为准，超过缴纳的时限缴纳磋商保证金视为投标无效。磋商保证金的缴纳开始至结束时间（2022年</w:t>
      </w:r>
      <w:r>
        <w:rPr>
          <w:rFonts w:hint="eastAsia" w:ascii="仿宋" w:hAnsi="仿宋" w:eastAsia="仿宋" w:cs="仿宋"/>
          <w:spacing w:val="10"/>
          <w:sz w:val="28"/>
          <w:szCs w:val="28"/>
          <w:lang w:val="en-US" w:eastAsia="zh-CN"/>
        </w:rPr>
        <w:t>12</w:t>
      </w:r>
      <w:r>
        <w:rPr>
          <w:rFonts w:hint="eastAsia" w:ascii="仿宋" w:hAnsi="仿宋" w:eastAsia="仿宋" w:cs="仿宋"/>
          <w:spacing w:val="10"/>
          <w:sz w:val="28"/>
          <w:szCs w:val="28"/>
        </w:rPr>
        <w:t>月</w:t>
      </w:r>
      <w:r>
        <w:rPr>
          <w:rFonts w:hint="eastAsia" w:ascii="仿宋" w:hAnsi="仿宋" w:eastAsia="仿宋" w:cs="仿宋"/>
          <w:spacing w:val="10"/>
          <w:sz w:val="28"/>
          <w:szCs w:val="28"/>
          <w:lang w:val="en-US" w:eastAsia="zh-CN"/>
        </w:rPr>
        <w:t>1</w:t>
      </w:r>
      <w:r>
        <w:rPr>
          <w:rFonts w:hint="eastAsia" w:ascii="仿宋" w:hAnsi="仿宋" w:eastAsia="仿宋" w:cs="仿宋"/>
          <w:spacing w:val="10"/>
          <w:sz w:val="28"/>
          <w:szCs w:val="28"/>
        </w:rPr>
        <w:t>日10:00时－2022年12月</w:t>
      </w:r>
      <w:r>
        <w:rPr>
          <w:rFonts w:hint="eastAsia" w:ascii="仿宋" w:hAnsi="仿宋" w:eastAsia="仿宋" w:cs="仿宋"/>
          <w:spacing w:val="10"/>
          <w:sz w:val="28"/>
          <w:szCs w:val="28"/>
          <w:lang w:val="en-US" w:eastAsia="zh-CN"/>
        </w:rPr>
        <w:t>13</w:t>
      </w:r>
      <w:r>
        <w:rPr>
          <w:rFonts w:hint="eastAsia" w:ascii="仿宋" w:hAnsi="仿宋" w:eastAsia="仿宋" w:cs="仿宋"/>
          <w:spacing w:val="10"/>
          <w:sz w:val="28"/>
          <w:szCs w:val="28"/>
        </w:rPr>
        <w:t>日1</w:t>
      </w:r>
      <w:r>
        <w:rPr>
          <w:rFonts w:hint="eastAsia" w:ascii="仿宋" w:hAnsi="仿宋" w:eastAsia="仿宋" w:cs="仿宋"/>
          <w:spacing w:val="10"/>
          <w:sz w:val="28"/>
          <w:szCs w:val="28"/>
          <w:lang w:val="en-US" w:eastAsia="zh-CN"/>
        </w:rPr>
        <w:t>6</w:t>
      </w:r>
      <w:r>
        <w:rPr>
          <w:rFonts w:hint="eastAsia" w:ascii="仿宋" w:hAnsi="仿宋" w:eastAsia="仿宋" w:cs="仿宋"/>
          <w:spacing w:val="10"/>
          <w:sz w:val="28"/>
          <w:szCs w:val="28"/>
        </w:rPr>
        <w:t>:</w:t>
      </w:r>
      <w:r>
        <w:rPr>
          <w:rFonts w:hint="eastAsia" w:ascii="仿宋" w:hAnsi="仿宋" w:eastAsia="仿宋" w:cs="仿宋"/>
          <w:spacing w:val="10"/>
          <w:sz w:val="28"/>
          <w:szCs w:val="28"/>
          <w:lang w:val="en-US" w:eastAsia="zh-CN"/>
        </w:rPr>
        <w:t>3</w:t>
      </w:r>
      <w:r>
        <w:rPr>
          <w:rFonts w:hint="eastAsia" w:ascii="仿宋" w:hAnsi="仿宋" w:eastAsia="仿宋" w:cs="仿宋"/>
          <w:spacing w:val="10"/>
          <w:sz w:val="28"/>
          <w:szCs w:val="28"/>
        </w:rPr>
        <w:t>0时）</w:t>
      </w:r>
    </w:p>
    <w:p>
      <w:pPr>
        <w:numPr>
          <w:ilvl w:val="0"/>
          <w:numId w:val="3"/>
        </w:numPr>
        <w:ind w:left="70" w:leftChars="0" w:firstLine="560" w:firstLineChars="0"/>
        <w:rPr>
          <w:rFonts w:ascii="仿宋" w:hAnsi="仿宋" w:eastAsia="仿宋" w:cs="仿宋"/>
          <w:spacing w:val="10"/>
          <w:sz w:val="28"/>
          <w:szCs w:val="28"/>
        </w:rPr>
      </w:pPr>
      <w:r>
        <w:rPr>
          <w:rFonts w:hint="eastAsia" w:ascii="仿宋" w:hAnsi="仿宋" w:eastAsia="仿宋"/>
          <w:sz w:val="28"/>
          <w:szCs w:val="28"/>
          <w:lang w:val="zh-CN"/>
        </w:rPr>
        <w:t>领取</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磋商文件时须提交以下加盖公章的彩色扫描件</w:t>
      </w:r>
      <w:r>
        <w:rPr>
          <w:rFonts w:hint="eastAsia" w:ascii="仿宋" w:hAnsi="仿宋" w:eastAsia="仿宋"/>
          <w:sz w:val="28"/>
          <w:szCs w:val="28"/>
          <w:lang w:val="en-US" w:eastAsia="zh-CN"/>
        </w:rPr>
        <w:t>（线下、线上均可获取）</w:t>
      </w:r>
      <w:r>
        <w:rPr>
          <w:rFonts w:hint="eastAsia" w:ascii="仿宋" w:hAnsi="仿宋" w:eastAsia="仿宋"/>
          <w:sz w:val="28"/>
          <w:szCs w:val="28"/>
        </w:rPr>
        <w:t>：</w:t>
      </w:r>
      <w:r>
        <w:rPr>
          <w:rFonts w:hint="eastAsia" w:ascii="仿宋" w:hAnsi="仿宋" w:eastAsia="仿宋" w:cs="仿宋"/>
          <w:spacing w:val="10"/>
          <w:sz w:val="28"/>
          <w:szCs w:val="28"/>
        </w:rPr>
        <w:t>法定代表人需提供法定代表人身份证明书及身份证或委托代理人需提供法人代表授权委托书及本人身份证</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开户行许可证、有效的营业执照、具有依法缴纳税收及社会保障资金证明，提供2021年1月1日以来任意一个月的缴纳税收及社保证明、具有良好的商业信誉和健全的财务会计制度（提供2021年度财务审计报告或基本开户银行出具的资信证明，不足年份以成立之日起计，提供相关财务报表）、供应商没有处于被责令停业、财产被接管、冻结、破产的状态，提供参加本次采购活动前三年内，在经营活动中无重大违法记录声明函、供应商没有被列入失信被执行人、重大税收违法案件当事人名单，须提供规范的信用报告，信用报告应通过“信用中国”网站(www.creditchina.gov.cn)下载，中国政府采购网(www.ccgp.gov.cn)查询政府采购严重违法失信行为记录名单（提供磋商公告发布之后的网站查询结果截图并加盖公章）、提供无行贿犯罪记录承诺函（承诺对象包括：投标企业、法定代表人），并对真实性负责，若承诺不实，造成的后果由供应商自行负责。若联合体投标：</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联合体</w:t>
      </w:r>
      <w:r>
        <w:rPr>
          <w:rFonts w:hint="eastAsia" w:ascii="仿宋" w:hAnsi="仿宋" w:eastAsia="仿宋" w:cs="仿宋"/>
          <w:kern w:val="0"/>
          <w:sz w:val="28"/>
          <w:szCs w:val="28"/>
        </w:rPr>
        <w:t>各成员均应具备磋商文件要求的相应资质、</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提供</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联</w:t>
      </w:r>
      <w:r>
        <w:rPr>
          <w:rFonts w:hint="eastAsia" w:ascii="仿宋" w:hAnsi="仿宋" w:eastAsia="仿宋" w:cs="仿宋"/>
          <w:kern w:val="0"/>
          <w:sz w:val="28"/>
          <w:szCs w:val="28"/>
        </w:rPr>
        <w:t>合体协议书，加盖各成员单位公章，联合体各成员单位间必须签订联合体协议，协议中必须明确联合体牵头人。（在投标时提交联合体协议并注明牵头人及各方拟承担的工作和责任，联合体各方应当共同与招标单位签订服务合同，就服务项目承担连带责任。）</w:t>
      </w:r>
    </w:p>
    <w:p>
      <w:r>
        <w:rPr>
          <w:rFonts w:hint="eastAsia" w:ascii="仿宋" w:hAnsi="仿宋" w:eastAsia="仿宋"/>
          <w:b/>
          <w:bCs/>
          <w:color w:val="0D0D0D" w:themeColor="text1" w:themeTint="F2"/>
          <w:sz w:val="28"/>
          <w:szCs w:val="28"/>
          <w14:textFill>
            <w14:solidFill>
              <w14:schemeClr w14:val="tx1">
                <w14:lumMod w14:val="95000"/>
                <w14:lumOff w14:val="5000"/>
              </w14:schemeClr>
            </w14:solidFill>
          </w14:textFill>
        </w:rPr>
        <w:t>注：以上所有资料需提供加盖供应商单位公章的PDF格式扫描件，供应商将所有审查资料扫描件整合在一个PDF文档里并发至代理公司指定邮箱：904888449@qq.com，需在QQ邮箱注明：项目名称、供应商名称、联系人及电话，以便查对核实</w:t>
      </w:r>
      <w:r>
        <w:rPr>
          <w:rFonts w:hint="eastAsia" w:ascii="仿宋" w:hAnsi="仿宋" w:eastAsia="仿宋"/>
          <w:color w:val="0D0D0D" w:themeColor="text1" w:themeTint="F2"/>
          <w:sz w:val="28"/>
          <w:szCs w:val="28"/>
          <w14:textFill>
            <w14:solidFill>
              <w14:schemeClr w14:val="tx1">
                <w14:lumMod w14:val="95000"/>
                <w14:lumOff w14:val="5000"/>
              </w14:schemeClr>
            </w14:solidFill>
          </w14:textFill>
        </w:rPr>
        <w:t>。若资料不齐全或不合格则不予受理，经审查合格后方可获取文件。未向采购代理机构购买磋商文件的潜在供应商均无资格参加投标响应。 领取磋商文件时的资料查验不代表资格审查的最终通过或合格，供应商最终资格的确认以开标现场查验结果为准。</w:t>
      </w:r>
    </w:p>
    <w:p>
      <w:pPr>
        <w:pStyle w:val="25"/>
        <w:numPr>
          <w:ilvl w:val="0"/>
          <w:numId w:val="4"/>
        </w:numPr>
        <w:spacing w:line="500" w:lineRule="exact"/>
        <w:ind w:leftChars="0" w:firstLineChars="0"/>
        <w:rPr>
          <w:rFonts w:ascii="仿宋" w:hAnsi="仿宋" w:eastAsia="仿宋" w:cs="仿宋"/>
          <w:spacing w:val="10"/>
          <w:sz w:val="28"/>
          <w:szCs w:val="28"/>
        </w:rPr>
      </w:pPr>
      <w:r>
        <w:rPr>
          <w:rFonts w:hint="eastAsia" w:ascii="仿宋" w:hAnsi="仿宋" w:eastAsia="仿宋" w:cs="仿宋"/>
          <w:spacing w:val="10"/>
          <w:sz w:val="28"/>
          <w:szCs w:val="28"/>
        </w:rPr>
        <w:t>发布公告的媒介：新疆政府采购网。</w:t>
      </w:r>
    </w:p>
    <w:p>
      <w:pPr>
        <w:pStyle w:val="5"/>
        <w:spacing w:line="480" w:lineRule="exact"/>
        <w:jc w:val="both"/>
        <w:rPr>
          <w:rFonts w:ascii="仿宋" w:hAnsi="仿宋" w:eastAsia="仿宋" w:cs="仿宋"/>
          <w:b w:val="0"/>
          <w:sz w:val="28"/>
          <w:szCs w:val="28"/>
        </w:rPr>
      </w:pPr>
      <w:bookmarkStart w:id="33" w:name="_Toc35393627"/>
      <w:bookmarkStart w:id="34" w:name="_Toc28359008"/>
      <w:bookmarkStart w:id="35" w:name="_Toc28359085"/>
      <w:bookmarkStart w:id="36" w:name="_Toc35393796"/>
      <w:r>
        <w:rPr>
          <w:rFonts w:hint="eastAsia" w:ascii="仿宋" w:hAnsi="仿宋" w:eastAsia="仿宋" w:cs="仿宋"/>
          <w:bCs w:val="0"/>
          <w:sz w:val="28"/>
          <w:szCs w:val="28"/>
        </w:rPr>
        <w:t>八、对本次招标提出询问，请按以下方式联系。</w:t>
      </w:r>
      <w:bookmarkEnd w:id="33"/>
      <w:bookmarkEnd w:id="34"/>
      <w:bookmarkEnd w:id="35"/>
      <w:bookmarkEnd w:id="36"/>
    </w:p>
    <w:p>
      <w:pPr>
        <w:widowControl/>
        <w:spacing w:line="480" w:lineRule="exact"/>
        <w:jc w:val="left"/>
        <w:rPr>
          <w:rFonts w:ascii="仿宋" w:hAnsi="仿宋" w:eastAsia="仿宋" w:cs="仿宋"/>
          <w:sz w:val="28"/>
          <w:szCs w:val="28"/>
        </w:rPr>
      </w:pPr>
      <w:r>
        <w:rPr>
          <w:rFonts w:hint="eastAsia" w:ascii="仿宋" w:hAnsi="仿宋" w:eastAsia="仿宋" w:cs="仿宋"/>
          <w:sz w:val="28"/>
          <w:szCs w:val="28"/>
        </w:rPr>
        <w:t>　　　1.采购人信息</w:t>
      </w:r>
    </w:p>
    <w:p>
      <w:pPr>
        <w:spacing w:line="480" w:lineRule="exact"/>
        <w:ind w:left="1129" w:leftChars="371" w:hanging="350" w:hangingChars="125"/>
        <w:jc w:val="left"/>
        <w:rPr>
          <w:rFonts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名 称：</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昌吉州生态环境局 </w:t>
      </w:r>
    </w:p>
    <w:p>
      <w:pPr>
        <w:spacing w:line="480" w:lineRule="exact"/>
        <w:ind w:left="1129" w:leftChars="371" w:hanging="350" w:hangingChars="125"/>
        <w:jc w:val="left"/>
        <w:rPr>
          <w:rFonts w:ascii="仿宋" w:hAnsi="仿宋" w:eastAsia="仿宋" w:cs="仿宋"/>
          <w:color w:val="0D0D0D" w:themeColor="text1" w:themeTint="F2"/>
          <w:sz w:val="28"/>
          <w:szCs w:val="28"/>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丁菲</w:t>
      </w:r>
      <w:r>
        <w:rPr>
          <w:rFonts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p>
    <w:p>
      <w:pPr>
        <w:spacing w:line="480" w:lineRule="exact"/>
        <w:ind w:left="1129" w:leftChars="371" w:hanging="350" w:hangingChars="125"/>
        <w:jc w:val="left"/>
        <w:rPr>
          <w:rFonts w:ascii="仿宋" w:hAnsi="仿宋" w:eastAsia="仿宋" w:cs="仿宋"/>
          <w:color w:val="0D0D0D" w:themeColor="text1" w:themeTint="F2"/>
          <w:sz w:val="28"/>
          <w:szCs w:val="28"/>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联系方式：</w:t>
      </w:r>
      <w:bookmarkStart w:id="37" w:name="_Toc28359009"/>
      <w:bookmarkStart w:id="38" w:name="_Toc28359086"/>
      <w:r>
        <w:rPr>
          <w:rFonts w:hint="eastAsia" w:ascii="仿宋" w:hAnsi="仿宋" w:eastAsia="仿宋" w:cs="仿宋"/>
          <w:color w:val="0D0D0D" w:themeColor="text1" w:themeTint="F2"/>
          <w:sz w:val="28"/>
          <w:szCs w:val="28"/>
          <w:u w:val="single"/>
          <w14:textFill>
            <w14:solidFill>
              <w14:schemeClr w14:val="tx1">
                <w14:lumMod w14:val="95000"/>
                <w14:lumOff w14:val="5000"/>
              </w14:schemeClr>
            </w14:solidFill>
          </w14:textFill>
        </w:rPr>
        <w:t xml:space="preserve"> </w:t>
      </w:r>
      <w:r>
        <w:rPr>
          <w:rFonts w:ascii="仿宋" w:hAnsi="仿宋" w:eastAsia="仿宋" w:cs="仿宋"/>
          <w:color w:val="0D0D0D" w:themeColor="text1" w:themeTint="F2"/>
          <w:sz w:val="28"/>
          <w:szCs w:val="28"/>
          <w:u w:val="single"/>
          <w14:textFill>
            <w14:solidFill>
              <w14:schemeClr w14:val="tx1">
                <w14:lumMod w14:val="95000"/>
                <w14:lumOff w14:val="5000"/>
              </w14:schemeClr>
            </w14:solidFill>
          </w14:textFill>
        </w:rPr>
        <w:t>13565618961</w:t>
      </w:r>
    </w:p>
    <w:p>
      <w:pPr>
        <w:spacing w:line="480" w:lineRule="exact"/>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bookmarkEnd w:id="37"/>
      <w:bookmarkEnd w:id="38"/>
    </w:p>
    <w:p>
      <w:pPr>
        <w:ind w:left="735" w:leftChars="350"/>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pacing w:val="10"/>
          <w:sz w:val="28"/>
          <w:szCs w:val="28"/>
          <w:u w:val="single"/>
        </w:rPr>
        <w:t>新疆国恩工程管理有限公司</w:t>
      </w:r>
      <w:r>
        <w:rPr>
          <w:rFonts w:hint="eastAsia" w:ascii="仿宋" w:hAnsi="仿宋" w:eastAsia="仿宋" w:cs="仿宋"/>
          <w:sz w:val="28"/>
          <w:szCs w:val="28"/>
          <w:u w:val="single"/>
        </w:rPr>
        <w:t>　</w:t>
      </w:r>
    </w:p>
    <w:p>
      <w:pPr>
        <w:ind w:left="735" w:leftChars="350"/>
        <w:rPr>
          <w:rFonts w:ascii="仿宋" w:hAnsi="仿宋" w:eastAsia="仿宋" w:cs="仿宋"/>
          <w:spacing w:val="10"/>
          <w:sz w:val="28"/>
          <w:szCs w:val="28"/>
          <w:u w:val="single"/>
        </w:rPr>
      </w:pPr>
      <w:r>
        <w:rPr>
          <w:rFonts w:hint="eastAsia" w:ascii="仿宋" w:hAnsi="仿宋" w:eastAsia="仿宋" w:cs="仿宋"/>
          <w:sz w:val="28"/>
          <w:szCs w:val="28"/>
        </w:rPr>
        <w:t>地　址：</w:t>
      </w:r>
      <w:r>
        <w:rPr>
          <w:rFonts w:hint="eastAsia" w:ascii="仿宋" w:hAnsi="仿宋" w:eastAsia="仿宋" w:cs="仿宋"/>
          <w:spacing w:val="10"/>
          <w:sz w:val="28"/>
          <w:szCs w:val="28"/>
          <w:u w:val="single"/>
        </w:rPr>
        <w:t xml:space="preserve"> 昌吉州昌吉市青年南路73#小区青年壹号大厦1幢A 座13层</w:t>
      </w:r>
    </w:p>
    <w:p>
      <w:pPr>
        <w:ind w:left="735" w:leftChars="350"/>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hint="eastAsia" w:ascii="仿宋" w:hAnsi="仿宋" w:eastAsia="仿宋" w:cs="仿宋"/>
          <w:color w:val="000000"/>
          <w:sz w:val="28"/>
          <w:szCs w:val="28"/>
          <w:u w:val="single"/>
        </w:rPr>
        <w:t>　</w:t>
      </w:r>
      <w:r>
        <w:rPr>
          <w:rFonts w:hint="eastAsia" w:ascii="仿宋" w:hAnsi="仿宋" w:eastAsia="仿宋" w:cs="仿宋"/>
          <w:color w:val="000000"/>
          <w:spacing w:val="10"/>
          <w:sz w:val="28"/>
          <w:szCs w:val="28"/>
          <w:u w:val="single"/>
        </w:rPr>
        <w:t>季婷</w:t>
      </w:r>
      <w:r>
        <w:rPr>
          <w:rFonts w:hint="eastAsia" w:ascii="仿宋" w:hAnsi="仿宋" w:eastAsia="仿宋" w:cs="仿宋"/>
          <w:color w:val="000000"/>
          <w:sz w:val="28"/>
          <w:szCs w:val="28"/>
          <w:u w:val="single"/>
        </w:rPr>
        <w:t xml:space="preserve">　      </w:t>
      </w:r>
    </w:p>
    <w:p>
      <w:pPr>
        <w:ind w:left="735" w:leftChars="350"/>
        <w:rPr>
          <w:rFonts w:ascii="仿宋" w:hAnsi="仿宋" w:eastAsia="仿宋" w:cs="仿宋"/>
          <w:color w:val="000000"/>
          <w:sz w:val="28"/>
          <w:szCs w:val="28"/>
        </w:rPr>
      </w:pPr>
      <w:r>
        <w:rPr>
          <w:rFonts w:hint="eastAsia" w:ascii="仿宋" w:hAnsi="仿宋" w:eastAsia="仿宋" w:cs="仿宋"/>
          <w:color w:val="000000"/>
          <w:sz w:val="28"/>
          <w:szCs w:val="28"/>
        </w:rPr>
        <w:t>联系方式</w:t>
      </w:r>
      <w:r>
        <w:rPr>
          <w:rFonts w:hint="eastAsia" w:ascii="仿宋" w:hAnsi="仿宋" w:eastAsia="仿宋" w:cs="仿宋"/>
          <w:color w:val="000000"/>
          <w:sz w:val="28"/>
          <w:szCs w:val="28"/>
          <w:u w:val="single"/>
        </w:rPr>
        <w:t>：</w:t>
      </w:r>
      <w:r>
        <w:rPr>
          <w:rFonts w:ascii="仿宋" w:hAnsi="仿宋" w:eastAsia="仿宋" w:cs="仿宋"/>
          <w:color w:val="000000"/>
          <w:sz w:val="28"/>
          <w:szCs w:val="28"/>
          <w:u w:val="single"/>
        </w:rPr>
        <w:t xml:space="preserve">0994-2707555转8002    </w:t>
      </w:r>
      <w:r>
        <w:rPr>
          <w:rFonts w:hint="eastAsia" w:ascii="仿宋" w:hAnsi="仿宋" w:eastAsia="仿宋" w:cs="仿宋"/>
          <w:color w:val="000000"/>
          <w:sz w:val="28"/>
          <w:szCs w:val="28"/>
          <w:u w:val="single"/>
        </w:rPr>
        <w:t>18963833316</w:t>
      </w:r>
    </w:p>
    <w:p>
      <w:pPr>
        <w:spacing w:line="480" w:lineRule="exact"/>
        <w:rPr>
          <w:rFonts w:ascii="仿宋" w:hAnsi="仿宋" w:eastAsia="仿宋" w:cs="仿宋"/>
          <w:color w:val="FF0000"/>
          <w:sz w:val="28"/>
          <w:szCs w:val="28"/>
        </w:rPr>
      </w:pPr>
      <w:r>
        <w:rPr>
          <w:rFonts w:hint="eastAsia" w:ascii="仿宋" w:hAnsi="仿宋" w:eastAsia="仿宋" w:cs="仿宋"/>
          <w:sz w:val="28"/>
          <w:szCs w:val="28"/>
        </w:rPr>
        <w:t xml:space="preserve">                                           2022年11月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p>
    <w:p>
      <w:pPr>
        <w:jc w:val="center"/>
        <w:outlineLvl w:val="0"/>
        <w:rPr>
          <w:rFonts w:ascii="仿宋" w:hAnsi="仿宋" w:eastAsia="仿宋" w:cs="仿宋"/>
          <w:sz w:val="28"/>
          <w:szCs w:val="28"/>
        </w:rPr>
      </w:pPr>
      <w:r>
        <w:rPr>
          <w:rFonts w:hint="eastAsia" w:ascii="仿宋" w:hAnsi="仿宋" w:eastAsia="仿宋" w:cs="仿宋"/>
          <w:sz w:val="28"/>
          <w:szCs w:val="28"/>
        </w:rPr>
        <w:t xml:space="preserve">    </w:t>
      </w:r>
    </w:p>
    <w:p>
      <w:pPr>
        <w:jc w:val="center"/>
        <w:outlineLvl w:val="0"/>
        <w:rPr>
          <w:rFonts w:ascii="仿宋" w:hAnsi="仿宋" w:eastAsia="仿宋" w:cs="仿宋"/>
          <w:sz w:val="28"/>
          <w:szCs w:val="28"/>
        </w:rPr>
      </w:pPr>
    </w:p>
    <w:p>
      <w:pPr>
        <w:jc w:val="center"/>
        <w:outlineLvl w:val="0"/>
        <w:rPr>
          <w:rFonts w:ascii="仿宋" w:hAnsi="仿宋" w:eastAsia="仿宋" w:cs="仿宋"/>
          <w:sz w:val="28"/>
          <w:szCs w:val="28"/>
        </w:rPr>
      </w:pPr>
    </w:p>
    <w:p>
      <w:pPr>
        <w:pStyle w:val="2"/>
      </w:pPr>
    </w:p>
    <w:p>
      <w:pPr>
        <w:outlineLvl w:val="0"/>
        <w:rPr>
          <w:rFonts w:ascii="仿宋" w:hAnsi="仿宋" w:eastAsia="仿宋" w:cs="仿宋"/>
          <w:sz w:val="28"/>
          <w:szCs w:val="28"/>
        </w:rPr>
      </w:pPr>
    </w:p>
    <w:p>
      <w:pPr>
        <w:pStyle w:val="3"/>
      </w:pPr>
    </w:p>
    <w:p>
      <w:pPr>
        <w:pStyle w:val="2"/>
      </w:pPr>
    </w:p>
    <w:p>
      <w:pPr>
        <w:pStyle w:val="3"/>
      </w:pPr>
    </w:p>
    <w:p>
      <w:pPr>
        <w:pStyle w:val="2"/>
      </w:pPr>
    </w:p>
    <w:p>
      <w:pPr>
        <w:pStyle w:val="3"/>
        <w:rPr>
          <w:rFonts w:hint="eastAsia"/>
        </w:rPr>
      </w:pPr>
    </w:p>
    <w:p>
      <w:pPr>
        <w:pStyle w:val="2"/>
        <w:rPr>
          <w:rFonts w:hint="eastAsia"/>
        </w:rPr>
      </w:pPr>
    </w:p>
    <w:p>
      <w:pPr>
        <w:pStyle w:val="3"/>
        <w:rPr>
          <w:rFonts w:hint="eastAsia"/>
        </w:rPr>
      </w:pPr>
    </w:p>
    <w:p>
      <w:pPr>
        <w:pStyle w:val="2"/>
      </w:pPr>
    </w:p>
    <w:p>
      <w:pPr>
        <w:pStyle w:val="3"/>
      </w:pPr>
    </w:p>
    <w:p>
      <w:pPr>
        <w:pStyle w:val="2"/>
      </w:pPr>
    </w:p>
    <w:p>
      <w:pPr>
        <w:jc w:val="center"/>
        <w:outlineLvl w:val="0"/>
        <w:rPr>
          <w:b/>
          <w:sz w:val="32"/>
          <w:szCs w:val="32"/>
        </w:rPr>
      </w:pPr>
      <w:r>
        <w:rPr>
          <w:rFonts w:hint="eastAsia"/>
          <w:b/>
          <w:sz w:val="32"/>
          <w:szCs w:val="32"/>
        </w:rPr>
        <w:t>第二章  供应商须知</w:t>
      </w:r>
      <w:bookmarkEnd w:id="4"/>
      <w:bookmarkEnd w:id="5"/>
      <w:bookmarkEnd w:id="6"/>
    </w:p>
    <w:p>
      <w:pPr>
        <w:pStyle w:val="15"/>
        <w:wordWrap/>
        <w:topLinePunct w:val="0"/>
        <w:spacing w:before="240" w:beforeLines="100" w:after="240" w:afterLines="100" w:line="360" w:lineRule="auto"/>
        <w:jc w:val="center"/>
        <w:outlineLvl w:val="1"/>
        <w:rPr>
          <w:rFonts w:hAnsi="宋体"/>
          <w:b/>
          <w:bCs/>
          <w:sz w:val="32"/>
          <w:szCs w:val="32"/>
        </w:rPr>
      </w:pPr>
      <w:bookmarkStart w:id="39" w:name="_Toc72694685"/>
      <w:r>
        <w:rPr>
          <w:rFonts w:hint="eastAsia" w:hAnsi="宋体"/>
          <w:b/>
          <w:bCs/>
          <w:sz w:val="32"/>
          <w:szCs w:val="32"/>
        </w:rPr>
        <w:t>供应商须知前附表</w:t>
      </w:r>
      <w:bookmarkEnd w:id="39"/>
    </w:p>
    <w:tbl>
      <w:tblPr>
        <w:tblStyle w:val="26"/>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62"/>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rPr>
                <w:b/>
                <w:bCs/>
              </w:rPr>
            </w:pPr>
            <w:r>
              <w:rPr>
                <w:rFonts w:hint="eastAsia"/>
                <w:b/>
                <w:bCs/>
              </w:rPr>
              <w:t>序号</w:t>
            </w:r>
          </w:p>
        </w:tc>
        <w:tc>
          <w:tcPr>
            <w:tcW w:w="2662" w:type="dxa"/>
            <w:noWrap/>
            <w:vAlign w:val="center"/>
          </w:tcPr>
          <w:p>
            <w:pPr>
              <w:wordWrap/>
              <w:topLinePunct w:val="0"/>
              <w:spacing w:line="360" w:lineRule="auto"/>
              <w:jc w:val="center"/>
              <w:rPr>
                <w:b/>
                <w:bCs/>
              </w:rPr>
            </w:pPr>
            <w:r>
              <w:rPr>
                <w:rFonts w:hint="eastAsia"/>
                <w:b/>
                <w:bCs/>
              </w:rPr>
              <w:t>条款名称</w:t>
            </w:r>
          </w:p>
        </w:tc>
        <w:tc>
          <w:tcPr>
            <w:tcW w:w="6353" w:type="dxa"/>
            <w:noWrap/>
            <w:vAlign w:val="center"/>
          </w:tcPr>
          <w:p>
            <w:pPr>
              <w:wordWrap/>
              <w:topLinePunct w:val="0"/>
              <w:spacing w:line="360" w:lineRule="auto"/>
              <w:jc w:val="center"/>
              <w:rPr>
                <w:b/>
                <w:bCs/>
              </w:rPr>
            </w:pPr>
            <w:r>
              <w:rPr>
                <w:rFonts w:hint="eastAsia"/>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autoSpaceDE w:val="0"/>
              <w:autoSpaceDN w:val="0"/>
              <w:adjustRightInd w:val="0"/>
              <w:spacing w:line="360" w:lineRule="auto"/>
              <w:jc w:val="center"/>
              <w:rPr>
                <w:rFonts w:cs="黑体"/>
                <w:kern w:val="0"/>
              </w:rPr>
            </w:pPr>
            <w:r>
              <w:rPr>
                <w:rFonts w:hint="eastAsia" w:cs="TimesNewRomanPSMT"/>
                <w:kern w:val="0"/>
              </w:rPr>
              <w:t>1</w:t>
            </w:r>
          </w:p>
        </w:tc>
        <w:tc>
          <w:tcPr>
            <w:tcW w:w="2662" w:type="dxa"/>
            <w:noWrap/>
            <w:vAlign w:val="center"/>
          </w:tcPr>
          <w:p>
            <w:pPr>
              <w:wordWrap/>
              <w:autoSpaceDE w:val="0"/>
              <w:autoSpaceDN w:val="0"/>
              <w:adjustRightInd w:val="0"/>
              <w:spacing w:line="360" w:lineRule="auto"/>
              <w:jc w:val="center"/>
              <w:rPr>
                <w:rFonts w:cs="黑体"/>
                <w:kern w:val="0"/>
              </w:rPr>
            </w:pPr>
            <w:r>
              <w:rPr>
                <w:rFonts w:hint="eastAsia" w:cs="仿宋_GB2312"/>
                <w:kern w:val="0"/>
              </w:rPr>
              <w:t>采购人</w:t>
            </w:r>
          </w:p>
        </w:tc>
        <w:tc>
          <w:tcPr>
            <w:tcW w:w="6353" w:type="dxa"/>
            <w:noWrap/>
            <w:vAlign w:val="center"/>
          </w:tcPr>
          <w:p>
            <w:pPr>
              <w:wordWrap/>
              <w:autoSpaceDE w:val="0"/>
              <w:autoSpaceDN w:val="0"/>
              <w:adjustRightInd w:val="0"/>
              <w:spacing w:line="360" w:lineRule="auto"/>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采购人：昌吉州生态环境局</w:t>
            </w:r>
          </w:p>
          <w:p>
            <w:pPr>
              <w:wordWrap/>
              <w:autoSpaceDE w:val="0"/>
              <w:autoSpaceDN w:val="0"/>
              <w:adjustRightInd w:val="0"/>
              <w:spacing w:line="360" w:lineRule="auto"/>
              <w:jc w:val="left"/>
            </w:pPr>
            <w:r>
              <w:rPr>
                <w:rFonts w:hint="eastAsia"/>
              </w:rPr>
              <w:t>地址：昌吉市健康西路505号</w:t>
            </w:r>
          </w:p>
          <w:p>
            <w:pPr>
              <w:wordWrap/>
              <w:autoSpaceDE w:val="0"/>
              <w:autoSpaceDN w:val="0"/>
              <w:adjustRightInd w:val="0"/>
              <w:spacing w:line="360" w:lineRule="auto"/>
              <w:jc w:val="left"/>
            </w:pPr>
            <w:r>
              <w:rPr>
                <w:rFonts w:hint="eastAsia"/>
              </w:rPr>
              <w:t>联系人：丁菲</w:t>
            </w:r>
            <w:r>
              <w:t xml:space="preserve"> </w:t>
            </w:r>
            <w:r>
              <w:rPr>
                <w:rFonts w:hint="eastAsia"/>
              </w:rPr>
              <w:t xml:space="preserve"> </w:t>
            </w:r>
          </w:p>
          <w:p>
            <w:pPr>
              <w:wordWrap/>
              <w:autoSpaceDE w:val="0"/>
              <w:autoSpaceDN w:val="0"/>
              <w:adjustRightInd w:val="0"/>
              <w:spacing w:line="360" w:lineRule="auto"/>
              <w:jc w:val="left"/>
              <w:rPr>
                <w:color w:val="FF0000"/>
              </w:rPr>
            </w:pPr>
            <w:r>
              <w:rPr>
                <w:rFonts w:hint="eastAsia"/>
              </w:rPr>
              <w:t>联系电话：</w:t>
            </w:r>
            <w:r>
              <w:t xml:space="preserve">13565618961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autoSpaceDE w:val="0"/>
              <w:autoSpaceDN w:val="0"/>
              <w:adjustRightInd w:val="0"/>
              <w:spacing w:line="360" w:lineRule="auto"/>
              <w:jc w:val="center"/>
              <w:rPr>
                <w:rFonts w:cs="TimesNewRomanPSMT"/>
                <w:kern w:val="0"/>
              </w:rPr>
            </w:pPr>
            <w:r>
              <w:rPr>
                <w:rFonts w:hint="eastAsia" w:cs="黑体"/>
                <w:kern w:val="0"/>
              </w:rPr>
              <w:t>2</w:t>
            </w:r>
          </w:p>
        </w:tc>
        <w:tc>
          <w:tcPr>
            <w:tcW w:w="2662" w:type="dxa"/>
            <w:noWrap/>
            <w:vAlign w:val="center"/>
          </w:tcPr>
          <w:p>
            <w:pPr>
              <w:wordWrap/>
              <w:autoSpaceDE w:val="0"/>
              <w:autoSpaceDN w:val="0"/>
              <w:adjustRightInd w:val="0"/>
              <w:spacing w:line="360" w:lineRule="auto"/>
              <w:jc w:val="center"/>
              <w:rPr>
                <w:rFonts w:cs="仿宋_GB2312"/>
                <w:kern w:val="0"/>
              </w:rPr>
            </w:pPr>
            <w:r>
              <w:rPr>
                <w:rFonts w:hint="eastAsia" w:cs="仿宋_GB2312"/>
                <w:kern w:val="0"/>
              </w:rPr>
              <w:t>采购代理机构</w:t>
            </w:r>
          </w:p>
        </w:tc>
        <w:tc>
          <w:tcPr>
            <w:tcW w:w="6353" w:type="dxa"/>
            <w:noWrap/>
            <w:vAlign w:val="center"/>
          </w:tcPr>
          <w:p>
            <w:pPr>
              <w:wordWrap/>
              <w:autoSpaceDE w:val="0"/>
              <w:autoSpaceDN w:val="0"/>
              <w:adjustRightInd w:val="0"/>
              <w:spacing w:line="360" w:lineRule="auto"/>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采购代理机构：新疆国恩工程管理有限公司</w:t>
            </w:r>
          </w:p>
          <w:p>
            <w:pPr>
              <w:wordWrap/>
              <w:autoSpaceDE w:val="0"/>
              <w:autoSpaceDN w:val="0"/>
              <w:adjustRightInd w:val="0"/>
              <w:spacing w:line="360" w:lineRule="auto"/>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地址：昌吉州昌吉市青年南路73#小区青年壹号大厦1幢A 座13层</w:t>
            </w:r>
          </w:p>
          <w:p>
            <w:pPr>
              <w:wordWrap/>
              <w:autoSpaceDE w:val="0"/>
              <w:autoSpaceDN w:val="0"/>
              <w:adjustRightInd w:val="0"/>
              <w:spacing w:line="360" w:lineRule="auto"/>
              <w:jc w:val="left"/>
              <w:rPr>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联系人：季婷</w:t>
            </w:r>
          </w:p>
          <w:p>
            <w:pPr>
              <w:wordWrap/>
              <w:autoSpaceDE w:val="0"/>
              <w:autoSpaceDN w:val="0"/>
              <w:adjustRightInd w:val="0"/>
              <w:spacing w:line="360" w:lineRule="auto"/>
              <w:jc w:val="left"/>
              <w:rPr>
                <w:color w:val="FF0000"/>
              </w:rPr>
            </w:pPr>
            <w:r>
              <w:rPr>
                <w:rFonts w:hint="eastAsia"/>
                <w:color w:val="0D0D0D" w:themeColor="text1" w:themeTint="F2"/>
                <w14:textFill>
                  <w14:solidFill>
                    <w14:schemeClr w14:val="tx1">
                      <w14:lumMod w14:val="95000"/>
                      <w14:lumOff w14:val="5000"/>
                    </w14:schemeClr>
                  </w14:solidFill>
                </w14:textFill>
              </w:rPr>
              <w:t>电话：0994-2707555转8002</w:t>
            </w:r>
            <w:r>
              <w:rPr>
                <w:color w:val="0D0D0D" w:themeColor="text1" w:themeTint="F2"/>
                <w14:textFill>
                  <w14:solidFill>
                    <w14:schemeClr w14:val="tx1">
                      <w14:lumMod w14:val="95000"/>
                      <w14:lumOff w14:val="5000"/>
                    </w14:schemeClr>
                  </w14:solidFill>
                </w14:textFill>
              </w:rPr>
              <w:t xml:space="preserve">   </w:t>
            </w:r>
            <w:r>
              <w:rPr>
                <w:rFonts w:hint="eastAsia"/>
                <w:color w:val="0D0D0D" w:themeColor="text1" w:themeTint="F2"/>
                <w14:textFill>
                  <w14:solidFill>
                    <w14:schemeClr w14:val="tx1">
                      <w14:lumMod w14:val="95000"/>
                      <w14:lumOff w14:val="5000"/>
                    </w14:schemeClr>
                  </w14:solidFill>
                </w14:textFill>
              </w:rPr>
              <w:t>18963833316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8" w:type="dxa"/>
            <w:noWrap/>
            <w:vAlign w:val="center"/>
          </w:tcPr>
          <w:p>
            <w:pPr>
              <w:wordWrap/>
              <w:topLinePunct w:val="0"/>
              <w:spacing w:line="360" w:lineRule="auto"/>
              <w:jc w:val="center"/>
            </w:pPr>
            <w:r>
              <w:rPr>
                <w:rFonts w:hint="eastAsia"/>
              </w:rPr>
              <w:t>3</w:t>
            </w:r>
          </w:p>
        </w:tc>
        <w:tc>
          <w:tcPr>
            <w:tcW w:w="2662" w:type="dxa"/>
            <w:noWrap/>
            <w:vAlign w:val="center"/>
          </w:tcPr>
          <w:p>
            <w:pPr>
              <w:wordWrap/>
              <w:topLinePunct w:val="0"/>
              <w:spacing w:line="360" w:lineRule="auto"/>
              <w:jc w:val="center"/>
            </w:pPr>
            <w:r>
              <w:rPr>
                <w:rFonts w:hint="eastAsia"/>
              </w:rPr>
              <w:t>采购方式</w:t>
            </w:r>
          </w:p>
        </w:tc>
        <w:tc>
          <w:tcPr>
            <w:tcW w:w="6353" w:type="dxa"/>
            <w:noWrap/>
            <w:vAlign w:val="center"/>
          </w:tcPr>
          <w:p>
            <w:pPr>
              <w:wordWrap/>
              <w:topLinePunct w:val="0"/>
              <w:spacing w:line="360" w:lineRule="auto"/>
            </w:pPr>
            <w:r>
              <w:rPr>
                <w:rFonts w:hint="eastAsia"/>
              </w:rPr>
              <w:t xml:space="preserve">竞争性磋商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8" w:type="dxa"/>
            <w:noWrap/>
            <w:vAlign w:val="center"/>
          </w:tcPr>
          <w:p>
            <w:pPr>
              <w:wordWrap/>
              <w:topLinePunct w:val="0"/>
              <w:spacing w:line="360" w:lineRule="auto"/>
              <w:jc w:val="center"/>
            </w:pPr>
            <w:r>
              <w:rPr>
                <w:rFonts w:hint="eastAsia"/>
              </w:rPr>
              <w:t>4</w:t>
            </w:r>
          </w:p>
        </w:tc>
        <w:tc>
          <w:tcPr>
            <w:tcW w:w="2662" w:type="dxa"/>
            <w:noWrap/>
            <w:vAlign w:val="center"/>
          </w:tcPr>
          <w:p>
            <w:pPr>
              <w:wordWrap/>
              <w:topLinePunct w:val="0"/>
              <w:spacing w:line="360" w:lineRule="auto"/>
              <w:jc w:val="center"/>
            </w:pPr>
            <w:r>
              <w:rPr>
                <w:rFonts w:hint="eastAsia"/>
              </w:rPr>
              <w:t>项目名称</w:t>
            </w:r>
          </w:p>
        </w:tc>
        <w:tc>
          <w:tcPr>
            <w:tcW w:w="6353" w:type="dxa"/>
            <w:noWrap/>
            <w:vAlign w:val="center"/>
          </w:tcPr>
          <w:p>
            <w:pPr>
              <w:wordWrap/>
              <w:spacing w:line="360" w:lineRule="auto"/>
              <w:jc w:val="left"/>
              <w:rPr>
                <w:b/>
              </w:rPr>
            </w:pPr>
            <w:r>
              <w:rPr>
                <w:rFonts w:hint="eastAsia"/>
                <w:kern w:val="0"/>
                <w:shd w:val="clear" w:color="auto" w:fill="FFFFFF"/>
              </w:rPr>
              <w:t>自治州流域生态环境保护类EOD技术咨询服务项目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5</w:t>
            </w:r>
          </w:p>
        </w:tc>
        <w:tc>
          <w:tcPr>
            <w:tcW w:w="2662" w:type="dxa"/>
            <w:noWrap/>
            <w:vAlign w:val="center"/>
          </w:tcPr>
          <w:p>
            <w:pPr>
              <w:wordWrap/>
              <w:topLinePunct w:val="0"/>
              <w:spacing w:line="360" w:lineRule="auto"/>
              <w:jc w:val="center"/>
            </w:pPr>
            <w:r>
              <w:rPr>
                <w:rFonts w:hint="eastAsia"/>
              </w:rPr>
              <w:t>项目地点</w:t>
            </w:r>
          </w:p>
        </w:tc>
        <w:tc>
          <w:tcPr>
            <w:tcW w:w="6353" w:type="dxa"/>
            <w:noWrap/>
            <w:vAlign w:val="center"/>
          </w:tcPr>
          <w:p>
            <w:pPr>
              <w:wordWrap/>
              <w:topLinePunct w:val="0"/>
              <w:spacing w:line="360" w:lineRule="auto"/>
            </w:pPr>
            <w:r>
              <w:rPr>
                <w:rFonts w:hint="eastAsia"/>
                <w:shd w:val="clear" w:color="auto" w:fill="FFFFFF"/>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8" w:type="dxa"/>
            <w:noWrap/>
            <w:vAlign w:val="center"/>
          </w:tcPr>
          <w:p>
            <w:pPr>
              <w:wordWrap/>
              <w:topLinePunct w:val="0"/>
              <w:spacing w:line="360" w:lineRule="auto"/>
              <w:jc w:val="center"/>
            </w:pPr>
            <w:r>
              <w:rPr>
                <w:rFonts w:hint="eastAsia"/>
              </w:rPr>
              <w:t>6</w:t>
            </w:r>
          </w:p>
        </w:tc>
        <w:tc>
          <w:tcPr>
            <w:tcW w:w="2662" w:type="dxa"/>
            <w:noWrap/>
            <w:vAlign w:val="center"/>
          </w:tcPr>
          <w:p>
            <w:pPr>
              <w:wordWrap/>
              <w:topLinePunct w:val="0"/>
              <w:spacing w:line="360" w:lineRule="auto"/>
              <w:jc w:val="center"/>
            </w:pPr>
            <w:r>
              <w:rPr>
                <w:rFonts w:hint="eastAsia"/>
              </w:rPr>
              <w:t>资金来源</w:t>
            </w:r>
          </w:p>
        </w:tc>
        <w:tc>
          <w:tcPr>
            <w:tcW w:w="6353" w:type="dxa"/>
            <w:noWrap/>
            <w:vAlign w:val="center"/>
          </w:tcPr>
          <w:p>
            <w:pPr>
              <w:wordWrap/>
              <w:topLinePunct w:val="0"/>
              <w:spacing w:line="360" w:lineRule="auto"/>
            </w:pPr>
            <w:r>
              <w:rPr>
                <w:rFonts w:hint="eastAsia"/>
              </w:rPr>
              <w:t>财政拨付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7</w:t>
            </w:r>
          </w:p>
        </w:tc>
        <w:tc>
          <w:tcPr>
            <w:tcW w:w="2662" w:type="dxa"/>
            <w:noWrap/>
            <w:vAlign w:val="center"/>
          </w:tcPr>
          <w:p>
            <w:pPr>
              <w:wordWrap/>
              <w:topLinePunct w:val="0"/>
              <w:spacing w:line="360" w:lineRule="auto"/>
              <w:jc w:val="center"/>
            </w:pPr>
            <w:r>
              <w:rPr>
                <w:rFonts w:hint="eastAsia"/>
              </w:rPr>
              <w:t>采购预算金额</w:t>
            </w:r>
          </w:p>
        </w:tc>
        <w:tc>
          <w:tcPr>
            <w:tcW w:w="6353" w:type="dxa"/>
            <w:noWrap/>
            <w:vAlign w:val="center"/>
          </w:tcPr>
          <w:p>
            <w:pPr>
              <w:wordWrap/>
              <w:spacing w:line="360" w:lineRule="auto"/>
              <w:jc w:val="left"/>
              <w:rPr>
                <w:b/>
                <w:bCs/>
                <w:shd w:val="clear" w:color="auto" w:fill="FFFFFF"/>
              </w:rPr>
            </w:pPr>
            <w:r>
              <w:rPr>
                <w:rFonts w:hint="eastAsia"/>
                <w:b/>
                <w:bCs/>
                <w:shd w:val="clear" w:color="auto" w:fill="FFFFFF"/>
              </w:rPr>
              <w:t>招标控制价：190万元</w:t>
            </w:r>
          </w:p>
          <w:p>
            <w:pPr>
              <w:wordWrap/>
              <w:topLinePunct w:val="0"/>
              <w:spacing w:line="360" w:lineRule="auto"/>
            </w:pPr>
            <w:r>
              <w:rPr>
                <w:rFonts w:hint="eastAsia"/>
                <w:kern w:val="0"/>
                <w:shd w:val="clear" w:color="auto" w:fill="FFFFFF"/>
              </w:rPr>
              <w:t>供应商的投标报价超出采购预算价的视为无效报价，其投标按废标处理。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8</w:t>
            </w:r>
          </w:p>
        </w:tc>
        <w:tc>
          <w:tcPr>
            <w:tcW w:w="2662" w:type="dxa"/>
            <w:noWrap/>
            <w:vAlign w:val="center"/>
          </w:tcPr>
          <w:p>
            <w:pPr>
              <w:wordWrap/>
              <w:topLinePunct w:val="0"/>
              <w:spacing w:line="360" w:lineRule="auto"/>
              <w:jc w:val="center"/>
            </w:pPr>
            <w:r>
              <w:rPr>
                <w:rFonts w:hint="eastAsia"/>
              </w:rPr>
              <w:t>采购项目性质</w:t>
            </w:r>
          </w:p>
        </w:tc>
        <w:tc>
          <w:tcPr>
            <w:tcW w:w="6353" w:type="dxa"/>
            <w:noWrap/>
            <w:vAlign w:val="center"/>
          </w:tcPr>
          <w:p>
            <w:pPr>
              <w:wordWrap/>
              <w:topLinePunct w:val="0"/>
              <w:spacing w:line="360" w:lineRule="auto"/>
            </w:pPr>
            <w:r>
              <w:rPr>
                <w:rFonts w:hint="eastAsia"/>
              </w:rPr>
              <w:t>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9</w:t>
            </w:r>
          </w:p>
        </w:tc>
        <w:tc>
          <w:tcPr>
            <w:tcW w:w="2662" w:type="dxa"/>
            <w:noWrap/>
            <w:vAlign w:val="center"/>
          </w:tcPr>
          <w:p>
            <w:pPr>
              <w:wordWrap/>
              <w:topLinePunct w:val="0"/>
              <w:spacing w:line="360" w:lineRule="auto"/>
              <w:jc w:val="center"/>
            </w:pPr>
            <w:r>
              <w:rPr>
                <w:rFonts w:hint="eastAsia"/>
              </w:rPr>
              <w:t>资金落实情况</w:t>
            </w:r>
          </w:p>
        </w:tc>
        <w:tc>
          <w:tcPr>
            <w:tcW w:w="6353" w:type="dxa"/>
            <w:noWrap/>
            <w:vAlign w:val="center"/>
          </w:tcPr>
          <w:p>
            <w:pPr>
              <w:wordWrap/>
              <w:topLinePunct w:val="0"/>
              <w:spacing w:line="360" w:lineRule="auto"/>
            </w:pPr>
            <w:r>
              <w:rPr>
                <w:rFonts w:hint="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10</w:t>
            </w:r>
          </w:p>
        </w:tc>
        <w:tc>
          <w:tcPr>
            <w:tcW w:w="2662" w:type="dxa"/>
            <w:noWrap/>
            <w:vAlign w:val="center"/>
          </w:tcPr>
          <w:p>
            <w:pPr>
              <w:wordWrap/>
              <w:topLinePunct w:val="0"/>
              <w:spacing w:line="360" w:lineRule="auto"/>
              <w:jc w:val="center"/>
            </w:pPr>
            <w:r>
              <w:rPr>
                <w:rFonts w:hint="eastAsia"/>
              </w:rPr>
              <w:t>采购范围</w:t>
            </w:r>
          </w:p>
        </w:tc>
        <w:tc>
          <w:tcPr>
            <w:tcW w:w="6353" w:type="dxa"/>
            <w:noWrap/>
            <w:vAlign w:val="center"/>
          </w:tcPr>
          <w:p>
            <w:pPr>
              <w:wordWrap/>
              <w:topLinePunct w:val="0"/>
              <w:spacing w:line="360" w:lineRule="auto"/>
            </w:pPr>
            <w:r>
              <w:rPr>
                <w:rFonts w:hint="eastAsia"/>
                <w:kern w:val="0"/>
                <w:shd w:val="clear" w:color="auto" w:fill="FFFFFF"/>
              </w:rPr>
              <w:t>为昌吉州流域生态环境保护类</w:t>
            </w:r>
            <w:r>
              <w:rPr>
                <w:kern w:val="0"/>
                <w:shd w:val="clear" w:color="auto" w:fill="FFFFFF"/>
              </w:rPr>
              <w:t>EOD技术咨询服务项目提供实施方案编制及技术咨询服务</w:t>
            </w:r>
            <w:r>
              <w:rPr>
                <w:rFonts w:hint="eastAsia"/>
                <w:kern w:val="0"/>
                <w:shd w:val="clear" w:color="auto" w:fill="FFFFFF"/>
              </w:rPr>
              <w:t>，详见招标文件第五章</w:t>
            </w:r>
            <w:r>
              <w:rPr>
                <w:rFonts w:hint="eastAsia"/>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11</w:t>
            </w:r>
          </w:p>
        </w:tc>
        <w:tc>
          <w:tcPr>
            <w:tcW w:w="2662" w:type="dxa"/>
            <w:noWrap/>
            <w:vAlign w:val="center"/>
          </w:tcPr>
          <w:p>
            <w:pPr>
              <w:wordWrap/>
              <w:topLinePunct w:val="0"/>
              <w:spacing w:line="360" w:lineRule="auto"/>
              <w:jc w:val="center"/>
            </w:pPr>
            <w:r>
              <w:rPr>
                <w:rFonts w:hint="eastAsia"/>
                <w:kern w:val="0"/>
                <w:sz w:val="24"/>
                <w:szCs w:val="24"/>
              </w:rPr>
              <w:t>合同履行期限</w:t>
            </w:r>
          </w:p>
        </w:tc>
        <w:tc>
          <w:tcPr>
            <w:tcW w:w="6353" w:type="dxa"/>
            <w:noWrap/>
            <w:vAlign w:val="center"/>
          </w:tcPr>
          <w:p>
            <w:pPr>
              <w:spacing w:line="360" w:lineRule="auto"/>
              <w:outlineLvl w:val="0"/>
              <w:rPr>
                <w:rFonts w:asciiTheme="majorEastAsia" w:hAnsiTheme="majorEastAsia" w:eastAsiaTheme="majorEastAsia"/>
              </w:rPr>
            </w:pPr>
            <w:r>
              <w:rPr>
                <w:rFonts w:hint="eastAsia" w:asciiTheme="majorEastAsia" w:hAnsiTheme="majorEastAsia" w:eastAsiaTheme="majorEastAsia"/>
              </w:rPr>
              <w:t>合同履约期限：第一阶段：合同签订后</w:t>
            </w:r>
            <w:r>
              <w:rPr>
                <w:rFonts w:asciiTheme="majorEastAsia" w:hAnsiTheme="majorEastAsia" w:eastAsiaTheme="majorEastAsia"/>
              </w:rPr>
              <w:t>10个工作日内，依据政府提供的规划和项目等基础资料，完成EOD项目库的梳理整合工作，完成现场调查及相关调研工作。</w:t>
            </w:r>
          </w:p>
          <w:p>
            <w:pPr>
              <w:spacing w:line="360" w:lineRule="auto"/>
              <w:outlineLvl w:val="0"/>
              <w:rPr>
                <w:rFonts w:asciiTheme="majorEastAsia" w:hAnsiTheme="majorEastAsia" w:eastAsiaTheme="majorEastAsia"/>
              </w:rPr>
            </w:pPr>
            <w:r>
              <w:rPr>
                <w:rFonts w:hint="eastAsia" w:asciiTheme="majorEastAsia" w:hAnsiTheme="majorEastAsia" w:eastAsiaTheme="majorEastAsia"/>
              </w:rPr>
              <w:t>第二阶段：依据政府提供前期基础资料后</w:t>
            </w:r>
            <w:r>
              <w:rPr>
                <w:rFonts w:asciiTheme="majorEastAsia" w:hAnsiTheme="majorEastAsia" w:eastAsiaTheme="majorEastAsia"/>
              </w:rPr>
              <w:t>30个工作日内，完成《昌吉州生态环境导向的开发(EOD)模式试点初步实施方案》报告。</w:t>
            </w:r>
          </w:p>
          <w:p>
            <w:pPr>
              <w:spacing w:line="360" w:lineRule="auto"/>
              <w:outlineLvl w:val="0"/>
              <w:rPr>
                <w:rFonts w:asciiTheme="majorEastAsia" w:hAnsiTheme="majorEastAsia" w:eastAsiaTheme="majorEastAsia"/>
              </w:rPr>
            </w:pPr>
            <w:r>
              <w:rPr>
                <w:rFonts w:hint="eastAsia" w:asciiTheme="majorEastAsia" w:hAnsiTheme="majorEastAsia" w:eastAsiaTheme="majorEastAsia"/>
              </w:rPr>
              <w:t>第三阶段：</w:t>
            </w:r>
            <w:r>
              <w:rPr>
                <w:rFonts w:asciiTheme="majorEastAsia" w:hAnsiTheme="majorEastAsia" w:eastAsiaTheme="majorEastAsia"/>
              </w:rPr>
              <w:t>2023年4月30日前，配合完成自治区生态环境厅组织的专家论证评估。</w:t>
            </w:r>
          </w:p>
          <w:p>
            <w:pPr>
              <w:spacing w:line="360" w:lineRule="auto"/>
              <w:outlineLvl w:val="0"/>
              <w:rPr>
                <w:rFonts w:asciiTheme="majorEastAsia" w:hAnsiTheme="majorEastAsia" w:eastAsiaTheme="majorEastAsia"/>
              </w:rPr>
            </w:pPr>
            <w:r>
              <w:rPr>
                <w:rFonts w:hint="eastAsia" w:asciiTheme="majorEastAsia" w:hAnsiTheme="majorEastAsia" w:eastAsiaTheme="majorEastAsia"/>
              </w:rPr>
              <w:t>第四阶段：</w:t>
            </w:r>
            <w:r>
              <w:rPr>
                <w:rFonts w:asciiTheme="majorEastAsia" w:hAnsiTheme="majorEastAsia" w:eastAsiaTheme="majorEastAsia"/>
              </w:rPr>
              <w:t>2023年5月10日前，配合完成昌吉州生态环境流域水环境导向的开发(EOD)模式试点项目入库。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12</w:t>
            </w:r>
          </w:p>
        </w:tc>
        <w:tc>
          <w:tcPr>
            <w:tcW w:w="2662" w:type="dxa"/>
            <w:noWrap/>
            <w:vAlign w:val="center"/>
          </w:tcPr>
          <w:p>
            <w:pPr>
              <w:wordWrap/>
              <w:topLinePunct w:val="0"/>
              <w:spacing w:line="360" w:lineRule="auto"/>
              <w:jc w:val="center"/>
            </w:pPr>
            <w:r>
              <w:rPr>
                <w:rFonts w:hint="eastAsia"/>
              </w:rPr>
              <w:t>质量标准</w:t>
            </w:r>
          </w:p>
        </w:tc>
        <w:tc>
          <w:tcPr>
            <w:tcW w:w="6353" w:type="dxa"/>
            <w:noWrap/>
            <w:vAlign w:val="center"/>
          </w:tcPr>
          <w:p>
            <w:pPr>
              <w:wordWrap/>
              <w:topLinePunct w:val="0"/>
              <w:spacing w:line="360" w:lineRule="auto"/>
            </w:pPr>
            <w:r>
              <w:rPr>
                <w:rFonts w:hint="eastAsia" w:cs="黑体"/>
                <w:kern w:val="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4" w:hRule="atLeast"/>
          <w:jc w:val="center"/>
        </w:trPr>
        <w:tc>
          <w:tcPr>
            <w:tcW w:w="648" w:type="dxa"/>
            <w:noWrap/>
            <w:vAlign w:val="center"/>
          </w:tcPr>
          <w:p>
            <w:pPr>
              <w:wordWrap/>
              <w:topLinePunct w:val="0"/>
              <w:spacing w:line="360" w:lineRule="auto"/>
              <w:jc w:val="center"/>
            </w:pPr>
            <w:r>
              <w:rPr>
                <w:rFonts w:hint="eastAsia"/>
              </w:rPr>
              <w:t>13</w:t>
            </w:r>
          </w:p>
        </w:tc>
        <w:tc>
          <w:tcPr>
            <w:tcW w:w="2662" w:type="dxa"/>
            <w:noWrap/>
            <w:vAlign w:val="center"/>
          </w:tcPr>
          <w:p>
            <w:pPr>
              <w:wordWrap/>
              <w:topLinePunct w:val="0"/>
              <w:spacing w:line="360" w:lineRule="auto"/>
              <w:jc w:val="center"/>
            </w:pPr>
            <w:r>
              <w:rPr>
                <w:rFonts w:hint="eastAsia"/>
              </w:rPr>
              <w:t>※供应商资质要求</w:t>
            </w:r>
          </w:p>
        </w:tc>
        <w:tc>
          <w:tcPr>
            <w:tcW w:w="6353" w:type="dxa"/>
            <w:noWrap/>
            <w:vAlign w:val="center"/>
          </w:tcPr>
          <w:p>
            <w:pPr>
              <w:wordWrap/>
              <w:spacing w:line="360" w:lineRule="auto"/>
            </w:pPr>
            <w:r>
              <w:rPr>
                <w:rFonts w:hint="eastAsia"/>
              </w:rPr>
              <w:t>1.满足《中华人民共和国政府采购法》第二十二条规定；</w:t>
            </w:r>
          </w:p>
          <w:p>
            <w:pPr>
              <w:wordWrap/>
              <w:spacing w:line="360" w:lineRule="auto"/>
            </w:pPr>
            <w:r>
              <w:t>2</w:t>
            </w:r>
            <w:r>
              <w:rPr>
                <w:rFonts w:hint="eastAsia"/>
              </w:rPr>
              <w:t>.根据《财政部关于在政府采购活动中查询及使用信用记录有关问题的通知》（财库﹝2016﹞125号）的要求，凡拟参加本次采购项目的供应商，供应商未被列入“信用中国”网站（www.creditchina.gov.cn）失信被执行人、重大税收违法案件当事人名单及中国政府采购网（www.ccgp.gov.cn）“政府采购严重违法失信行为信息记录”，提供上述网站信用信息查询记录的网页截图;</w:t>
            </w:r>
          </w:p>
          <w:p>
            <w:pPr>
              <w:wordWrap/>
              <w:spacing w:line="360" w:lineRule="auto"/>
            </w:pPr>
            <w:r>
              <w:rPr>
                <w:rFonts w:hint="eastAsia"/>
              </w:rPr>
              <w:t>3.落实政府采购政策需满足的资格要求：（1）执行财政部工业和信息化部关于印发《政府采购促进中小企业发展管理办法》财库〔2020〕46号的通知中的相关规定。（2）（财库〔2014〕68号）；（3）《国务院办公厅关于建立政府强制采购节能产品制度的通知》（国办发〔2007〕51号）；（4）《财政部、民政部、中国残疾人联合会关于促进残疾人就业政府采购政策的通知》财库〔2017〕141号；</w:t>
            </w:r>
          </w:p>
          <w:p>
            <w:pPr>
              <w:wordWrap/>
              <w:spacing w:line="360" w:lineRule="auto"/>
            </w:pPr>
            <w:r>
              <w:rPr>
                <w:rFonts w:hint="eastAsia"/>
              </w:rPr>
              <w:t>4.本项目的特定资格要求：</w:t>
            </w:r>
          </w:p>
          <w:p>
            <w:pPr>
              <w:wordWrap/>
              <w:spacing w:line="360" w:lineRule="auto"/>
            </w:pPr>
            <w:r>
              <w:rPr>
                <w:rFonts w:hint="eastAsia"/>
              </w:rPr>
              <w:t>（1）在中华人民共和国境内注册，具有独立法人资格，符合《中华人民共和国政府采购法》第二十二条的规定；</w:t>
            </w:r>
          </w:p>
          <w:p>
            <w:pPr>
              <w:wordWrap/>
              <w:spacing w:line="360" w:lineRule="auto"/>
            </w:pPr>
            <w:r>
              <w:rPr>
                <w:rFonts w:hint="eastAsia"/>
              </w:rPr>
              <w:t>（2）具有有效的营业执照需包含本次采购相关经营范围；</w:t>
            </w:r>
          </w:p>
          <w:p>
            <w:pPr>
              <w:wordWrap/>
              <w:spacing w:line="360" w:lineRule="auto"/>
            </w:pPr>
            <w:r>
              <w:rPr>
                <w:rFonts w:hint="eastAsia"/>
              </w:rPr>
              <w:t>（3）供应商应具有依法缴纳税收及社会保障资金证明，需提供2021年1月1日以来任意一个月的缴纳税收及社保证明；</w:t>
            </w:r>
          </w:p>
          <w:p>
            <w:pPr>
              <w:wordWrap/>
              <w:spacing w:line="360" w:lineRule="auto"/>
            </w:pPr>
            <w:r>
              <w:rPr>
                <w:rFonts w:hint="eastAsia"/>
              </w:rPr>
              <w:t>（4） 供应商应具有良好的商业信誉和健全的财务会计制度（提供2021年度财务审计报告或基本开户银行出具的资信证明，不足年份以成立之日起计，提供相关财务报表）；</w:t>
            </w:r>
          </w:p>
          <w:p>
            <w:pPr>
              <w:wordWrap/>
              <w:spacing w:line="360" w:lineRule="auto"/>
            </w:pPr>
            <w:r>
              <w:rPr>
                <w:rFonts w:hint="eastAsia"/>
              </w:rPr>
              <w:t xml:space="preserve">（5）供应商没有处于被责令停业、财产被接管、冻结、破产的状态，需提供参加本次采购活动前三年内，在经营活动中无重大违法记录声明函； </w:t>
            </w:r>
          </w:p>
          <w:p>
            <w:pPr>
              <w:wordWrap/>
              <w:spacing w:line="360" w:lineRule="auto"/>
            </w:pPr>
            <w:r>
              <w:rPr>
                <w:rFonts w:hint="eastAsia"/>
              </w:rPr>
              <w:t>（6）供应商没有被列入失信被执行人、重大税收违法案件当事人名单，须提供规范的信用报告，信用报告应通过“信用中国”网站(www.creditchina.gov.cn)下载，中国政府采购网(www.ccgp.gov.cn)查询政府采购严重违法失信行为记录名单（提供磋商公告发布之后的网站查询结果截图并加盖公章）；</w:t>
            </w:r>
          </w:p>
          <w:p>
            <w:pPr>
              <w:wordWrap/>
              <w:spacing w:line="360" w:lineRule="auto"/>
            </w:pPr>
            <w:r>
              <w:rPr>
                <w:rFonts w:hint="eastAsia"/>
              </w:rPr>
              <w:t xml:space="preserve">（7）供应商需提供无行贿犯罪记录承诺函（承诺对象包括：投标企业、法定代表人），并对真实性负责，若承诺不实，造成的后果由供应商自行负责； </w:t>
            </w:r>
          </w:p>
          <w:p>
            <w:pPr>
              <w:wordWrap/>
              <w:spacing w:line="360" w:lineRule="auto"/>
            </w:pPr>
            <w:r>
              <w:rPr>
                <w:rFonts w:hint="eastAsia"/>
              </w:rPr>
              <w:t>（8）本项目允许联合体投标；组成单个联合体的成员单位数量不得超过两家（含）且每个联合体成员须为一个独立法人单位。联合体需满足以下要求：</w:t>
            </w:r>
          </w:p>
          <w:p>
            <w:pPr>
              <w:wordWrap/>
              <w:spacing w:line="360" w:lineRule="auto"/>
            </w:pPr>
            <w:r>
              <w:rPr>
                <w:rFonts w:hint="eastAsia"/>
              </w:rPr>
              <w:t>1、联合体各成员均应具备磋商文件要求的相应资质。</w:t>
            </w:r>
          </w:p>
          <w:p>
            <w:pPr>
              <w:wordWrap/>
              <w:spacing w:line="360" w:lineRule="auto"/>
            </w:pPr>
            <w:r>
              <w:rPr>
                <w:rFonts w:hint="eastAsia"/>
              </w:rPr>
              <w:t>2、联合体各成员单位间必须签订联合体协议，协议中必须明确联合体牵头人。（在投标时提交联合体协议并注明牵头人及各方拟承担的工作和责任，联合体各方应当共同与招标单位签订服务合同，就服务项目承担连带责任。在投标文件中附联合体协议书原件的扫描件，加盖各成员单位公章）。</w:t>
            </w:r>
          </w:p>
          <w:p>
            <w:pPr>
              <w:wordWrap/>
              <w:spacing w:line="360" w:lineRule="auto"/>
            </w:pPr>
            <w:r>
              <w:rPr>
                <w:rFonts w:hint="eastAsia"/>
              </w:rPr>
              <w:t>3、联合体投标时，由联合体牵头人领取磋商文件和递交投标文件等相关操作，文件费和投标保证金等费用（如有）均由联合体牵头人缴纳办理。</w:t>
            </w:r>
          </w:p>
          <w:p>
            <w:pPr>
              <w:wordWrap/>
              <w:spacing w:line="360" w:lineRule="auto"/>
            </w:pPr>
            <w:r>
              <w:rPr>
                <w:rFonts w:hint="eastAsia"/>
              </w:rPr>
              <w:t>4、组成联合体的各成员单位不得再与其他单位组成其他联合体或者以单独的名义参与本项目的投标；</w:t>
            </w:r>
          </w:p>
          <w:p>
            <w:pPr>
              <w:wordWrap/>
              <w:spacing w:line="360" w:lineRule="auto"/>
            </w:pPr>
            <w:r>
              <w:rPr>
                <w:rFonts w:hint="eastAsia"/>
              </w:rPr>
              <w:t xml:space="preserve">5、法律/法规规定的其他要求。联合体协议书应随投标文件一起提交。 </w:t>
            </w:r>
          </w:p>
          <w:p>
            <w:pPr>
              <w:wordWrap/>
              <w:spacing w:line="360" w:lineRule="auto"/>
            </w:pPr>
            <w:r>
              <w:rPr>
                <w:rFonts w:hint="eastAsia"/>
              </w:rPr>
              <w:t>（9）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
            </w:pPr>
            <w:r>
              <w:rPr>
                <w:rFonts w:hint="eastAsia"/>
              </w:rPr>
              <w:t>（</w:t>
            </w:r>
            <w:r>
              <w:t>10）本项目接受联合体投标；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8" w:type="dxa"/>
            <w:noWrap/>
            <w:vAlign w:val="center"/>
          </w:tcPr>
          <w:p>
            <w:pPr>
              <w:wordWrap/>
              <w:topLinePunct w:val="0"/>
              <w:spacing w:line="360" w:lineRule="auto"/>
              <w:jc w:val="center"/>
            </w:pPr>
            <w:r>
              <w:rPr>
                <w:rFonts w:hint="eastAsia"/>
              </w:rPr>
              <w:t>14</w:t>
            </w:r>
          </w:p>
        </w:tc>
        <w:tc>
          <w:tcPr>
            <w:tcW w:w="2662" w:type="dxa"/>
            <w:noWrap/>
            <w:vAlign w:val="center"/>
          </w:tcPr>
          <w:p>
            <w:pPr>
              <w:wordWrap/>
              <w:topLinePunct w:val="0"/>
              <w:spacing w:line="360" w:lineRule="auto"/>
              <w:jc w:val="center"/>
            </w:pPr>
            <w:r>
              <w:rPr>
                <w:rFonts w:hint="eastAsia"/>
              </w:rPr>
              <w:t>是否接受联合体参加磋商</w:t>
            </w:r>
          </w:p>
        </w:tc>
        <w:tc>
          <w:tcPr>
            <w:tcW w:w="6353" w:type="dxa"/>
            <w:noWrap/>
            <w:vAlign w:val="center"/>
          </w:tcPr>
          <w:p>
            <w:pPr>
              <w:wordWrap/>
              <w:topLinePunct w:val="0"/>
              <w:spacing w:line="360" w:lineRule="auto"/>
            </w:pPr>
            <w:r>
              <w:rPr>
                <w:rFonts w:hint="eastAsia"/>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8" w:type="dxa"/>
            <w:noWrap/>
            <w:vAlign w:val="center"/>
          </w:tcPr>
          <w:p>
            <w:pPr>
              <w:wordWrap/>
              <w:topLinePunct w:val="0"/>
              <w:spacing w:line="360" w:lineRule="auto"/>
              <w:jc w:val="center"/>
            </w:pPr>
            <w:r>
              <w:rPr>
                <w:rFonts w:hint="eastAsia"/>
              </w:rPr>
              <w:t>15</w:t>
            </w:r>
          </w:p>
        </w:tc>
        <w:tc>
          <w:tcPr>
            <w:tcW w:w="2662" w:type="dxa"/>
            <w:noWrap/>
            <w:vAlign w:val="center"/>
          </w:tcPr>
          <w:p>
            <w:pPr>
              <w:wordWrap/>
              <w:topLinePunct w:val="0"/>
              <w:spacing w:line="360" w:lineRule="auto"/>
              <w:jc w:val="center"/>
            </w:pPr>
            <w:r>
              <w:rPr>
                <w:rFonts w:hint="eastAsia"/>
              </w:rPr>
              <w:t>现场考察</w:t>
            </w:r>
          </w:p>
        </w:tc>
        <w:tc>
          <w:tcPr>
            <w:tcW w:w="6353" w:type="dxa"/>
            <w:noWrap/>
            <w:vAlign w:val="center"/>
          </w:tcPr>
          <w:p>
            <w:pPr>
              <w:wordWrap/>
              <w:topLinePunct w:val="0"/>
              <w:spacing w:line="360" w:lineRule="auto"/>
            </w:pPr>
            <w:r>
              <w:rPr>
                <w:rFonts w:hint="eastAsi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8" w:type="dxa"/>
            <w:noWrap/>
            <w:vAlign w:val="center"/>
          </w:tcPr>
          <w:p>
            <w:pPr>
              <w:wordWrap/>
              <w:topLinePunct w:val="0"/>
              <w:spacing w:line="360" w:lineRule="auto"/>
              <w:jc w:val="center"/>
            </w:pPr>
            <w:r>
              <w:rPr>
                <w:rFonts w:hint="eastAsia"/>
              </w:rPr>
              <w:t>16</w:t>
            </w:r>
          </w:p>
        </w:tc>
        <w:tc>
          <w:tcPr>
            <w:tcW w:w="2662" w:type="dxa"/>
            <w:noWrap/>
            <w:vAlign w:val="center"/>
          </w:tcPr>
          <w:p>
            <w:pPr>
              <w:wordWrap/>
              <w:topLinePunct w:val="0"/>
              <w:spacing w:line="360" w:lineRule="auto"/>
              <w:jc w:val="center"/>
            </w:pPr>
            <w:r>
              <w:rPr>
                <w:rFonts w:hint="eastAsia"/>
              </w:rPr>
              <w:t>答 疑 会</w:t>
            </w:r>
          </w:p>
        </w:tc>
        <w:tc>
          <w:tcPr>
            <w:tcW w:w="6353" w:type="dxa"/>
            <w:noWrap/>
            <w:vAlign w:val="center"/>
          </w:tcPr>
          <w:p>
            <w:pPr>
              <w:tabs>
                <w:tab w:val="left" w:pos="720"/>
                <w:tab w:val="left" w:pos="1904"/>
              </w:tabs>
              <w:wordWrap/>
              <w:topLinePunct w:val="0"/>
              <w:spacing w:line="360" w:lineRule="auto"/>
            </w:pPr>
            <w:r>
              <w:rPr>
                <w:rFonts w:hint="eastAsia"/>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8" w:type="dxa"/>
            <w:noWrap/>
            <w:vAlign w:val="center"/>
          </w:tcPr>
          <w:p>
            <w:pPr>
              <w:wordWrap/>
              <w:topLinePunct w:val="0"/>
              <w:spacing w:line="360" w:lineRule="auto"/>
              <w:jc w:val="center"/>
            </w:pPr>
            <w:r>
              <w:rPr>
                <w:rFonts w:hint="eastAsia"/>
              </w:rPr>
              <w:t>17</w:t>
            </w:r>
          </w:p>
        </w:tc>
        <w:tc>
          <w:tcPr>
            <w:tcW w:w="2662" w:type="dxa"/>
            <w:noWrap/>
            <w:vAlign w:val="center"/>
          </w:tcPr>
          <w:p>
            <w:pPr>
              <w:wordWrap/>
              <w:topLinePunct w:val="0"/>
              <w:spacing w:line="360" w:lineRule="auto"/>
              <w:jc w:val="center"/>
            </w:pPr>
            <w:r>
              <w:rPr>
                <w:rFonts w:hint="eastAsia"/>
              </w:rPr>
              <w:t>分包</w:t>
            </w:r>
          </w:p>
        </w:tc>
        <w:tc>
          <w:tcPr>
            <w:tcW w:w="6353" w:type="dxa"/>
            <w:noWrap/>
            <w:vAlign w:val="center"/>
          </w:tcPr>
          <w:p>
            <w:pPr>
              <w:wordWrap/>
              <w:topLinePunct w:val="0"/>
              <w:spacing w:line="360" w:lineRule="auto"/>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18</w:t>
            </w:r>
          </w:p>
        </w:tc>
        <w:tc>
          <w:tcPr>
            <w:tcW w:w="2662" w:type="dxa"/>
            <w:noWrap/>
            <w:vAlign w:val="center"/>
          </w:tcPr>
          <w:p>
            <w:pPr>
              <w:wordWrap/>
              <w:topLinePunct w:val="0"/>
              <w:spacing w:line="360" w:lineRule="auto"/>
              <w:jc w:val="center"/>
            </w:pPr>
            <w:r>
              <w:rPr>
                <w:rFonts w:hint="eastAsia"/>
                <w:kern w:val="0"/>
              </w:rPr>
              <w:t>实质性偏差</w:t>
            </w:r>
          </w:p>
        </w:tc>
        <w:tc>
          <w:tcPr>
            <w:tcW w:w="6353" w:type="dxa"/>
            <w:noWrap/>
            <w:vAlign w:val="center"/>
          </w:tcPr>
          <w:p>
            <w:pPr>
              <w:wordWrap/>
              <w:topLinePunct w:val="0"/>
              <w:spacing w:line="360" w:lineRule="auto"/>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19</w:t>
            </w:r>
          </w:p>
        </w:tc>
        <w:tc>
          <w:tcPr>
            <w:tcW w:w="2662" w:type="dxa"/>
            <w:noWrap/>
            <w:vAlign w:val="center"/>
          </w:tcPr>
          <w:p>
            <w:pPr>
              <w:wordWrap/>
              <w:topLinePunct w:val="0"/>
              <w:spacing w:line="360" w:lineRule="auto"/>
              <w:jc w:val="center"/>
            </w:pPr>
            <w:r>
              <w:rPr>
                <w:rFonts w:hint="eastAsia"/>
              </w:rPr>
              <w:t>是否接受选择性报价方案</w:t>
            </w:r>
          </w:p>
        </w:tc>
        <w:tc>
          <w:tcPr>
            <w:tcW w:w="6353" w:type="dxa"/>
            <w:noWrap/>
            <w:vAlign w:val="center"/>
          </w:tcPr>
          <w:p>
            <w:pPr>
              <w:wordWrap/>
              <w:topLinePunct w:val="0"/>
              <w:spacing w:line="360" w:lineRule="auto"/>
            </w:pPr>
            <w:r>
              <w:rPr>
                <w:rFonts w:hint="eastAsia"/>
              </w:rPr>
              <w:t>不接受：首次响应文件只允许一个报价方案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8" w:type="dxa"/>
            <w:noWrap/>
            <w:vAlign w:val="center"/>
          </w:tcPr>
          <w:p>
            <w:pPr>
              <w:wordWrap/>
              <w:topLinePunct w:val="0"/>
              <w:spacing w:line="360" w:lineRule="auto"/>
              <w:jc w:val="center"/>
            </w:pPr>
            <w:r>
              <w:rPr>
                <w:rFonts w:hint="eastAsia"/>
              </w:rPr>
              <w:t>20</w:t>
            </w:r>
          </w:p>
        </w:tc>
        <w:tc>
          <w:tcPr>
            <w:tcW w:w="2662" w:type="dxa"/>
            <w:noWrap/>
            <w:vAlign w:val="center"/>
          </w:tcPr>
          <w:p>
            <w:pPr>
              <w:wordWrap/>
              <w:topLinePunct w:val="0"/>
              <w:spacing w:line="360" w:lineRule="auto"/>
              <w:jc w:val="center"/>
            </w:pPr>
            <w:r>
              <w:rPr>
                <w:rFonts w:hint="eastAsia"/>
              </w:rPr>
              <w:t>构成竞争性磋商文件的其他材料</w:t>
            </w:r>
          </w:p>
        </w:tc>
        <w:tc>
          <w:tcPr>
            <w:tcW w:w="6353" w:type="dxa"/>
            <w:noWrap/>
            <w:vAlign w:val="center"/>
          </w:tcPr>
          <w:p>
            <w:pPr>
              <w:wordWrap/>
              <w:topLinePunct w:val="0"/>
              <w:spacing w:line="360" w:lineRule="auto"/>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21</w:t>
            </w:r>
          </w:p>
        </w:tc>
        <w:tc>
          <w:tcPr>
            <w:tcW w:w="2662" w:type="dxa"/>
            <w:noWrap/>
            <w:vAlign w:val="center"/>
          </w:tcPr>
          <w:p>
            <w:pPr>
              <w:wordWrap/>
              <w:topLinePunct w:val="0"/>
              <w:spacing w:line="360" w:lineRule="auto"/>
              <w:jc w:val="center"/>
            </w:pPr>
            <w:r>
              <w:rPr>
                <w:rFonts w:hint="eastAsia"/>
              </w:rPr>
              <w:t>供应商要求澄清竞争性磋商文件的时间</w:t>
            </w:r>
          </w:p>
        </w:tc>
        <w:tc>
          <w:tcPr>
            <w:tcW w:w="6353" w:type="dxa"/>
            <w:noWrap/>
            <w:vAlign w:val="center"/>
          </w:tcPr>
          <w:p>
            <w:pPr>
              <w:wordWrap/>
              <w:topLinePunct w:val="0"/>
              <w:spacing w:line="360" w:lineRule="auto"/>
            </w:pPr>
            <w:r>
              <w:rPr>
                <w:rFonts w:hint="eastAsia"/>
              </w:rPr>
              <w:t>提交首次响应文件截止时间前5日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48" w:type="dxa"/>
            <w:noWrap/>
            <w:vAlign w:val="center"/>
          </w:tcPr>
          <w:p>
            <w:pPr>
              <w:wordWrap/>
              <w:topLinePunct w:val="0"/>
              <w:spacing w:line="360" w:lineRule="auto"/>
              <w:jc w:val="center"/>
            </w:pPr>
            <w:r>
              <w:rPr>
                <w:rFonts w:hint="eastAsia"/>
              </w:rPr>
              <w:t>22</w:t>
            </w:r>
          </w:p>
        </w:tc>
        <w:tc>
          <w:tcPr>
            <w:tcW w:w="2662" w:type="dxa"/>
            <w:noWrap/>
            <w:vAlign w:val="center"/>
          </w:tcPr>
          <w:p>
            <w:pPr>
              <w:wordWrap/>
              <w:topLinePunct w:val="0"/>
              <w:spacing w:line="360" w:lineRule="auto"/>
              <w:jc w:val="center"/>
            </w:pPr>
            <w:r>
              <w:rPr>
                <w:rFonts w:hint="eastAsia"/>
              </w:rPr>
              <w:t>竞争性磋商文件澄清发出的形式</w:t>
            </w:r>
          </w:p>
        </w:tc>
        <w:tc>
          <w:tcPr>
            <w:tcW w:w="6353" w:type="dxa"/>
            <w:noWrap/>
            <w:vAlign w:val="center"/>
          </w:tcPr>
          <w:p>
            <w:pPr>
              <w:wordWrap/>
              <w:topLinePunct w:val="0"/>
              <w:spacing w:line="360" w:lineRule="auto"/>
            </w:pPr>
            <w:r>
              <w:rPr>
                <w:rFonts w:hint="eastAsia"/>
              </w:rPr>
              <w:t>公告形式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23</w:t>
            </w:r>
          </w:p>
        </w:tc>
        <w:tc>
          <w:tcPr>
            <w:tcW w:w="2662" w:type="dxa"/>
            <w:noWrap/>
            <w:vAlign w:val="center"/>
          </w:tcPr>
          <w:p>
            <w:pPr>
              <w:wordWrap/>
              <w:topLinePunct w:val="0"/>
              <w:spacing w:line="360" w:lineRule="auto"/>
              <w:jc w:val="center"/>
            </w:pPr>
            <w:r>
              <w:rPr>
                <w:rFonts w:hint="eastAsia"/>
              </w:rPr>
              <w:t>供应商确认收到竞争性磋商文件澄清的时间</w:t>
            </w:r>
          </w:p>
        </w:tc>
        <w:tc>
          <w:tcPr>
            <w:tcW w:w="6353" w:type="dxa"/>
            <w:noWrap/>
            <w:vAlign w:val="center"/>
          </w:tcPr>
          <w:p>
            <w:pPr>
              <w:wordWrap/>
              <w:topLinePunct w:val="0"/>
              <w:spacing w:line="360" w:lineRule="auto"/>
            </w:pPr>
            <w:r>
              <w:rPr>
                <w:rFonts w:hint="eastAsia"/>
              </w:rPr>
              <w:t>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8" w:type="dxa"/>
            <w:noWrap/>
            <w:vAlign w:val="center"/>
          </w:tcPr>
          <w:p>
            <w:pPr>
              <w:wordWrap/>
              <w:topLinePunct w:val="0"/>
              <w:spacing w:line="360" w:lineRule="auto"/>
              <w:jc w:val="center"/>
            </w:pPr>
            <w:r>
              <w:rPr>
                <w:rFonts w:hint="eastAsia"/>
              </w:rPr>
              <w:t>24</w:t>
            </w:r>
          </w:p>
        </w:tc>
        <w:tc>
          <w:tcPr>
            <w:tcW w:w="2662" w:type="dxa"/>
            <w:noWrap/>
            <w:vAlign w:val="center"/>
          </w:tcPr>
          <w:p>
            <w:pPr>
              <w:wordWrap/>
              <w:topLinePunct w:val="0"/>
              <w:spacing w:line="360" w:lineRule="auto"/>
              <w:jc w:val="center"/>
            </w:pPr>
            <w:r>
              <w:rPr>
                <w:rFonts w:hint="eastAsia"/>
              </w:rPr>
              <w:t>竞争性磋商文件修改发出的形式</w:t>
            </w:r>
          </w:p>
        </w:tc>
        <w:tc>
          <w:tcPr>
            <w:tcW w:w="6353" w:type="dxa"/>
            <w:noWrap/>
            <w:vAlign w:val="center"/>
          </w:tcPr>
          <w:p>
            <w:pPr>
              <w:wordWrap/>
              <w:topLinePunct w:val="0"/>
              <w:spacing w:line="360" w:lineRule="auto"/>
            </w:pPr>
            <w:r>
              <w:rPr>
                <w:rFonts w:hint="eastAsia"/>
              </w:rPr>
              <w:t>公告形式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25</w:t>
            </w:r>
          </w:p>
        </w:tc>
        <w:tc>
          <w:tcPr>
            <w:tcW w:w="2662" w:type="dxa"/>
            <w:noWrap/>
            <w:vAlign w:val="center"/>
          </w:tcPr>
          <w:p>
            <w:pPr>
              <w:wordWrap/>
              <w:topLinePunct w:val="0"/>
              <w:spacing w:line="360" w:lineRule="auto"/>
              <w:jc w:val="center"/>
            </w:pPr>
            <w:r>
              <w:rPr>
                <w:rFonts w:hint="eastAsia"/>
              </w:rPr>
              <w:t>供应商确认收到竞争性磋商文件修改的时间</w:t>
            </w:r>
          </w:p>
        </w:tc>
        <w:tc>
          <w:tcPr>
            <w:tcW w:w="6353" w:type="dxa"/>
            <w:noWrap/>
            <w:vAlign w:val="center"/>
          </w:tcPr>
          <w:p>
            <w:pPr>
              <w:wordWrap/>
              <w:topLinePunct w:val="0"/>
              <w:spacing w:line="360" w:lineRule="auto"/>
            </w:pPr>
            <w:r>
              <w:rPr>
                <w:rFonts w:hint="eastAsia"/>
              </w:rPr>
              <w:t>时间：在收到相应修改文件后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ign w:val="center"/>
          </w:tcPr>
          <w:p>
            <w:pPr>
              <w:wordWrap/>
              <w:topLinePunct w:val="0"/>
              <w:spacing w:line="360" w:lineRule="auto"/>
              <w:jc w:val="center"/>
            </w:pPr>
            <w:r>
              <w:rPr>
                <w:rFonts w:hint="eastAsia"/>
              </w:rPr>
              <w:t>26</w:t>
            </w:r>
          </w:p>
        </w:tc>
        <w:tc>
          <w:tcPr>
            <w:tcW w:w="2662" w:type="dxa"/>
            <w:noWrap/>
            <w:vAlign w:val="center"/>
          </w:tcPr>
          <w:p>
            <w:pPr>
              <w:wordWrap/>
              <w:topLinePunct w:val="0"/>
              <w:spacing w:line="360" w:lineRule="auto"/>
              <w:jc w:val="center"/>
            </w:pPr>
            <w:r>
              <w:rPr>
                <w:rFonts w:hint="eastAsia"/>
              </w:rPr>
              <w:t>磋商有效期</w:t>
            </w:r>
          </w:p>
        </w:tc>
        <w:tc>
          <w:tcPr>
            <w:tcW w:w="6353" w:type="dxa"/>
            <w:noWrap/>
            <w:vAlign w:val="center"/>
          </w:tcPr>
          <w:p>
            <w:pPr>
              <w:wordWrap/>
              <w:topLinePunct w:val="0"/>
              <w:spacing w:line="360" w:lineRule="auto"/>
            </w:pPr>
            <w:r>
              <w:rPr>
                <w:rFonts w:hint="eastAsia"/>
              </w:rPr>
              <w:t>响应文件递交截止之日起</w:t>
            </w:r>
            <w:r>
              <w:rPr>
                <w:rFonts w:hint="eastAsia"/>
                <w:u w:val="single"/>
              </w:rPr>
              <w:t xml:space="preserve">  45  </w:t>
            </w:r>
            <w:r>
              <w:rPr>
                <w:rFonts w:hint="eastAsi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jc w:val="center"/>
        </w:trPr>
        <w:tc>
          <w:tcPr>
            <w:tcW w:w="648" w:type="dxa"/>
            <w:noWrap/>
            <w:vAlign w:val="center"/>
          </w:tcPr>
          <w:p>
            <w:pPr>
              <w:wordWrap/>
              <w:topLinePunct w:val="0"/>
              <w:spacing w:line="360" w:lineRule="auto"/>
              <w:jc w:val="center"/>
            </w:pPr>
            <w:r>
              <w:rPr>
                <w:rFonts w:hint="eastAsia"/>
              </w:rPr>
              <w:t>27</w:t>
            </w:r>
          </w:p>
        </w:tc>
        <w:tc>
          <w:tcPr>
            <w:tcW w:w="2662" w:type="dxa"/>
            <w:noWrap/>
            <w:vAlign w:val="center"/>
          </w:tcPr>
          <w:p>
            <w:pPr>
              <w:wordWrap/>
              <w:autoSpaceDE w:val="0"/>
              <w:autoSpaceDN w:val="0"/>
              <w:adjustRightInd w:val="0"/>
              <w:spacing w:line="360" w:lineRule="auto"/>
              <w:jc w:val="center"/>
              <w:rPr>
                <w:rFonts w:cs="仿宋_GB2312"/>
                <w:kern w:val="0"/>
              </w:rPr>
            </w:pPr>
            <w:r>
              <w:rPr>
                <w:rFonts w:hint="eastAsia" w:cs="仿宋_GB2312"/>
                <w:kern w:val="0"/>
              </w:rPr>
              <w:t>*磋商保证金</w:t>
            </w:r>
          </w:p>
        </w:tc>
        <w:tc>
          <w:tcPr>
            <w:tcW w:w="6353" w:type="dxa"/>
            <w:noWrap/>
            <w:vAlign w:val="center"/>
          </w:tcPr>
          <w:p>
            <w:pPr>
              <w:wordWrap/>
              <w:spacing w:line="360" w:lineRule="auto"/>
              <w:rPr>
                <w:rFonts w:cs="仿宋_GB2312"/>
                <w:color w:val="FF0000"/>
                <w:kern w:val="0"/>
              </w:rPr>
            </w:pPr>
            <w:r>
              <w:rPr>
                <w:rFonts w:hint="eastAsia" w:cs="仿宋_GB2312"/>
                <w:kern w:val="0"/>
              </w:rPr>
              <w:t>需缴纳磋商保证金，磋商保证金：30000元整；</w:t>
            </w:r>
          </w:p>
          <w:p>
            <w:pPr>
              <w:wordWrap/>
              <w:spacing w:line="360" w:lineRule="auto"/>
              <w:rPr>
                <w:rFonts w:cs="仿宋_GB2312"/>
                <w:kern w:val="0"/>
              </w:rPr>
            </w:pPr>
            <w:r>
              <w:rPr>
                <w:rFonts w:hint="eastAsia" w:cs="仿宋_GB2312"/>
                <w:kern w:val="0"/>
              </w:rPr>
              <w:t>磋商保证金应当以支票、汇票、本票或者金融机构、担保机构出具的保函等非现金形式提交，若采用电汇或网银转账的方式，由供应商单位基本账户汇至新疆国恩工程管理有限公司（开户行：新疆昌吉农商银行股份有限公司石河子路支行，开户行行号：402885000311、开户行账号：806020512010113257528）。不得以现金和其他形式缴纳，供应商在缴纳磋商保证金时，需在进账凭证上明确资金用途和投标项目名称，并注明联系人及电话，以便查对核实。供应商应充分考虑资金到账时间，在规定的时限前自行办妥磋商保证金缴纳手续，磋商保证金的缴付时间以电汇凭证和网银对账单上的时间为准，超过缴纳的时限缴纳磋商保证金视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28</w:t>
            </w:r>
          </w:p>
        </w:tc>
        <w:tc>
          <w:tcPr>
            <w:tcW w:w="2662" w:type="dxa"/>
            <w:shd w:val="clear" w:color="auto" w:fill="auto"/>
            <w:noWrap/>
            <w:vAlign w:val="center"/>
          </w:tcPr>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响应文件签字或盖章要求</w:t>
            </w:r>
          </w:p>
        </w:tc>
        <w:tc>
          <w:tcPr>
            <w:tcW w:w="6353" w:type="dxa"/>
            <w:shd w:val="clear" w:color="auto" w:fill="auto"/>
            <w:noWrap/>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的正副本，一律用不褪色的墨水书写或打印，加盖供应商单位公章，并由供应商的法定代表人或负责人或其授权的代理人签字或盖章。响应文件格式中规定需加盖公章或签字盖章的页面要求，供应商须加盖供应商公章或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48" w:type="dxa"/>
            <w:noWrap/>
            <w:vAlign w:val="center"/>
          </w:tcPr>
          <w:p>
            <w:pPr>
              <w:wordWrap/>
              <w:topLinePunct w:val="0"/>
              <w:spacing w:line="360" w:lineRule="auto"/>
              <w:jc w:val="center"/>
            </w:pPr>
            <w:r>
              <w:rPr>
                <w:rFonts w:hint="eastAsia"/>
              </w:rPr>
              <w:t>29</w:t>
            </w:r>
          </w:p>
        </w:tc>
        <w:tc>
          <w:tcPr>
            <w:tcW w:w="2662" w:type="dxa"/>
            <w:noWrap/>
            <w:vAlign w:val="center"/>
          </w:tcPr>
          <w:p>
            <w:pPr>
              <w:pStyle w:val="45"/>
              <w:wordWrap/>
              <w:adjustRightInd w:val="0"/>
              <w:snapToGrid w:val="0"/>
              <w:jc w:val="center"/>
              <w:rPr>
                <w:color w:val="000000" w:themeColor="text1"/>
                <w:lang w:val="en-US" w:bidi="ar-SA"/>
                <w14:textFill>
                  <w14:solidFill>
                    <w14:schemeClr w14:val="tx1"/>
                  </w14:solidFill>
                </w14:textFill>
              </w:rPr>
            </w:pPr>
            <w:r>
              <w:rPr>
                <w:rFonts w:hint="eastAsia"/>
                <w:color w:val="000000" w:themeColor="text1"/>
                <w:lang w:val="en-US" w:bidi="ar-SA"/>
                <w14:textFill>
                  <w14:solidFill>
                    <w14:schemeClr w14:val="tx1"/>
                  </w14:solidFill>
                </w14:textFill>
              </w:rPr>
              <w:t>递交响应文件方式及地点</w:t>
            </w:r>
          </w:p>
        </w:tc>
        <w:tc>
          <w:tcPr>
            <w:tcW w:w="6353" w:type="dxa"/>
            <w:noWrap/>
            <w:vAlign w:val="center"/>
          </w:tcPr>
          <w:p>
            <w:pPr>
              <w:pStyle w:val="45"/>
              <w:wordWrap/>
              <w:adjustRightInd w:val="0"/>
              <w:snapToGrid w:val="0"/>
              <w:rPr>
                <w:color w:val="000000" w:themeColor="text1"/>
                <w:lang w:val="en-US" w:bidi="ar-SA"/>
                <w14:textFill>
                  <w14:solidFill>
                    <w14:schemeClr w14:val="tx1"/>
                  </w14:solidFill>
                </w14:textFill>
              </w:rPr>
            </w:pPr>
            <w:r>
              <w:rPr>
                <w:rFonts w:hint="eastAsia"/>
                <w:color w:val="000000" w:themeColor="text1"/>
                <w:lang w:val="en-US" w:bidi="ar-SA"/>
                <w14:textFill>
                  <w14:solidFill>
                    <w14:schemeClr w14:val="tx1"/>
                  </w14:solidFill>
                </w14:textFill>
              </w:rPr>
              <w:t>1、响应文件递交</w:t>
            </w:r>
          </w:p>
          <w:p>
            <w:pPr>
              <w:pStyle w:val="45"/>
              <w:wordWrap/>
              <w:adjustRightInd w:val="0"/>
              <w:snapToGrid w:val="0"/>
              <w:rPr>
                <w:color w:val="000000" w:themeColor="text1"/>
                <w:lang w:val="en-US" w:bidi="ar-SA"/>
                <w14:textFill>
                  <w14:solidFill>
                    <w14:schemeClr w14:val="tx1"/>
                  </w14:solidFill>
                </w14:textFill>
              </w:rPr>
            </w:pPr>
            <w:r>
              <w:rPr>
                <w:rFonts w:hint="eastAsia"/>
                <w:color w:val="000000" w:themeColor="text1"/>
                <w:lang w:val="en-US"/>
                <w14:textFill>
                  <w14:solidFill>
                    <w14:schemeClr w14:val="tx1"/>
                  </w14:solidFill>
                </w14:textFill>
              </w:rPr>
              <w:t>按磋商文件要求以密封形式递交纸质版投标文件三份（一正两副）</w:t>
            </w:r>
            <w:r>
              <w:rPr>
                <w:rFonts w:hint="eastAsia"/>
                <w:color w:val="000000" w:themeColor="text1"/>
                <w:lang w:val="en-US" w:bidi="ar-SA"/>
                <w14:textFill>
                  <w14:solidFill>
                    <w14:schemeClr w14:val="tx1"/>
                  </w14:solidFill>
                </w14:textFill>
              </w:rPr>
              <w:t>2、磋商地点：昌吉市青年南路73号青年壹号大厦A座13楼1313室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8" w:type="dxa"/>
            <w:noWrap/>
            <w:vAlign w:val="center"/>
          </w:tcPr>
          <w:p>
            <w:pPr>
              <w:wordWrap/>
              <w:topLinePunct w:val="0"/>
              <w:spacing w:line="360" w:lineRule="auto"/>
              <w:jc w:val="center"/>
            </w:pPr>
            <w:r>
              <w:rPr>
                <w:rFonts w:hint="eastAsia"/>
              </w:rPr>
              <w:t>30</w:t>
            </w:r>
          </w:p>
        </w:tc>
        <w:tc>
          <w:tcPr>
            <w:tcW w:w="2662" w:type="dxa"/>
            <w:noWrap/>
            <w:vAlign w:val="center"/>
          </w:tcPr>
          <w:p>
            <w:pPr>
              <w:wordWrap/>
              <w:topLinePunct w:val="0"/>
              <w:adjustRightInd w:val="0"/>
              <w:snapToGrid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响应文件递交</w:t>
            </w:r>
          </w:p>
        </w:tc>
        <w:tc>
          <w:tcPr>
            <w:tcW w:w="6353" w:type="dxa"/>
            <w:noWrap/>
            <w:vAlign w:val="center"/>
          </w:tcPr>
          <w:p>
            <w:pPr>
              <w:wordWrap/>
              <w:topLinePunct w:val="0"/>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在投标截止时间前按磋商文件要求以密封形式递交纸质版投标文件三份（一正两副）至昌吉市青年南路73号青年壹号大厦A座13楼1313室 ，逾期未送至代理公司纸质版投标文件视为放弃本次投标，采购人不予受理。供应商所递交的响应文件在投标截止时间之后不予退回。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48" w:type="dxa"/>
            <w:noWrap/>
            <w:vAlign w:val="center"/>
          </w:tcPr>
          <w:p>
            <w:pPr>
              <w:wordWrap/>
              <w:topLinePunct w:val="0"/>
              <w:spacing w:line="360" w:lineRule="auto"/>
              <w:jc w:val="center"/>
            </w:pPr>
            <w:r>
              <w:rPr>
                <w:rFonts w:hint="eastAsia"/>
              </w:rPr>
              <w:t>31</w:t>
            </w:r>
          </w:p>
        </w:tc>
        <w:tc>
          <w:tcPr>
            <w:tcW w:w="2662" w:type="dxa"/>
            <w:noWrap/>
            <w:vAlign w:val="center"/>
          </w:tcPr>
          <w:p>
            <w:pPr>
              <w:pStyle w:val="45"/>
              <w:rPr>
                <w:b/>
                <w:sz w:val="20"/>
              </w:rPr>
            </w:pPr>
          </w:p>
          <w:p>
            <w:pPr>
              <w:pStyle w:val="45"/>
              <w:jc w:val="center"/>
              <w:rPr>
                <w:lang w:val="en-US"/>
              </w:rPr>
            </w:pPr>
            <w:r>
              <w:t>响应文件的份数</w:t>
            </w:r>
            <w:r>
              <w:rPr>
                <w:rFonts w:hint="eastAsia"/>
                <w:lang w:val="en-US"/>
              </w:rPr>
              <w:t>和装订</w:t>
            </w:r>
          </w:p>
        </w:tc>
        <w:tc>
          <w:tcPr>
            <w:tcW w:w="6353" w:type="dxa"/>
            <w:noWrap/>
            <w:vAlign w:val="center"/>
          </w:tcPr>
          <w:p>
            <w:pPr>
              <w:pStyle w:val="45"/>
              <w:rPr>
                <w:lang w:val="en-US" w:bidi="ar-SA"/>
              </w:rPr>
            </w:pPr>
            <w:r>
              <w:rPr>
                <w:rFonts w:hint="eastAsia"/>
              </w:rPr>
              <w:t>商务部分、技术部分组成为一份书面文本标书，不得采用活页装订。磋商文件份数：正本壹份、副本贰份（密封），正本和副本分别装订并单独密封在袋中。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48" w:type="dxa"/>
            <w:noWrap/>
            <w:vAlign w:val="center"/>
          </w:tcPr>
          <w:p>
            <w:pPr>
              <w:wordWrap/>
              <w:topLinePunct w:val="0"/>
              <w:adjustRightInd w:val="0"/>
              <w:snapToGrid w:val="0"/>
              <w:spacing w:line="360" w:lineRule="auto"/>
            </w:pPr>
            <w:r>
              <w:rPr>
                <w:rFonts w:hint="eastAsia"/>
              </w:rPr>
              <w:t>32</w:t>
            </w:r>
          </w:p>
        </w:tc>
        <w:tc>
          <w:tcPr>
            <w:tcW w:w="2662" w:type="dxa"/>
            <w:noWrap/>
            <w:vAlign w:val="center"/>
          </w:tcPr>
          <w:p>
            <w:pPr>
              <w:wordWrap/>
              <w:topLinePunct w:val="0"/>
              <w:adjustRightInd w:val="0"/>
              <w:snapToGrid w:val="0"/>
              <w:spacing w:line="360" w:lineRule="auto"/>
              <w:ind w:firstLine="210" w:firstLineChars="100"/>
            </w:pPr>
            <w:r>
              <w:rPr>
                <w:rFonts w:hint="eastAsia"/>
              </w:rPr>
              <w:t>响应文件封面的标注</w:t>
            </w:r>
          </w:p>
        </w:tc>
        <w:tc>
          <w:tcPr>
            <w:tcW w:w="6353" w:type="dxa"/>
            <w:noWrap/>
            <w:vAlign w:val="center"/>
          </w:tcPr>
          <w:p>
            <w:pPr>
              <w:wordWrap/>
              <w:topLinePunct w:val="0"/>
              <w:adjustRightInd w:val="0"/>
              <w:snapToGrid w:val="0"/>
              <w:spacing w:line="360" w:lineRule="auto"/>
            </w:pPr>
            <w:r>
              <w:rPr>
                <w:rFonts w:hint="eastAsia"/>
              </w:rPr>
              <w:t>响应文件正本和副本的封面上均应标明：项目名称、项目编号、供应商名称、年月日；并分别在右上角标明“正本”和“副本”字样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48" w:type="dxa"/>
            <w:noWrap/>
            <w:vAlign w:val="center"/>
          </w:tcPr>
          <w:p>
            <w:pPr>
              <w:wordWrap/>
              <w:topLinePunct w:val="0"/>
              <w:adjustRightInd w:val="0"/>
              <w:snapToGrid w:val="0"/>
              <w:spacing w:line="360" w:lineRule="auto"/>
            </w:pPr>
            <w:r>
              <w:rPr>
                <w:rFonts w:hint="eastAsia"/>
              </w:rPr>
              <w:t>33</w:t>
            </w:r>
          </w:p>
        </w:tc>
        <w:tc>
          <w:tcPr>
            <w:tcW w:w="2662" w:type="dxa"/>
            <w:noWrap/>
            <w:vAlign w:val="center"/>
          </w:tcPr>
          <w:p>
            <w:pPr>
              <w:wordWrap/>
              <w:topLinePunct w:val="0"/>
              <w:adjustRightInd w:val="0"/>
              <w:snapToGrid w:val="0"/>
              <w:spacing w:line="360" w:lineRule="auto"/>
            </w:pPr>
            <w:r>
              <w:rPr>
                <w:rFonts w:hint="eastAsia"/>
              </w:rPr>
              <w:t>响应文件密封袋的标注（纸质版）</w:t>
            </w:r>
          </w:p>
        </w:tc>
        <w:tc>
          <w:tcPr>
            <w:tcW w:w="6353" w:type="dxa"/>
            <w:noWrap/>
            <w:vAlign w:val="center"/>
          </w:tcPr>
          <w:p>
            <w:pPr>
              <w:wordWrap/>
              <w:topLinePunct w:val="0"/>
              <w:adjustRightInd w:val="0"/>
              <w:snapToGrid w:val="0"/>
              <w:spacing w:line="360" w:lineRule="auto"/>
            </w:pPr>
            <w:r>
              <w:rPr>
                <w:rFonts w:hint="eastAsia"/>
              </w:rPr>
              <w:t>项目名称、编号、竞标人名称、年月日。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48" w:type="dxa"/>
            <w:noWrap/>
            <w:vAlign w:val="center"/>
          </w:tcPr>
          <w:p>
            <w:pPr>
              <w:wordWrap/>
              <w:topLinePunct w:val="0"/>
              <w:spacing w:line="360" w:lineRule="auto"/>
              <w:jc w:val="center"/>
            </w:pPr>
            <w:r>
              <w:rPr>
                <w:rFonts w:hint="eastAsia"/>
              </w:rPr>
              <w:t>34</w:t>
            </w:r>
          </w:p>
        </w:tc>
        <w:tc>
          <w:tcPr>
            <w:tcW w:w="2662" w:type="dxa"/>
            <w:noWrap/>
            <w:vAlign w:val="center"/>
          </w:tcPr>
          <w:p>
            <w:pPr>
              <w:wordWrap/>
              <w:topLinePunct w:val="0"/>
              <w:spacing w:line="360" w:lineRule="auto"/>
              <w:jc w:val="center"/>
            </w:pPr>
            <w:r>
              <w:rPr>
                <w:rFonts w:hint="eastAsia"/>
              </w:rPr>
              <w:t>提交首次响应文件</w:t>
            </w:r>
          </w:p>
          <w:p>
            <w:pPr>
              <w:wordWrap/>
              <w:topLinePunct w:val="0"/>
              <w:spacing w:line="360" w:lineRule="auto"/>
              <w:jc w:val="center"/>
            </w:pPr>
            <w:r>
              <w:rPr>
                <w:rFonts w:hint="eastAsia"/>
              </w:rPr>
              <w:t>截止时间</w:t>
            </w:r>
          </w:p>
        </w:tc>
        <w:tc>
          <w:tcPr>
            <w:tcW w:w="6353" w:type="dxa"/>
            <w:noWrap/>
            <w:vAlign w:val="center"/>
          </w:tcPr>
          <w:p>
            <w:pPr>
              <w:wordWrap/>
              <w:topLinePunct w:val="0"/>
              <w:spacing w:line="360" w:lineRule="auto"/>
            </w:pPr>
            <w:r>
              <w:rPr>
                <w:rFonts w:hint="eastAsia"/>
              </w:rPr>
              <w:t>2022年 12月</w:t>
            </w:r>
            <w:r>
              <w:rPr>
                <w:rFonts w:hint="eastAsia"/>
                <w:lang w:val="en-US" w:eastAsia="zh-CN"/>
              </w:rPr>
              <w:t>13</w:t>
            </w:r>
            <w:r>
              <w:rPr>
                <w:rFonts w:hint="eastAsia"/>
              </w:rPr>
              <w:t>日 1</w:t>
            </w:r>
            <w:r>
              <w:rPr>
                <w:rFonts w:hint="eastAsia"/>
                <w:lang w:val="en-US" w:eastAsia="zh-CN"/>
              </w:rPr>
              <w:t>6</w:t>
            </w:r>
            <w:r>
              <w:rPr>
                <w:rFonts w:hint="eastAsia"/>
              </w:rPr>
              <w:t>点</w:t>
            </w:r>
            <w:r>
              <w:rPr>
                <w:rFonts w:hint="eastAsia"/>
                <w:lang w:val="en-US" w:eastAsia="zh-CN"/>
              </w:rPr>
              <w:t>3</w:t>
            </w:r>
            <w:r>
              <w:rPr>
                <w:rFonts w:hint="eastAsia"/>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48" w:type="dxa"/>
            <w:noWrap/>
            <w:vAlign w:val="center"/>
          </w:tcPr>
          <w:p>
            <w:pPr>
              <w:wordWrap/>
              <w:topLinePunct w:val="0"/>
              <w:spacing w:line="360" w:lineRule="auto"/>
              <w:jc w:val="center"/>
            </w:pPr>
            <w:r>
              <w:rPr>
                <w:rFonts w:hint="eastAsia"/>
              </w:rPr>
              <w:t>35</w:t>
            </w:r>
          </w:p>
        </w:tc>
        <w:tc>
          <w:tcPr>
            <w:tcW w:w="2662" w:type="dxa"/>
            <w:noWrap/>
            <w:vAlign w:val="center"/>
          </w:tcPr>
          <w:p>
            <w:pPr>
              <w:wordWrap/>
              <w:topLinePunct w:val="0"/>
              <w:spacing w:line="360" w:lineRule="auto"/>
              <w:jc w:val="center"/>
            </w:pPr>
            <w:r>
              <w:rPr>
                <w:rFonts w:hint="eastAsia"/>
              </w:rPr>
              <w:t>提交首次响应文件地点</w:t>
            </w:r>
          </w:p>
        </w:tc>
        <w:tc>
          <w:tcPr>
            <w:tcW w:w="6353" w:type="dxa"/>
            <w:noWrap/>
            <w:vAlign w:val="center"/>
          </w:tcPr>
          <w:p>
            <w:pPr>
              <w:wordWrap/>
              <w:topLinePunct w:val="0"/>
              <w:spacing w:line="360" w:lineRule="auto"/>
              <w:jc w:val="left"/>
            </w:pPr>
            <w:r>
              <w:rPr>
                <w:rFonts w:hint="eastAsia"/>
              </w:rPr>
              <w:t>昌吉市青年南路73号青年壹号大厦A座13楼1313室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8" w:type="dxa"/>
            <w:noWrap/>
            <w:vAlign w:val="center"/>
          </w:tcPr>
          <w:p>
            <w:pPr>
              <w:wordWrap/>
              <w:topLinePunct w:val="0"/>
              <w:spacing w:line="360" w:lineRule="auto"/>
              <w:jc w:val="center"/>
            </w:pPr>
            <w:r>
              <w:rPr>
                <w:rFonts w:hint="eastAsia"/>
              </w:rPr>
              <w:t>36</w:t>
            </w:r>
          </w:p>
        </w:tc>
        <w:tc>
          <w:tcPr>
            <w:tcW w:w="2662" w:type="dxa"/>
            <w:noWrap/>
            <w:vAlign w:val="center"/>
          </w:tcPr>
          <w:p>
            <w:pPr>
              <w:wordWrap/>
              <w:topLinePunct w:val="0"/>
              <w:spacing w:line="360" w:lineRule="auto"/>
              <w:jc w:val="center"/>
            </w:pPr>
            <w:r>
              <w:rPr>
                <w:rFonts w:hint="eastAsia"/>
              </w:rPr>
              <w:t>是否退还磋商响应文件</w:t>
            </w:r>
          </w:p>
        </w:tc>
        <w:tc>
          <w:tcPr>
            <w:tcW w:w="6353" w:type="dxa"/>
            <w:noWrap/>
            <w:vAlign w:val="center"/>
          </w:tcPr>
          <w:p>
            <w:pPr>
              <w:wordWrap/>
              <w:topLinePunct w:val="0"/>
              <w:spacing w:line="360" w:lineRule="auto"/>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460" w:lineRule="exact"/>
              <w:jc w:val="center"/>
            </w:pPr>
            <w:r>
              <w:rPr>
                <w:rFonts w:hint="eastAsia"/>
              </w:rPr>
              <w:t>37</w:t>
            </w:r>
          </w:p>
        </w:tc>
        <w:tc>
          <w:tcPr>
            <w:tcW w:w="2662" w:type="dxa"/>
            <w:noWrap/>
            <w:vAlign w:val="center"/>
          </w:tcPr>
          <w:p>
            <w:pPr>
              <w:wordWrap/>
              <w:topLinePunct w:val="0"/>
              <w:spacing w:line="360" w:lineRule="auto"/>
              <w:jc w:val="center"/>
            </w:pPr>
            <w:r>
              <w:rPr>
                <w:rFonts w:hint="eastAsia"/>
              </w:rPr>
              <w:t>磋商小组的组建</w:t>
            </w:r>
          </w:p>
        </w:tc>
        <w:tc>
          <w:tcPr>
            <w:tcW w:w="6353" w:type="dxa"/>
            <w:noWrap/>
            <w:vAlign w:val="center"/>
          </w:tcPr>
          <w:p>
            <w:pPr>
              <w:wordWrap/>
              <w:topLinePunct w:val="0"/>
              <w:spacing w:line="360" w:lineRule="auto"/>
            </w:pPr>
            <w:r>
              <w:rPr>
                <w:rFonts w:hint="eastAsia"/>
              </w:rPr>
              <w:t>磋商小组由采购人代表1人和评审专家4人组成，成员人数共5人，评审专家确定方式：从相关评审专家库中随机抽取。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48" w:type="dxa"/>
            <w:noWrap/>
            <w:vAlign w:val="center"/>
          </w:tcPr>
          <w:p>
            <w:pPr>
              <w:wordWrap/>
              <w:topLinePunct w:val="0"/>
              <w:spacing w:line="360" w:lineRule="auto"/>
              <w:jc w:val="center"/>
            </w:pPr>
            <w:r>
              <w:rPr>
                <w:rFonts w:hint="eastAsia"/>
              </w:rPr>
              <w:t>38</w:t>
            </w:r>
          </w:p>
        </w:tc>
        <w:tc>
          <w:tcPr>
            <w:tcW w:w="2662" w:type="dxa"/>
            <w:noWrap/>
            <w:vAlign w:val="center"/>
          </w:tcPr>
          <w:p>
            <w:pPr>
              <w:wordWrap/>
              <w:topLinePunct w:val="0"/>
              <w:spacing w:line="360" w:lineRule="auto"/>
              <w:jc w:val="center"/>
            </w:pPr>
            <w:r>
              <w:rPr>
                <w:rFonts w:hint="eastAsia"/>
              </w:rPr>
              <w:t>是否授权磋商小组确定</w:t>
            </w:r>
          </w:p>
          <w:p>
            <w:pPr>
              <w:wordWrap/>
              <w:topLinePunct w:val="0"/>
              <w:spacing w:line="360" w:lineRule="auto"/>
              <w:jc w:val="center"/>
            </w:pPr>
            <w:r>
              <w:rPr>
                <w:rFonts w:hint="eastAsia"/>
              </w:rPr>
              <w:t>成交人</w:t>
            </w:r>
          </w:p>
        </w:tc>
        <w:tc>
          <w:tcPr>
            <w:tcW w:w="6353" w:type="dxa"/>
            <w:noWrap/>
            <w:vAlign w:val="center"/>
          </w:tcPr>
          <w:p>
            <w:pPr>
              <w:wordWrap/>
              <w:topLinePunct w:val="0"/>
              <w:spacing w:line="360" w:lineRule="auto"/>
            </w:pPr>
            <w:r>
              <w:rPr>
                <w:rFonts w:hint="eastAsia"/>
              </w:rPr>
              <w:t>是，推荐的成交候选人数：1-3名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8" w:type="dxa"/>
            <w:noWrap/>
            <w:vAlign w:val="center"/>
          </w:tcPr>
          <w:p>
            <w:pPr>
              <w:wordWrap/>
              <w:topLinePunct w:val="0"/>
              <w:spacing w:line="360" w:lineRule="auto"/>
              <w:jc w:val="center"/>
            </w:pPr>
            <w:r>
              <w:rPr>
                <w:rFonts w:hint="eastAsia"/>
              </w:rPr>
              <w:t>39</w:t>
            </w:r>
          </w:p>
        </w:tc>
        <w:tc>
          <w:tcPr>
            <w:tcW w:w="2662" w:type="dxa"/>
            <w:noWrap/>
            <w:vAlign w:val="center"/>
          </w:tcPr>
          <w:p>
            <w:pPr>
              <w:wordWrap/>
              <w:topLinePunct w:val="0"/>
              <w:spacing w:line="360" w:lineRule="auto"/>
              <w:jc w:val="center"/>
            </w:pPr>
            <w:r>
              <w:rPr>
                <w:rFonts w:hint="eastAsia"/>
              </w:rPr>
              <w:t>履约保证金</w:t>
            </w:r>
          </w:p>
        </w:tc>
        <w:tc>
          <w:tcPr>
            <w:tcW w:w="6353" w:type="dxa"/>
            <w:noWrap/>
            <w:vAlign w:val="center"/>
          </w:tcPr>
          <w:p>
            <w:pPr>
              <w:wordWrap/>
              <w:spacing w:line="360" w:lineRule="auto"/>
            </w:pPr>
            <w:r>
              <w:rPr>
                <w:rFonts w:hint="eastAsia"/>
              </w:rPr>
              <w:t>中标后与采购人自行协商；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48" w:type="dxa"/>
            <w:noWrap/>
            <w:vAlign w:val="center"/>
          </w:tcPr>
          <w:p>
            <w:pPr>
              <w:wordWrap/>
              <w:topLinePunct w:val="0"/>
              <w:spacing w:line="360" w:lineRule="auto"/>
              <w:jc w:val="center"/>
            </w:pPr>
            <w:r>
              <w:rPr>
                <w:rFonts w:hint="eastAsia"/>
              </w:rPr>
              <w:t>40</w:t>
            </w:r>
          </w:p>
        </w:tc>
        <w:tc>
          <w:tcPr>
            <w:tcW w:w="2662" w:type="dxa"/>
            <w:noWrap/>
            <w:vAlign w:val="center"/>
          </w:tcPr>
          <w:p>
            <w:pPr>
              <w:wordWrap/>
              <w:topLinePunct w:val="0"/>
              <w:spacing w:line="360" w:lineRule="auto"/>
              <w:jc w:val="center"/>
            </w:pPr>
            <w:r>
              <w:rPr>
                <w:rFonts w:hint="eastAsia"/>
              </w:rPr>
              <w:t>采购程序</w:t>
            </w:r>
          </w:p>
        </w:tc>
        <w:tc>
          <w:tcPr>
            <w:tcW w:w="6353" w:type="dxa"/>
            <w:noWrap/>
            <w:vAlign w:val="center"/>
          </w:tcPr>
          <w:p>
            <w:pPr>
              <w:wordWrap/>
              <w:topLinePunct w:val="0"/>
              <w:spacing w:line="360" w:lineRule="auto"/>
            </w:pPr>
            <w:r>
              <w:rPr>
                <w:rFonts w:hint="eastAsia"/>
              </w:rPr>
              <w:t>1.成立磋商小组</w:t>
            </w:r>
          </w:p>
          <w:p>
            <w:pPr>
              <w:wordWrap/>
              <w:topLinePunct w:val="0"/>
              <w:spacing w:line="360" w:lineRule="auto"/>
            </w:pPr>
            <w:r>
              <w:rPr>
                <w:rFonts w:hint="eastAsia"/>
              </w:rPr>
              <w:t>2.制定或确认竞争性磋商文件</w:t>
            </w:r>
          </w:p>
          <w:p>
            <w:pPr>
              <w:wordWrap/>
              <w:topLinePunct w:val="0"/>
              <w:spacing w:line="360" w:lineRule="auto"/>
            </w:pPr>
            <w:r>
              <w:rPr>
                <w:rFonts w:hint="eastAsia"/>
              </w:rPr>
              <w:t>3.确定不少于3家的供应商参加磋商</w:t>
            </w:r>
          </w:p>
          <w:p>
            <w:pPr>
              <w:wordWrap/>
              <w:topLinePunct w:val="0"/>
              <w:spacing w:line="360" w:lineRule="auto"/>
            </w:pPr>
            <w:r>
              <w:rPr>
                <w:rFonts w:hint="eastAsia"/>
              </w:rPr>
              <w:t>4.磋商</w:t>
            </w:r>
          </w:p>
          <w:p>
            <w:pPr>
              <w:wordWrap/>
              <w:topLinePunct w:val="0"/>
              <w:spacing w:line="360" w:lineRule="auto"/>
            </w:pPr>
            <w:r>
              <w:rPr>
                <w:rFonts w:hint="eastAsia"/>
              </w:rPr>
              <w:t>5.确定供应商</w:t>
            </w:r>
          </w:p>
          <w:p>
            <w:pPr>
              <w:wordWrap/>
              <w:topLinePunct w:val="0"/>
              <w:spacing w:line="360" w:lineRule="auto"/>
            </w:pPr>
            <w:r>
              <w:rPr>
                <w:rFonts w:hint="eastAsia"/>
              </w:rPr>
              <w:t>6.在指定媒体公布结果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663" w:type="dxa"/>
            <w:gridSpan w:val="3"/>
            <w:shd w:val="clear" w:color="auto" w:fill="auto"/>
            <w:noWrap/>
            <w:vAlign w:val="center"/>
          </w:tcPr>
          <w:p>
            <w:pPr>
              <w:widowControl/>
              <w:shd w:val="clear" w:color="auto" w:fill="FFFFFF"/>
              <w:spacing w:line="360" w:lineRule="auto"/>
              <w:jc w:val="center"/>
              <w:rPr>
                <w:kern w:val="0"/>
                <w:shd w:val="clear" w:color="auto" w:fill="FFFFFF"/>
              </w:rPr>
            </w:pPr>
            <w:r>
              <w:rPr>
                <w:rFonts w:hint="eastAsia"/>
                <w:b/>
                <w:bCs/>
                <w:sz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8" w:type="dxa"/>
            <w:noWrap/>
            <w:vAlign w:val="center"/>
          </w:tcPr>
          <w:p>
            <w:pPr>
              <w:wordWrap/>
              <w:topLinePunct w:val="0"/>
              <w:spacing w:line="360" w:lineRule="auto"/>
              <w:jc w:val="center"/>
            </w:pPr>
            <w:r>
              <w:rPr>
                <w:rFonts w:hint="eastAsia"/>
              </w:rPr>
              <w:t>41</w:t>
            </w:r>
          </w:p>
        </w:tc>
        <w:tc>
          <w:tcPr>
            <w:tcW w:w="2662" w:type="dxa"/>
            <w:noWrap/>
            <w:vAlign w:val="center"/>
          </w:tcPr>
          <w:p>
            <w:pPr>
              <w:spacing w:line="360" w:lineRule="auto"/>
              <w:jc w:val="center"/>
            </w:pPr>
            <w:r>
              <w:rPr>
                <w:rFonts w:hint="eastAsia"/>
              </w:rPr>
              <w:t>政府采购促进中小企业</w:t>
            </w:r>
          </w:p>
          <w:p>
            <w:pPr>
              <w:spacing w:line="360" w:lineRule="auto"/>
              <w:jc w:val="center"/>
            </w:pPr>
            <w:r>
              <w:rPr>
                <w:rFonts w:hint="eastAsia"/>
              </w:rPr>
              <w:t>发展管理办法</w:t>
            </w:r>
          </w:p>
        </w:tc>
        <w:tc>
          <w:tcPr>
            <w:tcW w:w="6353" w:type="dxa"/>
            <w:noWrap/>
            <w:vAlign w:val="center"/>
          </w:tcPr>
          <w:p>
            <w:pPr>
              <w:spacing w:line="360" w:lineRule="auto"/>
            </w:pPr>
            <w:r>
              <w:rPr>
                <w:rFonts w:hint="eastAsia"/>
              </w:rPr>
              <w:t>根据《政府采购促进中小企业发展管理办法》的规定，对于非专门面向中小企业的项目，对小型和微型企业产品的价格给予10%的扣除，用扣除后的价格参与评审。供应商应当在响应文件中单独列明本项目中所投的“小型和微型企业产品清单”，并提供《中小企业声明函》等有效证明材料，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48" w:type="dxa"/>
            <w:noWrap/>
            <w:vAlign w:val="center"/>
          </w:tcPr>
          <w:p>
            <w:pPr>
              <w:wordWrap/>
              <w:topLinePunct w:val="0"/>
              <w:spacing w:line="360" w:lineRule="auto"/>
              <w:jc w:val="center"/>
            </w:pPr>
            <w:r>
              <w:rPr>
                <w:rFonts w:hint="eastAsia"/>
              </w:rPr>
              <w:t>42</w:t>
            </w:r>
          </w:p>
        </w:tc>
        <w:tc>
          <w:tcPr>
            <w:tcW w:w="2662" w:type="dxa"/>
            <w:noWrap/>
            <w:vAlign w:val="center"/>
          </w:tcPr>
          <w:p>
            <w:pPr>
              <w:spacing w:line="360" w:lineRule="auto"/>
              <w:ind w:firstLine="210" w:firstLineChars="100"/>
              <w:jc w:val="center"/>
            </w:pPr>
            <w:r>
              <w:rPr>
                <w:rFonts w:hint="eastAsia"/>
              </w:rPr>
              <w:t>节能产品政府采购清单</w:t>
            </w:r>
          </w:p>
        </w:tc>
        <w:tc>
          <w:tcPr>
            <w:tcW w:w="6353" w:type="dxa"/>
            <w:noWrap/>
            <w:vAlign w:val="center"/>
          </w:tcPr>
          <w:p>
            <w:pPr>
              <w:spacing w:line="360" w:lineRule="auto"/>
            </w:pPr>
            <w:r>
              <w:rPr>
                <w:rFonts w:hint="eastAsia"/>
              </w:rPr>
              <w:t>政府采购属于“节能产品政府采购清单”中的产品时，供应商应当列明本项目中所投的“节能产品清单”并提供相关有效证明材料。参与投标的产品中如有政府采购强制采购产品的，必须在财政部和国家发展改革委联合下发的最新一期节能产品政府采购清单之内（提供证明材料）。评标时设计节能产品的，将按《节能产品政府采购实施意见》（财库〔2004）185号〕、《国务院关于印发节能减排综合性工作方案的通知》（国发〔2007）15号〕和国家最新发布的节能产品政府采购清单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48" w:type="dxa"/>
            <w:noWrap/>
            <w:vAlign w:val="center"/>
          </w:tcPr>
          <w:p>
            <w:pPr>
              <w:wordWrap/>
              <w:topLinePunct w:val="0"/>
              <w:spacing w:line="360" w:lineRule="auto"/>
              <w:jc w:val="center"/>
            </w:pPr>
            <w:r>
              <w:rPr>
                <w:rFonts w:hint="eastAsia"/>
              </w:rPr>
              <w:t>43</w:t>
            </w:r>
          </w:p>
        </w:tc>
        <w:tc>
          <w:tcPr>
            <w:tcW w:w="2662" w:type="dxa"/>
            <w:shd w:val="clear" w:color="auto" w:fill="auto"/>
            <w:noWrap/>
            <w:vAlign w:val="center"/>
          </w:tcPr>
          <w:p>
            <w:pPr>
              <w:jc w:val="center"/>
            </w:pPr>
            <w:r>
              <w:rPr>
                <w:rFonts w:hint="eastAsia"/>
              </w:rPr>
              <w:t>解释权</w:t>
            </w:r>
          </w:p>
        </w:tc>
        <w:tc>
          <w:tcPr>
            <w:tcW w:w="6353" w:type="dxa"/>
            <w:shd w:val="clear" w:color="auto" w:fill="auto"/>
            <w:noWrap/>
            <w:vAlign w:val="center"/>
          </w:tcPr>
          <w:p>
            <w:r>
              <w:rPr>
                <w:rFonts w:hint="eastAsia"/>
              </w:rPr>
              <w:t>竞争性磋商文件未尽事宜按现行采购的有关法律法规和规定执行。</w:t>
            </w:r>
          </w:p>
          <w:p>
            <w:r>
              <w:rPr>
                <w:rFonts w:hint="eastAsia"/>
              </w:rPr>
              <w:t>竞争性磋商文件解释权归采购人和采购代理机构。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pPr>
            <w:bookmarkStart w:id="40" w:name="_Toc12193"/>
            <w:bookmarkStart w:id="41" w:name="_Toc30815"/>
            <w:r>
              <w:rPr>
                <w:rFonts w:hint="eastAsia"/>
              </w:rPr>
              <w:t>44</w:t>
            </w:r>
          </w:p>
        </w:tc>
        <w:tc>
          <w:tcPr>
            <w:tcW w:w="2662" w:type="dxa"/>
            <w:shd w:val="clear" w:color="auto" w:fill="auto"/>
            <w:noWrap/>
            <w:vAlign w:val="center"/>
          </w:tcPr>
          <w:p>
            <w:pPr>
              <w:jc w:val="center"/>
            </w:pPr>
            <w:r>
              <w:rPr>
                <w:rFonts w:hint="eastAsia"/>
              </w:rPr>
              <w:t>付款方式</w:t>
            </w:r>
          </w:p>
        </w:tc>
        <w:tc>
          <w:tcPr>
            <w:tcW w:w="6353" w:type="dxa"/>
            <w:shd w:val="clear" w:color="auto" w:fill="auto"/>
            <w:noWrap/>
            <w:vAlign w:val="center"/>
          </w:tcPr>
          <w:p>
            <w:r>
              <w:rPr>
                <w:rFonts w:hint="eastAsia"/>
              </w:rPr>
              <w:t>最终以采购人签订合同为准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pPr>
            <w:r>
              <w:rPr>
                <w:rFonts w:hint="eastAsia"/>
              </w:rPr>
              <w:t>45</w:t>
            </w:r>
          </w:p>
        </w:tc>
        <w:tc>
          <w:tcPr>
            <w:tcW w:w="2662" w:type="dxa"/>
            <w:shd w:val="clear" w:color="auto" w:fill="auto"/>
            <w:noWrap/>
            <w:vAlign w:val="center"/>
          </w:tcPr>
          <w:p>
            <w:pPr>
              <w:jc w:val="center"/>
            </w:pPr>
          </w:p>
          <w:p>
            <w:pPr>
              <w:jc w:val="center"/>
            </w:pPr>
            <w:r>
              <w:rPr>
                <w:rFonts w:hint="eastAsia"/>
              </w:rPr>
              <w:t>代理服务费</w:t>
            </w:r>
          </w:p>
          <w:p>
            <w:pPr>
              <w:jc w:val="center"/>
            </w:pPr>
          </w:p>
        </w:tc>
        <w:tc>
          <w:tcPr>
            <w:tcW w:w="6353" w:type="dxa"/>
            <w:shd w:val="clear" w:color="auto" w:fill="auto"/>
            <w:noWrap/>
            <w:vAlign w:val="center"/>
          </w:tcPr>
          <w:p>
            <w:pPr>
              <w:jc w:val="left"/>
            </w:pPr>
            <w:r>
              <w:rPr>
                <w:rFonts w:hint="eastAsia"/>
                <w:lang w:val="zh-CN"/>
              </w:rPr>
              <w:t>本项目的</w:t>
            </w:r>
            <w:r>
              <w:rPr>
                <w:rFonts w:hint="eastAsia"/>
              </w:rPr>
              <w:t>采购</w:t>
            </w:r>
            <w:r>
              <w:rPr>
                <w:rFonts w:hint="eastAsia"/>
                <w:lang w:val="zh-CN"/>
              </w:rPr>
              <w:t>代理服务费，</w:t>
            </w:r>
            <w:r>
              <w:rPr>
                <w:rFonts w:hint="eastAsia"/>
              </w:rPr>
              <w:t>由成交供应商</w:t>
            </w:r>
            <w:r>
              <w:rPr>
                <w:rFonts w:hint="eastAsia"/>
                <w:lang w:val="zh-CN"/>
              </w:rPr>
              <w:t>在领取成交通知书时</w:t>
            </w:r>
            <w:r>
              <w:rPr>
                <w:rFonts w:hint="eastAsia"/>
              </w:rPr>
              <w:t>一次性向采购代理机构与采购人签订的合同金额为准支付采购代理服务费。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46</w:t>
            </w:r>
          </w:p>
        </w:tc>
        <w:tc>
          <w:tcPr>
            <w:tcW w:w="2662" w:type="dxa"/>
            <w:shd w:val="clear" w:color="auto" w:fill="auto"/>
            <w:noWrap/>
            <w:vAlign w:val="center"/>
          </w:tcPr>
          <w:p>
            <w:pPr>
              <w:jc w:val="center"/>
              <w:rPr>
                <w:rFonts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供应商</w:t>
            </w:r>
            <w:r>
              <w:rPr>
                <w:rFonts w:hint="eastAsia" w:asciiTheme="majorEastAsia" w:hAnsiTheme="majorEastAsia" w:eastAsiaTheme="majorEastAsia" w:cstheme="majorEastAsia"/>
                <w:b/>
                <w:bCs/>
                <w:color w:val="000000" w:themeColor="text1"/>
                <w:lang w:val="zh-CN"/>
                <w14:textFill>
                  <w14:solidFill>
                    <w14:schemeClr w14:val="tx1"/>
                  </w14:solidFill>
                </w14:textFill>
              </w:rPr>
              <w:t>提供下列证件的彩色扫描件加盖公章</w:t>
            </w:r>
            <w:r>
              <w:rPr>
                <w:rFonts w:hint="eastAsia" w:asciiTheme="majorEastAsia" w:hAnsiTheme="majorEastAsia" w:eastAsiaTheme="majorEastAsia" w:cstheme="majorEastAsia"/>
                <w:b/>
                <w:bCs/>
                <w:color w:val="000000" w:themeColor="text1"/>
                <w14:textFill>
                  <w14:solidFill>
                    <w14:schemeClr w14:val="tx1"/>
                  </w14:solidFill>
                </w14:textFill>
              </w:rPr>
              <w:t>进行资格</w:t>
            </w:r>
            <w:r>
              <w:rPr>
                <w:rFonts w:hint="eastAsia" w:asciiTheme="majorEastAsia" w:hAnsiTheme="majorEastAsia" w:eastAsiaTheme="majorEastAsia" w:cstheme="majorEastAsia"/>
                <w:b/>
                <w:bCs/>
                <w:color w:val="000000" w:themeColor="text1"/>
                <w:lang w:val="zh-CN"/>
                <w14:textFill>
                  <w14:solidFill>
                    <w14:schemeClr w14:val="tx1"/>
                  </w14:solidFill>
                </w14:textFill>
              </w:rPr>
              <w:t>查验</w:t>
            </w:r>
          </w:p>
        </w:tc>
        <w:tc>
          <w:tcPr>
            <w:tcW w:w="6353" w:type="dxa"/>
            <w:shd w:val="clear" w:color="auto" w:fill="auto"/>
            <w:noWrap/>
            <w:vAlign w:val="center"/>
          </w:tcPr>
          <w:p>
            <w:pPr>
              <w:numPr>
                <w:ilvl w:val="0"/>
                <w:numId w:val="5"/>
              </w:numPr>
              <w:rPr>
                <w:rFonts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法定代表人需携带法定代表人身份证明书及身份证或委托代理人需携带法人代表授权委托书及本人身份证；</w:t>
            </w:r>
          </w:p>
          <w:p>
            <w:pPr>
              <w:numPr>
                <w:ilvl w:val="0"/>
                <w:numId w:val="5"/>
              </w:numPr>
              <w:rPr>
                <w:rFonts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有效的营业执照；</w:t>
            </w:r>
          </w:p>
          <w:p>
            <w:pPr>
              <w:numPr>
                <w:ilvl w:val="0"/>
                <w:numId w:val="5"/>
              </w:numPr>
              <w:rPr>
                <w:rFonts w:asciiTheme="majorEastAsia" w:hAnsiTheme="majorEastAsia" w:eastAsiaTheme="majorEastAsia" w:cstheme="majorEastAsia"/>
                <w:b/>
                <w:bCs/>
                <w:color w:val="000000" w:themeColor="text1"/>
                <w:spacing w:val="10"/>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具有依法缴纳税收及社会保障资金证明，提供2021年1月1日以来任意一个月的缴纳税收及社保证明；</w:t>
            </w:r>
          </w:p>
          <w:p>
            <w:pPr>
              <w:numPr>
                <w:ilvl w:val="0"/>
                <w:numId w:val="5"/>
              </w:numPr>
              <w:rPr>
                <w:rFonts w:asciiTheme="majorEastAsia" w:hAnsiTheme="majorEastAsia" w:eastAsiaTheme="majorEastAsia" w:cstheme="majorEastAsia"/>
                <w:b/>
                <w:bCs/>
                <w:color w:val="000000" w:themeColor="text1"/>
                <w:spacing w:val="10"/>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具有良好的商业信誉和健全的财务会计制度（提供2021年度财务审计报告或基本开户银行出具的资信证明，不足年份以成立之日起计，提供相关财务报表）；</w:t>
            </w:r>
          </w:p>
          <w:p>
            <w:pPr>
              <w:numPr>
                <w:ilvl w:val="0"/>
                <w:numId w:val="5"/>
              </w:numPr>
              <w:rPr>
                <w:rFonts w:asciiTheme="majorEastAsia" w:hAnsiTheme="majorEastAsia" w:eastAsiaTheme="majorEastAsia" w:cstheme="majorEastAsia"/>
                <w:b/>
                <w:bCs/>
                <w:color w:val="000000" w:themeColor="text1"/>
                <w:spacing w:val="10"/>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供应商没有处于被责令停业、财产被接管、冻结、破产的状态，提供参加本次采购活动前三年内，在经营活动中无重大违法记录声明函；</w:t>
            </w:r>
          </w:p>
          <w:p>
            <w:pPr>
              <w:numPr>
                <w:ilvl w:val="0"/>
                <w:numId w:val="5"/>
              </w:numPr>
              <w:rPr>
                <w:rFonts w:asciiTheme="majorEastAsia" w:hAnsiTheme="majorEastAsia" w:eastAsiaTheme="majorEastAsia" w:cstheme="majorEastAsia"/>
                <w:b/>
                <w:bCs/>
                <w:color w:val="000000" w:themeColor="text1"/>
                <w:spacing w:val="10"/>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供应商没有被列入失信被执行人、重大税收违法案件当事人名单，须提供规范的信用报告，信用报告应通过“信用中国”网站(www.creditchina.gov.cn)下载，中国政府采购网(www.ccgp.gov.cn)查询政府采购严重违法失信行为记录名单（提供磋商公告发布之后的网站查询结果截图并加盖公章）；</w:t>
            </w:r>
          </w:p>
          <w:p>
            <w:pPr>
              <w:numPr>
                <w:ilvl w:val="0"/>
                <w:numId w:val="5"/>
              </w:numPr>
              <w:rPr>
                <w:rFonts w:asciiTheme="majorEastAsia" w:hAnsiTheme="majorEastAsia" w:eastAsiaTheme="majorEastAsia" w:cstheme="majorEastAsia"/>
                <w:b/>
                <w:bCs/>
                <w:color w:val="000000" w:themeColor="text1"/>
                <w:spacing w:val="10"/>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提供无行贿犯罪记录承诺函（承诺对象包括：投标企业、法定代表人），并对真实性负责，若承诺不实，造成的后果由供应商自行负责；</w:t>
            </w:r>
          </w:p>
          <w:p>
            <w:pPr>
              <w:numPr>
                <w:ilvl w:val="0"/>
                <w:numId w:val="5"/>
              </w:numPr>
              <w:rPr>
                <w:rFonts w:asciiTheme="majorEastAsia" w:hAnsiTheme="majorEastAsia" w:eastAsiaTheme="majorEastAsia" w:cstheme="majorEastAsia"/>
                <w:b/>
                <w:bCs/>
                <w:color w:val="000000" w:themeColor="text1"/>
                <w:spacing w:val="10"/>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若联合体投标：</w:t>
            </w:r>
            <w:r>
              <w:rPr>
                <w:rFonts w:hint="eastAsia" w:asciiTheme="majorEastAsia" w:hAnsiTheme="majorEastAsia" w:eastAsiaTheme="majorEastAsia" w:cstheme="majorEastAsia"/>
                <w:b/>
                <w:bCs/>
                <w:color w:val="000000" w:themeColor="text1"/>
                <w:kern w:val="0"/>
                <w14:textFill>
                  <w14:solidFill>
                    <w14:schemeClr w14:val="tx1"/>
                  </w14:solidFill>
                </w14:textFill>
              </w:rPr>
              <w:t>联合体各成员均应具备磋商文件要求的相应资质、</w:t>
            </w:r>
            <w:r>
              <w:rPr>
                <w:rFonts w:hint="eastAsia" w:asciiTheme="majorEastAsia" w:hAnsiTheme="majorEastAsia" w:eastAsiaTheme="majorEastAsia" w:cstheme="majorEastAsia"/>
                <w:b/>
                <w:bCs/>
                <w:color w:val="000000" w:themeColor="text1"/>
                <w14:textFill>
                  <w14:solidFill>
                    <w14:schemeClr w14:val="tx1"/>
                  </w14:solidFill>
                </w14:textFill>
              </w:rPr>
              <w:t>提供</w:t>
            </w:r>
            <w:r>
              <w:rPr>
                <w:rFonts w:hint="eastAsia" w:asciiTheme="majorEastAsia" w:hAnsiTheme="majorEastAsia" w:eastAsiaTheme="majorEastAsia" w:cstheme="majorEastAsia"/>
                <w:b/>
                <w:bCs/>
                <w:color w:val="000000" w:themeColor="text1"/>
                <w:kern w:val="0"/>
                <w14:textFill>
                  <w14:solidFill>
                    <w14:schemeClr w14:val="tx1"/>
                  </w14:solidFill>
                </w14:textFill>
              </w:rPr>
              <w:t>联合体协议书，加盖各成员单位公章，联合体各成员单位间必须签订联合体协议，协议中必须明确联合体牵头人。（在投标时提交联合体协议并注明牵头人及各方拟承担的工作和责任，联合体各方应当共同与招标单位签订服务合同，就服务项目承担连带责任。）</w:t>
            </w:r>
          </w:p>
          <w:p>
            <w:pPr>
              <w:spacing w:line="360" w:lineRule="auto"/>
              <w:rPr>
                <w:rFonts w:asciiTheme="majorEastAsia" w:hAnsiTheme="majorEastAsia" w:eastAsiaTheme="majorEastAsia" w:cstheme="majorEastAsia"/>
                <w:b/>
                <w:bCs/>
                <w:color w:val="000000" w:themeColor="text1"/>
                <w:spacing w:val="-12"/>
                <w14:textFill>
                  <w14:solidFill>
                    <w14:schemeClr w14:val="tx1"/>
                  </w14:solidFill>
                </w14:textFill>
              </w:rPr>
            </w:pPr>
            <w:r>
              <w:rPr>
                <w:rFonts w:hint="eastAsia" w:asciiTheme="majorEastAsia" w:hAnsiTheme="majorEastAsia" w:eastAsiaTheme="majorEastAsia" w:cstheme="majorEastAsia"/>
                <w:b/>
                <w:bCs/>
                <w:color w:val="000000" w:themeColor="text1"/>
                <w:spacing w:val="-12"/>
                <w14:textFill>
                  <w14:solidFill>
                    <w14:schemeClr w14:val="tx1"/>
                  </w14:solidFill>
                </w14:textFill>
              </w:rPr>
              <w:t xml:space="preserve">（9）磋商保证金缴纳凭证加盖公章（以电汇或网银转账）或磋商保证金收据原件（以支票、汇票、本票等非现金形式）或者金融机构、担保机构出具的保函原件，监督部门在磋商会现场对上述资料原件得扫描件进行查验。 </w:t>
            </w:r>
          </w:p>
          <w:p>
            <w:pPr>
              <w:jc w:val="left"/>
              <w:rPr>
                <w:rFonts w:asciiTheme="majorEastAsia" w:hAnsiTheme="majorEastAsia" w:eastAsiaTheme="majorEastAsia" w:cstheme="majorEastAsia"/>
                <w:b/>
                <w:bCs/>
                <w:color w:val="000000" w:themeColor="text1"/>
                <w:lang w:val="zh-CN"/>
                <w14:textFill>
                  <w14:solidFill>
                    <w14:schemeClr w14:val="tx1"/>
                  </w14:solidFill>
                </w14:textFill>
              </w:rPr>
            </w:pPr>
            <w:r>
              <w:rPr>
                <w:rFonts w:hint="eastAsia" w:asciiTheme="majorEastAsia" w:hAnsiTheme="majorEastAsia" w:eastAsiaTheme="majorEastAsia" w:cstheme="majorEastAsia"/>
                <w:b/>
                <w:bCs/>
                <w:color w:val="000000" w:themeColor="text1"/>
                <w:spacing w:val="-12"/>
                <w14:textFill>
                  <w14:solidFill>
                    <w14:schemeClr w14:val="tx1"/>
                  </w14:solidFill>
                </w14:textFill>
              </w:rPr>
              <w:t>注：供应商不能全部提供上述资料的其磋商文件按无效标处理。以上缺少任何一项为未通过资格查验，响应文件将不予以接受。</w:t>
            </w:r>
          </w:p>
        </w:tc>
      </w:tr>
    </w:tbl>
    <w:p>
      <w:pPr>
        <w:pStyle w:val="42"/>
        <w:numPr>
          <w:ilvl w:val="1"/>
          <w:numId w:val="0"/>
        </w:numPr>
        <w:tabs>
          <w:tab w:val="left" w:pos="360"/>
        </w:tabs>
        <w:snapToGrid w:val="0"/>
        <w:spacing w:line="360" w:lineRule="auto"/>
        <w:jc w:val="both"/>
        <w:outlineLvl w:val="1"/>
        <w:rPr>
          <w:rFonts w:hAnsi="宋体" w:cs="黑体"/>
          <w:b/>
          <w:color w:val="auto"/>
        </w:rPr>
      </w:pPr>
    </w:p>
    <w:p>
      <w:pPr>
        <w:pStyle w:val="42"/>
        <w:numPr>
          <w:ilvl w:val="1"/>
          <w:numId w:val="0"/>
        </w:numPr>
        <w:tabs>
          <w:tab w:val="left" w:pos="360"/>
        </w:tabs>
        <w:snapToGrid w:val="0"/>
        <w:spacing w:line="360" w:lineRule="auto"/>
        <w:jc w:val="both"/>
        <w:outlineLvl w:val="1"/>
        <w:rPr>
          <w:rFonts w:hAnsi="宋体" w:cs="黑体"/>
          <w:b/>
          <w:color w:val="auto"/>
        </w:rPr>
      </w:pPr>
      <w:r>
        <w:rPr>
          <w:rFonts w:hint="eastAsia" w:hAnsi="宋体" w:cs="黑体"/>
          <w:b/>
          <w:color w:val="auto"/>
        </w:rPr>
        <w:t>1 总则</w:t>
      </w:r>
      <w:bookmarkEnd w:id="40"/>
      <w:bookmarkEnd w:id="41"/>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42" w:name="_Toc428351629"/>
      <w:bookmarkStart w:id="43" w:name="_Toc454788009"/>
      <w:bookmarkStart w:id="44" w:name="_Toc27089"/>
      <w:bookmarkStart w:id="45" w:name="_Toc455678100"/>
      <w:bookmarkStart w:id="46" w:name="_Toc277149365"/>
      <w:bookmarkStart w:id="47" w:name="_Toc428276569"/>
      <w:bookmarkStart w:id="48" w:name="_Toc13394"/>
      <w:bookmarkStart w:id="49" w:name="_Toc462934274"/>
      <w:bookmarkStart w:id="50" w:name="_Toc25531"/>
      <w:bookmarkStart w:id="51" w:name="_Toc463011253"/>
      <w:r>
        <w:rPr>
          <w:rFonts w:hint="eastAsia" w:hAnsi="宋体" w:cs="黑体"/>
          <w:b/>
          <w:color w:val="auto"/>
          <w:sz w:val="21"/>
          <w:szCs w:val="21"/>
        </w:rPr>
        <w:t>项目概况</w:t>
      </w:r>
      <w:bookmarkEnd w:id="42"/>
      <w:bookmarkEnd w:id="43"/>
      <w:bookmarkEnd w:id="44"/>
      <w:bookmarkEnd w:id="45"/>
      <w:bookmarkEnd w:id="46"/>
      <w:bookmarkEnd w:id="47"/>
      <w:bookmarkEnd w:id="48"/>
      <w:bookmarkEnd w:id="49"/>
      <w:bookmarkEnd w:id="50"/>
      <w:bookmarkEnd w:id="51"/>
    </w:p>
    <w:p>
      <w:pPr>
        <w:wordWrap/>
        <w:topLinePunct w:val="0"/>
        <w:adjustRightInd w:val="0"/>
        <w:snapToGrid w:val="0"/>
        <w:spacing w:line="360" w:lineRule="auto"/>
        <w:ind w:firstLine="420" w:firstLineChars="200"/>
        <w:rPr>
          <w:rFonts w:cs="Times New Roman"/>
        </w:rPr>
      </w:pPr>
      <w:r>
        <w:rPr>
          <w:rFonts w:hint="eastAsia" w:cs="Times New Roman"/>
        </w:rPr>
        <w:t>根据《中华人民共和国政府采购法》《中华人民共和国政府采购法实施条例》等有关法律、法规和规章的规定，本采购项目已具备竞争性磋商条件，现对本项目进行竞争性磋商。</w:t>
      </w:r>
    </w:p>
    <w:p>
      <w:pPr>
        <w:pStyle w:val="42"/>
        <w:numPr>
          <w:ilvl w:val="2"/>
          <w:numId w:val="6"/>
        </w:numPr>
        <w:tabs>
          <w:tab w:val="left" w:pos="0"/>
          <w:tab w:val="clear" w:pos="1418"/>
        </w:tabs>
        <w:snapToGrid w:val="0"/>
        <w:spacing w:line="360" w:lineRule="auto"/>
        <w:ind w:left="420" w:leftChars="200" w:firstLine="0"/>
        <w:rPr>
          <w:rFonts w:hAnsi="宋体" w:cs="黑体"/>
          <w:color w:val="auto"/>
          <w:sz w:val="21"/>
          <w:szCs w:val="21"/>
        </w:rPr>
      </w:pPr>
      <w:r>
        <w:rPr>
          <w:rFonts w:hint="eastAsia" w:hAnsi="宋体" w:cs="黑体"/>
          <w:color w:val="auto"/>
          <w:sz w:val="21"/>
          <w:szCs w:val="21"/>
        </w:rPr>
        <w:t>采购人：《供应商须知前附表》中所述的，依法进行政府采购的国家机关、事业单位、团体组织。</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采购代理机构：受采购人委托组织采购活动，在采购过程中负有相应责任的社会中介组织。</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采购方式：见《供应商须知前附表》。</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项目名称及采购编号：见《供应商须知前附表》。</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建设地点：见《供应商须知前附表》。</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52" w:name="_Toc454788010"/>
      <w:bookmarkStart w:id="53" w:name="_Toc455678101"/>
      <w:bookmarkStart w:id="54" w:name="_Toc29176"/>
      <w:bookmarkStart w:id="55" w:name="_Toc270604804"/>
      <w:bookmarkStart w:id="56" w:name="_Toc19738"/>
      <w:bookmarkStart w:id="57" w:name="_Toc13259"/>
      <w:bookmarkStart w:id="58" w:name="_Toc428351630"/>
      <w:bookmarkStart w:id="59" w:name="_Toc269470296"/>
      <w:bookmarkStart w:id="60" w:name="_Toc277149366"/>
      <w:bookmarkStart w:id="61" w:name="_Toc462934275"/>
      <w:bookmarkStart w:id="62" w:name="_Toc270604577"/>
      <w:bookmarkStart w:id="63" w:name="_Toc463011254"/>
      <w:bookmarkStart w:id="64" w:name="_Toc428276570"/>
      <w:r>
        <w:rPr>
          <w:rFonts w:hint="eastAsia" w:hAnsi="宋体" w:cs="黑体"/>
          <w:b/>
          <w:color w:val="auto"/>
          <w:sz w:val="21"/>
          <w:szCs w:val="21"/>
        </w:rPr>
        <w:t>资金来源和落实情况</w:t>
      </w:r>
      <w:bookmarkEnd w:id="52"/>
      <w:bookmarkEnd w:id="53"/>
      <w:bookmarkEnd w:id="54"/>
      <w:bookmarkEnd w:id="55"/>
      <w:bookmarkEnd w:id="56"/>
      <w:bookmarkEnd w:id="57"/>
      <w:bookmarkEnd w:id="58"/>
      <w:bookmarkEnd w:id="59"/>
      <w:bookmarkEnd w:id="60"/>
      <w:bookmarkEnd w:id="61"/>
      <w:bookmarkEnd w:id="62"/>
      <w:bookmarkEnd w:id="63"/>
      <w:bookmarkEnd w:id="64"/>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资金来源：见《供应商须知前附表》。</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采购预算金额：见《供应商须知前附表》。</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采购项目性质：见《供应商须知前附表》。</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资金落实情况：见《供应商须知前附表》。</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65" w:name="_Toc428351631"/>
      <w:bookmarkStart w:id="66" w:name="_Toc269470297"/>
      <w:bookmarkStart w:id="67" w:name="_Toc74"/>
      <w:bookmarkStart w:id="68" w:name="_Toc277149367"/>
      <w:bookmarkStart w:id="69" w:name="_Toc270604578"/>
      <w:bookmarkStart w:id="70" w:name="_Toc9637"/>
      <w:bookmarkStart w:id="71" w:name="_Toc462934276"/>
      <w:bookmarkStart w:id="72" w:name="_Toc455678102"/>
      <w:bookmarkStart w:id="73" w:name="_Toc428276571"/>
      <w:bookmarkStart w:id="74" w:name="_Toc20155"/>
      <w:bookmarkStart w:id="75" w:name="_Toc270604805"/>
      <w:bookmarkStart w:id="76" w:name="_Toc463011255"/>
      <w:bookmarkStart w:id="77" w:name="_Toc454788011"/>
      <w:r>
        <w:rPr>
          <w:rFonts w:hint="eastAsia" w:hAnsi="宋体" w:cs="黑体"/>
          <w:b/>
          <w:color w:val="auto"/>
          <w:sz w:val="21"/>
          <w:szCs w:val="21"/>
        </w:rPr>
        <w:t>采购范围、合同履行期限和质量</w:t>
      </w:r>
      <w:bookmarkEnd w:id="65"/>
      <w:bookmarkEnd w:id="66"/>
      <w:bookmarkEnd w:id="67"/>
      <w:bookmarkEnd w:id="68"/>
      <w:bookmarkEnd w:id="69"/>
      <w:bookmarkEnd w:id="70"/>
      <w:bookmarkEnd w:id="71"/>
      <w:bookmarkEnd w:id="72"/>
      <w:bookmarkEnd w:id="73"/>
      <w:bookmarkEnd w:id="74"/>
      <w:bookmarkEnd w:id="75"/>
      <w:bookmarkEnd w:id="76"/>
      <w:bookmarkEnd w:id="77"/>
      <w:r>
        <w:rPr>
          <w:rFonts w:hint="eastAsia" w:hAnsi="宋体" w:cs="黑体"/>
          <w:b/>
          <w:color w:val="auto"/>
          <w:sz w:val="21"/>
          <w:szCs w:val="21"/>
        </w:rPr>
        <w:t>标准</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采购范围：见《供应商须知前附表》。</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合同履行期限：见《供应商须知前附表》。</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质量标准：见《供应商须知前附表》。</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78" w:name="_Toc270604579"/>
      <w:bookmarkStart w:id="79" w:name="_Toc454788012"/>
      <w:bookmarkStart w:id="80" w:name="_Toc16958"/>
      <w:bookmarkStart w:id="81" w:name="_Toc463011256"/>
      <w:bookmarkStart w:id="82" w:name="_Toc277149368"/>
      <w:bookmarkStart w:id="83" w:name="_Toc428276572"/>
      <w:bookmarkStart w:id="84" w:name="_Toc11519"/>
      <w:bookmarkStart w:id="85" w:name="_Toc270604806"/>
      <w:bookmarkStart w:id="86" w:name="_Toc269470298"/>
      <w:bookmarkStart w:id="87" w:name="_Toc455678103"/>
      <w:bookmarkStart w:id="88" w:name="_Toc462934277"/>
      <w:bookmarkStart w:id="89" w:name="_Toc428351632"/>
      <w:bookmarkStart w:id="90" w:name="_Toc6648"/>
      <w:r>
        <w:rPr>
          <w:rFonts w:hint="eastAsia" w:hAnsi="宋体" w:cs="黑体"/>
          <w:b/>
          <w:color w:val="auto"/>
          <w:sz w:val="21"/>
          <w:szCs w:val="21"/>
        </w:rPr>
        <w:t>供应商资格要求</w:t>
      </w:r>
      <w:bookmarkEnd w:id="78"/>
      <w:bookmarkEnd w:id="79"/>
      <w:bookmarkEnd w:id="80"/>
      <w:bookmarkEnd w:id="81"/>
      <w:bookmarkEnd w:id="82"/>
      <w:bookmarkEnd w:id="83"/>
      <w:bookmarkEnd w:id="84"/>
      <w:bookmarkEnd w:id="85"/>
      <w:bookmarkEnd w:id="86"/>
      <w:bookmarkEnd w:id="87"/>
      <w:bookmarkEnd w:id="88"/>
      <w:bookmarkEnd w:id="89"/>
      <w:bookmarkEnd w:id="90"/>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供应商应具备的资格条件：见《供应商须知前附表》</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供应商不得存在下列情形之一：</w:t>
      </w:r>
    </w:p>
    <w:p>
      <w:pPr>
        <w:numPr>
          <w:ilvl w:val="0"/>
          <w:numId w:val="7"/>
        </w:numPr>
        <w:wordWrap/>
        <w:topLinePunct w:val="0"/>
        <w:autoSpaceDE w:val="0"/>
        <w:autoSpaceDN w:val="0"/>
        <w:adjustRightInd w:val="0"/>
        <w:snapToGrid w:val="0"/>
        <w:spacing w:line="360" w:lineRule="auto"/>
        <w:ind w:left="0" w:right="40" w:firstLine="420" w:firstLineChars="200"/>
        <w:jc w:val="left"/>
        <w:rPr>
          <w:rFonts w:cs="微软雅黑"/>
          <w:kern w:val="0"/>
        </w:rPr>
      </w:pPr>
      <w:bookmarkStart w:id="91" w:name="_Toc19948"/>
      <w:bookmarkStart w:id="92" w:name="_Toc454788013"/>
      <w:bookmarkStart w:id="93" w:name="_Toc462934278"/>
      <w:bookmarkStart w:id="94" w:name="_Toc28593"/>
      <w:bookmarkStart w:id="95" w:name="_Toc270604580"/>
      <w:bookmarkStart w:id="96" w:name="_Toc428276573"/>
      <w:bookmarkStart w:id="97" w:name="_Toc270604807"/>
      <w:bookmarkStart w:id="98" w:name="_Toc14128"/>
      <w:bookmarkStart w:id="99" w:name="_Toc277149369"/>
      <w:bookmarkStart w:id="100" w:name="_Toc455678104"/>
      <w:bookmarkStart w:id="101" w:name="_Toc269470299"/>
      <w:bookmarkStart w:id="102" w:name="_Toc463011257"/>
      <w:bookmarkStart w:id="103" w:name="_Toc428351633"/>
      <w:r>
        <w:rPr>
          <w:rFonts w:hint="eastAsia" w:cs="微软雅黑"/>
          <w:kern w:val="0"/>
        </w:rPr>
        <w:t>与采购人存在利害关系且可能影响磋商公正性；</w:t>
      </w:r>
    </w:p>
    <w:p>
      <w:pPr>
        <w:numPr>
          <w:ilvl w:val="0"/>
          <w:numId w:val="7"/>
        </w:numPr>
        <w:wordWrap/>
        <w:topLinePunct w:val="0"/>
        <w:autoSpaceDE w:val="0"/>
        <w:autoSpaceDN w:val="0"/>
        <w:adjustRightInd w:val="0"/>
        <w:snapToGrid w:val="0"/>
        <w:spacing w:line="360" w:lineRule="auto"/>
        <w:ind w:left="0" w:right="40" w:firstLine="420" w:firstLineChars="200"/>
        <w:jc w:val="left"/>
        <w:rPr>
          <w:rFonts w:cs="微软雅黑"/>
          <w:kern w:val="0"/>
        </w:rPr>
      </w:pPr>
      <w:r>
        <w:rPr>
          <w:rFonts w:hint="eastAsia" w:cs="微软雅黑"/>
          <w:kern w:val="0"/>
        </w:rPr>
        <w:t>与本磋商项目的其他供应商为同一个单位负责人；</w:t>
      </w:r>
    </w:p>
    <w:p>
      <w:pPr>
        <w:numPr>
          <w:ilvl w:val="0"/>
          <w:numId w:val="7"/>
        </w:numPr>
        <w:wordWrap/>
        <w:topLinePunct w:val="0"/>
        <w:autoSpaceDE w:val="0"/>
        <w:autoSpaceDN w:val="0"/>
        <w:adjustRightInd w:val="0"/>
        <w:snapToGrid w:val="0"/>
        <w:spacing w:line="360" w:lineRule="auto"/>
        <w:ind w:left="0" w:right="40" w:firstLine="420" w:firstLineChars="200"/>
        <w:jc w:val="left"/>
        <w:rPr>
          <w:rFonts w:cs="微软雅黑"/>
          <w:kern w:val="0"/>
        </w:rPr>
      </w:pPr>
      <w:r>
        <w:rPr>
          <w:rFonts w:hint="eastAsia" w:cs="微软雅黑"/>
          <w:kern w:val="0"/>
        </w:rPr>
        <w:t>与本磋商项目的其他供应商存在控股、管理关系；</w:t>
      </w:r>
    </w:p>
    <w:p>
      <w:pPr>
        <w:numPr>
          <w:ilvl w:val="0"/>
          <w:numId w:val="7"/>
        </w:numPr>
        <w:wordWrap/>
        <w:topLinePunct w:val="0"/>
        <w:autoSpaceDE w:val="0"/>
        <w:autoSpaceDN w:val="0"/>
        <w:adjustRightInd w:val="0"/>
        <w:snapToGrid w:val="0"/>
        <w:spacing w:line="360" w:lineRule="auto"/>
        <w:ind w:left="0" w:right="40" w:firstLine="420" w:firstLineChars="200"/>
        <w:jc w:val="left"/>
        <w:rPr>
          <w:rFonts w:cs="微软雅黑"/>
          <w:kern w:val="0"/>
        </w:rPr>
      </w:pPr>
      <w:r>
        <w:rPr>
          <w:rFonts w:hint="eastAsia" w:cs="微软雅黑"/>
          <w:kern w:val="0"/>
        </w:rPr>
        <w:t>为本磋商项目提供过整体设计、规范编制或者项目管理、监理、检测等服务；</w:t>
      </w:r>
    </w:p>
    <w:p>
      <w:pPr>
        <w:numPr>
          <w:ilvl w:val="0"/>
          <w:numId w:val="7"/>
        </w:numPr>
        <w:wordWrap/>
        <w:topLinePunct w:val="0"/>
        <w:autoSpaceDE w:val="0"/>
        <w:autoSpaceDN w:val="0"/>
        <w:adjustRightInd w:val="0"/>
        <w:snapToGrid w:val="0"/>
        <w:spacing w:line="360" w:lineRule="auto"/>
        <w:ind w:left="0" w:right="40" w:firstLine="420" w:firstLineChars="200"/>
        <w:jc w:val="left"/>
        <w:rPr>
          <w:rFonts w:cs="微软雅黑"/>
          <w:kern w:val="0"/>
        </w:rPr>
      </w:pPr>
      <w:r>
        <w:rPr>
          <w:rFonts w:hint="eastAsia" w:cs="微软雅黑"/>
          <w:kern w:val="0"/>
        </w:rPr>
        <w:t>为本磋商项目的采购代理机构；</w:t>
      </w:r>
    </w:p>
    <w:p>
      <w:pPr>
        <w:numPr>
          <w:ilvl w:val="0"/>
          <w:numId w:val="7"/>
        </w:numPr>
        <w:wordWrap/>
        <w:topLinePunct w:val="0"/>
        <w:autoSpaceDE w:val="0"/>
        <w:autoSpaceDN w:val="0"/>
        <w:adjustRightInd w:val="0"/>
        <w:snapToGrid w:val="0"/>
        <w:spacing w:line="360" w:lineRule="auto"/>
        <w:ind w:left="0" w:right="40" w:firstLine="420" w:firstLineChars="200"/>
        <w:jc w:val="left"/>
        <w:rPr>
          <w:rFonts w:cs="微软雅黑"/>
          <w:kern w:val="0"/>
        </w:rPr>
      </w:pPr>
      <w:r>
        <w:rPr>
          <w:rFonts w:hint="eastAsia" w:cs="微软雅黑"/>
          <w:kern w:val="0"/>
        </w:rPr>
        <w:t>供应商以他人名义投标、串通投标、以行贿手段牟取中标，或在投标中弄虚作假的；</w:t>
      </w:r>
    </w:p>
    <w:p>
      <w:pPr>
        <w:numPr>
          <w:ilvl w:val="0"/>
          <w:numId w:val="7"/>
        </w:numPr>
        <w:wordWrap/>
        <w:topLinePunct w:val="0"/>
        <w:autoSpaceDE w:val="0"/>
        <w:autoSpaceDN w:val="0"/>
        <w:adjustRightInd w:val="0"/>
        <w:snapToGrid w:val="0"/>
        <w:spacing w:line="360" w:lineRule="auto"/>
        <w:ind w:left="0" w:right="40" w:firstLine="420" w:firstLineChars="200"/>
        <w:jc w:val="left"/>
      </w:pPr>
      <w:r>
        <w:rPr>
          <w:rFonts w:hint="eastAsia" w:cs="微软雅黑"/>
          <w:kern w:val="0"/>
        </w:rPr>
        <w:t>法律法规规定的其他情形。</w:t>
      </w:r>
    </w:p>
    <w:bookmarkEnd w:id="91"/>
    <w:bookmarkEnd w:id="92"/>
    <w:bookmarkEnd w:id="93"/>
    <w:bookmarkEnd w:id="94"/>
    <w:bookmarkEnd w:id="95"/>
    <w:bookmarkEnd w:id="96"/>
    <w:bookmarkEnd w:id="97"/>
    <w:bookmarkEnd w:id="98"/>
    <w:bookmarkEnd w:id="99"/>
    <w:bookmarkEnd w:id="100"/>
    <w:bookmarkEnd w:id="101"/>
    <w:bookmarkEnd w:id="102"/>
    <w:bookmarkEnd w:id="103"/>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104" w:name="_Toc32336"/>
      <w:r>
        <w:rPr>
          <w:rFonts w:hint="eastAsia" w:hAnsi="宋体" w:cs="黑体"/>
          <w:b/>
          <w:color w:val="auto"/>
          <w:sz w:val="21"/>
          <w:szCs w:val="21"/>
        </w:rPr>
        <w:t>费用承担</w:t>
      </w:r>
    </w:p>
    <w:p>
      <w:pPr>
        <w:wordWrap/>
        <w:topLinePunct w:val="0"/>
        <w:adjustRightInd w:val="0"/>
        <w:snapToGrid w:val="0"/>
        <w:spacing w:line="360" w:lineRule="auto"/>
        <w:ind w:left="420" w:leftChars="200"/>
      </w:pPr>
      <w:r>
        <w:rPr>
          <w:rFonts w:hint="eastAsia"/>
        </w:rPr>
        <w:t>供应商准备和参加竞争性磋商活动发生的费用自理。</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保密</w:t>
      </w:r>
      <w:bookmarkEnd w:id="104"/>
    </w:p>
    <w:p>
      <w:pPr>
        <w:wordWrap/>
        <w:topLinePunct w:val="0"/>
        <w:adjustRightInd w:val="0"/>
        <w:snapToGrid w:val="0"/>
        <w:spacing w:line="360" w:lineRule="auto"/>
        <w:ind w:firstLine="420" w:firstLineChars="200"/>
      </w:pPr>
      <w:bookmarkStart w:id="105" w:name="_Toc270604582"/>
      <w:bookmarkStart w:id="106" w:name="_Toc428351635"/>
      <w:bookmarkStart w:id="107" w:name="_Toc463011259"/>
      <w:bookmarkStart w:id="108" w:name="_Toc454788015"/>
      <w:bookmarkStart w:id="109" w:name="_Toc7606"/>
      <w:bookmarkStart w:id="110" w:name="_Toc428276575"/>
      <w:bookmarkStart w:id="111" w:name="_Toc455678106"/>
      <w:bookmarkStart w:id="112" w:name="_Toc269470301"/>
      <w:bookmarkStart w:id="113" w:name="_Toc462934280"/>
      <w:bookmarkStart w:id="114" w:name="_Toc277149371"/>
      <w:bookmarkStart w:id="115" w:name="_Toc270604809"/>
      <w:bookmarkStart w:id="116" w:name="_Toc19438"/>
      <w:r>
        <w:rPr>
          <w:rFonts w:hint="eastAsia"/>
        </w:rPr>
        <w:t>参与竞争性磋商活动的各方应对竞争性磋商文件和响应文件中的商业和技术等秘密保密，否则应承担相应的法律责任。</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117" w:name="_Toc25734"/>
      <w:r>
        <w:rPr>
          <w:rFonts w:hint="eastAsia" w:hAnsi="宋体" w:cs="黑体"/>
          <w:b/>
          <w:color w:val="auto"/>
          <w:sz w:val="21"/>
          <w:szCs w:val="21"/>
        </w:rPr>
        <w:t>语言文字</w:t>
      </w:r>
      <w:bookmarkEnd w:id="105"/>
      <w:bookmarkEnd w:id="106"/>
      <w:bookmarkEnd w:id="107"/>
      <w:bookmarkEnd w:id="108"/>
      <w:bookmarkEnd w:id="109"/>
      <w:bookmarkEnd w:id="110"/>
      <w:bookmarkEnd w:id="111"/>
      <w:bookmarkEnd w:id="112"/>
      <w:bookmarkEnd w:id="113"/>
      <w:bookmarkEnd w:id="114"/>
      <w:bookmarkEnd w:id="115"/>
      <w:bookmarkEnd w:id="116"/>
      <w:bookmarkEnd w:id="117"/>
    </w:p>
    <w:p>
      <w:pPr>
        <w:wordWrap/>
        <w:topLinePunct w:val="0"/>
        <w:adjustRightInd w:val="0"/>
        <w:snapToGrid w:val="0"/>
        <w:spacing w:line="360" w:lineRule="auto"/>
        <w:ind w:firstLine="420" w:firstLineChars="200"/>
      </w:pPr>
      <w:bookmarkStart w:id="118" w:name="_Toc9894"/>
      <w:bookmarkStart w:id="119" w:name="_Toc463011260"/>
      <w:bookmarkStart w:id="120" w:name="_Toc270604583"/>
      <w:bookmarkStart w:id="121" w:name="_Toc29299"/>
      <w:bookmarkStart w:id="122" w:name="_Toc277149372"/>
      <w:bookmarkStart w:id="123" w:name="_Toc462934281"/>
      <w:bookmarkStart w:id="124" w:name="_Toc270604810"/>
      <w:bookmarkStart w:id="125" w:name="_Toc269470302"/>
      <w:bookmarkStart w:id="126" w:name="_Toc428276576"/>
      <w:bookmarkStart w:id="127" w:name="_Toc454788016"/>
      <w:bookmarkStart w:id="128" w:name="_Toc455678107"/>
      <w:bookmarkStart w:id="129" w:name="_Toc428351636"/>
      <w:r>
        <w:rPr>
          <w:rFonts w:hint="eastAsia"/>
          <w:kern w:val="0"/>
        </w:rPr>
        <w:t>竞争性磋商文件及响应文件</w:t>
      </w:r>
      <w:r>
        <w:rPr>
          <w:rFonts w:hint="eastAsia"/>
          <w:spacing w:val="-2"/>
          <w:kern w:val="0"/>
        </w:rPr>
        <w:t>使</w:t>
      </w:r>
      <w:r>
        <w:rPr>
          <w:rFonts w:hint="eastAsia"/>
          <w:kern w:val="0"/>
        </w:rPr>
        <w:t>用语</w:t>
      </w:r>
      <w:r>
        <w:rPr>
          <w:rFonts w:hint="eastAsia"/>
          <w:spacing w:val="-2"/>
          <w:kern w:val="0"/>
        </w:rPr>
        <w:t>言</w:t>
      </w:r>
      <w:r>
        <w:rPr>
          <w:rFonts w:hint="eastAsia"/>
          <w:kern w:val="0"/>
        </w:rPr>
        <w:t>文字应</w:t>
      </w:r>
      <w:r>
        <w:rPr>
          <w:rFonts w:hint="eastAsia"/>
          <w:spacing w:val="-2"/>
          <w:kern w:val="0"/>
        </w:rPr>
        <w:t>为</w:t>
      </w:r>
      <w:r>
        <w:rPr>
          <w:rFonts w:hint="eastAsia"/>
          <w:kern w:val="0"/>
        </w:rPr>
        <w:t>中</w:t>
      </w:r>
      <w:r>
        <w:rPr>
          <w:rFonts w:hint="eastAsia"/>
          <w:spacing w:val="-2"/>
          <w:kern w:val="0"/>
        </w:rPr>
        <w:t>文</w:t>
      </w:r>
      <w:r>
        <w:rPr>
          <w:rFonts w:hint="eastAsia"/>
          <w:kern w:val="0"/>
        </w:rPr>
        <w:t>。</w:t>
      </w:r>
      <w:r>
        <w:rPr>
          <w:rFonts w:hint="eastAsia"/>
          <w:spacing w:val="-2"/>
          <w:kern w:val="0"/>
        </w:rPr>
        <w:t>专</w:t>
      </w:r>
      <w:r>
        <w:rPr>
          <w:rFonts w:hint="eastAsia"/>
          <w:kern w:val="0"/>
        </w:rPr>
        <w:t>用</w:t>
      </w:r>
      <w:r>
        <w:rPr>
          <w:rFonts w:hint="eastAsia"/>
          <w:spacing w:val="-2"/>
          <w:kern w:val="0"/>
        </w:rPr>
        <w:t>术</w:t>
      </w:r>
      <w:r>
        <w:rPr>
          <w:rFonts w:hint="eastAsia"/>
          <w:kern w:val="0"/>
        </w:rPr>
        <w:t>语</w:t>
      </w:r>
      <w:r>
        <w:rPr>
          <w:rFonts w:hint="eastAsia"/>
          <w:spacing w:val="-2"/>
          <w:kern w:val="0"/>
        </w:rPr>
        <w:t>使</w:t>
      </w:r>
      <w:r>
        <w:rPr>
          <w:rFonts w:hint="eastAsia"/>
          <w:kern w:val="0"/>
        </w:rPr>
        <w:t>用外</w:t>
      </w:r>
      <w:r>
        <w:rPr>
          <w:rFonts w:hint="eastAsia"/>
          <w:spacing w:val="-2"/>
          <w:kern w:val="0"/>
        </w:rPr>
        <w:t>文</w:t>
      </w:r>
      <w:r>
        <w:rPr>
          <w:rFonts w:hint="eastAsia"/>
          <w:kern w:val="0"/>
        </w:rPr>
        <w:t>的</w:t>
      </w:r>
      <w:r>
        <w:rPr>
          <w:rFonts w:hint="eastAsia"/>
          <w:spacing w:val="-2"/>
          <w:kern w:val="0"/>
        </w:rPr>
        <w:t>，</w:t>
      </w:r>
      <w:r>
        <w:rPr>
          <w:rFonts w:hint="eastAsia"/>
          <w:kern w:val="0"/>
        </w:rPr>
        <w:t>应</w:t>
      </w:r>
      <w:r>
        <w:rPr>
          <w:rFonts w:hint="eastAsia"/>
          <w:spacing w:val="-2"/>
          <w:kern w:val="0"/>
        </w:rPr>
        <w:t>附</w:t>
      </w:r>
      <w:r>
        <w:rPr>
          <w:rFonts w:hint="eastAsia"/>
          <w:kern w:val="0"/>
        </w:rPr>
        <w:t>有</w:t>
      </w:r>
      <w:r>
        <w:rPr>
          <w:rFonts w:hint="eastAsia"/>
          <w:spacing w:val="-2"/>
          <w:kern w:val="0"/>
        </w:rPr>
        <w:t>中</w:t>
      </w:r>
      <w:r>
        <w:rPr>
          <w:rFonts w:hint="eastAsia"/>
          <w:kern w:val="0"/>
        </w:rPr>
        <w:t>文</w:t>
      </w:r>
      <w:r>
        <w:rPr>
          <w:rFonts w:hint="eastAsia"/>
          <w:spacing w:val="-2"/>
          <w:kern w:val="0"/>
        </w:rPr>
        <w:t>注</w:t>
      </w:r>
      <w:r>
        <w:rPr>
          <w:rFonts w:hint="eastAsia"/>
          <w:kern w:val="0"/>
        </w:rPr>
        <w:t>释</w:t>
      </w:r>
      <w:r>
        <w:rPr>
          <w:rFonts w:hint="eastAsia"/>
        </w:rPr>
        <w:t>。</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130" w:name="_Toc30996"/>
      <w:r>
        <w:rPr>
          <w:rFonts w:hint="eastAsia" w:hAnsi="宋体" w:cs="黑体"/>
          <w:b/>
          <w:color w:val="auto"/>
          <w:sz w:val="21"/>
          <w:szCs w:val="21"/>
        </w:rPr>
        <w:t>计量单位</w:t>
      </w:r>
      <w:bookmarkEnd w:id="118"/>
      <w:bookmarkEnd w:id="119"/>
      <w:bookmarkEnd w:id="120"/>
      <w:bookmarkEnd w:id="121"/>
      <w:bookmarkEnd w:id="122"/>
      <w:bookmarkEnd w:id="123"/>
      <w:bookmarkEnd w:id="124"/>
      <w:bookmarkEnd w:id="125"/>
      <w:bookmarkEnd w:id="126"/>
      <w:bookmarkEnd w:id="127"/>
      <w:bookmarkEnd w:id="128"/>
      <w:bookmarkEnd w:id="129"/>
      <w:bookmarkEnd w:id="130"/>
    </w:p>
    <w:p>
      <w:pPr>
        <w:wordWrap/>
        <w:topLinePunct w:val="0"/>
        <w:adjustRightInd w:val="0"/>
        <w:snapToGrid w:val="0"/>
        <w:spacing w:line="360" w:lineRule="auto"/>
        <w:ind w:left="420" w:leftChars="200"/>
      </w:pPr>
      <w:r>
        <w:rPr>
          <w:rFonts w:hint="eastAsia"/>
        </w:rPr>
        <w:t>所有计量均采用中华人民共和国法定计量标准单位。</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131" w:name="_Toc270604584"/>
      <w:bookmarkStart w:id="132" w:name="_Toc428276577"/>
      <w:bookmarkStart w:id="133" w:name="_Toc11248"/>
      <w:bookmarkStart w:id="134" w:name="_Toc428351637"/>
      <w:bookmarkStart w:id="135" w:name="_Toc462934282"/>
      <w:bookmarkStart w:id="136" w:name="_Toc270604811"/>
      <w:bookmarkStart w:id="137" w:name="_Toc269470303"/>
      <w:bookmarkStart w:id="138" w:name="_Toc7491"/>
      <w:bookmarkStart w:id="139" w:name="_Toc454788017"/>
      <w:bookmarkStart w:id="140" w:name="_Toc277149373"/>
      <w:bookmarkStart w:id="141" w:name="_Toc455678108"/>
      <w:bookmarkStart w:id="142" w:name="_Toc463011261"/>
      <w:bookmarkStart w:id="143" w:name="_Toc14349"/>
      <w:r>
        <w:rPr>
          <w:rFonts w:hint="eastAsia" w:hAnsi="宋体" w:cs="黑体"/>
          <w:b/>
          <w:color w:val="auto"/>
          <w:sz w:val="21"/>
          <w:szCs w:val="21"/>
        </w:rPr>
        <w:t>现场</w:t>
      </w:r>
      <w:bookmarkEnd w:id="131"/>
      <w:bookmarkEnd w:id="132"/>
      <w:bookmarkEnd w:id="133"/>
      <w:bookmarkEnd w:id="134"/>
      <w:bookmarkEnd w:id="135"/>
      <w:bookmarkEnd w:id="136"/>
      <w:bookmarkEnd w:id="137"/>
      <w:bookmarkEnd w:id="138"/>
      <w:bookmarkEnd w:id="139"/>
      <w:bookmarkEnd w:id="140"/>
      <w:bookmarkEnd w:id="141"/>
      <w:bookmarkEnd w:id="142"/>
      <w:r>
        <w:rPr>
          <w:rFonts w:hint="eastAsia" w:hAnsi="宋体" w:cs="黑体"/>
          <w:b/>
          <w:color w:val="auto"/>
          <w:sz w:val="21"/>
          <w:szCs w:val="21"/>
        </w:rPr>
        <w:t>考察</w:t>
      </w:r>
      <w:bookmarkEnd w:id="143"/>
      <w:r>
        <w:rPr>
          <w:rFonts w:hint="eastAsia" w:hAnsi="宋体" w:cs="黑体"/>
          <w:b/>
          <w:color w:val="auto"/>
          <w:sz w:val="21"/>
          <w:szCs w:val="21"/>
        </w:rPr>
        <w:t>或答疑会</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现场考察：供应商须知前附表规定组织现场考察的，采购人按《供应商须知前附表》规定的时间、地点组织供应商考察项目现场。部分供应商未按时参加现场考察的，不影响现场考察的正常进行。</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供应商现场考察发生的费用自理。</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除采购人的原因外，供应商自行负责在现场考察中所发生的人员伤亡和财产损失。</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采购人在现场考察中介绍的项目场地和相关的周边环境情况，供供应商在编制响应文件时参考，采购人不对供应商据此作出的判断和决策负责。</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答疑会：见《供应商须知前附表》。</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144" w:name="_Toc454788019"/>
      <w:bookmarkStart w:id="145" w:name="_Toc270604586"/>
      <w:bookmarkStart w:id="146" w:name="_Toc8646"/>
      <w:bookmarkStart w:id="147" w:name="_Toc24091"/>
      <w:bookmarkStart w:id="148" w:name="_Toc20135"/>
      <w:bookmarkStart w:id="149" w:name="_Toc462934284"/>
      <w:bookmarkStart w:id="150" w:name="_Toc455678110"/>
      <w:bookmarkStart w:id="151" w:name="_Toc463011263"/>
      <w:bookmarkStart w:id="152" w:name="_Toc428351639"/>
      <w:bookmarkStart w:id="153" w:name="_Toc428276579"/>
      <w:bookmarkStart w:id="154" w:name="_Toc269470305"/>
      <w:bookmarkStart w:id="155" w:name="_Toc270604813"/>
      <w:bookmarkStart w:id="156" w:name="_Toc277149375"/>
      <w:r>
        <w:rPr>
          <w:rFonts w:hint="eastAsia" w:hAnsi="宋体" w:cs="黑体"/>
          <w:b/>
          <w:color w:val="auto"/>
          <w:sz w:val="21"/>
          <w:szCs w:val="21"/>
        </w:rPr>
        <w:t>分包</w:t>
      </w:r>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157" w:name="_Toc277149376"/>
      <w:bookmarkStart w:id="158" w:name="_Toc270604814"/>
      <w:bookmarkStart w:id="159" w:name="_Toc10220"/>
      <w:bookmarkStart w:id="160" w:name="_Toc454788020"/>
      <w:bookmarkStart w:id="161" w:name="_Toc270604587"/>
      <w:bookmarkStart w:id="162" w:name="_Toc463011264"/>
      <w:bookmarkStart w:id="163" w:name="_Toc455678111"/>
      <w:bookmarkStart w:id="164" w:name="_Toc8513"/>
      <w:bookmarkStart w:id="165" w:name="_Toc428276580"/>
      <w:bookmarkStart w:id="166" w:name="_Toc462934285"/>
      <w:bookmarkStart w:id="167" w:name="_Toc269470306"/>
      <w:bookmarkStart w:id="168" w:name="_Toc29688"/>
      <w:bookmarkStart w:id="169" w:name="_Toc428351640"/>
      <w:r>
        <w:rPr>
          <w:rFonts w:hint="eastAsia" w:hAnsi="宋体" w:cs="黑体"/>
          <w:color w:val="auto"/>
          <w:sz w:val="21"/>
          <w:szCs w:val="21"/>
        </w:rPr>
        <w:t>供应商拟在成交后将成交项目的非主体、非关键性工作进行分包的，应符合《供应商须知前附表》规定的分包内容、分包金额和资质要求等限制性条件，除《供应商须知前附表》规定的非主体、非关键性工作外，其他工作不得分包。</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成交人不得向他人转让成交项目，接受分包的人不得再次分包。成交人应当就分包项目向采购人负责，接受分包的人就分包项目承担连带责任。</w:t>
      </w:r>
    </w:p>
    <w:bookmarkEnd w:id="157"/>
    <w:bookmarkEnd w:id="158"/>
    <w:bookmarkEnd w:id="159"/>
    <w:bookmarkEnd w:id="160"/>
    <w:bookmarkEnd w:id="161"/>
    <w:bookmarkEnd w:id="162"/>
    <w:bookmarkEnd w:id="163"/>
    <w:bookmarkEnd w:id="164"/>
    <w:bookmarkEnd w:id="165"/>
    <w:bookmarkEnd w:id="166"/>
    <w:bookmarkEnd w:id="167"/>
    <w:bookmarkEnd w:id="168"/>
    <w:bookmarkEnd w:id="169"/>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响应和偏差</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响应文件应当对竞争性磋商文件的实质性要求和条件作出满足性或更有利于采购人的响应，否则，供应商的响应文件将被否决。实质性要求和条件见《供应商须知前附表》。</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允许响应文件偏离竞争性磋商文件某些要求的，偏差应当符合竞争性磋商文件规定的偏差范围和幅度。</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响应文件对竞争性磋商文件的全部偏差，均应在响应文件的商务和技术偏差表中列明，除列明的内容外，视为供应商响应竞争性磋商文件的全部要求。</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170" w:name="_Toc11809"/>
      <w:bookmarkStart w:id="171" w:name="_Toc23956"/>
      <w:bookmarkStart w:id="172" w:name="_Toc17145"/>
      <w:bookmarkStart w:id="173" w:name="_Toc462934286"/>
      <w:bookmarkStart w:id="174" w:name="_Toc463011265"/>
      <w:bookmarkStart w:id="175" w:name="_Toc455678112"/>
      <w:r>
        <w:rPr>
          <w:rFonts w:hint="eastAsia" w:hAnsi="宋体" w:cs="黑体"/>
          <w:b/>
          <w:color w:val="auto"/>
          <w:sz w:val="21"/>
          <w:szCs w:val="21"/>
        </w:rPr>
        <w:t>选择性报价方案</w:t>
      </w:r>
      <w:bookmarkEnd w:id="170"/>
      <w:bookmarkEnd w:id="171"/>
      <w:bookmarkEnd w:id="172"/>
      <w:bookmarkEnd w:id="173"/>
      <w:bookmarkEnd w:id="174"/>
      <w:bookmarkEnd w:id="175"/>
    </w:p>
    <w:p>
      <w:pPr>
        <w:tabs>
          <w:tab w:val="left" w:pos="720"/>
          <w:tab w:val="left" w:pos="1320"/>
        </w:tabs>
        <w:wordWrap/>
        <w:adjustRightInd w:val="0"/>
        <w:snapToGrid w:val="0"/>
        <w:spacing w:line="360" w:lineRule="auto"/>
        <w:ind w:firstLine="420" w:firstLineChars="200"/>
      </w:pPr>
      <w:r>
        <w:rPr>
          <w:rFonts w:hint="eastAsia" w:cs="黑体"/>
        </w:rPr>
        <w:t>选择性报价方案：不允许。</w:t>
      </w:r>
    </w:p>
    <w:p>
      <w:pPr>
        <w:pStyle w:val="42"/>
        <w:numPr>
          <w:ilvl w:val="0"/>
          <w:numId w:val="6"/>
        </w:numPr>
        <w:tabs>
          <w:tab w:val="left" w:pos="360"/>
          <w:tab w:val="clear" w:pos="425"/>
        </w:tabs>
        <w:snapToGrid w:val="0"/>
        <w:spacing w:line="360" w:lineRule="auto"/>
        <w:jc w:val="both"/>
        <w:outlineLvl w:val="1"/>
        <w:rPr>
          <w:rFonts w:hAnsi="宋体" w:cs="黑体"/>
          <w:b/>
          <w:color w:val="auto"/>
        </w:rPr>
      </w:pPr>
      <w:bookmarkStart w:id="176" w:name="_Toc5446"/>
      <w:bookmarkStart w:id="177" w:name="_Toc9724"/>
      <w:bookmarkStart w:id="178" w:name="_Toc270604588"/>
      <w:bookmarkStart w:id="179" w:name="_Toc6260"/>
      <w:r>
        <w:rPr>
          <w:rFonts w:hint="eastAsia" w:hAnsi="宋体" w:cs="黑体"/>
          <w:b/>
          <w:color w:val="auto"/>
        </w:rPr>
        <w:t>竞争性磋商文件</w:t>
      </w:r>
      <w:bookmarkEnd w:id="176"/>
      <w:bookmarkEnd w:id="177"/>
      <w:bookmarkEnd w:id="178"/>
      <w:bookmarkEnd w:id="179"/>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180" w:name="_Toc462934288"/>
      <w:bookmarkStart w:id="181" w:name="_Toc270604589"/>
      <w:bookmarkStart w:id="182" w:name="_Toc463011267"/>
      <w:bookmarkStart w:id="183" w:name="_Toc454788022"/>
      <w:bookmarkStart w:id="184" w:name="_Toc428351642"/>
      <w:bookmarkStart w:id="185" w:name="_Toc428276582"/>
      <w:bookmarkStart w:id="186" w:name="_Toc27664"/>
      <w:bookmarkStart w:id="187" w:name="_Toc455678114"/>
      <w:bookmarkStart w:id="188" w:name="_Toc19729"/>
      <w:bookmarkStart w:id="189" w:name="_Toc10962"/>
      <w:bookmarkStart w:id="190" w:name="_Toc277149378"/>
      <w:bookmarkStart w:id="191" w:name="_Toc269470308"/>
      <w:bookmarkStart w:id="192" w:name="_Toc270604816"/>
      <w:r>
        <w:rPr>
          <w:rFonts w:hint="eastAsia" w:hAnsi="宋体" w:cs="黑体"/>
          <w:b/>
          <w:color w:val="auto"/>
          <w:sz w:val="21"/>
          <w:szCs w:val="21"/>
        </w:rPr>
        <w:t>竞争性磋商文件的组成</w:t>
      </w:r>
      <w:bookmarkEnd w:id="180"/>
      <w:bookmarkEnd w:id="181"/>
      <w:bookmarkEnd w:id="182"/>
      <w:bookmarkEnd w:id="183"/>
      <w:bookmarkEnd w:id="184"/>
      <w:bookmarkEnd w:id="185"/>
      <w:bookmarkEnd w:id="186"/>
      <w:bookmarkEnd w:id="187"/>
      <w:bookmarkEnd w:id="188"/>
      <w:bookmarkEnd w:id="189"/>
      <w:bookmarkEnd w:id="190"/>
      <w:bookmarkEnd w:id="191"/>
      <w:bookmarkEnd w:id="192"/>
    </w:p>
    <w:p>
      <w:pPr>
        <w:tabs>
          <w:tab w:val="left" w:pos="1260"/>
        </w:tabs>
        <w:wordWrap/>
        <w:autoSpaceDE w:val="0"/>
        <w:autoSpaceDN w:val="0"/>
        <w:adjustRightInd w:val="0"/>
        <w:snapToGrid w:val="0"/>
        <w:spacing w:line="360" w:lineRule="auto"/>
        <w:ind w:firstLine="472" w:firstLineChars="225"/>
        <w:jc w:val="left"/>
        <w:rPr>
          <w:rFonts w:cs="仿宋_GB2312"/>
          <w:kern w:val="0"/>
        </w:rPr>
      </w:pPr>
      <w:r>
        <w:rPr>
          <w:rFonts w:hint="eastAsia" w:cs="仿宋_GB2312"/>
          <w:kern w:val="0"/>
        </w:rPr>
        <w:t>本竞争性磋商文件包括：</w:t>
      </w:r>
    </w:p>
    <w:p>
      <w:pPr>
        <w:numPr>
          <w:ilvl w:val="0"/>
          <w:numId w:val="8"/>
        </w:numPr>
        <w:wordWrap/>
        <w:topLinePunct w:val="0"/>
        <w:autoSpaceDE w:val="0"/>
        <w:autoSpaceDN w:val="0"/>
        <w:adjustRightInd w:val="0"/>
        <w:snapToGrid w:val="0"/>
        <w:spacing w:line="360" w:lineRule="auto"/>
        <w:ind w:left="987" w:leftChars="200" w:right="40" w:hanging="567"/>
        <w:jc w:val="left"/>
        <w:rPr>
          <w:rFonts w:cs="微软雅黑"/>
          <w:kern w:val="0"/>
        </w:rPr>
      </w:pPr>
      <w:r>
        <w:rPr>
          <w:rFonts w:hint="eastAsia" w:cs="微软雅黑"/>
          <w:kern w:val="0"/>
        </w:rPr>
        <w:t>竞争性磋商公告</w:t>
      </w:r>
    </w:p>
    <w:p>
      <w:pPr>
        <w:numPr>
          <w:ilvl w:val="0"/>
          <w:numId w:val="8"/>
        </w:numPr>
        <w:wordWrap/>
        <w:topLinePunct w:val="0"/>
        <w:autoSpaceDE w:val="0"/>
        <w:autoSpaceDN w:val="0"/>
        <w:adjustRightInd w:val="0"/>
        <w:snapToGrid w:val="0"/>
        <w:spacing w:line="360" w:lineRule="auto"/>
        <w:ind w:left="987" w:leftChars="200" w:right="40" w:hanging="567"/>
        <w:jc w:val="left"/>
        <w:rPr>
          <w:rFonts w:cs="微软雅黑"/>
          <w:kern w:val="0"/>
        </w:rPr>
      </w:pPr>
      <w:r>
        <w:rPr>
          <w:rFonts w:hint="eastAsia" w:cs="微软雅黑"/>
          <w:kern w:val="0"/>
        </w:rPr>
        <w:t>供应商须知</w:t>
      </w:r>
    </w:p>
    <w:p>
      <w:pPr>
        <w:numPr>
          <w:ilvl w:val="0"/>
          <w:numId w:val="8"/>
        </w:numPr>
        <w:wordWrap/>
        <w:topLinePunct w:val="0"/>
        <w:autoSpaceDE w:val="0"/>
        <w:autoSpaceDN w:val="0"/>
        <w:adjustRightInd w:val="0"/>
        <w:snapToGrid w:val="0"/>
        <w:spacing w:line="360" w:lineRule="auto"/>
        <w:ind w:left="987" w:leftChars="200" w:right="40" w:hanging="567"/>
        <w:jc w:val="left"/>
        <w:rPr>
          <w:rFonts w:cs="微软雅黑"/>
          <w:kern w:val="0"/>
        </w:rPr>
      </w:pPr>
      <w:r>
        <w:rPr>
          <w:rFonts w:hint="eastAsia" w:cs="微软雅黑"/>
          <w:kern w:val="0"/>
        </w:rPr>
        <w:t>评审办法</w:t>
      </w:r>
    </w:p>
    <w:p>
      <w:pPr>
        <w:numPr>
          <w:ilvl w:val="0"/>
          <w:numId w:val="8"/>
        </w:numPr>
        <w:wordWrap/>
        <w:topLinePunct w:val="0"/>
        <w:autoSpaceDE w:val="0"/>
        <w:autoSpaceDN w:val="0"/>
        <w:adjustRightInd w:val="0"/>
        <w:snapToGrid w:val="0"/>
        <w:spacing w:line="360" w:lineRule="auto"/>
        <w:ind w:left="987" w:leftChars="200" w:right="40" w:hanging="567"/>
        <w:jc w:val="left"/>
        <w:rPr>
          <w:rFonts w:cs="微软雅黑"/>
          <w:kern w:val="0"/>
        </w:rPr>
      </w:pPr>
      <w:r>
        <w:rPr>
          <w:rFonts w:hint="eastAsia" w:cs="微软雅黑"/>
          <w:kern w:val="0"/>
        </w:rPr>
        <w:t>合同</w:t>
      </w:r>
    </w:p>
    <w:p>
      <w:pPr>
        <w:numPr>
          <w:ilvl w:val="0"/>
          <w:numId w:val="8"/>
        </w:numPr>
        <w:wordWrap/>
        <w:topLinePunct w:val="0"/>
        <w:autoSpaceDE w:val="0"/>
        <w:autoSpaceDN w:val="0"/>
        <w:adjustRightInd w:val="0"/>
        <w:snapToGrid w:val="0"/>
        <w:spacing w:line="360" w:lineRule="auto"/>
        <w:ind w:left="987" w:leftChars="200" w:right="40" w:hanging="567"/>
        <w:jc w:val="left"/>
        <w:rPr>
          <w:rFonts w:cs="微软雅黑"/>
          <w:kern w:val="0"/>
        </w:rPr>
      </w:pPr>
      <w:r>
        <w:rPr>
          <w:rFonts w:hint="eastAsia" w:cs="微软雅黑"/>
          <w:kern w:val="0"/>
        </w:rPr>
        <w:t>技术标准和要求</w:t>
      </w:r>
    </w:p>
    <w:p>
      <w:pPr>
        <w:numPr>
          <w:ilvl w:val="0"/>
          <w:numId w:val="8"/>
        </w:numPr>
        <w:wordWrap/>
        <w:topLinePunct w:val="0"/>
        <w:autoSpaceDE w:val="0"/>
        <w:autoSpaceDN w:val="0"/>
        <w:adjustRightInd w:val="0"/>
        <w:snapToGrid w:val="0"/>
        <w:spacing w:line="360" w:lineRule="auto"/>
        <w:ind w:left="987" w:leftChars="200" w:right="40" w:hanging="567"/>
        <w:jc w:val="left"/>
        <w:rPr>
          <w:rFonts w:cs="微软雅黑"/>
          <w:kern w:val="0"/>
        </w:rPr>
      </w:pPr>
      <w:r>
        <w:rPr>
          <w:rFonts w:hint="eastAsia" w:cs="微软雅黑"/>
          <w:kern w:val="0"/>
        </w:rPr>
        <w:t>磋商响应文件格式</w:t>
      </w:r>
    </w:p>
    <w:p>
      <w:pPr>
        <w:tabs>
          <w:tab w:val="left" w:pos="1260"/>
        </w:tabs>
        <w:wordWrap/>
        <w:autoSpaceDE w:val="0"/>
        <w:autoSpaceDN w:val="0"/>
        <w:adjustRightInd w:val="0"/>
        <w:snapToGrid w:val="0"/>
        <w:spacing w:line="360" w:lineRule="auto"/>
        <w:ind w:firstLine="472" w:firstLineChars="225"/>
        <w:jc w:val="left"/>
        <w:rPr>
          <w:rFonts w:cs="仿宋_GB2312"/>
          <w:kern w:val="0"/>
        </w:rPr>
      </w:pPr>
      <w:r>
        <w:rPr>
          <w:rFonts w:hint="eastAsia" w:cs="仿宋_GB2312"/>
          <w:kern w:val="0"/>
        </w:rPr>
        <w:t>根据本章第</w:t>
      </w:r>
      <w:r>
        <w:rPr>
          <w:rFonts w:cs="TimesNewRomanPSMT"/>
          <w:kern w:val="0"/>
        </w:rPr>
        <w:t>1.</w:t>
      </w:r>
      <w:r>
        <w:rPr>
          <w:rFonts w:hint="eastAsia" w:cs="TimesNewRomanPSMT"/>
          <w:kern w:val="0"/>
        </w:rPr>
        <w:t>9</w:t>
      </w:r>
      <w:r>
        <w:rPr>
          <w:rFonts w:hint="eastAsia" w:cs="仿宋_GB2312"/>
          <w:kern w:val="0"/>
        </w:rPr>
        <w:t>款、第</w:t>
      </w:r>
      <w:r>
        <w:rPr>
          <w:rFonts w:cs="TimesNewRomanPSMT"/>
          <w:kern w:val="0"/>
        </w:rPr>
        <w:t xml:space="preserve">2.2 </w:t>
      </w:r>
      <w:r>
        <w:rPr>
          <w:rFonts w:hint="eastAsia" w:cs="仿宋_GB2312"/>
          <w:kern w:val="0"/>
        </w:rPr>
        <w:t>款和第</w:t>
      </w:r>
      <w:r>
        <w:rPr>
          <w:rFonts w:cs="TimesNewRomanPSMT"/>
          <w:kern w:val="0"/>
        </w:rPr>
        <w:t xml:space="preserve">2.3 </w:t>
      </w:r>
      <w:r>
        <w:rPr>
          <w:rFonts w:hint="eastAsia" w:cs="仿宋_GB2312"/>
          <w:kern w:val="0"/>
        </w:rPr>
        <w:t>款对竞争性磋商文件所作的澄清、修改，构成竞争性磋商文件的组成部分。</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193" w:name="_Toc270604817"/>
      <w:bookmarkStart w:id="194" w:name="_Toc270604590"/>
      <w:bookmarkStart w:id="195" w:name="_Toc5047"/>
      <w:bookmarkStart w:id="196" w:name="_Toc463011268"/>
      <w:bookmarkStart w:id="197" w:name="_Toc454788023"/>
      <w:bookmarkStart w:id="198" w:name="_Toc428276583"/>
      <w:bookmarkStart w:id="199" w:name="_Toc428351643"/>
      <w:bookmarkStart w:id="200" w:name="_Toc455678115"/>
      <w:bookmarkStart w:id="201" w:name="_Toc11511"/>
      <w:bookmarkStart w:id="202" w:name="_Toc269470309"/>
      <w:bookmarkStart w:id="203" w:name="_Toc277149379"/>
      <w:bookmarkStart w:id="204" w:name="_Toc13094"/>
      <w:bookmarkStart w:id="205" w:name="_Toc462934289"/>
      <w:r>
        <w:rPr>
          <w:rFonts w:hint="eastAsia" w:hAnsi="宋体" w:cs="黑体"/>
          <w:b/>
          <w:color w:val="auto"/>
          <w:sz w:val="21"/>
          <w:szCs w:val="21"/>
        </w:rPr>
        <w:t>竞争性磋商文件的澄清</w:t>
      </w:r>
      <w:bookmarkEnd w:id="193"/>
      <w:bookmarkEnd w:id="194"/>
      <w:bookmarkEnd w:id="195"/>
      <w:bookmarkEnd w:id="196"/>
      <w:bookmarkEnd w:id="197"/>
      <w:bookmarkEnd w:id="198"/>
      <w:bookmarkEnd w:id="199"/>
      <w:bookmarkEnd w:id="200"/>
      <w:bookmarkEnd w:id="201"/>
      <w:bookmarkEnd w:id="202"/>
      <w:bookmarkEnd w:id="203"/>
      <w:bookmarkEnd w:id="204"/>
      <w:bookmarkEnd w:id="205"/>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206" w:name="_Toc269470310"/>
      <w:bookmarkStart w:id="207" w:name="_Toc428276584"/>
      <w:bookmarkStart w:id="208" w:name="_Toc455678116"/>
      <w:bookmarkStart w:id="209" w:name="_Toc454788024"/>
      <w:bookmarkStart w:id="210" w:name="_Toc270604818"/>
      <w:bookmarkStart w:id="211" w:name="_Toc277149380"/>
      <w:bookmarkStart w:id="212" w:name="_Toc20316"/>
      <w:bookmarkStart w:id="213" w:name="_Toc400"/>
      <w:bookmarkStart w:id="214" w:name="_Toc462934290"/>
      <w:bookmarkStart w:id="215" w:name="_Toc428351644"/>
      <w:bookmarkStart w:id="216" w:name="_Toc463011269"/>
      <w:bookmarkStart w:id="217" w:name="_Toc270604591"/>
      <w:r>
        <w:rPr>
          <w:rFonts w:hint="eastAsia" w:hAnsi="宋体" w:cs="黑体"/>
          <w:color w:val="auto"/>
          <w:sz w:val="21"/>
          <w:szCs w:val="21"/>
        </w:rPr>
        <w:t>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竞争性磋商文件的澄清以《供应商须知前附表》规定的形式在原公告媒体发布澄清公告，但不指明澄清问题的来源。澄清发出的时间距本章第4.2.1项规定的提交首次响应文件截止时间不足5日的，并且澄清内容可能影响响应文件编制的，将相应延长提交首次响应文件截止时间。</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除非采购人认为确有必要答复，否则，采购人有权拒绝回复供应商在本章第2.2.1项规定的时间后的任何澄清要求。在规定的时间内未提出疑问的，将被视为对竞争性磋商文件完全认可。</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218" w:name="_Toc5535"/>
      <w:r>
        <w:rPr>
          <w:rFonts w:hint="eastAsia" w:hAnsi="宋体" w:cs="黑体"/>
          <w:b/>
          <w:color w:val="auto"/>
          <w:sz w:val="21"/>
          <w:szCs w:val="21"/>
        </w:rPr>
        <w:t>竞争性磋商文件的修改</w:t>
      </w:r>
      <w:bookmarkEnd w:id="206"/>
      <w:bookmarkEnd w:id="207"/>
      <w:bookmarkEnd w:id="208"/>
      <w:bookmarkEnd w:id="209"/>
      <w:bookmarkEnd w:id="210"/>
      <w:bookmarkEnd w:id="211"/>
      <w:bookmarkEnd w:id="212"/>
      <w:bookmarkEnd w:id="213"/>
      <w:bookmarkEnd w:id="214"/>
      <w:bookmarkEnd w:id="215"/>
      <w:bookmarkEnd w:id="216"/>
      <w:bookmarkEnd w:id="217"/>
      <w:bookmarkEnd w:id="218"/>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219" w:name="_Toc270604592"/>
      <w:bookmarkStart w:id="220" w:name="_Toc12045"/>
      <w:r>
        <w:rPr>
          <w:rFonts w:hint="eastAsia" w:hAnsi="宋体" w:cs="黑体"/>
          <w:color w:val="auto"/>
          <w:sz w:val="21"/>
          <w:szCs w:val="21"/>
        </w:rPr>
        <w:t>采购人或者采购代理机构可以对已发出的竞争性磋商文件进行必要的修改，但不得改变采购标的和资格条件，修改的内容为竞争性磋商文件的组成部分。</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或采购代理机构以《供应商须知前附表》规定的形式修改竞争性磋商文件，同时在原公告媒体发布变更公告。修改竞争性磋商文件的时间距本章第4.2.1项规定的提交首次响应文件截止时间不足5日的，并且修改内容可能影响响应文件编制的，将相应延长提交首次响应文件截止时间。</w:t>
      </w:r>
    </w:p>
    <w:p>
      <w:pPr>
        <w:pStyle w:val="42"/>
        <w:numPr>
          <w:ilvl w:val="0"/>
          <w:numId w:val="6"/>
        </w:numPr>
        <w:tabs>
          <w:tab w:val="left" w:pos="360"/>
          <w:tab w:val="clear" w:pos="425"/>
        </w:tabs>
        <w:snapToGrid w:val="0"/>
        <w:spacing w:line="360" w:lineRule="auto"/>
        <w:jc w:val="both"/>
        <w:outlineLvl w:val="1"/>
        <w:rPr>
          <w:rFonts w:hAnsi="宋体" w:cs="黑体"/>
          <w:b/>
          <w:color w:val="auto"/>
        </w:rPr>
      </w:pPr>
      <w:bookmarkStart w:id="221" w:name="_Toc9050"/>
      <w:bookmarkStart w:id="222" w:name="_Toc28297"/>
      <w:r>
        <w:rPr>
          <w:rFonts w:hint="eastAsia" w:hAnsi="宋体" w:cs="黑体"/>
          <w:b/>
          <w:color w:val="auto"/>
        </w:rPr>
        <w:t>磋商响应文件</w:t>
      </w:r>
      <w:bookmarkEnd w:id="219"/>
      <w:bookmarkEnd w:id="220"/>
      <w:r>
        <w:rPr>
          <w:rFonts w:hint="eastAsia" w:hAnsi="宋体" w:cs="黑体"/>
          <w:b/>
          <w:color w:val="auto"/>
        </w:rPr>
        <w:t>编写</w:t>
      </w:r>
      <w:bookmarkEnd w:id="221"/>
      <w:bookmarkEnd w:id="222"/>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223" w:name="_Toc20143"/>
      <w:bookmarkStart w:id="224" w:name="_Toc270604820"/>
      <w:bookmarkStart w:id="225" w:name="_Toc462934292"/>
      <w:bookmarkStart w:id="226" w:name="_Toc269470312"/>
      <w:bookmarkStart w:id="227" w:name="_Toc428351646"/>
      <w:bookmarkStart w:id="228" w:name="_Toc26455"/>
      <w:bookmarkStart w:id="229" w:name="_Toc270604593"/>
      <w:bookmarkStart w:id="230" w:name="_Toc12181"/>
      <w:bookmarkStart w:id="231" w:name="_Toc455678118"/>
      <w:bookmarkStart w:id="232" w:name="_Toc428276586"/>
      <w:bookmarkStart w:id="233" w:name="_Toc454788026"/>
      <w:bookmarkStart w:id="234" w:name="_Toc463011271"/>
      <w:bookmarkStart w:id="235" w:name="_Toc277149382"/>
      <w:r>
        <w:rPr>
          <w:rFonts w:hint="eastAsia" w:hAnsi="宋体" w:cs="黑体"/>
          <w:b/>
          <w:color w:val="auto"/>
          <w:sz w:val="21"/>
          <w:szCs w:val="21"/>
        </w:rPr>
        <w:t>磋商响应文件的组成</w:t>
      </w:r>
      <w:bookmarkEnd w:id="223"/>
      <w:bookmarkEnd w:id="224"/>
      <w:bookmarkEnd w:id="225"/>
      <w:bookmarkEnd w:id="226"/>
      <w:bookmarkEnd w:id="227"/>
      <w:bookmarkEnd w:id="228"/>
      <w:bookmarkEnd w:id="229"/>
      <w:bookmarkEnd w:id="230"/>
      <w:bookmarkEnd w:id="231"/>
      <w:bookmarkEnd w:id="232"/>
      <w:bookmarkEnd w:id="233"/>
      <w:bookmarkEnd w:id="234"/>
      <w:bookmarkEnd w:id="235"/>
    </w:p>
    <w:p>
      <w:pPr>
        <w:pStyle w:val="42"/>
        <w:numPr>
          <w:ilvl w:val="0"/>
          <w:numId w:val="0"/>
        </w:numPr>
        <w:snapToGrid w:val="0"/>
        <w:spacing w:line="360" w:lineRule="auto"/>
        <w:ind w:left="540"/>
        <w:jc w:val="both"/>
        <w:rPr>
          <w:rFonts w:hAnsi="宋体" w:cs="黑体"/>
          <w:color w:val="auto"/>
          <w:sz w:val="21"/>
          <w:szCs w:val="21"/>
        </w:rPr>
      </w:pPr>
      <w:r>
        <w:rPr>
          <w:rFonts w:hint="eastAsia" w:hAnsi="宋体" w:cs="黑体"/>
          <w:color w:val="auto"/>
          <w:sz w:val="21"/>
          <w:szCs w:val="21"/>
        </w:rPr>
        <w:t>磋商响应文件应包括下列内容：</w:t>
      </w:r>
    </w:p>
    <w:p>
      <w:pPr>
        <w:wordWrap/>
        <w:topLinePunct w:val="0"/>
        <w:autoSpaceDE w:val="0"/>
        <w:autoSpaceDN w:val="0"/>
        <w:adjustRightInd w:val="0"/>
        <w:snapToGrid w:val="0"/>
        <w:spacing w:line="360" w:lineRule="auto"/>
        <w:ind w:right="40" w:firstLine="420" w:firstLineChars="200"/>
        <w:jc w:val="left"/>
        <w:rPr>
          <w:rFonts w:cs="微软雅黑"/>
          <w:kern w:val="0"/>
        </w:rPr>
      </w:pPr>
      <w:bookmarkStart w:id="236" w:name="_Toc22898"/>
      <w:bookmarkStart w:id="237" w:name="_Toc463011272"/>
      <w:bookmarkStart w:id="238" w:name="_Toc455678119"/>
      <w:bookmarkStart w:id="239" w:name="_Toc462934293"/>
      <w:bookmarkStart w:id="240" w:name="_Toc21496"/>
      <w:bookmarkStart w:id="241" w:name="_Toc4803"/>
      <w:bookmarkStart w:id="242" w:name="_Toc270604595"/>
      <w:bookmarkStart w:id="243" w:name="_Toc277149384"/>
      <w:bookmarkStart w:id="244" w:name="_Toc270604822"/>
      <w:bookmarkStart w:id="245" w:name="_Toc269470314"/>
      <w:r>
        <w:rPr>
          <w:rFonts w:hint="eastAsia"/>
        </w:rPr>
        <w:t>（1）</w:t>
      </w:r>
      <w:r>
        <w:rPr>
          <w:rFonts w:hint="eastAsia" w:cs="微软雅黑"/>
          <w:kern w:val="0"/>
        </w:rPr>
        <w:t>报价函及报价函附录</w:t>
      </w:r>
    </w:p>
    <w:p>
      <w:pPr>
        <w:wordWrap/>
        <w:topLinePunct w:val="0"/>
        <w:adjustRightInd w:val="0"/>
        <w:snapToGrid w:val="0"/>
        <w:spacing w:line="360" w:lineRule="auto"/>
        <w:ind w:firstLine="420" w:firstLineChars="200"/>
      </w:pPr>
      <w:r>
        <w:rPr>
          <w:rFonts w:hint="eastAsia"/>
        </w:rPr>
        <w:t>（2）法定代表人身份证明</w:t>
      </w:r>
      <w:r>
        <w:rPr>
          <w:rFonts w:hint="eastAsia" w:cs="微软雅黑"/>
          <w:kern w:val="0"/>
        </w:rPr>
        <w:t>或授权委托书</w:t>
      </w:r>
    </w:p>
    <w:p>
      <w:pPr>
        <w:wordWrap/>
        <w:topLinePunct w:val="0"/>
        <w:adjustRightInd w:val="0"/>
        <w:snapToGrid w:val="0"/>
        <w:spacing w:line="360" w:lineRule="auto"/>
        <w:ind w:firstLine="420" w:firstLineChars="200"/>
      </w:pPr>
      <w:r>
        <w:rPr>
          <w:rFonts w:hint="eastAsia"/>
        </w:rPr>
        <w:t>（3）供应商资格审查资料</w:t>
      </w:r>
    </w:p>
    <w:p>
      <w:pPr>
        <w:wordWrap/>
        <w:topLinePunct w:val="0"/>
        <w:adjustRightInd w:val="0"/>
        <w:snapToGrid w:val="0"/>
        <w:spacing w:line="360" w:lineRule="auto"/>
        <w:ind w:firstLine="420" w:firstLineChars="200"/>
      </w:pPr>
      <w:r>
        <w:rPr>
          <w:rFonts w:hint="eastAsia"/>
        </w:rPr>
        <w:t>（4）设计方案</w:t>
      </w:r>
    </w:p>
    <w:p>
      <w:pPr>
        <w:wordWrap/>
        <w:topLinePunct w:val="0"/>
        <w:adjustRightInd w:val="0"/>
        <w:snapToGrid w:val="0"/>
        <w:spacing w:line="360" w:lineRule="auto"/>
        <w:ind w:firstLine="420" w:firstLineChars="200"/>
      </w:pPr>
      <w:r>
        <w:rPr>
          <w:rFonts w:hint="eastAsia"/>
        </w:rPr>
        <w:t>（5）项目人员配备表</w:t>
      </w:r>
    </w:p>
    <w:p>
      <w:pPr>
        <w:wordWrap/>
        <w:topLinePunct w:val="0"/>
        <w:autoSpaceDE w:val="0"/>
        <w:autoSpaceDN w:val="0"/>
        <w:adjustRightInd w:val="0"/>
        <w:snapToGrid w:val="0"/>
        <w:spacing w:line="360" w:lineRule="auto"/>
        <w:ind w:right="40" w:firstLine="420" w:firstLineChars="200"/>
        <w:jc w:val="left"/>
        <w:rPr>
          <w:rFonts w:cs="微软雅黑"/>
          <w:kern w:val="0"/>
        </w:rPr>
      </w:pPr>
      <w:r>
        <w:rPr>
          <w:rFonts w:hint="eastAsia"/>
        </w:rPr>
        <w:t>（6）</w:t>
      </w:r>
      <w:r>
        <w:rPr>
          <w:rFonts w:hint="eastAsia" w:cs="微软雅黑"/>
          <w:kern w:val="0"/>
        </w:rPr>
        <w:t>供应商业绩表</w:t>
      </w:r>
    </w:p>
    <w:p>
      <w:pPr>
        <w:wordWrap/>
        <w:topLinePunct w:val="0"/>
        <w:autoSpaceDE w:val="0"/>
        <w:autoSpaceDN w:val="0"/>
        <w:adjustRightInd w:val="0"/>
        <w:snapToGrid w:val="0"/>
        <w:spacing w:line="360" w:lineRule="auto"/>
        <w:ind w:right="40" w:firstLine="420" w:firstLineChars="200"/>
        <w:jc w:val="left"/>
        <w:rPr>
          <w:rFonts w:cs="微软雅黑"/>
          <w:kern w:val="0"/>
        </w:rPr>
      </w:pPr>
      <w:r>
        <w:rPr>
          <w:rFonts w:hint="eastAsia"/>
        </w:rPr>
        <w:t>（7）</w:t>
      </w:r>
      <w:r>
        <w:rPr>
          <w:rFonts w:hint="eastAsia" w:cs="微软雅黑"/>
          <w:kern w:val="0"/>
        </w:rPr>
        <w:t>供应商履约能力及荣誉证明材料</w:t>
      </w:r>
    </w:p>
    <w:p>
      <w:pPr>
        <w:wordWrap/>
        <w:topLinePunct w:val="0"/>
        <w:autoSpaceDE w:val="0"/>
        <w:autoSpaceDN w:val="0"/>
        <w:adjustRightInd w:val="0"/>
        <w:snapToGrid w:val="0"/>
        <w:spacing w:line="360" w:lineRule="auto"/>
        <w:ind w:right="40" w:firstLine="420" w:firstLineChars="200"/>
        <w:jc w:val="left"/>
        <w:rPr>
          <w:rFonts w:cs="微软雅黑"/>
          <w:kern w:val="0"/>
        </w:rPr>
      </w:pPr>
      <w:r>
        <w:rPr>
          <w:rFonts w:hint="eastAsia"/>
        </w:rPr>
        <w:t>（8）</w:t>
      </w:r>
      <w:r>
        <w:rPr>
          <w:rFonts w:hint="eastAsia" w:cs="微软雅黑"/>
          <w:kern w:val="0"/>
        </w:rPr>
        <w:t>反商业贿赂承诺书</w:t>
      </w:r>
    </w:p>
    <w:p>
      <w:pPr>
        <w:wordWrap/>
        <w:topLinePunct w:val="0"/>
        <w:autoSpaceDE w:val="0"/>
        <w:autoSpaceDN w:val="0"/>
        <w:adjustRightInd w:val="0"/>
        <w:snapToGrid w:val="0"/>
        <w:spacing w:line="360" w:lineRule="auto"/>
        <w:ind w:right="40" w:firstLine="420" w:firstLineChars="200"/>
        <w:jc w:val="left"/>
        <w:rPr>
          <w:rFonts w:cs="微软雅黑"/>
          <w:kern w:val="0"/>
        </w:rPr>
      </w:pPr>
      <w:r>
        <w:rPr>
          <w:rFonts w:hint="eastAsia"/>
        </w:rPr>
        <w:t>（9）</w:t>
      </w:r>
      <w:r>
        <w:rPr>
          <w:rFonts w:hint="eastAsia" w:cs="微软雅黑"/>
          <w:kern w:val="0"/>
        </w:rPr>
        <w:t>竞争性磋商文件内容确认书</w:t>
      </w:r>
    </w:p>
    <w:p>
      <w:pPr>
        <w:wordWrap/>
        <w:topLinePunct w:val="0"/>
        <w:autoSpaceDE w:val="0"/>
        <w:autoSpaceDN w:val="0"/>
        <w:adjustRightInd w:val="0"/>
        <w:snapToGrid w:val="0"/>
        <w:spacing w:line="360" w:lineRule="auto"/>
        <w:ind w:right="40" w:firstLine="420" w:firstLineChars="200"/>
        <w:jc w:val="left"/>
      </w:pPr>
      <w:r>
        <w:rPr>
          <w:rFonts w:hint="eastAsia" w:cs="微软雅黑"/>
          <w:kern w:val="0"/>
        </w:rPr>
        <w:t>（10）供应商承诺函</w:t>
      </w:r>
    </w:p>
    <w:p>
      <w:pPr>
        <w:wordWrap/>
        <w:topLinePunct w:val="0"/>
        <w:autoSpaceDE w:val="0"/>
        <w:autoSpaceDN w:val="0"/>
        <w:adjustRightInd w:val="0"/>
        <w:snapToGrid w:val="0"/>
        <w:spacing w:line="360" w:lineRule="auto"/>
        <w:ind w:right="40" w:firstLine="420" w:firstLineChars="200"/>
        <w:jc w:val="left"/>
      </w:pPr>
      <w:r>
        <w:rPr>
          <w:rFonts w:hint="eastAsia"/>
        </w:rPr>
        <w:t>（11）磋商保证金缴纳凭证（加盖公章）</w:t>
      </w:r>
    </w:p>
    <w:p>
      <w:pPr>
        <w:wordWrap/>
        <w:topLinePunct w:val="0"/>
        <w:autoSpaceDE w:val="0"/>
        <w:autoSpaceDN w:val="0"/>
        <w:adjustRightInd w:val="0"/>
        <w:snapToGrid w:val="0"/>
        <w:spacing w:line="360" w:lineRule="auto"/>
        <w:ind w:right="40" w:firstLine="420" w:firstLineChars="200"/>
        <w:jc w:val="left"/>
        <w:rPr>
          <w:rFonts w:cs="微软雅黑"/>
          <w:kern w:val="0"/>
        </w:rPr>
      </w:pPr>
      <w:r>
        <w:rPr>
          <w:rFonts w:hint="eastAsia" w:cs="微软雅黑"/>
          <w:kern w:val="0"/>
        </w:rPr>
        <w:t>（12）供应商认为有必要提供的其他资料</w:t>
      </w:r>
    </w:p>
    <w:p>
      <w:pPr>
        <w:pStyle w:val="25"/>
        <w:ind w:left="0" w:leftChars="0" w:firstLine="630" w:firstLineChars="300"/>
      </w:pPr>
      <w:r>
        <w:rPr>
          <w:rFonts w:hint="eastAsia" w:cs="微软雅黑"/>
          <w:kern w:val="0"/>
        </w:rPr>
        <w:t>（13）联合体协议书</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磋商价格构成及报价要求</w:t>
      </w:r>
      <w:bookmarkEnd w:id="236"/>
      <w:bookmarkEnd w:id="237"/>
      <w:bookmarkEnd w:id="238"/>
      <w:bookmarkEnd w:id="239"/>
      <w:bookmarkEnd w:id="240"/>
      <w:bookmarkEnd w:id="241"/>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246" w:name="_Toc454788028"/>
      <w:bookmarkStart w:id="247" w:name="_Toc428351648"/>
      <w:bookmarkStart w:id="248" w:name="_Toc455678120"/>
      <w:bookmarkStart w:id="249" w:name="_Toc463011273"/>
      <w:bookmarkStart w:id="250" w:name="_Toc462934294"/>
      <w:bookmarkStart w:id="251" w:name="_Toc17969"/>
      <w:bookmarkStart w:id="252" w:name="_Toc9193"/>
      <w:bookmarkStart w:id="253" w:name="_Toc58"/>
      <w:bookmarkStart w:id="254" w:name="_Toc428276588"/>
      <w:r>
        <w:rPr>
          <w:rFonts w:hint="eastAsia" w:hAnsi="宋体" w:cs="黑体"/>
          <w:color w:val="auto"/>
          <w:sz w:val="21"/>
          <w:szCs w:val="21"/>
        </w:rPr>
        <w:t>采购人设有最高采购限价的，供应商的报价不得超过最高采购限价，最高采购限价或其计算方法在供应商须知前附表中载明。</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磋商报价应包括利润、税金、政策性文件规定及合同中包含的风险、责任以及供应商认为与项目有关的其他费用。</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除非本磋商文件对报价另有说明的，否则，供应商应按采购人给出的采购内容进行报价，不得做任何修改，供应商依据供应商自身的技术装备、设计经验、企业成本、管理水平和现行市场价格信息，合理自主报价。</w:t>
      </w:r>
      <w:r>
        <w:rPr>
          <w:rFonts w:hint="eastAsia" w:hAnsi="宋体" w:cs="黑体"/>
          <w:b/>
          <w:bCs/>
          <w:color w:val="auto"/>
          <w:sz w:val="21"/>
          <w:szCs w:val="21"/>
        </w:rPr>
        <w:t>分两次报价：第一次报价必须按照磋商文件的报价格式填报，第二次报价在磋商中填报，第二次报价（不得高于一次报价）即为最终报价。</w:t>
      </w:r>
    </w:p>
    <w:p>
      <w:pPr>
        <w:rPr>
          <w:b/>
          <w:bCs/>
        </w:rPr>
      </w:pPr>
      <w:r>
        <w:rPr>
          <w:rFonts w:hint="eastAsia" w:cs="黑体"/>
        </w:rPr>
        <w:t xml:space="preserve">    </w:t>
      </w:r>
      <w:r>
        <w:rPr>
          <w:rFonts w:hint="eastAsia" w:cs="黑体"/>
          <w:b/>
          <w:bCs/>
        </w:rPr>
        <w:t>注：投标人以联合体形式投标的，只需以牵头人单位进行投标操作即可。</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本项目的磋商报价应按照竞争性磋商文件、补充通知、答疑纪要、现场情况、承包范围，并充分考虑供货及服务期间各类市场风险和国家政策性调整等风险系数，由各供应商根据自身情况，在合理范围内，自主考虑、优惠报价，但不得低于企业成本。</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磋商有效期</w:t>
      </w:r>
      <w:bookmarkEnd w:id="242"/>
      <w:bookmarkEnd w:id="243"/>
      <w:bookmarkEnd w:id="244"/>
      <w:bookmarkEnd w:id="245"/>
      <w:bookmarkEnd w:id="246"/>
      <w:bookmarkEnd w:id="247"/>
      <w:bookmarkEnd w:id="248"/>
      <w:bookmarkEnd w:id="249"/>
      <w:bookmarkEnd w:id="250"/>
      <w:bookmarkEnd w:id="251"/>
      <w:bookmarkEnd w:id="252"/>
      <w:bookmarkEnd w:id="253"/>
      <w:bookmarkEnd w:id="254"/>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磋商有效期见《供应商须知前附表》，从提交首次响应文件的截止之日起算。</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在磋商有效期内，供应商撤销响应文件的，应承担竞争性磋商文件和法律规定的责任。</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255" w:name="_Toc463011274"/>
      <w:bookmarkStart w:id="256" w:name="_Toc23856"/>
      <w:bookmarkStart w:id="257" w:name="_Toc455678121"/>
      <w:bookmarkStart w:id="258" w:name="_Toc428351649"/>
      <w:bookmarkStart w:id="259" w:name="_Toc462934295"/>
      <w:bookmarkStart w:id="260" w:name="_Toc15074"/>
      <w:bookmarkStart w:id="261" w:name="_Toc25039"/>
      <w:bookmarkStart w:id="262" w:name="_Toc454788029"/>
      <w:bookmarkStart w:id="263" w:name="_Toc428276589"/>
      <w:r>
        <w:rPr>
          <w:rFonts w:hint="eastAsia" w:hAnsi="宋体" w:cs="黑体"/>
          <w:b/>
          <w:color w:val="auto"/>
          <w:sz w:val="21"/>
          <w:szCs w:val="21"/>
        </w:rPr>
        <w:t>磋商保证金</w:t>
      </w:r>
      <w:bookmarkEnd w:id="255"/>
      <w:bookmarkEnd w:id="256"/>
      <w:bookmarkEnd w:id="257"/>
      <w:bookmarkEnd w:id="258"/>
      <w:bookmarkEnd w:id="259"/>
      <w:bookmarkEnd w:id="260"/>
      <w:bookmarkEnd w:id="261"/>
      <w:bookmarkEnd w:id="262"/>
      <w:bookmarkEnd w:id="263"/>
    </w:p>
    <w:p>
      <w:pPr>
        <w:pStyle w:val="42"/>
        <w:numPr>
          <w:ilvl w:val="0"/>
          <w:numId w:val="0"/>
        </w:numPr>
        <w:tabs>
          <w:tab w:val="left" w:pos="425"/>
          <w:tab w:val="left" w:pos="540"/>
        </w:tabs>
        <w:snapToGrid w:val="0"/>
        <w:spacing w:line="360" w:lineRule="auto"/>
        <w:ind w:left="540"/>
        <w:jc w:val="both"/>
        <w:outlineLvl w:val="1"/>
        <w:rPr>
          <w:rFonts w:hAnsi="宋体" w:cs="黑体"/>
          <w:bCs/>
          <w:color w:val="auto"/>
          <w:sz w:val="21"/>
          <w:szCs w:val="21"/>
        </w:rPr>
      </w:pPr>
      <w:r>
        <w:rPr>
          <w:rFonts w:hint="eastAsia" w:hAnsi="宋体" w:cs="黑体"/>
          <w:bCs/>
          <w:color w:val="auto"/>
          <w:sz w:val="21"/>
          <w:szCs w:val="21"/>
        </w:rPr>
        <w:t>本项目需缴纳磋商保证金</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264" w:name="_Toc462934296"/>
      <w:bookmarkStart w:id="265" w:name="_Toc463011275"/>
      <w:bookmarkStart w:id="266" w:name="_Toc4446"/>
      <w:bookmarkStart w:id="267" w:name="_Toc270604823"/>
      <w:bookmarkStart w:id="268" w:name="_Toc455678122"/>
      <w:bookmarkStart w:id="269" w:name="_Toc269470318"/>
      <w:bookmarkStart w:id="270" w:name="_Toc428351650"/>
      <w:bookmarkStart w:id="271" w:name="_Toc32308"/>
      <w:bookmarkStart w:id="272" w:name="_Toc454788030"/>
      <w:bookmarkStart w:id="273" w:name="_Toc270604596"/>
      <w:bookmarkStart w:id="274" w:name="_Toc7919"/>
      <w:bookmarkStart w:id="275" w:name="_Toc277149385"/>
      <w:bookmarkStart w:id="276" w:name="_Toc428276590"/>
      <w:r>
        <w:rPr>
          <w:rFonts w:hint="eastAsia" w:hAnsi="宋体" w:cs="黑体"/>
          <w:b/>
          <w:color w:val="auto"/>
          <w:sz w:val="21"/>
          <w:szCs w:val="21"/>
        </w:rPr>
        <w:t>磋商响应文件的编制</w:t>
      </w:r>
      <w:bookmarkEnd w:id="264"/>
      <w:bookmarkEnd w:id="265"/>
      <w:bookmarkEnd w:id="266"/>
      <w:bookmarkEnd w:id="267"/>
      <w:bookmarkEnd w:id="268"/>
      <w:bookmarkEnd w:id="269"/>
      <w:bookmarkEnd w:id="270"/>
      <w:bookmarkEnd w:id="271"/>
      <w:bookmarkEnd w:id="272"/>
      <w:bookmarkEnd w:id="273"/>
      <w:bookmarkEnd w:id="274"/>
      <w:bookmarkEnd w:id="275"/>
      <w:bookmarkEnd w:id="276"/>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磋商响应文件应按第六章磋商响应文件格式进行编写，如有必要，可以增加附页，作为磋商响应文件的组成部分。其中，报价函附录在满足竞争性磋商文件实质性要求的基础上，可以提出比竞争性磋商文件要求更有利于采购人的承诺。</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磋商响应文件应当对竞争性磋商文件有关磋商报价、合同履行期限、磋商有效期、质量标准等实质性内容作出响应。</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（1）磋商响应文件应按第六章磋商响应文件格式进行编写，并由供应商的法定代表人或其委托代理人签字或盖单位章。委托代理人签字的，磋商响应文件应附法定代表人签字的授权委托书。</w:t>
      </w:r>
    </w:p>
    <w:p>
      <w:pPr>
        <w:pStyle w:val="42"/>
        <w:numPr>
          <w:ilvl w:val="0"/>
          <w:numId w:val="6"/>
        </w:numPr>
        <w:tabs>
          <w:tab w:val="left" w:pos="360"/>
          <w:tab w:val="clear" w:pos="425"/>
        </w:tabs>
        <w:snapToGrid w:val="0"/>
        <w:spacing w:line="360" w:lineRule="auto"/>
        <w:jc w:val="both"/>
        <w:outlineLvl w:val="1"/>
        <w:rPr>
          <w:rFonts w:hAnsi="宋体" w:cs="黑体"/>
          <w:b/>
          <w:color w:val="auto"/>
        </w:rPr>
      </w:pPr>
      <w:bookmarkStart w:id="277" w:name="_Toc12187"/>
      <w:bookmarkStart w:id="278" w:name="_Toc6530"/>
      <w:bookmarkStart w:id="279" w:name="_Toc13452"/>
      <w:r>
        <w:rPr>
          <w:rFonts w:hint="eastAsia" w:hAnsi="宋体" w:cs="黑体"/>
          <w:b/>
          <w:color w:val="auto"/>
        </w:rPr>
        <w:t>响应文件的递交</w:t>
      </w:r>
      <w:bookmarkEnd w:id="277"/>
      <w:bookmarkEnd w:id="278"/>
      <w:bookmarkEnd w:id="279"/>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280" w:name="_Toc428351652"/>
      <w:bookmarkStart w:id="281" w:name="_Toc270604598"/>
      <w:bookmarkStart w:id="282" w:name="_Toc21528"/>
      <w:bookmarkStart w:id="283" w:name="_Toc31608"/>
      <w:bookmarkStart w:id="284" w:name="_Toc270604825"/>
      <w:bookmarkStart w:id="285" w:name="_Toc428276592"/>
      <w:bookmarkStart w:id="286" w:name="_Toc277149387"/>
      <w:bookmarkStart w:id="287" w:name="_Toc454788032"/>
      <w:bookmarkStart w:id="288" w:name="_Toc463011277"/>
      <w:bookmarkStart w:id="289" w:name="_Toc27477"/>
      <w:bookmarkStart w:id="290" w:name="_Toc462934298"/>
      <w:bookmarkStart w:id="291" w:name="_Toc269470320"/>
      <w:bookmarkStart w:id="292" w:name="_Toc455678124"/>
      <w:r>
        <w:rPr>
          <w:rFonts w:hint="eastAsia" w:hAnsi="宋体" w:cs="黑体"/>
          <w:b/>
          <w:color w:val="auto"/>
          <w:sz w:val="21"/>
          <w:szCs w:val="21"/>
        </w:rPr>
        <w:t>响应文件的密封和标记</w:t>
      </w:r>
      <w:bookmarkEnd w:id="280"/>
      <w:bookmarkEnd w:id="281"/>
      <w:bookmarkEnd w:id="282"/>
      <w:bookmarkEnd w:id="283"/>
      <w:bookmarkEnd w:id="284"/>
      <w:bookmarkEnd w:id="285"/>
      <w:bookmarkEnd w:id="286"/>
      <w:bookmarkEnd w:id="287"/>
      <w:bookmarkEnd w:id="288"/>
      <w:bookmarkEnd w:id="289"/>
      <w:bookmarkEnd w:id="290"/>
      <w:bookmarkEnd w:id="291"/>
      <w:bookmarkEnd w:id="292"/>
    </w:p>
    <w:p>
      <w:pPr>
        <w:pStyle w:val="42"/>
        <w:numPr>
          <w:ilvl w:val="1"/>
          <w:numId w:val="0"/>
        </w:numPr>
        <w:tabs>
          <w:tab w:val="left" w:pos="0"/>
        </w:tabs>
        <w:snapToGrid w:val="0"/>
        <w:spacing w:line="360" w:lineRule="auto"/>
        <w:ind w:left="420" w:leftChars="200"/>
        <w:jc w:val="both"/>
        <w:rPr>
          <w:rFonts w:hAnsi="宋体" w:cs="黑体"/>
          <w:color w:val="auto"/>
          <w:sz w:val="21"/>
          <w:szCs w:val="21"/>
        </w:rPr>
      </w:pPr>
      <w:r>
        <w:rPr>
          <w:rFonts w:hint="eastAsia" w:hAnsi="宋体" w:cs="黑体"/>
          <w:color w:val="auto"/>
          <w:sz w:val="21"/>
          <w:szCs w:val="21"/>
        </w:rPr>
        <w:t>见《供应商须知前附表》。</w:t>
      </w:r>
    </w:p>
    <w:p>
      <w:pPr>
        <w:pStyle w:val="42"/>
        <w:numPr>
          <w:ilvl w:val="1"/>
          <w:numId w:val="0"/>
        </w:numPr>
        <w:tabs>
          <w:tab w:val="left" w:pos="0"/>
        </w:tabs>
        <w:snapToGrid w:val="0"/>
        <w:spacing w:line="360" w:lineRule="auto"/>
        <w:ind w:left="420" w:leftChars="200"/>
        <w:jc w:val="both"/>
        <w:rPr>
          <w:rFonts w:hAnsi="宋体" w:cs="黑体"/>
          <w:color w:val="auto"/>
          <w:sz w:val="21"/>
          <w:szCs w:val="21"/>
        </w:rPr>
      </w:pPr>
      <w:r>
        <w:rPr>
          <w:rFonts w:hint="eastAsia" w:hAnsi="宋体" w:cs="黑体"/>
          <w:b/>
          <w:bCs/>
          <w:color w:val="auto"/>
          <w:sz w:val="21"/>
          <w:szCs w:val="21"/>
        </w:rPr>
        <w:t>（纸质版文件）供应商应将响应文件正本、所有副本分别密封在不透明袋内，并在密封袋上标明项目名称及编号、供应商名称、时间。封口处均应贴密封条</w:t>
      </w:r>
      <w:r>
        <w:rPr>
          <w:rFonts w:hint="eastAsia" w:hAnsi="宋体" w:cs="黑体"/>
          <w:color w:val="auto"/>
          <w:sz w:val="21"/>
          <w:szCs w:val="21"/>
        </w:rPr>
        <w:t>。</w:t>
      </w:r>
    </w:p>
    <w:p>
      <w:pPr>
        <w:pStyle w:val="42"/>
        <w:numPr>
          <w:ilvl w:val="1"/>
          <w:numId w:val="0"/>
        </w:numPr>
        <w:tabs>
          <w:tab w:val="left" w:pos="0"/>
        </w:tabs>
        <w:snapToGrid w:val="0"/>
        <w:spacing w:line="360" w:lineRule="auto"/>
        <w:ind w:left="420" w:leftChars="200"/>
        <w:jc w:val="both"/>
        <w:rPr>
          <w:rFonts w:hAnsi="宋体"/>
          <w:color w:val="auto"/>
          <w:szCs w:val="21"/>
        </w:rPr>
      </w:pPr>
      <w:r>
        <w:rPr>
          <w:rFonts w:hint="eastAsia" w:hAnsi="宋体" w:cs="黑体"/>
          <w:color w:val="auto"/>
          <w:sz w:val="21"/>
          <w:szCs w:val="21"/>
        </w:rPr>
        <w:t>不按照以上要求编写与密封的响应文件将被拒绝。</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293" w:name="_Toc5938"/>
      <w:bookmarkStart w:id="294" w:name="_Toc428351653"/>
      <w:bookmarkStart w:id="295" w:name="_Toc277149388"/>
      <w:bookmarkStart w:id="296" w:name="_Toc462934299"/>
      <w:bookmarkStart w:id="297" w:name="_Toc454788033"/>
      <w:bookmarkStart w:id="298" w:name="_Toc29167"/>
      <w:bookmarkStart w:id="299" w:name="_Toc455678125"/>
      <w:bookmarkStart w:id="300" w:name="_Toc428276593"/>
      <w:bookmarkStart w:id="301" w:name="_Toc270604599"/>
      <w:bookmarkStart w:id="302" w:name="_Toc20197"/>
      <w:bookmarkStart w:id="303" w:name="_Toc463011278"/>
      <w:bookmarkStart w:id="304" w:name="_Toc269470321"/>
      <w:bookmarkStart w:id="305" w:name="_Toc270604826"/>
      <w:r>
        <w:rPr>
          <w:rFonts w:hint="eastAsia" w:hAnsi="宋体" w:cs="黑体"/>
          <w:b/>
          <w:color w:val="auto"/>
          <w:sz w:val="21"/>
          <w:szCs w:val="21"/>
        </w:rPr>
        <w:t>磋商响应文件的递交</w:t>
      </w:r>
      <w:bookmarkEnd w:id="293"/>
      <w:bookmarkEnd w:id="294"/>
      <w:bookmarkEnd w:id="295"/>
      <w:bookmarkEnd w:id="296"/>
      <w:bookmarkEnd w:id="297"/>
      <w:bookmarkEnd w:id="298"/>
      <w:bookmarkEnd w:id="299"/>
      <w:bookmarkEnd w:id="300"/>
      <w:bookmarkEnd w:id="301"/>
      <w:bookmarkEnd w:id="302"/>
      <w:bookmarkEnd w:id="303"/>
      <w:bookmarkEnd w:id="304"/>
      <w:bookmarkEnd w:id="305"/>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供应商应在《供应商须知前附表》规定的提交首次响应文件截止时间前递交响应文件。</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供应商递交响应文件的地点：见《供应商须知前附表》。</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除《供应商须知前附表》另有规定外供应商所递交的响应文件不予退还。</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逾期送达的响应文件，采购人将予以拒收。</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密封袋外层要求：</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Ansi="宋体" w:cs="黑体"/>
          <w:color w:val="auto"/>
          <w:sz w:val="21"/>
          <w:szCs w:val="21"/>
        </w:rPr>
        <w:t>密封袋外层还应写明供应商名称和地址</w:t>
      </w:r>
      <w:r>
        <w:rPr>
          <w:rFonts w:hint="eastAsia" w:hAnsi="宋体" w:cs="黑体"/>
          <w:color w:val="auto"/>
          <w:sz w:val="21"/>
          <w:szCs w:val="21"/>
        </w:rPr>
        <w:t>，</w:t>
      </w:r>
      <w:r>
        <w:rPr>
          <w:rFonts w:hAnsi="宋体" w:cs="黑体"/>
          <w:color w:val="auto"/>
          <w:sz w:val="21"/>
          <w:szCs w:val="21"/>
        </w:rPr>
        <w:t>封口处均应贴密封条，以便若其响应被宣布为“迟到”响应时，能原封退回。</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Ansi="宋体" w:cs="黑体"/>
          <w:color w:val="auto"/>
          <w:sz w:val="21"/>
          <w:szCs w:val="21"/>
        </w:rPr>
        <w:t>如果密封袋外层未按本须知要求加写标记和密封，采购单位对误投或过早启封概不负责。</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Ansi="宋体" w:cs="黑体"/>
          <w:color w:val="auto"/>
          <w:sz w:val="21"/>
          <w:szCs w:val="21"/>
        </w:rPr>
        <w:t>供应商须由其合法的授权人在磋商当日响应文件递交截止时间之前将响应文件在磋商地点送达采购单位并签字确认。供应商须承担因未送达并签字所造成的一切责任。</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306" w:name="_Toc454788034"/>
      <w:bookmarkStart w:id="307" w:name="_Toc27108"/>
      <w:bookmarkStart w:id="308" w:name="_Toc455678126"/>
      <w:bookmarkStart w:id="309" w:name="_Toc29096"/>
      <w:bookmarkStart w:id="310" w:name="_Toc428351654"/>
      <w:bookmarkStart w:id="311" w:name="_Toc270604600"/>
      <w:bookmarkStart w:id="312" w:name="_Toc462934300"/>
      <w:bookmarkStart w:id="313" w:name="_Toc463011279"/>
      <w:bookmarkStart w:id="314" w:name="_Toc277149389"/>
      <w:bookmarkStart w:id="315" w:name="_Toc269470322"/>
      <w:bookmarkStart w:id="316" w:name="_Toc26556"/>
      <w:bookmarkStart w:id="317" w:name="_Toc270604827"/>
      <w:bookmarkStart w:id="318" w:name="_Toc428276594"/>
      <w:r>
        <w:rPr>
          <w:rFonts w:hint="eastAsia" w:hAnsi="宋体" w:cs="黑体"/>
          <w:b/>
          <w:color w:val="auto"/>
          <w:sz w:val="21"/>
          <w:szCs w:val="21"/>
        </w:rPr>
        <w:t>磋商响应文件的补充、修改与撤回</w:t>
      </w:r>
      <w:bookmarkEnd w:id="306"/>
      <w:bookmarkEnd w:id="307"/>
      <w:bookmarkEnd w:id="308"/>
      <w:bookmarkEnd w:id="309"/>
      <w:bookmarkEnd w:id="310"/>
      <w:bookmarkEnd w:id="311"/>
      <w:bookmarkEnd w:id="312"/>
      <w:bookmarkEnd w:id="313"/>
      <w:bookmarkEnd w:id="314"/>
      <w:bookmarkEnd w:id="315"/>
      <w:bookmarkEnd w:id="316"/>
      <w:bookmarkEnd w:id="317"/>
      <w:bookmarkEnd w:id="318"/>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在本章第4.2.1项规定的递交首次磋商截止时间前，供应商可以补充、修改或撤回已递交的磋商响应文件。</w:t>
      </w:r>
    </w:p>
    <w:p>
      <w:pPr>
        <w:pStyle w:val="42"/>
        <w:numPr>
          <w:ilvl w:val="0"/>
          <w:numId w:val="6"/>
        </w:numPr>
        <w:tabs>
          <w:tab w:val="left" w:pos="360"/>
          <w:tab w:val="clear" w:pos="425"/>
        </w:tabs>
        <w:snapToGrid w:val="0"/>
        <w:spacing w:line="360" w:lineRule="auto"/>
        <w:jc w:val="both"/>
        <w:outlineLvl w:val="1"/>
        <w:rPr>
          <w:rFonts w:hAnsi="宋体" w:cs="黑体"/>
          <w:b/>
          <w:color w:val="auto"/>
        </w:rPr>
      </w:pPr>
      <w:bookmarkStart w:id="319" w:name="_Toc270604601"/>
      <w:bookmarkStart w:id="320" w:name="_Toc5513"/>
      <w:bookmarkStart w:id="321" w:name="_Toc20799"/>
      <w:bookmarkStart w:id="322" w:name="_Toc5800"/>
      <w:r>
        <w:rPr>
          <w:rFonts w:hint="eastAsia" w:hAnsi="宋体" w:cs="黑体"/>
          <w:b/>
          <w:color w:val="auto"/>
        </w:rPr>
        <w:t>竞争性</w:t>
      </w:r>
      <w:bookmarkEnd w:id="319"/>
      <w:r>
        <w:rPr>
          <w:rFonts w:hint="eastAsia" w:hAnsi="宋体" w:cs="黑体"/>
          <w:b/>
          <w:color w:val="auto"/>
        </w:rPr>
        <w:t>磋商</w:t>
      </w:r>
      <w:bookmarkEnd w:id="320"/>
      <w:bookmarkEnd w:id="321"/>
      <w:bookmarkEnd w:id="322"/>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323" w:name="_Toc454788036"/>
      <w:bookmarkStart w:id="324" w:name="_Toc428351656"/>
      <w:bookmarkStart w:id="325" w:name="_Toc270604829"/>
      <w:bookmarkStart w:id="326" w:name="_Toc428276596"/>
      <w:bookmarkStart w:id="327" w:name="_Toc269470324"/>
      <w:bookmarkStart w:id="328" w:name="_Toc27501"/>
      <w:bookmarkStart w:id="329" w:name="_Toc462934302"/>
      <w:bookmarkStart w:id="330" w:name="_Toc463011281"/>
      <w:bookmarkStart w:id="331" w:name="_Toc277149391"/>
      <w:bookmarkStart w:id="332" w:name="_Toc455678128"/>
      <w:bookmarkStart w:id="333" w:name="_Toc270604602"/>
      <w:bookmarkStart w:id="334" w:name="_Toc29475"/>
      <w:bookmarkStart w:id="335" w:name="_Toc10079"/>
      <w:r>
        <w:rPr>
          <w:rFonts w:hint="eastAsia" w:hAnsi="宋体" w:cs="黑体"/>
          <w:b/>
          <w:color w:val="auto"/>
          <w:sz w:val="21"/>
          <w:szCs w:val="21"/>
        </w:rPr>
        <w:t>开启时间和地点</w:t>
      </w:r>
      <w:bookmarkEnd w:id="323"/>
      <w:bookmarkEnd w:id="324"/>
      <w:bookmarkEnd w:id="325"/>
      <w:bookmarkEnd w:id="326"/>
      <w:bookmarkEnd w:id="327"/>
      <w:bookmarkEnd w:id="328"/>
      <w:bookmarkEnd w:id="329"/>
      <w:bookmarkEnd w:id="330"/>
      <w:bookmarkEnd w:id="331"/>
      <w:bookmarkEnd w:id="332"/>
      <w:bookmarkEnd w:id="333"/>
      <w:bookmarkEnd w:id="334"/>
      <w:bookmarkEnd w:id="335"/>
    </w:p>
    <w:p>
      <w:pPr>
        <w:wordWrap/>
        <w:autoSpaceDE w:val="0"/>
        <w:autoSpaceDN w:val="0"/>
        <w:adjustRightInd w:val="0"/>
        <w:snapToGrid w:val="0"/>
        <w:spacing w:line="360" w:lineRule="auto"/>
        <w:ind w:firstLine="420" w:firstLineChars="200"/>
        <w:jc w:val="left"/>
        <w:rPr>
          <w:rFonts w:cs="仿宋_GB2312"/>
          <w:kern w:val="0"/>
        </w:rPr>
      </w:pPr>
      <w:r>
        <w:rPr>
          <w:rFonts w:hint="eastAsia" w:cs="仿宋_GB2312"/>
          <w:kern w:val="0"/>
        </w:rPr>
        <w:t>采购人在本章第</w:t>
      </w:r>
      <w:r>
        <w:rPr>
          <w:rFonts w:cs="TimesNewRomanPSMT"/>
          <w:kern w:val="0"/>
        </w:rPr>
        <w:t>4.2.1</w:t>
      </w:r>
      <w:r>
        <w:rPr>
          <w:rFonts w:hint="eastAsia" w:cs="仿宋_GB2312"/>
          <w:kern w:val="0"/>
        </w:rPr>
        <w:t>项规定的提交首次响应文件截止时间（开启时间）和</w:t>
      </w:r>
      <w:r>
        <w:rPr>
          <w:rFonts w:hint="eastAsia" w:cs="黑体"/>
        </w:rPr>
        <w:t>《供应商须知前附表》</w:t>
      </w:r>
      <w:r>
        <w:rPr>
          <w:rFonts w:hint="eastAsia" w:cs="仿宋_GB2312"/>
          <w:kern w:val="0"/>
        </w:rPr>
        <w:t>规定的地点进行竞争性磋商，并邀请所有供应商的法定代表人或其委托代理人准时参加。</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336" w:name="_Toc428276597"/>
      <w:bookmarkStart w:id="337" w:name="_Toc463011282"/>
      <w:bookmarkStart w:id="338" w:name="_Toc270604830"/>
      <w:bookmarkStart w:id="339" w:name="_Toc14109"/>
      <w:bookmarkStart w:id="340" w:name="_Toc277149392"/>
      <w:bookmarkStart w:id="341" w:name="_Toc269470325"/>
      <w:bookmarkStart w:id="342" w:name="_Toc428351657"/>
      <w:bookmarkStart w:id="343" w:name="_Toc454788037"/>
      <w:bookmarkStart w:id="344" w:name="_Toc455678129"/>
      <w:bookmarkStart w:id="345" w:name="_Toc21367"/>
      <w:bookmarkStart w:id="346" w:name="_Toc270604603"/>
      <w:bookmarkStart w:id="347" w:name="_Toc462934303"/>
      <w:bookmarkStart w:id="348" w:name="_Toc12033"/>
      <w:r>
        <w:rPr>
          <w:rFonts w:hint="eastAsia" w:hAnsi="宋体" w:cs="黑体"/>
          <w:b/>
          <w:color w:val="auto"/>
          <w:sz w:val="21"/>
          <w:szCs w:val="21"/>
        </w:rPr>
        <w:t>磋商程序</w:t>
      </w:r>
      <w:bookmarkEnd w:id="336"/>
      <w:bookmarkEnd w:id="337"/>
      <w:bookmarkEnd w:id="338"/>
      <w:bookmarkEnd w:id="339"/>
      <w:bookmarkEnd w:id="340"/>
      <w:bookmarkEnd w:id="341"/>
      <w:bookmarkEnd w:id="342"/>
      <w:bookmarkEnd w:id="343"/>
      <w:bookmarkEnd w:id="344"/>
      <w:bookmarkEnd w:id="345"/>
      <w:bookmarkEnd w:id="346"/>
      <w:bookmarkEnd w:id="347"/>
      <w:bookmarkEnd w:id="348"/>
    </w:p>
    <w:p>
      <w:pPr>
        <w:wordWrap/>
        <w:topLinePunct w:val="0"/>
        <w:adjustRightInd w:val="0"/>
        <w:snapToGrid w:val="0"/>
        <w:spacing w:line="360" w:lineRule="auto"/>
        <w:ind w:firstLine="420" w:firstLineChars="200"/>
      </w:pPr>
      <w:bookmarkStart w:id="349" w:name="_Toc269470330"/>
      <w:r>
        <w:rPr>
          <w:rFonts w:hint="eastAsia"/>
        </w:rPr>
        <w:t>开标时间到，在线公布供应商、采购人代表、监标人等有关名单。</w:t>
      </w:r>
    </w:p>
    <w:p>
      <w:pPr>
        <w:wordWrap/>
        <w:topLinePunct w:val="0"/>
        <w:adjustRightInd w:val="0"/>
        <w:snapToGrid w:val="0"/>
        <w:spacing w:line="360" w:lineRule="auto"/>
        <w:ind w:firstLine="420" w:firstLineChars="200"/>
      </w:pPr>
      <w:bookmarkStart w:id="350" w:name="_Toc462934304"/>
      <w:bookmarkStart w:id="351" w:name="_Toc31993"/>
      <w:bookmarkStart w:id="352" w:name="_Toc455678130"/>
      <w:bookmarkStart w:id="353" w:name="_Toc463011283"/>
      <w:bookmarkStart w:id="354" w:name="_Toc2705"/>
      <w:bookmarkStart w:id="355" w:name="_Toc8282"/>
      <w:r>
        <w:rPr>
          <w:rFonts w:hint="eastAsia"/>
        </w:rPr>
        <w:t>磋商小组将依照以下程序进行磋商评审，首先对响应文件进行形式评审和资格审查、响应性审查标准。</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磋商</w:t>
      </w:r>
      <w:bookmarkEnd w:id="350"/>
      <w:bookmarkEnd w:id="351"/>
      <w:bookmarkEnd w:id="352"/>
      <w:bookmarkEnd w:id="353"/>
      <w:bookmarkEnd w:id="354"/>
      <w:bookmarkEnd w:id="355"/>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磋商小组</w:t>
      </w:r>
    </w:p>
    <w:p>
      <w:pPr>
        <w:numPr>
          <w:ilvl w:val="0"/>
          <w:numId w:val="9"/>
        </w:numPr>
        <w:wordWrap/>
        <w:adjustRightInd w:val="0"/>
        <w:snapToGrid w:val="0"/>
        <w:spacing w:line="360" w:lineRule="auto"/>
        <w:ind w:left="0" w:firstLine="420" w:firstLineChars="200"/>
      </w:pPr>
      <w:r>
        <w:rPr>
          <w:rFonts w:hint="eastAsia"/>
        </w:rPr>
        <w:t>磋商工作由磋商小组独立进行，磋商小组由采购人代表1人和评审专家4人组成，成员人数共5人，评审专家确定方式：从相关评审专家库中随机抽取。</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磋商</w:t>
      </w:r>
    </w:p>
    <w:p>
      <w:pPr>
        <w:numPr>
          <w:ilvl w:val="0"/>
          <w:numId w:val="10"/>
        </w:numPr>
        <w:wordWrap/>
        <w:adjustRightInd w:val="0"/>
        <w:snapToGrid w:val="0"/>
        <w:spacing w:line="360" w:lineRule="auto"/>
        <w:ind w:left="0" w:firstLine="420" w:firstLineChars="200"/>
      </w:pPr>
      <w:r>
        <w:rPr>
          <w:rFonts w:hint="eastAsia"/>
        </w:rPr>
        <w:t>磋商小组成员应当按照客观、公正、审慎的原则，根据竞争性磋商文件第三章规定的评审程序、评审方法和评审标准进行独立评审。</w:t>
      </w:r>
    </w:p>
    <w:p>
      <w:pPr>
        <w:numPr>
          <w:ilvl w:val="0"/>
          <w:numId w:val="10"/>
        </w:numPr>
        <w:wordWrap/>
        <w:adjustRightInd w:val="0"/>
        <w:snapToGrid w:val="0"/>
        <w:spacing w:line="360" w:lineRule="auto"/>
        <w:ind w:left="0" w:firstLine="420" w:firstLineChars="200"/>
      </w:pPr>
      <w:r>
        <w:rPr>
          <w:rFonts w:hint="eastAsia"/>
        </w:rPr>
        <w:t>竞争性磋商文件内容违反国家有关强制性规定的，磋商小组应当停止评审并向采购人或者采购代理机构说明情况。</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356" w:name="_Toc109550798"/>
      <w:bookmarkStart w:id="357" w:name="_Toc90713357"/>
      <w:bookmarkStart w:id="358" w:name="_Toc109537522"/>
      <w:bookmarkStart w:id="359" w:name="_Toc90712538"/>
      <w:r>
        <w:rPr>
          <w:rFonts w:hint="eastAsia" w:hAnsi="宋体" w:cs="黑体"/>
          <w:color w:val="auto"/>
          <w:sz w:val="21"/>
          <w:szCs w:val="21"/>
        </w:rPr>
        <w:t>评审报告</w:t>
      </w:r>
    </w:p>
    <w:p>
      <w:pPr>
        <w:wordWrap/>
        <w:adjustRightInd w:val="0"/>
        <w:snapToGrid w:val="0"/>
        <w:spacing w:line="360" w:lineRule="auto"/>
        <w:ind w:firstLine="420" w:firstLineChars="200"/>
      </w:pPr>
      <w:r>
        <w:rPr>
          <w:rFonts w:hint="eastAsia"/>
        </w:rPr>
        <w:t>磋商</w:t>
      </w:r>
      <w:r>
        <w:t>小组应当根据评审记录和评审结果编写评审报告，其主要内容包括：</w:t>
      </w:r>
    </w:p>
    <w:p>
      <w:pPr>
        <w:numPr>
          <w:ilvl w:val="0"/>
          <w:numId w:val="11"/>
        </w:numPr>
        <w:wordWrap/>
        <w:adjustRightInd w:val="0"/>
        <w:snapToGrid w:val="0"/>
        <w:spacing w:line="360" w:lineRule="auto"/>
        <w:ind w:left="0" w:firstLine="420" w:firstLineChars="200"/>
      </w:pPr>
      <w:r>
        <w:t>邀请</w:t>
      </w:r>
      <w:r>
        <w:rPr>
          <w:rFonts w:hint="eastAsia"/>
        </w:rPr>
        <w:t>供应商</w:t>
      </w:r>
      <w:r>
        <w:t>参加采购活动的具体方式和相关情况</w:t>
      </w:r>
      <w:r>
        <w:rPr>
          <w:rFonts w:hint="eastAsia"/>
        </w:rPr>
        <w:t>；</w:t>
      </w:r>
    </w:p>
    <w:p>
      <w:pPr>
        <w:numPr>
          <w:ilvl w:val="0"/>
          <w:numId w:val="11"/>
        </w:numPr>
        <w:wordWrap/>
        <w:adjustRightInd w:val="0"/>
        <w:snapToGrid w:val="0"/>
        <w:spacing w:line="360" w:lineRule="auto"/>
        <w:ind w:left="0" w:firstLine="420" w:firstLineChars="200"/>
      </w:pPr>
      <w:r>
        <w:t>响应文件开启日期和地点</w:t>
      </w:r>
      <w:r>
        <w:rPr>
          <w:rFonts w:hint="eastAsia"/>
        </w:rPr>
        <w:t>；</w:t>
      </w:r>
    </w:p>
    <w:p>
      <w:pPr>
        <w:numPr>
          <w:ilvl w:val="0"/>
          <w:numId w:val="11"/>
        </w:numPr>
        <w:wordWrap/>
        <w:adjustRightInd w:val="0"/>
        <w:snapToGrid w:val="0"/>
        <w:spacing w:line="360" w:lineRule="auto"/>
        <w:ind w:left="0" w:firstLine="420" w:firstLineChars="200"/>
      </w:pPr>
      <w:r>
        <w:t>获取竞争性磋商文件的</w:t>
      </w:r>
      <w:r>
        <w:rPr>
          <w:rFonts w:hint="eastAsia"/>
        </w:rPr>
        <w:t>供应商</w:t>
      </w:r>
      <w:r>
        <w:t>名单和磋商小组成员名单</w:t>
      </w:r>
      <w:r>
        <w:rPr>
          <w:rFonts w:hint="eastAsia"/>
        </w:rPr>
        <w:t>；</w:t>
      </w:r>
    </w:p>
    <w:p>
      <w:pPr>
        <w:numPr>
          <w:ilvl w:val="0"/>
          <w:numId w:val="11"/>
        </w:numPr>
        <w:wordWrap/>
        <w:adjustRightInd w:val="0"/>
        <w:snapToGrid w:val="0"/>
        <w:spacing w:line="360" w:lineRule="auto"/>
        <w:ind w:left="0" w:firstLine="420" w:firstLineChars="200"/>
      </w:pPr>
      <w:r>
        <w:t>评审情况记录和说明，包括对</w:t>
      </w:r>
      <w:r>
        <w:rPr>
          <w:rFonts w:hint="eastAsia"/>
        </w:rPr>
        <w:t>供应商</w:t>
      </w:r>
      <w:r>
        <w:t>的资格审查情况、</w:t>
      </w:r>
      <w:r>
        <w:rPr>
          <w:rFonts w:hint="eastAsia"/>
        </w:rPr>
        <w:t>供应商</w:t>
      </w:r>
      <w:r>
        <w:t>响应文件评审情况、磋商情况、报价情况等</w:t>
      </w:r>
      <w:r>
        <w:rPr>
          <w:rFonts w:hint="eastAsia"/>
        </w:rPr>
        <w:t>；</w:t>
      </w:r>
    </w:p>
    <w:p>
      <w:pPr>
        <w:numPr>
          <w:ilvl w:val="0"/>
          <w:numId w:val="11"/>
        </w:numPr>
        <w:wordWrap/>
        <w:adjustRightInd w:val="0"/>
        <w:snapToGrid w:val="0"/>
        <w:spacing w:line="360" w:lineRule="auto"/>
        <w:ind w:left="0" w:firstLine="420" w:firstLineChars="200"/>
      </w:pPr>
      <w:r>
        <w:t>提出的成交候选</w:t>
      </w:r>
      <w:r>
        <w:rPr>
          <w:rFonts w:hint="eastAsia"/>
        </w:rPr>
        <w:t>人</w:t>
      </w:r>
      <w:r>
        <w:t>的排序名单及理由。</w:t>
      </w:r>
    </w:p>
    <w:p>
      <w:pPr>
        <w:wordWrap/>
        <w:adjustRightInd w:val="0"/>
        <w:snapToGrid w:val="0"/>
        <w:spacing w:line="360" w:lineRule="auto"/>
        <w:ind w:firstLine="420" w:firstLineChars="200"/>
      </w:pPr>
      <w:r>
        <w:t>评审报告应当由</w:t>
      </w:r>
      <w:r>
        <w:rPr>
          <w:rFonts w:hint="eastAsia"/>
        </w:rPr>
        <w:t>磋商</w:t>
      </w:r>
      <w:r>
        <w:t>小组全体人员签字认可。</w:t>
      </w:r>
      <w:r>
        <w:rPr>
          <w:rFonts w:hint="eastAsia"/>
        </w:rPr>
        <w:t>磋商</w:t>
      </w:r>
      <w:r>
        <w:t>小组成员对评审报告有异议的，</w:t>
      </w:r>
      <w:r>
        <w:rPr>
          <w:rFonts w:hint="eastAsia"/>
        </w:rPr>
        <w:t>磋商</w:t>
      </w:r>
      <w:r>
        <w:t>小组按照少数服从多数的原则推荐成交候选人，采购程序继续进行。对评审报告有异议的</w:t>
      </w:r>
      <w:r>
        <w:rPr>
          <w:rFonts w:hint="eastAsia"/>
        </w:rPr>
        <w:t>磋商</w:t>
      </w:r>
      <w:r>
        <w:t>小组成员，应当在报告上</w:t>
      </w:r>
      <w:r>
        <w:rPr>
          <w:rFonts w:hint="eastAsia"/>
        </w:rPr>
        <w:t>签字</w:t>
      </w:r>
      <w:r>
        <w:t>不同意见并说明理由，由</w:t>
      </w:r>
      <w:r>
        <w:rPr>
          <w:rFonts w:hint="eastAsia"/>
        </w:rPr>
        <w:t>磋商</w:t>
      </w:r>
      <w:r>
        <w:t>小组书面记录相关情况。</w:t>
      </w:r>
      <w:r>
        <w:rPr>
          <w:rFonts w:hint="eastAsia"/>
        </w:rPr>
        <w:t>磋商</w:t>
      </w:r>
      <w:r>
        <w:t>小组成员拒绝在报告上签字又不书面说明其不同意见和理由的，视为同意评审报告。</w:t>
      </w:r>
    </w:p>
    <w:p>
      <w:pPr>
        <w:wordWrap/>
        <w:adjustRightInd w:val="0"/>
        <w:snapToGrid w:val="0"/>
        <w:spacing w:line="360" w:lineRule="auto"/>
        <w:ind w:firstLine="420" w:firstLineChars="200"/>
      </w:pPr>
      <w:r>
        <w:rPr>
          <w:rFonts w:hint="eastAsia"/>
        </w:rPr>
        <w:t>评审完成后，磋商小组应当向采购人提交书面评审报告和成交候选人名单。磋商小组推荐成交候选人的人数见供应商须知前附表。</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360" w:name="_Toc26984"/>
      <w:bookmarkStart w:id="361" w:name="_Toc428276599"/>
      <w:bookmarkStart w:id="362" w:name="_Toc422126473"/>
      <w:bookmarkStart w:id="363" w:name="_Toc455678131"/>
      <w:bookmarkStart w:id="364" w:name="_Toc454788039"/>
      <w:bookmarkStart w:id="365" w:name="_Toc19623"/>
      <w:bookmarkStart w:id="366" w:name="_Toc21137"/>
      <w:bookmarkStart w:id="367" w:name="_Toc462934305"/>
      <w:bookmarkStart w:id="368" w:name="_Toc463011284"/>
      <w:bookmarkStart w:id="369" w:name="_Toc428351659"/>
      <w:r>
        <w:rPr>
          <w:rFonts w:hint="eastAsia" w:hAnsi="宋体" w:cs="黑体"/>
          <w:b/>
          <w:color w:val="auto"/>
          <w:sz w:val="21"/>
          <w:szCs w:val="21"/>
        </w:rPr>
        <w:t>磋商过程的保密性</w:t>
      </w:r>
      <w:bookmarkEnd w:id="360"/>
      <w:bookmarkEnd w:id="361"/>
      <w:bookmarkEnd w:id="362"/>
      <w:bookmarkEnd w:id="363"/>
      <w:bookmarkEnd w:id="364"/>
      <w:bookmarkEnd w:id="365"/>
      <w:bookmarkEnd w:id="366"/>
      <w:bookmarkEnd w:id="367"/>
      <w:bookmarkEnd w:id="368"/>
      <w:bookmarkEnd w:id="369"/>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磋商期间，直到授予成交人合同止，凡是与磋商响应文件审查、澄清、评价、比较以及推荐成交人等方面的情况，均不得向供应商或其他无关的人员透露。</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在磋商过程中，供应商如向磋商小组成员施加任何影响，都将会导致其磋商被拒绝，政府采购监管部门将记录其不良行为。</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370" w:name="_Toc21281"/>
      <w:bookmarkStart w:id="371" w:name="_Toc13834"/>
      <w:bookmarkStart w:id="372" w:name="_Toc455678132"/>
      <w:bookmarkStart w:id="373" w:name="_Toc462934306"/>
      <w:bookmarkStart w:id="374" w:name="_Toc5212"/>
      <w:bookmarkStart w:id="375" w:name="_Toc463011285"/>
      <w:r>
        <w:rPr>
          <w:rFonts w:hint="eastAsia" w:hAnsi="宋体" w:cs="黑体"/>
          <w:b/>
          <w:color w:val="auto"/>
          <w:sz w:val="21"/>
          <w:szCs w:val="21"/>
        </w:rPr>
        <w:t>终止竞争性磋商采购活动</w:t>
      </w:r>
      <w:bookmarkEnd w:id="370"/>
      <w:bookmarkEnd w:id="371"/>
      <w:bookmarkEnd w:id="372"/>
      <w:bookmarkEnd w:id="373"/>
      <w:bookmarkEnd w:id="374"/>
      <w:bookmarkEnd w:id="375"/>
    </w:p>
    <w:p>
      <w:pPr>
        <w:pStyle w:val="9"/>
        <w:wordWrap/>
        <w:adjustRightInd w:val="0"/>
        <w:snapToGrid w:val="0"/>
        <w:spacing w:line="360" w:lineRule="auto"/>
        <w:rPr>
          <w:rFonts w:ascii="宋体" w:hAnsi="宋体" w:cs="黑体"/>
          <w:szCs w:val="21"/>
        </w:rPr>
      </w:pPr>
      <w:r>
        <w:rPr>
          <w:rFonts w:hint="eastAsia" w:ascii="宋体" w:hAnsi="宋体" w:cs="黑体"/>
          <w:szCs w:val="21"/>
        </w:rPr>
        <w:t>出现下列情形之一的，采购人或者采购代理机构应当终止竞争性磋商采购活动，发布项目终止公告并说明原因，重新开展采购活动：</w:t>
      </w:r>
    </w:p>
    <w:p>
      <w:pPr>
        <w:numPr>
          <w:ilvl w:val="0"/>
          <w:numId w:val="12"/>
        </w:numPr>
        <w:wordWrap/>
        <w:adjustRightInd w:val="0"/>
        <w:snapToGrid w:val="0"/>
        <w:spacing w:line="360" w:lineRule="auto"/>
        <w:ind w:left="0" w:firstLine="420" w:firstLineChars="200"/>
      </w:pPr>
      <w:r>
        <w:rPr>
          <w:rFonts w:hint="eastAsia"/>
        </w:rPr>
        <w:t>因情况变化，不再符合规定的竞争性磋商采购方式适用情形的；</w:t>
      </w:r>
    </w:p>
    <w:p>
      <w:pPr>
        <w:numPr>
          <w:ilvl w:val="0"/>
          <w:numId w:val="12"/>
        </w:numPr>
        <w:wordWrap/>
        <w:adjustRightInd w:val="0"/>
        <w:snapToGrid w:val="0"/>
        <w:spacing w:line="360" w:lineRule="auto"/>
        <w:ind w:left="0" w:firstLine="420" w:firstLineChars="200"/>
      </w:pPr>
      <w:r>
        <w:rPr>
          <w:rFonts w:hint="eastAsia"/>
        </w:rPr>
        <w:t>出现影响采购公正的违法、违规行为的；</w:t>
      </w:r>
    </w:p>
    <w:p>
      <w:pPr>
        <w:numPr>
          <w:ilvl w:val="0"/>
          <w:numId w:val="12"/>
        </w:numPr>
        <w:wordWrap/>
        <w:adjustRightInd w:val="0"/>
        <w:snapToGrid w:val="0"/>
        <w:spacing w:line="360" w:lineRule="auto"/>
        <w:ind w:left="0" w:firstLine="420" w:firstLineChars="200"/>
      </w:pPr>
      <w:r>
        <w:rPr>
          <w:rFonts w:hint="eastAsia"/>
        </w:rPr>
        <w:t>在采购过程中符合要求的供应商或者报价未超过采购预算的供应商不足3家的。</w:t>
      </w:r>
    </w:p>
    <w:bookmarkEnd w:id="356"/>
    <w:bookmarkEnd w:id="357"/>
    <w:bookmarkEnd w:id="358"/>
    <w:bookmarkEnd w:id="359"/>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376" w:name="_Toc12985"/>
      <w:bookmarkStart w:id="377" w:name="_Toc428351660"/>
      <w:bookmarkStart w:id="378" w:name="_Toc462934307"/>
      <w:bookmarkStart w:id="379" w:name="_Toc31756"/>
      <w:bookmarkStart w:id="380" w:name="_Toc428276600"/>
      <w:bookmarkStart w:id="381" w:name="_Toc463011286"/>
      <w:bookmarkStart w:id="382" w:name="_Toc455678133"/>
      <w:bookmarkStart w:id="383" w:name="_Toc454788040"/>
      <w:bookmarkStart w:id="384" w:name="_Toc7308"/>
      <w:r>
        <w:rPr>
          <w:rFonts w:hint="eastAsia" w:hAnsi="宋体" w:cs="黑体"/>
          <w:b/>
          <w:color w:val="auto"/>
          <w:sz w:val="21"/>
          <w:szCs w:val="21"/>
        </w:rPr>
        <w:t>确定成交人</w:t>
      </w:r>
      <w:bookmarkEnd w:id="376"/>
      <w:bookmarkEnd w:id="377"/>
      <w:bookmarkEnd w:id="378"/>
      <w:bookmarkEnd w:id="379"/>
      <w:bookmarkEnd w:id="380"/>
      <w:bookmarkEnd w:id="381"/>
      <w:bookmarkEnd w:id="382"/>
      <w:bookmarkEnd w:id="383"/>
      <w:bookmarkEnd w:id="384"/>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采购代理机构应当自评审结束之日起2个工作日内将评审报告送交采购人。采购人应当自收到评审报告之日起5个工作日内在评审报告推荐的成交候选人中按顺序确定成交人。</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采购人也可以书面授权磋商小组直接确定成交人。磋商小组直接确定成交人的应在竞争性磋商文件中写明。</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385" w:name="_Toc428276601"/>
      <w:bookmarkStart w:id="386" w:name="_Toc428351661"/>
      <w:bookmarkStart w:id="387" w:name="_Toc455678134"/>
      <w:bookmarkStart w:id="388" w:name="_Toc422126474"/>
      <w:bookmarkStart w:id="389" w:name="_Toc454788041"/>
      <w:bookmarkStart w:id="390" w:name="_Toc15190"/>
      <w:bookmarkStart w:id="391" w:name="_Toc2677"/>
      <w:bookmarkStart w:id="392" w:name="_Toc463011287"/>
      <w:bookmarkStart w:id="393" w:name="_Toc462934308"/>
      <w:bookmarkStart w:id="394" w:name="_Toc16692"/>
      <w:r>
        <w:rPr>
          <w:rFonts w:hint="eastAsia" w:hAnsi="宋体" w:cs="黑体"/>
          <w:b/>
          <w:color w:val="auto"/>
          <w:sz w:val="21"/>
          <w:szCs w:val="21"/>
        </w:rPr>
        <w:t>成交结果</w:t>
      </w:r>
      <w:bookmarkEnd w:id="385"/>
      <w:bookmarkEnd w:id="386"/>
      <w:bookmarkEnd w:id="387"/>
      <w:bookmarkEnd w:id="388"/>
      <w:bookmarkEnd w:id="389"/>
      <w:r>
        <w:rPr>
          <w:rFonts w:hint="eastAsia" w:hAnsi="宋体" w:cs="黑体"/>
          <w:b/>
          <w:color w:val="auto"/>
          <w:sz w:val="21"/>
          <w:szCs w:val="21"/>
        </w:rPr>
        <w:t>公告</w:t>
      </w:r>
      <w:bookmarkEnd w:id="390"/>
      <w:bookmarkEnd w:id="391"/>
      <w:bookmarkEnd w:id="392"/>
      <w:bookmarkEnd w:id="393"/>
      <w:bookmarkEnd w:id="394"/>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采购人或者采购代理机构自成交人确定之日起2个工作日内，在公告发布的同一媒介上公告成交结果，同时向成交人发出成交通知书，并将竞争性磋商文件随成交结果同时公告，公告期限1个工作日。</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395" w:name="_Toc270604607"/>
      <w:r>
        <w:rPr>
          <w:rFonts w:hint="eastAsia" w:hAnsi="宋体" w:cs="黑体"/>
          <w:color w:val="auto"/>
          <w:sz w:val="21"/>
          <w:szCs w:val="21"/>
        </w:rPr>
        <w:t>成交结果公告内容包括</w:t>
      </w:r>
      <w:bookmarkEnd w:id="349"/>
      <w:bookmarkEnd w:id="395"/>
      <w:r>
        <w:rPr>
          <w:rFonts w:hint="eastAsia" w:hAnsi="宋体" w:cs="黑体"/>
          <w:color w:val="auto"/>
          <w:sz w:val="21"/>
          <w:szCs w:val="21"/>
        </w:rPr>
        <w:t>采购人和采购代理机构的名称、地址和联系方式、项目名称和项目编号、成交人名称、地址和成交金额、主要成交标的的名称、规格型号、数量、单价、服务要求、磋商小组成员名单。</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396" w:name="_Toc18026"/>
      <w:bookmarkStart w:id="397" w:name="_Toc455678136"/>
      <w:bookmarkStart w:id="398" w:name="_Toc11152"/>
      <w:bookmarkStart w:id="399" w:name="_Toc462934310"/>
      <w:bookmarkStart w:id="400" w:name="_Toc463011289"/>
      <w:bookmarkStart w:id="401" w:name="_Toc4900"/>
      <w:r>
        <w:rPr>
          <w:rFonts w:hint="eastAsia" w:hAnsi="宋体" w:cs="黑体"/>
          <w:b/>
          <w:color w:val="auto"/>
          <w:sz w:val="21"/>
          <w:szCs w:val="21"/>
        </w:rPr>
        <w:t>成交通知书</w:t>
      </w:r>
      <w:bookmarkEnd w:id="396"/>
      <w:bookmarkEnd w:id="397"/>
      <w:bookmarkEnd w:id="398"/>
      <w:bookmarkEnd w:id="399"/>
      <w:bookmarkEnd w:id="400"/>
      <w:bookmarkEnd w:id="401"/>
      <w:bookmarkStart w:id="402" w:name="_Toc11018"/>
      <w:bookmarkStart w:id="403" w:name="_Toc23963"/>
      <w:bookmarkStart w:id="404" w:name="_Toc463011290"/>
      <w:bookmarkStart w:id="405" w:name="_Toc455678137"/>
      <w:bookmarkStart w:id="406" w:name="_Toc462934311"/>
      <w:bookmarkStart w:id="407" w:name="_Toc269470335"/>
    </w:p>
    <w:bookmarkEnd w:id="402"/>
    <w:bookmarkEnd w:id="403"/>
    <w:bookmarkEnd w:id="404"/>
    <w:bookmarkEnd w:id="405"/>
    <w:bookmarkEnd w:id="406"/>
    <w:p>
      <w:pPr>
        <w:wordWrap/>
        <w:topLinePunct w:val="0"/>
        <w:adjustRightInd w:val="0"/>
        <w:snapToGrid w:val="0"/>
        <w:spacing w:line="360" w:lineRule="auto"/>
        <w:ind w:firstLine="420" w:firstLineChars="200"/>
      </w:pPr>
      <w:bookmarkStart w:id="408" w:name="_Toc720"/>
      <w:bookmarkStart w:id="409" w:name="_Toc455678139"/>
      <w:bookmarkStart w:id="410" w:name="_Toc463011292"/>
      <w:bookmarkStart w:id="411" w:name="_Toc462934313"/>
      <w:bookmarkStart w:id="412" w:name="_Toc10798"/>
      <w:r>
        <w:rPr>
          <w:rFonts w:hint="eastAsia"/>
        </w:rPr>
        <w:t>在公告成交结果的同时，采购人或者采购代理机构向成交人发出成交通知书，成交通知书将作为进行合同磋商和签订合同的依据。</w:t>
      </w:r>
    </w:p>
    <w:p>
      <w:pPr>
        <w:wordWrap/>
        <w:topLinePunct w:val="0"/>
        <w:adjustRightInd w:val="0"/>
        <w:snapToGrid w:val="0"/>
        <w:spacing w:line="360" w:lineRule="auto"/>
        <w:ind w:firstLine="422" w:firstLineChars="200"/>
        <w:rPr>
          <w:b/>
          <w:bCs/>
        </w:rPr>
      </w:pPr>
      <w:r>
        <w:rPr>
          <w:rFonts w:hint="eastAsia"/>
          <w:b/>
          <w:bCs/>
        </w:rPr>
        <w:t>（注：以联合体形式中标的投标人，成交通知书仅发放给联合体的牵头人单位。）</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413" w:name="_Toc17481"/>
      <w:r>
        <w:rPr>
          <w:rFonts w:hint="eastAsia" w:hAnsi="宋体" w:cs="黑体"/>
          <w:b/>
          <w:color w:val="auto"/>
          <w:sz w:val="21"/>
          <w:szCs w:val="21"/>
        </w:rPr>
        <w:t>履约保证金</w:t>
      </w:r>
      <w:bookmarkEnd w:id="408"/>
      <w:bookmarkEnd w:id="409"/>
      <w:bookmarkEnd w:id="410"/>
      <w:bookmarkEnd w:id="411"/>
      <w:bookmarkEnd w:id="412"/>
      <w:bookmarkEnd w:id="413"/>
    </w:p>
    <w:p>
      <w:pPr>
        <w:wordWrap/>
        <w:adjustRightInd w:val="0"/>
        <w:snapToGrid w:val="0"/>
        <w:spacing w:line="360" w:lineRule="auto"/>
      </w:pPr>
      <w:r>
        <w:rPr>
          <w:rFonts w:hint="eastAsia"/>
        </w:rPr>
        <w:t xml:space="preserve"> 中标后与采购人自行协商。</w:t>
      </w:r>
    </w:p>
    <w:p>
      <w:pPr>
        <w:pStyle w:val="42"/>
        <w:numPr>
          <w:ilvl w:val="0"/>
          <w:numId w:val="6"/>
        </w:numPr>
        <w:tabs>
          <w:tab w:val="left" w:pos="360"/>
          <w:tab w:val="clear" w:pos="425"/>
        </w:tabs>
        <w:snapToGrid w:val="0"/>
        <w:spacing w:line="360" w:lineRule="auto"/>
        <w:jc w:val="both"/>
        <w:outlineLvl w:val="1"/>
        <w:rPr>
          <w:rFonts w:hAnsi="宋体" w:cs="黑体"/>
          <w:b/>
          <w:color w:val="auto"/>
        </w:rPr>
      </w:pPr>
      <w:bookmarkStart w:id="414" w:name="_Toc23149"/>
      <w:bookmarkStart w:id="415" w:name="_Toc1471"/>
      <w:r>
        <w:rPr>
          <w:rFonts w:hint="eastAsia" w:hAnsi="宋体" w:cs="黑体"/>
          <w:b/>
          <w:color w:val="auto"/>
        </w:rPr>
        <w:t>授予合同</w:t>
      </w:r>
      <w:bookmarkEnd w:id="414"/>
      <w:bookmarkEnd w:id="415"/>
      <w:bookmarkStart w:id="416" w:name="_Toc32765"/>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417" w:name="_Toc26749"/>
      <w:bookmarkStart w:id="418" w:name="_Toc8361"/>
      <w:bookmarkStart w:id="419" w:name="_Toc5672"/>
      <w:r>
        <w:rPr>
          <w:rFonts w:hint="eastAsia" w:hAnsi="宋体" w:cs="黑体"/>
          <w:color w:val="auto"/>
          <w:sz w:val="21"/>
          <w:szCs w:val="21"/>
        </w:rPr>
        <w:t>采购人自成交通知书发出之日起30日内，按照竞争性磋商文件和成交人响应文件的规定，与成交人签订书面合同。所签订的合同不得对竞争性磋商文件确定的事项和成交人响应文件作实质性修改。</w:t>
      </w:r>
      <w:bookmarkEnd w:id="416"/>
      <w:bookmarkEnd w:id="417"/>
      <w:bookmarkEnd w:id="418"/>
      <w:bookmarkEnd w:id="419"/>
      <w:bookmarkStart w:id="420" w:name="_Toc26954"/>
    </w:p>
    <w:bookmarkEnd w:id="420"/>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421" w:name="_Toc14039"/>
      <w:bookmarkStart w:id="422" w:name="_Toc12834"/>
      <w:bookmarkStart w:id="423" w:name="_Toc21772"/>
      <w:bookmarkStart w:id="424" w:name="_Toc10652"/>
      <w:r>
        <w:rPr>
          <w:rFonts w:hint="eastAsia" w:hAnsi="宋体" w:cs="黑体"/>
          <w:color w:val="auto"/>
          <w:sz w:val="21"/>
          <w:szCs w:val="21"/>
        </w:rPr>
        <w:t>竞争性磋商文件、成交人的响应文件和澄清文件等，均应作为签约的合同文本的基础。</w:t>
      </w:r>
      <w:bookmarkEnd w:id="421"/>
      <w:bookmarkEnd w:id="422"/>
      <w:bookmarkEnd w:id="423"/>
      <w:bookmarkEnd w:id="424"/>
      <w:bookmarkStart w:id="425" w:name="_Toc5481"/>
    </w:p>
    <w:bookmarkEnd w:id="425"/>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426" w:name="_Toc18228"/>
      <w:bookmarkStart w:id="427" w:name="_Toc10089"/>
      <w:bookmarkStart w:id="428" w:name="_Toc12739"/>
      <w:bookmarkStart w:id="429" w:name="_Toc4762"/>
      <w:r>
        <w:rPr>
          <w:rFonts w:hint="eastAsia" w:hAnsi="宋体" w:cs="黑体"/>
          <w:color w:val="auto"/>
          <w:sz w:val="21"/>
          <w:szCs w:val="21"/>
        </w:rPr>
        <w:t>政府采购合同包括采购人与成交人的名称和住所、标的、数量、质量、价款或者报酬、履行期限及地点和方式、验收要求、违约责任、解决争议的方法等内容。</w:t>
      </w:r>
      <w:bookmarkEnd w:id="426"/>
      <w:bookmarkEnd w:id="427"/>
      <w:bookmarkEnd w:id="428"/>
      <w:bookmarkEnd w:id="429"/>
      <w:bookmarkStart w:id="430" w:name="_Toc7717"/>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431" w:name="_Toc18078"/>
      <w:bookmarkStart w:id="432" w:name="_Toc6035"/>
      <w:bookmarkStart w:id="433" w:name="_Toc5311"/>
      <w:r>
        <w:rPr>
          <w:rFonts w:hint="eastAsia" w:hAnsi="宋体" w:cs="黑体"/>
          <w:color w:val="auto"/>
          <w:sz w:val="21"/>
          <w:szCs w:val="21"/>
        </w:rPr>
        <w:t>如成交人不按本章第6.1项约定签订合同，采购人将报请取消其成交决定，采购人可按照磋商小组推荐的成交候选人名单排序，确定下一候选人为成交人或者重新采购。</w:t>
      </w:r>
      <w:bookmarkEnd w:id="430"/>
      <w:bookmarkEnd w:id="431"/>
      <w:bookmarkEnd w:id="432"/>
      <w:bookmarkEnd w:id="433"/>
    </w:p>
    <w:bookmarkEnd w:id="407"/>
    <w:p>
      <w:pPr>
        <w:pStyle w:val="42"/>
        <w:numPr>
          <w:ilvl w:val="0"/>
          <w:numId w:val="6"/>
        </w:numPr>
        <w:tabs>
          <w:tab w:val="left" w:pos="360"/>
          <w:tab w:val="clear" w:pos="425"/>
        </w:tabs>
        <w:snapToGrid w:val="0"/>
        <w:spacing w:line="360" w:lineRule="auto"/>
        <w:jc w:val="both"/>
        <w:outlineLvl w:val="1"/>
        <w:rPr>
          <w:rFonts w:hAnsi="宋体" w:cs="黑体"/>
          <w:b/>
          <w:color w:val="auto"/>
        </w:rPr>
      </w:pPr>
      <w:bookmarkStart w:id="434" w:name="_Toc269470338"/>
      <w:bookmarkStart w:id="435" w:name="_Toc25425"/>
      <w:bookmarkStart w:id="436" w:name="_Toc27882"/>
      <w:bookmarkStart w:id="437" w:name="_Toc24967"/>
      <w:bookmarkStart w:id="438" w:name="_Toc270604610"/>
      <w:r>
        <w:rPr>
          <w:rFonts w:hint="eastAsia" w:hAnsi="宋体" w:cs="黑体"/>
          <w:b/>
          <w:color w:val="auto"/>
        </w:rPr>
        <w:t>纪律和监督</w:t>
      </w:r>
      <w:bookmarkEnd w:id="434"/>
      <w:bookmarkEnd w:id="435"/>
      <w:bookmarkEnd w:id="436"/>
      <w:bookmarkEnd w:id="437"/>
      <w:bookmarkEnd w:id="438"/>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439" w:name="_Toc428276606"/>
      <w:bookmarkStart w:id="440" w:name="_Toc269470339"/>
      <w:bookmarkStart w:id="441" w:name="_Toc454788046"/>
      <w:bookmarkStart w:id="442" w:name="_Toc463011302"/>
      <w:bookmarkStart w:id="443" w:name="_Toc428351666"/>
      <w:bookmarkStart w:id="444" w:name="_Toc2717"/>
      <w:bookmarkStart w:id="445" w:name="_Toc277149399"/>
      <w:bookmarkStart w:id="446" w:name="_Toc455678149"/>
      <w:bookmarkStart w:id="447" w:name="_Toc270604838"/>
      <w:bookmarkStart w:id="448" w:name="_Toc31772"/>
      <w:bookmarkStart w:id="449" w:name="_Toc462934323"/>
      <w:bookmarkStart w:id="450" w:name="_Toc270604611"/>
      <w:bookmarkStart w:id="451" w:name="_Toc13152"/>
      <w:r>
        <w:rPr>
          <w:rFonts w:hint="eastAsia" w:hAnsi="宋体" w:cs="黑体"/>
          <w:b/>
          <w:color w:val="auto"/>
          <w:sz w:val="21"/>
          <w:szCs w:val="21"/>
        </w:rPr>
        <w:t>对采购人的纪律要求</w:t>
      </w:r>
      <w:bookmarkEnd w:id="439"/>
      <w:bookmarkEnd w:id="440"/>
      <w:bookmarkEnd w:id="441"/>
      <w:bookmarkEnd w:id="442"/>
      <w:bookmarkEnd w:id="443"/>
      <w:bookmarkEnd w:id="444"/>
      <w:bookmarkEnd w:id="445"/>
      <w:bookmarkEnd w:id="446"/>
      <w:bookmarkEnd w:id="447"/>
      <w:bookmarkEnd w:id="448"/>
      <w:bookmarkEnd w:id="449"/>
      <w:bookmarkEnd w:id="450"/>
      <w:bookmarkEnd w:id="451"/>
    </w:p>
    <w:p>
      <w:pPr>
        <w:wordWrap/>
        <w:autoSpaceDE w:val="0"/>
        <w:autoSpaceDN w:val="0"/>
        <w:adjustRightInd w:val="0"/>
        <w:snapToGrid w:val="0"/>
        <w:spacing w:line="360" w:lineRule="auto"/>
        <w:ind w:firstLine="420" w:firstLineChars="200"/>
        <w:jc w:val="left"/>
        <w:rPr>
          <w:rFonts w:cs="仿宋_GB2312"/>
          <w:kern w:val="0"/>
        </w:rPr>
      </w:pPr>
      <w:r>
        <w:rPr>
          <w:rFonts w:hint="eastAsia" w:cs="仿宋_GB2312"/>
          <w:kern w:val="0"/>
        </w:rPr>
        <w:t>采购人不得泄漏竞争性磋商中应当保密的情况和资料，不得与供应商串通损害国家利益、社会公共利益或者他人合法权益。</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452" w:name="_Toc270604839"/>
      <w:bookmarkStart w:id="453" w:name="_Toc24245"/>
      <w:bookmarkStart w:id="454" w:name="_Toc454788047"/>
      <w:bookmarkStart w:id="455" w:name="_Toc270604612"/>
      <w:bookmarkStart w:id="456" w:name="_Toc428351667"/>
      <w:bookmarkStart w:id="457" w:name="_Toc463011303"/>
      <w:bookmarkStart w:id="458" w:name="_Toc277149400"/>
      <w:bookmarkStart w:id="459" w:name="_Toc428276607"/>
      <w:bookmarkStart w:id="460" w:name="_Toc462934324"/>
      <w:bookmarkStart w:id="461" w:name="_Toc269470340"/>
      <w:bookmarkStart w:id="462" w:name="_Toc1136"/>
      <w:bookmarkStart w:id="463" w:name="_Toc10123"/>
      <w:bookmarkStart w:id="464" w:name="_Toc455678150"/>
      <w:r>
        <w:rPr>
          <w:rFonts w:hint="eastAsia" w:hAnsi="宋体" w:cs="黑体"/>
          <w:b/>
          <w:color w:val="auto"/>
          <w:sz w:val="21"/>
          <w:szCs w:val="21"/>
        </w:rPr>
        <w:t>对供应商的纪律要求</w:t>
      </w:r>
      <w:bookmarkEnd w:id="452"/>
      <w:bookmarkEnd w:id="453"/>
      <w:bookmarkEnd w:id="454"/>
      <w:bookmarkEnd w:id="455"/>
      <w:bookmarkEnd w:id="456"/>
      <w:bookmarkEnd w:id="457"/>
      <w:bookmarkEnd w:id="458"/>
      <w:bookmarkEnd w:id="459"/>
      <w:bookmarkEnd w:id="460"/>
      <w:bookmarkEnd w:id="461"/>
      <w:bookmarkEnd w:id="462"/>
      <w:bookmarkEnd w:id="463"/>
      <w:bookmarkEnd w:id="464"/>
    </w:p>
    <w:p>
      <w:pPr>
        <w:wordWrap/>
        <w:autoSpaceDE w:val="0"/>
        <w:autoSpaceDN w:val="0"/>
        <w:adjustRightInd w:val="0"/>
        <w:snapToGrid w:val="0"/>
        <w:spacing w:line="360" w:lineRule="auto"/>
        <w:ind w:firstLine="420" w:firstLineChars="200"/>
        <w:jc w:val="left"/>
        <w:rPr>
          <w:rFonts w:cs="仿宋_GB2312"/>
          <w:kern w:val="0"/>
        </w:rPr>
      </w:pPr>
      <w:r>
        <w:rPr>
          <w:rFonts w:hint="eastAsia" w:cs="仿宋_GB2312"/>
          <w:kern w:val="0"/>
        </w:rPr>
        <w:t>供应商不得相互串通或者与采购人串通，不得向采购人或者磋商小组成员行贿谋取成交，不得以他人名义磋商或者以其他方式弄虚作假骗取成交；供应商不得以任何方式干扰、影响磋商工作。</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465" w:name="_Toc270604840"/>
      <w:bookmarkStart w:id="466" w:name="_Toc462934325"/>
      <w:bookmarkStart w:id="467" w:name="_Toc428276608"/>
      <w:bookmarkStart w:id="468" w:name="_Toc463011304"/>
      <w:bookmarkStart w:id="469" w:name="_Toc455678151"/>
      <w:bookmarkStart w:id="470" w:name="_Toc269470341"/>
      <w:bookmarkStart w:id="471" w:name="_Toc26184"/>
      <w:bookmarkStart w:id="472" w:name="_Toc270604613"/>
      <w:bookmarkStart w:id="473" w:name="_Toc15953"/>
      <w:bookmarkStart w:id="474" w:name="_Toc428351668"/>
      <w:bookmarkStart w:id="475" w:name="_Toc23588"/>
      <w:bookmarkStart w:id="476" w:name="_Toc277149401"/>
      <w:bookmarkStart w:id="477" w:name="_Toc454788048"/>
      <w:r>
        <w:rPr>
          <w:rFonts w:hint="eastAsia" w:hAnsi="宋体" w:cs="黑体"/>
          <w:b/>
          <w:color w:val="auto"/>
          <w:sz w:val="21"/>
          <w:szCs w:val="21"/>
        </w:rPr>
        <w:t>对磋商小组成员的纪律要求</w:t>
      </w:r>
      <w:bookmarkEnd w:id="465"/>
      <w:bookmarkEnd w:id="466"/>
      <w:bookmarkEnd w:id="467"/>
      <w:bookmarkEnd w:id="468"/>
      <w:bookmarkEnd w:id="469"/>
      <w:bookmarkEnd w:id="470"/>
      <w:bookmarkEnd w:id="471"/>
      <w:bookmarkEnd w:id="472"/>
      <w:bookmarkEnd w:id="473"/>
      <w:bookmarkEnd w:id="474"/>
      <w:bookmarkEnd w:id="475"/>
      <w:bookmarkEnd w:id="476"/>
      <w:bookmarkEnd w:id="477"/>
    </w:p>
    <w:p>
      <w:pPr>
        <w:wordWrap/>
        <w:autoSpaceDE w:val="0"/>
        <w:autoSpaceDN w:val="0"/>
        <w:adjustRightInd w:val="0"/>
        <w:snapToGrid w:val="0"/>
        <w:spacing w:line="360" w:lineRule="auto"/>
        <w:ind w:firstLine="420" w:firstLineChars="200"/>
        <w:jc w:val="left"/>
        <w:rPr>
          <w:rFonts w:cs="仿宋_GB2312"/>
          <w:kern w:val="0"/>
        </w:rPr>
      </w:pPr>
      <w:r>
        <w:rPr>
          <w:rFonts w:hint="eastAsia" w:cs="仿宋_GB2312"/>
          <w:kern w:val="0"/>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478" w:name="_Toc463011305"/>
      <w:bookmarkStart w:id="479" w:name="_Toc455678152"/>
      <w:bookmarkStart w:id="480" w:name="_Toc270604841"/>
      <w:bookmarkStart w:id="481" w:name="_Toc454788049"/>
      <w:bookmarkStart w:id="482" w:name="_Toc462934326"/>
      <w:bookmarkStart w:id="483" w:name="_Toc8563"/>
      <w:bookmarkStart w:id="484" w:name="_Toc428351669"/>
      <w:bookmarkStart w:id="485" w:name="_Toc4673"/>
      <w:bookmarkStart w:id="486" w:name="_Toc270604614"/>
      <w:bookmarkStart w:id="487" w:name="_Toc277149402"/>
      <w:bookmarkStart w:id="488" w:name="_Toc428276609"/>
      <w:bookmarkStart w:id="489" w:name="_Toc269470342"/>
      <w:bookmarkStart w:id="490" w:name="_Toc14202"/>
      <w:r>
        <w:rPr>
          <w:rFonts w:hint="eastAsia" w:hAnsi="宋体" w:cs="黑体"/>
          <w:b/>
          <w:color w:val="auto"/>
          <w:sz w:val="21"/>
          <w:szCs w:val="21"/>
        </w:rPr>
        <w:t>对与磋商活动有关的工作人员的纪律要求</w:t>
      </w:r>
      <w:bookmarkEnd w:id="478"/>
      <w:bookmarkEnd w:id="479"/>
      <w:bookmarkEnd w:id="480"/>
      <w:bookmarkEnd w:id="481"/>
      <w:bookmarkEnd w:id="482"/>
      <w:bookmarkEnd w:id="483"/>
      <w:bookmarkEnd w:id="484"/>
      <w:bookmarkEnd w:id="485"/>
      <w:bookmarkEnd w:id="486"/>
      <w:bookmarkEnd w:id="487"/>
      <w:bookmarkEnd w:id="488"/>
      <w:bookmarkEnd w:id="489"/>
      <w:bookmarkEnd w:id="490"/>
    </w:p>
    <w:p>
      <w:pPr>
        <w:wordWrap/>
        <w:autoSpaceDE w:val="0"/>
        <w:autoSpaceDN w:val="0"/>
        <w:adjustRightInd w:val="0"/>
        <w:snapToGrid w:val="0"/>
        <w:spacing w:line="360" w:lineRule="auto"/>
        <w:ind w:firstLine="420" w:firstLineChars="200"/>
        <w:jc w:val="left"/>
        <w:rPr>
          <w:rFonts w:cs="仿宋_GB2312"/>
          <w:kern w:val="0"/>
        </w:rPr>
      </w:pPr>
      <w:r>
        <w:rPr>
          <w:rFonts w:hint="eastAsia" w:cs="仿宋_GB2312"/>
          <w:kern w:val="0"/>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pPr>
        <w:pStyle w:val="42"/>
        <w:numPr>
          <w:ilvl w:val="1"/>
          <w:numId w:val="6"/>
        </w:numPr>
        <w:tabs>
          <w:tab w:val="left" w:pos="540"/>
          <w:tab w:val="clear" w:pos="992"/>
        </w:tabs>
        <w:snapToGrid w:val="0"/>
        <w:spacing w:line="360" w:lineRule="auto"/>
        <w:ind w:left="540" w:hanging="540"/>
        <w:jc w:val="both"/>
        <w:outlineLvl w:val="1"/>
        <w:rPr>
          <w:rFonts w:hAnsi="宋体" w:cs="黑体"/>
          <w:b/>
          <w:color w:val="auto"/>
          <w:sz w:val="21"/>
          <w:szCs w:val="21"/>
        </w:rPr>
      </w:pPr>
      <w:bookmarkStart w:id="491" w:name="_Toc277149403"/>
      <w:bookmarkStart w:id="492" w:name="_Toc454788050"/>
      <w:bookmarkStart w:id="493" w:name="_Toc428351670"/>
      <w:bookmarkStart w:id="494" w:name="_Toc428276610"/>
      <w:bookmarkStart w:id="495" w:name="_Toc270604842"/>
      <w:bookmarkStart w:id="496" w:name="_Toc29089"/>
      <w:bookmarkStart w:id="497" w:name="_Toc269470343"/>
      <w:bookmarkStart w:id="498" w:name="_Toc27033"/>
      <w:bookmarkStart w:id="499" w:name="_Toc270604615"/>
      <w:r>
        <w:rPr>
          <w:rFonts w:hint="eastAsia" w:hAnsi="宋体" w:cs="黑体"/>
          <w:b/>
          <w:color w:val="auto"/>
          <w:sz w:val="21"/>
          <w:szCs w:val="21"/>
        </w:rPr>
        <w:t>询问、质疑和投诉</w:t>
      </w:r>
      <w:bookmarkEnd w:id="491"/>
      <w:bookmarkEnd w:id="492"/>
      <w:bookmarkEnd w:id="493"/>
      <w:bookmarkEnd w:id="494"/>
      <w:bookmarkEnd w:id="495"/>
      <w:bookmarkEnd w:id="496"/>
      <w:bookmarkEnd w:id="497"/>
      <w:bookmarkEnd w:id="498"/>
      <w:bookmarkEnd w:id="499"/>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500" w:name="_Toc11785"/>
      <w:bookmarkStart w:id="501" w:name="_Toc463011307"/>
      <w:bookmarkStart w:id="502" w:name="_Toc462934328"/>
      <w:bookmarkStart w:id="503" w:name="_Toc455678154"/>
      <w:bookmarkStart w:id="504" w:name="_Toc17445"/>
      <w:r>
        <w:rPr>
          <w:rFonts w:hint="eastAsia" w:hAnsi="宋体" w:cs="黑体"/>
          <w:color w:val="auto"/>
          <w:sz w:val="21"/>
          <w:szCs w:val="21"/>
        </w:rPr>
        <w:t>供应商或有关当事人对磋商过程、成交结果有异议的，可以向采购人或者采购代理机构提出询问。</w:t>
      </w:r>
      <w:bookmarkEnd w:id="500"/>
      <w:bookmarkEnd w:id="501"/>
      <w:bookmarkEnd w:id="502"/>
      <w:bookmarkEnd w:id="503"/>
      <w:bookmarkEnd w:id="504"/>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505" w:name="_Toc463011308"/>
      <w:bookmarkStart w:id="506" w:name="_Toc462934329"/>
      <w:bookmarkStart w:id="507" w:name="_Toc24621"/>
      <w:bookmarkStart w:id="508" w:name="_Toc455678155"/>
      <w:bookmarkStart w:id="509" w:name="_Toc27421"/>
      <w:r>
        <w:rPr>
          <w:rFonts w:hint="eastAsia" w:hAnsi="宋体" w:cs="黑体"/>
          <w:color w:val="auto"/>
          <w:sz w:val="21"/>
          <w:szCs w:val="21"/>
        </w:rPr>
        <w:t>采购人或者采购代理机构应当在三个工作日内对供应商依法提出的询问作出答复。</w:t>
      </w:r>
      <w:bookmarkEnd w:id="505"/>
      <w:bookmarkEnd w:id="506"/>
      <w:bookmarkEnd w:id="507"/>
      <w:bookmarkEnd w:id="508"/>
      <w:bookmarkEnd w:id="509"/>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510" w:name="_Toc30298"/>
      <w:bookmarkStart w:id="511" w:name="_Toc462934330"/>
      <w:bookmarkStart w:id="512" w:name="_Toc455678156"/>
      <w:bookmarkStart w:id="513" w:name="_Toc28381"/>
      <w:bookmarkStart w:id="514" w:name="_Toc463011309"/>
      <w:r>
        <w:rPr>
          <w:rFonts w:hint="eastAsia" w:hAnsi="宋体" w:cs="黑体"/>
          <w:color w:val="auto"/>
          <w:sz w:val="21"/>
          <w:szCs w:val="21"/>
        </w:rPr>
        <w:t>供应商认为竞争性磋商文件、采购过程使自己的权益受到损害的，可以在知道或者应知其权益受到损害之日起七个工作日内，以书面形式向采购人提出质疑。</w:t>
      </w:r>
      <w:bookmarkEnd w:id="510"/>
      <w:bookmarkEnd w:id="511"/>
      <w:bookmarkEnd w:id="512"/>
      <w:bookmarkEnd w:id="513"/>
      <w:bookmarkEnd w:id="514"/>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515" w:name="_Toc463011310"/>
      <w:bookmarkStart w:id="516" w:name="_Toc462934331"/>
      <w:bookmarkStart w:id="517" w:name="_Toc288"/>
      <w:bookmarkStart w:id="518" w:name="_Toc16614"/>
      <w:r>
        <w:rPr>
          <w:rFonts w:hint="eastAsia" w:hAnsi="宋体" w:cs="黑体"/>
          <w:color w:val="auto"/>
          <w:sz w:val="21"/>
          <w:szCs w:val="21"/>
        </w:rPr>
        <w:t>供应商认为成交结果使自己的权益受到损害的，可以在成交结果公告期限届满之日起七个工作日内，以书面形式向采购人提出质疑，接收质疑函联系部门、电话及地址详见竞争性磋商公告。</w:t>
      </w:r>
      <w:bookmarkEnd w:id="515"/>
      <w:bookmarkEnd w:id="516"/>
      <w:bookmarkEnd w:id="517"/>
      <w:bookmarkEnd w:id="518"/>
      <w:r>
        <w:rPr>
          <w:rFonts w:hint="eastAsia" w:hAnsi="宋体" w:cs="黑体"/>
          <w:color w:val="auto"/>
          <w:sz w:val="21"/>
          <w:szCs w:val="21"/>
        </w:rPr>
        <w:t>在法定质疑期内供应商针对同一采购程序环节的质疑应当一次性提出。</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519" w:name="_Toc5258"/>
      <w:bookmarkStart w:id="520" w:name="_Toc463011311"/>
      <w:bookmarkStart w:id="521" w:name="_Toc18478"/>
      <w:bookmarkStart w:id="522" w:name="_Toc455678157"/>
      <w:bookmarkStart w:id="523" w:name="_Toc462934332"/>
      <w:r>
        <w:rPr>
          <w:rFonts w:hint="eastAsia" w:hAnsi="宋体" w:cs="黑体"/>
          <w:color w:val="auto"/>
          <w:sz w:val="21"/>
          <w:szCs w:val="21"/>
        </w:rPr>
        <w:t>采购人或者采购代理机构应当在收到供应商的书面质疑后七个工作日内作出答复，并以书面形式通知质疑供应商和其他有关供应商，但答复的内容不得涉及商业秘密。</w:t>
      </w:r>
      <w:bookmarkEnd w:id="519"/>
      <w:bookmarkEnd w:id="520"/>
      <w:bookmarkEnd w:id="521"/>
      <w:bookmarkEnd w:id="522"/>
      <w:bookmarkEnd w:id="523"/>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524" w:name="_Toc4898"/>
      <w:bookmarkStart w:id="525" w:name="_Toc463011312"/>
      <w:bookmarkStart w:id="526" w:name="_Toc21390"/>
      <w:bookmarkStart w:id="527" w:name="_Toc462934333"/>
      <w:bookmarkStart w:id="528" w:name="_Toc455678158"/>
      <w:r>
        <w:rPr>
          <w:rFonts w:hint="eastAsia" w:hAnsi="宋体" w:cs="黑体"/>
          <w:color w:val="auto"/>
          <w:sz w:val="21"/>
          <w:szCs w:val="21"/>
        </w:rPr>
        <w:t>质疑单位对采购人、采购代理机构的答复不满意或者采购人、采购代理机构未在规定的时间内作出答复的，可以在答复期满后十五个工作日内向同级政府采购监督管理部门投诉。</w:t>
      </w:r>
      <w:bookmarkEnd w:id="524"/>
      <w:bookmarkEnd w:id="525"/>
      <w:bookmarkEnd w:id="526"/>
      <w:bookmarkEnd w:id="527"/>
      <w:bookmarkEnd w:id="528"/>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bookmarkStart w:id="529" w:name="_Toc17682"/>
      <w:bookmarkStart w:id="530" w:name="_Toc463011313"/>
      <w:bookmarkStart w:id="531" w:name="_Toc462934334"/>
      <w:bookmarkStart w:id="532" w:name="_Toc11631"/>
      <w:bookmarkStart w:id="533" w:name="_Toc455678159"/>
      <w:r>
        <w:rPr>
          <w:rFonts w:hint="eastAsia" w:hAnsi="宋体" w:cs="黑体"/>
          <w:color w:val="auto"/>
          <w:sz w:val="21"/>
          <w:szCs w:val="21"/>
        </w:rPr>
        <w:t>供应商质疑、投诉应当有明确的请求和必要的证明材料。供应商投诉的事项不得超出已质疑事项的范围。</w:t>
      </w:r>
      <w:bookmarkEnd w:id="529"/>
      <w:bookmarkEnd w:id="530"/>
      <w:bookmarkEnd w:id="531"/>
      <w:bookmarkEnd w:id="532"/>
      <w:bookmarkEnd w:id="533"/>
    </w:p>
    <w:p>
      <w:pPr>
        <w:pStyle w:val="42"/>
        <w:numPr>
          <w:ilvl w:val="0"/>
          <w:numId w:val="6"/>
        </w:numPr>
        <w:tabs>
          <w:tab w:val="left" w:pos="360"/>
          <w:tab w:val="clear" w:pos="425"/>
        </w:tabs>
        <w:snapToGrid w:val="0"/>
        <w:spacing w:line="360" w:lineRule="auto"/>
        <w:jc w:val="both"/>
        <w:outlineLvl w:val="1"/>
        <w:rPr>
          <w:rFonts w:hAnsi="宋体" w:cs="黑体"/>
          <w:b/>
          <w:color w:val="auto"/>
        </w:rPr>
      </w:pPr>
      <w:bookmarkStart w:id="534" w:name="_Toc1620"/>
      <w:bookmarkStart w:id="535" w:name="_Toc5688"/>
      <w:r>
        <w:rPr>
          <w:rFonts w:hint="eastAsia" w:hAnsi="宋体" w:cs="黑体"/>
          <w:b/>
          <w:color w:val="auto"/>
        </w:rPr>
        <w:t>政府采购政策</w:t>
      </w:r>
      <w:bookmarkEnd w:id="534"/>
      <w:bookmarkEnd w:id="535"/>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磋商产品符合国家环保、节能标准，并载入财政部、国家发改委和国家环保总局发布的最新《环境标志产品政府采购清单》、《节能产品政府采购清单》内（若政府采购活动开始后，尚未进入评审环节前，相关部门重新发布新一期《环境标志产品政府采购清单》、《节能产品政府采购清单》的，可同时执行上期和最新一期环保、节能清单），且具有在有效期内的《国家节能产品认证证书》或《中国环境标志产品认证证书》（供应商必须提供有关证明材料和文件等），将分别给予供应商在评审办法中规定的标准分值进行加分评审。</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如磋商产品属于财政部和国家发展改革委发布的最新《节能产品政府采购清单》中要求的强制政府采购产品的（若政府采购活动开始后，尚未进入评审环节前，相关部门重新发布新一期《节能产品政府采购清单》的，可同时执行上期和最新一期节能清单），供应商必须提供所投产品属于清单中要求的制造厂家生产的指定型号产品，如提供非最新《节能产品政府采购清单》中要求的强制政府采购产品的，则认定其响应文件无效。</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关于无线局域网产品，必须执行国家财政部、发改委、信息产业部等部门的规定，供应商必须提供所投货物的《无限局域网认证产品政府采购清单》等证明材料文件复印件。</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关于计算机办公设备，必须执行国家版权局、信息产业部、财政部等部门规定，供应商所投货物必须是国家信息部、版权局、商务部等部门认可的预装正版操作系统软件的计算机产品。</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采购货物为国家强制性认证产品的，必须符合强制性标准并提供国家及相关部门的认证材料和证书。</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优先采购本国产品。采购进口产品应符合《中华人民共和国政府采购法》并依法办理论证、公示、审批手续。</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采购信息安全产品的，应当采购经国家认证的信息安全产品，供应商应提供由中国信息安全认证中心按国家标准颁发的有效认证证书。</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鼓励创新，首购和订购的产品具有首创和自主研发性质，属于自主创新产品的，必须执行《自主创新产品政府收购和订购管理办法》。</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促进中小型企业发展，必须执行财政部、工信部印发的《政府采购促进中小企业发展管理办法》，对小型和微型企业产品的价格给予10%-20%的扣除（监狱企业/残疾人福利性企业视同小型、微型企业），用扣除后的价格参与评审。参加政府采购活动的中小企业应当提供《中小企业声明函》，未填写中小企业声明函的在评审过程中不予认可，参加政府采购活动的残疾人福利性单位应当提供《残疾人福利性单位声明函》，未填写残疾人福利性单位声明函的在评审过程中不予认可。成交人如为小型和微型企业的，并在响应文件中填写了中小企业声明函；成交人如为残疾人福利性企业的，并在响应文件中填写了残疾人福利性单位声明函。</w:t>
      </w:r>
    </w:p>
    <w:p>
      <w:pPr>
        <w:pStyle w:val="42"/>
        <w:numPr>
          <w:ilvl w:val="2"/>
          <w:numId w:val="6"/>
        </w:numPr>
        <w:tabs>
          <w:tab w:val="left" w:pos="0"/>
          <w:tab w:val="clear" w:pos="1418"/>
        </w:tabs>
        <w:snapToGrid w:val="0"/>
        <w:spacing w:line="360" w:lineRule="auto"/>
        <w:ind w:left="420" w:leftChars="200" w:firstLine="0"/>
        <w:jc w:val="both"/>
        <w:rPr>
          <w:rFonts w:hAnsi="宋体" w:cs="黑体"/>
          <w:color w:val="auto"/>
          <w:sz w:val="21"/>
          <w:szCs w:val="21"/>
        </w:rPr>
      </w:pPr>
      <w:r>
        <w:rPr>
          <w:rFonts w:hint="eastAsia" w:hAnsi="宋体" w:cs="黑体"/>
          <w:color w:val="auto"/>
          <w:sz w:val="21"/>
          <w:szCs w:val="21"/>
        </w:rPr>
        <w:t>开源节流，执行低价优先的采购政策规定。</w:t>
      </w:r>
    </w:p>
    <w:p>
      <w:pPr>
        <w:pStyle w:val="42"/>
        <w:numPr>
          <w:ilvl w:val="0"/>
          <w:numId w:val="6"/>
        </w:numPr>
        <w:tabs>
          <w:tab w:val="left" w:pos="360"/>
          <w:tab w:val="clear" w:pos="425"/>
        </w:tabs>
        <w:snapToGrid w:val="0"/>
        <w:spacing w:line="360" w:lineRule="auto"/>
        <w:jc w:val="both"/>
        <w:outlineLvl w:val="1"/>
        <w:rPr>
          <w:rFonts w:hAnsi="宋体" w:cs="黑体"/>
          <w:b/>
          <w:color w:val="auto"/>
        </w:rPr>
      </w:pPr>
      <w:bookmarkStart w:id="536" w:name="_Toc15491"/>
      <w:bookmarkStart w:id="537" w:name="_Toc13339"/>
      <w:bookmarkStart w:id="538" w:name="_Toc29059"/>
      <w:r>
        <w:rPr>
          <w:rFonts w:hint="eastAsia" w:hAnsi="宋体" w:cs="黑体"/>
          <w:b/>
          <w:color w:val="auto"/>
        </w:rPr>
        <w:t>信用记录</w:t>
      </w:r>
      <w:bookmarkEnd w:id="536"/>
      <w:bookmarkEnd w:id="537"/>
      <w:bookmarkEnd w:id="538"/>
    </w:p>
    <w:p>
      <w:pPr>
        <w:wordWrap/>
        <w:topLinePunct w:val="0"/>
        <w:adjustRightInd w:val="0"/>
        <w:snapToGrid w:val="0"/>
        <w:spacing w:line="360" w:lineRule="auto"/>
        <w:ind w:firstLine="420" w:firstLineChars="200"/>
      </w:pPr>
      <w:r>
        <w:rPr>
          <w:rFonts w:hint="eastAsia" w:cs="仿宋_GB2312"/>
          <w:kern w:val="0"/>
        </w:rPr>
        <w:t>见</w:t>
      </w:r>
      <w:r>
        <w:rPr>
          <w:rFonts w:hint="eastAsia" w:cs="黑体"/>
        </w:rPr>
        <w:t>《供应商须知前附表》</w:t>
      </w:r>
      <w:r>
        <w:rPr>
          <w:rFonts w:hint="eastAsia" w:cs="仿宋_GB2312"/>
          <w:kern w:val="0"/>
        </w:rPr>
        <w:t>。</w:t>
      </w:r>
    </w:p>
    <w:p>
      <w:pPr>
        <w:pStyle w:val="42"/>
        <w:numPr>
          <w:ilvl w:val="0"/>
          <w:numId w:val="6"/>
        </w:numPr>
        <w:tabs>
          <w:tab w:val="left" w:pos="360"/>
          <w:tab w:val="clear" w:pos="425"/>
        </w:tabs>
        <w:snapToGrid w:val="0"/>
        <w:spacing w:line="360" w:lineRule="auto"/>
        <w:jc w:val="both"/>
        <w:outlineLvl w:val="1"/>
        <w:rPr>
          <w:rFonts w:hAnsi="宋体" w:cs="黑体"/>
          <w:b/>
          <w:color w:val="auto"/>
        </w:rPr>
      </w:pPr>
      <w:bookmarkStart w:id="539" w:name="_Toc5729"/>
      <w:bookmarkStart w:id="540" w:name="_Toc13477"/>
      <w:r>
        <w:rPr>
          <w:rFonts w:hint="eastAsia" w:hAnsi="宋体" w:cs="黑体"/>
          <w:b/>
          <w:color w:val="auto"/>
        </w:rPr>
        <w:t>需要补充的其他内容</w:t>
      </w:r>
      <w:bookmarkEnd w:id="539"/>
      <w:bookmarkEnd w:id="540"/>
    </w:p>
    <w:p>
      <w:pPr>
        <w:wordWrap/>
        <w:autoSpaceDE w:val="0"/>
        <w:autoSpaceDN w:val="0"/>
        <w:adjustRightInd w:val="0"/>
        <w:snapToGrid w:val="0"/>
        <w:spacing w:line="360" w:lineRule="auto"/>
        <w:ind w:firstLine="420" w:firstLineChars="200"/>
        <w:jc w:val="left"/>
        <w:rPr>
          <w:rFonts w:cs="仿宋_GB2312"/>
          <w:kern w:val="0"/>
        </w:rPr>
      </w:pPr>
      <w:r>
        <w:rPr>
          <w:rFonts w:hint="eastAsia" w:cs="仿宋_GB2312"/>
          <w:kern w:val="0"/>
        </w:rPr>
        <w:t>需要补充的其他内容：见</w:t>
      </w:r>
      <w:r>
        <w:rPr>
          <w:rFonts w:hint="eastAsia" w:cs="黑体"/>
        </w:rPr>
        <w:t>《供应商须知前附表》</w:t>
      </w:r>
      <w:r>
        <w:rPr>
          <w:rFonts w:hint="eastAsia" w:cs="仿宋_GB2312"/>
          <w:kern w:val="0"/>
        </w:rPr>
        <w:t>。</w:t>
      </w:r>
    </w:p>
    <w:p>
      <w:pPr>
        <w:pStyle w:val="43"/>
        <w:spacing w:line="360" w:lineRule="auto"/>
        <w:ind w:firstLine="0"/>
        <w:rPr>
          <w:rFonts w:cs="仿宋_GB2312"/>
          <w:szCs w:val="21"/>
        </w:rPr>
      </w:pPr>
    </w:p>
    <w:p>
      <w:pPr>
        <w:pStyle w:val="43"/>
        <w:spacing w:line="360" w:lineRule="auto"/>
        <w:ind w:firstLine="0"/>
        <w:rPr>
          <w:rFonts w:cs="仿宋_GB2312"/>
          <w:szCs w:val="21"/>
        </w:rPr>
      </w:pPr>
    </w:p>
    <w:p>
      <w:pPr>
        <w:widowControl/>
        <w:wordWrap/>
        <w:topLinePunct w:val="0"/>
        <w:jc w:val="left"/>
        <w:rPr>
          <w:b/>
          <w:sz w:val="32"/>
          <w:szCs w:val="32"/>
        </w:rPr>
      </w:pPr>
      <w:bookmarkStart w:id="541" w:name="_Toc26850"/>
      <w:bookmarkStart w:id="542" w:name="_Toc72694686"/>
      <w:bookmarkStart w:id="543" w:name="_Toc1582"/>
      <w:bookmarkStart w:id="544" w:name="_Toc23659"/>
      <w:bookmarkStart w:id="545" w:name="_Toc14114"/>
      <w:bookmarkStart w:id="546" w:name="_Toc12415"/>
      <w:bookmarkStart w:id="547" w:name="_Toc6633"/>
      <w:bookmarkStart w:id="548" w:name="_Toc22649"/>
      <w:bookmarkStart w:id="549" w:name="_Toc22753"/>
      <w:bookmarkStart w:id="550" w:name="_Toc4734"/>
      <w:bookmarkStart w:id="551" w:name="_Toc21398"/>
      <w:bookmarkStart w:id="552" w:name="_Toc1534"/>
      <w:bookmarkStart w:id="553" w:name="_Toc16535"/>
      <w:bookmarkStart w:id="554" w:name="_Toc16950"/>
    </w:p>
    <w:p>
      <w:pPr>
        <w:rPr>
          <w:b/>
          <w:sz w:val="32"/>
          <w:szCs w:val="32"/>
        </w:rPr>
      </w:pPr>
      <w:r>
        <w:rPr>
          <w:rFonts w:hint="eastAsia"/>
          <w:b/>
          <w:sz w:val="32"/>
          <w:szCs w:val="32"/>
        </w:rPr>
        <w:br w:type="page"/>
      </w:r>
    </w:p>
    <w:p>
      <w:pPr>
        <w:jc w:val="center"/>
        <w:outlineLvl w:val="0"/>
        <w:rPr>
          <w:b/>
          <w:sz w:val="32"/>
          <w:szCs w:val="32"/>
        </w:rPr>
      </w:pPr>
      <w:bookmarkStart w:id="555" w:name="_Toc14081"/>
      <w:r>
        <w:rPr>
          <w:rFonts w:hint="eastAsia"/>
          <w:b/>
          <w:sz w:val="32"/>
          <w:szCs w:val="32"/>
        </w:rPr>
        <w:t>第三章  评审办法</w:t>
      </w:r>
      <w:bookmarkEnd w:id="541"/>
      <w:bookmarkEnd w:id="542"/>
      <w:bookmarkEnd w:id="543"/>
      <w:bookmarkEnd w:id="555"/>
    </w:p>
    <w:p>
      <w:pPr>
        <w:pStyle w:val="15"/>
        <w:spacing w:before="240" w:beforeLines="100" w:after="240" w:afterLines="100" w:line="276" w:lineRule="auto"/>
        <w:jc w:val="center"/>
        <w:outlineLvl w:val="1"/>
        <w:rPr>
          <w:rFonts w:hAnsi="宋体"/>
          <w:b/>
          <w:bCs/>
          <w:sz w:val="32"/>
          <w:szCs w:val="32"/>
        </w:rPr>
      </w:pPr>
      <w:bookmarkStart w:id="556" w:name="_Toc72694687"/>
      <w:r>
        <w:rPr>
          <w:rFonts w:hint="eastAsia" w:hAnsi="宋体"/>
          <w:b/>
          <w:bCs/>
          <w:sz w:val="32"/>
          <w:szCs w:val="32"/>
        </w:rPr>
        <w:t>评审办法前附表</w:t>
      </w:r>
      <w:bookmarkEnd w:id="544"/>
      <w:bookmarkEnd w:id="545"/>
      <w:bookmarkEnd w:id="546"/>
      <w:bookmarkEnd w:id="547"/>
      <w:bookmarkEnd w:id="548"/>
      <w:bookmarkEnd w:id="549"/>
      <w:bookmarkEnd w:id="550"/>
      <w:bookmarkEnd w:id="551"/>
      <w:bookmarkEnd w:id="552"/>
      <w:bookmarkEnd w:id="553"/>
      <w:bookmarkEnd w:id="554"/>
      <w:bookmarkEnd w:id="556"/>
    </w:p>
    <w:tbl>
      <w:tblPr>
        <w:tblStyle w:val="26"/>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879"/>
        <w:gridCol w:w="2212"/>
        <w:gridCol w:w="5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1894" w:type="dxa"/>
            <w:gridSpan w:val="2"/>
            <w:noWrap/>
            <w:vAlign w:val="center"/>
          </w:tcPr>
          <w:p>
            <w:pPr>
              <w:widowControl/>
              <w:spacing w:line="360" w:lineRule="auto"/>
              <w:jc w:val="center"/>
              <w:rPr>
                <w:b/>
                <w:kern w:val="0"/>
              </w:rPr>
            </w:pPr>
            <w:r>
              <w:rPr>
                <w:rFonts w:hint="eastAsia"/>
                <w:b/>
                <w:kern w:val="0"/>
              </w:rPr>
              <w:t>条款</w:t>
            </w:r>
          </w:p>
        </w:tc>
        <w:tc>
          <w:tcPr>
            <w:tcW w:w="2212" w:type="dxa"/>
            <w:noWrap/>
            <w:vAlign w:val="center"/>
          </w:tcPr>
          <w:p>
            <w:pPr>
              <w:widowControl/>
              <w:spacing w:line="360" w:lineRule="auto"/>
              <w:jc w:val="center"/>
              <w:rPr>
                <w:b/>
                <w:kern w:val="0"/>
              </w:rPr>
            </w:pPr>
            <w:r>
              <w:rPr>
                <w:rFonts w:hint="eastAsia"/>
                <w:b/>
                <w:kern w:val="0"/>
              </w:rPr>
              <w:t>评审因素</w:t>
            </w:r>
          </w:p>
        </w:tc>
        <w:tc>
          <w:tcPr>
            <w:tcW w:w="5124" w:type="dxa"/>
            <w:noWrap/>
            <w:vAlign w:val="center"/>
          </w:tcPr>
          <w:p>
            <w:pPr>
              <w:widowControl/>
              <w:spacing w:line="360" w:lineRule="auto"/>
              <w:jc w:val="center"/>
              <w:rPr>
                <w:b/>
                <w:kern w:val="0"/>
              </w:rPr>
            </w:pPr>
            <w:r>
              <w:rPr>
                <w:rFonts w:hint="eastAsia"/>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15" w:type="dxa"/>
            <w:vMerge w:val="restart"/>
            <w:noWrap/>
            <w:vAlign w:val="center"/>
          </w:tcPr>
          <w:p>
            <w:pPr>
              <w:widowControl/>
              <w:spacing w:line="360" w:lineRule="auto"/>
              <w:jc w:val="center"/>
              <w:rPr>
                <w:kern w:val="0"/>
              </w:rPr>
            </w:pPr>
            <w:r>
              <w:rPr>
                <w:rFonts w:hint="eastAsia"/>
                <w:kern w:val="0"/>
              </w:rPr>
              <w:t>2.1.1</w:t>
            </w:r>
          </w:p>
        </w:tc>
        <w:tc>
          <w:tcPr>
            <w:tcW w:w="879" w:type="dxa"/>
            <w:vMerge w:val="restart"/>
            <w:noWrap/>
            <w:vAlign w:val="center"/>
          </w:tcPr>
          <w:p>
            <w:pPr>
              <w:widowControl/>
              <w:spacing w:line="360" w:lineRule="auto"/>
              <w:jc w:val="center"/>
              <w:rPr>
                <w:kern w:val="0"/>
              </w:rPr>
            </w:pPr>
            <w:r>
              <w:rPr>
                <w:rFonts w:hint="eastAsia"/>
                <w:kern w:val="0"/>
              </w:rPr>
              <w:t>形式</w:t>
            </w:r>
          </w:p>
          <w:p>
            <w:pPr>
              <w:widowControl/>
              <w:spacing w:line="360" w:lineRule="auto"/>
              <w:jc w:val="center"/>
              <w:rPr>
                <w:kern w:val="0"/>
              </w:rPr>
            </w:pPr>
            <w:r>
              <w:rPr>
                <w:rFonts w:hint="eastAsia"/>
                <w:kern w:val="0"/>
              </w:rPr>
              <w:t>评审</w:t>
            </w:r>
          </w:p>
          <w:p>
            <w:pPr>
              <w:pStyle w:val="43"/>
              <w:ind w:firstLine="0"/>
              <w:jc w:val="center"/>
              <w:rPr>
                <w:lang w:val="en-US"/>
              </w:rPr>
            </w:pPr>
            <w:r>
              <w:rPr>
                <w:rFonts w:hint="eastAsia"/>
                <w:lang w:val="en-US"/>
              </w:rPr>
              <w:t>标准</w:t>
            </w:r>
          </w:p>
        </w:tc>
        <w:tc>
          <w:tcPr>
            <w:tcW w:w="2212" w:type="dxa"/>
            <w:noWrap/>
            <w:vAlign w:val="center"/>
          </w:tcPr>
          <w:p>
            <w:pPr>
              <w:widowControl/>
              <w:spacing w:line="360" w:lineRule="auto"/>
              <w:jc w:val="center"/>
              <w:rPr>
                <w:kern w:val="0"/>
              </w:rPr>
            </w:pPr>
            <w:r>
              <w:rPr>
                <w:rFonts w:hint="eastAsia"/>
                <w:kern w:val="0"/>
              </w:rPr>
              <w:t>响应文件签字、盖章</w:t>
            </w:r>
          </w:p>
        </w:tc>
        <w:tc>
          <w:tcPr>
            <w:tcW w:w="5124" w:type="dxa"/>
            <w:noWrap/>
            <w:vAlign w:val="center"/>
          </w:tcPr>
          <w:p>
            <w:pPr>
              <w:widowControl/>
              <w:spacing w:line="360" w:lineRule="auto"/>
              <w:jc w:val="center"/>
              <w:rPr>
                <w:kern w:val="0"/>
              </w:rPr>
            </w:pPr>
            <w:r>
              <w:rPr>
                <w:rFonts w:hint="eastAsia"/>
              </w:rPr>
              <w:t>响应文件按竞争性磋商文件要求签字、盖章的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响应文件格式</w:t>
            </w:r>
          </w:p>
        </w:tc>
        <w:tc>
          <w:tcPr>
            <w:tcW w:w="5124" w:type="dxa"/>
            <w:noWrap/>
            <w:vAlign w:val="center"/>
          </w:tcPr>
          <w:p>
            <w:pPr>
              <w:widowControl/>
              <w:spacing w:line="360" w:lineRule="auto"/>
              <w:jc w:val="center"/>
              <w:rPr>
                <w:kern w:val="0"/>
              </w:rPr>
            </w:pPr>
            <w:r>
              <w:rPr>
                <w:rFonts w:hint="eastAsia"/>
                <w:kern w:val="0"/>
              </w:rPr>
              <w:t>符合竞争性磋商文件中提供的响应文件格式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供应商名称</w:t>
            </w:r>
          </w:p>
        </w:tc>
        <w:tc>
          <w:tcPr>
            <w:tcW w:w="5124" w:type="dxa"/>
            <w:noWrap/>
            <w:vAlign w:val="center"/>
          </w:tcPr>
          <w:p>
            <w:pPr>
              <w:widowControl/>
              <w:spacing w:line="360" w:lineRule="auto"/>
              <w:jc w:val="center"/>
              <w:rPr>
                <w:kern w:val="0"/>
              </w:rPr>
            </w:pPr>
            <w:r>
              <w:rPr>
                <w:rFonts w:hint="eastAsia"/>
                <w:kern w:val="0"/>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报价唯一</w:t>
            </w:r>
          </w:p>
        </w:tc>
        <w:tc>
          <w:tcPr>
            <w:tcW w:w="5124" w:type="dxa"/>
            <w:noWrap/>
            <w:vAlign w:val="center"/>
          </w:tcPr>
          <w:p>
            <w:pPr>
              <w:widowControl/>
              <w:spacing w:line="360" w:lineRule="auto"/>
              <w:jc w:val="center"/>
              <w:rPr>
                <w:kern w:val="0"/>
              </w:rPr>
            </w:pPr>
            <w:r>
              <w:rPr>
                <w:rFonts w:hint="eastAsia"/>
                <w:kern w:val="0"/>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015" w:type="dxa"/>
            <w:vMerge w:val="restart"/>
            <w:noWrap/>
            <w:vAlign w:val="center"/>
          </w:tcPr>
          <w:p>
            <w:pPr>
              <w:widowControl/>
              <w:spacing w:line="360" w:lineRule="auto"/>
              <w:jc w:val="center"/>
              <w:rPr>
                <w:kern w:val="0"/>
              </w:rPr>
            </w:pPr>
            <w:r>
              <w:rPr>
                <w:rFonts w:hint="eastAsia"/>
                <w:kern w:val="0"/>
              </w:rPr>
              <w:t>2.1.2</w:t>
            </w:r>
          </w:p>
        </w:tc>
        <w:tc>
          <w:tcPr>
            <w:tcW w:w="879" w:type="dxa"/>
            <w:vMerge w:val="restart"/>
            <w:noWrap/>
            <w:vAlign w:val="center"/>
          </w:tcPr>
          <w:p>
            <w:pPr>
              <w:widowControl/>
              <w:spacing w:line="360" w:lineRule="auto"/>
              <w:jc w:val="center"/>
            </w:pPr>
            <w:r>
              <w:rPr>
                <w:rFonts w:hint="eastAsia"/>
              </w:rPr>
              <w:t>资格</w:t>
            </w:r>
          </w:p>
          <w:p>
            <w:pPr>
              <w:widowControl/>
              <w:spacing w:line="360" w:lineRule="auto"/>
              <w:jc w:val="center"/>
            </w:pPr>
            <w:r>
              <w:rPr>
                <w:rFonts w:hint="eastAsia"/>
              </w:rPr>
              <w:t>审查</w:t>
            </w:r>
          </w:p>
          <w:p>
            <w:pPr>
              <w:widowControl/>
              <w:spacing w:line="360" w:lineRule="auto"/>
              <w:jc w:val="center"/>
            </w:pPr>
            <w:r>
              <w:rPr>
                <w:rFonts w:hint="eastAsia"/>
                <w:kern w:val="0"/>
              </w:rPr>
              <w:t>标准</w:t>
            </w:r>
          </w:p>
        </w:tc>
        <w:tc>
          <w:tcPr>
            <w:tcW w:w="2212" w:type="dxa"/>
            <w:noWrap/>
            <w:vAlign w:val="center"/>
          </w:tcPr>
          <w:p>
            <w:pPr>
              <w:widowControl/>
              <w:spacing w:line="360" w:lineRule="auto"/>
              <w:jc w:val="center"/>
              <w:rPr>
                <w:kern w:val="0"/>
              </w:rPr>
            </w:pPr>
            <w:r>
              <w:rPr>
                <w:rFonts w:hint="eastAsia"/>
                <w:kern w:val="0"/>
              </w:rPr>
              <w:t>营业执照</w:t>
            </w:r>
          </w:p>
        </w:tc>
        <w:tc>
          <w:tcPr>
            <w:tcW w:w="5124" w:type="dxa"/>
            <w:noWrap/>
            <w:vAlign w:val="center"/>
          </w:tcPr>
          <w:p>
            <w:pPr>
              <w:widowControl/>
              <w:spacing w:line="360" w:lineRule="auto"/>
              <w:jc w:val="center"/>
              <w:rPr>
                <w:kern w:val="0"/>
              </w:rPr>
            </w:pPr>
            <w:r>
              <w:rPr>
                <w:rFonts w:hint="eastAsia"/>
                <w:kern w:val="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财务报告</w:t>
            </w:r>
          </w:p>
        </w:tc>
        <w:tc>
          <w:tcPr>
            <w:tcW w:w="5124" w:type="dxa"/>
            <w:noWrap/>
            <w:vAlign w:val="center"/>
          </w:tcPr>
          <w:p>
            <w:pPr>
              <w:jc w:val="center"/>
            </w:pPr>
            <w:r>
              <w:rPr>
                <w:rFonts w:hint="eastAsia"/>
                <w:kern w:val="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rPr>
              <w:t>无行贿犯罪记录承诺函</w:t>
            </w:r>
          </w:p>
        </w:tc>
        <w:tc>
          <w:tcPr>
            <w:tcW w:w="5124" w:type="dxa"/>
            <w:noWrap/>
            <w:vAlign w:val="center"/>
          </w:tcPr>
          <w:p>
            <w:pPr>
              <w:jc w:val="center"/>
            </w:pPr>
            <w:r>
              <w:rPr>
                <w:rFonts w:hint="eastAsia"/>
                <w:kern w:val="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信用查询记录</w:t>
            </w:r>
          </w:p>
        </w:tc>
        <w:tc>
          <w:tcPr>
            <w:tcW w:w="5124" w:type="dxa"/>
            <w:noWrap/>
            <w:vAlign w:val="center"/>
          </w:tcPr>
          <w:p>
            <w:pPr>
              <w:jc w:val="center"/>
            </w:pPr>
            <w:r>
              <w:rPr>
                <w:rFonts w:hint="eastAsia"/>
                <w:kern w:val="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没有重大违法记录</w:t>
            </w:r>
          </w:p>
        </w:tc>
        <w:tc>
          <w:tcPr>
            <w:tcW w:w="5124" w:type="dxa"/>
            <w:noWrap/>
            <w:vAlign w:val="center"/>
          </w:tcPr>
          <w:p>
            <w:pPr>
              <w:jc w:val="center"/>
            </w:pPr>
            <w:r>
              <w:rPr>
                <w:rFonts w:hint="eastAsia"/>
                <w:kern w:val="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ind w:firstLine="525" w:firstLineChars="250"/>
              <w:jc w:val="center"/>
              <w:rPr>
                <w:kern w:val="0"/>
              </w:rPr>
            </w:pPr>
            <w:r>
              <w:rPr>
                <w:rFonts w:hint="eastAsia"/>
                <w:kern w:val="0"/>
              </w:rPr>
              <w:t>其他要求</w:t>
            </w:r>
          </w:p>
        </w:tc>
        <w:tc>
          <w:tcPr>
            <w:tcW w:w="5124" w:type="dxa"/>
            <w:noWrap/>
            <w:vAlign w:val="center"/>
          </w:tcPr>
          <w:p>
            <w:pPr>
              <w:jc w:val="center"/>
            </w:pPr>
            <w:r>
              <w:rPr>
                <w:rFonts w:hint="eastAsia"/>
                <w:kern w:val="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015" w:type="dxa"/>
            <w:vMerge w:val="restart"/>
            <w:noWrap/>
            <w:vAlign w:val="center"/>
          </w:tcPr>
          <w:p>
            <w:pPr>
              <w:widowControl/>
              <w:spacing w:line="360" w:lineRule="auto"/>
              <w:jc w:val="center"/>
              <w:rPr>
                <w:kern w:val="0"/>
              </w:rPr>
            </w:pPr>
            <w:r>
              <w:rPr>
                <w:rFonts w:hint="eastAsia"/>
                <w:kern w:val="0"/>
              </w:rPr>
              <w:t>2.1.3</w:t>
            </w:r>
          </w:p>
        </w:tc>
        <w:tc>
          <w:tcPr>
            <w:tcW w:w="879" w:type="dxa"/>
            <w:vMerge w:val="restart"/>
            <w:noWrap/>
            <w:vAlign w:val="center"/>
          </w:tcPr>
          <w:p>
            <w:pPr>
              <w:widowControl/>
              <w:spacing w:line="360" w:lineRule="auto"/>
              <w:jc w:val="center"/>
            </w:pPr>
            <w:r>
              <w:rPr>
                <w:rFonts w:hint="eastAsia"/>
              </w:rPr>
              <w:t>响应</w:t>
            </w:r>
          </w:p>
          <w:p>
            <w:pPr>
              <w:widowControl/>
              <w:spacing w:line="360" w:lineRule="auto"/>
              <w:jc w:val="center"/>
            </w:pPr>
            <w:r>
              <w:rPr>
                <w:rFonts w:hint="eastAsia"/>
              </w:rPr>
              <w:t>性审</w:t>
            </w:r>
          </w:p>
          <w:p>
            <w:pPr>
              <w:widowControl/>
              <w:spacing w:line="360" w:lineRule="auto"/>
              <w:jc w:val="center"/>
              <w:rPr>
                <w:kern w:val="0"/>
              </w:rPr>
            </w:pPr>
            <w:r>
              <w:rPr>
                <w:rFonts w:hint="eastAsia"/>
              </w:rPr>
              <w:t>查</w:t>
            </w:r>
            <w:r>
              <w:rPr>
                <w:rFonts w:hint="eastAsia"/>
                <w:kern w:val="0"/>
              </w:rPr>
              <w:t>标</w:t>
            </w:r>
          </w:p>
          <w:p>
            <w:pPr>
              <w:widowControl/>
              <w:spacing w:line="360" w:lineRule="auto"/>
              <w:jc w:val="center"/>
              <w:rPr>
                <w:kern w:val="0"/>
              </w:rPr>
            </w:pPr>
            <w:r>
              <w:rPr>
                <w:rFonts w:hint="eastAsia"/>
                <w:kern w:val="0"/>
              </w:rPr>
              <w:t>准</w:t>
            </w:r>
          </w:p>
        </w:tc>
        <w:tc>
          <w:tcPr>
            <w:tcW w:w="2212" w:type="dxa"/>
            <w:noWrap/>
            <w:vAlign w:val="center"/>
          </w:tcPr>
          <w:p>
            <w:pPr>
              <w:widowControl/>
              <w:spacing w:line="276" w:lineRule="auto"/>
              <w:jc w:val="center"/>
              <w:rPr>
                <w:kern w:val="0"/>
              </w:rPr>
            </w:pPr>
            <w:r>
              <w:rPr>
                <w:rFonts w:hint="eastAsia"/>
                <w:kern w:val="0"/>
              </w:rPr>
              <w:t>磋商报价</w:t>
            </w:r>
          </w:p>
        </w:tc>
        <w:tc>
          <w:tcPr>
            <w:tcW w:w="5124" w:type="dxa"/>
            <w:noWrap/>
            <w:vAlign w:val="center"/>
          </w:tcPr>
          <w:p>
            <w:pPr>
              <w:widowControl/>
              <w:spacing w:line="276" w:lineRule="auto"/>
              <w:jc w:val="center"/>
              <w:rPr>
                <w:kern w:val="0"/>
              </w:rPr>
            </w:pPr>
            <w:r>
              <w:rPr>
                <w:rFonts w:hint="eastAsia"/>
                <w:kern w:val="0"/>
              </w:rPr>
              <w:t>报价未超过竞争性磋商文件中规定的预算金额或者最高限价的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响应内容</w:t>
            </w:r>
          </w:p>
        </w:tc>
        <w:tc>
          <w:tcPr>
            <w:tcW w:w="5124" w:type="dxa"/>
            <w:noWrap/>
            <w:vAlign w:val="center"/>
          </w:tcPr>
          <w:p>
            <w:pPr>
              <w:jc w:val="center"/>
            </w:pPr>
            <w:r>
              <w:rPr>
                <w:rFonts w:hint="eastAsia"/>
                <w:kern w:val="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合同履行期限</w:t>
            </w:r>
          </w:p>
        </w:tc>
        <w:tc>
          <w:tcPr>
            <w:tcW w:w="5124" w:type="dxa"/>
            <w:noWrap/>
            <w:vAlign w:val="center"/>
          </w:tcPr>
          <w:p>
            <w:pPr>
              <w:jc w:val="center"/>
            </w:pPr>
            <w:r>
              <w:rPr>
                <w:rFonts w:hint="eastAsia"/>
                <w:kern w:val="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质量标准</w:t>
            </w:r>
          </w:p>
        </w:tc>
        <w:tc>
          <w:tcPr>
            <w:tcW w:w="5124" w:type="dxa"/>
            <w:noWrap/>
            <w:vAlign w:val="center"/>
          </w:tcPr>
          <w:p>
            <w:pPr>
              <w:jc w:val="center"/>
            </w:pPr>
            <w:r>
              <w:rPr>
                <w:rFonts w:hint="eastAsia"/>
                <w:kern w:val="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rPr>
              <w:t>磋商有效期</w:t>
            </w:r>
          </w:p>
        </w:tc>
        <w:tc>
          <w:tcPr>
            <w:tcW w:w="5124" w:type="dxa"/>
            <w:noWrap/>
            <w:vAlign w:val="center"/>
          </w:tcPr>
          <w:p>
            <w:pPr>
              <w:jc w:val="center"/>
            </w:pPr>
            <w:r>
              <w:rPr>
                <w:rFonts w:hint="eastAsia"/>
                <w:kern w:val="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94" w:type="dxa"/>
            <w:gridSpan w:val="2"/>
            <w:noWrap/>
            <w:vAlign w:val="center"/>
          </w:tcPr>
          <w:p>
            <w:pPr>
              <w:autoSpaceDE w:val="0"/>
              <w:autoSpaceDN w:val="0"/>
              <w:adjustRightInd w:val="0"/>
              <w:spacing w:line="360" w:lineRule="auto"/>
              <w:ind w:left="38" w:leftChars="18"/>
              <w:jc w:val="center"/>
              <w:rPr>
                <w:kern w:val="0"/>
              </w:rPr>
            </w:pPr>
            <w:r>
              <w:rPr>
                <w:rFonts w:hint="eastAsia"/>
                <w:kern w:val="0"/>
              </w:rPr>
              <w:t>条款号</w:t>
            </w:r>
          </w:p>
        </w:tc>
        <w:tc>
          <w:tcPr>
            <w:tcW w:w="2212" w:type="dxa"/>
            <w:noWrap/>
            <w:vAlign w:val="center"/>
          </w:tcPr>
          <w:p>
            <w:pPr>
              <w:autoSpaceDE w:val="0"/>
              <w:autoSpaceDN w:val="0"/>
              <w:adjustRightInd w:val="0"/>
              <w:spacing w:line="360" w:lineRule="auto"/>
              <w:ind w:left="38" w:leftChars="18"/>
              <w:jc w:val="center"/>
              <w:rPr>
                <w:kern w:val="0"/>
              </w:rPr>
            </w:pPr>
            <w:r>
              <w:rPr>
                <w:rFonts w:hint="eastAsia"/>
                <w:kern w:val="0"/>
              </w:rPr>
              <w:t>条款内容</w:t>
            </w:r>
          </w:p>
        </w:tc>
        <w:tc>
          <w:tcPr>
            <w:tcW w:w="5124" w:type="dxa"/>
            <w:noWrap/>
            <w:vAlign w:val="center"/>
          </w:tcPr>
          <w:p>
            <w:pPr>
              <w:autoSpaceDE w:val="0"/>
              <w:autoSpaceDN w:val="0"/>
              <w:adjustRightInd w:val="0"/>
              <w:spacing w:line="360" w:lineRule="auto"/>
              <w:ind w:left="38" w:leftChars="18"/>
              <w:jc w:val="center"/>
              <w:rPr>
                <w:kern w:val="0"/>
              </w:rPr>
            </w:pPr>
            <w:r>
              <w:rPr>
                <w:rFonts w:hint="eastAsia"/>
                <w:kern w:val="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dxa"/>
            <w:gridSpan w:val="2"/>
            <w:noWrap/>
            <w:vAlign w:val="center"/>
          </w:tcPr>
          <w:p>
            <w:pPr>
              <w:autoSpaceDE w:val="0"/>
              <w:autoSpaceDN w:val="0"/>
              <w:adjustRightInd w:val="0"/>
              <w:spacing w:line="276" w:lineRule="auto"/>
              <w:ind w:left="38" w:leftChars="18"/>
              <w:jc w:val="center"/>
              <w:rPr>
                <w:kern w:val="0"/>
              </w:rPr>
            </w:pPr>
            <w:r>
              <w:rPr>
                <w:rFonts w:hint="eastAsia"/>
                <w:kern w:val="0"/>
              </w:rPr>
              <w:t>2.2.1</w:t>
            </w:r>
          </w:p>
        </w:tc>
        <w:tc>
          <w:tcPr>
            <w:tcW w:w="2212" w:type="dxa"/>
            <w:noWrap/>
            <w:vAlign w:val="center"/>
          </w:tcPr>
          <w:p>
            <w:pPr>
              <w:autoSpaceDE w:val="0"/>
              <w:autoSpaceDN w:val="0"/>
              <w:adjustRightInd w:val="0"/>
              <w:spacing w:line="276" w:lineRule="auto"/>
              <w:ind w:left="38" w:leftChars="18"/>
              <w:jc w:val="center"/>
              <w:rPr>
                <w:kern w:val="0"/>
              </w:rPr>
            </w:pPr>
            <w:r>
              <w:rPr>
                <w:rFonts w:hint="eastAsia"/>
                <w:kern w:val="0"/>
              </w:rPr>
              <w:t>分值构成</w:t>
            </w:r>
          </w:p>
          <w:p>
            <w:pPr>
              <w:autoSpaceDE w:val="0"/>
              <w:autoSpaceDN w:val="0"/>
              <w:adjustRightInd w:val="0"/>
              <w:spacing w:line="276" w:lineRule="auto"/>
              <w:ind w:left="38" w:leftChars="18"/>
              <w:jc w:val="center"/>
              <w:rPr>
                <w:kern w:val="0"/>
              </w:rPr>
            </w:pPr>
            <w:r>
              <w:rPr>
                <w:rFonts w:hint="eastAsia"/>
                <w:kern w:val="0"/>
              </w:rPr>
              <w:t>(总分100分)</w:t>
            </w:r>
          </w:p>
        </w:tc>
        <w:tc>
          <w:tcPr>
            <w:tcW w:w="5124" w:type="dxa"/>
            <w:noWrap/>
            <w:vAlign w:val="center"/>
          </w:tcPr>
          <w:p>
            <w:pPr>
              <w:autoSpaceDE w:val="0"/>
              <w:autoSpaceDN w:val="0"/>
              <w:adjustRightInd w:val="0"/>
              <w:spacing w:line="276" w:lineRule="auto"/>
              <w:ind w:left="38" w:leftChars="18"/>
              <w:jc w:val="left"/>
              <w:rPr>
                <w:b/>
                <w:bCs/>
                <w:color w:val="0D0D0D" w:themeColor="text1" w:themeTint="F2"/>
                <w:kern w:val="0"/>
                <w14:textFill>
                  <w14:solidFill>
                    <w14:schemeClr w14:val="tx1">
                      <w14:lumMod w14:val="95000"/>
                      <w14:lumOff w14:val="5000"/>
                    </w14:schemeClr>
                  </w14:solidFill>
                </w14:textFill>
              </w:rPr>
            </w:pPr>
            <w:r>
              <w:rPr>
                <w:rFonts w:hint="eastAsia"/>
                <w:b/>
                <w:bCs/>
                <w:color w:val="0D0D0D" w:themeColor="text1" w:themeTint="F2"/>
                <w:kern w:val="0"/>
                <w14:textFill>
                  <w14:solidFill>
                    <w14:schemeClr w14:val="tx1">
                      <w14:lumMod w14:val="95000"/>
                      <w14:lumOff w14:val="5000"/>
                    </w14:schemeClr>
                  </w14:solidFill>
                </w14:textFill>
              </w:rPr>
              <w:t>报价得分：</w:t>
            </w:r>
            <w:r>
              <w:rPr>
                <w:b/>
                <w:bCs/>
                <w:color w:val="0D0D0D" w:themeColor="text1" w:themeTint="F2"/>
                <w:kern w:val="0"/>
                <w14:textFill>
                  <w14:solidFill>
                    <w14:schemeClr w14:val="tx1">
                      <w14:lumMod w14:val="95000"/>
                      <w14:lumOff w14:val="5000"/>
                    </w14:schemeClr>
                  </w14:solidFill>
                </w14:textFill>
              </w:rPr>
              <w:t>10分</w:t>
            </w:r>
          </w:p>
          <w:p>
            <w:pPr>
              <w:autoSpaceDE w:val="0"/>
              <w:autoSpaceDN w:val="0"/>
              <w:adjustRightInd w:val="0"/>
              <w:spacing w:line="276" w:lineRule="auto"/>
              <w:ind w:left="38" w:leftChars="18"/>
              <w:jc w:val="left"/>
              <w:rPr>
                <w:b/>
                <w:color w:val="0D0D0D" w:themeColor="text1" w:themeTint="F2"/>
                <w14:textFill>
                  <w14:solidFill>
                    <w14:schemeClr w14:val="tx1">
                      <w14:lumMod w14:val="95000"/>
                      <w14:lumOff w14:val="5000"/>
                    </w14:schemeClr>
                  </w14:solidFill>
                </w14:textFill>
              </w:rPr>
            </w:pPr>
            <w:r>
              <w:rPr>
                <w:rFonts w:hint="eastAsia"/>
                <w:b/>
                <w:color w:val="0D0D0D" w:themeColor="text1" w:themeTint="F2"/>
                <w14:textFill>
                  <w14:solidFill>
                    <w14:schemeClr w14:val="tx1">
                      <w14:lumMod w14:val="95000"/>
                      <w14:lumOff w14:val="5000"/>
                    </w14:schemeClr>
                  </w14:solidFill>
                </w14:textFill>
              </w:rPr>
              <w:t>技术部分：73</w:t>
            </w:r>
            <w:r>
              <w:rPr>
                <w:b/>
                <w:color w:val="0D0D0D" w:themeColor="text1" w:themeTint="F2"/>
                <w14:textFill>
                  <w14:solidFill>
                    <w14:schemeClr w14:val="tx1">
                      <w14:lumMod w14:val="95000"/>
                      <w14:lumOff w14:val="5000"/>
                    </w14:schemeClr>
                  </w14:solidFill>
                </w14:textFill>
              </w:rPr>
              <w:t>分</w:t>
            </w:r>
          </w:p>
          <w:p>
            <w:pPr>
              <w:autoSpaceDE w:val="0"/>
              <w:autoSpaceDN w:val="0"/>
              <w:adjustRightInd w:val="0"/>
              <w:spacing w:line="276" w:lineRule="auto"/>
              <w:ind w:left="38" w:leftChars="18"/>
              <w:jc w:val="left"/>
              <w:rPr>
                <w:b/>
              </w:rPr>
            </w:pPr>
            <w:r>
              <w:rPr>
                <w:rFonts w:hint="eastAsia"/>
                <w:b/>
                <w:color w:val="0D0D0D" w:themeColor="text1" w:themeTint="F2"/>
                <w14:textFill>
                  <w14:solidFill>
                    <w14:schemeClr w14:val="tx1">
                      <w14:lumMod w14:val="95000"/>
                      <w14:lumOff w14:val="5000"/>
                    </w14:schemeClr>
                  </w14:solidFill>
                </w14:textFill>
              </w:rPr>
              <w:t>综合实力：17</w:t>
            </w:r>
            <w:r>
              <w:rPr>
                <w:b/>
                <w:color w:val="0D0D0D" w:themeColor="text1" w:themeTint="F2"/>
                <w14:textFill>
                  <w14:solidFill>
                    <w14:schemeClr w14:val="tx1">
                      <w14:lumMod w14:val="95000"/>
                      <w14:lumOff w14:val="5000"/>
                    </w14:schemeClr>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894" w:type="dxa"/>
            <w:gridSpan w:val="2"/>
            <w:noWrap/>
            <w:vAlign w:val="center"/>
          </w:tcPr>
          <w:p>
            <w:pPr>
              <w:autoSpaceDE w:val="0"/>
              <w:autoSpaceDN w:val="0"/>
              <w:adjustRightInd w:val="0"/>
              <w:spacing w:line="360" w:lineRule="auto"/>
              <w:ind w:left="38" w:leftChars="18"/>
              <w:jc w:val="center"/>
              <w:rPr>
                <w:b/>
                <w:bCs/>
                <w:kern w:val="0"/>
              </w:rPr>
            </w:pPr>
            <w:r>
              <w:rPr>
                <w:rFonts w:hint="eastAsia"/>
                <w:b/>
                <w:bCs/>
                <w:kern w:val="0"/>
              </w:rPr>
              <w:t>条款号</w:t>
            </w:r>
          </w:p>
        </w:tc>
        <w:tc>
          <w:tcPr>
            <w:tcW w:w="2212" w:type="dxa"/>
            <w:noWrap/>
            <w:vAlign w:val="center"/>
          </w:tcPr>
          <w:p>
            <w:pPr>
              <w:autoSpaceDE w:val="0"/>
              <w:autoSpaceDN w:val="0"/>
              <w:adjustRightInd w:val="0"/>
              <w:spacing w:line="360" w:lineRule="auto"/>
              <w:ind w:left="38" w:leftChars="18"/>
              <w:jc w:val="center"/>
              <w:rPr>
                <w:b/>
                <w:bCs/>
                <w:kern w:val="0"/>
              </w:rPr>
            </w:pPr>
            <w:r>
              <w:rPr>
                <w:rFonts w:hint="eastAsia"/>
                <w:b/>
                <w:bCs/>
                <w:kern w:val="0"/>
              </w:rPr>
              <w:t>评分因素</w:t>
            </w:r>
          </w:p>
        </w:tc>
        <w:tc>
          <w:tcPr>
            <w:tcW w:w="5124" w:type="dxa"/>
            <w:noWrap/>
            <w:vAlign w:val="center"/>
          </w:tcPr>
          <w:p>
            <w:pPr>
              <w:autoSpaceDE w:val="0"/>
              <w:autoSpaceDN w:val="0"/>
              <w:adjustRightInd w:val="0"/>
              <w:spacing w:line="360" w:lineRule="auto"/>
              <w:ind w:left="38" w:leftChars="18" w:firstLine="1897" w:firstLineChars="900"/>
              <w:rPr>
                <w:b/>
                <w:bCs/>
              </w:rPr>
            </w:pPr>
            <w:r>
              <w:rPr>
                <w:rFonts w:hint="eastAsia"/>
                <w:b/>
                <w:bCs/>
                <w:kern w:val="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015" w:type="dxa"/>
            <w:noWrap/>
            <w:vAlign w:val="center"/>
          </w:tcPr>
          <w:p>
            <w:pPr>
              <w:widowControl/>
              <w:spacing w:line="360" w:lineRule="auto"/>
              <w:jc w:val="center"/>
              <w:rPr>
                <w:kern w:val="0"/>
              </w:rPr>
            </w:pPr>
            <w:r>
              <w:rPr>
                <w:rFonts w:hint="eastAsia"/>
                <w:kern w:val="0"/>
              </w:rPr>
              <w:t>2.2.2（1）</w:t>
            </w:r>
          </w:p>
        </w:tc>
        <w:tc>
          <w:tcPr>
            <w:tcW w:w="879" w:type="dxa"/>
            <w:vAlign w:val="center"/>
          </w:tcPr>
          <w:p>
            <w:pPr>
              <w:widowControl/>
              <w:spacing w:line="360" w:lineRule="auto"/>
              <w:jc w:val="center"/>
              <w:rPr>
                <w:b/>
              </w:rPr>
            </w:pPr>
            <w:r>
              <w:rPr>
                <w:rFonts w:hint="eastAsia"/>
                <w:b/>
              </w:rPr>
              <w:t>报价</w:t>
            </w:r>
          </w:p>
          <w:p>
            <w:pPr>
              <w:widowControl/>
              <w:spacing w:line="360" w:lineRule="auto"/>
              <w:jc w:val="center"/>
              <w:rPr>
                <w:b/>
              </w:rPr>
            </w:pPr>
            <w:r>
              <w:rPr>
                <w:rFonts w:hint="eastAsia"/>
                <w:b/>
              </w:rPr>
              <w:t>得分</w:t>
            </w:r>
          </w:p>
          <w:p>
            <w:pPr>
              <w:widowControl/>
              <w:spacing w:line="360" w:lineRule="auto"/>
              <w:jc w:val="center"/>
              <w:rPr>
                <w:b/>
              </w:rPr>
            </w:pPr>
            <w:r>
              <w:rPr>
                <w:rFonts w:hint="eastAsia"/>
                <w:b/>
              </w:rPr>
              <w:t>（10分）</w:t>
            </w:r>
          </w:p>
        </w:tc>
        <w:tc>
          <w:tcPr>
            <w:tcW w:w="2212" w:type="dxa"/>
            <w:noWrap/>
            <w:vAlign w:val="center"/>
          </w:tcPr>
          <w:p>
            <w:pPr>
              <w:spacing w:line="276" w:lineRule="auto"/>
              <w:jc w:val="center"/>
              <w:rPr>
                <w:b/>
              </w:rPr>
            </w:pPr>
            <w:r>
              <w:rPr>
                <w:rFonts w:hint="eastAsia"/>
                <w:b/>
              </w:rPr>
              <w:t xml:space="preserve"> 报价评分标准</w:t>
            </w:r>
          </w:p>
        </w:tc>
        <w:tc>
          <w:tcPr>
            <w:tcW w:w="5124" w:type="dxa"/>
            <w:noWrap/>
            <w:vAlign w:val="center"/>
          </w:tcPr>
          <w:p>
            <w:pPr>
              <w:adjustRightInd w:val="0"/>
              <w:snapToGrid w:val="0"/>
            </w:pPr>
            <w:r>
              <w:rPr>
                <w:rFonts w:hint="eastAsia"/>
              </w:rPr>
              <w:t>综合评分法中的价格分统一采用低价优先法计算，即满足文件要求且最后报价最低的供应商的价格为磋商基准价，其价格分为满分。其他供应商的价格分统一按照下列公式计算：</w:t>
            </w:r>
          </w:p>
          <w:p>
            <w:pPr>
              <w:adjustRightInd w:val="0"/>
              <w:snapToGrid w:val="0"/>
            </w:pPr>
            <w:r>
              <w:rPr>
                <w:rFonts w:hint="eastAsia"/>
              </w:rPr>
              <w:t>磋商报价得分=（磋商基准价/最后磋商报价）×</w:t>
            </w:r>
            <w:r>
              <w:t>10</w:t>
            </w:r>
          </w:p>
          <w:p>
            <w:pPr>
              <w:adjustRightInd w:val="0"/>
              <w:snapToGrid w:val="0"/>
            </w:pPr>
            <w:r>
              <w:rPr>
                <w:rFonts w:hint="eastAsia"/>
              </w:rPr>
              <w:t>注：评分的取值按四舍五入法，保留小数点后两位。</w:t>
            </w:r>
          </w:p>
          <w:p>
            <w:pPr>
              <w:adjustRightInd w:val="0"/>
              <w:snapToGrid w:val="0"/>
            </w:pPr>
            <w:r>
              <w:rPr>
                <w:rFonts w:hint="eastAsia"/>
              </w:rPr>
              <w:t>【说明：对小微企业报价给予 10%的扣除，用扣除后的价格参与评审。因落实政府采购政策进行价格调整的，以调整后的价格计算评标基准价和投标报价。残疾人福利性单位属于小型、微型企业的，不重复享受政策。】</w:t>
            </w:r>
          </w:p>
          <w:p>
            <w:pPr>
              <w:adjustRightInd w:val="0"/>
              <w:snapToGrid w:val="0"/>
            </w:pPr>
            <w:r>
              <w:rPr>
                <w:rFonts w:hint="eastAsia"/>
              </w:rPr>
              <w:t>1.评标报价计算。符合《政府采购促进中小企业发展管理办法》（财库﹝2022﹞22 号）规定情形且按该办法中规定的格式提供了《中小企业声明函》的，对其最后报价给予10%的扣除，扣除后的价格为评标报价，即评标报价=最后报价×（1-10%）；除上述情况外，评标报价=最后报价。</w:t>
            </w:r>
          </w:p>
          <w:p>
            <w:pPr>
              <w:adjustRightInd w:val="0"/>
              <w:snapToGrid w:val="0"/>
              <w:rPr>
                <w:b/>
              </w:rPr>
            </w:pPr>
            <w:r>
              <w:rPr>
                <w:rFonts w:hint="eastAsia"/>
              </w:rPr>
              <w:t>为了限制恶性低价竞争，如果供应商的报价明显低于其他有合格供应商报价且评标委员会要求现场合理的时间内提供报价证明材料，供应商不能证明其报价合理性的，作为无效标处理；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015" w:type="dxa"/>
            <w:vMerge w:val="restart"/>
            <w:noWrap/>
            <w:vAlign w:val="center"/>
          </w:tcPr>
          <w:p>
            <w:pPr>
              <w:widowControl/>
              <w:spacing w:line="360" w:lineRule="auto"/>
              <w:jc w:val="center"/>
              <w:rPr>
                <w:kern w:val="0"/>
              </w:rPr>
            </w:pPr>
            <w:r>
              <w:rPr>
                <w:rFonts w:hint="eastAsia"/>
                <w:kern w:val="0"/>
              </w:rPr>
              <w:t>2.2.</w:t>
            </w:r>
            <w:r>
              <w:rPr>
                <w:kern w:val="0"/>
              </w:rPr>
              <w:t>2</w:t>
            </w:r>
            <w:r>
              <w:rPr>
                <w:rFonts w:hint="eastAsia"/>
                <w:kern w:val="0"/>
              </w:rPr>
              <w:t>（2）</w:t>
            </w:r>
          </w:p>
        </w:tc>
        <w:tc>
          <w:tcPr>
            <w:tcW w:w="879" w:type="dxa"/>
            <w:vMerge w:val="restart"/>
            <w:noWrap/>
            <w:vAlign w:val="center"/>
          </w:tcPr>
          <w:p>
            <w:pPr>
              <w:widowControl/>
              <w:spacing w:line="360" w:lineRule="auto"/>
              <w:rPr>
                <w:b/>
              </w:rPr>
            </w:pPr>
            <w:r>
              <w:rPr>
                <w:rFonts w:hint="eastAsia"/>
                <w:b/>
              </w:rPr>
              <w:t>技术部分（73分）</w:t>
            </w:r>
          </w:p>
        </w:tc>
        <w:tc>
          <w:tcPr>
            <w:tcW w:w="2212" w:type="dxa"/>
            <w:noWrap/>
            <w:vAlign w:val="center"/>
          </w:tcPr>
          <w:p>
            <w:pPr>
              <w:spacing w:line="276" w:lineRule="auto"/>
              <w:jc w:val="center"/>
              <w:rPr>
                <w:b/>
              </w:rPr>
            </w:pPr>
            <w:r>
              <w:rPr>
                <w:b/>
              </w:rPr>
              <w:t>EOD申报总体理解</w:t>
            </w:r>
          </w:p>
          <w:p>
            <w:pPr>
              <w:spacing w:line="276" w:lineRule="auto"/>
              <w:jc w:val="center"/>
              <w:rPr>
                <w:b/>
                <w:kern w:val="0"/>
              </w:rPr>
            </w:pPr>
            <w:r>
              <w:rPr>
                <w:b/>
              </w:rPr>
              <w:t>（</w:t>
            </w:r>
            <w:r>
              <w:rPr>
                <w:rFonts w:hint="eastAsia"/>
                <w:b/>
              </w:rPr>
              <w:t>15</w:t>
            </w:r>
            <w:r>
              <w:rPr>
                <w:b/>
              </w:rPr>
              <w:t>分）</w:t>
            </w:r>
          </w:p>
        </w:tc>
        <w:tc>
          <w:tcPr>
            <w:tcW w:w="5124" w:type="dxa"/>
            <w:noWrap/>
          </w:tcPr>
          <w:p>
            <w:pPr>
              <w:adjustRightInd w:val="0"/>
              <w:snapToGrid w:val="0"/>
            </w:pPr>
            <w:r>
              <w:rPr>
                <w:rFonts w:hint="eastAsia"/>
              </w:rPr>
              <w:t>根据供应商针对本项目提供的方案进行评审（包括：①本区域的基本情况；②</w:t>
            </w:r>
            <w:r>
              <w:t>EOD申报政策；③分析入库的重要性和意义）；方案先进科学,详细完整,切实可行、针对性强，完全满足本项目需求得</w:t>
            </w:r>
            <w:r>
              <w:rPr>
                <w:rFonts w:hint="eastAsia"/>
              </w:rPr>
              <w:t>15</w:t>
            </w:r>
            <w:r>
              <w:t>分； 每有一项缺项或与项目无关扣5分，每有一项存在缺陷扣2分。</w:t>
            </w:r>
          </w:p>
          <w:p>
            <w:pPr>
              <w:adjustRightInd w:val="0"/>
              <w:snapToGrid w:val="0"/>
            </w:pPr>
            <w:r>
              <w:rPr>
                <w:rFonts w:hint="eastAsia"/>
              </w:rPr>
              <w:t>注：缺陷是指内容脱离项目实际情况；与项目不匹配；套用其他项目方案；前后内容相互矛盾；方案空洞无实际内容；项目名称、实施地点与本项目不一致或不能满足本项目的实施等情形。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tcPr>
          <w:p>
            <w:pPr>
              <w:spacing w:line="276" w:lineRule="auto"/>
              <w:jc w:val="center"/>
              <w:rPr>
                <w:b/>
              </w:rPr>
            </w:pPr>
            <w:r>
              <w:rPr>
                <w:b/>
              </w:rPr>
              <w:t>EOD项目服务方案</w:t>
            </w:r>
          </w:p>
          <w:p>
            <w:pPr>
              <w:spacing w:line="276" w:lineRule="auto"/>
              <w:jc w:val="center"/>
              <w:rPr>
                <w:b/>
              </w:rPr>
            </w:pPr>
            <w:r>
              <w:rPr>
                <w:b/>
              </w:rPr>
              <w:t>（</w:t>
            </w:r>
            <w:r>
              <w:rPr>
                <w:rFonts w:hint="eastAsia"/>
                <w:b/>
              </w:rPr>
              <w:t>30</w:t>
            </w:r>
            <w:r>
              <w:rPr>
                <w:b/>
              </w:rPr>
              <w:t>分）</w:t>
            </w:r>
          </w:p>
        </w:tc>
        <w:tc>
          <w:tcPr>
            <w:tcW w:w="5124" w:type="dxa"/>
            <w:noWrap/>
          </w:tcPr>
          <w:p>
            <w:pPr>
              <w:adjustRightInd w:val="0"/>
              <w:snapToGrid w:val="0"/>
            </w:pPr>
            <w:r>
              <w:t>根据供应商针对本项目提供方案进行评审（包括：①针对EOD项目的实施路线；②EOD入库初步方案；③重点要求；④重点难题；⑤重要分析）；方案先进科学,详细完整,切实可行、针对性强，完全满足本项目需求得</w:t>
            </w:r>
            <w:r>
              <w:rPr>
                <w:rFonts w:hint="eastAsia"/>
              </w:rPr>
              <w:t>30</w:t>
            </w:r>
            <w:r>
              <w:t>分； 每有一项缺项或与项目无关扣5分，每有一项存在缺陷扣2分。</w:t>
            </w:r>
          </w:p>
          <w:p>
            <w:pPr>
              <w:adjustRightInd w:val="0"/>
              <w:snapToGrid w:val="0"/>
            </w:pPr>
            <w:r>
              <w:rPr>
                <w:rFonts w:hint="eastAsia"/>
              </w:rPr>
              <w:t>注：缺陷是指内容脱离项目实际情况；与项目不匹配；套用其他项目方案；前后内容相互矛盾；方案空洞无实际内容；项目名称、实施地点与本项目不一致或不能满足本项目的实施等情形。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tcPr>
          <w:p>
            <w:pPr>
              <w:spacing w:line="276" w:lineRule="auto"/>
              <w:jc w:val="center"/>
              <w:rPr>
                <w:b/>
              </w:rPr>
            </w:pPr>
            <w:r>
              <w:rPr>
                <w:rFonts w:hint="eastAsia"/>
                <w:b/>
              </w:rPr>
              <w:t>工作计划和保障措施（</w:t>
            </w:r>
            <w:r>
              <w:rPr>
                <w:b/>
              </w:rPr>
              <w:t>1</w:t>
            </w:r>
            <w:r>
              <w:rPr>
                <w:rFonts w:hint="eastAsia"/>
                <w:b/>
              </w:rPr>
              <w:t>8</w:t>
            </w:r>
            <w:r>
              <w:rPr>
                <w:b/>
              </w:rPr>
              <w:t>分）</w:t>
            </w:r>
          </w:p>
        </w:tc>
        <w:tc>
          <w:tcPr>
            <w:tcW w:w="5124" w:type="dxa"/>
            <w:noWrap/>
          </w:tcPr>
          <w:p>
            <w:pPr>
              <w:adjustRightInd w:val="0"/>
              <w:snapToGrid w:val="0"/>
            </w:pPr>
            <w:r>
              <w:t>根据供应商针对本项目提供方案进行评审（包括：①工作计划；②保障措施；③进度计划；④申报重要事项及要点提醒；⑤内部评审及沟通汇报重要节点）；方案先进科学,详细完整,切实可行、针对性强，完全满足本项目需求得1</w:t>
            </w:r>
            <w:r>
              <w:rPr>
                <w:rFonts w:hint="eastAsia"/>
              </w:rPr>
              <w:t>8</w:t>
            </w:r>
            <w:r>
              <w:t>分； 每有一项缺项或与项目无关扣2分，每有一项存在缺陷扣1分。</w:t>
            </w:r>
          </w:p>
          <w:p>
            <w:pPr>
              <w:adjustRightInd w:val="0"/>
              <w:snapToGrid w:val="0"/>
            </w:pPr>
            <w:r>
              <w:rPr>
                <w:rFonts w:hint="eastAsia"/>
              </w:rPr>
              <w:t>注：缺陷是指内容脱离项目实际情况；与项目不匹配；套用其他项目方案；前后内容相互矛盾；方案空洞无实际内容；项目名称、实施地点与本项目不一致或不能满足本项目的实施等情形。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tcPr>
          <w:p>
            <w:pPr>
              <w:spacing w:line="276" w:lineRule="auto"/>
              <w:jc w:val="center"/>
              <w:rPr>
                <w:b/>
              </w:rPr>
            </w:pPr>
            <w:r>
              <w:rPr>
                <w:rFonts w:hint="eastAsia"/>
                <w:b/>
              </w:rPr>
              <w:t>服务技术保障</w:t>
            </w:r>
          </w:p>
          <w:p>
            <w:pPr>
              <w:spacing w:line="276" w:lineRule="auto"/>
              <w:jc w:val="center"/>
              <w:rPr>
                <w:b/>
              </w:rPr>
            </w:pPr>
            <w:r>
              <w:rPr>
                <w:rFonts w:hint="eastAsia"/>
                <w:b/>
              </w:rPr>
              <w:t>（10</w:t>
            </w:r>
            <w:r>
              <w:rPr>
                <w:b/>
              </w:rPr>
              <w:t>分）</w:t>
            </w:r>
          </w:p>
        </w:tc>
        <w:tc>
          <w:tcPr>
            <w:tcW w:w="5124" w:type="dxa"/>
            <w:noWrap/>
          </w:tcPr>
          <w:p>
            <w:pPr>
              <w:pStyle w:val="45"/>
              <w:wordWrap/>
              <w:spacing w:line="360" w:lineRule="auto"/>
            </w:pPr>
            <w:r>
              <w:t>1、拟派驻本项目的项目负责人（1人）：具有中级及以上职称，同时具有注册咨询工程师（投资）的</w:t>
            </w:r>
            <w:r>
              <w:rPr>
                <w:rFonts w:hint="eastAsia"/>
                <w:lang w:val="en-US"/>
              </w:rPr>
              <w:t>得4分</w:t>
            </w:r>
            <w:r>
              <w:t>，</w:t>
            </w:r>
            <w:r>
              <w:rPr>
                <w:rFonts w:hint="eastAsia"/>
                <w:lang w:val="en-US"/>
              </w:rPr>
              <w:t>不满足</w:t>
            </w:r>
            <w:r>
              <w:t>不得分。</w:t>
            </w:r>
          </w:p>
          <w:p>
            <w:pPr>
              <w:pStyle w:val="45"/>
              <w:wordWrap/>
              <w:spacing w:line="360" w:lineRule="auto"/>
              <w:rPr>
                <w:color w:val="000000"/>
                <w:lang w:val="en-US" w:bidi="ar-SA"/>
              </w:rPr>
            </w:pPr>
            <w:r>
              <w:rPr>
                <w:rFonts w:hint="eastAsia"/>
              </w:rPr>
              <w:t>2、</w:t>
            </w:r>
            <w:r>
              <w:rPr>
                <w:rFonts w:hint="eastAsia"/>
                <w:color w:val="000000"/>
                <w:lang w:val="en-US" w:bidi="ar-SA"/>
              </w:rPr>
              <w:t>本项目其他专职人员：</w:t>
            </w:r>
          </w:p>
          <w:p>
            <w:pPr>
              <w:pStyle w:val="45"/>
              <w:numPr>
                <w:ilvl w:val="0"/>
                <w:numId w:val="13"/>
              </w:numPr>
              <w:wordWrap/>
              <w:topLinePunct w:val="0"/>
              <w:spacing w:line="360" w:lineRule="auto"/>
              <w:ind w:left="0" w:firstLine="0"/>
              <w:rPr>
                <w:color w:val="000000"/>
                <w:lang w:val="en-US" w:bidi="ar-SA"/>
              </w:rPr>
            </w:pPr>
            <w:r>
              <w:rPr>
                <w:rFonts w:hint="eastAsia"/>
                <w:color w:val="000000"/>
                <w:lang w:val="en-US" w:bidi="ar-SA"/>
              </w:rPr>
              <w:t>每有1名具有中级职称得1分、高级经济师证书得2分，最高4分，不提供不得分；</w:t>
            </w:r>
          </w:p>
          <w:p>
            <w:pPr>
              <w:pStyle w:val="45"/>
              <w:numPr>
                <w:ilvl w:val="0"/>
                <w:numId w:val="13"/>
              </w:numPr>
              <w:wordWrap/>
              <w:topLinePunct w:val="0"/>
              <w:spacing w:line="360" w:lineRule="auto"/>
              <w:ind w:left="0" w:firstLine="0"/>
              <w:rPr>
                <w:color w:val="000000"/>
                <w:lang w:val="en-US" w:bidi="ar-SA"/>
              </w:rPr>
            </w:pPr>
            <w:r>
              <w:rPr>
                <w:rFonts w:hint="eastAsia"/>
                <w:color w:val="000000"/>
                <w:lang w:val="en-US" w:bidi="ar-SA"/>
              </w:rPr>
              <w:t>每有1名具有注册咨询工程师（投资）证书得1分，最高2分，不提供不得分。</w:t>
            </w:r>
          </w:p>
          <w:p>
            <w:pPr>
              <w:wordWrap/>
              <w:adjustRightInd w:val="0"/>
              <w:snapToGrid w:val="0"/>
            </w:pPr>
            <w:r>
              <w:rPr>
                <w:rFonts w:hint="eastAsia"/>
                <w:color w:val="000000"/>
              </w:rPr>
              <w:t>注：以上人员不重复得分，提供相关证明材料（复印件加盖公章）。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restart"/>
            <w:noWrap/>
            <w:vAlign w:val="center"/>
          </w:tcPr>
          <w:p>
            <w:pPr>
              <w:widowControl/>
              <w:spacing w:line="360" w:lineRule="auto"/>
              <w:jc w:val="center"/>
              <w:rPr>
                <w:kern w:val="0"/>
              </w:rPr>
            </w:pPr>
            <w:r>
              <w:rPr>
                <w:rFonts w:hint="eastAsia"/>
                <w:kern w:val="0"/>
              </w:rPr>
              <w:t>2.2.2（3）</w:t>
            </w:r>
          </w:p>
        </w:tc>
        <w:tc>
          <w:tcPr>
            <w:tcW w:w="879" w:type="dxa"/>
            <w:vMerge w:val="restart"/>
            <w:noWrap/>
            <w:vAlign w:val="center"/>
          </w:tcPr>
          <w:p>
            <w:pPr>
              <w:wordWrap/>
              <w:topLinePunct w:val="0"/>
              <w:spacing w:line="360" w:lineRule="auto"/>
              <w:jc w:val="center"/>
              <w:rPr>
                <w:b/>
              </w:rPr>
            </w:pPr>
            <w:r>
              <w:rPr>
                <w:rFonts w:hint="eastAsia"/>
                <w:b/>
                <w:bCs/>
              </w:rPr>
              <w:t>综合实力（17分</w:t>
            </w:r>
            <w:r>
              <w:rPr>
                <w:rFonts w:hint="eastAsia"/>
                <w:b/>
              </w:rPr>
              <w:t>）</w:t>
            </w:r>
          </w:p>
          <w:p>
            <w:pPr>
              <w:widowControl/>
              <w:spacing w:line="360" w:lineRule="auto"/>
              <w:jc w:val="center"/>
              <w:rPr>
                <w:b/>
              </w:rPr>
            </w:pPr>
          </w:p>
        </w:tc>
        <w:tc>
          <w:tcPr>
            <w:tcW w:w="2212" w:type="dxa"/>
            <w:noWrap/>
            <w:vAlign w:val="center"/>
          </w:tcPr>
          <w:p>
            <w:pPr>
              <w:spacing w:line="276" w:lineRule="auto"/>
              <w:jc w:val="center"/>
              <w:rPr>
                <w:b/>
              </w:rPr>
            </w:pPr>
            <w:r>
              <w:rPr>
                <w:rFonts w:hint="eastAsia"/>
                <w:b/>
              </w:rPr>
              <w:t>企业实力</w:t>
            </w:r>
          </w:p>
          <w:p>
            <w:pPr>
              <w:spacing w:line="276" w:lineRule="auto"/>
              <w:jc w:val="center"/>
              <w:rPr>
                <w:b/>
                <w:kern w:val="0"/>
              </w:rPr>
            </w:pPr>
            <w:r>
              <w:rPr>
                <w:rFonts w:hint="eastAsia"/>
                <w:b/>
              </w:rPr>
              <w:t>（9</w:t>
            </w:r>
            <w:r>
              <w:rPr>
                <w:b/>
              </w:rPr>
              <w:t>分）</w:t>
            </w:r>
          </w:p>
        </w:tc>
        <w:tc>
          <w:tcPr>
            <w:tcW w:w="5124" w:type="dxa"/>
            <w:noWrap/>
          </w:tcPr>
          <w:p>
            <w:pPr>
              <w:pStyle w:val="3"/>
              <w:numPr>
                <w:ilvl w:val="0"/>
                <w:numId w:val="14"/>
              </w:numPr>
              <w:rPr>
                <w:sz w:val="21"/>
                <w:szCs w:val="21"/>
              </w:rPr>
            </w:pPr>
            <w:r>
              <w:rPr>
                <w:rFonts w:hint="eastAsia"/>
                <w:sz w:val="21"/>
                <w:szCs w:val="21"/>
              </w:rPr>
              <w:t>具有</w:t>
            </w:r>
            <w:r>
              <w:rPr>
                <w:sz w:val="21"/>
                <w:szCs w:val="21"/>
              </w:rPr>
              <w:t>ISO9001质量管理体系认证证书、ISO14001环境管理体系认证证书</w:t>
            </w:r>
            <w:r>
              <w:rPr>
                <w:rFonts w:hint="eastAsia"/>
                <w:sz w:val="21"/>
                <w:szCs w:val="21"/>
              </w:rPr>
              <w:t>、</w:t>
            </w:r>
            <w:r>
              <w:rPr>
                <w:sz w:val="21"/>
                <w:szCs w:val="21"/>
              </w:rPr>
              <w:t>ISO1 8001职业健康安全管理体系认证证书的，全部提供得</w:t>
            </w:r>
            <w:r>
              <w:rPr>
                <w:rFonts w:hint="eastAsia"/>
                <w:color w:val="auto"/>
                <w:sz w:val="21"/>
                <w:szCs w:val="21"/>
              </w:rPr>
              <w:t>3</w:t>
            </w:r>
            <w:r>
              <w:rPr>
                <w:color w:val="auto"/>
                <w:sz w:val="21"/>
                <w:szCs w:val="21"/>
              </w:rPr>
              <w:t>分</w:t>
            </w:r>
            <w:r>
              <w:rPr>
                <w:sz w:val="21"/>
                <w:szCs w:val="21"/>
              </w:rPr>
              <w:t>，</w:t>
            </w:r>
            <w:r>
              <w:rPr>
                <w:rFonts w:hint="eastAsia"/>
                <w:sz w:val="21"/>
                <w:szCs w:val="21"/>
              </w:rPr>
              <w:t>缺一项不得分。</w:t>
            </w:r>
          </w:p>
          <w:p>
            <w:pPr>
              <w:pStyle w:val="2"/>
              <w:numPr>
                <w:ilvl w:val="0"/>
                <w:numId w:val="14"/>
              </w:numPr>
              <w:spacing w:after="120"/>
            </w:pPr>
            <w:r>
              <w:rPr>
                <w:rFonts w:hint="eastAsia"/>
              </w:rPr>
              <w:t>具有经中国人民银行备案的第三方征信机构出具的信用报告，且信用等级达到AA级及以上的，并提供出具该信用报告的第三方征信机构在中国人民银行备案的证明材料，得3分，不提供不得分。（提供证书复印件加盖公章）</w:t>
            </w:r>
          </w:p>
          <w:p>
            <w:pPr>
              <w:pStyle w:val="2"/>
              <w:numPr>
                <w:ilvl w:val="0"/>
                <w:numId w:val="14"/>
              </w:numPr>
              <w:spacing w:after="120"/>
            </w:pPr>
            <w:r>
              <w:rPr>
                <w:rFonts w:hint="eastAsia"/>
              </w:rPr>
              <w:t>评标委员会根据供应商的技术服务机构和人员配备的合理性，各类专业人员分工是否科学、合理、高效进行酌情打分，0-3分。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spacing w:line="276" w:lineRule="auto"/>
              <w:jc w:val="center"/>
              <w:rPr>
                <w:b/>
              </w:rPr>
            </w:pPr>
            <w:r>
              <w:rPr>
                <w:rFonts w:hint="eastAsia"/>
                <w:b/>
              </w:rPr>
              <w:t>企业业绩</w:t>
            </w:r>
          </w:p>
          <w:p>
            <w:pPr>
              <w:spacing w:line="276" w:lineRule="auto"/>
              <w:jc w:val="center"/>
              <w:rPr>
                <w:b/>
                <w:kern w:val="0"/>
              </w:rPr>
            </w:pPr>
            <w:r>
              <w:rPr>
                <w:rFonts w:hint="eastAsia"/>
                <w:b/>
              </w:rPr>
              <w:t>（6分）</w:t>
            </w:r>
          </w:p>
        </w:tc>
        <w:tc>
          <w:tcPr>
            <w:tcW w:w="5124" w:type="dxa"/>
            <w:noWrap/>
            <w:vAlign w:val="center"/>
          </w:tcPr>
          <w:p>
            <w:pPr>
              <w:adjustRightInd w:val="0"/>
              <w:snapToGrid w:val="0"/>
            </w:pPr>
            <w:r>
              <w:t>1.供应商提供2020年1月1日</w:t>
            </w:r>
            <w:r>
              <w:rPr>
                <w:rFonts w:hint="eastAsia"/>
              </w:rPr>
              <w:t xml:space="preserve"> -至今</w:t>
            </w:r>
            <w:r>
              <w:t>承接过EOD试点申报（或谋划）的服务业绩，每有一项得</w:t>
            </w:r>
            <w:r>
              <w:rPr>
                <w:rFonts w:hint="eastAsia"/>
              </w:rPr>
              <w:t>1.5</w:t>
            </w:r>
            <w:r>
              <w:t>分，最多得</w:t>
            </w:r>
            <w:r>
              <w:rPr>
                <w:rFonts w:hint="eastAsia"/>
              </w:rPr>
              <w:t>3</w:t>
            </w:r>
            <w:r>
              <w:t>分。</w:t>
            </w:r>
          </w:p>
          <w:p>
            <w:pPr>
              <w:adjustRightInd w:val="0"/>
              <w:snapToGrid w:val="0"/>
            </w:pPr>
            <w:r>
              <w:t>2.供应商提供2020年1月1日</w:t>
            </w:r>
            <w:r>
              <w:rPr>
                <w:rFonts w:hint="eastAsia"/>
              </w:rPr>
              <w:t>-至今</w:t>
            </w:r>
            <w:r>
              <w:t>承接过EOD试点申报（或谋划）并获得国家级试点的服务业绩，每有一项得</w:t>
            </w:r>
            <w:r>
              <w:rPr>
                <w:rFonts w:hint="eastAsia"/>
              </w:rPr>
              <w:t>1.5</w:t>
            </w:r>
            <w:r>
              <w:t>分，最高</w:t>
            </w:r>
            <w:r>
              <w:rPr>
                <w:rFonts w:hint="eastAsia"/>
              </w:rPr>
              <w:t>3</w:t>
            </w:r>
            <w:r>
              <w:t>分。</w:t>
            </w:r>
          </w:p>
          <w:p>
            <w:pPr>
              <w:adjustRightInd w:val="0"/>
              <w:snapToGrid w:val="0"/>
            </w:pPr>
            <w:r>
              <w:rPr>
                <w:rFonts w:hint="eastAsia"/>
              </w:rPr>
              <w:t>注：第（</w:t>
            </w:r>
            <w:r>
              <w:t>1）项和（2）业绩不重复得分，业绩以中标（成交）通知书或合同为准，是国家试点项目的，提供官方网站项目截图，</w:t>
            </w:r>
            <w:r>
              <w:rPr>
                <w:rFonts w:hint="eastAsia"/>
              </w:rPr>
              <w:t>需提供上述资料原件扫描件（或图片）。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 w:type="dxa"/>
            <w:noWrap/>
            <w:vAlign w:val="center"/>
          </w:tcPr>
          <w:p>
            <w:pPr>
              <w:widowControl/>
              <w:spacing w:line="360" w:lineRule="auto"/>
              <w:jc w:val="center"/>
              <w:rPr>
                <w:kern w:val="0"/>
              </w:rPr>
            </w:pPr>
          </w:p>
        </w:tc>
        <w:tc>
          <w:tcPr>
            <w:tcW w:w="879" w:type="dxa"/>
            <w:noWrap/>
            <w:vAlign w:val="center"/>
          </w:tcPr>
          <w:p>
            <w:pPr>
              <w:widowControl/>
              <w:spacing w:line="360" w:lineRule="auto"/>
              <w:jc w:val="center"/>
              <w:rPr>
                <w:kern w:val="0"/>
              </w:rPr>
            </w:pPr>
          </w:p>
        </w:tc>
        <w:tc>
          <w:tcPr>
            <w:tcW w:w="2212" w:type="dxa"/>
            <w:noWrap/>
            <w:vAlign w:val="center"/>
          </w:tcPr>
          <w:p>
            <w:pPr>
              <w:pStyle w:val="2"/>
              <w:ind w:firstLine="422" w:firstLineChars="200"/>
              <w:rPr>
                <w:b/>
              </w:rPr>
            </w:pPr>
            <w:r>
              <w:rPr>
                <w:rFonts w:hint="eastAsia"/>
                <w:b/>
              </w:rPr>
              <w:t>优惠承诺</w:t>
            </w:r>
          </w:p>
          <w:p>
            <w:pPr>
              <w:pStyle w:val="2"/>
              <w:ind w:firstLine="632" w:firstLineChars="300"/>
              <w:rPr>
                <w:b/>
              </w:rPr>
            </w:pPr>
            <w:r>
              <w:rPr>
                <w:rFonts w:hint="eastAsia"/>
                <w:b/>
              </w:rPr>
              <w:t>（2分）</w:t>
            </w:r>
          </w:p>
        </w:tc>
        <w:tc>
          <w:tcPr>
            <w:tcW w:w="5124" w:type="dxa"/>
            <w:noWrap/>
            <w:vAlign w:val="center"/>
          </w:tcPr>
          <w:p>
            <w:pPr>
              <w:adjustRightInd w:val="0"/>
              <w:snapToGrid w:val="0"/>
            </w:pPr>
            <w:r>
              <w:rPr>
                <w:rFonts w:hint="eastAsia"/>
              </w:rPr>
              <w:t>针对本项目有实质性且较好的优惠承诺、优惠条件，并提出相关的合理化建议，</w:t>
            </w:r>
            <w:r>
              <w:t>酌情</w:t>
            </w:r>
            <w:r>
              <w:rPr>
                <w:rFonts w:hint="eastAsia"/>
              </w:rPr>
              <w:t>打分0-2分</w:t>
            </w:r>
            <w:r>
              <w:t>。</w:t>
            </w:r>
          </w:p>
        </w:tc>
      </w:tr>
    </w:tbl>
    <w:p>
      <w:pPr>
        <w:spacing w:line="360" w:lineRule="auto"/>
        <w:rPr>
          <w:b/>
        </w:rPr>
      </w:pPr>
      <w:r>
        <w:rPr>
          <w:rFonts w:hint="eastAsia"/>
          <w:b/>
        </w:rPr>
        <w:t>备注：</w:t>
      </w:r>
    </w:p>
    <w:p>
      <w:pPr>
        <w:spacing w:line="360" w:lineRule="auto"/>
        <w:ind w:firstLine="422" w:firstLineChars="200"/>
        <w:rPr>
          <w:b/>
        </w:rPr>
      </w:pPr>
      <w:r>
        <w:rPr>
          <w:rFonts w:hint="eastAsia"/>
          <w:b/>
        </w:rPr>
        <w:t>1、上述评分标准中涉及到的原件内容以投标截止时间前填报的为准，过期更改的信息不作为本项目评审依据。开评标现场不接受信息原件。信息必须内容齐全，真实有效，扫描件清晰可辨。否则，由此造成应得分而未得分情况的，由投标企业承担责任。</w:t>
      </w:r>
    </w:p>
    <w:p>
      <w:pPr>
        <w:spacing w:line="360" w:lineRule="auto"/>
        <w:ind w:firstLine="422" w:firstLineChars="200"/>
        <w:rPr>
          <w:b/>
        </w:rPr>
      </w:pPr>
      <w:r>
        <w:rPr>
          <w:rFonts w:hint="eastAsia"/>
          <w:b/>
        </w:rPr>
        <w:t>2、上述评标过程中所涉及的证明材料必须在响应文件中附相应复印件并加盖公章，不满足此要求者，不得分。</w:t>
      </w:r>
    </w:p>
    <w:p>
      <w:pPr>
        <w:spacing w:line="360" w:lineRule="auto"/>
        <w:ind w:firstLine="422" w:firstLineChars="200"/>
        <w:rPr>
          <w:b/>
        </w:rPr>
      </w:pPr>
      <w:r>
        <w:rPr>
          <w:rFonts w:hint="eastAsia"/>
          <w:b/>
        </w:rPr>
        <w:t>3、投标人综合实力评审项中，投标人为联合体的，联合体任一成员单位的相关资料均可认定为联合体的资料。需提供合同协议书的相关材料在响应文件中附业绩复印件并加盖公章，否则不得分。</w:t>
      </w:r>
    </w:p>
    <w:p>
      <w:pPr>
        <w:spacing w:line="360" w:lineRule="auto"/>
        <w:ind w:firstLine="422" w:firstLineChars="200"/>
        <w:rPr>
          <w:b/>
          <w:bCs/>
        </w:rPr>
      </w:pPr>
      <w:r>
        <w:rPr>
          <w:rFonts w:hint="eastAsia"/>
          <w:b/>
          <w:bCs/>
        </w:rPr>
        <w:t>4、</w:t>
      </w:r>
      <w:bookmarkStart w:id="557" w:name="_Toc17098"/>
      <w:bookmarkStart w:id="558" w:name="_Toc27541"/>
      <w:bookmarkStart w:id="559" w:name="_Toc10179"/>
      <w:bookmarkStart w:id="560" w:name="_Toc6071"/>
      <w:r>
        <w:rPr>
          <w:rFonts w:hint="eastAsia"/>
          <w:b/>
          <w:bCs/>
        </w:rPr>
        <w:t>所有上传审查内容应与响应文件中的复印件一致方可加分，否则视为无效。</w:t>
      </w:r>
      <w:bookmarkEnd w:id="557"/>
      <w:bookmarkEnd w:id="558"/>
      <w:bookmarkEnd w:id="559"/>
      <w:bookmarkEnd w:id="560"/>
    </w:p>
    <w:p>
      <w:pPr>
        <w:pStyle w:val="24"/>
        <w:ind w:firstLine="210"/>
      </w:pPr>
    </w:p>
    <w:p>
      <w:pPr>
        <w:pStyle w:val="42"/>
        <w:numPr>
          <w:ilvl w:val="0"/>
          <w:numId w:val="15"/>
        </w:numPr>
        <w:tabs>
          <w:tab w:val="left" w:pos="360"/>
        </w:tabs>
        <w:snapToGrid w:val="0"/>
        <w:spacing w:line="360" w:lineRule="auto"/>
        <w:jc w:val="both"/>
        <w:outlineLvl w:val="1"/>
        <w:rPr>
          <w:rFonts w:hAnsi="宋体" w:cs="黑体"/>
          <w:b/>
          <w:color w:val="auto"/>
        </w:rPr>
      </w:pPr>
      <w:r>
        <w:rPr>
          <w:rFonts w:hint="eastAsia" w:hAnsi="宋体" w:cs="黑体"/>
          <w:b/>
          <w:color w:val="auto"/>
        </w:rPr>
        <w:t>评审办法</w:t>
      </w:r>
    </w:p>
    <w:p>
      <w:pPr>
        <w:wordWrap/>
        <w:topLinePunct w:val="0"/>
        <w:autoSpaceDE w:val="0"/>
        <w:autoSpaceDN w:val="0"/>
        <w:adjustRightInd w:val="0"/>
        <w:snapToGrid w:val="0"/>
        <w:spacing w:line="360" w:lineRule="auto"/>
        <w:ind w:right="-23" w:firstLine="420" w:firstLineChars="200"/>
        <w:jc w:val="left"/>
        <w:rPr>
          <w:kern w:val="0"/>
        </w:rPr>
      </w:pPr>
      <w:r>
        <w:rPr>
          <w:rFonts w:hint="eastAsia"/>
          <w:kern w:val="0"/>
        </w:rPr>
        <w:t>本次竞争性磋商采用综合评分法评审，磋商小组对满</w:t>
      </w:r>
      <w:r>
        <w:rPr>
          <w:rFonts w:hint="eastAsia"/>
          <w:spacing w:val="-2"/>
          <w:kern w:val="0"/>
        </w:rPr>
        <w:t>足</w:t>
      </w:r>
      <w:r>
        <w:rPr>
          <w:rFonts w:hint="eastAsia"/>
          <w:kern w:val="0"/>
        </w:rPr>
        <w:t>竞争性磋商文件实质性要求且最终确定采购需求和在规定时间提交最后报价的</w:t>
      </w:r>
      <w:r>
        <w:rPr>
          <w:rFonts w:hint="eastAsia"/>
          <w:spacing w:val="-2"/>
          <w:kern w:val="0"/>
        </w:rPr>
        <w:t>响应文</w:t>
      </w:r>
      <w:r>
        <w:rPr>
          <w:rFonts w:hint="eastAsia"/>
          <w:kern w:val="0"/>
        </w:rPr>
        <w:t>件，且按照评审因素的量化指标评审得分最高的供应商为成交候选人的评审方法。</w:t>
      </w:r>
    </w:p>
    <w:p>
      <w:pPr>
        <w:pStyle w:val="42"/>
        <w:numPr>
          <w:ilvl w:val="0"/>
          <w:numId w:val="15"/>
        </w:numPr>
        <w:tabs>
          <w:tab w:val="left" w:pos="360"/>
        </w:tabs>
        <w:snapToGrid w:val="0"/>
        <w:spacing w:line="360" w:lineRule="auto"/>
        <w:outlineLvl w:val="1"/>
        <w:rPr>
          <w:rFonts w:hAnsi="宋体" w:cs="黑体"/>
          <w:b/>
          <w:color w:val="auto"/>
        </w:rPr>
      </w:pPr>
      <w:bookmarkStart w:id="561" w:name="_Toc30234"/>
      <w:bookmarkStart w:id="562" w:name="_Toc5920"/>
      <w:bookmarkStart w:id="563" w:name="_Toc3406"/>
      <w:bookmarkStart w:id="564" w:name="_Toc6135"/>
      <w:bookmarkStart w:id="565" w:name="_Toc13454"/>
      <w:bookmarkStart w:id="566" w:name="_Toc26533"/>
      <w:bookmarkStart w:id="567" w:name="_Toc30895"/>
      <w:bookmarkStart w:id="568" w:name="_Toc17219"/>
      <w:bookmarkStart w:id="569" w:name="_Toc4003"/>
      <w:bookmarkStart w:id="570" w:name="_Toc9376"/>
      <w:r>
        <w:rPr>
          <w:rFonts w:hint="eastAsia" w:hAnsi="宋体" w:cs="黑体"/>
          <w:b/>
          <w:color w:val="auto"/>
        </w:rPr>
        <w:t>评审标准</w:t>
      </w:r>
      <w:bookmarkEnd w:id="561"/>
      <w:bookmarkEnd w:id="562"/>
      <w:bookmarkEnd w:id="563"/>
      <w:bookmarkEnd w:id="564"/>
      <w:bookmarkEnd w:id="565"/>
      <w:bookmarkEnd w:id="566"/>
      <w:bookmarkEnd w:id="567"/>
      <w:bookmarkEnd w:id="568"/>
      <w:bookmarkEnd w:id="569"/>
      <w:bookmarkEnd w:id="570"/>
    </w:p>
    <w:p>
      <w:pPr>
        <w:pStyle w:val="5"/>
        <w:numPr>
          <w:ilvl w:val="1"/>
          <w:numId w:val="16"/>
        </w:numPr>
        <w:wordWrap/>
        <w:adjustRightInd w:val="0"/>
        <w:snapToGrid w:val="0"/>
        <w:rPr>
          <w:sz w:val="21"/>
        </w:rPr>
      </w:pPr>
      <w:bookmarkStart w:id="571" w:name="_Toc11754"/>
      <w:bookmarkStart w:id="572" w:name="_Toc25181"/>
      <w:bookmarkStart w:id="573" w:name="_Toc6724"/>
      <w:bookmarkStart w:id="574" w:name="_Toc27094"/>
      <w:bookmarkStart w:id="575" w:name="_Toc29139"/>
      <w:bookmarkStart w:id="576" w:name="_Toc28336"/>
      <w:bookmarkStart w:id="577" w:name="_Toc31651"/>
      <w:bookmarkStart w:id="578" w:name="_Toc10856"/>
      <w:bookmarkStart w:id="579" w:name="_Toc5467"/>
      <w:bookmarkStart w:id="580" w:name="_Toc17735"/>
      <w:bookmarkStart w:id="581" w:name="_Toc7259"/>
      <w:r>
        <w:rPr>
          <w:rFonts w:hint="eastAsia"/>
          <w:sz w:val="21"/>
        </w:rPr>
        <w:t>初步评审标准</w:t>
      </w:r>
      <w:bookmarkEnd w:id="571"/>
      <w:bookmarkEnd w:id="572"/>
    </w:p>
    <w:p>
      <w:pPr>
        <w:numPr>
          <w:ilvl w:val="2"/>
          <w:numId w:val="17"/>
        </w:numPr>
        <w:wordWrap/>
        <w:adjustRightInd w:val="0"/>
        <w:snapToGrid w:val="0"/>
        <w:spacing w:line="360" w:lineRule="auto"/>
        <w:jc w:val="left"/>
      </w:pPr>
      <w:r>
        <w:rPr>
          <w:rFonts w:hint="eastAsia"/>
        </w:rPr>
        <w:t>形式评审标准：见评审办法前附表。</w:t>
      </w:r>
    </w:p>
    <w:p>
      <w:pPr>
        <w:numPr>
          <w:ilvl w:val="2"/>
          <w:numId w:val="17"/>
        </w:numPr>
        <w:wordWrap/>
        <w:adjustRightInd w:val="0"/>
        <w:snapToGrid w:val="0"/>
        <w:spacing w:line="360" w:lineRule="auto"/>
        <w:jc w:val="left"/>
      </w:pPr>
      <w:r>
        <w:rPr>
          <w:rFonts w:hint="eastAsia"/>
        </w:rPr>
        <w:t>资格评审标准：见评审办法前附表。</w:t>
      </w:r>
    </w:p>
    <w:p>
      <w:pPr>
        <w:numPr>
          <w:ilvl w:val="2"/>
          <w:numId w:val="17"/>
        </w:numPr>
        <w:wordWrap/>
        <w:adjustRightInd w:val="0"/>
        <w:snapToGrid w:val="0"/>
        <w:spacing w:line="360" w:lineRule="auto"/>
        <w:jc w:val="left"/>
      </w:pPr>
      <w:r>
        <w:rPr>
          <w:rFonts w:hint="eastAsia"/>
        </w:rPr>
        <w:t>响应性评审标准：见评审办法前附表。</w:t>
      </w:r>
    </w:p>
    <w:p>
      <w:pPr>
        <w:pStyle w:val="5"/>
        <w:numPr>
          <w:ilvl w:val="1"/>
          <w:numId w:val="16"/>
        </w:numPr>
        <w:wordWrap/>
        <w:adjustRightInd w:val="0"/>
        <w:snapToGrid w:val="0"/>
        <w:rPr>
          <w:sz w:val="21"/>
        </w:rPr>
      </w:pPr>
      <w:bookmarkStart w:id="582" w:name="_Toc8909"/>
      <w:bookmarkStart w:id="583" w:name="_Toc3639"/>
      <w:r>
        <w:rPr>
          <w:rFonts w:hint="eastAsia"/>
          <w:sz w:val="21"/>
        </w:rPr>
        <w:t>分值构成与评分标准</w:t>
      </w:r>
      <w:bookmarkEnd w:id="573"/>
      <w:bookmarkEnd w:id="574"/>
      <w:bookmarkEnd w:id="575"/>
      <w:bookmarkEnd w:id="576"/>
      <w:bookmarkEnd w:id="577"/>
      <w:bookmarkEnd w:id="578"/>
      <w:bookmarkEnd w:id="579"/>
      <w:bookmarkEnd w:id="580"/>
      <w:bookmarkEnd w:id="581"/>
      <w:bookmarkEnd w:id="582"/>
      <w:bookmarkEnd w:id="583"/>
    </w:p>
    <w:p>
      <w:pPr>
        <w:numPr>
          <w:ilvl w:val="2"/>
          <w:numId w:val="18"/>
        </w:numPr>
        <w:wordWrap/>
        <w:autoSpaceDE w:val="0"/>
        <w:autoSpaceDN w:val="0"/>
        <w:adjustRightInd w:val="0"/>
        <w:snapToGrid w:val="0"/>
        <w:spacing w:line="360" w:lineRule="auto"/>
        <w:ind w:right="-23"/>
        <w:jc w:val="left"/>
        <w:rPr>
          <w:kern w:val="0"/>
        </w:rPr>
      </w:pPr>
      <w:r>
        <w:rPr>
          <w:rFonts w:hint="eastAsia"/>
          <w:kern w:val="0"/>
        </w:rPr>
        <w:t>分值构成</w:t>
      </w:r>
    </w:p>
    <w:p>
      <w:pPr>
        <w:numPr>
          <w:ilvl w:val="0"/>
          <w:numId w:val="19"/>
        </w:numPr>
        <w:wordWrap/>
        <w:topLinePunct w:val="0"/>
        <w:autoSpaceDE w:val="0"/>
        <w:autoSpaceDN w:val="0"/>
        <w:adjustRightInd w:val="0"/>
        <w:snapToGrid w:val="0"/>
        <w:spacing w:line="360" w:lineRule="auto"/>
        <w:ind w:left="0" w:right="40" w:firstLine="420" w:firstLineChars="200"/>
        <w:jc w:val="left"/>
        <w:rPr>
          <w:kern w:val="0"/>
        </w:rPr>
      </w:pPr>
      <w:r>
        <w:rPr>
          <w:rFonts w:hint="eastAsia"/>
          <w:kern w:val="0"/>
        </w:rPr>
        <w:t>报价得分：见评审办法前附表；</w:t>
      </w:r>
    </w:p>
    <w:p>
      <w:pPr>
        <w:numPr>
          <w:ilvl w:val="0"/>
          <w:numId w:val="19"/>
        </w:numPr>
        <w:wordWrap/>
        <w:topLinePunct w:val="0"/>
        <w:autoSpaceDE w:val="0"/>
        <w:autoSpaceDN w:val="0"/>
        <w:adjustRightInd w:val="0"/>
        <w:snapToGrid w:val="0"/>
        <w:spacing w:line="360" w:lineRule="auto"/>
        <w:ind w:left="0" w:right="40" w:firstLine="420" w:firstLineChars="200"/>
        <w:jc w:val="left"/>
        <w:rPr>
          <w:kern w:val="0"/>
        </w:rPr>
      </w:pPr>
      <w:r>
        <w:rPr>
          <w:rFonts w:hint="eastAsia"/>
          <w:kern w:val="0"/>
        </w:rPr>
        <w:t>技术部分：见评审办法前附表；</w:t>
      </w:r>
    </w:p>
    <w:p>
      <w:pPr>
        <w:numPr>
          <w:ilvl w:val="0"/>
          <w:numId w:val="19"/>
        </w:numPr>
        <w:wordWrap/>
        <w:topLinePunct w:val="0"/>
        <w:autoSpaceDE w:val="0"/>
        <w:autoSpaceDN w:val="0"/>
        <w:adjustRightInd w:val="0"/>
        <w:snapToGrid w:val="0"/>
        <w:spacing w:line="360" w:lineRule="auto"/>
        <w:ind w:left="0" w:right="40" w:firstLine="420" w:firstLineChars="200"/>
        <w:jc w:val="left"/>
        <w:rPr>
          <w:kern w:val="0"/>
        </w:rPr>
      </w:pPr>
      <w:r>
        <w:rPr>
          <w:rFonts w:hint="eastAsia"/>
          <w:kern w:val="0"/>
        </w:rPr>
        <w:t>综合实力部分：见评审办法前附表；</w:t>
      </w:r>
    </w:p>
    <w:p>
      <w:pPr>
        <w:numPr>
          <w:ilvl w:val="2"/>
          <w:numId w:val="18"/>
        </w:numPr>
        <w:wordWrap/>
        <w:autoSpaceDE w:val="0"/>
        <w:autoSpaceDN w:val="0"/>
        <w:adjustRightInd w:val="0"/>
        <w:snapToGrid w:val="0"/>
        <w:spacing w:line="360" w:lineRule="auto"/>
        <w:ind w:right="-23"/>
        <w:jc w:val="left"/>
        <w:rPr>
          <w:kern w:val="0"/>
        </w:rPr>
      </w:pPr>
      <w:r>
        <w:rPr>
          <w:rFonts w:hint="eastAsia"/>
          <w:kern w:val="0"/>
        </w:rPr>
        <w:t>评分标准</w:t>
      </w:r>
    </w:p>
    <w:p>
      <w:pPr>
        <w:numPr>
          <w:ilvl w:val="0"/>
          <w:numId w:val="20"/>
        </w:numPr>
        <w:wordWrap/>
        <w:topLinePunct w:val="0"/>
        <w:autoSpaceDE w:val="0"/>
        <w:autoSpaceDN w:val="0"/>
        <w:adjustRightInd w:val="0"/>
        <w:snapToGrid w:val="0"/>
        <w:spacing w:line="360" w:lineRule="auto"/>
        <w:ind w:left="0" w:right="40" w:firstLine="420" w:firstLineChars="200"/>
        <w:jc w:val="left"/>
        <w:rPr>
          <w:kern w:val="0"/>
        </w:rPr>
      </w:pPr>
      <w:r>
        <w:rPr>
          <w:rFonts w:hint="eastAsia"/>
          <w:kern w:val="0"/>
        </w:rPr>
        <w:t>报价得分标准：见评审办法前附表；</w:t>
      </w:r>
    </w:p>
    <w:p>
      <w:pPr>
        <w:numPr>
          <w:ilvl w:val="0"/>
          <w:numId w:val="20"/>
        </w:numPr>
        <w:wordWrap/>
        <w:topLinePunct w:val="0"/>
        <w:autoSpaceDE w:val="0"/>
        <w:autoSpaceDN w:val="0"/>
        <w:adjustRightInd w:val="0"/>
        <w:snapToGrid w:val="0"/>
        <w:spacing w:line="360" w:lineRule="auto"/>
        <w:ind w:left="0" w:right="40" w:firstLine="420" w:firstLineChars="200"/>
        <w:jc w:val="left"/>
        <w:rPr>
          <w:kern w:val="0"/>
        </w:rPr>
      </w:pPr>
      <w:r>
        <w:rPr>
          <w:rFonts w:hint="eastAsia"/>
          <w:kern w:val="0"/>
        </w:rPr>
        <w:t>技术部分标准：见评审办法前附表；</w:t>
      </w:r>
    </w:p>
    <w:p>
      <w:pPr>
        <w:numPr>
          <w:ilvl w:val="0"/>
          <w:numId w:val="20"/>
        </w:numPr>
        <w:wordWrap/>
        <w:topLinePunct w:val="0"/>
        <w:autoSpaceDE w:val="0"/>
        <w:autoSpaceDN w:val="0"/>
        <w:adjustRightInd w:val="0"/>
        <w:snapToGrid w:val="0"/>
        <w:spacing w:line="360" w:lineRule="auto"/>
        <w:ind w:left="0" w:right="40" w:firstLine="420" w:firstLineChars="200"/>
        <w:jc w:val="left"/>
        <w:rPr>
          <w:kern w:val="0"/>
        </w:rPr>
      </w:pPr>
      <w:r>
        <w:rPr>
          <w:rFonts w:hint="eastAsia"/>
          <w:kern w:val="0"/>
        </w:rPr>
        <w:t>综合实力标准：见评审办法前附表；</w:t>
      </w:r>
    </w:p>
    <w:p>
      <w:pPr>
        <w:pStyle w:val="42"/>
        <w:numPr>
          <w:ilvl w:val="0"/>
          <w:numId w:val="15"/>
        </w:numPr>
        <w:tabs>
          <w:tab w:val="left" w:pos="360"/>
        </w:tabs>
        <w:snapToGrid w:val="0"/>
        <w:spacing w:line="360" w:lineRule="auto"/>
        <w:jc w:val="both"/>
        <w:outlineLvl w:val="1"/>
        <w:rPr>
          <w:rFonts w:hAnsi="宋体" w:cs="黑体"/>
          <w:b/>
          <w:color w:val="auto"/>
        </w:rPr>
      </w:pPr>
      <w:bookmarkStart w:id="584" w:name="_Toc29125"/>
      <w:bookmarkStart w:id="585" w:name="_Toc22175"/>
      <w:bookmarkStart w:id="586" w:name="_Toc5149"/>
      <w:bookmarkStart w:id="587" w:name="_Toc5605"/>
      <w:bookmarkStart w:id="588" w:name="_Toc28724"/>
      <w:bookmarkStart w:id="589" w:name="_Toc1740"/>
      <w:bookmarkStart w:id="590" w:name="_Toc26726"/>
      <w:bookmarkStart w:id="591" w:name="_Toc16356"/>
      <w:bookmarkStart w:id="592" w:name="_Toc4338"/>
      <w:bookmarkStart w:id="593" w:name="_Toc21732"/>
      <w:r>
        <w:rPr>
          <w:rFonts w:hint="eastAsia" w:hAnsi="宋体" w:cs="黑体"/>
          <w:b/>
          <w:color w:val="auto"/>
        </w:rPr>
        <w:t>评审程序</w:t>
      </w:r>
      <w:bookmarkEnd w:id="584"/>
      <w:bookmarkEnd w:id="585"/>
      <w:bookmarkEnd w:id="586"/>
      <w:bookmarkEnd w:id="587"/>
      <w:bookmarkEnd w:id="588"/>
      <w:bookmarkEnd w:id="589"/>
      <w:bookmarkEnd w:id="590"/>
      <w:bookmarkEnd w:id="591"/>
      <w:bookmarkEnd w:id="592"/>
      <w:bookmarkEnd w:id="593"/>
    </w:p>
    <w:p>
      <w:pPr>
        <w:pStyle w:val="5"/>
        <w:numPr>
          <w:ilvl w:val="1"/>
          <w:numId w:val="21"/>
        </w:numPr>
        <w:wordWrap/>
        <w:adjustRightInd w:val="0"/>
        <w:snapToGrid w:val="0"/>
        <w:rPr>
          <w:sz w:val="21"/>
        </w:rPr>
      </w:pPr>
      <w:bookmarkStart w:id="594" w:name="_Toc10682"/>
      <w:bookmarkStart w:id="595" w:name="_Toc17957"/>
      <w:bookmarkStart w:id="596" w:name="_Toc7036"/>
      <w:bookmarkStart w:id="597" w:name="_Toc9443"/>
      <w:bookmarkStart w:id="598" w:name="_Toc1654"/>
      <w:bookmarkStart w:id="599" w:name="_Toc5708"/>
      <w:bookmarkStart w:id="600" w:name="_Toc9613"/>
      <w:bookmarkStart w:id="601" w:name="_Toc32083"/>
      <w:bookmarkStart w:id="602" w:name="_Toc26056"/>
      <w:bookmarkStart w:id="603" w:name="_Toc3824"/>
      <w:bookmarkStart w:id="604" w:name="_Toc18983"/>
      <w:r>
        <w:rPr>
          <w:rFonts w:hint="eastAsia"/>
          <w:sz w:val="21"/>
        </w:rPr>
        <w:t>初步评审</w:t>
      </w:r>
      <w:bookmarkEnd w:id="594"/>
      <w:bookmarkEnd w:id="595"/>
      <w:bookmarkEnd w:id="596"/>
      <w:bookmarkEnd w:id="597"/>
      <w:bookmarkEnd w:id="598"/>
      <w:bookmarkEnd w:id="599"/>
      <w:bookmarkEnd w:id="600"/>
      <w:bookmarkEnd w:id="601"/>
      <w:bookmarkEnd w:id="602"/>
      <w:bookmarkEnd w:id="603"/>
      <w:bookmarkEnd w:id="604"/>
    </w:p>
    <w:p>
      <w:pPr>
        <w:numPr>
          <w:ilvl w:val="2"/>
          <w:numId w:val="22"/>
        </w:numPr>
        <w:wordWrap/>
        <w:autoSpaceDE w:val="0"/>
        <w:autoSpaceDN w:val="0"/>
        <w:adjustRightInd w:val="0"/>
        <w:snapToGrid w:val="0"/>
        <w:spacing w:line="360" w:lineRule="auto"/>
        <w:ind w:right="-23"/>
        <w:jc w:val="left"/>
        <w:rPr>
          <w:kern w:val="0"/>
        </w:rPr>
      </w:pPr>
      <w:r>
        <w:rPr>
          <w:rFonts w:hint="eastAsia"/>
          <w:kern w:val="0"/>
        </w:rPr>
        <w:t>磋商小组依据本章评审办法前附表规定的标准，对供应商的响应文件进行初步评审，以确定其是否满足竞争性磋商文件的实质性要求，有一项不符合评审标准的，磋商小组应当认定其响应文件无效。</w:t>
      </w:r>
    </w:p>
    <w:p>
      <w:pPr>
        <w:numPr>
          <w:ilvl w:val="2"/>
          <w:numId w:val="22"/>
        </w:numPr>
        <w:wordWrap/>
        <w:autoSpaceDE w:val="0"/>
        <w:autoSpaceDN w:val="0"/>
        <w:adjustRightInd w:val="0"/>
        <w:snapToGrid w:val="0"/>
        <w:spacing w:line="360" w:lineRule="auto"/>
        <w:ind w:right="-23"/>
        <w:jc w:val="left"/>
        <w:rPr>
          <w:kern w:val="0"/>
        </w:rPr>
      </w:pPr>
      <w:r>
        <w:rPr>
          <w:rFonts w:hint="eastAsia"/>
          <w:kern w:val="0"/>
        </w:rPr>
        <w:t>磋商报价有算术错误及其他错误的。</w:t>
      </w:r>
    </w:p>
    <w:p>
      <w:pPr>
        <w:numPr>
          <w:ilvl w:val="0"/>
          <w:numId w:val="23"/>
        </w:numPr>
        <w:wordWrap/>
        <w:topLinePunct w:val="0"/>
        <w:autoSpaceDE w:val="0"/>
        <w:autoSpaceDN w:val="0"/>
        <w:adjustRightInd w:val="0"/>
        <w:snapToGrid w:val="0"/>
        <w:spacing w:line="360" w:lineRule="auto"/>
        <w:ind w:left="0" w:right="40" w:firstLine="420" w:firstLineChars="200"/>
        <w:jc w:val="left"/>
      </w:pPr>
      <w:r>
        <w:rPr>
          <w:rFonts w:hint="eastAsia"/>
        </w:rPr>
        <w:t>大写金额和小写金额不一致的，以大写金额为准。</w:t>
      </w:r>
    </w:p>
    <w:p>
      <w:pPr>
        <w:numPr>
          <w:ilvl w:val="0"/>
          <w:numId w:val="23"/>
        </w:numPr>
        <w:wordWrap/>
        <w:topLinePunct w:val="0"/>
        <w:autoSpaceDE w:val="0"/>
        <w:autoSpaceDN w:val="0"/>
        <w:adjustRightInd w:val="0"/>
        <w:snapToGrid w:val="0"/>
        <w:spacing w:line="360" w:lineRule="auto"/>
        <w:ind w:left="0" w:right="40" w:firstLine="420" w:firstLineChars="200"/>
        <w:jc w:val="left"/>
      </w:pPr>
      <w:r>
        <w:rPr>
          <w:rFonts w:hint="eastAsia"/>
        </w:rPr>
        <w:t>总价金额与按单价汇总金额不一致的，以单价金额计算结果为准。</w:t>
      </w:r>
    </w:p>
    <w:p>
      <w:pPr>
        <w:numPr>
          <w:ilvl w:val="0"/>
          <w:numId w:val="23"/>
        </w:numPr>
        <w:wordWrap/>
        <w:topLinePunct w:val="0"/>
        <w:autoSpaceDE w:val="0"/>
        <w:autoSpaceDN w:val="0"/>
        <w:adjustRightInd w:val="0"/>
        <w:snapToGrid w:val="0"/>
        <w:spacing w:line="360" w:lineRule="auto"/>
        <w:ind w:left="0" w:right="40" w:firstLine="420" w:firstLineChars="200"/>
        <w:jc w:val="left"/>
      </w:pPr>
      <w:r>
        <w:rPr>
          <w:rFonts w:hint="eastAsia"/>
        </w:rPr>
        <w:t>单价金额小数点或者百分比有明显错位的，以总价为准。</w:t>
      </w:r>
    </w:p>
    <w:p>
      <w:pPr>
        <w:pStyle w:val="5"/>
        <w:numPr>
          <w:ilvl w:val="1"/>
          <w:numId w:val="21"/>
        </w:numPr>
        <w:wordWrap/>
        <w:adjustRightInd w:val="0"/>
        <w:snapToGrid w:val="0"/>
        <w:rPr>
          <w:sz w:val="21"/>
        </w:rPr>
      </w:pPr>
      <w:r>
        <w:rPr>
          <w:rFonts w:hint="eastAsia"/>
          <w:sz w:val="21"/>
        </w:rPr>
        <w:t>详细磋商</w:t>
      </w:r>
    </w:p>
    <w:p>
      <w:pPr>
        <w:numPr>
          <w:ilvl w:val="2"/>
          <w:numId w:val="24"/>
        </w:numPr>
        <w:wordWrap/>
        <w:adjustRightInd w:val="0"/>
        <w:snapToGrid w:val="0"/>
        <w:spacing w:line="360" w:lineRule="auto"/>
        <w:jc w:val="left"/>
      </w:pPr>
      <w:r>
        <w:rPr>
          <w:rFonts w:hint="eastAsia"/>
        </w:rPr>
        <w:t>竞争性磋商文件不能详细列明采购标的的技术、服务要求，需经磋商由供应商提供最终解决方案的，磋商结束后，磋商小组应当按照少数服从多数的原则投票推荐3家及以上供应商的解决方案，并要求其在规定时间内提交最后报价。</w:t>
      </w:r>
    </w:p>
    <w:p>
      <w:pPr>
        <w:numPr>
          <w:ilvl w:val="2"/>
          <w:numId w:val="24"/>
        </w:numPr>
        <w:wordWrap/>
        <w:adjustRightInd w:val="0"/>
        <w:snapToGrid w:val="0"/>
        <w:spacing w:line="360" w:lineRule="auto"/>
        <w:jc w:val="left"/>
      </w:pPr>
      <w:r>
        <w:rPr>
          <w:rFonts w:hint="eastAsia"/>
        </w:rPr>
        <w:t>竞争性磋商文件能够详细列明采购标的的技术、服务要求的，磋商结束后，磋商小组应当要求所有实质性响应的供应商在规定时间内提交最后报价，提交最后报价的供应商不得少于3家。</w:t>
      </w:r>
    </w:p>
    <w:p>
      <w:pPr>
        <w:numPr>
          <w:ilvl w:val="2"/>
          <w:numId w:val="24"/>
        </w:numPr>
        <w:wordWrap/>
        <w:adjustRightInd w:val="0"/>
        <w:snapToGrid w:val="0"/>
        <w:spacing w:line="360" w:lineRule="auto"/>
        <w:jc w:val="left"/>
      </w:pPr>
      <w:r>
        <w:rPr>
          <w:rFonts w:hint="eastAsia"/>
        </w:rPr>
        <w:t>最后报价（二轮报价）是供应商响应文件的有效组成部分【注：1、最后报价不得超出供应商的第一轮报价；2、最后报价明显低于成本价的，供应商需做出合理说明，否则将承担不被接受的风险】。</w:t>
      </w:r>
    </w:p>
    <w:p>
      <w:pPr>
        <w:numPr>
          <w:ilvl w:val="2"/>
          <w:numId w:val="24"/>
        </w:numPr>
        <w:wordWrap/>
        <w:adjustRightInd w:val="0"/>
        <w:snapToGrid w:val="0"/>
        <w:spacing w:line="360" w:lineRule="auto"/>
        <w:jc w:val="left"/>
      </w:pPr>
      <w:r>
        <w:rPr>
          <w:rFonts w:hint="eastAsia"/>
        </w:rPr>
        <w:t>经磋商确定最终采购需求和提交最后报价的供应商后，由磋商小组采用综合评分法对提交最后报价的供应商的响应文件和最后报价进行综合评分。</w:t>
      </w:r>
    </w:p>
    <w:p>
      <w:pPr>
        <w:pStyle w:val="5"/>
        <w:numPr>
          <w:ilvl w:val="1"/>
          <w:numId w:val="21"/>
        </w:numPr>
        <w:wordWrap/>
        <w:adjustRightInd w:val="0"/>
        <w:snapToGrid w:val="0"/>
        <w:rPr>
          <w:sz w:val="21"/>
        </w:rPr>
      </w:pPr>
      <w:bookmarkStart w:id="605" w:name="_Toc18705"/>
      <w:bookmarkStart w:id="606" w:name="_Toc1221"/>
      <w:bookmarkStart w:id="607" w:name="_Toc24391"/>
      <w:bookmarkStart w:id="608" w:name="_Toc10132"/>
      <w:bookmarkStart w:id="609" w:name="_Toc12089"/>
      <w:bookmarkStart w:id="610" w:name="_Toc13336"/>
      <w:bookmarkStart w:id="611" w:name="_Toc8285"/>
      <w:bookmarkStart w:id="612" w:name="_Toc22449"/>
      <w:bookmarkStart w:id="613" w:name="_Toc18430"/>
      <w:bookmarkStart w:id="614" w:name="_Toc26213"/>
      <w:bookmarkStart w:id="615" w:name="_Toc30428"/>
      <w:r>
        <w:rPr>
          <w:rFonts w:hint="eastAsia"/>
          <w:sz w:val="21"/>
        </w:rPr>
        <w:t>详细评审</w:t>
      </w:r>
      <w:bookmarkEnd w:id="605"/>
      <w:bookmarkEnd w:id="606"/>
      <w:bookmarkEnd w:id="607"/>
      <w:bookmarkEnd w:id="608"/>
      <w:bookmarkEnd w:id="609"/>
      <w:bookmarkEnd w:id="610"/>
      <w:bookmarkEnd w:id="611"/>
      <w:bookmarkEnd w:id="612"/>
      <w:bookmarkEnd w:id="613"/>
      <w:bookmarkEnd w:id="614"/>
      <w:bookmarkEnd w:id="615"/>
    </w:p>
    <w:p>
      <w:pPr>
        <w:numPr>
          <w:ilvl w:val="2"/>
          <w:numId w:val="25"/>
        </w:numPr>
        <w:wordWrap/>
        <w:topLinePunct w:val="0"/>
        <w:autoSpaceDE w:val="0"/>
        <w:autoSpaceDN w:val="0"/>
        <w:adjustRightInd w:val="0"/>
        <w:snapToGrid w:val="0"/>
        <w:spacing w:line="360" w:lineRule="auto"/>
        <w:ind w:right="142"/>
        <w:jc w:val="left"/>
        <w:rPr>
          <w:bCs/>
          <w:kern w:val="0"/>
        </w:rPr>
      </w:pPr>
      <w:r>
        <w:rPr>
          <w:rFonts w:hint="eastAsia"/>
          <w:bCs/>
          <w:kern w:val="0"/>
        </w:rPr>
        <w:t>磋商小组按本章评审方法规定的量化因素和分值进行打分，并计算出综合得分。</w:t>
      </w:r>
    </w:p>
    <w:p>
      <w:pPr>
        <w:numPr>
          <w:ilvl w:val="0"/>
          <w:numId w:val="26"/>
        </w:numPr>
        <w:wordWrap/>
        <w:topLinePunct w:val="0"/>
        <w:autoSpaceDE w:val="0"/>
        <w:autoSpaceDN w:val="0"/>
        <w:adjustRightInd w:val="0"/>
        <w:snapToGrid w:val="0"/>
        <w:spacing w:line="360" w:lineRule="auto"/>
        <w:ind w:left="0" w:right="40" w:firstLine="420" w:firstLineChars="200"/>
        <w:jc w:val="left"/>
        <w:rPr>
          <w:kern w:val="0"/>
        </w:rPr>
      </w:pPr>
      <w:r>
        <w:rPr>
          <w:rFonts w:hint="eastAsia"/>
          <w:kern w:val="0"/>
        </w:rPr>
        <w:t>按本章第2.2.2（1）目规定的评审因素和分值对报价得分计算出得分A；</w:t>
      </w:r>
    </w:p>
    <w:p>
      <w:pPr>
        <w:numPr>
          <w:ilvl w:val="0"/>
          <w:numId w:val="26"/>
        </w:numPr>
        <w:wordWrap/>
        <w:topLinePunct w:val="0"/>
        <w:autoSpaceDE w:val="0"/>
        <w:autoSpaceDN w:val="0"/>
        <w:adjustRightInd w:val="0"/>
        <w:snapToGrid w:val="0"/>
        <w:spacing w:line="360" w:lineRule="auto"/>
        <w:ind w:left="0" w:right="40" w:firstLine="420" w:firstLineChars="200"/>
        <w:jc w:val="left"/>
        <w:rPr>
          <w:kern w:val="0"/>
        </w:rPr>
      </w:pPr>
      <w:r>
        <w:rPr>
          <w:rFonts w:hint="eastAsia"/>
          <w:kern w:val="0"/>
        </w:rPr>
        <w:t>按本章第2.2.2（2）目规定的评审因素和分值对技术部分计算出得分B；</w:t>
      </w:r>
    </w:p>
    <w:p>
      <w:pPr>
        <w:numPr>
          <w:ilvl w:val="0"/>
          <w:numId w:val="26"/>
        </w:numPr>
        <w:wordWrap/>
        <w:topLinePunct w:val="0"/>
        <w:autoSpaceDE w:val="0"/>
        <w:autoSpaceDN w:val="0"/>
        <w:adjustRightInd w:val="0"/>
        <w:snapToGrid w:val="0"/>
        <w:spacing w:line="360" w:lineRule="auto"/>
        <w:ind w:left="0" w:right="40" w:firstLine="420" w:firstLineChars="200"/>
        <w:jc w:val="left"/>
        <w:rPr>
          <w:kern w:val="0"/>
        </w:rPr>
      </w:pPr>
      <w:r>
        <w:rPr>
          <w:rFonts w:hint="eastAsia"/>
          <w:kern w:val="0"/>
        </w:rPr>
        <w:t>按本章第2.2.2（3）目规定的评审因素和分值对综合实力计算出得分C。</w:t>
      </w:r>
    </w:p>
    <w:p>
      <w:pPr>
        <w:numPr>
          <w:ilvl w:val="2"/>
          <w:numId w:val="25"/>
        </w:numPr>
        <w:wordWrap/>
        <w:topLinePunct w:val="0"/>
        <w:autoSpaceDE w:val="0"/>
        <w:autoSpaceDN w:val="0"/>
        <w:adjustRightInd w:val="0"/>
        <w:snapToGrid w:val="0"/>
        <w:spacing w:line="360" w:lineRule="auto"/>
        <w:ind w:right="142"/>
        <w:jc w:val="left"/>
        <w:rPr>
          <w:bCs/>
          <w:kern w:val="0"/>
        </w:rPr>
      </w:pPr>
      <w:r>
        <w:rPr>
          <w:rFonts w:hint="eastAsia"/>
          <w:bCs/>
          <w:kern w:val="0"/>
        </w:rPr>
        <w:t>评分分值计算保留小数点后两位，小数点后第三位“四舍五入”。</w:t>
      </w:r>
    </w:p>
    <w:p>
      <w:pPr>
        <w:numPr>
          <w:ilvl w:val="2"/>
          <w:numId w:val="25"/>
        </w:numPr>
        <w:wordWrap/>
        <w:topLinePunct w:val="0"/>
        <w:autoSpaceDE w:val="0"/>
        <w:autoSpaceDN w:val="0"/>
        <w:adjustRightInd w:val="0"/>
        <w:snapToGrid w:val="0"/>
        <w:spacing w:line="360" w:lineRule="auto"/>
        <w:ind w:right="142"/>
        <w:jc w:val="left"/>
        <w:rPr>
          <w:bCs/>
          <w:kern w:val="0"/>
        </w:rPr>
      </w:pPr>
      <w:r>
        <w:rPr>
          <w:rFonts w:hint="eastAsia"/>
          <w:bCs/>
          <w:kern w:val="0"/>
        </w:rPr>
        <w:t>供应商得分=A+B+C。</w:t>
      </w:r>
    </w:p>
    <w:p>
      <w:pPr>
        <w:numPr>
          <w:ilvl w:val="2"/>
          <w:numId w:val="25"/>
        </w:numPr>
        <w:wordWrap/>
        <w:topLinePunct w:val="0"/>
        <w:autoSpaceDE w:val="0"/>
        <w:autoSpaceDN w:val="0"/>
        <w:adjustRightInd w:val="0"/>
        <w:snapToGrid w:val="0"/>
        <w:spacing w:line="360" w:lineRule="auto"/>
        <w:ind w:right="142"/>
        <w:jc w:val="left"/>
        <w:rPr>
          <w:bCs/>
          <w:kern w:val="0"/>
        </w:rPr>
      </w:pPr>
      <w:r>
        <w:rPr>
          <w:rFonts w:hint="eastAsia"/>
          <w:bCs/>
          <w:kern w:val="0"/>
        </w:rPr>
        <w:t>磋商小组认为供应商的最后报价明显低于成本价的，有可能影响产品质量或者不能诚信履约的，应当要求其在评审现场合理的时间内提供说明，必要时提交相关证明材料；供应商不能证明其报价合理性的，磋商小组应当将其作为无效投标处理。</w:t>
      </w:r>
    </w:p>
    <w:p>
      <w:pPr>
        <w:pStyle w:val="5"/>
        <w:numPr>
          <w:ilvl w:val="1"/>
          <w:numId w:val="21"/>
        </w:numPr>
        <w:wordWrap/>
        <w:adjustRightInd w:val="0"/>
        <w:snapToGrid w:val="0"/>
        <w:rPr>
          <w:sz w:val="21"/>
        </w:rPr>
      </w:pPr>
      <w:r>
        <w:rPr>
          <w:rFonts w:hint="eastAsia"/>
          <w:sz w:val="21"/>
        </w:rPr>
        <w:t>评审结果</w:t>
      </w:r>
    </w:p>
    <w:p>
      <w:pPr>
        <w:wordWrap/>
        <w:topLinePunct w:val="0"/>
        <w:autoSpaceDE w:val="0"/>
        <w:autoSpaceDN w:val="0"/>
        <w:adjustRightInd w:val="0"/>
        <w:snapToGrid w:val="0"/>
        <w:spacing w:line="360" w:lineRule="auto"/>
        <w:ind w:left="425" w:right="142"/>
        <w:jc w:val="left"/>
        <w:rPr>
          <w:bCs/>
          <w:kern w:val="0"/>
        </w:rPr>
      </w:pPr>
      <w:r>
        <w:rPr>
          <w:rFonts w:hint="eastAsia"/>
          <w:bCs/>
          <w:kern w:val="0"/>
        </w:rPr>
        <w:t>3.4.1除采购人授权直接确定成交人外，按照评审得分由高到低顺序推荐3名成交候选供应商评审得分相同的，按照最后报价由低到高的顺序推荐。评审得分且最后报价相同的并列。</w:t>
      </w:r>
    </w:p>
    <w:p>
      <w:pPr>
        <w:wordWrap/>
        <w:topLinePunct w:val="0"/>
        <w:autoSpaceDE w:val="0"/>
        <w:autoSpaceDN w:val="0"/>
        <w:adjustRightInd w:val="0"/>
        <w:snapToGrid w:val="0"/>
        <w:spacing w:line="360" w:lineRule="auto"/>
        <w:ind w:left="425" w:right="142"/>
        <w:jc w:val="left"/>
        <w:rPr>
          <w:bCs/>
          <w:kern w:val="0"/>
        </w:rPr>
      </w:pPr>
      <w:r>
        <w:rPr>
          <w:rFonts w:hint="eastAsia"/>
          <w:bCs/>
          <w:kern w:val="0"/>
        </w:rPr>
        <w:t>3.4.2磋商小组完成评审后，应当向采购人提交书面评审报告和成交候选人名单并编写评审报告。</w:t>
      </w:r>
    </w:p>
    <w:p>
      <w:pPr>
        <w:pStyle w:val="25"/>
        <w:spacing w:line="360" w:lineRule="auto"/>
        <w:ind w:left="0" w:leftChars="0" w:firstLine="422"/>
        <w:rPr>
          <w:rFonts w:ascii="宋体" w:hAnsi="宋体" w:cs="宋体"/>
          <w:b/>
          <w:kern w:val="0"/>
        </w:rPr>
      </w:pPr>
    </w:p>
    <w:p>
      <w:pPr>
        <w:pStyle w:val="25"/>
        <w:spacing w:line="360" w:lineRule="auto"/>
        <w:ind w:left="0" w:leftChars="0" w:firstLine="422"/>
        <w:rPr>
          <w:rFonts w:ascii="宋体" w:hAnsi="宋体" w:cs="宋体"/>
          <w:b/>
          <w:kern w:val="0"/>
        </w:rPr>
      </w:pPr>
      <w:r>
        <w:rPr>
          <w:rFonts w:hint="eastAsia" w:ascii="宋体" w:hAnsi="宋体" w:cs="宋体"/>
          <w:b/>
          <w:kern w:val="0"/>
        </w:rPr>
        <w:t>备注：政策性加分的相关说明：</w:t>
      </w:r>
    </w:p>
    <w:p>
      <w:pPr>
        <w:pStyle w:val="25"/>
        <w:spacing w:line="360" w:lineRule="auto"/>
        <w:rPr>
          <w:rFonts w:ascii="宋体" w:hAnsi="宋体" w:cs="宋体"/>
          <w:bCs/>
          <w:kern w:val="0"/>
        </w:rPr>
      </w:pPr>
      <w:r>
        <w:rPr>
          <w:rFonts w:hint="eastAsia" w:ascii="宋体" w:hAnsi="宋体" w:cs="宋体"/>
          <w:bCs/>
          <w:kern w:val="0"/>
        </w:rPr>
        <w:t>按&lt;关于印发《政府采购促进中小企业发展管理办法》的通知&gt;（财库〔2022〕22号）之规定，享受本办法规定的中小企业扶持政策：</w:t>
      </w:r>
    </w:p>
    <w:p>
      <w:pPr>
        <w:pStyle w:val="25"/>
        <w:spacing w:line="360" w:lineRule="auto"/>
        <w:rPr>
          <w:rFonts w:ascii="宋体" w:hAnsi="宋体" w:cs="宋体"/>
          <w:bCs/>
          <w:kern w:val="0"/>
        </w:rPr>
      </w:pPr>
      <w:r>
        <w:rPr>
          <w:rFonts w:hint="eastAsia" w:ascii="宋体" w:hAnsi="宋体" w:cs="宋体"/>
          <w:bCs/>
          <w:kern w:val="0"/>
        </w:rPr>
        <w:t xml:space="preserve">（一）在货物采购项目中，货物由中小企业制造，即货物由中小企业生产且使用该中小企业商号或者注册商标； </w:t>
      </w:r>
    </w:p>
    <w:p>
      <w:pPr>
        <w:pStyle w:val="25"/>
        <w:spacing w:line="360" w:lineRule="auto"/>
        <w:rPr>
          <w:rFonts w:ascii="宋体" w:hAnsi="宋体" w:cs="宋体"/>
          <w:bCs/>
          <w:kern w:val="0"/>
        </w:rPr>
      </w:pPr>
      <w:r>
        <w:rPr>
          <w:rFonts w:hint="eastAsia" w:ascii="宋体" w:hAnsi="宋体" w:cs="宋体"/>
          <w:bCs/>
          <w:kern w:val="0"/>
        </w:rPr>
        <w:t xml:space="preserve">（二）在工程采购项目中，工程由中小企业承建，即工程施工单位为中小企业； </w:t>
      </w:r>
    </w:p>
    <w:p>
      <w:pPr>
        <w:pStyle w:val="25"/>
        <w:spacing w:line="360" w:lineRule="auto"/>
        <w:rPr>
          <w:rFonts w:ascii="宋体" w:hAnsi="宋体" w:cs="宋体"/>
          <w:bCs/>
          <w:kern w:val="0"/>
        </w:rPr>
      </w:pPr>
      <w:r>
        <w:rPr>
          <w:rFonts w:hint="eastAsia" w:ascii="宋体" w:hAnsi="宋体" w:cs="宋体"/>
          <w:bCs/>
          <w:kern w:val="0"/>
        </w:rPr>
        <w:t xml:space="preserve">（三）在服务采购项目中，服务由中小企业承接，即提供服务的人员为中小企业依照《中华人民共和国劳动合同法》订立劳动合同的从业人员。 </w:t>
      </w:r>
    </w:p>
    <w:p>
      <w:pPr>
        <w:pStyle w:val="25"/>
        <w:spacing w:line="360" w:lineRule="auto"/>
        <w:rPr>
          <w:rFonts w:ascii="宋体" w:hAnsi="宋体" w:cs="宋体"/>
          <w:bCs/>
          <w:kern w:val="0"/>
        </w:rPr>
      </w:pPr>
      <w:r>
        <w:rPr>
          <w:rFonts w:hint="eastAsia" w:ascii="宋体" w:hAnsi="宋体" w:cs="宋体"/>
          <w:bCs/>
          <w:kern w:val="0"/>
        </w:rPr>
        <w:t xml:space="preserve">在货物采购项目中，供应商提供的货物既有中小企业制造货物，也有大型企业制造货物的，不享受本办法规定的中小企业扶持政策。 </w:t>
      </w:r>
    </w:p>
    <w:p>
      <w:pPr>
        <w:pStyle w:val="25"/>
        <w:spacing w:line="360" w:lineRule="auto"/>
        <w:rPr>
          <w:rFonts w:ascii="宋体" w:hAnsi="宋体" w:cs="宋体"/>
          <w:bCs/>
          <w:kern w:val="0"/>
        </w:rPr>
      </w:pPr>
      <w:r>
        <w:rPr>
          <w:rFonts w:hint="eastAsia" w:ascii="宋体" w:hAnsi="宋体" w:cs="宋体"/>
          <w:bCs/>
          <w:kern w:val="0"/>
        </w:rPr>
        <w:t xml:space="preserve">以联合体形式参加政府采购活动，联合体各方均为中小企业的，联合体视同中小企业。其中，联合体各方均为小微企业的，联合体视同小微企业。 </w:t>
      </w:r>
    </w:p>
    <w:p>
      <w:pPr>
        <w:pStyle w:val="25"/>
        <w:spacing w:line="360" w:lineRule="auto"/>
        <w:rPr>
          <w:rFonts w:ascii="宋体" w:hAnsi="宋体" w:cs="宋体"/>
          <w:bCs/>
          <w:kern w:val="0"/>
        </w:rPr>
      </w:pPr>
      <w:r>
        <w:rPr>
          <w:rFonts w:hint="eastAsia" w:ascii="宋体" w:hAnsi="宋体" w:cs="宋体"/>
          <w:bCs/>
          <w:kern w:val="0"/>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5"/>
        <w:spacing w:line="360" w:lineRule="auto"/>
        <w:rPr>
          <w:rFonts w:ascii="宋体" w:hAnsi="宋体" w:cs="宋体"/>
          <w:bCs/>
          <w:kern w:val="0"/>
        </w:rPr>
      </w:pPr>
      <w:r>
        <w:rPr>
          <w:rFonts w:hint="eastAsia" w:ascii="宋体" w:hAnsi="宋体" w:cs="宋体"/>
          <w:bCs/>
          <w:kern w:val="0"/>
        </w:rPr>
        <w:t>具体加分说明：</w:t>
      </w:r>
    </w:p>
    <w:p>
      <w:pPr>
        <w:pStyle w:val="25"/>
        <w:spacing w:line="360" w:lineRule="auto"/>
        <w:rPr>
          <w:rFonts w:ascii="宋体" w:hAnsi="宋体" w:cs="宋体"/>
          <w:bCs/>
          <w:kern w:val="0"/>
        </w:rPr>
      </w:pPr>
      <w:r>
        <w:rPr>
          <w:rFonts w:hint="eastAsia" w:ascii="宋体" w:hAnsi="宋体" w:cs="宋体"/>
          <w:bCs/>
          <w:kern w:val="0"/>
        </w:rPr>
        <w:t xml:space="preserve">采购人、采购代理机构应当对符合本办法规定的小微企业报价给予 10%的扣除，用扣除后的价格参加评审。适用招标投标法的政府采购工程建设项目，采用综合评估法但未采用低价优先法计算价格分的，评标时应当在采用原报价进行评分的基础上增加其价格得分的6%作为其价格分。 </w:t>
      </w:r>
    </w:p>
    <w:p>
      <w:pPr>
        <w:pStyle w:val="25"/>
        <w:spacing w:line="360" w:lineRule="auto"/>
        <w:rPr>
          <w:rFonts w:ascii="宋体" w:hAnsi="宋体" w:cs="宋体"/>
          <w:bCs/>
          <w:kern w:val="0"/>
        </w:rPr>
      </w:pPr>
      <w:r>
        <w:rPr>
          <w:rFonts w:hint="eastAsia" w:ascii="宋体" w:hAnsi="宋体" w:cs="宋体"/>
          <w:bCs/>
          <w:kern w:val="0"/>
        </w:rPr>
        <w:t>证明材料：</w:t>
      </w:r>
    </w:p>
    <w:p>
      <w:pPr>
        <w:pStyle w:val="25"/>
        <w:spacing w:line="360" w:lineRule="auto"/>
        <w:rPr>
          <w:rFonts w:ascii="宋体" w:hAnsi="宋体" w:cs="宋体"/>
          <w:bCs/>
          <w:kern w:val="0"/>
        </w:rPr>
      </w:pPr>
      <w:r>
        <w:rPr>
          <w:rFonts w:hint="eastAsia" w:ascii="宋体" w:hAnsi="宋体" w:cs="宋体"/>
          <w:bCs/>
          <w:kern w:val="0"/>
        </w:rPr>
        <w:t>中小企业参加政府采购活动，应当出具本办法规定的《中小企业声明函》，否则不得享受相关中小企业扶持政策。</w:t>
      </w:r>
    </w:p>
    <w:p>
      <w:pPr>
        <w:pStyle w:val="25"/>
        <w:spacing w:line="360" w:lineRule="auto"/>
        <w:ind w:firstLine="482"/>
        <w:rPr>
          <w:rFonts w:ascii="宋体" w:hAnsi="宋体"/>
          <w:b/>
          <w:sz w:val="24"/>
          <w:szCs w:val="24"/>
        </w:rPr>
      </w:pPr>
    </w:p>
    <w:p>
      <w:pPr>
        <w:pStyle w:val="25"/>
        <w:spacing w:line="360" w:lineRule="auto"/>
        <w:ind w:firstLine="482"/>
        <w:rPr>
          <w:rFonts w:ascii="宋体" w:hAnsi="宋体"/>
          <w:b/>
          <w:sz w:val="24"/>
          <w:szCs w:val="24"/>
        </w:rPr>
      </w:pPr>
    </w:p>
    <w:p>
      <w:pPr>
        <w:widowControl/>
        <w:wordWrap/>
        <w:topLinePunct w:val="0"/>
        <w:jc w:val="left"/>
        <w:rPr>
          <w:b/>
          <w:sz w:val="32"/>
          <w:szCs w:val="32"/>
        </w:rPr>
      </w:pPr>
      <w:bookmarkStart w:id="616" w:name="_Toc72694688"/>
      <w:bookmarkStart w:id="617" w:name="_Toc28722"/>
      <w:r>
        <w:rPr>
          <w:b/>
          <w:sz w:val="32"/>
          <w:szCs w:val="32"/>
        </w:rPr>
        <w:br w:type="page"/>
      </w:r>
    </w:p>
    <w:p>
      <w:pPr>
        <w:tabs>
          <w:tab w:val="left" w:pos="993"/>
        </w:tabs>
        <w:jc w:val="center"/>
        <w:outlineLvl w:val="0"/>
        <w:rPr>
          <w:rStyle w:val="37"/>
        </w:rPr>
      </w:pPr>
      <w:bookmarkStart w:id="618" w:name="_Toc9654"/>
      <w:r>
        <w:rPr>
          <w:rFonts w:hint="eastAsia"/>
          <w:b/>
          <w:sz w:val="32"/>
          <w:szCs w:val="32"/>
        </w:rPr>
        <w:t>第四章  合同</w:t>
      </w:r>
      <w:bookmarkEnd w:id="616"/>
      <w:bookmarkEnd w:id="617"/>
      <w:bookmarkEnd w:id="618"/>
    </w:p>
    <w:p>
      <w:pPr>
        <w:pStyle w:val="2"/>
        <w:jc w:val="center"/>
        <w:rPr>
          <w:rStyle w:val="37"/>
        </w:rPr>
      </w:pPr>
    </w:p>
    <w:p>
      <w:pPr>
        <w:pStyle w:val="2"/>
        <w:jc w:val="center"/>
        <w:rPr>
          <w:rStyle w:val="37"/>
          <w:sz w:val="28"/>
          <w:szCs w:val="28"/>
        </w:rPr>
      </w:pPr>
      <w:r>
        <w:rPr>
          <w:rStyle w:val="37"/>
          <w:rFonts w:hint="eastAsia"/>
          <w:sz w:val="28"/>
          <w:szCs w:val="28"/>
        </w:rPr>
        <w:t>格式仅供参考</w:t>
      </w:r>
    </w:p>
    <w:p>
      <w:pPr>
        <w:pStyle w:val="3"/>
        <w:ind w:firstLine="2800" w:firstLineChars="1000"/>
      </w:pPr>
      <w:r>
        <w:rPr>
          <w:rFonts w:hint="eastAsia"/>
        </w:rPr>
        <w:t>（最终以采购人签订合同为准）</w:t>
      </w:r>
    </w:p>
    <w:p>
      <w:pPr>
        <w:pStyle w:val="3"/>
        <w:rPr>
          <w:color w:val="auto"/>
        </w:rPr>
      </w:pPr>
    </w:p>
    <w:p>
      <w:pPr>
        <w:spacing w:line="360" w:lineRule="auto"/>
      </w:pPr>
      <w:r>
        <w:rPr>
          <w:rFonts w:hint="eastAsia"/>
        </w:rPr>
        <w:t>委托方（甲方）：</w:t>
      </w:r>
    </w:p>
    <w:p>
      <w:pPr>
        <w:spacing w:line="360" w:lineRule="auto"/>
      </w:pPr>
      <w:r>
        <w:rPr>
          <w:rFonts w:hint="eastAsia"/>
        </w:rPr>
        <w:t>受托方（乙方）：</w:t>
      </w:r>
    </w:p>
    <w:p>
      <w:pPr>
        <w:spacing w:line="360" w:lineRule="auto"/>
      </w:pPr>
      <w:r>
        <w:rPr>
          <w:rFonts w:hint="eastAsia"/>
        </w:rPr>
        <w:t> </w:t>
      </w:r>
    </w:p>
    <w:p>
      <w:pPr>
        <w:spacing w:line="360" w:lineRule="auto"/>
        <w:ind w:firstLine="420" w:firstLineChars="200"/>
      </w:pPr>
      <w:r>
        <w:rPr>
          <w:rFonts w:hint="eastAsia"/>
        </w:rPr>
        <w:t>甲乙双方本着平等自愿、互利有偿、诚实守信的原则，根据中国相关法律法规的规定，经友好协商一致，甲方聘请乙方进行咨询服务，有关事项达成如下条款，以共同遵守执行：</w:t>
      </w:r>
    </w:p>
    <w:p>
      <w:pPr>
        <w:spacing w:line="360" w:lineRule="auto"/>
        <w:ind w:firstLine="420" w:firstLineChars="200"/>
      </w:pPr>
      <w:r>
        <w:rPr>
          <w:rFonts w:hint="eastAsia"/>
        </w:rPr>
        <w:t>第一条 咨询服务内容：                                           。</w:t>
      </w:r>
    </w:p>
    <w:p>
      <w:pPr>
        <w:spacing w:line="360" w:lineRule="auto"/>
        <w:ind w:firstLine="420" w:firstLineChars="200"/>
      </w:pPr>
      <w:r>
        <w:rPr>
          <w:rFonts w:hint="eastAsia"/>
        </w:rPr>
        <w:t>第二条 服务期限：    年  月  日至  年  月  日。</w:t>
      </w:r>
    </w:p>
    <w:p>
      <w:pPr>
        <w:spacing w:line="360" w:lineRule="auto"/>
        <w:ind w:firstLine="420" w:firstLineChars="200"/>
      </w:pPr>
      <w:r>
        <w:rPr>
          <w:rFonts w:hint="eastAsia"/>
        </w:rPr>
        <w:t>第三条 甲乙双方的权利与义务</w:t>
      </w:r>
    </w:p>
    <w:p>
      <w:pPr>
        <w:spacing w:line="360" w:lineRule="auto"/>
      </w:pPr>
      <w:r>
        <w:rPr>
          <w:rFonts w:hint="eastAsia"/>
        </w:rPr>
        <w:t>（一）甲方的权利和义务</w:t>
      </w:r>
    </w:p>
    <w:p>
      <w:pPr>
        <w:spacing w:line="360" w:lineRule="auto"/>
        <w:ind w:firstLine="420" w:firstLineChars="200"/>
      </w:pPr>
      <w:r>
        <w:rPr>
          <w:rFonts w:hint="eastAsia"/>
        </w:rPr>
        <w:t>1．甲方有权向乙方询问工作进展情况及相关的内容，有权阐述对具体问题的意见和建议；</w:t>
      </w:r>
    </w:p>
    <w:p>
      <w:pPr>
        <w:spacing w:line="360" w:lineRule="auto"/>
        <w:ind w:firstLine="420" w:firstLineChars="200"/>
      </w:pPr>
      <w:r>
        <w:rPr>
          <w:rFonts w:hint="eastAsia"/>
        </w:rPr>
        <w:t>2．对乙方提供的咨询服务建议或报告有审议、修改及最终决策的权利；</w:t>
      </w:r>
    </w:p>
    <w:p>
      <w:pPr>
        <w:spacing w:line="360" w:lineRule="auto"/>
        <w:ind w:firstLine="420" w:firstLineChars="200"/>
      </w:pPr>
      <w:r>
        <w:rPr>
          <w:rFonts w:hint="eastAsia"/>
        </w:rPr>
        <w:t>3．若乙方专业人员不按咨询服务合同履行其职责，有权要求更换乙方专业人员，直至终止合同；</w:t>
      </w:r>
    </w:p>
    <w:p>
      <w:pPr>
        <w:spacing w:line="360" w:lineRule="auto"/>
        <w:ind w:firstLine="420" w:firstLineChars="200"/>
      </w:pPr>
      <w:r>
        <w:rPr>
          <w:rFonts w:hint="eastAsia"/>
        </w:rPr>
        <w:t>4．配合乙方工作，向乙方提供相关资料，并保证所提供资料真实、准确、完整、有效；</w:t>
      </w:r>
    </w:p>
    <w:p>
      <w:pPr>
        <w:spacing w:line="360" w:lineRule="auto"/>
        <w:ind w:firstLine="420" w:firstLineChars="200"/>
      </w:pPr>
      <w:r>
        <w:rPr>
          <w:rFonts w:hint="eastAsia"/>
        </w:rPr>
        <w:t>5．甲方应配合乙方现场访谈、勘察等事宜，并提供相关工作便利；</w:t>
      </w:r>
    </w:p>
    <w:p>
      <w:pPr>
        <w:spacing w:line="360" w:lineRule="auto"/>
        <w:ind w:firstLine="420" w:firstLineChars="200"/>
      </w:pPr>
      <w:r>
        <w:rPr>
          <w:rFonts w:hint="eastAsia"/>
        </w:rPr>
        <w:t>6．甲方应承担保密义务，未经乙方许可，甲方不得向第三方提供（包括但不限于披露、转载等）乙方提交给甲方的任何材料、文件、和乙方网站所提供的资料，及其上述材料、文件、资料所包含的任何信息；</w:t>
      </w:r>
    </w:p>
    <w:p>
      <w:pPr>
        <w:spacing w:line="360" w:lineRule="auto"/>
        <w:ind w:firstLine="420" w:firstLineChars="200"/>
      </w:pPr>
      <w:r>
        <w:rPr>
          <w:rFonts w:hint="eastAsia"/>
        </w:rPr>
        <w:t>7．依据本合同规定，向乙方支付咨询服务费用 。</w:t>
      </w:r>
    </w:p>
    <w:p>
      <w:pPr>
        <w:spacing w:line="360" w:lineRule="auto"/>
      </w:pPr>
      <w:r>
        <w:rPr>
          <w:rFonts w:hint="eastAsia"/>
        </w:rPr>
        <w:t>（二）乙方的权利和义务</w:t>
      </w:r>
    </w:p>
    <w:p>
      <w:pPr>
        <w:spacing w:line="360" w:lineRule="auto"/>
        <w:ind w:firstLine="420" w:firstLineChars="200"/>
      </w:pPr>
      <w:r>
        <w:rPr>
          <w:rFonts w:hint="eastAsia"/>
        </w:rPr>
        <w:t>1．乙方在提供咨询服务过程中有权要求甲方提供所需的资料；</w:t>
      </w:r>
    </w:p>
    <w:p>
      <w:pPr>
        <w:spacing w:line="360" w:lineRule="auto"/>
        <w:ind w:firstLine="420" w:firstLineChars="200"/>
      </w:pPr>
      <w:r>
        <w:rPr>
          <w:rFonts w:hint="eastAsia"/>
        </w:rPr>
        <w:t>2．乙方在提供咨询服务过程中有到现场访谈、勘察的权利；</w:t>
      </w:r>
    </w:p>
    <w:p>
      <w:pPr>
        <w:spacing w:line="360" w:lineRule="auto"/>
        <w:ind w:firstLine="420" w:firstLineChars="200"/>
      </w:pPr>
      <w:r>
        <w:rPr>
          <w:rFonts w:hint="eastAsia"/>
        </w:rPr>
        <w:t>3．乙方在提供咨询服务过程中有权对第三人提出的与本服务相关的问题进行核对和查问；</w:t>
      </w:r>
    </w:p>
    <w:p>
      <w:pPr>
        <w:spacing w:line="360" w:lineRule="auto"/>
        <w:ind w:firstLine="420" w:firstLineChars="200"/>
      </w:pPr>
      <w:r>
        <w:rPr>
          <w:rFonts w:hint="eastAsia"/>
        </w:rPr>
        <w:t>4．乙方在我国现行法律、政策允许的范围内，遵循诚实、勤勉、尽职的原则，按合同约定为甲方提供咨询服务；</w:t>
      </w:r>
    </w:p>
    <w:p>
      <w:pPr>
        <w:spacing w:line="360" w:lineRule="auto"/>
        <w:ind w:firstLine="420" w:firstLineChars="200"/>
      </w:pPr>
      <w:r>
        <w:rPr>
          <w:rFonts w:hint="eastAsia"/>
        </w:rPr>
        <w:t>5．服务形式根据甲方需要而定，乙方可以为甲方提供书面的咨询服务方案、建议、报告、信息服务等，也可以为甲方提供现场咨询服务等形式的咨询服务；</w:t>
      </w:r>
    </w:p>
    <w:p>
      <w:pPr>
        <w:spacing w:line="360" w:lineRule="auto"/>
        <w:ind w:firstLine="420" w:firstLineChars="200"/>
      </w:pPr>
      <w:r>
        <w:rPr>
          <w:rFonts w:hint="eastAsia"/>
        </w:rPr>
        <w:t>6．依据本合同约定，向甲方收取咨询服务费用；</w:t>
      </w:r>
    </w:p>
    <w:p>
      <w:pPr>
        <w:spacing w:line="360" w:lineRule="auto"/>
        <w:ind w:firstLine="420" w:firstLineChars="200"/>
      </w:pPr>
      <w:r>
        <w:rPr>
          <w:rFonts w:hint="eastAsia"/>
        </w:rPr>
        <w:t>7．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有限公司总行及其分支机构进行披露。</w:t>
      </w:r>
    </w:p>
    <w:p>
      <w:pPr>
        <w:spacing w:line="360" w:lineRule="auto"/>
      </w:pPr>
      <w:r>
        <w:rPr>
          <w:rFonts w:hint="eastAsia"/>
        </w:rPr>
        <w:t>第四条 咨询服务费用</w:t>
      </w:r>
    </w:p>
    <w:p>
      <w:pPr>
        <w:spacing w:line="360" w:lineRule="auto"/>
        <w:ind w:firstLine="420" w:firstLineChars="200"/>
      </w:pPr>
      <w:r>
        <w:rPr>
          <w:rFonts w:hint="eastAsia"/>
        </w:rPr>
        <w:t xml:space="preserve">本合同项下咨询服务费用为人民币      元（大写金额：人民币      ）。支付方式如下：       </w:t>
      </w:r>
    </w:p>
    <w:p>
      <w:pPr>
        <w:spacing w:line="360" w:lineRule="auto"/>
        <w:ind w:firstLine="420" w:firstLineChars="200"/>
      </w:pPr>
      <w:r>
        <w:rPr>
          <w:rFonts w:hint="eastAsia"/>
        </w:rPr>
        <w:t>付款方式：</w:t>
      </w:r>
    </w:p>
    <w:p>
      <w:pPr>
        <w:spacing w:line="360" w:lineRule="auto"/>
      </w:pPr>
      <w:r>
        <w:rPr>
          <w:rFonts w:hint="eastAsia"/>
        </w:rPr>
        <w:t>以采购人签订合同为准</w:t>
      </w:r>
    </w:p>
    <w:p>
      <w:pPr>
        <w:spacing w:line="360" w:lineRule="auto"/>
        <w:ind w:firstLine="420" w:firstLineChars="200"/>
      </w:pPr>
      <w:r>
        <w:rPr>
          <w:rFonts w:hint="eastAsia"/>
        </w:rPr>
        <w:t>咨询服务费用应付至乙方以下账户：</w:t>
      </w:r>
    </w:p>
    <w:p>
      <w:pPr>
        <w:spacing w:line="360" w:lineRule="auto"/>
        <w:ind w:firstLine="420" w:firstLineChars="200"/>
      </w:pPr>
      <w:r>
        <w:rPr>
          <w:rFonts w:hint="eastAsia"/>
        </w:rPr>
        <w:t>乙方收款账户信息如下：</w:t>
      </w:r>
    </w:p>
    <w:p>
      <w:pPr>
        <w:spacing w:line="360" w:lineRule="auto"/>
      </w:pPr>
      <w:r>
        <w:rPr>
          <w:rFonts w:hint="eastAsia"/>
        </w:rPr>
        <w:t>户  名：</w:t>
      </w:r>
    </w:p>
    <w:p>
      <w:pPr>
        <w:spacing w:line="360" w:lineRule="auto"/>
      </w:pPr>
      <w:r>
        <w:rPr>
          <w:rFonts w:hint="eastAsia"/>
        </w:rPr>
        <w:t>账  号：</w:t>
      </w:r>
    </w:p>
    <w:p>
      <w:pPr>
        <w:spacing w:line="360" w:lineRule="auto"/>
      </w:pPr>
      <w:r>
        <w:rPr>
          <w:rFonts w:hint="eastAsia"/>
        </w:rPr>
        <w:t>开户行：</w:t>
      </w:r>
    </w:p>
    <w:p>
      <w:pPr>
        <w:spacing w:line="360" w:lineRule="auto"/>
      </w:pPr>
      <w:r>
        <w:rPr>
          <w:rFonts w:hint="eastAsia"/>
        </w:rPr>
        <w:t>第五条 违约责任</w:t>
      </w:r>
    </w:p>
    <w:p>
      <w:pPr>
        <w:spacing w:line="360" w:lineRule="auto"/>
        <w:ind w:firstLine="420" w:firstLineChars="200"/>
      </w:pPr>
      <w:r>
        <w:rPr>
          <w:rFonts w:hint="eastAsia"/>
        </w:rPr>
        <w:t>甲方应按约定支付咨询服务费用的，否则乙方有权中止服务。</w:t>
      </w:r>
    </w:p>
    <w:p>
      <w:pPr>
        <w:spacing w:line="360" w:lineRule="auto"/>
      </w:pPr>
      <w:r>
        <w:rPr>
          <w:rFonts w:hint="eastAsia"/>
        </w:rPr>
        <w:t>第六条  免责条款</w:t>
      </w:r>
    </w:p>
    <w:p>
      <w:pPr>
        <w:spacing w:line="360" w:lineRule="auto"/>
        <w:ind w:firstLine="420" w:firstLineChars="200"/>
      </w:pPr>
      <w:r>
        <w:rPr>
          <w:rFonts w:hint="eastAsia"/>
        </w:rPr>
        <w:t>如因甲方原因，造成甲方无法接收或不能正常接收乙方发送的咨询服务方案、建议、报告、信息服务等书面材料，乙方不承担责任；由于国家政策变化原因或不可抗力所造成的问题，乙方不承担责任。</w:t>
      </w:r>
    </w:p>
    <w:p>
      <w:pPr>
        <w:spacing w:line="360" w:lineRule="auto"/>
      </w:pPr>
      <w:r>
        <w:rPr>
          <w:rFonts w:hint="eastAsia"/>
        </w:rPr>
        <w:t>第七条  合同效力与变更</w:t>
      </w:r>
    </w:p>
    <w:p>
      <w:pPr>
        <w:spacing w:line="360" w:lineRule="auto"/>
        <w:ind w:firstLine="420" w:firstLineChars="200"/>
      </w:pPr>
      <w:r>
        <w:rPr>
          <w:rFonts w:hint="eastAsia"/>
        </w:rPr>
        <w:t>（一）本合同生效后，除双方另行商定并达成书面协议或本合同另有约定或法律规定的原因外，任何一方不得单方解除本合同；</w:t>
      </w:r>
    </w:p>
    <w:p>
      <w:pPr>
        <w:spacing w:line="360" w:lineRule="auto"/>
        <w:ind w:firstLine="420" w:firstLineChars="200"/>
      </w:pPr>
      <w:r>
        <w:rPr>
          <w:rFonts w:hint="eastAsia"/>
        </w:rPr>
        <w:t>（二）本合同的变更，除双方另有约定外，均需双方共同协商同意并以书面方式做出；</w:t>
      </w:r>
    </w:p>
    <w:p>
      <w:pPr>
        <w:spacing w:line="360" w:lineRule="auto"/>
        <w:ind w:firstLine="420" w:firstLineChars="200"/>
      </w:pPr>
      <w:r>
        <w:rPr>
          <w:rFonts w:hint="eastAsia"/>
        </w:rPr>
        <w:t>（三）本合同未尽事宜，由双方另行协商并达成一致后，可以签订补充协议。补充协议是本合同的有效组成部分，与本合同具有同等法律效力。如补充协议的约定与本合同不一致的，则以补充协议为准。</w:t>
      </w:r>
    </w:p>
    <w:p>
      <w:pPr>
        <w:spacing w:line="360" w:lineRule="auto"/>
      </w:pPr>
      <w:r>
        <w:rPr>
          <w:rFonts w:hint="eastAsia"/>
        </w:rPr>
        <w:t>第八条  声明条款</w:t>
      </w:r>
    </w:p>
    <w:p>
      <w:pPr>
        <w:spacing w:line="360" w:lineRule="auto"/>
        <w:ind w:firstLine="420" w:firstLineChars="200"/>
      </w:pPr>
      <w:r>
        <w:rPr>
          <w:rFonts w:hint="eastAsia"/>
        </w:rPr>
        <w:t>（一）甲乙双方已阅读本合同所有条款，对本合同条款的含义及相应的法律后果已全部通晓并充分理解；</w:t>
      </w:r>
    </w:p>
    <w:p>
      <w:pPr>
        <w:spacing w:line="360" w:lineRule="auto"/>
        <w:ind w:firstLine="420" w:firstLineChars="200"/>
      </w:pPr>
      <w:r>
        <w:rPr>
          <w:rFonts w:hint="eastAsia"/>
        </w:rPr>
        <w:t>（二）乙方仅从专业的角度向甲方提供有关建议或咨询，提供的所有信息资料仅供甲方参考；甲方对乙方提供的咨询服务建议进行独立判断,独立决策，并自行承担由此产生的风险；</w:t>
      </w:r>
    </w:p>
    <w:p>
      <w:pPr>
        <w:spacing w:line="360" w:lineRule="auto"/>
        <w:ind w:firstLine="420" w:firstLineChars="200"/>
      </w:pPr>
      <w:r>
        <w:rPr>
          <w:rFonts w:hint="eastAsia"/>
        </w:rPr>
        <w:t>（三）乙方向甲方提供咨询服务中有关融资方面的建议或意见，不代表乙方向甲方提供的融资承诺；</w:t>
      </w:r>
    </w:p>
    <w:p>
      <w:pPr>
        <w:spacing w:line="360" w:lineRule="auto"/>
      </w:pPr>
      <w:r>
        <w:rPr>
          <w:rFonts w:hint="eastAsia"/>
        </w:rPr>
        <w:t>第九条  争议处理</w:t>
      </w:r>
    </w:p>
    <w:p>
      <w:pPr>
        <w:spacing w:line="360" w:lineRule="auto"/>
        <w:ind w:firstLine="420" w:firstLineChars="200"/>
      </w:pPr>
      <w:r>
        <w:rPr>
          <w:rFonts w:hint="eastAsia"/>
        </w:rPr>
        <w:t>双方在履行本合同的过程中若发生纠纷,应通过友好协商解决。协商不一致的，按以下第（一）种方式解决：</w:t>
      </w:r>
    </w:p>
    <w:p>
      <w:pPr>
        <w:spacing w:line="360" w:lineRule="auto"/>
        <w:ind w:firstLine="420" w:firstLineChars="200"/>
      </w:pPr>
      <w:r>
        <w:rPr>
          <w:rFonts w:hint="eastAsia"/>
        </w:rPr>
        <w:t>（一）向乙方住所地人民法院起诉；</w:t>
      </w:r>
    </w:p>
    <w:p>
      <w:pPr>
        <w:spacing w:line="360" w:lineRule="auto"/>
        <w:ind w:firstLine="420" w:firstLineChars="200"/>
      </w:pPr>
      <w:r>
        <w:rPr>
          <w:rFonts w:hint="eastAsia"/>
        </w:rPr>
        <w:t>（二）提交           仲裁委员会（仲裁地点为       ）,按照申请仲裁时该会现行有效的仲裁规则进行仲裁。仲裁裁决是终局的，对双方均有约束力。</w:t>
      </w:r>
    </w:p>
    <w:p>
      <w:pPr>
        <w:spacing w:line="360" w:lineRule="auto"/>
      </w:pPr>
      <w:r>
        <w:rPr>
          <w:rFonts w:hint="eastAsia"/>
        </w:rPr>
        <w:t>在诉讼或仲裁期间，本合同不涉及争议部分的条款仍须履行。</w:t>
      </w:r>
    </w:p>
    <w:p>
      <w:pPr>
        <w:spacing w:line="360" w:lineRule="auto"/>
      </w:pPr>
      <w:r>
        <w:rPr>
          <w:rFonts w:hint="eastAsia"/>
        </w:rPr>
        <w:t>第十条  附则</w:t>
      </w:r>
    </w:p>
    <w:p>
      <w:pPr>
        <w:spacing w:line="360" w:lineRule="auto"/>
        <w:ind w:firstLine="420" w:firstLineChars="200"/>
      </w:pPr>
      <w:r>
        <w:rPr>
          <w:rFonts w:hint="eastAsia"/>
        </w:rPr>
        <w:t>1.本合同经甲方法定代表人（负责人）或授权代理人签字并加盖公章，及乙方负责人或授权代理人签字并加盖公章后生效。</w:t>
      </w:r>
    </w:p>
    <w:p>
      <w:pPr>
        <w:spacing w:line="360" w:lineRule="auto"/>
        <w:ind w:firstLine="420" w:firstLineChars="200"/>
      </w:pPr>
      <w:r>
        <w:rPr>
          <w:rFonts w:hint="eastAsia"/>
        </w:rPr>
        <w:t>2.本合同壹式    份，具有同等法律效力。</w:t>
      </w:r>
    </w:p>
    <w:p>
      <w:pPr>
        <w:spacing w:line="360" w:lineRule="auto"/>
      </w:pPr>
      <w:r>
        <w:rPr>
          <w:rFonts w:hint="eastAsia"/>
        </w:rPr>
        <w:t> </w:t>
      </w:r>
    </w:p>
    <w:p>
      <w:pPr>
        <w:spacing w:line="360" w:lineRule="auto"/>
        <w:ind w:firstLine="420" w:firstLineChars="200"/>
      </w:pPr>
      <w:r>
        <w:rPr>
          <w:rFonts w:hint="eastAsia"/>
        </w:rPr>
        <w:t>（签字页，无正文）</w:t>
      </w:r>
    </w:p>
    <w:p>
      <w:pPr>
        <w:spacing w:line="360" w:lineRule="auto"/>
      </w:pPr>
      <w:r>
        <w:rPr>
          <w:rFonts w:hint="eastAsia"/>
        </w:rPr>
        <w:t> </w:t>
      </w:r>
    </w:p>
    <w:p>
      <w:pPr>
        <w:spacing w:line="360" w:lineRule="auto"/>
      </w:pPr>
      <w:r>
        <w:rPr>
          <w:rFonts w:hint="eastAsia"/>
        </w:rPr>
        <w:t>甲方：                            乙方：</w:t>
      </w:r>
    </w:p>
    <w:p>
      <w:pPr>
        <w:spacing w:line="360" w:lineRule="auto"/>
      </w:pPr>
      <w:r>
        <w:rPr>
          <w:rFonts w:hint="eastAsia"/>
        </w:rPr>
        <w:t> </w:t>
      </w:r>
    </w:p>
    <w:p>
      <w:pPr>
        <w:spacing w:line="360" w:lineRule="auto"/>
      </w:pPr>
      <w:r>
        <w:rPr>
          <w:rFonts w:hint="eastAsia"/>
        </w:rPr>
        <w:t> </w:t>
      </w:r>
    </w:p>
    <w:p>
      <w:pPr>
        <w:spacing w:line="360" w:lineRule="auto"/>
      </w:pPr>
      <w:r>
        <w:rPr>
          <w:rFonts w:hint="eastAsia"/>
        </w:rPr>
        <w:t>负责人（签字/盖章）                     负责人（签字/盖章）</w:t>
      </w:r>
    </w:p>
    <w:p>
      <w:pPr>
        <w:spacing w:line="360" w:lineRule="auto"/>
      </w:pPr>
      <w:r>
        <w:rPr>
          <w:rFonts w:hint="eastAsia"/>
        </w:rPr>
        <w:t> </w:t>
      </w:r>
    </w:p>
    <w:p>
      <w:pPr>
        <w:spacing w:line="360" w:lineRule="auto"/>
      </w:pPr>
      <w:r>
        <w:rPr>
          <w:rFonts w:hint="eastAsia"/>
        </w:rPr>
        <w:t> </w:t>
      </w:r>
    </w:p>
    <w:p>
      <w:pPr>
        <w:spacing w:line="360" w:lineRule="auto"/>
      </w:pPr>
      <w:r>
        <w:rPr>
          <w:rFonts w:hint="eastAsia"/>
        </w:rPr>
        <w:t>日期：    年    月    日                       日期：    年    月    日  </w:t>
      </w:r>
    </w:p>
    <w:p>
      <w:pPr>
        <w:pStyle w:val="25"/>
        <w:spacing w:line="360" w:lineRule="auto"/>
        <w:ind w:firstLine="482"/>
        <w:rPr>
          <w:rFonts w:ascii="宋体" w:hAnsi="宋体"/>
          <w:b/>
          <w:sz w:val="24"/>
          <w:szCs w:val="24"/>
        </w:rPr>
      </w:pPr>
    </w:p>
    <w:p>
      <w:pPr>
        <w:pStyle w:val="25"/>
        <w:spacing w:line="360" w:lineRule="auto"/>
        <w:ind w:firstLine="482"/>
        <w:rPr>
          <w:rFonts w:ascii="宋体" w:hAnsi="宋体"/>
          <w:b/>
          <w:sz w:val="24"/>
          <w:szCs w:val="24"/>
        </w:rPr>
      </w:pPr>
    </w:p>
    <w:p>
      <w:pPr>
        <w:pStyle w:val="25"/>
        <w:spacing w:line="360" w:lineRule="auto"/>
        <w:ind w:firstLine="482"/>
        <w:rPr>
          <w:rFonts w:ascii="宋体" w:hAnsi="宋体"/>
          <w:b/>
          <w:sz w:val="24"/>
          <w:szCs w:val="24"/>
        </w:rPr>
      </w:pPr>
    </w:p>
    <w:p>
      <w:pPr>
        <w:widowControl/>
        <w:wordWrap/>
        <w:topLinePunct w:val="0"/>
        <w:jc w:val="left"/>
        <w:rPr>
          <w:rFonts w:cs="Times New Roman"/>
          <w:b/>
          <w:sz w:val="24"/>
          <w:szCs w:val="24"/>
        </w:rPr>
      </w:pPr>
      <w:r>
        <w:rPr>
          <w:b/>
          <w:sz w:val="24"/>
          <w:szCs w:val="24"/>
        </w:rPr>
        <w:br w:type="page"/>
      </w:r>
      <w:bookmarkStart w:id="619" w:name="_Toc22360"/>
    </w:p>
    <w:p>
      <w:pPr>
        <w:jc w:val="center"/>
        <w:outlineLvl w:val="0"/>
        <w:rPr>
          <w:b/>
          <w:sz w:val="30"/>
          <w:szCs w:val="30"/>
        </w:rPr>
      </w:pPr>
      <w:bookmarkStart w:id="620" w:name="_Toc939"/>
      <w:r>
        <w:rPr>
          <w:rFonts w:hint="eastAsia"/>
          <w:b/>
          <w:sz w:val="32"/>
          <w:szCs w:val="32"/>
        </w:rPr>
        <w:t xml:space="preserve">第五章  </w:t>
      </w:r>
      <w:bookmarkEnd w:id="619"/>
      <w:r>
        <w:rPr>
          <w:rFonts w:hint="eastAsia"/>
          <w:b/>
          <w:sz w:val="32"/>
          <w:szCs w:val="32"/>
        </w:rPr>
        <w:t>采购内容及要求</w:t>
      </w:r>
      <w:bookmarkEnd w:id="620"/>
    </w:p>
    <w:p>
      <w:pPr>
        <w:pStyle w:val="49"/>
        <w:spacing w:line="360" w:lineRule="auto"/>
        <w:ind w:firstLine="422"/>
        <w:outlineLvl w:val="0"/>
        <w:rPr>
          <w:rFonts w:asciiTheme="majorEastAsia" w:hAnsiTheme="majorEastAsia" w:eastAsiaTheme="majorEastAsia"/>
          <w:b/>
          <w:bCs/>
        </w:rPr>
      </w:pPr>
      <w:bookmarkStart w:id="621" w:name="_Toc12052"/>
      <w:bookmarkStart w:id="622" w:name="_Toc72694689"/>
      <w:r>
        <w:rPr>
          <w:rFonts w:asciiTheme="majorEastAsia" w:hAnsiTheme="majorEastAsia" w:eastAsiaTheme="majorEastAsia"/>
          <w:b/>
          <w:bCs/>
        </w:rPr>
        <w:t>一、项目概况</w:t>
      </w:r>
    </w:p>
    <w:p>
      <w:pPr>
        <w:pStyle w:val="49"/>
        <w:spacing w:line="360" w:lineRule="auto"/>
        <w:outlineLvl w:val="0"/>
        <w:rPr>
          <w:rFonts w:cs="楷体_GB2312" w:asciiTheme="majorEastAsia" w:hAnsiTheme="majorEastAsia" w:eastAsiaTheme="majorEastAsia"/>
        </w:rPr>
      </w:pPr>
      <w:r>
        <w:rPr>
          <w:rFonts w:hint="eastAsia" w:cs="楷体_GB2312" w:asciiTheme="majorEastAsia" w:hAnsiTheme="majorEastAsia" w:eastAsiaTheme="majorEastAsia"/>
        </w:rPr>
        <w:t>（一）项目名称</w:t>
      </w:r>
    </w:p>
    <w:p>
      <w:pPr>
        <w:pStyle w:val="49"/>
        <w:spacing w:line="360" w:lineRule="auto"/>
        <w:outlineLvl w:val="0"/>
        <w:rPr>
          <w:rFonts w:asciiTheme="majorEastAsia" w:hAnsiTheme="majorEastAsia" w:eastAsiaTheme="majorEastAsia"/>
        </w:rPr>
      </w:pPr>
      <w:r>
        <w:rPr>
          <w:rFonts w:hint="eastAsia" w:asciiTheme="majorEastAsia" w:hAnsiTheme="majorEastAsia" w:eastAsiaTheme="majorEastAsia"/>
        </w:rPr>
        <w:t>自治州流域生态环境保护类EOD技术咨询服务项目</w:t>
      </w:r>
    </w:p>
    <w:p>
      <w:pPr>
        <w:pStyle w:val="49"/>
        <w:spacing w:line="360" w:lineRule="auto"/>
        <w:outlineLvl w:val="0"/>
        <w:rPr>
          <w:rFonts w:cs="楷体_GB2312" w:asciiTheme="majorEastAsia" w:hAnsiTheme="majorEastAsia" w:eastAsiaTheme="majorEastAsia"/>
        </w:rPr>
      </w:pPr>
      <w:r>
        <w:rPr>
          <w:rFonts w:hint="eastAsia" w:cs="楷体_GB2312" w:asciiTheme="majorEastAsia" w:hAnsiTheme="majorEastAsia" w:eastAsiaTheme="majorEastAsia"/>
        </w:rPr>
        <w:t>（二）采购预算</w:t>
      </w:r>
    </w:p>
    <w:p>
      <w:pPr>
        <w:spacing w:line="360" w:lineRule="auto"/>
        <w:ind w:firstLine="420" w:firstLineChars="200"/>
        <w:outlineLvl w:val="0"/>
        <w:rPr>
          <w:rFonts w:asciiTheme="majorEastAsia" w:hAnsiTheme="majorEastAsia" w:eastAsiaTheme="majorEastAsia"/>
        </w:rPr>
      </w:pPr>
      <w:r>
        <w:rPr>
          <w:rFonts w:asciiTheme="majorEastAsia" w:hAnsiTheme="majorEastAsia" w:eastAsiaTheme="majorEastAsia"/>
        </w:rPr>
        <w:t>190万元</w:t>
      </w:r>
    </w:p>
    <w:p>
      <w:pPr>
        <w:pStyle w:val="49"/>
        <w:spacing w:line="360" w:lineRule="auto"/>
        <w:outlineLvl w:val="0"/>
        <w:rPr>
          <w:rFonts w:cs="楷体_GB2312" w:asciiTheme="majorEastAsia" w:hAnsiTheme="majorEastAsia" w:eastAsiaTheme="majorEastAsia"/>
        </w:rPr>
      </w:pPr>
      <w:r>
        <w:rPr>
          <w:rFonts w:hint="eastAsia" w:cs="楷体_GB2312" w:asciiTheme="majorEastAsia" w:hAnsiTheme="majorEastAsia" w:eastAsiaTheme="majorEastAsia"/>
        </w:rPr>
        <w:t>（三）资金来源</w:t>
      </w:r>
    </w:p>
    <w:p>
      <w:pPr>
        <w:spacing w:line="360" w:lineRule="auto"/>
        <w:ind w:firstLine="420" w:firstLineChars="200"/>
        <w:outlineLvl w:val="0"/>
        <w:rPr>
          <w:rFonts w:asciiTheme="majorEastAsia" w:hAnsiTheme="majorEastAsia" w:eastAsiaTheme="majorEastAsia"/>
        </w:rPr>
      </w:pPr>
      <w:r>
        <w:rPr>
          <w:rFonts w:hint="eastAsia" w:asciiTheme="majorEastAsia" w:hAnsiTheme="majorEastAsia" w:eastAsiaTheme="majorEastAsia"/>
        </w:rPr>
        <w:t>财政拨付</w:t>
      </w:r>
    </w:p>
    <w:p>
      <w:pPr>
        <w:pStyle w:val="49"/>
        <w:spacing w:line="360" w:lineRule="auto"/>
        <w:outlineLvl w:val="0"/>
        <w:rPr>
          <w:rFonts w:cs="楷体_GB2312" w:asciiTheme="majorEastAsia" w:hAnsiTheme="majorEastAsia" w:eastAsiaTheme="majorEastAsia"/>
        </w:rPr>
      </w:pPr>
      <w:r>
        <w:rPr>
          <w:rFonts w:hint="eastAsia" w:cs="楷体_GB2312" w:asciiTheme="majorEastAsia" w:hAnsiTheme="majorEastAsia" w:eastAsiaTheme="majorEastAsia"/>
        </w:rPr>
        <w:t>（四）期限（服务期）</w:t>
      </w:r>
    </w:p>
    <w:bookmarkEnd w:id="621"/>
    <w:bookmarkEnd w:id="622"/>
    <w:p>
      <w:pPr>
        <w:spacing w:line="500" w:lineRule="exact"/>
        <w:ind w:firstLine="420" w:firstLineChars="200"/>
        <w:jc w:val="left"/>
        <w:outlineLvl w:val="0"/>
        <w:rPr>
          <w:rFonts w:asciiTheme="majorEastAsia" w:hAnsiTheme="majorEastAsia" w:eastAsiaTheme="majorEastAsia"/>
        </w:rPr>
      </w:pPr>
      <w:bookmarkStart w:id="623" w:name="_Toc11677"/>
      <w:bookmarkStart w:id="624" w:name="_Toc15878"/>
      <w:bookmarkStart w:id="625" w:name="_Toc15058_WPSOffice_Level1"/>
      <w:bookmarkStart w:id="626" w:name="_Toc72694691"/>
      <w:bookmarkStart w:id="627" w:name="_Toc3615"/>
      <w:r>
        <w:rPr>
          <w:rFonts w:asciiTheme="majorEastAsia" w:hAnsiTheme="majorEastAsia" w:eastAsiaTheme="majorEastAsia"/>
        </w:rPr>
        <w:t>第一阶段：</w:t>
      </w:r>
      <w:r>
        <w:rPr>
          <w:rFonts w:hint="eastAsia" w:asciiTheme="majorEastAsia" w:hAnsiTheme="majorEastAsia" w:eastAsiaTheme="majorEastAsia"/>
        </w:rPr>
        <w:t>合同签订后</w:t>
      </w:r>
      <w:r>
        <w:rPr>
          <w:rFonts w:asciiTheme="majorEastAsia" w:hAnsiTheme="majorEastAsia" w:eastAsiaTheme="majorEastAsia"/>
        </w:rPr>
        <w:t>10个工作日内，依据政府提供的规划和项目等基础资料，完成EOD项目库的梳理整合工作，完成现场调查及相关调研工作。</w:t>
      </w:r>
    </w:p>
    <w:p>
      <w:pPr>
        <w:spacing w:line="500" w:lineRule="exact"/>
        <w:ind w:firstLine="420" w:firstLineChars="200"/>
        <w:jc w:val="left"/>
        <w:outlineLvl w:val="0"/>
        <w:rPr>
          <w:rFonts w:asciiTheme="majorEastAsia" w:hAnsiTheme="majorEastAsia" w:eastAsiaTheme="majorEastAsia"/>
        </w:rPr>
      </w:pPr>
      <w:r>
        <w:rPr>
          <w:rFonts w:hint="eastAsia" w:asciiTheme="majorEastAsia" w:hAnsiTheme="majorEastAsia" w:eastAsiaTheme="majorEastAsia"/>
        </w:rPr>
        <w:t>第二阶段：依据政府提供前期基础资料后</w:t>
      </w:r>
      <w:r>
        <w:rPr>
          <w:rFonts w:asciiTheme="majorEastAsia" w:hAnsiTheme="majorEastAsia" w:eastAsiaTheme="majorEastAsia"/>
        </w:rPr>
        <w:t>30个工作日内，完成《昌吉州生态环境导向的开发(EOD)模式试点初步实施方案》报告。</w:t>
      </w:r>
    </w:p>
    <w:p>
      <w:pPr>
        <w:spacing w:line="500" w:lineRule="exact"/>
        <w:ind w:firstLine="420" w:firstLineChars="200"/>
        <w:jc w:val="left"/>
        <w:outlineLvl w:val="0"/>
        <w:rPr>
          <w:rFonts w:asciiTheme="majorEastAsia" w:hAnsiTheme="majorEastAsia" w:eastAsiaTheme="majorEastAsia"/>
        </w:rPr>
      </w:pPr>
      <w:r>
        <w:rPr>
          <w:rFonts w:hint="eastAsia" w:asciiTheme="majorEastAsia" w:hAnsiTheme="majorEastAsia" w:eastAsiaTheme="majorEastAsia"/>
        </w:rPr>
        <w:t>第三阶段：</w:t>
      </w:r>
      <w:r>
        <w:rPr>
          <w:rFonts w:asciiTheme="majorEastAsia" w:hAnsiTheme="majorEastAsia" w:eastAsiaTheme="majorEastAsia"/>
        </w:rPr>
        <w:t>2023年4月30日前，配合完成自治区生态环境厅组织的专家论证评估。</w:t>
      </w:r>
    </w:p>
    <w:p>
      <w:pPr>
        <w:spacing w:line="500" w:lineRule="exact"/>
        <w:ind w:firstLine="420" w:firstLineChars="200"/>
        <w:jc w:val="left"/>
        <w:outlineLvl w:val="0"/>
        <w:rPr>
          <w:rFonts w:cs="楷体_GB2312" w:asciiTheme="majorEastAsia" w:hAnsiTheme="majorEastAsia" w:eastAsiaTheme="majorEastAsia"/>
        </w:rPr>
      </w:pPr>
      <w:r>
        <w:rPr>
          <w:rFonts w:hint="eastAsia" w:asciiTheme="majorEastAsia" w:hAnsiTheme="majorEastAsia" w:eastAsiaTheme="majorEastAsia"/>
        </w:rPr>
        <w:t>第四阶段：</w:t>
      </w:r>
      <w:r>
        <w:rPr>
          <w:rFonts w:asciiTheme="majorEastAsia" w:hAnsiTheme="majorEastAsia" w:eastAsiaTheme="majorEastAsia"/>
        </w:rPr>
        <w:t>2023年5月10日前，配合完成昌吉州生态环境流域水环境导向的开发(EOD)模式试点项目入库。</w:t>
      </w:r>
    </w:p>
    <w:p>
      <w:pPr>
        <w:spacing w:line="500" w:lineRule="exact"/>
        <w:ind w:firstLine="420" w:firstLineChars="200"/>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（五）</w:t>
      </w:r>
      <w:r>
        <w:rPr>
          <w:rFonts w:cs="楷体_GB2312" w:asciiTheme="majorEastAsia" w:hAnsiTheme="majorEastAsia" w:eastAsiaTheme="majorEastAsia"/>
        </w:rPr>
        <w:t>项目验收</w:t>
      </w:r>
    </w:p>
    <w:p>
      <w:pPr>
        <w:spacing w:line="500" w:lineRule="exact"/>
        <w:ind w:firstLine="420" w:firstLineChars="200"/>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项目成功入库即为项目通过验收。</w:t>
      </w:r>
    </w:p>
    <w:p>
      <w:pPr>
        <w:spacing w:line="500" w:lineRule="exact"/>
        <w:ind w:firstLine="422" w:firstLineChars="200"/>
        <w:jc w:val="left"/>
        <w:outlineLvl w:val="0"/>
        <w:rPr>
          <w:rFonts w:asciiTheme="majorEastAsia" w:hAnsiTheme="majorEastAsia" w:eastAsiaTheme="majorEastAsia"/>
          <w:b/>
          <w:bCs/>
        </w:rPr>
      </w:pPr>
      <w:r>
        <w:rPr>
          <w:rFonts w:hint="eastAsia" w:asciiTheme="majorEastAsia" w:hAnsiTheme="majorEastAsia" w:eastAsiaTheme="majorEastAsia"/>
          <w:b/>
          <w:bCs/>
        </w:rPr>
        <w:t>二、工作依据</w:t>
      </w:r>
    </w:p>
    <w:p>
      <w:pPr>
        <w:spacing w:line="500" w:lineRule="exact"/>
        <w:ind w:firstLine="420" w:firstLineChars="200"/>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按照生态环境部办公厅《生态环保金融支持项目储备库入库指南（试行）》（环办科财〔</w:t>
      </w:r>
      <w:r>
        <w:rPr>
          <w:rFonts w:cs="楷体_GB2312" w:asciiTheme="majorEastAsia" w:hAnsiTheme="majorEastAsia" w:eastAsiaTheme="majorEastAsia"/>
        </w:rPr>
        <w:t>2022〕6号）要求，编制《昌吉州流域生态环境治理EOD项目实施方案》；同时，根据生态环境部办公厅《生态环保金融支持项目储备库入库指南（试行）》（环办科财〔2022〕6号）梳理申报项目清单。</w:t>
      </w:r>
    </w:p>
    <w:p>
      <w:pPr>
        <w:spacing w:line="500" w:lineRule="exact"/>
        <w:ind w:firstLine="422" w:firstLineChars="200"/>
        <w:jc w:val="left"/>
        <w:outlineLvl w:val="0"/>
        <w:rPr>
          <w:rFonts w:asciiTheme="majorEastAsia" w:hAnsiTheme="majorEastAsia" w:eastAsiaTheme="majorEastAsia"/>
          <w:b/>
          <w:bCs/>
        </w:rPr>
      </w:pPr>
      <w:r>
        <w:rPr>
          <w:rFonts w:hint="eastAsia" w:asciiTheme="majorEastAsia" w:hAnsiTheme="majorEastAsia" w:eastAsiaTheme="majorEastAsia"/>
          <w:b/>
          <w:bCs/>
        </w:rPr>
        <w:t>三、工作内容</w:t>
      </w:r>
    </w:p>
    <w:p>
      <w:pPr>
        <w:spacing w:line="500" w:lineRule="exact"/>
        <w:ind w:firstLine="420" w:firstLineChars="200"/>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按照按照生态环境部办公厅《生态环保金融支持项目储备库入库指南（试行）》（环办科财〔</w:t>
      </w:r>
      <w:r>
        <w:rPr>
          <w:rFonts w:cs="楷体_GB2312" w:asciiTheme="majorEastAsia" w:hAnsiTheme="majorEastAsia" w:eastAsiaTheme="majorEastAsia"/>
        </w:rPr>
        <w:t>2022〕6号）要求，编制昌吉州流域生态环境治理EOD项目实施方案》。主要工作内容包括：</w:t>
      </w:r>
    </w:p>
    <w:p>
      <w:pPr>
        <w:spacing w:line="500" w:lineRule="exact"/>
        <w:ind w:firstLine="420" w:firstLineChars="200"/>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（一）开展昌吉州基础条件及生态环境现状调研</w:t>
      </w:r>
    </w:p>
    <w:p>
      <w:pPr>
        <w:spacing w:line="500" w:lineRule="exact"/>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开展项目所在区域范围与区位交通、自然地理条件、人口状况、经济发展状况、财政收支状况、主导产业发展状况以及基础设施等基本情况踏勘与分析；特别对项目区域范围的生态环境现状进行调研分析。</w:t>
      </w:r>
    </w:p>
    <w:p>
      <w:pPr>
        <w:spacing w:line="500" w:lineRule="exact"/>
        <w:ind w:firstLine="420" w:firstLineChars="200"/>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（二）分析昌吉州流域水环境存在问题，梳理环境治理工作</w:t>
      </w:r>
    </w:p>
    <w:p>
      <w:pPr>
        <w:spacing w:line="500" w:lineRule="exact"/>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从昌吉州流域生态环境中亟需保护、修复和治理的现状入手，指出流域环境保护现状方面存在的问题；结合国家、自治区战略要求，以本项目区域规划或可研、远景目标建议及年度重点实施方案等为基础资料，以区域投融资政策文件、投融资模式等为资金基础，对昌吉州流域环境治理工作进行系统性梳理，确定流域生态环境治理的主线。</w:t>
      </w:r>
    </w:p>
    <w:p>
      <w:pPr>
        <w:spacing w:line="500" w:lineRule="exact"/>
        <w:ind w:firstLine="420" w:firstLineChars="200"/>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（三）敲定昌吉州流域生态环境治理</w:t>
      </w:r>
      <w:r>
        <w:rPr>
          <w:rFonts w:cs="楷体_GB2312" w:asciiTheme="majorEastAsia" w:hAnsiTheme="majorEastAsia" w:eastAsiaTheme="majorEastAsia"/>
        </w:rPr>
        <w:t>EOD项目实施方案工作目标及预期产出</w:t>
      </w:r>
    </w:p>
    <w:p>
      <w:pPr>
        <w:spacing w:line="500" w:lineRule="exact"/>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以习近平新时代中国特色社会主义思想为指导思想，深入贯彻习近平生态文明思想，全面贯彻党的十九大和十九届历次全会精神；项目工作目标以改善生态环境、带动关联产业融合发展、以区域综合开发为载体、反哺生态环境投入为工作目标；采取产业链延伸、联合经营、组合开发等方式，推动生态环境治理项目与关联产业有效融合、统筹推进、一体实施，将生态环境治理带来的经济价值内部化。</w:t>
      </w:r>
    </w:p>
    <w:p>
      <w:pPr>
        <w:spacing w:line="500" w:lineRule="exact"/>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项目预期产出包括环境治理产出和产业开发产出两部分，从生态环境改善、产业升级、区域发展、生态效益和经济效益等方面进行分析论述。</w:t>
      </w:r>
    </w:p>
    <w:p>
      <w:pPr>
        <w:spacing w:line="500" w:lineRule="exact"/>
        <w:ind w:firstLine="420" w:firstLineChars="200"/>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（四）制定昌吉州流域生态环境治理</w:t>
      </w:r>
      <w:r>
        <w:rPr>
          <w:rFonts w:cs="楷体_GB2312" w:asciiTheme="majorEastAsia" w:hAnsiTheme="majorEastAsia" w:eastAsiaTheme="majorEastAsia"/>
        </w:rPr>
        <w:t>EOD项目及组织实施方式</w:t>
      </w:r>
    </w:p>
    <w:p>
      <w:pPr>
        <w:spacing w:line="500" w:lineRule="exact"/>
        <w:ind w:firstLine="420" w:firstLineChars="200"/>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（五）协助完成昌吉州生态环境导向的开发</w:t>
      </w:r>
      <w:r>
        <w:rPr>
          <w:rFonts w:cs="楷体_GB2312" w:asciiTheme="majorEastAsia" w:hAnsiTheme="majorEastAsia" w:eastAsiaTheme="majorEastAsia"/>
        </w:rPr>
        <w:t>(EOD)模式入库申报</w:t>
      </w:r>
    </w:p>
    <w:p>
      <w:pPr>
        <w:spacing w:line="500" w:lineRule="exact"/>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按照生态环境部、发展改革委、国家开发银行三部门联合组织评审时间安排，确定的第三方咨询机构提交《昌吉州生态环境导向的开发</w:t>
      </w:r>
      <w:r>
        <w:rPr>
          <w:rFonts w:cs="楷体_GB2312" w:asciiTheme="majorEastAsia" w:hAnsiTheme="majorEastAsia" w:eastAsiaTheme="majorEastAsia"/>
        </w:rPr>
        <w:t>(EOD)模式试点实施方案》，并配合完成申报答辩，并按照评审意见修改完善申报书完成最终上报稿。</w:t>
      </w:r>
    </w:p>
    <w:p>
      <w:pPr>
        <w:spacing w:line="500" w:lineRule="exact"/>
        <w:ind w:firstLine="422" w:firstLineChars="200"/>
        <w:jc w:val="left"/>
        <w:outlineLvl w:val="0"/>
        <w:rPr>
          <w:rFonts w:asciiTheme="majorEastAsia" w:hAnsiTheme="majorEastAsia" w:eastAsiaTheme="majorEastAsia"/>
          <w:b/>
          <w:bCs/>
        </w:rPr>
      </w:pPr>
      <w:r>
        <w:rPr>
          <w:rFonts w:hint="eastAsia" w:asciiTheme="majorEastAsia" w:hAnsiTheme="majorEastAsia" w:eastAsiaTheme="majorEastAsia"/>
          <w:b/>
          <w:bCs/>
        </w:rPr>
        <w:t>四、工作要求</w:t>
      </w:r>
    </w:p>
    <w:p>
      <w:pPr>
        <w:spacing w:line="500" w:lineRule="exact"/>
        <w:ind w:firstLine="420" w:firstLineChars="200"/>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按照《生态环保金融支持项目储备库入库指南（试行）》（环办科财〔</w:t>
      </w:r>
      <w:r>
        <w:rPr>
          <w:rFonts w:cs="楷体_GB2312" w:asciiTheme="majorEastAsia" w:hAnsiTheme="majorEastAsia" w:eastAsiaTheme="majorEastAsia"/>
        </w:rPr>
        <w:t>2022〕6号）要求，编制《昌吉州流域生态环境保护EOD项目实施方案》。</w:t>
      </w:r>
    </w:p>
    <w:p>
      <w:pPr>
        <w:spacing w:line="500" w:lineRule="exact"/>
        <w:ind w:firstLine="422" w:firstLineChars="200"/>
        <w:jc w:val="left"/>
        <w:outlineLvl w:val="0"/>
        <w:rPr>
          <w:rFonts w:asciiTheme="majorEastAsia" w:hAnsiTheme="majorEastAsia" w:eastAsiaTheme="majorEastAsia"/>
          <w:b/>
          <w:bCs/>
        </w:rPr>
      </w:pPr>
      <w:r>
        <w:rPr>
          <w:rFonts w:hint="eastAsia" w:asciiTheme="majorEastAsia" w:hAnsiTheme="majorEastAsia" w:eastAsiaTheme="majorEastAsia"/>
          <w:b/>
          <w:bCs/>
        </w:rPr>
        <w:t>五、经费预算</w:t>
      </w:r>
    </w:p>
    <w:p>
      <w:pPr>
        <w:spacing w:line="500" w:lineRule="exact"/>
        <w:jc w:val="left"/>
        <w:outlineLvl w:val="0"/>
        <w:rPr>
          <w:rFonts w:cs="楷体_GB2312" w:asciiTheme="majorEastAsia" w:hAnsiTheme="majorEastAsia" w:eastAsiaTheme="majorEastAsia"/>
        </w:rPr>
      </w:pPr>
      <w:r>
        <w:rPr>
          <w:rFonts w:hint="eastAsia" w:cs="楷体_GB2312" w:asciiTheme="majorEastAsia" w:hAnsiTheme="majorEastAsia" w:eastAsiaTheme="majorEastAsia"/>
        </w:rPr>
        <w:t>《生态环保金融支持项目储备库入库指南（试行）》（环办科财〔</w:t>
      </w:r>
      <w:r>
        <w:rPr>
          <w:rFonts w:cs="楷体_GB2312" w:asciiTheme="majorEastAsia" w:hAnsiTheme="majorEastAsia" w:eastAsiaTheme="majorEastAsia"/>
        </w:rPr>
        <w:t>2022〕6号）要求，本项目咨询服务预算共计190万元。</w:t>
      </w:r>
    </w:p>
    <w:p>
      <w:pPr>
        <w:jc w:val="center"/>
        <w:outlineLvl w:val="0"/>
        <w:rPr>
          <w:rFonts w:cs="楷体_GB2312" w:asciiTheme="majorEastAsia" w:hAnsiTheme="majorEastAsia" w:eastAsiaTheme="majorEastAsia"/>
        </w:rPr>
      </w:pPr>
    </w:p>
    <w:p>
      <w:pPr>
        <w:jc w:val="center"/>
        <w:outlineLvl w:val="0"/>
        <w:rPr>
          <w:rFonts w:cs="楷体_GB2312" w:asciiTheme="majorEastAsia" w:hAnsiTheme="majorEastAsia" w:eastAsiaTheme="majorEastAsia"/>
        </w:rPr>
      </w:pPr>
    </w:p>
    <w:p>
      <w:pPr>
        <w:jc w:val="center"/>
        <w:outlineLvl w:val="0"/>
        <w:rPr>
          <w:rFonts w:cs="楷体_GB2312" w:asciiTheme="majorEastAsia" w:hAnsiTheme="majorEastAsia" w:eastAsiaTheme="majorEastAsia"/>
        </w:rPr>
      </w:pPr>
    </w:p>
    <w:p>
      <w:pPr>
        <w:jc w:val="center"/>
        <w:outlineLvl w:val="0"/>
        <w:rPr>
          <w:rFonts w:cs="楷体_GB2312" w:asciiTheme="majorEastAsia" w:hAnsiTheme="majorEastAsia" w:eastAsiaTheme="majorEastAsia"/>
        </w:rPr>
      </w:pPr>
    </w:p>
    <w:p>
      <w:pPr>
        <w:jc w:val="center"/>
        <w:outlineLvl w:val="0"/>
        <w:rPr>
          <w:rFonts w:cs="楷体_GB2312" w:asciiTheme="majorEastAsia" w:hAnsiTheme="majorEastAsia" w:eastAsiaTheme="majorEastAsia"/>
        </w:rPr>
      </w:pPr>
    </w:p>
    <w:p>
      <w:pPr>
        <w:jc w:val="center"/>
        <w:outlineLvl w:val="0"/>
        <w:rPr>
          <w:rFonts w:cs="楷体_GB2312" w:asciiTheme="majorEastAsia" w:hAnsiTheme="majorEastAsia" w:eastAsiaTheme="majorEastAsia"/>
        </w:rPr>
      </w:pPr>
    </w:p>
    <w:p>
      <w:pPr>
        <w:jc w:val="center"/>
        <w:outlineLvl w:val="0"/>
        <w:rPr>
          <w:rFonts w:cs="楷体_GB2312" w:asciiTheme="majorEastAsia" w:hAnsiTheme="majorEastAsia" w:eastAsiaTheme="majorEastAsia"/>
        </w:rPr>
      </w:pPr>
    </w:p>
    <w:p>
      <w:pPr>
        <w:jc w:val="center"/>
        <w:outlineLvl w:val="0"/>
        <w:rPr>
          <w:rFonts w:cs="楷体_GB2312" w:asciiTheme="majorEastAsia" w:hAnsiTheme="majorEastAsia" w:eastAsiaTheme="majorEastAsia"/>
        </w:rPr>
      </w:pPr>
    </w:p>
    <w:p>
      <w:pPr>
        <w:jc w:val="center"/>
        <w:outlineLvl w:val="0"/>
        <w:rPr>
          <w:rFonts w:cs="楷体_GB2312" w:asciiTheme="majorEastAsia" w:hAnsiTheme="majorEastAsia" w:eastAsiaTheme="majorEastAsia"/>
        </w:rPr>
      </w:pPr>
    </w:p>
    <w:p>
      <w:pPr>
        <w:outlineLvl w:val="0"/>
        <w:rPr>
          <w:rFonts w:cs="楷体_GB2312" w:asciiTheme="majorEastAsia" w:hAnsiTheme="majorEastAsia" w:eastAsiaTheme="majorEastAsia"/>
        </w:rPr>
      </w:pPr>
    </w:p>
    <w:p>
      <w:pPr>
        <w:jc w:val="center"/>
        <w:outlineLvl w:val="0"/>
        <w:rPr>
          <w:rFonts w:cs="楷体_GB2312" w:asciiTheme="majorEastAsia" w:hAnsiTheme="majorEastAsia" w:eastAsiaTheme="majorEastAsia"/>
        </w:rPr>
      </w:pPr>
    </w:p>
    <w:p>
      <w:pPr>
        <w:jc w:val="center"/>
        <w:outlineLvl w:val="0"/>
      </w:pPr>
      <w:r>
        <w:rPr>
          <w:rFonts w:hint="eastAsia"/>
          <w:b/>
          <w:sz w:val="32"/>
          <w:szCs w:val="32"/>
        </w:rPr>
        <w:t>第六章  磋商响应文件格式</w:t>
      </w:r>
      <w:bookmarkEnd w:id="623"/>
      <w:bookmarkEnd w:id="624"/>
      <w:bookmarkEnd w:id="625"/>
      <w:bookmarkEnd w:id="626"/>
      <w:bookmarkEnd w:id="627"/>
    </w:p>
    <w:p>
      <w:pPr>
        <w:pStyle w:val="15"/>
        <w:spacing w:before="240" w:beforeLines="100" w:after="240" w:afterLines="100" w:line="360" w:lineRule="auto"/>
        <w:ind w:firstLine="7280" w:firstLineChars="2600"/>
        <w:jc w:val="left"/>
        <w:rPr>
          <w:rFonts w:hAnsi="宋体"/>
          <w:bCs/>
          <w:sz w:val="28"/>
          <w:szCs w:val="28"/>
        </w:rPr>
      </w:pPr>
    </w:p>
    <w:p>
      <w:pPr>
        <w:pStyle w:val="15"/>
        <w:spacing w:before="240" w:beforeLines="100" w:after="240" w:afterLines="100" w:line="360" w:lineRule="auto"/>
        <w:jc w:val="center"/>
        <w:rPr>
          <w:rFonts w:hAnsi="宋体"/>
          <w:b/>
          <w:sz w:val="44"/>
          <w:szCs w:val="44"/>
        </w:rPr>
      </w:pPr>
      <w:bookmarkStart w:id="628" w:name="_Toc7266_WPSOffice_Level1"/>
      <w:bookmarkStart w:id="629" w:name="_Toc2821_WPSOffice_Level1"/>
      <w:bookmarkStart w:id="630" w:name="_Toc31859_WPSOffice_Level1"/>
      <w:r>
        <w:rPr>
          <w:rFonts w:hint="eastAsia" w:hAnsi="宋体"/>
          <w:b/>
          <w:sz w:val="44"/>
          <w:szCs w:val="44"/>
        </w:rPr>
        <w:t>项目竞争性磋商</w:t>
      </w:r>
      <w:bookmarkEnd w:id="628"/>
      <w:bookmarkEnd w:id="629"/>
      <w:bookmarkEnd w:id="630"/>
    </w:p>
    <w:p>
      <w:pPr>
        <w:pStyle w:val="15"/>
        <w:spacing w:before="240" w:beforeLines="100" w:after="240" w:afterLines="100" w:line="360" w:lineRule="auto"/>
        <w:jc w:val="center"/>
        <w:rPr>
          <w:rFonts w:hAnsi="宋体"/>
          <w:b/>
          <w:bCs/>
          <w:sz w:val="84"/>
          <w:szCs w:val="84"/>
        </w:rPr>
      </w:pPr>
      <w:bookmarkStart w:id="631" w:name="_Toc22990_WPSOffice_Level1"/>
      <w:bookmarkStart w:id="632" w:name="_Toc22398_WPSOffice_Level1"/>
      <w:bookmarkStart w:id="633" w:name="_Toc9678_WPSOffice_Level1"/>
      <w:r>
        <w:rPr>
          <w:rFonts w:hint="eastAsia" w:hAnsi="宋体"/>
          <w:b/>
          <w:bCs/>
          <w:sz w:val="84"/>
          <w:szCs w:val="84"/>
        </w:rPr>
        <w:t>响应文件</w:t>
      </w:r>
      <w:bookmarkEnd w:id="631"/>
      <w:bookmarkEnd w:id="632"/>
      <w:bookmarkEnd w:id="633"/>
    </w:p>
    <w:p>
      <w:pPr>
        <w:pStyle w:val="15"/>
        <w:spacing w:before="240" w:beforeLines="100" w:after="240" w:afterLines="100" w:line="360" w:lineRule="auto"/>
        <w:jc w:val="center"/>
        <w:rPr>
          <w:rFonts w:hAnsi="宋体"/>
          <w:b/>
          <w:sz w:val="44"/>
          <w:szCs w:val="44"/>
        </w:rPr>
      </w:pPr>
      <w:r>
        <w:rPr>
          <w:rFonts w:hint="eastAsia" w:hAnsi="宋体"/>
          <w:b/>
          <w:sz w:val="44"/>
          <w:szCs w:val="44"/>
        </w:rPr>
        <w:t>（封面）</w:t>
      </w:r>
    </w:p>
    <w:p>
      <w:pPr>
        <w:pStyle w:val="15"/>
        <w:spacing w:before="240" w:beforeLines="100" w:after="240" w:afterLines="100" w:line="360" w:lineRule="auto"/>
        <w:ind w:firstLine="602" w:firstLineChars="200"/>
        <w:rPr>
          <w:rFonts w:hAnsi="宋体"/>
          <w:b/>
          <w:bCs/>
          <w:sz w:val="30"/>
          <w:szCs w:val="30"/>
        </w:rPr>
      </w:pPr>
      <w:bookmarkStart w:id="634" w:name="_Toc26187_WPSOffice_Level1"/>
      <w:bookmarkStart w:id="635" w:name="_Toc29975_WPSOffice_Level1"/>
      <w:bookmarkStart w:id="636" w:name="_Toc26010_WPSOffice_Level1"/>
    </w:p>
    <w:p>
      <w:pPr>
        <w:pStyle w:val="15"/>
        <w:spacing w:before="240" w:beforeLines="100" w:after="240" w:afterLines="100" w:line="360" w:lineRule="auto"/>
        <w:ind w:firstLine="602" w:firstLineChars="200"/>
        <w:rPr>
          <w:rFonts w:hAnsi="宋体"/>
          <w:b/>
          <w:bCs/>
          <w:sz w:val="30"/>
          <w:szCs w:val="30"/>
        </w:rPr>
      </w:pPr>
    </w:p>
    <w:p>
      <w:pPr>
        <w:pStyle w:val="15"/>
        <w:spacing w:before="240" w:beforeLines="100" w:after="240" w:afterLines="100" w:line="360" w:lineRule="auto"/>
        <w:ind w:firstLine="602" w:firstLineChars="200"/>
        <w:rPr>
          <w:rFonts w:hAnsi="宋体"/>
          <w:b/>
          <w:bCs/>
          <w:sz w:val="30"/>
          <w:szCs w:val="30"/>
        </w:rPr>
      </w:pPr>
    </w:p>
    <w:p>
      <w:pPr>
        <w:pStyle w:val="15"/>
        <w:spacing w:before="240" w:beforeLines="100" w:after="240" w:afterLines="100" w:line="360" w:lineRule="auto"/>
        <w:jc w:val="center"/>
        <w:rPr>
          <w:rFonts w:hAnsi="宋体"/>
          <w:b/>
          <w:bCs/>
          <w:sz w:val="30"/>
          <w:szCs w:val="30"/>
          <w:u w:val="single"/>
        </w:rPr>
      </w:pPr>
      <w:r>
        <w:rPr>
          <w:rFonts w:hint="eastAsia" w:hAnsi="宋体"/>
          <w:b/>
          <w:bCs/>
          <w:sz w:val="30"/>
          <w:szCs w:val="30"/>
        </w:rPr>
        <w:t>项目名称：</w:t>
      </w:r>
      <w:r>
        <w:rPr>
          <w:rFonts w:hAnsi="宋体"/>
          <w:b/>
          <w:bCs/>
          <w:sz w:val="30"/>
          <w:szCs w:val="30"/>
          <w:u w:val="single"/>
        </w:rPr>
        <w:t xml:space="preserve">                                    </w:t>
      </w:r>
    </w:p>
    <w:p>
      <w:pPr>
        <w:pStyle w:val="15"/>
        <w:spacing w:before="240" w:beforeLines="100" w:after="240" w:afterLines="100" w:line="360" w:lineRule="auto"/>
        <w:jc w:val="center"/>
        <w:rPr>
          <w:rFonts w:hAnsi="宋体"/>
          <w:b/>
          <w:bCs/>
          <w:sz w:val="30"/>
          <w:szCs w:val="30"/>
          <w:u w:val="single"/>
        </w:rPr>
      </w:pPr>
      <w:r>
        <w:rPr>
          <w:rFonts w:hint="eastAsia" w:hAnsi="宋体"/>
          <w:b/>
          <w:bCs/>
          <w:sz w:val="30"/>
          <w:szCs w:val="30"/>
        </w:rPr>
        <w:t>采购编号：</w:t>
      </w:r>
      <w:bookmarkEnd w:id="634"/>
      <w:bookmarkEnd w:id="635"/>
      <w:bookmarkEnd w:id="636"/>
      <w:r>
        <w:rPr>
          <w:rFonts w:hAnsi="宋体"/>
          <w:b/>
          <w:bCs/>
          <w:sz w:val="30"/>
          <w:szCs w:val="30"/>
          <w:u w:val="single"/>
        </w:rPr>
        <w:t xml:space="preserve">                                    </w:t>
      </w:r>
    </w:p>
    <w:p>
      <w:pPr>
        <w:pStyle w:val="15"/>
        <w:spacing w:before="240" w:beforeLines="100" w:after="240" w:afterLines="100" w:line="360" w:lineRule="auto"/>
        <w:rPr>
          <w:rFonts w:hAnsi="宋体"/>
          <w:b/>
          <w:bCs/>
          <w:sz w:val="30"/>
          <w:szCs w:val="30"/>
        </w:rPr>
      </w:pPr>
    </w:p>
    <w:p>
      <w:pPr>
        <w:pStyle w:val="15"/>
        <w:spacing w:before="240" w:beforeLines="100" w:after="240" w:afterLines="100" w:line="360" w:lineRule="auto"/>
        <w:rPr>
          <w:rFonts w:hAnsi="宋体"/>
          <w:b/>
          <w:bCs/>
          <w:sz w:val="30"/>
          <w:szCs w:val="30"/>
        </w:rPr>
      </w:pPr>
    </w:p>
    <w:p>
      <w:pPr>
        <w:pStyle w:val="15"/>
        <w:spacing w:before="240" w:beforeLines="100" w:after="240" w:afterLines="100" w:line="360" w:lineRule="auto"/>
        <w:ind w:firstLine="640" w:firstLineChars="200"/>
        <w:rPr>
          <w:rFonts w:hAnsi="宋体"/>
          <w:b/>
          <w:bCs/>
          <w:sz w:val="32"/>
          <w:u w:val="single"/>
        </w:rPr>
      </w:pPr>
      <w:bookmarkStart w:id="637" w:name="_Toc21750_WPSOffice_Level1"/>
      <w:bookmarkStart w:id="638" w:name="_Toc25149_WPSOffice_Level1"/>
      <w:bookmarkStart w:id="639" w:name="_Toc31498_WPSOffice_Level1"/>
      <w:r>
        <w:rPr>
          <w:rFonts w:hint="eastAsia" w:hAnsi="宋体"/>
          <w:bCs/>
          <w:sz w:val="32"/>
        </w:rPr>
        <w:t xml:space="preserve"> </w:t>
      </w:r>
      <w:r>
        <w:rPr>
          <w:rFonts w:hAnsi="宋体"/>
          <w:bCs/>
          <w:sz w:val="32"/>
        </w:rPr>
        <w:t xml:space="preserve">          </w:t>
      </w:r>
      <w:bookmarkEnd w:id="637"/>
      <w:bookmarkEnd w:id="638"/>
      <w:bookmarkEnd w:id="639"/>
      <w:bookmarkStart w:id="640" w:name="_Toc7166_WPSOffice_Level1"/>
      <w:bookmarkStart w:id="641" w:name="_Toc25325_WPSOffice_Level1"/>
      <w:bookmarkStart w:id="642" w:name="_Toc25974_WPSOffice_Level1"/>
      <w:r>
        <w:rPr>
          <w:rFonts w:hint="eastAsia" w:hAnsi="宋体"/>
          <w:b/>
          <w:bCs/>
          <w:sz w:val="32"/>
        </w:rPr>
        <w:t>供应商：（盖章）</w:t>
      </w:r>
      <w:bookmarkEnd w:id="640"/>
      <w:bookmarkEnd w:id="641"/>
      <w:bookmarkEnd w:id="642"/>
    </w:p>
    <w:p>
      <w:pPr>
        <w:pStyle w:val="15"/>
        <w:spacing w:before="240" w:beforeLines="100" w:after="240" w:afterLines="100" w:line="360" w:lineRule="auto"/>
        <w:ind w:firstLine="2409" w:firstLineChars="800"/>
        <w:rPr>
          <w:rFonts w:hAnsi="宋体"/>
          <w:b/>
          <w:bCs/>
          <w:sz w:val="30"/>
          <w:szCs w:val="30"/>
        </w:rPr>
      </w:pPr>
      <w:bookmarkStart w:id="643" w:name="_Toc31393_WPSOffice_Level1"/>
      <w:bookmarkStart w:id="644" w:name="_Toc29840_WPSOffice_Level1"/>
      <w:bookmarkStart w:id="645" w:name="_Toc21858_WPSOffice_Level1"/>
      <w:r>
        <w:rPr>
          <w:rFonts w:hint="eastAsia" w:hAnsi="宋体"/>
          <w:b/>
          <w:bCs/>
          <w:sz w:val="30"/>
          <w:szCs w:val="30"/>
        </w:rPr>
        <w:t>法定代表人或其委托代理人：（签字或盖章）</w:t>
      </w:r>
      <w:bookmarkEnd w:id="643"/>
      <w:bookmarkEnd w:id="644"/>
      <w:bookmarkEnd w:id="645"/>
    </w:p>
    <w:p>
      <w:pPr>
        <w:pStyle w:val="13"/>
        <w:spacing w:line="360" w:lineRule="auto"/>
        <w:ind w:left="99" w:leftChars="0" w:firstLine="2409" w:firstLineChars="800"/>
        <w:rPr>
          <w:rFonts w:ascii="宋体" w:hAnsi="宋体"/>
          <w:b/>
          <w:bCs/>
          <w:sz w:val="30"/>
          <w:szCs w:val="30"/>
        </w:rPr>
      </w:pPr>
      <w:bookmarkStart w:id="646" w:name="_Toc15496_WPSOffice_Level1"/>
      <w:bookmarkStart w:id="647" w:name="_Toc11679_WPSOffice_Level1"/>
      <w:bookmarkStart w:id="648" w:name="_Toc32012_WPSOffice_Level1"/>
      <w:r>
        <w:rPr>
          <w:rFonts w:hint="eastAsia" w:ascii="宋体" w:hAnsi="宋体"/>
          <w:b/>
          <w:bCs/>
          <w:sz w:val="30"/>
          <w:szCs w:val="30"/>
        </w:rPr>
        <w:t xml:space="preserve">日期： </w:t>
      </w:r>
      <w:r>
        <w:rPr>
          <w:rFonts w:ascii="宋体" w:hAnsi="宋体"/>
          <w:b/>
          <w:bCs/>
          <w:sz w:val="30"/>
          <w:szCs w:val="30"/>
        </w:rPr>
        <w:t xml:space="preserve">   </w:t>
      </w:r>
      <w:r>
        <w:rPr>
          <w:rFonts w:hint="eastAsia" w:ascii="宋体" w:hAnsi="宋体"/>
          <w:b/>
          <w:bCs/>
          <w:sz w:val="30"/>
          <w:szCs w:val="30"/>
        </w:rPr>
        <w:t>年</w:t>
      </w:r>
      <w:r>
        <w:rPr>
          <w:rFonts w:ascii="宋体" w:hAnsi="宋体"/>
          <w:b/>
          <w:bCs/>
          <w:sz w:val="30"/>
          <w:szCs w:val="30"/>
        </w:rPr>
        <w:t xml:space="preserve"> </w:t>
      </w:r>
      <w:r>
        <w:rPr>
          <w:rFonts w:hint="eastAsia" w:ascii="宋体" w:hAnsi="宋体"/>
          <w:b/>
          <w:bCs/>
          <w:sz w:val="30"/>
          <w:szCs w:val="30"/>
        </w:rPr>
        <w:t xml:space="preserve"> </w:t>
      </w:r>
      <w:r>
        <w:rPr>
          <w:rFonts w:ascii="宋体" w:hAnsi="宋体"/>
          <w:b/>
          <w:bCs/>
          <w:sz w:val="30"/>
          <w:szCs w:val="30"/>
        </w:rPr>
        <w:t xml:space="preserve"> </w:t>
      </w:r>
      <w:r>
        <w:rPr>
          <w:rFonts w:hint="eastAsia" w:ascii="宋体" w:hAnsi="宋体"/>
          <w:b/>
          <w:bCs/>
          <w:sz w:val="30"/>
          <w:szCs w:val="30"/>
        </w:rPr>
        <w:t xml:space="preserve"> 月 </w:t>
      </w:r>
      <w:r>
        <w:rPr>
          <w:rFonts w:ascii="宋体" w:hAnsi="宋体"/>
          <w:b/>
          <w:bCs/>
          <w:sz w:val="30"/>
          <w:szCs w:val="30"/>
        </w:rPr>
        <w:t xml:space="preserve">  </w:t>
      </w:r>
      <w:r>
        <w:rPr>
          <w:rFonts w:hint="eastAsia" w:ascii="宋体" w:hAnsi="宋体"/>
          <w:b/>
          <w:bCs/>
          <w:sz w:val="30"/>
          <w:szCs w:val="30"/>
        </w:rPr>
        <w:t xml:space="preserve"> 日</w:t>
      </w:r>
      <w:bookmarkEnd w:id="646"/>
      <w:bookmarkEnd w:id="647"/>
      <w:bookmarkEnd w:id="648"/>
    </w:p>
    <w:p>
      <w:pPr>
        <w:widowControl/>
        <w:wordWrap/>
        <w:topLinePunct w:val="0"/>
        <w:jc w:val="left"/>
        <w:rPr>
          <w:rFonts w:cs="Times New Roman"/>
          <w:b/>
          <w:bCs/>
          <w:sz w:val="32"/>
          <w:szCs w:val="24"/>
          <w:lang w:val="zh-CN"/>
        </w:rPr>
      </w:pPr>
      <w:bookmarkStart w:id="649" w:name="_Toc11653_WPSOffice_Level1"/>
      <w:bookmarkStart w:id="650" w:name="_Toc29365"/>
      <w:bookmarkStart w:id="651" w:name="_Toc7590_WPSOffice_Level1"/>
      <w:bookmarkStart w:id="652" w:name="_Toc32417_WPSOffice_Level1"/>
    </w:p>
    <w:p>
      <w:pPr>
        <w:pStyle w:val="5"/>
        <w:tabs>
          <w:tab w:val="left" w:pos="425"/>
        </w:tabs>
        <w:ind w:left="0"/>
        <w:rPr>
          <w:szCs w:val="24"/>
          <w:lang w:eastAsia="zh-CN"/>
        </w:rPr>
      </w:pPr>
      <w:r>
        <w:rPr>
          <w:rFonts w:hint="eastAsia"/>
          <w:szCs w:val="24"/>
          <w:lang w:val="zh-CN" w:eastAsia="zh-CN"/>
        </w:rPr>
        <w:t>一、报价函及报价函附录</w:t>
      </w:r>
      <w:bookmarkEnd w:id="649"/>
      <w:bookmarkEnd w:id="650"/>
      <w:bookmarkEnd w:id="651"/>
      <w:bookmarkEnd w:id="652"/>
    </w:p>
    <w:p>
      <w:pPr>
        <w:pStyle w:val="5"/>
        <w:tabs>
          <w:tab w:val="left" w:pos="425"/>
        </w:tabs>
        <w:ind w:left="0"/>
        <w:rPr>
          <w:sz w:val="28"/>
          <w:szCs w:val="24"/>
          <w:lang w:val="zh-CN" w:eastAsia="zh-CN"/>
        </w:rPr>
      </w:pPr>
      <w:r>
        <w:rPr>
          <w:rFonts w:hint="eastAsia"/>
          <w:sz w:val="28"/>
          <w:szCs w:val="24"/>
          <w:lang w:val="zh-CN" w:eastAsia="zh-CN"/>
        </w:rPr>
        <w:t>（一）报价函</w:t>
      </w:r>
    </w:p>
    <w:p>
      <w:pPr>
        <w:spacing w:line="360" w:lineRule="auto"/>
      </w:pPr>
      <w:r>
        <w:rPr>
          <w:rFonts w:hint="eastAsia"/>
        </w:rPr>
        <w:t>致：（</w:t>
      </w:r>
      <w:r>
        <w:rPr>
          <w:rFonts w:hint="eastAsia"/>
          <w:u w:val="single"/>
        </w:rPr>
        <w:t>采购人或采购代理机构名称</w:t>
      </w:r>
      <w:r>
        <w:rPr>
          <w:rFonts w:hint="eastAsia"/>
        </w:rPr>
        <w:t>）</w:t>
      </w:r>
    </w:p>
    <w:p>
      <w:pPr>
        <w:pStyle w:val="14"/>
        <w:numPr>
          <w:ilvl w:val="0"/>
          <w:numId w:val="27"/>
        </w:numPr>
        <w:tabs>
          <w:tab w:val="left" w:pos="0"/>
          <w:tab w:val="clear" w:pos="420"/>
        </w:tabs>
        <w:spacing w:line="360" w:lineRule="auto"/>
        <w:ind w:left="0" w:firstLine="315" w:firstLineChars="150"/>
        <w:rPr>
          <w:sz w:val="21"/>
        </w:rPr>
      </w:pPr>
      <w:r>
        <w:rPr>
          <w:rFonts w:hint="eastAsia"/>
          <w:sz w:val="21"/>
        </w:rPr>
        <w:t>我方已仔细研究了</w:t>
      </w:r>
      <w:r>
        <w:rPr>
          <w:rFonts w:hint="eastAsia"/>
          <w:sz w:val="21"/>
          <w:u w:val="single"/>
        </w:rPr>
        <w:t xml:space="preserve">               </w:t>
      </w:r>
      <w:r>
        <w:rPr>
          <w:rFonts w:hint="eastAsia"/>
          <w:sz w:val="21"/>
        </w:rPr>
        <w:t>（项目名称）采购项目竞争性磋商文件的全部内容，愿意以人民币（大写         ）（¥            ）的磋商总报价，合同履行期限   日历天，质量标准：    ，按合同约定完成全部工作。</w:t>
      </w:r>
    </w:p>
    <w:p>
      <w:pPr>
        <w:pStyle w:val="14"/>
        <w:numPr>
          <w:ilvl w:val="0"/>
          <w:numId w:val="27"/>
        </w:numPr>
        <w:tabs>
          <w:tab w:val="left" w:pos="0"/>
          <w:tab w:val="clear" w:pos="420"/>
        </w:tabs>
        <w:spacing w:after="0" w:line="360" w:lineRule="auto"/>
        <w:ind w:left="0" w:firstLine="315" w:firstLineChars="150"/>
        <w:rPr>
          <w:sz w:val="21"/>
        </w:rPr>
      </w:pPr>
      <w:r>
        <w:rPr>
          <w:rFonts w:hint="eastAsia"/>
          <w:sz w:val="21"/>
        </w:rPr>
        <w:t>如果我方成交，我方将按竞争性磋商文件的规定签订并严格履行合同中的责任和义务，在签订合同时不向你方提出附加条件，按照竞争性磋商文件要求提交履约保证金，在合同约定的期限内完成合同规定的全部内容。</w:t>
      </w:r>
    </w:p>
    <w:p>
      <w:pPr>
        <w:pStyle w:val="14"/>
        <w:numPr>
          <w:ilvl w:val="0"/>
          <w:numId w:val="27"/>
        </w:numPr>
        <w:tabs>
          <w:tab w:val="left" w:pos="720"/>
          <w:tab w:val="clear" w:pos="420"/>
        </w:tabs>
        <w:spacing w:after="0" w:line="360" w:lineRule="auto"/>
        <w:ind w:left="0" w:firstLine="315" w:firstLineChars="150"/>
        <w:rPr>
          <w:sz w:val="21"/>
        </w:rPr>
      </w:pPr>
      <w:r>
        <w:rPr>
          <w:rFonts w:hint="eastAsia"/>
          <w:sz w:val="21"/>
        </w:rPr>
        <w:t>我方已详细审查全部竞争性磋商文件，包括修改文件以及全部参考资料和有关附件。我方完全理解并同意放弃对这方面有不明及误解的权力。</w:t>
      </w:r>
    </w:p>
    <w:p>
      <w:pPr>
        <w:pStyle w:val="14"/>
        <w:numPr>
          <w:ilvl w:val="0"/>
          <w:numId w:val="27"/>
        </w:numPr>
        <w:tabs>
          <w:tab w:val="left" w:pos="720"/>
          <w:tab w:val="clear" w:pos="420"/>
        </w:tabs>
        <w:spacing w:after="0" w:line="360" w:lineRule="auto"/>
        <w:ind w:hanging="60"/>
        <w:rPr>
          <w:sz w:val="21"/>
        </w:rPr>
      </w:pPr>
      <w:r>
        <w:rPr>
          <w:rFonts w:hint="eastAsia"/>
          <w:sz w:val="21"/>
        </w:rPr>
        <w:t>磋商有效期为提交首次响应文件的截止之日起</w:t>
      </w:r>
      <w:r>
        <w:rPr>
          <w:rFonts w:hint="eastAsia"/>
          <w:sz w:val="21"/>
          <w:u w:val="single"/>
        </w:rPr>
        <w:t xml:space="preserve">  45  </w:t>
      </w:r>
      <w:r>
        <w:rPr>
          <w:rFonts w:hint="eastAsia"/>
          <w:sz w:val="21"/>
        </w:rPr>
        <w:t>日历天。</w:t>
      </w:r>
    </w:p>
    <w:p>
      <w:pPr>
        <w:pStyle w:val="14"/>
        <w:numPr>
          <w:ilvl w:val="0"/>
          <w:numId w:val="27"/>
        </w:numPr>
        <w:tabs>
          <w:tab w:val="left" w:pos="720"/>
          <w:tab w:val="clear" w:pos="420"/>
        </w:tabs>
        <w:spacing w:after="0" w:line="360" w:lineRule="auto"/>
        <w:ind w:left="0" w:firstLine="360"/>
        <w:rPr>
          <w:sz w:val="21"/>
        </w:rPr>
      </w:pPr>
      <w:r>
        <w:rPr>
          <w:rFonts w:hint="eastAsia"/>
          <w:sz w:val="21"/>
        </w:rPr>
        <w:t>如果在规定的开启时间后，我方在磋商有效期内撤回响应文件，磋商保证金将不予退回。</w:t>
      </w:r>
    </w:p>
    <w:p>
      <w:pPr>
        <w:pStyle w:val="14"/>
        <w:numPr>
          <w:ilvl w:val="0"/>
          <w:numId w:val="27"/>
        </w:numPr>
        <w:tabs>
          <w:tab w:val="left" w:pos="720"/>
          <w:tab w:val="clear" w:pos="420"/>
        </w:tabs>
        <w:spacing w:after="0" w:line="360" w:lineRule="auto"/>
        <w:ind w:left="0" w:firstLine="360"/>
        <w:rPr>
          <w:sz w:val="21"/>
        </w:rPr>
      </w:pPr>
      <w:r>
        <w:rPr>
          <w:rFonts w:hint="eastAsia"/>
          <w:sz w:val="21"/>
        </w:rPr>
        <w:t>我方在此声明，所递交的响应文件及有关资料内容完整、真实和准确，且不存在第二章“供应商须知”第 1.4.3项规定的任何一种情形。</w:t>
      </w:r>
    </w:p>
    <w:p>
      <w:pPr>
        <w:pStyle w:val="14"/>
        <w:numPr>
          <w:ilvl w:val="0"/>
          <w:numId w:val="27"/>
        </w:numPr>
        <w:tabs>
          <w:tab w:val="left" w:pos="720"/>
          <w:tab w:val="clear" w:pos="420"/>
        </w:tabs>
        <w:spacing w:after="0" w:line="360" w:lineRule="auto"/>
        <w:ind w:left="0" w:firstLine="360"/>
        <w:rPr>
          <w:sz w:val="21"/>
        </w:rPr>
      </w:pPr>
      <w:r>
        <w:rPr>
          <w:rFonts w:hint="eastAsia"/>
          <w:sz w:val="21"/>
        </w:rPr>
        <w:t>我方同意提供按照贵方可能要求的与其磋商有关的一切数据或资料，完全理解贵方不一定接受最低价的响应。</w:t>
      </w:r>
    </w:p>
    <w:p>
      <w:pPr>
        <w:spacing w:line="360" w:lineRule="auto"/>
      </w:pPr>
    </w:p>
    <w:p>
      <w:pPr>
        <w:pStyle w:val="13"/>
        <w:spacing w:line="360" w:lineRule="auto"/>
        <w:ind w:left="1" w:leftChars="0" w:firstLine="420" w:firstLineChars="200"/>
        <w:rPr>
          <w:rFonts w:ascii="宋体" w:hAnsi="宋体" w:cs="宋体"/>
        </w:rPr>
      </w:pPr>
      <w:r>
        <w:rPr>
          <w:rFonts w:hint="eastAsia" w:ascii="宋体" w:hAnsi="宋体" w:cs="宋体"/>
        </w:rPr>
        <w:t xml:space="preserve">地    址：                  邮政编码：               </w:t>
      </w:r>
    </w:p>
    <w:p>
      <w:pPr>
        <w:pStyle w:val="13"/>
        <w:spacing w:line="360" w:lineRule="auto"/>
        <w:ind w:left="1" w:leftChars="0" w:firstLine="420" w:firstLineChars="200"/>
        <w:rPr>
          <w:rFonts w:ascii="宋体" w:hAnsi="宋体" w:cs="宋体"/>
        </w:rPr>
      </w:pPr>
      <w:r>
        <w:rPr>
          <w:rFonts w:hint="eastAsia" w:ascii="宋体" w:hAnsi="宋体" w:cs="宋体"/>
        </w:rPr>
        <w:t xml:space="preserve">电    话：                  传    真：               </w:t>
      </w:r>
    </w:p>
    <w:p>
      <w:pPr>
        <w:pStyle w:val="13"/>
        <w:spacing w:line="360" w:lineRule="auto"/>
        <w:ind w:left="1" w:leftChars="0" w:firstLine="420" w:firstLineChars="200"/>
        <w:rPr>
          <w:rFonts w:ascii="宋体" w:hAnsi="宋体" w:cs="宋体"/>
        </w:rPr>
      </w:pPr>
    </w:p>
    <w:p>
      <w:pPr>
        <w:pStyle w:val="13"/>
        <w:spacing w:line="360" w:lineRule="auto"/>
        <w:ind w:left="1" w:leftChars="0" w:firstLine="420" w:firstLineChars="200"/>
        <w:jc w:val="right"/>
        <w:rPr>
          <w:rFonts w:ascii="宋体" w:hAnsi="宋体" w:cs="宋体"/>
        </w:rPr>
      </w:pPr>
      <w:r>
        <w:rPr>
          <w:rFonts w:hint="eastAsia" w:ascii="宋体" w:hAnsi="宋体" w:cs="宋体"/>
        </w:rPr>
        <w:t>供应商：（盖章）</w:t>
      </w:r>
    </w:p>
    <w:p>
      <w:pPr>
        <w:pStyle w:val="13"/>
        <w:spacing w:line="360" w:lineRule="auto"/>
        <w:ind w:left="1" w:leftChars="0" w:firstLine="420" w:firstLineChars="200"/>
        <w:jc w:val="right"/>
        <w:rPr>
          <w:rFonts w:ascii="宋体" w:hAnsi="宋体" w:cs="宋体"/>
        </w:rPr>
      </w:pPr>
      <w:r>
        <w:rPr>
          <w:rFonts w:hint="eastAsia" w:ascii="宋体" w:hAnsi="宋体" w:cs="宋体"/>
        </w:rPr>
        <w:t>法定代表人或其委托代理人：（签字或盖章）</w:t>
      </w:r>
    </w:p>
    <w:p>
      <w:pPr>
        <w:pStyle w:val="13"/>
        <w:spacing w:line="360" w:lineRule="auto"/>
        <w:ind w:left="1" w:leftChars="0" w:firstLine="420" w:firstLineChars="200"/>
        <w:jc w:val="right"/>
        <w:rPr>
          <w:rFonts w:ascii="宋体" w:hAnsi="宋体" w:cs="宋体"/>
        </w:rPr>
      </w:pPr>
      <w:r>
        <w:rPr>
          <w:rFonts w:hint="eastAsia" w:ascii="宋体" w:hAnsi="宋体" w:cs="宋体"/>
        </w:rPr>
        <w:t>日期：     年    月    日</w:t>
      </w:r>
    </w:p>
    <w:p>
      <w:pPr>
        <w:pStyle w:val="25"/>
        <w:spacing w:line="360" w:lineRule="auto"/>
        <w:ind w:firstLine="482"/>
        <w:rPr>
          <w:rFonts w:ascii="宋体" w:hAnsi="宋体"/>
          <w:b/>
          <w:sz w:val="24"/>
          <w:szCs w:val="24"/>
        </w:rPr>
      </w:pPr>
    </w:p>
    <w:p>
      <w:pPr>
        <w:pStyle w:val="25"/>
        <w:spacing w:line="360" w:lineRule="auto"/>
        <w:ind w:firstLine="482"/>
        <w:rPr>
          <w:rFonts w:ascii="宋体" w:hAnsi="宋体"/>
          <w:b/>
          <w:sz w:val="24"/>
          <w:szCs w:val="24"/>
        </w:rPr>
      </w:pPr>
    </w:p>
    <w:p>
      <w:pPr>
        <w:widowControl/>
        <w:wordWrap/>
        <w:topLinePunct w:val="0"/>
        <w:jc w:val="left"/>
        <w:rPr>
          <w:rFonts w:ascii="Times New Roman" w:hAnsi="Times New Roman" w:cs="Times New Roman"/>
          <w:szCs w:val="20"/>
        </w:rPr>
      </w:pPr>
      <w:r>
        <w:br w:type="page"/>
      </w:r>
    </w:p>
    <w:p>
      <w:pPr>
        <w:pStyle w:val="5"/>
        <w:tabs>
          <w:tab w:val="left" w:pos="425"/>
        </w:tabs>
        <w:ind w:left="0"/>
        <w:rPr>
          <w:szCs w:val="24"/>
          <w:lang w:val="zh-CN" w:eastAsia="zh-CN"/>
        </w:rPr>
      </w:pPr>
      <w:bookmarkStart w:id="653" w:name="_Toc21386"/>
      <w:r>
        <w:rPr>
          <w:rFonts w:hint="eastAsia"/>
          <w:szCs w:val="24"/>
          <w:lang w:val="zh-CN" w:eastAsia="zh-CN"/>
        </w:rPr>
        <w:t>（二）报价函附录（第一轮报价）</w:t>
      </w:r>
      <w:bookmarkEnd w:id="653"/>
    </w:p>
    <w:p>
      <w:pPr>
        <w:spacing w:line="360" w:lineRule="auto"/>
        <w:rPr>
          <w:lang w:val="zh-CN"/>
        </w:rPr>
      </w:pPr>
    </w:p>
    <w:tbl>
      <w:tblPr>
        <w:tblStyle w:val="26"/>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3016"/>
        <w:gridCol w:w="698"/>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项目名称</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供应商</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采购编号</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2535" w:type="dxa"/>
            <w:tcBorders>
              <w:top w:val="single" w:color="auto" w:sz="4" w:space="0"/>
              <w:left w:val="single" w:color="auto" w:sz="4" w:space="0"/>
              <w:right w:val="single" w:color="auto" w:sz="4" w:space="0"/>
            </w:tcBorders>
            <w:noWrap/>
            <w:vAlign w:val="center"/>
          </w:tcPr>
          <w:p>
            <w:pPr>
              <w:widowControl/>
              <w:spacing w:line="360" w:lineRule="auto"/>
              <w:jc w:val="center"/>
            </w:pPr>
            <w:r>
              <w:rPr>
                <w:rFonts w:hint="eastAsia"/>
              </w:rPr>
              <w:t>磋商总报价</w:t>
            </w:r>
          </w:p>
        </w:tc>
        <w:tc>
          <w:tcPr>
            <w:tcW w:w="6345" w:type="dxa"/>
            <w:gridSpan w:val="3"/>
            <w:tcBorders>
              <w:top w:val="single" w:color="auto" w:sz="4" w:space="0"/>
              <w:left w:val="single" w:color="auto" w:sz="4" w:space="0"/>
              <w:right w:val="single" w:color="auto" w:sz="4" w:space="0"/>
            </w:tcBorders>
            <w:noWrap/>
            <w:vAlign w:val="center"/>
          </w:tcPr>
          <w:p>
            <w:pPr>
              <w:spacing w:line="360" w:lineRule="auto"/>
              <w:rPr>
                <w:u w:val="single"/>
              </w:rPr>
            </w:pPr>
            <w:r>
              <w:rPr>
                <w:rFonts w:hint="eastAsia"/>
              </w:rPr>
              <w:t>大写：</w:t>
            </w:r>
          </w:p>
          <w:p>
            <w:pPr>
              <w:spacing w:line="360" w:lineRule="auto"/>
              <w:rPr>
                <w:u w:val="single"/>
              </w:rPr>
            </w:pPr>
            <w:r>
              <w:rPr>
                <w:rFonts w:hint="eastAsia"/>
              </w:rPr>
              <w:t>小写：¥</w:t>
            </w:r>
          </w:p>
          <w:p>
            <w:pPr>
              <w:widowControl/>
              <w:spacing w:line="360" w:lineRule="auto"/>
              <w:jc w:val="center"/>
              <w:rPr>
                <w:b/>
                <w:bCs/>
              </w:rPr>
            </w:pPr>
            <w:r>
              <w:rPr>
                <w:rFonts w:hint="eastAsia"/>
                <w:b/>
                <w:bCs/>
              </w:rPr>
              <w:t>（供应商应在此填列第一次报价，但以供应商最后一次的磋商报价为成交价）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535" w:type="dxa"/>
            <w:tcBorders>
              <w:top w:val="single" w:color="auto" w:sz="4" w:space="0"/>
              <w:left w:val="single" w:color="auto" w:sz="4" w:space="0"/>
              <w:right w:val="single" w:color="auto" w:sz="4" w:space="0"/>
            </w:tcBorders>
            <w:noWrap/>
            <w:vAlign w:val="center"/>
          </w:tcPr>
          <w:p>
            <w:pPr>
              <w:widowControl/>
              <w:spacing w:line="360" w:lineRule="auto"/>
              <w:jc w:val="center"/>
            </w:pPr>
            <w:r>
              <w:rPr>
                <w:rFonts w:hint="eastAsia"/>
              </w:rPr>
              <w:t>项目负责人</w:t>
            </w:r>
          </w:p>
        </w:tc>
        <w:tc>
          <w:tcPr>
            <w:tcW w:w="3016"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p>
        </w:tc>
        <w:tc>
          <w:tcPr>
            <w:tcW w:w="698" w:type="dxa"/>
            <w:tcBorders>
              <w:top w:val="single" w:color="auto" w:sz="4" w:space="0"/>
              <w:left w:val="single" w:color="auto" w:sz="4" w:space="0"/>
              <w:right w:val="single" w:color="auto" w:sz="4" w:space="0"/>
            </w:tcBorders>
            <w:noWrap/>
            <w:vAlign w:val="center"/>
          </w:tcPr>
          <w:p>
            <w:pPr>
              <w:widowControl/>
              <w:spacing w:line="360" w:lineRule="auto"/>
              <w:rPr>
                <w:b/>
                <w:bCs/>
              </w:rPr>
            </w:pPr>
            <w:r>
              <w:rPr>
                <w:rFonts w:hint="eastAsia"/>
              </w:rPr>
              <w:t>职称</w:t>
            </w:r>
          </w:p>
        </w:tc>
        <w:tc>
          <w:tcPr>
            <w:tcW w:w="2631"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备  注</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bl>
    <w:p>
      <w:pPr>
        <w:spacing w:line="360" w:lineRule="auto"/>
      </w:pPr>
    </w:p>
    <w:p>
      <w:pPr>
        <w:spacing w:line="360" w:lineRule="auto"/>
      </w:pPr>
    </w:p>
    <w:p>
      <w:pPr>
        <w:spacing w:line="360" w:lineRule="auto"/>
        <w:jc w:val="right"/>
      </w:pPr>
      <w:r>
        <w:rPr>
          <w:rFonts w:hint="eastAsia"/>
        </w:rPr>
        <w:t>供应商：（盖章）</w:t>
      </w:r>
    </w:p>
    <w:p>
      <w:pPr>
        <w:spacing w:line="360" w:lineRule="auto"/>
        <w:jc w:val="right"/>
      </w:pPr>
    </w:p>
    <w:p>
      <w:pPr>
        <w:spacing w:line="360" w:lineRule="auto"/>
        <w:jc w:val="right"/>
      </w:pPr>
      <w:r>
        <w:rPr>
          <w:rFonts w:hint="eastAsia"/>
        </w:rPr>
        <w:t>法定代表人或其委托代理人：（签字或盖章）</w:t>
      </w:r>
    </w:p>
    <w:p>
      <w:pPr>
        <w:spacing w:line="360" w:lineRule="auto"/>
        <w:jc w:val="right"/>
      </w:pPr>
    </w:p>
    <w:p>
      <w:pPr>
        <w:tabs>
          <w:tab w:val="left" w:pos="5380"/>
          <w:tab w:val="left" w:pos="6520"/>
          <w:tab w:val="left" w:pos="7680"/>
        </w:tabs>
        <w:autoSpaceDE w:val="0"/>
        <w:autoSpaceDN w:val="0"/>
        <w:adjustRightInd w:val="0"/>
        <w:spacing w:line="360" w:lineRule="auto"/>
        <w:ind w:right="-20" w:firstLine="1050" w:firstLineChars="500"/>
        <w:jc w:val="right"/>
        <w:rPr>
          <w:kern w:val="0"/>
        </w:rPr>
        <w:sectPr>
          <w:pgSz w:w="11920" w:h="16840"/>
          <w:pgMar w:top="1440" w:right="1080" w:bottom="1440" w:left="1080" w:header="794" w:footer="851" w:gutter="0"/>
          <w:cols w:space="720" w:num="1"/>
        </w:sectPr>
      </w:pPr>
      <w:r>
        <w:rPr>
          <w:rFonts w:hint="eastAsia"/>
        </w:rPr>
        <w:t xml:space="preserve">日期：   </w:t>
      </w:r>
      <w:r>
        <w:t xml:space="preserve"> </w:t>
      </w:r>
      <w:r>
        <w:rPr>
          <w:rFonts w:hint="eastAsia"/>
        </w:rPr>
        <w:t xml:space="preserve">年  </w:t>
      </w:r>
      <w:r>
        <w:t xml:space="preserve">  </w:t>
      </w:r>
      <w:r>
        <w:rPr>
          <w:rFonts w:hint="eastAsia"/>
        </w:rPr>
        <w:t xml:space="preserve">月 </w:t>
      </w:r>
      <w:r>
        <w:t xml:space="preserve">  </w:t>
      </w:r>
      <w:r>
        <w:rPr>
          <w:rFonts w:hint="eastAsia"/>
        </w:rPr>
        <w:t>日</w:t>
      </w:r>
    </w:p>
    <w:p>
      <w:pPr>
        <w:tabs>
          <w:tab w:val="left" w:pos="5380"/>
          <w:tab w:val="left" w:pos="6520"/>
          <w:tab w:val="left" w:pos="7680"/>
        </w:tabs>
        <w:autoSpaceDE w:val="0"/>
        <w:autoSpaceDN w:val="0"/>
        <w:adjustRightInd w:val="0"/>
        <w:spacing w:line="360" w:lineRule="auto"/>
        <w:ind w:right="-20" w:firstLine="1050" w:firstLineChars="500"/>
        <w:jc w:val="right"/>
        <w:rPr>
          <w:kern w:val="0"/>
        </w:rPr>
      </w:pPr>
    </w:p>
    <w:p>
      <w:pPr>
        <w:pStyle w:val="5"/>
        <w:tabs>
          <w:tab w:val="left" w:pos="425"/>
        </w:tabs>
        <w:ind w:left="0"/>
        <w:rPr>
          <w:szCs w:val="24"/>
          <w:lang w:val="zh-CN" w:eastAsia="zh-CN"/>
        </w:rPr>
        <w:sectPr>
          <w:pgSz w:w="11920" w:h="16840"/>
          <w:pgMar w:top="1134" w:right="1134" w:bottom="1134" w:left="1134" w:header="794" w:footer="851" w:gutter="0"/>
          <w:cols w:space="720" w:num="1"/>
        </w:sectPr>
      </w:pPr>
      <w:bookmarkStart w:id="654" w:name="_Toc5242_WPSOffice_Level1"/>
      <w:bookmarkStart w:id="655" w:name="_Toc22490_WPSOffice_Level1"/>
      <w:bookmarkStart w:id="656" w:name="_Toc3479_WPSOffice_Level1"/>
    </w:p>
    <w:p>
      <w:pPr>
        <w:pStyle w:val="5"/>
        <w:tabs>
          <w:tab w:val="left" w:pos="425"/>
        </w:tabs>
        <w:ind w:left="0"/>
        <w:rPr>
          <w:szCs w:val="24"/>
          <w:lang w:eastAsia="zh-CN"/>
        </w:rPr>
      </w:pPr>
      <w:r>
        <w:rPr>
          <w:rFonts w:hint="eastAsia"/>
          <w:szCs w:val="24"/>
          <w:lang w:val="zh-CN" w:eastAsia="zh-CN"/>
        </w:rPr>
        <w:t>二、</w:t>
      </w:r>
      <w:bookmarkEnd w:id="654"/>
      <w:bookmarkEnd w:id="655"/>
      <w:bookmarkEnd w:id="656"/>
      <w:r>
        <w:rPr>
          <w:szCs w:val="24"/>
          <w:lang w:eastAsia="zh-CN"/>
        </w:rPr>
        <w:t>法定代表人授权委托书</w:t>
      </w:r>
    </w:p>
    <w:p>
      <w:pPr>
        <w:widowControl/>
        <w:wordWrap/>
        <w:topLinePunct w:val="0"/>
        <w:jc w:val="left"/>
        <w:rPr>
          <w:b/>
          <w:bCs/>
          <w:sz w:val="32"/>
          <w:szCs w:val="32"/>
          <w:lang w:val="zh-CN"/>
        </w:rPr>
      </w:pPr>
      <w:bookmarkStart w:id="657" w:name="_Toc12134"/>
      <w:bookmarkStart w:id="658" w:name="_Toc21662_WPSOffice_Level1"/>
      <w:bookmarkStart w:id="659" w:name="_Toc7315_WPSOffice_Level1"/>
      <w:bookmarkStart w:id="660" w:name="_Toc31474_WPSOffice_Level1"/>
      <w:bookmarkStart w:id="661" w:name="_Toc6674"/>
      <w:bookmarkStart w:id="662" w:name="_Toc11816"/>
      <w:bookmarkStart w:id="663" w:name="_Toc28309"/>
    </w:p>
    <w:bookmarkEnd w:id="657"/>
    <w:bookmarkEnd w:id="658"/>
    <w:bookmarkEnd w:id="659"/>
    <w:bookmarkEnd w:id="660"/>
    <w:bookmarkEnd w:id="661"/>
    <w:bookmarkEnd w:id="662"/>
    <w:bookmarkEnd w:id="663"/>
    <w:p>
      <w:pPr>
        <w:pStyle w:val="2"/>
        <w:tabs>
          <w:tab w:val="left" w:pos="1295"/>
          <w:tab w:val="left" w:pos="1672"/>
          <w:tab w:val="left" w:pos="4216"/>
        </w:tabs>
        <w:kinsoku w:val="0"/>
        <w:overflowPunct w:val="0"/>
        <w:spacing w:line="356" w:lineRule="auto"/>
        <w:ind w:right="184" w:firstLine="400" w:firstLineChars="200"/>
        <w:rPr>
          <w:rFonts w:cs="微软雅黑"/>
          <w:kern w:val="0"/>
          <w:sz w:val="20"/>
          <w:szCs w:val="20"/>
        </w:rPr>
      </w:pPr>
    </w:p>
    <w:p>
      <w:pPr>
        <w:pStyle w:val="2"/>
        <w:tabs>
          <w:tab w:val="left" w:pos="1295"/>
          <w:tab w:val="left" w:pos="1672"/>
          <w:tab w:val="left" w:pos="4216"/>
        </w:tabs>
        <w:kinsoku w:val="0"/>
        <w:overflowPunct w:val="0"/>
        <w:spacing w:line="356" w:lineRule="auto"/>
        <w:ind w:right="184" w:firstLine="476" w:firstLineChars="200"/>
        <w:rPr>
          <w:rFonts w:asciiTheme="minorEastAsia" w:hAnsiTheme="minorEastAsia" w:eastAsiaTheme="minorEastAsia" w:cstheme="minorEastAsia"/>
          <w:spacing w:val="-1"/>
          <w:sz w:val="24"/>
        </w:rPr>
      </w:pPr>
      <w:r>
        <w:rPr>
          <w:rFonts w:hint="eastAsia" w:asciiTheme="minorEastAsia" w:hAnsiTheme="minorEastAsia" w:eastAsiaTheme="minorEastAsia" w:cstheme="minorEastAsia"/>
          <w:spacing w:val="-1"/>
          <w:sz w:val="24"/>
        </w:rPr>
        <w:t>本人</w:t>
      </w:r>
      <w:r>
        <w:rPr>
          <w:rFonts w:hint="eastAsia" w:asciiTheme="minorEastAsia" w:hAnsiTheme="minorEastAsia" w:eastAsiaTheme="minorEastAsia" w:cstheme="minorEastAsia"/>
          <w:spacing w:val="-1"/>
          <w:w w:val="95"/>
          <w:sz w:val="24"/>
          <w:u w:val="single"/>
        </w:rPr>
        <w:t xml:space="preserve">         </w:t>
      </w:r>
      <w:r>
        <w:rPr>
          <w:rFonts w:hint="eastAsia" w:asciiTheme="minorEastAsia" w:hAnsiTheme="minorEastAsia" w:eastAsiaTheme="minorEastAsia" w:cstheme="minorEastAsia"/>
          <w:spacing w:val="-1"/>
          <w:sz w:val="24"/>
        </w:rPr>
        <w:t>（姓名）系</w:t>
      </w:r>
      <w:r>
        <w:rPr>
          <w:rFonts w:hint="eastAsia" w:asciiTheme="minorEastAsia" w:hAnsiTheme="minorEastAsia" w:eastAsiaTheme="minorEastAsia" w:cstheme="minorEastAsia"/>
          <w:spacing w:val="-1"/>
          <w:w w:val="95"/>
          <w:sz w:val="24"/>
          <w:u w:val="single"/>
        </w:rPr>
        <w:t xml:space="preserve">     </w:t>
      </w:r>
      <w:r>
        <w:rPr>
          <w:rFonts w:hint="eastAsia" w:asciiTheme="minorEastAsia" w:hAnsiTheme="minorEastAsia" w:eastAsiaTheme="minorEastAsia" w:cstheme="minorEastAsia"/>
          <w:spacing w:val="-1"/>
          <w:sz w:val="24"/>
          <w:u w:val="single"/>
        </w:rPr>
        <w:t>（</w:t>
      </w:r>
      <w:r>
        <w:rPr>
          <w:rFonts w:hint="eastAsia" w:asciiTheme="minorEastAsia" w:hAnsiTheme="minorEastAsia" w:eastAsiaTheme="minorEastAsia" w:cstheme="minorEastAsia"/>
          <w:bCs/>
          <w:sz w:val="24"/>
        </w:rPr>
        <w:t>供应商</w:t>
      </w:r>
      <w:r>
        <w:rPr>
          <w:rFonts w:hint="eastAsia" w:asciiTheme="minorEastAsia" w:hAnsiTheme="minorEastAsia" w:eastAsiaTheme="minorEastAsia" w:cstheme="minorEastAsia"/>
          <w:sz w:val="24"/>
        </w:rPr>
        <w:t>名称</w:t>
      </w:r>
      <w:r>
        <w:rPr>
          <w:rFonts w:hint="eastAsia" w:asciiTheme="minorEastAsia" w:hAnsiTheme="minorEastAsia" w:eastAsiaTheme="minorEastAsia" w:cstheme="minorEastAsia"/>
          <w:spacing w:val="-42"/>
          <w:sz w:val="24"/>
        </w:rPr>
        <w:t>）</w:t>
      </w:r>
      <w:r>
        <w:rPr>
          <w:rFonts w:hint="eastAsia" w:asciiTheme="minorEastAsia" w:hAnsiTheme="minorEastAsia" w:eastAsiaTheme="minorEastAsia" w:cstheme="minorEastAsia"/>
          <w:spacing w:val="2"/>
          <w:sz w:val="24"/>
        </w:rPr>
        <w:t>的</w:t>
      </w:r>
      <w:r>
        <w:rPr>
          <w:rFonts w:hint="eastAsia" w:asciiTheme="minorEastAsia" w:hAnsiTheme="minorEastAsia" w:eastAsiaTheme="minorEastAsia" w:cstheme="minorEastAsia"/>
          <w:spacing w:val="-1"/>
          <w:sz w:val="24"/>
        </w:rPr>
        <w:t>法</w:t>
      </w:r>
      <w:r>
        <w:rPr>
          <w:rFonts w:hint="eastAsia" w:asciiTheme="minorEastAsia" w:hAnsiTheme="minorEastAsia" w:eastAsiaTheme="minorEastAsia" w:cstheme="minorEastAsia"/>
          <w:spacing w:val="2"/>
          <w:sz w:val="24"/>
        </w:rPr>
        <w:t>定</w:t>
      </w:r>
      <w:r>
        <w:rPr>
          <w:rFonts w:hint="eastAsia" w:asciiTheme="minorEastAsia" w:hAnsiTheme="minorEastAsia" w:eastAsiaTheme="minorEastAsia" w:cstheme="minorEastAsia"/>
          <w:spacing w:val="-1"/>
          <w:sz w:val="24"/>
        </w:rPr>
        <w:t>代</w:t>
      </w:r>
      <w:r>
        <w:rPr>
          <w:rFonts w:hint="eastAsia" w:asciiTheme="minorEastAsia" w:hAnsiTheme="minorEastAsia" w:eastAsiaTheme="minorEastAsia" w:cstheme="minorEastAsia"/>
          <w:spacing w:val="2"/>
          <w:sz w:val="24"/>
        </w:rPr>
        <w:t>表</w:t>
      </w:r>
      <w:r>
        <w:rPr>
          <w:rFonts w:hint="eastAsia" w:asciiTheme="minorEastAsia" w:hAnsiTheme="minorEastAsia" w:eastAsiaTheme="minorEastAsia" w:cstheme="minorEastAsia"/>
          <w:spacing w:val="-1"/>
          <w:sz w:val="24"/>
        </w:rPr>
        <w:t>人</w:t>
      </w:r>
      <w:r>
        <w:rPr>
          <w:rFonts w:hint="eastAsia" w:asciiTheme="minorEastAsia" w:hAnsiTheme="minorEastAsia" w:eastAsiaTheme="minorEastAsia" w:cstheme="minorEastAsia"/>
          <w:spacing w:val="-42"/>
          <w:sz w:val="24"/>
        </w:rPr>
        <w:t>，</w:t>
      </w:r>
      <w:r>
        <w:rPr>
          <w:rFonts w:hint="eastAsia" w:asciiTheme="minorEastAsia" w:hAnsiTheme="minorEastAsia" w:eastAsiaTheme="minorEastAsia" w:cstheme="minorEastAsia"/>
          <w:spacing w:val="2"/>
          <w:sz w:val="24"/>
        </w:rPr>
        <w:t>现</w:t>
      </w:r>
      <w:r>
        <w:rPr>
          <w:rFonts w:hint="eastAsia" w:asciiTheme="minorEastAsia" w:hAnsiTheme="minorEastAsia" w:eastAsiaTheme="minorEastAsia" w:cstheme="minorEastAsia"/>
          <w:spacing w:val="-1"/>
          <w:sz w:val="24"/>
        </w:rPr>
        <w:t>委</w:t>
      </w:r>
      <w:r>
        <w:rPr>
          <w:rFonts w:hint="eastAsia" w:asciiTheme="minorEastAsia" w:hAnsiTheme="minorEastAsia" w:eastAsiaTheme="minorEastAsia" w:cstheme="minorEastAsia"/>
          <w:spacing w:val="2"/>
          <w:sz w:val="24"/>
        </w:rPr>
        <w:t>托</w:t>
      </w:r>
      <w:r>
        <w:rPr>
          <w:rFonts w:hint="eastAsia" w:asciiTheme="minorEastAsia" w:hAnsiTheme="minorEastAsia" w:eastAsiaTheme="minorEastAsia" w:cstheme="minorEastAsia"/>
          <w:spacing w:val="2"/>
          <w:sz w:val="24"/>
          <w:u w:val="single"/>
        </w:rPr>
        <w:t xml:space="preserve">           </w:t>
      </w:r>
      <w:r>
        <w:rPr>
          <w:rFonts w:hint="eastAsia" w:asciiTheme="minorEastAsia" w:hAnsiTheme="minorEastAsia" w:eastAsiaTheme="minorEastAsia" w:cstheme="minorEastAsia"/>
          <w:spacing w:val="-1"/>
          <w:sz w:val="24"/>
        </w:rPr>
        <w:t>（姓名）为我方代理人。代理人根据授权，以我方名义签署、澄清、说明、补正、递交</w:t>
      </w:r>
      <w:r>
        <w:rPr>
          <w:rFonts w:hint="eastAsia" w:asciiTheme="minorEastAsia" w:hAnsiTheme="minorEastAsia" w:eastAsiaTheme="minorEastAsia" w:cstheme="minorEastAsia"/>
          <w:spacing w:val="1"/>
          <w:w w:val="95"/>
          <w:sz w:val="24"/>
        </w:rPr>
        <w:t>、</w:t>
      </w:r>
      <w:r>
        <w:rPr>
          <w:rFonts w:hint="eastAsia" w:asciiTheme="minorEastAsia" w:hAnsiTheme="minorEastAsia" w:eastAsiaTheme="minorEastAsia" w:cstheme="minorEastAsia"/>
          <w:spacing w:val="-1"/>
          <w:sz w:val="24"/>
        </w:rPr>
        <w:t>撤回、修改</w:t>
      </w:r>
      <w:r>
        <w:rPr>
          <w:rFonts w:hint="eastAsia" w:asciiTheme="minorEastAsia" w:hAnsiTheme="minorEastAsia" w:eastAsiaTheme="minorEastAsia" w:cstheme="minorEastAsia"/>
          <w:w w:val="95"/>
          <w:sz w:val="24"/>
          <w:u w:val="single"/>
        </w:rPr>
        <w:t xml:space="preserve">                    </w:t>
      </w:r>
      <w:r>
        <w:rPr>
          <w:rFonts w:hint="eastAsia" w:asciiTheme="minorEastAsia" w:hAnsiTheme="minorEastAsia" w:eastAsiaTheme="minorEastAsia" w:cstheme="minorEastAsia"/>
          <w:spacing w:val="-1"/>
          <w:sz w:val="24"/>
        </w:rPr>
        <w:t>（项目名称）响应文件、签订合同和处理有关事宜，其法律后果由我方承担。</w:t>
      </w:r>
    </w:p>
    <w:p>
      <w:pPr>
        <w:pStyle w:val="2"/>
        <w:tabs>
          <w:tab w:val="left" w:pos="5021"/>
        </w:tabs>
        <w:kinsoku w:val="0"/>
        <w:overflowPunct w:val="0"/>
        <w:spacing w:before="31" w:line="358" w:lineRule="auto"/>
        <w:ind w:right="4017"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委托期限：</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 xml:space="preserve">     </w:t>
      </w:r>
    </w:p>
    <w:p>
      <w:pPr>
        <w:pStyle w:val="2"/>
        <w:tabs>
          <w:tab w:val="left" w:pos="5021"/>
        </w:tabs>
        <w:kinsoku w:val="0"/>
        <w:overflowPunct w:val="0"/>
        <w:spacing w:before="31" w:line="358" w:lineRule="auto"/>
        <w:ind w:right="4017"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代理人无转委托权。</w:t>
      </w:r>
    </w:p>
    <w:p>
      <w:pPr>
        <w:spacing w:line="360" w:lineRule="auto"/>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附：</w:t>
      </w:r>
      <w:r>
        <w:rPr>
          <w:rFonts w:hint="eastAsia" w:asciiTheme="minorEastAsia" w:hAnsiTheme="minorEastAsia" w:eastAsiaTheme="minorEastAsia" w:cstheme="minorEastAsia"/>
          <w:sz w:val="24"/>
          <w:szCs w:val="24"/>
        </w:rPr>
        <w:t>法定代表人及</w:t>
      </w:r>
      <w:r>
        <w:rPr>
          <w:rFonts w:asciiTheme="minorEastAsia" w:hAnsiTheme="minorEastAsia" w:eastAsiaTheme="minorEastAsia" w:cstheme="minorEastAsia"/>
          <w:sz w:val="24"/>
          <w:szCs w:val="24"/>
        </w:rPr>
        <w:t>委托代理人的身份证复印件</w:t>
      </w:r>
    </w:p>
    <w:p>
      <w:pPr>
        <w:pStyle w:val="2"/>
      </w:pPr>
    </w:p>
    <w:p>
      <w:pPr>
        <w:pStyle w:val="3"/>
        <w:rPr>
          <w:color w:val="auto"/>
        </w:rPr>
      </w:pPr>
    </w:p>
    <w:p>
      <w:pPr>
        <w:pStyle w:val="2"/>
      </w:pPr>
    </w:p>
    <w:p>
      <w:pPr>
        <w:pStyle w:val="3"/>
        <w:rPr>
          <w:color w:val="auto"/>
        </w:rPr>
      </w:pPr>
    </w:p>
    <w:p>
      <w:pPr>
        <w:pStyle w:val="2"/>
      </w:pPr>
    </w:p>
    <w:p>
      <w:pPr>
        <w:pStyle w:val="3"/>
        <w:rPr>
          <w:color w:val="auto"/>
        </w:rPr>
      </w:pPr>
    </w:p>
    <w:p>
      <w:pPr>
        <w:pStyle w:val="2"/>
      </w:pPr>
    </w:p>
    <w:p>
      <w:pPr>
        <w:pStyle w:val="3"/>
        <w:rPr>
          <w:color w:val="auto"/>
        </w:rPr>
      </w:pPr>
    </w:p>
    <w:p>
      <w:pPr>
        <w:pStyle w:val="2"/>
      </w:pPr>
    </w:p>
    <w:p>
      <w:pPr>
        <w:pStyle w:val="3"/>
        <w:rPr>
          <w:color w:val="auto"/>
        </w:rPr>
      </w:pPr>
    </w:p>
    <w:p>
      <w:pPr>
        <w:pStyle w:val="2"/>
      </w:pPr>
    </w:p>
    <w:p>
      <w:pPr>
        <w:pStyle w:val="2"/>
        <w:rPr>
          <w:rFonts w:asciiTheme="minorEastAsia" w:hAnsiTheme="minorEastAsia" w:eastAsiaTheme="minorEastAsia" w:cstheme="minorEastAsia"/>
          <w:sz w:val="24"/>
          <w:szCs w:val="24"/>
        </w:rPr>
      </w:pPr>
    </w:p>
    <w:p>
      <w:pPr>
        <w:pStyle w:val="2"/>
        <w:spacing w:line="360" w:lineRule="auto"/>
        <w:rPr>
          <w:rFonts w:asciiTheme="minorEastAsia" w:hAnsiTheme="minorEastAsia" w:eastAsiaTheme="minorEastAsia" w:cstheme="minorEastAsia"/>
          <w:sz w:val="24"/>
        </w:rPr>
      </w:pPr>
    </w:p>
    <w:p>
      <w:pPr>
        <w:adjustRightInd w:val="0"/>
        <w:snapToGrid w:val="0"/>
        <w:spacing w:line="360" w:lineRule="auto"/>
        <w:ind w:firstLine="4620" w:firstLineChars="1925"/>
        <w:jc w:val="left"/>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rPr>
        <w:t>盖章</w:t>
      </w:r>
      <w:r>
        <w:rPr>
          <w:rFonts w:asciiTheme="minorEastAsia" w:hAnsiTheme="minorEastAsia" w:eastAsiaTheme="minorEastAsia" w:cstheme="minorEastAsia"/>
          <w:sz w:val="24"/>
          <w:szCs w:val="24"/>
        </w:rPr>
        <w:t>）：</w:t>
      </w:r>
    </w:p>
    <w:p>
      <w:pPr>
        <w:adjustRightInd w:val="0"/>
        <w:snapToGrid w:val="0"/>
        <w:spacing w:line="360" w:lineRule="auto"/>
        <w:ind w:firstLine="4620" w:firstLineChars="1925"/>
        <w:jc w:val="left"/>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rPr>
        <w:t>签字或盖章</w:t>
      </w:r>
      <w:r>
        <w:rPr>
          <w:rFonts w:asciiTheme="minorEastAsia" w:hAnsiTheme="minorEastAsia" w:eastAsiaTheme="minorEastAsia" w:cstheme="minorEastAsia"/>
          <w:sz w:val="24"/>
          <w:szCs w:val="24"/>
        </w:rPr>
        <w:t>）：</w:t>
      </w:r>
    </w:p>
    <w:p>
      <w:pPr>
        <w:spacing w:line="360" w:lineRule="auto"/>
        <w:ind w:right="840"/>
        <w:jc w:val="center"/>
      </w:pPr>
      <w:r>
        <w:rPr>
          <w:rFonts w:hint="eastAsia" w:asciiTheme="minorEastAsia" w:hAnsiTheme="minorEastAsia" w:eastAsiaTheme="minorEastAsia" w:cstheme="minorEastAsia"/>
          <w:sz w:val="24"/>
          <w:szCs w:val="24"/>
        </w:rPr>
        <w:t xml:space="preserve"> </w:t>
      </w:r>
      <w:r>
        <w:rPr>
          <w:rFonts w:hint="eastAsia"/>
        </w:rPr>
        <w:t xml:space="preserve"> </w:t>
      </w:r>
      <w:r>
        <w:t xml:space="preserve">                           </w:t>
      </w:r>
      <w:r>
        <w:rPr>
          <w:rFonts w:hint="eastAsia"/>
        </w:rPr>
        <w:t xml:space="preserve">日期：  </w:t>
      </w:r>
      <w:r>
        <w:t xml:space="preserve"> </w:t>
      </w:r>
      <w:r>
        <w:rPr>
          <w:rFonts w:hint="eastAsia"/>
        </w:rPr>
        <w:t xml:space="preserve"> 年  </w:t>
      </w:r>
      <w:r>
        <w:t xml:space="preserve">   </w:t>
      </w:r>
      <w:r>
        <w:rPr>
          <w:rFonts w:hint="eastAsia"/>
        </w:rPr>
        <w:t xml:space="preserve">月  </w:t>
      </w:r>
      <w:r>
        <w:t xml:space="preserve">  </w:t>
      </w:r>
      <w:r>
        <w:rPr>
          <w:rFonts w:hint="eastAsia"/>
        </w:rPr>
        <w:t>日</w:t>
      </w:r>
    </w:p>
    <w:p>
      <w:pPr>
        <w:spacing w:line="360" w:lineRule="auto"/>
        <w:rPr>
          <w:kern w:val="0"/>
          <w:u w:val="single"/>
        </w:rPr>
      </w:pPr>
    </w:p>
    <w:p>
      <w:pPr>
        <w:pStyle w:val="25"/>
        <w:tabs>
          <w:tab w:val="left" w:pos="4093"/>
        </w:tabs>
        <w:spacing w:line="360" w:lineRule="auto"/>
        <w:ind w:firstLine="482"/>
        <w:jc w:val="right"/>
        <w:rPr>
          <w:rFonts w:ascii="宋体" w:hAnsi="宋体"/>
          <w:b/>
          <w:sz w:val="24"/>
          <w:szCs w:val="24"/>
        </w:rPr>
      </w:pPr>
    </w:p>
    <w:p>
      <w:pPr>
        <w:pStyle w:val="25"/>
        <w:spacing w:line="360" w:lineRule="auto"/>
        <w:ind w:left="0" w:leftChars="0" w:firstLine="0" w:firstLineChars="0"/>
        <w:rPr>
          <w:rFonts w:ascii="宋体" w:hAnsi="宋体"/>
          <w:b/>
          <w:sz w:val="24"/>
          <w:szCs w:val="24"/>
        </w:rPr>
      </w:pPr>
    </w:p>
    <w:p>
      <w:pPr>
        <w:pStyle w:val="25"/>
        <w:spacing w:line="360" w:lineRule="auto"/>
        <w:ind w:left="0" w:leftChars="0" w:firstLine="0" w:firstLineChars="0"/>
        <w:rPr>
          <w:rFonts w:ascii="宋体" w:hAnsi="宋体"/>
          <w:b/>
          <w:sz w:val="24"/>
          <w:szCs w:val="24"/>
        </w:rPr>
      </w:pPr>
    </w:p>
    <w:p>
      <w:pPr>
        <w:pStyle w:val="25"/>
        <w:spacing w:line="360" w:lineRule="auto"/>
        <w:ind w:left="0" w:leftChars="0" w:firstLine="0" w:firstLineChars="0"/>
        <w:rPr>
          <w:rFonts w:ascii="宋体" w:hAnsi="宋体"/>
          <w:b/>
          <w:sz w:val="24"/>
          <w:szCs w:val="24"/>
        </w:rPr>
      </w:pPr>
    </w:p>
    <w:p>
      <w:pPr>
        <w:pStyle w:val="25"/>
        <w:spacing w:line="360" w:lineRule="auto"/>
        <w:ind w:left="0" w:leftChars="0" w:firstLine="0" w:firstLineChars="0"/>
        <w:rPr>
          <w:rFonts w:ascii="宋体" w:hAnsi="宋体"/>
          <w:b/>
          <w:sz w:val="24"/>
          <w:szCs w:val="24"/>
        </w:rPr>
      </w:pPr>
    </w:p>
    <w:p>
      <w:pPr>
        <w:pStyle w:val="25"/>
        <w:spacing w:line="360" w:lineRule="auto"/>
        <w:ind w:left="0" w:leftChars="0" w:firstLine="0" w:firstLineChars="0"/>
        <w:rPr>
          <w:rFonts w:ascii="宋体" w:hAnsi="宋体"/>
          <w:b/>
          <w:sz w:val="24"/>
          <w:szCs w:val="24"/>
        </w:rPr>
      </w:pPr>
    </w:p>
    <w:p>
      <w:pPr>
        <w:pStyle w:val="5"/>
        <w:tabs>
          <w:tab w:val="left" w:pos="425"/>
        </w:tabs>
        <w:ind w:left="0"/>
        <w:rPr>
          <w:szCs w:val="24"/>
          <w:lang w:val="zh-CN" w:eastAsia="zh-CN"/>
        </w:rPr>
      </w:pPr>
      <w:bookmarkStart w:id="664" w:name="_Toc108_WPSOffice_Level1"/>
      <w:bookmarkStart w:id="665" w:name="_Toc10033_WPSOffice_Level1"/>
      <w:bookmarkStart w:id="666" w:name="_Toc15417_WPSOffice_Level1"/>
      <w:r>
        <w:rPr>
          <w:rFonts w:hint="eastAsia"/>
          <w:szCs w:val="24"/>
          <w:lang w:val="zh-CN" w:eastAsia="zh-CN"/>
        </w:rPr>
        <w:t>三、供应商资格审查资料</w:t>
      </w:r>
      <w:bookmarkEnd w:id="664"/>
      <w:bookmarkEnd w:id="665"/>
      <w:bookmarkEnd w:id="666"/>
    </w:p>
    <w:p>
      <w:pPr>
        <w:spacing w:line="360" w:lineRule="auto"/>
      </w:pPr>
    </w:p>
    <w:p>
      <w:pPr>
        <w:spacing w:line="360" w:lineRule="auto"/>
        <w:jc w:val="center"/>
        <w:rPr>
          <w:b/>
        </w:rPr>
      </w:pPr>
      <w:r>
        <w:rPr>
          <w:rFonts w:hint="eastAsia"/>
          <w:b/>
        </w:rPr>
        <w:t>（一）供应商基本情况表</w:t>
      </w:r>
    </w:p>
    <w:tbl>
      <w:tblPr>
        <w:tblStyle w:val="26"/>
        <w:tblW w:w="9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042"/>
        <w:gridCol w:w="1744"/>
        <w:gridCol w:w="1212"/>
        <w:gridCol w:w="1174"/>
        <w:gridCol w:w="49"/>
        <w:gridCol w:w="70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ign w:val="center"/>
          </w:tcPr>
          <w:p>
            <w:pPr>
              <w:spacing w:line="360" w:lineRule="auto"/>
            </w:pPr>
            <w:r>
              <w:rPr>
                <w:rFonts w:hint="eastAsia"/>
              </w:rPr>
              <w:t>供应商名称</w:t>
            </w:r>
          </w:p>
        </w:tc>
        <w:tc>
          <w:tcPr>
            <w:tcW w:w="7304" w:type="dxa"/>
            <w:gridSpan w:val="7"/>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ign w:val="center"/>
          </w:tcPr>
          <w:p>
            <w:pPr>
              <w:spacing w:line="360" w:lineRule="auto"/>
            </w:pPr>
            <w:r>
              <w:rPr>
                <w:rFonts w:hint="eastAsia"/>
              </w:rPr>
              <w:t>注册地址</w:t>
            </w:r>
          </w:p>
        </w:tc>
        <w:tc>
          <w:tcPr>
            <w:tcW w:w="3998" w:type="dxa"/>
            <w:gridSpan w:val="3"/>
            <w:noWrap/>
            <w:vAlign w:val="center"/>
          </w:tcPr>
          <w:p>
            <w:pPr>
              <w:spacing w:line="360" w:lineRule="auto"/>
            </w:pPr>
          </w:p>
        </w:tc>
        <w:tc>
          <w:tcPr>
            <w:tcW w:w="1174" w:type="dxa"/>
            <w:noWrap/>
            <w:vAlign w:val="center"/>
          </w:tcPr>
          <w:p>
            <w:pPr>
              <w:spacing w:line="360" w:lineRule="auto"/>
            </w:pPr>
            <w:r>
              <w:rPr>
                <w:rFonts w:hint="eastAsia"/>
              </w:rPr>
              <w:t>邮政编码</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6" w:type="dxa"/>
            <w:vMerge w:val="restart"/>
            <w:noWrap/>
            <w:vAlign w:val="center"/>
          </w:tcPr>
          <w:p>
            <w:pPr>
              <w:spacing w:line="360" w:lineRule="auto"/>
            </w:pPr>
            <w:r>
              <w:rPr>
                <w:rFonts w:hint="eastAsia"/>
              </w:rPr>
              <w:t>联系方式</w:t>
            </w:r>
          </w:p>
        </w:tc>
        <w:tc>
          <w:tcPr>
            <w:tcW w:w="1042" w:type="dxa"/>
            <w:noWrap/>
            <w:vAlign w:val="center"/>
          </w:tcPr>
          <w:p>
            <w:pPr>
              <w:spacing w:line="360" w:lineRule="auto"/>
            </w:pPr>
            <w:r>
              <w:rPr>
                <w:rFonts w:hint="eastAsia"/>
              </w:rPr>
              <w:t>联系人</w:t>
            </w:r>
          </w:p>
        </w:tc>
        <w:tc>
          <w:tcPr>
            <w:tcW w:w="2956" w:type="dxa"/>
            <w:gridSpan w:val="2"/>
            <w:noWrap/>
            <w:vAlign w:val="center"/>
          </w:tcPr>
          <w:p>
            <w:pPr>
              <w:spacing w:line="360" w:lineRule="auto"/>
            </w:pPr>
          </w:p>
        </w:tc>
        <w:tc>
          <w:tcPr>
            <w:tcW w:w="1174" w:type="dxa"/>
            <w:noWrap/>
            <w:vAlign w:val="center"/>
          </w:tcPr>
          <w:p>
            <w:pPr>
              <w:spacing w:line="360" w:lineRule="auto"/>
            </w:pPr>
            <w:r>
              <w:rPr>
                <w:rFonts w:hint="eastAsia"/>
              </w:rPr>
              <w:t>联系电话</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16" w:type="dxa"/>
            <w:vMerge w:val="continue"/>
            <w:noWrap/>
            <w:vAlign w:val="center"/>
          </w:tcPr>
          <w:p>
            <w:pPr>
              <w:spacing w:line="360" w:lineRule="auto"/>
            </w:pPr>
          </w:p>
        </w:tc>
        <w:tc>
          <w:tcPr>
            <w:tcW w:w="1042" w:type="dxa"/>
            <w:noWrap/>
            <w:vAlign w:val="center"/>
          </w:tcPr>
          <w:p>
            <w:pPr>
              <w:spacing w:line="360" w:lineRule="auto"/>
            </w:pPr>
            <w:r>
              <w:rPr>
                <w:rFonts w:hint="eastAsia"/>
              </w:rPr>
              <w:t>传真</w:t>
            </w:r>
          </w:p>
        </w:tc>
        <w:tc>
          <w:tcPr>
            <w:tcW w:w="2956" w:type="dxa"/>
            <w:gridSpan w:val="2"/>
            <w:noWrap/>
            <w:vAlign w:val="center"/>
          </w:tcPr>
          <w:p>
            <w:pPr>
              <w:spacing w:line="360" w:lineRule="auto"/>
            </w:pPr>
          </w:p>
        </w:tc>
        <w:tc>
          <w:tcPr>
            <w:tcW w:w="1174" w:type="dxa"/>
            <w:noWrap/>
            <w:vAlign w:val="center"/>
          </w:tcPr>
          <w:p>
            <w:pPr>
              <w:spacing w:line="360" w:lineRule="auto"/>
            </w:pPr>
            <w:r>
              <w:rPr>
                <w:rFonts w:hint="eastAsia"/>
              </w:rPr>
              <w:t>网址</w:t>
            </w:r>
            <w:r>
              <w:t>/邮箱</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16" w:type="dxa"/>
            <w:noWrap/>
            <w:vAlign w:val="center"/>
          </w:tcPr>
          <w:p>
            <w:pPr>
              <w:spacing w:line="360" w:lineRule="auto"/>
            </w:pPr>
            <w:r>
              <w:rPr>
                <w:rFonts w:hint="eastAsia"/>
              </w:rPr>
              <w:t>法定代表人</w:t>
            </w:r>
          </w:p>
        </w:tc>
        <w:tc>
          <w:tcPr>
            <w:tcW w:w="1042" w:type="dxa"/>
            <w:noWrap/>
            <w:vAlign w:val="center"/>
          </w:tcPr>
          <w:p>
            <w:pPr>
              <w:spacing w:line="360" w:lineRule="auto"/>
            </w:pPr>
            <w:r>
              <w:rPr>
                <w:rFonts w:hint="eastAsia"/>
              </w:rPr>
              <w:t>姓名</w:t>
            </w:r>
          </w:p>
        </w:tc>
        <w:tc>
          <w:tcPr>
            <w:tcW w:w="1744" w:type="dxa"/>
            <w:noWrap/>
            <w:vAlign w:val="center"/>
          </w:tcPr>
          <w:p>
            <w:pPr>
              <w:spacing w:line="360" w:lineRule="auto"/>
            </w:pPr>
          </w:p>
        </w:tc>
        <w:tc>
          <w:tcPr>
            <w:tcW w:w="1212" w:type="dxa"/>
            <w:noWrap/>
            <w:vAlign w:val="center"/>
          </w:tcPr>
          <w:p>
            <w:pPr>
              <w:spacing w:line="360" w:lineRule="auto"/>
            </w:pPr>
            <w:r>
              <w:rPr>
                <w:rFonts w:hint="eastAsia"/>
              </w:rPr>
              <w:t>技术职称</w:t>
            </w:r>
          </w:p>
        </w:tc>
        <w:tc>
          <w:tcPr>
            <w:tcW w:w="1223" w:type="dxa"/>
            <w:gridSpan w:val="2"/>
            <w:noWrap/>
            <w:vAlign w:val="center"/>
          </w:tcPr>
          <w:p>
            <w:pPr>
              <w:spacing w:line="360" w:lineRule="auto"/>
            </w:pPr>
          </w:p>
        </w:tc>
        <w:tc>
          <w:tcPr>
            <w:tcW w:w="700" w:type="dxa"/>
            <w:noWrap/>
            <w:vAlign w:val="center"/>
          </w:tcPr>
          <w:p>
            <w:pPr>
              <w:spacing w:line="360" w:lineRule="auto"/>
            </w:pPr>
            <w:r>
              <w:rPr>
                <w:rFonts w:hint="eastAsia"/>
              </w:rPr>
              <w:t>电话</w:t>
            </w:r>
          </w:p>
        </w:tc>
        <w:tc>
          <w:tcPr>
            <w:tcW w:w="1383" w:type="dxa"/>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16" w:type="dxa"/>
            <w:noWrap/>
            <w:vAlign w:val="center"/>
          </w:tcPr>
          <w:p>
            <w:pPr>
              <w:spacing w:line="360" w:lineRule="auto"/>
            </w:pPr>
            <w:r>
              <w:rPr>
                <w:rFonts w:hint="eastAsia"/>
              </w:rPr>
              <w:t>技术负责人</w:t>
            </w:r>
          </w:p>
        </w:tc>
        <w:tc>
          <w:tcPr>
            <w:tcW w:w="1042" w:type="dxa"/>
            <w:noWrap/>
            <w:vAlign w:val="center"/>
          </w:tcPr>
          <w:p>
            <w:pPr>
              <w:spacing w:line="360" w:lineRule="auto"/>
            </w:pPr>
            <w:r>
              <w:rPr>
                <w:rFonts w:hint="eastAsia"/>
              </w:rPr>
              <w:t>姓名</w:t>
            </w:r>
          </w:p>
        </w:tc>
        <w:tc>
          <w:tcPr>
            <w:tcW w:w="1744" w:type="dxa"/>
            <w:noWrap/>
            <w:vAlign w:val="center"/>
          </w:tcPr>
          <w:p>
            <w:pPr>
              <w:spacing w:line="360" w:lineRule="auto"/>
            </w:pPr>
          </w:p>
        </w:tc>
        <w:tc>
          <w:tcPr>
            <w:tcW w:w="1212" w:type="dxa"/>
            <w:noWrap/>
            <w:vAlign w:val="center"/>
          </w:tcPr>
          <w:p>
            <w:pPr>
              <w:spacing w:line="360" w:lineRule="auto"/>
            </w:pPr>
            <w:r>
              <w:rPr>
                <w:rFonts w:hint="eastAsia"/>
              </w:rPr>
              <w:t>技术职称</w:t>
            </w:r>
          </w:p>
        </w:tc>
        <w:tc>
          <w:tcPr>
            <w:tcW w:w="1223" w:type="dxa"/>
            <w:gridSpan w:val="2"/>
            <w:noWrap/>
            <w:vAlign w:val="center"/>
          </w:tcPr>
          <w:p>
            <w:pPr>
              <w:spacing w:line="360" w:lineRule="auto"/>
            </w:pPr>
          </w:p>
        </w:tc>
        <w:tc>
          <w:tcPr>
            <w:tcW w:w="700" w:type="dxa"/>
            <w:noWrap/>
            <w:vAlign w:val="center"/>
          </w:tcPr>
          <w:p>
            <w:pPr>
              <w:spacing w:line="360" w:lineRule="auto"/>
            </w:pPr>
            <w:r>
              <w:rPr>
                <w:rFonts w:hint="eastAsia"/>
              </w:rPr>
              <w:t>电话</w:t>
            </w:r>
          </w:p>
        </w:tc>
        <w:tc>
          <w:tcPr>
            <w:tcW w:w="1383" w:type="dxa"/>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成立时间</w:t>
            </w:r>
          </w:p>
        </w:tc>
        <w:tc>
          <w:tcPr>
            <w:tcW w:w="2786" w:type="dxa"/>
            <w:gridSpan w:val="2"/>
            <w:noWrap/>
            <w:vAlign w:val="center"/>
          </w:tcPr>
          <w:p>
            <w:pPr>
              <w:spacing w:line="360" w:lineRule="auto"/>
            </w:pPr>
          </w:p>
        </w:tc>
        <w:tc>
          <w:tcPr>
            <w:tcW w:w="4518" w:type="dxa"/>
            <w:gridSpan w:val="5"/>
            <w:noWrap/>
            <w:vAlign w:val="center"/>
          </w:tcPr>
          <w:p>
            <w:pPr>
              <w:spacing w:line="360" w:lineRule="auto"/>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tcPr>
          <w:p>
            <w:pPr>
              <w:spacing w:line="360" w:lineRule="auto"/>
            </w:pPr>
            <w:r>
              <w:rPr>
                <w:rFonts w:hint="eastAsia"/>
              </w:rPr>
              <w:t>营业执照号</w:t>
            </w:r>
          </w:p>
        </w:tc>
        <w:tc>
          <w:tcPr>
            <w:tcW w:w="7304" w:type="dxa"/>
            <w:gridSpan w:val="7"/>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tcPr>
          <w:p>
            <w:pPr>
              <w:spacing w:line="360" w:lineRule="auto"/>
            </w:pPr>
            <w:r>
              <w:rPr>
                <w:rFonts w:hint="eastAsia"/>
              </w:rPr>
              <w:t>注册资金</w:t>
            </w:r>
          </w:p>
        </w:tc>
        <w:tc>
          <w:tcPr>
            <w:tcW w:w="7304" w:type="dxa"/>
            <w:gridSpan w:val="7"/>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1916" w:type="dxa"/>
            <w:noWrap/>
          </w:tcPr>
          <w:p>
            <w:pPr>
              <w:spacing w:line="360" w:lineRule="auto"/>
            </w:pPr>
            <w:r>
              <w:rPr>
                <w:rFonts w:hint="eastAsia"/>
              </w:rPr>
              <w:t>经营范围备注</w:t>
            </w:r>
          </w:p>
        </w:tc>
        <w:tc>
          <w:tcPr>
            <w:tcW w:w="7304" w:type="dxa"/>
            <w:gridSpan w:val="7"/>
            <w:noWrap/>
          </w:tcPr>
          <w:p>
            <w:pPr>
              <w:spacing w:line="360" w:lineRule="auto"/>
              <w:ind w:firstLine="420" w:firstLineChars="200"/>
            </w:pPr>
          </w:p>
          <w:p>
            <w:pPr>
              <w:pStyle w:val="2"/>
              <w:spacing w:line="360" w:lineRule="auto"/>
              <w:ind w:firstLine="420" w:firstLineChars="200"/>
            </w:pPr>
          </w:p>
          <w:p>
            <w:pPr>
              <w:pStyle w:val="3"/>
              <w:spacing w:line="360" w:lineRule="auto"/>
              <w:ind w:firstLine="420" w:firstLineChars="200"/>
              <w:rPr>
                <w:color w:val="auto"/>
                <w:kern w:val="2"/>
                <w:sz w:val="21"/>
                <w:szCs w:val="21"/>
              </w:rPr>
            </w:pPr>
          </w:p>
          <w:p>
            <w:pPr>
              <w:pStyle w:val="2"/>
              <w:spacing w:line="360" w:lineRule="auto"/>
              <w:ind w:firstLine="420" w:firstLineChars="200"/>
            </w:pPr>
          </w:p>
          <w:p>
            <w:pPr>
              <w:pStyle w:val="3"/>
              <w:spacing w:line="360" w:lineRule="auto"/>
              <w:ind w:firstLine="420" w:firstLineChars="200"/>
              <w:rPr>
                <w:color w:val="auto"/>
                <w:kern w:val="2"/>
                <w:sz w:val="21"/>
                <w:szCs w:val="21"/>
              </w:rPr>
            </w:pPr>
          </w:p>
          <w:p>
            <w:pPr>
              <w:pStyle w:val="2"/>
              <w:spacing w:line="360" w:lineRule="auto"/>
              <w:ind w:firstLine="420" w:firstLineChars="200"/>
            </w:pPr>
          </w:p>
          <w:p>
            <w:pPr>
              <w:pStyle w:val="3"/>
              <w:spacing w:line="360" w:lineRule="auto"/>
              <w:ind w:firstLine="560" w:firstLineChars="200"/>
              <w:rPr>
                <w:color w:val="auto"/>
              </w:rPr>
            </w:pPr>
          </w:p>
          <w:p>
            <w:pPr>
              <w:pStyle w:val="3"/>
              <w:spacing w:line="360" w:lineRule="auto"/>
              <w:ind w:firstLine="420" w:firstLineChars="200"/>
              <w:rPr>
                <w:color w:val="auto"/>
                <w:kern w:val="2"/>
                <w:sz w:val="21"/>
                <w:szCs w:val="21"/>
              </w:rPr>
            </w:pPr>
          </w:p>
          <w:p>
            <w:pPr>
              <w:pStyle w:val="2"/>
              <w:spacing w:line="360" w:lineRule="auto"/>
              <w:ind w:firstLine="420" w:firstLineChars="200"/>
            </w:pPr>
          </w:p>
        </w:tc>
      </w:tr>
    </w:tbl>
    <w:p>
      <w:pPr>
        <w:autoSpaceDE w:val="0"/>
        <w:autoSpaceDN w:val="0"/>
        <w:adjustRightInd w:val="0"/>
        <w:spacing w:line="360" w:lineRule="auto"/>
        <w:ind w:firstLine="210" w:firstLineChars="100"/>
        <w:jc w:val="left"/>
      </w:pPr>
      <w:r>
        <w:rPr>
          <w:rFonts w:hint="eastAsia"/>
          <w:bCs/>
        </w:rPr>
        <w:t>注：本表后需附营业执照及相关资质证书</w:t>
      </w:r>
      <w:r>
        <w:rPr>
          <w:rFonts w:hint="eastAsia"/>
        </w:rPr>
        <w:t>复印件。</w:t>
      </w:r>
    </w:p>
    <w:p>
      <w:pPr>
        <w:autoSpaceDE w:val="0"/>
        <w:autoSpaceDN w:val="0"/>
        <w:adjustRightInd w:val="0"/>
        <w:spacing w:line="360" w:lineRule="auto"/>
        <w:ind w:firstLine="630" w:firstLineChars="300"/>
        <w:jc w:val="left"/>
      </w:pPr>
      <w:r>
        <w:rPr>
          <w:rFonts w:hint="eastAsia"/>
        </w:rPr>
        <w:t>联合体投标的，需各联合体成员各自出具。</w:t>
      </w:r>
    </w:p>
    <w:p>
      <w:pPr>
        <w:pStyle w:val="2"/>
        <w:spacing w:before="120" w:beforeLines="50" w:after="120" w:afterLines="50" w:line="360" w:lineRule="auto"/>
        <w:ind w:left="687" w:leftChars="227" w:hanging="210" w:hangingChars="100"/>
      </w:pPr>
    </w:p>
    <w:p>
      <w:pPr>
        <w:pStyle w:val="3"/>
        <w:spacing w:before="120" w:beforeLines="50" w:after="120" w:afterLines="50" w:line="360" w:lineRule="auto"/>
        <w:ind w:left="757" w:leftChars="227" w:hanging="280" w:hangingChars="100"/>
        <w:rPr>
          <w:color w:val="auto"/>
        </w:rPr>
      </w:pPr>
    </w:p>
    <w:p>
      <w:pPr>
        <w:pStyle w:val="2"/>
        <w:widowControl/>
        <w:tabs>
          <w:tab w:val="left" w:pos="6150"/>
        </w:tabs>
        <w:wordWrap/>
        <w:topLinePunct w:val="0"/>
        <w:spacing w:before="1"/>
        <w:jc w:val="left"/>
        <w:rPr>
          <w:b/>
        </w:rPr>
      </w:pPr>
      <w:r>
        <w:rPr>
          <w:rFonts w:hint="eastAsia" w:asciiTheme="minorEastAsia" w:hAnsiTheme="minorEastAsia" w:eastAsiaTheme="minorEastAsia" w:cstheme="minorEastAsia"/>
          <w:spacing w:val="-1"/>
        </w:rPr>
        <w:t>供</w:t>
      </w:r>
      <w:r>
        <w:rPr>
          <w:rFonts w:hint="eastAsia" w:asciiTheme="minorEastAsia" w:hAnsiTheme="minorEastAsia" w:eastAsiaTheme="minorEastAsia" w:cstheme="minorEastAsia"/>
        </w:rPr>
        <w:t>应商签章：</w:t>
      </w:r>
      <w:r>
        <w:rPr>
          <w:rFonts w:hint="eastAsia" w:asciiTheme="minorEastAsia" w:hAnsiTheme="minorEastAsia" w:eastAsiaTheme="minorEastAsia" w:cstheme="minorEastAsia"/>
          <w:u w:val="single"/>
        </w:rPr>
        <w:t xml:space="preserve"> </w:t>
      </w:r>
      <w:r>
        <w:rPr>
          <w:rFonts w:asciiTheme="minorEastAsia" w:hAnsiTheme="minorEastAsia" w:eastAsiaTheme="minorEastAsia" w:cstheme="minorEastAsia"/>
          <w:u w:val="single"/>
        </w:rPr>
        <w:t xml:space="preserve">                          </w:t>
      </w:r>
      <w:r>
        <w:rPr>
          <w:b/>
        </w:rPr>
        <w:br w:type="page"/>
      </w:r>
    </w:p>
    <w:p>
      <w:pPr>
        <w:spacing w:line="360" w:lineRule="auto"/>
        <w:jc w:val="center"/>
        <w:rPr>
          <w:b/>
        </w:rPr>
      </w:pPr>
      <w:r>
        <w:rPr>
          <w:rFonts w:hint="eastAsia"/>
          <w:b/>
        </w:rPr>
        <w:t>（二）参加政府采购活动前3年在经营活动中没有重大</w:t>
      </w:r>
    </w:p>
    <w:p>
      <w:pPr>
        <w:spacing w:line="360" w:lineRule="auto"/>
        <w:jc w:val="center"/>
        <w:rPr>
          <w:rFonts w:cs="黑体"/>
          <w:b/>
          <w:sz w:val="28"/>
          <w:szCs w:val="28"/>
        </w:rPr>
      </w:pPr>
      <w:r>
        <w:rPr>
          <w:rFonts w:hint="eastAsia"/>
          <w:b/>
        </w:rPr>
        <w:t>违法记录的书面声明</w:t>
      </w:r>
    </w:p>
    <w:p>
      <w:pPr>
        <w:spacing w:before="120" w:beforeLines="50" w:after="120" w:afterLines="50" w:line="360" w:lineRule="auto"/>
        <w:ind w:left="687" w:leftChars="227" w:hanging="210" w:hangingChars="100"/>
        <w:rPr>
          <w:u w:val="single"/>
        </w:rPr>
      </w:pPr>
      <w:r>
        <w:rPr>
          <w:rFonts w:hint="eastAsia"/>
          <w:u w:val="single"/>
        </w:rPr>
        <w:t>采购人名称：</w:t>
      </w:r>
    </w:p>
    <w:p>
      <w:pPr>
        <w:spacing w:before="120" w:beforeLines="50" w:after="120" w:afterLines="50" w:line="360" w:lineRule="auto"/>
        <w:ind w:left="689" w:leftChars="328" w:firstLine="210" w:firstLineChars="100"/>
      </w:pPr>
      <w:r>
        <w:rPr>
          <w:rFonts w:hint="eastAsia"/>
        </w:rPr>
        <w:t>我单位在参加政府采购活动前3年在经营活动中没有重大违法记录，特此声明。</w:t>
      </w:r>
    </w:p>
    <w:p>
      <w:pPr>
        <w:spacing w:before="120" w:beforeLines="50" w:after="120" w:afterLines="50" w:line="360" w:lineRule="auto"/>
        <w:ind w:left="687" w:leftChars="227" w:hanging="210" w:hangingChars="100"/>
      </w:pPr>
    </w:p>
    <w:p>
      <w:pPr>
        <w:spacing w:before="120" w:beforeLines="50" w:after="120" w:afterLines="50" w:line="360" w:lineRule="auto"/>
        <w:ind w:left="687" w:leftChars="227" w:hanging="210" w:hangingChars="100"/>
      </w:pPr>
    </w:p>
    <w:p>
      <w:pPr>
        <w:spacing w:before="120" w:beforeLines="50" w:after="120" w:afterLines="50" w:line="360" w:lineRule="auto"/>
        <w:ind w:left="687" w:leftChars="227" w:hanging="210" w:hangingChars="100"/>
      </w:pPr>
      <w:r>
        <w:rPr>
          <w:rFonts w:hint="eastAsia"/>
        </w:rPr>
        <w:t>注：联合体投标的，需各联合体成员各自出具。</w:t>
      </w:r>
    </w:p>
    <w:p>
      <w:pPr>
        <w:spacing w:before="120" w:beforeLines="50" w:after="120" w:afterLines="50" w:line="360" w:lineRule="auto"/>
        <w:ind w:left="687" w:leftChars="227" w:hanging="210" w:hangingChars="100"/>
      </w:pPr>
    </w:p>
    <w:p>
      <w:pPr>
        <w:pStyle w:val="43"/>
        <w:spacing w:line="360" w:lineRule="auto"/>
        <w:rPr>
          <w:lang w:val="en-US"/>
        </w:rPr>
      </w:pPr>
    </w:p>
    <w:p>
      <w:pPr>
        <w:pStyle w:val="43"/>
        <w:spacing w:line="360" w:lineRule="auto"/>
        <w:rPr>
          <w:lang w:val="en-US"/>
        </w:rPr>
      </w:pPr>
    </w:p>
    <w:p>
      <w:pPr>
        <w:spacing w:line="360" w:lineRule="auto"/>
        <w:jc w:val="right"/>
      </w:pPr>
    </w:p>
    <w:p>
      <w:pPr>
        <w:spacing w:line="360" w:lineRule="auto"/>
        <w:jc w:val="right"/>
        <w:rPr>
          <w:u w:val="single"/>
        </w:rPr>
      </w:pPr>
      <w:r>
        <w:rPr>
          <w:rFonts w:hint="eastAsia"/>
        </w:rPr>
        <w:t>供应商（盖章）：</w:t>
      </w:r>
    </w:p>
    <w:p>
      <w:pPr>
        <w:spacing w:line="360" w:lineRule="auto"/>
        <w:jc w:val="right"/>
      </w:pPr>
      <w:r>
        <w:rPr>
          <w:rFonts w:hint="eastAsia"/>
        </w:rPr>
        <w:t>法定代表人或被授权人（签字或盖章）：</w:t>
      </w:r>
    </w:p>
    <w:p>
      <w:pPr>
        <w:pStyle w:val="2"/>
        <w:spacing w:line="360" w:lineRule="auto"/>
        <w:jc w:val="right"/>
        <w:rPr>
          <w:u w:val="single"/>
        </w:rPr>
      </w:pPr>
    </w:p>
    <w:p>
      <w:pPr>
        <w:spacing w:line="360" w:lineRule="auto"/>
        <w:jc w:val="right"/>
      </w:pPr>
      <w:r>
        <w:rPr>
          <w:rFonts w:hint="eastAsia"/>
        </w:rPr>
        <w:t>日期：   年  月  日</w:t>
      </w:r>
    </w:p>
    <w:p>
      <w:pPr>
        <w:spacing w:line="360" w:lineRule="auto"/>
        <w:rPr>
          <w:b/>
        </w:rPr>
      </w:pPr>
    </w:p>
    <w:p>
      <w:pPr>
        <w:widowControl/>
        <w:wordWrap/>
        <w:topLinePunct w:val="0"/>
        <w:jc w:val="center"/>
        <w:sectPr>
          <w:type w:val="continuous"/>
          <w:pgSz w:w="11920" w:h="16840"/>
          <w:pgMar w:top="1134" w:right="1134" w:bottom="1134" w:left="1134" w:header="794" w:footer="851" w:gutter="0"/>
          <w:cols w:space="720" w:num="1"/>
        </w:sectPr>
      </w:pPr>
      <w:r>
        <w:br w:type="page"/>
      </w:r>
    </w:p>
    <w:p>
      <w:pPr>
        <w:spacing w:line="360" w:lineRule="auto"/>
        <w:jc w:val="center"/>
        <w:rPr>
          <w:b/>
        </w:rPr>
      </w:pPr>
    </w:p>
    <w:p>
      <w:pPr>
        <w:spacing w:line="360" w:lineRule="auto"/>
        <w:jc w:val="center"/>
        <w:rPr>
          <w:rFonts w:cs="黑体"/>
          <w:b/>
          <w:sz w:val="28"/>
          <w:szCs w:val="28"/>
        </w:rPr>
      </w:pPr>
      <w:r>
        <w:rPr>
          <w:rFonts w:hint="eastAsia"/>
          <w:b/>
        </w:rPr>
        <w:t>（三）参加政府采购活动前3年无行贿犯罪记录承诺函</w:t>
      </w:r>
    </w:p>
    <w:p>
      <w:pPr>
        <w:widowControl/>
        <w:wordWrap/>
        <w:topLinePunct w:val="0"/>
        <w:jc w:val="center"/>
        <w:rPr>
          <w:b/>
        </w:rPr>
      </w:pPr>
    </w:p>
    <w:p>
      <w:pPr>
        <w:pStyle w:val="2"/>
        <w:widowControl/>
        <w:wordWrap/>
        <w:topLinePunct w:val="0"/>
        <w:jc w:val="center"/>
      </w:pPr>
    </w:p>
    <w:p>
      <w:pPr>
        <w:spacing w:before="120" w:beforeLines="50" w:after="120" w:afterLines="50" w:line="360" w:lineRule="auto"/>
        <w:ind w:left="687" w:leftChars="227" w:hanging="210" w:hangingChars="100"/>
        <w:rPr>
          <w:u w:val="single"/>
        </w:rPr>
      </w:pPr>
      <w:r>
        <w:rPr>
          <w:rFonts w:hint="eastAsia"/>
          <w:u w:val="single"/>
        </w:rPr>
        <w:t>采购人名称：</w:t>
      </w:r>
    </w:p>
    <w:p>
      <w:pPr>
        <w:spacing w:before="120" w:beforeLines="50" w:after="120" w:afterLines="50" w:line="360" w:lineRule="auto"/>
        <w:ind w:left="687" w:leftChars="327" w:firstLine="210" w:firstLineChars="100"/>
      </w:pPr>
      <w:r>
        <w:rPr>
          <w:rFonts w:hint="eastAsia"/>
        </w:rPr>
        <w:t>我单位现任法定代表人、项目负责人在参加本项目投标活动前3年内不具有行贿犯罪记录。</w:t>
      </w:r>
    </w:p>
    <w:p>
      <w:pPr>
        <w:spacing w:before="120" w:beforeLines="50" w:after="120" w:afterLines="50" w:line="360" w:lineRule="auto"/>
        <w:ind w:left="687" w:leftChars="327" w:firstLine="210" w:firstLineChars="100"/>
      </w:pPr>
      <w:r>
        <w:rPr>
          <w:rFonts w:hint="eastAsia"/>
        </w:rPr>
        <w:t>本单位对上述承诺的内容事项真实性负责。</w:t>
      </w:r>
    </w:p>
    <w:p>
      <w:pPr>
        <w:pStyle w:val="3"/>
        <w:widowControl/>
        <w:wordWrap/>
        <w:topLinePunct w:val="0"/>
        <w:jc w:val="center"/>
        <w:rPr>
          <w:color w:val="auto"/>
        </w:rPr>
      </w:pPr>
    </w:p>
    <w:p>
      <w:pPr>
        <w:pStyle w:val="2"/>
        <w:widowControl/>
        <w:wordWrap/>
        <w:topLinePunct w:val="0"/>
        <w:jc w:val="center"/>
      </w:pPr>
    </w:p>
    <w:p>
      <w:pPr>
        <w:spacing w:before="120" w:beforeLines="50" w:after="120" w:afterLines="50" w:line="360" w:lineRule="auto"/>
        <w:ind w:left="687" w:leftChars="227" w:hanging="210" w:hangingChars="100"/>
      </w:pPr>
      <w:r>
        <w:rPr>
          <w:rFonts w:hint="eastAsia"/>
        </w:rPr>
        <w:t>注：联合体投标的，需各联合体成员各自出具。</w:t>
      </w:r>
    </w:p>
    <w:p>
      <w:pPr>
        <w:pStyle w:val="3"/>
        <w:widowControl/>
        <w:wordWrap/>
        <w:topLinePunct w:val="0"/>
        <w:jc w:val="center"/>
        <w:rPr>
          <w:color w:val="auto"/>
        </w:rPr>
      </w:pPr>
    </w:p>
    <w:p>
      <w:pPr>
        <w:pStyle w:val="2"/>
        <w:widowControl/>
        <w:wordWrap/>
        <w:topLinePunct w:val="0"/>
        <w:jc w:val="center"/>
      </w:pPr>
    </w:p>
    <w:p>
      <w:pPr>
        <w:spacing w:line="360" w:lineRule="auto"/>
        <w:jc w:val="right"/>
      </w:pPr>
    </w:p>
    <w:p>
      <w:pPr>
        <w:spacing w:line="360" w:lineRule="auto"/>
        <w:jc w:val="right"/>
        <w:rPr>
          <w:u w:val="single"/>
        </w:rPr>
      </w:pPr>
      <w:r>
        <w:rPr>
          <w:rFonts w:hint="eastAsia"/>
        </w:rPr>
        <w:t>供应商（盖章）：</w:t>
      </w:r>
    </w:p>
    <w:p>
      <w:pPr>
        <w:spacing w:line="360" w:lineRule="auto"/>
        <w:jc w:val="right"/>
      </w:pPr>
      <w:r>
        <w:rPr>
          <w:rFonts w:hint="eastAsia"/>
        </w:rPr>
        <w:t>法定代表人或被授权人（签字或盖章）：</w:t>
      </w:r>
    </w:p>
    <w:p>
      <w:pPr>
        <w:pStyle w:val="2"/>
      </w:pPr>
    </w:p>
    <w:p>
      <w:pPr>
        <w:spacing w:line="360" w:lineRule="auto"/>
        <w:jc w:val="right"/>
      </w:pPr>
      <w:r>
        <w:rPr>
          <w:rFonts w:hint="eastAsia"/>
        </w:rPr>
        <w:t>日期：   年  月  日</w:t>
      </w:r>
    </w:p>
    <w:p>
      <w:pPr>
        <w:pStyle w:val="3"/>
        <w:widowControl/>
        <w:wordWrap/>
        <w:topLinePunct w:val="0"/>
        <w:jc w:val="center"/>
        <w:rPr>
          <w:color w:val="auto"/>
        </w:rPr>
      </w:pPr>
    </w:p>
    <w:p>
      <w:pPr>
        <w:pStyle w:val="2"/>
        <w:widowControl/>
        <w:wordWrap/>
        <w:topLinePunct w:val="0"/>
        <w:jc w:val="center"/>
      </w:pPr>
    </w:p>
    <w:p>
      <w:pPr>
        <w:pStyle w:val="3"/>
        <w:widowControl/>
        <w:wordWrap/>
        <w:topLinePunct w:val="0"/>
        <w:jc w:val="center"/>
        <w:rPr>
          <w:color w:val="auto"/>
        </w:rPr>
      </w:pPr>
    </w:p>
    <w:p>
      <w:pPr>
        <w:pStyle w:val="2"/>
        <w:widowControl/>
        <w:wordWrap/>
        <w:topLinePunct w:val="0"/>
        <w:jc w:val="center"/>
      </w:pPr>
    </w:p>
    <w:p>
      <w:pPr>
        <w:pStyle w:val="3"/>
        <w:widowControl/>
        <w:wordWrap/>
        <w:topLinePunct w:val="0"/>
        <w:jc w:val="center"/>
        <w:rPr>
          <w:color w:val="auto"/>
        </w:rPr>
      </w:pPr>
    </w:p>
    <w:p>
      <w:pPr>
        <w:pStyle w:val="2"/>
        <w:widowControl/>
        <w:wordWrap/>
        <w:topLinePunct w:val="0"/>
        <w:jc w:val="center"/>
        <w:rPr>
          <w:b/>
        </w:rPr>
        <w:sectPr>
          <w:pgSz w:w="11920" w:h="16840"/>
          <w:pgMar w:top="1134" w:right="1134" w:bottom="1134" w:left="1134" w:header="794" w:footer="851" w:gutter="0"/>
          <w:cols w:space="720" w:num="1"/>
        </w:sectPr>
      </w:pPr>
    </w:p>
    <w:p>
      <w:pPr>
        <w:widowControl/>
        <w:wordWrap/>
        <w:topLinePunct w:val="0"/>
        <w:jc w:val="center"/>
        <w:rPr>
          <w:b/>
        </w:rPr>
      </w:pPr>
      <w:r>
        <w:rPr>
          <w:rFonts w:hint="eastAsia"/>
          <w:b/>
        </w:rPr>
        <w:t>（四）其他资格审查资料</w:t>
      </w:r>
    </w:p>
    <w:p>
      <w:pPr>
        <w:widowControl/>
        <w:wordWrap/>
        <w:topLinePunct w:val="0"/>
        <w:jc w:val="left"/>
        <w:rPr>
          <w:b/>
        </w:rPr>
      </w:pPr>
    </w:p>
    <w:p>
      <w:pPr>
        <w:widowControl/>
        <w:wordWrap/>
        <w:topLinePunct w:val="0"/>
        <w:jc w:val="left"/>
        <w:rPr>
          <w:b/>
        </w:rPr>
      </w:pPr>
      <w:r>
        <w:rPr>
          <w:rFonts w:hint="eastAsia"/>
          <w:b/>
        </w:rPr>
        <w:t>1、有依法缴纳税收和社会保障资金的良好记录的证明文件</w:t>
      </w:r>
    </w:p>
    <w:p>
      <w:pPr>
        <w:widowControl/>
        <w:wordWrap/>
        <w:topLinePunct w:val="0"/>
        <w:jc w:val="left"/>
        <w:rPr>
          <w:b/>
        </w:rPr>
      </w:pPr>
      <w:r>
        <w:rPr>
          <w:rFonts w:hint="eastAsia"/>
          <w:b/>
        </w:rPr>
        <w:t>（需提供</w:t>
      </w:r>
      <w:r>
        <w:rPr>
          <w:b/>
        </w:rPr>
        <w:t>2021年1月1日以来任意一个月的缴纳税收及社保证明</w:t>
      </w:r>
      <w:r>
        <w:rPr>
          <w:rFonts w:hint="eastAsia"/>
          <w:b/>
        </w:rPr>
        <w:t>）</w:t>
      </w:r>
    </w:p>
    <w:p>
      <w:pPr>
        <w:spacing w:line="360" w:lineRule="auto"/>
      </w:pPr>
    </w:p>
    <w:p>
      <w:pPr>
        <w:pStyle w:val="25"/>
        <w:spacing w:line="360" w:lineRule="auto"/>
        <w:ind w:left="0" w:leftChars="0" w:firstLine="0" w:firstLineChars="0"/>
        <w:rPr>
          <w:rFonts w:ascii="宋体" w:hAnsi="宋体"/>
        </w:rPr>
      </w:pPr>
    </w:p>
    <w:p>
      <w:pPr>
        <w:pStyle w:val="9"/>
        <w:spacing w:line="360" w:lineRule="auto"/>
        <w:ind w:firstLine="0" w:firstLineChars="0"/>
        <w:rPr>
          <w:rFonts w:ascii="宋体" w:hAnsi="宋体"/>
        </w:rPr>
      </w:pPr>
    </w:p>
    <w:p>
      <w:pPr>
        <w:widowControl/>
        <w:wordWrap/>
        <w:topLinePunct w:val="0"/>
        <w:spacing w:line="360" w:lineRule="auto"/>
        <w:jc w:val="left"/>
        <w:rPr>
          <w:b/>
        </w:rPr>
      </w:pPr>
      <w:r>
        <w:rPr>
          <w:rFonts w:hint="eastAsia"/>
          <w:b/>
        </w:rPr>
        <w:t>2、具有良好的商业信誉和健全的财务会计制度的证明文件</w:t>
      </w:r>
    </w:p>
    <w:p>
      <w:pPr>
        <w:pStyle w:val="25"/>
        <w:spacing w:line="360" w:lineRule="auto"/>
        <w:ind w:left="0" w:leftChars="0" w:firstLine="0" w:firstLineChars="0"/>
        <w:rPr>
          <w:rFonts w:ascii="宋体" w:hAnsi="宋体"/>
        </w:rPr>
      </w:pPr>
      <w:r>
        <w:rPr>
          <w:rFonts w:hint="eastAsia"/>
          <w:b/>
        </w:rPr>
        <w:t>（提供2021年度财务审计报告或基本开户银行出具的资信证明，不足年份以成立之日起计，提供相关财务报表）；</w:t>
      </w:r>
    </w:p>
    <w:p>
      <w:pPr>
        <w:pStyle w:val="9"/>
        <w:spacing w:line="360" w:lineRule="auto"/>
        <w:ind w:firstLine="0" w:firstLineChars="0"/>
        <w:rPr>
          <w:rFonts w:ascii="宋体" w:hAnsi="宋体"/>
        </w:rPr>
      </w:pPr>
    </w:p>
    <w:p>
      <w:pPr>
        <w:pStyle w:val="9"/>
        <w:spacing w:line="360" w:lineRule="auto"/>
        <w:ind w:firstLine="0" w:firstLineChars="0"/>
        <w:rPr>
          <w:rFonts w:ascii="宋体" w:hAnsi="宋体"/>
        </w:rPr>
      </w:pPr>
    </w:p>
    <w:p>
      <w:pPr>
        <w:widowControl/>
        <w:wordWrap/>
        <w:topLinePunct w:val="0"/>
        <w:jc w:val="left"/>
        <w:rPr>
          <w:b/>
        </w:rPr>
      </w:pPr>
      <w:r>
        <w:rPr>
          <w:b/>
        </w:rPr>
        <w:t>3</w:t>
      </w:r>
      <w:r>
        <w:rPr>
          <w:rFonts w:hint="eastAsia"/>
          <w:b/>
        </w:rPr>
        <w:t>、没有被列入失信被执行人、重大税收违法案件当事人名单，须提供规范的信用报告，信用报告应通过“信用中国”网站</w:t>
      </w:r>
      <w:r>
        <w:rPr>
          <w:b/>
        </w:rPr>
        <w:t>(www.creditchina.gov.cn)下载，信用报告的生成日期为本项目递交投标文件截止时间前10日内。中国政府采购网(www.ccgp.gov.cn)查询政府采购严重违法失信行为记录名单（提供招标公告发布之后的网站查询结果截图并加盖公章）</w:t>
      </w:r>
      <w:r>
        <w:rPr>
          <w:rFonts w:hint="eastAsia"/>
          <w:b/>
        </w:rPr>
        <w:t>。证明材料附后。</w:t>
      </w:r>
    </w:p>
    <w:p>
      <w:pPr>
        <w:widowControl/>
        <w:wordWrap/>
        <w:topLinePunct w:val="0"/>
        <w:jc w:val="left"/>
        <w:rPr>
          <w:b/>
        </w:rPr>
      </w:pP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r>
        <w:rPr>
          <w:rFonts w:hint="eastAsia"/>
        </w:rPr>
        <w:t>注：联合体投标的，需各联合体成员各自出具。</w:t>
      </w: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p>
    <w:p>
      <w:pPr>
        <w:pStyle w:val="25"/>
        <w:spacing w:line="360" w:lineRule="auto"/>
        <w:ind w:left="0" w:leftChars="0" w:firstLine="0" w:firstLineChars="0"/>
        <w:rPr>
          <w:rFonts w:ascii="宋体" w:hAnsi="宋体"/>
        </w:rPr>
      </w:pPr>
    </w:p>
    <w:p>
      <w:pPr>
        <w:pStyle w:val="5"/>
        <w:tabs>
          <w:tab w:val="left" w:pos="425"/>
        </w:tabs>
        <w:ind w:left="0"/>
        <w:rPr>
          <w:szCs w:val="24"/>
          <w:lang w:val="zh-CN" w:eastAsia="zh-CN"/>
        </w:rPr>
      </w:pPr>
      <w:bookmarkStart w:id="667" w:name="_Toc28662"/>
      <w:bookmarkStart w:id="668" w:name="_Toc25723_WPSOffice_Level1"/>
      <w:bookmarkStart w:id="669" w:name="_Toc29835_WPSOffice_Level1"/>
      <w:bookmarkStart w:id="670" w:name="_Toc21612_WPSOffice_Level1"/>
      <w:r>
        <w:rPr>
          <w:rFonts w:hint="eastAsia"/>
          <w:szCs w:val="24"/>
          <w:lang w:val="zh-CN" w:eastAsia="zh-CN"/>
        </w:rPr>
        <w:t>四、</w:t>
      </w:r>
      <w:bookmarkEnd w:id="667"/>
      <w:bookmarkEnd w:id="668"/>
      <w:bookmarkEnd w:id="669"/>
      <w:bookmarkEnd w:id="670"/>
      <w:r>
        <w:rPr>
          <w:rFonts w:hint="eastAsia"/>
          <w:szCs w:val="24"/>
          <w:lang w:val="zh-CN" w:eastAsia="zh-CN"/>
        </w:rPr>
        <w:t>设计方案</w:t>
      </w:r>
    </w:p>
    <w:p>
      <w:pPr>
        <w:pStyle w:val="9"/>
        <w:rPr>
          <w:szCs w:val="24"/>
        </w:rPr>
      </w:pPr>
    </w:p>
    <w:p>
      <w:pPr>
        <w:pStyle w:val="9"/>
        <w:jc w:val="center"/>
        <w:rPr>
          <w:szCs w:val="24"/>
        </w:rPr>
        <w:sectPr>
          <w:pgSz w:w="11920" w:h="16840"/>
          <w:pgMar w:top="1134" w:right="1134" w:bottom="1134" w:left="1134" w:header="794" w:footer="851" w:gutter="0"/>
          <w:cols w:space="720" w:num="1"/>
        </w:sectPr>
      </w:pPr>
      <w:r>
        <w:rPr>
          <w:rFonts w:hint="eastAsia"/>
          <w:szCs w:val="24"/>
        </w:rPr>
        <w:t>投标人自行编制，格式自拟。</w:t>
      </w:r>
    </w:p>
    <w:p>
      <w:pPr>
        <w:pStyle w:val="5"/>
        <w:tabs>
          <w:tab w:val="left" w:pos="425"/>
        </w:tabs>
        <w:ind w:left="0"/>
        <w:rPr>
          <w:sz w:val="24"/>
          <w:szCs w:val="24"/>
        </w:rPr>
      </w:pPr>
      <w:bookmarkStart w:id="671" w:name="_Toc14509"/>
      <w:bookmarkStart w:id="672" w:name="_Toc26359_WPSOffice_Level1"/>
      <w:bookmarkStart w:id="673" w:name="_Toc6830_WPSOffice_Level1"/>
      <w:bookmarkStart w:id="674" w:name="_Toc28787_WPSOffice_Level1"/>
      <w:r>
        <w:rPr>
          <w:rFonts w:hint="eastAsia"/>
          <w:szCs w:val="24"/>
          <w:lang w:eastAsia="zh-CN"/>
        </w:rPr>
        <w:t>五、项目</w:t>
      </w:r>
      <w:bookmarkEnd w:id="671"/>
      <w:bookmarkEnd w:id="672"/>
      <w:bookmarkEnd w:id="673"/>
      <w:bookmarkEnd w:id="674"/>
      <w:r>
        <w:rPr>
          <w:rFonts w:hint="eastAsia"/>
          <w:szCs w:val="24"/>
          <w:lang w:eastAsia="zh-CN"/>
        </w:rPr>
        <w:t>人员配备表</w:t>
      </w:r>
    </w:p>
    <w:p>
      <w:pPr>
        <w:spacing w:line="360" w:lineRule="auto"/>
      </w:pPr>
    </w:p>
    <w:p>
      <w:pPr>
        <w:pStyle w:val="2"/>
      </w:pPr>
    </w:p>
    <w:tbl>
      <w:tblPr>
        <w:tblStyle w:val="26"/>
        <w:tblW w:w="4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634"/>
        <w:gridCol w:w="1514"/>
        <w:gridCol w:w="3715"/>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 w:type="pct"/>
          </w:tcPr>
          <w:p>
            <w:pPr>
              <w:spacing w:line="360" w:lineRule="auto"/>
              <w:jc w:val="center"/>
            </w:pPr>
            <w:r>
              <w:rPr>
                <w:rFonts w:hint="eastAsia"/>
              </w:rPr>
              <w:t>序号</w:t>
            </w:r>
          </w:p>
        </w:tc>
        <w:tc>
          <w:tcPr>
            <w:tcW w:w="903" w:type="pct"/>
            <w:noWrap/>
            <w:vAlign w:val="center"/>
          </w:tcPr>
          <w:p>
            <w:pPr>
              <w:spacing w:line="360" w:lineRule="auto"/>
              <w:jc w:val="center"/>
            </w:pPr>
            <w:r>
              <w:rPr>
                <w:rFonts w:hint="eastAsia"/>
              </w:rPr>
              <w:t>姓名</w:t>
            </w:r>
          </w:p>
        </w:tc>
        <w:tc>
          <w:tcPr>
            <w:tcW w:w="836" w:type="pct"/>
            <w:noWrap/>
            <w:vAlign w:val="center"/>
          </w:tcPr>
          <w:p>
            <w:pPr>
              <w:spacing w:line="360" w:lineRule="auto"/>
              <w:jc w:val="center"/>
            </w:pPr>
            <w:r>
              <w:rPr>
                <w:rFonts w:hint="eastAsia"/>
              </w:rPr>
              <w:t>职称</w:t>
            </w:r>
          </w:p>
        </w:tc>
        <w:tc>
          <w:tcPr>
            <w:tcW w:w="2052" w:type="pct"/>
            <w:noWrap/>
            <w:vAlign w:val="center"/>
          </w:tcPr>
          <w:p>
            <w:pPr>
              <w:spacing w:line="360" w:lineRule="auto"/>
              <w:jc w:val="center"/>
            </w:pPr>
            <w:r>
              <w:rPr>
                <w:rFonts w:hint="eastAsia"/>
              </w:rPr>
              <w:t>专业</w:t>
            </w:r>
          </w:p>
        </w:tc>
        <w:tc>
          <w:tcPr>
            <w:tcW w:w="758" w:type="pct"/>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 w:type="pct"/>
          </w:tcPr>
          <w:p>
            <w:pPr>
              <w:spacing w:line="360" w:lineRule="auto"/>
              <w:jc w:val="center"/>
            </w:pPr>
          </w:p>
        </w:tc>
        <w:tc>
          <w:tcPr>
            <w:tcW w:w="903" w:type="pct"/>
            <w:noWrap/>
            <w:vAlign w:val="center"/>
          </w:tcPr>
          <w:p>
            <w:pPr>
              <w:spacing w:line="360" w:lineRule="auto"/>
              <w:jc w:val="center"/>
            </w:pPr>
          </w:p>
        </w:tc>
        <w:tc>
          <w:tcPr>
            <w:tcW w:w="836" w:type="pct"/>
            <w:noWrap/>
            <w:vAlign w:val="center"/>
          </w:tcPr>
          <w:p>
            <w:pPr>
              <w:spacing w:line="360" w:lineRule="auto"/>
              <w:jc w:val="center"/>
            </w:pPr>
          </w:p>
        </w:tc>
        <w:tc>
          <w:tcPr>
            <w:tcW w:w="2052" w:type="pct"/>
            <w:noWrap/>
            <w:vAlign w:val="center"/>
          </w:tcPr>
          <w:p>
            <w:pPr>
              <w:spacing w:line="360" w:lineRule="auto"/>
              <w:jc w:val="center"/>
            </w:pPr>
          </w:p>
        </w:tc>
        <w:tc>
          <w:tcPr>
            <w:tcW w:w="758" w:type="pct"/>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 w:type="pct"/>
          </w:tcPr>
          <w:p>
            <w:pPr>
              <w:spacing w:line="360" w:lineRule="auto"/>
              <w:jc w:val="center"/>
            </w:pPr>
          </w:p>
        </w:tc>
        <w:tc>
          <w:tcPr>
            <w:tcW w:w="903" w:type="pct"/>
            <w:noWrap/>
            <w:vAlign w:val="center"/>
          </w:tcPr>
          <w:p>
            <w:pPr>
              <w:spacing w:line="360" w:lineRule="auto"/>
              <w:jc w:val="center"/>
            </w:pPr>
          </w:p>
        </w:tc>
        <w:tc>
          <w:tcPr>
            <w:tcW w:w="836" w:type="pct"/>
            <w:noWrap/>
            <w:vAlign w:val="center"/>
          </w:tcPr>
          <w:p>
            <w:pPr>
              <w:spacing w:line="360" w:lineRule="auto"/>
              <w:jc w:val="center"/>
            </w:pPr>
          </w:p>
        </w:tc>
        <w:tc>
          <w:tcPr>
            <w:tcW w:w="2052" w:type="pct"/>
            <w:noWrap/>
            <w:vAlign w:val="center"/>
          </w:tcPr>
          <w:p>
            <w:pPr>
              <w:spacing w:line="360" w:lineRule="auto"/>
              <w:jc w:val="center"/>
            </w:pPr>
          </w:p>
        </w:tc>
        <w:tc>
          <w:tcPr>
            <w:tcW w:w="758" w:type="pct"/>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 w:type="pct"/>
          </w:tcPr>
          <w:p>
            <w:pPr>
              <w:spacing w:line="360" w:lineRule="auto"/>
              <w:jc w:val="center"/>
            </w:pPr>
          </w:p>
        </w:tc>
        <w:tc>
          <w:tcPr>
            <w:tcW w:w="903" w:type="pct"/>
            <w:noWrap/>
            <w:vAlign w:val="center"/>
          </w:tcPr>
          <w:p>
            <w:pPr>
              <w:spacing w:line="360" w:lineRule="auto"/>
              <w:jc w:val="center"/>
            </w:pPr>
          </w:p>
        </w:tc>
        <w:tc>
          <w:tcPr>
            <w:tcW w:w="836" w:type="pct"/>
            <w:noWrap/>
            <w:vAlign w:val="center"/>
          </w:tcPr>
          <w:p>
            <w:pPr>
              <w:spacing w:line="360" w:lineRule="auto"/>
              <w:jc w:val="center"/>
            </w:pPr>
          </w:p>
        </w:tc>
        <w:tc>
          <w:tcPr>
            <w:tcW w:w="2052" w:type="pct"/>
            <w:noWrap/>
            <w:vAlign w:val="center"/>
          </w:tcPr>
          <w:p>
            <w:pPr>
              <w:spacing w:line="360" w:lineRule="auto"/>
              <w:jc w:val="center"/>
            </w:pPr>
          </w:p>
        </w:tc>
        <w:tc>
          <w:tcPr>
            <w:tcW w:w="758" w:type="pct"/>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 w:type="pct"/>
          </w:tcPr>
          <w:p>
            <w:pPr>
              <w:spacing w:line="360" w:lineRule="auto"/>
              <w:jc w:val="center"/>
            </w:pPr>
          </w:p>
        </w:tc>
        <w:tc>
          <w:tcPr>
            <w:tcW w:w="903" w:type="pct"/>
            <w:noWrap/>
            <w:vAlign w:val="center"/>
          </w:tcPr>
          <w:p>
            <w:pPr>
              <w:spacing w:line="360" w:lineRule="auto"/>
              <w:jc w:val="center"/>
            </w:pPr>
          </w:p>
        </w:tc>
        <w:tc>
          <w:tcPr>
            <w:tcW w:w="836" w:type="pct"/>
            <w:noWrap/>
            <w:vAlign w:val="center"/>
          </w:tcPr>
          <w:p>
            <w:pPr>
              <w:spacing w:line="360" w:lineRule="auto"/>
              <w:jc w:val="center"/>
            </w:pPr>
          </w:p>
        </w:tc>
        <w:tc>
          <w:tcPr>
            <w:tcW w:w="2052" w:type="pct"/>
            <w:noWrap/>
            <w:vAlign w:val="center"/>
          </w:tcPr>
          <w:p>
            <w:pPr>
              <w:spacing w:line="360" w:lineRule="auto"/>
              <w:jc w:val="center"/>
            </w:pPr>
          </w:p>
        </w:tc>
        <w:tc>
          <w:tcPr>
            <w:tcW w:w="758" w:type="pct"/>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 w:type="pct"/>
          </w:tcPr>
          <w:p>
            <w:pPr>
              <w:spacing w:line="360" w:lineRule="auto"/>
              <w:jc w:val="center"/>
            </w:pPr>
          </w:p>
        </w:tc>
        <w:tc>
          <w:tcPr>
            <w:tcW w:w="903" w:type="pct"/>
            <w:noWrap/>
            <w:vAlign w:val="center"/>
          </w:tcPr>
          <w:p>
            <w:pPr>
              <w:spacing w:line="360" w:lineRule="auto"/>
              <w:jc w:val="center"/>
            </w:pPr>
          </w:p>
        </w:tc>
        <w:tc>
          <w:tcPr>
            <w:tcW w:w="836" w:type="pct"/>
            <w:noWrap/>
            <w:vAlign w:val="center"/>
          </w:tcPr>
          <w:p>
            <w:pPr>
              <w:spacing w:line="360" w:lineRule="auto"/>
              <w:jc w:val="center"/>
            </w:pPr>
          </w:p>
        </w:tc>
        <w:tc>
          <w:tcPr>
            <w:tcW w:w="2052" w:type="pct"/>
            <w:noWrap/>
            <w:vAlign w:val="center"/>
          </w:tcPr>
          <w:p>
            <w:pPr>
              <w:spacing w:line="360" w:lineRule="auto"/>
              <w:jc w:val="center"/>
            </w:pPr>
          </w:p>
        </w:tc>
        <w:tc>
          <w:tcPr>
            <w:tcW w:w="758" w:type="pct"/>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 w:type="pct"/>
          </w:tcPr>
          <w:p>
            <w:pPr>
              <w:spacing w:line="360" w:lineRule="auto"/>
              <w:jc w:val="center"/>
            </w:pPr>
          </w:p>
        </w:tc>
        <w:tc>
          <w:tcPr>
            <w:tcW w:w="903" w:type="pct"/>
            <w:noWrap/>
            <w:vAlign w:val="center"/>
          </w:tcPr>
          <w:p>
            <w:pPr>
              <w:spacing w:line="360" w:lineRule="auto"/>
              <w:jc w:val="center"/>
            </w:pPr>
          </w:p>
        </w:tc>
        <w:tc>
          <w:tcPr>
            <w:tcW w:w="836" w:type="pct"/>
            <w:noWrap/>
            <w:vAlign w:val="center"/>
          </w:tcPr>
          <w:p>
            <w:pPr>
              <w:spacing w:line="360" w:lineRule="auto"/>
              <w:jc w:val="center"/>
            </w:pPr>
          </w:p>
        </w:tc>
        <w:tc>
          <w:tcPr>
            <w:tcW w:w="2052" w:type="pct"/>
            <w:noWrap/>
            <w:vAlign w:val="center"/>
          </w:tcPr>
          <w:p>
            <w:pPr>
              <w:spacing w:line="360" w:lineRule="auto"/>
              <w:jc w:val="center"/>
            </w:pPr>
          </w:p>
        </w:tc>
        <w:tc>
          <w:tcPr>
            <w:tcW w:w="758" w:type="pct"/>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 w:type="pct"/>
          </w:tcPr>
          <w:p>
            <w:pPr>
              <w:spacing w:line="360" w:lineRule="auto"/>
              <w:jc w:val="center"/>
            </w:pPr>
          </w:p>
        </w:tc>
        <w:tc>
          <w:tcPr>
            <w:tcW w:w="903" w:type="pct"/>
            <w:noWrap/>
            <w:vAlign w:val="center"/>
          </w:tcPr>
          <w:p>
            <w:pPr>
              <w:spacing w:line="360" w:lineRule="auto"/>
              <w:jc w:val="center"/>
            </w:pPr>
          </w:p>
        </w:tc>
        <w:tc>
          <w:tcPr>
            <w:tcW w:w="836" w:type="pct"/>
            <w:noWrap/>
            <w:vAlign w:val="center"/>
          </w:tcPr>
          <w:p>
            <w:pPr>
              <w:spacing w:line="360" w:lineRule="auto"/>
              <w:jc w:val="center"/>
            </w:pPr>
          </w:p>
        </w:tc>
        <w:tc>
          <w:tcPr>
            <w:tcW w:w="2052" w:type="pct"/>
            <w:noWrap/>
            <w:vAlign w:val="center"/>
          </w:tcPr>
          <w:p>
            <w:pPr>
              <w:spacing w:line="360" w:lineRule="auto"/>
              <w:jc w:val="center"/>
            </w:pPr>
          </w:p>
        </w:tc>
        <w:tc>
          <w:tcPr>
            <w:tcW w:w="758" w:type="pct"/>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 w:type="pct"/>
          </w:tcPr>
          <w:p>
            <w:pPr>
              <w:spacing w:line="360" w:lineRule="auto"/>
              <w:jc w:val="center"/>
            </w:pPr>
          </w:p>
        </w:tc>
        <w:tc>
          <w:tcPr>
            <w:tcW w:w="903" w:type="pct"/>
            <w:noWrap/>
            <w:vAlign w:val="center"/>
          </w:tcPr>
          <w:p>
            <w:pPr>
              <w:spacing w:line="360" w:lineRule="auto"/>
              <w:jc w:val="center"/>
            </w:pPr>
          </w:p>
        </w:tc>
        <w:tc>
          <w:tcPr>
            <w:tcW w:w="836" w:type="pct"/>
            <w:noWrap/>
            <w:vAlign w:val="center"/>
          </w:tcPr>
          <w:p>
            <w:pPr>
              <w:spacing w:line="360" w:lineRule="auto"/>
              <w:jc w:val="center"/>
            </w:pPr>
          </w:p>
        </w:tc>
        <w:tc>
          <w:tcPr>
            <w:tcW w:w="2052" w:type="pct"/>
            <w:noWrap/>
            <w:vAlign w:val="center"/>
          </w:tcPr>
          <w:p>
            <w:pPr>
              <w:spacing w:line="360" w:lineRule="auto"/>
              <w:jc w:val="center"/>
            </w:pPr>
          </w:p>
        </w:tc>
        <w:tc>
          <w:tcPr>
            <w:tcW w:w="758" w:type="pct"/>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1" w:type="pct"/>
          </w:tcPr>
          <w:p>
            <w:pPr>
              <w:spacing w:line="360" w:lineRule="auto"/>
              <w:jc w:val="center"/>
            </w:pPr>
          </w:p>
        </w:tc>
        <w:tc>
          <w:tcPr>
            <w:tcW w:w="903" w:type="pct"/>
            <w:noWrap/>
            <w:vAlign w:val="center"/>
          </w:tcPr>
          <w:p>
            <w:pPr>
              <w:spacing w:line="360" w:lineRule="auto"/>
              <w:jc w:val="center"/>
            </w:pPr>
          </w:p>
        </w:tc>
        <w:tc>
          <w:tcPr>
            <w:tcW w:w="836" w:type="pct"/>
            <w:noWrap/>
            <w:vAlign w:val="center"/>
          </w:tcPr>
          <w:p>
            <w:pPr>
              <w:spacing w:line="360" w:lineRule="auto"/>
              <w:jc w:val="center"/>
            </w:pPr>
          </w:p>
        </w:tc>
        <w:tc>
          <w:tcPr>
            <w:tcW w:w="2052" w:type="pct"/>
            <w:noWrap/>
            <w:vAlign w:val="center"/>
          </w:tcPr>
          <w:p>
            <w:pPr>
              <w:spacing w:line="360" w:lineRule="auto"/>
              <w:jc w:val="center"/>
            </w:pPr>
          </w:p>
        </w:tc>
        <w:tc>
          <w:tcPr>
            <w:tcW w:w="758" w:type="pct"/>
          </w:tcPr>
          <w:p>
            <w:pPr>
              <w:spacing w:line="360" w:lineRule="auto"/>
              <w:jc w:val="center"/>
            </w:pPr>
          </w:p>
        </w:tc>
      </w:tr>
    </w:tbl>
    <w:p>
      <w:pPr>
        <w:pStyle w:val="5"/>
        <w:tabs>
          <w:tab w:val="left" w:pos="425"/>
        </w:tabs>
        <w:rPr>
          <w:szCs w:val="24"/>
          <w:lang w:val="zh-CN" w:eastAsia="zh-CN"/>
        </w:rPr>
        <w:sectPr>
          <w:pgSz w:w="11920" w:h="16840"/>
          <w:pgMar w:top="1134" w:right="1134" w:bottom="1134" w:left="1134" w:header="794" w:footer="851" w:gutter="0"/>
          <w:cols w:space="720" w:num="1"/>
        </w:sectPr>
      </w:pPr>
      <w:bookmarkStart w:id="675" w:name="_Toc13627_WPSOffice_Level1"/>
      <w:bookmarkStart w:id="676" w:name="_Toc13726_WPSOffice_Level1"/>
      <w:bookmarkStart w:id="677" w:name="_Toc3358_WPSOffice_Level1"/>
      <w:bookmarkStart w:id="678" w:name="_Toc26247"/>
    </w:p>
    <w:p>
      <w:pPr>
        <w:pStyle w:val="5"/>
        <w:tabs>
          <w:tab w:val="left" w:pos="425"/>
        </w:tabs>
        <w:rPr>
          <w:szCs w:val="24"/>
          <w:lang w:val="zh-CN" w:eastAsia="zh-CN"/>
        </w:rPr>
      </w:pPr>
      <w:r>
        <w:rPr>
          <w:rFonts w:hint="eastAsia"/>
          <w:szCs w:val="24"/>
          <w:lang w:val="zh-CN" w:eastAsia="zh-CN"/>
        </w:rPr>
        <w:t>六</w:t>
      </w:r>
      <w:r>
        <w:rPr>
          <w:szCs w:val="24"/>
          <w:lang w:val="zh-CN" w:eastAsia="zh-CN"/>
        </w:rPr>
        <w:t>、</w:t>
      </w:r>
      <w:r>
        <w:rPr>
          <w:rFonts w:hint="eastAsia"/>
          <w:szCs w:val="24"/>
          <w:lang w:val="zh-CN" w:eastAsia="zh-CN"/>
        </w:rPr>
        <w:t>供应商业绩</w:t>
      </w:r>
      <w:bookmarkEnd w:id="675"/>
      <w:bookmarkEnd w:id="676"/>
      <w:bookmarkEnd w:id="677"/>
      <w:bookmarkEnd w:id="678"/>
      <w:r>
        <w:rPr>
          <w:rFonts w:hint="eastAsia"/>
          <w:szCs w:val="24"/>
          <w:lang w:eastAsia="zh-CN"/>
        </w:rPr>
        <w:t>表</w:t>
      </w:r>
    </w:p>
    <w:p>
      <w:pPr>
        <w:spacing w:line="360" w:lineRule="auto"/>
        <w:ind w:left="630" w:hanging="630" w:hangingChars="300"/>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657"/>
        <w:gridCol w:w="2243"/>
        <w:gridCol w:w="2008"/>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360" w:lineRule="auto"/>
              <w:jc w:val="center"/>
            </w:pPr>
            <w:r>
              <w:rPr>
                <w:rFonts w:hint="eastAsia"/>
              </w:rPr>
              <w:t>序号</w:t>
            </w:r>
          </w:p>
        </w:tc>
        <w:tc>
          <w:tcPr>
            <w:tcW w:w="2657" w:type="dxa"/>
            <w:vAlign w:val="center"/>
          </w:tcPr>
          <w:p>
            <w:pPr>
              <w:spacing w:line="360" w:lineRule="auto"/>
              <w:jc w:val="center"/>
            </w:pPr>
            <w:r>
              <w:rPr>
                <w:rFonts w:hint="eastAsia"/>
              </w:rPr>
              <w:t>项目名称</w:t>
            </w:r>
          </w:p>
        </w:tc>
        <w:tc>
          <w:tcPr>
            <w:tcW w:w="2243" w:type="dxa"/>
            <w:vAlign w:val="center"/>
          </w:tcPr>
          <w:p>
            <w:pPr>
              <w:spacing w:line="360" w:lineRule="auto"/>
              <w:jc w:val="center"/>
            </w:pPr>
            <w:r>
              <w:rPr>
                <w:rFonts w:hint="eastAsia"/>
              </w:rPr>
              <w:t>合同金额（万元）</w:t>
            </w:r>
          </w:p>
        </w:tc>
        <w:tc>
          <w:tcPr>
            <w:tcW w:w="2008" w:type="dxa"/>
            <w:vAlign w:val="center"/>
          </w:tcPr>
          <w:p>
            <w:pPr>
              <w:spacing w:line="360" w:lineRule="auto"/>
              <w:jc w:val="center"/>
            </w:pPr>
            <w:r>
              <w:rPr>
                <w:rFonts w:hint="eastAsia"/>
              </w:rPr>
              <w:t>开始日期</w:t>
            </w:r>
          </w:p>
        </w:tc>
        <w:tc>
          <w:tcPr>
            <w:tcW w:w="1994" w:type="dxa"/>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360" w:lineRule="auto"/>
              <w:jc w:val="center"/>
            </w:pPr>
          </w:p>
        </w:tc>
        <w:tc>
          <w:tcPr>
            <w:tcW w:w="2657" w:type="dxa"/>
            <w:vAlign w:val="center"/>
          </w:tcPr>
          <w:p>
            <w:pPr>
              <w:spacing w:line="360" w:lineRule="auto"/>
              <w:jc w:val="center"/>
            </w:pPr>
          </w:p>
        </w:tc>
        <w:tc>
          <w:tcPr>
            <w:tcW w:w="2243" w:type="dxa"/>
            <w:vAlign w:val="center"/>
          </w:tcPr>
          <w:p>
            <w:pPr>
              <w:spacing w:line="360" w:lineRule="auto"/>
              <w:jc w:val="center"/>
            </w:pPr>
          </w:p>
        </w:tc>
        <w:tc>
          <w:tcPr>
            <w:tcW w:w="2008" w:type="dxa"/>
            <w:vAlign w:val="center"/>
          </w:tcPr>
          <w:p>
            <w:pPr>
              <w:spacing w:line="360" w:lineRule="auto"/>
              <w:jc w:val="center"/>
            </w:pPr>
          </w:p>
        </w:tc>
        <w:tc>
          <w:tcPr>
            <w:tcW w:w="199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360" w:lineRule="auto"/>
              <w:jc w:val="center"/>
            </w:pPr>
          </w:p>
        </w:tc>
        <w:tc>
          <w:tcPr>
            <w:tcW w:w="2657" w:type="dxa"/>
            <w:vAlign w:val="center"/>
          </w:tcPr>
          <w:p>
            <w:pPr>
              <w:spacing w:line="360" w:lineRule="auto"/>
              <w:jc w:val="center"/>
            </w:pPr>
          </w:p>
        </w:tc>
        <w:tc>
          <w:tcPr>
            <w:tcW w:w="2243" w:type="dxa"/>
            <w:vAlign w:val="center"/>
          </w:tcPr>
          <w:p>
            <w:pPr>
              <w:spacing w:line="360" w:lineRule="auto"/>
              <w:jc w:val="center"/>
            </w:pPr>
          </w:p>
        </w:tc>
        <w:tc>
          <w:tcPr>
            <w:tcW w:w="2008" w:type="dxa"/>
            <w:vAlign w:val="center"/>
          </w:tcPr>
          <w:p>
            <w:pPr>
              <w:spacing w:line="360" w:lineRule="auto"/>
              <w:jc w:val="center"/>
            </w:pPr>
          </w:p>
        </w:tc>
        <w:tc>
          <w:tcPr>
            <w:tcW w:w="199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360" w:lineRule="auto"/>
              <w:jc w:val="center"/>
            </w:pPr>
          </w:p>
        </w:tc>
        <w:tc>
          <w:tcPr>
            <w:tcW w:w="2657" w:type="dxa"/>
            <w:vAlign w:val="center"/>
          </w:tcPr>
          <w:p>
            <w:pPr>
              <w:spacing w:line="360" w:lineRule="auto"/>
              <w:jc w:val="center"/>
            </w:pPr>
          </w:p>
        </w:tc>
        <w:tc>
          <w:tcPr>
            <w:tcW w:w="2243" w:type="dxa"/>
            <w:vAlign w:val="center"/>
          </w:tcPr>
          <w:p>
            <w:pPr>
              <w:spacing w:line="360" w:lineRule="auto"/>
              <w:jc w:val="center"/>
            </w:pPr>
          </w:p>
        </w:tc>
        <w:tc>
          <w:tcPr>
            <w:tcW w:w="2008" w:type="dxa"/>
            <w:vAlign w:val="center"/>
          </w:tcPr>
          <w:p>
            <w:pPr>
              <w:spacing w:line="360" w:lineRule="auto"/>
              <w:jc w:val="center"/>
            </w:pPr>
          </w:p>
        </w:tc>
        <w:tc>
          <w:tcPr>
            <w:tcW w:w="1994" w:type="dxa"/>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360" w:lineRule="auto"/>
              <w:jc w:val="center"/>
            </w:pPr>
          </w:p>
        </w:tc>
        <w:tc>
          <w:tcPr>
            <w:tcW w:w="2657" w:type="dxa"/>
            <w:vAlign w:val="center"/>
          </w:tcPr>
          <w:p>
            <w:pPr>
              <w:spacing w:line="360" w:lineRule="auto"/>
              <w:jc w:val="center"/>
            </w:pPr>
          </w:p>
        </w:tc>
        <w:tc>
          <w:tcPr>
            <w:tcW w:w="2243" w:type="dxa"/>
            <w:vAlign w:val="center"/>
          </w:tcPr>
          <w:p>
            <w:pPr>
              <w:spacing w:line="360" w:lineRule="auto"/>
              <w:jc w:val="center"/>
            </w:pPr>
          </w:p>
        </w:tc>
        <w:tc>
          <w:tcPr>
            <w:tcW w:w="2008" w:type="dxa"/>
            <w:vAlign w:val="center"/>
          </w:tcPr>
          <w:p>
            <w:pPr>
              <w:spacing w:line="360" w:lineRule="auto"/>
              <w:jc w:val="center"/>
            </w:pPr>
          </w:p>
        </w:tc>
        <w:tc>
          <w:tcPr>
            <w:tcW w:w="1994" w:type="dxa"/>
          </w:tcPr>
          <w:p>
            <w:pPr>
              <w:spacing w:line="360" w:lineRule="auto"/>
              <w:jc w:val="center"/>
            </w:pPr>
          </w:p>
        </w:tc>
      </w:tr>
    </w:tbl>
    <w:p>
      <w:pPr>
        <w:spacing w:line="360" w:lineRule="auto"/>
        <w:ind w:left="630" w:hanging="630" w:hangingChars="300"/>
      </w:pPr>
    </w:p>
    <w:p>
      <w:pPr>
        <w:spacing w:line="360" w:lineRule="auto"/>
        <w:ind w:left="630" w:hanging="630" w:hangingChars="300"/>
      </w:pPr>
      <w:r>
        <w:rPr>
          <w:rFonts w:hint="eastAsia"/>
        </w:rPr>
        <w:t>备注：本表后附成交通知书或合同协议书的复印件。</w:t>
      </w:r>
    </w:p>
    <w:p>
      <w:pPr>
        <w:pStyle w:val="2"/>
        <w:spacing w:line="360" w:lineRule="auto"/>
        <w:ind w:left="630" w:hanging="630" w:hangingChars="300"/>
      </w:pPr>
    </w:p>
    <w:p>
      <w:pPr>
        <w:widowControl/>
        <w:wordWrap/>
        <w:topLinePunct w:val="0"/>
        <w:jc w:val="left"/>
        <w:rPr>
          <w:rFonts w:cs="Times New Roman"/>
          <w:b/>
          <w:bCs/>
          <w:sz w:val="32"/>
          <w:szCs w:val="24"/>
          <w:lang w:val="zh-CN"/>
        </w:rPr>
      </w:pPr>
      <w:bookmarkStart w:id="679" w:name="_Toc7818_WPSOffice_Level1"/>
      <w:bookmarkStart w:id="680" w:name="_Toc19513_WPSOffice_Level1"/>
      <w:bookmarkStart w:id="681" w:name="_Toc13447_WPSOffice_Level1"/>
      <w:bookmarkStart w:id="682" w:name="_Toc16999"/>
      <w:bookmarkStart w:id="683" w:name="_Toc28100"/>
      <w:bookmarkStart w:id="684" w:name="_Toc339972632"/>
      <w:bookmarkStart w:id="685" w:name="_Toc275795959"/>
      <w:bookmarkStart w:id="686" w:name="_Toc20487"/>
      <w:bookmarkStart w:id="687" w:name="_Toc355809725"/>
      <w:r>
        <w:rPr>
          <w:szCs w:val="24"/>
          <w:lang w:val="zh-CN"/>
        </w:rPr>
        <w:br w:type="page"/>
      </w:r>
    </w:p>
    <w:p>
      <w:pPr>
        <w:pStyle w:val="5"/>
        <w:tabs>
          <w:tab w:val="left" w:pos="425"/>
        </w:tabs>
        <w:ind w:left="0"/>
        <w:rPr>
          <w:szCs w:val="24"/>
          <w:lang w:val="zh-CN" w:eastAsia="zh-CN"/>
        </w:rPr>
      </w:pPr>
      <w:r>
        <w:rPr>
          <w:rFonts w:hint="eastAsia"/>
          <w:szCs w:val="24"/>
          <w:lang w:val="zh-CN" w:eastAsia="zh-CN"/>
        </w:rPr>
        <w:t>七、供应商履约能力及荣誉证明材料</w:t>
      </w:r>
      <w:bookmarkEnd w:id="679"/>
      <w:bookmarkEnd w:id="680"/>
      <w:bookmarkEnd w:id="681"/>
      <w:bookmarkEnd w:id="682"/>
    </w:p>
    <w:p>
      <w:pPr>
        <w:pStyle w:val="5"/>
        <w:tabs>
          <w:tab w:val="left" w:pos="840"/>
        </w:tabs>
        <w:ind w:left="397"/>
        <w:rPr>
          <w:szCs w:val="24"/>
          <w:lang w:eastAsia="zh-CN"/>
        </w:rPr>
      </w:pPr>
      <w:r>
        <w:rPr>
          <w:rFonts w:hint="eastAsia"/>
          <w:bCs w:val="0"/>
          <w:szCs w:val="24"/>
          <w:lang w:val="zh-CN" w:eastAsia="zh-CN"/>
        </w:rPr>
        <w:br w:type="page"/>
      </w:r>
      <w:bookmarkStart w:id="688" w:name="_Toc31795_WPSOffice_Level1"/>
      <w:bookmarkStart w:id="689" w:name="_Toc12975_WPSOffice_Level1"/>
      <w:bookmarkStart w:id="690" w:name="_Toc17966"/>
      <w:bookmarkStart w:id="691" w:name="_Toc11065_WPSOffice_Level1"/>
      <w:r>
        <w:rPr>
          <w:rFonts w:hint="eastAsia"/>
          <w:bCs w:val="0"/>
          <w:szCs w:val="24"/>
          <w:lang w:eastAsia="zh-CN"/>
        </w:rPr>
        <w:t>八</w:t>
      </w:r>
      <w:r>
        <w:rPr>
          <w:rFonts w:hint="eastAsia"/>
          <w:bCs w:val="0"/>
          <w:szCs w:val="24"/>
          <w:lang w:val="zh-CN" w:eastAsia="zh-CN"/>
        </w:rPr>
        <w:t>、</w:t>
      </w:r>
      <w:bookmarkEnd w:id="683"/>
      <w:bookmarkEnd w:id="684"/>
      <w:bookmarkEnd w:id="685"/>
      <w:bookmarkEnd w:id="686"/>
      <w:bookmarkEnd w:id="687"/>
      <w:bookmarkEnd w:id="688"/>
      <w:bookmarkEnd w:id="689"/>
      <w:bookmarkEnd w:id="690"/>
      <w:bookmarkEnd w:id="691"/>
      <w:r>
        <w:rPr>
          <w:szCs w:val="24"/>
          <w:lang w:eastAsia="zh-CN"/>
        </w:rPr>
        <w:t>反商业贿赂承诺书及招标代理服务费承诺函</w:t>
      </w:r>
    </w:p>
    <w:p>
      <w:pPr>
        <w:spacing w:line="360" w:lineRule="auto"/>
        <w:jc w:val="center"/>
        <w:rPr>
          <w:szCs w:val="32"/>
        </w:rPr>
      </w:pPr>
      <w:r>
        <w:rPr>
          <w:b/>
          <w:sz w:val="32"/>
          <w:szCs w:val="32"/>
        </w:rPr>
        <w:t>（一）反商业贿赂承诺书</w:t>
      </w:r>
    </w:p>
    <w:p>
      <w:pPr>
        <w:pStyle w:val="9"/>
      </w:pPr>
    </w:p>
    <w:p>
      <w:pPr>
        <w:pStyle w:val="9"/>
      </w:pPr>
    </w:p>
    <w:p>
      <w:pPr>
        <w:spacing w:line="360" w:lineRule="auto"/>
      </w:pPr>
      <w:r>
        <w:rPr>
          <w:rFonts w:hint="eastAsia"/>
        </w:rPr>
        <w:t>我公司承诺：</w:t>
      </w:r>
    </w:p>
    <w:p>
      <w:pPr>
        <w:spacing w:line="360" w:lineRule="auto"/>
        <w:ind w:firstLine="555"/>
      </w:pPr>
      <w:r>
        <w:rPr>
          <w:rFonts w:hint="eastAsia"/>
        </w:rPr>
        <w:t>在</w:t>
      </w:r>
      <w:r>
        <w:rPr>
          <w:rFonts w:hint="eastAsia"/>
          <w:u w:val="single"/>
        </w:rPr>
        <w:t xml:space="preserve">       （采购项目名称）</w:t>
      </w:r>
      <w:r>
        <w:rPr>
          <w:rFonts w:hint="eastAsia"/>
        </w:rPr>
        <w:t>采购活动中，我公司保证做到：</w:t>
      </w:r>
    </w:p>
    <w:p>
      <w:pPr>
        <w:spacing w:line="360" w:lineRule="auto"/>
        <w:ind w:firstLine="555"/>
      </w:pPr>
      <w:r>
        <w:rPr>
          <w:rFonts w:hint="eastAsia"/>
        </w:rPr>
        <w:t>1. 公平竞争参加本次采购活动。</w:t>
      </w:r>
    </w:p>
    <w:p>
      <w:pPr>
        <w:spacing w:line="360" w:lineRule="auto"/>
        <w:ind w:firstLine="556"/>
      </w:pPr>
      <w:r>
        <w:rPr>
          <w:rFonts w:hint="eastAsia"/>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556"/>
      </w:pPr>
      <w:r>
        <w:rPr>
          <w:rFonts w:hint="eastAsia"/>
        </w:rPr>
        <w:t>3. 若出现上述行为，我公司及参与磋商的工作人员愿意接受按照国家法律法规等有关规定给予的处罚。</w:t>
      </w:r>
    </w:p>
    <w:p>
      <w:pPr>
        <w:pStyle w:val="2"/>
        <w:spacing w:line="360" w:lineRule="auto"/>
        <w:ind w:firstLine="556"/>
      </w:pPr>
    </w:p>
    <w:p>
      <w:pPr>
        <w:spacing w:before="120" w:beforeLines="50" w:after="120" w:afterLines="50" w:line="360" w:lineRule="auto"/>
        <w:ind w:left="687" w:leftChars="227" w:hanging="210" w:hangingChars="100"/>
      </w:pPr>
      <w:r>
        <w:rPr>
          <w:rFonts w:hint="eastAsia"/>
        </w:rPr>
        <w:t>注：联合体投标的，需各联合体成员各自出具。</w:t>
      </w:r>
    </w:p>
    <w:p>
      <w:pPr>
        <w:pStyle w:val="3"/>
        <w:spacing w:line="360" w:lineRule="auto"/>
        <w:ind w:firstLine="556"/>
        <w:rPr>
          <w:color w:val="auto"/>
        </w:rPr>
      </w:pPr>
    </w:p>
    <w:p>
      <w:pPr>
        <w:spacing w:line="360" w:lineRule="auto"/>
        <w:ind w:firstLine="555"/>
      </w:pPr>
    </w:p>
    <w:p>
      <w:pPr>
        <w:spacing w:line="360" w:lineRule="auto"/>
        <w:ind w:right="840" w:firstLine="5250" w:firstLineChars="2500"/>
        <w:rPr>
          <w:u w:val="single"/>
        </w:rPr>
      </w:pPr>
      <w:r>
        <w:rPr>
          <w:rFonts w:hint="eastAsia"/>
        </w:rPr>
        <w:t>公司法人代表（签字或盖章）：</w:t>
      </w:r>
    </w:p>
    <w:p>
      <w:pPr>
        <w:spacing w:line="360" w:lineRule="auto"/>
        <w:ind w:right="840" w:firstLine="5250" w:firstLineChars="2500"/>
      </w:pPr>
      <w:r>
        <w:rPr>
          <w:rFonts w:hint="eastAsia"/>
        </w:rPr>
        <w:t>供应商：（盖章）</w:t>
      </w:r>
    </w:p>
    <w:p>
      <w:pPr>
        <w:spacing w:line="360" w:lineRule="auto"/>
        <w:ind w:right="840" w:firstLine="5250" w:firstLineChars="2500"/>
      </w:pPr>
      <w:r>
        <w:rPr>
          <w:rFonts w:hint="eastAsia"/>
        </w:rPr>
        <w:t>日期： 年  月  日</w:t>
      </w:r>
    </w:p>
    <w:p>
      <w:pPr>
        <w:pStyle w:val="24"/>
        <w:ind w:firstLine="210"/>
      </w:pPr>
      <w:r>
        <w:br w:type="page"/>
      </w:r>
    </w:p>
    <w:p>
      <w:pPr>
        <w:pStyle w:val="43"/>
        <w:ind w:firstLine="281"/>
        <w:jc w:val="center"/>
      </w:pPr>
      <w:r>
        <w:rPr>
          <w:rFonts w:asciiTheme="minorEastAsia" w:hAnsiTheme="minorEastAsia" w:eastAsiaTheme="minorEastAsia" w:cstheme="minorEastAsia"/>
          <w:b/>
          <w:bCs/>
          <w:sz w:val="28"/>
          <w:szCs w:val="28"/>
        </w:rPr>
        <w:t>（二）招标代理服务费承诺函</w:t>
      </w:r>
    </w:p>
    <w:p>
      <w:pPr>
        <w:spacing w:line="360" w:lineRule="auto"/>
        <w:ind w:firstLine="555"/>
        <w:jc w:val="right"/>
      </w:pPr>
    </w:p>
    <w:p>
      <w:pPr>
        <w:spacing w:line="360" w:lineRule="auto"/>
        <w:jc w:val="right"/>
      </w:pPr>
    </w:p>
    <w:p>
      <w:pPr>
        <w:spacing w:line="360" w:lineRule="auto"/>
        <w:rPr>
          <w:rFonts w:asciiTheme="minorEastAsia" w:hAnsiTheme="minorEastAsia" w:eastAsiaTheme="minorEastAsia" w:cstheme="minorEastAsia"/>
          <w:sz w:val="24"/>
        </w:rPr>
      </w:pPr>
      <w:bookmarkStart w:id="692" w:name="_Toc13712"/>
      <w:r>
        <w:rPr>
          <w:rFonts w:asciiTheme="minorEastAsia" w:hAnsiTheme="minorEastAsia" w:eastAsiaTheme="minorEastAsia" w:cstheme="minorEastAsia"/>
          <w:sz w:val="24"/>
        </w:rPr>
        <w:t>致（采购代理机构）：</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我们在贵公司组织的（项目名称：</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rPr>
        <w:t>）采购活动中若获中标，我们保证在中标公告发布后5个工作日内，按竞争性磋商文件的规定，以支票、银行转账、汇票或现金，向贵公司一次性支付招标代理服务费用。否则，由此产生的一切法律后果和责任由我公司承担。我公司声明放弃对此提出任何异议和追索的权利。</w:t>
      </w:r>
    </w:p>
    <w:p>
      <w:pPr>
        <w:pStyle w:val="2"/>
        <w:rPr>
          <w:rFonts w:asciiTheme="minorEastAsia" w:hAnsiTheme="minorEastAsia" w:eastAsiaTheme="minorEastAsia" w:cstheme="minorEastAsia"/>
          <w:bCs/>
          <w:sz w:val="24"/>
        </w:rPr>
      </w:pPr>
      <w:r>
        <w:rPr>
          <w:rFonts w:asciiTheme="minorEastAsia" w:hAnsiTheme="minorEastAsia" w:eastAsiaTheme="minorEastAsia" w:cstheme="minorEastAsia"/>
          <w:sz w:val="24"/>
        </w:rPr>
        <w:t>特此承诺。</w:t>
      </w:r>
      <w:r>
        <w:rPr>
          <w:rFonts w:hint="eastAsia" w:asciiTheme="minorEastAsia" w:hAnsiTheme="minorEastAsia" w:eastAsiaTheme="minorEastAsia" w:cstheme="minorEastAsia"/>
          <w:bCs/>
          <w:sz w:val="24"/>
        </w:rPr>
        <w:t xml:space="preserve">    </w:t>
      </w:r>
    </w:p>
    <w:p>
      <w:pPr>
        <w:pStyle w:val="3"/>
        <w:rPr>
          <w:color w:val="auto"/>
        </w:rPr>
      </w:pPr>
    </w:p>
    <w:p>
      <w:pPr>
        <w:pStyle w:val="2"/>
      </w:pPr>
    </w:p>
    <w:p>
      <w:pPr>
        <w:pStyle w:val="3"/>
        <w:rPr>
          <w:color w:val="auto"/>
        </w:rPr>
      </w:pPr>
    </w:p>
    <w:p>
      <w:pPr>
        <w:pStyle w:val="3"/>
        <w:rPr>
          <w:color w:val="auto"/>
        </w:rPr>
      </w:pPr>
    </w:p>
    <w:p>
      <w:pPr>
        <w:adjustRightInd w:val="0"/>
        <w:snapToGrid w:val="0"/>
        <w:spacing w:line="360" w:lineRule="auto"/>
        <w:ind w:firstLine="4620" w:firstLineChars="1925"/>
        <w:jc w:val="left"/>
        <w:rPr>
          <w:rFonts w:asciiTheme="minorEastAsia" w:hAnsiTheme="minorEastAsia" w:eastAsiaTheme="minorEastAsia" w:cstheme="minorEastAsia"/>
          <w:bCs/>
          <w:sz w:val="24"/>
        </w:rPr>
      </w:pPr>
      <w:r>
        <w:rPr>
          <w:rFonts w:asciiTheme="minorEastAsia" w:hAnsiTheme="minorEastAsia" w:eastAsiaTheme="minorEastAsia" w:cstheme="minorEastAsia"/>
          <w:bCs/>
          <w:sz w:val="24"/>
        </w:rPr>
        <w:t>供应商（</w:t>
      </w:r>
      <w:r>
        <w:rPr>
          <w:rFonts w:hint="eastAsia" w:asciiTheme="minorEastAsia" w:hAnsiTheme="minorEastAsia" w:eastAsiaTheme="minorEastAsia" w:cstheme="minorEastAsia"/>
          <w:bCs/>
          <w:sz w:val="24"/>
        </w:rPr>
        <w:t>盖章</w:t>
      </w:r>
      <w:r>
        <w:rPr>
          <w:rFonts w:asciiTheme="minorEastAsia" w:hAnsiTheme="minorEastAsia" w:eastAsiaTheme="minorEastAsia" w:cstheme="minorEastAsia"/>
          <w:bCs/>
          <w:sz w:val="24"/>
        </w:rPr>
        <w:t>）：</w:t>
      </w:r>
    </w:p>
    <w:p>
      <w:pPr>
        <w:adjustRightInd w:val="0"/>
        <w:snapToGrid w:val="0"/>
        <w:spacing w:line="360" w:lineRule="auto"/>
        <w:ind w:firstLine="4620" w:firstLineChars="1925"/>
        <w:jc w:val="left"/>
        <w:rPr>
          <w:rFonts w:asciiTheme="minorEastAsia" w:hAnsiTheme="minorEastAsia" w:eastAsiaTheme="minorEastAsia" w:cstheme="minorEastAsia"/>
          <w:bCs/>
          <w:sz w:val="24"/>
        </w:rPr>
      </w:pPr>
      <w:r>
        <w:rPr>
          <w:rFonts w:asciiTheme="minorEastAsia" w:hAnsiTheme="minorEastAsia" w:eastAsiaTheme="minorEastAsia" w:cstheme="minorEastAsia"/>
          <w:bCs/>
          <w:sz w:val="24"/>
        </w:rPr>
        <w:t>法定代表人（</w:t>
      </w:r>
      <w:r>
        <w:rPr>
          <w:rFonts w:hint="eastAsia" w:asciiTheme="minorEastAsia" w:hAnsiTheme="minorEastAsia" w:eastAsiaTheme="minorEastAsia" w:cstheme="minorEastAsia"/>
          <w:bCs/>
          <w:sz w:val="24"/>
        </w:rPr>
        <w:t>签字或盖章</w:t>
      </w:r>
      <w:r>
        <w:rPr>
          <w:rFonts w:asciiTheme="minorEastAsia" w:hAnsiTheme="minorEastAsia" w:eastAsiaTheme="minorEastAsia" w:cstheme="minorEastAsia"/>
          <w:bCs/>
          <w:sz w:val="24"/>
        </w:rPr>
        <w:t>）：</w:t>
      </w:r>
    </w:p>
    <w:p>
      <w:pPr>
        <w:adjustRightInd w:val="0"/>
        <w:snapToGrid w:val="0"/>
        <w:spacing w:line="360" w:lineRule="auto"/>
        <w:ind w:firstLine="4620" w:firstLineChars="1925"/>
        <w:jc w:val="left"/>
        <w:rPr>
          <w:rFonts w:asciiTheme="minorEastAsia" w:hAnsiTheme="minorEastAsia" w:eastAsiaTheme="minorEastAsia" w:cstheme="minorEastAsia"/>
          <w:bCs/>
          <w:sz w:val="24"/>
        </w:rPr>
        <w:sectPr>
          <w:pgSz w:w="11920" w:h="16840"/>
          <w:pgMar w:top="1134" w:right="1134" w:bottom="1134" w:left="1134" w:header="794" w:footer="851" w:gutter="0"/>
          <w:cols w:space="720" w:num="1"/>
        </w:sectPr>
      </w:pPr>
      <w:r>
        <w:rPr>
          <w:rFonts w:asciiTheme="minorEastAsia" w:hAnsiTheme="minorEastAsia" w:eastAsiaTheme="minorEastAsia" w:cstheme="minorEastAsia"/>
          <w:bCs/>
          <w:sz w:val="24"/>
        </w:rPr>
        <w:t>日期：    年    月    日</w:t>
      </w:r>
    </w:p>
    <w:bookmarkEnd w:id="692"/>
    <w:p>
      <w:pPr>
        <w:pStyle w:val="5"/>
        <w:tabs>
          <w:tab w:val="left" w:pos="840"/>
        </w:tabs>
        <w:ind w:left="397"/>
        <w:rPr>
          <w:rFonts w:asciiTheme="minorEastAsia" w:hAnsiTheme="minorEastAsia" w:eastAsiaTheme="minorEastAsia" w:cstheme="minorEastAsia"/>
          <w:b w:val="0"/>
          <w:sz w:val="28"/>
          <w:szCs w:val="24"/>
          <w:lang w:eastAsia="zh-CN"/>
        </w:rPr>
      </w:pPr>
      <w:bookmarkStart w:id="693" w:name="_Toc9983"/>
      <w:bookmarkStart w:id="694" w:name="_Toc751_WPSOffice_Level1"/>
      <w:bookmarkStart w:id="695" w:name="_Toc11075"/>
      <w:bookmarkStart w:id="696" w:name="_Toc15051_WPSOffice_Level1"/>
      <w:bookmarkStart w:id="697" w:name="_Toc28975"/>
      <w:bookmarkStart w:id="698" w:name="_Toc25289_WPSOffice_Level1"/>
      <w:r>
        <w:rPr>
          <w:rFonts w:hint="eastAsia" w:asciiTheme="minorEastAsia" w:hAnsiTheme="minorEastAsia" w:eastAsiaTheme="minorEastAsia" w:cstheme="minorEastAsia"/>
          <w:sz w:val="28"/>
          <w:szCs w:val="24"/>
          <w:lang w:eastAsia="zh-CN"/>
        </w:rPr>
        <w:t>九、</w:t>
      </w:r>
      <w:bookmarkEnd w:id="693"/>
      <w:bookmarkEnd w:id="694"/>
      <w:bookmarkEnd w:id="695"/>
      <w:bookmarkEnd w:id="696"/>
      <w:bookmarkEnd w:id="697"/>
      <w:bookmarkEnd w:id="698"/>
      <w:r>
        <w:rPr>
          <w:rFonts w:asciiTheme="minorEastAsia" w:hAnsiTheme="minorEastAsia" w:eastAsiaTheme="minorEastAsia" w:cstheme="minorEastAsia"/>
          <w:sz w:val="28"/>
          <w:szCs w:val="24"/>
          <w:lang w:eastAsia="zh-CN"/>
        </w:rPr>
        <w:t>竞争性磋商文件内容确认书</w:t>
      </w:r>
    </w:p>
    <w:p>
      <w:pPr>
        <w:pStyle w:val="43"/>
        <w:ind w:firstLine="0"/>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sz w:val="24"/>
          <w:szCs w:val="24"/>
          <w:u w:val="single"/>
        </w:rPr>
      </w:pPr>
    </w:p>
    <w:p>
      <w:pPr>
        <w:spacing w:line="360" w:lineRule="auto"/>
        <w:rPr>
          <w:rFonts w:asciiTheme="minorEastAsia" w:hAnsiTheme="minorEastAsia" w:eastAsiaTheme="minorEastAsia" w:cstheme="minorEastAsia"/>
          <w:sz w:val="24"/>
          <w:szCs w:val="24"/>
          <w:u w:val="single"/>
        </w:rPr>
      </w:pPr>
    </w:p>
    <w:p>
      <w:pPr>
        <w:spacing w:line="360" w:lineRule="auto"/>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u w:val="single"/>
        </w:rPr>
        <w:t xml:space="preserve">    （采购人名称）</w:t>
      </w:r>
      <w:r>
        <w:rPr>
          <w:rFonts w:asciiTheme="minorEastAsia" w:hAnsiTheme="minorEastAsia" w:eastAsiaTheme="minorEastAsia" w:cstheme="minorEastAsia"/>
          <w:sz w:val="24"/>
          <w:szCs w:val="24"/>
        </w:rPr>
        <w:t>：</w:t>
      </w:r>
    </w:p>
    <w:p>
      <w:pPr>
        <w:spacing w:line="360" w:lineRule="auto"/>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我方已经详细阅读整个竞争性磋商文件的内容，对本磋商文件的内容没有任何异议，全部同意并接受且我方保证在开评标活动结束后不对本招标文件的任何内容提出异议。</w:t>
      </w:r>
    </w:p>
    <w:p>
      <w:pPr>
        <w:pStyle w:val="43"/>
        <w:rPr>
          <w:rFonts w:asciiTheme="minorEastAsia" w:hAnsiTheme="minorEastAsia" w:eastAsiaTheme="minorEastAsia" w:cstheme="minorEastAsia"/>
          <w:sz w:val="24"/>
          <w:szCs w:val="24"/>
        </w:rPr>
      </w:pPr>
    </w:p>
    <w:p>
      <w:pPr>
        <w:pStyle w:val="43"/>
        <w:rPr>
          <w:rFonts w:asciiTheme="minorEastAsia" w:hAnsiTheme="minorEastAsia" w:eastAsiaTheme="minorEastAsia" w:cstheme="minorEastAsia"/>
          <w:sz w:val="24"/>
          <w:szCs w:val="24"/>
        </w:rPr>
      </w:pPr>
    </w:p>
    <w:p>
      <w:pPr>
        <w:pStyle w:val="43"/>
        <w:rPr>
          <w:rFonts w:asciiTheme="minorEastAsia" w:hAnsiTheme="minorEastAsia" w:eastAsiaTheme="minorEastAsia" w:cstheme="minorEastAsia"/>
          <w:sz w:val="24"/>
          <w:szCs w:val="24"/>
        </w:rPr>
      </w:pPr>
    </w:p>
    <w:p>
      <w:pPr>
        <w:pStyle w:val="43"/>
        <w:rPr>
          <w:rFonts w:asciiTheme="minorEastAsia" w:hAnsiTheme="minorEastAsia" w:eastAsiaTheme="minorEastAsia" w:cstheme="minorEastAsia"/>
          <w:sz w:val="24"/>
          <w:szCs w:val="24"/>
        </w:rPr>
      </w:pPr>
    </w:p>
    <w:p>
      <w:pPr>
        <w:pStyle w:val="43"/>
        <w:rPr>
          <w:rFonts w:asciiTheme="minorEastAsia" w:hAnsiTheme="minorEastAsia" w:eastAsiaTheme="minorEastAsia" w:cstheme="minorEastAsia"/>
          <w:sz w:val="24"/>
          <w:szCs w:val="24"/>
        </w:rPr>
      </w:pPr>
    </w:p>
    <w:p>
      <w:pPr>
        <w:adjustRightInd w:val="0"/>
        <w:snapToGrid w:val="0"/>
        <w:spacing w:line="360" w:lineRule="auto"/>
        <w:ind w:firstLine="4620" w:firstLineChars="1925"/>
        <w:jc w:val="left"/>
        <w:rPr>
          <w:rFonts w:asciiTheme="minorEastAsia" w:hAnsiTheme="minorEastAsia" w:eastAsiaTheme="minorEastAsia" w:cstheme="minorEastAsia"/>
          <w:bCs/>
          <w:sz w:val="24"/>
        </w:rPr>
      </w:pPr>
      <w:r>
        <w:rPr>
          <w:rFonts w:asciiTheme="minorEastAsia" w:hAnsiTheme="minorEastAsia" w:eastAsiaTheme="minorEastAsia" w:cstheme="minorEastAsia"/>
          <w:bCs/>
          <w:sz w:val="24"/>
        </w:rPr>
        <w:t>供应商（</w:t>
      </w:r>
      <w:r>
        <w:rPr>
          <w:rFonts w:hint="eastAsia" w:asciiTheme="minorEastAsia" w:hAnsiTheme="minorEastAsia" w:eastAsiaTheme="minorEastAsia" w:cstheme="minorEastAsia"/>
          <w:bCs/>
          <w:sz w:val="24"/>
        </w:rPr>
        <w:t>盖章</w:t>
      </w:r>
      <w:r>
        <w:rPr>
          <w:rFonts w:asciiTheme="minorEastAsia" w:hAnsiTheme="minorEastAsia" w:eastAsiaTheme="minorEastAsia" w:cstheme="minorEastAsia"/>
          <w:bCs/>
          <w:sz w:val="24"/>
        </w:rPr>
        <w:t>）：</w:t>
      </w:r>
    </w:p>
    <w:p>
      <w:pPr>
        <w:adjustRightInd w:val="0"/>
        <w:snapToGrid w:val="0"/>
        <w:spacing w:line="360" w:lineRule="auto"/>
        <w:ind w:firstLine="4620" w:firstLineChars="1925"/>
        <w:jc w:val="left"/>
        <w:rPr>
          <w:rFonts w:asciiTheme="minorEastAsia" w:hAnsiTheme="minorEastAsia" w:eastAsiaTheme="minorEastAsia" w:cstheme="minorEastAsia"/>
          <w:bCs/>
          <w:sz w:val="24"/>
        </w:rPr>
      </w:pPr>
      <w:r>
        <w:rPr>
          <w:rFonts w:asciiTheme="minorEastAsia" w:hAnsiTheme="minorEastAsia" w:eastAsiaTheme="minorEastAsia" w:cstheme="minorEastAsia"/>
          <w:bCs/>
          <w:sz w:val="24"/>
        </w:rPr>
        <w:t>法定代表人（</w:t>
      </w:r>
      <w:r>
        <w:rPr>
          <w:rFonts w:hint="eastAsia" w:asciiTheme="minorEastAsia" w:hAnsiTheme="minorEastAsia" w:eastAsiaTheme="minorEastAsia" w:cstheme="minorEastAsia"/>
          <w:bCs/>
          <w:sz w:val="24"/>
        </w:rPr>
        <w:t>签字或盖章</w:t>
      </w:r>
      <w:r>
        <w:rPr>
          <w:rFonts w:asciiTheme="minorEastAsia" w:hAnsiTheme="minorEastAsia" w:eastAsiaTheme="minorEastAsia" w:cstheme="minorEastAsia"/>
          <w:bCs/>
          <w:sz w:val="24"/>
        </w:rPr>
        <w:t>）：</w:t>
      </w:r>
    </w:p>
    <w:p>
      <w:pPr>
        <w:adjustRightInd w:val="0"/>
        <w:snapToGrid w:val="0"/>
        <w:spacing w:line="360" w:lineRule="auto"/>
        <w:ind w:firstLine="4620" w:firstLineChars="1925"/>
        <w:jc w:val="left"/>
        <w:rPr>
          <w:rFonts w:asciiTheme="minorEastAsia" w:hAnsiTheme="minorEastAsia" w:eastAsiaTheme="minorEastAsia" w:cstheme="minorEastAsia"/>
          <w:b/>
          <w:sz w:val="24"/>
        </w:rPr>
      </w:pPr>
      <w:r>
        <w:rPr>
          <w:rFonts w:asciiTheme="minorEastAsia" w:hAnsiTheme="minorEastAsia" w:eastAsiaTheme="minorEastAsia" w:cstheme="minorEastAsia"/>
          <w:bCs/>
          <w:sz w:val="24"/>
        </w:rPr>
        <w:t>日期：</w:t>
      </w:r>
      <w:r>
        <w:rPr>
          <w:rFonts w:hint="eastAsia" w:asciiTheme="minorEastAsia" w:hAnsiTheme="minorEastAsia" w:eastAsiaTheme="minorEastAsia" w:cstheme="minorEastAsia"/>
          <w:bCs/>
          <w:sz w:val="24"/>
        </w:rPr>
        <w:t xml:space="preserve"> </w:t>
      </w:r>
      <w:r>
        <w:rPr>
          <w:rFonts w:asciiTheme="minorEastAsia" w:hAnsiTheme="minorEastAsia" w:eastAsiaTheme="minorEastAsia" w:cstheme="minorEastAsia"/>
          <w:bCs/>
          <w:sz w:val="24"/>
        </w:rPr>
        <w:t xml:space="preserve">    年   月   日</w:t>
      </w:r>
    </w:p>
    <w:p>
      <w:pPr>
        <w:pStyle w:val="9"/>
      </w:pPr>
      <w:r>
        <w:br w:type="page"/>
      </w:r>
    </w:p>
    <w:p>
      <w:pPr>
        <w:pStyle w:val="5"/>
        <w:tabs>
          <w:tab w:val="left" w:pos="840"/>
        </w:tabs>
        <w:ind w:left="397"/>
        <w:rPr>
          <w:rFonts w:asciiTheme="minorEastAsia" w:hAnsiTheme="minorEastAsia" w:eastAsiaTheme="minorEastAsia" w:cstheme="minorEastAsia"/>
          <w:b w:val="0"/>
          <w:kern w:val="1"/>
          <w:sz w:val="28"/>
          <w:szCs w:val="24"/>
          <w:lang w:eastAsia="zh-CN"/>
        </w:rPr>
      </w:pPr>
      <w:r>
        <w:rPr>
          <w:rFonts w:hint="eastAsia" w:asciiTheme="minorEastAsia" w:hAnsiTheme="minorEastAsia" w:eastAsiaTheme="minorEastAsia" w:cstheme="minorEastAsia"/>
          <w:kern w:val="1"/>
          <w:sz w:val="28"/>
          <w:szCs w:val="24"/>
          <w:lang w:eastAsia="zh-CN"/>
        </w:rPr>
        <w:t>十、</w:t>
      </w:r>
      <w:r>
        <w:rPr>
          <w:rFonts w:asciiTheme="minorEastAsia" w:hAnsiTheme="minorEastAsia" w:eastAsiaTheme="minorEastAsia" w:cstheme="minorEastAsia"/>
          <w:kern w:val="1"/>
          <w:sz w:val="28"/>
          <w:szCs w:val="24"/>
          <w:lang w:eastAsia="zh-CN"/>
        </w:rPr>
        <w:t>供应商承诺函</w:t>
      </w:r>
    </w:p>
    <w:p>
      <w:pPr>
        <w:pStyle w:val="24"/>
        <w:ind w:firstLine="210"/>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kern w:val="1"/>
          <w:sz w:val="24"/>
          <w:szCs w:val="24"/>
        </w:rPr>
      </w:pPr>
      <w:r>
        <w:rPr>
          <w:rFonts w:asciiTheme="minorEastAsia" w:hAnsiTheme="minorEastAsia" w:eastAsiaTheme="minorEastAsia" w:cstheme="minorEastAsia"/>
          <w:kern w:val="1"/>
          <w:sz w:val="24"/>
          <w:szCs w:val="24"/>
        </w:rPr>
        <w:t>致：</w:t>
      </w:r>
      <w:r>
        <w:rPr>
          <w:rFonts w:asciiTheme="minorEastAsia" w:hAnsiTheme="minorEastAsia" w:eastAsiaTheme="minorEastAsia" w:cstheme="minorEastAsia"/>
          <w:kern w:val="1"/>
          <w:sz w:val="24"/>
          <w:szCs w:val="24"/>
          <w:u w:val="single"/>
        </w:rPr>
        <w:t xml:space="preserve">   （采购人名称）            </w:t>
      </w:r>
    </w:p>
    <w:p>
      <w:pPr>
        <w:spacing w:line="360" w:lineRule="auto"/>
        <w:ind w:firstLine="567"/>
        <w:rPr>
          <w:rFonts w:asciiTheme="minorEastAsia" w:hAnsiTheme="minorEastAsia" w:eastAsiaTheme="minorEastAsia" w:cstheme="minorEastAsia"/>
          <w:kern w:val="1"/>
          <w:sz w:val="24"/>
          <w:szCs w:val="24"/>
        </w:rPr>
      </w:pPr>
      <w:r>
        <w:rPr>
          <w:rFonts w:asciiTheme="minorEastAsia" w:hAnsiTheme="minorEastAsia" w:eastAsiaTheme="minorEastAsia" w:cstheme="minorEastAsia"/>
          <w:kern w:val="1"/>
          <w:sz w:val="24"/>
          <w:szCs w:val="24"/>
        </w:rPr>
        <w:t>很荣幸能参与项目编号为</w:t>
      </w:r>
      <w:r>
        <w:rPr>
          <w:rFonts w:hint="eastAsia" w:asciiTheme="minorEastAsia" w:hAnsiTheme="minorEastAsia" w:eastAsiaTheme="minorEastAsia" w:cstheme="minorEastAsia"/>
          <w:kern w:val="1"/>
          <w:sz w:val="24"/>
          <w:szCs w:val="24"/>
          <w:u w:val="single"/>
        </w:rPr>
        <w:t xml:space="preserve">          </w:t>
      </w:r>
      <w:r>
        <w:rPr>
          <w:rFonts w:asciiTheme="minorEastAsia" w:hAnsiTheme="minorEastAsia" w:eastAsiaTheme="minorEastAsia" w:cstheme="minorEastAsia"/>
          <w:kern w:val="1"/>
          <w:sz w:val="24"/>
          <w:szCs w:val="24"/>
        </w:rPr>
        <w:t>采购的投标。</w:t>
      </w:r>
    </w:p>
    <w:p>
      <w:pPr>
        <w:spacing w:line="360" w:lineRule="auto"/>
        <w:ind w:firstLine="567"/>
        <w:rPr>
          <w:rFonts w:asciiTheme="minorEastAsia" w:hAnsiTheme="minorEastAsia" w:eastAsiaTheme="minorEastAsia" w:cstheme="minorEastAsia"/>
          <w:kern w:val="1"/>
          <w:sz w:val="24"/>
          <w:szCs w:val="24"/>
        </w:rPr>
      </w:pPr>
      <w:r>
        <w:rPr>
          <w:rFonts w:asciiTheme="minorEastAsia" w:hAnsiTheme="minorEastAsia" w:eastAsiaTheme="minorEastAsia" w:cstheme="minorEastAsia"/>
          <w:kern w:val="1"/>
          <w:sz w:val="24"/>
          <w:szCs w:val="24"/>
        </w:rPr>
        <w:t>我代表</w:t>
      </w:r>
      <w:r>
        <w:rPr>
          <w:rFonts w:asciiTheme="minorEastAsia" w:hAnsiTheme="minorEastAsia" w:eastAsiaTheme="minorEastAsia" w:cstheme="minorEastAsia"/>
          <w:kern w:val="1"/>
          <w:sz w:val="24"/>
          <w:szCs w:val="24"/>
          <w:u w:val="single"/>
        </w:rPr>
        <w:t xml:space="preserve">         （供应商名称）</w:t>
      </w:r>
      <w:r>
        <w:rPr>
          <w:rFonts w:asciiTheme="minorEastAsia" w:hAnsiTheme="minorEastAsia" w:eastAsiaTheme="minorEastAsia" w:cstheme="minorEastAsia"/>
          <w:kern w:val="1"/>
          <w:sz w:val="24"/>
          <w:szCs w:val="24"/>
        </w:rPr>
        <w:t>，在此作如下承诺：</w:t>
      </w:r>
    </w:p>
    <w:p>
      <w:pPr>
        <w:spacing w:line="360" w:lineRule="auto"/>
        <w:ind w:firstLine="567"/>
        <w:rPr>
          <w:rFonts w:asciiTheme="minorEastAsia" w:hAnsiTheme="minorEastAsia" w:eastAsiaTheme="minorEastAsia" w:cstheme="minorEastAsia"/>
          <w:kern w:val="1"/>
          <w:sz w:val="24"/>
          <w:szCs w:val="24"/>
        </w:rPr>
      </w:pPr>
      <w:r>
        <w:rPr>
          <w:rFonts w:asciiTheme="minorEastAsia" w:hAnsiTheme="minorEastAsia" w:eastAsiaTheme="minorEastAsia" w:cstheme="minorEastAsia"/>
          <w:kern w:val="1"/>
          <w:sz w:val="24"/>
          <w:szCs w:val="24"/>
        </w:rPr>
        <w:t>1、完全理解和接受本项目竞争性磋商文件的一切规定和要求；</w:t>
      </w:r>
    </w:p>
    <w:p>
      <w:pPr>
        <w:spacing w:line="360" w:lineRule="auto"/>
        <w:ind w:firstLine="567"/>
        <w:rPr>
          <w:rFonts w:asciiTheme="minorEastAsia" w:hAnsiTheme="minorEastAsia" w:eastAsiaTheme="minorEastAsia" w:cstheme="minorEastAsia"/>
          <w:kern w:val="1"/>
          <w:sz w:val="24"/>
          <w:szCs w:val="24"/>
        </w:rPr>
      </w:pPr>
      <w:r>
        <w:rPr>
          <w:rFonts w:asciiTheme="minorEastAsia" w:hAnsiTheme="minorEastAsia" w:eastAsiaTheme="minorEastAsia" w:cstheme="minorEastAsia"/>
          <w:kern w:val="1"/>
          <w:sz w:val="24"/>
          <w:szCs w:val="24"/>
        </w:rPr>
        <w:t>2、我方递交的响应文件中所有的资料均为真实的、准确的，无任何虚假内容。若存在有虚假内容，我方愿意接受惩罚；</w:t>
      </w:r>
    </w:p>
    <w:p>
      <w:pPr>
        <w:spacing w:line="360" w:lineRule="auto"/>
        <w:ind w:firstLine="567"/>
        <w:rPr>
          <w:rFonts w:asciiTheme="minorEastAsia" w:hAnsiTheme="minorEastAsia" w:eastAsiaTheme="minorEastAsia" w:cstheme="minorEastAsia"/>
          <w:kern w:val="1"/>
          <w:sz w:val="24"/>
          <w:szCs w:val="24"/>
        </w:rPr>
      </w:pPr>
      <w:r>
        <w:rPr>
          <w:rFonts w:asciiTheme="minorEastAsia" w:hAnsiTheme="minorEastAsia" w:eastAsiaTheme="minorEastAsia" w:cstheme="minorEastAsia"/>
          <w:kern w:val="1"/>
          <w:sz w:val="24"/>
          <w:szCs w:val="24"/>
        </w:rPr>
        <w:t>3、若成交，我方将按照竞争性磋商文件的具体规定与采购人签订采购合同，并且严格按合同履行义务，按时交付使用，保证设备质量符合竞争性磋商文件要求，并提供优质服务。如果在合同执行过程中，发现问题，我方一定尽快对其进行调整，并承担相应的经济责任；</w:t>
      </w:r>
    </w:p>
    <w:p>
      <w:pPr>
        <w:spacing w:line="360" w:lineRule="auto"/>
        <w:ind w:firstLine="567"/>
        <w:rPr>
          <w:rFonts w:asciiTheme="minorEastAsia" w:hAnsiTheme="minorEastAsia" w:eastAsiaTheme="minorEastAsia" w:cstheme="minorEastAsia"/>
          <w:kern w:val="1"/>
          <w:sz w:val="24"/>
          <w:szCs w:val="24"/>
        </w:rPr>
      </w:pPr>
      <w:r>
        <w:rPr>
          <w:rFonts w:asciiTheme="minorEastAsia" w:hAnsiTheme="minorEastAsia" w:eastAsiaTheme="minorEastAsia" w:cstheme="minorEastAsia"/>
          <w:kern w:val="1"/>
          <w:sz w:val="24"/>
          <w:szCs w:val="24"/>
        </w:rPr>
        <w:t>4、若成交，本承诺将成为合同不可分割的一部分，与合同具有同等的法律效力；</w:t>
      </w:r>
    </w:p>
    <w:p>
      <w:pPr>
        <w:spacing w:line="360" w:lineRule="auto"/>
        <w:ind w:firstLine="567"/>
        <w:rPr>
          <w:rFonts w:asciiTheme="minorEastAsia" w:hAnsiTheme="minorEastAsia" w:eastAsiaTheme="minorEastAsia" w:cstheme="minorEastAsia"/>
          <w:kern w:val="1"/>
          <w:sz w:val="24"/>
          <w:szCs w:val="24"/>
        </w:rPr>
      </w:pPr>
      <w:r>
        <w:rPr>
          <w:rFonts w:asciiTheme="minorEastAsia" w:hAnsiTheme="minorEastAsia" w:eastAsiaTheme="minorEastAsia" w:cstheme="minorEastAsia"/>
          <w:kern w:val="1"/>
          <w:sz w:val="24"/>
          <w:szCs w:val="24"/>
        </w:rPr>
        <w:t>5、我方同意竞争性磋商文件所附的合同文本作为与采购方签约的合同文本，非经双方一致同意，不得改变原合同文本的条款。</w:t>
      </w:r>
    </w:p>
    <w:p>
      <w:pPr>
        <w:spacing w:line="360" w:lineRule="auto"/>
        <w:ind w:firstLine="567"/>
        <w:rPr>
          <w:rFonts w:asciiTheme="minorEastAsia" w:hAnsiTheme="minorEastAsia" w:eastAsiaTheme="minorEastAsia" w:cstheme="minorEastAsia"/>
          <w:kern w:val="1"/>
          <w:sz w:val="24"/>
          <w:szCs w:val="24"/>
        </w:rPr>
      </w:pPr>
    </w:p>
    <w:p>
      <w:pPr>
        <w:spacing w:line="360" w:lineRule="auto"/>
        <w:ind w:firstLine="426"/>
        <w:rPr>
          <w:rFonts w:asciiTheme="minorEastAsia" w:hAnsiTheme="minorEastAsia" w:eastAsiaTheme="minorEastAsia" w:cstheme="minorEastAsia"/>
          <w:kern w:val="1"/>
          <w:sz w:val="24"/>
          <w:szCs w:val="24"/>
        </w:rPr>
      </w:pPr>
    </w:p>
    <w:p>
      <w:pPr>
        <w:adjustRightInd w:val="0"/>
        <w:snapToGrid w:val="0"/>
        <w:spacing w:line="360" w:lineRule="auto"/>
        <w:ind w:firstLine="4620" w:firstLineChars="1925"/>
        <w:jc w:val="left"/>
        <w:rPr>
          <w:rFonts w:asciiTheme="minorEastAsia" w:hAnsiTheme="minorEastAsia" w:eastAsiaTheme="minorEastAsia" w:cstheme="minorEastAsia"/>
          <w:bCs/>
          <w:sz w:val="24"/>
          <w:szCs w:val="24"/>
        </w:rPr>
      </w:pPr>
      <w:r>
        <w:rPr>
          <w:rFonts w:asciiTheme="minorEastAsia" w:hAnsiTheme="minorEastAsia" w:eastAsiaTheme="minorEastAsia" w:cstheme="minorEastAsia"/>
          <w:bCs/>
          <w:sz w:val="24"/>
          <w:szCs w:val="24"/>
        </w:rPr>
        <w:t>供应商（</w:t>
      </w:r>
      <w:r>
        <w:rPr>
          <w:rFonts w:hint="eastAsia" w:asciiTheme="minorEastAsia" w:hAnsiTheme="minorEastAsia" w:eastAsiaTheme="minorEastAsia" w:cstheme="minorEastAsia"/>
          <w:bCs/>
          <w:sz w:val="24"/>
          <w:szCs w:val="24"/>
        </w:rPr>
        <w:t>盖章</w:t>
      </w:r>
      <w:r>
        <w:rPr>
          <w:rFonts w:asciiTheme="minorEastAsia" w:hAnsiTheme="minorEastAsia" w:eastAsiaTheme="minorEastAsia" w:cstheme="minorEastAsia"/>
          <w:bCs/>
          <w:sz w:val="24"/>
          <w:szCs w:val="24"/>
        </w:rPr>
        <w:t>）：</w:t>
      </w:r>
    </w:p>
    <w:p>
      <w:pPr>
        <w:adjustRightInd w:val="0"/>
        <w:snapToGrid w:val="0"/>
        <w:spacing w:line="360" w:lineRule="auto"/>
        <w:ind w:firstLine="4620" w:firstLineChars="1925"/>
        <w:jc w:val="left"/>
        <w:rPr>
          <w:rFonts w:asciiTheme="minorEastAsia" w:hAnsiTheme="minorEastAsia" w:eastAsiaTheme="minorEastAsia" w:cstheme="minorEastAsia"/>
          <w:sz w:val="24"/>
          <w:szCs w:val="24"/>
        </w:rPr>
      </w:pPr>
      <w:r>
        <w:rPr>
          <w:rFonts w:asciiTheme="minorEastAsia" w:hAnsiTheme="minorEastAsia" w:eastAsiaTheme="minorEastAsia" w:cstheme="minorEastAsia"/>
          <w:bCs/>
          <w:sz w:val="24"/>
          <w:szCs w:val="24"/>
        </w:rPr>
        <w:t>法定代表人（</w:t>
      </w:r>
      <w:r>
        <w:rPr>
          <w:rFonts w:hint="eastAsia" w:asciiTheme="minorEastAsia" w:hAnsiTheme="minorEastAsia" w:eastAsiaTheme="minorEastAsia" w:cstheme="minorEastAsia"/>
          <w:sz w:val="24"/>
          <w:szCs w:val="24"/>
        </w:rPr>
        <w:t>签字或盖章</w:t>
      </w:r>
      <w:r>
        <w:rPr>
          <w:rFonts w:asciiTheme="minorEastAsia" w:hAnsiTheme="minorEastAsia" w:eastAsiaTheme="minorEastAsia" w:cstheme="minorEastAsia"/>
          <w:bCs/>
          <w:sz w:val="24"/>
          <w:szCs w:val="24"/>
        </w:rPr>
        <w:t>）：</w:t>
      </w:r>
    </w:p>
    <w:p>
      <w:pPr>
        <w:spacing w:line="360" w:lineRule="auto"/>
        <w:ind w:firstLine="4620" w:firstLineChars="1925"/>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rPr>
        <w:t xml:space="preserve">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w:t>
      </w:r>
      <w:r>
        <w:rPr>
          <w:rFonts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rPr>
        <w:t xml:space="preserve">   </w:t>
      </w:r>
      <w:r>
        <w:rPr>
          <w:rFonts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rPr>
        <w:t xml:space="preserve"> </w:t>
      </w:r>
      <w:r>
        <w:rPr>
          <w:rFonts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t xml:space="preserve"> </w:t>
      </w:r>
      <w:r>
        <w:rPr>
          <w:rFonts w:asciiTheme="minorEastAsia" w:hAnsiTheme="minorEastAsia" w:eastAsiaTheme="minorEastAsia" w:cstheme="minorEastAsia"/>
          <w:sz w:val="24"/>
          <w:szCs w:val="24"/>
        </w:rPr>
        <w:t>日</w:t>
      </w:r>
    </w:p>
    <w:p>
      <w:pPr>
        <w:pStyle w:val="24"/>
        <w:ind w:firstLine="210"/>
      </w:pPr>
      <w:r>
        <w:br w:type="page"/>
      </w:r>
    </w:p>
    <w:p>
      <w:pPr>
        <w:pStyle w:val="5"/>
        <w:tabs>
          <w:tab w:val="left" w:pos="840"/>
        </w:tabs>
        <w:ind w:left="397"/>
        <w:rPr>
          <w:rFonts w:asciiTheme="minorEastAsia" w:hAnsiTheme="minorEastAsia" w:eastAsiaTheme="minorEastAsia" w:cstheme="minorEastAsia"/>
          <w:kern w:val="1"/>
          <w:sz w:val="24"/>
          <w:szCs w:val="24"/>
          <w:lang w:eastAsia="zh-CN"/>
        </w:rPr>
      </w:pPr>
      <w:r>
        <w:rPr>
          <w:rFonts w:hint="eastAsia" w:asciiTheme="minorEastAsia" w:hAnsiTheme="minorEastAsia" w:eastAsiaTheme="minorEastAsia" w:cstheme="minorEastAsia"/>
          <w:sz w:val="28"/>
          <w:szCs w:val="24"/>
          <w:lang w:eastAsia="zh-CN"/>
        </w:rPr>
        <w:t>十一、磋商保证金缴纳凭证（加盖公章）</w:t>
      </w:r>
    </w:p>
    <w:p>
      <w:pPr>
        <w:spacing w:line="360" w:lineRule="auto"/>
        <w:ind w:firstLine="4620" w:firstLineChars="1925"/>
        <w:rPr>
          <w:rFonts w:asciiTheme="minorEastAsia" w:hAnsiTheme="minorEastAsia" w:eastAsiaTheme="minorEastAsia" w:cstheme="minorEastAsia"/>
          <w:kern w:val="1"/>
          <w:sz w:val="24"/>
          <w:szCs w:val="24"/>
        </w:rPr>
      </w:pPr>
    </w:p>
    <w:p>
      <w:pPr>
        <w:pStyle w:val="5"/>
        <w:tabs>
          <w:tab w:val="left" w:pos="425"/>
        </w:tabs>
        <w:ind w:left="0"/>
        <w:rPr>
          <w:rFonts w:asciiTheme="minorEastAsia" w:hAnsiTheme="minorEastAsia" w:eastAsiaTheme="minorEastAsia" w:cstheme="minorEastAsia"/>
          <w:b w:val="0"/>
          <w:sz w:val="24"/>
          <w:lang w:eastAsia="zh-CN"/>
        </w:rPr>
      </w:pPr>
    </w:p>
    <w:p>
      <w:pPr>
        <w:pStyle w:val="5"/>
        <w:tabs>
          <w:tab w:val="left" w:pos="840"/>
        </w:tabs>
        <w:ind w:left="397"/>
        <w:rPr>
          <w:rFonts w:asciiTheme="minorEastAsia" w:hAnsiTheme="minorEastAsia" w:eastAsiaTheme="minorEastAsia" w:cstheme="minorEastAsia"/>
          <w:kern w:val="1"/>
          <w:sz w:val="24"/>
          <w:szCs w:val="24"/>
          <w:lang w:eastAsia="zh-CN"/>
        </w:rPr>
      </w:pPr>
      <w:r>
        <w:rPr>
          <w:lang w:eastAsia="zh-CN"/>
        </w:rPr>
        <w:br w:type="page"/>
      </w:r>
      <w:r>
        <w:rPr>
          <w:rFonts w:hint="eastAsia"/>
          <w:lang w:eastAsia="zh-CN"/>
        </w:rPr>
        <w:t>十二、</w:t>
      </w:r>
      <w:r>
        <w:rPr>
          <w:rFonts w:hint="eastAsia" w:asciiTheme="minorEastAsia" w:hAnsiTheme="minorEastAsia" w:eastAsiaTheme="minorEastAsia" w:cstheme="minorEastAsia"/>
          <w:sz w:val="28"/>
          <w:szCs w:val="24"/>
          <w:lang w:eastAsia="zh-CN"/>
        </w:rPr>
        <w:t>供应商认为有必要提供的其他资料</w:t>
      </w:r>
    </w:p>
    <w:p>
      <w:pPr>
        <w:pStyle w:val="9"/>
      </w:pPr>
    </w:p>
    <w:p>
      <w:pPr>
        <w:pStyle w:val="9"/>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p>
    <w:p>
      <w:pPr>
        <w:spacing w:line="360" w:lineRule="auto"/>
        <w:rPr>
          <w:rFonts w:asciiTheme="minorEastAsia" w:hAnsiTheme="minorEastAsia" w:eastAsiaTheme="minorEastAsia" w:cstheme="minorEastAsia"/>
          <w:b/>
          <w:bCs/>
          <w:sz w:val="24"/>
          <w:szCs w:val="22"/>
        </w:rPr>
      </w:pPr>
      <w:r>
        <w:rPr>
          <w:rFonts w:asciiTheme="minorEastAsia" w:hAnsiTheme="minorEastAsia" w:eastAsiaTheme="minorEastAsia" w:cstheme="minorEastAsia"/>
          <w:b/>
          <w:bCs/>
          <w:sz w:val="24"/>
          <w:szCs w:val="22"/>
        </w:rPr>
        <w:t>附件：1、中小企业声明函（工程、服务）</w:t>
      </w:r>
    </w:p>
    <w:p>
      <w:pPr>
        <w:spacing w:line="360" w:lineRule="auto"/>
        <w:ind w:firstLine="720" w:firstLineChars="300"/>
        <w:rPr>
          <w:kern w:val="0"/>
          <w:sz w:val="24"/>
          <w:szCs w:val="24"/>
        </w:rPr>
      </w:pPr>
      <w:r>
        <w:rPr>
          <w:rFonts w:hint="eastAsia"/>
          <w:kern w:val="0"/>
          <w:sz w:val="24"/>
          <w:szCs w:val="24"/>
        </w:rPr>
        <w:t>本公司（联合体）郑重声明，根据《政府采购促进中小企业发展管理办法》（财库[2020]46号）的规定，本公司（联合体）参加</w:t>
      </w:r>
      <w:r>
        <w:rPr>
          <w:rFonts w:hint="eastAsia"/>
          <w:kern w:val="0"/>
          <w:sz w:val="24"/>
          <w:szCs w:val="24"/>
          <w:u w:val="single"/>
        </w:rPr>
        <w:t>（单位名称）</w:t>
      </w:r>
      <w:r>
        <w:rPr>
          <w:rFonts w:hint="eastAsia"/>
          <w:kern w:val="0"/>
          <w:sz w:val="24"/>
          <w:szCs w:val="24"/>
        </w:rPr>
        <w:t>的</w:t>
      </w:r>
      <w:r>
        <w:rPr>
          <w:rFonts w:hint="eastAsia"/>
          <w:kern w:val="0"/>
          <w:sz w:val="24"/>
          <w:szCs w:val="24"/>
          <w:u w:val="single"/>
        </w:rPr>
        <w:t>（项目名称）</w:t>
      </w:r>
      <w:r>
        <w:rPr>
          <w:rFonts w:hint="eastAsia"/>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720" w:firstLineChars="300"/>
        <w:rPr>
          <w:kern w:val="0"/>
          <w:sz w:val="24"/>
          <w:szCs w:val="24"/>
        </w:rPr>
      </w:pPr>
      <w:r>
        <w:rPr>
          <w:rFonts w:hint="eastAsia"/>
          <w:kern w:val="0"/>
          <w:sz w:val="24"/>
          <w:szCs w:val="24"/>
        </w:rPr>
        <w:t>1.</w:t>
      </w:r>
      <w:r>
        <w:rPr>
          <w:rFonts w:hint="eastAsia"/>
          <w:kern w:val="0"/>
          <w:sz w:val="24"/>
          <w:szCs w:val="24"/>
          <w:u w:val="single"/>
        </w:rPr>
        <w:t>（标的名称）</w:t>
      </w:r>
      <w:r>
        <w:rPr>
          <w:rFonts w:hint="eastAsia"/>
          <w:kern w:val="0"/>
          <w:sz w:val="24"/>
          <w:szCs w:val="24"/>
        </w:rPr>
        <w:t>，属于</w:t>
      </w:r>
      <w:r>
        <w:rPr>
          <w:rFonts w:hint="eastAsia"/>
          <w:kern w:val="0"/>
          <w:sz w:val="24"/>
          <w:szCs w:val="24"/>
          <w:u w:val="single"/>
        </w:rPr>
        <w:t>（采购文件中明确的所属行业）</w:t>
      </w:r>
      <w:r>
        <w:rPr>
          <w:rFonts w:hint="eastAsia"/>
          <w:kern w:val="0"/>
          <w:sz w:val="24"/>
          <w:szCs w:val="24"/>
        </w:rPr>
        <w:t>；承建（承接）企业为</w:t>
      </w:r>
      <w:r>
        <w:rPr>
          <w:rFonts w:hint="eastAsia"/>
          <w:kern w:val="0"/>
          <w:sz w:val="24"/>
          <w:szCs w:val="24"/>
          <w:u w:val="single"/>
        </w:rPr>
        <w:t>（企业名称）</w:t>
      </w:r>
      <w:r>
        <w:rPr>
          <w:rFonts w:hint="eastAsia"/>
          <w:kern w:val="0"/>
          <w:sz w:val="24"/>
          <w:szCs w:val="24"/>
        </w:rPr>
        <w:t>，从业人员</w:t>
      </w:r>
      <w:r>
        <w:rPr>
          <w:rFonts w:hint="eastAsia"/>
          <w:kern w:val="0"/>
          <w:sz w:val="24"/>
          <w:szCs w:val="24"/>
          <w:u w:val="single"/>
        </w:rPr>
        <w:t xml:space="preserve">  </w:t>
      </w:r>
      <w:r>
        <w:rPr>
          <w:rFonts w:hint="eastAsia"/>
          <w:kern w:val="0"/>
          <w:sz w:val="24"/>
          <w:szCs w:val="24"/>
        </w:rPr>
        <w:t>人，营业收入为</w:t>
      </w:r>
      <w:r>
        <w:rPr>
          <w:rFonts w:hint="eastAsia"/>
          <w:kern w:val="0"/>
          <w:sz w:val="24"/>
          <w:szCs w:val="24"/>
          <w:u w:val="single"/>
        </w:rPr>
        <w:t xml:space="preserve">  </w:t>
      </w:r>
      <w:r>
        <w:rPr>
          <w:rFonts w:hint="eastAsia"/>
          <w:kern w:val="0"/>
          <w:sz w:val="24"/>
          <w:szCs w:val="24"/>
        </w:rPr>
        <w:t>万元，资产总额为</w:t>
      </w:r>
      <w:r>
        <w:rPr>
          <w:rFonts w:hint="eastAsia"/>
          <w:kern w:val="0"/>
          <w:sz w:val="24"/>
          <w:szCs w:val="24"/>
          <w:u w:val="single"/>
        </w:rPr>
        <w:t xml:space="preserve">  </w:t>
      </w:r>
      <w:r>
        <w:rPr>
          <w:rFonts w:hint="eastAsia"/>
          <w:kern w:val="0"/>
          <w:sz w:val="24"/>
          <w:szCs w:val="24"/>
        </w:rPr>
        <w:t>万元，属于</w:t>
      </w:r>
      <w:r>
        <w:rPr>
          <w:rFonts w:hint="eastAsia"/>
          <w:kern w:val="0"/>
          <w:sz w:val="24"/>
          <w:szCs w:val="24"/>
          <w:u w:val="single"/>
        </w:rPr>
        <w:t>（中型企业、小型企业、微型企业）</w:t>
      </w:r>
      <w:r>
        <w:rPr>
          <w:rFonts w:hint="eastAsia"/>
          <w:kern w:val="0"/>
          <w:sz w:val="24"/>
          <w:szCs w:val="24"/>
        </w:rPr>
        <w:t>；</w:t>
      </w:r>
    </w:p>
    <w:p>
      <w:pPr>
        <w:spacing w:line="360" w:lineRule="auto"/>
        <w:ind w:firstLine="720" w:firstLineChars="300"/>
        <w:rPr>
          <w:kern w:val="0"/>
          <w:sz w:val="24"/>
          <w:szCs w:val="24"/>
        </w:rPr>
      </w:pPr>
      <w:r>
        <w:rPr>
          <w:rFonts w:hint="eastAsia"/>
          <w:kern w:val="0"/>
          <w:sz w:val="24"/>
          <w:szCs w:val="24"/>
        </w:rPr>
        <w:t xml:space="preserve">2. </w:t>
      </w:r>
      <w:r>
        <w:rPr>
          <w:rFonts w:hint="eastAsia"/>
          <w:kern w:val="0"/>
          <w:sz w:val="24"/>
          <w:szCs w:val="24"/>
          <w:u w:val="single"/>
        </w:rPr>
        <w:t>（标的名称）</w:t>
      </w:r>
      <w:r>
        <w:rPr>
          <w:rFonts w:hint="eastAsia"/>
          <w:kern w:val="0"/>
          <w:sz w:val="24"/>
          <w:szCs w:val="24"/>
        </w:rPr>
        <w:t>，属于</w:t>
      </w:r>
      <w:r>
        <w:rPr>
          <w:rFonts w:hint="eastAsia"/>
          <w:kern w:val="0"/>
          <w:sz w:val="24"/>
          <w:szCs w:val="24"/>
          <w:u w:val="single"/>
        </w:rPr>
        <w:t>（采购文件中明确的所属行业）</w:t>
      </w:r>
      <w:r>
        <w:rPr>
          <w:rFonts w:hint="eastAsia"/>
          <w:kern w:val="0"/>
          <w:sz w:val="24"/>
          <w:szCs w:val="24"/>
        </w:rPr>
        <w:t>；承建（承接）企业为</w:t>
      </w:r>
      <w:r>
        <w:rPr>
          <w:rFonts w:hint="eastAsia"/>
          <w:kern w:val="0"/>
          <w:sz w:val="24"/>
          <w:szCs w:val="24"/>
          <w:u w:val="single"/>
        </w:rPr>
        <w:t>（企业名称）</w:t>
      </w:r>
      <w:r>
        <w:rPr>
          <w:rFonts w:hint="eastAsia"/>
          <w:kern w:val="0"/>
          <w:sz w:val="24"/>
          <w:szCs w:val="24"/>
        </w:rPr>
        <w:t>，从业人员</w:t>
      </w:r>
      <w:r>
        <w:rPr>
          <w:rFonts w:hint="eastAsia"/>
          <w:kern w:val="0"/>
          <w:sz w:val="24"/>
          <w:szCs w:val="24"/>
          <w:u w:val="single"/>
        </w:rPr>
        <w:t xml:space="preserve">  </w:t>
      </w:r>
      <w:r>
        <w:rPr>
          <w:rFonts w:hint="eastAsia"/>
          <w:kern w:val="0"/>
          <w:sz w:val="24"/>
          <w:szCs w:val="24"/>
        </w:rPr>
        <w:t>人，营业收入为</w:t>
      </w:r>
      <w:r>
        <w:rPr>
          <w:rFonts w:hint="eastAsia"/>
          <w:kern w:val="0"/>
          <w:sz w:val="24"/>
          <w:szCs w:val="24"/>
          <w:u w:val="single"/>
        </w:rPr>
        <w:t xml:space="preserve">  </w:t>
      </w:r>
      <w:r>
        <w:rPr>
          <w:rFonts w:hint="eastAsia"/>
          <w:kern w:val="0"/>
          <w:sz w:val="24"/>
          <w:szCs w:val="24"/>
        </w:rPr>
        <w:t>万元，资产总额为</w:t>
      </w:r>
      <w:r>
        <w:rPr>
          <w:rFonts w:hint="eastAsia"/>
          <w:kern w:val="0"/>
          <w:sz w:val="24"/>
          <w:szCs w:val="24"/>
          <w:u w:val="single"/>
        </w:rPr>
        <w:t xml:space="preserve">  </w:t>
      </w:r>
      <w:r>
        <w:rPr>
          <w:rFonts w:hint="eastAsia"/>
          <w:kern w:val="0"/>
          <w:sz w:val="24"/>
          <w:szCs w:val="24"/>
        </w:rPr>
        <w:t>万元，属于</w:t>
      </w:r>
      <w:r>
        <w:rPr>
          <w:rFonts w:hint="eastAsia"/>
          <w:kern w:val="0"/>
          <w:sz w:val="24"/>
          <w:szCs w:val="24"/>
          <w:u w:val="single"/>
        </w:rPr>
        <w:t>（中型企业、小型企业、微型企业）</w:t>
      </w:r>
      <w:r>
        <w:rPr>
          <w:rFonts w:hint="eastAsia"/>
          <w:kern w:val="0"/>
          <w:sz w:val="24"/>
          <w:szCs w:val="24"/>
        </w:rPr>
        <w:t>；</w:t>
      </w:r>
    </w:p>
    <w:p>
      <w:pPr>
        <w:spacing w:line="360" w:lineRule="auto"/>
        <w:ind w:firstLine="720" w:firstLineChars="300"/>
        <w:rPr>
          <w:kern w:val="0"/>
          <w:sz w:val="24"/>
          <w:szCs w:val="24"/>
        </w:rPr>
      </w:pPr>
      <w:r>
        <w:rPr>
          <w:rFonts w:hint="eastAsia"/>
          <w:kern w:val="0"/>
          <w:sz w:val="24"/>
          <w:szCs w:val="24"/>
        </w:rPr>
        <w:t>……</w:t>
      </w:r>
    </w:p>
    <w:p>
      <w:pPr>
        <w:spacing w:line="360" w:lineRule="auto"/>
        <w:ind w:firstLine="720" w:firstLineChars="300"/>
        <w:rPr>
          <w:kern w:val="0"/>
          <w:sz w:val="24"/>
          <w:szCs w:val="24"/>
        </w:rPr>
      </w:pPr>
      <w:r>
        <w:rPr>
          <w:rFonts w:hint="eastAsia"/>
          <w:kern w:val="0"/>
          <w:sz w:val="24"/>
          <w:szCs w:val="24"/>
        </w:rPr>
        <w:t>以上企业，不属于大企业的分支机构，不存在控股股东为大企业的情形，也不存在与大企业的负责人为同一人的情形。</w:t>
      </w:r>
    </w:p>
    <w:p>
      <w:pPr>
        <w:spacing w:line="360" w:lineRule="auto"/>
        <w:ind w:firstLine="480" w:firstLineChars="200"/>
        <w:jc w:val="left"/>
        <w:rPr>
          <w:rFonts w:asciiTheme="minorEastAsia" w:hAnsiTheme="minorEastAsia" w:eastAsiaTheme="minorEastAsia" w:cstheme="minorEastAsia"/>
          <w:sz w:val="24"/>
          <w:szCs w:val="22"/>
        </w:rPr>
      </w:pPr>
      <w:r>
        <w:rPr>
          <w:rFonts w:hint="eastAsia"/>
          <w:kern w:val="0"/>
          <w:sz w:val="24"/>
          <w:szCs w:val="24"/>
        </w:rPr>
        <w:t>本企业对上述声明内容的真实性负责。如有虚假，将依法承担相应责任。</w:t>
      </w:r>
    </w:p>
    <w:p>
      <w:pPr>
        <w:spacing w:line="360" w:lineRule="auto"/>
        <w:ind w:firstLine="6240" w:firstLineChars="2600"/>
        <w:jc w:val="left"/>
        <w:rPr>
          <w:rFonts w:asciiTheme="minorEastAsia" w:hAnsiTheme="minorEastAsia" w:eastAsiaTheme="minorEastAsia" w:cstheme="minorEastAsia"/>
          <w:sz w:val="24"/>
          <w:szCs w:val="22"/>
        </w:rPr>
      </w:pPr>
    </w:p>
    <w:p>
      <w:pPr>
        <w:spacing w:line="360" w:lineRule="auto"/>
        <w:ind w:firstLine="6240" w:firstLineChars="2600"/>
        <w:jc w:val="left"/>
        <w:rPr>
          <w:rFonts w:asciiTheme="minorEastAsia" w:hAnsiTheme="minorEastAsia" w:eastAsiaTheme="minorEastAsia" w:cstheme="minorEastAsia"/>
          <w:sz w:val="24"/>
          <w:szCs w:val="22"/>
        </w:rPr>
      </w:pPr>
    </w:p>
    <w:p>
      <w:pPr>
        <w:spacing w:line="360" w:lineRule="auto"/>
        <w:ind w:firstLine="6240" w:firstLineChars="2600"/>
        <w:jc w:val="left"/>
        <w:rPr>
          <w:rFonts w:asciiTheme="minorEastAsia" w:hAnsiTheme="minorEastAsia" w:eastAsiaTheme="minorEastAsia" w:cstheme="minorEastAsia"/>
          <w:sz w:val="24"/>
          <w:szCs w:val="22"/>
        </w:rPr>
      </w:pPr>
      <w:r>
        <w:rPr>
          <w:rFonts w:asciiTheme="minorEastAsia" w:hAnsiTheme="minorEastAsia" w:eastAsiaTheme="minorEastAsia" w:cstheme="minorEastAsia"/>
          <w:sz w:val="24"/>
          <w:szCs w:val="22"/>
        </w:rPr>
        <w:t>企业名称（</w:t>
      </w:r>
      <w:r>
        <w:rPr>
          <w:rFonts w:hint="eastAsia" w:asciiTheme="minorEastAsia" w:hAnsiTheme="minorEastAsia" w:eastAsiaTheme="minorEastAsia" w:cstheme="minorEastAsia"/>
          <w:sz w:val="24"/>
          <w:szCs w:val="22"/>
        </w:rPr>
        <w:t>盖章</w:t>
      </w:r>
      <w:r>
        <w:rPr>
          <w:rFonts w:asciiTheme="minorEastAsia" w:hAnsiTheme="minorEastAsia" w:eastAsiaTheme="minorEastAsia" w:cstheme="minorEastAsia"/>
          <w:sz w:val="24"/>
          <w:szCs w:val="22"/>
        </w:rPr>
        <w:t>）：</w:t>
      </w:r>
    </w:p>
    <w:p>
      <w:pPr>
        <w:spacing w:line="360" w:lineRule="auto"/>
        <w:ind w:firstLine="7440" w:firstLineChars="3100"/>
        <w:jc w:val="left"/>
        <w:rPr>
          <w:rFonts w:asciiTheme="minorEastAsia" w:hAnsiTheme="minorEastAsia" w:eastAsiaTheme="minorEastAsia" w:cstheme="minorEastAsia"/>
          <w:sz w:val="24"/>
          <w:szCs w:val="22"/>
        </w:rPr>
      </w:pPr>
      <w:r>
        <w:rPr>
          <w:rFonts w:asciiTheme="minorEastAsia" w:hAnsiTheme="minorEastAsia" w:eastAsiaTheme="minorEastAsia" w:cstheme="minorEastAsia"/>
          <w:sz w:val="24"/>
          <w:szCs w:val="22"/>
        </w:rPr>
        <w:t>日期：</w:t>
      </w:r>
    </w:p>
    <w:p>
      <w:pPr>
        <w:spacing w:line="360" w:lineRule="auto"/>
        <w:jc w:val="left"/>
        <w:rPr>
          <w:rFonts w:asciiTheme="minorEastAsia" w:hAnsiTheme="minorEastAsia" w:eastAsiaTheme="minorEastAsia" w:cstheme="minorEastAsia"/>
          <w:sz w:val="24"/>
          <w:szCs w:val="22"/>
        </w:rPr>
      </w:pPr>
    </w:p>
    <w:p>
      <w:pPr>
        <w:widowControl/>
        <w:wordWrap/>
        <w:topLinePunct w:val="0"/>
        <w:jc w:val="lef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11"/>
          <w:szCs w:val="11"/>
          <w:lang w:bidi="ar"/>
          <w14:textFill>
            <w14:solidFill>
              <w14:schemeClr w14:val="tx1"/>
            </w14:solidFill>
          </w14:textFill>
        </w:rPr>
        <w:t>1</w:t>
      </w:r>
      <w:r>
        <w:rPr>
          <w:rFonts w:hint="eastAsia" w:ascii="仿宋" w:hAnsi="仿宋" w:eastAsia="仿宋" w:cs="仿宋"/>
          <w:color w:val="000000" w:themeColor="text1"/>
          <w:kern w:val="0"/>
          <w:sz w:val="18"/>
          <w:szCs w:val="18"/>
          <w:lang w:bidi="ar"/>
          <w14:textFill>
            <w14:solidFill>
              <w14:schemeClr w14:val="tx1"/>
            </w14:solidFill>
          </w14:textFill>
        </w:rPr>
        <w:t>从业人员、营业收入、资产总额填报上一年度数据，无上一年度数据的新成立企业可不填报。</w:t>
      </w:r>
    </w:p>
    <w:p>
      <w:pPr>
        <w:spacing w:line="360" w:lineRule="auto"/>
        <w:jc w:val="left"/>
        <w:rPr>
          <w:b/>
          <w:bCs/>
          <w:sz w:val="24"/>
          <w:szCs w:val="24"/>
        </w:rPr>
      </w:pPr>
    </w:p>
    <w:p>
      <w:pPr>
        <w:spacing w:line="360" w:lineRule="auto"/>
        <w:jc w:val="left"/>
        <w:rPr>
          <w:b/>
          <w:bCs/>
          <w:sz w:val="24"/>
          <w:szCs w:val="24"/>
        </w:rPr>
      </w:pPr>
    </w:p>
    <w:p>
      <w:pPr>
        <w:spacing w:line="360" w:lineRule="auto"/>
        <w:jc w:val="left"/>
        <w:rPr>
          <w:b/>
          <w:bCs/>
          <w:sz w:val="24"/>
          <w:szCs w:val="24"/>
        </w:rPr>
      </w:pPr>
    </w:p>
    <w:p>
      <w:pPr>
        <w:pStyle w:val="25"/>
        <w:ind w:firstLine="482"/>
        <w:rPr>
          <w:b/>
          <w:bCs/>
          <w:sz w:val="24"/>
          <w:szCs w:val="24"/>
        </w:rPr>
      </w:pPr>
    </w:p>
    <w:p>
      <w:pPr>
        <w:rPr>
          <w:b/>
          <w:bCs/>
          <w:sz w:val="24"/>
          <w:szCs w:val="24"/>
        </w:rPr>
      </w:pPr>
    </w:p>
    <w:p>
      <w:pPr>
        <w:pStyle w:val="25"/>
        <w:ind w:firstLine="482"/>
        <w:rPr>
          <w:b/>
          <w:bCs/>
          <w:sz w:val="24"/>
          <w:szCs w:val="24"/>
        </w:rPr>
      </w:pPr>
    </w:p>
    <w:p/>
    <w:p>
      <w:pPr>
        <w:spacing w:line="360" w:lineRule="auto"/>
        <w:jc w:val="left"/>
        <w:rPr>
          <w:b/>
          <w:bCs/>
          <w:sz w:val="24"/>
          <w:szCs w:val="24"/>
        </w:rPr>
      </w:pPr>
    </w:p>
    <w:p>
      <w:pPr>
        <w:spacing w:line="360" w:lineRule="auto"/>
        <w:jc w:val="left"/>
        <w:rPr>
          <w:b/>
          <w:bCs/>
          <w:sz w:val="24"/>
          <w:szCs w:val="24"/>
        </w:rPr>
      </w:pPr>
    </w:p>
    <w:p>
      <w:pPr>
        <w:spacing w:line="360" w:lineRule="auto"/>
        <w:jc w:val="left"/>
        <w:rPr>
          <w:b/>
          <w:bCs/>
          <w:sz w:val="24"/>
          <w:szCs w:val="24"/>
        </w:rPr>
      </w:pPr>
    </w:p>
    <w:p>
      <w:pPr>
        <w:spacing w:line="360" w:lineRule="auto"/>
        <w:jc w:val="left"/>
        <w:rPr>
          <w:b/>
          <w:bCs/>
          <w:sz w:val="24"/>
          <w:szCs w:val="24"/>
        </w:rPr>
      </w:pPr>
    </w:p>
    <w:p>
      <w:pPr>
        <w:spacing w:line="360" w:lineRule="auto"/>
        <w:jc w:val="left"/>
        <w:rPr>
          <w:b/>
          <w:bCs/>
          <w:sz w:val="24"/>
          <w:szCs w:val="24"/>
        </w:rPr>
      </w:pPr>
    </w:p>
    <w:p>
      <w:pPr>
        <w:spacing w:line="360" w:lineRule="auto"/>
        <w:jc w:val="left"/>
        <w:rPr>
          <w:sz w:val="24"/>
          <w:szCs w:val="24"/>
        </w:rPr>
      </w:pPr>
      <w:r>
        <w:rPr>
          <w:b/>
          <w:bCs/>
          <w:sz w:val="24"/>
          <w:szCs w:val="24"/>
        </w:rPr>
        <w:t>2、监狱企业声明函</w:t>
      </w:r>
      <w:r>
        <w:rPr>
          <w:sz w:val="24"/>
          <w:szCs w:val="24"/>
        </w:rPr>
        <w:br w:type="textWrapping"/>
      </w:r>
      <w:r>
        <w:rPr>
          <w:sz w:val="24"/>
          <w:szCs w:val="24"/>
        </w:rPr>
        <w:br w:type="textWrapping"/>
      </w:r>
      <w:r>
        <w:rPr>
          <w:sz w:val="24"/>
          <w:szCs w:val="24"/>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r>
        <w:rPr>
          <w:sz w:val="24"/>
          <w:szCs w:val="24"/>
        </w:rPr>
        <w:br w:type="textWrapping"/>
      </w:r>
      <w:r>
        <w:rPr>
          <w:sz w:val="24"/>
          <w:szCs w:val="24"/>
        </w:rPr>
        <w:t>本企业对上述声明的真实性负责。如有虚假，将依法承担相应责任。</w:t>
      </w:r>
      <w:r>
        <w:rPr>
          <w:sz w:val="24"/>
          <w:szCs w:val="24"/>
        </w:rPr>
        <w:br w:type="textWrapping"/>
      </w:r>
      <w:r>
        <w:rPr>
          <w:sz w:val="24"/>
          <w:szCs w:val="24"/>
        </w:rPr>
        <w:br w:type="textWrapping"/>
      </w:r>
      <w:r>
        <w:rPr>
          <w:sz w:val="24"/>
          <w:szCs w:val="24"/>
        </w:rPr>
        <w:t>                       </w:t>
      </w:r>
    </w:p>
    <w:p>
      <w:pPr>
        <w:spacing w:line="360" w:lineRule="auto"/>
        <w:ind w:firstLine="6480" w:firstLineChars="2700"/>
        <w:jc w:val="left"/>
        <w:rPr>
          <w:sz w:val="24"/>
          <w:szCs w:val="24"/>
        </w:rPr>
        <w:sectPr>
          <w:pgSz w:w="11920" w:h="16840"/>
          <w:pgMar w:top="1134" w:right="1134" w:bottom="1134" w:left="1134" w:header="794" w:footer="851" w:gutter="0"/>
          <w:cols w:space="720" w:num="1"/>
        </w:sectPr>
      </w:pPr>
      <w:r>
        <w:rPr>
          <w:sz w:val="24"/>
          <w:szCs w:val="24"/>
        </w:rPr>
        <w:t> 企业名称（</w:t>
      </w:r>
      <w:r>
        <w:rPr>
          <w:rFonts w:hint="eastAsia" w:asciiTheme="minorEastAsia" w:hAnsiTheme="minorEastAsia" w:eastAsiaTheme="minorEastAsia" w:cstheme="minorEastAsia"/>
          <w:sz w:val="24"/>
          <w:szCs w:val="22"/>
        </w:rPr>
        <w:t>盖章</w:t>
      </w:r>
      <w:r>
        <w:rPr>
          <w:sz w:val="24"/>
          <w:szCs w:val="24"/>
        </w:rPr>
        <w:t>）： </w:t>
      </w:r>
      <w:r>
        <w:rPr>
          <w:sz w:val="24"/>
          <w:szCs w:val="24"/>
        </w:rPr>
        <w:br w:type="textWrapping"/>
      </w:r>
      <w:r>
        <w:rPr>
          <w:sz w:val="24"/>
          <w:szCs w:val="24"/>
        </w:rPr>
        <w:t>                               日  期：</w:t>
      </w:r>
    </w:p>
    <w:p>
      <w:pPr>
        <w:spacing w:line="360" w:lineRule="auto"/>
        <w:jc w:val="left"/>
        <w:rPr>
          <w:sz w:val="24"/>
          <w:szCs w:val="24"/>
        </w:rPr>
      </w:pPr>
      <w:r>
        <w:rPr>
          <w:b/>
          <w:bCs/>
          <w:sz w:val="24"/>
          <w:szCs w:val="24"/>
        </w:rPr>
        <w:t>3、残疾人福利性单位声明函</w:t>
      </w:r>
      <w:r>
        <w:rPr>
          <w:sz w:val="24"/>
          <w:szCs w:val="24"/>
        </w:rPr>
        <w:br w:type="textWrapping"/>
      </w:r>
      <w:r>
        <w:rPr>
          <w:sz w:val="24"/>
          <w:szCs w:val="24"/>
        </w:rPr>
        <w:br w:type="textWrapping"/>
      </w:r>
      <w:r>
        <w:rPr>
          <w:sz w:val="24"/>
          <w:szCs w:val="24"/>
        </w:rPr>
        <w:t>本企业郑重声明，根据《三部门联合发布关于促进残疾人就业政府采购政策的通知》（财库[2017]141号），本企业______（是、不是）残疾人福利性单位。</w:t>
      </w:r>
      <w:r>
        <w:rPr>
          <w:sz w:val="24"/>
          <w:szCs w:val="24"/>
        </w:rPr>
        <w:br w:type="textWrapping"/>
      </w:r>
      <w:r>
        <w:rPr>
          <w:sz w:val="24"/>
          <w:szCs w:val="24"/>
        </w:rPr>
        <w:t>本企业对上述声明的真实性负责。如有虚假，将依法承担相应责任。</w:t>
      </w:r>
      <w:r>
        <w:rPr>
          <w:sz w:val="24"/>
          <w:szCs w:val="24"/>
        </w:rPr>
        <w:br w:type="textWrapping"/>
      </w:r>
      <w:r>
        <w:rPr>
          <w:sz w:val="24"/>
          <w:szCs w:val="24"/>
        </w:rPr>
        <w:br w:type="textWrapping"/>
      </w:r>
      <w:r>
        <w:rPr>
          <w:sz w:val="24"/>
          <w:szCs w:val="24"/>
        </w:rPr>
        <w:t>                        企业名称（</w:t>
      </w:r>
      <w:r>
        <w:rPr>
          <w:rFonts w:hint="eastAsia" w:asciiTheme="minorEastAsia" w:hAnsiTheme="minorEastAsia" w:eastAsiaTheme="minorEastAsia" w:cstheme="minorEastAsia"/>
          <w:sz w:val="24"/>
          <w:szCs w:val="22"/>
        </w:rPr>
        <w:t>盖章</w:t>
      </w:r>
      <w:r>
        <w:rPr>
          <w:sz w:val="24"/>
          <w:szCs w:val="24"/>
        </w:rPr>
        <w:t>）： </w:t>
      </w:r>
      <w:r>
        <w:rPr>
          <w:sz w:val="24"/>
          <w:szCs w:val="24"/>
        </w:rPr>
        <w:br w:type="textWrapping"/>
      </w:r>
      <w:r>
        <w:rPr>
          <w:sz w:val="24"/>
          <w:szCs w:val="24"/>
        </w:rPr>
        <w:t>                               日  期：</w:t>
      </w:r>
      <w:r>
        <w:rPr>
          <w:sz w:val="24"/>
          <w:szCs w:val="24"/>
        </w:rPr>
        <w:br w:type="textWrapping"/>
      </w:r>
      <w:r>
        <w:rPr>
          <w:sz w:val="24"/>
          <w:szCs w:val="24"/>
        </w:rPr>
        <w:br w:type="textWrapping"/>
      </w:r>
    </w:p>
    <w:p>
      <w:pPr>
        <w:spacing w:line="360" w:lineRule="auto"/>
        <w:jc w:val="left"/>
        <w:rPr>
          <w:rFonts w:asciiTheme="minorEastAsia" w:hAnsiTheme="minorEastAsia" w:eastAsiaTheme="minorEastAsia" w:cstheme="minorEastAsia"/>
          <w:b/>
          <w:sz w:val="24"/>
        </w:rPr>
        <w:sectPr>
          <w:pgSz w:w="11920" w:h="16840"/>
          <w:pgMar w:top="1134" w:right="1134" w:bottom="1134" w:left="1134" w:header="794" w:footer="851" w:gutter="0"/>
          <w:cols w:space="720" w:num="1"/>
        </w:sectPr>
      </w:pPr>
      <w:r>
        <w:rPr>
          <w:b/>
          <w:bCs/>
          <w:sz w:val="24"/>
          <w:szCs w:val="24"/>
        </w:rPr>
        <w:t>注：如果供应商是中小企业或残疾人福利性单位的，提供《声明函》即可，若中标，《声明函》将随中标结果公开，接受社会监督；如果是监狱企业，还需提供省级以上监狱管理局、戒毒管理局（含新疆生产建设兵团）出具的属于监狱企业的证明文件。</w:t>
      </w:r>
    </w:p>
    <w:p>
      <w:pPr>
        <w:pStyle w:val="43"/>
        <w:ind w:firstLine="210"/>
        <w:jc w:val="center"/>
        <w:rPr>
          <w:rFonts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z w:val="32"/>
          <w:szCs w:val="32"/>
          <w:lang w:val="en-US"/>
        </w:rPr>
        <w:t>十三、联合体协议书</w:t>
      </w:r>
    </w:p>
    <w:p>
      <w:pPr>
        <w:spacing w:line="360" w:lineRule="auto"/>
        <w:jc w:val="center"/>
        <w:rPr>
          <w:sz w:val="24"/>
        </w:rPr>
      </w:pPr>
      <w:r>
        <w:rPr>
          <w:rFonts w:hint="eastAsia"/>
          <w:sz w:val="24"/>
        </w:rPr>
        <w:t>（仅供参考）</w:t>
      </w:r>
    </w:p>
    <w:p>
      <w:pPr>
        <w:spacing w:line="360" w:lineRule="auto"/>
        <w:rPr>
          <w:sz w:val="24"/>
        </w:rPr>
      </w:pPr>
      <w:r>
        <w:rPr>
          <w:rFonts w:hint="eastAsia"/>
          <w:sz w:val="24"/>
        </w:rPr>
        <w:t>(甲公司名称)法定代表人:</w:t>
      </w:r>
    </w:p>
    <w:p>
      <w:pPr>
        <w:spacing w:line="360" w:lineRule="auto"/>
        <w:rPr>
          <w:sz w:val="24"/>
        </w:rPr>
      </w:pPr>
      <w:r>
        <w:rPr>
          <w:rFonts w:hint="eastAsia"/>
          <w:sz w:val="24"/>
        </w:rPr>
        <w:t>(乙公司名称)法定代表人:</w:t>
      </w:r>
    </w:p>
    <w:p>
      <w:pPr>
        <w:spacing w:line="360" w:lineRule="auto"/>
        <w:rPr>
          <w:sz w:val="24"/>
        </w:rPr>
      </w:pPr>
      <w:r>
        <w:rPr>
          <w:rFonts w:hint="eastAsia"/>
          <w:sz w:val="24"/>
        </w:rPr>
        <w:t>自愿组成联合体,参加项目投标。现就有关事宜订立协议如下:</w:t>
      </w:r>
    </w:p>
    <w:p>
      <w:pPr>
        <w:spacing w:line="360" w:lineRule="auto"/>
        <w:rPr>
          <w:sz w:val="24"/>
        </w:rPr>
      </w:pPr>
      <w:r>
        <w:rPr>
          <w:rFonts w:hint="eastAsia"/>
          <w:sz w:val="24"/>
        </w:rPr>
        <w:t>(甲公司名称)为联合体牵头方,(乙公司名称)为联合体成员;</w:t>
      </w:r>
    </w:p>
    <w:p>
      <w:pPr>
        <w:spacing w:line="360" w:lineRule="auto"/>
        <w:rPr>
          <w:sz w:val="24"/>
        </w:rPr>
      </w:pPr>
      <w:r>
        <w:rPr>
          <w:rFonts w:hint="eastAsia"/>
          <w:sz w:val="24"/>
        </w:rPr>
        <w:t>双方有义务提供足够的资料,以满足招标人对投标资格的要求。</w:t>
      </w:r>
    </w:p>
    <w:p>
      <w:pPr>
        <w:spacing w:line="360" w:lineRule="auto"/>
        <w:rPr>
          <w:sz w:val="24"/>
        </w:rPr>
      </w:pPr>
      <w:r>
        <w:rPr>
          <w:rFonts w:hint="eastAsia"/>
          <w:sz w:val="24"/>
        </w:rPr>
        <w:t>联合体的投标文件、招标人的招标文件、联合体与招标人签订的合同均对双方具有约束力。</w:t>
      </w:r>
    </w:p>
    <w:p>
      <w:pPr>
        <w:spacing w:line="360" w:lineRule="auto"/>
        <w:rPr>
          <w:sz w:val="24"/>
        </w:rPr>
      </w:pPr>
      <w:r>
        <w:rPr>
          <w:rFonts w:hint="eastAsia"/>
          <w:sz w:val="24"/>
        </w:rPr>
        <w:t>1、因联合体的一方或双方没有履行自己的义务,造成联合体在履行与招标人的合同时违约或联合体与招标人的合同无法继续履行时,直接责任方应承担相关责任。</w:t>
      </w:r>
    </w:p>
    <w:p>
      <w:pPr>
        <w:spacing w:line="360" w:lineRule="auto"/>
        <w:rPr>
          <w:sz w:val="24"/>
        </w:rPr>
      </w:pPr>
      <w:r>
        <w:rPr>
          <w:rFonts w:hint="eastAsia"/>
          <w:sz w:val="24"/>
        </w:rPr>
        <w:t>2、联合体内部有关事项规定如下:</w:t>
      </w:r>
    </w:p>
    <w:p>
      <w:pPr>
        <w:spacing w:line="360" w:lineRule="auto"/>
        <w:rPr>
          <w:sz w:val="24"/>
        </w:rPr>
      </w:pPr>
      <w:r>
        <w:rPr>
          <w:rFonts w:hint="eastAsia"/>
          <w:sz w:val="24"/>
        </w:rPr>
        <w:t>（1）联合体由牵头方负责与业主联系。</w:t>
      </w:r>
    </w:p>
    <w:p>
      <w:pPr>
        <w:spacing w:line="360" w:lineRule="auto"/>
        <w:rPr>
          <w:sz w:val="24"/>
        </w:rPr>
      </w:pPr>
      <w:r>
        <w:rPr>
          <w:rFonts w:hint="eastAsia"/>
          <w:sz w:val="24"/>
        </w:rPr>
        <w:t>(2)投标工作由联合体牵头方负责,由双方组成的投标小组具体实施;联合体牵头方代表联合体办理投标事宜,联合体牵头方在投标文件中的所有承诺均代表了联合体各成员。</w:t>
      </w:r>
    </w:p>
    <w:p>
      <w:pPr>
        <w:spacing w:line="360" w:lineRule="auto"/>
        <w:rPr>
          <w:sz w:val="24"/>
        </w:rPr>
      </w:pPr>
      <w:r>
        <w:rPr>
          <w:rFonts w:hint="eastAsia"/>
          <w:sz w:val="24"/>
        </w:rPr>
        <w:t>(3)联合体将严格按照招标文件的各项要求,递交投标文件,切实执行一切合同文件,共同承担合同规定的一切义务和责任,同时按照内部职责的划分,承担自身所负的责任和风险,在法律上承担连带责任。</w:t>
      </w:r>
    </w:p>
    <w:p>
      <w:pPr>
        <w:spacing w:line="360" w:lineRule="auto"/>
        <w:rPr>
          <w:sz w:val="24"/>
        </w:rPr>
      </w:pPr>
      <w:r>
        <w:rPr>
          <w:rFonts w:hint="eastAsia"/>
          <w:sz w:val="24"/>
        </w:rPr>
        <w:t>(4)如中标,联合体内部将遵守以下规定:</w:t>
      </w:r>
    </w:p>
    <w:p>
      <w:pPr>
        <w:spacing w:line="360" w:lineRule="auto"/>
        <w:ind w:firstLine="480" w:firstLineChars="200"/>
        <w:rPr>
          <w:sz w:val="24"/>
        </w:rPr>
      </w:pPr>
      <w:r>
        <w:rPr>
          <w:rFonts w:hint="eastAsia"/>
          <w:sz w:val="24"/>
        </w:rPr>
        <w:t>a.联合体牵头方和成员共同与业主签订合同书,并就中标项目向业主负责有连带的和各自的法律责任。</w:t>
      </w:r>
    </w:p>
    <w:p>
      <w:pPr>
        <w:spacing w:line="360" w:lineRule="auto"/>
        <w:ind w:firstLine="480" w:firstLineChars="200"/>
        <w:rPr>
          <w:sz w:val="24"/>
        </w:rPr>
      </w:pPr>
      <w:r>
        <w:rPr>
          <w:rFonts w:hint="eastAsia"/>
          <w:sz w:val="24"/>
        </w:rPr>
        <w:t>b.联合体牵头方代表联合体成员承担责任和接受业主的指令、指示和通知,并且在整个合同实施过程中的全部事宜(包括合同价款支付)均由联合体牵头方负责;联合体内部的资金结算、拨付由联合体内部协议确定,与招标人无关。</w:t>
      </w:r>
    </w:p>
    <w:p>
      <w:pPr>
        <w:spacing w:line="360" w:lineRule="auto"/>
        <w:ind w:firstLine="480" w:firstLineChars="200"/>
        <w:rPr>
          <w:sz w:val="24"/>
        </w:rPr>
      </w:pPr>
      <w:r>
        <w:rPr>
          <w:rFonts w:hint="eastAsia"/>
          <w:sz w:val="24"/>
        </w:rPr>
        <w:t>c.联合体分工原则:联合体牵头方负责本项目“采购内容及要求”以及磋商文件规定的所有内容,负责协调联合体内部事宜。联合体各成员负责本项目招标文件要求规定的各项工作。</w:t>
      </w:r>
    </w:p>
    <w:p>
      <w:pPr>
        <w:spacing w:line="360" w:lineRule="auto"/>
        <w:rPr>
          <w:sz w:val="24"/>
        </w:rPr>
      </w:pPr>
      <w:r>
        <w:rPr>
          <w:rFonts w:hint="eastAsia"/>
          <w:sz w:val="24"/>
        </w:rPr>
        <w:t>(5)投标工作和联合体在中标后实施过程中的有关费用由联合体牵头单位统一承担,联合体内部按各自承担的工作量分摊。</w:t>
      </w:r>
    </w:p>
    <w:p>
      <w:pPr>
        <w:spacing w:line="360" w:lineRule="auto"/>
        <w:rPr>
          <w:sz w:val="24"/>
        </w:rPr>
      </w:pPr>
      <w:r>
        <w:rPr>
          <w:rFonts w:hint="eastAsia"/>
          <w:sz w:val="24"/>
        </w:rPr>
        <w:t>6、本协议书自签署之日起生效,在合同书规定的期限之后自行失效;如中标后,联合体内部另有协议的,联合体牵头方应将该协议书送交业主。</w:t>
      </w:r>
    </w:p>
    <w:p>
      <w:pPr>
        <w:spacing w:line="360" w:lineRule="auto"/>
        <w:rPr>
          <w:sz w:val="24"/>
        </w:rPr>
      </w:pPr>
      <w:r>
        <w:rPr>
          <w:rFonts w:hint="eastAsia"/>
          <w:sz w:val="24"/>
        </w:rPr>
        <w:t>7、在实施过程中,本协议未竟事宜,由双方协商解决。</w:t>
      </w:r>
    </w:p>
    <w:p>
      <w:pPr>
        <w:spacing w:line="360" w:lineRule="auto"/>
        <w:rPr>
          <w:sz w:val="24"/>
        </w:rPr>
      </w:pPr>
      <w:r>
        <w:rPr>
          <w:rFonts w:hint="eastAsia"/>
          <w:sz w:val="24"/>
        </w:rPr>
        <w:t>8、本协议书一式四份,送业主一份,投标时递交一份,联合体成员各一份。</w:t>
      </w:r>
    </w:p>
    <w:p>
      <w:pPr>
        <w:spacing w:line="360" w:lineRule="auto"/>
        <w:rPr>
          <w:sz w:val="24"/>
        </w:rPr>
      </w:pPr>
    </w:p>
    <w:p>
      <w:pPr>
        <w:spacing w:line="360" w:lineRule="auto"/>
        <w:rPr>
          <w:sz w:val="24"/>
        </w:rPr>
      </w:pPr>
    </w:p>
    <w:p>
      <w:pPr>
        <w:spacing w:line="360" w:lineRule="auto"/>
        <w:rPr>
          <w:sz w:val="24"/>
        </w:rPr>
      </w:pPr>
      <w:r>
        <w:rPr>
          <w:rFonts w:hint="eastAsia"/>
          <w:sz w:val="24"/>
        </w:rPr>
        <w:t xml:space="preserve">联合体牵头单位名称:(全称)(盖章)   </w:t>
      </w:r>
      <w:r>
        <w:rPr>
          <w:sz w:val="24"/>
        </w:rPr>
        <w:t xml:space="preserve">    </w:t>
      </w:r>
      <w:r>
        <w:rPr>
          <w:rFonts w:hint="eastAsia"/>
          <w:sz w:val="24"/>
        </w:rPr>
        <w:t xml:space="preserve"> </w:t>
      </w:r>
      <w:r>
        <w:rPr>
          <w:sz w:val="24"/>
        </w:rPr>
        <w:t xml:space="preserve">    </w:t>
      </w:r>
      <w:r>
        <w:rPr>
          <w:rFonts w:hint="eastAsia"/>
          <w:sz w:val="24"/>
        </w:rPr>
        <w:t>联合体成员单位名称:(全称)(盖章)</w:t>
      </w:r>
    </w:p>
    <w:p>
      <w:pPr>
        <w:spacing w:line="360" w:lineRule="auto"/>
        <w:rPr>
          <w:sz w:val="24"/>
        </w:rPr>
      </w:pPr>
      <w:r>
        <w:rPr>
          <w:rFonts w:hint="eastAsia"/>
          <w:sz w:val="24"/>
        </w:rPr>
        <w:t>法定代表人:(签字或盖章)</w:t>
      </w:r>
      <w:r>
        <w:rPr>
          <w:sz w:val="24"/>
        </w:rPr>
        <w:t xml:space="preserve">                          </w:t>
      </w:r>
      <w:r>
        <w:rPr>
          <w:rFonts w:hint="eastAsia"/>
          <w:sz w:val="24"/>
        </w:rPr>
        <w:t>法定代表人:( 签字或盖章)</w:t>
      </w:r>
    </w:p>
    <w:p>
      <w:pPr>
        <w:spacing w:line="360" w:lineRule="auto"/>
        <w:rPr>
          <w:sz w:val="24"/>
        </w:rPr>
      </w:pPr>
      <w:r>
        <w:rPr>
          <w:rFonts w:hint="eastAsia"/>
          <w:sz w:val="24"/>
        </w:rPr>
        <w:t xml:space="preserve">      </w:t>
      </w:r>
      <w:r>
        <w:rPr>
          <w:sz w:val="24"/>
        </w:rPr>
        <w:t xml:space="preserve">       </w:t>
      </w:r>
    </w:p>
    <w:p>
      <w:pPr>
        <w:spacing w:line="360" w:lineRule="auto"/>
        <w:ind w:firstLine="3600" w:firstLineChars="1500"/>
        <w:rPr>
          <w:sz w:val="24"/>
        </w:rPr>
      </w:pPr>
      <w:r>
        <w:rPr>
          <w:rFonts w:hint="eastAsia"/>
          <w:sz w:val="24"/>
        </w:rPr>
        <w:t>年  月  日</w:t>
      </w:r>
    </w:p>
    <w:p>
      <w:pPr>
        <w:spacing w:line="360" w:lineRule="auto"/>
        <w:ind w:firstLine="480" w:firstLineChars="200"/>
        <w:rPr>
          <w:sz w:val="24"/>
        </w:rPr>
      </w:pPr>
    </w:p>
    <w:p>
      <w:pPr>
        <w:spacing w:line="360" w:lineRule="auto"/>
        <w:rPr>
          <w:sz w:val="24"/>
        </w:rPr>
      </w:pPr>
    </w:p>
    <w:p>
      <w:pPr>
        <w:spacing w:line="360" w:lineRule="auto"/>
        <w:rPr>
          <w:sz w:val="24"/>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pStyle w:val="25"/>
        <w:rPr>
          <w:rFonts w:cs="黑体"/>
          <w:kern w:val="0"/>
        </w:rPr>
      </w:pPr>
    </w:p>
    <w:p>
      <w:pPr>
        <w:rPr>
          <w:rFonts w:cs="黑体"/>
          <w:kern w:val="0"/>
        </w:rPr>
      </w:pPr>
    </w:p>
    <w:p>
      <w:pPr>
        <w:pStyle w:val="25"/>
        <w:rPr>
          <w:rFonts w:cs="黑体"/>
          <w:kern w:val="0"/>
        </w:rPr>
      </w:pPr>
    </w:p>
    <w:p>
      <w:pPr>
        <w:rPr>
          <w:rFonts w:cs="黑体"/>
          <w:kern w:val="0"/>
        </w:rPr>
      </w:pPr>
    </w:p>
    <w:p>
      <w:pPr>
        <w:pStyle w:val="25"/>
        <w:rPr>
          <w:rFonts w:cs="黑体"/>
          <w:kern w:val="0"/>
        </w:rPr>
      </w:pPr>
    </w:p>
    <w:p>
      <w:pPr>
        <w:rPr>
          <w:rFonts w:cs="黑体"/>
          <w:kern w:val="0"/>
        </w:rPr>
      </w:pPr>
    </w:p>
    <w:p>
      <w:pPr>
        <w:pStyle w:val="25"/>
        <w:rPr>
          <w:rFonts w:cs="黑体"/>
          <w:kern w:val="0"/>
        </w:rPr>
      </w:pPr>
    </w:p>
    <w:p>
      <w:pPr>
        <w:rPr>
          <w:rFonts w:cs="黑体"/>
          <w:kern w:val="0"/>
        </w:rPr>
      </w:pPr>
    </w:p>
    <w:p>
      <w:pPr>
        <w:pStyle w:val="25"/>
        <w:rPr>
          <w:rFonts w:cs="黑体"/>
          <w:kern w:val="0"/>
        </w:rPr>
      </w:pPr>
    </w:p>
    <w:p>
      <w:pPr>
        <w:rPr>
          <w:rFonts w:cs="黑体"/>
          <w:kern w:val="0"/>
        </w:rPr>
      </w:pPr>
    </w:p>
    <w:p>
      <w:pPr>
        <w:pStyle w:val="25"/>
        <w:rPr>
          <w:rFonts w:cs="黑体"/>
          <w:kern w:val="0"/>
        </w:rPr>
      </w:pPr>
    </w:p>
    <w:p>
      <w:pPr>
        <w:rPr>
          <w:rFonts w:cs="黑体"/>
          <w:kern w:val="0"/>
        </w:rPr>
      </w:pPr>
    </w:p>
    <w:p>
      <w:pPr>
        <w:pStyle w:val="25"/>
        <w:rPr>
          <w:rFonts w:cs="黑体"/>
          <w:kern w:val="0"/>
        </w:rPr>
      </w:pPr>
    </w:p>
    <w:p>
      <w:pPr>
        <w:rPr>
          <w:rFonts w:cs="黑体"/>
          <w:kern w:val="0"/>
        </w:rPr>
      </w:pPr>
    </w:p>
    <w:p>
      <w:pPr>
        <w:pStyle w:val="25"/>
        <w:rPr>
          <w:rFonts w:cs="黑体"/>
          <w:kern w:val="0"/>
        </w:rPr>
      </w:pPr>
    </w:p>
    <w:p>
      <w:pPr>
        <w:rPr>
          <w:rFonts w:cs="黑体"/>
          <w:kern w:val="0"/>
        </w:rPr>
      </w:pPr>
    </w:p>
    <w:p>
      <w:pPr>
        <w:autoSpaceDE w:val="0"/>
        <w:autoSpaceDN w:val="0"/>
        <w:adjustRightInd w:val="0"/>
        <w:jc w:val="center"/>
        <w:rPr>
          <w:rFonts w:asciiTheme="minorEastAsia" w:hAnsiTheme="minorEastAsia" w:eastAsiaTheme="minorEastAsia" w:cstheme="minorEastAsia"/>
          <w:b/>
          <w:bCs/>
          <w:kern w:val="0"/>
          <w:sz w:val="32"/>
          <w:szCs w:val="32"/>
          <w:lang w:val="zh-CN"/>
        </w:rPr>
      </w:pPr>
      <w:r>
        <w:rPr>
          <w:rFonts w:hint="eastAsia" w:asciiTheme="minorEastAsia" w:hAnsiTheme="minorEastAsia" w:eastAsiaTheme="minorEastAsia" w:cstheme="minorEastAsia"/>
          <w:b/>
          <w:bCs/>
          <w:kern w:val="0"/>
          <w:sz w:val="32"/>
          <w:szCs w:val="32"/>
          <w:lang w:val="zh-CN"/>
        </w:rPr>
        <w:t>最后报价一览表</w:t>
      </w:r>
    </w:p>
    <w:p>
      <w:pPr>
        <w:autoSpaceDE w:val="0"/>
        <w:autoSpaceDN w:val="0"/>
        <w:adjustRightInd w:val="0"/>
        <w:jc w:val="center"/>
        <w:rPr>
          <w:rFonts w:ascii="仿宋" w:hAnsi="仿宋" w:eastAsia="仿宋" w:cs="仿宋"/>
          <w:kern w:val="0"/>
          <w:sz w:val="24"/>
          <w:lang w:val="zh-CN"/>
        </w:rPr>
      </w:pPr>
    </w:p>
    <w:p>
      <w:pPr>
        <w:spacing w:line="360" w:lineRule="exact"/>
        <w:rPr>
          <w:rFonts w:ascii="仿宋" w:hAnsi="仿宋" w:eastAsia="仿宋" w:cs="仿宋"/>
          <w:sz w:val="24"/>
        </w:rPr>
      </w:pPr>
      <w:r>
        <w:rPr>
          <w:rFonts w:hint="eastAsia" w:ascii="仿宋" w:hAnsi="仿宋" w:eastAsia="仿宋" w:cs="仿宋"/>
          <w:sz w:val="24"/>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2195"/>
        <w:gridCol w:w="6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trPr>
        <w:tc>
          <w:tcPr>
            <w:tcW w:w="670" w:type="dxa"/>
            <w:tcBorders>
              <w:top w:val="single" w:color="000000" w:sz="2" w:space="0"/>
              <w:left w:val="single" w:color="000000" w:sz="2" w:space="0"/>
              <w:right w:val="single" w:color="000000" w:sz="2" w:space="0"/>
            </w:tcBorders>
            <w:vAlign w:val="center"/>
          </w:tcPr>
          <w:p>
            <w:pPr>
              <w:spacing w:line="360" w:lineRule="auto"/>
              <w:rPr>
                <w:sz w:val="24"/>
                <w:lang w:val="zh-CN"/>
              </w:rPr>
            </w:pPr>
            <w:r>
              <w:rPr>
                <w:rFonts w:hint="eastAsia"/>
                <w:sz w:val="24"/>
                <w:lang w:val="zh-CN"/>
              </w:rPr>
              <w:t>序号</w:t>
            </w:r>
          </w:p>
        </w:tc>
        <w:tc>
          <w:tcPr>
            <w:tcW w:w="2195" w:type="dxa"/>
            <w:tcBorders>
              <w:top w:val="single" w:color="000000" w:sz="2" w:space="0"/>
              <w:left w:val="single" w:color="auto" w:sz="4" w:space="0"/>
            </w:tcBorders>
            <w:vAlign w:val="center"/>
          </w:tcPr>
          <w:p>
            <w:pPr>
              <w:spacing w:line="360" w:lineRule="auto"/>
              <w:rPr>
                <w:sz w:val="24"/>
                <w:lang w:val="zh-CN"/>
              </w:rPr>
            </w:pPr>
            <w:r>
              <w:rPr>
                <w:rFonts w:hint="eastAsia"/>
                <w:sz w:val="24"/>
                <w:lang w:val="zh-CN"/>
              </w:rPr>
              <w:t>项目名称</w:t>
            </w:r>
          </w:p>
        </w:tc>
        <w:tc>
          <w:tcPr>
            <w:tcW w:w="6715" w:type="dxa"/>
            <w:tcBorders>
              <w:top w:val="single" w:color="000000" w:sz="2" w:space="0"/>
              <w:left w:val="single" w:color="auto" w:sz="4" w:space="0"/>
            </w:tcBorders>
            <w:vAlign w:val="center"/>
          </w:tcPr>
          <w:p>
            <w:pPr>
              <w:spacing w:line="360" w:lineRule="auto"/>
              <w:rPr>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trPr>
        <w:tc>
          <w:tcPr>
            <w:tcW w:w="670" w:type="dxa"/>
            <w:vMerge w:val="restart"/>
            <w:tcBorders>
              <w:top w:val="single" w:color="auto" w:sz="4" w:space="0"/>
              <w:left w:val="single" w:color="000000" w:sz="2" w:space="0"/>
              <w:right w:val="single" w:color="000000" w:sz="2" w:space="0"/>
            </w:tcBorders>
            <w:vAlign w:val="center"/>
          </w:tcPr>
          <w:p>
            <w:pPr>
              <w:spacing w:line="360" w:lineRule="auto"/>
              <w:rPr>
                <w:sz w:val="24"/>
                <w:lang w:val="zh-CN"/>
              </w:rPr>
            </w:pPr>
            <w:r>
              <w:rPr>
                <w:rFonts w:hint="eastAsia"/>
                <w:sz w:val="24"/>
                <w:lang w:val="zh-CN"/>
              </w:rPr>
              <w:t>1</w:t>
            </w:r>
          </w:p>
        </w:tc>
        <w:tc>
          <w:tcPr>
            <w:tcW w:w="2195" w:type="dxa"/>
            <w:vMerge w:val="restart"/>
            <w:tcBorders>
              <w:top w:val="single" w:color="auto" w:sz="4" w:space="0"/>
              <w:left w:val="single" w:color="auto" w:sz="4" w:space="0"/>
              <w:right w:val="single" w:color="auto" w:sz="4" w:space="0"/>
            </w:tcBorders>
            <w:vAlign w:val="center"/>
          </w:tcPr>
          <w:p>
            <w:pPr>
              <w:spacing w:line="360" w:lineRule="auto"/>
              <w:ind w:firstLine="480" w:firstLineChars="200"/>
              <w:rPr>
                <w:sz w:val="24"/>
                <w:lang w:val="zh-CN"/>
              </w:rPr>
            </w:pPr>
            <w:r>
              <w:rPr>
                <w:rFonts w:hint="eastAsia"/>
                <w:sz w:val="24"/>
              </w:rPr>
              <w:t>总</w:t>
            </w:r>
            <w:r>
              <w:rPr>
                <w:rFonts w:hint="eastAsia"/>
                <w:sz w:val="24"/>
                <w:lang w:val="zh-CN"/>
              </w:rPr>
              <w:t>报价</w:t>
            </w:r>
          </w:p>
          <w:p>
            <w:pPr>
              <w:spacing w:line="360" w:lineRule="auto"/>
              <w:rPr>
                <w:sz w:val="24"/>
                <w:lang w:val="zh-CN"/>
              </w:rPr>
            </w:pPr>
            <w:r>
              <w:rPr>
                <w:rFonts w:hint="eastAsia"/>
                <w:sz w:val="24"/>
                <w:lang w:val="zh-CN"/>
              </w:rPr>
              <w:t>（币种：人民币）</w:t>
            </w:r>
          </w:p>
        </w:tc>
        <w:tc>
          <w:tcPr>
            <w:tcW w:w="6715" w:type="dxa"/>
            <w:tcBorders>
              <w:top w:val="single" w:color="auto" w:sz="4" w:space="0"/>
              <w:left w:val="single" w:color="auto" w:sz="4" w:space="0"/>
              <w:right w:val="single" w:color="000000" w:sz="2" w:space="0"/>
            </w:tcBorders>
            <w:vAlign w:val="center"/>
          </w:tcPr>
          <w:p>
            <w:pPr>
              <w:spacing w:line="360" w:lineRule="auto"/>
              <w:rPr>
                <w:sz w:val="24"/>
                <w:lang w:val="zh-CN"/>
              </w:rPr>
            </w:pPr>
            <w:r>
              <w:rPr>
                <w:rFonts w:hint="eastAsia"/>
                <w:sz w:val="24"/>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8" w:hRule="atLeast"/>
        </w:trPr>
        <w:tc>
          <w:tcPr>
            <w:tcW w:w="670" w:type="dxa"/>
            <w:vMerge w:val="continue"/>
            <w:tcBorders>
              <w:left w:val="single" w:color="000000" w:sz="2" w:space="0"/>
              <w:right w:val="single" w:color="000000" w:sz="2" w:space="0"/>
            </w:tcBorders>
            <w:vAlign w:val="center"/>
          </w:tcPr>
          <w:p>
            <w:pPr>
              <w:spacing w:line="360" w:lineRule="auto"/>
              <w:rPr>
                <w:sz w:val="24"/>
                <w:lang w:val="zh-CN"/>
              </w:rPr>
            </w:pPr>
          </w:p>
        </w:tc>
        <w:tc>
          <w:tcPr>
            <w:tcW w:w="2195" w:type="dxa"/>
            <w:vMerge w:val="continue"/>
            <w:tcBorders>
              <w:left w:val="single" w:color="auto" w:sz="4" w:space="0"/>
              <w:right w:val="single" w:color="auto" w:sz="4" w:space="0"/>
            </w:tcBorders>
            <w:vAlign w:val="center"/>
          </w:tcPr>
          <w:p>
            <w:pPr>
              <w:spacing w:line="360" w:lineRule="auto"/>
              <w:rPr>
                <w:sz w:val="24"/>
                <w:lang w:val="zh-CN"/>
              </w:rPr>
            </w:pPr>
          </w:p>
        </w:tc>
        <w:tc>
          <w:tcPr>
            <w:tcW w:w="6715" w:type="dxa"/>
            <w:tcBorders>
              <w:top w:val="single" w:color="auto" w:sz="4" w:space="0"/>
              <w:left w:val="single" w:color="auto" w:sz="4" w:space="0"/>
              <w:right w:val="single" w:color="000000" w:sz="2" w:space="0"/>
            </w:tcBorders>
            <w:vAlign w:val="center"/>
          </w:tcPr>
          <w:p>
            <w:pPr>
              <w:spacing w:line="360" w:lineRule="auto"/>
              <w:rPr>
                <w:sz w:val="24"/>
                <w:lang w:val="zh-CN"/>
              </w:rPr>
            </w:pPr>
            <w:r>
              <w:rPr>
                <w:rFonts w:hint="eastAsia"/>
                <w:sz w:val="24"/>
                <w:lang w:val="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9" w:hRule="atLeast"/>
        </w:trPr>
        <w:tc>
          <w:tcPr>
            <w:tcW w:w="670" w:type="dxa"/>
            <w:tcBorders>
              <w:left w:val="single" w:color="000000" w:sz="2" w:space="0"/>
              <w:bottom w:val="single" w:color="000000" w:sz="2" w:space="0"/>
              <w:right w:val="single" w:color="000000" w:sz="2" w:space="0"/>
            </w:tcBorders>
            <w:vAlign w:val="center"/>
          </w:tcPr>
          <w:p>
            <w:pPr>
              <w:spacing w:line="360" w:lineRule="auto"/>
              <w:rPr>
                <w:sz w:val="24"/>
                <w:lang w:val="zh-CN"/>
              </w:rPr>
            </w:pPr>
            <w:r>
              <w:rPr>
                <w:rFonts w:hint="eastAsia"/>
                <w:sz w:val="24"/>
                <w:lang w:val="zh-CN"/>
              </w:rPr>
              <w:t>2</w:t>
            </w:r>
          </w:p>
        </w:tc>
        <w:tc>
          <w:tcPr>
            <w:tcW w:w="2195" w:type="dxa"/>
            <w:tcBorders>
              <w:top w:val="single" w:color="auto" w:sz="4" w:space="0"/>
              <w:left w:val="single" w:color="auto" w:sz="4" w:space="0"/>
              <w:bottom w:val="single" w:color="000000" w:sz="2" w:space="0"/>
              <w:right w:val="single" w:color="auto" w:sz="4" w:space="0"/>
            </w:tcBorders>
            <w:vAlign w:val="center"/>
          </w:tcPr>
          <w:p>
            <w:pPr>
              <w:spacing w:line="360" w:lineRule="auto"/>
              <w:rPr>
                <w:sz w:val="24"/>
                <w:lang w:val="zh-CN"/>
              </w:rPr>
            </w:pPr>
            <w:r>
              <w:rPr>
                <w:rFonts w:hint="eastAsia"/>
                <w:sz w:val="24"/>
                <w:lang w:val="zh-CN"/>
              </w:rPr>
              <w:t>合同履行期限</w:t>
            </w:r>
          </w:p>
        </w:tc>
        <w:tc>
          <w:tcPr>
            <w:tcW w:w="6715" w:type="dxa"/>
            <w:tcBorders>
              <w:top w:val="single" w:color="auto" w:sz="4" w:space="0"/>
              <w:left w:val="single" w:color="auto" w:sz="4" w:space="0"/>
              <w:bottom w:val="single" w:color="000000" w:sz="2" w:space="0"/>
              <w:right w:val="single" w:color="000000" w:sz="2" w:space="0"/>
            </w:tcBorders>
            <w:vAlign w:val="center"/>
          </w:tcPr>
          <w:p>
            <w:pPr>
              <w:spacing w:line="360" w:lineRule="auto"/>
              <w:rPr>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atLeast"/>
        </w:trPr>
        <w:tc>
          <w:tcPr>
            <w:tcW w:w="670" w:type="dxa"/>
            <w:tcBorders>
              <w:top w:val="single" w:color="auto" w:sz="4" w:space="0"/>
              <w:left w:val="single" w:color="000000" w:sz="2" w:space="0"/>
              <w:bottom w:val="single" w:color="000000" w:sz="2" w:space="0"/>
              <w:right w:val="single" w:color="000000" w:sz="2" w:space="0"/>
            </w:tcBorders>
            <w:vAlign w:val="center"/>
          </w:tcPr>
          <w:p>
            <w:pPr>
              <w:spacing w:line="360" w:lineRule="auto"/>
              <w:rPr>
                <w:sz w:val="24"/>
                <w:lang w:val="zh-CN"/>
              </w:rPr>
            </w:pPr>
          </w:p>
        </w:tc>
        <w:tc>
          <w:tcPr>
            <w:tcW w:w="2195" w:type="dxa"/>
            <w:tcBorders>
              <w:top w:val="single" w:color="auto" w:sz="4" w:space="0"/>
              <w:left w:val="single" w:color="auto" w:sz="4" w:space="0"/>
              <w:bottom w:val="single" w:color="000000" w:sz="2" w:space="0"/>
              <w:right w:val="single" w:color="000000" w:sz="2" w:space="0"/>
            </w:tcBorders>
            <w:vAlign w:val="center"/>
          </w:tcPr>
          <w:p>
            <w:pPr>
              <w:spacing w:line="360" w:lineRule="auto"/>
              <w:rPr>
                <w:sz w:val="24"/>
              </w:rPr>
            </w:pPr>
          </w:p>
        </w:tc>
        <w:tc>
          <w:tcPr>
            <w:tcW w:w="6715" w:type="dxa"/>
            <w:tcBorders>
              <w:top w:val="single" w:color="auto" w:sz="4" w:space="0"/>
              <w:left w:val="single" w:color="auto" w:sz="4" w:space="0"/>
              <w:bottom w:val="single" w:color="000000" w:sz="2" w:space="0"/>
              <w:right w:val="single" w:color="000000" w:sz="2" w:space="0"/>
            </w:tcBorders>
            <w:vAlign w:val="center"/>
          </w:tcPr>
          <w:p>
            <w:pPr>
              <w:spacing w:line="360" w:lineRule="auto"/>
              <w:rPr>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4" w:hRule="atLeast"/>
        </w:trPr>
        <w:tc>
          <w:tcPr>
            <w:tcW w:w="670" w:type="dxa"/>
            <w:tcBorders>
              <w:top w:val="single" w:color="auto" w:sz="4" w:space="0"/>
              <w:left w:val="single" w:color="000000" w:sz="2" w:space="0"/>
              <w:bottom w:val="single" w:color="000000" w:sz="2" w:space="0"/>
              <w:right w:val="single" w:color="000000" w:sz="2" w:space="0"/>
            </w:tcBorders>
            <w:vAlign w:val="center"/>
          </w:tcPr>
          <w:p>
            <w:pPr>
              <w:spacing w:line="360" w:lineRule="auto"/>
              <w:rPr>
                <w:sz w:val="24"/>
                <w:lang w:val="zh-CN"/>
              </w:rPr>
            </w:pPr>
          </w:p>
        </w:tc>
        <w:tc>
          <w:tcPr>
            <w:tcW w:w="2195" w:type="dxa"/>
            <w:tcBorders>
              <w:top w:val="single" w:color="auto" w:sz="4" w:space="0"/>
              <w:left w:val="single" w:color="auto" w:sz="4" w:space="0"/>
              <w:bottom w:val="single" w:color="000000" w:sz="2" w:space="0"/>
              <w:right w:val="single" w:color="000000" w:sz="2" w:space="0"/>
            </w:tcBorders>
            <w:vAlign w:val="center"/>
          </w:tcPr>
          <w:p>
            <w:pPr>
              <w:spacing w:line="360" w:lineRule="auto"/>
              <w:rPr>
                <w:sz w:val="24"/>
              </w:rPr>
            </w:pPr>
          </w:p>
        </w:tc>
        <w:tc>
          <w:tcPr>
            <w:tcW w:w="6715" w:type="dxa"/>
            <w:tcBorders>
              <w:top w:val="single" w:color="auto" w:sz="4" w:space="0"/>
              <w:left w:val="single" w:color="auto" w:sz="4" w:space="0"/>
              <w:bottom w:val="single" w:color="000000" w:sz="2" w:space="0"/>
              <w:right w:val="single" w:color="000000" w:sz="2" w:space="0"/>
            </w:tcBorders>
            <w:vAlign w:val="center"/>
          </w:tcPr>
          <w:p>
            <w:pPr>
              <w:spacing w:line="360" w:lineRule="auto"/>
              <w:rPr>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4" w:hRule="atLeast"/>
        </w:trPr>
        <w:tc>
          <w:tcPr>
            <w:tcW w:w="9580" w:type="dxa"/>
            <w:gridSpan w:val="3"/>
            <w:tcBorders>
              <w:top w:val="single" w:color="auto" w:sz="4" w:space="0"/>
              <w:left w:val="single" w:color="000000" w:sz="2" w:space="0"/>
              <w:bottom w:val="single" w:color="000000" w:sz="2" w:space="0"/>
              <w:right w:val="single" w:color="000000" w:sz="2" w:space="0"/>
            </w:tcBorders>
            <w:vAlign w:val="center"/>
          </w:tcPr>
          <w:p>
            <w:pPr>
              <w:spacing w:line="360" w:lineRule="auto"/>
              <w:rPr>
                <w:sz w:val="24"/>
                <w:lang w:val="zh-CN"/>
              </w:rPr>
            </w:pPr>
            <w:r>
              <w:rPr>
                <w:rFonts w:hint="eastAsia"/>
                <w:sz w:val="24"/>
                <w:lang w:val="zh-CN"/>
              </w:rPr>
              <w:t>备注：</w:t>
            </w:r>
          </w:p>
        </w:tc>
      </w:tr>
    </w:tbl>
    <w:p>
      <w:pPr>
        <w:spacing w:line="360" w:lineRule="exact"/>
        <w:rPr>
          <w:rFonts w:ascii="仿宋" w:hAnsi="仿宋" w:eastAsia="仿宋" w:cs="仿宋"/>
          <w:kern w:val="0"/>
          <w:sz w:val="24"/>
          <w:lang w:val="zh-CN"/>
        </w:rPr>
      </w:pPr>
    </w:p>
    <w:p>
      <w:pPr>
        <w:spacing w:line="360" w:lineRule="auto"/>
        <w:rPr>
          <w:sz w:val="24"/>
          <w:lang w:val="zh-CN"/>
        </w:rPr>
      </w:pPr>
      <w:r>
        <w:rPr>
          <w:rFonts w:hint="eastAsia"/>
          <w:sz w:val="24"/>
          <w:lang w:val="zh-CN"/>
        </w:rPr>
        <w:t xml:space="preserve">供应商名称：                </w:t>
      </w:r>
      <w:r>
        <w:rPr>
          <w:rFonts w:hint="eastAsia"/>
          <w:sz w:val="24"/>
        </w:rPr>
        <w:t xml:space="preserve"> </w:t>
      </w:r>
      <w:r>
        <w:rPr>
          <w:rFonts w:hint="eastAsia"/>
          <w:sz w:val="24"/>
          <w:lang w:val="zh-CN"/>
        </w:rPr>
        <w:t xml:space="preserve"> （盖章） </w:t>
      </w:r>
    </w:p>
    <w:p>
      <w:pPr>
        <w:spacing w:line="360" w:lineRule="auto"/>
        <w:rPr>
          <w:sz w:val="24"/>
          <w:lang w:val="zh-CN"/>
        </w:rPr>
      </w:pPr>
      <w:r>
        <w:rPr>
          <w:rFonts w:hint="eastAsia"/>
          <w:sz w:val="24"/>
          <w:lang w:val="zh-CN"/>
        </w:rPr>
        <w:t xml:space="preserve">法定代表人：            </w:t>
      </w:r>
      <w:r>
        <w:rPr>
          <w:rFonts w:hint="eastAsia"/>
          <w:sz w:val="24"/>
        </w:rPr>
        <w:t xml:space="preserve">    </w:t>
      </w:r>
      <w:r>
        <w:rPr>
          <w:rFonts w:hint="eastAsia"/>
          <w:sz w:val="24"/>
          <w:lang w:val="zh-CN"/>
        </w:rPr>
        <w:t xml:space="preserve">  （签字或盖章）         </w:t>
      </w:r>
    </w:p>
    <w:p>
      <w:pPr>
        <w:spacing w:line="360" w:lineRule="auto"/>
        <w:rPr>
          <w:sz w:val="24"/>
        </w:rPr>
      </w:pPr>
      <w:r>
        <w:rPr>
          <w:rFonts w:hint="eastAsia"/>
          <w:sz w:val="24"/>
          <w:lang w:val="zh-CN"/>
        </w:rPr>
        <w:t xml:space="preserve">被授权人签字:     </w:t>
      </w:r>
      <w:r>
        <w:rPr>
          <w:rFonts w:hint="eastAsia"/>
          <w:sz w:val="24"/>
        </w:rPr>
        <w:t xml:space="preserve">            （签字）</w:t>
      </w:r>
    </w:p>
    <w:p>
      <w:pPr>
        <w:spacing w:line="360" w:lineRule="auto"/>
        <w:rPr>
          <w:sz w:val="24"/>
          <w:lang w:val="zh-CN"/>
        </w:rPr>
      </w:pPr>
      <w:r>
        <w:rPr>
          <w:rFonts w:hint="eastAsia"/>
          <w:sz w:val="24"/>
          <w:lang w:val="zh-CN"/>
        </w:rPr>
        <w:t xml:space="preserve">                                         </w:t>
      </w:r>
    </w:p>
    <w:p>
      <w:pPr>
        <w:spacing w:line="360" w:lineRule="auto"/>
        <w:rPr>
          <w:sz w:val="24"/>
          <w:lang w:val="zh-CN"/>
        </w:rPr>
      </w:pPr>
    </w:p>
    <w:p>
      <w:pPr>
        <w:spacing w:line="360" w:lineRule="auto"/>
        <w:rPr>
          <w:sz w:val="24"/>
          <w:lang w:val="zh-CN"/>
        </w:rPr>
      </w:pPr>
    </w:p>
    <w:p>
      <w:pPr>
        <w:spacing w:line="360" w:lineRule="auto"/>
        <w:ind w:firstLine="5520" w:firstLineChars="2300"/>
        <w:rPr>
          <w:sz w:val="24"/>
          <w:lang w:val="zh-CN"/>
        </w:rPr>
      </w:pPr>
      <w:r>
        <w:rPr>
          <w:rFonts w:hint="eastAsia"/>
          <w:sz w:val="24"/>
          <w:lang w:val="zh-CN"/>
        </w:rPr>
        <w:t>日期：</w:t>
      </w:r>
      <w:r>
        <w:rPr>
          <w:rFonts w:hint="eastAsia"/>
          <w:sz w:val="24"/>
        </w:rPr>
        <w:t xml:space="preserve"> </w:t>
      </w:r>
      <w:r>
        <w:rPr>
          <w:rFonts w:hint="eastAsia"/>
          <w:sz w:val="24"/>
          <w:lang w:val="zh-CN"/>
        </w:rPr>
        <w:t xml:space="preserve">年    月      日  </w:t>
      </w:r>
    </w:p>
    <w:p>
      <w:pPr>
        <w:tabs>
          <w:tab w:val="left" w:pos="5580"/>
        </w:tabs>
        <w:autoSpaceDE w:val="0"/>
        <w:autoSpaceDN w:val="0"/>
        <w:adjustRightInd w:val="0"/>
        <w:rPr>
          <w:rFonts w:ascii="仿宋" w:hAnsi="仿宋" w:eastAsia="仿宋" w:cs="仿宋"/>
          <w:kern w:val="0"/>
          <w:sz w:val="24"/>
          <w:lang w:val="zh-CN"/>
        </w:rPr>
      </w:pPr>
    </w:p>
    <w:p>
      <w:pPr>
        <w:spacing w:line="360" w:lineRule="auto"/>
        <w:rPr>
          <w:sz w:val="24"/>
          <w:lang w:val="zh-CN"/>
        </w:rPr>
      </w:pPr>
      <w:r>
        <w:rPr>
          <w:rFonts w:hint="eastAsia"/>
          <w:sz w:val="24"/>
          <w:lang w:val="zh-CN"/>
        </w:rPr>
        <w:t>注：1、以上报价是供应商为完成本项目、满足竞争性</w:t>
      </w:r>
      <w:r>
        <w:rPr>
          <w:rFonts w:hint="eastAsia"/>
          <w:sz w:val="24"/>
        </w:rPr>
        <w:t>磋商</w:t>
      </w:r>
      <w:r>
        <w:rPr>
          <w:rFonts w:hint="eastAsia"/>
          <w:sz w:val="24"/>
          <w:lang w:val="zh-CN"/>
        </w:rPr>
        <w:t>文件要求的所有费用。</w:t>
      </w:r>
    </w:p>
    <w:p>
      <w:pPr>
        <w:spacing w:line="360" w:lineRule="auto"/>
        <w:rPr>
          <w:rFonts w:ascii="仿宋" w:hAnsi="仿宋" w:eastAsia="仿宋" w:cs="仿宋"/>
        </w:rPr>
      </w:pP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0"/>
          <w:sz w:val="24"/>
          <w:szCs w:val="24"/>
          <w:lang w:val="zh-CN"/>
        </w:rPr>
        <w:t>（供应商需按以上格式制作“竞争性磋商文件最后报价单”，手持携带到磋商现场，用于竞争性磋商文件进行最后报价，最后报价一览表需单独提供。</w:t>
      </w:r>
      <w:r>
        <w:rPr>
          <w:rFonts w:hint="eastAsia" w:asciiTheme="minorEastAsia" w:hAnsiTheme="minorEastAsia" w:eastAsiaTheme="minorEastAsia" w:cstheme="minorEastAsia"/>
          <w:b/>
          <w:bCs/>
          <w:kern w:val="0"/>
          <w:sz w:val="24"/>
          <w:szCs w:val="24"/>
        </w:rPr>
        <w:t>因字迹模糊辨认不清使得报价无效的风险由供应商承担</w:t>
      </w:r>
      <w:r>
        <w:rPr>
          <w:rFonts w:hint="eastAsia" w:asciiTheme="minorEastAsia" w:hAnsiTheme="minorEastAsia" w:eastAsiaTheme="minorEastAsia" w:cstheme="minorEastAsia"/>
          <w:b/>
          <w:bCs/>
          <w:kern w:val="0"/>
          <w:sz w:val="24"/>
          <w:szCs w:val="24"/>
          <w:lang w:val="zh-CN"/>
        </w:rPr>
        <w:t>）。</w:t>
      </w:r>
    </w:p>
    <w:p>
      <w:pPr>
        <w:pStyle w:val="25"/>
      </w:pPr>
    </w:p>
    <w:p/>
    <w:p>
      <w:pPr>
        <w:pStyle w:val="25"/>
      </w:pPr>
    </w:p>
    <w:p>
      <w:pPr>
        <w:autoSpaceDE w:val="0"/>
        <w:autoSpaceDN w:val="0"/>
        <w:adjustRightInd w:val="0"/>
        <w:jc w:val="center"/>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投标说明</w:t>
      </w:r>
    </w:p>
    <w:p/>
    <w:p>
      <w:pPr>
        <w:spacing w:line="500" w:lineRule="exact"/>
        <w:ind w:firstLine="480" w:firstLineChars="200"/>
        <w:rPr>
          <w:sz w:val="24"/>
        </w:rPr>
      </w:pPr>
      <w:r>
        <w:rPr>
          <w:rFonts w:hint="eastAsia"/>
          <w:sz w:val="24"/>
        </w:rPr>
        <w:t>磋商保证金缴纳说明：</w:t>
      </w:r>
    </w:p>
    <w:p>
      <w:pPr>
        <w:spacing w:line="500" w:lineRule="exact"/>
        <w:ind w:firstLine="480" w:firstLineChars="200"/>
        <w:rPr>
          <w:sz w:val="24"/>
        </w:rPr>
      </w:pPr>
      <w:r>
        <w:rPr>
          <w:rFonts w:hint="eastAsia"/>
          <w:sz w:val="24"/>
        </w:rPr>
        <w:t>供应商以电汇或网银转账方式缴纳磋商保证金，无需到采购代理公司换取磋商保证金收据，需携带磋商保证金缴纳凭证加盖公章用于开标现场资格查验，同时需要将磋商保证金缴纳凭证加盖公章放入响应文件中；</w:t>
      </w:r>
    </w:p>
    <w:p>
      <w:pPr>
        <w:spacing w:line="500" w:lineRule="exact"/>
        <w:ind w:firstLine="480" w:firstLineChars="200"/>
        <w:rPr>
          <w:sz w:val="24"/>
        </w:rPr>
      </w:pPr>
      <w:r>
        <w:rPr>
          <w:rFonts w:hint="eastAsia"/>
          <w:sz w:val="24"/>
        </w:rPr>
        <w:t>供应商以支票、汇票、本票等非现金形式缴纳，需到采购代理公司换取磋商保证金收据，需携带磋商保证金收据原件用于开标现场资格查验，同时需要将磋商保证金收据复印件加盖公章放入响应文件中；</w:t>
      </w:r>
    </w:p>
    <w:p>
      <w:pPr>
        <w:spacing w:line="500" w:lineRule="exact"/>
        <w:ind w:firstLine="480" w:firstLineChars="200"/>
        <w:rPr>
          <w:sz w:val="24"/>
        </w:rPr>
      </w:pPr>
      <w:r>
        <w:rPr>
          <w:rFonts w:hint="eastAsia"/>
          <w:sz w:val="24"/>
        </w:rPr>
        <w:t>供应商以金融机构、担保机构出具的保函形式缴纳，需缴纳保函复印件壹份至采购代理公司；保函原件用于开标现场资格查验，同时需要将保函复印件加盖公章放入响应文件中；</w:t>
      </w:r>
    </w:p>
    <w:p>
      <w:pPr>
        <w:spacing w:line="500" w:lineRule="exact"/>
        <w:ind w:firstLine="480" w:firstLineChars="200"/>
        <w:rPr>
          <w:sz w:val="24"/>
        </w:rPr>
      </w:pPr>
      <w:r>
        <w:rPr>
          <w:rFonts w:hint="eastAsia"/>
          <w:sz w:val="24"/>
        </w:rPr>
        <w:t>供应商应充分考虑磋商保证金到账时间，在规定的时限前自行办妥磋商保证金缴纳手续，磋商保证金的缴付时间以实际到账时间为准，超过缴纳的时限缴纳磋商保证金视为投标无效。</w:t>
      </w:r>
    </w:p>
    <w:p>
      <w:pPr>
        <w:spacing w:line="500" w:lineRule="exact"/>
        <w:ind w:firstLine="480" w:firstLineChars="200"/>
        <w:rPr>
          <w:sz w:val="24"/>
        </w:rPr>
      </w:pPr>
      <w:r>
        <w:rPr>
          <w:rFonts w:hint="eastAsia"/>
          <w:sz w:val="24"/>
        </w:rPr>
        <w:t>二、本采购文件正文叙述部分与相关法律法规有歧义之处，依照相关法律法规执行。</w:t>
      </w:r>
    </w:p>
    <w:p>
      <w:pPr>
        <w:spacing w:line="500" w:lineRule="exact"/>
        <w:ind w:firstLine="480" w:firstLineChars="200"/>
        <w:rPr>
          <w:sz w:val="24"/>
          <w:lang w:val="zh-CN"/>
        </w:rPr>
      </w:pPr>
    </w:p>
    <w:sectPr>
      <w:footerReference r:id="rId5" w:type="default"/>
      <w:type w:val="continuous"/>
      <w:pgSz w:w="11906" w:h="16838"/>
      <w:pgMar w:top="1134" w:right="1134" w:bottom="1134" w:left="1134" w:header="850"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3231724"/>
      <w:docPartObj>
        <w:docPartGallery w:val="autotext"/>
      </w:docPartObj>
    </w:sdtPr>
    <w:sdtContent>
      <w:p>
        <w:pPr>
          <w:pStyle w:val="18"/>
          <w:jc w:val="center"/>
        </w:pPr>
        <w:r>
          <w:fldChar w:fldCharType="begin"/>
        </w:r>
        <w:r>
          <w:instrText xml:space="preserve">PAGE   \* MERGEFORMAT</w:instrText>
        </w:r>
        <w:r>
          <w:fldChar w:fldCharType="separate"/>
        </w:r>
        <w:r>
          <w:rPr>
            <w:lang w:val="zh-CN"/>
          </w:rPr>
          <w:t>2</w:t>
        </w:r>
        <w:r>
          <w:fldChar w:fldCharType="end"/>
        </w:r>
      </w:p>
    </w:sdtContent>
  </w:sdt>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5229"/>
    </w:sdtPr>
    <w:sdtContent>
      <w:p>
        <w:pPr>
          <w:pStyle w:val="18"/>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8"/>
                          </w:pPr>
                          <w:r>
                            <w:fldChar w:fldCharType="begin"/>
                          </w:r>
                          <w:r>
                            <w:instrText xml:space="preserve"> PAGE  \* MERGEFORMAT </w:instrText>
                          </w:r>
                          <w:r>
                            <w:fldChar w:fldCharType="separate"/>
                          </w:r>
                          <w:r>
                            <w:t>50</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oq7Ab8AQAABAQAAA4AAABkcnMvZTJvRG9jLnhtbK1Ty27bMBC8F+g/&#10;ELzXshwnaAXLQRrDRYH0AST9AJqiJKIil1jSltyv75KS3DS95NALsSSXszOzy83tYDp2Uug12JLn&#10;iyVnykqotG1K/uNp/+49Zz4IW4kOrCr5WXl+u337ZtO7Qq2gha5SyAjE+qJ3JW9DcEWWedkqI/wC&#10;nLJ0WQMaEWiLTVah6AnddNlqubzJesDKIUjlPZ3uxks+IeJrAKGutVQ7kEejbBhRUXUikCTfauf5&#10;NrGtayXDt7r2KrCu5KQ0pJWKUHyIa7bdiKJB4VotJwriNRReaDJCWyp6gdqJINgR9T9QRksED3VY&#10;SDDZKCQ5Qiry5QtvHlvhVNJCVnt3Md3/P1j59fQdma5oEjizwlDDn9QQ2EcYWL5c3USDeucLynt0&#10;lBkGuonJUax3DyB/embhvhW2UXeI0LdKVEQwjy+zZ09HHB9BDv0XqKiSOAZIQEONJgKSH4zQqTnn&#10;S3MiGxlL5usPV9ecSbrKr/L1+jpVEMX82KEPnxQYFoOSI/U+gYvTgw+RjCjmlFjLwl53Xep/Z/86&#10;oMR4kshHviPzMByGyYwDVGeSgTCOE30mClrAX5z1NEolt/RzOOs+WzIiTt0c4Bwc5kBYSQ9LHjgb&#10;w/swTufRoW5awp2tviOz9joJia6OHCaWNBxJ3zTIcfqe71PWn8+7/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irsBvwBAAAEBAAADgAAAAAAAAABACAAAAAfAQAAZHJzL2Uyb0RvYy54bWxQ&#10;SwUGAAAAAAYABgBZAQAAjQ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83962"/>
    <w:multiLevelType w:val="multilevel"/>
    <w:tmpl w:val="8B283962"/>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127AF3A"/>
    <w:multiLevelType w:val="multilevel"/>
    <w:tmpl w:val="9127AF3A"/>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920C8B71"/>
    <w:multiLevelType w:val="singleLevel"/>
    <w:tmpl w:val="920C8B71"/>
    <w:lvl w:ilvl="0" w:tentative="0">
      <w:start w:val="1"/>
      <w:numFmt w:val="decimal"/>
      <w:lvlText w:val="(%1)"/>
      <w:lvlJc w:val="left"/>
      <w:pPr>
        <w:ind w:left="425" w:hanging="425"/>
      </w:pPr>
      <w:rPr>
        <w:rFonts w:hint="default"/>
      </w:rPr>
    </w:lvl>
  </w:abstractNum>
  <w:abstractNum w:abstractNumId="3">
    <w:nsid w:val="92FEED52"/>
    <w:multiLevelType w:val="singleLevel"/>
    <w:tmpl w:val="92FEED52"/>
    <w:lvl w:ilvl="0" w:tentative="0">
      <w:start w:val="1"/>
      <w:numFmt w:val="decimal"/>
      <w:lvlText w:val="(%1)"/>
      <w:lvlJc w:val="left"/>
      <w:pPr>
        <w:ind w:left="425" w:hanging="425"/>
      </w:pPr>
      <w:rPr>
        <w:rFonts w:hint="default"/>
      </w:rPr>
    </w:lvl>
  </w:abstractNum>
  <w:abstractNum w:abstractNumId="4">
    <w:nsid w:val="94E6B597"/>
    <w:multiLevelType w:val="singleLevel"/>
    <w:tmpl w:val="94E6B597"/>
    <w:lvl w:ilvl="0" w:tentative="0">
      <w:start w:val="1"/>
      <w:numFmt w:val="decimal"/>
      <w:suff w:val="nothing"/>
      <w:lvlText w:val="（%1）"/>
      <w:lvlJc w:val="left"/>
      <w:rPr>
        <w:rFonts w:hint="default"/>
        <w:color w:val="auto"/>
      </w:rPr>
    </w:lvl>
  </w:abstractNum>
  <w:abstractNum w:abstractNumId="5">
    <w:nsid w:val="A3DBE0BA"/>
    <w:multiLevelType w:val="multilevel"/>
    <w:tmpl w:val="A3DBE0BA"/>
    <w:lvl w:ilvl="0" w:tentative="0">
      <w:start w:val="3"/>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BFBBE23E"/>
    <w:multiLevelType w:val="singleLevel"/>
    <w:tmpl w:val="BFBBE23E"/>
    <w:lvl w:ilvl="0" w:tentative="0">
      <w:start w:val="1"/>
      <w:numFmt w:val="decimal"/>
      <w:suff w:val="nothing"/>
      <w:lvlText w:val="（%1）"/>
      <w:lvlJc w:val="left"/>
    </w:lvl>
  </w:abstractNum>
  <w:abstractNum w:abstractNumId="7">
    <w:nsid w:val="C5CB727D"/>
    <w:multiLevelType w:val="multilevel"/>
    <w:tmpl w:val="C5CB727D"/>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sz w:val="21"/>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CD806B66"/>
    <w:multiLevelType w:val="singleLevel"/>
    <w:tmpl w:val="CD806B66"/>
    <w:lvl w:ilvl="0" w:tentative="0">
      <w:start w:val="1"/>
      <w:numFmt w:val="decimal"/>
      <w:lvlText w:val="(%1)"/>
      <w:lvlJc w:val="left"/>
      <w:pPr>
        <w:ind w:left="425" w:hanging="425"/>
      </w:pPr>
      <w:rPr>
        <w:rFonts w:hint="default"/>
      </w:rPr>
    </w:lvl>
  </w:abstractNum>
  <w:abstractNum w:abstractNumId="9">
    <w:nsid w:val="E1C3E6A9"/>
    <w:multiLevelType w:val="multilevel"/>
    <w:tmpl w:val="E1C3E6A9"/>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425" w:hanging="425"/>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0">
    <w:nsid w:val="F3F79CC7"/>
    <w:multiLevelType w:val="singleLevel"/>
    <w:tmpl w:val="F3F79CC7"/>
    <w:lvl w:ilvl="0" w:tentative="0">
      <w:start w:val="1"/>
      <w:numFmt w:val="decimal"/>
      <w:lvlText w:val="(%1)"/>
      <w:lvlJc w:val="left"/>
      <w:pPr>
        <w:ind w:left="425" w:hanging="425"/>
      </w:pPr>
      <w:rPr>
        <w:rFonts w:hint="default"/>
      </w:rPr>
    </w:lvl>
  </w:abstractNum>
  <w:abstractNum w:abstractNumId="11">
    <w:nsid w:val="FCC59B67"/>
    <w:multiLevelType w:val="singleLevel"/>
    <w:tmpl w:val="FCC59B67"/>
    <w:lvl w:ilvl="0" w:tentative="0">
      <w:start w:val="1"/>
      <w:numFmt w:val="decimal"/>
      <w:lvlText w:val="(%1)"/>
      <w:lvlJc w:val="left"/>
      <w:pPr>
        <w:ind w:left="425" w:hanging="425"/>
      </w:pPr>
      <w:rPr>
        <w:rFonts w:hint="default"/>
      </w:rPr>
    </w:lvl>
  </w:abstractNum>
  <w:abstractNum w:abstractNumId="12">
    <w:nsid w:val="0000000F"/>
    <w:multiLevelType w:val="singleLevel"/>
    <w:tmpl w:val="0000000F"/>
    <w:lvl w:ilvl="0" w:tentative="0">
      <w:start w:val="1"/>
      <w:numFmt w:val="decimal"/>
      <w:lvlText w:val="(%1)"/>
      <w:lvlJc w:val="left"/>
      <w:pPr>
        <w:ind w:left="425" w:hanging="425"/>
      </w:pPr>
      <w:rPr>
        <w:rFonts w:hint="default"/>
      </w:rPr>
    </w:lvl>
  </w:abstractNum>
  <w:abstractNum w:abstractNumId="13">
    <w:nsid w:val="0342174D"/>
    <w:multiLevelType w:val="multilevel"/>
    <w:tmpl w:val="0342174D"/>
    <w:lvl w:ilvl="0" w:tentative="0">
      <w:start w:val="3"/>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4">
    <w:nsid w:val="123CDA28"/>
    <w:multiLevelType w:val="multilevel"/>
    <w:tmpl w:val="123CDA28"/>
    <w:lvl w:ilvl="0" w:tentative="0">
      <w:start w:val="3"/>
      <w:numFmt w:val="decimal"/>
      <w:lvlText w:val="%1."/>
      <w:lvlJc w:val="left"/>
      <w:pPr>
        <w:ind w:left="425" w:hanging="425"/>
      </w:pPr>
      <w:rPr>
        <w:rFonts w:hint="default"/>
      </w:rPr>
    </w:lvl>
    <w:lvl w:ilvl="1" w:tentative="0">
      <w:start w:val="3"/>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5">
    <w:nsid w:val="149490AF"/>
    <w:multiLevelType w:val="singleLevel"/>
    <w:tmpl w:val="149490AF"/>
    <w:lvl w:ilvl="0" w:tentative="0">
      <w:start w:val="1"/>
      <w:numFmt w:val="decimal"/>
      <w:lvlText w:val="(%1)"/>
      <w:lvlJc w:val="left"/>
      <w:pPr>
        <w:ind w:left="425" w:hanging="425"/>
      </w:pPr>
      <w:rPr>
        <w:rFonts w:hint="default"/>
      </w:rPr>
    </w:lvl>
  </w:abstractNum>
  <w:abstractNum w:abstractNumId="16">
    <w:nsid w:val="2D6A2507"/>
    <w:multiLevelType w:val="singleLevel"/>
    <w:tmpl w:val="2D6A2507"/>
    <w:lvl w:ilvl="0" w:tentative="0">
      <w:start w:val="1"/>
      <w:numFmt w:val="decimal"/>
      <w:lvlText w:val="(%1)"/>
      <w:lvlJc w:val="left"/>
      <w:pPr>
        <w:ind w:left="425" w:hanging="425"/>
      </w:pPr>
      <w:rPr>
        <w:rFonts w:hint="default"/>
      </w:rPr>
    </w:lvl>
  </w:abstractNum>
  <w:abstractNum w:abstractNumId="17">
    <w:nsid w:val="333A5033"/>
    <w:multiLevelType w:val="singleLevel"/>
    <w:tmpl w:val="333A5033"/>
    <w:lvl w:ilvl="0" w:tentative="0">
      <w:start w:val="1"/>
      <w:numFmt w:val="decimal"/>
      <w:suff w:val="nothing"/>
      <w:lvlText w:val="（%1）"/>
      <w:lvlJc w:val="left"/>
    </w:lvl>
  </w:abstractNum>
  <w:abstractNum w:abstractNumId="18">
    <w:nsid w:val="3D727B26"/>
    <w:multiLevelType w:val="multilevel"/>
    <w:tmpl w:val="3D727B2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rPr>
        <w:b w:val="0"/>
        <w:sz w:val="21"/>
        <w:szCs w:val="21"/>
      </w:rPr>
    </w:lvl>
    <w:lvl w:ilvl="2" w:tentative="0">
      <w:start w:val="1"/>
      <w:numFmt w:val="decimal"/>
      <w:lvlText w:val="%1.%2.%3"/>
      <w:lvlJc w:val="left"/>
      <w:pPr>
        <w:tabs>
          <w:tab w:val="left" w:pos="1418"/>
        </w:tabs>
        <w:ind w:left="1418" w:hanging="567"/>
      </w:pPr>
      <w:rPr>
        <w:color w:val="auto"/>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19">
    <w:nsid w:val="570C9FE6"/>
    <w:multiLevelType w:val="singleLevel"/>
    <w:tmpl w:val="570C9FE6"/>
    <w:lvl w:ilvl="0" w:tentative="0">
      <w:start w:val="1"/>
      <w:numFmt w:val="decimal"/>
      <w:lvlText w:val="(%1)"/>
      <w:lvlJc w:val="left"/>
      <w:pPr>
        <w:ind w:left="425" w:hanging="425"/>
      </w:pPr>
      <w:rPr>
        <w:rFonts w:hint="default"/>
      </w:rPr>
    </w:lvl>
  </w:abstractNum>
  <w:abstractNum w:abstractNumId="20">
    <w:nsid w:val="6030F75F"/>
    <w:multiLevelType w:val="multilevel"/>
    <w:tmpl w:val="6030F75F"/>
    <w:lvl w:ilvl="0" w:tentative="0">
      <w:start w:val="3"/>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1">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29B7CC"/>
    <w:multiLevelType w:val="multilevel"/>
    <w:tmpl w:val="6429B7CC"/>
    <w:lvl w:ilvl="0" w:tentative="0">
      <w:start w:val="2"/>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3">
    <w:nsid w:val="6BAF5CF4"/>
    <w:multiLevelType w:val="multilevel"/>
    <w:tmpl w:val="6BAF5CF4"/>
    <w:lvl w:ilvl="0" w:tentative="0">
      <w:start w:val="1"/>
      <w:numFmt w:val="decimalEnclosedCircle"/>
      <w:lvlText w:val="%1"/>
      <w:lvlJc w:val="left"/>
      <w:pPr>
        <w:ind w:left="923" w:hanging="360"/>
      </w:pPr>
      <w:rPr>
        <w:rFonts w:hint="default"/>
      </w:rPr>
    </w:lvl>
    <w:lvl w:ilvl="1" w:tentative="0">
      <w:start w:val="1"/>
      <w:numFmt w:val="lowerLetter"/>
      <w:lvlText w:val="%2)"/>
      <w:lvlJc w:val="left"/>
      <w:pPr>
        <w:ind w:left="1403" w:hanging="420"/>
      </w:pPr>
    </w:lvl>
    <w:lvl w:ilvl="2" w:tentative="0">
      <w:start w:val="1"/>
      <w:numFmt w:val="lowerRoman"/>
      <w:lvlText w:val="%3."/>
      <w:lvlJc w:val="right"/>
      <w:pPr>
        <w:ind w:left="1823" w:hanging="420"/>
      </w:pPr>
    </w:lvl>
    <w:lvl w:ilvl="3" w:tentative="0">
      <w:start w:val="1"/>
      <w:numFmt w:val="decimal"/>
      <w:lvlText w:val="%4."/>
      <w:lvlJc w:val="left"/>
      <w:pPr>
        <w:ind w:left="2243" w:hanging="420"/>
      </w:pPr>
    </w:lvl>
    <w:lvl w:ilvl="4" w:tentative="0">
      <w:start w:val="1"/>
      <w:numFmt w:val="lowerLetter"/>
      <w:lvlText w:val="%5)"/>
      <w:lvlJc w:val="left"/>
      <w:pPr>
        <w:ind w:left="2663" w:hanging="420"/>
      </w:pPr>
    </w:lvl>
    <w:lvl w:ilvl="5" w:tentative="0">
      <w:start w:val="1"/>
      <w:numFmt w:val="lowerRoman"/>
      <w:lvlText w:val="%6."/>
      <w:lvlJc w:val="right"/>
      <w:pPr>
        <w:ind w:left="3083" w:hanging="420"/>
      </w:pPr>
    </w:lvl>
    <w:lvl w:ilvl="6" w:tentative="0">
      <w:start w:val="1"/>
      <w:numFmt w:val="decimal"/>
      <w:lvlText w:val="%7."/>
      <w:lvlJc w:val="left"/>
      <w:pPr>
        <w:ind w:left="3503" w:hanging="420"/>
      </w:pPr>
    </w:lvl>
    <w:lvl w:ilvl="7" w:tentative="0">
      <w:start w:val="1"/>
      <w:numFmt w:val="lowerLetter"/>
      <w:lvlText w:val="%8)"/>
      <w:lvlJc w:val="left"/>
      <w:pPr>
        <w:ind w:left="3923" w:hanging="420"/>
      </w:pPr>
    </w:lvl>
    <w:lvl w:ilvl="8" w:tentative="0">
      <w:start w:val="1"/>
      <w:numFmt w:val="lowerRoman"/>
      <w:lvlText w:val="%9."/>
      <w:lvlJc w:val="right"/>
      <w:pPr>
        <w:ind w:left="4343" w:hanging="420"/>
      </w:pPr>
    </w:lvl>
  </w:abstractNum>
  <w:abstractNum w:abstractNumId="24">
    <w:nsid w:val="6BDA4796"/>
    <w:multiLevelType w:val="singleLevel"/>
    <w:tmpl w:val="6BDA4796"/>
    <w:lvl w:ilvl="0" w:tentative="0">
      <w:start w:val="1"/>
      <w:numFmt w:val="decimal"/>
      <w:lvlText w:val="(%1)"/>
      <w:lvlJc w:val="left"/>
      <w:pPr>
        <w:ind w:left="425" w:hanging="425"/>
      </w:pPr>
      <w:rPr>
        <w:rFonts w:hint="default"/>
      </w:rPr>
    </w:lvl>
  </w:abstractNum>
  <w:abstractNum w:abstractNumId="25">
    <w:nsid w:val="726BCA4F"/>
    <w:multiLevelType w:val="multilevel"/>
    <w:tmpl w:val="726BCA4F"/>
    <w:lvl w:ilvl="0" w:tentative="0">
      <w:start w:val="2"/>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6">
    <w:nsid w:val="77A6C9D0"/>
    <w:multiLevelType w:val="multilevel"/>
    <w:tmpl w:val="77A6C9D0"/>
    <w:lvl w:ilvl="0" w:tentative="0">
      <w:start w:val="1"/>
      <w:numFmt w:val="decimal"/>
      <w:lvlText w:val="%1."/>
      <w:lvlJc w:val="left"/>
      <w:pPr>
        <w:ind w:left="1134" w:hanging="1134"/>
      </w:pPr>
      <w:rPr>
        <w:rFonts w:hint="default" w:ascii="宋体" w:hAnsi="宋体" w:eastAsia="宋体" w:cs="宋体"/>
      </w:rPr>
    </w:lvl>
    <w:lvl w:ilvl="1" w:tentative="0">
      <w:start w:val="2"/>
      <w:numFmt w:val="decimal"/>
      <w:pStyle w:val="42"/>
      <w:lvlText w:val="%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 w:numId="2">
    <w:abstractNumId w:val="26"/>
  </w:num>
  <w:num w:numId="3">
    <w:abstractNumId w:val="4"/>
  </w:num>
  <w:num w:numId="4">
    <w:abstractNumId w:val="13"/>
  </w:num>
  <w:num w:numId="5">
    <w:abstractNumId w:val="17"/>
  </w:num>
  <w:num w:numId="6">
    <w:abstractNumId w:val="18"/>
  </w:num>
  <w:num w:numId="7">
    <w:abstractNumId w:val="12"/>
  </w:num>
  <w:num w:numId="8">
    <w:abstractNumId w:val="24"/>
  </w:num>
  <w:num w:numId="9">
    <w:abstractNumId w:val="10"/>
  </w:num>
  <w:num w:numId="10">
    <w:abstractNumId w:val="11"/>
  </w:num>
  <w:num w:numId="11">
    <w:abstractNumId w:val="15"/>
  </w:num>
  <w:num w:numId="12">
    <w:abstractNumId w:val="2"/>
  </w:num>
  <w:num w:numId="13">
    <w:abstractNumId w:val="23"/>
  </w:num>
  <w:num w:numId="14">
    <w:abstractNumId w:val="6"/>
  </w:num>
  <w:num w:numId="15">
    <w:abstractNumId w:val="1"/>
  </w:num>
  <w:num w:numId="16">
    <w:abstractNumId w:val="7"/>
  </w:num>
  <w:num w:numId="17">
    <w:abstractNumId w:val="22"/>
  </w:num>
  <w:num w:numId="18">
    <w:abstractNumId w:val="25"/>
  </w:num>
  <w:num w:numId="19">
    <w:abstractNumId w:val="16"/>
  </w:num>
  <w:num w:numId="20">
    <w:abstractNumId w:val="8"/>
  </w:num>
  <w:num w:numId="21">
    <w:abstractNumId w:val="9"/>
  </w:num>
  <w:num w:numId="22">
    <w:abstractNumId w:val="5"/>
  </w:num>
  <w:num w:numId="23">
    <w:abstractNumId w:val="19"/>
  </w:num>
  <w:num w:numId="24">
    <w:abstractNumId w:val="20"/>
  </w:num>
  <w:num w:numId="25">
    <w:abstractNumId w:val="14"/>
  </w:num>
  <w:num w:numId="26">
    <w:abstractNumId w:val="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xMGJjMjQ4NzViMjJmMTQzZjUzNmYzNzhmNTE5NTEifQ=="/>
  </w:docVars>
  <w:rsids>
    <w:rsidRoot w:val="1F611352"/>
    <w:rsid w:val="00003340"/>
    <w:rsid w:val="00007B54"/>
    <w:rsid w:val="00014084"/>
    <w:rsid w:val="00015C68"/>
    <w:rsid w:val="00021F22"/>
    <w:rsid w:val="00030C28"/>
    <w:rsid w:val="00032E00"/>
    <w:rsid w:val="00035AEB"/>
    <w:rsid w:val="00041339"/>
    <w:rsid w:val="00043805"/>
    <w:rsid w:val="00053278"/>
    <w:rsid w:val="0006398D"/>
    <w:rsid w:val="000730AF"/>
    <w:rsid w:val="000735D8"/>
    <w:rsid w:val="00080F10"/>
    <w:rsid w:val="000848B4"/>
    <w:rsid w:val="00087A72"/>
    <w:rsid w:val="000915DB"/>
    <w:rsid w:val="00092448"/>
    <w:rsid w:val="00094E71"/>
    <w:rsid w:val="00097481"/>
    <w:rsid w:val="000A53DC"/>
    <w:rsid w:val="000A6A8E"/>
    <w:rsid w:val="000B1A53"/>
    <w:rsid w:val="000B4768"/>
    <w:rsid w:val="000C193C"/>
    <w:rsid w:val="000D585D"/>
    <w:rsid w:val="000E5E8A"/>
    <w:rsid w:val="000F410C"/>
    <w:rsid w:val="000F4BDB"/>
    <w:rsid w:val="000F64E1"/>
    <w:rsid w:val="000F7334"/>
    <w:rsid w:val="000F7F03"/>
    <w:rsid w:val="001005A7"/>
    <w:rsid w:val="0010540C"/>
    <w:rsid w:val="00105F97"/>
    <w:rsid w:val="001078D4"/>
    <w:rsid w:val="001124AC"/>
    <w:rsid w:val="00120AC5"/>
    <w:rsid w:val="00121003"/>
    <w:rsid w:val="00126B04"/>
    <w:rsid w:val="00126E4D"/>
    <w:rsid w:val="00135C2A"/>
    <w:rsid w:val="001360BB"/>
    <w:rsid w:val="00142EE4"/>
    <w:rsid w:val="00162964"/>
    <w:rsid w:val="00166815"/>
    <w:rsid w:val="00173CD5"/>
    <w:rsid w:val="001834C6"/>
    <w:rsid w:val="00191E20"/>
    <w:rsid w:val="001A476C"/>
    <w:rsid w:val="001B1299"/>
    <w:rsid w:val="001B6DA8"/>
    <w:rsid w:val="001C0203"/>
    <w:rsid w:val="001C6E4F"/>
    <w:rsid w:val="001D774C"/>
    <w:rsid w:val="001E1C1E"/>
    <w:rsid w:val="001E5591"/>
    <w:rsid w:val="001F0117"/>
    <w:rsid w:val="001F0338"/>
    <w:rsid w:val="0020454A"/>
    <w:rsid w:val="00216E7F"/>
    <w:rsid w:val="0021702E"/>
    <w:rsid w:val="00222736"/>
    <w:rsid w:val="002351C0"/>
    <w:rsid w:val="00235697"/>
    <w:rsid w:val="00243A98"/>
    <w:rsid w:val="00246963"/>
    <w:rsid w:val="00246B55"/>
    <w:rsid w:val="00247925"/>
    <w:rsid w:val="00247AAD"/>
    <w:rsid w:val="002515D3"/>
    <w:rsid w:val="00253627"/>
    <w:rsid w:val="00253C9A"/>
    <w:rsid w:val="00255638"/>
    <w:rsid w:val="0026031D"/>
    <w:rsid w:val="00267698"/>
    <w:rsid w:val="00272158"/>
    <w:rsid w:val="00272F75"/>
    <w:rsid w:val="00277D18"/>
    <w:rsid w:val="002812CD"/>
    <w:rsid w:val="00292513"/>
    <w:rsid w:val="0029269F"/>
    <w:rsid w:val="0029502D"/>
    <w:rsid w:val="002950DE"/>
    <w:rsid w:val="002A6DA0"/>
    <w:rsid w:val="002B6603"/>
    <w:rsid w:val="002B6723"/>
    <w:rsid w:val="002C0F6D"/>
    <w:rsid w:val="002C3655"/>
    <w:rsid w:val="002C7BD4"/>
    <w:rsid w:val="002C7BF1"/>
    <w:rsid w:val="002D273A"/>
    <w:rsid w:val="002E399B"/>
    <w:rsid w:val="002E3C2F"/>
    <w:rsid w:val="002E5761"/>
    <w:rsid w:val="002E6508"/>
    <w:rsid w:val="00306223"/>
    <w:rsid w:val="003132FA"/>
    <w:rsid w:val="003140D4"/>
    <w:rsid w:val="0031725D"/>
    <w:rsid w:val="00321B7B"/>
    <w:rsid w:val="003261C8"/>
    <w:rsid w:val="0033322D"/>
    <w:rsid w:val="003520B8"/>
    <w:rsid w:val="0035442C"/>
    <w:rsid w:val="003544C2"/>
    <w:rsid w:val="0035706C"/>
    <w:rsid w:val="00357107"/>
    <w:rsid w:val="00363159"/>
    <w:rsid w:val="003652F8"/>
    <w:rsid w:val="00366C33"/>
    <w:rsid w:val="0037643C"/>
    <w:rsid w:val="00380C22"/>
    <w:rsid w:val="00381278"/>
    <w:rsid w:val="00383BE4"/>
    <w:rsid w:val="00384B6A"/>
    <w:rsid w:val="003875D9"/>
    <w:rsid w:val="003A360F"/>
    <w:rsid w:val="003A4C93"/>
    <w:rsid w:val="003A67DB"/>
    <w:rsid w:val="003B616E"/>
    <w:rsid w:val="003C21EF"/>
    <w:rsid w:val="003C2C92"/>
    <w:rsid w:val="003E073B"/>
    <w:rsid w:val="003E5B9E"/>
    <w:rsid w:val="003E60A7"/>
    <w:rsid w:val="003F05A8"/>
    <w:rsid w:val="003F37DB"/>
    <w:rsid w:val="003F6170"/>
    <w:rsid w:val="004054D2"/>
    <w:rsid w:val="00410850"/>
    <w:rsid w:val="00413D8F"/>
    <w:rsid w:val="004156C7"/>
    <w:rsid w:val="0042124A"/>
    <w:rsid w:val="00426ED1"/>
    <w:rsid w:val="00434B57"/>
    <w:rsid w:val="00435459"/>
    <w:rsid w:val="00436E25"/>
    <w:rsid w:val="004450C8"/>
    <w:rsid w:val="00451D7D"/>
    <w:rsid w:val="00451EC2"/>
    <w:rsid w:val="00455151"/>
    <w:rsid w:val="00456D63"/>
    <w:rsid w:val="00474F0A"/>
    <w:rsid w:val="0047502E"/>
    <w:rsid w:val="00476C5D"/>
    <w:rsid w:val="00477083"/>
    <w:rsid w:val="004830B3"/>
    <w:rsid w:val="004863E2"/>
    <w:rsid w:val="004A4671"/>
    <w:rsid w:val="004B36EE"/>
    <w:rsid w:val="004C23DA"/>
    <w:rsid w:val="004C6EA9"/>
    <w:rsid w:val="004D14BA"/>
    <w:rsid w:val="004D2AA7"/>
    <w:rsid w:val="004D466D"/>
    <w:rsid w:val="004E133D"/>
    <w:rsid w:val="004E5F92"/>
    <w:rsid w:val="004F3D89"/>
    <w:rsid w:val="005010B9"/>
    <w:rsid w:val="00501276"/>
    <w:rsid w:val="00501B9B"/>
    <w:rsid w:val="0052024E"/>
    <w:rsid w:val="005269FA"/>
    <w:rsid w:val="00541D6C"/>
    <w:rsid w:val="00541F62"/>
    <w:rsid w:val="0054281D"/>
    <w:rsid w:val="00542FC7"/>
    <w:rsid w:val="00551318"/>
    <w:rsid w:val="00551507"/>
    <w:rsid w:val="00553FC2"/>
    <w:rsid w:val="005547D2"/>
    <w:rsid w:val="005549B0"/>
    <w:rsid w:val="00556D36"/>
    <w:rsid w:val="0057255A"/>
    <w:rsid w:val="00575251"/>
    <w:rsid w:val="00577E2C"/>
    <w:rsid w:val="005802D1"/>
    <w:rsid w:val="005836DA"/>
    <w:rsid w:val="00583892"/>
    <w:rsid w:val="005879D2"/>
    <w:rsid w:val="005964EF"/>
    <w:rsid w:val="00597C9B"/>
    <w:rsid w:val="005A27D8"/>
    <w:rsid w:val="005A7840"/>
    <w:rsid w:val="005B0070"/>
    <w:rsid w:val="005B09F9"/>
    <w:rsid w:val="005C195C"/>
    <w:rsid w:val="005D068B"/>
    <w:rsid w:val="005D657D"/>
    <w:rsid w:val="005E6D08"/>
    <w:rsid w:val="005E6E8F"/>
    <w:rsid w:val="006036A0"/>
    <w:rsid w:val="00604C29"/>
    <w:rsid w:val="006058DD"/>
    <w:rsid w:val="00606581"/>
    <w:rsid w:val="00610D9F"/>
    <w:rsid w:val="00612519"/>
    <w:rsid w:val="0061718D"/>
    <w:rsid w:val="006173B8"/>
    <w:rsid w:val="00617B05"/>
    <w:rsid w:val="0062303B"/>
    <w:rsid w:val="00623D0D"/>
    <w:rsid w:val="006264B1"/>
    <w:rsid w:val="00627948"/>
    <w:rsid w:val="0063414E"/>
    <w:rsid w:val="00634658"/>
    <w:rsid w:val="006419FD"/>
    <w:rsid w:val="00647A22"/>
    <w:rsid w:val="00647F5A"/>
    <w:rsid w:val="006536C4"/>
    <w:rsid w:val="00654129"/>
    <w:rsid w:val="00660EF6"/>
    <w:rsid w:val="00665D90"/>
    <w:rsid w:val="00666AF0"/>
    <w:rsid w:val="00681DF5"/>
    <w:rsid w:val="00681FC1"/>
    <w:rsid w:val="006850E3"/>
    <w:rsid w:val="00697BF6"/>
    <w:rsid w:val="006A60EF"/>
    <w:rsid w:val="006B4203"/>
    <w:rsid w:val="006B770D"/>
    <w:rsid w:val="006C610A"/>
    <w:rsid w:val="006C61AD"/>
    <w:rsid w:val="006D3D09"/>
    <w:rsid w:val="006E368F"/>
    <w:rsid w:val="006E40FB"/>
    <w:rsid w:val="006E4E36"/>
    <w:rsid w:val="006F1CD9"/>
    <w:rsid w:val="006F4CB4"/>
    <w:rsid w:val="006F537E"/>
    <w:rsid w:val="006F7127"/>
    <w:rsid w:val="00701D85"/>
    <w:rsid w:val="007113FF"/>
    <w:rsid w:val="00712D26"/>
    <w:rsid w:val="00712F5D"/>
    <w:rsid w:val="00713FE0"/>
    <w:rsid w:val="0071597B"/>
    <w:rsid w:val="00717CAE"/>
    <w:rsid w:val="00721C0B"/>
    <w:rsid w:val="00723BC8"/>
    <w:rsid w:val="00731894"/>
    <w:rsid w:val="00732A4E"/>
    <w:rsid w:val="00744C16"/>
    <w:rsid w:val="00751FD6"/>
    <w:rsid w:val="007523FB"/>
    <w:rsid w:val="00760814"/>
    <w:rsid w:val="0076691E"/>
    <w:rsid w:val="0076762B"/>
    <w:rsid w:val="007710AA"/>
    <w:rsid w:val="00773F1B"/>
    <w:rsid w:val="00774316"/>
    <w:rsid w:val="00775643"/>
    <w:rsid w:val="007A4B95"/>
    <w:rsid w:val="007A5745"/>
    <w:rsid w:val="007B52DC"/>
    <w:rsid w:val="007B65B2"/>
    <w:rsid w:val="007D282D"/>
    <w:rsid w:val="007D5D5A"/>
    <w:rsid w:val="007E29BE"/>
    <w:rsid w:val="007E6450"/>
    <w:rsid w:val="007F18B8"/>
    <w:rsid w:val="007F2032"/>
    <w:rsid w:val="007F467B"/>
    <w:rsid w:val="007F4B3D"/>
    <w:rsid w:val="007F596B"/>
    <w:rsid w:val="00804E96"/>
    <w:rsid w:val="00810E0F"/>
    <w:rsid w:val="00811677"/>
    <w:rsid w:val="00812CFC"/>
    <w:rsid w:val="0081350B"/>
    <w:rsid w:val="00814DA3"/>
    <w:rsid w:val="00816627"/>
    <w:rsid w:val="00826E4D"/>
    <w:rsid w:val="008351B5"/>
    <w:rsid w:val="00836E42"/>
    <w:rsid w:val="008412E1"/>
    <w:rsid w:val="008413C4"/>
    <w:rsid w:val="008420E0"/>
    <w:rsid w:val="00842C64"/>
    <w:rsid w:val="00847084"/>
    <w:rsid w:val="00856D16"/>
    <w:rsid w:val="00876A5A"/>
    <w:rsid w:val="008867A9"/>
    <w:rsid w:val="00891FCC"/>
    <w:rsid w:val="00892C2A"/>
    <w:rsid w:val="00892C86"/>
    <w:rsid w:val="00894C2D"/>
    <w:rsid w:val="00894E68"/>
    <w:rsid w:val="00896280"/>
    <w:rsid w:val="008A3B35"/>
    <w:rsid w:val="008A5015"/>
    <w:rsid w:val="008A508A"/>
    <w:rsid w:val="008A7FE6"/>
    <w:rsid w:val="008B1ECC"/>
    <w:rsid w:val="008B49CB"/>
    <w:rsid w:val="008C1F5E"/>
    <w:rsid w:val="008C437C"/>
    <w:rsid w:val="008C6480"/>
    <w:rsid w:val="008E605E"/>
    <w:rsid w:val="008E7756"/>
    <w:rsid w:val="008F0FDD"/>
    <w:rsid w:val="008F293E"/>
    <w:rsid w:val="008F2B0C"/>
    <w:rsid w:val="008F44E1"/>
    <w:rsid w:val="0090371B"/>
    <w:rsid w:val="00903AE8"/>
    <w:rsid w:val="0090598D"/>
    <w:rsid w:val="00906DD8"/>
    <w:rsid w:val="009126CC"/>
    <w:rsid w:val="009127D7"/>
    <w:rsid w:val="0091445B"/>
    <w:rsid w:val="00914514"/>
    <w:rsid w:val="00916745"/>
    <w:rsid w:val="00920459"/>
    <w:rsid w:val="00922FAA"/>
    <w:rsid w:val="00930D1B"/>
    <w:rsid w:val="00935634"/>
    <w:rsid w:val="009361C5"/>
    <w:rsid w:val="00936815"/>
    <w:rsid w:val="00936BCC"/>
    <w:rsid w:val="00942986"/>
    <w:rsid w:val="00943380"/>
    <w:rsid w:val="00945DEB"/>
    <w:rsid w:val="0095131E"/>
    <w:rsid w:val="009635C2"/>
    <w:rsid w:val="00967311"/>
    <w:rsid w:val="00972B44"/>
    <w:rsid w:val="009738D0"/>
    <w:rsid w:val="00977736"/>
    <w:rsid w:val="009836B0"/>
    <w:rsid w:val="0099491E"/>
    <w:rsid w:val="009A37AF"/>
    <w:rsid w:val="009B05D6"/>
    <w:rsid w:val="009B43AE"/>
    <w:rsid w:val="009C4B84"/>
    <w:rsid w:val="009D44BD"/>
    <w:rsid w:val="009D5140"/>
    <w:rsid w:val="009E216D"/>
    <w:rsid w:val="009E2F54"/>
    <w:rsid w:val="009F15B0"/>
    <w:rsid w:val="009F2AF0"/>
    <w:rsid w:val="009F3489"/>
    <w:rsid w:val="009F5241"/>
    <w:rsid w:val="00A02EE3"/>
    <w:rsid w:val="00A12217"/>
    <w:rsid w:val="00A202CF"/>
    <w:rsid w:val="00A220D3"/>
    <w:rsid w:val="00A323C7"/>
    <w:rsid w:val="00A35757"/>
    <w:rsid w:val="00A42F13"/>
    <w:rsid w:val="00A452F1"/>
    <w:rsid w:val="00A52532"/>
    <w:rsid w:val="00A56414"/>
    <w:rsid w:val="00A56AC1"/>
    <w:rsid w:val="00A633B0"/>
    <w:rsid w:val="00A65A48"/>
    <w:rsid w:val="00A671CD"/>
    <w:rsid w:val="00A76D79"/>
    <w:rsid w:val="00A81FA5"/>
    <w:rsid w:val="00A8686A"/>
    <w:rsid w:val="00A868FE"/>
    <w:rsid w:val="00A952AF"/>
    <w:rsid w:val="00A959FF"/>
    <w:rsid w:val="00A95CB6"/>
    <w:rsid w:val="00A9707C"/>
    <w:rsid w:val="00A976EE"/>
    <w:rsid w:val="00AA4B9F"/>
    <w:rsid w:val="00AB07E6"/>
    <w:rsid w:val="00AB748F"/>
    <w:rsid w:val="00AC1D63"/>
    <w:rsid w:val="00AC1E4F"/>
    <w:rsid w:val="00AC2B27"/>
    <w:rsid w:val="00AC5E99"/>
    <w:rsid w:val="00AD0DC6"/>
    <w:rsid w:val="00AD31B4"/>
    <w:rsid w:val="00AD4DD8"/>
    <w:rsid w:val="00AE1332"/>
    <w:rsid w:val="00AE75DD"/>
    <w:rsid w:val="00AF1445"/>
    <w:rsid w:val="00AF3764"/>
    <w:rsid w:val="00AF49C4"/>
    <w:rsid w:val="00B02456"/>
    <w:rsid w:val="00B05636"/>
    <w:rsid w:val="00B11861"/>
    <w:rsid w:val="00B163FE"/>
    <w:rsid w:val="00B17C15"/>
    <w:rsid w:val="00B20E7E"/>
    <w:rsid w:val="00B3368B"/>
    <w:rsid w:val="00B3560F"/>
    <w:rsid w:val="00B36500"/>
    <w:rsid w:val="00B445BB"/>
    <w:rsid w:val="00B505D9"/>
    <w:rsid w:val="00B5065A"/>
    <w:rsid w:val="00B5161D"/>
    <w:rsid w:val="00B54084"/>
    <w:rsid w:val="00B54D3C"/>
    <w:rsid w:val="00B566DD"/>
    <w:rsid w:val="00B62CE8"/>
    <w:rsid w:val="00B64D87"/>
    <w:rsid w:val="00B766DC"/>
    <w:rsid w:val="00B818A2"/>
    <w:rsid w:val="00B8394E"/>
    <w:rsid w:val="00B83FF0"/>
    <w:rsid w:val="00B90360"/>
    <w:rsid w:val="00BA13DC"/>
    <w:rsid w:val="00BA6382"/>
    <w:rsid w:val="00BA7E82"/>
    <w:rsid w:val="00BC1586"/>
    <w:rsid w:val="00BC1FE5"/>
    <w:rsid w:val="00BC45A8"/>
    <w:rsid w:val="00BD0003"/>
    <w:rsid w:val="00BD3886"/>
    <w:rsid w:val="00BD3E75"/>
    <w:rsid w:val="00BD6091"/>
    <w:rsid w:val="00BE2275"/>
    <w:rsid w:val="00BE26A0"/>
    <w:rsid w:val="00BF2325"/>
    <w:rsid w:val="00BF32A2"/>
    <w:rsid w:val="00BF69F7"/>
    <w:rsid w:val="00BF6E7B"/>
    <w:rsid w:val="00C0016F"/>
    <w:rsid w:val="00C12A04"/>
    <w:rsid w:val="00C13B3A"/>
    <w:rsid w:val="00C27189"/>
    <w:rsid w:val="00C35CC7"/>
    <w:rsid w:val="00C35CEE"/>
    <w:rsid w:val="00C44EA5"/>
    <w:rsid w:val="00C518CE"/>
    <w:rsid w:val="00C52098"/>
    <w:rsid w:val="00C62905"/>
    <w:rsid w:val="00C63B7A"/>
    <w:rsid w:val="00C63F1B"/>
    <w:rsid w:val="00C71884"/>
    <w:rsid w:val="00C7571D"/>
    <w:rsid w:val="00C77F61"/>
    <w:rsid w:val="00C83048"/>
    <w:rsid w:val="00C90F43"/>
    <w:rsid w:val="00C93054"/>
    <w:rsid w:val="00C93BDB"/>
    <w:rsid w:val="00C940CC"/>
    <w:rsid w:val="00CA07DD"/>
    <w:rsid w:val="00CA1CB3"/>
    <w:rsid w:val="00CA2CF1"/>
    <w:rsid w:val="00CA35F7"/>
    <w:rsid w:val="00CA37D1"/>
    <w:rsid w:val="00CA6AC6"/>
    <w:rsid w:val="00CA7A48"/>
    <w:rsid w:val="00CB4B3A"/>
    <w:rsid w:val="00CC2C21"/>
    <w:rsid w:val="00CC6548"/>
    <w:rsid w:val="00CD7ED8"/>
    <w:rsid w:val="00CF11D5"/>
    <w:rsid w:val="00D058DA"/>
    <w:rsid w:val="00D06C6B"/>
    <w:rsid w:val="00D06E2E"/>
    <w:rsid w:val="00D108B9"/>
    <w:rsid w:val="00D11475"/>
    <w:rsid w:val="00D16E7F"/>
    <w:rsid w:val="00D17274"/>
    <w:rsid w:val="00D17480"/>
    <w:rsid w:val="00D370A9"/>
    <w:rsid w:val="00D4101D"/>
    <w:rsid w:val="00D452B4"/>
    <w:rsid w:val="00D53A91"/>
    <w:rsid w:val="00D57D9E"/>
    <w:rsid w:val="00D6330D"/>
    <w:rsid w:val="00D63692"/>
    <w:rsid w:val="00D63B6C"/>
    <w:rsid w:val="00D6627E"/>
    <w:rsid w:val="00D73BA3"/>
    <w:rsid w:val="00D74266"/>
    <w:rsid w:val="00D756C1"/>
    <w:rsid w:val="00D75993"/>
    <w:rsid w:val="00D76A2F"/>
    <w:rsid w:val="00D81C6D"/>
    <w:rsid w:val="00D91347"/>
    <w:rsid w:val="00D9177E"/>
    <w:rsid w:val="00D959C1"/>
    <w:rsid w:val="00D95C60"/>
    <w:rsid w:val="00D96D1C"/>
    <w:rsid w:val="00DA648B"/>
    <w:rsid w:val="00DA69D6"/>
    <w:rsid w:val="00DB23BB"/>
    <w:rsid w:val="00DB5203"/>
    <w:rsid w:val="00DB6C16"/>
    <w:rsid w:val="00DB74DB"/>
    <w:rsid w:val="00DC252E"/>
    <w:rsid w:val="00DC3B9D"/>
    <w:rsid w:val="00DC6FD2"/>
    <w:rsid w:val="00DD1DB5"/>
    <w:rsid w:val="00DE2F13"/>
    <w:rsid w:val="00DE40DC"/>
    <w:rsid w:val="00DF0897"/>
    <w:rsid w:val="00DF4487"/>
    <w:rsid w:val="00DF6859"/>
    <w:rsid w:val="00E04AF4"/>
    <w:rsid w:val="00E119E6"/>
    <w:rsid w:val="00E14756"/>
    <w:rsid w:val="00E16A67"/>
    <w:rsid w:val="00E16D11"/>
    <w:rsid w:val="00E22EE5"/>
    <w:rsid w:val="00E25257"/>
    <w:rsid w:val="00E42D59"/>
    <w:rsid w:val="00E47C7A"/>
    <w:rsid w:val="00E56BB9"/>
    <w:rsid w:val="00E77FAF"/>
    <w:rsid w:val="00E80825"/>
    <w:rsid w:val="00E80E13"/>
    <w:rsid w:val="00E87636"/>
    <w:rsid w:val="00E95478"/>
    <w:rsid w:val="00EB7F71"/>
    <w:rsid w:val="00EC619A"/>
    <w:rsid w:val="00EC767C"/>
    <w:rsid w:val="00ED1994"/>
    <w:rsid w:val="00ED1B04"/>
    <w:rsid w:val="00ED72E6"/>
    <w:rsid w:val="00EE0490"/>
    <w:rsid w:val="00EE14B3"/>
    <w:rsid w:val="00EE7A2F"/>
    <w:rsid w:val="00EF344F"/>
    <w:rsid w:val="00EF5221"/>
    <w:rsid w:val="00EF6279"/>
    <w:rsid w:val="00F00F62"/>
    <w:rsid w:val="00F027ED"/>
    <w:rsid w:val="00F12E9F"/>
    <w:rsid w:val="00F13DEA"/>
    <w:rsid w:val="00F2247C"/>
    <w:rsid w:val="00F225C9"/>
    <w:rsid w:val="00F260FE"/>
    <w:rsid w:val="00F32D09"/>
    <w:rsid w:val="00F3613E"/>
    <w:rsid w:val="00F3745D"/>
    <w:rsid w:val="00F445A6"/>
    <w:rsid w:val="00F4647A"/>
    <w:rsid w:val="00F5727B"/>
    <w:rsid w:val="00F673FF"/>
    <w:rsid w:val="00F7084F"/>
    <w:rsid w:val="00F74951"/>
    <w:rsid w:val="00F81194"/>
    <w:rsid w:val="00F846C1"/>
    <w:rsid w:val="00FA4005"/>
    <w:rsid w:val="00FA52E0"/>
    <w:rsid w:val="00FA7D5F"/>
    <w:rsid w:val="00FB5B11"/>
    <w:rsid w:val="00FC3A02"/>
    <w:rsid w:val="00FD0613"/>
    <w:rsid w:val="00FD2E01"/>
    <w:rsid w:val="00FE3D12"/>
    <w:rsid w:val="00FE4389"/>
    <w:rsid w:val="00FE515E"/>
    <w:rsid w:val="00FE5FC9"/>
    <w:rsid w:val="00FF15F8"/>
    <w:rsid w:val="00FF6E5B"/>
    <w:rsid w:val="015D1CF7"/>
    <w:rsid w:val="01785CF9"/>
    <w:rsid w:val="01F746CC"/>
    <w:rsid w:val="024F4892"/>
    <w:rsid w:val="02682FF6"/>
    <w:rsid w:val="02B335C4"/>
    <w:rsid w:val="03E2379C"/>
    <w:rsid w:val="03F064C3"/>
    <w:rsid w:val="04B374EB"/>
    <w:rsid w:val="04F46E28"/>
    <w:rsid w:val="07995E0F"/>
    <w:rsid w:val="07A133A6"/>
    <w:rsid w:val="081B7717"/>
    <w:rsid w:val="09B10961"/>
    <w:rsid w:val="09CA0F5B"/>
    <w:rsid w:val="0A9F7CC7"/>
    <w:rsid w:val="0AC360F5"/>
    <w:rsid w:val="0C93296B"/>
    <w:rsid w:val="0E576408"/>
    <w:rsid w:val="0F733973"/>
    <w:rsid w:val="0F9C5013"/>
    <w:rsid w:val="0FAE09D7"/>
    <w:rsid w:val="105A5D02"/>
    <w:rsid w:val="11875E72"/>
    <w:rsid w:val="11B07AE6"/>
    <w:rsid w:val="11EA675A"/>
    <w:rsid w:val="13617B55"/>
    <w:rsid w:val="13664ED7"/>
    <w:rsid w:val="14487060"/>
    <w:rsid w:val="149B03F0"/>
    <w:rsid w:val="14FE7D0A"/>
    <w:rsid w:val="155A25E0"/>
    <w:rsid w:val="155A39BC"/>
    <w:rsid w:val="15D82DB7"/>
    <w:rsid w:val="16D11254"/>
    <w:rsid w:val="179957BE"/>
    <w:rsid w:val="17A4304E"/>
    <w:rsid w:val="17A96B94"/>
    <w:rsid w:val="18575B00"/>
    <w:rsid w:val="18C33745"/>
    <w:rsid w:val="194B52A2"/>
    <w:rsid w:val="198A41F7"/>
    <w:rsid w:val="19F765BD"/>
    <w:rsid w:val="1AF75928"/>
    <w:rsid w:val="1C3D380E"/>
    <w:rsid w:val="1D04432C"/>
    <w:rsid w:val="1F1C780D"/>
    <w:rsid w:val="1F611352"/>
    <w:rsid w:val="21EF0700"/>
    <w:rsid w:val="230F0E8A"/>
    <w:rsid w:val="23307FC4"/>
    <w:rsid w:val="238873C1"/>
    <w:rsid w:val="23D52ABA"/>
    <w:rsid w:val="246758CC"/>
    <w:rsid w:val="25137158"/>
    <w:rsid w:val="25EE1C68"/>
    <w:rsid w:val="26C8752E"/>
    <w:rsid w:val="27344DDD"/>
    <w:rsid w:val="27D0466C"/>
    <w:rsid w:val="27EB7511"/>
    <w:rsid w:val="28D356FA"/>
    <w:rsid w:val="29117117"/>
    <w:rsid w:val="2AE123EE"/>
    <w:rsid w:val="2B231702"/>
    <w:rsid w:val="2B597CB8"/>
    <w:rsid w:val="2CC57CB3"/>
    <w:rsid w:val="2D2325AC"/>
    <w:rsid w:val="2D3A1246"/>
    <w:rsid w:val="2D3B6272"/>
    <w:rsid w:val="2D7D299C"/>
    <w:rsid w:val="2DAC74D2"/>
    <w:rsid w:val="2E057F04"/>
    <w:rsid w:val="2EA43279"/>
    <w:rsid w:val="2F2D7712"/>
    <w:rsid w:val="2F474C30"/>
    <w:rsid w:val="2F4C3DE5"/>
    <w:rsid w:val="2F740B01"/>
    <w:rsid w:val="310117B7"/>
    <w:rsid w:val="313D7C21"/>
    <w:rsid w:val="33F532B8"/>
    <w:rsid w:val="34707B2A"/>
    <w:rsid w:val="34D4570D"/>
    <w:rsid w:val="34EA179C"/>
    <w:rsid w:val="357948D4"/>
    <w:rsid w:val="37941D17"/>
    <w:rsid w:val="37B15794"/>
    <w:rsid w:val="385D35AC"/>
    <w:rsid w:val="38DF7CCF"/>
    <w:rsid w:val="3A5405B8"/>
    <w:rsid w:val="3B190F9D"/>
    <w:rsid w:val="3DB72606"/>
    <w:rsid w:val="3DD067EA"/>
    <w:rsid w:val="3F185CE9"/>
    <w:rsid w:val="40DE6ABE"/>
    <w:rsid w:val="43840FF8"/>
    <w:rsid w:val="443133A9"/>
    <w:rsid w:val="456A6B72"/>
    <w:rsid w:val="45B43965"/>
    <w:rsid w:val="465970A9"/>
    <w:rsid w:val="465B64BB"/>
    <w:rsid w:val="46F474A5"/>
    <w:rsid w:val="474521A9"/>
    <w:rsid w:val="48BF6AA4"/>
    <w:rsid w:val="48D52555"/>
    <w:rsid w:val="48D625A4"/>
    <w:rsid w:val="48E7386F"/>
    <w:rsid w:val="49EE72DC"/>
    <w:rsid w:val="4A582407"/>
    <w:rsid w:val="4B127479"/>
    <w:rsid w:val="4B712A85"/>
    <w:rsid w:val="4BB943B0"/>
    <w:rsid w:val="4C043151"/>
    <w:rsid w:val="4D4407EF"/>
    <w:rsid w:val="4DF23BA9"/>
    <w:rsid w:val="4EDA5C3A"/>
    <w:rsid w:val="4EF65A8E"/>
    <w:rsid w:val="4FA155CE"/>
    <w:rsid w:val="4FFC486B"/>
    <w:rsid w:val="526F3257"/>
    <w:rsid w:val="5273723A"/>
    <w:rsid w:val="54134879"/>
    <w:rsid w:val="543738E7"/>
    <w:rsid w:val="54DD5CB1"/>
    <w:rsid w:val="554D7917"/>
    <w:rsid w:val="56174762"/>
    <w:rsid w:val="566829F0"/>
    <w:rsid w:val="56E621F9"/>
    <w:rsid w:val="5731755F"/>
    <w:rsid w:val="57D42A95"/>
    <w:rsid w:val="580677DE"/>
    <w:rsid w:val="58A85546"/>
    <w:rsid w:val="58B660C7"/>
    <w:rsid w:val="596C5D10"/>
    <w:rsid w:val="59D72EF3"/>
    <w:rsid w:val="59D93E6F"/>
    <w:rsid w:val="5AE20B01"/>
    <w:rsid w:val="5C6048F4"/>
    <w:rsid w:val="5CA13136"/>
    <w:rsid w:val="5CCE6B84"/>
    <w:rsid w:val="5E150529"/>
    <w:rsid w:val="5EAC401C"/>
    <w:rsid w:val="5F57386C"/>
    <w:rsid w:val="5F93449C"/>
    <w:rsid w:val="5FEA66D8"/>
    <w:rsid w:val="60BF01AE"/>
    <w:rsid w:val="615E6F00"/>
    <w:rsid w:val="61FC0E16"/>
    <w:rsid w:val="63872170"/>
    <w:rsid w:val="64140788"/>
    <w:rsid w:val="64922E50"/>
    <w:rsid w:val="65441C16"/>
    <w:rsid w:val="65EE2E2B"/>
    <w:rsid w:val="65F27896"/>
    <w:rsid w:val="672D1C7D"/>
    <w:rsid w:val="67681716"/>
    <w:rsid w:val="68466B73"/>
    <w:rsid w:val="693F0F49"/>
    <w:rsid w:val="6970428F"/>
    <w:rsid w:val="6A257076"/>
    <w:rsid w:val="6A3F2932"/>
    <w:rsid w:val="6A7B25F3"/>
    <w:rsid w:val="6AF054EB"/>
    <w:rsid w:val="6C6770B8"/>
    <w:rsid w:val="6CE213ED"/>
    <w:rsid w:val="6ECC474B"/>
    <w:rsid w:val="708939BE"/>
    <w:rsid w:val="71453E6C"/>
    <w:rsid w:val="717848CA"/>
    <w:rsid w:val="71C8684B"/>
    <w:rsid w:val="7228082B"/>
    <w:rsid w:val="72807126"/>
    <w:rsid w:val="728753A1"/>
    <w:rsid w:val="72957C89"/>
    <w:rsid w:val="72A9042B"/>
    <w:rsid w:val="733472FB"/>
    <w:rsid w:val="735D1242"/>
    <w:rsid w:val="744E5350"/>
    <w:rsid w:val="763D03B9"/>
    <w:rsid w:val="76D02573"/>
    <w:rsid w:val="76D36070"/>
    <w:rsid w:val="7A771073"/>
    <w:rsid w:val="7A973284"/>
    <w:rsid w:val="7ACA3123"/>
    <w:rsid w:val="7B287600"/>
    <w:rsid w:val="7B6205F9"/>
    <w:rsid w:val="7B6E6C81"/>
    <w:rsid w:val="7B705F89"/>
    <w:rsid w:val="7BC75D18"/>
    <w:rsid w:val="7C570EF7"/>
    <w:rsid w:val="7D097059"/>
    <w:rsid w:val="7E223843"/>
    <w:rsid w:val="7E413C0D"/>
    <w:rsid w:val="7E526FB0"/>
    <w:rsid w:val="7EA924BC"/>
    <w:rsid w:val="7F727328"/>
    <w:rsid w:val="7F8813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4">
    <w:name w:val="heading 1"/>
    <w:basedOn w:val="1"/>
    <w:next w:val="1"/>
    <w:qFormat/>
    <w:uiPriority w:val="0"/>
    <w:pPr>
      <w:spacing w:line="360" w:lineRule="auto"/>
      <w:jc w:val="center"/>
      <w:outlineLvl w:val="0"/>
    </w:pPr>
    <w:rPr>
      <w:rFonts w:cs="Times New Roman"/>
      <w:b/>
      <w:bCs/>
      <w:sz w:val="44"/>
      <w:szCs w:val="32"/>
      <w:lang w:eastAsia="en-US"/>
    </w:rPr>
  </w:style>
  <w:style w:type="paragraph" w:styleId="5">
    <w:name w:val="heading 2"/>
    <w:basedOn w:val="1"/>
    <w:next w:val="1"/>
    <w:unhideWhenUsed/>
    <w:qFormat/>
    <w:uiPriority w:val="0"/>
    <w:pPr>
      <w:spacing w:line="360" w:lineRule="auto"/>
      <w:ind w:left="119"/>
      <w:jc w:val="center"/>
      <w:outlineLvl w:val="1"/>
    </w:pPr>
    <w:rPr>
      <w:rFonts w:cs="Times New Roman"/>
      <w:b/>
      <w:bCs/>
      <w:sz w:val="32"/>
      <w:lang w:eastAsia="en-US"/>
    </w:rPr>
  </w:style>
  <w:style w:type="paragraph" w:styleId="6">
    <w:name w:val="heading 3"/>
    <w:basedOn w:val="1"/>
    <w:next w:val="1"/>
    <w:qFormat/>
    <w:uiPriority w:val="0"/>
    <w:pPr>
      <w:keepNext/>
      <w:keepLines/>
      <w:numPr>
        <w:ilvl w:val="2"/>
        <w:numId w:val="1"/>
      </w:numPr>
      <w:spacing w:line="360" w:lineRule="auto"/>
      <w:outlineLvl w:val="2"/>
    </w:pPr>
    <w:rPr>
      <w:rFonts w:cs="Times New Roman"/>
      <w:b/>
      <w:bCs/>
    </w:rPr>
  </w:style>
  <w:style w:type="paragraph" w:styleId="7">
    <w:name w:val="heading 5"/>
    <w:basedOn w:val="1"/>
    <w:next w:val="1"/>
    <w:qFormat/>
    <w:uiPriority w:val="0"/>
    <w:pPr>
      <w:keepNext/>
      <w:keepLines/>
      <w:adjustRightInd w:val="0"/>
      <w:spacing w:before="280" w:after="290" w:line="376" w:lineRule="atLeast"/>
      <w:jc w:val="left"/>
      <w:textAlignment w:val="baseline"/>
      <w:outlineLvl w:val="4"/>
    </w:pPr>
    <w:rPr>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8"/>
    <w:qFormat/>
    <w:uiPriority w:val="0"/>
  </w:style>
  <w:style w:type="paragraph" w:styleId="3">
    <w:name w:val="Body Text 2"/>
    <w:basedOn w:val="1"/>
    <w:next w:val="2"/>
    <w:link w:val="63"/>
    <w:qFormat/>
    <w:uiPriority w:val="0"/>
    <w:pPr>
      <w:suppressAutoHyphens/>
      <w:jc w:val="left"/>
    </w:pPr>
    <w:rPr>
      <w:color w:val="000000"/>
      <w:kern w:val="1"/>
      <w:sz w:val="28"/>
      <w:szCs w:val="20"/>
    </w:rPr>
  </w:style>
  <w:style w:type="paragraph" w:styleId="8">
    <w:name w:val="Note Heading"/>
    <w:basedOn w:val="7"/>
    <w:next w:val="1"/>
    <w:qFormat/>
    <w:uiPriority w:val="0"/>
    <w:pPr>
      <w:jc w:val="center"/>
    </w:pPr>
    <w:rPr>
      <w:rFonts w:ascii="Times New Roman" w:hAnsi="Times New Roman" w:cs="Times New Roman"/>
      <w:szCs w:val="24"/>
      <w:lang w:val="zh-CN" w:eastAsia="en-US" w:bidi="en-US"/>
    </w:rPr>
  </w:style>
  <w:style w:type="paragraph" w:styleId="9">
    <w:name w:val="Normal Indent"/>
    <w:basedOn w:val="1"/>
    <w:qFormat/>
    <w:uiPriority w:val="0"/>
    <w:pPr>
      <w:ind w:firstLine="420" w:firstLineChars="200"/>
    </w:pPr>
    <w:rPr>
      <w:rFonts w:ascii="Times New Roman" w:hAnsi="Times New Roman" w:cs="Times New Roman"/>
      <w:szCs w:val="20"/>
    </w:rPr>
  </w:style>
  <w:style w:type="paragraph" w:styleId="10">
    <w:name w:val="annotation text"/>
    <w:basedOn w:val="1"/>
    <w:link w:val="51"/>
    <w:semiHidden/>
    <w:unhideWhenUsed/>
    <w:qFormat/>
    <w:uiPriority w:val="0"/>
    <w:pPr>
      <w:jc w:val="left"/>
    </w:pPr>
  </w:style>
  <w:style w:type="paragraph" w:styleId="11">
    <w:name w:val="Body Text 3"/>
    <w:basedOn w:val="1"/>
    <w:next w:val="1"/>
    <w:qFormat/>
    <w:uiPriority w:val="0"/>
    <w:pPr>
      <w:spacing w:after="120" w:line="540" w:lineRule="exact"/>
      <w:ind w:firstLine="200" w:firstLineChars="200"/>
    </w:pPr>
    <w:rPr>
      <w:rFonts w:eastAsia="仿宋_GB2312"/>
      <w:sz w:val="16"/>
      <w:szCs w:val="16"/>
    </w:rPr>
  </w:style>
  <w:style w:type="paragraph" w:styleId="12">
    <w:name w:val="Body Text Indent"/>
    <w:basedOn w:val="1"/>
    <w:next w:val="8"/>
    <w:qFormat/>
    <w:uiPriority w:val="0"/>
    <w:pPr>
      <w:spacing w:after="120"/>
      <w:ind w:left="420" w:leftChars="200"/>
    </w:pPr>
    <w:rPr>
      <w:rFonts w:ascii="Times New Roman" w:hAnsi="Times New Roman" w:cs="Times New Roman"/>
    </w:rPr>
  </w:style>
  <w:style w:type="paragraph" w:styleId="13">
    <w:name w:val="List 2"/>
    <w:basedOn w:val="1"/>
    <w:qFormat/>
    <w:uiPriority w:val="0"/>
    <w:pPr>
      <w:ind w:left="100" w:leftChars="200" w:hanging="200" w:hangingChars="200"/>
    </w:pPr>
    <w:rPr>
      <w:rFonts w:ascii="Times New Roman" w:hAnsi="Times New Roman" w:cs="Times New Roman"/>
    </w:rPr>
  </w:style>
  <w:style w:type="paragraph" w:styleId="14">
    <w:name w:val="List Continue"/>
    <w:basedOn w:val="1"/>
    <w:qFormat/>
    <w:uiPriority w:val="0"/>
    <w:pPr>
      <w:widowControl/>
      <w:spacing w:before="100" w:beforeAutospacing="1" w:after="100" w:afterAutospacing="1"/>
      <w:jc w:val="left"/>
    </w:pPr>
    <w:rPr>
      <w:rFonts w:cs="Times New Roman"/>
      <w:kern w:val="0"/>
      <w:sz w:val="24"/>
    </w:rPr>
  </w:style>
  <w:style w:type="paragraph" w:styleId="15">
    <w:name w:val="Plain Text"/>
    <w:basedOn w:val="1"/>
    <w:qFormat/>
    <w:uiPriority w:val="0"/>
    <w:rPr>
      <w:rFonts w:hAnsi="Courier New" w:cs="Courier New"/>
    </w:rPr>
  </w:style>
  <w:style w:type="paragraph" w:styleId="16">
    <w:name w:val="Body Text Indent 2"/>
    <w:basedOn w:val="1"/>
    <w:link w:val="57"/>
    <w:semiHidden/>
    <w:unhideWhenUsed/>
    <w:qFormat/>
    <w:uiPriority w:val="0"/>
    <w:pPr>
      <w:widowControl/>
      <w:spacing w:beforeAutospacing="1" w:line="480" w:lineRule="auto"/>
      <w:ind w:left="420" w:leftChars="200"/>
      <w:jc w:val="left"/>
    </w:pPr>
    <w:rPr>
      <w:rFonts w:ascii="Times New Roman" w:hAnsi="Times New Roman" w:cs="Times New Roman"/>
    </w:rPr>
  </w:style>
  <w:style w:type="paragraph" w:styleId="17">
    <w:name w:val="Balloon Text"/>
    <w:basedOn w:val="1"/>
    <w:link w:val="46"/>
    <w:qFormat/>
    <w:uiPriority w:val="0"/>
    <w:rPr>
      <w:sz w:val="18"/>
      <w:szCs w:val="18"/>
    </w:rPr>
  </w:style>
  <w:style w:type="paragraph" w:styleId="18">
    <w:name w:val="footer"/>
    <w:basedOn w:val="1"/>
    <w:link w:val="56"/>
    <w:qFormat/>
    <w:uiPriority w:val="99"/>
    <w:pPr>
      <w:tabs>
        <w:tab w:val="center" w:pos="4153"/>
        <w:tab w:val="right" w:pos="8306"/>
      </w:tabs>
      <w:snapToGrid w:val="0"/>
      <w:jc w:val="left"/>
    </w:pPr>
    <w:rPr>
      <w:rFonts w:ascii="Times New Roman" w:hAnsi="Times New Roman" w:cs="Times New Roman"/>
      <w:sz w:val="18"/>
      <w:szCs w:val="18"/>
    </w:rPr>
  </w:style>
  <w:style w:type="paragraph" w:styleId="19">
    <w:name w:val="header"/>
    <w:basedOn w:val="1"/>
    <w:link w:val="47"/>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0">
    <w:name w:val="toc 1"/>
    <w:basedOn w:val="1"/>
    <w:next w:val="1"/>
    <w:qFormat/>
    <w:uiPriority w:val="39"/>
    <w:rPr>
      <w:rFonts w:ascii="Times New Roman" w:hAnsi="Times New Roman" w:cs="Times New Roman"/>
    </w:rPr>
  </w:style>
  <w:style w:type="paragraph" w:styleId="21">
    <w:name w:val="Normal (Web)"/>
    <w:basedOn w:val="1"/>
    <w:qFormat/>
    <w:uiPriority w:val="0"/>
    <w:pPr>
      <w:widowControl/>
      <w:spacing w:before="100" w:beforeAutospacing="1" w:after="100" w:afterAutospacing="1" w:line="320" w:lineRule="atLeast"/>
      <w:jc w:val="left"/>
    </w:pPr>
    <w:rPr>
      <w:rFonts w:cs="Times New Roman"/>
      <w:kern w:val="0"/>
      <w:sz w:val="18"/>
      <w:szCs w:val="18"/>
    </w:rPr>
  </w:style>
  <w:style w:type="paragraph" w:styleId="22">
    <w:name w:val="index 1"/>
    <w:basedOn w:val="1"/>
    <w:next w:val="1"/>
    <w:qFormat/>
    <w:uiPriority w:val="0"/>
    <w:pPr>
      <w:wordWrap/>
      <w:topLinePunct w:val="0"/>
    </w:pPr>
    <w:rPr>
      <w:rFonts w:ascii="Times New Roman" w:hAnsi="Times New Roman" w:cs="Times New Roman"/>
      <w:szCs w:val="20"/>
    </w:rPr>
  </w:style>
  <w:style w:type="paragraph" w:styleId="23">
    <w:name w:val="annotation subject"/>
    <w:basedOn w:val="10"/>
    <w:next w:val="10"/>
    <w:link w:val="52"/>
    <w:semiHidden/>
    <w:unhideWhenUsed/>
    <w:qFormat/>
    <w:uiPriority w:val="0"/>
    <w:rPr>
      <w:b/>
      <w:bCs/>
    </w:rPr>
  </w:style>
  <w:style w:type="paragraph" w:styleId="24">
    <w:name w:val="Body Text First Indent"/>
    <w:basedOn w:val="2"/>
    <w:next w:val="1"/>
    <w:qFormat/>
    <w:uiPriority w:val="0"/>
    <w:pPr>
      <w:ind w:firstLine="420" w:firstLineChars="100"/>
    </w:pPr>
  </w:style>
  <w:style w:type="paragraph" w:styleId="25">
    <w:name w:val="Body Text First Indent 2"/>
    <w:basedOn w:val="12"/>
    <w:next w:val="1"/>
    <w:qFormat/>
    <w:uiPriority w:val="0"/>
    <w:pPr>
      <w:ind w:firstLine="420" w:firstLineChars="200"/>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qFormat/>
    <w:uiPriority w:val="0"/>
    <w:rPr>
      <w:color w:val="800080"/>
      <w:u w:val="none"/>
    </w:rPr>
  </w:style>
  <w:style w:type="character" w:styleId="30">
    <w:name w:val="Emphasis"/>
    <w:basedOn w:val="28"/>
    <w:qFormat/>
    <w:uiPriority w:val="0"/>
    <w:rPr>
      <w:i/>
    </w:rPr>
  </w:style>
  <w:style w:type="character" w:styleId="31">
    <w:name w:val="HTML Definition"/>
    <w:basedOn w:val="28"/>
    <w:qFormat/>
    <w:uiPriority w:val="0"/>
  </w:style>
  <w:style w:type="character" w:styleId="32">
    <w:name w:val="HTML Typewriter"/>
    <w:basedOn w:val="28"/>
    <w:qFormat/>
    <w:uiPriority w:val="0"/>
    <w:rPr>
      <w:rFonts w:hint="default"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basedOn w:val="28"/>
    <w:qFormat/>
    <w:uiPriority w:val="99"/>
    <w:rPr>
      <w:color w:val="333333"/>
      <w:sz w:val="18"/>
      <w:szCs w:val="18"/>
      <w:u w:val="none"/>
    </w:rPr>
  </w:style>
  <w:style w:type="character" w:styleId="36">
    <w:name w:val="HTML Code"/>
    <w:basedOn w:val="28"/>
    <w:qFormat/>
    <w:uiPriority w:val="0"/>
    <w:rPr>
      <w:rFonts w:ascii="monospace" w:hAnsi="monospace" w:eastAsia="monospace" w:cs="monospace"/>
      <w:sz w:val="20"/>
    </w:rPr>
  </w:style>
  <w:style w:type="character" w:styleId="37">
    <w:name w:val="annotation reference"/>
    <w:basedOn w:val="28"/>
    <w:semiHidden/>
    <w:unhideWhenUsed/>
    <w:qFormat/>
    <w:uiPriority w:val="0"/>
    <w:rPr>
      <w:sz w:val="21"/>
      <w:szCs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paragraph" w:customStyle="1" w:styleId="41">
    <w:name w:val="Blockquote"/>
    <w:basedOn w:val="1"/>
    <w:next w:val="1"/>
    <w:qFormat/>
    <w:uiPriority w:val="99"/>
    <w:pPr>
      <w:autoSpaceDE w:val="0"/>
      <w:autoSpaceDN w:val="0"/>
      <w:adjustRightInd w:val="0"/>
      <w:spacing w:before="100" w:after="100"/>
      <w:ind w:left="360" w:right="360"/>
    </w:pPr>
    <w:rPr>
      <w:sz w:val="24"/>
    </w:rPr>
  </w:style>
  <w:style w:type="paragraph" w:customStyle="1" w:styleId="42">
    <w:name w:val="Default"/>
    <w:next w:val="1"/>
    <w:qFormat/>
    <w:uiPriority w:val="0"/>
    <w:pPr>
      <w:widowControl w:val="0"/>
      <w:numPr>
        <w:ilvl w:val="1"/>
        <w:numId w:val="2"/>
      </w:numPr>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首行缩进"/>
    <w:basedOn w:val="1"/>
    <w:qFormat/>
    <w:uiPriority w:val="0"/>
    <w:pPr>
      <w:ind w:firstLine="480"/>
    </w:pPr>
    <w:rPr>
      <w:kern w:val="0"/>
      <w:szCs w:val="20"/>
      <w:lang w:val="zh-CN"/>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Table Paragraph"/>
    <w:basedOn w:val="1"/>
    <w:qFormat/>
    <w:uiPriority w:val="1"/>
    <w:rPr>
      <w:lang w:val="zh-CN" w:bidi="zh-CN"/>
    </w:rPr>
  </w:style>
  <w:style w:type="character" w:customStyle="1" w:styleId="46">
    <w:name w:val="批注框文本 字符"/>
    <w:basedOn w:val="28"/>
    <w:link w:val="17"/>
    <w:qFormat/>
    <w:uiPriority w:val="0"/>
    <w:rPr>
      <w:rFonts w:ascii="宋体" w:hAnsi="宋体" w:cs="宋体"/>
      <w:kern w:val="2"/>
      <w:sz w:val="18"/>
      <w:szCs w:val="18"/>
    </w:rPr>
  </w:style>
  <w:style w:type="character" w:customStyle="1" w:styleId="47">
    <w:name w:val="页眉 字符"/>
    <w:link w:val="19"/>
    <w:qFormat/>
    <w:uiPriority w:val="0"/>
    <w:rPr>
      <w:kern w:val="2"/>
      <w:sz w:val="18"/>
      <w:szCs w:val="18"/>
    </w:rPr>
  </w:style>
  <w:style w:type="character" w:customStyle="1" w:styleId="48">
    <w:name w:val="页脚 字符"/>
    <w:qFormat/>
    <w:uiPriority w:val="99"/>
    <w:rPr>
      <w:kern w:val="2"/>
      <w:sz w:val="18"/>
      <w:szCs w:val="18"/>
    </w:rPr>
  </w:style>
  <w:style w:type="paragraph" w:styleId="49">
    <w:name w:val="List Paragraph"/>
    <w:basedOn w:val="1"/>
    <w:unhideWhenUsed/>
    <w:qFormat/>
    <w:uiPriority w:val="34"/>
    <w:pPr>
      <w:ind w:firstLine="420" w:firstLineChars="200"/>
    </w:pPr>
  </w:style>
  <w:style w:type="paragraph" w:customStyle="1" w:styleId="50">
    <w:name w:val="BodyText1I2"/>
    <w:basedOn w:val="1"/>
    <w:qFormat/>
    <w:uiPriority w:val="0"/>
    <w:pPr>
      <w:wordWrap/>
      <w:topLinePunct w:val="0"/>
      <w:spacing w:after="120"/>
      <w:ind w:left="420" w:leftChars="200" w:firstLine="420" w:firstLineChars="200"/>
    </w:pPr>
    <w:rPr>
      <w:rFonts w:hint="eastAsia" w:ascii="Times New Roman" w:hAnsi="Times New Roman" w:cs="Times New Roman"/>
      <w:szCs w:val="20"/>
    </w:rPr>
  </w:style>
  <w:style w:type="character" w:customStyle="1" w:styleId="51">
    <w:name w:val="批注文字 字符"/>
    <w:basedOn w:val="28"/>
    <w:link w:val="10"/>
    <w:semiHidden/>
    <w:qFormat/>
    <w:uiPriority w:val="0"/>
    <w:rPr>
      <w:rFonts w:ascii="宋体" w:hAnsi="宋体" w:cs="宋体"/>
      <w:kern w:val="2"/>
      <w:sz w:val="21"/>
      <w:szCs w:val="21"/>
    </w:rPr>
  </w:style>
  <w:style w:type="character" w:customStyle="1" w:styleId="52">
    <w:name w:val="批注主题 字符"/>
    <w:basedOn w:val="51"/>
    <w:link w:val="23"/>
    <w:semiHidden/>
    <w:qFormat/>
    <w:uiPriority w:val="0"/>
    <w:rPr>
      <w:rFonts w:ascii="宋体" w:hAnsi="宋体" w:cs="宋体"/>
      <w:b/>
      <w:bCs/>
      <w:kern w:val="2"/>
      <w:sz w:val="21"/>
      <w:szCs w:val="21"/>
    </w:rPr>
  </w:style>
  <w:style w:type="paragraph" w:customStyle="1" w:styleId="53">
    <w:name w:val="修订1"/>
    <w:hidden/>
    <w:semiHidden/>
    <w:qFormat/>
    <w:uiPriority w:val="99"/>
    <w:rPr>
      <w:rFonts w:ascii="宋体" w:hAnsi="宋体" w:eastAsia="宋体" w:cs="宋体"/>
      <w:kern w:val="2"/>
      <w:sz w:val="21"/>
      <w:szCs w:val="21"/>
      <w:lang w:val="en-US" w:eastAsia="zh-CN" w:bidi="ar-SA"/>
    </w:rPr>
  </w:style>
  <w:style w:type="paragraph" w:customStyle="1" w:styleId="54">
    <w:name w:val="样式7"/>
    <w:basedOn w:val="1"/>
    <w:qFormat/>
    <w:uiPriority w:val="0"/>
    <w:pPr>
      <w:wordWrap/>
      <w:topLinePunct w:val="0"/>
      <w:spacing w:line="300" w:lineRule="exact"/>
      <w:ind w:left="-120" w:leftChars="-50" w:right="-120" w:rightChars="-50"/>
      <w:jc w:val="center"/>
    </w:pPr>
    <w:rPr>
      <w:rFonts w:ascii="Times New Roman" w:hAnsi="Times New Roman" w:cs="Times New Roman"/>
      <w:szCs w:val="24"/>
    </w:rPr>
  </w:style>
  <w:style w:type="character" w:customStyle="1" w:styleId="55">
    <w:name w:val="正文文本 字符"/>
    <w:basedOn w:val="28"/>
    <w:qFormat/>
    <w:uiPriority w:val="0"/>
    <w:rPr>
      <w:rFonts w:ascii="宋体" w:hAnsi="宋体" w:cs="宋体"/>
      <w:kern w:val="2"/>
      <w:sz w:val="21"/>
      <w:szCs w:val="21"/>
    </w:rPr>
  </w:style>
  <w:style w:type="character" w:customStyle="1" w:styleId="56">
    <w:name w:val="页脚 字符1"/>
    <w:basedOn w:val="28"/>
    <w:link w:val="18"/>
    <w:qFormat/>
    <w:uiPriority w:val="0"/>
    <w:rPr>
      <w:rFonts w:hint="eastAsia" w:ascii="宋体" w:hAnsi="宋体" w:eastAsia="宋体" w:cs="宋体"/>
      <w:kern w:val="2"/>
      <w:sz w:val="18"/>
      <w:szCs w:val="21"/>
    </w:rPr>
  </w:style>
  <w:style w:type="character" w:customStyle="1" w:styleId="57">
    <w:name w:val="正文文本缩进 2 字符"/>
    <w:basedOn w:val="28"/>
    <w:link w:val="16"/>
    <w:qFormat/>
    <w:uiPriority w:val="0"/>
    <w:rPr>
      <w:rFonts w:hint="eastAsia" w:ascii="宋体" w:hAnsi="宋体" w:eastAsia="宋体" w:cs="宋体"/>
      <w:kern w:val="2"/>
      <w:sz w:val="21"/>
      <w:szCs w:val="21"/>
    </w:rPr>
  </w:style>
  <w:style w:type="character" w:customStyle="1" w:styleId="58">
    <w:name w:val="正文文本 字符1"/>
    <w:basedOn w:val="28"/>
    <w:link w:val="2"/>
    <w:qFormat/>
    <w:uiPriority w:val="0"/>
    <w:rPr>
      <w:kern w:val="2"/>
      <w:sz w:val="21"/>
      <w:szCs w:val="21"/>
    </w:rPr>
  </w:style>
  <w:style w:type="character" w:customStyle="1" w:styleId="59">
    <w:name w:val="NormalCharacter"/>
    <w:qFormat/>
    <w:uiPriority w:val="0"/>
    <w:rPr>
      <w:kern w:val="2"/>
      <w:sz w:val="21"/>
      <w:szCs w:val="22"/>
      <w:lang w:val="en-US" w:eastAsia="zh-CN" w:bidi="ar-SA"/>
    </w:rPr>
  </w:style>
  <w:style w:type="character" w:customStyle="1" w:styleId="60">
    <w:name w:val="font31"/>
    <w:basedOn w:val="28"/>
    <w:qFormat/>
    <w:uiPriority w:val="0"/>
    <w:rPr>
      <w:rFonts w:hint="eastAsia" w:ascii="宋体" w:hAnsi="宋体" w:eastAsia="宋体" w:cs="宋体"/>
      <w:color w:val="000000"/>
      <w:sz w:val="20"/>
      <w:szCs w:val="20"/>
      <w:u w:val="none"/>
    </w:rPr>
  </w:style>
  <w:style w:type="character" w:customStyle="1" w:styleId="61">
    <w:name w:val="font21"/>
    <w:basedOn w:val="28"/>
    <w:qFormat/>
    <w:uiPriority w:val="0"/>
    <w:rPr>
      <w:rFonts w:hint="default" w:ascii="Times New Roman" w:hAnsi="Times New Roman" w:cs="Times New Roman"/>
      <w:color w:val="000000"/>
      <w:sz w:val="20"/>
      <w:szCs w:val="20"/>
      <w:u w:val="none"/>
    </w:rPr>
  </w:style>
  <w:style w:type="character" w:customStyle="1" w:styleId="62">
    <w:name w:val="font51"/>
    <w:basedOn w:val="28"/>
    <w:qFormat/>
    <w:uiPriority w:val="0"/>
    <w:rPr>
      <w:rFonts w:hint="default" w:ascii="Times New Roman" w:hAnsi="Times New Roman" w:cs="Times New Roman"/>
      <w:color w:val="000000"/>
      <w:sz w:val="20"/>
      <w:szCs w:val="20"/>
      <w:u w:val="none"/>
    </w:rPr>
  </w:style>
  <w:style w:type="character" w:customStyle="1" w:styleId="63">
    <w:name w:val="正文文本 2 字符"/>
    <w:basedOn w:val="28"/>
    <w:link w:val="3"/>
    <w:qFormat/>
    <w:uiPriority w:val="0"/>
    <w:rPr>
      <w:rFonts w:ascii="宋体" w:hAnsi="宋体" w:cs="宋体"/>
      <w:color w:val="000000"/>
      <w:kern w:val="1"/>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B57F74-1623-4566-B9BA-D29631875E9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27258</Words>
  <Characters>28323</Characters>
  <Lines>223</Lines>
  <Paragraphs>62</Paragraphs>
  <TotalTime>1</TotalTime>
  <ScaleCrop>false</ScaleCrop>
  <LinksUpToDate>false</LinksUpToDate>
  <CharactersWithSpaces>29571</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2022-08-14T03:46:00Z</dcterms:created>
  <dc:creator>NTKO</dc:creator>
  <cp:lastModifiedBy>lenovo</cp:lastModifiedBy>
  <cp:lastPrinted>2021-07-08T09:57:00Z</cp:lastPrinted>
  <dcterms:modified xsi:type="dcterms:W3CDTF">2022-11-30T05:30:14Z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BACA3E235E714EBFAD34FF2C40FA346B</vt:lpwstr>
  </property>
</Properties>
</file>