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spacing w:before="111"/>
        <w:ind w:left="550" w:right="57" w:firstLine="0"/>
        <w:jc w:val="center"/>
        <w:outlineLvl w:val="0"/>
        <w:rPr>
          <w:rFonts w:hint="eastAsia" w:ascii="宋体" w:hAnsi="宋体" w:eastAsia="宋体" w:cs="宋体"/>
          <w:b/>
          <w:bCs w:val="0"/>
          <w:sz w:val="36"/>
          <w:szCs w:val="21"/>
          <w:lang w:val="en-US" w:eastAsia="zh-CN"/>
        </w:rPr>
      </w:pPr>
      <w:r>
        <w:rPr>
          <w:rFonts w:hint="eastAsia" w:ascii="宋体" w:hAnsi="宋体" w:eastAsia="宋体" w:cs="宋体"/>
          <w:b/>
          <w:bCs w:val="0"/>
          <w:sz w:val="36"/>
          <w:szCs w:val="21"/>
          <w:lang w:val="en-US" w:eastAsia="zh-CN"/>
        </w:rPr>
        <w:t>综合保税区物业及绿化养护道路保洁服务项目</w:t>
      </w:r>
    </w:p>
    <w:p>
      <w:pPr>
        <w:spacing w:before="111"/>
        <w:ind w:left="550" w:right="57" w:firstLine="0"/>
        <w:jc w:val="center"/>
        <w:rPr>
          <w:b/>
          <w:sz w:val="36"/>
          <w:szCs w:val="21"/>
        </w:rPr>
      </w:pPr>
    </w:p>
    <w:p>
      <w:pPr>
        <w:spacing w:before="111"/>
        <w:ind w:left="550" w:right="57" w:firstLine="0"/>
        <w:jc w:val="center"/>
        <w:outlineLvl w:val="0"/>
        <w:rPr>
          <w:rFonts w:hint="eastAsia" w:ascii="宋体" w:hAnsi="宋体" w:eastAsia="宋体" w:cs="宋体"/>
          <w:b/>
          <w:color w:val="auto"/>
          <w:sz w:val="28"/>
          <w:szCs w:val="28"/>
          <w:lang w:val="en-US" w:eastAsia="zh-CN"/>
        </w:rPr>
      </w:pPr>
      <w:bookmarkStart w:id="0" w:name="_Toc15324"/>
      <w:bookmarkStart w:id="1" w:name="_Toc21521"/>
      <w:bookmarkStart w:id="2" w:name="_Toc690"/>
      <w:r>
        <w:rPr>
          <w:rFonts w:hint="eastAsia" w:ascii="宋体" w:hAnsi="宋体" w:eastAsia="宋体" w:cs="宋体"/>
          <w:b/>
          <w:color w:val="auto"/>
          <w:sz w:val="28"/>
          <w:szCs w:val="28"/>
        </w:rPr>
        <w:t>项目编号：KSJJKFQZFCG(GK)2022-0</w:t>
      </w:r>
      <w:r>
        <w:rPr>
          <w:rFonts w:hint="eastAsia" w:ascii="宋体" w:hAnsi="宋体" w:eastAsia="宋体" w:cs="宋体"/>
          <w:b/>
          <w:color w:val="auto"/>
          <w:sz w:val="28"/>
          <w:szCs w:val="28"/>
          <w:lang w:val="en-US" w:eastAsia="zh-CN"/>
        </w:rPr>
        <w:t>13</w:t>
      </w:r>
      <w:bookmarkEnd w:id="0"/>
      <w:bookmarkEnd w:id="1"/>
      <w:bookmarkEnd w:id="2"/>
    </w:p>
    <w:p>
      <w:pPr>
        <w:pStyle w:val="3"/>
        <w:spacing w:before="5"/>
        <w:rPr>
          <w:rFonts w:hint="eastAsia" w:ascii="宋体" w:hAnsi="宋体" w:eastAsia="宋体" w:cs="宋体"/>
          <w:b/>
          <w:sz w:val="52"/>
          <w:szCs w:val="22"/>
        </w:rPr>
      </w:pPr>
    </w:p>
    <w:p>
      <w:pPr>
        <w:spacing w:before="0" w:line="552" w:lineRule="auto"/>
        <w:ind w:left="4460" w:right="3978" w:firstLine="0"/>
        <w:jc w:val="center"/>
        <w:outlineLvl w:val="0"/>
        <w:rPr>
          <w:rFonts w:hint="eastAsia" w:ascii="宋体" w:hAnsi="宋体" w:eastAsia="宋体" w:cs="宋体"/>
          <w:b/>
          <w:sz w:val="36"/>
          <w:szCs w:val="18"/>
        </w:rPr>
      </w:pPr>
      <w:bookmarkStart w:id="3" w:name="_Toc12210"/>
      <w:bookmarkStart w:id="4" w:name="_Toc20644"/>
      <w:bookmarkStart w:id="5" w:name="_Toc27927"/>
      <w:r>
        <w:rPr>
          <w:rFonts w:hint="eastAsia" w:ascii="宋体" w:hAnsi="宋体" w:eastAsia="宋体" w:cs="宋体"/>
          <w:b/>
          <w:sz w:val="36"/>
          <w:szCs w:val="18"/>
        </w:rPr>
        <w:t>招标文件</w:t>
      </w:r>
    </w:p>
    <w:p>
      <w:pPr>
        <w:spacing w:before="0" w:line="552" w:lineRule="auto"/>
        <w:ind w:left="4460" w:right="3978" w:firstLine="0"/>
        <w:jc w:val="center"/>
        <w:outlineLvl w:val="0"/>
        <w:rPr>
          <w:rFonts w:hint="eastAsia" w:ascii="宋体" w:hAnsi="宋体" w:eastAsia="宋体" w:cs="宋体"/>
          <w:b/>
          <w:sz w:val="36"/>
          <w:szCs w:val="18"/>
        </w:rPr>
      </w:pPr>
      <w:r>
        <w:rPr>
          <w:rFonts w:hint="eastAsia" w:ascii="宋体" w:hAnsi="宋体" w:eastAsia="宋体" w:cs="宋体"/>
          <w:b/>
          <w:sz w:val="36"/>
          <w:szCs w:val="18"/>
        </w:rPr>
        <w:t>第一册</w:t>
      </w:r>
      <w:bookmarkEnd w:id="3"/>
      <w:bookmarkEnd w:id="4"/>
      <w:bookmarkEnd w:id="5"/>
    </w:p>
    <w:p>
      <w:pPr>
        <w:pStyle w:val="3"/>
        <w:rPr>
          <w:rFonts w:hint="eastAsia" w:ascii="宋体" w:hAnsi="宋体" w:eastAsia="宋体" w:cs="宋体"/>
          <w:b/>
          <w:sz w:val="48"/>
        </w:rPr>
      </w:pPr>
    </w:p>
    <w:p>
      <w:pPr>
        <w:pStyle w:val="3"/>
        <w:rPr>
          <w:rFonts w:hint="eastAsia" w:ascii="宋体" w:hAnsi="宋体" w:eastAsia="宋体" w:cs="宋体"/>
          <w:b/>
          <w:sz w:val="48"/>
        </w:rPr>
      </w:pPr>
    </w:p>
    <w:p>
      <w:pPr>
        <w:pStyle w:val="3"/>
        <w:spacing w:before="7"/>
        <w:rPr>
          <w:rFonts w:hint="eastAsia" w:ascii="宋体" w:hAnsi="宋体" w:eastAsia="宋体" w:cs="宋体"/>
          <w:b/>
          <w:sz w:val="70"/>
        </w:rPr>
      </w:pPr>
    </w:p>
    <w:p>
      <w:pPr>
        <w:rPr>
          <w:rFonts w:hint="eastAsia" w:ascii="宋体" w:hAnsi="宋体" w:eastAsia="宋体" w:cs="宋体"/>
          <w:b/>
          <w:sz w:val="70"/>
        </w:rPr>
      </w:pPr>
    </w:p>
    <w:p>
      <w:pPr>
        <w:pStyle w:val="2"/>
        <w:rPr>
          <w:rFonts w:hint="eastAsia"/>
        </w:rPr>
      </w:pPr>
    </w:p>
    <w:p>
      <w:pPr>
        <w:tabs>
          <w:tab w:val="left" w:pos="2408"/>
          <w:tab w:val="left" w:pos="3162"/>
        </w:tabs>
        <w:spacing w:before="1"/>
        <w:ind w:left="1657" w:right="0" w:firstLine="0"/>
        <w:jc w:val="left"/>
        <w:outlineLvl w:val="0"/>
        <w:rPr>
          <w:rFonts w:hint="eastAsia" w:ascii="宋体" w:hAnsi="宋体" w:eastAsia="宋体" w:cs="宋体"/>
          <w:b/>
          <w:sz w:val="28"/>
          <w:szCs w:val="21"/>
          <w:u w:val="single"/>
          <w:lang w:val="en-US" w:eastAsia="zh-CN"/>
        </w:rPr>
      </w:pPr>
      <w:bookmarkStart w:id="6" w:name="_Toc16912"/>
      <w:bookmarkStart w:id="7" w:name="_Toc17885"/>
      <w:bookmarkStart w:id="8" w:name="_Toc25423"/>
      <w:r>
        <w:rPr>
          <w:rFonts w:hint="eastAsia" w:ascii="宋体" w:hAnsi="宋体" w:eastAsia="宋体" w:cs="宋体"/>
          <w:b/>
          <w:sz w:val="28"/>
          <w:szCs w:val="21"/>
        </w:rPr>
        <w:t>采</w:t>
      </w:r>
      <w:r>
        <w:rPr>
          <w:rFonts w:hint="eastAsia" w:ascii="宋体" w:hAnsi="宋体" w:eastAsia="宋体" w:cs="宋体"/>
          <w:b/>
          <w:sz w:val="28"/>
          <w:szCs w:val="21"/>
          <w:lang w:val="en-US" w:eastAsia="zh-CN"/>
        </w:rPr>
        <w:t xml:space="preserve">   </w:t>
      </w:r>
      <w:r>
        <w:rPr>
          <w:rFonts w:hint="eastAsia" w:ascii="宋体" w:hAnsi="宋体" w:eastAsia="宋体" w:cs="宋体"/>
          <w:b/>
          <w:sz w:val="28"/>
          <w:szCs w:val="21"/>
        </w:rPr>
        <w:t>购</w:t>
      </w:r>
      <w:r>
        <w:rPr>
          <w:rFonts w:hint="eastAsia" w:ascii="宋体" w:hAnsi="宋体" w:eastAsia="宋体" w:cs="宋体"/>
          <w:b/>
          <w:sz w:val="28"/>
          <w:szCs w:val="21"/>
          <w:lang w:val="en-US" w:eastAsia="zh-CN"/>
        </w:rPr>
        <w:t xml:space="preserve">   </w:t>
      </w:r>
      <w:r>
        <w:rPr>
          <w:rFonts w:hint="eastAsia" w:ascii="宋体" w:hAnsi="宋体" w:eastAsia="宋体" w:cs="宋体"/>
          <w:b/>
          <w:sz w:val="28"/>
          <w:szCs w:val="21"/>
        </w:rPr>
        <w:t>人：</w:t>
      </w:r>
      <w:r>
        <w:rPr>
          <w:rFonts w:hint="eastAsia" w:ascii="宋体" w:hAnsi="宋体" w:eastAsia="宋体" w:cs="宋体"/>
          <w:b/>
          <w:sz w:val="28"/>
          <w:szCs w:val="21"/>
          <w:u w:val="single"/>
          <w:lang w:val="en-US" w:eastAsia="zh-CN"/>
        </w:rPr>
        <w:t>喀什综合保税区管理委员会</w:t>
      </w:r>
      <w:bookmarkEnd w:id="6"/>
      <w:bookmarkEnd w:id="7"/>
      <w:bookmarkEnd w:id="8"/>
    </w:p>
    <w:p>
      <w:pPr>
        <w:pStyle w:val="3"/>
        <w:spacing w:before="2"/>
        <w:rPr>
          <w:rFonts w:hint="eastAsia" w:ascii="宋体" w:hAnsi="宋体" w:eastAsia="宋体" w:cs="宋体"/>
          <w:b/>
          <w:sz w:val="13"/>
          <w:szCs w:val="22"/>
          <w:u w:val="single"/>
        </w:rPr>
      </w:pPr>
    </w:p>
    <w:p>
      <w:pPr>
        <w:tabs>
          <w:tab w:val="left" w:pos="2408"/>
          <w:tab w:val="left" w:pos="3162"/>
        </w:tabs>
        <w:spacing w:before="1"/>
        <w:ind w:left="1657" w:right="0" w:firstLine="0"/>
        <w:jc w:val="left"/>
        <w:rPr>
          <w:rFonts w:hint="eastAsia" w:ascii="宋体" w:hAnsi="宋体" w:eastAsia="宋体" w:cs="宋体"/>
          <w:b/>
          <w:sz w:val="28"/>
          <w:szCs w:val="21"/>
        </w:rPr>
      </w:pPr>
      <w:r>
        <w:rPr>
          <w:rFonts w:hint="eastAsia" w:ascii="宋体" w:hAnsi="宋体" w:eastAsia="宋体" w:cs="宋体"/>
          <w:b/>
          <w:sz w:val="28"/>
          <w:szCs w:val="21"/>
        </w:rPr>
        <w:t>采购代理机构：</w:t>
      </w:r>
      <w:r>
        <w:rPr>
          <w:rFonts w:hint="eastAsia" w:ascii="宋体" w:hAnsi="宋体" w:eastAsia="宋体" w:cs="宋体"/>
          <w:b/>
          <w:sz w:val="28"/>
          <w:szCs w:val="21"/>
          <w:u w:val="single"/>
        </w:rPr>
        <w:t>智博国际工程咨询有限公司</w:t>
      </w:r>
    </w:p>
    <w:p>
      <w:pPr>
        <w:pStyle w:val="3"/>
        <w:spacing w:before="9"/>
        <w:rPr>
          <w:rFonts w:hint="eastAsia" w:ascii="宋体" w:hAnsi="宋体" w:eastAsia="宋体" w:cs="宋体"/>
          <w:b/>
          <w:sz w:val="11"/>
          <w:szCs w:val="22"/>
        </w:rPr>
      </w:pPr>
    </w:p>
    <w:p>
      <w:pPr>
        <w:tabs>
          <w:tab w:val="left" w:pos="2408"/>
          <w:tab w:val="left" w:pos="3162"/>
        </w:tabs>
        <w:spacing w:before="58" w:line="324" w:lineRule="auto"/>
        <w:ind w:left="3625" w:leftChars="753" w:right="1628" w:hanging="1968" w:hangingChars="700"/>
        <w:jc w:val="left"/>
        <w:outlineLvl w:val="0"/>
        <w:rPr>
          <w:rFonts w:hint="eastAsia" w:ascii="宋体" w:hAnsi="宋体" w:eastAsia="宋体" w:cs="宋体"/>
          <w:b/>
          <w:sz w:val="28"/>
          <w:szCs w:val="21"/>
        </w:rPr>
      </w:pPr>
      <w:bookmarkStart w:id="9" w:name="_Toc536"/>
      <w:bookmarkStart w:id="10" w:name="_Toc7799"/>
      <w:bookmarkStart w:id="11" w:name="_Toc3044"/>
      <w:r>
        <w:rPr>
          <w:rFonts w:hint="eastAsia" w:ascii="宋体" w:hAnsi="宋体" w:eastAsia="宋体" w:cs="宋体"/>
          <w:b/>
          <w:sz w:val="28"/>
          <w:szCs w:val="21"/>
        </w:rPr>
        <w:t>代理机构地址：</w:t>
      </w:r>
      <w:r>
        <w:rPr>
          <w:rFonts w:hint="eastAsia" w:ascii="宋体" w:hAnsi="宋体" w:eastAsia="宋体" w:cs="宋体"/>
          <w:b/>
          <w:sz w:val="28"/>
          <w:szCs w:val="21"/>
          <w:u w:val="single"/>
        </w:rPr>
        <w:t>喀什市东湖街道多来提巴格社区青年南路192号</w:t>
      </w:r>
      <w:bookmarkEnd w:id="9"/>
      <w:bookmarkEnd w:id="10"/>
      <w:bookmarkEnd w:id="11"/>
    </w:p>
    <w:p>
      <w:pPr>
        <w:tabs>
          <w:tab w:val="left" w:pos="2408"/>
          <w:tab w:val="left" w:pos="3162"/>
        </w:tabs>
        <w:spacing w:before="58" w:line="324" w:lineRule="auto"/>
        <w:ind w:left="1657" w:right="1628" w:firstLine="0"/>
        <w:jc w:val="left"/>
        <w:rPr>
          <w:rFonts w:hint="eastAsia" w:ascii="宋体" w:hAnsi="宋体" w:eastAsia="宋体" w:cs="宋体"/>
          <w:b/>
          <w:sz w:val="28"/>
          <w:szCs w:val="21"/>
          <w:u w:val="single"/>
          <w:lang w:val="en-US" w:eastAsia="zh-CN"/>
        </w:rPr>
      </w:pPr>
      <w:r>
        <w:rPr>
          <w:rFonts w:hint="eastAsia" w:ascii="宋体" w:hAnsi="宋体" w:eastAsia="宋体" w:cs="宋体"/>
          <w:b/>
          <w:sz w:val="28"/>
          <w:szCs w:val="21"/>
        </w:rPr>
        <w:t>联</w:t>
      </w:r>
      <w:r>
        <w:rPr>
          <w:rFonts w:hint="eastAsia" w:ascii="宋体" w:hAnsi="宋体" w:eastAsia="宋体" w:cs="宋体"/>
          <w:b/>
          <w:sz w:val="28"/>
          <w:szCs w:val="21"/>
          <w:lang w:val="en-US" w:eastAsia="zh-CN"/>
        </w:rPr>
        <w:t xml:space="preserve">   </w:t>
      </w:r>
      <w:r>
        <w:rPr>
          <w:rFonts w:hint="eastAsia" w:ascii="宋体" w:hAnsi="宋体" w:eastAsia="宋体" w:cs="宋体"/>
          <w:b/>
          <w:sz w:val="28"/>
          <w:szCs w:val="21"/>
        </w:rPr>
        <w:t>系</w:t>
      </w:r>
      <w:r>
        <w:rPr>
          <w:rFonts w:hint="eastAsia" w:ascii="宋体" w:hAnsi="宋体" w:eastAsia="宋体" w:cs="宋体"/>
          <w:b/>
          <w:sz w:val="28"/>
          <w:szCs w:val="21"/>
          <w:lang w:val="en-US" w:eastAsia="zh-CN"/>
        </w:rPr>
        <w:t xml:space="preserve">   </w:t>
      </w:r>
      <w:r>
        <w:rPr>
          <w:rFonts w:hint="eastAsia" w:ascii="宋体" w:hAnsi="宋体" w:eastAsia="宋体" w:cs="宋体"/>
          <w:b/>
          <w:sz w:val="28"/>
          <w:szCs w:val="21"/>
        </w:rPr>
        <w:t>人：</w:t>
      </w:r>
      <w:r>
        <w:rPr>
          <w:rFonts w:hint="eastAsia" w:ascii="宋体" w:hAnsi="宋体" w:eastAsia="宋体" w:cs="宋体"/>
          <w:b/>
          <w:sz w:val="28"/>
          <w:szCs w:val="21"/>
          <w:u w:val="single"/>
          <w:lang w:val="en-US" w:eastAsia="zh-CN"/>
        </w:rPr>
        <w:t>刘静</w:t>
      </w:r>
    </w:p>
    <w:p>
      <w:pPr>
        <w:tabs>
          <w:tab w:val="left" w:pos="2259"/>
        </w:tabs>
        <w:spacing w:before="107"/>
        <w:ind w:left="1657" w:right="0" w:firstLine="0"/>
        <w:jc w:val="left"/>
        <w:rPr>
          <w:rFonts w:hint="eastAsia" w:ascii="宋体" w:hAnsi="宋体" w:eastAsia="宋体" w:cs="宋体"/>
          <w:b/>
          <w:sz w:val="28"/>
          <w:szCs w:val="21"/>
          <w:lang w:val="en-US" w:eastAsia="zh-CN"/>
        </w:rPr>
      </w:pPr>
      <w:r>
        <w:rPr>
          <w:rFonts w:hint="eastAsia" w:ascii="宋体" w:hAnsi="宋体" w:eastAsia="宋体" w:cs="宋体"/>
          <w:b/>
          <w:sz w:val="28"/>
          <w:szCs w:val="21"/>
        </w:rPr>
        <w:t>联</w:t>
      </w:r>
      <w:r>
        <w:rPr>
          <w:rFonts w:hint="eastAsia" w:ascii="宋体" w:hAnsi="宋体" w:eastAsia="宋体" w:cs="宋体"/>
          <w:b/>
          <w:sz w:val="28"/>
          <w:szCs w:val="21"/>
          <w:lang w:val="en-US" w:eastAsia="zh-CN"/>
        </w:rPr>
        <w:t xml:space="preserve">  </w:t>
      </w:r>
      <w:r>
        <w:rPr>
          <w:rFonts w:hint="eastAsia" w:ascii="宋体" w:hAnsi="宋体" w:eastAsia="宋体" w:cs="宋体"/>
          <w:b/>
          <w:sz w:val="28"/>
          <w:szCs w:val="21"/>
        </w:rPr>
        <w:t>系</w:t>
      </w:r>
      <w:r>
        <w:rPr>
          <w:rFonts w:hint="eastAsia" w:ascii="宋体" w:hAnsi="宋体" w:eastAsia="宋体" w:cs="宋体"/>
          <w:b/>
          <w:sz w:val="28"/>
          <w:szCs w:val="21"/>
          <w:lang w:val="en-US" w:eastAsia="zh-CN"/>
        </w:rPr>
        <w:t xml:space="preserve"> </w:t>
      </w:r>
      <w:r>
        <w:rPr>
          <w:rFonts w:hint="eastAsia" w:ascii="宋体" w:hAnsi="宋体" w:eastAsia="宋体" w:cs="宋体"/>
          <w:b/>
          <w:sz w:val="28"/>
          <w:szCs w:val="21"/>
        </w:rPr>
        <w:t>电</w:t>
      </w:r>
      <w:r>
        <w:rPr>
          <w:rFonts w:hint="eastAsia" w:ascii="宋体" w:hAnsi="宋体" w:eastAsia="宋体" w:cs="宋体"/>
          <w:b/>
          <w:sz w:val="28"/>
          <w:szCs w:val="21"/>
          <w:lang w:val="en-US" w:eastAsia="zh-CN"/>
        </w:rPr>
        <w:t xml:space="preserve"> </w:t>
      </w:r>
      <w:r>
        <w:rPr>
          <w:rFonts w:hint="eastAsia" w:ascii="宋体" w:hAnsi="宋体" w:eastAsia="宋体" w:cs="宋体"/>
          <w:b/>
          <w:sz w:val="28"/>
          <w:szCs w:val="21"/>
        </w:rPr>
        <w:t>话：</w:t>
      </w:r>
      <w:r>
        <w:rPr>
          <w:rFonts w:hint="eastAsia" w:ascii="宋体" w:hAnsi="宋体" w:eastAsia="宋体" w:cs="宋体"/>
          <w:b/>
          <w:sz w:val="28"/>
          <w:szCs w:val="21"/>
          <w:u w:val="single"/>
        </w:rPr>
        <w:t>1</w:t>
      </w:r>
      <w:r>
        <w:rPr>
          <w:rFonts w:hint="eastAsia" w:ascii="宋体" w:hAnsi="宋体" w:eastAsia="宋体" w:cs="宋体"/>
          <w:b/>
          <w:sz w:val="28"/>
          <w:szCs w:val="21"/>
          <w:u w:val="single"/>
          <w:lang w:val="en-US" w:eastAsia="zh-CN"/>
        </w:rPr>
        <w:t>8197668299</w:t>
      </w:r>
    </w:p>
    <w:p>
      <w:pPr>
        <w:pStyle w:val="3"/>
        <w:rPr>
          <w:rFonts w:hint="eastAsia" w:ascii="宋体" w:hAnsi="宋体" w:eastAsia="宋体" w:cs="宋体"/>
          <w:b/>
          <w:sz w:val="18"/>
          <w:szCs w:val="22"/>
        </w:rPr>
      </w:pPr>
    </w:p>
    <w:p>
      <w:pPr>
        <w:pStyle w:val="3"/>
        <w:rPr>
          <w:rFonts w:hint="eastAsia" w:ascii="宋体" w:hAnsi="宋体" w:eastAsia="宋体" w:cs="宋体"/>
          <w:b/>
          <w:sz w:val="18"/>
          <w:szCs w:val="22"/>
        </w:rPr>
      </w:pPr>
    </w:p>
    <w:p>
      <w:pPr>
        <w:pStyle w:val="3"/>
        <w:spacing w:before="7"/>
        <w:rPr>
          <w:rFonts w:hint="eastAsia" w:ascii="宋体" w:hAnsi="宋体" w:eastAsia="宋体" w:cs="宋体"/>
          <w:b/>
          <w:sz w:val="24"/>
          <w:szCs w:val="22"/>
        </w:rPr>
      </w:pPr>
    </w:p>
    <w:p>
      <w:pPr>
        <w:tabs>
          <w:tab w:val="left" w:pos="602"/>
        </w:tabs>
        <w:spacing w:before="58"/>
        <w:ind w:left="0" w:right="57" w:firstLine="3114" w:firstLineChars="1100"/>
        <w:jc w:val="both"/>
        <w:rPr>
          <w:rFonts w:hint="eastAsia" w:ascii="宋体" w:hAnsi="宋体" w:eastAsia="宋体" w:cs="宋体"/>
          <w:sz w:val="28"/>
          <w:szCs w:val="21"/>
        </w:rPr>
        <w:sectPr>
          <w:type w:val="continuous"/>
          <w:pgSz w:w="11910" w:h="16840"/>
          <w:pgMar w:top="1580" w:right="800" w:bottom="280" w:left="740" w:header="720" w:footer="720" w:gutter="0"/>
          <w:cols w:space="720" w:num="1"/>
        </w:sectPr>
      </w:pPr>
      <w:r>
        <w:rPr>
          <w:rFonts w:hint="eastAsia" w:ascii="宋体" w:hAnsi="宋体" w:eastAsia="宋体" w:cs="宋体"/>
          <w:b/>
          <w:spacing w:val="1"/>
          <w:sz w:val="28"/>
          <w:szCs w:val="21"/>
        </w:rPr>
        <w:t xml:space="preserve"> </w:t>
      </w:r>
      <w:r>
        <w:rPr>
          <w:rFonts w:hint="eastAsia" w:ascii="宋体" w:hAnsi="宋体" w:eastAsia="宋体" w:cs="宋体"/>
          <w:b/>
          <w:sz w:val="28"/>
          <w:szCs w:val="21"/>
        </w:rPr>
        <w:t>日</w:t>
      </w:r>
      <w:r>
        <w:rPr>
          <w:rFonts w:hint="eastAsia" w:ascii="宋体" w:hAnsi="宋体" w:eastAsia="宋体" w:cs="宋体"/>
          <w:b/>
          <w:spacing w:val="-3"/>
          <w:sz w:val="28"/>
          <w:szCs w:val="21"/>
        </w:rPr>
        <w:t xml:space="preserve"> </w:t>
      </w:r>
      <w:r>
        <w:rPr>
          <w:rFonts w:hint="eastAsia" w:ascii="宋体" w:hAnsi="宋体" w:eastAsia="宋体" w:cs="宋体"/>
          <w:b/>
          <w:sz w:val="28"/>
          <w:szCs w:val="21"/>
        </w:rPr>
        <w:t>期：</w:t>
      </w:r>
      <w:r>
        <w:rPr>
          <w:rFonts w:hint="eastAsia" w:ascii="宋体" w:hAnsi="宋体" w:eastAsia="宋体" w:cs="宋体"/>
          <w:b/>
          <w:sz w:val="28"/>
          <w:szCs w:val="21"/>
          <w:u w:val="single"/>
        </w:rPr>
        <w:t>202</w:t>
      </w:r>
      <w:r>
        <w:rPr>
          <w:rFonts w:hint="eastAsia" w:ascii="宋体" w:hAnsi="宋体" w:eastAsia="宋体" w:cs="宋体"/>
          <w:b/>
          <w:sz w:val="28"/>
          <w:szCs w:val="21"/>
          <w:u w:val="single"/>
          <w:lang w:val="en-US" w:eastAsia="zh-CN"/>
        </w:rPr>
        <w:t>2</w:t>
      </w:r>
      <w:r>
        <w:rPr>
          <w:rFonts w:hint="eastAsia" w:ascii="宋体" w:hAnsi="宋体" w:eastAsia="宋体" w:cs="宋体"/>
          <w:b/>
          <w:sz w:val="28"/>
          <w:szCs w:val="21"/>
          <w:u w:val="single"/>
        </w:rPr>
        <w:t>年</w:t>
      </w:r>
      <w:r>
        <w:rPr>
          <w:rFonts w:hint="eastAsia" w:ascii="宋体" w:hAnsi="宋体" w:eastAsia="宋体" w:cs="宋体"/>
          <w:b/>
          <w:spacing w:val="-75"/>
          <w:sz w:val="28"/>
          <w:szCs w:val="21"/>
          <w:u w:val="single"/>
        </w:rPr>
        <w:t xml:space="preserve"> </w:t>
      </w:r>
      <w:r>
        <w:rPr>
          <w:rFonts w:hint="eastAsia" w:ascii="宋体" w:hAnsi="宋体" w:eastAsia="宋体" w:cs="宋体"/>
          <w:b/>
          <w:sz w:val="28"/>
          <w:szCs w:val="21"/>
          <w:u w:val="single"/>
          <w:lang w:val="en-US" w:eastAsia="zh-CN"/>
        </w:rPr>
        <w:t>09月</w:t>
      </w:r>
    </w:p>
    <w:sdt>
      <w:sdtPr>
        <w:rPr>
          <w:rFonts w:ascii="宋体" w:hAnsi="宋体" w:eastAsia="宋体" w:cs="仿宋"/>
          <w:sz w:val="21"/>
          <w:szCs w:val="22"/>
          <w:lang w:val="zh-CN" w:eastAsia="zh-CN" w:bidi="zh-CN"/>
        </w:rPr>
        <w:id w:val="147459223"/>
        <w15:color w:val="DBDBDB"/>
        <w:docPartObj>
          <w:docPartGallery w:val="Table of Contents"/>
          <w:docPartUnique/>
        </w:docPartObj>
      </w:sdtPr>
      <w:sdtEndPr>
        <w:rPr>
          <w:rFonts w:ascii="仿宋" w:hAnsi="仿宋" w:eastAsia="仿宋" w:cs="仿宋"/>
          <w:b/>
          <w:sz w:val="24"/>
          <w:szCs w:val="24"/>
          <w:lang w:val="zh-CN" w:eastAsia="zh-CN" w:bidi="zh-CN"/>
        </w:rPr>
      </w:sdtEndPr>
      <w:sdtContent>
        <w:p>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pPr>
            <w:pStyle w:val="34"/>
            <w:tabs>
              <w:tab w:val="right" w:leader="dot" w:pos="10370"/>
            </w:tabs>
            <w:rPr>
              <w:b/>
            </w:rPr>
          </w:pPr>
          <w:r>
            <w:fldChar w:fldCharType="begin"/>
          </w:r>
          <w:r>
            <w:instrText xml:space="preserve">TOC \o "1-2" \h \u </w:instrText>
          </w:r>
          <w:r>
            <w:fldChar w:fldCharType="separate"/>
          </w:r>
        </w:p>
        <w:p>
          <w:pPr>
            <w:pStyle w:val="35"/>
            <w:tabs>
              <w:tab w:val="right" w:pos="2400"/>
              <w:tab w:val="right" w:leader="dot" w:pos="10370"/>
            </w:tabs>
            <w:rPr>
              <w:b/>
              <w:bCs/>
            </w:rPr>
          </w:pPr>
          <w:r>
            <w:rPr>
              <w:b/>
              <w:bCs/>
            </w:rPr>
            <w:fldChar w:fldCharType="begin"/>
          </w:r>
          <w:r>
            <w:rPr>
              <w:b/>
              <w:bCs/>
            </w:rPr>
            <w:instrText xml:space="preserve"> HYPERLINK \l _Toc23125 </w:instrText>
          </w:r>
          <w:r>
            <w:rPr>
              <w:b/>
              <w:bCs/>
            </w:rPr>
            <w:fldChar w:fldCharType="separate"/>
          </w:r>
          <w:r>
            <w:rPr>
              <w:rFonts w:hint="eastAsia" w:asciiTheme="minorEastAsia" w:hAnsiTheme="minorEastAsia" w:eastAsiaTheme="minorEastAsia" w:cstheme="minorEastAsia"/>
              <w:b/>
              <w:bCs/>
            </w:rPr>
            <w:t>第1章</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投标人须知</w:t>
          </w:r>
          <w:r>
            <w:rPr>
              <w:b/>
              <w:bCs/>
            </w:rPr>
            <w:tab/>
          </w:r>
          <w:r>
            <w:rPr>
              <w:b/>
              <w:bCs/>
            </w:rPr>
            <w:fldChar w:fldCharType="begin"/>
          </w:r>
          <w:r>
            <w:rPr>
              <w:b/>
              <w:bCs/>
            </w:rPr>
            <w:instrText xml:space="preserve"> PAGEREF _Toc23125 \h </w:instrText>
          </w:r>
          <w:r>
            <w:rPr>
              <w:b/>
              <w:bCs/>
            </w:rPr>
            <w:fldChar w:fldCharType="separate"/>
          </w:r>
          <w:r>
            <w:rPr>
              <w:b/>
              <w:bCs/>
            </w:rPr>
            <w:t>3</w:t>
          </w:r>
          <w:r>
            <w:rPr>
              <w:b/>
              <w:bCs/>
            </w:rPr>
            <w:fldChar w:fldCharType="end"/>
          </w:r>
          <w:r>
            <w:rPr>
              <w:b/>
              <w:bCs/>
            </w:rPr>
            <w:fldChar w:fldCharType="end"/>
          </w:r>
        </w:p>
        <w:p>
          <w:pPr>
            <w:pStyle w:val="35"/>
            <w:tabs>
              <w:tab w:val="right" w:pos="2000"/>
              <w:tab w:val="right" w:leader="dot" w:pos="10370"/>
            </w:tabs>
            <w:rPr>
              <w:b/>
              <w:bCs/>
            </w:rPr>
          </w:pPr>
          <w:r>
            <w:rPr>
              <w:b/>
              <w:bCs/>
            </w:rPr>
            <w:fldChar w:fldCharType="begin"/>
          </w:r>
          <w:r>
            <w:rPr>
              <w:b/>
              <w:bCs/>
            </w:rPr>
            <w:instrText xml:space="preserve"> HYPERLINK \l _Toc18701 </w:instrText>
          </w:r>
          <w:r>
            <w:rPr>
              <w:b/>
              <w:bCs/>
            </w:rPr>
            <w:fldChar w:fldCharType="separate"/>
          </w:r>
          <w:r>
            <w:rPr>
              <w:rFonts w:hint="eastAsia" w:asciiTheme="minorEastAsia" w:hAnsiTheme="minorEastAsia" w:eastAsiaTheme="minorEastAsia" w:cstheme="minorEastAsia"/>
              <w:b/>
              <w:bCs/>
            </w:rPr>
            <w:t>一</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总 则</w:t>
          </w:r>
          <w:r>
            <w:rPr>
              <w:b/>
              <w:bCs/>
            </w:rPr>
            <w:tab/>
          </w:r>
          <w:r>
            <w:rPr>
              <w:b/>
              <w:bCs/>
            </w:rPr>
            <w:fldChar w:fldCharType="begin"/>
          </w:r>
          <w:r>
            <w:rPr>
              <w:b/>
              <w:bCs/>
            </w:rPr>
            <w:instrText xml:space="preserve"> PAGEREF _Toc18701 \h </w:instrText>
          </w:r>
          <w:r>
            <w:rPr>
              <w:b/>
              <w:bCs/>
            </w:rPr>
            <w:fldChar w:fldCharType="separate"/>
          </w:r>
          <w:r>
            <w:rPr>
              <w:b/>
              <w:bCs/>
            </w:rPr>
            <w:t>3</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_Toc5446 </w:instrText>
          </w:r>
          <w:r>
            <w:rPr>
              <w:b/>
              <w:bCs/>
            </w:rPr>
            <w:fldChar w:fldCharType="separate"/>
          </w:r>
          <w:r>
            <w:rPr>
              <w:rFonts w:hint="default" w:ascii="仿宋" w:hAnsi="仿宋" w:eastAsia="仿宋" w:cs="仿宋"/>
              <w:b/>
              <w:bCs/>
              <w:spacing w:val="-3"/>
              <w:w w:val="99"/>
              <w:szCs w:val="22"/>
              <w:lang w:val="zh-CN" w:eastAsia="zh-CN" w:bidi="zh-CN"/>
            </w:rPr>
            <w:t xml:space="preserve">1. </w:t>
          </w:r>
          <w:r>
            <w:rPr>
              <w:rFonts w:hint="eastAsia" w:asciiTheme="minorEastAsia" w:hAnsiTheme="minorEastAsia" w:eastAsiaTheme="minorEastAsia" w:cstheme="minorEastAsia"/>
              <w:b/>
              <w:bCs/>
            </w:rPr>
            <w:t>采购人、采购代理机构及投标人</w:t>
          </w:r>
          <w:r>
            <w:rPr>
              <w:b/>
              <w:bCs/>
            </w:rPr>
            <w:tab/>
          </w:r>
          <w:r>
            <w:rPr>
              <w:b/>
              <w:bCs/>
            </w:rPr>
            <w:fldChar w:fldCharType="begin"/>
          </w:r>
          <w:r>
            <w:rPr>
              <w:b/>
              <w:bCs/>
            </w:rPr>
            <w:instrText xml:space="preserve"> PAGEREF _Toc5446 \h </w:instrText>
          </w:r>
          <w:r>
            <w:rPr>
              <w:b/>
              <w:bCs/>
            </w:rPr>
            <w:fldChar w:fldCharType="separate"/>
          </w:r>
          <w:r>
            <w:rPr>
              <w:b/>
              <w:bCs/>
            </w:rPr>
            <w:t>3</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_Toc11115 </w:instrText>
          </w:r>
          <w:r>
            <w:rPr>
              <w:b/>
              <w:bCs/>
            </w:rPr>
            <w:fldChar w:fldCharType="separate"/>
          </w:r>
          <w:r>
            <w:rPr>
              <w:rFonts w:hint="default" w:ascii="仿宋" w:hAnsi="仿宋" w:eastAsia="仿宋" w:cs="仿宋"/>
              <w:b/>
              <w:bCs/>
              <w:spacing w:val="-3"/>
              <w:w w:val="99"/>
              <w:szCs w:val="22"/>
              <w:lang w:val="zh-CN" w:eastAsia="zh-CN" w:bidi="zh-CN"/>
            </w:rPr>
            <w:t xml:space="preserve">2. </w:t>
          </w:r>
          <w:r>
            <w:rPr>
              <w:rFonts w:hint="eastAsia" w:asciiTheme="minorEastAsia" w:hAnsiTheme="minorEastAsia" w:eastAsiaTheme="minorEastAsia" w:cstheme="minorEastAsia"/>
              <w:b/>
              <w:bCs/>
            </w:rPr>
            <w:t>资金来源</w:t>
          </w:r>
          <w:r>
            <w:rPr>
              <w:b/>
              <w:bCs/>
            </w:rPr>
            <w:tab/>
          </w:r>
          <w:r>
            <w:rPr>
              <w:b/>
              <w:bCs/>
            </w:rPr>
            <w:fldChar w:fldCharType="begin"/>
          </w:r>
          <w:r>
            <w:rPr>
              <w:b/>
              <w:bCs/>
            </w:rPr>
            <w:instrText xml:space="preserve"> PAGEREF _Toc11115 \h </w:instrText>
          </w:r>
          <w:r>
            <w:rPr>
              <w:b/>
              <w:bCs/>
            </w:rPr>
            <w:fldChar w:fldCharType="separate"/>
          </w:r>
          <w:r>
            <w:rPr>
              <w:b/>
              <w:bCs/>
            </w:rPr>
            <w:t>4</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_Toc27839 </w:instrText>
          </w:r>
          <w:r>
            <w:rPr>
              <w:b/>
              <w:bCs/>
            </w:rPr>
            <w:fldChar w:fldCharType="separate"/>
          </w:r>
          <w:r>
            <w:rPr>
              <w:rFonts w:hint="default" w:ascii="仿宋" w:hAnsi="仿宋" w:eastAsia="仿宋" w:cs="仿宋"/>
              <w:b/>
              <w:bCs/>
              <w:spacing w:val="-3"/>
              <w:w w:val="99"/>
              <w:szCs w:val="22"/>
              <w:lang w:val="zh-CN" w:eastAsia="zh-CN" w:bidi="zh-CN"/>
            </w:rPr>
            <w:t xml:space="preserve">3. </w:t>
          </w:r>
          <w:r>
            <w:rPr>
              <w:rFonts w:hint="eastAsia" w:asciiTheme="minorEastAsia" w:hAnsiTheme="minorEastAsia" w:eastAsiaTheme="minorEastAsia" w:cstheme="minorEastAsia"/>
              <w:b/>
              <w:bCs/>
            </w:rPr>
            <w:t>投标费用</w:t>
          </w:r>
          <w:r>
            <w:rPr>
              <w:b/>
              <w:bCs/>
            </w:rPr>
            <w:tab/>
          </w:r>
          <w:r>
            <w:rPr>
              <w:b/>
              <w:bCs/>
            </w:rPr>
            <w:fldChar w:fldCharType="begin"/>
          </w:r>
          <w:r>
            <w:rPr>
              <w:b/>
              <w:bCs/>
            </w:rPr>
            <w:instrText xml:space="preserve"> PAGEREF _Toc27839 \h </w:instrText>
          </w:r>
          <w:r>
            <w:rPr>
              <w:b/>
              <w:bCs/>
            </w:rPr>
            <w:fldChar w:fldCharType="separate"/>
          </w:r>
          <w:r>
            <w:rPr>
              <w:b/>
              <w:bCs/>
            </w:rPr>
            <w:t>4</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_Toc235 </w:instrText>
          </w:r>
          <w:r>
            <w:rPr>
              <w:b/>
              <w:bCs/>
            </w:rPr>
            <w:fldChar w:fldCharType="separate"/>
          </w:r>
          <w:r>
            <w:rPr>
              <w:rFonts w:hint="default" w:ascii="仿宋" w:hAnsi="仿宋" w:eastAsia="仿宋" w:cs="仿宋"/>
              <w:b/>
              <w:bCs/>
              <w:spacing w:val="-3"/>
              <w:w w:val="99"/>
              <w:szCs w:val="22"/>
              <w:lang w:val="zh-CN" w:eastAsia="zh-CN" w:bidi="zh-CN"/>
            </w:rPr>
            <w:t xml:space="preserve">4. </w:t>
          </w:r>
          <w:r>
            <w:rPr>
              <w:rFonts w:hint="eastAsia" w:asciiTheme="minorEastAsia" w:hAnsiTheme="minorEastAsia" w:eastAsiaTheme="minorEastAsia" w:cstheme="minorEastAsia"/>
              <w:b/>
              <w:bCs/>
            </w:rPr>
            <w:t>适用法律</w:t>
          </w:r>
          <w:r>
            <w:rPr>
              <w:b/>
              <w:bCs/>
            </w:rPr>
            <w:tab/>
          </w:r>
          <w:r>
            <w:rPr>
              <w:b/>
              <w:bCs/>
            </w:rPr>
            <w:fldChar w:fldCharType="begin"/>
          </w:r>
          <w:r>
            <w:rPr>
              <w:b/>
              <w:bCs/>
            </w:rPr>
            <w:instrText xml:space="preserve"> PAGEREF _Toc235 \h </w:instrText>
          </w:r>
          <w:r>
            <w:rPr>
              <w:b/>
              <w:bCs/>
            </w:rPr>
            <w:fldChar w:fldCharType="separate"/>
          </w:r>
          <w:r>
            <w:rPr>
              <w:b/>
              <w:bCs/>
            </w:rPr>
            <w:t>4</w:t>
          </w:r>
          <w:r>
            <w:rPr>
              <w:b/>
              <w:bCs/>
            </w:rPr>
            <w:fldChar w:fldCharType="end"/>
          </w:r>
          <w:r>
            <w:rPr>
              <w:b/>
              <w:bCs/>
            </w:rPr>
            <w:fldChar w:fldCharType="end"/>
          </w:r>
        </w:p>
        <w:p>
          <w:pPr>
            <w:pStyle w:val="34"/>
            <w:tabs>
              <w:tab w:val="right" w:pos="1600"/>
              <w:tab w:val="right" w:leader="dot" w:pos="10370"/>
            </w:tabs>
            <w:ind w:firstLine="402" w:firstLineChars="200"/>
            <w:rPr>
              <w:b/>
              <w:bCs/>
            </w:rPr>
          </w:pPr>
          <w:r>
            <w:rPr>
              <w:b/>
              <w:bCs/>
            </w:rPr>
            <w:fldChar w:fldCharType="begin"/>
          </w:r>
          <w:r>
            <w:rPr>
              <w:b/>
              <w:bCs/>
            </w:rPr>
            <w:instrText xml:space="preserve"> HYPERLINK \l _Toc20892 </w:instrText>
          </w:r>
          <w:r>
            <w:rPr>
              <w:b/>
              <w:bCs/>
            </w:rPr>
            <w:fldChar w:fldCharType="separate"/>
          </w:r>
          <w:r>
            <w:rPr>
              <w:rFonts w:hint="eastAsia" w:asciiTheme="minorEastAsia" w:hAnsiTheme="minorEastAsia" w:eastAsiaTheme="minorEastAsia" w:cstheme="minorEastAsia"/>
              <w:b/>
              <w:bCs/>
            </w:rPr>
            <w:t>二</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招标文件</w:t>
          </w:r>
          <w:r>
            <w:rPr>
              <w:b/>
              <w:bCs/>
            </w:rPr>
            <w:tab/>
          </w:r>
          <w:r>
            <w:rPr>
              <w:b/>
              <w:bCs/>
            </w:rPr>
            <w:fldChar w:fldCharType="begin"/>
          </w:r>
          <w:r>
            <w:rPr>
              <w:b/>
              <w:bCs/>
            </w:rPr>
            <w:instrText xml:space="preserve"> PAGEREF _Toc20892 \h </w:instrText>
          </w:r>
          <w:r>
            <w:rPr>
              <w:b/>
              <w:bCs/>
            </w:rPr>
            <w:fldChar w:fldCharType="separate"/>
          </w:r>
          <w:r>
            <w:rPr>
              <w:b/>
              <w:bCs/>
            </w:rPr>
            <w:t>4</w:t>
          </w:r>
          <w:r>
            <w:rPr>
              <w:b/>
              <w:bCs/>
            </w:rPr>
            <w:fldChar w:fldCharType="end"/>
          </w:r>
          <w:r>
            <w:rPr>
              <w:b/>
              <w:bCs/>
            </w:rPr>
            <w:fldChar w:fldCharType="end"/>
          </w:r>
        </w:p>
        <w:p>
          <w:pPr>
            <w:pStyle w:val="34"/>
            <w:tabs>
              <w:tab w:val="right" w:pos="1600"/>
              <w:tab w:val="right" w:leader="dot" w:pos="10370"/>
            </w:tabs>
            <w:ind w:firstLine="402" w:firstLineChars="200"/>
            <w:rPr>
              <w:b/>
              <w:bCs/>
            </w:rPr>
          </w:pPr>
          <w:r>
            <w:rPr>
              <w:b/>
              <w:bCs/>
            </w:rPr>
            <w:fldChar w:fldCharType="begin"/>
          </w:r>
          <w:r>
            <w:rPr>
              <w:b/>
              <w:bCs/>
            </w:rPr>
            <w:instrText xml:space="preserve"> HYPERLINK \l _Toc18488 </w:instrText>
          </w:r>
          <w:r>
            <w:rPr>
              <w:b/>
              <w:bCs/>
            </w:rPr>
            <w:fldChar w:fldCharType="separate"/>
          </w:r>
          <w:r>
            <w:rPr>
              <w:rFonts w:hint="eastAsia" w:asciiTheme="minorEastAsia" w:hAnsiTheme="minorEastAsia" w:eastAsiaTheme="minorEastAsia" w:cstheme="minorEastAsia"/>
              <w:b/>
              <w:bCs/>
            </w:rPr>
            <w:t>三</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投标文件的编制</w:t>
          </w:r>
          <w:r>
            <w:rPr>
              <w:b/>
              <w:bCs/>
            </w:rPr>
            <w:tab/>
          </w:r>
          <w:r>
            <w:rPr>
              <w:b/>
              <w:bCs/>
            </w:rPr>
            <w:fldChar w:fldCharType="begin"/>
          </w:r>
          <w:r>
            <w:rPr>
              <w:b/>
              <w:bCs/>
            </w:rPr>
            <w:instrText xml:space="preserve"> PAGEREF _Toc18488 \h </w:instrText>
          </w:r>
          <w:r>
            <w:rPr>
              <w:b/>
              <w:bCs/>
            </w:rPr>
            <w:fldChar w:fldCharType="separate"/>
          </w:r>
          <w:r>
            <w:rPr>
              <w:b/>
              <w:bCs/>
            </w:rPr>
            <w:t>5</w:t>
          </w:r>
          <w:r>
            <w:rPr>
              <w:b/>
              <w:bCs/>
            </w:rPr>
            <w:fldChar w:fldCharType="end"/>
          </w:r>
          <w:r>
            <w:rPr>
              <w:b/>
              <w:bCs/>
            </w:rPr>
            <w:fldChar w:fldCharType="end"/>
          </w:r>
        </w:p>
        <w:p>
          <w:pPr>
            <w:pStyle w:val="34"/>
            <w:tabs>
              <w:tab w:val="right" w:pos="1600"/>
              <w:tab w:val="right" w:leader="dot" w:pos="10370"/>
            </w:tabs>
            <w:ind w:firstLine="402" w:firstLineChars="200"/>
            <w:rPr>
              <w:b/>
              <w:bCs/>
            </w:rPr>
          </w:pPr>
          <w:r>
            <w:rPr>
              <w:b/>
              <w:bCs/>
            </w:rPr>
            <w:fldChar w:fldCharType="begin"/>
          </w:r>
          <w:r>
            <w:rPr>
              <w:b/>
              <w:bCs/>
            </w:rPr>
            <w:instrText xml:space="preserve"> HYPERLINK \l _Toc6906 </w:instrText>
          </w:r>
          <w:r>
            <w:rPr>
              <w:b/>
              <w:bCs/>
            </w:rPr>
            <w:fldChar w:fldCharType="separate"/>
          </w:r>
          <w:r>
            <w:rPr>
              <w:rFonts w:hint="eastAsia" w:ascii="宋体" w:hAnsi="宋体" w:eastAsia="宋体" w:cs="宋体"/>
              <w:b/>
              <w:bCs/>
            </w:rPr>
            <w:t>四</w:t>
          </w:r>
          <w:r>
            <w:rPr>
              <w:rFonts w:hint="eastAsia" w:ascii="宋体" w:hAnsi="宋体" w:eastAsia="宋体" w:cs="宋体"/>
              <w:b/>
              <w:bCs/>
            </w:rPr>
            <w:tab/>
          </w:r>
          <w:r>
            <w:rPr>
              <w:rFonts w:hint="eastAsia" w:ascii="宋体" w:hAnsi="宋体" w:eastAsia="宋体" w:cs="宋体"/>
              <w:b/>
              <w:bCs/>
            </w:rPr>
            <w:t>投标文件的递交</w:t>
          </w:r>
          <w:r>
            <w:rPr>
              <w:b/>
              <w:bCs/>
            </w:rPr>
            <w:tab/>
          </w:r>
          <w:r>
            <w:rPr>
              <w:b/>
              <w:bCs/>
            </w:rPr>
            <w:fldChar w:fldCharType="begin"/>
          </w:r>
          <w:r>
            <w:rPr>
              <w:b/>
              <w:bCs/>
            </w:rPr>
            <w:instrText xml:space="preserve"> PAGEREF _Toc6906 \h </w:instrText>
          </w:r>
          <w:r>
            <w:rPr>
              <w:b/>
              <w:bCs/>
            </w:rPr>
            <w:fldChar w:fldCharType="separate"/>
          </w:r>
          <w:r>
            <w:rPr>
              <w:b/>
              <w:bCs/>
            </w:rPr>
            <w:t>7</w:t>
          </w:r>
          <w:r>
            <w:rPr>
              <w:b/>
              <w:bCs/>
            </w:rPr>
            <w:fldChar w:fldCharType="end"/>
          </w:r>
          <w:r>
            <w:rPr>
              <w:b/>
              <w:bCs/>
            </w:rPr>
            <w:fldChar w:fldCharType="end"/>
          </w:r>
        </w:p>
        <w:p>
          <w:pPr>
            <w:pStyle w:val="34"/>
            <w:tabs>
              <w:tab w:val="right" w:pos="1600"/>
              <w:tab w:val="right" w:leader="dot" w:pos="10370"/>
            </w:tabs>
            <w:ind w:firstLine="402" w:firstLineChars="200"/>
            <w:rPr>
              <w:b/>
              <w:bCs/>
            </w:rPr>
          </w:pPr>
          <w:r>
            <w:rPr>
              <w:b/>
              <w:bCs/>
            </w:rPr>
            <w:fldChar w:fldCharType="begin"/>
          </w:r>
          <w:r>
            <w:rPr>
              <w:b/>
              <w:bCs/>
            </w:rPr>
            <w:instrText xml:space="preserve"> HYPERLINK \l _Toc12124 </w:instrText>
          </w:r>
          <w:r>
            <w:rPr>
              <w:b/>
              <w:bCs/>
            </w:rPr>
            <w:fldChar w:fldCharType="separate"/>
          </w:r>
          <w:r>
            <w:rPr>
              <w:rFonts w:hint="eastAsia" w:asciiTheme="minorEastAsia" w:hAnsiTheme="minorEastAsia" w:eastAsiaTheme="minorEastAsia" w:cstheme="minorEastAsia"/>
              <w:b/>
              <w:bCs/>
            </w:rPr>
            <w:t>五</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采购活动</w:t>
          </w:r>
          <w:r>
            <w:rPr>
              <w:b/>
              <w:bCs/>
            </w:rPr>
            <w:tab/>
          </w:r>
          <w:r>
            <w:rPr>
              <w:b/>
              <w:bCs/>
            </w:rPr>
            <w:fldChar w:fldCharType="begin"/>
          </w:r>
          <w:r>
            <w:rPr>
              <w:b/>
              <w:bCs/>
            </w:rPr>
            <w:instrText xml:space="preserve"> PAGEREF _Toc12124 \h </w:instrText>
          </w:r>
          <w:r>
            <w:rPr>
              <w:b/>
              <w:bCs/>
            </w:rPr>
            <w:fldChar w:fldCharType="separate"/>
          </w:r>
          <w:r>
            <w:rPr>
              <w:b/>
              <w:bCs/>
            </w:rPr>
            <w:t>8</w:t>
          </w:r>
          <w:r>
            <w:rPr>
              <w:b/>
              <w:bCs/>
            </w:rPr>
            <w:fldChar w:fldCharType="end"/>
          </w:r>
          <w:r>
            <w:rPr>
              <w:b/>
              <w:bCs/>
            </w:rPr>
            <w:fldChar w:fldCharType="end"/>
          </w:r>
        </w:p>
        <w:p>
          <w:pPr>
            <w:pStyle w:val="34"/>
            <w:tabs>
              <w:tab w:val="right" w:pos="1600"/>
              <w:tab w:val="right" w:leader="dot" w:pos="10370"/>
            </w:tabs>
            <w:ind w:firstLine="402" w:firstLineChars="200"/>
            <w:rPr>
              <w:b/>
              <w:bCs/>
            </w:rPr>
          </w:pPr>
          <w:r>
            <w:rPr>
              <w:b/>
              <w:bCs/>
            </w:rPr>
            <w:fldChar w:fldCharType="begin"/>
          </w:r>
          <w:r>
            <w:rPr>
              <w:b/>
              <w:bCs/>
            </w:rPr>
            <w:instrText xml:space="preserve"> HYPERLINK \l _Toc25288 </w:instrText>
          </w:r>
          <w:r>
            <w:rPr>
              <w:b/>
              <w:bCs/>
            </w:rPr>
            <w:fldChar w:fldCharType="separate"/>
          </w:r>
          <w:r>
            <w:rPr>
              <w:rFonts w:hint="eastAsia" w:ascii="宋体" w:hAnsi="宋体" w:eastAsia="宋体" w:cs="宋体"/>
              <w:b/>
              <w:bCs/>
            </w:rPr>
            <w:t>六</w:t>
          </w:r>
          <w:r>
            <w:rPr>
              <w:rFonts w:hint="eastAsia" w:ascii="宋体" w:hAnsi="宋体" w:eastAsia="宋体" w:cs="宋体"/>
              <w:b/>
              <w:bCs/>
            </w:rPr>
            <w:tab/>
          </w:r>
          <w:r>
            <w:rPr>
              <w:rFonts w:hint="eastAsia" w:ascii="宋体" w:hAnsi="宋体" w:eastAsia="宋体" w:cs="宋体"/>
              <w:b/>
              <w:bCs/>
            </w:rPr>
            <w:t>确定中标</w:t>
          </w:r>
          <w:r>
            <w:rPr>
              <w:b/>
              <w:bCs/>
            </w:rPr>
            <w:tab/>
          </w:r>
          <w:r>
            <w:rPr>
              <w:b/>
              <w:bCs/>
            </w:rPr>
            <w:fldChar w:fldCharType="begin"/>
          </w:r>
          <w:r>
            <w:rPr>
              <w:b/>
              <w:bCs/>
            </w:rPr>
            <w:instrText xml:space="preserve"> PAGEREF _Toc25288 \h </w:instrText>
          </w:r>
          <w:r>
            <w:rPr>
              <w:b/>
              <w:bCs/>
            </w:rPr>
            <w:fldChar w:fldCharType="separate"/>
          </w:r>
          <w:r>
            <w:rPr>
              <w:b/>
              <w:bCs/>
            </w:rPr>
            <w:t>11</w:t>
          </w:r>
          <w:r>
            <w:rPr>
              <w:b/>
              <w:bCs/>
            </w:rPr>
            <w:fldChar w:fldCharType="end"/>
          </w:r>
          <w:r>
            <w:rPr>
              <w:b/>
              <w:bCs/>
            </w:rPr>
            <w:fldChar w:fldCharType="end"/>
          </w:r>
        </w:p>
        <w:p>
          <w:pPr>
            <w:pStyle w:val="35"/>
            <w:tabs>
              <w:tab w:val="right" w:pos="2000"/>
              <w:tab w:val="right" w:leader="dot" w:pos="10370"/>
            </w:tabs>
            <w:rPr>
              <w:b/>
              <w:bCs/>
            </w:rPr>
          </w:pPr>
          <w:r>
            <w:rPr>
              <w:b/>
              <w:bCs/>
            </w:rPr>
            <w:fldChar w:fldCharType="begin"/>
          </w:r>
          <w:r>
            <w:rPr>
              <w:b/>
              <w:bCs/>
            </w:rPr>
            <w:instrText xml:space="preserve"> HYPERLINK \l _Toc4081 </w:instrText>
          </w:r>
          <w:r>
            <w:rPr>
              <w:b/>
              <w:bCs/>
            </w:rPr>
            <w:fldChar w:fldCharType="separate"/>
          </w:r>
          <w:r>
            <w:rPr>
              <w:rFonts w:hint="eastAsia" w:ascii="宋体" w:hAnsi="宋体" w:eastAsia="宋体" w:cs="宋体"/>
              <w:b/>
              <w:bCs/>
            </w:rPr>
            <w:t>1</w:t>
          </w:r>
          <w:r>
            <w:rPr>
              <w:rFonts w:hint="eastAsia" w:ascii="宋体" w:hAnsi="宋体" w:eastAsia="宋体" w:cs="宋体"/>
              <w:b/>
              <w:bCs/>
            </w:rPr>
            <w:tab/>
          </w:r>
          <w:r>
            <w:rPr>
              <w:rFonts w:hint="eastAsia" w:ascii="宋体" w:hAnsi="宋体" w:eastAsia="宋体" w:cs="宋体"/>
              <w:b/>
              <w:bCs/>
            </w:rPr>
            <w:t>开标一览表</w:t>
          </w:r>
          <w:r>
            <w:rPr>
              <w:b/>
              <w:bCs/>
            </w:rPr>
            <w:tab/>
          </w:r>
          <w:r>
            <w:rPr>
              <w:b/>
              <w:bCs/>
            </w:rPr>
            <w:fldChar w:fldCharType="begin"/>
          </w:r>
          <w:r>
            <w:rPr>
              <w:b/>
              <w:bCs/>
            </w:rPr>
            <w:instrText xml:space="preserve"> PAGEREF _Toc4081 \h </w:instrText>
          </w:r>
          <w:r>
            <w:rPr>
              <w:b/>
              <w:bCs/>
            </w:rPr>
            <w:fldChar w:fldCharType="separate"/>
          </w:r>
          <w:r>
            <w:rPr>
              <w:b/>
              <w:bCs/>
            </w:rPr>
            <w:t>19</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_Toc21995 </w:instrText>
          </w:r>
          <w:r>
            <w:rPr>
              <w:b/>
              <w:bCs/>
            </w:rPr>
            <w:fldChar w:fldCharType="separate"/>
          </w:r>
          <w:r>
            <w:rPr>
              <w:rFonts w:hint="eastAsia" w:asciiTheme="minorEastAsia" w:hAnsiTheme="minorEastAsia" w:eastAsiaTheme="minorEastAsia" w:cstheme="minorEastAsia"/>
              <w:b/>
              <w:bCs/>
              <w:szCs w:val="22"/>
              <w:lang w:val="en-US" w:eastAsia="zh-CN" w:bidi="zh-CN"/>
            </w:rPr>
            <w:t xml:space="preserve">2 </w:t>
          </w:r>
          <w:r>
            <w:rPr>
              <w:rFonts w:hint="eastAsia" w:asciiTheme="minorEastAsia" w:hAnsiTheme="minorEastAsia" w:eastAsiaTheme="minorEastAsia" w:cstheme="minorEastAsia"/>
              <w:b/>
              <w:bCs/>
              <w:lang w:val="en-US" w:eastAsia="zh-CN"/>
            </w:rPr>
            <w:t>具有独立承担民事责任的能力</w:t>
          </w:r>
          <w:r>
            <w:rPr>
              <w:rFonts w:hint="eastAsia" w:asciiTheme="minorEastAsia" w:hAnsiTheme="minorEastAsia" w:eastAsiaTheme="minorEastAsia" w:cstheme="minorEastAsia"/>
              <w:b/>
              <w:bCs/>
            </w:rPr>
            <w:t>（三证合一</w:t>
          </w:r>
          <w:r>
            <w:rPr>
              <w:rFonts w:hint="eastAsia" w:asciiTheme="minorEastAsia" w:hAnsiTheme="minorEastAsia" w:eastAsiaTheme="minorEastAsia" w:cstheme="minorEastAsia"/>
              <w:b/>
              <w:bCs/>
              <w:lang w:val="en-US" w:eastAsia="zh-CN"/>
            </w:rPr>
            <w:t>的营业执照</w:t>
          </w:r>
          <w:r>
            <w:rPr>
              <w:rFonts w:hint="eastAsia" w:asciiTheme="minorEastAsia" w:hAnsiTheme="minorEastAsia" w:eastAsiaTheme="minorEastAsia" w:cstheme="minorEastAsia"/>
              <w:b/>
              <w:bCs/>
            </w:rPr>
            <w:t>）;</w:t>
          </w:r>
          <w:r>
            <w:rPr>
              <w:b/>
              <w:bCs/>
            </w:rPr>
            <w:tab/>
          </w:r>
          <w:r>
            <w:rPr>
              <w:b/>
              <w:bCs/>
            </w:rPr>
            <w:fldChar w:fldCharType="begin"/>
          </w:r>
          <w:r>
            <w:rPr>
              <w:b/>
              <w:bCs/>
            </w:rPr>
            <w:instrText xml:space="preserve"> PAGEREF _Toc21995 \h </w:instrText>
          </w:r>
          <w:r>
            <w:rPr>
              <w:b/>
              <w:bCs/>
            </w:rPr>
            <w:fldChar w:fldCharType="separate"/>
          </w:r>
          <w:r>
            <w:rPr>
              <w:b/>
              <w:bCs/>
            </w:rPr>
            <w:t>20</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_Toc13644 </w:instrText>
          </w:r>
          <w:r>
            <w:rPr>
              <w:b/>
              <w:bCs/>
            </w:rPr>
            <w:fldChar w:fldCharType="separate"/>
          </w:r>
          <w:r>
            <w:rPr>
              <w:rFonts w:hint="eastAsia" w:ascii="仿宋_GB2312" w:hAnsi="宋体" w:eastAsia="仿宋_GB2312"/>
              <w:b/>
              <w:bCs/>
              <w:kern w:val="2"/>
              <w:szCs w:val="24"/>
            </w:rPr>
            <w:t xml:space="preserve">3 </w:t>
          </w:r>
          <w:r>
            <w:rPr>
              <w:rFonts w:hint="eastAsia" w:ascii="宋体" w:hAnsi="宋体" w:eastAsia="宋体" w:cs="宋体"/>
              <w:b/>
              <w:bCs/>
              <w:kern w:val="2"/>
              <w:szCs w:val="24"/>
            </w:rPr>
            <w:t xml:space="preserve"> </w:t>
          </w:r>
          <w:r>
            <w:rPr>
              <w:rFonts w:hint="eastAsia" w:ascii="宋体" w:hAnsi="宋体" w:eastAsia="宋体" w:cs="宋体"/>
              <w:b/>
              <w:bCs/>
              <w:spacing w:val="-2"/>
              <w:szCs w:val="22"/>
              <w:lang w:val="en-US" w:eastAsia="zh-CN" w:bidi="zh-CN"/>
            </w:rPr>
            <w:t>法定代表人授权书及被委托人身份证（法定代表人投标提供法定代表人身份证明及身份证）；</w:t>
          </w:r>
          <w:r>
            <w:rPr>
              <w:b/>
              <w:bCs/>
            </w:rPr>
            <w:tab/>
          </w:r>
          <w:r>
            <w:rPr>
              <w:b/>
              <w:bCs/>
            </w:rPr>
            <w:fldChar w:fldCharType="begin"/>
          </w:r>
          <w:r>
            <w:rPr>
              <w:b/>
              <w:bCs/>
            </w:rPr>
            <w:instrText xml:space="preserve"> PAGEREF _Toc13644 \h </w:instrText>
          </w:r>
          <w:r>
            <w:rPr>
              <w:b/>
              <w:bCs/>
            </w:rPr>
            <w:fldChar w:fldCharType="separate"/>
          </w:r>
          <w:r>
            <w:rPr>
              <w:b/>
              <w:bCs/>
            </w:rPr>
            <w:t>21</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_Toc18538 </w:instrText>
          </w:r>
          <w:r>
            <w:rPr>
              <w:b/>
              <w:bCs/>
            </w:rPr>
            <w:fldChar w:fldCharType="separate"/>
          </w:r>
          <w:r>
            <w:rPr>
              <w:rFonts w:hint="eastAsia" w:ascii="宋体" w:hAnsi="宋体" w:eastAsia="宋体" w:cs="宋体"/>
              <w:b/>
              <w:bCs/>
              <w:kern w:val="2"/>
              <w:szCs w:val="28"/>
            </w:rPr>
            <w:t>4</w:t>
          </w:r>
          <w:r>
            <w:rPr>
              <w:rFonts w:hint="eastAsia" w:ascii="宋体" w:hAnsi="宋体" w:eastAsia="宋体" w:cs="宋体"/>
              <w:b/>
              <w:bCs/>
              <w:kern w:val="2"/>
              <w:szCs w:val="28"/>
              <w:lang w:val="en-US" w:eastAsia="zh-CN"/>
            </w:rPr>
            <w:t xml:space="preserve">   </w:t>
          </w:r>
          <w:r>
            <w:rPr>
              <w:rFonts w:hint="eastAsia" w:ascii="宋体" w:hAnsi="宋体" w:cs="宋体"/>
              <w:b/>
              <w:bCs/>
              <w:spacing w:val="-2"/>
              <w:szCs w:val="22"/>
              <w:lang w:val="en-US" w:eastAsia="zh-CN" w:bidi="zh-CN"/>
            </w:rPr>
            <w:t>具有税务局开具依法缴纳近六个月任意一个月的完税证明</w:t>
          </w:r>
          <w:r>
            <w:rPr>
              <w:rFonts w:hint="eastAsia" w:ascii="宋体" w:hAnsi="宋体" w:eastAsia="宋体" w:cs="宋体"/>
              <w:b/>
              <w:bCs/>
              <w:spacing w:val="-2"/>
              <w:szCs w:val="22"/>
              <w:lang w:val="en-US" w:eastAsia="zh-CN" w:bidi="zh-CN"/>
            </w:rPr>
            <w:t>；</w:t>
          </w:r>
          <w:r>
            <w:rPr>
              <w:b/>
              <w:bCs/>
            </w:rPr>
            <w:tab/>
          </w:r>
          <w:r>
            <w:rPr>
              <w:b/>
              <w:bCs/>
            </w:rPr>
            <w:fldChar w:fldCharType="begin"/>
          </w:r>
          <w:r>
            <w:rPr>
              <w:b/>
              <w:bCs/>
            </w:rPr>
            <w:instrText xml:space="preserve"> PAGEREF _Toc18538 \h </w:instrText>
          </w:r>
          <w:r>
            <w:rPr>
              <w:b/>
              <w:bCs/>
            </w:rPr>
            <w:fldChar w:fldCharType="separate"/>
          </w:r>
          <w:r>
            <w:rPr>
              <w:b/>
              <w:bCs/>
            </w:rPr>
            <w:t>23</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_Toc27581 </w:instrText>
          </w:r>
          <w:r>
            <w:rPr>
              <w:b/>
              <w:bCs/>
            </w:rPr>
            <w:fldChar w:fldCharType="separate"/>
          </w:r>
          <w:r>
            <w:rPr>
              <w:rFonts w:hint="eastAsia" w:ascii="仿宋_GB2312" w:hAnsi="宋体" w:eastAsia="仿宋_GB2312" w:cs="仿宋"/>
              <w:b/>
              <w:bCs/>
              <w:kern w:val="2"/>
              <w:szCs w:val="28"/>
              <w:lang w:val="en-US" w:eastAsia="zh-CN" w:bidi="zh-CN"/>
            </w:rPr>
            <w:t>5</w:t>
          </w:r>
          <w:r>
            <w:rPr>
              <w:rFonts w:hint="eastAsia" w:ascii="宋体" w:hAnsi="宋体" w:eastAsia="宋体" w:cs="宋体"/>
              <w:b/>
              <w:bCs/>
              <w:kern w:val="2"/>
              <w:szCs w:val="28"/>
              <w:lang w:val="en-US" w:eastAsia="zh-CN" w:bidi="zh-CN"/>
            </w:rPr>
            <w:t xml:space="preserve">  </w:t>
          </w:r>
          <w:r>
            <w:rPr>
              <w:rFonts w:hint="eastAsia" w:ascii="宋体" w:hAnsi="宋体" w:cs="宋体"/>
              <w:b/>
              <w:bCs/>
              <w:kern w:val="2"/>
              <w:szCs w:val="28"/>
              <w:lang w:val="en-US" w:eastAsia="zh-CN" w:bidi="zh-CN"/>
            </w:rPr>
            <w:t>2021年度的财务审计报告（新成立未满一年的公司需提供有效的银行资信证明）</w:t>
          </w:r>
          <w:r>
            <w:rPr>
              <w:rFonts w:hint="eastAsia" w:ascii="宋体" w:hAnsi="宋体" w:eastAsia="宋体" w:cs="宋体"/>
              <w:b/>
              <w:bCs/>
              <w:kern w:val="2"/>
              <w:szCs w:val="28"/>
              <w:lang w:val="en-US" w:eastAsia="zh-CN" w:bidi="zh-CN"/>
            </w:rPr>
            <w:t>；</w:t>
          </w:r>
          <w:r>
            <w:rPr>
              <w:b/>
              <w:bCs/>
            </w:rPr>
            <w:tab/>
          </w:r>
          <w:r>
            <w:rPr>
              <w:b/>
              <w:bCs/>
            </w:rPr>
            <w:fldChar w:fldCharType="begin"/>
          </w:r>
          <w:r>
            <w:rPr>
              <w:b/>
              <w:bCs/>
            </w:rPr>
            <w:instrText xml:space="preserve"> PAGEREF _Toc27581 \h </w:instrText>
          </w:r>
          <w:r>
            <w:rPr>
              <w:b/>
              <w:bCs/>
            </w:rPr>
            <w:fldChar w:fldCharType="separate"/>
          </w:r>
          <w:r>
            <w:rPr>
              <w:b/>
              <w:bCs/>
            </w:rPr>
            <w:t>24</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_Toc23151 </w:instrText>
          </w:r>
          <w:r>
            <w:rPr>
              <w:b/>
              <w:bCs/>
            </w:rPr>
            <w:fldChar w:fldCharType="separate"/>
          </w:r>
          <w:r>
            <w:rPr>
              <w:rFonts w:hint="eastAsia" w:ascii="宋体" w:hAnsi="宋体" w:eastAsia="宋体" w:cs="宋体"/>
              <w:b/>
              <w:bCs/>
              <w:kern w:val="0"/>
              <w:szCs w:val="20"/>
              <w:lang w:val="en-US" w:eastAsia="zh-CN"/>
            </w:rPr>
            <w:t xml:space="preserve">6 </w:t>
          </w:r>
          <w:r>
            <w:rPr>
              <w:rFonts w:hint="eastAsia" w:ascii="宋体" w:hAnsi="宋体" w:eastAsia="宋体" w:cs="宋体"/>
              <w:b/>
              <w:bCs/>
              <w:kern w:val="2"/>
              <w:szCs w:val="28"/>
              <w:lang w:val="en-US" w:eastAsia="zh-CN" w:bidi="zh-CN"/>
            </w:rPr>
            <w:t>参加采购活动前三年内，在经营活动中无重大违法声明；</w:t>
          </w:r>
          <w:r>
            <w:rPr>
              <w:b/>
              <w:bCs/>
            </w:rPr>
            <w:tab/>
          </w:r>
          <w:r>
            <w:rPr>
              <w:b/>
              <w:bCs/>
            </w:rPr>
            <w:fldChar w:fldCharType="begin"/>
          </w:r>
          <w:r>
            <w:rPr>
              <w:b/>
              <w:bCs/>
            </w:rPr>
            <w:instrText xml:space="preserve"> PAGEREF _Toc23151 \h </w:instrText>
          </w:r>
          <w:r>
            <w:rPr>
              <w:b/>
              <w:bCs/>
            </w:rPr>
            <w:fldChar w:fldCharType="separate"/>
          </w:r>
          <w:r>
            <w:rPr>
              <w:b/>
              <w:bCs/>
            </w:rPr>
            <w:t>25</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_Toc30788 </w:instrText>
          </w:r>
          <w:r>
            <w:rPr>
              <w:b/>
              <w:bCs/>
            </w:rPr>
            <w:fldChar w:fldCharType="separate"/>
          </w:r>
          <w:r>
            <w:rPr>
              <w:rFonts w:hint="eastAsia" w:ascii="宋体" w:hAnsi="宋体" w:eastAsia="宋体" w:cs="宋体"/>
              <w:b/>
              <w:bCs/>
              <w:kern w:val="0"/>
              <w:szCs w:val="20"/>
              <w:lang w:val="en-US" w:eastAsia="zh-CN"/>
            </w:rPr>
            <w:t>7</w:t>
          </w:r>
          <w:r>
            <w:rPr>
              <w:rFonts w:hint="eastAsia" w:ascii="宋体" w:hAnsi="宋体" w:eastAsia="宋体" w:cs="宋体"/>
              <w:b/>
              <w:bCs/>
              <w:kern w:val="0"/>
              <w:szCs w:val="20"/>
            </w:rPr>
            <w:t xml:space="preserve"> </w:t>
          </w:r>
          <w:r>
            <w:rPr>
              <w:rFonts w:hint="eastAsia" w:ascii="宋体" w:hAnsi="宋体" w:eastAsia="宋体" w:cs="宋体"/>
              <w:b/>
              <w:bCs/>
              <w:kern w:val="2"/>
              <w:szCs w:val="28"/>
              <w:lang w:val="en-US" w:eastAsia="zh-CN" w:bidi="zh-CN"/>
            </w:rPr>
            <w:t>投标单位（供应商）具备针对本次采购项目《反商业贿赂承诺书》；</w:t>
          </w:r>
          <w:r>
            <w:rPr>
              <w:b/>
              <w:bCs/>
            </w:rPr>
            <w:tab/>
          </w:r>
          <w:r>
            <w:rPr>
              <w:b/>
              <w:bCs/>
            </w:rPr>
            <w:fldChar w:fldCharType="begin"/>
          </w:r>
          <w:r>
            <w:rPr>
              <w:b/>
              <w:bCs/>
            </w:rPr>
            <w:instrText xml:space="preserve"> PAGEREF _Toc30788 \h </w:instrText>
          </w:r>
          <w:r>
            <w:rPr>
              <w:b/>
              <w:bCs/>
            </w:rPr>
            <w:fldChar w:fldCharType="separate"/>
          </w:r>
          <w:r>
            <w:rPr>
              <w:b/>
              <w:bCs/>
            </w:rPr>
            <w:t>26</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_Toc17715 </w:instrText>
          </w:r>
          <w:r>
            <w:rPr>
              <w:b/>
              <w:bCs/>
            </w:rPr>
            <w:fldChar w:fldCharType="separate"/>
          </w:r>
          <w:r>
            <w:rPr>
              <w:rFonts w:hint="eastAsia" w:ascii="宋体" w:hAnsi="宋体" w:eastAsia="宋体" w:cs="宋体"/>
              <w:b/>
              <w:bCs/>
              <w:szCs w:val="32"/>
              <w:lang w:val="en-US" w:eastAsia="zh-CN"/>
            </w:rPr>
            <w:t>8</w:t>
          </w:r>
          <w:r>
            <w:rPr>
              <w:rFonts w:hint="eastAsia" w:ascii="宋体" w:hAnsi="宋体" w:eastAsia="宋体" w:cs="宋体"/>
              <w:b/>
              <w:bCs/>
              <w:szCs w:val="32"/>
            </w:rPr>
            <w:t xml:space="preserve"> </w:t>
          </w:r>
          <w:r>
            <w:rPr>
              <w:rFonts w:hint="eastAsia" w:ascii="宋体" w:hAnsi="宋体" w:eastAsia="宋体" w:cs="宋体"/>
              <w:b/>
              <w:bCs/>
              <w:spacing w:val="-2"/>
              <w:szCs w:val="28"/>
              <w:lang w:val="en-US" w:eastAsia="zh-CN" w:bidi="zh-CN"/>
            </w:rPr>
            <w:t>投标保证金收据或投标保函；</w:t>
          </w:r>
          <w:r>
            <w:rPr>
              <w:b/>
              <w:bCs/>
            </w:rPr>
            <w:tab/>
          </w:r>
          <w:r>
            <w:rPr>
              <w:b/>
              <w:bCs/>
            </w:rPr>
            <w:fldChar w:fldCharType="begin"/>
          </w:r>
          <w:r>
            <w:rPr>
              <w:b/>
              <w:bCs/>
            </w:rPr>
            <w:instrText xml:space="preserve"> PAGEREF _Toc17715 \h </w:instrText>
          </w:r>
          <w:r>
            <w:rPr>
              <w:b/>
              <w:bCs/>
            </w:rPr>
            <w:fldChar w:fldCharType="separate"/>
          </w:r>
          <w:r>
            <w:rPr>
              <w:b/>
              <w:bCs/>
            </w:rPr>
            <w:t>27</w:t>
          </w:r>
          <w:r>
            <w:rPr>
              <w:b/>
              <w:bCs/>
            </w:rPr>
            <w:fldChar w:fldCharType="end"/>
          </w:r>
          <w:r>
            <w:rPr>
              <w:b/>
              <w:bCs/>
            </w:rPr>
            <w:fldChar w:fldCharType="end"/>
          </w:r>
        </w:p>
        <w:p>
          <w:pPr>
            <w:pStyle w:val="35"/>
            <w:tabs>
              <w:tab w:val="right" w:pos="2400"/>
              <w:tab w:val="right" w:leader="dot" w:pos="10370"/>
            </w:tabs>
            <w:rPr>
              <w:b/>
              <w:bCs/>
            </w:rPr>
          </w:pPr>
          <w:r>
            <w:rPr>
              <w:b/>
              <w:bCs/>
            </w:rPr>
            <w:fldChar w:fldCharType="begin"/>
          </w:r>
          <w:r>
            <w:rPr>
              <w:b/>
              <w:bCs/>
            </w:rPr>
            <w:instrText xml:space="preserve"> HYPERLINK \l _Toc32397 </w:instrText>
          </w:r>
          <w:r>
            <w:rPr>
              <w:b/>
              <w:bCs/>
            </w:rPr>
            <w:fldChar w:fldCharType="separate"/>
          </w:r>
          <w:r>
            <w:rPr>
              <w:rFonts w:hint="eastAsia" w:asciiTheme="minorEastAsia" w:hAnsiTheme="minorEastAsia" w:eastAsiaTheme="minorEastAsia" w:cstheme="minorEastAsia"/>
              <w:b/>
              <w:bCs/>
            </w:rPr>
            <w:t>第二部分</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商务及技术文件</w:t>
          </w:r>
          <w:r>
            <w:rPr>
              <w:b/>
              <w:bCs/>
            </w:rPr>
            <w:tab/>
          </w:r>
          <w:r>
            <w:rPr>
              <w:b/>
              <w:bCs/>
            </w:rPr>
            <w:fldChar w:fldCharType="begin"/>
          </w:r>
          <w:r>
            <w:rPr>
              <w:b/>
              <w:bCs/>
            </w:rPr>
            <w:instrText xml:space="preserve"> PAGEREF _Toc32397 \h </w:instrText>
          </w:r>
          <w:r>
            <w:rPr>
              <w:b/>
              <w:bCs/>
            </w:rPr>
            <w:fldChar w:fldCharType="separate"/>
          </w:r>
          <w:r>
            <w:rPr>
              <w:b/>
              <w:bCs/>
            </w:rPr>
            <w:t>30</w:t>
          </w:r>
          <w:r>
            <w:rPr>
              <w:b/>
              <w:bCs/>
            </w:rPr>
            <w:fldChar w:fldCharType="end"/>
          </w:r>
          <w:r>
            <w:rPr>
              <w:b/>
              <w:bCs/>
            </w:rPr>
            <w:fldChar w:fldCharType="end"/>
          </w:r>
        </w:p>
        <w:p>
          <w:pPr>
            <w:pStyle w:val="35"/>
            <w:tabs>
              <w:tab w:val="right" w:pos="2000"/>
              <w:tab w:val="right" w:leader="dot" w:pos="10370"/>
            </w:tabs>
            <w:rPr>
              <w:b/>
              <w:bCs/>
            </w:rPr>
          </w:pPr>
          <w:r>
            <w:rPr>
              <w:b/>
              <w:bCs/>
            </w:rPr>
            <w:fldChar w:fldCharType="begin"/>
          </w:r>
          <w:r>
            <w:rPr>
              <w:b/>
              <w:bCs/>
            </w:rPr>
            <w:instrText xml:space="preserve"> HYPERLINK \l _Toc30654 </w:instrText>
          </w:r>
          <w:r>
            <w:rPr>
              <w:b/>
              <w:bCs/>
            </w:rPr>
            <w:fldChar w:fldCharType="separate"/>
          </w:r>
          <w:r>
            <w:rPr>
              <w:rFonts w:hint="eastAsia" w:ascii="宋体" w:hAnsi="宋体" w:eastAsia="宋体" w:cs="宋体"/>
              <w:b/>
              <w:bCs/>
            </w:rPr>
            <w:t>1</w:t>
          </w:r>
          <w:r>
            <w:rPr>
              <w:rFonts w:hint="eastAsia" w:ascii="宋体" w:hAnsi="宋体" w:eastAsia="宋体" w:cs="宋体"/>
              <w:b/>
              <w:bCs/>
            </w:rPr>
            <w:tab/>
          </w:r>
          <w:r>
            <w:rPr>
              <w:rFonts w:hint="eastAsia" w:ascii="宋体" w:hAnsi="宋体" w:eastAsia="宋体" w:cs="宋体"/>
              <w:b/>
              <w:bCs/>
            </w:rPr>
            <w:t>投标书（投标文件格式三）</w:t>
          </w:r>
          <w:r>
            <w:rPr>
              <w:b/>
              <w:bCs/>
            </w:rPr>
            <w:tab/>
          </w:r>
          <w:r>
            <w:rPr>
              <w:b/>
              <w:bCs/>
            </w:rPr>
            <w:fldChar w:fldCharType="begin"/>
          </w:r>
          <w:r>
            <w:rPr>
              <w:b/>
              <w:bCs/>
            </w:rPr>
            <w:instrText xml:space="preserve"> PAGEREF _Toc30654 \h </w:instrText>
          </w:r>
          <w:r>
            <w:rPr>
              <w:b/>
              <w:bCs/>
            </w:rPr>
            <w:fldChar w:fldCharType="separate"/>
          </w:r>
          <w:r>
            <w:rPr>
              <w:b/>
              <w:bCs/>
            </w:rPr>
            <w:t>31</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_Toc19294 </w:instrText>
          </w:r>
          <w:r>
            <w:rPr>
              <w:b/>
              <w:bCs/>
            </w:rPr>
            <w:fldChar w:fldCharType="separate"/>
          </w:r>
          <w:r>
            <w:rPr>
              <w:rFonts w:hint="eastAsia" w:ascii="宋体" w:hAnsi="宋体" w:eastAsia="宋体" w:cs="宋体"/>
              <w:b/>
              <w:bCs/>
            </w:rPr>
            <w:t>2 投标保证金</w:t>
          </w:r>
          <w:r>
            <w:rPr>
              <w:rFonts w:hint="eastAsia" w:ascii="宋体" w:hAnsi="宋体" w:eastAsia="宋体" w:cs="宋体"/>
              <w:b/>
              <w:bCs/>
              <w:lang w:eastAsia="zh-CN"/>
            </w:rPr>
            <w:t>收据</w:t>
          </w:r>
          <w:r>
            <w:rPr>
              <w:rFonts w:hint="eastAsia" w:ascii="宋体" w:hAnsi="宋体" w:eastAsia="宋体" w:cs="宋体"/>
              <w:b/>
              <w:bCs/>
            </w:rPr>
            <w:t>或投标担保函</w:t>
          </w:r>
          <w:r>
            <w:rPr>
              <w:b/>
              <w:bCs/>
            </w:rPr>
            <w:tab/>
          </w:r>
          <w:r>
            <w:rPr>
              <w:b/>
              <w:bCs/>
            </w:rPr>
            <w:fldChar w:fldCharType="begin"/>
          </w:r>
          <w:r>
            <w:rPr>
              <w:b/>
              <w:bCs/>
            </w:rPr>
            <w:instrText xml:space="preserve"> PAGEREF _Toc19294 \h </w:instrText>
          </w:r>
          <w:r>
            <w:rPr>
              <w:b/>
              <w:bCs/>
            </w:rPr>
            <w:fldChar w:fldCharType="separate"/>
          </w:r>
          <w:r>
            <w:rPr>
              <w:b/>
              <w:bCs/>
            </w:rPr>
            <w:t>32</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_Toc17942 </w:instrText>
          </w:r>
          <w:r>
            <w:rPr>
              <w:b/>
              <w:bCs/>
            </w:rPr>
            <w:fldChar w:fldCharType="separate"/>
          </w:r>
          <w:r>
            <w:rPr>
              <w:rFonts w:hint="default" w:ascii="仿宋" w:hAnsi="仿宋" w:eastAsia="仿宋" w:cs="仿宋"/>
              <w:b/>
              <w:bCs/>
              <w:w w:val="99"/>
              <w:szCs w:val="24"/>
              <w:lang w:val="zh-CN" w:eastAsia="zh-CN" w:bidi="zh-CN"/>
            </w:rPr>
            <w:t xml:space="preserve">3 </w:t>
          </w:r>
          <w:r>
            <w:rPr>
              <w:rFonts w:hint="eastAsia" w:ascii="宋体" w:hAnsi="宋体" w:eastAsia="宋体" w:cs="宋体"/>
              <w:b/>
              <w:bCs/>
            </w:rPr>
            <w:t>投标分项报价表（投标文件格式五）</w:t>
          </w:r>
          <w:r>
            <w:rPr>
              <w:b/>
              <w:bCs/>
            </w:rPr>
            <w:tab/>
          </w:r>
          <w:r>
            <w:rPr>
              <w:b/>
              <w:bCs/>
            </w:rPr>
            <w:fldChar w:fldCharType="begin"/>
          </w:r>
          <w:r>
            <w:rPr>
              <w:b/>
              <w:bCs/>
            </w:rPr>
            <w:instrText xml:space="preserve"> PAGEREF _Toc17942 \h </w:instrText>
          </w:r>
          <w:r>
            <w:rPr>
              <w:b/>
              <w:bCs/>
            </w:rPr>
            <w:fldChar w:fldCharType="separate"/>
          </w:r>
          <w:r>
            <w:rPr>
              <w:b/>
              <w:bCs/>
            </w:rPr>
            <w:t>34</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_Toc7064 </w:instrText>
          </w:r>
          <w:r>
            <w:rPr>
              <w:b/>
              <w:bCs/>
            </w:rPr>
            <w:fldChar w:fldCharType="separate"/>
          </w:r>
          <w:r>
            <w:rPr>
              <w:rFonts w:hint="eastAsia" w:ascii="宋体" w:hAnsi="宋体" w:eastAsia="宋体" w:cs="宋体"/>
              <w:b/>
              <w:bCs/>
              <w:szCs w:val="21"/>
              <w:lang w:val="en-US" w:eastAsia="zh-CN"/>
            </w:rPr>
            <w:t xml:space="preserve">4 </w:t>
          </w:r>
          <w:r>
            <w:rPr>
              <w:rFonts w:hint="eastAsia" w:ascii="宋体" w:hAnsi="宋体" w:eastAsia="宋体" w:cs="宋体"/>
              <w:b/>
              <w:bCs/>
              <w:szCs w:val="21"/>
            </w:rPr>
            <w:t>商务条款偏离表</w:t>
          </w:r>
          <w:r>
            <w:rPr>
              <w:b/>
              <w:bCs/>
            </w:rPr>
            <w:tab/>
          </w:r>
          <w:r>
            <w:rPr>
              <w:b/>
              <w:bCs/>
            </w:rPr>
            <w:fldChar w:fldCharType="begin"/>
          </w:r>
          <w:r>
            <w:rPr>
              <w:b/>
              <w:bCs/>
            </w:rPr>
            <w:instrText xml:space="preserve"> PAGEREF _Toc7064 \h </w:instrText>
          </w:r>
          <w:r>
            <w:rPr>
              <w:b/>
              <w:bCs/>
            </w:rPr>
            <w:fldChar w:fldCharType="separate"/>
          </w:r>
          <w:r>
            <w:rPr>
              <w:b/>
              <w:bCs/>
            </w:rPr>
            <w:t>35</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_Toc5826 </w:instrText>
          </w:r>
          <w:r>
            <w:rPr>
              <w:b/>
              <w:bCs/>
            </w:rPr>
            <w:fldChar w:fldCharType="separate"/>
          </w:r>
          <w:r>
            <w:rPr>
              <w:rFonts w:hint="eastAsia" w:ascii="宋体" w:hAnsi="宋体" w:eastAsia="宋体" w:cs="宋体"/>
              <w:b/>
              <w:bCs/>
              <w:szCs w:val="21"/>
            </w:rPr>
            <w:t xml:space="preserve">5、 </w:t>
          </w:r>
          <w:r>
            <w:rPr>
              <w:rFonts w:hint="eastAsia" w:ascii="宋体" w:hAnsi="宋体" w:eastAsia="宋体" w:cs="宋体"/>
              <w:b/>
              <w:bCs/>
              <w:szCs w:val="21"/>
              <w:lang w:eastAsia="zh-CN"/>
            </w:rPr>
            <w:t>技术</w:t>
          </w:r>
          <w:r>
            <w:rPr>
              <w:rFonts w:hint="eastAsia" w:ascii="宋体" w:hAnsi="宋体" w:eastAsia="宋体" w:cs="宋体"/>
              <w:b/>
              <w:bCs/>
              <w:szCs w:val="21"/>
            </w:rPr>
            <w:t>条款偏离表</w:t>
          </w:r>
          <w:r>
            <w:rPr>
              <w:b/>
              <w:bCs/>
            </w:rPr>
            <w:tab/>
          </w:r>
          <w:r>
            <w:rPr>
              <w:b/>
              <w:bCs/>
            </w:rPr>
            <w:fldChar w:fldCharType="begin"/>
          </w:r>
          <w:r>
            <w:rPr>
              <w:b/>
              <w:bCs/>
            </w:rPr>
            <w:instrText xml:space="preserve"> PAGEREF _Toc5826 \h </w:instrText>
          </w:r>
          <w:r>
            <w:rPr>
              <w:b/>
              <w:bCs/>
            </w:rPr>
            <w:fldChar w:fldCharType="separate"/>
          </w:r>
          <w:r>
            <w:rPr>
              <w:b/>
              <w:bCs/>
            </w:rPr>
            <w:t>36</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_Toc3114 </w:instrText>
          </w:r>
          <w:r>
            <w:rPr>
              <w:b/>
              <w:bCs/>
            </w:rPr>
            <w:fldChar w:fldCharType="separate"/>
          </w:r>
          <w:r>
            <w:rPr>
              <w:rFonts w:hint="eastAsia" w:ascii="宋体" w:hAnsi="宋体" w:eastAsia="宋体" w:cs="宋体"/>
              <w:b/>
              <w:bCs/>
              <w:szCs w:val="28"/>
              <w:lang w:val="en-US" w:eastAsia="zh-CN"/>
            </w:rPr>
            <w:t xml:space="preserve">6  </w:t>
          </w:r>
          <w:r>
            <w:rPr>
              <w:rFonts w:hint="eastAsia" w:ascii="宋体" w:hAnsi="宋体" w:eastAsia="宋体" w:cs="宋体"/>
              <w:b/>
              <w:bCs/>
              <w:szCs w:val="28"/>
            </w:rPr>
            <w:t>项目配备人员情况一览表</w:t>
          </w:r>
          <w:r>
            <w:rPr>
              <w:b/>
              <w:bCs/>
            </w:rPr>
            <w:tab/>
          </w:r>
          <w:r>
            <w:rPr>
              <w:b/>
              <w:bCs/>
            </w:rPr>
            <w:fldChar w:fldCharType="begin"/>
          </w:r>
          <w:r>
            <w:rPr>
              <w:b/>
              <w:bCs/>
            </w:rPr>
            <w:instrText xml:space="preserve"> PAGEREF _Toc3114 \h </w:instrText>
          </w:r>
          <w:r>
            <w:rPr>
              <w:b/>
              <w:bCs/>
            </w:rPr>
            <w:fldChar w:fldCharType="separate"/>
          </w:r>
          <w:r>
            <w:rPr>
              <w:b/>
              <w:bCs/>
            </w:rPr>
            <w:t>37</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_Toc10604 </w:instrText>
          </w:r>
          <w:r>
            <w:rPr>
              <w:b/>
              <w:bCs/>
            </w:rPr>
            <w:fldChar w:fldCharType="separate"/>
          </w:r>
          <w:r>
            <w:rPr>
              <w:rFonts w:hint="eastAsia" w:ascii="宋体" w:hAnsi="宋体" w:eastAsia="宋体" w:cs="宋体"/>
              <w:b/>
              <w:bCs/>
              <w:szCs w:val="28"/>
              <w:lang w:val="en-US" w:eastAsia="zh-CN"/>
            </w:rPr>
            <w:t>7</w:t>
          </w:r>
          <w:r>
            <w:rPr>
              <w:rFonts w:hint="eastAsia" w:ascii="宋体" w:hAnsi="宋体" w:eastAsia="宋体" w:cs="宋体"/>
              <w:b/>
              <w:bCs/>
              <w:szCs w:val="28"/>
            </w:rPr>
            <w:t>、</w:t>
          </w:r>
          <w:r>
            <w:rPr>
              <w:rFonts w:hint="eastAsia" w:ascii="宋体" w:hAnsi="宋体" w:eastAsia="宋体" w:cs="宋体"/>
              <w:b/>
              <w:bCs/>
              <w:szCs w:val="28"/>
              <w:lang w:val="en-US" w:eastAsia="zh-CN"/>
            </w:rPr>
            <w:t>绿化养护、环卫设备（工具）</w:t>
          </w:r>
          <w:r>
            <w:rPr>
              <w:rFonts w:hint="eastAsia" w:ascii="宋体" w:hAnsi="宋体" w:eastAsia="宋体" w:cs="宋体"/>
              <w:b/>
              <w:bCs/>
              <w:szCs w:val="28"/>
            </w:rPr>
            <w:t>情况一览表</w:t>
          </w:r>
          <w:r>
            <w:rPr>
              <w:b/>
              <w:bCs/>
            </w:rPr>
            <w:tab/>
          </w:r>
          <w:r>
            <w:rPr>
              <w:b/>
              <w:bCs/>
            </w:rPr>
            <w:fldChar w:fldCharType="begin"/>
          </w:r>
          <w:r>
            <w:rPr>
              <w:b/>
              <w:bCs/>
            </w:rPr>
            <w:instrText xml:space="preserve"> PAGEREF _Toc10604 \h </w:instrText>
          </w:r>
          <w:r>
            <w:rPr>
              <w:b/>
              <w:bCs/>
            </w:rPr>
            <w:fldChar w:fldCharType="separate"/>
          </w:r>
          <w:r>
            <w:rPr>
              <w:b/>
              <w:bCs/>
            </w:rPr>
            <w:t>37</w:t>
          </w:r>
          <w:r>
            <w:rPr>
              <w:b/>
              <w:bCs/>
            </w:rPr>
            <w:fldChar w:fldCharType="end"/>
          </w:r>
          <w:r>
            <w:rPr>
              <w:b/>
              <w:bCs/>
            </w:rPr>
            <w:fldChar w:fldCharType="end"/>
          </w:r>
        </w:p>
        <w:p>
          <w:pPr>
            <w:pStyle w:val="35"/>
            <w:tabs>
              <w:tab w:val="right" w:pos="2000"/>
              <w:tab w:val="right" w:leader="dot" w:pos="10370"/>
            </w:tabs>
            <w:rPr>
              <w:b/>
              <w:bCs/>
            </w:rPr>
          </w:pPr>
          <w:r>
            <w:rPr>
              <w:b/>
              <w:bCs/>
            </w:rPr>
            <w:fldChar w:fldCharType="begin"/>
          </w:r>
          <w:r>
            <w:rPr>
              <w:b/>
              <w:bCs/>
            </w:rPr>
            <w:instrText xml:space="preserve"> HYPERLINK \l _Toc676 </w:instrText>
          </w:r>
          <w:r>
            <w:rPr>
              <w:b/>
              <w:bCs/>
            </w:rPr>
            <w:fldChar w:fldCharType="separate"/>
          </w:r>
          <w:r>
            <w:rPr>
              <w:rFonts w:hint="eastAsia" w:ascii="宋体" w:hAnsi="宋体" w:eastAsia="宋体" w:cs="宋体"/>
              <w:b/>
              <w:bCs/>
              <w:lang w:val="en-US" w:eastAsia="zh-CN"/>
            </w:rPr>
            <w:t>8-1</w:t>
          </w:r>
          <w:r>
            <w:rPr>
              <w:rFonts w:hint="eastAsia" w:ascii="宋体" w:hAnsi="宋体" w:eastAsia="宋体" w:cs="宋体"/>
              <w:b/>
              <w:bCs/>
            </w:rPr>
            <w:tab/>
          </w:r>
          <w:r>
            <w:rPr>
              <w:rFonts w:hint="eastAsia" w:ascii="宋体" w:hAnsi="宋体" w:eastAsia="宋体" w:cs="宋体"/>
              <w:b/>
              <w:bCs/>
            </w:rPr>
            <w:t>投标人企业（单位）类型声明函（投标文件格式七）</w:t>
          </w:r>
          <w:r>
            <w:rPr>
              <w:b/>
              <w:bCs/>
            </w:rPr>
            <w:tab/>
          </w:r>
          <w:r>
            <w:rPr>
              <w:b/>
              <w:bCs/>
            </w:rPr>
            <w:fldChar w:fldCharType="begin"/>
          </w:r>
          <w:r>
            <w:rPr>
              <w:b/>
              <w:bCs/>
            </w:rPr>
            <w:instrText xml:space="preserve"> PAGEREF _Toc676 \h </w:instrText>
          </w:r>
          <w:r>
            <w:rPr>
              <w:b/>
              <w:bCs/>
            </w:rPr>
            <w:fldChar w:fldCharType="separate"/>
          </w:r>
          <w:r>
            <w:rPr>
              <w:b/>
              <w:bCs/>
            </w:rPr>
            <w:t>39</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_Toc10166 </w:instrText>
          </w:r>
          <w:r>
            <w:rPr>
              <w:b/>
              <w:bCs/>
            </w:rPr>
            <w:fldChar w:fldCharType="separate"/>
          </w:r>
          <w:r>
            <w:rPr>
              <w:rFonts w:hint="eastAsia" w:ascii="宋体" w:hAnsi="宋体" w:eastAsia="宋体" w:cs="宋体"/>
              <w:b/>
              <w:bCs/>
              <w:lang w:val="en-US" w:eastAsia="zh-CN"/>
            </w:rPr>
            <w:t xml:space="preserve">8-2  </w:t>
          </w:r>
          <w:r>
            <w:rPr>
              <w:rFonts w:hint="eastAsia" w:ascii="宋体" w:hAnsi="宋体" w:eastAsia="宋体" w:cs="宋体"/>
              <w:b/>
              <w:bCs/>
            </w:rPr>
            <w:t>制造商企业（单位）类型声明函（投标文件格式八）（本项目不适用）</w:t>
          </w:r>
          <w:r>
            <w:rPr>
              <w:b/>
              <w:bCs/>
            </w:rPr>
            <w:tab/>
          </w:r>
          <w:r>
            <w:rPr>
              <w:b/>
              <w:bCs/>
            </w:rPr>
            <w:fldChar w:fldCharType="begin"/>
          </w:r>
          <w:r>
            <w:rPr>
              <w:b/>
              <w:bCs/>
            </w:rPr>
            <w:instrText xml:space="preserve"> PAGEREF _Toc10166 \h </w:instrText>
          </w:r>
          <w:r>
            <w:rPr>
              <w:b/>
              <w:bCs/>
            </w:rPr>
            <w:fldChar w:fldCharType="separate"/>
          </w:r>
          <w:r>
            <w:rPr>
              <w:b/>
              <w:bCs/>
            </w:rPr>
            <w:t>40</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_Toc31089 </w:instrText>
          </w:r>
          <w:r>
            <w:rPr>
              <w:b/>
              <w:bCs/>
            </w:rPr>
            <w:fldChar w:fldCharType="separate"/>
          </w:r>
          <w:r>
            <w:rPr>
              <w:rFonts w:hint="eastAsia" w:ascii="宋体" w:hAnsi="宋体" w:eastAsia="宋体" w:cs="宋体"/>
              <w:b/>
              <w:bCs/>
              <w:lang w:val="en-US" w:eastAsia="zh-CN"/>
            </w:rPr>
            <w:t xml:space="preserve">10 </w:t>
          </w:r>
          <w:r>
            <w:rPr>
              <w:rFonts w:hint="eastAsia" w:ascii="宋体" w:hAnsi="宋体" w:eastAsia="宋体" w:cs="宋体"/>
              <w:b/>
              <w:bCs/>
            </w:rPr>
            <w:t>投标文件还应包括投标人须知第10条的所有</w:t>
          </w:r>
          <w:r>
            <w:rPr>
              <w:rFonts w:hint="eastAsia" w:ascii="宋体" w:hAnsi="宋体" w:eastAsia="宋体" w:cs="宋体"/>
              <w:b/>
              <w:bCs/>
              <w:lang w:val="en-US" w:eastAsia="zh-CN"/>
            </w:rPr>
            <w:t>投标</w:t>
          </w:r>
          <w:r>
            <w:rPr>
              <w:rFonts w:hint="eastAsia" w:ascii="宋体" w:hAnsi="宋体" w:eastAsia="宋体" w:cs="宋体"/>
              <w:b/>
              <w:bCs/>
            </w:rPr>
            <w:t>文</w:t>
          </w:r>
          <w:r>
            <w:rPr>
              <w:b/>
              <w:bCs/>
            </w:rPr>
            <w:t>件</w:t>
          </w:r>
          <w:r>
            <w:rPr>
              <w:b/>
              <w:bCs/>
            </w:rPr>
            <w:tab/>
          </w:r>
          <w:r>
            <w:rPr>
              <w:b/>
              <w:bCs/>
            </w:rPr>
            <w:fldChar w:fldCharType="begin"/>
          </w:r>
          <w:r>
            <w:rPr>
              <w:b/>
              <w:bCs/>
            </w:rPr>
            <w:instrText xml:space="preserve"> PAGEREF _Toc31089 \h </w:instrText>
          </w:r>
          <w:r>
            <w:rPr>
              <w:b/>
              <w:bCs/>
            </w:rPr>
            <w:fldChar w:fldCharType="separate"/>
          </w:r>
          <w:r>
            <w:rPr>
              <w:b/>
              <w:bCs/>
            </w:rPr>
            <w:t>41</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_Toc20683 </w:instrText>
          </w:r>
          <w:r>
            <w:rPr>
              <w:b/>
              <w:bCs/>
            </w:rPr>
            <w:fldChar w:fldCharType="separate"/>
          </w:r>
          <w:r>
            <w:rPr>
              <w:rFonts w:hint="eastAsia" w:ascii="宋体" w:hAnsi="宋体" w:eastAsia="宋体" w:cs="宋体"/>
              <w:b/>
              <w:bCs/>
              <w:lang w:val="en-US" w:eastAsia="zh-CN"/>
            </w:rPr>
            <w:t>11</w:t>
          </w:r>
          <w:r>
            <w:rPr>
              <w:rFonts w:hint="eastAsia" w:ascii="宋体" w:hAnsi="宋体" w:eastAsia="宋体" w:cs="宋体"/>
              <w:b/>
              <w:bCs/>
            </w:rPr>
            <w:t>、投标单位（供应商）反商业贿赂承诺书</w:t>
          </w:r>
          <w:r>
            <w:rPr>
              <w:b/>
              <w:bCs/>
            </w:rPr>
            <w:tab/>
          </w:r>
          <w:r>
            <w:rPr>
              <w:b/>
              <w:bCs/>
            </w:rPr>
            <w:fldChar w:fldCharType="begin"/>
          </w:r>
          <w:r>
            <w:rPr>
              <w:b/>
              <w:bCs/>
            </w:rPr>
            <w:instrText xml:space="preserve"> PAGEREF _Toc20683 \h </w:instrText>
          </w:r>
          <w:r>
            <w:rPr>
              <w:b/>
              <w:bCs/>
            </w:rPr>
            <w:fldChar w:fldCharType="separate"/>
          </w:r>
          <w:r>
            <w:rPr>
              <w:b/>
              <w:bCs/>
            </w:rPr>
            <w:t>42</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_Toc29498 </w:instrText>
          </w:r>
          <w:r>
            <w:rPr>
              <w:b/>
              <w:bCs/>
            </w:rPr>
            <w:fldChar w:fldCharType="separate"/>
          </w:r>
          <w:r>
            <w:rPr>
              <w:rFonts w:hint="eastAsia" w:ascii="宋体" w:hAnsi="宋体" w:eastAsia="宋体" w:cs="宋体"/>
              <w:b/>
              <w:bCs/>
              <w:kern w:val="0"/>
              <w:szCs w:val="20"/>
              <w:lang w:val="en-US" w:eastAsia="zh-CN" w:bidi="zh-CN"/>
            </w:rPr>
            <w:t>13.绿化环卫服务一体化技术方案</w:t>
          </w:r>
          <w:r>
            <w:rPr>
              <w:b/>
              <w:bCs/>
            </w:rPr>
            <w:tab/>
          </w:r>
          <w:r>
            <w:rPr>
              <w:b/>
              <w:bCs/>
            </w:rPr>
            <w:fldChar w:fldCharType="begin"/>
          </w:r>
          <w:r>
            <w:rPr>
              <w:b/>
              <w:bCs/>
            </w:rPr>
            <w:instrText xml:space="preserve"> PAGEREF _Toc29498 \h </w:instrText>
          </w:r>
          <w:r>
            <w:rPr>
              <w:b/>
              <w:bCs/>
            </w:rPr>
            <w:fldChar w:fldCharType="separate"/>
          </w:r>
          <w:r>
            <w:rPr>
              <w:b/>
              <w:bCs/>
            </w:rPr>
            <w:t>43</w:t>
          </w:r>
          <w:r>
            <w:rPr>
              <w:b/>
              <w:bCs/>
            </w:rPr>
            <w:fldChar w:fldCharType="end"/>
          </w:r>
          <w:r>
            <w:rPr>
              <w:b/>
              <w:bCs/>
            </w:rPr>
            <w:fldChar w:fldCharType="end"/>
          </w:r>
        </w:p>
        <w:p>
          <w:pPr>
            <w:pStyle w:val="34"/>
            <w:tabs>
              <w:tab w:val="right" w:leader="dot" w:pos="10370"/>
            </w:tabs>
            <w:ind w:firstLine="402" w:firstLineChars="200"/>
            <w:rPr>
              <w:b/>
              <w:bCs/>
            </w:rPr>
          </w:pPr>
          <w:r>
            <w:rPr>
              <w:b/>
              <w:bCs/>
            </w:rPr>
            <w:fldChar w:fldCharType="begin"/>
          </w:r>
          <w:r>
            <w:rPr>
              <w:b/>
              <w:bCs/>
            </w:rPr>
            <w:instrText xml:space="preserve"> HYPERLINK \l _Toc28287 </w:instrText>
          </w:r>
          <w:r>
            <w:rPr>
              <w:b/>
              <w:bCs/>
            </w:rPr>
            <w:fldChar w:fldCharType="separate"/>
          </w:r>
          <w:r>
            <w:rPr>
              <w:rFonts w:hint="eastAsia" w:ascii="宋体" w:hAnsi="宋体" w:eastAsia="宋体" w:cs="宋体"/>
              <w:b/>
              <w:bCs/>
              <w:szCs w:val="20"/>
            </w:rPr>
            <w:t>第二册</w:t>
          </w:r>
          <w:r>
            <w:rPr>
              <w:b/>
              <w:bCs/>
            </w:rPr>
            <w:tab/>
          </w:r>
          <w:r>
            <w:rPr>
              <w:b/>
              <w:bCs/>
            </w:rPr>
            <w:fldChar w:fldCharType="begin"/>
          </w:r>
          <w:r>
            <w:rPr>
              <w:b/>
              <w:bCs/>
            </w:rPr>
            <w:instrText xml:space="preserve"> PAGEREF _Toc28287 \h </w:instrText>
          </w:r>
          <w:r>
            <w:rPr>
              <w:b/>
              <w:bCs/>
            </w:rPr>
            <w:fldChar w:fldCharType="separate"/>
          </w:r>
          <w:r>
            <w:rPr>
              <w:b/>
              <w:bCs/>
            </w:rPr>
            <w:t>44</w:t>
          </w:r>
          <w:r>
            <w:rPr>
              <w:b/>
              <w:bCs/>
            </w:rPr>
            <w:fldChar w:fldCharType="end"/>
          </w:r>
          <w:r>
            <w:rPr>
              <w:b/>
              <w:bCs/>
            </w:rPr>
            <w:fldChar w:fldCharType="end"/>
          </w:r>
        </w:p>
        <w:p>
          <w:pPr>
            <w:pStyle w:val="34"/>
            <w:tabs>
              <w:tab w:val="right" w:leader="dot" w:pos="10370"/>
            </w:tabs>
            <w:ind w:firstLine="402" w:firstLineChars="200"/>
            <w:rPr>
              <w:b/>
              <w:bCs/>
            </w:rPr>
          </w:pPr>
          <w:r>
            <w:rPr>
              <w:b/>
              <w:bCs/>
            </w:rPr>
            <w:fldChar w:fldCharType="begin"/>
          </w:r>
          <w:r>
            <w:rPr>
              <w:b/>
              <w:bCs/>
            </w:rPr>
            <w:instrText xml:space="preserve"> HYPERLINK \l _Toc32627 </w:instrText>
          </w:r>
          <w:r>
            <w:rPr>
              <w:b/>
              <w:bCs/>
            </w:rPr>
            <w:fldChar w:fldCharType="separate"/>
          </w:r>
          <w:r>
            <w:rPr>
              <w:rFonts w:hint="eastAsia" w:ascii="宋体" w:hAnsi="宋体" w:eastAsia="宋体" w:cs="宋体"/>
              <w:b/>
              <w:bCs/>
            </w:rPr>
            <w:t xml:space="preserve">第3章 </w:t>
          </w:r>
          <w:r>
            <w:rPr>
              <w:rFonts w:hint="eastAsia" w:ascii="宋体" w:hAnsi="宋体" w:eastAsia="宋体" w:cs="宋体"/>
              <w:b/>
              <w:bCs/>
              <w:lang w:val="en-US" w:eastAsia="zh-CN"/>
            </w:rPr>
            <w:t>招标公告</w:t>
          </w:r>
          <w:r>
            <w:rPr>
              <w:b/>
              <w:bCs/>
            </w:rPr>
            <w:tab/>
          </w:r>
          <w:r>
            <w:rPr>
              <w:b/>
              <w:bCs/>
            </w:rPr>
            <w:fldChar w:fldCharType="begin"/>
          </w:r>
          <w:r>
            <w:rPr>
              <w:b/>
              <w:bCs/>
            </w:rPr>
            <w:instrText xml:space="preserve"> PAGEREF _Toc32627 \h </w:instrText>
          </w:r>
          <w:r>
            <w:rPr>
              <w:b/>
              <w:bCs/>
            </w:rPr>
            <w:fldChar w:fldCharType="separate"/>
          </w:r>
          <w:r>
            <w:rPr>
              <w:b/>
              <w:bCs/>
            </w:rPr>
            <w:t>45</w:t>
          </w:r>
          <w:r>
            <w:rPr>
              <w:b/>
              <w:bCs/>
            </w:rPr>
            <w:fldChar w:fldCharType="end"/>
          </w:r>
          <w:r>
            <w:rPr>
              <w:b/>
              <w:bCs/>
            </w:rPr>
            <w:fldChar w:fldCharType="end"/>
          </w:r>
        </w:p>
        <w:p>
          <w:pPr>
            <w:pStyle w:val="35"/>
            <w:tabs>
              <w:tab w:val="right" w:leader="dot" w:pos="10370"/>
            </w:tabs>
            <w:rPr>
              <w:b/>
              <w:bCs/>
            </w:rPr>
          </w:pPr>
          <w:r>
            <w:rPr>
              <w:b/>
              <w:bCs/>
            </w:rPr>
            <w:fldChar w:fldCharType="begin"/>
          </w:r>
          <w:r>
            <w:rPr>
              <w:b/>
              <w:bCs/>
            </w:rPr>
            <w:instrText xml:space="preserve"> HYPERLINK \l _Toc24062 </w:instrText>
          </w:r>
          <w:r>
            <w:rPr>
              <w:b/>
              <w:bCs/>
            </w:rPr>
            <w:fldChar w:fldCharType="separate"/>
          </w:r>
          <w:r>
            <w:rPr>
              <w:rFonts w:hint="eastAsia" w:ascii="宋体" w:hAnsi="宋体" w:eastAsia="宋体" w:cs="宋体"/>
              <w:b/>
              <w:bCs/>
            </w:rPr>
            <w:t>第四章投标人须知资料表</w:t>
          </w:r>
          <w:r>
            <w:rPr>
              <w:b/>
              <w:bCs/>
            </w:rPr>
            <w:tab/>
          </w:r>
          <w:r>
            <w:rPr>
              <w:b/>
              <w:bCs/>
            </w:rPr>
            <w:fldChar w:fldCharType="begin"/>
          </w:r>
          <w:r>
            <w:rPr>
              <w:b/>
              <w:bCs/>
            </w:rPr>
            <w:instrText xml:space="preserve"> PAGEREF _Toc24062 \h </w:instrText>
          </w:r>
          <w:r>
            <w:rPr>
              <w:b/>
              <w:bCs/>
            </w:rPr>
            <w:fldChar w:fldCharType="separate"/>
          </w:r>
          <w:r>
            <w:rPr>
              <w:b/>
              <w:bCs/>
            </w:rPr>
            <w:t>48</w:t>
          </w:r>
          <w:r>
            <w:rPr>
              <w:b/>
              <w:bCs/>
            </w:rPr>
            <w:fldChar w:fldCharType="end"/>
          </w:r>
          <w:r>
            <w:rPr>
              <w:b/>
              <w:bCs/>
            </w:rPr>
            <w:fldChar w:fldCharType="end"/>
          </w:r>
        </w:p>
        <w:p>
          <w:pPr>
            <w:pStyle w:val="34"/>
            <w:tabs>
              <w:tab w:val="right" w:leader="dot" w:pos="10370"/>
            </w:tabs>
            <w:ind w:firstLine="402" w:firstLineChars="200"/>
            <w:rPr>
              <w:b/>
              <w:bCs/>
            </w:rPr>
          </w:pPr>
          <w:r>
            <w:rPr>
              <w:b/>
              <w:bCs/>
            </w:rPr>
            <w:fldChar w:fldCharType="begin"/>
          </w:r>
          <w:r>
            <w:rPr>
              <w:b/>
              <w:bCs/>
            </w:rPr>
            <w:instrText xml:space="preserve"> HYPERLINK \l _Toc19133 </w:instrText>
          </w:r>
          <w:r>
            <w:rPr>
              <w:b/>
              <w:bCs/>
            </w:rPr>
            <w:fldChar w:fldCharType="separate"/>
          </w:r>
          <w:r>
            <w:rPr>
              <w:rFonts w:hint="eastAsia" w:ascii="宋体" w:hAnsi="宋体" w:eastAsia="宋体" w:cs="宋体"/>
              <w:b/>
              <w:bCs/>
              <w:szCs w:val="28"/>
              <w:highlight w:val="none"/>
              <w:lang w:val="en-US" w:eastAsia="zh-CN"/>
            </w:rPr>
            <w:t>第五章服务需求</w:t>
          </w:r>
          <w:r>
            <w:rPr>
              <w:b/>
              <w:bCs/>
            </w:rPr>
            <w:tab/>
          </w:r>
          <w:r>
            <w:rPr>
              <w:b/>
              <w:bCs/>
            </w:rPr>
            <w:fldChar w:fldCharType="begin"/>
          </w:r>
          <w:r>
            <w:rPr>
              <w:b/>
              <w:bCs/>
            </w:rPr>
            <w:instrText xml:space="preserve"> PAGEREF _Toc19133 \h </w:instrText>
          </w:r>
          <w:r>
            <w:rPr>
              <w:b/>
              <w:bCs/>
            </w:rPr>
            <w:fldChar w:fldCharType="separate"/>
          </w:r>
          <w:r>
            <w:rPr>
              <w:b/>
              <w:bCs/>
            </w:rPr>
            <w:t>51</w:t>
          </w:r>
          <w:r>
            <w:rPr>
              <w:b/>
              <w:bCs/>
            </w:rPr>
            <w:fldChar w:fldCharType="end"/>
          </w:r>
          <w:r>
            <w:rPr>
              <w:b/>
              <w:bCs/>
            </w:rPr>
            <w:fldChar w:fldCharType="end"/>
          </w:r>
        </w:p>
        <w:p>
          <w:pPr>
            <w:pStyle w:val="35"/>
            <w:tabs>
              <w:tab w:val="right" w:pos="2400"/>
              <w:tab w:val="right" w:leader="dot" w:pos="10370"/>
            </w:tabs>
            <w:rPr>
              <w:b/>
              <w:bCs/>
            </w:rPr>
          </w:pPr>
          <w:r>
            <w:rPr>
              <w:b/>
              <w:bCs/>
            </w:rPr>
            <w:fldChar w:fldCharType="begin"/>
          </w:r>
          <w:r>
            <w:rPr>
              <w:b/>
              <w:bCs/>
            </w:rPr>
            <w:instrText xml:space="preserve"> HYPERLINK \l _Toc25263 </w:instrText>
          </w:r>
          <w:r>
            <w:rPr>
              <w:b/>
              <w:bCs/>
            </w:rPr>
            <w:fldChar w:fldCharType="separate"/>
          </w:r>
          <w:r>
            <w:rPr>
              <w:b/>
              <w:bCs/>
            </w:rPr>
            <w:t>第七章</w:t>
          </w:r>
          <w:r>
            <w:rPr>
              <w:b/>
              <w:bCs/>
            </w:rPr>
            <w:tab/>
          </w:r>
          <w:r>
            <w:rPr>
              <w:b/>
              <w:bCs/>
            </w:rPr>
            <w:t>确定中标</w:t>
          </w:r>
          <w:r>
            <w:rPr>
              <w:b/>
              <w:bCs/>
            </w:rPr>
            <w:tab/>
          </w:r>
          <w:r>
            <w:rPr>
              <w:b/>
              <w:bCs/>
            </w:rPr>
            <w:fldChar w:fldCharType="begin"/>
          </w:r>
          <w:r>
            <w:rPr>
              <w:b/>
              <w:bCs/>
            </w:rPr>
            <w:instrText xml:space="preserve"> PAGEREF _Toc25263 \h </w:instrText>
          </w:r>
          <w:r>
            <w:rPr>
              <w:b/>
              <w:bCs/>
            </w:rPr>
            <w:fldChar w:fldCharType="separate"/>
          </w:r>
          <w:r>
            <w:rPr>
              <w:b/>
              <w:bCs/>
            </w:rPr>
            <w:t>66</w:t>
          </w:r>
          <w:r>
            <w:rPr>
              <w:b/>
              <w:bCs/>
            </w:rPr>
            <w:fldChar w:fldCharType="end"/>
          </w:r>
          <w:r>
            <w:rPr>
              <w:b/>
              <w:bCs/>
            </w:rPr>
            <w:fldChar w:fldCharType="end"/>
          </w:r>
        </w:p>
        <w:p>
          <w:pPr>
            <w:pStyle w:val="35"/>
            <w:tabs>
              <w:tab w:val="right" w:leader="dot" w:pos="10370"/>
            </w:tabs>
          </w:pPr>
          <w:r>
            <w:rPr>
              <w:b/>
              <w:bCs/>
            </w:rPr>
            <w:fldChar w:fldCharType="begin"/>
          </w:r>
          <w:r>
            <w:rPr>
              <w:b/>
              <w:bCs/>
            </w:rPr>
            <w:instrText xml:space="preserve"> HYPERLINK \l _Toc18841 </w:instrText>
          </w:r>
          <w:r>
            <w:rPr>
              <w:b/>
              <w:bCs/>
            </w:rPr>
            <w:fldChar w:fldCharType="separate"/>
          </w:r>
          <w:r>
            <w:rPr>
              <w:rFonts w:hint="eastAsia" w:ascii="楷体" w:hAnsi="楷体" w:eastAsia="楷体" w:cs="楷体"/>
              <w:b/>
              <w:bCs/>
            </w:rPr>
            <w:t>第8章 政府采购合同</w:t>
          </w:r>
          <w:r>
            <w:rPr>
              <w:b/>
              <w:bCs/>
            </w:rPr>
            <w:tab/>
          </w:r>
          <w:r>
            <w:rPr>
              <w:b/>
              <w:bCs/>
            </w:rPr>
            <w:fldChar w:fldCharType="begin"/>
          </w:r>
          <w:r>
            <w:rPr>
              <w:b/>
              <w:bCs/>
            </w:rPr>
            <w:instrText xml:space="preserve"> PAGEREF _Toc18841 \h </w:instrText>
          </w:r>
          <w:r>
            <w:rPr>
              <w:b/>
              <w:bCs/>
            </w:rPr>
            <w:fldChar w:fldCharType="separate"/>
          </w:r>
          <w:r>
            <w:rPr>
              <w:b/>
              <w:bCs/>
            </w:rPr>
            <w:t>68</w:t>
          </w:r>
          <w:r>
            <w:rPr>
              <w:b/>
              <w:bCs/>
            </w:rPr>
            <w:fldChar w:fldCharType="end"/>
          </w:r>
          <w:r>
            <w:rPr>
              <w:b/>
              <w:bCs/>
            </w:rPr>
            <w:fldChar w:fldCharType="end"/>
          </w:r>
        </w:p>
        <w:p>
          <w:pPr>
            <w:pStyle w:val="35"/>
            <w:tabs>
              <w:tab w:val="right" w:leader="dot" w:pos="10370"/>
            </w:tabs>
          </w:pPr>
        </w:p>
        <w:p>
          <w:pPr>
            <w:pStyle w:val="14"/>
            <w:tabs>
              <w:tab w:val="left" w:pos="2257"/>
              <w:tab w:val="left" w:pos="9128"/>
            </w:tabs>
            <w:ind w:left="0" w:leftChars="0" w:firstLine="0" w:firstLineChars="0"/>
          </w:pPr>
          <w:r>
            <w:rPr>
              <w:b/>
            </w:rPr>
            <w:fldChar w:fldCharType="end"/>
          </w:r>
        </w:p>
      </w:sdtContent>
    </w:sdt>
    <w:p>
      <w:bookmarkStart w:id="12" w:name="_Toc6517"/>
    </w:p>
    <w:p>
      <w:pPr>
        <w:rPr>
          <w:rFonts w:hint="eastAsia" w:asciiTheme="minorEastAsia" w:hAnsiTheme="minorEastAsia" w:eastAsiaTheme="minorEastAsia" w:cstheme="minorEastAsia"/>
        </w:rPr>
      </w:pPr>
      <w:bookmarkStart w:id="13" w:name="_Toc23125"/>
      <w:bookmarkStart w:id="14" w:name="_Toc21798"/>
      <w:r>
        <w:rPr>
          <w:rFonts w:hint="eastAsia" w:asciiTheme="minorEastAsia" w:hAnsiTheme="minorEastAsia" w:eastAsiaTheme="minorEastAsia" w:cstheme="minorEastAsia"/>
        </w:rPr>
        <w:br w:type="page"/>
      </w:r>
    </w:p>
    <w:p>
      <w:pPr>
        <w:pStyle w:val="4"/>
        <w:tabs>
          <w:tab w:val="left" w:pos="1221"/>
        </w:tabs>
        <w:ind w:firstLine="4176" w:firstLineChars="1300"/>
        <w:jc w:val="both"/>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第1章</w:t>
      </w:r>
      <w:r>
        <w:rPr>
          <w:rFonts w:hint="eastAsia" w:asciiTheme="minorEastAsia" w:hAnsiTheme="minorEastAsia" w:eastAsiaTheme="minorEastAsia" w:cstheme="minorEastAsia"/>
        </w:rPr>
        <w:tab/>
      </w:r>
      <w:bookmarkStart w:id="15" w:name="第1章  投标人须知"/>
      <w:bookmarkEnd w:id="15"/>
      <w:bookmarkStart w:id="16" w:name="_bookmark0"/>
      <w:bookmarkEnd w:id="16"/>
      <w:r>
        <w:rPr>
          <w:rFonts w:hint="eastAsia" w:asciiTheme="minorEastAsia" w:hAnsiTheme="minorEastAsia" w:eastAsiaTheme="minorEastAsia" w:cstheme="minorEastAsia"/>
        </w:rPr>
        <w:t>投标人须知</w:t>
      </w:r>
      <w:bookmarkEnd w:id="12"/>
      <w:bookmarkEnd w:id="13"/>
      <w:bookmarkEnd w:id="14"/>
    </w:p>
    <w:p>
      <w:pPr>
        <w:pStyle w:val="3"/>
        <w:spacing w:before="11"/>
        <w:rPr>
          <w:rFonts w:hint="eastAsia" w:asciiTheme="minorEastAsia" w:hAnsiTheme="minorEastAsia" w:eastAsiaTheme="minorEastAsia" w:cstheme="minorEastAsia"/>
          <w:b/>
          <w:sz w:val="42"/>
        </w:rPr>
      </w:pPr>
    </w:p>
    <w:p>
      <w:pPr>
        <w:tabs>
          <w:tab w:val="left" w:pos="1303"/>
        </w:tabs>
        <w:spacing w:before="0"/>
        <w:ind w:left="600" w:right="0" w:firstLine="0"/>
        <w:jc w:val="center"/>
        <w:outlineLvl w:val="1"/>
        <w:rPr>
          <w:rFonts w:hint="eastAsia" w:asciiTheme="minorEastAsia" w:hAnsiTheme="minorEastAsia" w:eastAsiaTheme="minorEastAsia" w:cstheme="minorEastAsia"/>
          <w:b/>
          <w:sz w:val="28"/>
        </w:rPr>
      </w:pPr>
      <w:bookmarkStart w:id="17" w:name="一   总 则"/>
      <w:bookmarkEnd w:id="17"/>
      <w:bookmarkStart w:id="18" w:name="_Toc18573"/>
      <w:bookmarkStart w:id="19" w:name="_Toc20811"/>
      <w:bookmarkStart w:id="20" w:name="_Toc18701"/>
      <w:r>
        <w:rPr>
          <w:rFonts w:hint="eastAsia" w:asciiTheme="minorEastAsia" w:hAnsiTheme="minorEastAsia" w:eastAsiaTheme="minorEastAsia" w:cstheme="minorEastAsia"/>
          <w:b/>
          <w:sz w:val="28"/>
        </w:rPr>
        <w:t>一总 则</w:t>
      </w:r>
      <w:bookmarkEnd w:id="18"/>
      <w:bookmarkEnd w:id="19"/>
      <w:bookmarkEnd w:id="20"/>
    </w:p>
    <w:p>
      <w:pPr>
        <w:pStyle w:val="3"/>
        <w:spacing w:before="11"/>
        <w:rPr>
          <w:rFonts w:hint="eastAsia" w:asciiTheme="minorEastAsia" w:hAnsiTheme="minorEastAsia" w:eastAsiaTheme="minorEastAsia" w:cstheme="minorEastAsia"/>
          <w:b/>
          <w:sz w:val="34"/>
        </w:rPr>
      </w:pPr>
    </w:p>
    <w:p>
      <w:pPr>
        <w:pStyle w:val="28"/>
        <w:numPr>
          <w:ilvl w:val="0"/>
          <w:numId w:val="1"/>
        </w:numPr>
        <w:tabs>
          <w:tab w:val="left" w:pos="1301"/>
        </w:tabs>
        <w:spacing w:before="0" w:after="0" w:line="240" w:lineRule="auto"/>
        <w:ind w:left="1301" w:right="0" w:hanging="244"/>
        <w:jc w:val="left"/>
        <w:outlineLvl w:val="1"/>
        <w:rPr>
          <w:rFonts w:hint="eastAsia" w:asciiTheme="minorEastAsia" w:hAnsiTheme="minorEastAsia" w:eastAsiaTheme="minorEastAsia" w:cstheme="minorEastAsia"/>
          <w:b/>
          <w:sz w:val="24"/>
        </w:rPr>
      </w:pPr>
      <w:bookmarkStart w:id="21" w:name="1.采购人、采购代理机构及投标人"/>
      <w:bookmarkEnd w:id="21"/>
      <w:bookmarkStart w:id="22" w:name="1.采购人、采购代理机构及投标人"/>
      <w:bookmarkEnd w:id="22"/>
      <w:bookmarkStart w:id="23" w:name="_Toc23875"/>
      <w:bookmarkStart w:id="24" w:name="_Toc5446"/>
      <w:bookmarkStart w:id="25" w:name="_Toc25803"/>
      <w:r>
        <w:rPr>
          <w:rFonts w:hint="eastAsia" w:asciiTheme="minorEastAsia" w:hAnsiTheme="minorEastAsia" w:eastAsiaTheme="minorEastAsia" w:cstheme="minorEastAsia"/>
          <w:b/>
          <w:sz w:val="24"/>
        </w:rPr>
        <w:t>采购人、采购代理机构及投标人</w:t>
      </w:r>
      <w:bookmarkEnd w:id="23"/>
      <w:bookmarkEnd w:id="24"/>
      <w:bookmarkEnd w:id="25"/>
    </w:p>
    <w:p>
      <w:pPr>
        <w:pStyle w:val="28"/>
        <w:numPr>
          <w:ilvl w:val="1"/>
          <w:numId w:val="1"/>
        </w:numPr>
        <w:tabs>
          <w:tab w:val="left" w:pos="1957"/>
          <w:tab w:val="left" w:pos="1958"/>
        </w:tabs>
        <w:spacing w:before="5" w:after="0" w:line="242" w:lineRule="auto"/>
        <w:ind w:left="1957" w:right="1117" w:hanging="898"/>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采购人：是指依法开展政府采购活动的国家机关、事业单位、团体组织。</w:t>
      </w:r>
    </w:p>
    <w:p>
      <w:pPr>
        <w:pStyle w:val="3"/>
        <w:spacing w:before="3"/>
        <w:ind w:left="1957"/>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本项目的采购人见</w:t>
      </w:r>
      <w:r>
        <w:rPr>
          <w:rFonts w:hint="eastAsia" w:asciiTheme="minorEastAsia" w:hAnsiTheme="minorEastAsia" w:eastAsiaTheme="minorEastAsia" w:cstheme="minorEastAsia"/>
          <w:u w:val="single"/>
        </w:rPr>
        <w:t>投标人须知资料表</w:t>
      </w:r>
      <w:r>
        <w:rPr>
          <w:rFonts w:hint="eastAsia" w:asciiTheme="minorEastAsia" w:hAnsiTheme="minorEastAsia" w:eastAsiaTheme="minorEastAsia" w:cstheme="minorEastAsia"/>
        </w:rPr>
        <w:t>。</w:t>
      </w:r>
    </w:p>
    <w:p>
      <w:pPr>
        <w:pStyle w:val="28"/>
        <w:numPr>
          <w:ilvl w:val="1"/>
          <w:numId w:val="1"/>
        </w:numPr>
        <w:tabs>
          <w:tab w:val="left" w:pos="1957"/>
          <w:tab w:val="left" w:pos="1958"/>
        </w:tabs>
        <w:spacing w:before="4" w:after="0" w:line="242" w:lineRule="auto"/>
        <w:ind w:left="1957" w:right="1115" w:hanging="898"/>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采购代理机构：是指在集中采购机构或从事采购代理业务的社会中介机构。本项目的采购代理机构见</w:t>
      </w:r>
      <w:r>
        <w:rPr>
          <w:rFonts w:hint="eastAsia" w:asciiTheme="minorEastAsia" w:hAnsiTheme="minorEastAsia" w:eastAsiaTheme="minorEastAsia" w:cstheme="minorEastAsia"/>
          <w:sz w:val="24"/>
          <w:u w:val="single"/>
        </w:rPr>
        <w:t>投标人须知资料表</w:t>
      </w:r>
      <w:r>
        <w:rPr>
          <w:rFonts w:hint="eastAsia" w:asciiTheme="minorEastAsia" w:hAnsiTheme="minorEastAsia" w:eastAsiaTheme="minorEastAsia" w:cstheme="minorEastAsia"/>
          <w:sz w:val="24"/>
        </w:rPr>
        <w:t>。</w:t>
      </w:r>
    </w:p>
    <w:p>
      <w:pPr>
        <w:pStyle w:val="28"/>
        <w:numPr>
          <w:ilvl w:val="1"/>
          <w:numId w:val="1"/>
        </w:numPr>
        <w:tabs>
          <w:tab w:val="left" w:pos="1957"/>
          <w:tab w:val="left" w:pos="1958"/>
        </w:tabs>
        <w:spacing w:before="3" w:after="0" w:line="242" w:lineRule="auto"/>
        <w:ind w:left="1957" w:right="1117" w:hanging="9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投标人：是指向采购人提供货物、工程或者服务的法人、非法人组织或者自然人。本项目的投标人及其报价货物须满足以下条件：</w:t>
      </w:r>
    </w:p>
    <w:p>
      <w:pPr>
        <w:pStyle w:val="28"/>
        <w:numPr>
          <w:ilvl w:val="2"/>
          <w:numId w:val="1"/>
        </w:numPr>
        <w:tabs>
          <w:tab w:val="left" w:pos="1907"/>
          <w:tab w:val="left" w:pos="1908"/>
        </w:tabs>
        <w:spacing w:before="3" w:after="0" w:line="242" w:lineRule="auto"/>
        <w:ind w:left="1907" w:right="1115" w:hanging="8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在中华人民共和国境内注册，能够独立承担民事责任，有生产或供应能</w:t>
      </w:r>
      <w:r>
        <w:rPr>
          <w:rFonts w:hint="eastAsia" w:asciiTheme="minorEastAsia" w:hAnsiTheme="minorEastAsia" w:eastAsiaTheme="minorEastAsia" w:cstheme="minorEastAsia"/>
          <w:sz w:val="24"/>
        </w:rPr>
        <w:t>力的本国投标人。</w:t>
      </w:r>
    </w:p>
    <w:p>
      <w:pPr>
        <w:pStyle w:val="28"/>
        <w:numPr>
          <w:ilvl w:val="2"/>
          <w:numId w:val="1"/>
        </w:numPr>
        <w:tabs>
          <w:tab w:val="left" w:pos="1897"/>
          <w:tab w:val="left" w:pos="1898"/>
        </w:tabs>
        <w:spacing w:before="3" w:after="0" w:line="242" w:lineRule="auto"/>
        <w:ind w:left="1957" w:right="995" w:hanging="9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6"/>
          <w:sz w:val="24"/>
        </w:rPr>
        <w:t xml:space="preserve">具备《中华人民共和国政府采购法》第二十二条关于投标人条件的规定， </w:t>
      </w:r>
      <w:r>
        <w:rPr>
          <w:rFonts w:hint="eastAsia" w:asciiTheme="minorEastAsia" w:hAnsiTheme="minorEastAsia" w:eastAsiaTheme="minorEastAsia" w:cstheme="minorEastAsia"/>
          <w:sz w:val="24"/>
        </w:rPr>
        <w:t>遵守本项目采购人本级和上级财政部门政府采购的有关规定。</w:t>
      </w:r>
    </w:p>
    <w:p>
      <w:pPr>
        <w:pStyle w:val="28"/>
        <w:numPr>
          <w:ilvl w:val="2"/>
          <w:numId w:val="1"/>
        </w:numPr>
        <w:tabs>
          <w:tab w:val="left" w:pos="2017"/>
          <w:tab w:val="left" w:pos="2018"/>
        </w:tabs>
        <w:spacing w:before="3" w:after="0" w:line="240" w:lineRule="auto"/>
        <w:ind w:left="2017" w:right="0" w:hanging="96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以采购代理机构认可的方式获得了本项目的招标文件。</w:t>
      </w:r>
    </w:p>
    <w:p>
      <w:pPr>
        <w:pStyle w:val="28"/>
        <w:numPr>
          <w:ilvl w:val="2"/>
          <w:numId w:val="1"/>
        </w:numPr>
        <w:tabs>
          <w:tab w:val="left" w:pos="2017"/>
          <w:tab w:val="left" w:pos="2018"/>
        </w:tabs>
        <w:spacing w:before="4" w:after="0" w:line="240" w:lineRule="auto"/>
        <w:ind w:left="2017" w:right="0" w:hanging="96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w:t>
      </w:r>
      <w:r>
        <w:rPr>
          <w:rFonts w:hint="eastAsia" w:asciiTheme="minorEastAsia" w:hAnsiTheme="minorEastAsia" w:eastAsiaTheme="minorEastAsia" w:cstheme="minorEastAsia"/>
          <w:sz w:val="24"/>
          <w:u w:val="single"/>
        </w:rPr>
        <w:t>投标人须知资料表</w:t>
      </w:r>
      <w:r>
        <w:rPr>
          <w:rFonts w:hint="eastAsia" w:asciiTheme="minorEastAsia" w:hAnsiTheme="minorEastAsia" w:eastAsiaTheme="minorEastAsia" w:cstheme="minorEastAsia"/>
          <w:sz w:val="24"/>
        </w:rPr>
        <w:t>中规定的其他要求。</w:t>
      </w:r>
    </w:p>
    <w:p>
      <w:pPr>
        <w:pStyle w:val="28"/>
        <w:numPr>
          <w:ilvl w:val="2"/>
          <w:numId w:val="1"/>
        </w:numPr>
        <w:tabs>
          <w:tab w:val="left" w:pos="2019"/>
          <w:tab w:val="left" w:pos="2020"/>
        </w:tabs>
        <w:spacing w:before="5" w:after="0" w:line="242" w:lineRule="auto"/>
        <w:ind w:left="1957" w:right="1115" w:hanging="9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FF0000"/>
        </w:rPr>
        <w:tab/>
      </w:r>
      <w:r>
        <w:rPr>
          <w:rFonts w:hint="eastAsia" w:asciiTheme="minorEastAsia" w:hAnsiTheme="minorEastAsia" w:eastAsiaTheme="minorEastAsia" w:cstheme="minorEastAsia"/>
          <w:color w:val="auto"/>
          <w:sz w:val="24"/>
        </w:rPr>
        <w:t>若</w:t>
      </w:r>
      <w:r>
        <w:rPr>
          <w:rFonts w:hint="eastAsia" w:asciiTheme="minorEastAsia" w:hAnsiTheme="minorEastAsia" w:eastAsiaTheme="minorEastAsia" w:cstheme="minorEastAsia"/>
          <w:color w:val="auto"/>
          <w:sz w:val="24"/>
          <w:u w:val="single"/>
        </w:rPr>
        <w:t>投标人须知资料表</w:t>
      </w:r>
      <w:r>
        <w:rPr>
          <w:rFonts w:hint="eastAsia" w:asciiTheme="minorEastAsia" w:hAnsiTheme="minorEastAsia" w:eastAsiaTheme="minorEastAsia" w:cstheme="minorEastAsia"/>
          <w:color w:val="auto"/>
          <w:spacing w:val="-1"/>
          <w:sz w:val="24"/>
        </w:rPr>
        <w:t>中写明允许采购进口产品，投标人应保证所投产</w:t>
      </w:r>
      <w:r>
        <w:rPr>
          <w:rFonts w:hint="eastAsia" w:asciiTheme="minorEastAsia" w:hAnsiTheme="minorEastAsia" w:eastAsiaTheme="minorEastAsia" w:cstheme="minorEastAsia"/>
          <w:color w:val="auto"/>
          <w:sz w:val="24"/>
        </w:rPr>
        <w:t>品可履行合法报通关手续进入中国关境内。</w:t>
      </w:r>
    </w:p>
    <w:p>
      <w:pPr>
        <w:pStyle w:val="3"/>
        <w:spacing w:before="3" w:line="242" w:lineRule="auto"/>
        <w:ind w:left="1955" w:right="1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若</w:t>
      </w:r>
      <w:r>
        <w:rPr>
          <w:rFonts w:hint="eastAsia" w:asciiTheme="minorEastAsia" w:hAnsiTheme="minorEastAsia" w:eastAsiaTheme="minorEastAsia" w:cstheme="minorEastAsia"/>
          <w:color w:val="auto"/>
          <w:u w:val="single"/>
        </w:rPr>
        <w:t>投标人须知资料表</w:t>
      </w:r>
      <w:r>
        <w:rPr>
          <w:rFonts w:hint="eastAsia" w:asciiTheme="minorEastAsia" w:hAnsiTheme="minorEastAsia" w:eastAsiaTheme="minorEastAsia" w:cstheme="minorEastAsia"/>
          <w:color w:val="auto"/>
        </w:rPr>
        <w:t>中未写明允许采购进口产品，如投标人所投产品为进口产品，其报价将被认定为</w:t>
      </w:r>
      <w:r>
        <w:rPr>
          <w:rFonts w:hint="eastAsia" w:asciiTheme="minorEastAsia" w:hAnsiTheme="minorEastAsia" w:eastAsiaTheme="minorEastAsia" w:cstheme="minorEastAsia"/>
          <w:b/>
          <w:color w:val="auto"/>
        </w:rPr>
        <w:t>投标无效</w:t>
      </w:r>
      <w:r>
        <w:rPr>
          <w:rFonts w:hint="eastAsia" w:asciiTheme="minorEastAsia" w:hAnsiTheme="minorEastAsia" w:eastAsiaTheme="minorEastAsia" w:cstheme="minorEastAsia"/>
          <w:color w:val="auto"/>
        </w:rPr>
        <w:t>。</w:t>
      </w:r>
    </w:p>
    <w:p>
      <w:pPr>
        <w:pStyle w:val="28"/>
        <w:numPr>
          <w:ilvl w:val="2"/>
          <w:numId w:val="1"/>
        </w:numPr>
        <w:tabs>
          <w:tab w:val="left" w:pos="1897"/>
          <w:tab w:val="left" w:pos="1898"/>
        </w:tabs>
        <w:spacing w:before="2" w:after="0" w:line="242" w:lineRule="auto"/>
        <w:ind w:left="1897" w:right="1115" w:hanging="84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若</w:t>
      </w:r>
      <w:r>
        <w:rPr>
          <w:rFonts w:hint="eastAsia" w:asciiTheme="minorEastAsia" w:hAnsiTheme="minorEastAsia" w:eastAsiaTheme="minorEastAsia" w:cstheme="minorEastAsia"/>
          <w:sz w:val="24"/>
          <w:u w:val="single"/>
        </w:rPr>
        <w:t>投标人须知资料表</w:t>
      </w:r>
      <w:r>
        <w:rPr>
          <w:rFonts w:hint="eastAsia" w:asciiTheme="minorEastAsia" w:hAnsiTheme="minorEastAsia" w:eastAsiaTheme="minorEastAsia" w:cstheme="minorEastAsia"/>
          <w:spacing w:val="-7"/>
          <w:sz w:val="24"/>
        </w:rPr>
        <w:t>中写明专门面向中小企业采购的，如投标人为非中</w:t>
      </w:r>
      <w:r>
        <w:rPr>
          <w:rFonts w:hint="eastAsia" w:asciiTheme="minorEastAsia" w:hAnsiTheme="minorEastAsia" w:eastAsiaTheme="minorEastAsia" w:cstheme="minorEastAsia"/>
          <w:sz w:val="24"/>
        </w:rPr>
        <w:t>小企业且所投产品为非中小企业产品，其报价将被认定为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pPr>
        <w:pStyle w:val="28"/>
        <w:numPr>
          <w:ilvl w:val="1"/>
          <w:numId w:val="1"/>
        </w:numPr>
        <w:tabs>
          <w:tab w:val="left" w:pos="2017"/>
          <w:tab w:val="left" w:pos="2018"/>
        </w:tabs>
        <w:spacing w:before="3" w:after="0" w:line="240" w:lineRule="auto"/>
        <w:ind w:left="2017" w:right="0" w:hanging="96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w:t>
      </w:r>
      <w:r>
        <w:rPr>
          <w:rFonts w:hint="eastAsia" w:asciiTheme="minorEastAsia" w:hAnsiTheme="minorEastAsia" w:eastAsiaTheme="minorEastAsia" w:cstheme="minorEastAsia"/>
          <w:sz w:val="24"/>
          <w:u w:val="single"/>
        </w:rPr>
        <w:t>投标人须知资料表</w:t>
      </w:r>
      <w:r>
        <w:rPr>
          <w:rFonts w:hint="eastAsia" w:asciiTheme="minorEastAsia" w:hAnsiTheme="minorEastAsia" w:eastAsiaTheme="minorEastAsia" w:cstheme="minorEastAsia"/>
          <w:sz w:val="24"/>
        </w:rPr>
        <w:t>中允许联合体报价，对联合体规定如下：</w:t>
      </w:r>
    </w:p>
    <w:p>
      <w:pPr>
        <w:pStyle w:val="28"/>
        <w:numPr>
          <w:ilvl w:val="2"/>
          <w:numId w:val="1"/>
        </w:numPr>
        <w:tabs>
          <w:tab w:val="left" w:pos="2017"/>
          <w:tab w:val="left" w:pos="2018"/>
        </w:tabs>
        <w:spacing w:before="5" w:after="0" w:line="240" w:lineRule="auto"/>
        <w:ind w:left="2017" w:right="0" w:hanging="96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两个以上投标人可以组成一个报价联合体，以一个投标人的身份报价。</w:t>
      </w:r>
    </w:p>
    <w:p>
      <w:pPr>
        <w:pStyle w:val="28"/>
        <w:numPr>
          <w:ilvl w:val="2"/>
          <w:numId w:val="1"/>
        </w:numPr>
        <w:tabs>
          <w:tab w:val="left" w:pos="2020"/>
        </w:tabs>
        <w:spacing w:before="4"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spacing w:val="-1"/>
          <w:sz w:val="24"/>
        </w:rPr>
        <w:t>联合体各方均应符合《中华人民共和国政府采购法》第二十二条规定</w:t>
      </w:r>
      <w:r>
        <w:rPr>
          <w:rFonts w:hint="eastAsia" w:asciiTheme="minorEastAsia" w:hAnsiTheme="minorEastAsia" w:eastAsiaTheme="minorEastAsia" w:cstheme="minorEastAsia"/>
          <w:sz w:val="24"/>
        </w:rPr>
        <w:t>的条件。</w:t>
      </w:r>
    </w:p>
    <w:p>
      <w:pPr>
        <w:pStyle w:val="28"/>
        <w:numPr>
          <w:ilvl w:val="2"/>
          <w:numId w:val="1"/>
        </w:numPr>
        <w:tabs>
          <w:tab w:val="left" w:pos="2020"/>
        </w:tabs>
        <w:spacing w:before="3" w:after="0" w:line="242" w:lineRule="auto"/>
        <w:ind w:left="1957" w:right="1117"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spacing w:val="-1"/>
          <w:sz w:val="24"/>
        </w:rPr>
        <w:t>采购人根据采购项目对投标人的特殊要求，联合体中至少应当有一方</w:t>
      </w:r>
      <w:r>
        <w:rPr>
          <w:rFonts w:hint="eastAsia" w:asciiTheme="minorEastAsia" w:hAnsiTheme="minorEastAsia" w:eastAsiaTheme="minorEastAsia" w:cstheme="minorEastAsia"/>
          <w:sz w:val="24"/>
        </w:rPr>
        <w:t>符合相关规定。</w:t>
      </w:r>
    </w:p>
    <w:p>
      <w:pPr>
        <w:pStyle w:val="28"/>
        <w:numPr>
          <w:ilvl w:val="2"/>
          <w:numId w:val="1"/>
        </w:numPr>
        <w:tabs>
          <w:tab w:val="left" w:pos="2020"/>
        </w:tabs>
        <w:spacing w:before="3"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spacing w:val="-1"/>
          <w:sz w:val="24"/>
        </w:rPr>
        <w:t>联合体各方应签订共同报价协议，明确约定联合体各方承担的工作和</w:t>
      </w:r>
      <w:r>
        <w:rPr>
          <w:rFonts w:hint="eastAsia" w:asciiTheme="minorEastAsia" w:hAnsiTheme="minorEastAsia" w:eastAsiaTheme="minorEastAsia" w:cstheme="minorEastAsia"/>
          <w:sz w:val="24"/>
        </w:rPr>
        <w:t>相应的责任，并将共同报价协议连同作为投标文件第一部分的内容提交。</w:t>
      </w:r>
    </w:p>
    <w:p>
      <w:pPr>
        <w:pStyle w:val="28"/>
        <w:numPr>
          <w:ilvl w:val="2"/>
          <w:numId w:val="1"/>
        </w:numPr>
        <w:tabs>
          <w:tab w:val="left" w:pos="2020"/>
        </w:tabs>
        <w:spacing w:before="4" w:after="0" w:line="242" w:lineRule="auto"/>
        <w:ind w:left="1957" w:right="1117" w:hanging="90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sz w:val="24"/>
        </w:rPr>
        <w:t>大中型企业、其他自然人、法人或者非法人组织与小型、微型企业组</w:t>
      </w:r>
      <w:r>
        <w:rPr>
          <w:rFonts w:hint="eastAsia" w:asciiTheme="minorEastAsia" w:hAnsiTheme="minorEastAsia" w:eastAsiaTheme="minorEastAsia" w:cstheme="minorEastAsia"/>
          <w:color w:val="auto"/>
          <w:sz w:val="24"/>
        </w:rPr>
        <w:t>成联合体共同参加报价，共同报价协议中应写明小型、微型企业的协议合同金额占到共同报价协议报价总金额的比例。</w:t>
      </w:r>
    </w:p>
    <w:p>
      <w:pPr>
        <w:pStyle w:val="28"/>
        <w:numPr>
          <w:ilvl w:val="2"/>
          <w:numId w:val="1"/>
        </w:numPr>
        <w:tabs>
          <w:tab w:val="left" w:pos="1898"/>
        </w:tabs>
        <w:spacing w:before="4" w:after="0" w:line="242" w:lineRule="auto"/>
        <w:ind w:left="1957" w:right="1115" w:hanging="90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5"/>
          <w:sz w:val="24"/>
        </w:rPr>
        <w:t>联合体中有同类资质的投标人按照联合体分工承担相同工作的，按照较</w:t>
      </w:r>
      <w:r>
        <w:rPr>
          <w:rFonts w:hint="eastAsia" w:asciiTheme="minorEastAsia" w:hAnsiTheme="minorEastAsia" w:eastAsiaTheme="minorEastAsia" w:cstheme="minorEastAsia"/>
          <w:color w:val="auto"/>
          <w:sz w:val="24"/>
        </w:rPr>
        <w:t>低的资质等级确定联合体的资质等级。</w:t>
      </w:r>
    </w:p>
    <w:p>
      <w:pPr>
        <w:pStyle w:val="28"/>
        <w:numPr>
          <w:ilvl w:val="2"/>
          <w:numId w:val="1"/>
        </w:numPr>
        <w:tabs>
          <w:tab w:val="left" w:pos="1898"/>
        </w:tabs>
        <w:spacing w:before="3"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以联合体形式参加政府采购活动的，联合体各方不得再单独参加或者与</w:t>
      </w:r>
      <w:r>
        <w:rPr>
          <w:rFonts w:hint="eastAsia" w:asciiTheme="minorEastAsia" w:hAnsiTheme="minorEastAsia" w:eastAsiaTheme="minorEastAsia" w:cstheme="minorEastAsia"/>
          <w:sz w:val="24"/>
        </w:rPr>
        <w:t>其他投标人另外组成</w:t>
      </w:r>
      <w:r>
        <w:rPr>
          <w:rFonts w:hint="eastAsia" w:asciiTheme="minorEastAsia" w:hAnsiTheme="minorEastAsia" w:eastAsiaTheme="minorEastAsia" w:cstheme="minorEastAsia"/>
          <w:spacing w:val="-7"/>
          <w:sz w:val="24"/>
        </w:rPr>
        <w:t>联合体参加本项目报价</w:t>
      </w:r>
      <w:r>
        <w:rPr>
          <w:rFonts w:hint="eastAsia" w:asciiTheme="minorEastAsia" w:hAnsiTheme="minorEastAsia" w:eastAsiaTheme="minorEastAsia" w:cstheme="minorEastAsia"/>
          <w:sz w:val="24"/>
        </w:rPr>
        <w:t>，否则相关报价将被认定为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pPr>
        <w:spacing w:after="0" w:line="242" w:lineRule="auto"/>
        <w:jc w:val="both"/>
        <w:rPr>
          <w:rFonts w:hint="eastAsia" w:asciiTheme="minorEastAsia" w:hAnsiTheme="minorEastAsia" w:eastAsiaTheme="minorEastAsia" w:cstheme="minorEastAsia"/>
          <w:sz w:val="24"/>
        </w:rPr>
        <w:sectPr>
          <w:footerReference r:id="rId5" w:type="default"/>
          <w:pgSz w:w="11910" w:h="16840"/>
          <w:pgMar w:top="1580" w:right="800" w:bottom="1180" w:left="740" w:header="0" w:footer="1000" w:gutter="0"/>
          <w:pgNumType w:fmt="decimal"/>
          <w:cols w:space="720" w:num="1"/>
        </w:sectPr>
      </w:pPr>
    </w:p>
    <w:p>
      <w:pPr>
        <w:pStyle w:val="28"/>
        <w:numPr>
          <w:ilvl w:val="2"/>
          <w:numId w:val="1"/>
        </w:numPr>
        <w:tabs>
          <w:tab w:val="left" w:pos="2018"/>
        </w:tabs>
        <w:spacing w:before="44" w:after="0" w:line="240" w:lineRule="auto"/>
        <w:ind w:left="2017" w:right="0" w:hanging="96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对联合体报价的其他资格要求见</w:t>
      </w:r>
      <w:r>
        <w:rPr>
          <w:rFonts w:hint="eastAsia" w:asciiTheme="minorEastAsia" w:hAnsiTheme="minorEastAsia" w:eastAsiaTheme="minorEastAsia" w:cstheme="minorEastAsia"/>
          <w:sz w:val="24"/>
          <w:u w:val="single"/>
        </w:rPr>
        <w:t>投标人须知资料表</w:t>
      </w:r>
      <w:r>
        <w:rPr>
          <w:rFonts w:hint="eastAsia" w:asciiTheme="minorEastAsia" w:hAnsiTheme="minorEastAsia" w:eastAsiaTheme="minorEastAsia" w:cstheme="minorEastAsia"/>
          <w:sz w:val="24"/>
        </w:rPr>
        <w:t>。</w:t>
      </w:r>
    </w:p>
    <w:p>
      <w:pPr>
        <w:pStyle w:val="28"/>
        <w:numPr>
          <w:ilvl w:val="1"/>
          <w:numId w:val="1"/>
        </w:numPr>
        <w:tabs>
          <w:tab w:val="left" w:pos="1898"/>
        </w:tabs>
        <w:spacing w:before="4" w:after="0" w:line="242" w:lineRule="auto"/>
        <w:ind w:left="1957" w:right="1115" w:hanging="90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6"/>
          <w:sz w:val="24"/>
        </w:rPr>
        <w:t>单位负责人为同一人或者存在直接控股、管理关系的不同投标人，其相</w:t>
      </w:r>
      <w:r>
        <w:rPr>
          <w:rFonts w:hint="eastAsia" w:asciiTheme="minorEastAsia" w:hAnsiTheme="minorEastAsia" w:eastAsiaTheme="minorEastAsia" w:cstheme="minorEastAsia"/>
          <w:color w:val="auto"/>
          <w:sz w:val="24"/>
        </w:rPr>
        <w:t>关报价将被认定为</w:t>
      </w:r>
      <w:r>
        <w:rPr>
          <w:rFonts w:hint="eastAsia" w:asciiTheme="minorEastAsia" w:hAnsiTheme="minorEastAsia" w:eastAsiaTheme="minorEastAsia" w:cstheme="minorEastAsia"/>
          <w:b/>
          <w:color w:val="auto"/>
          <w:sz w:val="24"/>
        </w:rPr>
        <w:t>投标无效</w:t>
      </w:r>
      <w:r>
        <w:rPr>
          <w:rFonts w:hint="eastAsia" w:asciiTheme="minorEastAsia" w:hAnsiTheme="minorEastAsia" w:eastAsiaTheme="minorEastAsia" w:cstheme="minorEastAsia"/>
          <w:color w:val="auto"/>
          <w:sz w:val="24"/>
        </w:rPr>
        <w:t>。</w:t>
      </w:r>
    </w:p>
    <w:p>
      <w:pPr>
        <w:pStyle w:val="28"/>
        <w:numPr>
          <w:ilvl w:val="1"/>
          <w:numId w:val="1"/>
        </w:numPr>
        <w:tabs>
          <w:tab w:val="left" w:pos="1898"/>
        </w:tabs>
        <w:spacing w:before="3"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为本项目提供过整体设计、规范编制或者项目管理、监理、检测等服务</w:t>
      </w:r>
      <w:r>
        <w:rPr>
          <w:rFonts w:hint="eastAsia" w:asciiTheme="minorEastAsia" w:hAnsiTheme="minorEastAsia" w:eastAsiaTheme="minorEastAsia" w:cstheme="minorEastAsia"/>
          <w:sz w:val="24"/>
        </w:rPr>
        <w:t>的投标人，不得再参加本项目上述服务以外的其他采购活动。否则其报价将被认定为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pPr>
        <w:pStyle w:val="28"/>
        <w:numPr>
          <w:ilvl w:val="1"/>
          <w:numId w:val="1"/>
        </w:numPr>
        <w:tabs>
          <w:tab w:val="left" w:pos="1958"/>
        </w:tabs>
        <w:spacing w:before="4" w:after="0" w:line="242" w:lineRule="auto"/>
        <w:ind w:left="1957" w:right="1117"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投标人在报价过程中不得向采购人提供、给予任何有价值的物品，影响其正常决策行为。一经发现，其将被认定为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pPr>
        <w:pStyle w:val="28"/>
        <w:numPr>
          <w:ilvl w:val="0"/>
          <w:numId w:val="1"/>
        </w:numPr>
        <w:tabs>
          <w:tab w:val="left" w:pos="1301"/>
        </w:tabs>
        <w:spacing w:before="3" w:after="0" w:line="240" w:lineRule="auto"/>
        <w:ind w:left="1301" w:right="0" w:hanging="244"/>
        <w:jc w:val="left"/>
        <w:outlineLvl w:val="1"/>
        <w:rPr>
          <w:rFonts w:hint="eastAsia" w:asciiTheme="minorEastAsia" w:hAnsiTheme="minorEastAsia" w:eastAsiaTheme="minorEastAsia" w:cstheme="minorEastAsia"/>
          <w:b/>
          <w:sz w:val="24"/>
        </w:rPr>
      </w:pPr>
      <w:bookmarkStart w:id="26" w:name="2.资金来源"/>
      <w:bookmarkEnd w:id="26"/>
      <w:bookmarkStart w:id="27" w:name="2.资金来源"/>
      <w:bookmarkEnd w:id="27"/>
      <w:bookmarkStart w:id="28" w:name="_Toc32017"/>
      <w:bookmarkStart w:id="29" w:name="_Toc11115"/>
      <w:bookmarkStart w:id="30" w:name="_Toc6383"/>
      <w:r>
        <w:rPr>
          <w:rFonts w:hint="eastAsia" w:asciiTheme="minorEastAsia" w:hAnsiTheme="minorEastAsia" w:eastAsiaTheme="minorEastAsia" w:cstheme="minorEastAsia"/>
          <w:b/>
          <w:sz w:val="24"/>
        </w:rPr>
        <w:t>资金来源</w:t>
      </w:r>
      <w:bookmarkEnd w:id="28"/>
      <w:bookmarkEnd w:id="29"/>
      <w:bookmarkEnd w:id="30"/>
    </w:p>
    <w:p>
      <w:pPr>
        <w:pStyle w:val="28"/>
        <w:numPr>
          <w:ilvl w:val="1"/>
          <w:numId w:val="1"/>
        </w:numPr>
        <w:tabs>
          <w:tab w:val="left" w:pos="1957"/>
          <w:tab w:val="left" w:pos="1958"/>
        </w:tabs>
        <w:spacing w:before="4" w:after="0" w:line="240" w:lineRule="auto"/>
        <w:ind w:left="1957" w:right="0" w:hanging="9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本项目的采购人已获得足以支付本次招标后所签订的合同项下的资金</w:t>
      </w:r>
    </w:p>
    <w:p>
      <w:pPr>
        <w:pStyle w:val="3"/>
        <w:spacing w:before="5" w:line="242" w:lineRule="auto"/>
        <w:ind w:left="1957" w:right="1117"/>
        <w:rPr>
          <w:rFonts w:hint="eastAsia" w:asciiTheme="minorEastAsia" w:hAnsiTheme="minorEastAsia" w:eastAsiaTheme="minorEastAsia" w:cstheme="minorEastAsia"/>
        </w:rPr>
      </w:pPr>
      <w:r>
        <w:rPr>
          <w:rFonts w:hint="eastAsia" w:asciiTheme="minorEastAsia" w:hAnsiTheme="minorEastAsia" w:eastAsiaTheme="minorEastAsia" w:cstheme="minorEastAsia"/>
        </w:rPr>
        <w:t>（包括财政性资金和本项目采购中无法与财政性资金分割的非财政性资金）。</w:t>
      </w:r>
    </w:p>
    <w:p>
      <w:pPr>
        <w:pStyle w:val="28"/>
        <w:numPr>
          <w:ilvl w:val="1"/>
          <w:numId w:val="1"/>
        </w:numPr>
        <w:tabs>
          <w:tab w:val="left" w:pos="1897"/>
          <w:tab w:val="left" w:pos="1898"/>
        </w:tabs>
        <w:spacing w:before="3" w:after="0" w:line="240" w:lineRule="auto"/>
        <w:ind w:left="1897" w:right="0" w:hanging="84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项目预算金额和分项或分包最高限价</w:t>
      </w:r>
      <w:r>
        <w:rPr>
          <w:rFonts w:hint="eastAsia" w:asciiTheme="minorEastAsia" w:hAnsiTheme="minorEastAsia" w:eastAsiaTheme="minorEastAsia" w:cstheme="minorEastAsia"/>
          <w:sz w:val="24"/>
          <w:u w:val="single"/>
        </w:rPr>
        <w:t>见投标人须知资料表</w:t>
      </w:r>
      <w:r>
        <w:rPr>
          <w:rFonts w:hint="eastAsia" w:asciiTheme="minorEastAsia" w:hAnsiTheme="minorEastAsia" w:eastAsiaTheme="minorEastAsia" w:cstheme="minorEastAsia"/>
          <w:sz w:val="24"/>
        </w:rPr>
        <w:t>。</w:t>
      </w:r>
    </w:p>
    <w:p>
      <w:pPr>
        <w:pStyle w:val="28"/>
        <w:numPr>
          <w:ilvl w:val="1"/>
          <w:numId w:val="1"/>
        </w:numPr>
        <w:tabs>
          <w:tab w:val="left" w:pos="1897"/>
          <w:tab w:val="left" w:pos="1898"/>
        </w:tabs>
        <w:spacing w:before="4" w:after="0" w:line="242" w:lineRule="auto"/>
        <w:ind w:left="1957" w:right="1026" w:hanging="9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 xml:space="preserve">投标人报价超过招标文件规定的预算金额或者分项、分包最高限价的， </w:t>
      </w:r>
      <w:r>
        <w:rPr>
          <w:rFonts w:hint="eastAsia" w:asciiTheme="minorEastAsia" w:hAnsiTheme="minorEastAsia" w:eastAsiaTheme="minorEastAsia" w:cstheme="minorEastAsia"/>
          <w:sz w:val="24"/>
        </w:rPr>
        <w:t>其报价将被认定为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pPr>
        <w:pStyle w:val="28"/>
        <w:numPr>
          <w:ilvl w:val="0"/>
          <w:numId w:val="1"/>
        </w:numPr>
        <w:tabs>
          <w:tab w:val="left" w:pos="1301"/>
        </w:tabs>
        <w:spacing w:before="3" w:after="0" w:line="240" w:lineRule="auto"/>
        <w:ind w:left="1301" w:right="0" w:hanging="244"/>
        <w:jc w:val="left"/>
        <w:outlineLvl w:val="1"/>
        <w:rPr>
          <w:rFonts w:hint="eastAsia" w:asciiTheme="minorEastAsia" w:hAnsiTheme="minorEastAsia" w:eastAsiaTheme="minorEastAsia" w:cstheme="minorEastAsia"/>
          <w:b/>
          <w:sz w:val="24"/>
        </w:rPr>
      </w:pPr>
      <w:bookmarkStart w:id="31" w:name="3.投标费用"/>
      <w:bookmarkEnd w:id="31"/>
      <w:bookmarkStart w:id="32" w:name="3.投标费用"/>
      <w:bookmarkEnd w:id="32"/>
      <w:bookmarkStart w:id="33" w:name="_Toc17354"/>
      <w:bookmarkStart w:id="34" w:name="_Toc27839"/>
      <w:bookmarkStart w:id="35" w:name="_Toc4490"/>
      <w:r>
        <w:rPr>
          <w:rFonts w:hint="eastAsia" w:asciiTheme="minorEastAsia" w:hAnsiTheme="minorEastAsia" w:eastAsiaTheme="minorEastAsia" w:cstheme="minorEastAsia"/>
          <w:b/>
          <w:sz w:val="24"/>
        </w:rPr>
        <w:t>投标费用</w:t>
      </w:r>
      <w:bookmarkEnd w:id="33"/>
      <w:bookmarkEnd w:id="34"/>
      <w:bookmarkEnd w:id="35"/>
    </w:p>
    <w:p>
      <w:pPr>
        <w:pStyle w:val="3"/>
        <w:spacing w:before="5" w:line="242" w:lineRule="auto"/>
        <w:ind w:left="1957" w:right="1117"/>
        <w:rPr>
          <w:rFonts w:hint="eastAsia" w:asciiTheme="minorEastAsia" w:hAnsiTheme="minorEastAsia" w:eastAsiaTheme="minorEastAsia" w:cstheme="minorEastAsia"/>
        </w:rPr>
      </w:pPr>
      <w:r>
        <w:rPr>
          <w:rFonts w:hint="eastAsia" w:asciiTheme="minorEastAsia" w:hAnsiTheme="minorEastAsia" w:eastAsiaTheme="minorEastAsia" w:cstheme="minorEastAsia"/>
        </w:rPr>
        <w:t>不论报价的结果如何，投标人应承担所有与准备和参加报价有关的费用。</w:t>
      </w:r>
    </w:p>
    <w:p>
      <w:pPr>
        <w:pStyle w:val="28"/>
        <w:numPr>
          <w:ilvl w:val="0"/>
          <w:numId w:val="1"/>
        </w:numPr>
        <w:tabs>
          <w:tab w:val="left" w:pos="1301"/>
        </w:tabs>
        <w:spacing w:before="3" w:after="0" w:line="240" w:lineRule="auto"/>
        <w:ind w:left="1301" w:right="0" w:hanging="244"/>
        <w:jc w:val="left"/>
        <w:outlineLvl w:val="1"/>
        <w:rPr>
          <w:rFonts w:hint="eastAsia" w:asciiTheme="minorEastAsia" w:hAnsiTheme="minorEastAsia" w:eastAsiaTheme="minorEastAsia" w:cstheme="minorEastAsia"/>
          <w:b/>
          <w:sz w:val="24"/>
        </w:rPr>
      </w:pPr>
      <w:bookmarkStart w:id="36" w:name="4.适用法律"/>
      <w:bookmarkEnd w:id="36"/>
      <w:bookmarkStart w:id="37" w:name="4.适用法律"/>
      <w:bookmarkEnd w:id="37"/>
      <w:bookmarkStart w:id="38" w:name="_Toc1496"/>
      <w:bookmarkStart w:id="39" w:name="_Toc32103"/>
      <w:bookmarkStart w:id="40" w:name="_Toc235"/>
      <w:r>
        <w:rPr>
          <w:rFonts w:hint="eastAsia" w:asciiTheme="minorEastAsia" w:hAnsiTheme="minorEastAsia" w:eastAsiaTheme="minorEastAsia" w:cstheme="minorEastAsia"/>
          <w:b/>
          <w:sz w:val="24"/>
        </w:rPr>
        <w:t>适用法律</w:t>
      </w:r>
      <w:bookmarkEnd w:id="38"/>
      <w:bookmarkEnd w:id="39"/>
      <w:bookmarkEnd w:id="40"/>
    </w:p>
    <w:p>
      <w:pPr>
        <w:pStyle w:val="3"/>
        <w:spacing w:before="4" w:line="242" w:lineRule="auto"/>
        <w:ind w:left="1957" w:right="995" w:hanging="6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0"/>
        </w:rPr>
        <w:t>本项目采购人、采购代理机构、投标人、评标委员会的相关行为均受《中</w:t>
      </w:r>
      <w:r>
        <w:rPr>
          <w:rFonts w:hint="eastAsia" w:asciiTheme="minorEastAsia" w:hAnsiTheme="minorEastAsia" w:eastAsiaTheme="minorEastAsia" w:cstheme="minorEastAsia"/>
          <w:spacing w:val="-24"/>
        </w:rPr>
        <w:t>华人民共和国政府采购法》、《中华人民共和国政府采购法实施条例》、</w:t>
      </w:r>
      <w:r>
        <w:rPr>
          <w:rFonts w:hint="eastAsia" w:asciiTheme="minorEastAsia" w:hAnsiTheme="minorEastAsia" w:eastAsiaTheme="minorEastAsia" w:cstheme="minorEastAsia"/>
          <w:spacing w:val="1"/>
        </w:rPr>
        <w:t xml:space="preserve">中华人民共和国财政部令第 </w:t>
      </w:r>
      <w:r>
        <w:rPr>
          <w:rFonts w:hint="eastAsia" w:asciiTheme="minorEastAsia" w:hAnsiTheme="minorEastAsia" w:eastAsiaTheme="minorEastAsia" w:cstheme="minorEastAsia"/>
        </w:rPr>
        <w:t>74</w:t>
      </w:r>
      <w:r>
        <w:rPr>
          <w:rFonts w:hint="eastAsia" w:asciiTheme="minorEastAsia" w:hAnsiTheme="minorEastAsia" w:eastAsiaTheme="minorEastAsia" w:cstheme="minorEastAsia"/>
          <w:spacing w:val="-1"/>
        </w:rPr>
        <w:t xml:space="preserve"> 号《政府采购非招标采购方式管理办</w:t>
      </w:r>
    </w:p>
    <w:p>
      <w:pPr>
        <w:pStyle w:val="3"/>
        <w:spacing w:before="4" w:line="242" w:lineRule="auto"/>
        <w:ind w:left="1957" w:right="111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 xml:space="preserve">法》、中华人民共和国财政部令第 </w:t>
      </w:r>
      <w:r>
        <w:rPr>
          <w:rFonts w:hint="eastAsia" w:asciiTheme="minorEastAsia" w:hAnsiTheme="minorEastAsia" w:eastAsiaTheme="minorEastAsia" w:cstheme="minorEastAsia"/>
        </w:rPr>
        <w:t>87</w:t>
      </w:r>
      <w:r>
        <w:rPr>
          <w:rFonts w:hint="eastAsia" w:asciiTheme="minorEastAsia" w:hAnsiTheme="minorEastAsia" w:eastAsiaTheme="minorEastAsia" w:cstheme="minorEastAsia"/>
          <w:spacing w:val="-9"/>
        </w:rPr>
        <w:t xml:space="preserve"> 号--政府采购货物和服务招标报</w:t>
      </w:r>
      <w:r>
        <w:rPr>
          <w:rFonts w:hint="eastAsia" w:asciiTheme="minorEastAsia" w:hAnsiTheme="minorEastAsia" w:eastAsiaTheme="minorEastAsia" w:cstheme="minorEastAsia"/>
        </w:rPr>
        <w:t>价管理办法及本项目本级和上级财政部门政府采购有关规定的约束， 其权利受到上述法律法规的保护。</w:t>
      </w:r>
    </w:p>
    <w:p>
      <w:pPr>
        <w:pStyle w:val="3"/>
        <w:spacing w:before="11"/>
        <w:rPr>
          <w:rFonts w:hint="eastAsia" w:asciiTheme="minorEastAsia" w:hAnsiTheme="minorEastAsia" w:eastAsiaTheme="minorEastAsia" w:cstheme="minorEastAsia"/>
          <w:sz w:val="34"/>
        </w:rPr>
      </w:pPr>
    </w:p>
    <w:p>
      <w:pPr>
        <w:tabs>
          <w:tab w:val="left" w:pos="1301"/>
        </w:tabs>
        <w:spacing w:before="0"/>
        <w:ind w:left="598" w:right="0" w:firstLine="0"/>
        <w:jc w:val="center"/>
        <w:outlineLvl w:val="0"/>
        <w:rPr>
          <w:rFonts w:hint="eastAsia" w:asciiTheme="minorEastAsia" w:hAnsiTheme="minorEastAsia" w:eastAsiaTheme="minorEastAsia" w:cstheme="minorEastAsia"/>
          <w:b/>
          <w:sz w:val="34"/>
        </w:rPr>
      </w:pPr>
      <w:bookmarkStart w:id="41" w:name="二   招标文件"/>
      <w:bookmarkEnd w:id="41"/>
      <w:bookmarkStart w:id="42" w:name="_Toc20892"/>
      <w:r>
        <w:rPr>
          <w:rFonts w:hint="eastAsia" w:asciiTheme="minorEastAsia" w:hAnsiTheme="minorEastAsia" w:eastAsiaTheme="minorEastAsia" w:cstheme="minorEastAsia"/>
          <w:b/>
          <w:sz w:val="28"/>
        </w:rPr>
        <w:t>二</w:t>
      </w:r>
      <w:r>
        <w:rPr>
          <w:rFonts w:hint="eastAsia" w:asciiTheme="minorEastAsia" w:hAnsiTheme="minorEastAsia" w:eastAsiaTheme="minorEastAsia" w:cstheme="minorEastAsia"/>
          <w:b/>
          <w:sz w:val="28"/>
        </w:rPr>
        <w:tab/>
      </w:r>
      <w:r>
        <w:rPr>
          <w:rFonts w:hint="eastAsia" w:asciiTheme="minorEastAsia" w:hAnsiTheme="minorEastAsia" w:eastAsiaTheme="minorEastAsia" w:cstheme="minorEastAsia"/>
          <w:b/>
          <w:sz w:val="28"/>
        </w:rPr>
        <w:t>招标文件</w:t>
      </w:r>
      <w:bookmarkEnd w:id="42"/>
    </w:p>
    <w:p>
      <w:pPr>
        <w:pStyle w:val="28"/>
        <w:numPr>
          <w:ilvl w:val="0"/>
          <w:numId w:val="1"/>
        </w:numPr>
        <w:tabs>
          <w:tab w:val="left" w:pos="1301"/>
        </w:tabs>
        <w:spacing w:before="1" w:after="0" w:line="240" w:lineRule="auto"/>
        <w:ind w:left="1301" w:right="0" w:hanging="244"/>
        <w:jc w:val="left"/>
        <w:outlineLvl w:val="1"/>
        <w:rPr>
          <w:rFonts w:hint="eastAsia" w:asciiTheme="minorEastAsia" w:hAnsiTheme="minorEastAsia" w:eastAsiaTheme="minorEastAsia" w:cstheme="minorEastAsia"/>
          <w:b/>
          <w:sz w:val="24"/>
        </w:rPr>
      </w:pPr>
      <w:bookmarkStart w:id="43" w:name="5.招标文件构成"/>
      <w:bookmarkEnd w:id="43"/>
      <w:bookmarkStart w:id="44" w:name="5.招标文件构成"/>
      <w:bookmarkEnd w:id="44"/>
      <w:bookmarkStart w:id="45" w:name="_Toc26276"/>
      <w:bookmarkStart w:id="46" w:name="_Toc30462"/>
      <w:bookmarkStart w:id="47" w:name="_Toc14048"/>
      <w:r>
        <w:rPr>
          <w:rFonts w:hint="eastAsia" w:asciiTheme="minorEastAsia" w:hAnsiTheme="minorEastAsia" w:eastAsiaTheme="minorEastAsia" w:cstheme="minorEastAsia"/>
          <w:b/>
          <w:sz w:val="24"/>
        </w:rPr>
        <w:t>招标文件构成</w:t>
      </w:r>
      <w:bookmarkEnd w:id="45"/>
      <w:bookmarkEnd w:id="46"/>
      <w:bookmarkEnd w:id="47"/>
    </w:p>
    <w:p>
      <w:pPr>
        <w:pStyle w:val="28"/>
        <w:numPr>
          <w:ilvl w:val="1"/>
          <w:numId w:val="1"/>
        </w:numPr>
        <w:tabs>
          <w:tab w:val="left" w:pos="1957"/>
          <w:tab w:val="left" w:pos="1958"/>
        </w:tabs>
        <w:spacing w:before="4" w:after="0" w:line="242" w:lineRule="auto"/>
        <w:ind w:left="1955" w:right="4326" w:hanging="898"/>
        <w:jc w:val="left"/>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 xml:space="preserve">招标文件分为三册共 </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pacing w:val="-10"/>
          <w:sz w:val="24"/>
        </w:rPr>
        <w:t xml:space="preserve"> 章，内容如下： </w:t>
      </w:r>
      <w:r>
        <w:rPr>
          <w:rFonts w:hint="eastAsia" w:asciiTheme="minorEastAsia" w:hAnsiTheme="minorEastAsia" w:eastAsiaTheme="minorEastAsia" w:cstheme="minorEastAsia"/>
          <w:sz w:val="24"/>
        </w:rPr>
        <w:t>第一册</w:t>
      </w:r>
    </w:p>
    <w:p>
      <w:pPr>
        <w:pStyle w:val="3"/>
        <w:tabs>
          <w:tab w:val="left" w:pos="2857"/>
        </w:tabs>
        <w:spacing w:before="3" w:line="242" w:lineRule="auto"/>
        <w:ind w:left="1957" w:right="6066" w:hanging="51"/>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spacing w:val="-60"/>
        </w:rPr>
        <w:t xml:space="preserve"> </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spacing w:val="-60"/>
        </w:rPr>
        <w:t xml:space="preserve"> </w:t>
      </w:r>
      <w:r>
        <w:rPr>
          <w:rFonts w:hint="eastAsia" w:asciiTheme="minorEastAsia" w:hAnsiTheme="minorEastAsia" w:eastAsiaTheme="minorEastAsia" w:cstheme="minorEastAsia"/>
        </w:rPr>
        <w:t>章</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投标人须知 第</w:t>
      </w:r>
      <w:r>
        <w:rPr>
          <w:rFonts w:hint="eastAsia" w:asciiTheme="minorEastAsia" w:hAnsiTheme="minorEastAsia" w:eastAsiaTheme="minorEastAsia" w:cstheme="minorEastAsia"/>
          <w:spacing w:val="-60"/>
        </w:rPr>
        <w:t xml:space="preserve"> </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spacing w:val="-60"/>
        </w:rPr>
        <w:t xml:space="preserve"> </w:t>
      </w:r>
      <w:r>
        <w:rPr>
          <w:rFonts w:hint="eastAsia" w:asciiTheme="minorEastAsia" w:hAnsiTheme="minorEastAsia" w:eastAsiaTheme="minorEastAsia" w:cstheme="minorEastAsia"/>
        </w:rPr>
        <w:t>章</w:t>
      </w:r>
      <w:r>
        <w:rPr>
          <w:rFonts w:hint="eastAsia" w:asciiTheme="minorEastAsia" w:hAnsiTheme="minorEastAsia" w:eastAsiaTheme="minorEastAsia" w:cstheme="minorEastAsia"/>
          <w:spacing w:val="60"/>
        </w:rPr>
        <w:t xml:space="preserve"> </w:t>
      </w:r>
      <w:r>
        <w:rPr>
          <w:rFonts w:hint="eastAsia" w:asciiTheme="minorEastAsia" w:hAnsiTheme="minorEastAsia" w:eastAsiaTheme="minorEastAsia" w:cstheme="minorEastAsia"/>
        </w:rPr>
        <w:t>投标文件格</w:t>
      </w:r>
      <w:r>
        <w:rPr>
          <w:rFonts w:hint="eastAsia" w:asciiTheme="minorEastAsia" w:hAnsiTheme="minorEastAsia" w:eastAsiaTheme="minorEastAsia" w:cstheme="minorEastAsia"/>
          <w:spacing w:val="-17"/>
        </w:rPr>
        <w:t>式</w:t>
      </w:r>
      <w:r>
        <w:rPr>
          <w:rFonts w:hint="eastAsia" w:asciiTheme="minorEastAsia" w:hAnsiTheme="minorEastAsia" w:eastAsiaTheme="minorEastAsia" w:cstheme="minorEastAsia"/>
        </w:rPr>
        <w:t>第二册</w:t>
      </w:r>
    </w:p>
    <w:p>
      <w:pPr>
        <w:pStyle w:val="3"/>
        <w:spacing w:before="4"/>
        <w:ind w:left="1957"/>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第 3 章 </w:t>
      </w:r>
      <w:r>
        <w:rPr>
          <w:rFonts w:hint="eastAsia" w:asciiTheme="minorEastAsia" w:hAnsiTheme="minorEastAsia" w:eastAsiaTheme="minorEastAsia" w:cstheme="minorEastAsia"/>
          <w:lang w:val="en-US" w:eastAsia="zh-CN"/>
        </w:rPr>
        <w:t>招标公告</w:t>
      </w:r>
    </w:p>
    <w:p>
      <w:pPr>
        <w:pStyle w:val="3"/>
        <w:spacing w:before="5" w:line="242" w:lineRule="auto"/>
        <w:ind w:left="1957" w:right="5519"/>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 4 章 投标人须知资料表第 5 章 服务要求</w:t>
      </w:r>
    </w:p>
    <w:p>
      <w:pPr>
        <w:pStyle w:val="3"/>
        <w:spacing w:before="3" w:line="242" w:lineRule="auto"/>
        <w:ind w:left="1957" w:right="5759"/>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 6 章 评审方法和标准第 7 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确定中标</w:t>
      </w:r>
    </w:p>
    <w:p>
      <w:pPr>
        <w:pStyle w:val="3"/>
        <w:spacing w:before="2"/>
        <w:ind w:left="1957"/>
        <w:outlineLvl w:val="0"/>
        <w:rPr>
          <w:rFonts w:hint="eastAsia" w:asciiTheme="minorEastAsia" w:hAnsiTheme="minorEastAsia" w:eastAsiaTheme="minorEastAsia" w:cstheme="minorEastAsia"/>
        </w:rPr>
      </w:pPr>
      <w:bookmarkStart w:id="48" w:name="_Toc27231"/>
      <w:bookmarkStart w:id="49" w:name="_Toc16391"/>
      <w:bookmarkStart w:id="50" w:name="_Toc17470"/>
      <w:r>
        <w:rPr>
          <w:rFonts w:hint="eastAsia" w:asciiTheme="minorEastAsia" w:hAnsiTheme="minorEastAsia" w:eastAsiaTheme="minorEastAsia" w:cstheme="minorEastAsia"/>
        </w:rPr>
        <w:t>第三册</w:t>
      </w:r>
      <w:bookmarkEnd w:id="48"/>
      <w:bookmarkEnd w:id="49"/>
      <w:bookmarkEnd w:id="50"/>
    </w:p>
    <w:p>
      <w:pPr>
        <w:pStyle w:val="3"/>
        <w:spacing w:before="5"/>
        <w:ind w:left="1983"/>
        <w:outlineLvl w:val="0"/>
        <w:rPr>
          <w:rFonts w:hint="eastAsia" w:asciiTheme="minorEastAsia" w:hAnsiTheme="minorEastAsia" w:eastAsiaTheme="minorEastAsia" w:cstheme="minorEastAsia"/>
        </w:rPr>
      </w:pPr>
      <w:bookmarkStart w:id="51" w:name="_Toc23315"/>
      <w:bookmarkStart w:id="52" w:name="_Toc23495"/>
      <w:bookmarkStart w:id="53" w:name="_Toc15215"/>
      <w:r>
        <w:rPr>
          <w:rFonts w:hint="eastAsia" w:asciiTheme="minorEastAsia" w:hAnsiTheme="minorEastAsia" w:eastAsiaTheme="minorEastAsia" w:cstheme="minorEastAsia"/>
        </w:rPr>
        <w:t>第 8 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政府采购合同格式</w:t>
      </w:r>
      <w:bookmarkEnd w:id="51"/>
      <w:bookmarkEnd w:id="52"/>
      <w:bookmarkEnd w:id="53"/>
    </w:p>
    <w:p>
      <w:pPr>
        <w:pStyle w:val="28"/>
        <w:numPr>
          <w:ilvl w:val="1"/>
          <w:numId w:val="1"/>
        </w:numPr>
        <w:tabs>
          <w:tab w:val="left" w:pos="1957"/>
          <w:tab w:val="left" w:pos="1958"/>
        </w:tabs>
        <w:spacing w:before="4" w:after="0" w:line="240" w:lineRule="auto"/>
        <w:ind w:left="1957" w:right="0" w:hanging="901"/>
        <w:jc w:val="left"/>
        <w:outlineLvl w:val="1"/>
        <w:rPr>
          <w:rFonts w:hint="eastAsia" w:asciiTheme="minorEastAsia" w:hAnsiTheme="minorEastAsia" w:eastAsiaTheme="minorEastAsia" w:cstheme="minorEastAsia"/>
          <w:sz w:val="24"/>
        </w:rPr>
      </w:pPr>
      <w:bookmarkStart w:id="54" w:name="_Toc8434"/>
      <w:bookmarkStart w:id="55" w:name="_Toc13942"/>
      <w:bookmarkStart w:id="56" w:name="_Toc481"/>
      <w:r>
        <w:rPr>
          <w:rFonts w:hint="eastAsia" w:asciiTheme="minorEastAsia" w:hAnsiTheme="minorEastAsia" w:eastAsiaTheme="minorEastAsia" w:cstheme="minorEastAsia"/>
          <w:sz w:val="24"/>
        </w:rPr>
        <w:t>如本文件的前后内容不一致，以最后描述为准。</w:t>
      </w:r>
      <w:bookmarkEnd w:id="54"/>
      <w:bookmarkEnd w:id="55"/>
      <w:bookmarkEnd w:id="56"/>
    </w:p>
    <w:p>
      <w:pPr>
        <w:pStyle w:val="28"/>
        <w:numPr>
          <w:ilvl w:val="1"/>
          <w:numId w:val="1"/>
        </w:numPr>
        <w:tabs>
          <w:tab w:val="left" w:pos="1897"/>
          <w:tab w:val="left" w:pos="1898"/>
        </w:tabs>
        <w:spacing w:before="5" w:after="0" w:line="242" w:lineRule="auto"/>
        <w:ind w:left="1957" w:right="1115" w:hanging="9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投标人应认真阅读招标文件所有的事项、格式、条款和技术规范等。如</w:t>
      </w:r>
      <w:r>
        <w:rPr>
          <w:rFonts w:hint="eastAsia" w:asciiTheme="minorEastAsia" w:hAnsiTheme="minorEastAsia" w:eastAsiaTheme="minorEastAsia" w:cstheme="minorEastAsia"/>
          <w:sz w:val="24"/>
        </w:rPr>
        <w:t>投标人没有按照招标文件要求提交全部资料，或者投标文件没有对招</w:t>
      </w:r>
    </w:p>
    <w:p>
      <w:pPr>
        <w:spacing w:after="0" w:line="242" w:lineRule="auto"/>
        <w:jc w:val="left"/>
        <w:rPr>
          <w:sz w:val="24"/>
        </w:rPr>
        <w:sectPr>
          <w:pgSz w:w="11910" w:h="16840"/>
          <w:pgMar w:top="1180" w:right="800" w:bottom="1180" w:left="740" w:header="0" w:footer="1000" w:gutter="0"/>
          <w:pgNumType w:fmt="decimal"/>
          <w:cols w:space="720" w:num="1"/>
        </w:sectPr>
      </w:pPr>
    </w:p>
    <w:p>
      <w:pPr>
        <w:pStyle w:val="3"/>
        <w:spacing w:before="44" w:line="242" w:lineRule="auto"/>
        <w:ind w:left="1957" w:right="1115"/>
        <w:rPr>
          <w:rFonts w:hint="eastAsia" w:asciiTheme="minorEastAsia" w:hAnsiTheme="minorEastAsia" w:eastAsiaTheme="minorEastAsia" w:cstheme="minorEastAsia"/>
        </w:rPr>
      </w:pPr>
      <w:r>
        <w:rPr>
          <w:rFonts w:hint="eastAsia" w:asciiTheme="minorEastAsia" w:hAnsiTheme="minorEastAsia" w:eastAsiaTheme="minorEastAsia" w:cstheme="minorEastAsia"/>
        </w:rPr>
        <w:t>标文件在各方面都做出实质性响应，可能导致其报价将被认定为</w:t>
      </w:r>
      <w:r>
        <w:rPr>
          <w:rFonts w:hint="eastAsia" w:asciiTheme="minorEastAsia" w:hAnsiTheme="minorEastAsia" w:eastAsiaTheme="minorEastAsia" w:cstheme="minorEastAsia"/>
          <w:b/>
        </w:rPr>
        <w:t>投标无效</w:t>
      </w:r>
      <w:r>
        <w:rPr>
          <w:rFonts w:hint="eastAsia" w:asciiTheme="minorEastAsia" w:hAnsiTheme="minorEastAsia" w:eastAsiaTheme="minorEastAsia" w:cstheme="minorEastAsia"/>
        </w:rPr>
        <w:t>。</w:t>
      </w:r>
    </w:p>
    <w:p>
      <w:pPr>
        <w:pStyle w:val="28"/>
        <w:numPr>
          <w:ilvl w:val="0"/>
          <w:numId w:val="1"/>
        </w:numPr>
        <w:tabs>
          <w:tab w:val="left" w:pos="1301"/>
        </w:tabs>
        <w:spacing w:before="2" w:after="0" w:line="240" w:lineRule="auto"/>
        <w:ind w:left="1301" w:right="0" w:hanging="244"/>
        <w:jc w:val="left"/>
        <w:outlineLvl w:val="1"/>
        <w:rPr>
          <w:rFonts w:hint="eastAsia" w:asciiTheme="minorEastAsia" w:hAnsiTheme="minorEastAsia" w:eastAsiaTheme="minorEastAsia" w:cstheme="minorEastAsia"/>
          <w:b/>
          <w:sz w:val="24"/>
        </w:rPr>
      </w:pPr>
      <w:bookmarkStart w:id="57" w:name="6.招标文件的澄清与修改"/>
      <w:bookmarkEnd w:id="57"/>
      <w:bookmarkStart w:id="58" w:name="6.招标文件的澄清与修改"/>
      <w:bookmarkEnd w:id="58"/>
      <w:bookmarkStart w:id="59" w:name="_Toc28310"/>
      <w:r>
        <w:rPr>
          <w:rFonts w:hint="eastAsia" w:asciiTheme="minorEastAsia" w:hAnsiTheme="minorEastAsia" w:eastAsiaTheme="minorEastAsia" w:cstheme="minorEastAsia"/>
          <w:b/>
          <w:sz w:val="24"/>
        </w:rPr>
        <w:t>招标文件的澄清与修改</w:t>
      </w:r>
      <w:bookmarkEnd w:id="59"/>
    </w:p>
    <w:p>
      <w:pPr>
        <w:pStyle w:val="28"/>
        <w:numPr>
          <w:ilvl w:val="1"/>
          <w:numId w:val="1"/>
        </w:numPr>
        <w:tabs>
          <w:tab w:val="left" w:pos="1791"/>
          <w:tab w:val="left" w:pos="1792"/>
        </w:tabs>
        <w:spacing w:before="5" w:after="0" w:line="242" w:lineRule="auto"/>
        <w:ind w:left="1844" w:right="995" w:hanging="788"/>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24"/>
        </w:rPr>
        <w:t>提交投标文件截止之日前，澄清或者修改的内容可能影响投标文件编制</w:t>
      </w:r>
      <w:r>
        <w:rPr>
          <w:rFonts w:hint="eastAsia" w:asciiTheme="minorEastAsia" w:hAnsiTheme="minorEastAsia" w:eastAsiaTheme="minorEastAsia" w:cstheme="minorEastAsia"/>
          <w:spacing w:val="-6"/>
          <w:sz w:val="24"/>
        </w:rPr>
        <w:t>的，采购人、采购代理机构或者评标委员会应当在提交投标文件截止之</w:t>
      </w:r>
      <w:r>
        <w:rPr>
          <w:rFonts w:hint="eastAsia" w:asciiTheme="minorEastAsia" w:hAnsiTheme="minorEastAsia" w:eastAsiaTheme="minorEastAsia" w:cstheme="minorEastAsia"/>
          <w:spacing w:val="-33"/>
          <w:sz w:val="24"/>
        </w:rPr>
        <w:t xml:space="preserve">日 </w:t>
      </w: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spacing w:val="-18"/>
          <w:sz w:val="24"/>
        </w:rPr>
        <w:t>日前，以书面形式通知所有接收招标文件的投标人，不足</w:t>
      </w: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spacing w:val="-19"/>
          <w:sz w:val="24"/>
        </w:rPr>
        <w:t>日的，</w:t>
      </w:r>
      <w:r>
        <w:rPr>
          <w:rFonts w:hint="eastAsia" w:asciiTheme="minorEastAsia" w:hAnsiTheme="minorEastAsia" w:eastAsiaTheme="minorEastAsia" w:cstheme="minorEastAsia"/>
          <w:sz w:val="24"/>
        </w:rPr>
        <w:t>应当顺延提交投标文件截止之日。</w:t>
      </w:r>
    </w:p>
    <w:p>
      <w:pPr>
        <w:pStyle w:val="28"/>
        <w:numPr>
          <w:ilvl w:val="1"/>
          <w:numId w:val="1"/>
        </w:numPr>
        <w:tabs>
          <w:tab w:val="left" w:pos="1898"/>
        </w:tabs>
        <w:spacing w:before="6" w:after="0" w:line="242" w:lineRule="auto"/>
        <w:ind w:left="1897" w:right="995" w:hanging="8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采购人、采购代理机构或者评标委员会可主动地或在解答投标人提出的</w:t>
      </w:r>
      <w:r>
        <w:rPr>
          <w:rFonts w:hint="eastAsia" w:asciiTheme="minorEastAsia" w:hAnsiTheme="minorEastAsia" w:eastAsiaTheme="minorEastAsia" w:cstheme="minorEastAsia"/>
          <w:spacing w:val="-10"/>
          <w:sz w:val="24"/>
        </w:rPr>
        <w:t>澄清问题时对招标文件进行澄清或修改。采购代理机构将以发布澄清</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pacing w:val="-16"/>
          <w:sz w:val="24"/>
        </w:rPr>
        <w:t>更</w:t>
      </w:r>
      <w:r>
        <w:rPr>
          <w:rFonts w:hint="eastAsia" w:asciiTheme="minorEastAsia" w:hAnsiTheme="minorEastAsia" w:eastAsiaTheme="minorEastAsia" w:cstheme="minorEastAsia"/>
          <w:sz w:val="24"/>
        </w:rPr>
        <w:t>正）公告的方式，澄清或修改招标文件，澄清或修改内容作为招标文件的组成部分。</w:t>
      </w:r>
    </w:p>
    <w:p>
      <w:pPr>
        <w:pStyle w:val="28"/>
        <w:numPr>
          <w:ilvl w:val="1"/>
          <w:numId w:val="1"/>
        </w:numPr>
        <w:tabs>
          <w:tab w:val="left" w:pos="1898"/>
        </w:tabs>
        <w:spacing w:before="5" w:after="0" w:line="242" w:lineRule="auto"/>
        <w:ind w:left="1897" w:right="1026" w:hanging="84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澄清或者修改的内容可能影响投标文件编制的，采购代理机构将以书面形式通知所有购买招标文件的潜在投标人，并对其具有约束力。投标人</w:t>
      </w:r>
      <w:r>
        <w:rPr>
          <w:rFonts w:hint="eastAsia" w:asciiTheme="minorEastAsia" w:hAnsiTheme="minorEastAsia" w:eastAsiaTheme="minorEastAsia" w:cstheme="minorEastAsia"/>
          <w:sz w:val="24"/>
        </w:rPr>
        <w:t>在收到上述通知后，应及时向采购代理机构回函确认。</w:t>
      </w:r>
    </w:p>
    <w:p>
      <w:pPr>
        <w:pStyle w:val="28"/>
        <w:numPr>
          <w:ilvl w:val="0"/>
          <w:numId w:val="1"/>
        </w:numPr>
        <w:tabs>
          <w:tab w:val="left" w:pos="1301"/>
        </w:tabs>
        <w:spacing w:before="5" w:after="0" w:line="240" w:lineRule="auto"/>
        <w:ind w:left="1301" w:right="0" w:hanging="244"/>
        <w:jc w:val="left"/>
        <w:outlineLvl w:val="1"/>
        <w:rPr>
          <w:rFonts w:hint="eastAsia" w:asciiTheme="minorEastAsia" w:hAnsiTheme="minorEastAsia" w:eastAsiaTheme="minorEastAsia" w:cstheme="minorEastAsia"/>
          <w:b/>
          <w:sz w:val="24"/>
        </w:rPr>
      </w:pPr>
      <w:bookmarkStart w:id="60" w:name="7.投标截止时间的顺延"/>
      <w:bookmarkEnd w:id="60"/>
      <w:bookmarkStart w:id="61" w:name="7.投标截止时间的顺延"/>
      <w:bookmarkEnd w:id="61"/>
      <w:bookmarkStart w:id="62" w:name="_Toc10630"/>
      <w:r>
        <w:rPr>
          <w:rFonts w:hint="eastAsia" w:asciiTheme="minorEastAsia" w:hAnsiTheme="minorEastAsia" w:eastAsiaTheme="minorEastAsia" w:cstheme="minorEastAsia"/>
          <w:b/>
          <w:sz w:val="24"/>
        </w:rPr>
        <w:t>投标截止时间的顺延</w:t>
      </w:r>
      <w:bookmarkEnd w:id="62"/>
    </w:p>
    <w:p>
      <w:pPr>
        <w:pStyle w:val="3"/>
        <w:spacing w:before="4" w:line="242" w:lineRule="auto"/>
        <w:ind w:left="1957" w:right="1117"/>
      </w:pPr>
      <w:r>
        <w:rPr>
          <w:rFonts w:hint="eastAsia" w:asciiTheme="minorEastAsia" w:hAnsiTheme="minorEastAsia" w:eastAsiaTheme="minorEastAsia" w:cstheme="minorEastAsia"/>
        </w:rPr>
        <w:t>为使投标人准备报价时有足够的时间对招标文件的澄清或者修改部分进行研究，采购人将依法决定是否顺延投标截止时间。</w:t>
      </w:r>
    </w:p>
    <w:p>
      <w:pPr>
        <w:tabs>
          <w:tab w:val="left" w:pos="4851"/>
        </w:tabs>
        <w:spacing w:before="133"/>
        <w:ind w:left="4148" w:right="0" w:firstLine="0"/>
        <w:jc w:val="left"/>
        <w:outlineLvl w:val="0"/>
        <w:rPr>
          <w:rFonts w:hint="eastAsia" w:asciiTheme="minorEastAsia" w:hAnsiTheme="minorEastAsia" w:eastAsiaTheme="minorEastAsia" w:cstheme="minorEastAsia"/>
          <w:b/>
          <w:sz w:val="34"/>
        </w:rPr>
      </w:pPr>
      <w:bookmarkStart w:id="63" w:name="三   投标文件的编制"/>
      <w:bookmarkEnd w:id="63"/>
      <w:bookmarkStart w:id="64" w:name="_Toc18488"/>
      <w:r>
        <w:rPr>
          <w:rFonts w:hint="eastAsia" w:asciiTheme="minorEastAsia" w:hAnsiTheme="minorEastAsia" w:eastAsiaTheme="minorEastAsia" w:cstheme="minorEastAsia"/>
          <w:b/>
          <w:sz w:val="28"/>
        </w:rPr>
        <w:t>三</w:t>
      </w:r>
      <w:r>
        <w:rPr>
          <w:rFonts w:hint="eastAsia" w:asciiTheme="minorEastAsia" w:hAnsiTheme="minorEastAsia" w:eastAsiaTheme="minorEastAsia" w:cstheme="minorEastAsia"/>
          <w:b/>
          <w:sz w:val="28"/>
        </w:rPr>
        <w:tab/>
      </w:r>
      <w:r>
        <w:rPr>
          <w:rFonts w:hint="eastAsia" w:asciiTheme="minorEastAsia" w:hAnsiTheme="minorEastAsia" w:eastAsiaTheme="minorEastAsia" w:cstheme="minorEastAsia"/>
          <w:b/>
          <w:sz w:val="28"/>
        </w:rPr>
        <w:t>投标文件的编制</w:t>
      </w:r>
      <w:bookmarkEnd w:id="64"/>
    </w:p>
    <w:p>
      <w:pPr>
        <w:pStyle w:val="28"/>
        <w:numPr>
          <w:ilvl w:val="0"/>
          <w:numId w:val="1"/>
        </w:numPr>
        <w:tabs>
          <w:tab w:val="left" w:pos="1958"/>
        </w:tabs>
        <w:spacing w:before="1" w:after="0" w:line="240" w:lineRule="auto"/>
        <w:ind w:left="1957" w:right="0" w:hanging="901"/>
        <w:jc w:val="both"/>
        <w:outlineLvl w:val="1"/>
        <w:rPr>
          <w:rFonts w:hint="eastAsia" w:asciiTheme="minorEastAsia" w:hAnsiTheme="minorEastAsia" w:eastAsiaTheme="minorEastAsia" w:cstheme="minorEastAsia"/>
          <w:b/>
          <w:sz w:val="24"/>
        </w:rPr>
      </w:pPr>
      <w:bookmarkStart w:id="65" w:name="8.投标范围及投标文件中标准和计量单位的使用"/>
      <w:bookmarkEnd w:id="65"/>
      <w:bookmarkStart w:id="66" w:name="8.投标范围及投标文件中标准和计量单位的使用"/>
      <w:bookmarkEnd w:id="66"/>
      <w:bookmarkStart w:id="67" w:name="_Toc20815"/>
      <w:r>
        <w:rPr>
          <w:rFonts w:hint="eastAsia" w:asciiTheme="minorEastAsia" w:hAnsiTheme="minorEastAsia" w:eastAsiaTheme="minorEastAsia" w:cstheme="minorEastAsia"/>
          <w:b/>
          <w:w w:val="95"/>
          <w:sz w:val="24"/>
        </w:rPr>
        <w:t>投标范围及投标文件中标准和计量单位的使用</w:t>
      </w:r>
      <w:bookmarkEnd w:id="67"/>
    </w:p>
    <w:p>
      <w:pPr>
        <w:pStyle w:val="28"/>
        <w:numPr>
          <w:ilvl w:val="1"/>
          <w:numId w:val="1"/>
        </w:numPr>
        <w:tabs>
          <w:tab w:val="left" w:pos="1958"/>
        </w:tabs>
        <w:spacing w:before="4"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项目有分包的，投标人可对招标文件其中某一个或几个分包货物进行报价，除非在</w:t>
      </w:r>
      <w:r>
        <w:rPr>
          <w:rFonts w:hint="eastAsia" w:asciiTheme="minorEastAsia" w:hAnsiTheme="minorEastAsia" w:eastAsiaTheme="minorEastAsia" w:cstheme="minorEastAsia"/>
          <w:sz w:val="24"/>
          <w:u w:val="single"/>
        </w:rPr>
        <w:t>投标人须知资料表</w:t>
      </w:r>
      <w:r>
        <w:rPr>
          <w:rFonts w:hint="eastAsia" w:asciiTheme="minorEastAsia" w:hAnsiTheme="minorEastAsia" w:eastAsiaTheme="minorEastAsia" w:cstheme="minorEastAsia"/>
          <w:sz w:val="24"/>
        </w:rPr>
        <w:t>中另有规定。</w:t>
      </w:r>
    </w:p>
    <w:p>
      <w:pPr>
        <w:pStyle w:val="28"/>
        <w:numPr>
          <w:ilvl w:val="1"/>
          <w:numId w:val="1"/>
        </w:numPr>
        <w:tabs>
          <w:tab w:val="left" w:pos="2020"/>
        </w:tabs>
        <w:spacing w:before="3"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sz w:val="24"/>
        </w:rPr>
        <w:t>投标人应当对所投分包招标文件中“服务需求”所列的所有内容进行报价，如仅响应某一包中的部分内容，其该包报价将被认定为</w:t>
      </w:r>
      <w:r>
        <w:rPr>
          <w:rFonts w:hint="eastAsia" w:asciiTheme="minorEastAsia" w:hAnsiTheme="minorEastAsia" w:eastAsiaTheme="minorEastAsia" w:cstheme="minorEastAsia"/>
          <w:b/>
          <w:spacing w:val="1"/>
          <w:sz w:val="24"/>
        </w:rPr>
        <w:t>投标无效</w:t>
      </w:r>
      <w:r>
        <w:rPr>
          <w:rFonts w:hint="eastAsia" w:asciiTheme="minorEastAsia" w:hAnsiTheme="minorEastAsia" w:eastAsiaTheme="minorEastAsia" w:cstheme="minorEastAsia"/>
          <w:spacing w:val="1"/>
          <w:sz w:val="24"/>
        </w:rPr>
        <w:t>。</w:t>
      </w:r>
    </w:p>
    <w:p>
      <w:pPr>
        <w:pStyle w:val="28"/>
        <w:numPr>
          <w:ilvl w:val="1"/>
          <w:numId w:val="1"/>
        </w:numPr>
        <w:tabs>
          <w:tab w:val="left" w:pos="2020"/>
        </w:tabs>
        <w:spacing w:before="4"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rPr>
        <w:t xml:space="preserve">无论招标文件第 </w:t>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pacing w:val="-9"/>
          <w:sz w:val="24"/>
        </w:rPr>
        <w:t xml:space="preserve"> 章货物需求一览表及技术规格中是否要求，投标人</w:t>
      </w:r>
      <w:r>
        <w:rPr>
          <w:rFonts w:hint="eastAsia" w:asciiTheme="minorEastAsia" w:hAnsiTheme="minorEastAsia" w:eastAsiaTheme="minorEastAsia" w:cstheme="minorEastAsia"/>
          <w:sz w:val="24"/>
        </w:rPr>
        <w:t>所投货物均应符合国家强制性标准。</w:t>
      </w:r>
    </w:p>
    <w:p>
      <w:pPr>
        <w:pStyle w:val="28"/>
        <w:numPr>
          <w:ilvl w:val="1"/>
          <w:numId w:val="1"/>
        </w:numPr>
        <w:tabs>
          <w:tab w:val="left" w:pos="2020"/>
        </w:tabs>
        <w:spacing w:before="3" w:after="0" w:line="242" w:lineRule="auto"/>
        <w:ind w:left="1957" w:right="1115" w:hanging="9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spacing w:val="-1"/>
          <w:sz w:val="24"/>
        </w:rPr>
        <w:t>除招标文件中有特殊要求外，投标文件中所使用的计量单位，应采用</w:t>
      </w:r>
      <w:r>
        <w:rPr>
          <w:rFonts w:hint="eastAsia" w:asciiTheme="minorEastAsia" w:hAnsiTheme="minorEastAsia" w:eastAsiaTheme="minorEastAsia" w:cstheme="minorEastAsia"/>
          <w:sz w:val="24"/>
        </w:rPr>
        <w:t>中华人民共和国法定计量单位。</w:t>
      </w:r>
    </w:p>
    <w:p>
      <w:pPr>
        <w:pStyle w:val="28"/>
        <w:numPr>
          <w:ilvl w:val="0"/>
          <w:numId w:val="1"/>
        </w:numPr>
        <w:tabs>
          <w:tab w:val="left" w:pos="1299"/>
        </w:tabs>
        <w:spacing w:before="3" w:after="0" w:line="240" w:lineRule="auto"/>
        <w:ind w:left="1298" w:right="0" w:hanging="242"/>
        <w:jc w:val="left"/>
        <w:outlineLvl w:val="1"/>
        <w:rPr>
          <w:rFonts w:hint="eastAsia" w:asciiTheme="minorEastAsia" w:hAnsiTheme="minorEastAsia" w:eastAsiaTheme="minorEastAsia" w:cstheme="minorEastAsia"/>
          <w:b/>
          <w:sz w:val="24"/>
        </w:rPr>
      </w:pPr>
      <w:bookmarkStart w:id="68" w:name="9.投标文件构成"/>
      <w:bookmarkEnd w:id="68"/>
      <w:bookmarkStart w:id="69" w:name="9.投标文件构成"/>
      <w:bookmarkEnd w:id="69"/>
      <w:bookmarkStart w:id="70" w:name="_Toc19318"/>
      <w:r>
        <w:rPr>
          <w:rFonts w:hint="eastAsia" w:asciiTheme="minorEastAsia" w:hAnsiTheme="minorEastAsia" w:eastAsiaTheme="minorEastAsia" w:cstheme="minorEastAsia"/>
          <w:b/>
          <w:sz w:val="24"/>
        </w:rPr>
        <w:t>投标文件构成</w:t>
      </w:r>
      <w:bookmarkEnd w:id="70"/>
    </w:p>
    <w:p>
      <w:pPr>
        <w:tabs>
          <w:tab w:val="left" w:pos="900"/>
          <w:tab w:val="left" w:pos="5580"/>
        </w:tabs>
        <w:spacing w:line="240" w:lineRule="atLeast"/>
        <w:ind w:left="1911" w:leftChars="434" w:hanging="956" w:hangingChars="400"/>
        <w:jc w:val="left"/>
        <w:rPr>
          <w:rFonts w:hint="eastAsia" w:asciiTheme="minorEastAsia" w:hAnsiTheme="minorEastAsia" w:eastAsiaTheme="minorEastAsia" w:cstheme="minorEastAsia"/>
          <w:b/>
          <w:color w:val="FF0000"/>
          <w:sz w:val="24"/>
          <w:u w:val="none"/>
        </w:rPr>
      </w:pPr>
      <w:r>
        <w:rPr>
          <w:rFonts w:hint="eastAsia" w:asciiTheme="minorEastAsia" w:hAnsiTheme="minorEastAsia" w:eastAsiaTheme="minorEastAsia" w:cstheme="minorEastAsia"/>
          <w:b/>
          <w:spacing w:val="-1"/>
          <w:sz w:val="24"/>
          <w:u w:val="none"/>
          <w:lang w:val="en-US" w:eastAsia="zh-CN"/>
        </w:rPr>
        <w:t>9.1    投标人应完整地按招标文件提供的投标文件格式及要求编写投标文件，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Style w:val="28"/>
        <w:numPr>
          <w:ilvl w:val="0"/>
          <w:numId w:val="0"/>
        </w:numPr>
        <w:tabs>
          <w:tab w:val="left" w:pos="1897"/>
          <w:tab w:val="left" w:pos="1898"/>
        </w:tabs>
        <w:spacing w:before="5" w:after="0" w:line="240" w:lineRule="auto"/>
        <w:ind w:left="1056" w:leftChars="0" w:right="0" w:rightChars="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9.2    </w:t>
      </w:r>
      <w:r>
        <w:rPr>
          <w:rFonts w:hint="eastAsia" w:asciiTheme="minorEastAsia" w:hAnsiTheme="minorEastAsia" w:eastAsiaTheme="minorEastAsia" w:cstheme="minorEastAsia"/>
          <w:sz w:val="24"/>
        </w:rPr>
        <w:t>上述文件应按照招标文件规定的格式填写、签署和盖章。</w:t>
      </w:r>
    </w:p>
    <w:p>
      <w:pPr>
        <w:pStyle w:val="28"/>
        <w:numPr>
          <w:ilvl w:val="0"/>
          <w:numId w:val="1"/>
        </w:numPr>
        <w:tabs>
          <w:tab w:val="left" w:pos="1957"/>
          <w:tab w:val="left" w:pos="1958"/>
        </w:tabs>
        <w:spacing w:before="4" w:after="0" w:line="240" w:lineRule="auto"/>
        <w:ind w:left="1957" w:right="0" w:hanging="901"/>
        <w:jc w:val="left"/>
        <w:rPr>
          <w:rFonts w:hint="eastAsia" w:asciiTheme="minorEastAsia" w:hAnsiTheme="minorEastAsia" w:eastAsiaTheme="minorEastAsia" w:cstheme="minorEastAsia"/>
          <w:b/>
          <w:sz w:val="24"/>
        </w:rPr>
      </w:pPr>
      <w:bookmarkStart w:id="71" w:name="10.证明投标文件的合格性和符合招标文件规定的技术文件"/>
      <w:bookmarkEnd w:id="71"/>
      <w:bookmarkStart w:id="72" w:name="10.证明投标文件的合格性和符合招标文件规定的技术文件"/>
      <w:bookmarkEnd w:id="72"/>
      <w:r>
        <w:rPr>
          <w:rFonts w:hint="eastAsia" w:asciiTheme="minorEastAsia" w:hAnsiTheme="minorEastAsia" w:eastAsiaTheme="minorEastAsia" w:cstheme="minorEastAsia"/>
          <w:b/>
          <w:w w:val="95"/>
          <w:sz w:val="24"/>
        </w:rPr>
        <w:t>证明投标文件的合格性和符合招标文件规定的技术文件</w:t>
      </w:r>
    </w:p>
    <w:p>
      <w:pPr>
        <w:pStyle w:val="28"/>
        <w:numPr>
          <w:ilvl w:val="1"/>
          <w:numId w:val="1"/>
        </w:numPr>
        <w:tabs>
          <w:tab w:val="left" w:pos="1957"/>
          <w:tab w:val="left" w:pos="1958"/>
        </w:tabs>
        <w:spacing w:before="5" w:after="0" w:line="242" w:lineRule="auto"/>
        <w:ind w:left="1957" w:right="1115" w:hanging="9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投标人应提交证明文件，证明其报价内容符合招标文件规定。该证明文件是投标文件的一部分。</w:t>
      </w:r>
    </w:p>
    <w:p>
      <w:pPr>
        <w:pStyle w:val="28"/>
        <w:numPr>
          <w:ilvl w:val="1"/>
          <w:numId w:val="1"/>
        </w:numPr>
        <w:tabs>
          <w:tab w:val="left" w:pos="1957"/>
          <w:tab w:val="left" w:pos="1958"/>
        </w:tabs>
        <w:spacing w:before="2" w:after="0" w:line="240" w:lineRule="auto"/>
        <w:ind w:left="1957" w:right="0" w:hanging="9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上款所述的证明文件，可以是文字资料、图纸和数据，它包括：</w:t>
      </w:r>
    </w:p>
    <w:p>
      <w:pPr>
        <w:pStyle w:val="28"/>
        <w:numPr>
          <w:ilvl w:val="2"/>
          <w:numId w:val="1"/>
        </w:numPr>
        <w:tabs>
          <w:tab w:val="left" w:pos="1958"/>
        </w:tabs>
        <w:spacing w:before="5" w:after="0" w:line="240" w:lineRule="auto"/>
        <w:ind w:left="1957" w:right="0" w:hanging="90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货物主要技术指标和性能的详细说明；</w:t>
      </w:r>
    </w:p>
    <w:p>
      <w:pPr>
        <w:pStyle w:val="28"/>
        <w:numPr>
          <w:ilvl w:val="2"/>
          <w:numId w:val="1"/>
        </w:numPr>
        <w:tabs>
          <w:tab w:val="left" w:pos="1958"/>
        </w:tabs>
        <w:spacing w:before="4" w:after="0" w:line="242" w:lineRule="auto"/>
        <w:ind w:left="1957" w:right="995" w:hanging="9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货物从买方开始使用至招标文件规定的保质期内正常、连续地使用所</w:t>
      </w:r>
      <w:r>
        <w:rPr>
          <w:rFonts w:hint="eastAsia" w:asciiTheme="minorEastAsia" w:hAnsiTheme="minorEastAsia" w:eastAsiaTheme="minorEastAsia" w:cstheme="minorEastAsia"/>
          <w:spacing w:val="-4"/>
          <w:sz w:val="24"/>
        </w:rPr>
        <w:t>必须的备件和专用工具清单，包括备件和专用工具的货源及现行价格；</w:t>
      </w:r>
    </w:p>
    <w:p>
      <w:pPr>
        <w:pStyle w:val="28"/>
        <w:numPr>
          <w:ilvl w:val="2"/>
          <w:numId w:val="1"/>
        </w:numPr>
        <w:tabs>
          <w:tab w:val="left" w:pos="1958"/>
        </w:tabs>
        <w:spacing w:before="3" w:after="0" w:line="242" w:lineRule="auto"/>
        <w:ind w:left="1957" w:right="1117" w:hanging="900"/>
        <w:jc w:val="both"/>
        <w:rPr>
          <w:sz w:val="24"/>
        </w:rPr>
      </w:pPr>
      <w:r>
        <w:rPr>
          <w:rFonts w:hint="eastAsia" w:asciiTheme="minorEastAsia" w:hAnsiTheme="minorEastAsia" w:eastAsiaTheme="minorEastAsia" w:cstheme="minorEastAsia"/>
          <w:sz w:val="24"/>
        </w:rPr>
        <w:t>对照招标文件技术规格，逐条说明所提供货物及伴随的工程和服务已</w:t>
      </w:r>
      <w:r>
        <w:rPr>
          <w:rFonts w:hint="eastAsia" w:ascii="宋体" w:hAnsi="宋体" w:eastAsia="宋体" w:cs="宋体"/>
          <w:b/>
          <w:bCs/>
          <w:sz w:val="24"/>
        </w:rPr>
        <w:t>对招标文件的技术规格做出了实质性的响应，或申明与技术规格条文的偏差和例外。</w:t>
      </w:r>
    </w:p>
    <w:p>
      <w:pPr>
        <w:spacing w:after="0" w:line="242" w:lineRule="auto"/>
        <w:jc w:val="both"/>
        <w:rPr>
          <w:sz w:val="24"/>
        </w:rPr>
        <w:sectPr>
          <w:pgSz w:w="11910" w:h="16840"/>
          <w:pgMar w:top="1180" w:right="800" w:bottom="1180" w:left="740" w:header="0" w:footer="1000" w:gutter="0"/>
          <w:pgNumType w:fmt="decimal"/>
          <w:cols w:space="720" w:num="1"/>
        </w:sectPr>
      </w:pPr>
    </w:p>
    <w:p>
      <w:pPr>
        <w:pStyle w:val="28"/>
        <w:numPr>
          <w:ilvl w:val="1"/>
          <w:numId w:val="1"/>
        </w:numPr>
        <w:tabs>
          <w:tab w:val="left" w:pos="1958"/>
        </w:tabs>
        <w:spacing w:before="44" w:after="0" w:line="242" w:lineRule="auto"/>
        <w:ind w:left="1957" w:right="1115" w:hanging="900"/>
        <w:jc w:val="both"/>
        <w:rPr>
          <w:rFonts w:hint="eastAsia" w:ascii="宋体" w:hAnsi="宋体" w:eastAsia="宋体" w:cs="宋体"/>
        </w:rPr>
      </w:pPr>
      <w:r>
        <w:rPr>
          <w:rFonts w:hint="eastAsia" w:ascii="宋体" w:hAnsi="宋体" w:eastAsia="宋体" w:cs="宋体"/>
          <w:color w:val="auto"/>
          <w:sz w:val="24"/>
          <w:lang w:val="en-US" w:eastAsia="zh-CN"/>
        </w:rPr>
        <w:t>投</w:t>
      </w:r>
      <w:r>
        <w:rPr>
          <w:rFonts w:hint="eastAsia" w:ascii="宋体" w:hAnsi="宋体" w:eastAsia="宋体" w:cs="宋体"/>
          <w:color w:val="auto"/>
          <w:sz w:val="24"/>
        </w:rPr>
        <w:t>标</w:t>
      </w:r>
      <w:r>
        <w:rPr>
          <w:rFonts w:hint="eastAsia" w:ascii="宋体" w:hAnsi="宋体" w:eastAsia="宋体" w:cs="宋体"/>
          <w:sz w:val="24"/>
        </w:rPr>
        <w:t>人应注意采购人在技术规格中指出的工艺、材料和设备的参照品牌型号或分类号仅起说明作用，并没有任何限制性。投标人在报价中可以选用替代牌号或分类号，但这些替代要实质上相当于技术规格的要求。采购人、采购代理机构承诺不以上述参照品牌型号或分类号作为评标时判定其报价是否有效的标准。</w:t>
      </w:r>
    </w:p>
    <w:p>
      <w:pPr>
        <w:spacing w:before="0"/>
        <w:ind w:left="1057" w:right="0" w:firstLine="0"/>
        <w:jc w:val="left"/>
        <w:outlineLvl w:val="1"/>
        <w:rPr>
          <w:rFonts w:hint="eastAsia" w:ascii="宋体" w:hAnsi="宋体" w:eastAsia="宋体" w:cs="宋体"/>
          <w:b/>
          <w:sz w:val="24"/>
        </w:rPr>
      </w:pPr>
      <w:bookmarkStart w:id="73" w:name="11投标报价"/>
      <w:bookmarkEnd w:id="73"/>
      <w:bookmarkStart w:id="74" w:name="_Toc3568"/>
      <w:r>
        <w:rPr>
          <w:rFonts w:hint="eastAsia" w:ascii="宋体" w:hAnsi="宋体" w:eastAsia="宋体" w:cs="宋体"/>
          <w:b/>
          <w:sz w:val="24"/>
        </w:rPr>
        <w:t>11</w:t>
      </w:r>
      <w:r>
        <w:rPr>
          <w:rFonts w:hint="eastAsia" w:ascii="宋体" w:hAnsi="宋体" w:eastAsia="宋体" w:cs="宋体"/>
          <w:b/>
          <w:sz w:val="24"/>
          <w:lang w:eastAsia="zh-CN"/>
        </w:rPr>
        <w:t>.</w:t>
      </w:r>
      <w:r>
        <w:rPr>
          <w:rFonts w:hint="eastAsia" w:ascii="宋体" w:hAnsi="宋体" w:eastAsia="宋体" w:cs="宋体"/>
          <w:b/>
          <w:sz w:val="24"/>
        </w:rPr>
        <w:t>投标报价</w:t>
      </w:r>
      <w:bookmarkEnd w:id="74"/>
    </w:p>
    <w:p>
      <w:pPr>
        <w:pStyle w:val="28"/>
        <w:numPr>
          <w:ilvl w:val="1"/>
          <w:numId w:val="2"/>
        </w:numPr>
        <w:tabs>
          <w:tab w:val="left" w:pos="1958"/>
        </w:tabs>
        <w:spacing w:before="5" w:after="0" w:line="242" w:lineRule="auto"/>
        <w:ind w:left="1957" w:right="1115" w:hanging="900"/>
        <w:jc w:val="both"/>
        <w:rPr>
          <w:rFonts w:hint="eastAsia" w:ascii="宋体" w:hAnsi="宋体" w:eastAsia="宋体" w:cs="宋体"/>
          <w:sz w:val="24"/>
        </w:rPr>
      </w:pPr>
      <w:r>
        <w:rPr>
          <w:rFonts w:hint="eastAsia" w:ascii="宋体" w:hAnsi="宋体" w:eastAsia="宋体" w:cs="宋体"/>
          <w:sz w:val="24"/>
        </w:rPr>
        <w:t>所有报价均以人民币报价。投标人的响应报价应遵守《中华人民共和国价格法》。同时，根据《中华人民共和国政府采购法》第二条的规定，为保证公平竞争，如有货物主体部分的赠与行为，其报价将被认定为</w:t>
      </w:r>
      <w:r>
        <w:rPr>
          <w:rFonts w:hint="eastAsia" w:ascii="宋体" w:hAnsi="宋体" w:eastAsia="宋体" w:cs="宋体"/>
          <w:b/>
          <w:sz w:val="24"/>
        </w:rPr>
        <w:t>投标无效</w:t>
      </w:r>
      <w:r>
        <w:rPr>
          <w:rFonts w:hint="eastAsia" w:ascii="宋体" w:hAnsi="宋体" w:eastAsia="宋体" w:cs="宋体"/>
          <w:sz w:val="24"/>
        </w:rPr>
        <w:t>。</w:t>
      </w:r>
    </w:p>
    <w:p>
      <w:pPr>
        <w:pStyle w:val="28"/>
        <w:numPr>
          <w:ilvl w:val="1"/>
          <w:numId w:val="2"/>
        </w:numPr>
        <w:tabs>
          <w:tab w:val="left" w:pos="1958"/>
        </w:tabs>
        <w:spacing w:before="5" w:after="0" w:line="242" w:lineRule="auto"/>
        <w:ind w:left="1957" w:right="1115" w:hanging="900"/>
        <w:jc w:val="both"/>
        <w:rPr>
          <w:rFonts w:hint="eastAsia" w:ascii="宋体" w:hAnsi="宋体" w:eastAsia="宋体" w:cs="宋体"/>
          <w:sz w:val="24"/>
        </w:rPr>
      </w:pPr>
      <w:r>
        <w:rPr>
          <w:rFonts w:hint="eastAsia" w:ascii="宋体" w:hAnsi="宋体" w:eastAsia="宋体" w:cs="宋体"/>
          <w:sz w:val="24"/>
        </w:rPr>
        <w:t>投标人应在投标分项报价表上标明报价货物及相关服务的单价（</w:t>
      </w:r>
      <w:r>
        <w:rPr>
          <w:rFonts w:hint="eastAsia" w:ascii="宋体" w:hAnsi="宋体" w:eastAsia="宋体" w:cs="宋体"/>
          <w:spacing w:val="2"/>
          <w:sz w:val="24"/>
        </w:rPr>
        <w:t>如适用）和总价，并由法定代表人或其授权代表签署。</w:t>
      </w:r>
    </w:p>
    <w:p>
      <w:pPr>
        <w:pStyle w:val="28"/>
        <w:numPr>
          <w:ilvl w:val="1"/>
          <w:numId w:val="2"/>
        </w:numPr>
        <w:tabs>
          <w:tab w:val="left" w:pos="1958"/>
        </w:tabs>
        <w:spacing w:before="3" w:after="0" w:line="240" w:lineRule="auto"/>
        <w:ind w:left="1957" w:right="0" w:hanging="901"/>
        <w:jc w:val="both"/>
        <w:outlineLvl w:val="1"/>
        <w:rPr>
          <w:rFonts w:hint="eastAsia" w:ascii="宋体" w:hAnsi="宋体" w:eastAsia="宋体" w:cs="宋体"/>
          <w:sz w:val="24"/>
        </w:rPr>
      </w:pPr>
      <w:bookmarkStart w:id="75" w:name="_Toc4086"/>
      <w:bookmarkStart w:id="76" w:name="_Toc8225"/>
      <w:bookmarkStart w:id="77" w:name="_Toc6077"/>
      <w:r>
        <w:rPr>
          <w:rFonts w:hint="eastAsia" w:ascii="宋体" w:hAnsi="宋体" w:eastAsia="宋体" w:cs="宋体"/>
          <w:sz w:val="24"/>
        </w:rPr>
        <w:t>投标分项报价表上的价格应按下列方式填写：</w:t>
      </w:r>
      <w:bookmarkEnd w:id="75"/>
      <w:bookmarkEnd w:id="76"/>
      <w:bookmarkEnd w:id="77"/>
    </w:p>
    <w:p>
      <w:pPr>
        <w:pStyle w:val="28"/>
        <w:numPr>
          <w:ilvl w:val="2"/>
          <w:numId w:val="2"/>
        </w:numPr>
        <w:tabs>
          <w:tab w:val="left" w:pos="2020"/>
        </w:tabs>
        <w:spacing w:before="5" w:after="0" w:line="242" w:lineRule="auto"/>
        <w:ind w:left="1957" w:right="1117" w:hanging="900"/>
        <w:jc w:val="both"/>
        <w:rPr>
          <w:rFonts w:hint="eastAsia" w:ascii="宋体" w:hAnsi="宋体" w:eastAsia="宋体" w:cs="宋体"/>
          <w:sz w:val="24"/>
        </w:rPr>
      </w:pPr>
      <w:r>
        <w:rPr>
          <w:rFonts w:hint="eastAsia" w:ascii="宋体" w:hAnsi="宋体" w:eastAsia="宋体" w:cs="宋体"/>
        </w:rPr>
        <w:tab/>
      </w:r>
      <w:r>
        <w:rPr>
          <w:rFonts w:hint="eastAsia" w:ascii="宋体" w:hAnsi="宋体" w:eastAsia="宋体" w:cs="宋体"/>
          <w:sz w:val="24"/>
        </w:rPr>
        <w:t>报价货物（包括备品备件、专用工具等）的出厂价（</w:t>
      </w:r>
      <w:r>
        <w:rPr>
          <w:rFonts w:hint="eastAsia" w:ascii="宋体" w:hAnsi="宋体" w:eastAsia="宋体" w:cs="宋体"/>
          <w:spacing w:val="-2"/>
          <w:sz w:val="24"/>
        </w:rPr>
        <w:t>包括已在中国国</w:t>
      </w:r>
      <w:r>
        <w:rPr>
          <w:rFonts w:hint="eastAsia" w:ascii="宋体" w:hAnsi="宋体" w:eastAsia="宋体" w:cs="宋体"/>
          <w:sz w:val="24"/>
        </w:rPr>
        <w:t>内的进口货物完税后的仓库交货价、展室交货价或货架交货价），报价货物安装、调试、检验、技术服务和培训等费用；</w:t>
      </w:r>
    </w:p>
    <w:p>
      <w:pPr>
        <w:pStyle w:val="28"/>
        <w:numPr>
          <w:ilvl w:val="2"/>
          <w:numId w:val="2"/>
        </w:numPr>
        <w:tabs>
          <w:tab w:val="left" w:pos="2018"/>
        </w:tabs>
        <w:spacing w:before="4" w:after="0" w:line="240" w:lineRule="auto"/>
        <w:ind w:left="2017" w:right="0" w:hanging="961"/>
        <w:jc w:val="both"/>
        <w:rPr>
          <w:rFonts w:hint="eastAsia" w:ascii="宋体" w:hAnsi="宋体" w:eastAsia="宋体" w:cs="宋体"/>
          <w:sz w:val="24"/>
        </w:rPr>
      </w:pPr>
      <w:r>
        <w:rPr>
          <w:rFonts w:hint="eastAsia" w:ascii="宋体" w:hAnsi="宋体" w:eastAsia="宋体" w:cs="宋体"/>
          <w:sz w:val="24"/>
        </w:rPr>
        <w:t>货物运至最终目的地的运输费和保险费用。</w:t>
      </w:r>
    </w:p>
    <w:p>
      <w:pPr>
        <w:pStyle w:val="28"/>
        <w:numPr>
          <w:ilvl w:val="1"/>
          <w:numId w:val="2"/>
        </w:numPr>
        <w:tabs>
          <w:tab w:val="left" w:pos="1958"/>
        </w:tabs>
        <w:spacing w:before="4" w:after="0" w:line="242" w:lineRule="auto"/>
        <w:ind w:left="1957" w:right="1115" w:hanging="900"/>
        <w:jc w:val="both"/>
        <w:rPr>
          <w:rFonts w:hint="eastAsia" w:ascii="宋体" w:hAnsi="宋体" w:eastAsia="宋体" w:cs="宋体"/>
          <w:sz w:val="24"/>
        </w:rPr>
      </w:pPr>
      <w:r>
        <w:rPr>
          <w:rFonts w:hint="eastAsia" w:ascii="宋体" w:hAnsi="宋体" w:eastAsia="宋体" w:cs="宋体"/>
          <w:sz w:val="24"/>
        </w:rPr>
        <w:t>投标人所报的各分项报价单价在合同履行过程中是固定不变的，不得以任何理由予以变更。任何包含价格调整要求的报价，其报价将被认定为</w:t>
      </w:r>
      <w:r>
        <w:rPr>
          <w:rFonts w:hint="eastAsia" w:ascii="宋体" w:hAnsi="宋体" w:eastAsia="宋体" w:cs="宋体"/>
          <w:b/>
          <w:sz w:val="24"/>
        </w:rPr>
        <w:t>投标无效</w:t>
      </w:r>
      <w:r>
        <w:rPr>
          <w:rFonts w:hint="eastAsia" w:ascii="宋体" w:hAnsi="宋体" w:eastAsia="宋体" w:cs="宋体"/>
          <w:sz w:val="24"/>
        </w:rPr>
        <w:t>。</w:t>
      </w:r>
    </w:p>
    <w:p>
      <w:pPr>
        <w:pStyle w:val="28"/>
        <w:numPr>
          <w:ilvl w:val="1"/>
          <w:numId w:val="2"/>
        </w:numPr>
        <w:tabs>
          <w:tab w:val="left" w:pos="1958"/>
        </w:tabs>
        <w:spacing w:before="5" w:after="0" w:line="240" w:lineRule="auto"/>
        <w:ind w:left="1957" w:right="0" w:hanging="901"/>
        <w:jc w:val="both"/>
        <w:rPr>
          <w:rFonts w:hint="eastAsia" w:ascii="宋体" w:hAnsi="宋体" w:eastAsia="宋体" w:cs="宋体"/>
          <w:sz w:val="24"/>
        </w:rPr>
      </w:pPr>
      <w:r>
        <w:rPr>
          <w:rFonts w:hint="eastAsia" w:ascii="宋体" w:hAnsi="宋体" w:eastAsia="宋体" w:cs="宋体"/>
          <w:sz w:val="24"/>
        </w:rPr>
        <w:t>每种货物只能有一个响应报价。采购人不接受具有附加条件的报价。</w:t>
      </w:r>
    </w:p>
    <w:p>
      <w:pPr>
        <w:pStyle w:val="28"/>
        <w:numPr>
          <w:ilvl w:val="1"/>
          <w:numId w:val="2"/>
        </w:numPr>
        <w:tabs>
          <w:tab w:val="left" w:pos="2018"/>
        </w:tabs>
        <w:spacing w:before="124" w:after="0" w:line="242" w:lineRule="auto"/>
        <w:ind w:left="1057" w:right="2084" w:firstLine="0"/>
        <w:jc w:val="both"/>
        <w:outlineLvl w:val="1"/>
        <w:rPr>
          <w:rFonts w:hint="eastAsia" w:ascii="宋体" w:hAnsi="宋体" w:eastAsia="宋体" w:cs="宋体"/>
          <w:b/>
          <w:sz w:val="24"/>
        </w:rPr>
      </w:pPr>
      <w:bookmarkStart w:id="78" w:name="_Toc22370"/>
      <w:bookmarkStart w:id="79" w:name="_Toc26924"/>
      <w:bookmarkStart w:id="80" w:name="_Toc24356"/>
      <w:r>
        <w:rPr>
          <w:rFonts w:hint="eastAsia" w:ascii="宋体" w:hAnsi="宋体" w:eastAsia="宋体" w:cs="宋体"/>
          <w:b/>
          <w:spacing w:val="-1"/>
          <w:sz w:val="24"/>
          <w:u w:val="single"/>
        </w:rPr>
        <w:t>参加公开招标活动的投标人应当一次报出不得更改的价格。</w:t>
      </w:r>
      <w:bookmarkStart w:id="81" w:name="12.投标保证金"/>
      <w:bookmarkEnd w:id="81"/>
      <w:r>
        <w:rPr>
          <w:rFonts w:hint="eastAsia" w:ascii="宋体" w:hAnsi="宋体" w:eastAsia="宋体" w:cs="宋体"/>
          <w:b/>
          <w:sz w:val="24"/>
        </w:rPr>
        <w:t>12.投标保证金</w:t>
      </w:r>
      <w:bookmarkEnd w:id="78"/>
      <w:bookmarkEnd w:id="79"/>
      <w:bookmarkEnd w:id="80"/>
    </w:p>
    <w:p>
      <w:pPr>
        <w:pStyle w:val="28"/>
        <w:numPr>
          <w:ilvl w:val="1"/>
          <w:numId w:val="3"/>
        </w:numPr>
        <w:tabs>
          <w:tab w:val="left" w:pos="1958"/>
        </w:tabs>
        <w:spacing w:before="3" w:after="0" w:line="242" w:lineRule="auto"/>
        <w:ind w:left="1957" w:right="1117" w:hanging="900"/>
        <w:jc w:val="both"/>
        <w:rPr>
          <w:rFonts w:hint="eastAsia" w:ascii="宋体" w:hAnsi="宋体" w:eastAsia="宋体" w:cs="宋体"/>
          <w:sz w:val="24"/>
        </w:rPr>
      </w:pPr>
      <w:r>
        <w:rPr>
          <w:rFonts w:hint="eastAsia" w:ascii="宋体" w:hAnsi="宋体" w:eastAsia="宋体" w:cs="宋体"/>
          <w:sz w:val="24"/>
        </w:rPr>
        <w:t>投标人应提交</w:t>
      </w:r>
      <w:r>
        <w:rPr>
          <w:rFonts w:hint="eastAsia" w:ascii="宋体" w:hAnsi="宋体" w:eastAsia="宋体" w:cs="宋体"/>
          <w:sz w:val="24"/>
          <w:u w:val="single"/>
        </w:rPr>
        <w:t>投标人须知资料表</w:t>
      </w:r>
      <w:r>
        <w:rPr>
          <w:rFonts w:hint="eastAsia" w:ascii="宋体" w:hAnsi="宋体" w:eastAsia="宋体" w:cs="宋体"/>
          <w:sz w:val="24"/>
        </w:rPr>
        <w:t>中规定的投标保证金，并作为其报价的一部分。</w:t>
      </w:r>
    </w:p>
    <w:p>
      <w:pPr>
        <w:pStyle w:val="28"/>
        <w:numPr>
          <w:ilvl w:val="1"/>
          <w:numId w:val="3"/>
        </w:numPr>
        <w:tabs>
          <w:tab w:val="left" w:pos="1958"/>
        </w:tabs>
        <w:spacing w:before="3" w:after="0" w:line="240" w:lineRule="auto"/>
        <w:ind w:left="1957" w:right="0" w:hanging="901"/>
        <w:jc w:val="both"/>
        <w:outlineLvl w:val="1"/>
        <w:rPr>
          <w:rFonts w:hint="eastAsia" w:ascii="宋体" w:hAnsi="宋体" w:eastAsia="宋体" w:cs="宋体"/>
          <w:sz w:val="24"/>
        </w:rPr>
      </w:pPr>
      <w:bookmarkStart w:id="82" w:name="_Toc14356"/>
      <w:bookmarkStart w:id="83" w:name="_Toc31070"/>
      <w:bookmarkStart w:id="84" w:name="_Toc27716"/>
      <w:r>
        <w:rPr>
          <w:rFonts w:hint="eastAsia" w:ascii="宋体" w:hAnsi="宋体" w:eastAsia="宋体" w:cs="宋体"/>
          <w:sz w:val="24"/>
        </w:rPr>
        <w:t>投标人存在下列情形的，投标保证金不予退还：</w:t>
      </w:r>
      <w:bookmarkEnd w:id="82"/>
      <w:bookmarkEnd w:id="83"/>
      <w:bookmarkEnd w:id="84"/>
    </w:p>
    <w:p>
      <w:pPr>
        <w:pStyle w:val="28"/>
        <w:numPr>
          <w:ilvl w:val="2"/>
          <w:numId w:val="3"/>
        </w:numPr>
        <w:tabs>
          <w:tab w:val="left" w:pos="2437"/>
        </w:tabs>
        <w:spacing w:before="4" w:after="0" w:line="240" w:lineRule="auto"/>
        <w:ind w:left="2436" w:right="0" w:hanging="602"/>
        <w:jc w:val="left"/>
        <w:rPr>
          <w:rFonts w:hint="eastAsia" w:ascii="宋体" w:hAnsi="宋体" w:eastAsia="宋体" w:cs="宋体"/>
          <w:sz w:val="24"/>
        </w:rPr>
      </w:pPr>
      <w:r>
        <w:rPr>
          <w:rFonts w:hint="eastAsia" w:ascii="宋体" w:hAnsi="宋体" w:eastAsia="宋体" w:cs="宋体"/>
          <w:sz w:val="24"/>
        </w:rPr>
        <w:t>在投标有效期内，撤销报价的；</w:t>
      </w:r>
    </w:p>
    <w:p>
      <w:pPr>
        <w:pStyle w:val="28"/>
        <w:numPr>
          <w:ilvl w:val="2"/>
          <w:numId w:val="3"/>
        </w:numPr>
        <w:tabs>
          <w:tab w:val="left" w:pos="2437"/>
        </w:tabs>
        <w:spacing w:before="5" w:after="0" w:line="240" w:lineRule="auto"/>
        <w:ind w:left="2436" w:right="0" w:hanging="602"/>
        <w:jc w:val="left"/>
        <w:rPr>
          <w:rFonts w:hint="eastAsia" w:ascii="宋体" w:hAnsi="宋体" w:eastAsia="宋体" w:cs="宋体"/>
          <w:sz w:val="24"/>
        </w:rPr>
      </w:pPr>
      <w:r>
        <w:rPr>
          <w:rFonts w:hint="eastAsia" w:ascii="宋体" w:hAnsi="宋体" w:eastAsia="宋体" w:cs="宋体"/>
          <w:spacing w:val="-6"/>
          <w:sz w:val="24"/>
        </w:rPr>
        <w:t xml:space="preserve">中标后不按本须知第 </w:t>
      </w:r>
      <w:r>
        <w:rPr>
          <w:rFonts w:hint="eastAsia" w:ascii="宋体" w:hAnsi="宋体" w:eastAsia="宋体" w:cs="宋体"/>
          <w:sz w:val="24"/>
        </w:rPr>
        <w:t>30</w:t>
      </w:r>
      <w:r>
        <w:rPr>
          <w:rFonts w:hint="eastAsia" w:ascii="宋体" w:hAnsi="宋体" w:eastAsia="宋体" w:cs="宋体"/>
          <w:spacing w:val="-8"/>
          <w:sz w:val="24"/>
        </w:rPr>
        <w:t xml:space="preserve"> 条的规定与采购人签订合同的；</w:t>
      </w:r>
    </w:p>
    <w:p>
      <w:pPr>
        <w:pStyle w:val="28"/>
        <w:numPr>
          <w:ilvl w:val="2"/>
          <w:numId w:val="3"/>
        </w:numPr>
        <w:tabs>
          <w:tab w:val="left" w:pos="2437"/>
        </w:tabs>
        <w:spacing w:before="4" w:after="0" w:line="240" w:lineRule="auto"/>
        <w:ind w:left="2436" w:right="0" w:hanging="602"/>
        <w:jc w:val="left"/>
        <w:rPr>
          <w:rFonts w:hint="eastAsia" w:ascii="宋体" w:hAnsi="宋体" w:eastAsia="宋体" w:cs="宋体"/>
          <w:sz w:val="24"/>
        </w:rPr>
      </w:pPr>
      <w:r>
        <w:rPr>
          <w:rFonts w:hint="eastAsia" w:ascii="宋体" w:hAnsi="宋体" w:eastAsia="宋体" w:cs="宋体"/>
          <w:spacing w:val="-6"/>
          <w:sz w:val="24"/>
        </w:rPr>
        <w:t xml:space="preserve">中标后不按本须知第 </w:t>
      </w:r>
      <w:r>
        <w:rPr>
          <w:rFonts w:hint="eastAsia" w:ascii="宋体" w:hAnsi="宋体" w:eastAsia="宋体" w:cs="宋体"/>
          <w:sz w:val="24"/>
        </w:rPr>
        <w:t>31</w:t>
      </w:r>
      <w:r>
        <w:rPr>
          <w:rFonts w:hint="eastAsia" w:ascii="宋体" w:hAnsi="宋体" w:eastAsia="宋体" w:cs="宋体"/>
          <w:spacing w:val="-8"/>
          <w:sz w:val="24"/>
        </w:rPr>
        <w:t xml:space="preserve"> 条的规定提交履约保证金的；</w:t>
      </w:r>
    </w:p>
    <w:p>
      <w:pPr>
        <w:pStyle w:val="28"/>
        <w:numPr>
          <w:ilvl w:val="2"/>
          <w:numId w:val="3"/>
        </w:numPr>
        <w:tabs>
          <w:tab w:val="left" w:pos="2437"/>
        </w:tabs>
        <w:spacing w:before="5" w:after="0" w:line="240" w:lineRule="auto"/>
        <w:ind w:left="2436" w:right="0" w:hanging="602"/>
        <w:jc w:val="left"/>
        <w:rPr>
          <w:rFonts w:hint="eastAsia" w:ascii="宋体" w:hAnsi="宋体" w:eastAsia="宋体" w:cs="宋体"/>
          <w:sz w:val="24"/>
        </w:rPr>
      </w:pPr>
      <w:r>
        <w:rPr>
          <w:rFonts w:hint="eastAsia" w:ascii="宋体" w:hAnsi="宋体" w:eastAsia="宋体" w:cs="宋体"/>
          <w:spacing w:val="-6"/>
          <w:sz w:val="24"/>
        </w:rPr>
        <w:t xml:space="preserve">中标后不按本须知第 </w:t>
      </w:r>
      <w:r>
        <w:rPr>
          <w:rFonts w:hint="eastAsia" w:ascii="宋体" w:hAnsi="宋体" w:eastAsia="宋体" w:cs="宋体"/>
          <w:sz w:val="24"/>
        </w:rPr>
        <w:t>32</w:t>
      </w:r>
      <w:r>
        <w:rPr>
          <w:rFonts w:hint="eastAsia" w:ascii="宋体" w:hAnsi="宋体" w:eastAsia="宋体" w:cs="宋体"/>
          <w:spacing w:val="-8"/>
          <w:sz w:val="24"/>
        </w:rPr>
        <w:t xml:space="preserve"> 条的规定缴纳中标服务费的；</w:t>
      </w:r>
    </w:p>
    <w:p>
      <w:pPr>
        <w:pStyle w:val="28"/>
        <w:numPr>
          <w:ilvl w:val="2"/>
          <w:numId w:val="3"/>
        </w:numPr>
        <w:tabs>
          <w:tab w:val="left" w:pos="2437"/>
        </w:tabs>
        <w:spacing w:before="4" w:after="0" w:line="240" w:lineRule="auto"/>
        <w:ind w:left="2436" w:right="0" w:hanging="602"/>
        <w:jc w:val="left"/>
        <w:rPr>
          <w:rFonts w:hint="eastAsia" w:ascii="宋体" w:hAnsi="宋体" w:eastAsia="宋体" w:cs="宋体"/>
          <w:sz w:val="24"/>
        </w:rPr>
      </w:pPr>
      <w:r>
        <w:rPr>
          <w:rFonts w:hint="eastAsia" w:ascii="宋体" w:hAnsi="宋体" w:eastAsia="宋体" w:cs="宋体"/>
          <w:sz w:val="24"/>
        </w:rPr>
        <w:t>投标人在投标文件中提供虚假材料的；</w:t>
      </w:r>
    </w:p>
    <w:p>
      <w:pPr>
        <w:pStyle w:val="28"/>
        <w:numPr>
          <w:ilvl w:val="2"/>
          <w:numId w:val="3"/>
        </w:numPr>
        <w:tabs>
          <w:tab w:val="left" w:pos="2437"/>
        </w:tabs>
        <w:spacing w:before="5" w:after="0" w:line="240" w:lineRule="auto"/>
        <w:ind w:left="2436" w:right="0" w:hanging="602"/>
        <w:jc w:val="left"/>
        <w:rPr>
          <w:rFonts w:hint="eastAsia" w:ascii="宋体" w:hAnsi="宋体" w:eastAsia="宋体" w:cs="宋体"/>
          <w:sz w:val="24"/>
        </w:rPr>
      </w:pPr>
      <w:r>
        <w:rPr>
          <w:rFonts w:hint="eastAsia" w:ascii="宋体" w:hAnsi="宋体" w:eastAsia="宋体" w:cs="宋体"/>
          <w:sz w:val="24"/>
        </w:rPr>
        <w:t>投标人与采购人、其他投标人或者采购代理机构恶意串通的；</w:t>
      </w:r>
    </w:p>
    <w:p>
      <w:pPr>
        <w:pStyle w:val="28"/>
        <w:numPr>
          <w:ilvl w:val="2"/>
          <w:numId w:val="3"/>
        </w:numPr>
        <w:tabs>
          <w:tab w:val="left" w:pos="2437"/>
        </w:tabs>
        <w:spacing w:before="4" w:after="0" w:line="240" w:lineRule="auto"/>
        <w:ind w:left="2436" w:right="0" w:hanging="602"/>
        <w:jc w:val="left"/>
        <w:rPr>
          <w:rFonts w:hint="eastAsia" w:ascii="宋体" w:hAnsi="宋体" w:eastAsia="宋体" w:cs="宋体"/>
          <w:sz w:val="24"/>
        </w:rPr>
      </w:pPr>
      <w:r>
        <w:rPr>
          <w:rFonts w:hint="eastAsia" w:ascii="宋体" w:hAnsi="宋体" w:eastAsia="宋体" w:cs="宋体"/>
          <w:sz w:val="24"/>
        </w:rPr>
        <w:t>存在其他违法违规行为的。</w:t>
      </w:r>
    </w:p>
    <w:p>
      <w:pPr>
        <w:pStyle w:val="28"/>
        <w:numPr>
          <w:ilvl w:val="1"/>
          <w:numId w:val="3"/>
        </w:numPr>
        <w:tabs>
          <w:tab w:val="left" w:pos="1958"/>
        </w:tabs>
        <w:spacing w:before="5" w:after="0" w:line="242" w:lineRule="auto"/>
        <w:ind w:left="1957" w:right="1115" w:hanging="900"/>
        <w:jc w:val="both"/>
        <w:rPr>
          <w:rFonts w:hint="eastAsia" w:ascii="宋体" w:hAnsi="宋体" w:eastAsia="宋体" w:cs="宋体"/>
          <w:sz w:val="24"/>
        </w:rPr>
      </w:pPr>
      <w:r>
        <w:rPr>
          <w:rFonts w:hint="eastAsia" w:ascii="宋体" w:hAnsi="宋体" w:eastAsia="宋体" w:cs="宋体"/>
          <w:sz w:val="24"/>
        </w:rPr>
        <w:t>政府采购信用担保试点范围内的项目，接受符合财政部门规定的政府采购报价担保函原件。</w:t>
      </w:r>
    </w:p>
    <w:p>
      <w:pPr>
        <w:pStyle w:val="28"/>
        <w:numPr>
          <w:ilvl w:val="1"/>
          <w:numId w:val="3"/>
        </w:numPr>
        <w:tabs>
          <w:tab w:val="left" w:pos="1958"/>
        </w:tabs>
        <w:spacing w:before="3" w:after="0" w:line="242" w:lineRule="auto"/>
        <w:ind w:left="1957" w:right="1117" w:hanging="900"/>
        <w:jc w:val="both"/>
        <w:rPr>
          <w:rFonts w:hint="eastAsia" w:ascii="宋体" w:hAnsi="宋体" w:eastAsia="宋体" w:cs="宋体"/>
          <w:sz w:val="24"/>
        </w:rPr>
      </w:pPr>
      <w:r>
        <w:rPr>
          <w:rFonts w:hint="eastAsia" w:ascii="宋体" w:hAnsi="宋体" w:eastAsia="宋体" w:cs="宋体"/>
          <w:spacing w:val="-5"/>
          <w:sz w:val="24"/>
        </w:rPr>
        <w:t xml:space="preserve">投标人未按本须知第 </w:t>
      </w:r>
      <w:r>
        <w:rPr>
          <w:rFonts w:hint="eastAsia" w:ascii="宋体" w:hAnsi="宋体" w:eastAsia="宋体" w:cs="宋体"/>
          <w:sz w:val="24"/>
        </w:rPr>
        <w:t>12.1</w:t>
      </w:r>
      <w:r>
        <w:rPr>
          <w:rFonts w:hint="eastAsia" w:ascii="宋体" w:hAnsi="宋体" w:eastAsia="宋体" w:cs="宋体"/>
          <w:spacing w:val="-35"/>
          <w:sz w:val="24"/>
        </w:rPr>
        <w:t xml:space="preserve"> 和 </w:t>
      </w:r>
      <w:r>
        <w:rPr>
          <w:rFonts w:hint="eastAsia" w:ascii="宋体" w:hAnsi="宋体" w:eastAsia="宋体" w:cs="宋体"/>
          <w:sz w:val="24"/>
        </w:rPr>
        <w:t>12.3</w:t>
      </w:r>
      <w:r>
        <w:rPr>
          <w:rFonts w:hint="eastAsia" w:ascii="宋体" w:hAnsi="宋体" w:eastAsia="宋体" w:cs="宋体"/>
          <w:spacing w:val="-6"/>
          <w:sz w:val="24"/>
        </w:rPr>
        <w:t xml:space="preserve"> 条规定提交投标保证金的，其报价将被认定为</w:t>
      </w:r>
      <w:r>
        <w:rPr>
          <w:rFonts w:hint="eastAsia" w:ascii="宋体" w:hAnsi="宋体" w:eastAsia="宋体" w:cs="宋体"/>
          <w:b/>
          <w:spacing w:val="-6"/>
          <w:sz w:val="24"/>
        </w:rPr>
        <w:t>投标无效</w:t>
      </w:r>
      <w:r>
        <w:rPr>
          <w:rFonts w:hint="eastAsia" w:ascii="宋体" w:hAnsi="宋体" w:eastAsia="宋体" w:cs="宋体"/>
          <w:spacing w:val="-6"/>
          <w:sz w:val="24"/>
        </w:rPr>
        <w:t>。</w:t>
      </w:r>
    </w:p>
    <w:p>
      <w:pPr>
        <w:pStyle w:val="28"/>
        <w:numPr>
          <w:ilvl w:val="2"/>
          <w:numId w:val="4"/>
        </w:numPr>
        <w:tabs>
          <w:tab w:val="left" w:pos="2018"/>
        </w:tabs>
        <w:spacing w:before="3" w:after="0" w:line="240" w:lineRule="auto"/>
        <w:ind w:left="2017" w:right="0" w:hanging="961"/>
        <w:jc w:val="both"/>
        <w:rPr>
          <w:rFonts w:hint="eastAsia" w:ascii="宋体" w:hAnsi="宋体" w:eastAsia="宋体" w:cs="宋体"/>
          <w:sz w:val="24"/>
        </w:rPr>
      </w:pPr>
      <w:r>
        <w:rPr>
          <w:rFonts w:hint="eastAsia" w:ascii="宋体" w:hAnsi="宋体" w:eastAsia="宋体" w:cs="宋体"/>
          <w:sz w:val="24"/>
        </w:rPr>
        <w:t>采用电汇、网银形式的，一般可以实时入账。</w:t>
      </w:r>
    </w:p>
    <w:p>
      <w:pPr>
        <w:pStyle w:val="28"/>
        <w:numPr>
          <w:ilvl w:val="2"/>
          <w:numId w:val="4"/>
        </w:numPr>
        <w:tabs>
          <w:tab w:val="left" w:pos="2018"/>
        </w:tabs>
        <w:spacing w:before="4" w:after="0" w:line="242" w:lineRule="auto"/>
        <w:ind w:left="2017" w:right="1115" w:hanging="960"/>
        <w:jc w:val="both"/>
        <w:rPr>
          <w:rFonts w:hint="eastAsia" w:ascii="宋体" w:hAnsi="宋体" w:eastAsia="宋体" w:cs="宋体"/>
          <w:sz w:val="24"/>
        </w:rPr>
      </w:pPr>
      <w:r>
        <w:rPr>
          <w:rFonts w:hint="eastAsia" w:ascii="宋体" w:hAnsi="宋体" w:eastAsia="宋体" w:cs="宋体"/>
          <w:sz w:val="24"/>
        </w:rPr>
        <w:t>采用支票形式的，投标人则应充分考虑支票入账时间，以确保投标保证金能按时进入指定账户。根据银行信息交换和付款时间，支票从递</w:t>
      </w:r>
      <w:r>
        <w:rPr>
          <w:rFonts w:hint="eastAsia" w:ascii="宋体" w:hAnsi="宋体" w:eastAsia="宋体" w:cs="宋体"/>
          <w:spacing w:val="-6"/>
          <w:sz w:val="24"/>
        </w:rPr>
        <w:t xml:space="preserve">交至实际入账一般需要 </w:t>
      </w:r>
      <w:r>
        <w:rPr>
          <w:rFonts w:hint="eastAsia" w:ascii="宋体" w:hAnsi="宋体" w:eastAsia="宋体" w:cs="宋体"/>
          <w:sz w:val="24"/>
        </w:rPr>
        <w:t>4-5</w:t>
      </w:r>
      <w:r>
        <w:rPr>
          <w:rFonts w:hint="eastAsia" w:ascii="宋体" w:hAnsi="宋体" w:eastAsia="宋体" w:cs="宋体"/>
          <w:spacing w:val="-8"/>
          <w:sz w:val="24"/>
        </w:rPr>
        <w:t xml:space="preserve"> 个工作日。如投标人未及时提交支票或支票不符合银行委托收款要求（如污损、折叠、胶装等），导致投标保</w:t>
      </w:r>
      <w:r>
        <w:rPr>
          <w:rFonts w:hint="eastAsia" w:ascii="宋体" w:hAnsi="宋体" w:eastAsia="宋体" w:cs="宋体"/>
          <w:spacing w:val="-16"/>
          <w:sz w:val="24"/>
        </w:rPr>
        <w:t xml:space="preserve">证金不能按时进入指定账户的，将按照招标文件的第 </w:t>
      </w:r>
      <w:r>
        <w:rPr>
          <w:rFonts w:hint="eastAsia" w:ascii="宋体" w:hAnsi="宋体" w:eastAsia="宋体" w:cs="宋体"/>
          <w:sz w:val="24"/>
        </w:rPr>
        <w:t>22.2</w:t>
      </w:r>
      <w:r>
        <w:rPr>
          <w:rFonts w:hint="eastAsia" w:ascii="宋体" w:hAnsi="宋体" w:eastAsia="宋体" w:cs="宋体"/>
          <w:spacing w:val="-13"/>
          <w:sz w:val="24"/>
        </w:rPr>
        <w:t xml:space="preserve"> 条相关规定</w:t>
      </w:r>
      <w:r>
        <w:rPr>
          <w:rFonts w:hint="eastAsia" w:ascii="宋体" w:hAnsi="宋体" w:eastAsia="宋体" w:cs="宋体"/>
          <w:spacing w:val="-13"/>
          <w:sz w:val="24"/>
          <w:lang w:eastAsia="zh-CN"/>
        </w:rPr>
        <w:t>处理。</w:t>
      </w:r>
    </w:p>
    <w:p>
      <w:pPr>
        <w:spacing w:after="0" w:line="242" w:lineRule="auto"/>
        <w:jc w:val="both"/>
        <w:rPr>
          <w:rFonts w:hint="eastAsia" w:ascii="宋体" w:hAnsi="宋体" w:eastAsia="宋体" w:cs="宋体"/>
          <w:sz w:val="24"/>
        </w:rPr>
        <w:sectPr>
          <w:pgSz w:w="11910" w:h="16840"/>
          <w:pgMar w:top="1180" w:right="800" w:bottom="1180" w:left="740" w:header="0" w:footer="1000" w:gutter="0"/>
          <w:pgNumType w:fmt="decimal"/>
          <w:cols w:space="720" w:num="1"/>
        </w:sectPr>
      </w:pPr>
    </w:p>
    <w:p>
      <w:pPr>
        <w:pStyle w:val="28"/>
        <w:numPr>
          <w:ilvl w:val="1"/>
          <w:numId w:val="3"/>
        </w:numPr>
        <w:tabs>
          <w:tab w:val="left" w:pos="1897"/>
          <w:tab w:val="left" w:pos="1898"/>
        </w:tabs>
        <w:spacing w:before="4" w:after="0" w:line="242" w:lineRule="auto"/>
        <w:ind w:left="1957" w:right="1115" w:hanging="900"/>
        <w:jc w:val="left"/>
        <w:rPr>
          <w:rFonts w:hint="eastAsia" w:ascii="宋体" w:hAnsi="宋体" w:eastAsia="宋体" w:cs="宋体"/>
          <w:b/>
          <w:bCs/>
          <w:spacing w:val="-10"/>
          <w:sz w:val="24"/>
        </w:rPr>
      </w:pPr>
      <w:r>
        <w:rPr>
          <w:rFonts w:hint="eastAsia" w:ascii="宋体" w:hAnsi="宋体" w:eastAsia="宋体" w:cs="宋体"/>
          <w:b w:val="0"/>
          <w:bCs w:val="0"/>
          <w:color w:val="auto"/>
          <w:spacing w:val="-10"/>
          <w:sz w:val="24"/>
          <w:lang w:val="en-US" w:eastAsia="zh-CN"/>
        </w:rPr>
        <w:t xml:space="preserve"> </w:t>
      </w:r>
      <w:r>
        <w:rPr>
          <w:rFonts w:hint="eastAsia" w:ascii="宋体" w:hAnsi="宋体" w:eastAsia="宋体" w:cs="宋体"/>
          <w:b w:val="0"/>
          <w:bCs w:val="0"/>
          <w:color w:val="auto"/>
          <w:spacing w:val="-10"/>
          <w:sz w:val="24"/>
        </w:rPr>
        <w:t>联合体报价的，可以由联合体中的一方或者共同提交投标保证金。以一方名义提交投标保证金的，对联合体各方均具有约束力。</w:t>
      </w:r>
    </w:p>
    <w:p>
      <w:pPr>
        <w:pStyle w:val="28"/>
        <w:numPr>
          <w:ilvl w:val="1"/>
          <w:numId w:val="3"/>
        </w:numPr>
        <w:tabs>
          <w:tab w:val="left" w:pos="1897"/>
          <w:tab w:val="left" w:pos="1898"/>
        </w:tabs>
        <w:spacing w:before="4" w:after="0" w:line="242" w:lineRule="auto"/>
        <w:ind w:left="1957" w:right="1115" w:hanging="900"/>
        <w:jc w:val="left"/>
        <w:outlineLvl w:val="1"/>
        <w:rPr>
          <w:rFonts w:hint="eastAsia" w:ascii="宋体" w:hAnsi="宋体" w:eastAsia="宋体" w:cs="宋体"/>
          <w:spacing w:val="-10"/>
          <w:sz w:val="24"/>
        </w:rPr>
      </w:pPr>
      <w:bookmarkStart w:id="85" w:name="_Toc21197"/>
      <w:bookmarkStart w:id="86" w:name="_Toc2430"/>
      <w:bookmarkStart w:id="87" w:name="_Toc24601"/>
      <w:r>
        <w:rPr>
          <w:rFonts w:hint="eastAsia" w:ascii="宋体" w:hAnsi="宋体" w:eastAsia="宋体" w:cs="宋体"/>
          <w:spacing w:val="-10"/>
          <w:sz w:val="24"/>
        </w:rPr>
        <w:t>投标保证金的退还</w:t>
      </w:r>
      <w:bookmarkEnd w:id="85"/>
      <w:bookmarkEnd w:id="86"/>
      <w:bookmarkEnd w:id="87"/>
    </w:p>
    <w:p>
      <w:pPr>
        <w:pStyle w:val="28"/>
        <w:numPr>
          <w:ilvl w:val="0"/>
          <w:numId w:val="0"/>
        </w:numPr>
        <w:tabs>
          <w:tab w:val="left" w:pos="1897"/>
          <w:tab w:val="left" w:pos="1898"/>
        </w:tabs>
        <w:spacing w:before="4" w:after="0" w:line="242" w:lineRule="auto"/>
        <w:ind w:left="1936" w:leftChars="480" w:right="1115" w:rightChars="0" w:hanging="880" w:hangingChars="400"/>
        <w:jc w:val="left"/>
        <w:rPr>
          <w:rFonts w:hint="eastAsia" w:ascii="宋体" w:hAnsi="宋体" w:eastAsia="宋体" w:cs="宋体"/>
          <w:spacing w:val="-10"/>
          <w:sz w:val="24"/>
        </w:rPr>
      </w:pPr>
      <w:r>
        <w:rPr>
          <w:rFonts w:hint="eastAsia" w:ascii="宋体" w:hAnsi="宋体" w:eastAsia="宋体" w:cs="宋体"/>
          <w:spacing w:val="-10"/>
          <w:sz w:val="24"/>
          <w:lang w:val="en-US" w:eastAsia="zh-CN"/>
        </w:rPr>
        <w:t xml:space="preserve">12.6.1  </w:t>
      </w:r>
      <w:r>
        <w:rPr>
          <w:rFonts w:hint="eastAsia" w:ascii="宋体" w:hAnsi="宋体" w:eastAsia="宋体" w:cs="宋体"/>
          <w:spacing w:val="-10"/>
          <w:sz w:val="24"/>
        </w:rPr>
        <w:t>中标人应在与采购人签订合同之日起5个工作日内，及时联系保证金收受机构办理投标保证金无息退还手续。</w:t>
      </w:r>
    </w:p>
    <w:p>
      <w:pPr>
        <w:pStyle w:val="28"/>
        <w:numPr>
          <w:ilvl w:val="0"/>
          <w:numId w:val="0"/>
        </w:numPr>
        <w:tabs>
          <w:tab w:val="left" w:pos="1897"/>
          <w:tab w:val="left" w:pos="1898"/>
        </w:tabs>
        <w:spacing w:before="4" w:after="0" w:line="242" w:lineRule="auto"/>
        <w:ind w:left="1936" w:leftChars="480" w:right="1115" w:rightChars="0" w:hanging="880" w:hangingChars="400"/>
        <w:jc w:val="left"/>
        <w:rPr>
          <w:rFonts w:hint="eastAsia" w:ascii="宋体" w:hAnsi="宋体" w:eastAsia="宋体" w:cs="宋体"/>
          <w:spacing w:val="-10"/>
          <w:sz w:val="24"/>
        </w:rPr>
      </w:pPr>
      <w:r>
        <w:rPr>
          <w:rFonts w:hint="eastAsia" w:ascii="宋体" w:hAnsi="宋体" w:eastAsia="宋体" w:cs="宋体"/>
          <w:spacing w:val="-10"/>
          <w:sz w:val="24"/>
          <w:lang w:val="en-US" w:eastAsia="zh-CN"/>
        </w:rPr>
        <w:t xml:space="preserve">12.6.2  </w:t>
      </w:r>
      <w:r>
        <w:rPr>
          <w:rFonts w:hint="eastAsia" w:ascii="宋体" w:hAnsi="宋体" w:eastAsia="宋体" w:cs="宋体"/>
          <w:spacing w:val="-10"/>
          <w:sz w:val="24"/>
        </w:rPr>
        <w:t>未中标人的投标保证金将在成交通知书发出之日暨成交结果公告公布之日起5个工作日内无息退还。投标人应及时联系保证金收受机构办理退还投标保证金手续。</w:t>
      </w:r>
    </w:p>
    <w:p>
      <w:pPr>
        <w:pStyle w:val="28"/>
        <w:numPr>
          <w:ilvl w:val="0"/>
          <w:numId w:val="0"/>
        </w:numPr>
        <w:tabs>
          <w:tab w:val="left" w:pos="1897"/>
          <w:tab w:val="left" w:pos="1898"/>
        </w:tabs>
        <w:spacing w:before="4" w:after="0" w:line="242" w:lineRule="auto"/>
        <w:ind w:left="1057" w:leftChars="0" w:right="1115" w:rightChars="0"/>
        <w:jc w:val="left"/>
        <w:rPr>
          <w:rFonts w:hint="eastAsia" w:ascii="宋体" w:hAnsi="宋体" w:eastAsia="宋体" w:cs="宋体"/>
          <w:spacing w:val="-10"/>
          <w:sz w:val="24"/>
        </w:rPr>
      </w:pPr>
      <w:r>
        <w:rPr>
          <w:rFonts w:hint="eastAsia" w:ascii="宋体" w:hAnsi="宋体" w:eastAsia="宋体" w:cs="宋体"/>
          <w:spacing w:val="-10"/>
          <w:sz w:val="24"/>
          <w:lang w:val="en-US" w:eastAsia="zh-CN"/>
        </w:rPr>
        <w:t xml:space="preserve">12.6.3  </w:t>
      </w:r>
      <w:r>
        <w:rPr>
          <w:rFonts w:hint="eastAsia" w:ascii="宋体" w:hAnsi="宋体" w:eastAsia="宋体" w:cs="宋体"/>
          <w:spacing w:val="-10"/>
          <w:sz w:val="24"/>
        </w:rPr>
        <w:t>政府采购报价担保函不予退回。</w:t>
      </w:r>
    </w:p>
    <w:p>
      <w:pPr>
        <w:pStyle w:val="28"/>
        <w:numPr>
          <w:ilvl w:val="1"/>
          <w:numId w:val="3"/>
        </w:numPr>
        <w:tabs>
          <w:tab w:val="left" w:pos="1897"/>
          <w:tab w:val="left" w:pos="1898"/>
        </w:tabs>
        <w:spacing w:before="4" w:after="0" w:line="242" w:lineRule="auto"/>
        <w:ind w:left="1957" w:right="1115" w:hanging="900"/>
        <w:jc w:val="left"/>
        <w:rPr>
          <w:rFonts w:hint="eastAsia" w:ascii="宋体" w:hAnsi="宋体" w:eastAsia="宋体" w:cs="宋体"/>
          <w:spacing w:val="-10"/>
          <w:sz w:val="24"/>
        </w:rPr>
      </w:pPr>
      <w:r>
        <w:rPr>
          <w:rFonts w:hint="eastAsia" w:ascii="宋体" w:hAnsi="宋体" w:eastAsia="宋体" w:cs="宋体"/>
          <w:spacing w:val="-10"/>
          <w:sz w:val="24"/>
        </w:rPr>
        <w:t>因投标人自身原因导致无法及时退还的，采购人或采购代理机构将不承担相应责任。</w:t>
      </w:r>
    </w:p>
    <w:p>
      <w:pPr>
        <w:pStyle w:val="28"/>
        <w:numPr>
          <w:ilvl w:val="0"/>
          <w:numId w:val="5"/>
        </w:numPr>
        <w:tabs>
          <w:tab w:val="left" w:pos="1421"/>
        </w:tabs>
        <w:spacing w:before="3" w:after="0" w:line="240" w:lineRule="auto"/>
        <w:ind w:left="1421" w:right="0" w:hanging="364"/>
        <w:jc w:val="left"/>
        <w:outlineLvl w:val="1"/>
        <w:rPr>
          <w:rFonts w:hint="eastAsia" w:ascii="宋体" w:hAnsi="宋体" w:eastAsia="宋体" w:cs="宋体"/>
          <w:b/>
          <w:sz w:val="22"/>
        </w:rPr>
      </w:pPr>
      <w:bookmarkStart w:id="88" w:name="13.投标有效期"/>
      <w:bookmarkEnd w:id="88"/>
      <w:bookmarkStart w:id="89" w:name="13.投标有效期"/>
      <w:bookmarkEnd w:id="89"/>
      <w:bookmarkStart w:id="90" w:name="_Toc7081"/>
      <w:r>
        <w:rPr>
          <w:rFonts w:hint="eastAsia" w:ascii="宋体" w:hAnsi="宋体" w:eastAsia="宋体" w:cs="宋体"/>
          <w:b/>
          <w:sz w:val="24"/>
        </w:rPr>
        <w:t>投标有效期</w:t>
      </w:r>
      <w:bookmarkEnd w:id="90"/>
    </w:p>
    <w:p>
      <w:pPr>
        <w:pStyle w:val="28"/>
        <w:numPr>
          <w:ilvl w:val="1"/>
          <w:numId w:val="5"/>
        </w:numPr>
        <w:tabs>
          <w:tab w:val="left" w:pos="1957"/>
          <w:tab w:val="left" w:pos="1958"/>
        </w:tabs>
        <w:spacing w:before="4" w:after="0" w:line="242" w:lineRule="auto"/>
        <w:ind w:left="2000" w:leftChars="0" w:right="1117" w:hanging="900" w:firstLineChars="0"/>
        <w:jc w:val="left"/>
        <w:rPr>
          <w:rFonts w:hint="eastAsia" w:ascii="宋体" w:hAnsi="宋体" w:eastAsia="宋体" w:cs="宋体"/>
          <w:sz w:val="24"/>
        </w:rPr>
      </w:pPr>
      <w:r>
        <w:rPr>
          <w:rFonts w:hint="eastAsia" w:ascii="宋体" w:hAnsi="宋体" w:eastAsia="宋体" w:cs="宋体"/>
          <w:spacing w:val="1"/>
          <w:sz w:val="24"/>
        </w:rPr>
        <w:t>报价应在</w:t>
      </w:r>
      <w:r>
        <w:rPr>
          <w:rFonts w:hint="eastAsia" w:ascii="宋体" w:hAnsi="宋体" w:eastAsia="宋体" w:cs="宋体"/>
          <w:sz w:val="24"/>
          <w:u w:val="single"/>
        </w:rPr>
        <w:t>投标人须知资料表</w:t>
      </w:r>
      <w:r>
        <w:rPr>
          <w:rFonts w:hint="eastAsia" w:ascii="宋体" w:hAnsi="宋体" w:eastAsia="宋体" w:cs="宋体"/>
          <w:sz w:val="24"/>
        </w:rPr>
        <w:t>中规定时间内保持有效。投标有效期不满足要求的报价，其报价将被认定为</w:t>
      </w:r>
      <w:r>
        <w:rPr>
          <w:rFonts w:hint="eastAsia" w:ascii="宋体" w:hAnsi="宋体" w:eastAsia="宋体" w:cs="宋体"/>
          <w:b/>
          <w:sz w:val="24"/>
        </w:rPr>
        <w:t>投标无效</w:t>
      </w:r>
      <w:r>
        <w:rPr>
          <w:rFonts w:hint="eastAsia" w:ascii="宋体" w:hAnsi="宋体" w:eastAsia="宋体" w:cs="宋体"/>
          <w:sz w:val="24"/>
        </w:rPr>
        <w:t>。</w:t>
      </w:r>
    </w:p>
    <w:p>
      <w:pPr>
        <w:pStyle w:val="28"/>
        <w:numPr>
          <w:ilvl w:val="1"/>
          <w:numId w:val="5"/>
        </w:numPr>
        <w:tabs>
          <w:tab w:val="left" w:pos="1957"/>
          <w:tab w:val="left" w:pos="1958"/>
        </w:tabs>
        <w:spacing w:before="3" w:after="0" w:line="242" w:lineRule="auto"/>
        <w:ind w:left="2000" w:leftChars="0" w:right="995" w:hanging="900" w:firstLineChars="0"/>
        <w:jc w:val="left"/>
        <w:rPr>
          <w:rFonts w:hint="eastAsia" w:ascii="宋体" w:hAnsi="宋体" w:eastAsia="宋体" w:cs="宋体"/>
          <w:sz w:val="24"/>
        </w:rPr>
      </w:pPr>
      <w:r>
        <w:rPr>
          <w:rFonts w:hint="eastAsia" w:ascii="宋体" w:hAnsi="宋体" w:eastAsia="宋体" w:cs="宋体"/>
          <w:spacing w:val="-4"/>
          <w:sz w:val="24"/>
        </w:rPr>
        <w:t xml:space="preserve">为保证有充分时间签订合同，采购人或采购代理机构可根据实际情况， </w:t>
      </w:r>
      <w:r>
        <w:rPr>
          <w:rFonts w:hint="eastAsia" w:ascii="宋体" w:hAnsi="宋体" w:eastAsia="宋体" w:cs="宋体"/>
          <w:sz w:val="24"/>
        </w:rPr>
        <w:t>在原投标有效期截止之前，要求投标人延长投标文件的有效期。接受该要求的投标人将不会被要求和允许修正其报价，且本须知中有关投标保证金的要求须在延长的有效期内继续有效。投标人可以拒绝延长投标有效期的要求，其投标保证金将及时无息退还。上述要求和答复都应以书面形式提交。</w:t>
      </w:r>
    </w:p>
    <w:p>
      <w:pPr>
        <w:pStyle w:val="28"/>
        <w:numPr>
          <w:ilvl w:val="0"/>
          <w:numId w:val="5"/>
        </w:numPr>
        <w:tabs>
          <w:tab w:val="left" w:pos="1421"/>
        </w:tabs>
        <w:spacing w:before="9" w:after="0" w:line="240" w:lineRule="auto"/>
        <w:ind w:left="1421" w:right="0" w:hanging="364"/>
        <w:jc w:val="left"/>
        <w:outlineLvl w:val="1"/>
        <w:rPr>
          <w:rFonts w:hint="eastAsia" w:ascii="宋体" w:hAnsi="宋体" w:eastAsia="宋体" w:cs="宋体"/>
          <w:b/>
          <w:sz w:val="22"/>
        </w:rPr>
      </w:pPr>
      <w:bookmarkStart w:id="91" w:name="14.投标文件的签署及规定"/>
      <w:bookmarkEnd w:id="91"/>
      <w:bookmarkStart w:id="92" w:name="14.投标文件的签署及规定"/>
      <w:bookmarkEnd w:id="92"/>
      <w:bookmarkStart w:id="93" w:name="_Toc18346"/>
      <w:r>
        <w:rPr>
          <w:rFonts w:hint="eastAsia" w:ascii="宋体" w:hAnsi="宋体" w:eastAsia="宋体" w:cs="宋体"/>
          <w:b/>
          <w:sz w:val="24"/>
        </w:rPr>
        <w:t>投标文件的签署及规定</w:t>
      </w:r>
      <w:bookmarkEnd w:id="93"/>
    </w:p>
    <w:p>
      <w:pPr>
        <w:pStyle w:val="28"/>
        <w:numPr>
          <w:ilvl w:val="0"/>
          <w:numId w:val="0"/>
        </w:numPr>
        <w:tabs>
          <w:tab w:val="left" w:pos="1958"/>
        </w:tabs>
        <w:spacing w:before="3" w:after="0" w:line="242" w:lineRule="auto"/>
        <w:ind w:left="1776" w:leftChars="480" w:right="1117" w:rightChars="0" w:hanging="720" w:hangingChars="300"/>
        <w:jc w:val="both"/>
        <w:rPr>
          <w:rFonts w:hint="eastAsia" w:ascii="宋体" w:hAnsi="宋体" w:eastAsia="宋体" w:cs="宋体"/>
          <w:sz w:val="24"/>
        </w:rPr>
      </w:pPr>
      <w:r>
        <w:rPr>
          <w:rFonts w:hint="eastAsia" w:ascii="宋体" w:hAnsi="宋体" w:eastAsia="宋体" w:cs="宋体"/>
          <w:sz w:val="24"/>
        </w:rPr>
        <w:t>14.1</w:t>
      </w:r>
      <w:r>
        <w:rPr>
          <w:rFonts w:hint="eastAsia" w:ascii="宋体" w:hAnsi="宋体" w:eastAsia="宋体" w:cs="宋体"/>
          <w:sz w:val="24"/>
        </w:rPr>
        <w:tab/>
      </w:r>
      <w:r>
        <w:rPr>
          <w:rFonts w:hint="eastAsia" w:ascii="宋体" w:hAnsi="宋体" w:eastAsia="宋体" w:cs="宋体"/>
          <w:sz w:val="24"/>
        </w:rPr>
        <w:t>投标人应按投标人须知资料表中的规定，准备和递交投标文件资格证明文件、商务和技术文件。</w:t>
      </w:r>
    </w:p>
    <w:p>
      <w:pPr>
        <w:pStyle w:val="28"/>
        <w:numPr>
          <w:ilvl w:val="0"/>
          <w:numId w:val="0"/>
        </w:numPr>
        <w:tabs>
          <w:tab w:val="left" w:pos="1958"/>
        </w:tabs>
        <w:spacing w:before="3" w:after="0" w:line="242" w:lineRule="auto"/>
        <w:ind w:left="1776" w:leftChars="480" w:right="1117" w:rightChars="0" w:hanging="720" w:hangingChars="300"/>
        <w:jc w:val="both"/>
        <w:rPr>
          <w:rFonts w:hint="eastAsia" w:ascii="宋体" w:hAnsi="宋体" w:eastAsia="宋体" w:cs="宋体"/>
          <w:sz w:val="24"/>
        </w:rPr>
      </w:pPr>
      <w:r>
        <w:rPr>
          <w:rFonts w:hint="eastAsia" w:ascii="宋体" w:hAnsi="宋体" w:eastAsia="宋体" w:cs="宋体"/>
          <w:sz w:val="24"/>
        </w:rPr>
        <w:t>14.2</w:t>
      </w:r>
      <w:r>
        <w:rPr>
          <w:rFonts w:hint="eastAsia" w:ascii="宋体" w:hAnsi="宋体" w:eastAsia="宋体" w:cs="宋体"/>
          <w:sz w:val="24"/>
        </w:rPr>
        <w:tab/>
      </w:r>
      <w:r>
        <w:rPr>
          <w:rFonts w:hint="eastAsia" w:ascii="宋体" w:hAnsi="宋体" w:eastAsia="宋体" w:cs="宋体"/>
          <w:sz w:val="24"/>
        </w:rPr>
        <w:t>投标文件的法定代表人或经其正式委托代理人按招标文件规定在投标文件上签字并加盖单位印章。委托代理人须有“法定代表人授权委托书”（投标文件格式二），将其附在投标文件中。如对投标文件进行了修改，则应由投标人的法定代表人或其委托代理人在每一修改处签字。</w:t>
      </w:r>
    </w:p>
    <w:p>
      <w:pPr>
        <w:pStyle w:val="28"/>
        <w:numPr>
          <w:ilvl w:val="0"/>
          <w:numId w:val="0"/>
        </w:numPr>
        <w:tabs>
          <w:tab w:val="left" w:pos="1958"/>
        </w:tabs>
        <w:spacing w:before="3" w:after="0" w:line="242" w:lineRule="auto"/>
        <w:ind w:left="1057" w:leftChars="0" w:right="1117" w:rightChars="0"/>
        <w:jc w:val="both"/>
        <w:outlineLvl w:val="1"/>
        <w:rPr>
          <w:rFonts w:hint="eastAsia" w:ascii="宋体" w:hAnsi="宋体" w:eastAsia="宋体" w:cs="宋体"/>
          <w:sz w:val="24"/>
        </w:rPr>
      </w:pPr>
      <w:bookmarkStart w:id="94" w:name="_Toc31445"/>
      <w:bookmarkStart w:id="95" w:name="_Toc20845"/>
      <w:bookmarkStart w:id="96" w:name="_Toc27753"/>
      <w:r>
        <w:rPr>
          <w:rFonts w:hint="eastAsia" w:ascii="宋体" w:hAnsi="宋体" w:eastAsia="宋体" w:cs="宋体"/>
          <w:sz w:val="24"/>
        </w:rPr>
        <w:t>14.3   上传电子文件</w:t>
      </w:r>
      <w:bookmarkEnd w:id="94"/>
      <w:bookmarkEnd w:id="95"/>
      <w:bookmarkEnd w:id="96"/>
    </w:p>
    <w:p>
      <w:pPr>
        <w:pStyle w:val="28"/>
        <w:numPr>
          <w:ilvl w:val="0"/>
          <w:numId w:val="0"/>
        </w:numPr>
        <w:tabs>
          <w:tab w:val="left" w:pos="1958"/>
        </w:tabs>
        <w:spacing w:before="3" w:after="0" w:line="242" w:lineRule="auto"/>
        <w:ind w:left="1776" w:leftChars="480" w:right="1117" w:rightChars="0" w:hanging="720" w:hangingChars="300"/>
        <w:jc w:val="both"/>
        <w:rPr>
          <w:rFonts w:hint="eastAsia" w:ascii="宋体" w:hAnsi="宋体" w:eastAsia="宋体" w:cs="宋体"/>
          <w:sz w:val="24"/>
        </w:rPr>
      </w:pPr>
      <w:r>
        <w:rPr>
          <w:rFonts w:hint="eastAsia" w:ascii="宋体" w:hAnsi="宋体" w:eastAsia="宋体" w:cs="宋体"/>
          <w:sz w:val="24"/>
        </w:rPr>
        <w:t>14.4</w:t>
      </w:r>
      <w:r>
        <w:rPr>
          <w:rFonts w:hint="eastAsia" w:ascii="宋体" w:hAnsi="宋体" w:eastAsia="宋体" w:cs="宋体"/>
          <w:sz w:val="24"/>
        </w:rPr>
        <w:tab/>
      </w:r>
      <w:r>
        <w:rPr>
          <w:rFonts w:hint="eastAsia" w:ascii="宋体" w:hAnsi="宋体" w:eastAsia="宋体" w:cs="宋体"/>
          <w:sz w:val="24"/>
        </w:rPr>
        <w:t>投标文件因字迹潦草、表达不清或装订不当所引起的后果由投标人负责。</w:t>
      </w:r>
    </w:p>
    <w:p>
      <w:pPr>
        <w:pStyle w:val="3"/>
        <w:spacing w:before="7"/>
        <w:rPr>
          <w:rFonts w:hint="eastAsia" w:ascii="宋体" w:hAnsi="宋体" w:eastAsia="宋体" w:cs="宋体"/>
        </w:rPr>
      </w:pPr>
    </w:p>
    <w:p>
      <w:pPr>
        <w:tabs>
          <w:tab w:val="left" w:pos="1209"/>
        </w:tabs>
        <w:spacing w:before="1"/>
        <w:ind w:left="607" w:right="0" w:firstLine="0"/>
        <w:jc w:val="center"/>
        <w:outlineLvl w:val="0"/>
        <w:rPr>
          <w:rFonts w:hint="eastAsia" w:ascii="宋体" w:hAnsi="宋体" w:eastAsia="宋体" w:cs="宋体"/>
          <w:b/>
          <w:sz w:val="24"/>
        </w:rPr>
      </w:pPr>
      <w:bookmarkStart w:id="97" w:name="四   投标文件的递交"/>
      <w:bookmarkEnd w:id="97"/>
      <w:bookmarkStart w:id="98" w:name="_Toc6906"/>
      <w:r>
        <w:rPr>
          <w:rFonts w:hint="eastAsia" w:ascii="宋体" w:hAnsi="宋体" w:eastAsia="宋体" w:cs="宋体"/>
          <w:b/>
          <w:sz w:val="24"/>
        </w:rPr>
        <w:t>四</w:t>
      </w:r>
      <w:r>
        <w:rPr>
          <w:rFonts w:hint="eastAsia" w:ascii="宋体" w:hAnsi="宋体" w:eastAsia="宋体" w:cs="宋体"/>
          <w:b/>
          <w:sz w:val="24"/>
        </w:rPr>
        <w:tab/>
      </w:r>
      <w:r>
        <w:rPr>
          <w:rFonts w:hint="eastAsia" w:ascii="宋体" w:hAnsi="宋体" w:eastAsia="宋体" w:cs="宋体"/>
          <w:b/>
          <w:sz w:val="24"/>
        </w:rPr>
        <w:t>投标文件的递交</w:t>
      </w:r>
      <w:bookmarkEnd w:id="98"/>
    </w:p>
    <w:p>
      <w:pPr>
        <w:pStyle w:val="3"/>
        <w:spacing w:before="8"/>
        <w:rPr>
          <w:rFonts w:hint="eastAsia" w:ascii="宋体" w:hAnsi="宋体" w:eastAsia="宋体" w:cs="宋体"/>
          <w:b/>
        </w:rPr>
      </w:pPr>
    </w:p>
    <w:p>
      <w:pPr>
        <w:pStyle w:val="28"/>
        <w:numPr>
          <w:ilvl w:val="0"/>
          <w:numId w:val="5"/>
        </w:numPr>
        <w:tabs>
          <w:tab w:val="left" w:pos="1421"/>
        </w:tabs>
        <w:spacing w:before="1" w:after="0" w:line="240" w:lineRule="auto"/>
        <w:ind w:left="1421" w:right="0" w:hanging="364"/>
        <w:jc w:val="left"/>
        <w:outlineLvl w:val="1"/>
        <w:rPr>
          <w:rFonts w:hint="eastAsia" w:ascii="宋体" w:hAnsi="宋体" w:eastAsia="宋体" w:cs="宋体"/>
          <w:b/>
          <w:sz w:val="22"/>
        </w:rPr>
      </w:pPr>
      <w:bookmarkStart w:id="99" w:name="15.投标文件的密封和标记"/>
      <w:bookmarkEnd w:id="99"/>
      <w:bookmarkStart w:id="100" w:name="15.投标文件的密封和标记"/>
      <w:bookmarkEnd w:id="100"/>
      <w:bookmarkStart w:id="101" w:name="_Toc12299"/>
      <w:r>
        <w:rPr>
          <w:rFonts w:hint="eastAsia" w:ascii="宋体" w:hAnsi="宋体" w:eastAsia="宋体" w:cs="宋体"/>
          <w:b/>
          <w:sz w:val="24"/>
        </w:rPr>
        <w:t>投标文件的密封和标记</w:t>
      </w:r>
      <w:bookmarkEnd w:id="101"/>
    </w:p>
    <w:p>
      <w:pPr>
        <w:pStyle w:val="28"/>
        <w:numPr>
          <w:ilvl w:val="0"/>
          <w:numId w:val="0"/>
        </w:numPr>
        <w:tabs>
          <w:tab w:val="left" w:pos="1421"/>
        </w:tabs>
        <w:spacing w:before="3" w:after="0" w:line="240" w:lineRule="auto"/>
        <w:ind w:left="1776" w:leftChars="480" w:right="0" w:rightChars="0" w:hanging="720" w:hangingChars="300"/>
        <w:jc w:val="left"/>
        <w:rPr>
          <w:rFonts w:hint="eastAsia" w:ascii="宋体" w:hAnsi="宋体" w:eastAsia="宋体" w:cs="宋体"/>
          <w:color w:val="auto"/>
          <w:sz w:val="24"/>
          <w:u w:val="none"/>
        </w:rPr>
      </w:pPr>
      <w:bookmarkStart w:id="102" w:name="16.投标截止"/>
      <w:bookmarkEnd w:id="102"/>
      <w:bookmarkStart w:id="103" w:name="16.投标截止"/>
      <w:bookmarkEnd w:id="103"/>
      <w:r>
        <w:rPr>
          <w:rFonts w:hint="eastAsia" w:ascii="宋体" w:hAnsi="宋体" w:eastAsia="宋体" w:cs="宋体"/>
          <w:sz w:val="24"/>
        </w:rPr>
        <w:t xml:space="preserve">15.1 </w:t>
      </w:r>
      <w:r>
        <w:rPr>
          <w:rFonts w:hint="eastAsia" w:ascii="宋体" w:hAnsi="宋体" w:eastAsia="宋体" w:cs="宋体"/>
          <w:color w:val="auto"/>
          <w:sz w:val="24"/>
        </w:rPr>
        <w:t xml:space="preserve"> </w:t>
      </w:r>
      <w:r>
        <w:rPr>
          <w:rFonts w:hint="eastAsia" w:ascii="宋体" w:hAnsi="宋体" w:eastAsia="宋体" w:cs="宋体"/>
          <w:b/>
          <w:bCs/>
          <w:color w:val="auto"/>
          <w:sz w:val="24"/>
          <w:u w:val="none"/>
        </w:rPr>
        <w:t>为方便评审及进行资格审查，投标人须在投标截止时间前完成在系统上递交电子投标文件。投标人的电子投标文件是经过CA证书加密后上传提交的，任何单位或个人均无法在投标截止时间之前查看或篡改，不存在泄密风险。（严格按照政采云电子投标流程制作并上传电子投标文件）</w:t>
      </w:r>
    </w:p>
    <w:p>
      <w:pPr>
        <w:pStyle w:val="28"/>
        <w:numPr>
          <w:ilvl w:val="0"/>
          <w:numId w:val="0"/>
        </w:numPr>
        <w:tabs>
          <w:tab w:val="left" w:pos="1421"/>
        </w:tabs>
        <w:spacing w:before="3" w:after="0" w:line="240" w:lineRule="auto"/>
        <w:ind w:left="1057" w:leftChars="0" w:right="0" w:rightChars="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15.2  </w:t>
      </w:r>
      <w:r>
        <w:rPr>
          <w:rFonts w:hint="eastAsia" w:ascii="宋体" w:hAnsi="宋体" w:eastAsia="宋体" w:cs="宋体"/>
          <w:color w:val="auto"/>
          <w:sz w:val="24"/>
        </w:rPr>
        <w:t xml:space="preserve"> 如果供应商未按上述要求上传提交的，其投标将被认定为</w:t>
      </w:r>
      <w:r>
        <w:rPr>
          <w:rFonts w:hint="eastAsia" w:ascii="宋体" w:hAnsi="宋体" w:eastAsia="宋体" w:cs="宋体"/>
          <w:b/>
          <w:bCs/>
          <w:color w:val="auto"/>
          <w:sz w:val="24"/>
        </w:rPr>
        <w:t>投标无效</w:t>
      </w:r>
      <w:r>
        <w:rPr>
          <w:rFonts w:hint="eastAsia" w:ascii="宋体" w:hAnsi="宋体" w:eastAsia="宋体" w:cs="宋体"/>
          <w:color w:val="auto"/>
          <w:sz w:val="24"/>
        </w:rPr>
        <w:t>。</w:t>
      </w:r>
    </w:p>
    <w:p>
      <w:pPr>
        <w:pStyle w:val="28"/>
        <w:numPr>
          <w:ilvl w:val="0"/>
          <w:numId w:val="0"/>
        </w:numPr>
        <w:tabs>
          <w:tab w:val="left" w:pos="1421"/>
        </w:tabs>
        <w:spacing w:before="3" w:after="0" w:line="240" w:lineRule="auto"/>
        <w:ind w:left="1057" w:leftChars="0" w:right="0" w:rightChars="0"/>
        <w:jc w:val="left"/>
        <w:outlineLvl w:val="1"/>
        <w:rPr>
          <w:rFonts w:hint="eastAsia" w:ascii="宋体" w:hAnsi="宋体" w:eastAsia="宋体" w:cs="宋体"/>
          <w:b/>
          <w:sz w:val="22"/>
        </w:rPr>
      </w:pPr>
      <w:bookmarkStart w:id="104" w:name="_Toc26893"/>
      <w:r>
        <w:rPr>
          <w:rFonts w:hint="eastAsia" w:ascii="宋体" w:hAnsi="宋体" w:eastAsia="宋体" w:cs="宋体"/>
          <w:b/>
          <w:sz w:val="24"/>
          <w:lang w:val="en-US" w:eastAsia="zh-CN"/>
        </w:rPr>
        <w:t>16.</w:t>
      </w:r>
      <w:r>
        <w:rPr>
          <w:rFonts w:hint="eastAsia" w:ascii="宋体" w:hAnsi="宋体" w:eastAsia="宋体" w:cs="宋体"/>
          <w:b/>
          <w:sz w:val="24"/>
        </w:rPr>
        <w:t>投标截止</w:t>
      </w:r>
      <w:bookmarkEnd w:id="104"/>
    </w:p>
    <w:p>
      <w:pPr>
        <w:pStyle w:val="28"/>
        <w:numPr>
          <w:ilvl w:val="0"/>
          <w:numId w:val="0"/>
        </w:numPr>
        <w:tabs>
          <w:tab w:val="left" w:pos="1958"/>
        </w:tabs>
        <w:spacing w:before="4" w:after="0" w:line="242" w:lineRule="auto"/>
        <w:ind w:left="1776" w:leftChars="480" w:right="1115" w:rightChars="0" w:hanging="720" w:hangingChars="300"/>
        <w:jc w:val="both"/>
        <w:rPr>
          <w:rFonts w:hint="eastAsia" w:ascii="宋体" w:hAnsi="宋体" w:eastAsia="宋体" w:cs="宋体"/>
          <w:sz w:val="24"/>
        </w:rPr>
      </w:pPr>
      <w:r>
        <w:rPr>
          <w:rFonts w:hint="eastAsia" w:ascii="宋体" w:hAnsi="宋体" w:eastAsia="宋体" w:cs="宋体"/>
          <w:sz w:val="24"/>
        </w:rPr>
        <w:t>16.1</w:t>
      </w:r>
      <w:r>
        <w:rPr>
          <w:rFonts w:hint="eastAsia" w:ascii="宋体" w:hAnsi="宋体" w:eastAsia="宋体" w:cs="宋体"/>
          <w:sz w:val="24"/>
        </w:rPr>
        <w:tab/>
      </w:r>
      <w:r>
        <w:rPr>
          <w:rFonts w:hint="eastAsia" w:ascii="宋体" w:hAnsi="宋体" w:eastAsia="宋体" w:cs="宋体"/>
          <w:sz w:val="24"/>
        </w:rPr>
        <w:t>投标人应在投标人须知资料表中规定的截止时间前，将投标文件递交</w:t>
      </w:r>
      <w:r>
        <w:rPr>
          <w:rFonts w:hint="eastAsia" w:ascii="宋体" w:hAnsi="宋体" w:eastAsia="宋体" w:cs="宋体"/>
          <w:sz w:val="24"/>
          <w:lang w:val="en-US" w:eastAsia="zh-CN"/>
        </w:rPr>
        <w:t xml:space="preserve"> </w:t>
      </w:r>
      <w:r>
        <w:rPr>
          <w:rFonts w:hint="eastAsia" w:ascii="宋体" w:hAnsi="宋体" w:eastAsia="宋体" w:cs="宋体"/>
          <w:sz w:val="24"/>
        </w:rPr>
        <w:t>到招标公告中规定的地点。</w:t>
      </w:r>
    </w:p>
    <w:p>
      <w:pPr>
        <w:pStyle w:val="28"/>
        <w:numPr>
          <w:ilvl w:val="0"/>
          <w:numId w:val="0"/>
        </w:numPr>
        <w:tabs>
          <w:tab w:val="left" w:pos="1958"/>
        </w:tabs>
        <w:spacing w:before="4" w:after="0" w:line="242" w:lineRule="auto"/>
        <w:ind w:left="1776" w:leftChars="480" w:right="1115" w:rightChars="0" w:hanging="720" w:hangingChars="300"/>
        <w:jc w:val="both"/>
        <w:rPr>
          <w:rFonts w:hint="eastAsia" w:asciiTheme="minorEastAsia" w:hAnsiTheme="minorEastAsia" w:eastAsiaTheme="minorEastAsia" w:cstheme="minorEastAsia"/>
          <w:sz w:val="24"/>
        </w:rPr>
      </w:pPr>
      <w:r>
        <w:rPr>
          <w:rFonts w:hint="eastAsia" w:ascii="宋体" w:hAnsi="宋体" w:eastAsia="宋体" w:cs="宋体"/>
          <w:sz w:val="24"/>
        </w:rPr>
        <w:t>16.2</w:t>
      </w:r>
      <w:r>
        <w:rPr>
          <w:rFonts w:hint="eastAsia" w:ascii="宋体" w:hAnsi="宋体" w:eastAsia="宋体" w:cs="宋体"/>
          <w:sz w:val="24"/>
        </w:rPr>
        <w:tab/>
      </w:r>
      <w:r>
        <w:rPr>
          <w:rFonts w:hint="eastAsia" w:ascii="宋体" w:hAnsi="宋体" w:eastAsia="宋体" w:cs="宋体"/>
          <w:sz w:val="24"/>
        </w:rPr>
        <w:t>采购人和采购代理机构有权按本须知的规定，延迟投标截止时间。在此</w:t>
      </w:r>
      <w:r>
        <w:rPr>
          <w:rFonts w:hint="eastAsia" w:asciiTheme="minorEastAsia" w:hAnsiTheme="minorEastAsia" w:eastAsiaTheme="minorEastAsia" w:cstheme="minorEastAsia"/>
          <w:sz w:val="24"/>
        </w:rPr>
        <w:t>情况下，采购人、采购代理机构和投标人受投标截止时间制约的所有权利和义务均应延长至新的截止时间。</w:t>
      </w:r>
    </w:p>
    <w:p>
      <w:pPr>
        <w:pStyle w:val="28"/>
        <w:numPr>
          <w:ilvl w:val="0"/>
          <w:numId w:val="0"/>
        </w:numPr>
        <w:tabs>
          <w:tab w:val="left" w:pos="1958"/>
        </w:tabs>
        <w:spacing w:before="4" w:after="0" w:line="242" w:lineRule="auto"/>
        <w:ind w:left="1057" w:leftChars="0" w:right="1115" w:rightChars="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16.3</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采购人和采购代理机构将拒绝接收在投标截止时间后送达的投标文件。</w:t>
      </w:r>
    </w:p>
    <w:p>
      <w:pPr>
        <w:pStyle w:val="28"/>
        <w:numPr>
          <w:ilvl w:val="0"/>
          <w:numId w:val="0"/>
        </w:numPr>
        <w:tabs>
          <w:tab w:val="left" w:pos="1421"/>
        </w:tabs>
        <w:spacing w:before="3" w:after="0" w:line="240" w:lineRule="auto"/>
        <w:ind w:left="1057" w:leftChars="0" w:right="0" w:rightChars="0"/>
        <w:jc w:val="left"/>
        <w:outlineLvl w:val="1"/>
        <w:rPr>
          <w:rFonts w:hint="eastAsia" w:asciiTheme="minorEastAsia" w:hAnsiTheme="minorEastAsia" w:eastAsiaTheme="minorEastAsia" w:cstheme="minorEastAsia"/>
          <w:b/>
          <w:sz w:val="22"/>
        </w:rPr>
      </w:pPr>
      <w:bookmarkStart w:id="105" w:name="17.投标文件的接收、修改与撤回"/>
      <w:bookmarkEnd w:id="105"/>
      <w:bookmarkStart w:id="106" w:name="17.投标文件的接收、修改与撤回"/>
      <w:bookmarkEnd w:id="106"/>
      <w:bookmarkStart w:id="107" w:name="_Toc2903"/>
      <w:r>
        <w:rPr>
          <w:rFonts w:hint="eastAsia" w:asciiTheme="minorEastAsia" w:hAnsiTheme="minorEastAsia" w:eastAsiaTheme="minorEastAsia" w:cstheme="minorEastAsia"/>
          <w:b/>
          <w:sz w:val="24"/>
          <w:lang w:val="en-US" w:eastAsia="zh-CN"/>
        </w:rPr>
        <w:t xml:space="preserve">17. </w:t>
      </w:r>
      <w:r>
        <w:rPr>
          <w:rFonts w:hint="eastAsia" w:asciiTheme="minorEastAsia" w:hAnsiTheme="minorEastAsia" w:eastAsiaTheme="minorEastAsia" w:cstheme="minorEastAsia"/>
          <w:b/>
          <w:sz w:val="24"/>
        </w:rPr>
        <w:t>投标文件的接收、修改与撤回</w:t>
      </w:r>
      <w:bookmarkEnd w:id="107"/>
    </w:p>
    <w:p>
      <w:pPr>
        <w:pStyle w:val="28"/>
        <w:numPr>
          <w:ilvl w:val="0"/>
          <w:numId w:val="0"/>
        </w:numPr>
        <w:tabs>
          <w:tab w:val="left" w:pos="1957"/>
          <w:tab w:val="left" w:pos="1958"/>
        </w:tabs>
        <w:spacing w:before="5" w:after="0" w:line="242" w:lineRule="auto"/>
        <w:ind w:left="1776" w:leftChars="480" w:right="1117" w:rightChars="0" w:hanging="720" w:hangingChars="3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17.1 </w:t>
      </w:r>
      <w:r>
        <w:rPr>
          <w:rFonts w:hint="eastAsia" w:asciiTheme="minorEastAsia" w:hAnsiTheme="minorEastAsia" w:eastAsiaTheme="minorEastAsia" w:cstheme="minorEastAsia"/>
          <w:sz w:val="24"/>
        </w:rPr>
        <w:t>在投标截止时间后送达的投标文件的，采购人和采购代理机构将拒绝接收。</w:t>
      </w:r>
    </w:p>
    <w:p>
      <w:pPr>
        <w:pStyle w:val="28"/>
        <w:numPr>
          <w:ilvl w:val="0"/>
          <w:numId w:val="0"/>
        </w:numPr>
        <w:tabs>
          <w:tab w:val="left" w:pos="1957"/>
          <w:tab w:val="left" w:pos="1958"/>
        </w:tabs>
        <w:spacing w:before="3" w:after="0" w:line="242" w:lineRule="auto"/>
        <w:ind w:left="1776" w:leftChars="480" w:right="1117" w:rightChars="0" w:hanging="720" w:hangingChars="3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17.2 </w:t>
      </w:r>
      <w:r>
        <w:rPr>
          <w:rFonts w:hint="eastAsia" w:asciiTheme="minorEastAsia" w:hAnsiTheme="minorEastAsia" w:eastAsiaTheme="minorEastAsia" w:cstheme="minorEastAsia"/>
          <w:sz w:val="24"/>
        </w:rPr>
        <w:t>采购人或者采购代理机构收到投标文件后，应当如实记载投标文件的送达时间和密封情况，并向投标人出具以下签收回执。</w:t>
      </w:r>
    </w:p>
    <w:p>
      <w:pPr>
        <w:pStyle w:val="3"/>
        <w:rPr>
          <w:rFonts w:hint="eastAsia" w:asciiTheme="minorEastAsia" w:hAnsiTheme="minorEastAsia" w:eastAsiaTheme="minorEastAsia" w:cstheme="minorEastAsia"/>
          <w:sz w:val="19"/>
        </w:rPr>
      </w:pPr>
    </w:p>
    <w:p>
      <w:pPr>
        <w:spacing w:before="0"/>
        <w:ind w:left="4647" w:right="0" w:firstLine="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接收投标文件回执单</w:t>
      </w:r>
    </w:p>
    <w:p>
      <w:pPr>
        <w:pStyle w:val="3"/>
        <w:spacing w:before="12"/>
        <w:rPr>
          <w:rFonts w:hint="eastAsia" w:asciiTheme="minorEastAsia" w:hAnsiTheme="minorEastAsia" w:eastAsiaTheme="minorEastAsia" w:cstheme="minorEastAsia"/>
          <w:sz w:val="18"/>
        </w:rPr>
      </w:pPr>
    </w:p>
    <w:tbl>
      <w:tblPr>
        <w:tblStyle w:val="20"/>
        <w:tblW w:w="7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8"/>
        <w:gridCol w:w="1934"/>
        <w:gridCol w:w="2126"/>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468" w:type="dxa"/>
          </w:tcPr>
          <w:p>
            <w:pPr>
              <w:pStyle w:val="29"/>
              <w:spacing w:before="41"/>
              <w:ind w:left="172" w:right="16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采购编号</w:t>
            </w:r>
          </w:p>
        </w:tc>
        <w:tc>
          <w:tcPr>
            <w:tcW w:w="5619" w:type="dxa"/>
            <w:gridSpan w:val="3"/>
          </w:tcPr>
          <w:p>
            <w:pPr>
              <w:pStyle w:val="29"/>
              <w:rPr>
                <w:rFonts w:hint="eastAsia" w:asciiTheme="minorEastAsia" w:hAnsiTheme="minorEastAsia" w:eastAsiaTheme="minorEastAsia" w:cstheme="minorEastAsia"/>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468" w:type="dxa"/>
          </w:tcPr>
          <w:p>
            <w:pPr>
              <w:pStyle w:val="29"/>
              <w:spacing w:before="23"/>
              <w:ind w:left="172" w:right="16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项目名称</w:t>
            </w:r>
          </w:p>
        </w:tc>
        <w:tc>
          <w:tcPr>
            <w:tcW w:w="5619" w:type="dxa"/>
            <w:gridSpan w:val="3"/>
          </w:tcPr>
          <w:p>
            <w:pPr>
              <w:pStyle w:val="29"/>
              <w:rPr>
                <w:rFonts w:hint="eastAsia" w:asciiTheme="minorEastAsia" w:hAnsiTheme="minorEastAsia" w:eastAsiaTheme="minorEastAsia" w:cs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468" w:type="dxa"/>
          </w:tcPr>
          <w:p>
            <w:pPr>
              <w:pStyle w:val="29"/>
              <w:spacing w:before="3" w:line="210" w:lineRule="exact"/>
              <w:ind w:left="172" w:right="162"/>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投标人名称</w:t>
            </w:r>
          </w:p>
        </w:tc>
        <w:tc>
          <w:tcPr>
            <w:tcW w:w="5619" w:type="dxa"/>
            <w:gridSpan w:val="3"/>
          </w:tcPr>
          <w:p>
            <w:pPr>
              <w:pStyle w:val="29"/>
              <w:rPr>
                <w:rFonts w:hint="eastAsia" w:asciiTheme="minorEastAsia" w:hAnsiTheme="minorEastAsia" w:eastAsiaTheme="minorEastAsia" w:cstheme="minorEastAsia"/>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1468" w:type="dxa"/>
          </w:tcPr>
          <w:p>
            <w:pPr>
              <w:pStyle w:val="29"/>
              <w:spacing w:before="33"/>
              <w:ind w:left="172" w:right="16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递交时间</w:t>
            </w:r>
          </w:p>
        </w:tc>
        <w:tc>
          <w:tcPr>
            <w:tcW w:w="1934" w:type="dxa"/>
          </w:tcPr>
          <w:p>
            <w:pPr>
              <w:pStyle w:val="29"/>
              <w:rPr>
                <w:rFonts w:hint="eastAsia" w:asciiTheme="minorEastAsia" w:hAnsiTheme="minorEastAsia" w:eastAsiaTheme="minorEastAsia" w:cstheme="minorEastAsia"/>
                <w:sz w:val="22"/>
              </w:rPr>
            </w:pPr>
          </w:p>
        </w:tc>
        <w:tc>
          <w:tcPr>
            <w:tcW w:w="2126" w:type="dxa"/>
          </w:tcPr>
          <w:p>
            <w:pPr>
              <w:pStyle w:val="29"/>
              <w:spacing w:before="33"/>
              <w:ind w:left="342"/>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投标文件密封情况</w:t>
            </w:r>
          </w:p>
        </w:tc>
        <w:tc>
          <w:tcPr>
            <w:tcW w:w="1559" w:type="dxa"/>
          </w:tcPr>
          <w:p>
            <w:pPr>
              <w:pStyle w:val="29"/>
              <w:rPr>
                <w:rFonts w:hint="eastAsia" w:asciiTheme="minorEastAsia" w:hAnsiTheme="minorEastAsia" w:eastAsiaTheme="minorEastAsia" w:cstheme="minorEastAsia"/>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1468" w:type="dxa"/>
          </w:tcPr>
          <w:p>
            <w:pPr>
              <w:pStyle w:val="29"/>
              <w:spacing w:before="24"/>
              <w:ind w:left="172" w:right="16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接收单位</w:t>
            </w:r>
          </w:p>
        </w:tc>
        <w:tc>
          <w:tcPr>
            <w:tcW w:w="5619" w:type="dxa"/>
            <w:gridSpan w:val="3"/>
          </w:tcPr>
          <w:p>
            <w:pPr>
              <w:pStyle w:val="29"/>
              <w:rPr>
                <w:rFonts w:hint="eastAsia" w:asciiTheme="minorEastAsia" w:hAnsiTheme="minorEastAsia" w:eastAsiaTheme="minorEastAsia" w:cs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1468" w:type="dxa"/>
          </w:tcPr>
          <w:p>
            <w:pPr>
              <w:pStyle w:val="29"/>
              <w:spacing w:before="18" w:line="230" w:lineRule="exact"/>
              <w:ind w:left="172" w:right="16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接收人签字：</w:t>
            </w:r>
          </w:p>
        </w:tc>
        <w:tc>
          <w:tcPr>
            <w:tcW w:w="5619" w:type="dxa"/>
            <w:gridSpan w:val="3"/>
          </w:tcPr>
          <w:p>
            <w:pPr>
              <w:pStyle w:val="29"/>
              <w:rPr>
                <w:rFonts w:hint="eastAsia" w:asciiTheme="minorEastAsia" w:hAnsiTheme="minorEastAsia" w:eastAsiaTheme="minorEastAsia" w:cstheme="minorEastAsia"/>
                <w:sz w:val="18"/>
              </w:rPr>
            </w:pPr>
          </w:p>
        </w:tc>
      </w:tr>
    </w:tbl>
    <w:p>
      <w:pPr>
        <w:pStyle w:val="3"/>
        <w:spacing w:before="8"/>
        <w:rPr>
          <w:rFonts w:hint="eastAsia" w:asciiTheme="minorEastAsia" w:hAnsiTheme="minorEastAsia" w:eastAsiaTheme="minorEastAsia" w:cstheme="minorEastAsia"/>
        </w:rPr>
      </w:pPr>
    </w:p>
    <w:p>
      <w:pPr>
        <w:pStyle w:val="28"/>
        <w:numPr>
          <w:ilvl w:val="0"/>
          <w:numId w:val="0"/>
        </w:numPr>
        <w:tabs>
          <w:tab w:val="left" w:pos="1898"/>
        </w:tabs>
        <w:spacing w:before="0" w:after="0" w:line="242" w:lineRule="auto"/>
        <w:ind w:left="1988" w:leftChars="500" w:right="1115" w:rightChars="0" w:hanging="888" w:hangingChars="4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9"/>
          <w:sz w:val="24"/>
          <w:lang w:val="en-US" w:eastAsia="zh-CN"/>
        </w:rPr>
        <w:t xml:space="preserve">17.3   </w:t>
      </w:r>
      <w:r>
        <w:rPr>
          <w:rFonts w:hint="eastAsia" w:asciiTheme="minorEastAsia" w:hAnsiTheme="minorEastAsia" w:eastAsiaTheme="minorEastAsia" w:cstheme="minorEastAsia"/>
          <w:spacing w:val="-9"/>
          <w:sz w:val="24"/>
        </w:rPr>
        <w:t>递交投标文件以后，如果投标人要进行修改或撤回报价，须提出书面申</w:t>
      </w:r>
      <w:r>
        <w:rPr>
          <w:rFonts w:hint="eastAsia" w:asciiTheme="minorEastAsia" w:hAnsiTheme="minorEastAsia" w:eastAsiaTheme="minorEastAsia" w:cstheme="minorEastAsia"/>
          <w:spacing w:val="-6"/>
          <w:sz w:val="24"/>
        </w:rPr>
        <w:t>请并在投标截止时间前送达采购活动地点，投标人对投标文件的修改或</w:t>
      </w:r>
      <w:r>
        <w:rPr>
          <w:rFonts w:hint="eastAsia" w:asciiTheme="minorEastAsia" w:hAnsiTheme="minorEastAsia" w:eastAsiaTheme="minorEastAsia" w:cstheme="minorEastAsia"/>
          <w:sz w:val="24"/>
        </w:rPr>
        <w:t>撤回通知应按本须知规定编制、密封、标记。</w:t>
      </w:r>
    </w:p>
    <w:p>
      <w:pPr>
        <w:pStyle w:val="3"/>
        <w:spacing w:before="4"/>
        <w:ind w:left="1912"/>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采购人和采购代理机构将予以接收，并视为投标文件的组成部分。</w:t>
      </w:r>
    </w:p>
    <w:p>
      <w:pPr>
        <w:pStyle w:val="28"/>
        <w:numPr>
          <w:ilvl w:val="0"/>
          <w:numId w:val="0"/>
        </w:numPr>
        <w:tabs>
          <w:tab w:val="left" w:pos="1957"/>
          <w:tab w:val="left" w:pos="1958"/>
        </w:tabs>
        <w:spacing w:before="5" w:after="0" w:line="242" w:lineRule="auto"/>
        <w:ind w:left="2060" w:leftChars="500" w:right="1117" w:rightChars="0" w:hanging="960" w:hangingChars="4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17.4   </w:t>
      </w:r>
      <w:r>
        <w:rPr>
          <w:rFonts w:hint="eastAsia" w:asciiTheme="minorEastAsia" w:hAnsiTheme="minorEastAsia" w:eastAsiaTheme="minorEastAsia" w:cstheme="minorEastAsia"/>
          <w:sz w:val="24"/>
        </w:rPr>
        <w:t>在投标截止期之后，采购人和采购代理机构不接受投标人主动对其投标文件做任何修改。</w:t>
      </w:r>
    </w:p>
    <w:p>
      <w:pPr>
        <w:pStyle w:val="28"/>
        <w:numPr>
          <w:ilvl w:val="0"/>
          <w:numId w:val="0"/>
        </w:numPr>
        <w:tabs>
          <w:tab w:val="left" w:pos="1957"/>
          <w:tab w:val="left" w:pos="1958"/>
        </w:tabs>
        <w:spacing w:before="3" w:after="0" w:line="240" w:lineRule="auto"/>
        <w:ind w:left="1100" w:leftChars="0" w:right="0" w:rightChars="0"/>
        <w:jc w:val="left"/>
        <w:outlineLvl w:val="1"/>
        <w:rPr>
          <w:rFonts w:hint="eastAsia" w:asciiTheme="minorEastAsia" w:hAnsiTheme="minorEastAsia" w:eastAsiaTheme="minorEastAsia" w:cstheme="minorEastAsia"/>
        </w:rPr>
      </w:pPr>
      <w:bookmarkStart w:id="108" w:name="_Toc23221"/>
      <w:bookmarkStart w:id="109" w:name="_Toc31659"/>
      <w:bookmarkStart w:id="110" w:name="_Toc18802"/>
      <w:r>
        <w:rPr>
          <w:rFonts w:hint="eastAsia" w:asciiTheme="minorEastAsia" w:hAnsiTheme="minorEastAsia" w:eastAsiaTheme="minorEastAsia" w:cstheme="minorEastAsia"/>
          <w:sz w:val="24"/>
          <w:lang w:val="en-US" w:eastAsia="zh-CN"/>
        </w:rPr>
        <w:t xml:space="preserve">17.5   </w:t>
      </w:r>
      <w:r>
        <w:rPr>
          <w:rFonts w:hint="eastAsia" w:asciiTheme="minorEastAsia" w:hAnsiTheme="minorEastAsia" w:eastAsiaTheme="minorEastAsia" w:cstheme="minorEastAsia"/>
          <w:sz w:val="24"/>
        </w:rPr>
        <w:t>采购人和采购代理机构对所接收投标文件概不退回。</w:t>
      </w:r>
      <w:bookmarkEnd w:id="108"/>
      <w:bookmarkEnd w:id="109"/>
      <w:bookmarkEnd w:id="110"/>
    </w:p>
    <w:p>
      <w:pPr>
        <w:tabs>
          <w:tab w:val="left" w:pos="5305"/>
        </w:tabs>
        <w:spacing w:before="1"/>
        <w:ind w:left="4703" w:right="0" w:firstLine="0"/>
        <w:jc w:val="left"/>
        <w:outlineLvl w:val="0"/>
        <w:rPr>
          <w:rFonts w:hint="eastAsia" w:asciiTheme="minorEastAsia" w:hAnsiTheme="minorEastAsia" w:eastAsiaTheme="minorEastAsia" w:cstheme="minorEastAsia"/>
          <w:b/>
          <w:sz w:val="28"/>
        </w:rPr>
      </w:pPr>
      <w:bookmarkStart w:id="111" w:name="五   采购活动"/>
      <w:bookmarkEnd w:id="111"/>
      <w:bookmarkStart w:id="112" w:name="_Toc12124"/>
      <w:r>
        <w:rPr>
          <w:rFonts w:hint="eastAsia" w:asciiTheme="minorEastAsia" w:hAnsiTheme="minorEastAsia" w:eastAsiaTheme="minorEastAsia" w:cstheme="minorEastAsia"/>
          <w:b/>
          <w:sz w:val="24"/>
        </w:rPr>
        <w:t>五</w:t>
      </w:r>
      <w:r>
        <w:rPr>
          <w:rFonts w:hint="eastAsia" w:asciiTheme="minorEastAsia" w:hAnsiTheme="minorEastAsia" w:eastAsiaTheme="minorEastAsia" w:cstheme="minorEastAsia"/>
          <w:b/>
          <w:sz w:val="24"/>
        </w:rPr>
        <w:tab/>
      </w:r>
      <w:r>
        <w:rPr>
          <w:rFonts w:hint="eastAsia" w:asciiTheme="minorEastAsia" w:hAnsiTheme="minorEastAsia" w:eastAsiaTheme="minorEastAsia" w:cstheme="minorEastAsia"/>
          <w:b/>
          <w:sz w:val="24"/>
        </w:rPr>
        <w:t>采购活动</w:t>
      </w:r>
      <w:bookmarkEnd w:id="112"/>
    </w:p>
    <w:p>
      <w:pPr>
        <w:pStyle w:val="28"/>
        <w:numPr>
          <w:ilvl w:val="0"/>
          <w:numId w:val="0"/>
        </w:numPr>
        <w:tabs>
          <w:tab w:val="left" w:pos="1478"/>
        </w:tabs>
        <w:spacing w:before="0" w:after="0" w:line="240" w:lineRule="auto"/>
        <w:ind w:left="1056" w:leftChars="0" w:right="0" w:rightChars="0"/>
        <w:jc w:val="left"/>
        <w:outlineLvl w:val="1"/>
        <w:rPr>
          <w:rFonts w:hint="eastAsia" w:asciiTheme="minorEastAsia" w:hAnsiTheme="minorEastAsia" w:eastAsiaTheme="minorEastAsia" w:cstheme="minorEastAsia"/>
          <w:b/>
          <w:sz w:val="24"/>
        </w:rPr>
      </w:pPr>
      <w:bookmarkStart w:id="113" w:name="18.采购活动"/>
      <w:bookmarkEnd w:id="113"/>
      <w:bookmarkStart w:id="114" w:name="18.采购活动"/>
      <w:bookmarkEnd w:id="114"/>
      <w:bookmarkStart w:id="115" w:name="_Toc30933"/>
      <w:r>
        <w:rPr>
          <w:rFonts w:hint="eastAsia" w:asciiTheme="minorEastAsia" w:hAnsiTheme="minorEastAsia" w:eastAsiaTheme="minorEastAsia" w:cstheme="minorEastAsia"/>
          <w:b/>
          <w:sz w:val="24"/>
          <w:lang w:val="en-US" w:eastAsia="zh-CN"/>
        </w:rPr>
        <w:t>18.</w:t>
      </w:r>
      <w:r>
        <w:rPr>
          <w:rFonts w:hint="eastAsia" w:asciiTheme="minorEastAsia" w:hAnsiTheme="minorEastAsia" w:eastAsiaTheme="minorEastAsia" w:cstheme="minorEastAsia"/>
          <w:b/>
          <w:sz w:val="24"/>
        </w:rPr>
        <w:t>采购活动</w:t>
      </w:r>
      <w:bookmarkEnd w:id="115"/>
    </w:p>
    <w:p>
      <w:pPr>
        <w:pStyle w:val="28"/>
        <w:numPr>
          <w:ilvl w:val="0"/>
          <w:numId w:val="0"/>
        </w:numPr>
        <w:tabs>
          <w:tab w:val="left" w:pos="1897"/>
          <w:tab w:val="left" w:pos="1898"/>
        </w:tabs>
        <w:spacing w:before="124" w:after="0" w:line="242" w:lineRule="auto"/>
        <w:ind w:left="2084" w:leftChars="500" w:right="1115" w:rightChars="0" w:hanging="984" w:hangingChars="400"/>
        <w:jc w:val="left"/>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lang w:val="en-US" w:eastAsia="zh-CN"/>
        </w:rPr>
        <w:t xml:space="preserve">18.1   </w:t>
      </w:r>
      <w:r>
        <w:rPr>
          <w:rFonts w:hint="eastAsia" w:asciiTheme="minorEastAsia" w:hAnsiTheme="minorEastAsia" w:eastAsiaTheme="minorEastAsia" w:cstheme="minorEastAsia"/>
          <w:spacing w:val="3"/>
          <w:sz w:val="24"/>
          <w:szCs w:val="24"/>
        </w:rPr>
        <w:t>采购人和采购代理机构将按</w:t>
      </w:r>
      <w:r>
        <w:rPr>
          <w:rFonts w:hint="eastAsia" w:asciiTheme="minorEastAsia" w:hAnsiTheme="minorEastAsia" w:eastAsiaTheme="minorEastAsia" w:cstheme="minorEastAsia"/>
          <w:spacing w:val="4"/>
          <w:sz w:val="24"/>
          <w:szCs w:val="24"/>
          <w:u w:val="single"/>
        </w:rPr>
        <w:t>投标人须知资料表</w:t>
      </w:r>
      <w:r>
        <w:rPr>
          <w:rFonts w:hint="eastAsia" w:asciiTheme="minorEastAsia" w:hAnsiTheme="minorEastAsia" w:eastAsiaTheme="minorEastAsia" w:cstheme="minorEastAsia"/>
          <w:spacing w:val="3"/>
          <w:sz w:val="24"/>
          <w:szCs w:val="24"/>
        </w:rPr>
        <w:t>中规定的时间和地点组织采购活动并邀请所有投标人代表参加。</w:t>
      </w:r>
    </w:p>
    <w:p>
      <w:pPr>
        <w:pStyle w:val="28"/>
        <w:numPr>
          <w:ilvl w:val="0"/>
          <w:numId w:val="0"/>
        </w:numPr>
        <w:tabs>
          <w:tab w:val="left" w:pos="1897"/>
          <w:tab w:val="left" w:pos="1898"/>
        </w:tabs>
        <w:spacing w:before="124" w:after="0" w:line="242" w:lineRule="auto"/>
        <w:ind w:left="2059" w:leftChars="936" w:right="1115" w:rightChars="0" w:firstLine="0" w:firstLineChars="0"/>
        <w:jc w:val="left"/>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投标人不足 3 家的，不得开展采购活动。</w:t>
      </w:r>
    </w:p>
    <w:p>
      <w:pPr>
        <w:pStyle w:val="28"/>
        <w:numPr>
          <w:ilvl w:val="0"/>
          <w:numId w:val="0"/>
        </w:numPr>
        <w:tabs>
          <w:tab w:val="left" w:pos="1897"/>
          <w:tab w:val="left" w:pos="1898"/>
        </w:tabs>
        <w:spacing w:before="124" w:after="0" w:line="242" w:lineRule="auto"/>
        <w:ind w:left="2059" w:leftChars="936" w:right="1115" w:righ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采购活动开始时，由采购人或采购代理机构当众拆封投标文件第一部分，宣读投标人名称、报价价格及招标文件</w:t>
      </w:r>
      <w:r>
        <w:rPr>
          <w:rFonts w:hint="eastAsia" w:asciiTheme="minorEastAsia" w:hAnsiTheme="minorEastAsia" w:eastAsiaTheme="minorEastAsia" w:cstheme="minorEastAsia"/>
          <w:sz w:val="24"/>
          <w:szCs w:val="24"/>
        </w:rPr>
        <w:t>规定的内容。对于投标人在投标截止期前递交的报价声明，在采购活动开始时当众宣读，评审时有效。</w:t>
      </w:r>
    </w:p>
    <w:p>
      <w:pPr>
        <w:pStyle w:val="3"/>
        <w:spacing w:line="303" w:lineRule="exact"/>
        <w:ind w:left="19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未宣读报价价格、价格折扣等实质内容，评审时不予承认。</w:t>
      </w:r>
    </w:p>
    <w:p>
      <w:pPr>
        <w:pStyle w:val="28"/>
        <w:numPr>
          <w:ilvl w:val="0"/>
          <w:numId w:val="0"/>
        </w:numPr>
        <w:tabs>
          <w:tab w:val="left" w:pos="2019"/>
          <w:tab w:val="left" w:pos="2020"/>
        </w:tabs>
        <w:spacing w:before="31" w:after="0" w:line="266" w:lineRule="auto"/>
        <w:ind w:left="2060" w:leftChars="500" w:right="1117" w:rightChars="0" w:hanging="960" w:hanging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
          <w:sz w:val="24"/>
          <w:szCs w:val="24"/>
        </w:rPr>
        <w:t>采购人或采购代理机构将对采购活动过程进行记录，由参加采购活动</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z w:val="24"/>
          <w:szCs w:val="24"/>
        </w:rPr>
        <w:t>的各投标人代表和相关工作人员签字确认，并存档备查。</w:t>
      </w:r>
    </w:p>
    <w:p>
      <w:pPr>
        <w:pStyle w:val="28"/>
        <w:numPr>
          <w:ilvl w:val="0"/>
          <w:numId w:val="0"/>
        </w:numPr>
        <w:tabs>
          <w:tab w:val="left" w:pos="2017"/>
          <w:tab w:val="left" w:pos="2018"/>
        </w:tabs>
        <w:spacing w:before="0" w:after="0" w:line="264" w:lineRule="auto"/>
        <w:ind w:left="2060" w:leftChars="500" w:right="995" w:rightChars="0" w:hanging="960" w:hanging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5"/>
          <w:sz w:val="24"/>
          <w:szCs w:val="24"/>
        </w:rPr>
        <w:t>投标人代表对采购活动过程和采购活动记录有疑义，以及认为采购人、</w:t>
      </w:r>
      <w:r>
        <w:rPr>
          <w:rFonts w:hint="eastAsia" w:asciiTheme="minorEastAsia" w:hAnsiTheme="minorEastAsia" w:eastAsiaTheme="minorEastAsia" w:cstheme="minorEastAsia"/>
          <w:sz w:val="24"/>
          <w:szCs w:val="24"/>
        </w:rPr>
        <w:t>采购代理机构相关工作人员有需要回避的情形的，应当场提出询问或者回避申请。</w:t>
      </w:r>
    </w:p>
    <w:p>
      <w:pPr>
        <w:pStyle w:val="28"/>
        <w:numPr>
          <w:ilvl w:val="0"/>
          <w:numId w:val="0"/>
        </w:numPr>
        <w:tabs>
          <w:tab w:val="left" w:pos="1421"/>
        </w:tabs>
        <w:spacing w:before="4" w:after="0" w:line="240" w:lineRule="auto"/>
        <w:ind w:left="1057" w:leftChars="0" w:right="0" w:rightChars="0"/>
        <w:jc w:val="left"/>
        <w:outlineLvl w:val="1"/>
        <w:rPr>
          <w:rFonts w:hint="eastAsia" w:asciiTheme="minorEastAsia" w:hAnsiTheme="minorEastAsia" w:eastAsiaTheme="minorEastAsia" w:cstheme="minorEastAsia"/>
          <w:b/>
          <w:sz w:val="22"/>
        </w:rPr>
      </w:pPr>
      <w:bookmarkStart w:id="116" w:name="19.资格审查及组建评标委员会"/>
      <w:bookmarkEnd w:id="116"/>
      <w:bookmarkStart w:id="117" w:name="19.资格审查及组建评标委员会"/>
      <w:bookmarkEnd w:id="117"/>
      <w:bookmarkStart w:id="118" w:name="_Toc22285"/>
      <w:r>
        <w:rPr>
          <w:rFonts w:hint="eastAsia" w:asciiTheme="minorEastAsia" w:hAnsiTheme="minorEastAsia" w:eastAsiaTheme="minorEastAsia" w:cstheme="minorEastAsia"/>
          <w:b/>
          <w:sz w:val="24"/>
          <w:lang w:val="en-US" w:eastAsia="zh-CN"/>
        </w:rPr>
        <w:t>19.</w:t>
      </w:r>
      <w:r>
        <w:rPr>
          <w:rFonts w:hint="eastAsia" w:asciiTheme="minorEastAsia" w:hAnsiTheme="minorEastAsia" w:eastAsiaTheme="minorEastAsia" w:cstheme="minorEastAsia"/>
          <w:b/>
          <w:sz w:val="24"/>
        </w:rPr>
        <w:t>资格审查及组建评标委员会</w:t>
      </w:r>
      <w:bookmarkEnd w:id="118"/>
    </w:p>
    <w:p>
      <w:pPr>
        <w:pStyle w:val="28"/>
        <w:numPr>
          <w:ilvl w:val="0"/>
          <w:numId w:val="0"/>
        </w:numPr>
        <w:tabs>
          <w:tab w:val="left" w:pos="2019"/>
          <w:tab w:val="left" w:pos="2020"/>
        </w:tabs>
        <w:spacing w:before="31" w:after="0" w:line="266" w:lineRule="auto"/>
        <w:ind w:left="2060" w:leftChars="500" w:right="995" w:rightChars="0" w:hanging="960" w:hangingChars="400"/>
        <w:jc w:val="left"/>
        <w:rPr>
          <w:rFonts w:hint="eastAsia" w:ascii="仿宋_GB2312" w:hAnsi="宋体" w:eastAsia="仿宋_GB2312"/>
          <w:sz w:val="24"/>
        </w:rPr>
      </w:pPr>
      <w:r>
        <w:rPr>
          <w:rFonts w:hint="eastAsia" w:asciiTheme="minorEastAsia" w:hAnsiTheme="minorEastAsia" w:eastAsiaTheme="minorEastAsia" w:cstheme="minorEastAsia"/>
          <w:sz w:val="24"/>
          <w:lang w:val="en-US" w:eastAsia="zh-CN"/>
        </w:rPr>
        <w:t xml:space="preserve">19.1    </w:t>
      </w:r>
      <w:r>
        <w:rPr>
          <w:rFonts w:hint="eastAsia" w:asciiTheme="minorEastAsia" w:hAnsiTheme="minorEastAsia" w:eastAsiaTheme="minorEastAsia" w:cstheme="minorEastAsia"/>
          <w:sz w:val="24"/>
        </w:rPr>
        <w:t>采购人或采购代理机构依据法律法规和招标文件中规定的内容，对投标人及其货物的资格进行审查，未通过资格审查的投标人不进入评标；通过资格审查的投标人少于不足三家的，不得评标。</w:t>
      </w:r>
    </w:p>
    <w:p>
      <w:pPr>
        <w:pStyle w:val="28"/>
        <w:numPr>
          <w:ilvl w:val="0"/>
          <w:numId w:val="0"/>
        </w:numPr>
        <w:tabs>
          <w:tab w:val="left" w:pos="2019"/>
          <w:tab w:val="left" w:pos="2020"/>
        </w:tabs>
        <w:spacing w:before="31" w:after="0" w:line="266" w:lineRule="auto"/>
        <w:ind w:left="2060" w:leftChars="500" w:right="995" w:rightChars="0" w:hanging="960" w:hangingChars="400"/>
        <w:jc w:val="left"/>
        <w:rPr>
          <w:rFonts w:hint="eastAsia" w:asciiTheme="minorEastAsia" w:hAnsiTheme="minorEastAsia" w:eastAsiaTheme="minorEastAsia" w:cstheme="minorEastAsia"/>
          <w:b/>
          <w:color w:val="000000"/>
          <w:sz w:val="24"/>
          <w:u w:val="singl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color w:val="000000"/>
          <w:sz w:val="24"/>
          <w:u w:val="single"/>
        </w:rPr>
        <w:t>未按要求提供资格审查资料的投标人或其中一项未通过的投标人，将视为资格审查不合格，未能通过资格审查的投标人不进入下一轮评审。</w:t>
      </w:r>
    </w:p>
    <w:p>
      <w:pPr>
        <w:pStyle w:val="28"/>
        <w:numPr>
          <w:ilvl w:val="0"/>
          <w:numId w:val="0"/>
        </w:numPr>
        <w:tabs>
          <w:tab w:val="left" w:pos="2019"/>
          <w:tab w:val="left" w:pos="2020"/>
        </w:tabs>
        <w:spacing w:before="31" w:after="0" w:line="266" w:lineRule="auto"/>
        <w:ind w:left="2064" w:leftChars="500" w:right="995" w:rightChars="0" w:hanging="964" w:hangingChars="400"/>
        <w:jc w:val="left"/>
        <w:rPr>
          <w:rFonts w:hint="eastAsia" w:asciiTheme="minorEastAsia" w:hAnsiTheme="minorEastAsia" w:eastAsiaTheme="minorEastAsia" w:cstheme="minorEastAsia"/>
          <w:b/>
          <w:color w:val="FF0000"/>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rPr>
        <w:t>供应商必须符合《中华人民共和国政府采购法》第二十二条的相关规定：</w:t>
      </w:r>
    </w:p>
    <w:p>
      <w:pPr>
        <w:spacing w:line="400" w:lineRule="exact"/>
        <w:ind w:firstLine="964" w:firstLineChars="400"/>
        <w:rPr>
          <w:rFonts w:hint="eastAsia" w:asciiTheme="minorEastAsia" w:hAnsiTheme="minorEastAsia" w:eastAsiaTheme="minorEastAsia" w:cstheme="minorEastAsia"/>
          <w:b/>
          <w:color w:val="auto"/>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bidi="zh-CN"/>
        </w:rPr>
        <w:t>（1）具有独立承担民事责任的能力（三证合一的营业执照）；</w:t>
      </w:r>
    </w:p>
    <w:p>
      <w:pPr>
        <w:spacing w:line="400" w:lineRule="exact"/>
        <w:ind w:left="1923" w:leftChars="436" w:hanging="964" w:hangingChars="400"/>
        <w:rPr>
          <w:rFonts w:hint="eastAsia" w:asciiTheme="minorEastAsia" w:hAnsiTheme="minorEastAsia" w:eastAsiaTheme="minorEastAsia" w:cstheme="minorEastAsia"/>
          <w:b/>
          <w:color w:val="auto"/>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bidi="zh-CN"/>
        </w:rPr>
        <w:t>（2）法定代表人授权书及被委托人身份证（法定代表人投标提供法定代表人身份证明及身份证）；</w:t>
      </w:r>
    </w:p>
    <w:p>
      <w:pPr>
        <w:spacing w:line="400" w:lineRule="exact"/>
        <w:ind w:left="1923" w:leftChars="436" w:hanging="964" w:hangingChars="400"/>
        <w:rPr>
          <w:rFonts w:hint="eastAsia" w:asciiTheme="minorEastAsia" w:hAnsiTheme="minorEastAsia" w:eastAsiaTheme="minorEastAsia" w:cstheme="minorEastAsia"/>
          <w:b/>
          <w:color w:val="auto"/>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bidi="zh-CN"/>
        </w:rPr>
        <w:t>（3）具有税务局开具依法缴纳近六个月任意一个月的完税证明；</w:t>
      </w:r>
    </w:p>
    <w:p>
      <w:pPr>
        <w:spacing w:line="400" w:lineRule="exact"/>
        <w:ind w:left="1923" w:leftChars="436" w:hanging="964" w:hangingChars="400"/>
        <w:rPr>
          <w:rFonts w:hint="eastAsia" w:asciiTheme="minorEastAsia" w:hAnsiTheme="minorEastAsia" w:eastAsiaTheme="minorEastAsia" w:cstheme="minorEastAsia"/>
          <w:b/>
          <w:color w:val="auto"/>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bidi="zh-CN"/>
        </w:rPr>
        <w:t>（4）2021年度的财务审计报告（新成立未满一年的公司需提供有效的银行资信证明）；</w:t>
      </w:r>
    </w:p>
    <w:p>
      <w:pPr>
        <w:spacing w:line="400" w:lineRule="exact"/>
        <w:ind w:left="1682" w:leftChars="436" w:hanging="723" w:hangingChars="300"/>
        <w:rPr>
          <w:rFonts w:hint="eastAsia" w:asciiTheme="minorEastAsia" w:hAnsiTheme="minorEastAsia" w:eastAsiaTheme="minorEastAsia" w:cstheme="minorEastAsia"/>
          <w:b/>
          <w:color w:val="auto"/>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bidi="zh-CN"/>
        </w:rPr>
        <w:t>（5）参加采购活动前三年内，在经营活动中无重大违法声明；</w:t>
      </w:r>
    </w:p>
    <w:p>
      <w:pPr>
        <w:spacing w:line="400" w:lineRule="exact"/>
        <w:ind w:firstLine="964" w:firstLineChars="400"/>
        <w:rPr>
          <w:rFonts w:hint="eastAsia" w:asciiTheme="minorEastAsia" w:hAnsiTheme="minorEastAsia" w:eastAsiaTheme="minorEastAsia" w:cstheme="minorEastAsia"/>
          <w:b/>
          <w:color w:val="auto"/>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bidi="zh-CN"/>
        </w:rPr>
        <w:t>（6）投标单位（供应商）具备针对本次采购项目《反商业贿赂承诺书》；</w:t>
      </w:r>
    </w:p>
    <w:p>
      <w:pPr>
        <w:pStyle w:val="2"/>
        <w:ind w:firstLine="964" w:firstLineChars="400"/>
        <w:rPr>
          <w:rFonts w:hint="default"/>
          <w:lang w:val="en-US" w:eastAsia="zh-CN"/>
        </w:rPr>
      </w:pPr>
      <w:r>
        <w:rPr>
          <w:rFonts w:hint="eastAsia" w:asciiTheme="minorEastAsia" w:hAnsiTheme="minorEastAsia" w:eastAsiaTheme="minorEastAsia" w:cstheme="minorEastAsia"/>
          <w:b/>
          <w:color w:val="auto"/>
          <w:sz w:val="24"/>
          <w:szCs w:val="22"/>
          <w:u w:val="none"/>
          <w:lang w:val="en-US" w:eastAsia="zh-CN" w:bidi="zh-CN"/>
        </w:rPr>
        <w:t>（7）中小企业声明函；</w:t>
      </w:r>
    </w:p>
    <w:p>
      <w:pPr>
        <w:spacing w:line="400" w:lineRule="exact"/>
        <w:ind w:firstLine="964" w:firstLineChars="400"/>
        <w:rPr>
          <w:rFonts w:hint="eastAsia" w:asciiTheme="minorEastAsia" w:hAnsiTheme="minorEastAsia" w:eastAsiaTheme="minorEastAsia" w:cstheme="minorEastAsia"/>
          <w:b/>
          <w:color w:val="auto"/>
          <w:sz w:val="24"/>
          <w:szCs w:val="22"/>
          <w:u w:val="none"/>
          <w:lang w:val="en-US" w:eastAsia="zh-CN" w:bidi="zh-CN"/>
        </w:rPr>
      </w:pPr>
      <w:r>
        <w:rPr>
          <w:rFonts w:hint="eastAsia" w:asciiTheme="minorEastAsia" w:hAnsiTheme="minorEastAsia" w:eastAsiaTheme="minorEastAsia" w:cstheme="minorEastAsia"/>
          <w:b/>
          <w:color w:val="auto"/>
          <w:sz w:val="24"/>
          <w:szCs w:val="22"/>
          <w:u w:val="none"/>
          <w:lang w:val="en-US" w:eastAsia="zh-CN" w:bidi="zh-CN"/>
        </w:rPr>
        <w:t>（8）投标保证金收据或投标保函；</w:t>
      </w:r>
    </w:p>
    <w:p>
      <w:pPr>
        <w:pStyle w:val="3"/>
        <w:ind w:firstLine="1205" w:firstLineChars="500"/>
        <w:rPr>
          <w:rFonts w:hint="eastAsia" w:ascii="宋体" w:hAnsi="宋体" w:eastAsia="宋体" w:cs="宋体"/>
          <w:b/>
          <w:bCs/>
          <w:color w:val="auto"/>
        </w:rPr>
      </w:pPr>
      <w:r>
        <w:rPr>
          <w:rFonts w:hint="eastAsia" w:ascii="宋体" w:hAnsi="宋体" w:eastAsia="宋体" w:cs="宋体"/>
          <w:b/>
          <w:bCs w:val="0"/>
          <w:color w:val="auto"/>
          <w:sz w:val="24"/>
          <w:szCs w:val="22"/>
          <w:u w:val="none"/>
          <w:lang w:val="en-US" w:eastAsia="zh-CN" w:bidi="zh-CN"/>
        </w:rPr>
        <w:t>本项目不接受联合体投标</w:t>
      </w:r>
    </w:p>
    <w:p>
      <w:pPr>
        <w:pStyle w:val="28"/>
        <w:numPr>
          <w:ilvl w:val="0"/>
          <w:numId w:val="0"/>
        </w:numPr>
        <w:tabs>
          <w:tab w:val="left" w:pos="1900"/>
        </w:tabs>
        <w:spacing w:before="36" w:after="0" w:line="264" w:lineRule="auto"/>
        <w:ind w:left="2076" w:leftChars="500" w:right="1115" w:rightChars="0" w:hanging="976" w:hangingChars="4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lang w:val="en-US" w:eastAsia="zh-CN"/>
        </w:rPr>
        <w:t xml:space="preserve">19.2   </w:t>
      </w:r>
      <w:r>
        <w:rPr>
          <w:rFonts w:hint="eastAsia" w:asciiTheme="minorEastAsia" w:hAnsiTheme="minorEastAsia" w:eastAsiaTheme="minorEastAsia" w:cstheme="minorEastAsia"/>
          <w:spacing w:val="2"/>
          <w:sz w:val="24"/>
        </w:rPr>
        <w:t>采购人或采购代理机构将在采购活动前</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pacing w:val="-6"/>
          <w:sz w:val="24"/>
        </w:rPr>
        <w:t>个工作日至投标截止后</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pacing w:val="-34"/>
          <w:sz w:val="24"/>
        </w:rPr>
        <w:t>小时</w:t>
      </w:r>
      <w:r>
        <w:rPr>
          <w:rFonts w:hint="eastAsia" w:asciiTheme="minorEastAsia" w:hAnsiTheme="minorEastAsia" w:eastAsiaTheme="minorEastAsia" w:cstheme="minorEastAsia"/>
          <w:spacing w:val="-7"/>
          <w:sz w:val="24"/>
        </w:rPr>
        <w:t>的期间内查询投标人的信用记录。投标人存在不良信用记录的，其报价</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pPr>
        <w:pStyle w:val="28"/>
        <w:numPr>
          <w:ilvl w:val="2"/>
          <w:numId w:val="6"/>
        </w:numPr>
        <w:tabs>
          <w:tab w:val="left" w:pos="1903"/>
        </w:tabs>
        <w:spacing w:before="5" w:after="0" w:line="264" w:lineRule="auto"/>
        <w:ind w:left="1914" w:right="1117" w:hanging="855"/>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不良信用记录指：投标人在中国政府采购网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（www.ccgp.gov.cn</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pacing w:val="-6"/>
          <w:sz w:val="24"/>
        </w:rPr>
        <w:t>被列</w:t>
      </w:r>
      <w:r>
        <w:rPr>
          <w:rFonts w:hint="eastAsia" w:asciiTheme="minorEastAsia" w:hAnsiTheme="minorEastAsia" w:eastAsiaTheme="minorEastAsia" w:cstheme="minorEastAsia"/>
          <w:sz w:val="24"/>
        </w:rPr>
        <w:t>入政府采购严重违法失信行为记录名单，或在“信用中国”网站</w:t>
      </w:r>
    </w:p>
    <w:p>
      <w:pPr>
        <w:pStyle w:val="3"/>
        <w:spacing w:before="3" w:line="264" w:lineRule="auto"/>
        <w:ind w:left="1914" w:right="111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"http://www.creditchina.gov.cn/"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3"/>
        </w:rPr>
        <w:t>（www.creditchina.gov.cn</w:t>
      </w:r>
      <w:r>
        <w:rPr>
          <w:rFonts w:hint="eastAsia" w:asciiTheme="minorEastAsia" w:hAnsiTheme="minorEastAsia" w:eastAsiaTheme="minorEastAsia" w:cstheme="minorEastAsia"/>
          <w:spacing w:val="-3"/>
        </w:rPr>
        <w:fldChar w:fldCharType="end"/>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7"/>
        </w:rPr>
        <w:t>被列入失信被执行人、重大税收违法案件</w:t>
      </w:r>
      <w:r>
        <w:rPr>
          <w:rFonts w:hint="eastAsia" w:asciiTheme="minorEastAsia" w:hAnsiTheme="minorEastAsia" w:eastAsiaTheme="minorEastAsia" w:cstheme="minorEastAsia"/>
          <w:spacing w:val="-11"/>
        </w:rPr>
        <w:t>当事人名单，以及存在《中华人民共和国政府采购法实施条例》第十九</w:t>
      </w:r>
      <w:r>
        <w:rPr>
          <w:rFonts w:hint="eastAsia" w:asciiTheme="minorEastAsia" w:hAnsiTheme="minorEastAsia" w:eastAsiaTheme="minorEastAsia" w:cstheme="minorEastAsia"/>
        </w:rPr>
        <w:t>条规定的行政处罚记录。</w:t>
      </w:r>
    </w:p>
    <w:p>
      <w:pPr>
        <w:pStyle w:val="3"/>
        <w:spacing w:before="5" w:line="266" w:lineRule="auto"/>
        <w:ind w:left="1904" w:right="1025" w:hanging="5"/>
        <w:rPr>
          <w:rFonts w:hint="eastAsia" w:asciiTheme="minorEastAsia" w:hAnsiTheme="minorEastAsia" w:eastAsiaTheme="minorEastAsia" w:cstheme="minorEastAsia"/>
        </w:rPr>
      </w:pPr>
      <w:r>
        <w:rPr>
          <w:rFonts w:hint="eastAsia" w:asciiTheme="minorEastAsia" w:hAnsiTheme="minorEastAsia" w:eastAsiaTheme="minorEastAsia" w:cstheme="minorEastAsia"/>
        </w:rPr>
        <w:t>以联合体形式参加报价的，联合体任何成员存在以上不良信用记录的， 联合体报价将被认定为</w:t>
      </w:r>
      <w:r>
        <w:rPr>
          <w:rFonts w:hint="eastAsia" w:asciiTheme="minorEastAsia" w:hAnsiTheme="minorEastAsia" w:eastAsiaTheme="minorEastAsia" w:cstheme="minorEastAsia"/>
          <w:b/>
        </w:rPr>
        <w:t>投标无效</w:t>
      </w:r>
      <w:r>
        <w:rPr>
          <w:rFonts w:hint="eastAsia" w:asciiTheme="minorEastAsia" w:hAnsiTheme="minorEastAsia" w:eastAsiaTheme="minorEastAsia" w:cstheme="minorEastAsia"/>
        </w:rPr>
        <w:t>。</w:t>
      </w:r>
    </w:p>
    <w:p>
      <w:pPr>
        <w:pStyle w:val="28"/>
        <w:numPr>
          <w:ilvl w:val="2"/>
          <w:numId w:val="6"/>
        </w:numPr>
        <w:tabs>
          <w:tab w:val="left" w:pos="1898"/>
        </w:tabs>
        <w:spacing w:before="0" w:after="0" w:line="266" w:lineRule="auto"/>
        <w:ind w:left="1907" w:right="995" w:hanging="85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查询及记录方式：采购人或采购代理机构经办人将查询网页打印、签字</w:t>
      </w:r>
      <w:r>
        <w:rPr>
          <w:rFonts w:hint="eastAsia" w:asciiTheme="minorEastAsia" w:hAnsiTheme="minorEastAsia" w:eastAsiaTheme="minorEastAsia" w:cstheme="minorEastAsia"/>
          <w:spacing w:val="-2"/>
          <w:sz w:val="24"/>
        </w:rPr>
        <w:t>并存档备查。投标人不良信用记录以采购人或采购代理机构查询结果为</w:t>
      </w:r>
      <w:r>
        <w:rPr>
          <w:rFonts w:hint="eastAsia" w:asciiTheme="minorEastAsia" w:hAnsiTheme="minorEastAsia" w:eastAsiaTheme="minorEastAsia" w:cstheme="minorEastAsia"/>
          <w:sz w:val="24"/>
        </w:rPr>
        <w:t>准。</w:t>
      </w:r>
    </w:p>
    <w:p>
      <w:pPr>
        <w:pStyle w:val="3"/>
        <w:spacing w:before="55"/>
        <w:ind w:left="1907"/>
        <w:rPr>
          <w:rFonts w:hint="eastAsia" w:asciiTheme="minorEastAsia" w:hAnsiTheme="minorEastAsia" w:eastAsiaTheme="minorEastAsia" w:cstheme="minorEastAsia"/>
        </w:rPr>
      </w:pPr>
      <w:r>
        <w:rPr>
          <w:rFonts w:hint="eastAsia" w:asciiTheme="minorEastAsia" w:hAnsiTheme="minorEastAsia" w:eastAsiaTheme="minorEastAsia" w:cstheme="minorEastAsia"/>
        </w:rPr>
        <w:t>在本招标文件规定的查询时间之后，网站信息发生的任何变更均不再作</w:t>
      </w:r>
    </w:p>
    <w:p>
      <w:pPr>
        <w:pStyle w:val="3"/>
        <w:spacing w:before="55"/>
        <w:ind w:left="1907"/>
        <w:rPr>
          <w:rFonts w:hint="eastAsia" w:asciiTheme="minorEastAsia" w:hAnsiTheme="minorEastAsia" w:eastAsiaTheme="minorEastAsia" w:cstheme="minorEastAsia"/>
        </w:rPr>
      </w:pPr>
      <w:r>
        <w:rPr>
          <w:rFonts w:hint="eastAsia" w:asciiTheme="minorEastAsia" w:hAnsiTheme="minorEastAsia" w:eastAsiaTheme="minorEastAsia" w:cstheme="minorEastAsia"/>
        </w:rPr>
        <w:t>为评标依据。</w:t>
      </w:r>
    </w:p>
    <w:p>
      <w:pPr>
        <w:pStyle w:val="3"/>
        <w:spacing w:before="33" w:line="264" w:lineRule="auto"/>
        <w:ind w:left="1907" w:right="995"/>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投标人自行提供的与网站信息不一致的其他证明材料亦不作为资格审查依据。</w:t>
      </w:r>
    </w:p>
    <w:p>
      <w:pPr>
        <w:spacing w:line="240" w:lineRule="atLeast"/>
        <w:ind w:left="1003" w:leftChars="456"/>
        <w:rPr>
          <w:rFonts w:hint="eastAsia" w:asciiTheme="minorEastAsia" w:hAnsiTheme="minorEastAsia" w:eastAsiaTheme="minorEastAsia" w:cstheme="minorEastAsia"/>
          <w:spacing w:val="-12"/>
          <w:sz w:val="24"/>
        </w:rPr>
      </w:pPr>
      <w:r>
        <w:rPr>
          <w:rFonts w:hint="eastAsia" w:asciiTheme="minorEastAsia" w:hAnsiTheme="minorEastAsia" w:eastAsiaTheme="minorEastAsia" w:cstheme="minorEastAsia"/>
          <w:spacing w:val="-11"/>
          <w:sz w:val="24"/>
          <w:lang w:val="en-US" w:eastAsia="zh-CN"/>
        </w:rPr>
        <w:t xml:space="preserve">19.3   </w:t>
      </w:r>
      <w:r>
        <w:rPr>
          <w:rFonts w:hint="eastAsia" w:asciiTheme="minorEastAsia" w:hAnsiTheme="minorEastAsia" w:eastAsiaTheme="minorEastAsia" w:cstheme="minorEastAsia"/>
          <w:spacing w:val="-11"/>
          <w:sz w:val="24"/>
        </w:rPr>
        <w:t>按照《中华人民共和国政府采购法》、《中华人民共和国政府采购法实</w:t>
      </w:r>
      <w:r>
        <w:rPr>
          <w:rFonts w:hint="eastAsia" w:asciiTheme="minorEastAsia" w:hAnsiTheme="minorEastAsia" w:eastAsiaTheme="minorEastAsia" w:cstheme="minorEastAsia"/>
          <w:spacing w:val="-12"/>
          <w:sz w:val="24"/>
        </w:rPr>
        <w:t>施条例》</w:t>
      </w:r>
    </w:p>
    <w:p>
      <w:pPr>
        <w:spacing w:line="240" w:lineRule="atLeast"/>
        <w:ind w:left="1003" w:leftChars="456" w:firstLine="654" w:firstLineChars="300"/>
        <w:rPr>
          <w:rFonts w:hint="eastAsia" w:asciiTheme="minorEastAsia" w:hAnsiTheme="minorEastAsia" w:eastAsiaTheme="minorEastAsia" w:cstheme="minorEastAsia"/>
          <w:spacing w:val="-11"/>
          <w:sz w:val="24"/>
        </w:rPr>
      </w:pPr>
      <w:r>
        <w:rPr>
          <w:rFonts w:hint="eastAsia" w:asciiTheme="minorEastAsia" w:hAnsiTheme="minorEastAsia" w:eastAsiaTheme="minorEastAsia" w:cstheme="minorEastAsia"/>
          <w:spacing w:val="-11"/>
          <w:sz w:val="24"/>
        </w:rPr>
        <w:t>及本项目本级和上级财政部门的有关规定依法组建的评标委员会，负责评标工作。</w:t>
      </w:r>
      <w:bookmarkStart w:id="119" w:name="20.投标文件符合性审查与澄清"/>
      <w:bookmarkEnd w:id="119"/>
    </w:p>
    <w:p>
      <w:pPr>
        <w:spacing w:line="240" w:lineRule="atLeast"/>
        <w:ind w:left="1003" w:leftChars="456" w:firstLine="657" w:firstLineChars="300"/>
        <w:rPr>
          <w:rFonts w:hint="eastAsia" w:asciiTheme="minorEastAsia" w:hAnsiTheme="minorEastAsia" w:eastAsiaTheme="minorEastAsia" w:cstheme="minorEastAsia"/>
          <w:b/>
          <w:bCs/>
          <w:color w:val="000000" w:themeColor="text1"/>
          <w:spacing w:val="-11"/>
          <w:sz w:val="24"/>
          <w14:textFill>
            <w14:solidFill>
              <w14:schemeClr w14:val="tx1"/>
            </w14:solidFill>
          </w14:textFill>
        </w:rPr>
      </w:pPr>
      <w:r>
        <w:rPr>
          <w:rFonts w:hint="eastAsia" w:asciiTheme="minorEastAsia" w:hAnsiTheme="minorEastAsia" w:eastAsiaTheme="minorEastAsia" w:cstheme="minorEastAsia"/>
          <w:b/>
          <w:bCs/>
          <w:color w:val="000000" w:themeColor="text1"/>
          <w:spacing w:val="-11"/>
          <w:sz w:val="24"/>
          <w14:textFill>
            <w14:solidFill>
              <w14:schemeClr w14:val="tx1"/>
            </w14:solidFill>
          </w14:textFill>
        </w:rPr>
        <w:t>本项目评标委员会成员</w:t>
      </w:r>
      <w:r>
        <w:rPr>
          <w:rFonts w:hint="eastAsia" w:asciiTheme="minorEastAsia" w:hAnsiTheme="minorEastAsia" w:eastAsiaTheme="minorEastAsia" w:cstheme="minorEastAsia"/>
          <w:b/>
          <w:bCs/>
          <w:color w:val="000000" w:themeColor="text1"/>
          <w:spacing w:val="-11"/>
          <w:sz w:val="24"/>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11"/>
          <w:sz w:val="24"/>
          <w14:textFill>
            <w14:solidFill>
              <w14:schemeClr w14:val="tx1"/>
            </w14:solidFill>
          </w14:textFill>
        </w:rPr>
        <w:t>名，</w:t>
      </w:r>
      <w:r>
        <w:rPr>
          <w:rFonts w:hint="eastAsia" w:asciiTheme="minorEastAsia" w:hAnsiTheme="minorEastAsia" w:eastAsiaTheme="minorEastAsia" w:cstheme="minorEastAsia"/>
          <w:b/>
          <w:bCs/>
          <w:color w:val="auto"/>
          <w:spacing w:val="-11"/>
          <w:sz w:val="24"/>
        </w:rPr>
        <w:t>其中</w:t>
      </w:r>
      <w:r>
        <w:rPr>
          <w:rFonts w:hint="eastAsia" w:asciiTheme="minorEastAsia" w:hAnsiTheme="minorEastAsia" w:eastAsiaTheme="minorEastAsia" w:cstheme="minorEastAsia"/>
          <w:b/>
          <w:bCs/>
          <w:color w:val="auto"/>
          <w:spacing w:val="-11"/>
          <w:sz w:val="24"/>
          <w:lang w:val="en-US" w:eastAsia="zh-CN"/>
        </w:rPr>
        <w:t>采购</w:t>
      </w:r>
      <w:r>
        <w:rPr>
          <w:rFonts w:hint="eastAsia" w:asciiTheme="minorEastAsia" w:hAnsiTheme="minorEastAsia" w:eastAsiaTheme="minorEastAsia" w:cstheme="minorEastAsia"/>
          <w:b/>
          <w:bCs/>
          <w:color w:val="auto"/>
          <w:spacing w:val="-11"/>
          <w:sz w:val="24"/>
        </w:rPr>
        <w:t>人代表</w:t>
      </w:r>
      <w:r>
        <w:rPr>
          <w:rFonts w:hint="eastAsia" w:asciiTheme="minorEastAsia" w:hAnsiTheme="minorEastAsia" w:eastAsiaTheme="minorEastAsia" w:cstheme="minorEastAsia"/>
          <w:b/>
          <w:bCs/>
          <w:color w:val="000000" w:themeColor="text1"/>
          <w:spacing w:val="-11"/>
          <w:sz w:val="24"/>
          <w14:textFill>
            <w14:solidFill>
              <w14:schemeClr w14:val="tx1"/>
            </w14:solidFill>
          </w14:textFill>
        </w:rPr>
        <w:t xml:space="preserve"> 0 人，政采云平台随机抽取专家</w:t>
      </w:r>
      <w:r>
        <w:rPr>
          <w:rFonts w:hint="eastAsia" w:asciiTheme="minorEastAsia" w:hAnsiTheme="minorEastAsia" w:eastAsiaTheme="minorEastAsia" w:cstheme="minorEastAsia"/>
          <w:b/>
          <w:bCs/>
          <w:color w:val="000000" w:themeColor="text1"/>
          <w:spacing w:val="-11"/>
          <w:sz w:val="24"/>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11"/>
          <w:sz w:val="24"/>
          <w14:textFill>
            <w14:solidFill>
              <w14:schemeClr w14:val="tx1"/>
            </w14:solidFill>
          </w14:textFill>
        </w:rPr>
        <w:t>人。</w:t>
      </w:r>
    </w:p>
    <w:p>
      <w:pPr>
        <w:pStyle w:val="28"/>
        <w:numPr>
          <w:ilvl w:val="0"/>
          <w:numId w:val="0"/>
        </w:numPr>
        <w:tabs>
          <w:tab w:val="left" w:pos="1897"/>
          <w:tab w:val="left" w:pos="1898"/>
        </w:tabs>
        <w:spacing w:before="3" w:after="0" w:line="266" w:lineRule="auto"/>
        <w:ind w:right="1115" w:rightChars="0" w:firstLine="964" w:firstLineChars="400"/>
        <w:jc w:val="left"/>
        <w:outlineLvl w:val="1"/>
        <w:rPr>
          <w:rFonts w:hint="eastAsia" w:asciiTheme="minorEastAsia" w:hAnsiTheme="minorEastAsia" w:eastAsiaTheme="minorEastAsia" w:cstheme="minorEastAsia"/>
          <w:b/>
          <w:sz w:val="24"/>
        </w:rPr>
      </w:pPr>
      <w:bookmarkStart w:id="120" w:name="_Toc6574"/>
      <w:r>
        <w:rPr>
          <w:rFonts w:hint="eastAsia" w:asciiTheme="minorEastAsia" w:hAnsiTheme="minorEastAsia" w:eastAsiaTheme="minorEastAsia" w:cstheme="minorEastAsia"/>
          <w:b/>
          <w:sz w:val="24"/>
        </w:rPr>
        <w:t>20.投标文件符合性审查与澄清</w:t>
      </w:r>
      <w:bookmarkEnd w:id="120"/>
    </w:p>
    <w:p>
      <w:pPr>
        <w:pStyle w:val="28"/>
        <w:numPr>
          <w:ilvl w:val="0"/>
          <w:numId w:val="0"/>
        </w:numPr>
        <w:tabs>
          <w:tab w:val="left" w:pos="1898"/>
        </w:tabs>
        <w:spacing w:before="0" w:after="0" w:line="266" w:lineRule="auto"/>
        <w:ind w:left="1960" w:leftChars="480" w:right="1115" w:rightChars="0" w:hanging="904" w:hangingChars="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 xml:space="preserve">20.1    </w:t>
      </w:r>
      <w:r>
        <w:rPr>
          <w:rFonts w:hint="eastAsia" w:asciiTheme="minorEastAsia" w:hAnsiTheme="minorEastAsia" w:eastAsiaTheme="minorEastAsia" w:cstheme="minorEastAsia"/>
          <w:spacing w:val="-7"/>
          <w:sz w:val="24"/>
          <w:szCs w:val="24"/>
        </w:rPr>
        <w:t>符合性审查是指依据招标文件的规定，从投标文件的有效性和完整性对</w:t>
      </w:r>
      <w:r>
        <w:rPr>
          <w:rFonts w:hint="eastAsia" w:asciiTheme="minorEastAsia" w:hAnsiTheme="minorEastAsia" w:eastAsiaTheme="minorEastAsia" w:cstheme="minorEastAsia"/>
          <w:sz w:val="24"/>
          <w:szCs w:val="24"/>
        </w:rPr>
        <w:t>招标文件的响应程度进行审查，以确定是否对招标文件的实质性要求做出响应。</w:t>
      </w:r>
    </w:p>
    <w:p>
      <w:pPr>
        <w:pStyle w:val="28"/>
        <w:numPr>
          <w:ilvl w:val="0"/>
          <w:numId w:val="0"/>
        </w:numPr>
        <w:tabs>
          <w:tab w:val="left" w:pos="1958"/>
        </w:tabs>
        <w:spacing w:before="0" w:after="0" w:line="304" w:lineRule="exact"/>
        <w:ind w:left="1056" w:leftChars="0" w:right="0" w:rightChars="0"/>
        <w:jc w:val="both"/>
        <w:outlineLvl w:val="1"/>
        <w:rPr>
          <w:rFonts w:hint="eastAsia" w:asciiTheme="minorEastAsia" w:hAnsiTheme="minorEastAsia" w:eastAsiaTheme="minorEastAsia" w:cstheme="minorEastAsia"/>
          <w:sz w:val="24"/>
          <w:szCs w:val="24"/>
        </w:rPr>
      </w:pPr>
      <w:bookmarkStart w:id="121" w:name="_Toc21081"/>
      <w:bookmarkStart w:id="122" w:name="_Toc5166"/>
      <w:bookmarkStart w:id="123" w:name="_Toc8678"/>
      <w:r>
        <w:rPr>
          <w:rFonts w:hint="eastAsia" w:asciiTheme="minorEastAsia" w:hAnsiTheme="minorEastAsia" w:eastAsiaTheme="minorEastAsia" w:cstheme="minorEastAsia"/>
          <w:sz w:val="24"/>
          <w:szCs w:val="24"/>
          <w:lang w:val="en-US" w:eastAsia="zh-CN"/>
        </w:rPr>
        <w:t xml:space="preserve">20.2   </w:t>
      </w:r>
      <w:r>
        <w:rPr>
          <w:rFonts w:hint="eastAsia" w:asciiTheme="minorEastAsia" w:hAnsiTheme="minorEastAsia" w:eastAsiaTheme="minorEastAsia" w:cstheme="minorEastAsia"/>
          <w:sz w:val="24"/>
          <w:szCs w:val="24"/>
        </w:rPr>
        <w:t>投标文件的澄清</w:t>
      </w:r>
      <w:bookmarkEnd w:id="121"/>
      <w:bookmarkEnd w:id="122"/>
      <w:bookmarkEnd w:id="123"/>
    </w:p>
    <w:p>
      <w:pPr>
        <w:pStyle w:val="28"/>
        <w:numPr>
          <w:ilvl w:val="0"/>
          <w:numId w:val="0"/>
        </w:numPr>
        <w:tabs>
          <w:tab w:val="left" w:pos="2019"/>
          <w:tab w:val="left" w:pos="2020"/>
        </w:tabs>
        <w:spacing w:before="30" w:after="0" w:line="266" w:lineRule="auto"/>
        <w:ind w:left="2016" w:leftChars="480" w:right="995" w:rightChars="0" w:hanging="960" w:hanging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20.2.1 </w:t>
      </w:r>
      <w:r>
        <w:rPr>
          <w:rFonts w:hint="eastAsia" w:asciiTheme="minorEastAsia" w:hAnsiTheme="minorEastAsia" w:eastAsiaTheme="minorEastAsia" w:cstheme="minorEastAsia"/>
          <w:sz w:val="24"/>
          <w:szCs w:val="24"/>
        </w:rPr>
        <w:t>在采购活动期间，评标委员会将以书面方式要求投标人对其投标文件中含义不明确、对同类问题表述不一致或者有明显文字和计算错误的内容，以及评标委员会认为投标人的报价明显低于其他通过符合性检</w:t>
      </w:r>
      <w:r>
        <w:rPr>
          <w:rFonts w:hint="eastAsia" w:asciiTheme="minorEastAsia" w:hAnsiTheme="minorEastAsia" w:eastAsiaTheme="minorEastAsia" w:cstheme="minorEastAsia"/>
          <w:spacing w:val="-5"/>
          <w:sz w:val="24"/>
          <w:szCs w:val="24"/>
        </w:rPr>
        <w:t>查投标人的报价，有可能影响履约的情况作必要的澄清、说明或补正。</w:t>
      </w:r>
      <w:r>
        <w:rPr>
          <w:rFonts w:hint="eastAsia" w:asciiTheme="minorEastAsia" w:hAnsiTheme="minorEastAsia" w:eastAsiaTheme="minorEastAsia" w:cstheme="minorEastAsia"/>
          <w:sz w:val="24"/>
          <w:szCs w:val="24"/>
        </w:rPr>
        <w:t>投标人的澄清、说明或补正应在评标委员会规定的时间内以书面方式进行，并不得超出投标文件范围或者改变投标文件的实质性内容。</w:t>
      </w:r>
    </w:p>
    <w:p>
      <w:pPr>
        <w:pStyle w:val="28"/>
        <w:numPr>
          <w:ilvl w:val="0"/>
          <w:numId w:val="0"/>
        </w:numPr>
        <w:tabs>
          <w:tab w:val="left" w:pos="2017"/>
          <w:tab w:val="left" w:pos="2018"/>
        </w:tabs>
        <w:spacing w:before="0" w:after="0" w:line="300" w:lineRule="exact"/>
        <w:ind w:left="1056" w:leftChars="0"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20.2.2  </w:t>
      </w:r>
      <w:r>
        <w:rPr>
          <w:rFonts w:hint="eastAsia" w:asciiTheme="minorEastAsia" w:hAnsiTheme="minorEastAsia" w:eastAsiaTheme="minorEastAsia" w:cstheme="minorEastAsia"/>
          <w:sz w:val="24"/>
          <w:szCs w:val="24"/>
        </w:rPr>
        <w:t>投标人的的澄清、说明或补正将作为投标文件的一部分。</w:t>
      </w:r>
    </w:p>
    <w:p>
      <w:pPr>
        <w:pStyle w:val="28"/>
        <w:numPr>
          <w:ilvl w:val="0"/>
          <w:numId w:val="0"/>
        </w:numPr>
        <w:tabs>
          <w:tab w:val="left" w:pos="1777"/>
          <w:tab w:val="left" w:pos="1778"/>
        </w:tabs>
        <w:spacing w:before="33" w:after="0" w:line="240" w:lineRule="auto"/>
        <w:ind w:left="1056" w:leftChars="0" w:right="0" w:rightChars="0"/>
        <w:jc w:val="left"/>
        <w:outlineLvl w:val="1"/>
        <w:rPr>
          <w:rFonts w:hint="eastAsia" w:asciiTheme="minorEastAsia" w:hAnsiTheme="minorEastAsia" w:eastAsiaTheme="minorEastAsia" w:cstheme="minorEastAsia"/>
          <w:sz w:val="24"/>
        </w:rPr>
      </w:pPr>
      <w:bookmarkStart w:id="124" w:name="_Toc7519"/>
      <w:bookmarkStart w:id="125" w:name="_Toc3872"/>
      <w:bookmarkStart w:id="126" w:name="_Toc1810"/>
      <w:r>
        <w:rPr>
          <w:rFonts w:hint="eastAsia" w:asciiTheme="minorEastAsia" w:hAnsiTheme="minorEastAsia" w:eastAsiaTheme="minorEastAsia" w:cstheme="minorEastAsia"/>
          <w:sz w:val="24"/>
          <w:lang w:val="en-US" w:eastAsia="zh-CN"/>
        </w:rPr>
        <w:t xml:space="preserve">20.3 </w:t>
      </w:r>
      <w:r>
        <w:rPr>
          <w:rFonts w:hint="eastAsia" w:asciiTheme="minorEastAsia" w:hAnsiTheme="minorEastAsia" w:eastAsiaTheme="minorEastAsia" w:cstheme="minorEastAsia"/>
          <w:sz w:val="24"/>
        </w:rPr>
        <w:t>投标文件报价出现前后不一致的，按照下列规定修正：</w:t>
      </w:r>
      <w:bookmarkEnd w:id="124"/>
      <w:bookmarkEnd w:id="125"/>
      <w:bookmarkEnd w:id="126"/>
    </w:p>
    <w:p>
      <w:pPr>
        <w:pStyle w:val="3"/>
        <w:spacing w:before="31" w:line="266" w:lineRule="auto"/>
        <w:ind w:left="2077" w:right="1045" w:hanging="202"/>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（一）投标文件中开标一览表（报价表）内容与投标文件中相应内容不一致的，以开标一览表（报价表）为准；</w:t>
      </w:r>
    </w:p>
    <w:p>
      <w:pPr>
        <w:pStyle w:val="3"/>
        <w:spacing w:line="306" w:lineRule="exact"/>
        <w:ind w:left="1897"/>
        <w:rPr>
          <w:rFonts w:hint="eastAsia" w:asciiTheme="minorEastAsia" w:hAnsiTheme="minorEastAsia" w:eastAsiaTheme="minorEastAsia" w:cstheme="minorEastAsia"/>
        </w:rPr>
      </w:pPr>
      <w:r>
        <w:rPr>
          <w:rFonts w:hint="eastAsia" w:asciiTheme="minorEastAsia" w:hAnsiTheme="minorEastAsia" w:eastAsiaTheme="minorEastAsia" w:cstheme="minorEastAsia"/>
        </w:rPr>
        <w:t>（二）大写金额和小写金额不一致的，以大写金额为准；</w:t>
      </w:r>
    </w:p>
    <w:p>
      <w:pPr>
        <w:pStyle w:val="3"/>
        <w:spacing w:before="31" w:line="266" w:lineRule="auto"/>
        <w:ind w:left="2077" w:right="1048" w:hanging="20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（三）单价金额小数点或者百分比有明显错位的，以开标一览表的总价为准，并修改单价；</w:t>
      </w:r>
    </w:p>
    <w:p>
      <w:pPr>
        <w:pStyle w:val="3"/>
        <w:spacing w:line="266" w:lineRule="auto"/>
        <w:ind w:left="1957" w:right="995" w:hanging="130"/>
        <w:rPr>
          <w:rFonts w:hint="eastAsia" w:asciiTheme="minorEastAsia" w:hAnsiTheme="minorEastAsia" w:eastAsiaTheme="minorEastAsia" w:cstheme="minorEastAsia"/>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spacing w:val="-72"/>
        </w:rPr>
        <w:t>）</w:t>
      </w:r>
      <w:r>
        <w:rPr>
          <w:rFonts w:hint="eastAsia" w:asciiTheme="minorEastAsia" w:hAnsiTheme="minorEastAsia" w:eastAsiaTheme="minorEastAsia" w:cstheme="minorEastAsia"/>
          <w:spacing w:val="-5"/>
        </w:rPr>
        <w:t>总价金额与按单价汇总金额不一致的，以单价金额计算结果为准。</w:t>
      </w:r>
      <w:r>
        <w:rPr>
          <w:rFonts w:hint="eastAsia" w:asciiTheme="minorEastAsia" w:hAnsiTheme="minorEastAsia" w:eastAsiaTheme="minorEastAsia" w:cstheme="minorEastAsia"/>
        </w:rPr>
        <w:t>同时出现两种以上不一致的，按照前款规定的顺序修正。修正后的报</w:t>
      </w:r>
      <w:r>
        <w:rPr>
          <w:rFonts w:hint="eastAsia" w:asciiTheme="minorEastAsia" w:hAnsiTheme="minorEastAsia" w:eastAsiaTheme="minorEastAsia" w:cstheme="minorEastAsia"/>
          <w:spacing w:val="-16"/>
        </w:rPr>
        <w:t xml:space="preserve">价按照第 </w:t>
      </w:r>
      <w:r>
        <w:rPr>
          <w:rFonts w:hint="eastAsia" w:asciiTheme="minorEastAsia" w:hAnsiTheme="minorEastAsia" w:eastAsiaTheme="minorEastAsia" w:cstheme="minorEastAsia"/>
        </w:rPr>
        <w:t>20.2</w:t>
      </w:r>
      <w:r>
        <w:rPr>
          <w:rFonts w:hint="eastAsia" w:asciiTheme="minorEastAsia" w:hAnsiTheme="minorEastAsia" w:eastAsiaTheme="minorEastAsia" w:cstheme="minorEastAsia"/>
          <w:spacing w:val="-17"/>
        </w:rPr>
        <w:t xml:space="preserve"> 条的规定经投标人确认后产生约束力，投标人不确认的， </w:t>
      </w:r>
      <w:r>
        <w:rPr>
          <w:rFonts w:hint="eastAsia" w:asciiTheme="minorEastAsia" w:hAnsiTheme="minorEastAsia" w:eastAsiaTheme="minorEastAsia" w:cstheme="minorEastAsia"/>
        </w:rPr>
        <w:t>其报价将被认定为</w:t>
      </w:r>
      <w:r>
        <w:rPr>
          <w:rFonts w:hint="eastAsia" w:asciiTheme="minorEastAsia" w:hAnsiTheme="minorEastAsia" w:eastAsiaTheme="minorEastAsia" w:cstheme="minorEastAsia"/>
          <w:b/>
        </w:rPr>
        <w:t>投标无效</w:t>
      </w:r>
      <w:r>
        <w:rPr>
          <w:rFonts w:hint="eastAsia" w:asciiTheme="minorEastAsia" w:hAnsiTheme="minorEastAsia" w:eastAsiaTheme="minorEastAsia" w:cstheme="minorEastAsia"/>
        </w:rPr>
        <w:t>。</w:t>
      </w:r>
    </w:p>
    <w:p>
      <w:pPr>
        <w:pStyle w:val="3"/>
        <w:spacing w:line="301" w:lineRule="exact"/>
        <w:ind w:left="1912"/>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对不同文字文本投标文件的解释发生异议的，以中文文本为准。</w:t>
      </w:r>
    </w:p>
    <w:p>
      <w:pPr>
        <w:pStyle w:val="28"/>
        <w:numPr>
          <w:ilvl w:val="0"/>
          <w:numId w:val="0"/>
        </w:numPr>
        <w:tabs>
          <w:tab w:val="left" w:pos="1898"/>
        </w:tabs>
        <w:spacing w:before="32" w:after="0" w:line="266" w:lineRule="auto"/>
        <w:ind w:left="1960" w:leftChars="480" w:right="1115" w:rightChars="0" w:hanging="904" w:hangingChars="4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lang w:val="en-US" w:eastAsia="zh-CN"/>
        </w:rPr>
        <w:t xml:space="preserve">20.4   </w:t>
      </w:r>
      <w:r>
        <w:rPr>
          <w:rFonts w:hint="eastAsia" w:asciiTheme="minorEastAsia" w:hAnsiTheme="minorEastAsia" w:eastAsiaTheme="minorEastAsia" w:cstheme="minorEastAsia"/>
          <w:spacing w:val="-7"/>
          <w:sz w:val="24"/>
        </w:rPr>
        <w:t>如一个分包内只有一种产品，不同投标人所投产品为同一品牌的，按如</w:t>
      </w:r>
      <w:r>
        <w:rPr>
          <w:rFonts w:hint="eastAsia" w:asciiTheme="minorEastAsia" w:hAnsiTheme="minorEastAsia" w:eastAsiaTheme="minorEastAsia" w:cstheme="minorEastAsia"/>
          <w:sz w:val="24"/>
        </w:rPr>
        <w:t>下方式处理：</w:t>
      </w:r>
    </w:p>
    <w:p>
      <w:pPr>
        <w:pStyle w:val="28"/>
        <w:numPr>
          <w:ilvl w:val="0"/>
          <w:numId w:val="0"/>
        </w:numPr>
        <w:tabs>
          <w:tab w:val="left" w:pos="2020"/>
        </w:tabs>
        <w:spacing w:before="0" w:after="0" w:line="266" w:lineRule="auto"/>
        <w:ind w:left="1936" w:leftChars="480" w:right="1115" w:rightChars="0" w:hanging="880" w:hangingChars="4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lang w:val="en-US" w:eastAsia="zh-CN"/>
        </w:rPr>
        <w:t xml:space="preserve">20.4.1  </w:t>
      </w:r>
      <w:r>
        <w:rPr>
          <w:rFonts w:hint="eastAsia" w:asciiTheme="minorEastAsia" w:hAnsiTheme="minorEastAsia" w:eastAsiaTheme="minorEastAsia" w:cstheme="minorEastAsia"/>
          <w:spacing w:val="-1"/>
          <w:sz w:val="24"/>
        </w:rPr>
        <w:t>如本项目使用最低评标价法，提供相同品牌产品的不同投标人以其中</w:t>
      </w:r>
      <w:r>
        <w:rPr>
          <w:rFonts w:hint="eastAsia" w:asciiTheme="minorEastAsia" w:hAnsiTheme="minorEastAsia" w:eastAsiaTheme="minorEastAsia" w:cstheme="minorEastAsia"/>
          <w:sz w:val="24"/>
        </w:rPr>
        <w:t>通过资格审查、符合性审查且报价最低的参加评标；报价相同的，由采购人或者采购人委托评标委员会按照招标文件中评标办法规定的方式确定一个参加评标的投标人；未规定的采取随机抽取方式确定，其他报价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pPr>
        <w:pStyle w:val="28"/>
        <w:numPr>
          <w:ilvl w:val="0"/>
          <w:numId w:val="0"/>
        </w:numPr>
        <w:tabs>
          <w:tab w:val="left" w:pos="1898"/>
        </w:tabs>
        <w:spacing w:before="0" w:after="0" w:line="264" w:lineRule="auto"/>
        <w:ind w:left="1863" w:leftChars="436" w:right="1115" w:rightChars="0" w:hanging="904" w:hangingChars="4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7"/>
          <w:sz w:val="24"/>
          <w:lang w:val="en-US" w:eastAsia="zh-CN"/>
        </w:rPr>
        <w:t xml:space="preserve">20.4.2  </w:t>
      </w:r>
      <w:r>
        <w:rPr>
          <w:rFonts w:hint="eastAsia" w:asciiTheme="minorEastAsia" w:hAnsiTheme="minorEastAsia" w:eastAsiaTheme="minorEastAsia" w:cstheme="minorEastAsia"/>
          <w:spacing w:val="-7"/>
          <w:sz w:val="24"/>
        </w:rPr>
        <w:t>如一个分包内包含多种产品的，采购人或采购代理机构将在</w:t>
      </w:r>
      <w:r>
        <w:rPr>
          <w:rFonts w:hint="eastAsia" w:asciiTheme="minorEastAsia" w:hAnsiTheme="minorEastAsia" w:eastAsiaTheme="minorEastAsia" w:cstheme="minorEastAsia"/>
          <w:spacing w:val="-4"/>
          <w:sz w:val="24"/>
          <w:u w:val="single"/>
        </w:rPr>
        <w:t>投标人须知</w:t>
      </w:r>
      <w:r>
        <w:rPr>
          <w:rFonts w:hint="eastAsia" w:asciiTheme="minorEastAsia" w:hAnsiTheme="minorEastAsia" w:eastAsiaTheme="minorEastAsia" w:cstheme="minorEastAsia"/>
          <w:spacing w:val="1"/>
          <w:sz w:val="24"/>
          <w:u w:val="single"/>
        </w:rPr>
        <w:t>资料表</w:t>
      </w:r>
      <w:r>
        <w:rPr>
          <w:rFonts w:hint="eastAsia" w:asciiTheme="minorEastAsia" w:hAnsiTheme="minorEastAsia" w:eastAsiaTheme="minorEastAsia" w:cstheme="minorEastAsia"/>
          <w:sz w:val="24"/>
        </w:rPr>
        <w:t>中载明核心产品，多家投标人提供的核心产品品牌相同的，按</w:t>
      </w:r>
      <w:r>
        <w:rPr>
          <w:rFonts w:hint="eastAsia" w:asciiTheme="minorEastAsia" w:hAnsiTheme="minorEastAsia" w:eastAsiaTheme="minorEastAsia" w:cstheme="minorEastAsia"/>
          <w:spacing w:val="-30"/>
          <w:sz w:val="24"/>
        </w:rPr>
        <w:t xml:space="preserve">第 </w:t>
      </w:r>
      <w:r>
        <w:rPr>
          <w:rFonts w:hint="eastAsia" w:asciiTheme="minorEastAsia" w:hAnsiTheme="minorEastAsia" w:eastAsiaTheme="minorEastAsia" w:cstheme="minorEastAsia"/>
          <w:sz w:val="24"/>
        </w:rPr>
        <w:t>20.4</w:t>
      </w:r>
      <w:r>
        <w:rPr>
          <w:rFonts w:hint="eastAsia" w:asciiTheme="minorEastAsia" w:hAnsiTheme="minorEastAsia" w:eastAsiaTheme="minorEastAsia" w:cstheme="minorEastAsia"/>
          <w:spacing w:val="-9"/>
          <w:sz w:val="24"/>
        </w:rPr>
        <w:t xml:space="preserve"> 条规定处理。</w:t>
      </w:r>
    </w:p>
    <w:p>
      <w:pPr>
        <w:pStyle w:val="28"/>
        <w:numPr>
          <w:ilvl w:val="0"/>
          <w:numId w:val="0"/>
        </w:numPr>
        <w:tabs>
          <w:tab w:val="left" w:pos="1912"/>
        </w:tabs>
        <w:spacing w:before="0" w:after="0" w:line="240" w:lineRule="auto"/>
        <w:ind w:right="0" w:rightChars="0" w:firstLine="960" w:firstLineChars="4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20.4.3  </w:t>
      </w:r>
      <w:r>
        <w:rPr>
          <w:rFonts w:hint="eastAsia" w:asciiTheme="minorEastAsia" w:hAnsiTheme="minorEastAsia" w:eastAsiaTheme="minorEastAsia" w:cstheme="minorEastAsia"/>
          <w:sz w:val="24"/>
        </w:rPr>
        <w:t>投标人所投产品如被列入财政部与国家主管部门颁发的节能产品目录</w:t>
      </w:r>
    </w:p>
    <w:p>
      <w:pPr>
        <w:pStyle w:val="3"/>
        <w:spacing w:before="55" w:line="266" w:lineRule="auto"/>
        <w:ind w:left="1957" w:right="1115"/>
        <w:rPr>
          <w:rFonts w:hint="eastAsia" w:asciiTheme="minorEastAsia" w:hAnsiTheme="minorEastAsia" w:eastAsiaTheme="minorEastAsia" w:cstheme="minorEastAsia"/>
        </w:rPr>
      </w:pPr>
      <w:r>
        <w:rPr>
          <w:rFonts w:hint="eastAsia" w:asciiTheme="minorEastAsia" w:hAnsiTheme="minorEastAsia" w:eastAsiaTheme="minorEastAsia" w:cstheme="minorEastAsia"/>
        </w:rPr>
        <w:t>或环境标志产品目录或无线局域网产品目录，应提供相关证明，在评标时予以优先采购，具体优先采购办法见第六章评审方法和标准。 如采购人所采购产品为政府强制采购的节能产品，投标人所投产品的品牌及型号必须为清单中有效期内产品并提供证明文件，否则其报价将被认定为</w:t>
      </w:r>
      <w:r>
        <w:rPr>
          <w:rFonts w:hint="eastAsia" w:asciiTheme="minorEastAsia" w:hAnsiTheme="minorEastAsia" w:eastAsiaTheme="minorEastAsia" w:cstheme="minorEastAsia"/>
          <w:b/>
        </w:rPr>
        <w:t>投标无效</w:t>
      </w:r>
      <w:r>
        <w:rPr>
          <w:rFonts w:hint="eastAsia" w:asciiTheme="minorEastAsia" w:hAnsiTheme="minorEastAsia" w:eastAsiaTheme="minorEastAsia" w:cstheme="minorEastAsia"/>
        </w:rPr>
        <w:t>。</w:t>
      </w:r>
    </w:p>
    <w:p>
      <w:pPr>
        <w:spacing w:before="0" w:line="300" w:lineRule="exact"/>
        <w:ind w:left="1057" w:right="0" w:firstLine="0"/>
        <w:jc w:val="left"/>
        <w:outlineLvl w:val="1"/>
        <w:rPr>
          <w:rFonts w:hint="eastAsia" w:asciiTheme="minorEastAsia" w:hAnsiTheme="minorEastAsia" w:eastAsiaTheme="minorEastAsia" w:cstheme="minorEastAsia"/>
          <w:b/>
          <w:sz w:val="24"/>
        </w:rPr>
      </w:pPr>
      <w:bookmarkStart w:id="127" w:name="21.投标偏离"/>
      <w:bookmarkEnd w:id="127"/>
      <w:bookmarkStart w:id="128" w:name="_Toc14634"/>
      <w:r>
        <w:rPr>
          <w:rFonts w:hint="eastAsia" w:asciiTheme="minorEastAsia" w:hAnsiTheme="minorEastAsia" w:eastAsiaTheme="minorEastAsia" w:cstheme="minorEastAsia"/>
          <w:b/>
          <w:w w:val="95"/>
          <w:sz w:val="24"/>
        </w:rPr>
        <w:t>21.投标偏离</w:t>
      </w:r>
      <w:bookmarkEnd w:id="128"/>
    </w:p>
    <w:p>
      <w:pPr>
        <w:pStyle w:val="3"/>
        <w:spacing w:before="33" w:line="266" w:lineRule="auto"/>
        <w:ind w:left="1057" w:right="1061" w:firstLine="806"/>
        <w:outlineLvl w:val="1"/>
        <w:rPr>
          <w:rFonts w:hint="eastAsia" w:asciiTheme="minorEastAsia" w:hAnsiTheme="minorEastAsia" w:eastAsiaTheme="minorEastAsia" w:cstheme="minorEastAsia"/>
          <w:b/>
        </w:rPr>
      </w:pPr>
      <w:bookmarkStart w:id="129" w:name="_Toc7009"/>
      <w:r>
        <w:rPr>
          <w:rFonts w:hint="eastAsia" w:asciiTheme="minorEastAsia" w:hAnsiTheme="minorEastAsia" w:eastAsiaTheme="minorEastAsia" w:cstheme="minorEastAsia"/>
          <w:spacing w:val="-1"/>
        </w:rPr>
        <w:t>评标委员会可以接受投标文件中不构成实质性偏离的不正规或不一致。</w:t>
      </w:r>
      <w:bookmarkStart w:id="130" w:name="22.投标无效"/>
      <w:bookmarkEnd w:id="130"/>
      <w:r>
        <w:rPr>
          <w:rFonts w:hint="eastAsia" w:asciiTheme="minorEastAsia" w:hAnsiTheme="minorEastAsia" w:eastAsiaTheme="minorEastAsia" w:cstheme="minorEastAsia"/>
          <w:b/>
        </w:rPr>
        <w:t>22.投标无效</w:t>
      </w:r>
      <w:bookmarkEnd w:id="129"/>
    </w:p>
    <w:p>
      <w:pPr>
        <w:pStyle w:val="28"/>
        <w:numPr>
          <w:ilvl w:val="0"/>
          <w:numId w:val="0"/>
        </w:numPr>
        <w:tabs>
          <w:tab w:val="left" w:pos="1850"/>
        </w:tabs>
        <w:spacing w:before="0" w:after="0" w:line="266" w:lineRule="auto"/>
        <w:ind w:left="1698" w:leftChars="458" w:right="1110" w:rightChars="0" w:hanging="690" w:hangingChars="300"/>
        <w:jc w:val="both"/>
        <w:rPr>
          <w:sz w:val="24"/>
        </w:rPr>
      </w:pPr>
      <w:r>
        <w:rPr>
          <w:rFonts w:hint="eastAsia" w:asciiTheme="minorEastAsia" w:hAnsiTheme="minorEastAsia" w:eastAsiaTheme="minorEastAsia" w:cstheme="minorEastAsia"/>
          <w:spacing w:val="-5"/>
          <w:sz w:val="24"/>
          <w:lang w:val="en-US" w:eastAsia="zh-CN"/>
        </w:rPr>
        <w:t xml:space="preserve">22.1  </w:t>
      </w:r>
      <w:r>
        <w:rPr>
          <w:rFonts w:hint="eastAsia" w:asciiTheme="minorEastAsia" w:hAnsiTheme="minorEastAsia" w:eastAsiaTheme="minorEastAsia" w:cstheme="minorEastAsia"/>
          <w:spacing w:val="-5"/>
          <w:sz w:val="24"/>
        </w:rPr>
        <w:t>在比较与评价之前，根据本须知的规定，评标委员会要审查每份投标文</w:t>
      </w:r>
      <w:r>
        <w:rPr>
          <w:rFonts w:hint="eastAsia" w:asciiTheme="minorEastAsia" w:hAnsiTheme="minorEastAsia" w:eastAsiaTheme="minorEastAsia" w:cstheme="minorEastAsia"/>
          <w:spacing w:val="-7"/>
          <w:sz w:val="24"/>
        </w:rPr>
        <w:t>件是否实质上响应了招标文件的要求。实质上响应的报价应该是与招标</w:t>
      </w:r>
      <w:r>
        <w:rPr>
          <w:rFonts w:hint="eastAsia" w:asciiTheme="minorEastAsia" w:hAnsiTheme="minorEastAsia" w:eastAsiaTheme="minorEastAsia" w:cstheme="minorEastAsia"/>
          <w:spacing w:val="-8"/>
          <w:sz w:val="24"/>
        </w:rPr>
        <w:t>文件要求的全部条款、条件和规格相符，没有重大偏离的报价。对关键</w:t>
      </w:r>
      <w:r>
        <w:rPr>
          <w:rFonts w:hint="eastAsia" w:asciiTheme="minorEastAsia" w:hAnsiTheme="minorEastAsia" w:eastAsiaTheme="minorEastAsia" w:cstheme="minorEastAsia"/>
          <w:spacing w:val="-7"/>
          <w:sz w:val="24"/>
        </w:rPr>
        <w:t>条款的偏离，将被认定为</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pacing w:val="-9"/>
          <w:sz w:val="24"/>
        </w:rPr>
        <w:t>。投标人不得通过修正或撤销不符合</w:t>
      </w:r>
      <w:r>
        <w:rPr>
          <w:rFonts w:hint="eastAsia" w:asciiTheme="minorEastAsia" w:hAnsiTheme="minorEastAsia" w:eastAsiaTheme="minorEastAsia" w:cstheme="minorEastAsia"/>
          <w:sz w:val="24"/>
        </w:rPr>
        <w:t>要求的偏离，从而使其报价成为实质上响应的报价。</w:t>
      </w:r>
    </w:p>
    <w:p>
      <w:pPr>
        <w:pStyle w:val="3"/>
        <w:spacing w:line="271" w:lineRule="exact"/>
        <w:ind w:firstLine="1840" w:firstLineChars="800"/>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评标委员会决定报价的响应性只根据招标文件要求、投标文件内容及财</w:t>
      </w:r>
    </w:p>
    <w:p>
      <w:pPr>
        <w:pStyle w:val="3"/>
        <w:spacing w:before="1"/>
        <w:ind w:left="1849"/>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政主管部门指定相关信息发布媒体。</w:t>
      </w:r>
    </w:p>
    <w:p>
      <w:pPr>
        <w:pStyle w:val="28"/>
        <w:numPr>
          <w:ilvl w:val="0"/>
          <w:numId w:val="0"/>
        </w:numPr>
        <w:tabs>
          <w:tab w:val="left" w:pos="1957"/>
          <w:tab w:val="left" w:pos="1958"/>
        </w:tabs>
        <w:spacing w:before="5" w:after="0" w:line="242" w:lineRule="auto"/>
        <w:ind w:left="1776" w:leftChars="480" w:right="1109" w:rightChars="0" w:hanging="720" w:hangingChars="300"/>
        <w:jc w:val="left"/>
        <w:rPr>
          <w:rFonts w:hint="eastAsia" w:ascii="宋体" w:hAnsi="宋体" w:eastAsia="宋体" w:cs="宋体"/>
          <w:sz w:val="24"/>
        </w:rPr>
      </w:pPr>
      <w:r>
        <w:rPr>
          <w:rFonts w:hint="eastAsia" w:ascii="宋体" w:hAnsi="宋体" w:eastAsia="宋体" w:cs="宋体"/>
          <w:sz w:val="24"/>
          <w:lang w:val="en-US" w:eastAsia="zh-CN"/>
        </w:rPr>
        <w:t xml:space="preserve">22.2  </w:t>
      </w:r>
      <w:r>
        <w:rPr>
          <w:rFonts w:hint="eastAsia" w:ascii="宋体" w:hAnsi="宋体" w:eastAsia="宋体" w:cs="宋体"/>
          <w:sz w:val="24"/>
        </w:rPr>
        <w:t>如发现下列情况之一的，其报价将被认定为</w:t>
      </w:r>
      <w:r>
        <w:rPr>
          <w:rFonts w:hint="eastAsia" w:ascii="宋体" w:hAnsi="宋体" w:eastAsia="宋体" w:cs="宋体"/>
          <w:b/>
          <w:spacing w:val="2"/>
          <w:sz w:val="24"/>
        </w:rPr>
        <w:t>投标无效</w:t>
      </w:r>
      <w:r>
        <w:rPr>
          <w:rFonts w:hint="eastAsia" w:ascii="宋体" w:hAnsi="宋体" w:eastAsia="宋体" w:cs="宋体"/>
          <w:b/>
          <w:spacing w:val="2"/>
          <w:sz w:val="24"/>
          <w:lang w:eastAsia="zh-CN"/>
        </w:rPr>
        <w:t>：</w:t>
      </w:r>
      <w:r>
        <w:rPr>
          <w:rFonts w:hint="eastAsia" w:ascii="宋体" w:hAnsi="宋体" w:eastAsia="宋体" w:cs="宋体"/>
          <w:spacing w:val="3"/>
          <w:sz w:val="24"/>
        </w:rPr>
        <w:t>（</w:t>
      </w:r>
      <w:r>
        <w:rPr>
          <w:rFonts w:hint="eastAsia" w:ascii="宋体" w:hAnsi="宋体" w:eastAsia="宋体" w:cs="宋体"/>
          <w:b/>
          <w:spacing w:val="1"/>
          <w:sz w:val="24"/>
        </w:rPr>
        <w:t>以下情形应当在招标文件中规定，并以醒目的方式标明</w:t>
      </w:r>
      <w:r>
        <w:rPr>
          <w:rFonts w:hint="eastAsia" w:ascii="宋体" w:hAnsi="宋体" w:eastAsia="宋体" w:cs="宋体"/>
          <w:spacing w:val="1"/>
          <w:sz w:val="24"/>
        </w:rPr>
        <w:t>）</w:t>
      </w:r>
    </w:p>
    <w:p>
      <w:pPr>
        <w:pStyle w:val="28"/>
        <w:numPr>
          <w:ilvl w:val="2"/>
          <w:numId w:val="7"/>
        </w:numPr>
        <w:tabs>
          <w:tab w:val="left" w:pos="2628"/>
        </w:tabs>
        <w:spacing w:before="2" w:after="0" w:line="240" w:lineRule="auto"/>
        <w:ind w:left="2627" w:right="0" w:hanging="671"/>
        <w:jc w:val="left"/>
        <w:rPr>
          <w:rFonts w:hint="eastAsia" w:ascii="宋体" w:hAnsi="宋体" w:eastAsia="宋体" w:cs="宋体"/>
          <w:sz w:val="24"/>
        </w:rPr>
      </w:pPr>
      <w:r>
        <w:rPr>
          <w:rFonts w:hint="eastAsia" w:ascii="宋体" w:hAnsi="宋体" w:eastAsia="宋体" w:cs="宋体"/>
          <w:sz w:val="24"/>
        </w:rPr>
        <w:t>未按招标文件规定的形式和金额提交投标保证金的；</w:t>
      </w:r>
    </w:p>
    <w:p>
      <w:pPr>
        <w:pStyle w:val="28"/>
        <w:numPr>
          <w:ilvl w:val="2"/>
          <w:numId w:val="7"/>
        </w:numPr>
        <w:tabs>
          <w:tab w:val="left" w:pos="2628"/>
        </w:tabs>
        <w:spacing w:before="5" w:after="0" w:line="240" w:lineRule="auto"/>
        <w:ind w:left="2627" w:right="0" w:hanging="671"/>
        <w:jc w:val="left"/>
        <w:rPr>
          <w:rFonts w:hint="eastAsia" w:ascii="宋体" w:hAnsi="宋体" w:eastAsia="宋体" w:cs="宋体"/>
          <w:sz w:val="24"/>
        </w:rPr>
      </w:pPr>
      <w:r>
        <w:rPr>
          <w:rFonts w:hint="eastAsia" w:ascii="宋体" w:hAnsi="宋体" w:eastAsia="宋体" w:cs="宋体"/>
          <w:sz w:val="24"/>
        </w:rPr>
        <w:t>未按照招标文件规定要求签署、盖章的；</w:t>
      </w:r>
    </w:p>
    <w:p>
      <w:pPr>
        <w:pStyle w:val="28"/>
        <w:numPr>
          <w:ilvl w:val="2"/>
          <w:numId w:val="7"/>
        </w:numPr>
        <w:tabs>
          <w:tab w:val="left" w:pos="2628"/>
        </w:tabs>
        <w:spacing w:before="4" w:after="0" w:line="240" w:lineRule="auto"/>
        <w:ind w:left="2627" w:right="0" w:hanging="671"/>
        <w:jc w:val="left"/>
        <w:rPr>
          <w:rFonts w:hint="eastAsia" w:ascii="宋体" w:hAnsi="宋体" w:eastAsia="宋体" w:cs="宋体"/>
          <w:sz w:val="24"/>
        </w:rPr>
      </w:pPr>
      <w:r>
        <w:rPr>
          <w:rFonts w:hint="eastAsia" w:ascii="宋体" w:hAnsi="宋体" w:eastAsia="宋体" w:cs="宋体"/>
          <w:sz w:val="24"/>
        </w:rPr>
        <w:t>未满足招标文件中技术条款的实质性要求；</w:t>
      </w:r>
    </w:p>
    <w:p>
      <w:pPr>
        <w:pStyle w:val="28"/>
        <w:numPr>
          <w:ilvl w:val="2"/>
          <w:numId w:val="7"/>
        </w:numPr>
        <w:tabs>
          <w:tab w:val="left" w:pos="2628"/>
        </w:tabs>
        <w:spacing w:before="5" w:after="0" w:line="240" w:lineRule="auto"/>
        <w:ind w:left="2627" w:right="0" w:hanging="671"/>
        <w:jc w:val="left"/>
        <w:rPr>
          <w:rFonts w:hint="eastAsia" w:ascii="宋体" w:hAnsi="宋体" w:eastAsia="宋体" w:cs="宋体"/>
          <w:sz w:val="24"/>
        </w:rPr>
      </w:pPr>
      <w:r>
        <w:rPr>
          <w:rFonts w:hint="eastAsia" w:ascii="宋体" w:hAnsi="宋体" w:eastAsia="宋体" w:cs="宋体"/>
          <w:sz w:val="24"/>
        </w:rPr>
        <w:t>与其他投标人串通报价，或者与招标人串通报价；</w:t>
      </w:r>
    </w:p>
    <w:p>
      <w:pPr>
        <w:pStyle w:val="28"/>
        <w:numPr>
          <w:ilvl w:val="2"/>
          <w:numId w:val="7"/>
        </w:numPr>
        <w:tabs>
          <w:tab w:val="left" w:pos="2628"/>
        </w:tabs>
        <w:spacing w:before="4" w:after="0" w:line="240" w:lineRule="auto"/>
        <w:ind w:left="2627" w:right="0" w:hanging="671"/>
        <w:jc w:val="left"/>
        <w:rPr>
          <w:rFonts w:hint="eastAsia" w:ascii="宋体" w:hAnsi="宋体" w:eastAsia="宋体" w:cs="宋体"/>
          <w:sz w:val="24"/>
        </w:rPr>
      </w:pPr>
      <w:r>
        <w:rPr>
          <w:rFonts w:hint="eastAsia" w:ascii="宋体" w:hAnsi="宋体" w:eastAsia="宋体" w:cs="宋体"/>
          <w:sz w:val="24"/>
        </w:rPr>
        <w:t>属于招标文件规定的其他</w:t>
      </w:r>
      <w:r>
        <w:rPr>
          <w:rFonts w:hint="eastAsia" w:ascii="宋体" w:hAnsi="宋体" w:eastAsia="宋体" w:cs="宋体"/>
          <w:b/>
          <w:sz w:val="24"/>
        </w:rPr>
        <w:t>投标无效</w:t>
      </w:r>
      <w:r>
        <w:rPr>
          <w:rFonts w:hint="eastAsia" w:ascii="宋体" w:hAnsi="宋体" w:eastAsia="宋体" w:cs="宋体"/>
          <w:sz w:val="24"/>
        </w:rPr>
        <w:t>情形；</w:t>
      </w:r>
    </w:p>
    <w:p>
      <w:pPr>
        <w:pStyle w:val="28"/>
        <w:numPr>
          <w:ilvl w:val="2"/>
          <w:numId w:val="7"/>
        </w:numPr>
        <w:tabs>
          <w:tab w:val="left" w:pos="2628"/>
        </w:tabs>
        <w:spacing w:before="5" w:after="0" w:line="242" w:lineRule="auto"/>
        <w:ind w:left="2137" w:right="1115" w:hanging="180"/>
        <w:jc w:val="both"/>
        <w:rPr>
          <w:rFonts w:hint="eastAsia" w:ascii="宋体" w:hAnsi="宋体" w:eastAsia="宋体" w:cs="宋体"/>
          <w:sz w:val="24"/>
        </w:rPr>
      </w:pPr>
      <w:r>
        <w:rPr>
          <w:rFonts w:hint="eastAsia" w:ascii="宋体" w:hAnsi="宋体" w:eastAsia="宋体" w:cs="宋体"/>
          <w:spacing w:val="3"/>
          <w:sz w:val="24"/>
        </w:rPr>
        <w:t>评标委员会认为投标人的报价明显低于其他通过符合性检查投</w:t>
      </w:r>
      <w:r>
        <w:rPr>
          <w:rFonts w:hint="eastAsia" w:ascii="宋体" w:hAnsi="宋体" w:eastAsia="宋体" w:cs="宋体"/>
          <w:spacing w:val="-10"/>
          <w:sz w:val="24"/>
        </w:rPr>
        <w:t>标人的报价，有可能影响履约的，且投标人未按照规定证明其报价合</w:t>
      </w:r>
      <w:r>
        <w:rPr>
          <w:rFonts w:hint="eastAsia" w:ascii="宋体" w:hAnsi="宋体" w:eastAsia="宋体" w:cs="宋体"/>
          <w:sz w:val="24"/>
        </w:rPr>
        <w:t>理性的；</w:t>
      </w:r>
    </w:p>
    <w:p>
      <w:pPr>
        <w:pStyle w:val="28"/>
        <w:numPr>
          <w:ilvl w:val="2"/>
          <w:numId w:val="7"/>
        </w:numPr>
        <w:tabs>
          <w:tab w:val="left" w:pos="2628"/>
        </w:tabs>
        <w:spacing w:before="4" w:after="0" w:line="240" w:lineRule="auto"/>
        <w:ind w:left="2627" w:right="0" w:hanging="671"/>
        <w:jc w:val="both"/>
        <w:rPr>
          <w:rFonts w:hint="eastAsia" w:ascii="宋体" w:hAnsi="宋体" w:eastAsia="宋体" w:cs="宋体"/>
          <w:sz w:val="24"/>
        </w:rPr>
      </w:pPr>
      <w:r>
        <w:rPr>
          <w:rFonts w:hint="eastAsia" w:ascii="宋体" w:hAnsi="宋体" w:eastAsia="宋体" w:cs="宋体"/>
          <w:sz w:val="24"/>
        </w:rPr>
        <w:t>投标文件含有采购人不能接受的附加条件的；</w:t>
      </w:r>
    </w:p>
    <w:p>
      <w:pPr>
        <w:pStyle w:val="28"/>
        <w:numPr>
          <w:ilvl w:val="2"/>
          <w:numId w:val="7"/>
        </w:numPr>
        <w:tabs>
          <w:tab w:val="left" w:pos="2628"/>
        </w:tabs>
        <w:spacing w:before="5" w:after="0" w:line="242" w:lineRule="auto"/>
        <w:ind w:left="1057" w:right="2216" w:firstLine="900"/>
        <w:jc w:val="both"/>
        <w:outlineLvl w:val="1"/>
        <w:rPr>
          <w:rFonts w:hint="eastAsia" w:ascii="宋体" w:hAnsi="宋体" w:eastAsia="宋体" w:cs="宋体"/>
          <w:sz w:val="21"/>
        </w:rPr>
      </w:pPr>
      <w:bookmarkStart w:id="131" w:name="_Toc3939"/>
      <w:r>
        <w:rPr>
          <w:rFonts w:hint="eastAsia" w:ascii="宋体" w:hAnsi="宋体" w:eastAsia="宋体" w:cs="宋体"/>
          <w:spacing w:val="-1"/>
          <w:sz w:val="24"/>
        </w:rPr>
        <w:t>不符合法规和招标文件中规定的其他实质性要求的。</w:t>
      </w:r>
      <w:r>
        <w:rPr>
          <w:rFonts w:hint="eastAsia" w:ascii="宋体" w:hAnsi="宋体" w:eastAsia="宋体" w:cs="宋体"/>
          <w:b/>
          <w:bCs/>
          <w:sz w:val="24"/>
        </w:rPr>
        <w:t>23.比较与评价</w:t>
      </w:r>
      <w:bookmarkEnd w:id="131"/>
    </w:p>
    <w:p>
      <w:pPr>
        <w:pStyle w:val="28"/>
        <w:numPr>
          <w:ilvl w:val="1"/>
          <w:numId w:val="8"/>
        </w:numPr>
        <w:tabs>
          <w:tab w:val="left" w:pos="1958"/>
        </w:tabs>
        <w:spacing w:before="3" w:after="0" w:line="242" w:lineRule="auto"/>
        <w:ind w:left="1957" w:right="1117" w:hanging="900"/>
        <w:jc w:val="both"/>
        <w:rPr>
          <w:rFonts w:hint="eastAsia" w:ascii="宋体" w:hAnsi="宋体" w:eastAsia="宋体" w:cs="宋体"/>
          <w:sz w:val="24"/>
        </w:rPr>
      </w:pPr>
      <w:r>
        <w:rPr>
          <w:rFonts w:hint="eastAsia" w:ascii="宋体" w:hAnsi="宋体" w:eastAsia="宋体" w:cs="宋体"/>
          <w:sz w:val="24"/>
        </w:rPr>
        <w:t>经符合性审查合格的投标文件，评标委员会将根据招标文件确定的评审方法和标准，对其技术部分和商务部分作进一步的比较和评价。</w:t>
      </w:r>
    </w:p>
    <w:p>
      <w:pPr>
        <w:pStyle w:val="28"/>
        <w:numPr>
          <w:ilvl w:val="1"/>
          <w:numId w:val="8"/>
        </w:numPr>
        <w:tabs>
          <w:tab w:val="left" w:pos="1958"/>
        </w:tabs>
        <w:spacing w:before="2" w:after="0" w:line="242" w:lineRule="auto"/>
        <w:ind w:left="1957" w:right="1115" w:hanging="900"/>
        <w:jc w:val="both"/>
        <w:rPr>
          <w:rFonts w:hint="eastAsia" w:ascii="宋体" w:hAnsi="宋体" w:eastAsia="宋体" w:cs="宋体"/>
          <w:sz w:val="24"/>
        </w:rPr>
      </w:pPr>
      <w:r>
        <w:rPr>
          <w:rFonts w:hint="eastAsia" w:ascii="宋体" w:hAnsi="宋体" w:eastAsia="宋体" w:cs="宋体"/>
          <w:sz w:val="24"/>
        </w:rPr>
        <w:t>评标严格按照招标文件的要求和条件进行。根据实际情况，在</w:t>
      </w:r>
      <w:r>
        <w:rPr>
          <w:rFonts w:hint="eastAsia" w:ascii="宋体" w:hAnsi="宋体" w:eastAsia="宋体" w:cs="宋体"/>
          <w:spacing w:val="1"/>
          <w:sz w:val="24"/>
          <w:u w:val="single"/>
        </w:rPr>
        <w:t>投标人</w:t>
      </w:r>
      <w:r>
        <w:rPr>
          <w:rFonts w:hint="eastAsia" w:ascii="宋体" w:hAnsi="宋体" w:eastAsia="宋体" w:cs="宋体"/>
          <w:sz w:val="24"/>
          <w:u w:val="single"/>
        </w:rPr>
        <w:t>须知资料表</w:t>
      </w:r>
      <w:r>
        <w:rPr>
          <w:rFonts w:hint="eastAsia" w:ascii="宋体" w:hAnsi="宋体" w:eastAsia="宋体" w:cs="宋体"/>
          <w:sz w:val="24"/>
        </w:rPr>
        <w:t>中规定采用下列一种评审方法，详细评标标准见招标文件第六章：</w:t>
      </w:r>
    </w:p>
    <w:p>
      <w:pPr>
        <w:pStyle w:val="3"/>
        <w:numPr>
          <w:ilvl w:val="0"/>
          <w:numId w:val="9"/>
        </w:numPr>
        <w:spacing w:before="5" w:line="242" w:lineRule="auto"/>
        <w:ind w:left="1955" w:right="1117" w:hanging="180"/>
        <w:jc w:val="both"/>
        <w:rPr>
          <w:rFonts w:hint="eastAsia" w:ascii="宋体" w:hAnsi="宋体" w:eastAsia="宋体" w:cs="宋体"/>
        </w:rPr>
      </w:pPr>
      <w:r>
        <w:rPr>
          <w:rFonts w:hint="eastAsia" w:ascii="宋体" w:hAnsi="宋体" w:eastAsia="宋体" w:cs="宋体"/>
        </w:rPr>
        <w:t>最低评标价法，是指投标文件满足招标文件全部实质性要求，且响应报价最低的投标人为中标候选人的评审方法。</w:t>
      </w:r>
    </w:p>
    <w:p>
      <w:pPr>
        <w:pStyle w:val="11"/>
        <w:spacing w:line="240" w:lineRule="atLeast"/>
        <w:ind w:left="992" w:leftChars="451" w:firstLine="760" w:firstLineChars="317"/>
        <w:rPr>
          <w:rFonts w:hint="eastAsia" w:ascii="宋体" w:hAnsi="宋体" w:eastAsia="宋体" w:cs="宋体"/>
        </w:rPr>
      </w:pPr>
      <w:r>
        <w:rPr>
          <w:rFonts w:hint="eastAsia" w:ascii="宋体" w:hAnsi="宋体" w:eastAsia="宋体" w:cs="宋体"/>
          <w:sz w:val="24"/>
          <w:szCs w:val="24"/>
          <w:lang w:val="zh-CN" w:eastAsia="zh-CN" w:bidi="zh-CN"/>
        </w:rPr>
        <w:t>（2） 综合评分法，是指投标文件满足招标文件全部实质性要求，且按照评审因素的量化指标评审得分最高的投标人为中标候选人的评标方法。</w:t>
      </w:r>
    </w:p>
    <w:p>
      <w:pPr>
        <w:pStyle w:val="9"/>
        <w:ind w:left="1918" w:leftChars="872"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本项目采用招标方式：公开招标，</w:t>
      </w:r>
    </w:p>
    <w:p>
      <w:pPr>
        <w:pStyle w:val="9"/>
        <w:ind w:left="1918" w:leftChars="872" w:firstLine="0" w:firstLineChars="0"/>
        <w:rPr>
          <w:rFonts w:hint="eastAsia" w:ascii="宋体" w:hAnsi="宋体" w:eastAsia="宋体" w:cs="宋体"/>
          <w:b/>
          <w:color w:val="FF0000"/>
          <w:spacing w:val="-3"/>
          <w:sz w:val="24"/>
          <w:szCs w:val="22"/>
          <w:u w:val="single"/>
          <w:lang w:val="zh-CN" w:eastAsia="zh-CN" w:bidi="zh-CN"/>
        </w:rPr>
      </w:pPr>
      <w:r>
        <w:rPr>
          <w:rFonts w:hint="eastAsia" w:ascii="宋体" w:hAnsi="宋体" w:eastAsia="宋体" w:cs="宋体"/>
          <w:b/>
          <w:bCs/>
          <w:color w:val="auto"/>
          <w:sz w:val="24"/>
          <w:szCs w:val="24"/>
        </w:rPr>
        <w:t>评分方法</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综合评分法</w:t>
      </w:r>
    </w:p>
    <w:p>
      <w:pPr>
        <w:pStyle w:val="28"/>
        <w:numPr>
          <w:ilvl w:val="0"/>
          <w:numId w:val="0"/>
        </w:numPr>
        <w:tabs>
          <w:tab w:val="left" w:pos="2375"/>
          <w:tab w:val="left" w:pos="2376"/>
        </w:tabs>
        <w:spacing w:before="91" w:after="0" w:line="240" w:lineRule="auto"/>
        <w:ind w:right="0" w:rightChars="0" w:firstLine="936" w:firstLineChars="400"/>
        <w:jc w:val="left"/>
        <w:rPr>
          <w:rFonts w:hint="eastAsia" w:ascii="宋体" w:hAnsi="宋体" w:eastAsia="宋体" w:cs="宋体"/>
          <w:sz w:val="24"/>
        </w:rPr>
      </w:pPr>
      <w:r>
        <w:rPr>
          <w:rFonts w:hint="eastAsia" w:ascii="宋体" w:hAnsi="宋体" w:eastAsia="宋体" w:cs="宋体"/>
          <w:b w:val="0"/>
          <w:bCs/>
          <w:spacing w:val="-3"/>
          <w:sz w:val="24"/>
          <w:szCs w:val="22"/>
          <w:u w:val="none"/>
          <w:lang w:val="en-US" w:eastAsia="zh-CN" w:bidi="zh-CN"/>
        </w:rPr>
        <w:t xml:space="preserve">23.3   </w:t>
      </w:r>
      <w:r>
        <w:rPr>
          <w:rFonts w:hint="eastAsia" w:ascii="宋体" w:hAnsi="宋体" w:eastAsia="宋体" w:cs="宋体"/>
          <w:b w:val="0"/>
          <w:bCs/>
          <w:spacing w:val="-3"/>
          <w:sz w:val="24"/>
          <w:szCs w:val="22"/>
          <w:u w:val="none"/>
          <w:lang w:val="zh-CN" w:eastAsia="zh-CN" w:bidi="zh-CN"/>
        </w:rPr>
        <w:t>根据《政府采购促进中小企业发展</w:t>
      </w:r>
      <w:r>
        <w:rPr>
          <w:rFonts w:hint="eastAsia" w:ascii="宋体" w:hAnsi="宋体" w:eastAsia="宋体" w:cs="宋体"/>
          <w:b w:val="0"/>
          <w:bCs/>
          <w:spacing w:val="-10"/>
          <w:sz w:val="24"/>
          <w:u w:val="none"/>
        </w:rPr>
        <w:t>暂</w:t>
      </w:r>
      <w:r>
        <w:rPr>
          <w:rFonts w:hint="eastAsia" w:ascii="宋体" w:hAnsi="宋体" w:eastAsia="宋体" w:cs="宋体"/>
          <w:b w:val="0"/>
          <w:bCs/>
          <w:spacing w:val="-10"/>
          <w:sz w:val="24"/>
        </w:rPr>
        <w:t>行</w:t>
      </w:r>
      <w:r>
        <w:rPr>
          <w:rFonts w:hint="eastAsia" w:ascii="宋体" w:hAnsi="宋体" w:eastAsia="宋体" w:cs="宋体"/>
          <w:spacing w:val="-10"/>
          <w:sz w:val="24"/>
        </w:rPr>
        <w:t>办法</w:t>
      </w:r>
      <w:r>
        <w:rPr>
          <w:rFonts w:hint="eastAsia" w:ascii="宋体" w:hAnsi="宋体" w:eastAsia="宋体" w:cs="宋体"/>
          <w:spacing w:val="-178"/>
          <w:sz w:val="24"/>
        </w:rPr>
        <w:t>》</w:t>
      </w:r>
      <w:r>
        <w:rPr>
          <w:rFonts w:hint="eastAsia" w:ascii="宋体" w:hAnsi="宋体" w:eastAsia="宋体" w:cs="宋体"/>
          <w:color w:val="000000" w:themeColor="text1"/>
          <w:sz w:val="24"/>
          <w14:textFill>
            <w14:solidFill>
              <w14:schemeClr w14:val="tx1"/>
            </w14:solidFill>
          </w14:textFill>
        </w:rPr>
        <w:t>（财库[20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46</w:t>
      </w:r>
      <w:r>
        <w:rPr>
          <w:rFonts w:hint="eastAsia" w:ascii="宋体" w:hAnsi="宋体" w:eastAsia="宋体" w:cs="宋体"/>
          <w:color w:val="000000" w:themeColor="text1"/>
          <w:spacing w:val="-30"/>
          <w:sz w:val="24"/>
          <w14:textFill>
            <w14:solidFill>
              <w14:schemeClr w14:val="tx1"/>
            </w14:solidFill>
          </w14:textFill>
        </w:rPr>
        <w:t xml:space="preserve"> 号</w:t>
      </w:r>
      <w:r>
        <w:rPr>
          <w:rFonts w:hint="eastAsia" w:ascii="宋体" w:hAnsi="宋体" w:eastAsia="宋体" w:cs="宋体"/>
          <w:color w:val="000000" w:themeColor="text1"/>
          <w:spacing w:val="-120"/>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pPr>
        <w:pStyle w:val="3"/>
        <w:spacing w:before="91"/>
        <w:ind w:left="1535"/>
        <w:rPr>
          <w:rFonts w:hint="eastAsia" w:ascii="宋体" w:hAnsi="宋体" w:eastAsia="宋体" w:cs="宋体"/>
        </w:rPr>
      </w:pPr>
      <w:r>
        <w:rPr>
          <w:rFonts w:hint="eastAsia" w:ascii="宋体" w:hAnsi="宋体" w:eastAsia="宋体" w:cs="宋体"/>
          <w:spacing w:val="-3"/>
        </w:rPr>
        <w:t>《财政部司法部关于政府采购支持监狱企业发展有关问题的通知》</w:t>
      </w:r>
      <w:r>
        <w:rPr>
          <w:rFonts w:hint="eastAsia" w:ascii="宋体" w:hAnsi="宋体" w:eastAsia="宋体" w:cs="宋体"/>
        </w:rPr>
        <w:t>（财库</w:t>
      </w:r>
    </w:p>
    <w:p>
      <w:pPr>
        <w:pStyle w:val="3"/>
        <w:spacing w:before="52" w:line="312" w:lineRule="auto"/>
        <w:ind w:left="1535" w:right="1148"/>
        <w:rPr>
          <w:rFonts w:hint="eastAsia" w:ascii="宋体" w:hAnsi="宋体" w:eastAsia="宋体" w:cs="宋体"/>
          <w:sz w:val="17"/>
        </w:rPr>
      </w:pPr>
      <w:r>
        <w:rPr>
          <w:rFonts w:hint="eastAsia" w:ascii="宋体" w:hAnsi="宋体" w:eastAsia="宋体" w:cs="宋体"/>
        </w:rPr>
        <w:t>〔2014</w:t>
      </w:r>
      <w:r>
        <w:rPr>
          <w:rFonts w:hint="eastAsia" w:ascii="宋体" w:hAnsi="宋体" w:eastAsia="宋体" w:cs="宋体"/>
          <w:spacing w:val="-10"/>
        </w:rPr>
        <w:t>〕</w:t>
      </w:r>
      <w:r>
        <w:rPr>
          <w:rFonts w:hint="eastAsia" w:ascii="宋体" w:hAnsi="宋体" w:eastAsia="宋体" w:cs="宋体"/>
        </w:rPr>
        <w:t>68</w:t>
      </w:r>
      <w:r>
        <w:rPr>
          <w:rFonts w:hint="eastAsia" w:ascii="宋体" w:hAnsi="宋体" w:eastAsia="宋体" w:cs="宋体"/>
          <w:spacing w:val="-30"/>
        </w:rPr>
        <w:t xml:space="preserve"> 号</w:t>
      </w:r>
      <w:r>
        <w:rPr>
          <w:rFonts w:hint="eastAsia" w:ascii="宋体" w:hAnsi="宋体" w:eastAsia="宋体" w:cs="宋体"/>
          <w:spacing w:val="-10"/>
        </w:rPr>
        <w:t>）</w:t>
      </w:r>
      <w:r>
        <w:rPr>
          <w:rFonts w:hint="eastAsia" w:ascii="宋体" w:hAnsi="宋体" w:eastAsia="宋体" w:cs="宋体"/>
          <w:spacing w:val="-4"/>
        </w:rPr>
        <w:t>和《三部门联合发布关于促进残疾人就业政府采购政策的</w:t>
      </w:r>
      <w:r>
        <w:rPr>
          <w:rFonts w:hint="eastAsia" w:ascii="宋体" w:hAnsi="宋体" w:eastAsia="宋体" w:cs="宋体"/>
        </w:rPr>
        <w:t>通知》（财库〔2017〕141</w:t>
      </w:r>
      <w:r>
        <w:rPr>
          <w:rFonts w:hint="eastAsia" w:ascii="宋体" w:hAnsi="宋体" w:eastAsia="宋体" w:cs="宋体"/>
          <w:spacing w:val="-30"/>
        </w:rPr>
        <w:t xml:space="preserve"> 号</w:t>
      </w:r>
      <w:r>
        <w:rPr>
          <w:rFonts w:hint="eastAsia" w:ascii="宋体" w:hAnsi="宋体" w:eastAsia="宋体" w:cs="宋体"/>
        </w:rPr>
        <w:t>）的规定，对满足价格扣除条件且在投标文件中提交了《投标人企业类型声明函》或省级以上监狱管理局、戒毒管理局（含新疆生产建设兵团）出具的属于监狱企业的证明文件的投标人，其响应报价扣除 6-10%后参与评审。</w:t>
      </w:r>
    </w:p>
    <w:p>
      <w:pPr>
        <w:pStyle w:val="28"/>
        <w:numPr>
          <w:ilvl w:val="0"/>
          <w:numId w:val="0"/>
        </w:numPr>
        <w:tabs>
          <w:tab w:val="left" w:pos="1420"/>
        </w:tabs>
        <w:spacing w:before="0" w:after="0" w:line="240" w:lineRule="auto"/>
        <w:ind w:right="0" w:rightChars="0" w:firstLine="723" w:firstLineChars="300"/>
        <w:jc w:val="left"/>
        <w:outlineLvl w:val="1"/>
        <w:rPr>
          <w:rFonts w:hint="eastAsia" w:ascii="宋体" w:hAnsi="宋体" w:eastAsia="宋体" w:cs="宋体"/>
          <w:b/>
          <w:sz w:val="24"/>
        </w:rPr>
      </w:pPr>
      <w:bookmarkStart w:id="132" w:name="24.采购活动终止"/>
      <w:bookmarkEnd w:id="132"/>
      <w:bookmarkStart w:id="133" w:name="24.采购活动终止"/>
      <w:bookmarkEnd w:id="133"/>
      <w:bookmarkStart w:id="134" w:name="_Toc28951"/>
      <w:r>
        <w:rPr>
          <w:rFonts w:hint="eastAsia" w:ascii="宋体" w:hAnsi="宋体" w:eastAsia="宋体" w:cs="宋体"/>
          <w:b/>
          <w:sz w:val="24"/>
          <w:lang w:val="en-US" w:eastAsia="zh-CN"/>
        </w:rPr>
        <w:t>24.</w:t>
      </w:r>
      <w:r>
        <w:rPr>
          <w:rFonts w:hint="eastAsia" w:ascii="宋体" w:hAnsi="宋体" w:eastAsia="宋体" w:cs="宋体"/>
          <w:b/>
          <w:sz w:val="24"/>
        </w:rPr>
        <w:t>采购活动终止</w:t>
      </w:r>
      <w:bookmarkEnd w:id="134"/>
    </w:p>
    <w:p>
      <w:pPr>
        <w:spacing w:line="240" w:lineRule="atLeast"/>
        <w:ind w:left="1118" w:leftChars="508" w:firstLine="180" w:firstLineChars="75"/>
        <w:rPr>
          <w:rFonts w:hint="eastAsia" w:ascii="宋体" w:hAnsi="宋体" w:eastAsia="宋体" w:cs="宋体"/>
          <w:sz w:val="24"/>
        </w:rPr>
      </w:pPr>
      <w:bookmarkStart w:id="135" w:name="25.保密原则"/>
      <w:bookmarkEnd w:id="135"/>
      <w:r>
        <w:rPr>
          <w:rFonts w:hint="eastAsia" w:ascii="宋体" w:hAnsi="宋体" w:eastAsia="宋体" w:cs="宋体"/>
          <w:sz w:val="24"/>
        </w:rPr>
        <w:t xml:space="preserve">出现下列情形之一，将导致项目废标： </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（1）符合专业条件的供应商或者对招标文件做实质性响应的供应商不足三家；</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（2）出现影响采购公正的违法、违规行为的；</w:t>
      </w:r>
    </w:p>
    <w:p>
      <w:pPr>
        <w:spacing w:line="240" w:lineRule="atLeast"/>
        <w:ind w:firstLine="1320" w:firstLineChars="550"/>
        <w:rPr>
          <w:rFonts w:hint="eastAsia" w:ascii="宋体" w:hAnsi="宋体" w:eastAsia="宋体" w:cs="宋体"/>
          <w:sz w:val="24"/>
        </w:rPr>
      </w:pPr>
      <w:r>
        <w:rPr>
          <w:rFonts w:hint="eastAsia" w:ascii="宋体" w:hAnsi="宋体" w:eastAsia="宋体" w:cs="宋体"/>
          <w:sz w:val="24"/>
        </w:rPr>
        <w:t>（3）投标人的报价均超过了采购预算，采购人不能支付的；</w:t>
      </w:r>
    </w:p>
    <w:p>
      <w:pPr>
        <w:spacing w:line="240" w:lineRule="atLeast"/>
        <w:ind w:firstLine="1320" w:firstLineChars="550"/>
        <w:rPr>
          <w:rFonts w:hint="eastAsia" w:ascii="宋体" w:hAnsi="宋体" w:eastAsia="宋体" w:cs="宋体"/>
          <w:b/>
          <w:sz w:val="24"/>
        </w:rPr>
      </w:pPr>
      <w:r>
        <w:rPr>
          <w:rFonts w:hint="eastAsia" w:ascii="宋体" w:hAnsi="宋体" w:eastAsia="宋体" w:cs="宋体"/>
          <w:sz w:val="24"/>
        </w:rPr>
        <w:t>（4）因重大变故，采购任务取消的。</w:t>
      </w:r>
    </w:p>
    <w:p>
      <w:pPr>
        <w:pStyle w:val="28"/>
        <w:numPr>
          <w:ilvl w:val="0"/>
          <w:numId w:val="0"/>
        </w:numPr>
        <w:tabs>
          <w:tab w:val="left" w:pos="2499"/>
        </w:tabs>
        <w:spacing w:before="4" w:after="0" w:line="240" w:lineRule="auto"/>
        <w:ind w:right="0" w:rightChars="0" w:firstLine="723" w:firstLineChars="300"/>
        <w:jc w:val="left"/>
        <w:outlineLvl w:val="1"/>
        <w:rPr>
          <w:rFonts w:hint="eastAsia" w:ascii="宋体" w:hAnsi="宋体" w:eastAsia="宋体" w:cs="宋体"/>
          <w:b/>
          <w:sz w:val="24"/>
        </w:rPr>
      </w:pPr>
      <w:bookmarkStart w:id="136" w:name="_Toc10689"/>
      <w:r>
        <w:rPr>
          <w:rFonts w:hint="eastAsia" w:ascii="宋体" w:hAnsi="宋体" w:eastAsia="宋体" w:cs="宋体"/>
          <w:b/>
          <w:sz w:val="24"/>
        </w:rPr>
        <w:t>25.保密原则</w:t>
      </w:r>
      <w:bookmarkEnd w:id="136"/>
    </w:p>
    <w:p>
      <w:pPr>
        <w:pStyle w:val="28"/>
        <w:numPr>
          <w:ilvl w:val="1"/>
          <w:numId w:val="10"/>
        </w:numPr>
        <w:tabs>
          <w:tab w:val="left" w:pos="1957"/>
          <w:tab w:val="left" w:pos="1958"/>
        </w:tabs>
        <w:spacing w:before="2" w:after="0" w:line="240" w:lineRule="auto"/>
        <w:ind w:left="1957" w:right="0" w:hanging="901"/>
        <w:jc w:val="left"/>
        <w:outlineLvl w:val="1"/>
        <w:rPr>
          <w:rFonts w:hint="eastAsia" w:ascii="宋体" w:hAnsi="宋体" w:eastAsia="宋体" w:cs="宋体"/>
          <w:sz w:val="24"/>
        </w:rPr>
      </w:pPr>
      <w:bookmarkStart w:id="137" w:name="_Toc5224"/>
      <w:bookmarkStart w:id="138" w:name="_Toc24996"/>
      <w:bookmarkStart w:id="139" w:name="_Toc29259"/>
      <w:r>
        <w:rPr>
          <w:rFonts w:hint="eastAsia" w:ascii="宋体" w:hAnsi="宋体" w:eastAsia="宋体" w:cs="宋体"/>
          <w:sz w:val="24"/>
        </w:rPr>
        <w:t>评审将在严格保密的情况下进行。</w:t>
      </w:r>
      <w:bookmarkEnd w:id="137"/>
      <w:bookmarkEnd w:id="138"/>
      <w:bookmarkEnd w:id="139"/>
    </w:p>
    <w:p>
      <w:pPr>
        <w:pStyle w:val="28"/>
        <w:numPr>
          <w:ilvl w:val="1"/>
          <w:numId w:val="10"/>
        </w:numPr>
        <w:tabs>
          <w:tab w:val="left" w:pos="1957"/>
          <w:tab w:val="left" w:pos="1958"/>
        </w:tabs>
        <w:spacing w:before="5" w:after="0" w:line="242" w:lineRule="auto"/>
        <w:ind w:left="1957" w:right="1115" w:hanging="900"/>
        <w:jc w:val="left"/>
        <w:rPr>
          <w:rFonts w:hint="eastAsia" w:ascii="宋体" w:hAnsi="宋体" w:eastAsia="宋体" w:cs="宋体"/>
          <w:sz w:val="24"/>
        </w:rPr>
      </w:pPr>
      <w:r>
        <w:rPr>
          <w:rFonts w:hint="eastAsia" w:ascii="宋体" w:hAnsi="宋体" w:eastAsia="宋体" w:cs="宋体"/>
          <w:sz w:val="24"/>
        </w:rPr>
        <w:t>政府采购评审专家应当遵守评审工作纪律，不得泄露评审文件、评审情况和评审中获悉的商业秘密。</w:t>
      </w:r>
    </w:p>
    <w:p>
      <w:pPr>
        <w:pStyle w:val="3"/>
        <w:spacing w:before="7"/>
        <w:rPr>
          <w:rFonts w:hint="eastAsia" w:ascii="宋体" w:hAnsi="宋体" w:eastAsia="宋体" w:cs="宋体"/>
        </w:rPr>
      </w:pPr>
    </w:p>
    <w:p>
      <w:pPr>
        <w:tabs>
          <w:tab w:val="left" w:pos="1207"/>
        </w:tabs>
        <w:spacing w:before="0"/>
        <w:ind w:left="605" w:right="0" w:firstLine="0"/>
        <w:jc w:val="center"/>
        <w:outlineLvl w:val="0"/>
        <w:rPr>
          <w:rFonts w:hint="eastAsia" w:ascii="宋体" w:hAnsi="宋体" w:eastAsia="宋体" w:cs="宋体"/>
          <w:b/>
          <w:sz w:val="24"/>
        </w:rPr>
      </w:pPr>
      <w:bookmarkStart w:id="140" w:name="六   确定中标"/>
      <w:bookmarkEnd w:id="140"/>
      <w:bookmarkStart w:id="141" w:name="_Toc25288"/>
      <w:r>
        <w:rPr>
          <w:rFonts w:hint="eastAsia" w:ascii="宋体" w:hAnsi="宋体" w:eastAsia="宋体" w:cs="宋体"/>
          <w:b/>
          <w:sz w:val="24"/>
        </w:rPr>
        <w:t>六</w:t>
      </w:r>
      <w:r>
        <w:rPr>
          <w:rFonts w:hint="eastAsia" w:ascii="宋体" w:hAnsi="宋体" w:eastAsia="宋体" w:cs="宋体"/>
          <w:b/>
          <w:sz w:val="24"/>
        </w:rPr>
        <w:tab/>
      </w:r>
      <w:r>
        <w:rPr>
          <w:rFonts w:hint="eastAsia" w:ascii="宋体" w:hAnsi="宋体" w:eastAsia="宋体" w:cs="宋体"/>
          <w:b/>
          <w:sz w:val="24"/>
        </w:rPr>
        <w:t>确定中标</w:t>
      </w:r>
      <w:bookmarkEnd w:id="141"/>
    </w:p>
    <w:p>
      <w:pPr>
        <w:pStyle w:val="3"/>
        <w:spacing w:before="9"/>
        <w:outlineLvl w:val="9"/>
        <w:rPr>
          <w:rFonts w:hint="eastAsia" w:ascii="宋体" w:hAnsi="宋体" w:eastAsia="宋体" w:cs="宋体"/>
          <w:b/>
        </w:rPr>
      </w:pPr>
    </w:p>
    <w:p>
      <w:pPr>
        <w:pStyle w:val="28"/>
        <w:numPr>
          <w:ilvl w:val="0"/>
          <w:numId w:val="11"/>
        </w:numPr>
        <w:tabs>
          <w:tab w:val="left" w:pos="1420"/>
        </w:tabs>
        <w:spacing w:before="0" w:after="0" w:line="240" w:lineRule="auto"/>
        <w:ind w:left="1420" w:right="0" w:hanging="363"/>
        <w:jc w:val="left"/>
        <w:outlineLvl w:val="1"/>
        <w:rPr>
          <w:rFonts w:hint="eastAsia" w:ascii="宋体" w:hAnsi="宋体" w:eastAsia="宋体" w:cs="宋体"/>
          <w:b/>
          <w:sz w:val="24"/>
        </w:rPr>
      </w:pPr>
      <w:bookmarkStart w:id="142" w:name="26.中标候选人的确定原则及标准"/>
      <w:bookmarkEnd w:id="142"/>
      <w:bookmarkStart w:id="143" w:name="26.中标候选人的确定原则及标准"/>
      <w:bookmarkEnd w:id="143"/>
      <w:bookmarkStart w:id="144" w:name="_Toc14756"/>
      <w:r>
        <w:rPr>
          <w:rFonts w:hint="eastAsia" w:ascii="宋体" w:hAnsi="宋体" w:eastAsia="宋体" w:cs="宋体"/>
          <w:b/>
          <w:sz w:val="24"/>
        </w:rPr>
        <w:t>中标候选人的确定原则及标准</w:t>
      </w:r>
      <w:bookmarkEnd w:id="144"/>
    </w:p>
    <w:p>
      <w:pPr>
        <w:pStyle w:val="3"/>
        <w:spacing w:before="5" w:line="242" w:lineRule="auto"/>
        <w:ind w:left="1957" w:right="1115"/>
        <w:jc w:val="both"/>
        <w:rPr>
          <w:rFonts w:hint="eastAsia" w:ascii="宋体" w:hAnsi="宋体" w:eastAsia="宋体" w:cs="宋体"/>
        </w:rPr>
      </w:pPr>
      <w:r>
        <w:rPr>
          <w:rFonts w:hint="eastAsia" w:ascii="宋体" w:hAnsi="宋体" w:eastAsia="宋体" w:cs="宋体"/>
          <w:spacing w:val="-20"/>
        </w:rPr>
        <w:t xml:space="preserve">除第 </w:t>
      </w:r>
      <w:r>
        <w:rPr>
          <w:rFonts w:hint="eastAsia" w:ascii="宋体" w:hAnsi="宋体" w:eastAsia="宋体" w:cs="宋体"/>
        </w:rPr>
        <w:t>28</w:t>
      </w:r>
      <w:r>
        <w:rPr>
          <w:rFonts w:hint="eastAsia" w:ascii="宋体" w:hAnsi="宋体" w:eastAsia="宋体" w:cs="宋体"/>
          <w:spacing w:val="-11"/>
        </w:rPr>
        <w:t xml:space="preserve"> 条规定外，对实质上响应招标文件的投标人按下列方法进行排</w:t>
      </w:r>
      <w:r>
        <w:rPr>
          <w:rFonts w:hint="eastAsia" w:ascii="宋体" w:hAnsi="宋体" w:eastAsia="宋体" w:cs="宋体"/>
        </w:rPr>
        <w:t>序，确定中标候选人：</w:t>
      </w:r>
    </w:p>
    <w:p>
      <w:pPr>
        <w:pStyle w:val="3"/>
        <w:spacing w:before="3" w:line="242" w:lineRule="auto"/>
        <w:ind w:left="1957" w:right="1115"/>
        <w:jc w:val="both"/>
        <w:rPr>
          <w:rFonts w:hint="eastAsia" w:ascii="宋体" w:hAnsi="宋体" w:eastAsia="宋体" w:cs="宋体"/>
        </w:rPr>
      </w:pPr>
      <w:r>
        <w:rPr>
          <w:rFonts w:hint="eastAsia" w:ascii="宋体" w:hAnsi="宋体" w:eastAsia="宋体" w:cs="宋体"/>
        </w:rPr>
        <w:t>除了算术修正和落实政府采购政策需进行的价格扣除外，不对投标人的报价价格进行任何调整。评标结果按修正和扣除后的响应报价由低</w:t>
      </w:r>
      <w:r>
        <w:rPr>
          <w:rFonts w:hint="eastAsia" w:ascii="宋体" w:hAnsi="宋体" w:eastAsia="宋体" w:cs="宋体"/>
          <w:spacing w:val="-3"/>
        </w:rPr>
        <w:t xml:space="preserve">到高顺序排列。报价相同的处理方式详见招标文件第 </w:t>
      </w:r>
      <w:r>
        <w:rPr>
          <w:rFonts w:hint="eastAsia" w:ascii="宋体" w:hAnsi="宋体" w:eastAsia="宋体" w:cs="宋体"/>
        </w:rPr>
        <w:t>6</w:t>
      </w:r>
      <w:r>
        <w:rPr>
          <w:rFonts w:hint="eastAsia" w:ascii="宋体" w:hAnsi="宋体" w:eastAsia="宋体" w:cs="宋体"/>
          <w:spacing w:val="-60"/>
        </w:rPr>
        <w:t xml:space="preserve"> </w:t>
      </w:r>
      <w:r>
        <w:rPr>
          <w:rFonts w:hint="eastAsia" w:ascii="宋体" w:hAnsi="宋体" w:eastAsia="宋体" w:cs="宋体"/>
        </w:rPr>
        <w:t>章。</w:t>
      </w:r>
    </w:p>
    <w:p>
      <w:pPr>
        <w:pStyle w:val="28"/>
        <w:numPr>
          <w:ilvl w:val="0"/>
          <w:numId w:val="11"/>
        </w:numPr>
        <w:tabs>
          <w:tab w:val="left" w:pos="1420"/>
        </w:tabs>
        <w:spacing w:before="4" w:after="0" w:line="240" w:lineRule="auto"/>
        <w:ind w:left="1420" w:right="0" w:hanging="363"/>
        <w:jc w:val="left"/>
        <w:outlineLvl w:val="1"/>
        <w:rPr>
          <w:rFonts w:hint="eastAsia" w:ascii="宋体" w:hAnsi="宋体" w:eastAsia="宋体" w:cs="宋体"/>
          <w:b/>
          <w:sz w:val="24"/>
        </w:rPr>
      </w:pPr>
      <w:bookmarkStart w:id="145" w:name="27.确定中标候选人和中标人"/>
      <w:bookmarkEnd w:id="145"/>
      <w:bookmarkStart w:id="146" w:name="27.确定中标候选人和中标人"/>
      <w:bookmarkEnd w:id="146"/>
      <w:bookmarkStart w:id="147" w:name="_Toc26666"/>
      <w:r>
        <w:rPr>
          <w:rFonts w:hint="eastAsia" w:ascii="宋体" w:hAnsi="宋体" w:eastAsia="宋体" w:cs="宋体"/>
          <w:b/>
          <w:sz w:val="24"/>
        </w:rPr>
        <w:t>确定中标候选人和中标人</w:t>
      </w:r>
      <w:bookmarkEnd w:id="147"/>
    </w:p>
    <w:p>
      <w:pPr>
        <w:pStyle w:val="3"/>
        <w:spacing w:before="4" w:line="242" w:lineRule="auto"/>
        <w:ind w:left="1957" w:right="1115" w:firstLine="60"/>
        <w:jc w:val="both"/>
        <w:rPr>
          <w:rFonts w:hint="eastAsia" w:ascii="宋体" w:hAnsi="宋体" w:eastAsia="宋体" w:cs="宋体"/>
        </w:rPr>
      </w:pPr>
      <w:r>
        <w:rPr>
          <w:rFonts w:hint="eastAsia" w:ascii="宋体" w:hAnsi="宋体" w:eastAsia="宋体" w:cs="宋体"/>
          <w:spacing w:val="-1"/>
        </w:rPr>
        <w:t>评标委员会应当从质量和服务均能满足招标文件实质性响应要求的投</w:t>
      </w:r>
      <w:r>
        <w:rPr>
          <w:rFonts w:hint="eastAsia" w:ascii="宋体" w:hAnsi="宋体" w:eastAsia="宋体" w:cs="宋体"/>
          <w:spacing w:val="-7"/>
        </w:rPr>
        <w:t xml:space="preserve">标人中，按照报价 由低到高的顺序提出 </w:t>
      </w:r>
      <w:r>
        <w:rPr>
          <w:rFonts w:hint="eastAsia" w:ascii="宋体" w:hAnsi="宋体" w:eastAsia="宋体" w:cs="宋体"/>
        </w:rPr>
        <w:t>3</w:t>
      </w:r>
      <w:r>
        <w:rPr>
          <w:rFonts w:hint="eastAsia" w:ascii="宋体" w:hAnsi="宋体" w:eastAsia="宋体" w:cs="宋体"/>
          <w:spacing w:val="-10"/>
        </w:rPr>
        <w:t xml:space="preserve"> 名以上中标候选人，并编写</w:t>
      </w:r>
      <w:r>
        <w:rPr>
          <w:rFonts w:hint="eastAsia" w:ascii="宋体" w:hAnsi="宋体" w:eastAsia="宋体" w:cs="宋体"/>
        </w:rPr>
        <w:t>评审报告。</w:t>
      </w:r>
    </w:p>
    <w:p>
      <w:pPr>
        <w:pStyle w:val="3"/>
        <w:spacing w:before="5" w:line="242" w:lineRule="auto"/>
        <w:ind w:left="1957" w:right="1115" w:hanging="60"/>
        <w:jc w:val="both"/>
        <w:rPr>
          <w:rFonts w:hint="eastAsia" w:ascii="宋体" w:hAnsi="宋体" w:eastAsia="宋体" w:cs="宋体"/>
        </w:rPr>
      </w:pPr>
      <w:r>
        <w:rPr>
          <w:rFonts w:hint="eastAsia" w:ascii="宋体" w:hAnsi="宋体" w:eastAsia="宋体" w:cs="宋体"/>
          <w:spacing w:val="-5"/>
        </w:rPr>
        <w:t xml:space="preserve">采购人应当在收到评审报告后 </w:t>
      </w:r>
      <w:r>
        <w:rPr>
          <w:rFonts w:hint="eastAsia" w:ascii="宋体" w:hAnsi="宋体" w:eastAsia="宋体" w:cs="宋体"/>
        </w:rPr>
        <w:t>5</w:t>
      </w:r>
      <w:r>
        <w:rPr>
          <w:rFonts w:hint="eastAsia" w:ascii="宋体" w:hAnsi="宋体" w:eastAsia="宋体" w:cs="宋体"/>
          <w:spacing w:val="-14"/>
        </w:rPr>
        <w:t xml:space="preserve"> 个工作日内，从评审报告提出的中标候</w:t>
      </w:r>
      <w:r>
        <w:rPr>
          <w:rFonts w:hint="eastAsia" w:ascii="宋体" w:hAnsi="宋体" w:eastAsia="宋体" w:cs="宋体"/>
        </w:rPr>
        <w:t>选人中，根据质量和服务均能满足招标文件实质性响应要求且报价最低的原则确定中标人，也可书面授权评标委员会直接确定中标人。采购人逾期未确定中标人且不提出异议的，视为确定评审报告提出的最后报价最低的投标人为中标人。</w:t>
      </w:r>
    </w:p>
    <w:p>
      <w:pPr>
        <w:pStyle w:val="28"/>
        <w:numPr>
          <w:ilvl w:val="0"/>
          <w:numId w:val="11"/>
        </w:numPr>
        <w:tabs>
          <w:tab w:val="left" w:pos="1420"/>
        </w:tabs>
        <w:spacing w:before="7" w:after="0" w:line="240" w:lineRule="auto"/>
        <w:ind w:left="1420" w:right="0" w:hanging="363"/>
        <w:jc w:val="left"/>
        <w:outlineLvl w:val="1"/>
        <w:rPr>
          <w:rFonts w:hint="eastAsia" w:ascii="宋体" w:hAnsi="宋体" w:eastAsia="宋体" w:cs="宋体"/>
          <w:b/>
          <w:sz w:val="24"/>
        </w:rPr>
      </w:pPr>
      <w:bookmarkStart w:id="148" w:name="28.采购任务取消"/>
      <w:bookmarkEnd w:id="148"/>
      <w:bookmarkStart w:id="149" w:name="28.采购任务取消"/>
      <w:bookmarkEnd w:id="149"/>
      <w:bookmarkStart w:id="150" w:name="_Toc15740"/>
      <w:r>
        <w:rPr>
          <w:rFonts w:hint="eastAsia" w:ascii="宋体" w:hAnsi="宋体" w:eastAsia="宋体" w:cs="宋体"/>
          <w:b/>
          <w:sz w:val="24"/>
        </w:rPr>
        <w:t>采购任务取消</w:t>
      </w:r>
      <w:bookmarkEnd w:id="150"/>
    </w:p>
    <w:p>
      <w:pPr>
        <w:pStyle w:val="3"/>
        <w:spacing w:before="4" w:line="242" w:lineRule="auto"/>
        <w:ind w:left="1957" w:right="1117"/>
        <w:rPr>
          <w:rFonts w:hint="eastAsia" w:ascii="宋体" w:hAnsi="宋体" w:eastAsia="宋体" w:cs="宋体"/>
        </w:rPr>
      </w:pPr>
      <w:r>
        <w:rPr>
          <w:rFonts w:hint="eastAsia" w:ascii="宋体" w:hAnsi="宋体" w:eastAsia="宋体" w:cs="宋体"/>
        </w:rPr>
        <w:t>因重大变故采购任务取消时，采购人有权拒绝任何投标人中标，且对受影响的投标人不承担任何责任。</w:t>
      </w:r>
    </w:p>
    <w:p>
      <w:pPr>
        <w:pStyle w:val="28"/>
        <w:numPr>
          <w:ilvl w:val="0"/>
          <w:numId w:val="11"/>
        </w:numPr>
        <w:tabs>
          <w:tab w:val="left" w:pos="1420"/>
        </w:tabs>
        <w:spacing w:before="3" w:after="0" w:line="240" w:lineRule="auto"/>
        <w:ind w:left="1420" w:right="0" w:hanging="363"/>
        <w:jc w:val="left"/>
        <w:outlineLvl w:val="1"/>
        <w:rPr>
          <w:rFonts w:hint="eastAsia" w:ascii="宋体" w:hAnsi="宋体" w:eastAsia="宋体" w:cs="宋体"/>
          <w:b/>
          <w:sz w:val="24"/>
        </w:rPr>
      </w:pPr>
      <w:bookmarkStart w:id="151" w:name="29.中标通知书和中标结果通知书"/>
      <w:bookmarkEnd w:id="151"/>
      <w:bookmarkStart w:id="152" w:name="29.中标通知书和中标结果通知书"/>
      <w:bookmarkEnd w:id="152"/>
      <w:bookmarkStart w:id="153" w:name="_Toc8031"/>
      <w:r>
        <w:rPr>
          <w:rFonts w:hint="eastAsia" w:ascii="宋体" w:hAnsi="宋体" w:eastAsia="宋体" w:cs="宋体"/>
          <w:b/>
          <w:sz w:val="24"/>
        </w:rPr>
        <w:t>中标通知书和中标结果通知书</w:t>
      </w:r>
      <w:bookmarkEnd w:id="153"/>
    </w:p>
    <w:p>
      <w:pPr>
        <w:pStyle w:val="28"/>
        <w:numPr>
          <w:ilvl w:val="1"/>
          <w:numId w:val="11"/>
        </w:numPr>
        <w:tabs>
          <w:tab w:val="left" w:pos="1957"/>
          <w:tab w:val="left" w:pos="1958"/>
        </w:tabs>
        <w:spacing w:before="5" w:after="0" w:line="242" w:lineRule="auto"/>
        <w:ind w:left="1957" w:right="1117" w:hanging="900"/>
        <w:jc w:val="left"/>
        <w:rPr>
          <w:rFonts w:hint="eastAsia" w:ascii="宋体" w:hAnsi="宋体" w:eastAsia="宋体" w:cs="宋体"/>
          <w:sz w:val="24"/>
        </w:rPr>
      </w:pPr>
      <w:r>
        <w:rPr>
          <w:rFonts w:hint="eastAsia" w:ascii="宋体" w:hAnsi="宋体" w:eastAsia="宋体" w:cs="宋体"/>
          <w:sz w:val="24"/>
        </w:rPr>
        <w:t>在投标有效期内，中标人确定后，采购人或者采购代理机构发布成交公告，同时以书面形式向中标人发出成交通知书。</w:t>
      </w:r>
    </w:p>
    <w:p>
      <w:pPr>
        <w:pStyle w:val="28"/>
        <w:numPr>
          <w:ilvl w:val="1"/>
          <w:numId w:val="11"/>
        </w:numPr>
        <w:tabs>
          <w:tab w:val="left" w:pos="1957"/>
          <w:tab w:val="left" w:pos="1958"/>
        </w:tabs>
        <w:spacing w:before="3" w:after="0" w:line="240" w:lineRule="auto"/>
        <w:ind w:left="1957" w:right="0" w:hanging="901"/>
        <w:jc w:val="left"/>
        <w:outlineLvl w:val="1"/>
        <w:rPr>
          <w:rFonts w:hint="eastAsia" w:ascii="宋体" w:hAnsi="宋体" w:eastAsia="宋体" w:cs="宋体"/>
          <w:sz w:val="24"/>
        </w:rPr>
      </w:pPr>
      <w:bookmarkStart w:id="154" w:name="_Toc9383"/>
      <w:bookmarkStart w:id="155" w:name="_Toc23686"/>
      <w:bookmarkStart w:id="156" w:name="_Toc10354"/>
      <w:r>
        <w:rPr>
          <w:rFonts w:hint="eastAsia" w:ascii="宋体" w:hAnsi="宋体" w:eastAsia="宋体" w:cs="宋体"/>
          <w:sz w:val="24"/>
        </w:rPr>
        <w:t>成交通知书是合同的组成部分。</w:t>
      </w:r>
      <w:bookmarkEnd w:id="154"/>
      <w:bookmarkEnd w:id="155"/>
      <w:bookmarkEnd w:id="156"/>
    </w:p>
    <w:p>
      <w:pPr>
        <w:pStyle w:val="28"/>
        <w:numPr>
          <w:ilvl w:val="1"/>
          <w:numId w:val="11"/>
        </w:numPr>
        <w:tabs>
          <w:tab w:val="left" w:pos="2019"/>
          <w:tab w:val="left" w:pos="2020"/>
        </w:tabs>
        <w:spacing w:before="4" w:after="0" w:line="242" w:lineRule="auto"/>
        <w:ind w:left="1957" w:right="1115" w:hanging="900"/>
        <w:jc w:val="left"/>
        <w:rPr>
          <w:rFonts w:hint="eastAsia" w:ascii="宋体" w:hAnsi="宋体" w:eastAsia="宋体" w:cs="宋体"/>
          <w:sz w:val="24"/>
        </w:rPr>
      </w:pPr>
      <w:r>
        <w:rPr>
          <w:rFonts w:hint="eastAsia" w:ascii="宋体" w:hAnsi="宋体" w:eastAsia="宋体" w:cs="宋体"/>
        </w:rPr>
        <w:tab/>
      </w:r>
      <w:r>
        <w:rPr>
          <w:rFonts w:hint="eastAsia" w:ascii="宋体" w:hAnsi="宋体" w:eastAsia="宋体" w:cs="宋体"/>
          <w:spacing w:val="-1"/>
          <w:sz w:val="24"/>
        </w:rPr>
        <w:t>成交结果通知书和成交通知书同时发出。成交结果通知书中将告知未</w:t>
      </w:r>
      <w:r>
        <w:rPr>
          <w:rFonts w:hint="eastAsia" w:ascii="宋体" w:hAnsi="宋体" w:eastAsia="宋体" w:cs="宋体"/>
          <w:sz w:val="24"/>
        </w:rPr>
        <w:t>通过资格审查的投标人未通过的原因。</w:t>
      </w:r>
    </w:p>
    <w:p>
      <w:pPr>
        <w:pStyle w:val="28"/>
        <w:numPr>
          <w:ilvl w:val="0"/>
          <w:numId w:val="11"/>
        </w:numPr>
        <w:tabs>
          <w:tab w:val="left" w:pos="1420"/>
        </w:tabs>
        <w:spacing w:before="3" w:after="0" w:line="240" w:lineRule="auto"/>
        <w:ind w:left="1420" w:right="0" w:hanging="363"/>
        <w:jc w:val="left"/>
        <w:outlineLvl w:val="1"/>
        <w:rPr>
          <w:rFonts w:hint="eastAsia" w:ascii="宋体" w:hAnsi="宋体" w:eastAsia="宋体" w:cs="宋体"/>
          <w:b/>
          <w:sz w:val="24"/>
        </w:rPr>
      </w:pPr>
      <w:bookmarkStart w:id="157" w:name="30.签订合同"/>
      <w:bookmarkEnd w:id="157"/>
      <w:bookmarkStart w:id="158" w:name="30.签订合同"/>
      <w:bookmarkEnd w:id="158"/>
      <w:bookmarkStart w:id="159" w:name="_Toc25141"/>
      <w:r>
        <w:rPr>
          <w:rFonts w:hint="eastAsia" w:ascii="宋体" w:hAnsi="宋体" w:eastAsia="宋体" w:cs="宋体"/>
          <w:b/>
          <w:sz w:val="24"/>
        </w:rPr>
        <w:t>签订合同</w:t>
      </w:r>
      <w:bookmarkEnd w:id="159"/>
    </w:p>
    <w:p>
      <w:pPr>
        <w:pStyle w:val="28"/>
        <w:numPr>
          <w:ilvl w:val="1"/>
          <w:numId w:val="11"/>
        </w:numPr>
        <w:tabs>
          <w:tab w:val="left" w:pos="1957"/>
          <w:tab w:val="left" w:pos="1958"/>
        </w:tabs>
        <w:spacing w:before="4" w:after="0" w:line="240" w:lineRule="auto"/>
        <w:ind w:left="1957" w:right="0" w:hanging="901"/>
        <w:jc w:val="left"/>
        <w:rPr>
          <w:rFonts w:hint="eastAsia" w:ascii="宋体" w:hAnsi="宋体" w:eastAsia="宋体" w:cs="宋体"/>
          <w:sz w:val="24"/>
        </w:rPr>
      </w:pPr>
      <w:r>
        <w:rPr>
          <w:rFonts w:hint="eastAsia" w:ascii="宋体" w:hAnsi="宋体" w:eastAsia="宋体" w:cs="宋体"/>
          <w:spacing w:val="-4"/>
          <w:sz w:val="24"/>
        </w:rPr>
        <w:t xml:space="preserve">中标人应当自发出成交通知书之日起 </w:t>
      </w:r>
      <w:r>
        <w:rPr>
          <w:rFonts w:hint="eastAsia" w:ascii="宋体" w:hAnsi="宋体" w:eastAsia="宋体" w:cs="宋体"/>
          <w:sz w:val="24"/>
        </w:rPr>
        <w:t>30</w:t>
      </w:r>
      <w:r>
        <w:rPr>
          <w:rFonts w:hint="eastAsia" w:ascii="宋体" w:hAnsi="宋体" w:eastAsia="宋体" w:cs="宋体"/>
          <w:spacing w:val="-8"/>
          <w:sz w:val="24"/>
        </w:rPr>
        <w:t xml:space="preserve"> 日内，与采购人签订合同。</w:t>
      </w:r>
    </w:p>
    <w:p>
      <w:pPr>
        <w:pStyle w:val="28"/>
        <w:numPr>
          <w:ilvl w:val="1"/>
          <w:numId w:val="11"/>
        </w:numPr>
        <w:tabs>
          <w:tab w:val="left" w:pos="1898"/>
        </w:tabs>
        <w:spacing w:before="44" w:after="0" w:line="242" w:lineRule="auto"/>
        <w:ind w:left="1957" w:right="1115" w:hanging="900"/>
        <w:jc w:val="both"/>
        <w:rPr>
          <w:rFonts w:hint="eastAsia" w:ascii="宋体" w:hAnsi="宋体" w:eastAsia="宋体" w:cs="宋体"/>
          <w:sz w:val="24"/>
        </w:rPr>
      </w:pPr>
      <w:r>
        <w:rPr>
          <w:rFonts w:hint="eastAsia" w:ascii="宋体" w:hAnsi="宋体" w:eastAsia="宋体" w:cs="宋体"/>
          <w:spacing w:val="-5"/>
          <w:sz w:val="24"/>
        </w:rPr>
        <w:t>招标文件、中标人的投标文件及其澄清文件等，均为签订合同的依据。</w:t>
      </w:r>
      <w:r>
        <w:rPr>
          <w:rFonts w:hint="eastAsia" w:ascii="宋体" w:hAnsi="宋体" w:eastAsia="宋体" w:cs="宋体"/>
          <w:spacing w:val="-7"/>
          <w:sz w:val="24"/>
        </w:rPr>
        <w:t>中标人拒绝与采购人签订合同的，采购人可以按照评审报告推荐的中标</w:t>
      </w:r>
      <w:r>
        <w:rPr>
          <w:rFonts w:hint="eastAsia" w:ascii="宋体" w:hAnsi="宋体" w:eastAsia="宋体" w:cs="宋体"/>
          <w:sz w:val="24"/>
        </w:rPr>
        <w:t>候选人名单排序，确定下一中标候选人为中标人，也可以重新开展政府采购活动。</w:t>
      </w:r>
    </w:p>
    <w:p>
      <w:pPr>
        <w:pStyle w:val="28"/>
        <w:numPr>
          <w:ilvl w:val="1"/>
          <w:numId w:val="11"/>
        </w:numPr>
        <w:tabs>
          <w:tab w:val="left" w:pos="1898"/>
        </w:tabs>
        <w:spacing w:before="4" w:after="0" w:line="242" w:lineRule="auto"/>
        <w:ind w:left="1957" w:right="1105" w:hanging="900"/>
        <w:jc w:val="both"/>
        <w:rPr>
          <w:rFonts w:hint="eastAsia" w:ascii="宋体" w:hAnsi="宋体" w:eastAsia="宋体" w:cs="宋体"/>
          <w:sz w:val="24"/>
        </w:rPr>
      </w:pPr>
      <w:r>
        <w:rPr>
          <w:rFonts w:hint="eastAsia" w:ascii="宋体" w:hAnsi="宋体" w:eastAsia="宋体" w:cs="宋体"/>
          <w:sz w:val="24"/>
        </w:rPr>
        <w:t>当出现法规规定的</w:t>
      </w:r>
      <w:r>
        <w:rPr>
          <w:rFonts w:hint="eastAsia" w:ascii="宋体" w:hAnsi="宋体" w:eastAsia="宋体" w:cs="宋体"/>
          <w:b/>
          <w:sz w:val="24"/>
        </w:rPr>
        <w:t>成交无效或成交结果无效</w:t>
      </w:r>
      <w:r>
        <w:rPr>
          <w:rFonts w:hint="eastAsia" w:ascii="宋体" w:hAnsi="宋体" w:eastAsia="宋体" w:cs="宋体"/>
          <w:spacing w:val="-12"/>
          <w:sz w:val="24"/>
        </w:rPr>
        <w:t>情形时，采购人可与排名下</w:t>
      </w:r>
      <w:r>
        <w:rPr>
          <w:rFonts w:hint="eastAsia" w:ascii="宋体" w:hAnsi="宋体" w:eastAsia="宋体" w:cs="宋体"/>
          <w:sz w:val="24"/>
        </w:rPr>
        <w:t>一位的中标候选人另行签订合同，或依法重新开展采购活动。</w:t>
      </w:r>
    </w:p>
    <w:p>
      <w:pPr>
        <w:pStyle w:val="28"/>
        <w:numPr>
          <w:ilvl w:val="0"/>
          <w:numId w:val="11"/>
        </w:numPr>
        <w:tabs>
          <w:tab w:val="left" w:pos="1420"/>
        </w:tabs>
        <w:spacing w:before="3" w:after="0" w:line="240" w:lineRule="auto"/>
        <w:ind w:left="1420" w:right="0" w:hanging="363"/>
        <w:jc w:val="left"/>
        <w:outlineLvl w:val="1"/>
        <w:rPr>
          <w:rFonts w:hint="eastAsia" w:ascii="宋体" w:hAnsi="宋体" w:eastAsia="宋体" w:cs="宋体"/>
          <w:b/>
          <w:sz w:val="24"/>
        </w:rPr>
      </w:pPr>
      <w:bookmarkStart w:id="160" w:name="31.履约保证金"/>
      <w:bookmarkEnd w:id="160"/>
      <w:bookmarkStart w:id="161" w:name="31.履约保证金"/>
      <w:bookmarkEnd w:id="161"/>
      <w:r>
        <w:rPr>
          <w:rFonts w:hint="eastAsia" w:ascii="宋体" w:hAnsi="宋体" w:eastAsia="宋体" w:cs="宋体"/>
          <w:b/>
          <w:sz w:val="24"/>
          <w:lang w:val="en-US" w:eastAsia="zh-CN"/>
        </w:rPr>
        <w:t xml:space="preserve">   </w:t>
      </w:r>
      <w:bookmarkStart w:id="162" w:name="_Toc1480"/>
      <w:r>
        <w:rPr>
          <w:rFonts w:hint="eastAsia" w:ascii="宋体" w:hAnsi="宋体" w:eastAsia="宋体" w:cs="宋体"/>
          <w:b/>
          <w:sz w:val="24"/>
        </w:rPr>
        <w:t>履约保证金</w:t>
      </w:r>
      <w:bookmarkEnd w:id="162"/>
    </w:p>
    <w:p>
      <w:pPr>
        <w:pStyle w:val="28"/>
        <w:numPr>
          <w:ilvl w:val="1"/>
          <w:numId w:val="11"/>
        </w:numPr>
        <w:tabs>
          <w:tab w:val="left" w:pos="1958"/>
        </w:tabs>
        <w:spacing w:before="4" w:after="0" w:line="242" w:lineRule="auto"/>
        <w:ind w:left="1957" w:right="1115" w:hanging="900"/>
        <w:jc w:val="both"/>
        <w:rPr>
          <w:rFonts w:hint="eastAsia" w:ascii="宋体" w:hAnsi="宋体" w:eastAsia="宋体" w:cs="宋体"/>
          <w:sz w:val="24"/>
        </w:rPr>
      </w:pPr>
      <w:r>
        <w:rPr>
          <w:rFonts w:hint="eastAsia" w:ascii="宋体" w:hAnsi="宋体" w:eastAsia="宋体" w:cs="宋体"/>
          <w:sz w:val="24"/>
        </w:rPr>
        <w:t>中标人应按照</w:t>
      </w:r>
      <w:r>
        <w:rPr>
          <w:rFonts w:hint="eastAsia" w:ascii="宋体" w:hAnsi="宋体" w:eastAsia="宋体" w:cs="宋体"/>
          <w:sz w:val="24"/>
          <w:u w:val="single"/>
        </w:rPr>
        <w:t>投标人须知资料表</w:t>
      </w:r>
      <w:r>
        <w:rPr>
          <w:rFonts w:hint="eastAsia" w:ascii="宋体" w:hAnsi="宋体" w:eastAsia="宋体" w:cs="宋体"/>
          <w:sz w:val="24"/>
        </w:rPr>
        <w:t>规定向采购人缴纳履约保证金（</w:t>
      </w:r>
      <w:r>
        <w:rPr>
          <w:rFonts w:hint="eastAsia" w:ascii="宋体" w:hAnsi="宋体" w:eastAsia="宋体" w:cs="宋体"/>
          <w:spacing w:val="2"/>
          <w:sz w:val="24"/>
        </w:rPr>
        <w:t>如采</w:t>
      </w:r>
      <w:r>
        <w:rPr>
          <w:rFonts w:hint="eastAsia" w:ascii="宋体" w:hAnsi="宋体" w:eastAsia="宋体" w:cs="宋体"/>
          <w:spacing w:val="-3"/>
          <w:sz w:val="24"/>
        </w:rPr>
        <w:t xml:space="preserve">用保函形式，格式见本章附件 </w:t>
      </w:r>
      <w:r>
        <w:rPr>
          <w:rFonts w:hint="eastAsia" w:ascii="宋体" w:hAnsi="宋体" w:eastAsia="宋体" w:cs="宋体"/>
          <w:sz w:val="24"/>
        </w:rPr>
        <w:t>1）。</w:t>
      </w:r>
    </w:p>
    <w:p>
      <w:pPr>
        <w:pStyle w:val="28"/>
        <w:numPr>
          <w:ilvl w:val="1"/>
          <w:numId w:val="11"/>
        </w:numPr>
        <w:tabs>
          <w:tab w:val="left" w:pos="1958"/>
        </w:tabs>
        <w:spacing w:before="3" w:after="0" w:line="242" w:lineRule="auto"/>
        <w:ind w:left="1957" w:right="1115" w:hanging="900"/>
        <w:jc w:val="both"/>
        <w:rPr>
          <w:rFonts w:hint="eastAsia" w:ascii="宋体" w:hAnsi="宋体" w:eastAsia="宋体" w:cs="宋体"/>
          <w:sz w:val="24"/>
        </w:rPr>
      </w:pPr>
      <w:r>
        <w:rPr>
          <w:rFonts w:hint="eastAsia" w:ascii="宋体" w:hAnsi="宋体" w:eastAsia="宋体" w:cs="宋体"/>
          <w:spacing w:val="-5"/>
          <w:sz w:val="24"/>
        </w:rPr>
        <w:t xml:space="preserve">政府采购利用担保试点范围内的项目，除 </w:t>
      </w:r>
      <w:r>
        <w:rPr>
          <w:rFonts w:hint="eastAsia" w:ascii="宋体" w:hAnsi="宋体" w:eastAsia="宋体" w:cs="宋体"/>
          <w:sz w:val="24"/>
        </w:rPr>
        <w:t>31.1</w:t>
      </w:r>
      <w:r>
        <w:rPr>
          <w:rFonts w:hint="eastAsia" w:ascii="宋体" w:hAnsi="宋体" w:eastAsia="宋体" w:cs="宋体"/>
          <w:spacing w:val="-10"/>
          <w:sz w:val="24"/>
        </w:rPr>
        <w:t xml:space="preserve"> 规定的情形外，中标人</w:t>
      </w:r>
      <w:r>
        <w:rPr>
          <w:rFonts w:hint="eastAsia" w:ascii="宋体" w:hAnsi="宋体" w:eastAsia="宋体" w:cs="宋体"/>
          <w:sz w:val="24"/>
        </w:rPr>
        <w:t>也可以按照财政部门的规定，向采购人提供合格的履约担保函</w:t>
      </w:r>
      <w:r>
        <w:rPr>
          <w:rFonts w:hint="eastAsia" w:ascii="宋体" w:hAnsi="宋体" w:eastAsia="宋体" w:cs="宋体"/>
          <w:spacing w:val="4"/>
          <w:sz w:val="24"/>
        </w:rPr>
        <w:t>（</w:t>
      </w:r>
      <w:r>
        <w:rPr>
          <w:rFonts w:hint="eastAsia" w:ascii="宋体" w:hAnsi="宋体" w:eastAsia="宋体" w:cs="宋体"/>
          <w:sz w:val="24"/>
        </w:rPr>
        <w:t>格式</w:t>
      </w:r>
      <w:r>
        <w:rPr>
          <w:rFonts w:hint="eastAsia" w:ascii="宋体" w:hAnsi="宋体" w:eastAsia="宋体" w:cs="宋体"/>
          <w:spacing w:val="-10"/>
          <w:sz w:val="24"/>
        </w:rPr>
        <w:t xml:space="preserve">见本章附件 </w:t>
      </w:r>
      <w:r>
        <w:rPr>
          <w:rFonts w:hint="eastAsia" w:ascii="宋体" w:hAnsi="宋体" w:eastAsia="宋体" w:cs="宋体"/>
          <w:sz w:val="24"/>
        </w:rPr>
        <w:t>2）。</w:t>
      </w:r>
    </w:p>
    <w:p>
      <w:pPr>
        <w:pStyle w:val="28"/>
        <w:numPr>
          <w:ilvl w:val="1"/>
          <w:numId w:val="11"/>
        </w:numPr>
        <w:tabs>
          <w:tab w:val="left" w:pos="1912"/>
        </w:tabs>
        <w:spacing w:before="4" w:after="0" w:line="242" w:lineRule="auto"/>
        <w:ind w:left="1957" w:right="1115" w:hanging="900"/>
        <w:jc w:val="both"/>
        <w:rPr>
          <w:rFonts w:hint="eastAsia" w:ascii="宋体" w:hAnsi="宋体" w:eastAsia="宋体" w:cs="宋体"/>
          <w:sz w:val="24"/>
        </w:rPr>
      </w:pPr>
      <w:r>
        <w:rPr>
          <w:rFonts w:hint="eastAsia" w:ascii="宋体" w:hAnsi="宋体" w:eastAsia="宋体" w:cs="宋体"/>
          <w:sz w:val="24"/>
        </w:rPr>
        <w:t>如果中标人没有按照上述履约保证金的规定执行，将视为放弃中标资格，中标人的投标保证金将不予退还。在此情况下，采购人可确定下一候选人为中标人，也可以重新开展采购活动。</w:t>
      </w:r>
    </w:p>
    <w:p>
      <w:pPr>
        <w:pStyle w:val="28"/>
        <w:numPr>
          <w:ilvl w:val="0"/>
          <w:numId w:val="11"/>
        </w:numPr>
        <w:tabs>
          <w:tab w:val="left" w:pos="1420"/>
        </w:tabs>
        <w:spacing w:before="5" w:after="0" w:line="240" w:lineRule="auto"/>
        <w:ind w:left="1420" w:right="0" w:hanging="363"/>
        <w:jc w:val="left"/>
        <w:outlineLvl w:val="1"/>
        <w:rPr>
          <w:rFonts w:hint="eastAsia" w:ascii="宋体" w:hAnsi="宋体" w:eastAsia="宋体" w:cs="宋体"/>
          <w:b/>
          <w:sz w:val="24"/>
        </w:rPr>
      </w:pPr>
      <w:bookmarkStart w:id="163" w:name="32.中标服务费"/>
      <w:bookmarkEnd w:id="163"/>
      <w:bookmarkStart w:id="164" w:name="32.中标服务费"/>
      <w:bookmarkEnd w:id="164"/>
      <w:r>
        <w:rPr>
          <w:rFonts w:hint="eastAsia" w:ascii="宋体" w:hAnsi="宋体" w:eastAsia="宋体" w:cs="宋体"/>
          <w:b/>
          <w:sz w:val="24"/>
          <w:lang w:val="en-US" w:eastAsia="zh-CN"/>
        </w:rPr>
        <w:t xml:space="preserve">   </w:t>
      </w:r>
      <w:bookmarkStart w:id="165" w:name="_Toc30986"/>
      <w:r>
        <w:rPr>
          <w:rFonts w:hint="eastAsia" w:ascii="宋体" w:hAnsi="宋体" w:eastAsia="宋体" w:cs="宋体"/>
          <w:b/>
          <w:sz w:val="24"/>
        </w:rPr>
        <w:t>中标服务费</w:t>
      </w:r>
      <w:bookmarkEnd w:id="165"/>
    </w:p>
    <w:p>
      <w:pPr>
        <w:pStyle w:val="3"/>
        <w:spacing w:before="4" w:line="242" w:lineRule="auto"/>
        <w:ind w:right="1117" w:firstLine="1680" w:firstLineChars="700"/>
        <w:rPr>
          <w:rFonts w:hint="eastAsia" w:ascii="宋体" w:hAnsi="宋体" w:eastAsia="宋体" w:cs="宋体"/>
        </w:rPr>
      </w:pPr>
      <w:r>
        <w:rPr>
          <w:rFonts w:hint="eastAsia" w:ascii="宋体" w:hAnsi="宋体" w:eastAsia="宋体" w:cs="宋体"/>
        </w:rPr>
        <w:t>中标人须按照</w:t>
      </w:r>
      <w:r>
        <w:rPr>
          <w:rFonts w:hint="eastAsia" w:ascii="宋体" w:hAnsi="宋体" w:eastAsia="宋体" w:cs="宋体"/>
          <w:u w:val="single"/>
        </w:rPr>
        <w:t>投标人须知资料表</w:t>
      </w:r>
      <w:r>
        <w:rPr>
          <w:rFonts w:hint="eastAsia" w:ascii="宋体" w:hAnsi="宋体" w:eastAsia="宋体" w:cs="宋体"/>
        </w:rPr>
        <w:t>规定，向采购代理机构支付中标服务费。</w:t>
      </w:r>
    </w:p>
    <w:p>
      <w:pPr>
        <w:pStyle w:val="28"/>
        <w:numPr>
          <w:ilvl w:val="0"/>
          <w:numId w:val="11"/>
        </w:numPr>
        <w:tabs>
          <w:tab w:val="left" w:pos="1420"/>
        </w:tabs>
        <w:spacing w:before="3" w:after="0" w:line="240" w:lineRule="auto"/>
        <w:ind w:left="1420" w:right="0" w:hanging="363"/>
        <w:jc w:val="left"/>
        <w:outlineLvl w:val="1"/>
        <w:rPr>
          <w:rFonts w:hint="eastAsia" w:ascii="宋体" w:hAnsi="宋体" w:eastAsia="宋体" w:cs="宋体"/>
          <w:b/>
          <w:sz w:val="24"/>
        </w:rPr>
      </w:pPr>
      <w:bookmarkStart w:id="166" w:name="33.政府采购信用担保"/>
      <w:bookmarkEnd w:id="166"/>
      <w:bookmarkStart w:id="167" w:name="33.政府采购信用担保"/>
      <w:bookmarkEnd w:id="167"/>
      <w:bookmarkStart w:id="168" w:name="_Toc27975"/>
      <w:r>
        <w:rPr>
          <w:rFonts w:hint="eastAsia" w:ascii="宋体" w:hAnsi="宋体" w:eastAsia="宋体" w:cs="宋体"/>
          <w:b/>
          <w:sz w:val="24"/>
        </w:rPr>
        <w:t>政府采购信用担保</w:t>
      </w:r>
      <w:bookmarkEnd w:id="168"/>
    </w:p>
    <w:p>
      <w:pPr>
        <w:pStyle w:val="28"/>
        <w:numPr>
          <w:ilvl w:val="1"/>
          <w:numId w:val="11"/>
        </w:numPr>
        <w:tabs>
          <w:tab w:val="left" w:pos="1897"/>
          <w:tab w:val="left" w:pos="1898"/>
        </w:tabs>
        <w:spacing w:before="4" w:after="0" w:line="240" w:lineRule="auto"/>
        <w:ind w:left="1897" w:right="0" w:hanging="841"/>
        <w:jc w:val="left"/>
        <w:outlineLvl w:val="1"/>
        <w:rPr>
          <w:rFonts w:hint="eastAsia" w:ascii="宋体" w:hAnsi="宋体" w:eastAsia="宋体" w:cs="宋体"/>
          <w:sz w:val="24"/>
        </w:rPr>
      </w:pPr>
      <w:bookmarkStart w:id="169" w:name="_Toc32694"/>
      <w:bookmarkStart w:id="170" w:name="_Toc11954"/>
      <w:bookmarkStart w:id="171" w:name="_Toc5113"/>
      <w:r>
        <w:rPr>
          <w:rFonts w:hint="eastAsia" w:ascii="宋体" w:hAnsi="宋体" w:eastAsia="宋体" w:cs="宋体"/>
          <w:sz w:val="24"/>
        </w:rPr>
        <w:t>本项目是否属于信用担保试点范围见</w:t>
      </w:r>
      <w:r>
        <w:rPr>
          <w:rFonts w:hint="eastAsia" w:ascii="宋体" w:hAnsi="宋体" w:eastAsia="宋体" w:cs="宋体"/>
          <w:sz w:val="24"/>
          <w:u w:val="single"/>
        </w:rPr>
        <w:t>投标人须知资料表</w:t>
      </w:r>
      <w:r>
        <w:rPr>
          <w:rFonts w:hint="eastAsia" w:ascii="宋体" w:hAnsi="宋体" w:eastAsia="宋体" w:cs="宋体"/>
          <w:sz w:val="24"/>
        </w:rPr>
        <w:t>。</w:t>
      </w:r>
      <w:bookmarkEnd w:id="169"/>
      <w:bookmarkEnd w:id="170"/>
      <w:bookmarkEnd w:id="171"/>
    </w:p>
    <w:p>
      <w:pPr>
        <w:pStyle w:val="28"/>
        <w:numPr>
          <w:ilvl w:val="1"/>
          <w:numId w:val="11"/>
        </w:numPr>
        <w:tabs>
          <w:tab w:val="left" w:pos="1897"/>
          <w:tab w:val="left" w:pos="1898"/>
        </w:tabs>
        <w:spacing w:before="5" w:after="0" w:line="242" w:lineRule="auto"/>
        <w:ind w:left="1907" w:right="1115" w:hanging="850"/>
        <w:jc w:val="left"/>
        <w:rPr>
          <w:rFonts w:hint="eastAsia" w:ascii="宋体" w:hAnsi="宋体" w:eastAsia="宋体" w:cs="宋体"/>
          <w:sz w:val="24"/>
        </w:rPr>
      </w:pPr>
      <w:r>
        <w:rPr>
          <w:rFonts w:hint="eastAsia" w:ascii="宋体" w:hAnsi="宋体" w:eastAsia="宋体" w:cs="宋体"/>
          <w:spacing w:val="-7"/>
          <w:sz w:val="24"/>
        </w:rPr>
        <w:t>如属于政府采购信用担保试点范围内，中小型企业投标人可以自由按照</w:t>
      </w:r>
      <w:r>
        <w:rPr>
          <w:rFonts w:hint="eastAsia" w:ascii="宋体" w:hAnsi="宋体" w:eastAsia="宋体" w:cs="宋体"/>
          <w:sz w:val="24"/>
        </w:rPr>
        <w:t>财政部门的规定，采用报价担保、履约担保和融资担保。</w:t>
      </w:r>
    </w:p>
    <w:p>
      <w:pPr>
        <w:pStyle w:val="28"/>
        <w:numPr>
          <w:ilvl w:val="2"/>
          <w:numId w:val="11"/>
        </w:numPr>
        <w:tabs>
          <w:tab w:val="left" w:pos="1898"/>
        </w:tabs>
        <w:spacing w:before="3" w:after="0" w:line="240" w:lineRule="auto"/>
        <w:ind w:left="1897" w:right="0" w:hanging="841"/>
        <w:jc w:val="left"/>
        <w:rPr>
          <w:rFonts w:hint="eastAsia" w:ascii="宋体" w:hAnsi="宋体" w:eastAsia="宋体" w:cs="宋体"/>
          <w:sz w:val="24"/>
        </w:rPr>
      </w:pPr>
      <w:r>
        <w:rPr>
          <w:rFonts w:hint="eastAsia" w:ascii="宋体" w:hAnsi="宋体" w:eastAsia="宋体" w:cs="宋体"/>
          <w:sz w:val="24"/>
        </w:rPr>
        <w:t>投标人递交的报价担保函和履约担保函应符合本招标文件的规定。</w:t>
      </w:r>
    </w:p>
    <w:p>
      <w:pPr>
        <w:pStyle w:val="28"/>
        <w:numPr>
          <w:ilvl w:val="2"/>
          <w:numId w:val="11"/>
        </w:numPr>
        <w:tabs>
          <w:tab w:val="left" w:pos="1898"/>
        </w:tabs>
        <w:spacing w:before="4" w:after="0" w:line="240" w:lineRule="auto"/>
        <w:ind w:left="1897" w:right="0" w:hanging="841"/>
        <w:jc w:val="left"/>
        <w:rPr>
          <w:rFonts w:hint="eastAsia" w:ascii="宋体" w:hAnsi="宋体" w:eastAsia="宋体" w:cs="宋体"/>
          <w:sz w:val="24"/>
        </w:rPr>
      </w:pPr>
      <w:r>
        <w:rPr>
          <w:rFonts w:hint="eastAsia" w:ascii="宋体" w:hAnsi="宋体" w:eastAsia="宋体" w:cs="宋体"/>
          <w:sz w:val="24"/>
        </w:rPr>
        <w:t>中标人可以采取融资担保的形式为政府采购项目履约进行融资。</w:t>
      </w:r>
    </w:p>
    <w:p>
      <w:pPr>
        <w:pStyle w:val="28"/>
        <w:numPr>
          <w:ilvl w:val="2"/>
          <w:numId w:val="11"/>
        </w:numPr>
        <w:tabs>
          <w:tab w:val="left" w:pos="1898"/>
        </w:tabs>
        <w:spacing w:before="5" w:after="0" w:line="242" w:lineRule="auto"/>
        <w:ind w:left="1057" w:right="1986" w:firstLine="0"/>
        <w:jc w:val="left"/>
        <w:outlineLvl w:val="1"/>
        <w:rPr>
          <w:rFonts w:hint="eastAsia" w:ascii="宋体" w:hAnsi="宋体" w:eastAsia="宋体" w:cs="宋体"/>
          <w:b/>
          <w:sz w:val="24"/>
        </w:rPr>
      </w:pPr>
      <w:bookmarkStart w:id="172" w:name="_Toc14201"/>
      <w:r>
        <w:rPr>
          <w:rFonts w:hint="eastAsia" w:ascii="宋体" w:hAnsi="宋体" w:eastAsia="宋体" w:cs="宋体"/>
          <w:sz w:val="24"/>
        </w:rPr>
        <w:t>合格的政府采购专业信用担保机构名单见</w:t>
      </w:r>
      <w:r>
        <w:rPr>
          <w:rFonts w:hint="eastAsia" w:ascii="宋体" w:hAnsi="宋体" w:eastAsia="宋体" w:cs="宋体"/>
          <w:sz w:val="24"/>
          <w:u w:val="single"/>
        </w:rPr>
        <w:t>投标人须知资料表</w:t>
      </w:r>
      <w:r>
        <w:rPr>
          <w:rFonts w:hint="eastAsia" w:ascii="宋体" w:hAnsi="宋体" w:eastAsia="宋体" w:cs="宋体"/>
          <w:spacing w:val="-17"/>
          <w:sz w:val="24"/>
        </w:rPr>
        <w:t>。</w:t>
      </w:r>
      <w:bookmarkStart w:id="173" w:name="34.廉洁自律规定"/>
      <w:bookmarkEnd w:id="173"/>
      <w:r>
        <w:rPr>
          <w:rFonts w:hint="eastAsia" w:ascii="宋体" w:hAnsi="宋体" w:eastAsia="宋体" w:cs="宋体"/>
          <w:b/>
          <w:sz w:val="24"/>
        </w:rPr>
        <w:t>34.廉洁自律规定</w:t>
      </w:r>
      <w:bookmarkEnd w:id="172"/>
    </w:p>
    <w:p>
      <w:pPr>
        <w:pStyle w:val="28"/>
        <w:numPr>
          <w:ilvl w:val="0"/>
          <w:numId w:val="0"/>
        </w:numPr>
        <w:tabs>
          <w:tab w:val="left" w:pos="1897"/>
          <w:tab w:val="left" w:pos="1898"/>
        </w:tabs>
        <w:spacing w:before="3" w:after="0" w:line="242" w:lineRule="auto"/>
        <w:ind w:left="1057" w:leftChars="0" w:right="1115" w:rightChars="0"/>
        <w:jc w:val="left"/>
        <w:rPr>
          <w:rFonts w:hint="eastAsia" w:ascii="宋体" w:hAnsi="宋体" w:eastAsia="宋体" w:cs="宋体"/>
          <w:sz w:val="24"/>
        </w:rPr>
      </w:pPr>
      <w:r>
        <w:rPr>
          <w:rFonts w:hint="eastAsia" w:ascii="宋体" w:hAnsi="宋体" w:eastAsia="宋体" w:cs="宋体"/>
          <w:spacing w:val="-5"/>
          <w:sz w:val="24"/>
          <w:lang w:val="en-US" w:eastAsia="zh-CN"/>
        </w:rPr>
        <w:t xml:space="preserve">34.1  </w:t>
      </w:r>
      <w:r>
        <w:rPr>
          <w:rFonts w:hint="eastAsia" w:ascii="宋体" w:hAnsi="宋体" w:eastAsia="宋体" w:cs="宋体"/>
          <w:spacing w:val="-5"/>
          <w:sz w:val="24"/>
        </w:rPr>
        <w:t>采购代理机构工作人员不得以不正当手段获取政府采购代理业务，不得</w:t>
      </w:r>
      <w:r>
        <w:rPr>
          <w:rFonts w:hint="eastAsia" w:ascii="宋体" w:hAnsi="宋体" w:eastAsia="宋体" w:cs="宋体"/>
          <w:sz w:val="24"/>
        </w:rPr>
        <w:t>与采购人、投标人恶意串通操纵政府采购活动。</w:t>
      </w:r>
    </w:p>
    <w:p>
      <w:pPr>
        <w:pStyle w:val="28"/>
        <w:numPr>
          <w:ilvl w:val="0"/>
          <w:numId w:val="0"/>
        </w:numPr>
        <w:tabs>
          <w:tab w:val="left" w:pos="1897"/>
          <w:tab w:val="left" w:pos="1898"/>
        </w:tabs>
        <w:spacing w:before="2" w:after="0" w:line="242" w:lineRule="auto"/>
        <w:ind w:left="1057" w:leftChars="0" w:right="1026" w:rightChars="0"/>
        <w:jc w:val="left"/>
        <w:rPr>
          <w:rFonts w:hint="eastAsia" w:ascii="宋体" w:hAnsi="宋体" w:eastAsia="宋体" w:cs="宋体"/>
          <w:sz w:val="24"/>
        </w:rPr>
      </w:pPr>
      <w:r>
        <w:rPr>
          <w:rFonts w:hint="eastAsia" w:ascii="宋体" w:hAnsi="宋体" w:eastAsia="宋体" w:cs="宋体"/>
          <w:spacing w:val="-1"/>
          <w:sz w:val="24"/>
          <w:lang w:val="en-US" w:eastAsia="zh-CN"/>
        </w:rPr>
        <w:t xml:space="preserve">34.2  </w:t>
      </w:r>
      <w:r>
        <w:rPr>
          <w:rFonts w:hint="eastAsia" w:ascii="宋体" w:hAnsi="宋体" w:eastAsia="宋体" w:cs="宋体"/>
          <w:spacing w:val="-1"/>
          <w:sz w:val="24"/>
        </w:rPr>
        <w:t>采购代理机构工作人员不得接受采购人或者投标人组织的宴请、旅游、</w:t>
      </w:r>
      <w:r>
        <w:rPr>
          <w:rFonts w:hint="eastAsia" w:ascii="宋体" w:hAnsi="宋体" w:eastAsia="宋体" w:cs="宋体"/>
          <w:sz w:val="24"/>
        </w:rPr>
        <w:t>娱乐，不得收受礼品、现金、有价证券等，不得向采购人或者投标人报销应当由个人承担的费用。</w:t>
      </w:r>
    </w:p>
    <w:p>
      <w:pPr>
        <w:pStyle w:val="28"/>
        <w:numPr>
          <w:ilvl w:val="0"/>
          <w:numId w:val="0"/>
        </w:numPr>
        <w:tabs>
          <w:tab w:val="left" w:pos="1897"/>
          <w:tab w:val="left" w:pos="1898"/>
        </w:tabs>
        <w:spacing w:before="5" w:after="0" w:line="242" w:lineRule="auto"/>
        <w:ind w:left="1057" w:leftChars="0" w:right="1115" w:rightChars="0"/>
        <w:jc w:val="left"/>
        <w:rPr>
          <w:rFonts w:hint="eastAsia" w:ascii="宋体" w:hAnsi="宋体" w:eastAsia="宋体" w:cs="宋体"/>
          <w:sz w:val="24"/>
        </w:rPr>
      </w:pPr>
      <w:r>
        <w:rPr>
          <w:rFonts w:hint="eastAsia" w:ascii="宋体" w:hAnsi="宋体" w:eastAsia="宋体" w:cs="宋体"/>
          <w:spacing w:val="-6"/>
          <w:sz w:val="24"/>
          <w:lang w:val="en-US" w:eastAsia="zh-CN"/>
        </w:rPr>
        <w:t xml:space="preserve">34.3  </w:t>
      </w:r>
      <w:r>
        <w:rPr>
          <w:rFonts w:hint="eastAsia" w:ascii="宋体" w:hAnsi="宋体" w:eastAsia="宋体" w:cs="宋体"/>
          <w:spacing w:val="-6"/>
          <w:sz w:val="24"/>
        </w:rPr>
        <w:t>为强化采购代理机构内部监督机制，投标人可按</w:t>
      </w:r>
      <w:r>
        <w:rPr>
          <w:rFonts w:hint="eastAsia" w:ascii="宋体" w:hAnsi="宋体" w:eastAsia="宋体" w:cs="宋体"/>
          <w:spacing w:val="-2"/>
          <w:sz w:val="24"/>
          <w:u w:val="single"/>
        </w:rPr>
        <w:t>投标人须知资料表中的</w:t>
      </w:r>
      <w:r>
        <w:rPr>
          <w:rFonts w:hint="eastAsia" w:ascii="宋体" w:hAnsi="宋体" w:eastAsia="宋体" w:cs="宋体"/>
          <w:sz w:val="24"/>
        </w:rPr>
        <w:t>监督电话和邮箱，反映采购代理机构的廉洁自律等问题。</w:t>
      </w:r>
    </w:p>
    <w:p>
      <w:pPr>
        <w:pStyle w:val="28"/>
        <w:numPr>
          <w:ilvl w:val="0"/>
          <w:numId w:val="12"/>
        </w:numPr>
        <w:tabs>
          <w:tab w:val="left" w:pos="1420"/>
        </w:tabs>
        <w:spacing w:before="3" w:after="0" w:line="240" w:lineRule="auto"/>
        <w:ind w:left="1420" w:right="0" w:hanging="363"/>
        <w:jc w:val="left"/>
        <w:outlineLvl w:val="1"/>
        <w:rPr>
          <w:rFonts w:hint="eastAsia" w:ascii="宋体" w:hAnsi="宋体" w:eastAsia="宋体" w:cs="宋体"/>
          <w:b/>
          <w:sz w:val="24"/>
        </w:rPr>
      </w:pPr>
      <w:bookmarkStart w:id="174" w:name="35.人员回避"/>
      <w:bookmarkEnd w:id="174"/>
      <w:bookmarkStart w:id="175" w:name="35.人员回避"/>
      <w:bookmarkEnd w:id="175"/>
      <w:bookmarkStart w:id="176" w:name="_Toc32703"/>
      <w:r>
        <w:rPr>
          <w:rFonts w:hint="eastAsia" w:ascii="宋体" w:hAnsi="宋体" w:eastAsia="宋体" w:cs="宋体"/>
          <w:b/>
          <w:sz w:val="24"/>
        </w:rPr>
        <w:t>人员回避</w:t>
      </w:r>
      <w:bookmarkEnd w:id="176"/>
    </w:p>
    <w:p>
      <w:pPr>
        <w:pStyle w:val="3"/>
        <w:spacing w:before="4" w:line="242" w:lineRule="auto"/>
        <w:ind w:left="1439" w:leftChars="654" w:right="1115" w:firstLine="0" w:firstLineChars="0"/>
        <w:jc w:val="both"/>
        <w:rPr>
          <w:rFonts w:hint="eastAsia" w:ascii="宋体" w:hAnsi="宋体" w:eastAsia="宋体" w:cs="宋体"/>
        </w:rPr>
      </w:pPr>
      <w:r>
        <w:rPr>
          <w:rFonts w:hint="eastAsia" w:ascii="宋体" w:hAnsi="宋体" w:eastAsia="宋体" w:cs="宋体"/>
        </w:rPr>
        <w:t>投标人认为采购人员及其相关人员有法律法规所列与其他投标人有利害关系的，可以向采购人或采购代理机构书面提出回避申请，并说明理由。</w:t>
      </w:r>
    </w:p>
    <w:p>
      <w:pPr>
        <w:pStyle w:val="28"/>
        <w:numPr>
          <w:ilvl w:val="0"/>
          <w:numId w:val="12"/>
        </w:numPr>
        <w:tabs>
          <w:tab w:val="left" w:pos="1421"/>
        </w:tabs>
        <w:spacing w:before="4" w:after="0" w:line="240" w:lineRule="auto"/>
        <w:ind w:left="1421" w:right="0" w:hanging="364"/>
        <w:jc w:val="left"/>
        <w:outlineLvl w:val="1"/>
        <w:rPr>
          <w:rFonts w:hint="eastAsia" w:ascii="宋体" w:hAnsi="宋体" w:eastAsia="宋体" w:cs="宋体"/>
          <w:b/>
          <w:sz w:val="24"/>
        </w:rPr>
      </w:pPr>
      <w:bookmarkStart w:id="177" w:name="36.质疑与接收"/>
      <w:bookmarkEnd w:id="177"/>
      <w:bookmarkStart w:id="178" w:name="36.质疑与接收"/>
      <w:bookmarkEnd w:id="178"/>
      <w:bookmarkStart w:id="179" w:name="_Toc25099"/>
      <w:r>
        <w:rPr>
          <w:rFonts w:hint="eastAsia" w:ascii="宋体" w:hAnsi="宋体" w:eastAsia="宋体" w:cs="宋体"/>
          <w:b/>
          <w:sz w:val="24"/>
        </w:rPr>
        <w:t>质疑与接收</w:t>
      </w:r>
      <w:bookmarkEnd w:id="179"/>
    </w:p>
    <w:p>
      <w:pPr>
        <w:pStyle w:val="28"/>
        <w:numPr>
          <w:ilvl w:val="1"/>
          <w:numId w:val="12"/>
        </w:numPr>
        <w:tabs>
          <w:tab w:val="left" w:pos="1919"/>
          <w:tab w:val="left" w:pos="1920"/>
        </w:tabs>
        <w:spacing w:before="5" w:after="0" w:line="242" w:lineRule="auto"/>
        <w:ind w:left="1907" w:right="1004" w:hanging="708"/>
        <w:jc w:val="left"/>
        <w:rPr>
          <w:rFonts w:hint="eastAsia" w:ascii="宋体" w:hAnsi="宋体" w:eastAsia="宋体" w:cs="宋体"/>
          <w:sz w:val="24"/>
        </w:rPr>
      </w:pPr>
      <w:r>
        <w:rPr>
          <w:rFonts w:hint="eastAsia" w:ascii="宋体" w:hAnsi="宋体" w:eastAsia="宋体" w:cs="宋体"/>
          <w:spacing w:val="-1"/>
          <w:sz w:val="24"/>
        </w:rPr>
        <w:t xml:space="preserve">投标人认为招标文件、招标过程和成交结果使自己的权益受到损害的， </w:t>
      </w:r>
      <w:r>
        <w:rPr>
          <w:rFonts w:hint="eastAsia" w:ascii="宋体" w:hAnsi="宋体" w:eastAsia="宋体" w:cs="宋体"/>
          <w:spacing w:val="-10"/>
          <w:sz w:val="24"/>
        </w:rPr>
        <w:t>可以根据《中华人民共和国政府采购法》、《中华人民共和国政府采购</w:t>
      </w:r>
      <w:r>
        <w:rPr>
          <w:rFonts w:hint="eastAsia" w:ascii="宋体" w:hAnsi="宋体" w:eastAsia="宋体" w:cs="宋体"/>
          <w:spacing w:val="-13"/>
          <w:sz w:val="24"/>
        </w:rPr>
        <w:t>法实施条例》和《政府采购质疑和投诉办法》的有关规定，依法向采购人或其委托的采购代理机构提出质疑。</w:t>
      </w:r>
    </w:p>
    <w:p>
      <w:pPr>
        <w:pStyle w:val="28"/>
        <w:numPr>
          <w:ilvl w:val="1"/>
          <w:numId w:val="12"/>
        </w:numPr>
        <w:tabs>
          <w:tab w:val="left" w:pos="1920"/>
        </w:tabs>
        <w:spacing w:before="6" w:after="0" w:line="242" w:lineRule="auto"/>
        <w:ind w:left="1907" w:right="1115" w:hanging="708"/>
        <w:jc w:val="both"/>
        <w:rPr>
          <w:rFonts w:hint="eastAsia" w:ascii="宋体" w:hAnsi="宋体" w:eastAsia="宋体" w:cs="宋体"/>
          <w:sz w:val="24"/>
        </w:rPr>
      </w:pPr>
      <w:r>
        <w:rPr>
          <w:rFonts w:hint="eastAsia" w:ascii="宋体" w:hAnsi="宋体" w:eastAsia="宋体" w:cs="宋体"/>
          <w:spacing w:val="-7"/>
          <w:sz w:val="24"/>
        </w:rPr>
        <w:t>质疑投标人应按照财政部制定的《政府采购质疑函范本》格式</w:t>
      </w:r>
      <w:r>
        <w:rPr>
          <w:rFonts w:hint="eastAsia" w:ascii="宋体" w:hAnsi="宋体" w:eastAsia="宋体" w:cs="宋体"/>
          <w:sz w:val="24"/>
        </w:rPr>
        <w:t>（</w:t>
      </w:r>
      <w:r>
        <w:rPr>
          <w:rFonts w:hint="eastAsia" w:ascii="宋体" w:hAnsi="宋体" w:eastAsia="宋体" w:cs="宋体"/>
          <w:spacing w:val="-6"/>
          <w:sz w:val="24"/>
        </w:rPr>
        <w:t>可从财</w:t>
      </w:r>
      <w:r>
        <w:rPr>
          <w:rFonts w:hint="eastAsia" w:ascii="宋体" w:hAnsi="宋体" w:eastAsia="宋体" w:cs="宋体"/>
          <w:sz w:val="24"/>
        </w:rPr>
        <w:t>政部官方网站下载</w:t>
      </w:r>
      <w:r>
        <w:rPr>
          <w:rFonts w:hint="eastAsia" w:ascii="宋体" w:hAnsi="宋体" w:eastAsia="宋体" w:cs="宋体"/>
          <w:spacing w:val="-24"/>
          <w:sz w:val="24"/>
        </w:rPr>
        <w:t>）</w:t>
      </w:r>
      <w:r>
        <w:rPr>
          <w:rFonts w:hint="eastAsia" w:ascii="宋体" w:hAnsi="宋体" w:eastAsia="宋体" w:cs="宋体"/>
          <w:spacing w:val="-10"/>
          <w:sz w:val="24"/>
        </w:rPr>
        <w:t>和《政府采购质疑和投诉办法》的要求，在法定质</w:t>
      </w:r>
      <w:r>
        <w:rPr>
          <w:rFonts w:hint="eastAsia" w:ascii="宋体" w:hAnsi="宋体" w:eastAsia="宋体" w:cs="宋体"/>
          <w:spacing w:val="-9"/>
          <w:sz w:val="24"/>
        </w:rPr>
        <w:t>疑期内以纸质形式提出质疑，针对同一采购程序环节的质疑应一次性提</w:t>
      </w:r>
      <w:r>
        <w:rPr>
          <w:rFonts w:hint="eastAsia" w:ascii="宋体" w:hAnsi="宋体" w:eastAsia="宋体" w:cs="宋体"/>
          <w:sz w:val="24"/>
        </w:rPr>
        <w:t>出。</w:t>
      </w:r>
    </w:p>
    <w:p>
      <w:pPr>
        <w:pStyle w:val="3"/>
        <w:keepNext w:val="0"/>
        <w:keepLines w:val="0"/>
        <w:pageBreakBefore w:val="0"/>
        <w:widowControl w:val="0"/>
        <w:kinsoku/>
        <w:wordWrap/>
        <w:overflowPunct/>
        <w:topLinePunct w:val="0"/>
        <w:autoSpaceDE w:val="0"/>
        <w:autoSpaceDN w:val="0"/>
        <w:bidi w:val="0"/>
        <w:adjustRightInd/>
        <w:snapToGrid/>
        <w:spacing w:before="0" w:line="192" w:lineRule="auto"/>
        <w:ind w:left="1909" w:right="1115" w:hanging="3"/>
        <w:textAlignment w:val="auto"/>
        <w:rPr>
          <w:rFonts w:hint="eastAsia" w:ascii="宋体" w:hAnsi="宋体" w:eastAsia="宋体" w:cs="宋体"/>
        </w:rPr>
      </w:pPr>
      <w:bookmarkStart w:id="180" w:name="附件1：履约保证金保函（格式）"/>
      <w:bookmarkEnd w:id="180"/>
      <w:r>
        <w:rPr>
          <w:rFonts w:hint="eastAsia" w:ascii="宋体" w:hAnsi="宋体" w:eastAsia="宋体" w:cs="宋体"/>
          <w:spacing w:val="-8"/>
        </w:rPr>
        <w:t>超出法定质疑期的、重复提出的、分次提出的或内容、形式不符合《政</w:t>
      </w:r>
      <w:r>
        <w:rPr>
          <w:rFonts w:hint="eastAsia" w:ascii="宋体" w:hAnsi="宋体" w:eastAsia="宋体" w:cs="宋体"/>
        </w:rPr>
        <w:t>府采购质疑和投诉办法》的，质疑投标人将依法承担不利后果。</w:t>
      </w:r>
    </w:p>
    <w:p>
      <w:pPr>
        <w:pStyle w:val="28"/>
        <w:keepNext w:val="0"/>
        <w:keepLines w:val="0"/>
        <w:pageBreakBefore w:val="0"/>
        <w:widowControl w:val="0"/>
        <w:numPr>
          <w:ilvl w:val="1"/>
          <w:numId w:val="12"/>
        </w:numPr>
        <w:tabs>
          <w:tab w:val="left" w:pos="1919"/>
          <w:tab w:val="left" w:pos="1920"/>
        </w:tabs>
        <w:kinsoku/>
        <w:wordWrap/>
        <w:overflowPunct/>
        <w:topLinePunct w:val="0"/>
        <w:autoSpaceDE w:val="0"/>
        <w:autoSpaceDN w:val="0"/>
        <w:bidi w:val="0"/>
        <w:adjustRightInd/>
        <w:snapToGrid/>
        <w:spacing w:before="0" w:after="0" w:line="192" w:lineRule="auto"/>
        <w:ind w:left="1907" w:right="1115" w:hanging="708"/>
        <w:jc w:val="left"/>
        <w:textAlignment w:val="auto"/>
        <w:rPr>
          <w:rFonts w:hint="eastAsia" w:ascii="宋体" w:hAnsi="宋体" w:eastAsia="宋体" w:cs="宋体"/>
          <w:sz w:val="24"/>
        </w:rPr>
      </w:pPr>
      <w:r>
        <w:rPr>
          <w:rFonts w:hint="eastAsia" w:ascii="宋体" w:hAnsi="宋体" w:eastAsia="宋体" w:cs="宋体"/>
          <w:spacing w:val="-8"/>
          <w:sz w:val="24"/>
        </w:rPr>
        <w:t>采购代理机构质疑函接收部门、联系电话和通讯地址, 见</w:t>
      </w:r>
      <w:r>
        <w:rPr>
          <w:rFonts w:hint="eastAsia" w:ascii="宋体" w:hAnsi="宋体" w:eastAsia="宋体" w:cs="宋体"/>
          <w:spacing w:val="-3"/>
          <w:sz w:val="24"/>
          <w:u w:val="single"/>
        </w:rPr>
        <w:t>投标人须知资</w:t>
      </w:r>
      <w:r>
        <w:rPr>
          <w:rFonts w:hint="eastAsia" w:ascii="宋体" w:hAnsi="宋体" w:eastAsia="宋体" w:cs="宋体"/>
          <w:spacing w:val="-220"/>
          <w:sz w:val="24"/>
          <w:u w:val="single"/>
        </w:rPr>
        <w:t>料</w:t>
      </w:r>
      <w:r>
        <w:rPr>
          <w:rFonts w:hint="eastAsia" w:ascii="宋体" w:hAnsi="宋体" w:eastAsia="宋体" w:cs="宋体"/>
          <w:sz w:val="24"/>
          <w:u w:val="single"/>
        </w:rPr>
        <w:t>表。</w:t>
      </w:r>
    </w:p>
    <w:p>
      <w:pPr>
        <w:keepNext w:val="0"/>
        <w:keepLines w:val="0"/>
        <w:pageBreakBefore w:val="0"/>
        <w:widowControl w:val="0"/>
        <w:kinsoku/>
        <w:wordWrap/>
        <w:overflowPunct/>
        <w:topLinePunct w:val="0"/>
        <w:autoSpaceDE w:val="0"/>
        <w:autoSpaceDN w:val="0"/>
        <w:bidi w:val="0"/>
        <w:adjustRightInd/>
        <w:snapToGrid/>
        <w:spacing w:before="0" w:after="0" w:line="192" w:lineRule="auto"/>
        <w:jc w:val="left"/>
        <w:textAlignment w:val="auto"/>
        <w:rPr>
          <w:rFonts w:hint="eastAsia" w:ascii="宋体" w:hAnsi="宋体" w:eastAsia="宋体" w:cs="宋体"/>
          <w:sz w:val="24"/>
        </w:rPr>
        <w:sectPr>
          <w:footerReference r:id="rId6" w:type="default"/>
          <w:pgSz w:w="11910" w:h="16840"/>
          <w:pgMar w:top="1180" w:right="800" w:bottom="1180" w:left="740" w:header="0" w:footer="1000" w:gutter="0"/>
          <w:pgNumType w:fmt="decimal"/>
          <w:cols w:space="720" w:num="1"/>
        </w:sectPr>
      </w:pPr>
    </w:p>
    <w:p>
      <w:pPr>
        <w:spacing w:before="41"/>
        <w:ind w:left="1057" w:right="0" w:firstLine="0"/>
        <w:jc w:val="left"/>
        <w:outlineLvl w:val="1"/>
        <w:rPr>
          <w:rFonts w:hint="eastAsia" w:ascii="宋体" w:hAnsi="宋体" w:eastAsia="宋体" w:cs="宋体"/>
          <w:b/>
          <w:sz w:val="30"/>
        </w:rPr>
      </w:pPr>
      <w:bookmarkStart w:id="181" w:name="附件2：履约担保函格式"/>
      <w:bookmarkEnd w:id="181"/>
      <w:bookmarkStart w:id="182" w:name="_Toc8449"/>
      <w:r>
        <w:rPr>
          <w:rFonts w:hint="eastAsia" w:ascii="宋体" w:hAnsi="宋体" w:eastAsia="宋体" w:cs="宋体"/>
          <w:b/>
          <w:sz w:val="30"/>
        </w:rPr>
        <w:t>附件1：履约保证金保函（格式）</w:t>
      </w:r>
      <w:bookmarkEnd w:id="182"/>
    </w:p>
    <w:p>
      <w:pPr>
        <w:spacing w:before="122"/>
        <w:ind w:left="592" w:right="57" w:firstLine="0"/>
        <w:jc w:val="center"/>
        <w:rPr>
          <w:rFonts w:hint="eastAsia" w:ascii="宋体" w:hAnsi="宋体" w:eastAsia="宋体" w:cs="宋体"/>
          <w:b/>
          <w:sz w:val="24"/>
        </w:rPr>
      </w:pPr>
      <w:r>
        <w:rPr>
          <w:rFonts w:hint="eastAsia" w:ascii="宋体" w:hAnsi="宋体" w:eastAsia="宋体" w:cs="宋体"/>
          <w:b/>
          <w:sz w:val="24"/>
        </w:rPr>
        <w:t>（成交后开具）</w:t>
      </w:r>
    </w:p>
    <w:p>
      <w:pPr>
        <w:pStyle w:val="3"/>
        <w:spacing w:before="7"/>
        <w:rPr>
          <w:rFonts w:hint="eastAsia" w:ascii="宋体" w:hAnsi="宋体" w:eastAsia="宋体" w:cs="宋体"/>
          <w:b/>
          <w:sz w:val="19"/>
        </w:rPr>
      </w:pPr>
    </w:p>
    <w:p>
      <w:pPr>
        <w:spacing w:after="0"/>
        <w:rPr>
          <w:rFonts w:hint="eastAsia" w:ascii="宋体" w:hAnsi="宋体" w:eastAsia="宋体" w:cs="宋体"/>
          <w:sz w:val="19"/>
        </w:rPr>
        <w:sectPr>
          <w:pgSz w:w="11910" w:h="16840"/>
          <w:pgMar w:top="1300" w:right="800" w:bottom="1180" w:left="740" w:header="0" w:footer="1000" w:gutter="0"/>
          <w:pgNumType w:fmt="decimal"/>
          <w:cols w:space="720" w:num="1"/>
        </w:sectPr>
      </w:pPr>
    </w:p>
    <w:p>
      <w:pPr>
        <w:pStyle w:val="3"/>
        <w:spacing w:before="66"/>
        <w:ind w:left="1057"/>
        <w:rPr>
          <w:rFonts w:hint="eastAsia" w:ascii="宋体" w:hAnsi="宋体" w:eastAsia="宋体" w:cs="宋体"/>
        </w:rPr>
      </w:pPr>
      <w:r>
        <w:rPr>
          <w:rFonts w:hint="eastAsia" w:ascii="宋体" w:hAnsi="宋体" w:eastAsia="宋体" w:cs="宋体"/>
        </w:rPr>
        <w:t xml:space="preserve">致: </w:t>
      </w:r>
      <w:r>
        <w:rPr>
          <w:rFonts w:hint="eastAsia" w:ascii="宋体" w:hAnsi="宋体" w:eastAsia="宋体" w:cs="宋体"/>
          <w:i w:val="0"/>
          <w:iCs w:val="0"/>
          <w:u w:val="single"/>
        </w:rPr>
        <w:t>(买方名称)</w:t>
      </w:r>
    </w:p>
    <w:p>
      <w:pPr>
        <w:pStyle w:val="3"/>
        <w:spacing w:before="6"/>
        <w:rPr>
          <w:rFonts w:hint="eastAsia" w:ascii="宋体" w:hAnsi="宋体" w:eastAsia="宋体" w:cs="宋体"/>
          <w:sz w:val="29"/>
        </w:rPr>
      </w:pPr>
      <w:r>
        <w:rPr>
          <w:rFonts w:hint="eastAsia" w:ascii="宋体" w:hAnsi="宋体" w:eastAsia="宋体" w:cs="宋体"/>
        </w:rPr>
        <w:br w:type="column"/>
      </w:r>
    </w:p>
    <w:p>
      <w:pPr>
        <w:pStyle w:val="3"/>
        <w:tabs>
          <w:tab w:val="left" w:pos="2583"/>
        </w:tabs>
        <w:spacing w:before="1"/>
        <w:ind w:left="1022"/>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号合同履约保函</w:t>
      </w:r>
    </w:p>
    <w:p>
      <w:pPr>
        <w:spacing w:after="0"/>
        <w:rPr>
          <w:rFonts w:hint="eastAsia" w:ascii="宋体" w:hAnsi="宋体" w:eastAsia="宋体" w:cs="宋体"/>
        </w:rPr>
        <w:sectPr>
          <w:type w:val="continuous"/>
          <w:pgSz w:w="11910" w:h="16840"/>
          <w:pgMar w:top="1580" w:right="800" w:bottom="280" w:left="740" w:header="720" w:footer="720" w:gutter="0"/>
          <w:pgNumType w:fmt="decimal"/>
          <w:cols w:equalWidth="0" w:num="2">
            <w:col w:w="2738" w:space="40"/>
            <w:col w:w="7592"/>
          </w:cols>
        </w:sectPr>
      </w:pPr>
    </w:p>
    <w:p>
      <w:pPr>
        <w:pStyle w:val="3"/>
        <w:spacing w:before="11"/>
        <w:rPr>
          <w:rFonts w:hint="eastAsia" w:ascii="宋体" w:hAnsi="宋体" w:eastAsia="宋体" w:cs="宋体"/>
          <w:sz w:val="18"/>
        </w:rPr>
      </w:pPr>
    </w:p>
    <w:p>
      <w:pPr>
        <w:pStyle w:val="3"/>
        <w:tabs>
          <w:tab w:val="left" w:pos="3522"/>
        </w:tabs>
        <w:spacing w:before="75" w:line="242" w:lineRule="auto"/>
        <w:ind w:left="1057" w:right="1115" w:firstLine="600"/>
        <w:jc w:val="both"/>
        <w:rPr>
          <w:rFonts w:hint="eastAsia" w:ascii="宋体" w:hAnsi="宋体" w:eastAsia="宋体" w:cs="宋体"/>
        </w:rPr>
      </w:pPr>
      <w:r>
        <w:rPr>
          <w:rFonts w:hint="eastAsia" w:ascii="宋体" w:hAnsi="宋体" w:eastAsia="宋体" w:cs="宋体"/>
        </w:rPr>
        <w:t>本保函作为贵方与(</w:t>
      </w:r>
      <w:r>
        <w:rPr>
          <w:rFonts w:hint="eastAsia" w:ascii="宋体" w:hAnsi="宋体" w:eastAsia="宋体" w:cs="宋体"/>
          <w:u w:val="single"/>
        </w:rPr>
        <w:t>卖方名称</w:t>
      </w:r>
      <w:r>
        <w:rPr>
          <w:rFonts w:hint="eastAsia" w:ascii="宋体" w:hAnsi="宋体" w:eastAsia="宋体" w:cs="宋体"/>
        </w:rPr>
        <w:t>)(以下简称卖方)于</w:t>
      </w:r>
      <w:r>
        <w:rPr>
          <w:rFonts w:hint="eastAsia" w:ascii="宋体" w:hAnsi="宋体" w:eastAsia="宋体" w:cs="宋体"/>
          <w:u w:val="single"/>
        </w:rPr>
        <w:t xml:space="preserve">   </w:t>
      </w:r>
      <w:r>
        <w:rPr>
          <w:rFonts w:hint="eastAsia" w:ascii="宋体" w:hAnsi="宋体" w:eastAsia="宋体" w:cs="宋体"/>
          <w:spacing w:val="6"/>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spacing w:val="10"/>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9"/>
          <w:u w:val="single"/>
        </w:rPr>
        <w:t xml:space="preserve"> </w:t>
      </w:r>
      <w:r>
        <w:rPr>
          <w:rFonts w:hint="eastAsia" w:ascii="宋体" w:hAnsi="宋体" w:eastAsia="宋体" w:cs="宋体"/>
          <w:spacing w:val="-12"/>
        </w:rPr>
        <w:t>日</w:t>
      </w:r>
      <w:r>
        <w:rPr>
          <w:rFonts w:hint="eastAsia" w:ascii="宋体" w:hAnsi="宋体" w:eastAsia="宋体" w:cs="宋体"/>
        </w:rPr>
        <w:t>就</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w:t>
      </w:r>
      <w:r>
        <w:rPr>
          <w:rFonts w:hint="eastAsia" w:ascii="宋体" w:hAnsi="宋体" w:eastAsia="宋体" w:cs="宋体"/>
          <w:spacing w:val="4"/>
        </w:rPr>
        <w:t>目(</w:t>
      </w:r>
      <w:r>
        <w:rPr>
          <w:rFonts w:hint="eastAsia" w:ascii="宋体" w:hAnsi="宋体" w:eastAsia="宋体" w:cs="宋体"/>
        </w:rPr>
        <w:t>以</w:t>
      </w:r>
      <w:r>
        <w:rPr>
          <w:rFonts w:hint="eastAsia" w:ascii="宋体" w:hAnsi="宋体" w:eastAsia="宋体" w:cs="宋体"/>
          <w:spacing w:val="4"/>
        </w:rPr>
        <w:t>下</w:t>
      </w:r>
      <w:r>
        <w:rPr>
          <w:rFonts w:hint="eastAsia" w:ascii="宋体" w:hAnsi="宋体" w:eastAsia="宋体" w:cs="宋体"/>
        </w:rPr>
        <w:t>简</w:t>
      </w:r>
      <w:r>
        <w:rPr>
          <w:rFonts w:hint="eastAsia" w:ascii="宋体" w:hAnsi="宋体" w:eastAsia="宋体" w:cs="宋体"/>
          <w:spacing w:val="4"/>
        </w:rPr>
        <w:t>称</w:t>
      </w:r>
      <w:r>
        <w:rPr>
          <w:rFonts w:hint="eastAsia" w:ascii="宋体" w:hAnsi="宋体" w:eastAsia="宋体" w:cs="宋体"/>
        </w:rPr>
        <w:t>项</w:t>
      </w:r>
      <w:r>
        <w:rPr>
          <w:rFonts w:hint="eastAsia" w:ascii="宋体" w:hAnsi="宋体" w:eastAsia="宋体" w:cs="宋体"/>
          <w:spacing w:val="4"/>
        </w:rPr>
        <w:t>目</w:t>
      </w:r>
      <w:r>
        <w:rPr>
          <w:rFonts w:hint="eastAsia" w:ascii="宋体" w:hAnsi="宋体" w:eastAsia="宋体" w:cs="宋体"/>
        </w:rPr>
        <w:t>)项</w:t>
      </w:r>
      <w:r>
        <w:rPr>
          <w:rFonts w:hint="eastAsia" w:ascii="宋体" w:hAnsi="宋体" w:eastAsia="宋体" w:cs="宋体"/>
          <w:spacing w:val="4"/>
        </w:rPr>
        <w:t>下</w:t>
      </w:r>
      <w:r>
        <w:rPr>
          <w:rFonts w:hint="eastAsia" w:ascii="宋体" w:hAnsi="宋体" w:eastAsia="宋体" w:cs="宋体"/>
        </w:rPr>
        <w:t>提</w:t>
      </w:r>
      <w:r>
        <w:rPr>
          <w:rFonts w:hint="eastAsia" w:ascii="宋体" w:hAnsi="宋体" w:eastAsia="宋体" w:cs="宋体"/>
          <w:spacing w:val="4"/>
        </w:rPr>
        <w:t>供</w:t>
      </w:r>
      <w:r>
        <w:rPr>
          <w:rFonts w:hint="eastAsia" w:ascii="宋体" w:hAnsi="宋体" w:eastAsia="宋体" w:cs="宋体"/>
        </w:rPr>
        <w:t>(</w:t>
      </w:r>
      <w:r>
        <w:rPr>
          <w:rFonts w:hint="eastAsia" w:ascii="宋体" w:hAnsi="宋体" w:eastAsia="宋体" w:cs="宋体"/>
          <w:u w:val="single"/>
        </w:rPr>
        <w:t>货</w:t>
      </w:r>
      <w:r>
        <w:rPr>
          <w:rFonts w:hint="eastAsia" w:ascii="宋体" w:hAnsi="宋体" w:eastAsia="宋体" w:cs="宋体"/>
          <w:spacing w:val="4"/>
          <w:u w:val="single"/>
        </w:rPr>
        <w:t>物</w:t>
      </w:r>
      <w:r>
        <w:rPr>
          <w:rFonts w:hint="eastAsia" w:ascii="宋体" w:hAnsi="宋体" w:eastAsia="宋体" w:cs="宋体"/>
          <w:u w:val="single"/>
        </w:rPr>
        <w:t>名</w:t>
      </w:r>
      <w:r>
        <w:rPr>
          <w:rFonts w:hint="eastAsia" w:ascii="宋体" w:hAnsi="宋体" w:eastAsia="宋体" w:cs="宋体"/>
          <w:spacing w:val="4"/>
          <w:u w:val="single"/>
        </w:rPr>
        <w:t>称</w:t>
      </w:r>
      <w:r>
        <w:rPr>
          <w:rFonts w:hint="eastAsia" w:ascii="宋体" w:hAnsi="宋体" w:eastAsia="宋体" w:cs="宋体"/>
        </w:rPr>
        <w:t>)(以</w:t>
      </w:r>
      <w:r>
        <w:rPr>
          <w:rFonts w:hint="eastAsia" w:ascii="宋体" w:hAnsi="宋体" w:eastAsia="宋体" w:cs="宋体"/>
          <w:spacing w:val="4"/>
        </w:rPr>
        <w:t>下</w:t>
      </w:r>
      <w:r>
        <w:rPr>
          <w:rFonts w:hint="eastAsia" w:ascii="宋体" w:hAnsi="宋体" w:eastAsia="宋体" w:cs="宋体"/>
        </w:rPr>
        <w:t>简</w:t>
      </w:r>
      <w:r>
        <w:rPr>
          <w:rFonts w:hint="eastAsia" w:ascii="宋体" w:hAnsi="宋体" w:eastAsia="宋体" w:cs="宋体"/>
          <w:spacing w:val="4"/>
        </w:rPr>
        <w:t>称</w:t>
      </w:r>
      <w:r>
        <w:rPr>
          <w:rFonts w:hint="eastAsia" w:ascii="宋体" w:hAnsi="宋体" w:eastAsia="宋体" w:cs="宋体"/>
        </w:rPr>
        <w:t>货物)签订的(</w:t>
      </w:r>
      <w:r>
        <w:rPr>
          <w:rFonts w:hint="eastAsia" w:ascii="宋体" w:hAnsi="宋体" w:eastAsia="宋体" w:cs="宋体"/>
          <w:u w:val="single"/>
        </w:rPr>
        <w:t>合同号</w:t>
      </w:r>
      <w:r>
        <w:rPr>
          <w:rFonts w:hint="eastAsia" w:ascii="宋体" w:hAnsi="宋体" w:eastAsia="宋体" w:cs="宋体"/>
        </w:rPr>
        <w:t>)号合同的履约保函。</w:t>
      </w:r>
    </w:p>
    <w:p>
      <w:pPr>
        <w:pStyle w:val="3"/>
        <w:spacing w:before="4" w:line="242" w:lineRule="auto"/>
        <w:ind w:left="1057" w:right="1115" w:firstLine="540"/>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u w:val="single"/>
        </w:rPr>
        <w:t>出具保函的银行名称</w:t>
      </w:r>
      <w:r>
        <w:rPr>
          <w:rFonts w:hint="eastAsia" w:ascii="宋体" w:hAnsi="宋体" w:eastAsia="宋体" w:cs="宋体"/>
          <w:spacing w:val="-4"/>
        </w:rPr>
        <w:t>)(以下简称银行)无条件地、不可撤销地具结保证本</w:t>
      </w:r>
      <w:r>
        <w:rPr>
          <w:rFonts w:hint="eastAsia" w:ascii="宋体" w:hAnsi="宋体" w:eastAsia="宋体" w:cs="宋体"/>
          <w:spacing w:val="1"/>
        </w:rPr>
        <w:t>行、其继承人和受让人无追索地向贵方以(</w:t>
      </w:r>
      <w:r>
        <w:rPr>
          <w:rFonts w:hint="eastAsia" w:ascii="宋体" w:hAnsi="宋体" w:eastAsia="宋体" w:cs="宋体"/>
          <w:spacing w:val="3"/>
          <w:u w:val="single"/>
        </w:rPr>
        <w:t>货币名称</w:t>
      </w:r>
      <w:r>
        <w:rPr>
          <w:rFonts w:hint="eastAsia" w:ascii="宋体" w:hAnsi="宋体" w:eastAsia="宋体" w:cs="宋体"/>
          <w:spacing w:val="3"/>
        </w:rPr>
        <w:t>)支付总额不超过(</w:t>
      </w:r>
      <w:r>
        <w:rPr>
          <w:rFonts w:hint="eastAsia" w:ascii="宋体" w:hAnsi="宋体" w:eastAsia="宋体" w:cs="宋体"/>
          <w:spacing w:val="2"/>
          <w:u w:val="single"/>
        </w:rPr>
        <w:t>货币数</w:t>
      </w:r>
      <w:r>
        <w:rPr>
          <w:rFonts w:hint="eastAsia" w:ascii="宋体" w:hAnsi="宋体" w:eastAsia="宋体" w:cs="宋体"/>
          <w:spacing w:val="-232"/>
          <w:u w:val="single"/>
        </w:rPr>
        <w:t>量</w:t>
      </w:r>
      <w:r>
        <w:rPr>
          <w:rFonts w:hint="eastAsia" w:ascii="宋体" w:hAnsi="宋体" w:eastAsia="宋体" w:cs="宋体"/>
        </w:rPr>
        <w:t>),即相当于合同价格的</w:t>
      </w:r>
      <w:r>
        <w:rPr>
          <w:rFonts w:hint="eastAsia" w:ascii="宋体" w:hAnsi="宋体" w:eastAsia="宋体" w:cs="宋体"/>
          <w:spacing w:val="119"/>
          <w:u w:val="single"/>
        </w:rPr>
        <w:t xml:space="preserve"> </w:t>
      </w:r>
      <w:r>
        <w:rPr>
          <w:rFonts w:hint="eastAsia" w:ascii="宋体" w:hAnsi="宋体" w:eastAsia="宋体" w:cs="宋体"/>
        </w:rPr>
        <w:t>%,并以此约定如下:</w:t>
      </w:r>
    </w:p>
    <w:p>
      <w:pPr>
        <w:pStyle w:val="28"/>
        <w:numPr>
          <w:ilvl w:val="2"/>
          <w:numId w:val="12"/>
        </w:numPr>
        <w:tabs>
          <w:tab w:val="left" w:pos="1845"/>
        </w:tabs>
        <w:spacing w:before="4" w:after="0" w:line="242" w:lineRule="auto"/>
        <w:ind w:left="1597" w:right="1115" w:firstLine="0"/>
        <w:jc w:val="both"/>
        <w:rPr>
          <w:rFonts w:hint="eastAsia" w:ascii="宋体" w:hAnsi="宋体" w:eastAsia="宋体" w:cs="宋体"/>
          <w:sz w:val="24"/>
        </w:rPr>
      </w:pPr>
      <w:r>
        <w:rPr>
          <w:rFonts w:hint="eastAsia" w:ascii="宋体" w:hAnsi="宋体" w:eastAsia="宋体" w:cs="宋体"/>
          <w:spacing w:val="4"/>
          <w:sz w:val="24"/>
        </w:rPr>
        <w:t>只要贵方确定卖方未能忠实地履行所有合同文件的规定和双方此后一</w:t>
      </w:r>
      <w:r>
        <w:rPr>
          <w:rFonts w:hint="eastAsia" w:ascii="宋体" w:hAnsi="宋体" w:eastAsia="宋体" w:cs="宋体"/>
          <w:sz w:val="24"/>
        </w:rPr>
        <w:t>致 同意的修改、补充和变动,包括更改和/或修补贵方认为有缺陷的货物</w:t>
      </w:r>
      <w:r>
        <w:rPr>
          <w:rFonts w:hint="eastAsia" w:ascii="宋体" w:hAnsi="宋体" w:eastAsia="宋体" w:cs="宋体"/>
          <w:spacing w:val="2"/>
          <w:sz w:val="24"/>
        </w:rPr>
        <w:t>(以下简称违约),无论卖方有任何反对,本行将凭贵方关于卖方违约说明</w:t>
      </w:r>
      <w:r>
        <w:rPr>
          <w:rFonts w:hint="eastAsia" w:ascii="宋体" w:hAnsi="宋体" w:eastAsia="宋体" w:cs="宋体"/>
          <w:sz w:val="24"/>
        </w:rPr>
        <w:t>的书面通知,立即按贵方提出的累计总额不超过上述金额的款项和按贵方通知规定的方式付给贵方。</w:t>
      </w:r>
    </w:p>
    <w:p>
      <w:pPr>
        <w:pStyle w:val="28"/>
        <w:numPr>
          <w:ilvl w:val="2"/>
          <w:numId w:val="12"/>
        </w:numPr>
        <w:tabs>
          <w:tab w:val="left" w:pos="1839"/>
        </w:tabs>
        <w:spacing w:before="7" w:after="0" w:line="242" w:lineRule="auto"/>
        <w:ind w:left="1597" w:right="995" w:firstLine="0"/>
        <w:jc w:val="left"/>
        <w:rPr>
          <w:rFonts w:hint="eastAsia" w:ascii="宋体" w:hAnsi="宋体" w:eastAsia="宋体" w:cs="宋体"/>
          <w:sz w:val="24"/>
        </w:rPr>
      </w:pPr>
      <w:r>
        <w:rPr>
          <w:rFonts w:hint="eastAsia" w:ascii="宋体" w:hAnsi="宋体" w:eastAsia="宋体" w:cs="宋体"/>
          <w:spacing w:val="-9"/>
          <w:sz w:val="24"/>
        </w:rPr>
        <w:t>本保函项下的任何支付应为免税和净值。对于现有或将来的税收、关税、</w:t>
      </w:r>
      <w:r>
        <w:rPr>
          <w:rFonts w:hint="eastAsia" w:ascii="宋体" w:hAnsi="宋体" w:eastAsia="宋体" w:cs="宋体"/>
          <w:spacing w:val="-5"/>
          <w:sz w:val="24"/>
        </w:rPr>
        <w:t>收费、费用扣减或预提税款，不论这些款项是何种性质和由谁征收，都不应从本保函项下的支付中扣除。</w:t>
      </w:r>
    </w:p>
    <w:p>
      <w:pPr>
        <w:pStyle w:val="28"/>
        <w:numPr>
          <w:ilvl w:val="2"/>
          <w:numId w:val="12"/>
        </w:numPr>
        <w:tabs>
          <w:tab w:val="left" w:pos="1839"/>
        </w:tabs>
        <w:spacing w:before="4" w:after="0" w:line="242" w:lineRule="auto"/>
        <w:ind w:left="1597" w:right="1115" w:firstLine="0"/>
        <w:jc w:val="both"/>
        <w:rPr>
          <w:rFonts w:hint="eastAsia" w:ascii="宋体" w:hAnsi="宋体" w:eastAsia="宋体" w:cs="宋体"/>
          <w:sz w:val="24"/>
        </w:rPr>
      </w:pPr>
      <w:r>
        <w:rPr>
          <w:rFonts w:hint="eastAsia" w:ascii="宋体" w:hAnsi="宋体" w:eastAsia="宋体" w:cs="宋体"/>
          <w:spacing w:val="-3"/>
          <w:sz w:val="24"/>
        </w:rPr>
        <w:t>本保函的条款构成本行无条件的、不可撤销的直接责任。对即将履行的</w:t>
      </w:r>
      <w:r>
        <w:rPr>
          <w:rFonts w:hint="eastAsia" w:ascii="宋体" w:hAnsi="宋体" w:eastAsia="宋体" w:cs="宋体"/>
          <w:spacing w:val="-4"/>
          <w:sz w:val="24"/>
        </w:rPr>
        <w:t>合同条款的任何变更、贵方在时间上的宽限、或由贵方采取的如果没有本</w:t>
      </w:r>
      <w:r>
        <w:rPr>
          <w:rFonts w:hint="eastAsia" w:ascii="宋体" w:hAnsi="宋体" w:eastAsia="宋体" w:cs="宋体"/>
          <w:spacing w:val="-3"/>
          <w:sz w:val="24"/>
        </w:rPr>
        <w:t>款可能免除本行责任的任何其它行为，均不能解除或免除本行在本保函项</w:t>
      </w:r>
      <w:r>
        <w:rPr>
          <w:rFonts w:hint="eastAsia" w:ascii="宋体" w:hAnsi="宋体" w:eastAsia="宋体" w:cs="宋体"/>
          <w:sz w:val="24"/>
        </w:rPr>
        <w:t>下的责任。</w:t>
      </w:r>
    </w:p>
    <w:p>
      <w:pPr>
        <w:pStyle w:val="28"/>
        <w:numPr>
          <w:ilvl w:val="2"/>
          <w:numId w:val="12"/>
        </w:numPr>
        <w:tabs>
          <w:tab w:val="left" w:pos="1839"/>
        </w:tabs>
        <w:spacing w:before="6" w:after="0" w:line="240" w:lineRule="auto"/>
        <w:ind w:left="1838" w:right="0" w:hanging="242"/>
        <w:jc w:val="left"/>
        <w:rPr>
          <w:rFonts w:hint="eastAsia" w:ascii="宋体" w:hAnsi="宋体" w:eastAsia="宋体" w:cs="宋体"/>
          <w:sz w:val="24"/>
        </w:rPr>
      </w:pPr>
      <w:r>
        <w:rPr>
          <w:rFonts w:hint="eastAsia" w:ascii="宋体" w:hAnsi="宋体" w:eastAsia="宋体" w:cs="宋体"/>
          <w:sz w:val="24"/>
        </w:rPr>
        <w:t>本保函在本合同规定的保证期期满前完全有效。</w:t>
      </w:r>
    </w:p>
    <w:p>
      <w:pPr>
        <w:pStyle w:val="3"/>
        <w:spacing w:before="9"/>
        <w:rPr>
          <w:rFonts w:hint="eastAsia" w:ascii="宋体" w:hAnsi="宋体" w:eastAsia="宋体" w:cs="宋体"/>
        </w:rPr>
      </w:pPr>
    </w:p>
    <w:p>
      <w:pPr>
        <w:pStyle w:val="3"/>
        <w:ind w:left="1597"/>
        <w:rPr>
          <w:rFonts w:hint="eastAsia" w:ascii="宋体" w:hAnsi="宋体" w:eastAsia="宋体" w:cs="宋体"/>
        </w:rPr>
      </w:pPr>
      <w:r>
        <w:rPr>
          <w:rFonts w:hint="eastAsia" w:ascii="宋体" w:hAnsi="宋体" w:eastAsia="宋体" w:cs="宋体"/>
        </w:rPr>
        <w:t>谨启</w:t>
      </w:r>
    </w:p>
    <w:p>
      <w:pPr>
        <w:pStyle w:val="3"/>
        <w:tabs>
          <w:tab w:val="left" w:pos="7296"/>
        </w:tabs>
        <w:spacing w:before="5" w:line="242" w:lineRule="auto"/>
        <w:ind w:left="1597" w:right="3067"/>
        <w:jc w:val="both"/>
        <w:rPr>
          <w:rFonts w:ascii="Times New Roman" w:eastAsia="Times New Roman"/>
        </w:rPr>
      </w:pPr>
      <w:r>
        <w:rPr>
          <w:rFonts w:hint="eastAsia" w:ascii="宋体" w:hAnsi="宋体" w:eastAsia="宋体" w:cs="宋体"/>
          <w:spacing w:val="-1"/>
        </w:rPr>
        <w:t>出</w:t>
      </w:r>
      <w:r>
        <w:rPr>
          <w:rFonts w:hint="eastAsia" w:ascii="宋体" w:hAnsi="宋体" w:eastAsia="宋体" w:cs="宋体"/>
        </w:rPr>
        <w:t>具保函银行名称：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u w:val="single"/>
        </w:rPr>
        <w:t xml:space="preserve">                           </w:t>
      </w:r>
      <w:r>
        <w:rPr>
          <w:rFonts w:hint="eastAsia" w:ascii="宋体" w:hAnsi="宋体" w:eastAsia="宋体" w:cs="宋体"/>
          <w:spacing w:val="27"/>
          <w:u w:val="single"/>
        </w:rPr>
        <w:t xml:space="preserve"> </w:t>
      </w:r>
      <w:r>
        <w:rPr>
          <w:rFonts w:hint="eastAsia" w:ascii="宋体" w:hAnsi="宋体" w:eastAsia="宋体" w:cs="宋体"/>
          <w:spacing w:val="-1"/>
        </w:rPr>
        <w:t>签</w:t>
      </w:r>
      <w:r>
        <w:rPr>
          <w:rFonts w:hint="eastAsia" w:ascii="宋体" w:hAnsi="宋体" w:eastAsia="宋体" w:cs="宋体"/>
        </w:rPr>
        <w:t>字人姓名和职务：</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u w:val="single"/>
        </w:rPr>
        <w:t xml:space="preserve">                           </w:t>
      </w:r>
      <w:r>
        <w:rPr>
          <w:rFonts w:hint="eastAsia" w:ascii="宋体" w:hAnsi="宋体" w:eastAsia="宋体" w:cs="宋体"/>
          <w:spacing w:val="27"/>
          <w:u w:val="single"/>
        </w:rPr>
        <w:t xml:space="preserve"> </w:t>
      </w:r>
      <w:r>
        <w:rPr>
          <w:rFonts w:hint="eastAsia" w:ascii="宋体" w:hAnsi="宋体" w:eastAsia="宋体" w:cs="宋体"/>
          <w:spacing w:val="-1"/>
        </w:rPr>
        <w:t>签</w:t>
      </w:r>
      <w:r>
        <w:rPr>
          <w:rFonts w:hint="eastAsia" w:ascii="宋体" w:hAnsi="宋体" w:eastAsia="宋体" w:cs="宋体"/>
        </w:rPr>
        <w:t>字人签名：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u w:val="single"/>
        </w:rPr>
        <w:t xml:space="preserve">                                 </w:t>
      </w:r>
      <w:r>
        <w:rPr>
          <w:rFonts w:hint="eastAsia" w:ascii="宋体" w:hAnsi="宋体" w:eastAsia="宋体" w:cs="宋体"/>
          <w:spacing w:val="33"/>
          <w:u w:val="single"/>
        </w:rPr>
        <w:t xml:space="preserve"> </w:t>
      </w:r>
      <w:r>
        <w:rPr>
          <w:rFonts w:hint="eastAsia" w:ascii="宋体" w:hAnsi="宋体" w:eastAsia="宋体" w:cs="宋体"/>
          <w:spacing w:val="-1"/>
        </w:rPr>
        <w:t>公</w:t>
      </w:r>
      <w:r>
        <w:rPr>
          <w:rFonts w:hint="eastAsia" w:ascii="宋体" w:hAnsi="宋体" w:eastAsia="宋体" w:cs="宋体"/>
          <w:spacing w:val="-1"/>
          <w:lang w:val="en-US" w:eastAsia="zh-CN"/>
        </w:rPr>
        <w:t xml:space="preserve">      </w:t>
      </w:r>
      <w:r>
        <w:rPr>
          <w:rFonts w:hint="eastAsia" w:ascii="宋体" w:hAnsi="宋体" w:eastAsia="宋体" w:cs="宋体"/>
        </w:rPr>
        <w:t>章：</w:t>
      </w:r>
      <w:r>
        <w:rPr>
          <w:rFonts w:hint="eastAsia" w:ascii="宋体" w:hAnsi="宋体" w:eastAsia="宋体" w:cs="宋体"/>
          <w:u w:val="single"/>
        </w:rPr>
        <w:t xml:space="preserve"> </w:t>
      </w:r>
      <w:r>
        <w:rPr>
          <w:rFonts w:hint="eastAsia" w:ascii="宋体" w:hAnsi="宋体" w:eastAsia="宋体" w:cs="宋体"/>
          <w:u w:val="single"/>
        </w:rPr>
        <w:tab/>
      </w:r>
    </w:p>
    <w:p>
      <w:pPr>
        <w:spacing w:after="0" w:line="242" w:lineRule="auto"/>
        <w:jc w:val="both"/>
        <w:rPr>
          <w:rFonts w:ascii="Times New Roman" w:eastAsia="Times New Roman"/>
        </w:rPr>
        <w:sectPr>
          <w:type w:val="continuous"/>
          <w:pgSz w:w="11910" w:h="16840"/>
          <w:pgMar w:top="1580" w:right="800" w:bottom="280" w:left="740" w:header="720" w:footer="720" w:gutter="0"/>
          <w:pgNumType w:fmt="decimal"/>
          <w:cols w:space="720" w:num="1"/>
        </w:sectPr>
      </w:pPr>
    </w:p>
    <w:p>
      <w:pPr>
        <w:spacing w:before="41"/>
        <w:ind w:left="654" w:right="57" w:firstLine="0"/>
        <w:jc w:val="center"/>
        <w:outlineLvl w:val="1"/>
        <w:rPr>
          <w:rFonts w:hint="eastAsia" w:ascii="宋体" w:hAnsi="宋体" w:eastAsia="宋体" w:cs="宋体"/>
          <w:b/>
          <w:sz w:val="30"/>
        </w:rPr>
      </w:pPr>
      <w:bookmarkStart w:id="183" w:name="_Toc11516"/>
      <w:r>
        <w:rPr>
          <w:rFonts w:hint="eastAsia" w:ascii="宋体" w:hAnsi="宋体" w:eastAsia="宋体" w:cs="宋体"/>
          <w:b/>
          <w:sz w:val="30"/>
        </w:rPr>
        <w:t>附件2：履约担保函格式</w:t>
      </w:r>
      <w:bookmarkEnd w:id="183"/>
    </w:p>
    <w:p>
      <w:pPr>
        <w:spacing w:before="240"/>
        <w:ind w:left="657" w:right="57" w:firstLine="0"/>
        <w:jc w:val="center"/>
        <w:rPr>
          <w:rFonts w:hint="eastAsia" w:ascii="宋体" w:hAnsi="宋体" w:eastAsia="宋体" w:cs="宋体"/>
          <w:b/>
          <w:sz w:val="30"/>
        </w:rPr>
      </w:pPr>
      <w:bookmarkStart w:id="184" w:name="（采用政府采购信用担保形式时使用）"/>
      <w:bookmarkEnd w:id="184"/>
      <w:r>
        <w:rPr>
          <w:rFonts w:hint="eastAsia" w:ascii="宋体" w:hAnsi="宋体" w:eastAsia="宋体" w:cs="宋体"/>
          <w:b/>
          <w:sz w:val="30"/>
        </w:rPr>
        <w:t>（采用政府采购信用担保形式时使用）</w:t>
      </w:r>
    </w:p>
    <w:p>
      <w:pPr>
        <w:pStyle w:val="3"/>
        <w:spacing w:before="9"/>
        <w:rPr>
          <w:rFonts w:hint="eastAsia" w:ascii="宋体" w:hAnsi="宋体" w:eastAsia="宋体" w:cs="宋体"/>
          <w:b/>
          <w:sz w:val="28"/>
        </w:rPr>
      </w:pPr>
    </w:p>
    <w:p>
      <w:pPr>
        <w:pStyle w:val="3"/>
        <w:spacing w:before="66"/>
        <w:ind w:left="1076" w:right="1137"/>
        <w:jc w:val="center"/>
        <w:rPr>
          <w:rFonts w:hint="eastAsia" w:ascii="宋体" w:hAnsi="宋体" w:eastAsia="宋体" w:cs="宋体"/>
          <w:b/>
          <w:bCs/>
        </w:rPr>
      </w:pPr>
      <w:r>
        <w:rPr>
          <w:rFonts w:hint="eastAsia" w:ascii="宋体" w:hAnsi="宋体" w:eastAsia="宋体" w:cs="宋体"/>
          <w:b/>
          <w:bCs/>
        </w:rPr>
        <w:t>政府采购履约担保函（项目用）</w:t>
      </w:r>
    </w:p>
    <w:p>
      <w:pPr>
        <w:pStyle w:val="3"/>
        <w:spacing w:before="4"/>
        <w:ind w:left="4766" w:right="57"/>
        <w:jc w:val="center"/>
        <w:rPr>
          <w:rFonts w:hint="eastAsia" w:ascii="宋体" w:hAnsi="宋体" w:eastAsia="宋体" w:cs="宋体"/>
          <w:b/>
          <w:bCs/>
        </w:rPr>
      </w:pPr>
      <w:r>
        <w:rPr>
          <w:rFonts w:hint="eastAsia" w:ascii="宋体" w:hAnsi="宋体" w:eastAsia="宋体" w:cs="宋体"/>
          <w:b/>
          <w:bCs/>
        </w:rPr>
        <w:t>编号：</w:t>
      </w:r>
    </w:p>
    <w:p>
      <w:pPr>
        <w:pStyle w:val="3"/>
        <w:spacing w:before="12"/>
        <w:rPr>
          <w:rFonts w:hint="eastAsia" w:ascii="宋体" w:hAnsi="宋体" w:eastAsia="宋体" w:cs="宋体"/>
          <w:b/>
          <w:bCs/>
          <w:sz w:val="18"/>
        </w:rPr>
      </w:pPr>
    </w:p>
    <w:p>
      <w:pPr>
        <w:pStyle w:val="3"/>
        <w:tabs>
          <w:tab w:val="left" w:pos="3217"/>
        </w:tabs>
        <w:spacing w:before="74"/>
        <w:ind w:left="1056"/>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（采购人）：</w:t>
      </w:r>
    </w:p>
    <w:p>
      <w:pPr>
        <w:pStyle w:val="3"/>
        <w:spacing w:before="9"/>
        <w:rPr>
          <w:rFonts w:hint="eastAsia" w:ascii="宋体" w:hAnsi="宋体" w:eastAsia="宋体" w:cs="宋体"/>
        </w:rPr>
      </w:pPr>
    </w:p>
    <w:p>
      <w:pPr>
        <w:pStyle w:val="3"/>
        <w:tabs>
          <w:tab w:val="left" w:pos="4191"/>
          <w:tab w:val="left" w:pos="5091"/>
        </w:tabs>
        <w:spacing w:line="242" w:lineRule="auto"/>
        <w:ind w:left="1057" w:right="1115" w:firstLine="480"/>
        <w:jc w:val="both"/>
        <w:rPr>
          <w:rFonts w:hint="eastAsia" w:ascii="宋体" w:hAnsi="宋体" w:eastAsia="宋体" w:cs="宋体"/>
        </w:rPr>
      </w:pPr>
      <w:r>
        <w:rPr>
          <w:rFonts w:hint="eastAsia" w:ascii="宋体" w:hAnsi="宋体" w:eastAsia="宋体" w:cs="宋体"/>
        </w:rPr>
        <w:t>鉴于你方与</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rPr>
        <w:t>以下简称投标人</w:t>
      </w:r>
      <w:r>
        <w:rPr>
          <w:rFonts w:hint="eastAsia" w:ascii="宋体" w:hAnsi="宋体" w:eastAsia="宋体" w:cs="宋体"/>
          <w:spacing w:val="-44"/>
        </w:rPr>
        <w:t>）</w:t>
      </w:r>
      <w:r>
        <w:rPr>
          <w:rFonts w:hint="eastAsia" w:ascii="宋体" w:hAnsi="宋体" w:eastAsia="宋体" w:cs="宋体"/>
        </w:rPr>
        <w:t>于</w:t>
      </w:r>
      <w:r>
        <w:rPr>
          <w:rFonts w:hint="eastAsia" w:ascii="宋体" w:hAnsi="宋体" w:eastAsia="宋体" w:cs="宋体"/>
          <w:spacing w:val="118"/>
          <w:u w:val="single"/>
        </w:rPr>
        <w:t xml:space="preserve"> </w:t>
      </w:r>
      <w:r>
        <w:rPr>
          <w:rFonts w:hint="eastAsia" w:ascii="宋体" w:hAnsi="宋体" w:eastAsia="宋体" w:cs="宋体"/>
        </w:rPr>
        <w:t>年</w:t>
      </w:r>
      <w:r>
        <w:rPr>
          <w:rFonts w:hint="eastAsia" w:ascii="宋体" w:hAnsi="宋体" w:eastAsia="宋体" w:cs="宋体"/>
          <w:spacing w:val="119"/>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spacing w:val="-13"/>
        </w:rPr>
        <w:t>签</w:t>
      </w:r>
      <w:r>
        <w:rPr>
          <w:rFonts w:hint="eastAsia" w:ascii="宋体" w:hAnsi="宋体" w:eastAsia="宋体" w:cs="宋体"/>
        </w:rPr>
        <w:t xml:space="preserve">定编号为  </w:t>
      </w:r>
      <w:r>
        <w:rPr>
          <w:rFonts w:hint="eastAsia" w:ascii="宋体" w:hAnsi="宋体" w:eastAsia="宋体" w:cs="宋体"/>
          <w:spacing w:val="2"/>
        </w:rPr>
        <w:t xml:space="preserve"> </w:t>
      </w:r>
      <w:r>
        <w:rPr>
          <w:rFonts w:hint="eastAsia" w:ascii="宋体" w:hAnsi="宋体" w:eastAsia="宋体" w:cs="宋体"/>
        </w:rPr>
        <w:t>的《</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政府采购合同》（以下简称主合同），且依据</w:t>
      </w:r>
      <w:r>
        <w:rPr>
          <w:rFonts w:hint="eastAsia" w:ascii="宋体" w:hAnsi="宋体" w:eastAsia="宋体" w:cs="宋体"/>
          <w:spacing w:val="-12"/>
        </w:rPr>
        <w:t>该</w:t>
      </w:r>
      <w:r>
        <w:rPr>
          <w:rFonts w:hint="eastAsia" w:ascii="宋体" w:hAnsi="宋体" w:eastAsia="宋体" w:cs="宋体"/>
        </w:rPr>
        <w:t>合同的约定，投标人应在</w:t>
      </w:r>
      <w:r>
        <w:rPr>
          <w:rFonts w:hint="eastAsia" w:ascii="宋体" w:hAnsi="宋体" w:eastAsia="宋体" w:cs="宋体"/>
          <w:spacing w:val="119"/>
          <w:u w:val="single"/>
        </w:rPr>
        <w:t xml:space="preserve"> </w:t>
      </w:r>
      <w:r>
        <w:rPr>
          <w:rFonts w:hint="eastAsia" w:ascii="宋体" w:hAnsi="宋体" w:eastAsia="宋体" w:cs="宋体"/>
          <w:spacing w:val="119"/>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日前向你方交纳履约保证金</w:t>
      </w:r>
      <w:r>
        <w:rPr>
          <w:rFonts w:hint="eastAsia" w:ascii="宋体" w:hAnsi="宋体" w:eastAsia="宋体" w:cs="宋体"/>
          <w:spacing w:val="-89"/>
        </w:rPr>
        <w:t>，</w:t>
      </w:r>
      <w:r>
        <w:rPr>
          <w:rFonts w:hint="eastAsia" w:ascii="宋体" w:hAnsi="宋体" w:eastAsia="宋体" w:cs="宋体"/>
        </w:rPr>
        <w:t>且可以履约担保函的形式交纳履约保</w:t>
      </w:r>
      <w:r>
        <w:rPr>
          <w:rFonts w:hint="eastAsia" w:ascii="宋体" w:hAnsi="宋体" w:eastAsia="宋体" w:cs="宋体"/>
          <w:spacing w:val="-17"/>
        </w:rPr>
        <w:t>证</w:t>
      </w:r>
      <w:r>
        <w:rPr>
          <w:rFonts w:hint="eastAsia" w:ascii="宋体" w:hAnsi="宋体" w:eastAsia="宋体" w:cs="宋体"/>
        </w:rPr>
        <w:t>金。应投标人的申请，我方以保证的方式向你方提供如下履约保证金担保：</w:t>
      </w:r>
    </w:p>
    <w:p>
      <w:pPr>
        <w:pStyle w:val="3"/>
        <w:spacing w:before="3"/>
        <w:ind w:left="1537"/>
        <w:rPr>
          <w:rFonts w:hint="eastAsia" w:ascii="宋体" w:hAnsi="宋体" w:eastAsia="宋体" w:cs="宋体"/>
        </w:rPr>
      </w:pPr>
      <w:r>
        <w:rPr>
          <w:rFonts w:hint="eastAsia" w:ascii="宋体" w:hAnsi="宋体" w:eastAsia="宋体" w:cs="宋体"/>
        </w:rPr>
        <w:t>一、保证责任的情形及保证金额</w:t>
      </w:r>
    </w:p>
    <w:p>
      <w:pPr>
        <w:pStyle w:val="3"/>
        <w:spacing w:before="4"/>
        <w:ind w:left="1537"/>
        <w:rPr>
          <w:rFonts w:hint="eastAsia" w:ascii="宋体" w:hAnsi="宋体" w:eastAsia="宋体" w:cs="宋体"/>
        </w:rPr>
      </w:pPr>
      <w:r>
        <w:rPr>
          <w:rFonts w:hint="eastAsia" w:ascii="宋体" w:hAnsi="宋体" w:eastAsia="宋体" w:cs="宋体"/>
        </w:rPr>
        <w:t>（一）在投标人出现下列情形之一时，我方承担保证责任：</w:t>
      </w:r>
    </w:p>
    <w:p>
      <w:pPr>
        <w:pStyle w:val="28"/>
        <w:numPr>
          <w:ilvl w:val="0"/>
          <w:numId w:val="13"/>
        </w:numPr>
        <w:tabs>
          <w:tab w:val="left" w:pos="1899"/>
        </w:tabs>
        <w:spacing w:before="5" w:after="0" w:line="242" w:lineRule="auto"/>
        <w:ind w:left="1057" w:right="1115" w:firstLine="480"/>
        <w:jc w:val="left"/>
        <w:rPr>
          <w:rFonts w:hint="eastAsia" w:ascii="宋体" w:hAnsi="宋体" w:eastAsia="宋体" w:cs="宋体"/>
          <w:sz w:val="24"/>
        </w:rPr>
      </w:pPr>
      <w:r>
        <w:rPr>
          <w:rFonts w:hint="eastAsia" w:ascii="宋体" w:hAnsi="宋体" w:eastAsia="宋体" w:cs="宋体"/>
          <w:spacing w:val="-5"/>
          <w:sz w:val="24"/>
        </w:rPr>
        <w:t>将中标项目转让给他人，或者在投标文件中未说明，且未经采购招标</w:t>
      </w:r>
      <w:r>
        <w:rPr>
          <w:rFonts w:hint="eastAsia" w:ascii="宋体" w:hAnsi="宋体" w:eastAsia="宋体" w:cs="宋体"/>
          <w:spacing w:val="-4"/>
          <w:sz w:val="24"/>
        </w:rPr>
        <w:t>机构人同意，将中标项目分包给他人的；</w:t>
      </w:r>
    </w:p>
    <w:p>
      <w:pPr>
        <w:pStyle w:val="28"/>
        <w:numPr>
          <w:ilvl w:val="0"/>
          <w:numId w:val="13"/>
        </w:numPr>
        <w:tabs>
          <w:tab w:val="left" w:pos="1899"/>
        </w:tabs>
        <w:spacing w:before="2" w:after="0" w:line="240" w:lineRule="auto"/>
        <w:ind w:left="1898" w:right="0" w:hanging="362"/>
        <w:jc w:val="left"/>
        <w:rPr>
          <w:rFonts w:hint="eastAsia" w:ascii="宋体" w:hAnsi="宋体" w:eastAsia="宋体" w:cs="宋体"/>
          <w:sz w:val="24"/>
        </w:rPr>
      </w:pPr>
      <w:r>
        <w:rPr>
          <w:rFonts w:hint="eastAsia" w:ascii="宋体" w:hAnsi="宋体" w:eastAsia="宋体" w:cs="宋体"/>
          <w:sz w:val="24"/>
        </w:rPr>
        <w:t>主合同约定的应当缴纳履约保证金的情形:</w:t>
      </w:r>
    </w:p>
    <w:p>
      <w:pPr>
        <w:ind w:firstLine="1200" w:firstLineChars="500"/>
        <w:rPr>
          <w:rFonts w:hint="eastAsia" w:ascii="宋体" w:hAnsi="宋体" w:eastAsia="宋体" w:cs="宋体"/>
          <w:i w:val="0"/>
          <w:iCs w:val="0"/>
          <w:sz w:val="24"/>
        </w:rPr>
      </w:pPr>
      <w:r>
        <w:rPr>
          <w:rFonts w:hint="eastAsia" w:ascii="宋体" w:hAnsi="宋体" w:eastAsia="宋体" w:cs="宋体"/>
          <w:i w:val="0"/>
          <w:iCs w:val="0"/>
          <w:sz w:val="24"/>
        </w:rPr>
        <w:t>（1）未按主合同约定的质量、数量和期限供应货物/提供服务/完成工程的；</w:t>
      </w:r>
    </w:p>
    <w:p>
      <w:pPr>
        <w:ind w:firstLine="1200" w:firstLineChars="500"/>
        <w:rPr>
          <w:rFonts w:hint="eastAsia" w:ascii="宋体" w:hAnsi="宋体" w:eastAsia="宋体" w:cs="宋体"/>
          <w:sz w:val="24"/>
        </w:rPr>
      </w:pPr>
      <w:r>
        <w:rPr>
          <w:rFonts w:hint="eastAsia" w:ascii="宋体" w:hAnsi="宋体" w:eastAsia="宋体" w:cs="宋体"/>
          <w:i w:val="0"/>
          <w:iCs w:val="0"/>
          <w:sz w:val="24"/>
        </w:rPr>
        <w:t>（2）</w:t>
      </w:r>
      <w:r>
        <w:rPr>
          <w:rFonts w:hint="eastAsia" w:ascii="宋体" w:hAnsi="宋体" w:eastAsia="宋体" w:cs="宋体"/>
          <w:i w:val="0"/>
          <w:iCs w:val="0"/>
          <w:sz w:val="24"/>
          <w:u w:val="single"/>
        </w:rPr>
        <w:t xml:space="preserve">                                                           </w:t>
      </w:r>
      <w:r>
        <w:rPr>
          <w:rFonts w:hint="eastAsia" w:ascii="宋体" w:hAnsi="宋体" w:eastAsia="宋体" w:cs="宋体"/>
          <w:i w:val="0"/>
          <w:iCs w:val="0"/>
          <w:sz w:val="24"/>
        </w:rPr>
        <w:t>。</w:t>
      </w:r>
    </w:p>
    <w:p>
      <w:pPr>
        <w:pStyle w:val="3"/>
        <w:tabs>
          <w:tab w:val="left" w:pos="3337"/>
          <w:tab w:val="left" w:pos="5497"/>
          <w:tab w:val="left" w:pos="8394"/>
        </w:tabs>
        <w:spacing w:before="5" w:line="242" w:lineRule="auto"/>
        <w:ind w:left="1057" w:right="1115" w:firstLine="480"/>
        <w:rPr>
          <w:rFonts w:hint="eastAsia" w:ascii="宋体" w:hAnsi="宋体" w:eastAsia="宋体" w:cs="宋体"/>
        </w:rPr>
      </w:pPr>
      <w:r>
        <w:rPr>
          <w:rFonts w:hint="eastAsia" w:ascii="宋体" w:hAnsi="宋体" w:eastAsia="宋体" w:cs="宋体"/>
          <w:spacing w:val="4"/>
        </w:rPr>
        <w:t>（二</w:t>
      </w:r>
      <w:r>
        <w:rPr>
          <w:rFonts w:hint="eastAsia" w:ascii="宋体" w:hAnsi="宋体" w:eastAsia="宋体" w:cs="宋体"/>
        </w:rPr>
        <w:t>）</w:t>
      </w:r>
      <w:r>
        <w:rPr>
          <w:rFonts w:hint="eastAsia" w:ascii="宋体" w:hAnsi="宋体" w:eastAsia="宋体" w:cs="宋体"/>
          <w:spacing w:val="4"/>
        </w:rPr>
        <w:t>我方的保</w:t>
      </w:r>
      <w:r>
        <w:rPr>
          <w:rFonts w:hint="eastAsia" w:ascii="宋体" w:hAnsi="宋体" w:eastAsia="宋体" w:cs="宋体"/>
        </w:rPr>
        <w:t>证</w:t>
      </w:r>
      <w:r>
        <w:rPr>
          <w:rFonts w:hint="eastAsia" w:ascii="宋体" w:hAnsi="宋体" w:eastAsia="宋体" w:cs="宋体"/>
          <w:spacing w:val="4"/>
        </w:rPr>
        <w:t>范围是主</w:t>
      </w:r>
      <w:r>
        <w:rPr>
          <w:rFonts w:hint="eastAsia" w:ascii="宋体" w:hAnsi="宋体" w:eastAsia="宋体" w:cs="宋体"/>
        </w:rPr>
        <w:t>合</w:t>
      </w:r>
      <w:r>
        <w:rPr>
          <w:rFonts w:hint="eastAsia" w:ascii="宋体" w:hAnsi="宋体" w:eastAsia="宋体" w:cs="宋体"/>
          <w:spacing w:val="4"/>
        </w:rPr>
        <w:t>同约定的</w:t>
      </w:r>
      <w:r>
        <w:rPr>
          <w:rFonts w:hint="eastAsia" w:ascii="宋体" w:hAnsi="宋体" w:eastAsia="宋体" w:cs="宋体"/>
        </w:rPr>
        <w:t>合</w:t>
      </w:r>
      <w:r>
        <w:rPr>
          <w:rFonts w:hint="eastAsia" w:ascii="宋体" w:hAnsi="宋体" w:eastAsia="宋体" w:cs="宋体"/>
          <w:spacing w:val="4"/>
        </w:rPr>
        <w:t>同价款总</w:t>
      </w:r>
      <w:r>
        <w:rPr>
          <w:rFonts w:hint="eastAsia" w:ascii="宋体" w:hAnsi="宋体" w:eastAsia="宋体" w:cs="宋体"/>
        </w:rPr>
        <w:t>额</w:t>
      </w:r>
      <w:r>
        <w:rPr>
          <w:rFonts w:hint="eastAsia" w:ascii="宋体" w:hAnsi="宋体" w:eastAsia="宋体" w:cs="宋体"/>
          <w:spacing w:val="4"/>
        </w:rPr>
        <w:t>的</w:t>
      </w:r>
      <w:r>
        <w:rPr>
          <w:rFonts w:hint="eastAsia" w:ascii="宋体" w:hAnsi="宋体" w:eastAsia="宋体" w:cs="宋体"/>
          <w:spacing w:val="4"/>
          <w:u w:val="single"/>
        </w:rPr>
        <w:t xml:space="preserve"> </w:t>
      </w:r>
      <w:r>
        <w:rPr>
          <w:rFonts w:hint="eastAsia" w:ascii="宋体" w:hAnsi="宋体" w:eastAsia="宋体" w:cs="宋体"/>
          <w:spacing w:val="4"/>
          <w:u w:val="single"/>
        </w:rPr>
        <w:tab/>
      </w:r>
      <w:r>
        <w:rPr>
          <w:rFonts w:hint="eastAsia" w:ascii="宋体" w:hAnsi="宋体" w:eastAsia="宋体" w:cs="宋体"/>
          <w:spacing w:val="4"/>
        </w:rPr>
        <w:t>%数额</w:t>
      </w:r>
      <w:r>
        <w:rPr>
          <w:rFonts w:hint="eastAsia" w:ascii="宋体" w:hAnsi="宋体" w:eastAsia="宋体" w:cs="宋体"/>
          <w:spacing w:val="-15"/>
        </w:rPr>
        <w:t>为</w:t>
      </w:r>
      <w:r>
        <w:rPr>
          <w:rFonts w:hint="eastAsia" w:ascii="宋体" w:hAnsi="宋体" w:eastAsia="宋体" w:cs="宋体"/>
        </w:rPr>
        <w:t>元（大写</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），币种为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。（即主合同履约保证金金额）</w:t>
      </w:r>
    </w:p>
    <w:p>
      <w:pPr>
        <w:pStyle w:val="3"/>
        <w:spacing w:before="3"/>
        <w:ind w:left="1537"/>
        <w:rPr>
          <w:rFonts w:hint="eastAsia" w:ascii="宋体" w:hAnsi="宋体" w:eastAsia="宋体" w:cs="宋体"/>
        </w:rPr>
      </w:pPr>
      <w:r>
        <w:rPr>
          <w:rFonts w:hint="eastAsia" w:ascii="宋体" w:hAnsi="宋体" w:eastAsia="宋体" w:cs="宋体"/>
        </w:rPr>
        <w:t>二、保证的方式及保证期间</w:t>
      </w:r>
    </w:p>
    <w:p>
      <w:pPr>
        <w:pStyle w:val="3"/>
        <w:spacing w:before="4"/>
        <w:ind w:left="1537"/>
        <w:rPr>
          <w:rFonts w:hint="eastAsia" w:ascii="宋体" w:hAnsi="宋体" w:eastAsia="宋体" w:cs="宋体"/>
        </w:rPr>
      </w:pPr>
      <w:r>
        <w:rPr>
          <w:rFonts w:hint="eastAsia" w:ascii="宋体" w:hAnsi="宋体" w:eastAsia="宋体" w:cs="宋体"/>
        </w:rPr>
        <w:t>我方保证的方式为：连带责任保证。</w:t>
      </w:r>
    </w:p>
    <w:p>
      <w:pPr>
        <w:pStyle w:val="3"/>
        <w:tabs>
          <w:tab w:val="left" w:pos="3337"/>
        </w:tabs>
        <w:spacing w:before="5" w:line="242" w:lineRule="auto"/>
        <w:ind w:left="1057" w:right="1115" w:firstLine="480"/>
        <w:rPr>
          <w:rFonts w:hint="eastAsia" w:ascii="宋体" w:hAnsi="宋体" w:eastAsia="宋体" w:cs="宋体"/>
        </w:rPr>
      </w:pPr>
      <w:r>
        <w:rPr>
          <w:rFonts w:hint="eastAsia" w:ascii="宋体" w:hAnsi="宋体" w:eastAsia="宋体" w:cs="宋体"/>
        </w:rPr>
        <w:t>我方保证的期间为</w:t>
      </w:r>
      <w:r>
        <w:rPr>
          <w:rFonts w:hint="eastAsia" w:ascii="宋体" w:hAnsi="宋体" w:eastAsia="宋体" w:cs="宋体"/>
          <w:spacing w:val="-89"/>
        </w:rPr>
        <w:t>：</w:t>
      </w:r>
      <w:r>
        <w:rPr>
          <w:rFonts w:hint="eastAsia" w:ascii="宋体" w:hAnsi="宋体" w:eastAsia="宋体" w:cs="宋体"/>
        </w:rPr>
        <w:t>自本合同生效之日起至投标人按照主合同约定的供货</w:t>
      </w:r>
      <w:r>
        <w:rPr>
          <w:rFonts w:hint="eastAsia" w:ascii="宋体" w:hAnsi="宋体" w:eastAsia="宋体" w:cs="宋体"/>
          <w:spacing w:val="-17"/>
        </w:rPr>
        <w:t xml:space="preserve">/ </w:t>
      </w:r>
      <w:r>
        <w:rPr>
          <w:rFonts w:hint="eastAsia" w:ascii="宋体" w:hAnsi="宋体" w:eastAsia="宋体" w:cs="宋体"/>
        </w:rPr>
        <w:t>完工期限届满后</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日内。</w:t>
      </w:r>
    </w:p>
    <w:p>
      <w:pPr>
        <w:pStyle w:val="3"/>
        <w:spacing w:before="3" w:line="242" w:lineRule="auto"/>
        <w:ind w:left="1057" w:right="1115" w:firstLine="480"/>
        <w:rPr>
          <w:rFonts w:hint="eastAsia" w:ascii="宋体" w:hAnsi="宋体" w:eastAsia="宋体" w:cs="宋体"/>
        </w:rPr>
      </w:pPr>
      <w:r>
        <w:rPr>
          <w:rFonts w:hint="eastAsia" w:ascii="宋体" w:hAnsi="宋体" w:eastAsia="宋体" w:cs="宋体"/>
        </w:rPr>
        <w:t>如果投标人未按主合同约定向贵方供应货物/提供服务/完成工程的，由我方在保证金额内向你方支付上述款项。</w:t>
      </w:r>
    </w:p>
    <w:p>
      <w:pPr>
        <w:pStyle w:val="3"/>
        <w:spacing w:before="2"/>
        <w:ind w:left="1537"/>
        <w:rPr>
          <w:rFonts w:hint="eastAsia" w:ascii="宋体" w:hAnsi="宋体" w:eastAsia="宋体" w:cs="宋体"/>
        </w:rPr>
      </w:pPr>
      <w:r>
        <w:rPr>
          <w:rFonts w:hint="eastAsia" w:ascii="宋体" w:hAnsi="宋体" w:eastAsia="宋体" w:cs="宋体"/>
        </w:rPr>
        <w:t>三、承担保证责任的程序</w:t>
      </w:r>
    </w:p>
    <w:p>
      <w:pPr>
        <w:pStyle w:val="28"/>
        <w:numPr>
          <w:ilvl w:val="0"/>
          <w:numId w:val="14"/>
        </w:numPr>
        <w:tabs>
          <w:tab w:val="left" w:pos="1899"/>
        </w:tabs>
        <w:spacing w:before="5" w:after="0" w:line="242" w:lineRule="auto"/>
        <w:ind w:left="1057" w:right="1115" w:firstLine="480"/>
        <w:jc w:val="both"/>
        <w:rPr>
          <w:rFonts w:hint="eastAsia" w:ascii="宋体" w:hAnsi="宋体" w:eastAsia="宋体" w:cs="宋体"/>
          <w:sz w:val="24"/>
        </w:rPr>
      </w:pPr>
      <w:r>
        <w:rPr>
          <w:rFonts w:hint="eastAsia" w:ascii="宋体" w:hAnsi="宋体" w:eastAsia="宋体" w:cs="宋体"/>
          <w:spacing w:val="-4"/>
          <w:sz w:val="24"/>
        </w:rPr>
        <w:t>你方要求我方承担保证责任的，应在本保函保证期间内向我方发出书面索赔通知。索赔通知应写明要求索赔的金额，支付款项应到达的帐号。并附</w:t>
      </w:r>
      <w:r>
        <w:rPr>
          <w:rFonts w:hint="eastAsia" w:ascii="宋体" w:hAnsi="宋体" w:eastAsia="宋体" w:cs="宋体"/>
          <w:spacing w:val="-3"/>
          <w:sz w:val="24"/>
        </w:rPr>
        <w:t>有证明投标人违约事实的证明材料。</w:t>
      </w:r>
    </w:p>
    <w:p>
      <w:pPr>
        <w:pStyle w:val="3"/>
        <w:spacing w:before="4" w:line="242" w:lineRule="auto"/>
        <w:ind w:left="1057" w:right="1115" w:firstLine="480"/>
        <w:jc w:val="both"/>
        <w:rPr>
          <w:rFonts w:hint="eastAsia" w:ascii="宋体" w:hAnsi="宋体" w:eastAsia="宋体" w:cs="宋体"/>
        </w:rPr>
      </w:pPr>
      <w:r>
        <w:rPr>
          <w:rFonts w:hint="eastAsia" w:ascii="宋体" w:hAnsi="宋体" w:eastAsia="宋体" w:cs="宋体"/>
        </w:rPr>
        <w:t>如果你方与投标人因货物质量问题产生争议， 你方还需同时提供部门出具的质量检测报告，或经诉讼（仲裁）程序裁决后的裁决书、调解书，本保证人即按照检测结果或裁决书、调解书决定是否承担保证责任。</w:t>
      </w:r>
    </w:p>
    <w:p>
      <w:pPr>
        <w:pStyle w:val="28"/>
        <w:numPr>
          <w:ilvl w:val="0"/>
          <w:numId w:val="14"/>
        </w:numPr>
        <w:tabs>
          <w:tab w:val="left" w:pos="1972"/>
        </w:tabs>
        <w:spacing w:before="4" w:after="0" w:line="242" w:lineRule="auto"/>
        <w:ind w:left="1057" w:right="1115" w:firstLine="480"/>
        <w:jc w:val="both"/>
        <w:rPr>
          <w:rFonts w:hint="eastAsia" w:ascii="宋体" w:hAnsi="宋体" w:eastAsia="宋体" w:cs="宋体"/>
          <w:sz w:val="24"/>
        </w:rPr>
      </w:pPr>
      <w:r>
        <w:rPr>
          <w:rFonts w:hint="eastAsia" w:ascii="宋体" w:hAnsi="宋体" w:eastAsia="宋体" w:cs="宋体"/>
          <w:spacing w:val="-3"/>
          <w:sz w:val="24"/>
        </w:rPr>
        <w:t>我方收到你方的书面索赔通知及相应证明材料，在</w:t>
      </w:r>
      <w:r>
        <w:rPr>
          <w:rFonts w:hint="eastAsia" w:ascii="宋体" w:hAnsi="宋体" w:eastAsia="宋体" w:cs="宋体"/>
          <w:sz w:val="24"/>
          <w:u w:val="single"/>
        </w:rPr>
        <w:t xml:space="preserve">  </w:t>
      </w:r>
      <w:r>
        <w:rPr>
          <w:rFonts w:hint="eastAsia" w:ascii="宋体" w:hAnsi="宋体" w:eastAsia="宋体" w:cs="宋体"/>
          <w:spacing w:val="14"/>
          <w:sz w:val="24"/>
        </w:rPr>
        <w:t>工作日内进行</w:t>
      </w:r>
      <w:r>
        <w:rPr>
          <w:rFonts w:hint="eastAsia" w:ascii="宋体" w:hAnsi="宋体" w:eastAsia="宋体" w:cs="宋体"/>
          <w:sz w:val="24"/>
        </w:rPr>
        <w:t>核定后按照本保函的承诺承担保证责任。</w:t>
      </w:r>
    </w:p>
    <w:p>
      <w:pPr>
        <w:pStyle w:val="3"/>
        <w:spacing w:before="3"/>
        <w:ind w:left="1537"/>
        <w:rPr>
          <w:rFonts w:hint="eastAsia" w:ascii="宋体" w:hAnsi="宋体" w:eastAsia="宋体" w:cs="宋体"/>
        </w:rPr>
      </w:pPr>
      <w:r>
        <w:rPr>
          <w:rFonts w:hint="eastAsia" w:ascii="宋体" w:hAnsi="宋体" w:eastAsia="宋体" w:cs="宋体"/>
        </w:rPr>
        <w:t>四、保证责任的终止</w:t>
      </w:r>
    </w:p>
    <w:p>
      <w:pPr>
        <w:pStyle w:val="28"/>
        <w:numPr>
          <w:ilvl w:val="0"/>
          <w:numId w:val="15"/>
        </w:numPr>
        <w:tabs>
          <w:tab w:val="left" w:pos="1899"/>
        </w:tabs>
        <w:spacing w:before="5" w:after="0" w:line="242" w:lineRule="auto"/>
        <w:ind w:left="1057" w:right="1115" w:firstLine="480"/>
        <w:jc w:val="both"/>
        <w:rPr>
          <w:rFonts w:hint="eastAsia" w:ascii="宋体" w:hAnsi="宋体" w:eastAsia="宋体" w:cs="宋体"/>
          <w:sz w:val="24"/>
        </w:rPr>
      </w:pPr>
      <w:r>
        <w:rPr>
          <w:rFonts w:hint="eastAsia" w:ascii="宋体" w:hAnsi="宋体" w:eastAsia="宋体" w:cs="宋体"/>
          <w:spacing w:val="-2"/>
          <w:sz w:val="24"/>
        </w:rPr>
        <w:t>保证期间届满你方未向我方书面主张保证责任的，自保证期间届满次</w:t>
      </w:r>
      <w:r>
        <w:rPr>
          <w:rFonts w:hint="eastAsia" w:ascii="宋体" w:hAnsi="宋体" w:eastAsia="宋体" w:cs="宋体"/>
          <w:spacing w:val="-4"/>
          <w:sz w:val="24"/>
        </w:rPr>
        <w:t>日起，我方保证责任自动终止。保证期间届满前，主合同约定的货物</w:t>
      </w:r>
      <w:r>
        <w:rPr>
          <w:rFonts w:hint="eastAsia" w:ascii="宋体" w:hAnsi="宋体" w:eastAsia="宋体" w:cs="宋体"/>
          <w:sz w:val="24"/>
        </w:rPr>
        <w:t>\工程\服</w:t>
      </w:r>
      <w:r>
        <w:rPr>
          <w:rFonts w:hint="eastAsia" w:ascii="宋体" w:hAnsi="宋体" w:eastAsia="宋体" w:cs="宋体"/>
          <w:spacing w:val="-3"/>
          <w:sz w:val="24"/>
        </w:rPr>
        <w:t>务全部验收合格的，自验收合格日起，我方保证责任自动终止。</w:t>
      </w:r>
    </w:p>
    <w:p>
      <w:pPr>
        <w:pStyle w:val="28"/>
        <w:numPr>
          <w:ilvl w:val="0"/>
          <w:numId w:val="15"/>
        </w:numPr>
        <w:tabs>
          <w:tab w:val="left" w:pos="1899"/>
        </w:tabs>
        <w:spacing w:before="4" w:after="0" w:line="242" w:lineRule="auto"/>
        <w:ind w:left="1057" w:right="1115" w:firstLine="480"/>
        <w:jc w:val="left"/>
        <w:rPr>
          <w:rFonts w:hint="eastAsia" w:ascii="宋体" w:hAnsi="宋体" w:eastAsia="宋体" w:cs="宋体"/>
          <w:sz w:val="24"/>
        </w:rPr>
      </w:pPr>
      <w:r>
        <w:rPr>
          <w:rFonts w:hint="eastAsia" w:ascii="宋体" w:hAnsi="宋体" w:eastAsia="宋体" w:cs="宋体"/>
          <w:spacing w:val="-3"/>
          <w:sz w:val="24"/>
        </w:rPr>
        <w:t>我方按照本保函向你方履行了保证责任后，自我方向你方支付款项</w:t>
      </w:r>
      <w:r>
        <w:rPr>
          <w:rFonts w:hint="eastAsia" w:ascii="宋体" w:hAnsi="宋体" w:eastAsia="宋体" w:cs="宋体"/>
          <w:sz w:val="24"/>
        </w:rPr>
        <w:t xml:space="preserve">（ </w:t>
      </w:r>
      <w:r>
        <w:rPr>
          <w:rFonts w:hint="eastAsia" w:ascii="宋体" w:hAnsi="宋体" w:eastAsia="宋体" w:cs="宋体"/>
          <w:spacing w:val="-4"/>
          <w:sz w:val="24"/>
        </w:rPr>
        <w:t>支付款项从我方账户划出</w:t>
      </w:r>
      <w:r>
        <w:rPr>
          <w:rFonts w:hint="eastAsia" w:ascii="宋体" w:hAnsi="宋体" w:eastAsia="宋体" w:cs="宋体"/>
          <w:sz w:val="24"/>
        </w:rPr>
        <w:t>）之日起，保证责任即终止。</w:t>
      </w:r>
    </w:p>
    <w:p>
      <w:pPr>
        <w:spacing w:after="0" w:line="242" w:lineRule="auto"/>
        <w:jc w:val="left"/>
        <w:rPr>
          <w:rFonts w:hint="eastAsia" w:ascii="宋体" w:hAnsi="宋体" w:eastAsia="宋体" w:cs="宋体"/>
          <w:sz w:val="24"/>
        </w:rPr>
        <w:sectPr>
          <w:pgSz w:w="11910" w:h="16840"/>
          <w:pgMar w:top="1300" w:right="800" w:bottom="1180" w:left="740" w:header="0" w:footer="1000" w:gutter="0"/>
          <w:pgNumType w:fmt="decimal"/>
          <w:cols w:space="720" w:num="1"/>
        </w:sectPr>
      </w:pPr>
    </w:p>
    <w:p>
      <w:pPr>
        <w:pStyle w:val="28"/>
        <w:numPr>
          <w:ilvl w:val="0"/>
          <w:numId w:val="15"/>
        </w:numPr>
        <w:tabs>
          <w:tab w:val="left" w:pos="1899"/>
        </w:tabs>
        <w:spacing w:before="44" w:after="0" w:line="242" w:lineRule="auto"/>
        <w:ind w:left="1057" w:right="1115" w:firstLine="480"/>
        <w:jc w:val="left"/>
        <w:rPr>
          <w:rFonts w:hint="eastAsia" w:ascii="宋体" w:hAnsi="宋体" w:eastAsia="宋体" w:cs="宋体"/>
          <w:sz w:val="24"/>
        </w:rPr>
      </w:pPr>
      <w:bookmarkStart w:id="185" w:name="第2章投标文件格式        正本/副本"/>
      <w:bookmarkEnd w:id="185"/>
      <w:bookmarkStart w:id="186" w:name="第2章投标文件格式        正本/副本"/>
      <w:bookmarkEnd w:id="186"/>
      <w:r>
        <w:rPr>
          <w:rFonts w:hint="eastAsia" w:ascii="宋体" w:hAnsi="宋体" w:eastAsia="宋体" w:cs="宋体"/>
          <w:spacing w:val="-2"/>
          <w:sz w:val="24"/>
        </w:rPr>
        <w:t>按照法律法规的规定或出现应终止我方保证责任的其它情形的，我方</w:t>
      </w:r>
      <w:r>
        <w:rPr>
          <w:rFonts w:hint="eastAsia" w:ascii="宋体" w:hAnsi="宋体" w:eastAsia="宋体" w:cs="宋体"/>
          <w:spacing w:val="-4"/>
          <w:sz w:val="24"/>
        </w:rPr>
        <w:t>在本保函项下的保证责任亦终止。</w:t>
      </w:r>
    </w:p>
    <w:p>
      <w:pPr>
        <w:pStyle w:val="28"/>
        <w:numPr>
          <w:ilvl w:val="0"/>
          <w:numId w:val="15"/>
        </w:numPr>
        <w:tabs>
          <w:tab w:val="left" w:pos="1899"/>
        </w:tabs>
        <w:spacing w:before="2" w:after="0" w:line="242" w:lineRule="auto"/>
        <w:ind w:left="1057" w:right="1115" w:firstLine="480"/>
        <w:jc w:val="both"/>
        <w:rPr>
          <w:rFonts w:hint="eastAsia" w:ascii="宋体" w:hAnsi="宋体" w:eastAsia="宋体" w:cs="宋体"/>
          <w:sz w:val="24"/>
        </w:rPr>
      </w:pPr>
      <w:r>
        <w:rPr>
          <w:rFonts w:hint="eastAsia" w:ascii="宋体" w:hAnsi="宋体" w:eastAsia="宋体" w:cs="宋体"/>
          <w:spacing w:val="-5"/>
          <w:sz w:val="24"/>
        </w:rPr>
        <w:t>你方与投标人修改主合同，加重我方保证责任的，我方对加重部分不</w:t>
      </w:r>
      <w:r>
        <w:rPr>
          <w:rFonts w:hint="eastAsia" w:ascii="宋体" w:hAnsi="宋体" w:eastAsia="宋体" w:cs="宋体"/>
          <w:spacing w:val="-4"/>
          <w:sz w:val="24"/>
        </w:rPr>
        <w:t>承担保证责任，但该等修改事先经我方书面同意的除外；你方与投标人修改主</w:t>
      </w:r>
      <w:r>
        <w:rPr>
          <w:rFonts w:hint="eastAsia" w:ascii="宋体" w:hAnsi="宋体" w:eastAsia="宋体" w:cs="宋体"/>
          <w:spacing w:val="-3"/>
          <w:sz w:val="24"/>
        </w:rPr>
        <w:t>合同履行期限，我方保证期间仍依修改前的履行期限计算，但该等修改事先经我方书面同意的除外。</w:t>
      </w:r>
    </w:p>
    <w:p>
      <w:pPr>
        <w:pStyle w:val="3"/>
        <w:spacing w:before="6"/>
        <w:ind w:left="1537"/>
        <w:rPr>
          <w:rFonts w:hint="eastAsia" w:ascii="宋体" w:hAnsi="宋体" w:eastAsia="宋体" w:cs="宋体"/>
        </w:rPr>
      </w:pPr>
      <w:r>
        <w:rPr>
          <w:rFonts w:hint="eastAsia" w:ascii="宋体" w:hAnsi="宋体" w:eastAsia="宋体" w:cs="宋体"/>
        </w:rPr>
        <w:t>五、免责条款</w:t>
      </w:r>
    </w:p>
    <w:p>
      <w:pPr>
        <w:pStyle w:val="28"/>
        <w:numPr>
          <w:ilvl w:val="0"/>
          <w:numId w:val="16"/>
        </w:numPr>
        <w:tabs>
          <w:tab w:val="left" w:pos="1899"/>
        </w:tabs>
        <w:spacing w:before="5" w:after="0" w:line="242" w:lineRule="auto"/>
        <w:ind w:left="1057" w:right="1115" w:firstLine="480"/>
        <w:jc w:val="left"/>
        <w:rPr>
          <w:rFonts w:hint="eastAsia" w:ascii="宋体" w:hAnsi="宋体" w:eastAsia="宋体" w:cs="宋体"/>
          <w:sz w:val="24"/>
        </w:rPr>
      </w:pPr>
      <w:r>
        <w:rPr>
          <w:rFonts w:hint="eastAsia" w:ascii="宋体" w:hAnsi="宋体" w:eastAsia="宋体" w:cs="宋体"/>
          <w:spacing w:val="-2"/>
          <w:sz w:val="24"/>
        </w:rPr>
        <w:t>因你方违反主合同约定致使投标人不能履行义务的，我方不承担保证</w:t>
      </w:r>
      <w:r>
        <w:rPr>
          <w:rFonts w:hint="eastAsia" w:ascii="宋体" w:hAnsi="宋体" w:eastAsia="宋体" w:cs="宋体"/>
          <w:spacing w:val="-6"/>
          <w:sz w:val="24"/>
        </w:rPr>
        <w:t>责任。</w:t>
      </w:r>
    </w:p>
    <w:p>
      <w:pPr>
        <w:pStyle w:val="28"/>
        <w:numPr>
          <w:ilvl w:val="0"/>
          <w:numId w:val="16"/>
        </w:numPr>
        <w:tabs>
          <w:tab w:val="left" w:pos="1899"/>
        </w:tabs>
        <w:spacing w:before="2" w:after="0" w:line="242" w:lineRule="auto"/>
        <w:ind w:left="1057" w:right="1115" w:firstLine="480"/>
        <w:jc w:val="left"/>
        <w:rPr>
          <w:rFonts w:hint="eastAsia" w:ascii="宋体" w:hAnsi="宋体" w:eastAsia="宋体" w:cs="宋体"/>
          <w:sz w:val="24"/>
        </w:rPr>
      </w:pPr>
      <w:r>
        <w:rPr>
          <w:rFonts w:hint="eastAsia" w:ascii="宋体" w:hAnsi="宋体" w:eastAsia="宋体" w:cs="宋体"/>
          <w:spacing w:val="-2"/>
          <w:sz w:val="24"/>
        </w:rPr>
        <w:t>依照法律法规的规定或你方与投标人的另行约定，全部或者部分免除</w:t>
      </w:r>
      <w:r>
        <w:rPr>
          <w:rFonts w:hint="eastAsia" w:ascii="宋体" w:hAnsi="宋体" w:eastAsia="宋体" w:cs="宋体"/>
          <w:spacing w:val="-4"/>
          <w:sz w:val="24"/>
        </w:rPr>
        <w:t>投标人应缴纳的保证金义务的，我方亦免除相应的保证责任。</w:t>
      </w:r>
    </w:p>
    <w:p>
      <w:pPr>
        <w:pStyle w:val="28"/>
        <w:numPr>
          <w:ilvl w:val="0"/>
          <w:numId w:val="16"/>
        </w:numPr>
        <w:tabs>
          <w:tab w:val="left" w:pos="1899"/>
        </w:tabs>
        <w:spacing w:before="3" w:after="0" w:line="242" w:lineRule="auto"/>
        <w:ind w:left="1537" w:right="1266" w:firstLine="0"/>
        <w:jc w:val="left"/>
        <w:rPr>
          <w:rFonts w:hint="eastAsia" w:ascii="宋体" w:hAnsi="宋体" w:eastAsia="宋体" w:cs="宋体"/>
          <w:sz w:val="24"/>
        </w:rPr>
      </w:pPr>
      <w:r>
        <w:rPr>
          <w:rFonts w:hint="eastAsia" w:ascii="宋体" w:hAnsi="宋体" w:eastAsia="宋体" w:cs="宋体"/>
          <w:spacing w:val="-1"/>
          <w:sz w:val="24"/>
        </w:rPr>
        <w:t>因不可抗力造成投标人不能履行供货义务的，我方不承担保证责任。</w:t>
      </w:r>
      <w:r>
        <w:rPr>
          <w:rFonts w:hint="eastAsia" w:ascii="宋体" w:hAnsi="宋体" w:eastAsia="宋体" w:cs="宋体"/>
          <w:sz w:val="24"/>
        </w:rPr>
        <w:t>六、争议的解决</w:t>
      </w:r>
    </w:p>
    <w:p>
      <w:pPr>
        <w:pStyle w:val="3"/>
        <w:tabs>
          <w:tab w:val="left" w:pos="4657"/>
        </w:tabs>
        <w:spacing w:before="3" w:line="242" w:lineRule="auto"/>
        <w:ind w:left="1057" w:right="1115" w:firstLine="480"/>
        <w:rPr>
          <w:rFonts w:hint="eastAsia" w:ascii="宋体" w:hAnsi="宋体" w:eastAsia="宋体" w:cs="宋体"/>
        </w:rPr>
      </w:pPr>
      <w:r>
        <w:rPr>
          <w:rFonts w:hint="eastAsia" w:ascii="宋体" w:hAnsi="宋体" w:eastAsia="宋体" w:cs="宋体"/>
        </w:rPr>
        <w:t>因本保函发生的纠纷，由你我双方协商解决，协商不成的，通过诉讼程</w:t>
      </w:r>
      <w:r>
        <w:rPr>
          <w:rFonts w:hint="eastAsia" w:ascii="宋体" w:hAnsi="宋体" w:eastAsia="宋体" w:cs="宋体"/>
          <w:spacing w:val="-12"/>
        </w:rPr>
        <w:t>序</w:t>
      </w:r>
      <w:r>
        <w:rPr>
          <w:rFonts w:hint="eastAsia" w:ascii="宋体" w:hAnsi="宋体" w:eastAsia="宋体" w:cs="宋体"/>
        </w:rPr>
        <w:t>解决，诉讼管辖地法院为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法院。</w:t>
      </w:r>
    </w:p>
    <w:p>
      <w:pPr>
        <w:pStyle w:val="3"/>
        <w:spacing w:before="3"/>
        <w:ind w:left="1537"/>
        <w:rPr>
          <w:rFonts w:hint="eastAsia" w:ascii="宋体" w:hAnsi="宋体" w:eastAsia="宋体" w:cs="宋体"/>
        </w:rPr>
      </w:pPr>
      <w:r>
        <w:rPr>
          <w:rFonts w:hint="eastAsia" w:ascii="宋体" w:hAnsi="宋体" w:eastAsia="宋体" w:cs="宋体"/>
        </w:rPr>
        <w:t>七、保函的生效</w:t>
      </w:r>
    </w:p>
    <w:p>
      <w:pPr>
        <w:pStyle w:val="3"/>
        <w:spacing w:before="4"/>
        <w:ind w:left="1537"/>
        <w:rPr>
          <w:rFonts w:hint="eastAsia" w:ascii="宋体" w:hAnsi="宋体" w:eastAsia="宋体" w:cs="宋体"/>
        </w:rPr>
      </w:pPr>
      <w:r>
        <w:rPr>
          <w:rFonts w:hint="eastAsia" w:ascii="宋体" w:hAnsi="宋体" w:eastAsia="宋体" w:cs="宋体"/>
        </w:rPr>
        <w:t>本保函自我方加盖公章之日起生效。</w:t>
      </w:r>
    </w:p>
    <w:p>
      <w:pPr>
        <w:pStyle w:val="3"/>
        <w:rPr>
          <w:rFonts w:hint="eastAsia" w:ascii="宋体" w:hAnsi="宋体" w:eastAsia="宋体" w:cs="宋体"/>
        </w:rPr>
      </w:pPr>
    </w:p>
    <w:p>
      <w:pPr>
        <w:pStyle w:val="3"/>
        <w:spacing w:before="1"/>
        <w:rPr>
          <w:rFonts w:hint="eastAsia" w:ascii="宋体" w:hAnsi="宋体" w:eastAsia="宋体" w:cs="宋体"/>
          <w:sz w:val="25"/>
        </w:rPr>
      </w:pPr>
    </w:p>
    <w:p>
      <w:pPr>
        <w:pStyle w:val="3"/>
        <w:ind w:left="6457"/>
        <w:rPr>
          <w:rFonts w:hint="eastAsia" w:ascii="宋体" w:hAnsi="宋体" w:eastAsia="宋体" w:cs="宋体"/>
        </w:rPr>
      </w:pPr>
      <w:r>
        <w:rPr>
          <w:rFonts w:hint="eastAsia" w:ascii="宋体" w:hAnsi="宋体" w:eastAsia="宋体" w:cs="宋体"/>
        </w:rPr>
        <w:t>保证人：（公章）</w:t>
      </w:r>
    </w:p>
    <w:p>
      <w:pPr>
        <w:pStyle w:val="3"/>
        <w:spacing w:before="9"/>
        <w:rPr>
          <w:rFonts w:hint="eastAsia" w:ascii="宋体" w:hAnsi="宋体" w:eastAsia="宋体" w:cs="宋体"/>
        </w:rPr>
      </w:pPr>
    </w:p>
    <w:p>
      <w:pPr>
        <w:pStyle w:val="3"/>
        <w:tabs>
          <w:tab w:val="left" w:pos="839"/>
          <w:tab w:val="left" w:pos="1799"/>
        </w:tabs>
        <w:ind w:right="1146"/>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spacing w:after="0"/>
        <w:jc w:val="right"/>
        <w:rPr>
          <w:rFonts w:hint="eastAsia" w:ascii="宋体" w:hAnsi="宋体" w:eastAsia="宋体" w:cs="宋体"/>
        </w:rPr>
        <w:sectPr>
          <w:pgSz w:w="11910" w:h="16840"/>
          <w:pgMar w:top="1180" w:right="800" w:bottom="1180" w:left="740" w:header="0" w:footer="1000" w:gutter="0"/>
          <w:pgNumType w:fmt="decimal"/>
          <w:cols w:space="720" w:num="1"/>
        </w:sectPr>
      </w:pPr>
    </w:p>
    <w:p>
      <w:pPr>
        <w:pStyle w:val="4"/>
        <w:tabs>
          <w:tab w:val="left" w:pos="4191"/>
          <w:tab w:val="left" w:pos="7403"/>
        </w:tabs>
        <w:spacing w:before="31"/>
        <w:ind w:left="2900" w:firstLine="321" w:firstLineChars="100"/>
        <w:jc w:val="left"/>
        <w:outlineLvl w:val="0"/>
        <w:rPr>
          <w:rFonts w:hint="eastAsia" w:ascii="宋体" w:hAnsi="宋体" w:eastAsia="宋体" w:cs="宋体"/>
        </w:rPr>
      </w:pPr>
      <w:bookmarkStart w:id="187" w:name="_Toc24736"/>
      <w:bookmarkStart w:id="188" w:name="_Toc32699"/>
      <w:bookmarkStart w:id="189" w:name="_Toc32550"/>
      <w:r>
        <w:rPr>
          <w:rFonts w:hint="eastAsia" w:ascii="宋体" w:hAnsi="宋体" w:eastAsia="宋体" w:cs="宋体"/>
        </w:rPr>
        <w:t>第2章</w:t>
      </w:r>
      <w:r>
        <w:rPr>
          <w:rFonts w:hint="eastAsia" w:ascii="宋体" w:hAnsi="宋体" w:eastAsia="宋体" w:cs="宋体"/>
        </w:rPr>
        <w:tab/>
      </w:r>
      <w:bookmarkStart w:id="190" w:name="_bookmark1"/>
      <w:bookmarkEnd w:id="190"/>
      <w:r>
        <w:rPr>
          <w:rFonts w:hint="eastAsia" w:ascii="宋体" w:hAnsi="宋体" w:eastAsia="宋体" w:cs="宋体"/>
          <w:lang w:val="en-US" w:eastAsia="zh-CN"/>
        </w:rPr>
        <w:t xml:space="preserve">   </w:t>
      </w:r>
      <w:r>
        <w:rPr>
          <w:rFonts w:hint="eastAsia" w:ascii="宋体" w:hAnsi="宋体" w:eastAsia="宋体" w:cs="宋体"/>
        </w:rPr>
        <w:t>投标文件格式</w:t>
      </w:r>
      <w:bookmarkEnd w:id="187"/>
      <w:bookmarkEnd w:id="188"/>
      <w:bookmarkEnd w:id="189"/>
      <w:r>
        <w:rPr>
          <w:rFonts w:hint="eastAsia" w:ascii="宋体" w:hAnsi="宋体" w:eastAsia="宋体" w:cs="宋体"/>
        </w:rPr>
        <w:tab/>
      </w:r>
    </w:p>
    <w:p>
      <w:pPr>
        <w:pStyle w:val="3"/>
        <w:rPr>
          <w:rFonts w:hint="eastAsia" w:ascii="宋体" w:hAnsi="宋体" w:eastAsia="宋体" w:cs="宋体"/>
          <w:b/>
          <w:sz w:val="32"/>
        </w:rPr>
      </w:pPr>
    </w:p>
    <w:p>
      <w:pPr>
        <w:pStyle w:val="3"/>
        <w:rPr>
          <w:rFonts w:hint="eastAsia" w:ascii="宋体" w:hAnsi="宋体" w:eastAsia="宋体" w:cs="宋体"/>
          <w:b/>
          <w:sz w:val="32"/>
        </w:rPr>
      </w:pPr>
    </w:p>
    <w:p>
      <w:pPr>
        <w:pStyle w:val="3"/>
        <w:rPr>
          <w:rFonts w:hint="eastAsia" w:ascii="宋体" w:hAnsi="宋体" w:eastAsia="宋体" w:cs="宋体"/>
          <w:b/>
          <w:sz w:val="32"/>
        </w:rPr>
      </w:pPr>
    </w:p>
    <w:p>
      <w:pPr>
        <w:pStyle w:val="3"/>
        <w:rPr>
          <w:rFonts w:hint="eastAsia" w:ascii="宋体" w:hAnsi="宋体" w:eastAsia="宋体" w:cs="宋体"/>
          <w:b/>
          <w:sz w:val="32"/>
        </w:rPr>
      </w:pPr>
    </w:p>
    <w:p>
      <w:pPr>
        <w:pStyle w:val="3"/>
        <w:spacing w:before="9"/>
        <w:rPr>
          <w:rFonts w:hint="eastAsia" w:ascii="宋体" w:hAnsi="宋体" w:eastAsia="宋体" w:cs="宋体"/>
          <w:b/>
          <w:sz w:val="24"/>
          <w:szCs w:val="22"/>
        </w:rPr>
      </w:pPr>
    </w:p>
    <w:p>
      <w:pPr>
        <w:spacing w:before="0"/>
        <w:ind w:left="3296" w:right="0" w:firstLine="281" w:firstLineChars="100"/>
        <w:jc w:val="left"/>
        <w:outlineLvl w:val="9"/>
        <w:rPr>
          <w:rFonts w:hint="eastAsia" w:ascii="宋体" w:hAnsi="宋体" w:eastAsia="宋体" w:cs="宋体"/>
          <w:b/>
          <w:sz w:val="28"/>
          <w:szCs w:val="21"/>
        </w:rPr>
      </w:pPr>
      <w:r>
        <w:rPr>
          <w:rFonts w:hint="eastAsia" w:ascii="宋体" w:hAnsi="宋体" w:eastAsia="宋体" w:cs="宋体"/>
          <w:b/>
          <w:sz w:val="28"/>
          <w:szCs w:val="21"/>
        </w:rPr>
        <w:t>*** *** *** *** 项目</w:t>
      </w:r>
    </w:p>
    <w:p>
      <w:pPr>
        <w:pStyle w:val="3"/>
        <w:outlineLvl w:val="9"/>
        <w:rPr>
          <w:rFonts w:hint="eastAsia" w:ascii="宋体" w:hAnsi="宋体" w:eastAsia="宋体" w:cs="宋体"/>
          <w:b/>
          <w:sz w:val="28"/>
          <w:szCs w:val="22"/>
        </w:rPr>
      </w:pPr>
    </w:p>
    <w:p>
      <w:pPr>
        <w:pStyle w:val="3"/>
        <w:spacing w:before="5"/>
        <w:outlineLvl w:val="9"/>
        <w:rPr>
          <w:rFonts w:hint="eastAsia" w:ascii="宋体" w:hAnsi="宋体" w:eastAsia="宋体" w:cs="宋体"/>
          <w:b/>
          <w:sz w:val="32"/>
          <w:szCs w:val="22"/>
        </w:rPr>
      </w:pPr>
    </w:p>
    <w:p>
      <w:pPr>
        <w:spacing w:before="1"/>
        <w:ind w:left="3296" w:right="0" w:firstLine="281" w:firstLineChars="100"/>
        <w:jc w:val="left"/>
        <w:outlineLvl w:val="1"/>
        <w:rPr>
          <w:rFonts w:hint="eastAsia" w:ascii="宋体" w:hAnsi="宋体" w:eastAsia="宋体" w:cs="宋体"/>
          <w:b/>
          <w:sz w:val="28"/>
          <w:szCs w:val="21"/>
        </w:rPr>
      </w:pPr>
      <w:bookmarkStart w:id="191" w:name="_Toc28256"/>
      <w:bookmarkStart w:id="192" w:name="_Toc29768"/>
      <w:bookmarkStart w:id="193" w:name="_Toc24940"/>
      <w:r>
        <w:rPr>
          <w:rFonts w:hint="eastAsia" w:ascii="宋体" w:hAnsi="宋体" w:eastAsia="宋体" w:cs="宋体"/>
          <w:b/>
          <w:sz w:val="28"/>
          <w:szCs w:val="21"/>
        </w:rPr>
        <w:t>编号***********</w:t>
      </w:r>
      <w:bookmarkEnd w:id="191"/>
      <w:bookmarkEnd w:id="192"/>
      <w:bookmarkEnd w:id="193"/>
    </w:p>
    <w:p>
      <w:pPr>
        <w:pStyle w:val="3"/>
        <w:outlineLvl w:val="9"/>
        <w:rPr>
          <w:rFonts w:hint="eastAsia" w:ascii="宋体" w:hAnsi="宋体" w:eastAsia="宋体" w:cs="宋体"/>
          <w:b/>
          <w:sz w:val="28"/>
          <w:szCs w:val="22"/>
        </w:rPr>
      </w:pPr>
    </w:p>
    <w:p>
      <w:pPr>
        <w:pStyle w:val="3"/>
        <w:spacing w:before="5"/>
        <w:outlineLvl w:val="9"/>
        <w:rPr>
          <w:rFonts w:hint="eastAsia" w:ascii="宋体" w:hAnsi="宋体" w:eastAsia="宋体" w:cs="宋体"/>
          <w:b/>
          <w:sz w:val="32"/>
          <w:szCs w:val="22"/>
        </w:rPr>
      </w:pPr>
    </w:p>
    <w:p>
      <w:pPr>
        <w:spacing w:before="0"/>
        <w:ind w:left="1076" w:right="2281" w:firstLine="0"/>
        <w:jc w:val="center"/>
        <w:outlineLvl w:val="9"/>
        <w:rPr>
          <w:rFonts w:hint="eastAsia" w:ascii="宋体" w:hAnsi="宋体" w:eastAsia="宋体" w:cs="宋体"/>
          <w:b/>
          <w:sz w:val="24"/>
          <w:szCs w:val="20"/>
        </w:rPr>
      </w:pPr>
      <w:r>
        <w:rPr>
          <w:rFonts w:hint="eastAsia" w:ascii="宋体" w:hAnsi="宋体" w:eastAsia="宋体" w:cs="宋体"/>
          <w:b/>
          <w:sz w:val="24"/>
          <w:szCs w:val="20"/>
          <w:lang w:val="en-US" w:eastAsia="zh-CN"/>
        </w:rPr>
        <w:t xml:space="preserve">  </w:t>
      </w:r>
      <w:r>
        <w:rPr>
          <w:rFonts w:hint="eastAsia" w:ascii="宋体" w:hAnsi="宋体" w:eastAsia="宋体" w:cs="宋体"/>
          <w:b/>
          <w:sz w:val="24"/>
          <w:szCs w:val="20"/>
        </w:rPr>
        <w:t>投标文件</w:t>
      </w:r>
    </w:p>
    <w:p>
      <w:pPr>
        <w:pStyle w:val="3"/>
        <w:outlineLvl w:val="9"/>
        <w:rPr>
          <w:rFonts w:hint="eastAsia" w:ascii="宋体" w:hAnsi="宋体" w:eastAsia="宋体" w:cs="宋体"/>
          <w:b/>
          <w:sz w:val="24"/>
          <w:szCs w:val="21"/>
        </w:rPr>
      </w:pPr>
    </w:p>
    <w:p>
      <w:pPr>
        <w:pStyle w:val="3"/>
        <w:outlineLvl w:val="9"/>
        <w:rPr>
          <w:rFonts w:hint="eastAsia" w:ascii="宋体" w:hAnsi="宋体" w:eastAsia="宋体" w:cs="宋体"/>
          <w:b/>
          <w:sz w:val="28"/>
          <w:szCs w:val="22"/>
        </w:rPr>
      </w:pPr>
    </w:p>
    <w:p>
      <w:pPr>
        <w:pStyle w:val="3"/>
        <w:rPr>
          <w:rFonts w:hint="eastAsia" w:ascii="宋体" w:hAnsi="宋体" w:eastAsia="宋体" w:cs="宋体"/>
          <w:b/>
          <w:sz w:val="28"/>
          <w:szCs w:val="22"/>
        </w:rPr>
      </w:pPr>
    </w:p>
    <w:p>
      <w:pPr>
        <w:pStyle w:val="3"/>
        <w:spacing w:before="2"/>
        <w:rPr>
          <w:rFonts w:hint="eastAsia" w:ascii="宋体" w:hAnsi="宋体" w:eastAsia="宋体" w:cs="宋体"/>
          <w:b/>
          <w:sz w:val="32"/>
          <w:szCs w:val="22"/>
        </w:rPr>
      </w:pPr>
    </w:p>
    <w:p>
      <w:pPr>
        <w:tabs>
          <w:tab w:val="left" w:pos="7239"/>
        </w:tabs>
        <w:spacing w:before="1"/>
        <w:ind w:left="1477" w:right="0" w:firstLine="0"/>
        <w:jc w:val="left"/>
        <w:rPr>
          <w:rFonts w:hint="eastAsia" w:ascii="宋体" w:hAnsi="宋体" w:eastAsia="宋体" w:cs="宋体"/>
          <w:b/>
          <w:sz w:val="24"/>
          <w:szCs w:val="21"/>
        </w:rPr>
      </w:pPr>
      <w:r>
        <w:rPr>
          <w:rFonts w:hint="eastAsia" w:ascii="宋体" w:hAnsi="宋体" w:eastAsia="宋体" w:cs="宋体"/>
          <w:b/>
          <w:sz w:val="24"/>
          <w:szCs w:val="21"/>
        </w:rPr>
        <w:t>投标人名称</w:t>
      </w:r>
      <w:r>
        <w:rPr>
          <w:rFonts w:hint="eastAsia" w:ascii="宋体" w:hAnsi="宋体" w:eastAsia="宋体" w:cs="宋体"/>
          <w:b/>
          <w:spacing w:val="-3"/>
          <w:sz w:val="24"/>
          <w:szCs w:val="21"/>
        </w:rPr>
        <w:t>：</w:t>
      </w:r>
      <w:r>
        <w:rPr>
          <w:rFonts w:hint="eastAsia" w:ascii="宋体" w:hAnsi="宋体" w:eastAsia="宋体" w:cs="宋体"/>
          <w:b/>
          <w:spacing w:val="-3"/>
          <w:sz w:val="24"/>
          <w:szCs w:val="21"/>
          <w:u w:val="single"/>
        </w:rPr>
        <w:t xml:space="preserve"> </w:t>
      </w:r>
      <w:r>
        <w:rPr>
          <w:rFonts w:hint="eastAsia" w:ascii="宋体" w:hAnsi="宋体" w:eastAsia="宋体" w:cs="宋体"/>
          <w:b/>
          <w:spacing w:val="-3"/>
          <w:sz w:val="24"/>
          <w:szCs w:val="21"/>
          <w:u w:val="single"/>
        </w:rPr>
        <w:tab/>
      </w:r>
      <w:r>
        <w:rPr>
          <w:rFonts w:hint="eastAsia" w:ascii="宋体" w:hAnsi="宋体" w:eastAsia="宋体" w:cs="宋体"/>
          <w:b/>
          <w:sz w:val="24"/>
          <w:szCs w:val="21"/>
        </w:rPr>
        <w:t>（公章）</w:t>
      </w:r>
    </w:p>
    <w:p>
      <w:pPr>
        <w:pStyle w:val="3"/>
        <w:spacing w:before="5"/>
        <w:rPr>
          <w:rFonts w:hint="eastAsia" w:ascii="宋体" w:hAnsi="宋体" w:eastAsia="宋体" w:cs="宋体"/>
          <w:b/>
          <w:sz w:val="36"/>
          <w:szCs w:val="22"/>
        </w:rPr>
      </w:pPr>
    </w:p>
    <w:p>
      <w:pPr>
        <w:tabs>
          <w:tab w:val="left" w:pos="7448"/>
        </w:tabs>
        <w:spacing w:before="0"/>
        <w:ind w:left="1477" w:right="0" w:firstLine="0"/>
        <w:jc w:val="left"/>
        <w:rPr>
          <w:rFonts w:hint="eastAsia" w:ascii="宋体" w:hAnsi="宋体" w:eastAsia="宋体" w:cs="宋体"/>
          <w:b w:val="0"/>
          <w:bCs/>
          <w:sz w:val="24"/>
          <w:szCs w:val="21"/>
        </w:rPr>
      </w:pPr>
      <w:r>
        <w:rPr>
          <w:rFonts w:hint="eastAsia" w:ascii="宋体" w:hAnsi="宋体" w:eastAsia="宋体" w:cs="宋体"/>
          <w:b/>
          <w:spacing w:val="-1"/>
          <w:w w:val="95"/>
          <w:sz w:val="24"/>
          <w:szCs w:val="21"/>
        </w:rPr>
        <w:t>项目名称</w:t>
      </w:r>
      <w:r>
        <w:rPr>
          <w:rFonts w:hint="eastAsia" w:ascii="宋体" w:hAnsi="宋体" w:eastAsia="宋体" w:cs="宋体"/>
          <w:b w:val="0"/>
          <w:bCs/>
          <w:spacing w:val="-1"/>
          <w:w w:val="95"/>
          <w:sz w:val="24"/>
          <w:szCs w:val="21"/>
        </w:rPr>
        <w:t>：</w:t>
      </w:r>
      <w:r>
        <w:rPr>
          <w:rFonts w:hint="eastAsia" w:ascii="宋体" w:hAnsi="宋体" w:eastAsia="宋体" w:cs="宋体"/>
          <w:b w:val="0"/>
          <w:bCs/>
          <w:w w:val="100"/>
          <w:sz w:val="24"/>
          <w:szCs w:val="21"/>
          <w:u w:val="single"/>
        </w:rPr>
        <w:t xml:space="preserve"> </w:t>
      </w:r>
      <w:r>
        <w:rPr>
          <w:rFonts w:hint="eastAsia" w:ascii="宋体" w:hAnsi="宋体" w:eastAsia="宋体" w:cs="宋体"/>
          <w:b w:val="0"/>
          <w:bCs/>
          <w:sz w:val="24"/>
          <w:szCs w:val="21"/>
          <w:u w:val="single"/>
        </w:rPr>
        <w:tab/>
      </w:r>
    </w:p>
    <w:p>
      <w:pPr>
        <w:pStyle w:val="3"/>
        <w:spacing w:before="10"/>
        <w:rPr>
          <w:rFonts w:hint="eastAsia" w:ascii="宋体" w:hAnsi="宋体" w:eastAsia="宋体" w:cs="宋体"/>
          <w:b w:val="0"/>
          <w:bCs/>
          <w:sz w:val="15"/>
          <w:szCs w:val="22"/>
        </w:rPr>
      </w:pPr>
    </w:p>
    <w:p>
      <w:pPr>
        <w:tabs>
          <w:tab w:val="left" w:pos="7448"/>
        </w:tabs>
        <w:spacing w:before="71"/>
        <w:ind w:left="1477" w:right="0" w:firstLine="0"/>
        <w:jc w:val="left"/>
        <w:rPr>
          <w:rFonts w:hint="eastAsia" w:ascii="宋体" w:hAnsi="宋体" w:eastAsia="宋体" w:cs="宋体"/>
          <w:b w:val="0"/>
          <w:bCs/>
          <w:sz w:val="24"/>
          <w:szCs w:val="21"/>
        </w:rPr>
      </w:pPr>
      <w:r>
        <w:rPr>
          <w:rFonts w:hint="eastAsia" w:ascii="宋体" w:hAnsi="宋体" w:eastAsia="宋体" w:cs="宋体"/>
          <w:b/>
          <w:spacing w:val="-1"/>
          <w:w w:val="95"/>
          <w:sz w:val="24"/>
          <w:szCs w:val="21"/>
        </w:rPr>
        <w:t>项目编号</w:t>
      </w:r>
      <w:r>
        <w:rPr>
          <w:rFonts w:hint="eastAsia" w:ascii="宋体" w:hAnsi="宋体" w:eastAsia="宋体" w:cs="宋体"/>
          <w:b w:val="0"/>
          <w:bCs/>
          <w:spacing w:val="-1"/>
          <w:w w:val="95"/>
          <w:sz w:val="24"/>
          <w:szCs w:val="21"/>
        </w:rPr>
        <w:t>：</w:t>
      </w:r>
      <w:r>
        <w:rPr>
          <w:rFonts w:hint="eastAsia" w:ascii="宋体" w:hAnsi="宋体" w:eastAsia="宋体" w:cs="宋体"/>
          <w:b w:val="0"/>
          <w:bCs/>
          <w:w w:val="100"/>
          <w:sz w:val="24"/>
          <w:szCs w:val="21"/>
          <w:u w:val="single"/>
        </w:rPr>
        <w:t xml:space="preserve"> </w:t>
      </w:r>
      <w:r>
        <w:rPr>
          <w:rFonts w:hint="eastAsia" w:ascii="宋体" w:hAnsi="宋体" w:eastAsia="宋体" w:cs="宋体"/>
          <w:b w:val="0"/>
          <w:bCs/>
          <w:sz w:val="24"/>
          <w:szCs w:val="21"/>
          <w:u w:val="single"/>
        </w:rPr>
        <w:tab/>
      </w:r>
    </w:p>
    <w:p>
      <w:pPr>
        <w:pStyle w:val="3"/>
        <w:spacing w:before="11"/>
        <w:rPr>
          <w:rFonts w:hint="eastAsia" w:ascii="宋体" w:hAnsi="宋体" w:eastAsia="宋体" w:cs="宋体"/>
          <w:b/>
          <w:sz w:val="15"/>
          <w:szCs w:val="22"/>
        </w:rPr>
      </w:pPr>
    </w:p>
    <w:p>
      <w:pPr>
        <w:tabs>
          <w:tab w:val="left" w:pos="7448"/>
        </w:tabs>
        <w:spacing w:before="70"/>
        <w:ind w:left="1477" w:right="0" w:firstLine="0"/>
        <w:jc w:val="left"/>
        <w:rPr>
          <w:rFonts w:hint="eastAsia" w:ascii="宋体" w:hAnsi="宋体" w:eastAsia="宋体" w:cs="宋体"/>
          <w:b w:val="0"/>
          <w:bCs/>
          <w:sz w:val="24"/>
          <w:szCs w:val="21"/>
        </w:rPr>
      </w:pPr>
      <w:r>
        <w:rPr>
          <w:rFonts w:hint="eastAsia" w:ascii="宋体" w:hAnsi="宋体" w:eastAsia="宋体" w:cs="宋体"/>
          <w:b/>
          <w:sz w:val="24"/>
          <w:szCs w:val="21"/>
        </w:rPr>
        <w:t>联</w:t>
      </w:r>
      <w:r>
        <w:rPr>
          <w:rFonts w:hint="eastAsia" w:ascii="宋体" w:hAnsi="宋体" w:eastAsia="宋体" w:cs="宋体"/>
          <w:b/>
          <w:spacing w:val="-5"/>
          <w:sz w:val="24"/>
          <w:szCs w:val="21"/>
        </w:rPr>
        <w:t xml:space="preserve"> </w:t>
      </w:r>
      <w:r>
        <w:rPr>
          <w:rFonts w:hint="eastAsia" w:ascii="宋体" w:hAnsi="宋体" w:eastAsia="宋体" w:cs="宋体"/>
          <w:b/>
          <w:sz w:val="24"/>
          <w:szCs w:val="21"/>
        </w:rPr>
        <w:t>系</w:t>
      </w:r>
      <w:r>
        <w:rPr>
          <w:rFonts w:hint="eastAsia" w:ascii="宋体" w:hAnsi="宋体" w:eastAsia="宋体" w:cs="宋体"/>
          <w:b/>
          <w:spacing w:val="-1"/>
          <w:sz w:val="24"/>
          <w:szCs w:val="21"/>
        </w:rPr>
        <w:t xml:space="preserve"> </w:t>
      </w:r>
      <w:r>
        <w:rPr>
          <w:rFonts w:hint="eastAsia" w:ascii="宋体" w:hAnsi="宋体" w:eastAsia="宋体" w:cs="宋体"/>
          <w:b/>
          <w:sz w:val="24"/>
          <w:szCs w:val="21"/>
        </w:rPr>
        <w:t>人</w:t>
      </w:r>
      <w:r>
        <w:rPr>
          <w:rFonts w:hint="eastAsia" w:ascii="宋体" w:hAnsi="宋体" w:eastAsia="宋体" w:cs="宋体"/>
          <w:b w:val="0"/>
          <w:bCs/>
          <w:sz w:val="24"/>
          <w:szCs w:val="21"/>
        </w:rPr>
        <w:t>：</w:t>
      </w:r>
      <w:r>
        <w:rPr>
          <w:rFonts w:hint="eastAsia" w:ascii="宋体" w:hAnsi="宋体" w:eastAsia="宋体" w:cs="宋体"/>
          <w:b w:val="0"/>
          <w:bCs/>
          <w:w w:val="100"/>
          <w:sz w:val="24"/>
          <w:szCs w:val="21"/>
          <w:u w:val="single"/>
        </w:rPr>
        <w:t xml:space="preserve"> </w:t>
      </w:r>
      <w:r>
        <w:rPr>
          <w:rFonts w:hint="eastAsia" w:ascii="宋体" w:hAnsi="宋体" w:eastAsia="宋体" w:cs="宋体"/>
          <w:b w:val="0"/>
          <w:bCs/>
          <w:sz w:val="24"/>
          <w:szCs w:val="21"/>
          <w:u w:val="single"/>
        </w:rPr>
        <w:tab/>
      </w:r>
    </w:p>
    <w:p>
      <w:pPr>
        <w:pStyle w:val="3"/>
        <w:spacing w:before="11"/>
        <w:rPr>
          <w:rFonts w:hint="eastAsia" w:ascii="宋体" w:hAnsi="宋体" w:eastAsia="宋体" w:cs="宋体"/>
          <w:b w:val="0"/>
          <w:bCs/>
          <w:sz w:val="15"/>
          <w:szCs w:val="22"/>
        </w:rPr>
      </w:pPr>
    </w:p>
    <w:p>
      <w:pPr>
        <w:tabs>
          <w:tab w:val="left" w:pos="7448"/>
        </w:tabs>
        <w:spacing w:before="70"/>
        <w:ind w:left="1477" w:right="0" w:firstLine="0"/>
        <w:jc w:val="left"/>
        <w:rPr>
          <w:rFonts w:hint="eastAsia" w:ascii="宋体" w:hAnsi="宋体" w:eastAsia="宋体" w:cs="宋体"/>
          <w:b/>
          <w:sz w:val="24"/>
          <w:szCs w:val="21"/>
        </w:rPr>
      </w:pPr>
      <w:r>
        <w:rPr>
          <w:rFonts w:hint="eastAsia" w:ascii="宋体" w:hAnsi="宋体" w:eastAsia="宋体" w:cs="宋体"/>
          <w:b/>
          <w:spacing w:val="-1"/>
          <w:w w:val="95"/>
          <w:sz w:val="24"/>
          <w:szCs w:val="21"/>
        </w:rPr>
        <w:t>联系电话</w:t>
      </w:r>
      <w:r>
        <w:rPr>
          <w:rFonts w:hint="eastAsia" w:ascii="宋体" w:hAnsi="宋体" w:eastAsia="宋体" w:cs="宋体"/>
          <w:b w:val="0"/>
          <w:bCs/>
          <w:spacing w:val="-1"/>
          <w:w w:val="95"/>
          <w:sz w:val="24"/>
          <w:szCs w:val="21"/>
        </w:rPr>
        <w:t>：</w:t>
      </w:r>
      <w:r>
        <w:rPr>
          <w:rFonts w:hint="eastAsia" w:ascii="宋体" w:hAnsi="宋体" w:eastAsia="宋体" w:cs="宋体"/>
          <w:b w:val="0"/>
          <w:bCs/>
          <w:w w:val="100"/>
          <w:sz w:val="24"/>
          <w:szCs w:val="21"/>
          <w:u w:val="single"/>
        </w:rPr>
        <w:t xml:space="preserve"> </w:t>
      </w:r>
      <w:r>
        <w:rPr>
          <w:rFonts w:hint="eastAsia" w:ascii="宋体" w:hAnsi="宋体" w:eastAsia="宋体" w:cs="宋体"/>
          <w:b w:val="0"/>
          <w:bCs/>
          <w:sz w:val="24"/>
          <w:szCs w:val="21"/>
          <w:u w:val="single"/>
        </w:rPr>
        <w:tab/>
      </w:r>
    </w:p>
    <w:p>
      <w:pPr>
        <w:pStyle w:val="3"/>
        <w:rPr>
          <w:rFonts w:hint="eastAsia" w:ascii="宋体" w:hAnsi="宋体" w:eastAsia="宋体" w:cs="宋体"/>
          <w:b/>
          <w:sz w:val="16"/>
          <w:szCs w:val="22"/>
        </w:rPr>
      </w:pPr>
    </w:p>
    <w:p>
      <w:pPr>
        <w:tabs>
          <w:tab w:val="left" w:pos="7448"/>
        </w:tabs>
        <w:spacing w:before="70"/>
        <w:ind w:left="1477" w:right="0" w:firstLine="0"/>
        <w:jc w:val="left"/>
        <w:rPr>
          <w:rFonts w:hint="eastAsia" w:ascii="宋体" w:hAnsi="宋体" w:eastAsia="宋体" w:cs="宋体"/>
          <w:b/>
          <w:sz w:val="24"/>
          <w:szCs w:val="21"/>
        </w:rPr>
      </w:pPr>
      <w:r>
        <w:rPr>
          <w:rFonts w:hint="eastAsia" w:ascii="宋体" w:hAnsi="宋体" w:eastAsia="宋体" w:cs="宋体"/>
          <w:b/>
          <w:spacing w:val="-1"/>
          <w:w w:val="95"/>
          <w:sz w:val="24"/>
          <w:szCs w:val="21"/>
        </w:rPr>
        <w:t>联系地址</w:t>
      </w:r>
      <w:r>
        <w:rPr>
          <w:rFonts w:hint="eastAsia" w:ascii="宋体" w:hAnsi="宋体" w:eastAsia="宋体" w:cs="宋体"/>
          <w:b w:val="0"/>
          <w:bCs/>
          <w:spacing w:val="-1"/>
          <w:w w:val="95"/>
          <w:sz w:val="24"/>
          <w:szCs w:val="21"/>
        </w:rPr>
        <w:t>：</w:t>
      </w:r>
      <w:r>
        <w:rPr>
          <w:rFonts w:hint="eastAsia" w:ascii="宋体" w:hAnsi="宋体" w:eastAsia="宋体" w:cs="宋体"/>
          <w:b w:val="0"/>
          <w:bCs/>
          <w:w w:val="100"/>
          <w:sz w:val="24"/>
          <w:szCs w:val="21"/>
          <w:u w:val="single"/>
        </w:rPr>
        <w:t xml:space="preserve"> </w:t>
      </w:r>
      <w:r>
        <w:rPr>
          <w:rFonts w:hint="eastAsia" w:ascii="宋体" w:hAnsi="宋体" w:eastAsia="宋体" w:cs="宋体"/>
          <w:b w:val="0"/>
          <w:bCs/>
          <w:sz w:val="24"/>
          <w:szCs w:val="21"/>
          <w:u w:val="single"/>
        </w:rPr>
        <w:tab/>
      </w:r>
    </w:p>
    <w:p>
      <w:pPr>
        <w:pStyle w:val="3"/>
        <w:rPr>
          <w:rFonts w:ascii="Times New Roman"/>
          <w:b/>
          <w:sz w:val="18"/>
          <w:szCs w:val="22"/>
        </w:rPr>
      </w:pPr>
    </w:p>
    <w:p>
      <w:pPr>
        <w:pStyle w:val="3"/>
        <w:rPr>
          <w:rFonts w:ascii="Times New Roman"/>
          <w:b/>
          <w:sz w:val="20"/>
        </w:rPr>
      </w:pPr>
    </w:p>
    <w:p>
      <w:pPr>
        <w:pStyle w:val="3"/>
        <w:rPr>
          <w:rFonts w:ascii="Times New Roman"/>
          <w:b/>
          <w:sz w:val="20"/>
        </w:rPr>
      </w:pPr>
    </w:p>
    <w:p>
      <w:pPr>
        <w:pStyle w:val="3"/>
        <w:rPr>
          <w:rFonts w:ascii="Times New Roman"/>
          <w:b/>
          <w:sz w:val="20"/>
        </w:rPr>
      </w:pPr>
    </w:p>
    <w:p>
      <w:pPr>
        <w:pStyle w:val="3"/>
        <w:rPr>
          <w:rFonts w:ascii="Times New Roman"/>
          <w:b/>
          <w:sz w:val="20"/>
        </w:rPr>
      </w:pPr>
    </w:p>
    <w:p>
      <w:pPr>
        <w:pStyle w:val="3"/>
        <w:rPr>
          <w:rFonts w:ascii="Times New Roman"/>
          <w:b/>
          <w:sz w:val="20"/>
        </w:rPr>
      </w:pPr>
    </w:p>
    <w:p>
      <w:pPr>
        <w:pStyle w:val="3"/>
        <w:rPr>
          <w:rFonts w:ascii="Times New Roman"/>
          <w:b/>
          <w:sz w:val="20"/>
        </w:rPr>
      </w:pPr>
    </w:p>
    <w:p>
      <w:pPr>
        <w:pStyle w:val="3"/>
        <w:rPr>
          <w:rFonts w:ascii="Times New Roman"/>
          <w:b/>
          <w:sz w:val="20"/>
        </w:rPr>
      </w:pPr>
    </w:p>
    <w:p>
      <w:pPr>
        <w:pStyle w:val="3"/>
        <w:rPr>
          <w:rFonts w:ascii="Times New Roman"/>
          <w:b/>
          <w:sz w:val="20"/>
        </w:rPr>
      </w:pPr>
    </w:p>
    <w:p>
      <w:pPr>
        <w:pStyle w:val="3"/>
        <w:rPr>
          <w:rFonts w:ascii="Times New Roman"/>
          <w:b/>
          <w:sz w:val="20"/>
        </w:rPr>
      </w:pPr>
    </w:p>
    <w:p>
      <w:pPr>
        <w:pStyle w:val="3"/>
        <w:rPr>
          <w:rFonts w:ascii="Times New Roman"/>
          <w:b/>
          <w:sz w:val="20"/>
        </w:rPr>
      </w:pPr>
    </w:p>
    <w:p>
      <w:pPr>
        <w:spacing w:after="0"/>
        <w:jc w:val="left"/>
        <w:rPr>
          <w:sz w:val="28"/>
        </w:rPr>
        <w:sectPr>
          <w:pgSz w:w="11910" w:h="16840"/>
          <w:pgMar w:top="1300" w:right="800" w:bottom="1180" w:left="740" w:header="0" w:footer="1000" w:gutter="0"/>
          <w:pgNumType w:fmt="decimal"/>
          <w:cols w:space="720" w:num="1"/>
        </w:sectPr>
      </w:pPr>
    </w:p>
    <w:p>
      <w:pPr>
        <w:numPr>
          <w:ilvl w:val="0"/>
          <w:numId w:val="17"/>
        </w:numPr>
        <w:spacing w:before="55"/>
        <w:ind w:left="3503" w:right="0" w:firstLine="0"/>
        <w:jc w:val="left"/>
        <w:outlineLvl w:val="1"/>
        <w:rPr>
          <w:rFonts w:hint="eastAsia" w:ascii="宋体" w:hAnsi="宋体" w:eastAsia="宋体" w:cs="宋体"/>
          <w:b/>
          <w:sz w:val="24"/>
          <w:szCs w:val="24"/>
        </w:rPr>
      </w:pPr>
      <w:bookmarkStart w:id="194" w:name="第一部分 开标一览表及资格证明文件"/>
      <w:bookmarkEnd w:id="194"/>
      <w:bookmarkStart w:id="195" w:name="_Toc11637"/>
      <w:bookmarkStart w:id="196" w:name="_Toc10290"/>
      <w:bookmarkStart w:id="197" w:name="_Toc5126"/>
      <w:r>
        <w:rPr>
          <w:rFonts w:hint="eastAsia" w:ascii="宋体" w:hAnsi="宋体" w:eastAsia="宋体" w:cs="宋体"/>
          <w:b/>
          <w:sz w:val="24"/>
          <w:szCs w:val="24"/>
        </w:rPr>
        <w:t>开标一览表及资格证明文件</w:t>
      </w:r>
      <w:bookmarkEnd w:id="195"/>
      <w:bookmarkEnd w:id="196"/>
      <w:bookmarkEnd w:id="197"/>
    </w:p>
    <w:p>
      <w:pPr>
        <w:numPr>
          <w:ilvl w:val="0"/>
          <w:numId w:val="0"/>
        </w:numPr>
        <w:spacing w:before="55"/>
        <w:ind w:right="0" w:rightChars="0"/>
        <w:jc w:val="left"/>
        <w:rPr>
          <w:rFonts w:hint="eastAsia" w:ascii="宋体" w:hAnsi="宋体" w:eastAsia="宋体" w:cs="宋体"/>
          <w:sz w:val="24"/>
          <w:szCs w:val="24"/>
          <w:lang w:val="zh-CN" w:eastAsia="zh-CN" w:bidi="zh-CN"/>
        </w:rPr>
      </w:pPr>
    </w:p>
    <w:p>
      <w:pPr>
        <w:pStyle w:val="3"/>
        <w:spacing w:before="4"/>
        <w:ind w:firstLine="944" w:firstLineChars="400"/>
        <w:rPr>
          <w:rFonts w:hint="eastAsia" w:ascii="宋体" w:hAnsi="宋体" w:eastAsia="宋体" w:cs="宋体"/>
          <w:color w:val="auto"/>
          <w:spacing w:val="-2"/>
          <w:sz w:val="24"/>
          <w:szCs w:val="22"/>
          <w:lang w:val="zh-CN" w:eastAsia="zh-CN" w:bidi="zh-CN"/>
        </w:rPr>
      </w:pPr>
      <w:r>
        <w:rPr>
          <w:rFonts w:hint="eastAsia" w:ascii="宋体" w:hAnsi="宋体" w:eastAsia="宋体" w:cs="宋体"/>
          <w:color w:val="auto"/>
          <w:spacing w:val="-2"/>
          <w:sz w:val="24"/>
          <w:szCs w:val="22"/>
          <w:lang w:val="zh-CN" w:eastAsia="zh-CN" w:bidi="zh-CN"/>
        </w:rPr>
        <w:t>1、开标一览表</w:t>
      </w:r>
      <w:r>
        <w:rPr>
          <w:rFonts w:hint="eastAsia" w:ascii="宋体" w:hAnsi="宋体" w:eastAsia="宋体" w:cs="宋体"/>
          <w:color w:val="auto"/>
          <w:spacing w:val="-2"/>
          <w:sz w:val="24"/>
          <w:szCs w:val="22"/>
          <w:lang w:val="en-US" w:eastAsia="zh-CN" w:bidi="zh-CN"/>
        </w:rPr>
        <w:t>；</w:t>
      </w:r>
    </w:p>
    <w:p>
      <w:pPr>
        <w:spacing w:line="400" w:lineRule="exact"/>
        <w:ind w:firstLine="960" w:firstLineChars="400"/>
        <w:rPr>
          <w:rFonts w:hint="eastAsia" w:ascii="宋体" w:hAnsi="宋体" w:eastAsia="宋体" w:cs="宋体"/>
          <w:color w:val="auto"/>
          <w:spacing w:val="-2"/>
          <w:sz w:val="24"/>
          <w:szCs w:val="22"/>
          <w:lang w:val="en-US" w:eastAsia="zh-CN" w:bidi="zh-CN"/>
        </w:rPr>
      </w:pPr>
      <w:r>
        <w:rPr>
          <w:rFonts w:hint="eastAsia" w:ascii="宋体" w:hAnsi="宋体" w:eastAsia="宋体" w:cs="宋体"/>
          <w:b w:val="0"/>
          <w:bCs/>
          <w:color w:val="auto"/>
          <w:sz w:val="24"/>
          <w:szCs w:val="22"/>
          <w:u w:val="none"/>
          <w:lang w:val="en-US" w:eastAsia="zh-CN" w:bidi="zh-CN"/>
        </w:rPr>
        <w:t>2、</w:t>
      </w:r>
      <w:r>
        <w:rPr>
          <w:rFonts w:hint="eastAsia" w:ascii="宋体" w:hAnsi="宋体" w:eastAsia="宋体" w:cs="宋体"/>
          <w:color w:val="auto"/>
          <w:spacing w:val="-2"/>
          <w:sz w:val="24"/>
          <w:szCs w:val="22"/>
          <w:lang w:val="en-US" w:eastAsia="zh-CN" w:bidi="zh-CN"/>
        </w:rPr>
        <w:t>具有独立承担民事责任的能力（三证合一的营业执照）；</w:t>
      </w:r>
    </w:p>
    <w:p>
      <w:pPr>
        <w:spacing w:line="400" w:lineRule="exact"/>
        <w:ind w:left="1903" w:leftChars="436" w:hanging="944" w:hangingChars="400"/>
        <w:jc w:val="left"/>
        <w:rPr>
          <w:rFonts w:hint="eastAsia" w:ascii="宋体" w:hAnsi="宋体" w:eastAsia="宋体" w:cs="宋体"/>
          <w:color w:val="auto"/>
          <w:spacing w:val="-2"/>
          <w:sz w:val="24"/>
          <w:szCs w:val="22"/>
          <w:lang w:val="en-US" w:eastAsia="zh-CN" w:bidi="zh-CN"/>
        </w:rPr>
      </w:pPr>
      <w:r>
        <w:rPr>
          <w:rFonts w:hint="eastAsia" w:ascii="宋体" w:hAnsi="宋体" w:eastAsia="宋体" w:cs="宋体"/>
          <w:color w:val="auto"/>
          <w:spacing w:val="-2"/>
          <w:sz w:val="24"/>
          <w:szCs w:val="22"/>
          <w:lang w:val="en-US" w:eastAsia="zh-CN" w:bidi="zh-CN"/>
        </w:rPr>
        <w:t>3、法定代表人授权书及被委托人身份证（法定代表人投标提供法定代表人身份证明及身份证）；</w:t>
      </w:r>
    </w:p>
    <w:p>
      <w:pPr>
        <w:spacing w:line="400" w:lineRule="exact"/>
        <w:ind w:left="1903" w:leftChars="436" w:hanging="944" w:hangingChars="400"/>
        <w:rPr>
          <w:rFonts w:hint="eastAsia" w:ascii="宋体" w:hAnsi="宋体" w:eastAsia="宋体" w:cs="宋体"/>
          <w:color w:val="auto"/>
          <w:spacing w:val="-2"/>
          <w:sz w:val="24"/>
          <w:szCs w:val="22"/>
          <w:lang w:val="en-US" w:eastAsia="zh-CN" w:bidi="zh-CN"/>
        </w:rPr>
      </w:pPr>
      <w:r>
        <w:rPr>
          <w:rFonts w:hint="eastAsia" w:ascii="宋体" w:hAnsi="宋体" w:eastAsia="宋体" w:cs="宋体"/>
          <w:color w:val="auto"/>
          <w:spacing w:val="-2"/>
          <w:sz w:val="24"/>
          <w:szCs w:val="22"/>
          <w:lang w:val="en-US" w:eastAsia="zh-CN" w:bidi="zh-CN"/>
        </w:rPr>
        <w:t>4、具有税务局开具依法缴纳近六个月任意一个月的完税证明；</w:t>
      </w:r>
    </w:p>
    <w:p>
      <w:pPr>
        <w:spacing w:line="400" w:lineRule="exact"/>
        <w:ind w:left="1903" w:leftChars="436" w:hanging="944" w:hangingChars="400"/>
        <w:rPr>
          <w:rFonts w:hint="eastAsia" w:ascii="宋体" w:hAnsi="宋体" w:eastAsia="宋体" w:cs="宋体"/>
          <w:color w:val="auto"/>
          <w:spacing w:val="-2"/>
          <w:sz w:val="24"/>
          <w:szCs w:val="22"/>
          <w:lang w:val="en-US" w:eastAsia="zh-CN" w:bidi="zh-CN"/>
        </w:rPr>
      </w:pPr>
      <w:r>
        <w:rPr>
          <w:rFonts w:hint="eastAsia" w:ascii="宋体" w:hAnsi="宋体" w:eastAsia="宋体" w:cs="宋体"/>
          <w:color w:val="auto"/>
          <w:spacing w:val="-2"/>
          <w:sz w:val="24"/>
          <w:szCs w:val="22"/>
          <w:lang w:val="en-US" w:eastAsia="zh-CN" w:bidi="zh-CN"/>
        </w:rPr>
        <w:t>5、2021年度的财务审计报告（新成立未满一年的公司需提供有效的银行资信证明）；</w:t>
      </w:r>
    </w:p>
    <w:p>
      <w:pPr>
        <w:spacing w:line="400" w:lineRule="exact"/>
        <w:ind w:left="1667" w:leftChars="436" w:hanging="708" w:hangingChars="300"/>
        <w:rPr>
          <w:rFonts w:hint="eastAsia" w:ascii="宋体" w:hAnsi="宋体" w:eastAsia="宋体" w:cs="宋体"/>
          <w:color w:val="auto"/>
          <w:spacing w:val="-2"/>
          <w:sz w:val="24"/>
          <w:szCs w:val="22"/>
          <w:lang w:val="en-US" w:eastAsia="zh-CN" w:bidi="zh-CN"/>
        </w:rPr>
      </w:pPr>
      <w:r>
        <w:rPr>
          <w:rFonts w:hint="eastAsia" w:ascii="宋体" w:hAnsi="宋体" w:eastAsia="宋体" w:cs="宋体"/>
          <w:color w:val="auto"/>
          <w:spacing w:val="-2"/>
          <w:sz w:val="24"/>
          <w:szCs w:val="22"/>
          <w:lang w:val="en-US" w:eastAsia="zh-CN" w:bidi="zh-CN"/>
        </w:rPr>
        <w:t>6、参加采购活动前三年内，在经营活动中无重大违法声明；</w:t>
      </w:r>
    </w:p>
    <w:p>
      <w:pPr>
        <w:pStyle w:val="3"/>
        <w:spacing w:before="4"/>
        <w:ind w:firstLine="944" w:firstLineChars="400"/>
        <w:rPr>
          <w:rFonts w:hint="eastAsia" w:ascii="宋体" w:hAnsi="宋体" w:eastAsia="宋体" w:cs="宋体"/>
          <w:color w:val="auto"/>
          <w:spacing w:val="-2"/>
          <w:sz w:val="24"/>
          <w:szCs w:val="22"/>
          <w:lang w:val="en-US" w:eastAsia="zh-CN" w:bidi="zh-CN"/>
        </w:rPr>
      </w:pPr>
      <w:r>
        <w:rPr>
          <w:rFonts w:hint="eastAsia" w:ascii="宋体" w:hAnsi="宋体" w:eastAsia="宋体" w:cs="宋体"/>
          <w:color w:val="auto"/>
          <w:spacing w:val="-2"/>
          <w:sz w:val="24"/>
          <w:szCs w:val="22"/>
          <w:lang w:val="en-US" w:eastAsia="zh-CN" w:bidi="zh-CN"/>
        </w:rPr>
        <w:t>7、投标单位（供应商）具备针对本次采购项目《反商业贿赂承诺书》；</w:t>
      </w:r>
    </w:p>
    <w:p>
      <w:pPr>
        <w:pStyle w:val="3"/>
        <w:spacing w:before="4"/>
        <w:ind w:firstLine="944" w:firstLineChars="400"/>
        <w:rPr>
          <w:rFonts w:hint="eastAsia" w:ascii="宋体" w:hAnsi="宋体" w:eastAsia="宋体" w:cs="宋体"/>
          <w:color w:val="auto"/>
          <w:spacing w:val="-2"/>
          <w:sz w:val="24"/>
          <w:szCs w:val="22"/>
          <w:lang w:val="en-US" w:eastAsia="zh-CN" w:bidi="zh-CN"/>
        </w:rPr>
      </w:pPr>
      <w:r>
        <w:rPr>
          <w:rFonts w:hint="eastAsia" w:ascii="宋体" w:hAnsi="宋体" w:eastAsia="宋体" w:cs="宋体"/>
          <w:color w:val="auto"/>
          <w:spacing w:val="-2"/>
          <w:sz w:val="24"/>
          <w:szCs w:val="22"/>
          <w:lang w:val="en-US" w:eastAsia="zh-CN" w:bidi="zh-CN"/>
        </w:rPr>
        <w:t>8、投标保证金收据或投标保函；</w:t>
      </w:r>
    </w:p>
    <w:p>
      <w:pPr>
        <w:pStyle w:val="3"/>
        <w:spacing w:before="4"/>
        <w:ind w:firstLine="944" w:firstLineChars="400"/>
        <w:rPr>
          <w:rFonts w:hint="eastAsia"/>
          <w:color w:val="auto"/>
          <w:lang w:val="en-US" w:eastAsia="zh-CN"/>
        </w:rPr>
      </w:pPr>
      <w:r>
        <w:rPr>
          <w:rFonts w:hint="eastAsia" w:ascii="宋体" w:hAnsi="宋体" w:eastAsia="宋体" w:cs="宋体"/>
          <w:color w:val="auto"/>
          <w:spacing w:val="-2"/>
          <w:sz w:val="24"/>
          <w:szCs w:val="22"/>
          <w:lang w:val="en-US" w:eastAsia="zh-CN" w:bidi="zh-CN"/>
        </w:rPr>
        <w:t>9、需提供中小企业声明函；</w:t>
      </w:r>
    </w:p>
    <w:p>
      <w:pPr>
        <w:pStyle w:val="3"/>
        <w:spacing w:before="4"/>
        <w:ind w:firstLine="944" w:firstLineChars="400"/>
        <w:rPr>
          <w:rFonts w:hint="eastAsia" w:ascii="仿宋" w:hAnsi="仿宋" w:eastAsia="仿宋" w:cs="仿宋"/>
          <w:color w:val="auto"/>
          <w:spacing w:val="-2"/>
          <w:sz w:val="24"/>
          <w:szCs w:val="22"/>
          <w:lang w:val="zh-CN" w:eastAsia="zh-CN" w:bidi="zh-CN"/>
        </w:rPr>
      </w:pPr>
      <w:r>
        <w:rPr>
          <w:rFonts w:hint="eastAsia" w:ascii="宋体" w:hAnsi="宋体" w:eastAsia="宋体" w:cs="宋体"/>
          <w:color w:val="auto"/>
          <w:spacing w:val="-2"/>
          <w:sz w:val="24"/>
          <w:szCs w:val="22"/>
          <w:lang w:val="en-US" w:eastAsia="zh-CN" w:bidi="zh-CN"/>
        </w:rPr>
        <w:t>10</w:t>
      </w:r>
      <w:r>
        <w:rPr>
          <w:rFonts w:hint="eastAsia" w:ascii="宋体" w:hAnsi="宋体" w:eastAsia="宋体" w:cs="宋体"/>
          <w:color w:val="auto"/>
          <w:spacing w:val="-2"/>
          <w:sz w:val="24"/>
          <w:szCs w:val="22"/>
          <w:lang w:val="zh-CN" w:eastAsia="zh-CN" w:bidi="zh-CN"/>
        </w:rPr>
        <w:t>、投标人须知资料表要求的其他资格证明文件。</w:t>
      </w:r>
    </w:p>
    <w:p>
      <w:pPr>
        <w:pStyle w:val="3"/>
        <w:spacing w:before="4"/>
        <w:ind w:firstLine="944" w:firstLineChars="400"/>
        <w:rPr>
          <w:rFonts w:hint="eastAsia" w:ascii="仿宋" w:hAnsi="仿宋" w:eastAsia="仿宋" w:cs="仿宋"/>
          <w:color w:val="FF0000"/>
          <w:spacing w:val="-2"/>
          <w:sz w:val="24"/>
          <w:szCs w:val="22"/>
          <w:lang w:val="zh-CN" w:eastAsia="zh-CN" w:bidi="zh-CN"/>
        </w:rPr>
      </w:pPr>
    </w:p>
    <w:p>
      <w:pPr>
        <w:pStyle w:val="28"/>
        <w:numPr>
          <w:ilvl w:val="0"/>
          <w:numId w:val="0"/>
        </w:numPr>
        <w:tabs>
          <w:tab w:val="left" w:pos="2473"/>
        </w:tabs>
        <w:spacing w:before="4" w:after="0" w:line="240" w:lineRule="auto"/>
        <w:ind w:left="2227" w:leftChars="0" w:right="0" w:rightChars="0"/>
        <w:jc w:val="left"/>
        <w:rPr>
          <w:rFonts w:hint="eastAsia" w:ascii="宋体" w:eastAsia="宋体"/>
          <w:b/>
          <w:sz w:val="24"/>
        </w:rPr>
      </w:pPr>
    </w:p>
    <w:p>
      <w:pPr>
        <w:pStyle w:val="28"/>
        <w:numPr>
          <w:ilvl w:val="0"/>
          <w:numId w:val="0"/>
        </w:numPr>
        <w:tabs>
          <w:tab w:val="left" w:pos="2470"/>
        </w:tabs>
        <w:spacing w:before="2" w:after="0" w:line="240" w:lineRule="auto"/>
        <w:ind w:left="2227" w:leftChars="0" w:right="0" w:rightChars="0"/>
        <w:jc w:val="left"/>
        <w:rPr>
          <w:rFonts w:hint="eastAsia" w:ascii="宋体" w:eastAsia="宋体"/>
          <w:b/>
          <w:sz w:val="24"/>
        </w:rPr>
      </w:pPr>
    </w:p>
    <w:p>
      <w:pPr>
        <w:pStyle w:val="3"/>
        <w:sectPr>
          <w:pgSz w:w="11910" w:h="16840"/>
          <w:pgMar w:top="1480" w:right="800" w:bottom="1180" w:left="740" w:header="0" w:footer="1000" w:gutter="0"/>
          <w:pgNumType w:fmt="decimal"/>
          <w:cols w:space="720" w:num="1"/>
        </w:sectPr>
      </w:pPr>
    </w:p>
    <w:p>
      <w:pPr>
        <w:tabs>
          <w:tab w:val="left" w:pos="5063"/>
        </w:tabs>
        <w:spacing w:before="55"/>
        <w:ind w:left="4703" w:right="0" w:firstLine="0"/>
        <w:jc w:val="left"/>
        <w:outlineLvl w:val="1"/>
        <w:rPr>
          <w:rFonts w:hint="eastAsia" w:ascii="宋体" w:hAnsi="宋体" w:eastAsia="宋体" w:cs="宋体"/>
          <w:b/>
        </w:rPr>
      </w:pPr>
      <w:bookmarkStart w:id="198" w:name="1  开标一览表"/>
      <w:bookmarkEnd w:id="198"/>
      <w:bookmarkStart w:id="199" w:name="_Toc4081"/>
      <w:r>
        <w:rPr>
          <w:rFonts w:hint="eastAsia" w:ascii="宋体" w:hAnsi="宋体" w:eastAsia="宋体" w:cs="宋体"/>
          <w:b/>
          <w:sz w:val="24"/>
        </w:rPr>
        <w:t>1</w:t>
      </w:r>
      <w:r>
        <w:rPr>
          <w:rFonts w:hint="eastAsia" w:ascii="宋体" w:hAnsi="宋体" w:eastAsia="宋体" w:cs="宋体"/>
          <w:b/>
          <w:sz w:val="24"/>
          <w:lang w:val="en-US" w:eastAsia="zh-CN"/>
        </w:rPr>
        <w:t>.</w:t>
      </w:r>
      <w:r>
        <w:rPr>
          <w:rFonts w:hint="eastAsia" w:ascii="宋体" w:hAnsi="宋体" w:eastAsia="宋体" w:cs="宋体"/>
          <w:b/>
          <w:sz w:val="24"/>
        </w:rPr>
        <w:t>开标一览表</w:t>
      </w:r>
      <w:bookmarkEnd w:id="199"/>
    </w:p>
    <w:p>
      <w:pPr>
        <w:pStyle w:val="3"/>
        <w:spacing w:before="1"/>
        <w:rPr>
          <w:rFonts w:hint="eastAsia" w:ascii="宋体" w:hAnsi="宋体" w:eastAsia="宋体" w:cs="宋体"/>
          <w:b/>
          <w:sz w:val="25"/>
        </w:rPr>
      </w:pPr>
    </w:p>
    <w:p>
      <w:pPr>
        <w:pStyle w:val="3"/>
        <w:tabs>
          <w:tab w:val="left" w:pos="5197"/>
          <w:tab w:val="left" w:pos="8437"/>
        </w:tabs>
        <w:spacing w:line="242" w:lineRule="auto"/>
        <w:ind w:left="719" w:leftChars="327" w:right="1206" w:firstLine="0" w:firstLineChars="0"/>
        <w:rPr>
          <w:rFonts w:hint="eastAsia" w:ascii="宋体" w:hAnsi="宋体" w:eastAsia="宋体" w:cs="宋体"/>
          <w:b w:val="0"/>
          <w:bCs/>
        </w:rPr>
      </w:pPr>
      <w:r>
        <w:rPr>
          <w:rFonts w:hint="eastAsia" w:ascii="宋体" w:hAnsi="宋体" w:eastAsia="宋体" w:cs="宋体"/>
        </w:rPr>
        <w:t>项目名称：</w:t>
      </w:r>
      <w:r>
        <w:rPr>
          <w:rFonts w:hint="eastAsia" w:ascii="宋体" w:hAnsi="宋体" w:eastAsia="宋体" w:cs="宋体"/>
        </w:rPr>
        <w:tab/>
      </w:r>
      <w:r>
        <w:rPr>
          <w:rFonts w:hint="eastAsia" w:ascii="宋体" w:hAnsi="宋体" w:eastAsia="宋体" w:cs="宋体"/>
        </w:rPr>
        <w:t>采购编号：</w:t>
      </w:r>
      <w:r>
        <w:rPr>
          <w:rFonts w:hint="eastAsia" w:ascii="宋体" w:hAnsi="宋体" w:eastAsia="宋体" w:cs="宋体"/>
        </w:rPr>
        <w:tab/>
      </w:r>
      <w:r>
        <w:rPr>
          <w:rFonts w:hint="eastAsia" w:ascii="宋体" w:hAnsi="宋体" w:eastAsia="宋体" w:cs="宋体"/>
        </w:rPr>
        <w:t>包号</w:t>
      </w:r>
      <w:r>
        <w:rPr>
          <w:rFonts w:hint="eastAsia" w:ascii="宋体" w:hAnsi="宋体" w:eastAsia="宋体" w:cs="宋体"/>
          <w:spacing w:val="-17"/>
        </w:rPr>
        <w:t xml:space="preserve">： </w:t>
      </w:r>
      <w:r>
        <w:rPr>
          <w:rFonts w:hint="eastAsia" w:ascii="宋体" w:hAnsi="宋体" w:eastAsia="宋体" w:cs="宋体"/>
        </w:rPr>
        <w:t>报价单位：</w:t>
      </w:r>
      <w:r>
        <w:rPr>
          <w:rFonts w:hint="eastAsia" w:ascii="宋体" w:hAnsi="宋体" w:eastAsia="宋体" w:cs="宋体"/>
          <w:lang w:val="en-US" w:eastAsia="zh-CN"/>
        </w:rPr>
        <w:t xml:space="preserve">                                                  </w:t>
      </w:r>
      <w:r>
        <w:rPr>
          <w:rFonts w:hint="eastAsia" w:ascii="宋体" w:hAnsi="宋体" w:eastAsia="宋体" w:cs="宋体"/>
        </w:rPr>
        <w:t>人民币</w:t>
      </w:r>
      <w:r>
        <w:rPr>
          <w:rFonts w:hint="eastAsia" w:ascii="宋体" w:hAnsi="宋体" w:eastAsia="宋体" w:cs="宋体"/>
          <w:spacing w:val="-1"/>
        </w:rPr>
        <w:t xml:space="preserve"> </w:t>
      </w:r>
      <w:r>
        <w:rPr>
          <w:rFonts w:hint="eastAsia" w:ascii="宋体" w:hAnsi="宋体" w:eastAsia="宋体" w:cs="宋体"/>
          <w:spacing w:val="-1"/>
          <w:lang w:val="en-US" w:eastAsia="zh-CN"/>
        </w:rPr>
        <w:t xml:space="preserve"> </w:t>
      </w:r>
      <w:r>
        <w:rPr>
          <w:rFonts w:hint="eastAsia" w:ascii="宋体" w:hAnsi="宋体" w:eastAsia="宋体" w:cs="宋体"/>
          <w:b w:val="0"/>
          <w:bCs/>
        </w:rPr>
        <w:t>元</w:t>
      </w:r>
    </w:p>
    <w:tbl>
      <w:tblPr>
        <w:tblStyle w:val="20"/>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420" w:type="dxa"/>
            <w:tcBorders>
              <w:bottom w:val="single" w:color="000000" w:sz="8" w:space="0"/>
              <w:right w:val="single" w:color="000000" w:sz="8" w:space="0"/>
            </w:tcBorders>
          </w:tcPr>
          <w:p>
            <w:pPr>
              <w:pStyle w:val="29"/>
              <w:spacing w:before="176"/>
              <w:ind w:left="327"/>
              <w:rPr>
                <w:rFonts w:hint="eastAsia" w:ascii="宋体" w:hAnsi="宋体" w:eastAsia="宋体" w:cs="宋体"/>
                <w:color w:val="auto"/>
                <w:sz w:val="24"/>
              </w:rPr>
            </w:pPr>
            <w:r>
              <w:rPr>
                <w:rFonts w:hint="eastAsia" w:ascii="宋体" w:hAnsi="宋体" w:eastAsia="宋体" w:cs="宋体"/>
                <w:color w:val="auto"/>
                <w:sz w:val="24"/>
              </w:rPr>
              <w:t>货物名称</w:t>
            </w:r>
          </w:p>
        </w:tc>
        <w:tc>
          <w:tcPr>
            <w:tcW w:w="2340" w:type="dxa"/>
            <w:tcBorders>
              <w:left w:val="single" w:color="000000" w:sz="8" w:space="0"/>
              <w:bottom w:val="single" w:color="000000" w:sz="8" w:space="0"/>
            </w:tcBorders>
          </w:tcPr>
          <w:p>
            <w:pPr>
              <w:pStyle w:val="29"/>
              <w:spacing w:before="176"/>
              <w:ind w:left="685"/>
              <w:rPr>
                <w:rFonts w:hint="eastAsia" w:ascii="宋体" w:hAnsi="宋体" w:eastAsia="宋体" w:cs="宋体"/>
                <w:color w:val="auto"/>
                <w:sz w:val="24"/>
              </w:rPr>
            </w:pPr>
            <w:r>
              <w:rPr>
                <w:rFonts w:hint="eastAsia" w:ascii="宋体" w:hAnsi="宋体" w:eastAsia="宋体" w:cs="宋体"/>
                <w:color w:val="auto"/>
                <w:sz w:val="24"/>
              </w:rPr>
              <w:t>报价总价</w:t>
            </w:r>
          </w:p>
        </w:tc>
        <w:tc>
          <w:tcPr>
            <w:tcW w:w="1805" w:type="dxa"/>
            <w:tcBorders>
              <w:top w:val="single" w:color="000000" w:sz="8" w:space="0"/>
              <w:bottom w:val="single" w:color="000000" w:sz="8" w:space="0"/>
            </w:tcBorders>
          </w:tcPr>
          <w:p>
            <w:pPr>
              <w:pStyle w:val="29"/>
              <w:spacing w:before="176"/>
              <w:ind w:left="302"/>
              <w:rPr>
                <w:rFonts w:hint="eastAsia" w:ascii="宋体" w:hAnsi="宋体" w:eastAsia="宋体" w:cs="宋体"/>
                <w:color w:val="auto"/>
                <w:sz w:val="24"/>
              </w:rPr>
            </w:pPr>
            <w:r>
              <w:rPr>
                <w:rFonts w:hint="eastAsia" w:ascii="宋体" w:hAnsi="宋体" w:eastAsia="宋体" w:cs="宋体"/>
                <w:color w:val="auto"/>
                <w:sz w:val="24"/>
              </w:rPr>
              <w:t>投标保证金</w:t>
            </w:r>
          </w:p>
        </w:tc>
        <w:tc>
          <w:tcPr>
            <w:tcW w:w="1445" w:type="dxa"/>
            <w:tcBorders>
              <w:top w:val="single" w:color="000000" w:sz="8" w:space="0"/>
              <w:bottom w:val="single" w:color="000000" w:sz="8" w:space="0"/>
            </w:tcBorders>
          </w:tcPr>
          <w:p>
            <w:pPr>
              <w:pStyle w:val="29"/>
              <w:spacing w:before="176"/>
              <w:ind w:left="241"/>
              <w:rPr>
                <w:rFonts w:hint="eastAsia" w:ascii="宋体" w:hAnsi="宋体" w:eastAsia="宋体" w:cs="宋体"/>
                <w:color w:val="auto"/>
                <w:sz w:val="24"/>
              </w:rPr>
            </w:pPr>
            <w:r>
              <w:rPr>
                <w:rFonts w:hint="eastAsia" w:ascii="宋体" w:hAnsi="宋体" w:eastAsia="宋体" w:cs="宋体"/>
                <w:color w:val="auto"/>
                <w:sz w:val="24"/>
              </w:rPr>
              <w:t>履约期限</w:t>
            </w:r>
          </w:p>
        </w:tc>
        <w:tc>
          <w:tcPr>
            <w:tcW w:w="1016" w:type="dxa"/>
            <w:tcBorders>
              <w:top w:val="single" w:color="000000" w:sz="8" w:space="0"/>
              <w:bottom w:val="single" w:color="000000" w:sz="8" w:space="0"/>
            </w:tcBorders>
          </w:tcPr>
          <w:p>
            <w:pPr>
              <w:pStyle w:val="29"/>
              <w:spacing w:before="176"/>
              <w:ind w:left="28"/>
              <w:rPr>
                <w:rFonts w:hint="eastAsia" w:ascii="宋体" w:hAnsi="宋体" w:eastAsia="宋体" w:cs="宋体"/>
                <w:color w:val="auto"/>
                <w:sz w:val="24"/>
              </w:rPr>
            </w:pPr>
            <w:r>
              <w:rPr>
                <w:rFonts w:hint="eastAsia" w:ascii="宋体" w:hAnsi="宋体" w:eastAsia="宋体" w:cs="宋体"/>
                <w:color w:val="auto"/>
                <w:sz w:val="24"/>
              </w:rPr>
              <w:t>履约地点</w:t>
            </w:r>
          </w:p>
        </w:tc>
        <w:tc>
          <w:tcPr>
            <w:tcW w:w="1129" w:type="dxa"/>
            <w:tcBorders>
              <w:top w:val="single" w:color="000000" w:sz="8" w:space="0"/>
              <w:bottom w:val="single" w:color="000000" w:sz="8" w:space="0"/>
              <w:right w:val="single" w:color="000000" w:sz="8" w:space="0"/>
            </w:tcBorders>
          </w:tcPr>
          <w:p>
            <w:pPr>
              <w:pStyle w:val="29"/>
              <w:spacing w:before="176"/>
              <w:ind w:left="322"/>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1420" w:type="dxa"/>
            <w:tcBorders>
              <w:top w:val="single" w:color="000000" w:sz="8" w:space="0"/>
              <w:right w:val="single" w:color="000000" w:sz="8" w:space="0"/>
            </w:tcBorders>
          </w:tcPr>
          <w:p>
            <w:pPr>
              <w:pStyle w:val="29"/>
              <w:rPr>
                <w:rFonts w:hint="eastAsia" w:ascii="宋体" w:hAnsi="宋体" w:eastAsia="宋体" w:cs="宋体"/>
                <w:color w:val="auto"/>
                <w:sz w:val="22"/>
              </w:rPr>
            </w:pPr>
          </w:p>
        </w:tc>
        <w:tc>
          <w:tcPr>
            <w:tcW w:w="2340" w:type="dxa"/>
            <w:tcBorders>
              <w:top w:val="single" w:color="000000" w:sz="8" w:space="0"/>
              <w:left w:val="single" w:color="000000" w:sz="8" w:space="0"/>
            </w:tcBorders>
          </w:tcPr>
          <w:p>
            <w:pPr>
              <w:pStyle w:val="29"/>
              <w:rPr>
                <w:rFonts w:hint="eastAsia" w:ascii="宋体" w:hAnsi="宋体" w:eastAsia="宋体" w:cs="宋体"/>
                <w:b/>
                <w:color w:val="auto"/>
                <w:sz w:val="24"/>
              </w:rPr>
            </w:pPr>
          </w:p>
          <w:p>
            <w:pPr>
              <w:pStyle w:val="29"/>
              <w:spacing w:before="202" w:line="242" w:lineRule="auto"/>
              <w:ind w:left="4" w:right="1598"/>
              <w:rPr>
                <w:rFonts w:hint="eastAsia" w:ascii="宋体" w:hAnsi="宋体" w:eastAsia="宋体" w:cs="宋体"/>
                <w:color w:val="auto"/>
                <w:sz w:val="24"/>
              </w:rPr>
            </w:pPr>
            <w:r>
              <w:rPr>
                <w:rFonts w:hint="eastAsia" w:ascii="宋体" w:hAnsi="宋体" w:eastAsia="宋体" w:cs="宋体"/>
                <w:color w:val="auto"/>
                <w:sz w:val="24"/>
              </w:rPr>
              <w:t>大写： 小写：</w:t>
            </w:r>
          </w:p>
        </w:tc>
        <w:tc>
          <w:tcPr>
            <w:tcW w:w="1805" w:type="dxa"/>
            <w:tcBorders>
              <w:top w:val="single" w:color="000000" w:sz="8" w:space="0"/>
            </w:tcBorders>
          </w:tcPr>
          <w:p>
            <w:pPr>
              <w:pStyle w:val="29"/>
              <w:rPr>
                <w:rFonts w:hint="eastAsia" w:ascii="宋体" w:hAnsi="宋体" w:eastAsia="宋体" w:cs="宋体"/>
                <w:color w:val="auto"/>
                <w:sz w:val="22"/>
              </w:rPr>
            </w:pPr>
          </w:p>
        </w:tc>
        <w:tc>
          <w:tcPr>
            <w:tcW w:w="1445" w:type="dxa"/>
            <w:tcBorders>
              <w:top w:val="single" w:color="000000" w:sz="8" w:space="0"/>
            </w:tcBorders>
          </w:tcPr>
          <w:p>
            <w:pPr>
              <w:pStyle w:val="29"/>
              <w:rPr>
                <w:rFonts w:hint="eastAsia" w:ascii="宋体" w:hAnsi="宋体" w:eastAsia="宋体" w:cs="宋体"/>
                <w:color w:val="auto"/>
                <w:sz w:val="22"/>
              </w:rPr>
            </w:pPr>
          </w:p>
        </w:tc>
        <w:tc>
          <w:tcPr>
            <w:tcW w:w="1016" w:type="dxa"/>
            <w:tcBorders>
              <w:top w:val="single" w:color="000000" w:sz="8" w:space="0"/>
            </w:tcBorders>
          </w:tcPr>
          <w:p>
            <w:pPr>
              <w:pStyle w:val="29"/>
              <w:rPr>
                <w:rFonts w:hint="eastAsia" w:ascii="宋体" w:hAnsi="宋体" w:eastAsia="宋体" w:cs="宋体"/>
                <w:color w:val="auto"/>
                <w:sz w:val="22"/>
              </w:rPr>
            </w:pPr>
          </w:p>
        </w:tc>
        <w:tc>
          <w:tcPr>
            <w:tcW w:w="1129" w:type="dxa"/>
            <w:tcBorders>
              <w:top w:val="single" w:color="000000" w:sz="8" w:space="0"/>
              <w:right w:val="single" w:color="000000" w:sz="8" w:space="0"/>
            </w:tcBorders>
          </w:tcPr>
          <w:p>
            <w:pPr>
              <w:pStyle w:val="29"/>
              <w:rPr>
                <w:rFonts w:hint="eastAsia" w:ascii="宋体" w:hAnsi="宋体" w:eastAsia="宋体" w:cs="宋体"/>
                <w:color w:val="auto"/>
                <w:sz w:val="22"/>
              </w:rPr>
            </w:pPr>
          </w:p>
        </w:tc>
      </w:tr>
    </w:tbl>
    <w:p>
      <w:pPr>
        <w:pStyle w:val="3"/>
        <w:rPr>
          <w:rFonts w:hint="eastAsia" w:ascii="宋体" w:hAnsi="宋体" w:eastAsia="宋体" w:cs="宋体"/>
          <w:b/>
        </w:rPr>
      </w:pPr>
    </w:p>
    <w:p>
      <w:pPr>
        <w:pStyle w:val="3"/>
        <w:spacing w:before="11"/>
        <w:rPr>
          <w:rFonts w:hint="eastAsia" w:ascii="宋体" w:hAnsi="宋体" w:eastAsia="宋体" w:cs="宋体"/>
          <w:b/>
        </w:rPr>
      </w:pPr>
    </w:p>
    <w:p>
      <w:pPr>
        <w:pStyle w:val="3"/>
        <w:tabs>
          <w:tab w:val="left" w:pos="6696"/>
          <w:tab w:val="left" w:pos="7296"/>
        </w:tabs>
        <w:spacing w:line="242" w:lineRule="auto"/>
        <w:ind w:left="1597" w:right="3067"/>
        <w:rPr>
          <w:rFonts w:hint="eastAsia" w:ascii="宋体" w:hAnsi="宋体" w:eastAsia="宋体" w:cs="宋体"/>
        </w:rPr>
      </w:pPr>
      <w:r>
        <w:rPr>
          <w:rFonts w:hint="eastAsia" w:ascii="宋体" w:hAnsi="宋体" w:eastAsia="宋体" w:cs="宋体"/>
          <w:spacing w:val="-1"/>
        </w:rPr>
        <w:t>投</w:t>
      </w:r>
      <w:r>
        <w:rPr>
          <w:rFonts w:hint="eastAsia" w:ascii="宋体" w:hAnsi="宋体" w:eastAsia="宋体" w:cs="宋体"/>
        </w:rPr>
        <w:t>标人名称（单位盖章）：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spacing w:val="-1"/>
          <w:u w:val="single"/>
        </w:rPr>
        <w:t xml:space="preserve">                     </w:t>
      </w:r>
      <w:r>
        <w:rPr>
          <w:rFonts w:hint="eastAsia" w:ascii="宋体" w:hAnsi="宋体" w:eastAsia="宋体" w:cs="宋体"/>
          <w:spacing w:val="21"/>
          <w:u w:val="single"/>
        </w:rPr>
        <w:t xml:space="preserve"> </w:t>
      </w:r>
      <w:r>
        <w:rPr>
          <w:rFonts w:hint="eastAsia" w:ascii="宋体" w:hAnsi="宋体" w:eastAsia="宋体" w:cs="宋体"/>
          <w:spacing w:val="-1"/>
        </w:rPr>
        <w:t>法</w:t>
      </w:r>
      <w:r>
        <w:rPr>
          <w:rFonts w:hint="eastAsia" w:ascii="宋体" w:hAnsi="宋体" w:eastAsia="宋体" w:cs="宋体"/>
        </w:rPr>
        <w:t>定代表人或委托代理(签字):</w:t>
      </w:r>
      <w:r>
        <w:rPr>
          <w:rFonts w:hint="eastAsia" w:ascii="宋体" w:hAnsi="宋体" w:eastAsia="宋体" w:cs="宋体"/>
          <w:u w:val="single"/>
        </w:rPr>
        <w:t xml:space="preserve"> </w:t>
      </w:r>
      <w:r>
        <w:rPr>
          <w:rFonts w:hint="eastAsia" w:ascii="宋体" w:hAnsi="宋体" w:eastAsia="宋体" w:cs="宋体"/>
          <w:u w:val="single"/>
        </w:rPr>
        <w:tab/>
      </w:r>
    </w:p>
    <w:p>
      <w:pPr>
        <w:pStyle w:val="3"/>
        <w:spacing w:before="7"/>
        <w:rPr>
          <w:rFonts w:hint="eastAsia" w:ascii="宋体" w:hAnsi="宋体" w:eastAsia="宋体" w:cs="宋体"/>
          <w:sz w:val="21"/>
        </w:rPr>
      </w:pPr>
    </w:p>
    <w:p>
      <w:pPr>
        <w:pStyle w:val="3"/>
        <w:spacing w:before="66"/>
        <w:ind w:left="909" w:right="3277"/>
        <w:jc w:val="center"/>
        <w:rPr>
          <w:rFonts w:hint="eastAsia" w:ascii="宋体" w:hAnsi="宋体" w:eastAsia="宋体" w:cs="宋体"/>
        </w:rPr>
      </w:pPr>
      <w:r>
        <w:rPr>
          <w:rFonts w:hint="eastAsia" w:ascii="宋体" w:hAnsi="宋体" w:eastAsia="宋体" w:cs="宋体"/>
        </w:rPr>
        <w:t>注:1、此表应按投标人须知的规定装订密封。</w:t>
      </w:r>
    </w:p>
    <w:p>
      <w:pPr>
        <w:pStyle w:val="3"/>
        <w:spacing w:before="5"/>
        <w:ind w:left="441" w:right="57"/>
        <w:jc w:val="center"/>
        <w:rPr>
          <w:rFonts w:hint="eastAsia" w:ascii="宋体" w:hAnsi="宋体" w:eastAsia="宋体" w:cs="宋体"/>
        </w:rPr>
      </w:pPr>
      <w:r>
        <w:rPr>
          <w:rFonts w:hint="eastAsia" w:ascii="宋体" w:hAnsi="宋体" w:eastAsia="宋体" w:cs="宋体"/>
        </w:rPr>
        <w:t>2、此表中，每包的报价总价应和投标分项报价表的总价相一致。</w:t>
      </w:r>
    </w:p>
    <w:p>
      <w:pPr>
        <w:spacing w:after="0"/>
        <w:jc w:val="center"/>
        <w:sectPr>
          <w:pgSz w:w="11910" w:h="16840"/>
          <w:pgMar w:top="1480" w:right="800" w:bottom="1180" w:left="740" w:header="0" w:footer="1000" w:gutter="0"/>
          <w:pgNumType w:fmt="decimal"/>
          <w:cols w:space="720" w:num="1"/>
        </w:sectPr>
      </w:pPr>
    </w:p>
    <w:p>
      <w:pPr>
        <w:pStyle w:val="3"/>
        <w:spacing w:before="9"/>
        <w:rPr>
          <w:rFonts w:hint="eastAsia" w:ascii="仿宋" w:hAnsi="仿宋" w:eastAsia="仿宋" w:cs="仿宋"/>
          <w:b/>
          <w:sz w:val="24"/>
          <w:szCs w:val="22"/>
          <w:lang w:val="en-US" w:eastAsia="zh-CN" w:bidi="zh-CN"/>
        </w:rPr>
      </w:pPr>
    </w:p>
    <w:p>
      <w:pPr>
        <w:spacing w:before="66"/>
        <w:ind w:left="1057" w:right="0" w:firstLine="0"/>
        <w:jc w:val="left"/>
        <w:outlineLvl w:val="1"/>
        <w:rPr>
          <w:rFonts w:hint="eastAsia" w:asciiTheme="minorEastAsia" w:hAnsiTheme="minorEastAsia" w:eastAsiaTheme="minorEastAsia" w:cstheme="minorEastAsia"/>
          <w:b/>
          <w:sz w:val="24"/>
        </w:rPr>
      </w:pPr>
      <w:bookmarkStart w:id="200" w:name="_Toc21995"/>
      <w:r>
        <w:rPr>
          <w:rFonts w:hint="eastAsia" w:asciiTheme="minorEastAsia" w:hAnsiTheme="minorEastAsia" w:eastAsiaTheme="minorEastAsia" w:cstheme="minorEastAsia"/>
          <w:b/>
          <w:sz w:val="24"/>
          <w:szCs w:val="22"/>
          <w:lang w:val="en-US" w:eastAsia="zh-CN" w:bidi="zh-CN"/>
        </w:rPr>
        <w:t>2.</w:t>
      </w:r>
      <w:r>
        <w:rPr>
          <w:rFonts w:hint="eastAsia" w:asciiTheme="minorEastAsia" w:hAnsiTheme="minorEastAsia" w:eastAsiaTheme="minorEastAsia" w:cstheme="minorEastAsia"/>
          <w:b/>
          <w:sz w:val="24"/>
          <w:lang w:val="en-US" w:eastAsia="zh-CN"/>
        </w:rPr>
        <w:t>具有独立承担民事责任的能力</w:t>
      </w:r>
      <w:r>
        <w:rPr>
          <w:rFonts w:hint="eastAsia" w:asciiTheme="minorEastAsia" w:hAnsiTheme="minorEastAsia" w:eastAsiaTheme="minorEastAsia" w:cstheme="minorEastAsia"/>
          <w:b/>
          <w:sz w:val="24"/>
        </w:rPr>
        <w:t>（三证合一</w:t>
      </w:r>
      <w:r>
        <w:rPr>
          <w:rFonts w:hint="eastAsia" w:asciiTheme="minorEastAsia" w:hAnsiTheme="minorEastAsia" w:eastAsiaTheme="minorEastAsia" w:cstheme="minorEastAsia"/>
          <w:b/>
          <w:sz w:val="24"/>
          <w:lang w:val="en-US" w:eastAsia="zh-CN"/>
        </w:rPr>
        <w:t>的营业执照</w:t>
      </w:r>
      <w:r>
        <w:rPr>
          <w:rFonts w:hint="eastAsia" w:asciiTheme="minorEastAsia" w:hAnsiTheme="minorEastAsia" w:eastAsiaTheme="minorEastAsia" w:cstheme="minorEastAsia"/>
          <w:b/>
          <w:sz w:val="24"/>
        </w:rPr>
        <w:t>）</w:t>
      </w:r>
      <w:bookmarkEnd w:id="200"/>
      <w:r>
        <w:rPr>
          <w:rFonts w:hint="eastAsia" w:ascii="宋体" w:hAnsi="宋体" w:eastAsia="宋体" w:cs="宋体"/>
          <w:color w:val="auto"/>
          <w:spacing w:val="-2"/>
          <w:sz w:val="24"/>
          <w:szCs w:val="22"/>
          <w:lang w:val="en-US" w:eastAsia="zh-CN" w:bidi="zh-CN"/>
        </w:rPr>
        <w:t>；</w:t>
      </w:r>
    </w:p>
    <w:p>
      <w:pPr>
        <w:pStyle w:val="3"/>
        <w:rPr>
          <w:rFonts w:hint="eastAsia" w:asciiTheme="minorEastAsia" w:hAnsiTheme="minorEastAsia" w:eastAsiaTheme="minorEastAsia" w:cstheme="minorEastAsia"/>
          <w:b/>
        </w:rPr>
      </w:pPr>
    </w:p>
    <w:p>
      <w:pPr>
        <w:pStyle w:val="3"/>
        <w:rPr>
          <w:rFonts w:hint="eastAsia" w:asciiTheme="minorEastAsia" w:hAnsiTheme="minorEastAsia" w:eastAsiaTheme="minorEastAsia" w:cstheme="minorEastAsia"/>
          <w:b/>
        </w:rPr>
      </w:pPr>
    </w:p>
    <w:p>
      <w:pPr>
        <w:pStyle w:val="3"/>
        <w:rPr>
          <w:rFonts w:hint="eastAsia" w:asciiTheme="minorEastAsia" w:hAnsiTheme="minorEastAsia" w:eastAsiaTheme="minorEastAsia" w:cstheme="minorEastAsia"/>
          <w:b/>
        </w:rPr>
      </w:pPr>
    </w:p>
    <w:p>
      <w:pPr>
        <w:pStyle w:val="3"/>
        <w:spacing w:before="10"/>
        <w:rPr>
          <w:rFonts w:hint="eastAsia" w:asciiTheme="minorEastAsia" w:hAnsiTheme="minorEastAsia" w:eastAsiaTheme="minorEastAsia" w:cstheme="minorEastAsia"/>
          <w:b/>
          <w:sz w:val="25"/>
        </w:rPr>
      </w:pPr>
    </w:p>
    <w:p>
      <w:pPr>
        <w:pStyle w:val="11"/>
        <w:tabs>
          <w:tab w:val="left" w:pos="5580"/>
        </w:tabs>
        <w:spacing w:line="240" w:lineRule="atLeast"/>
        <w:ind w:left="1105" w:leftChars="257" w:hanging="540"/>
        <w:rPr>
          <w:rFonts w:hint="eastAsia" w:asciiTheme="minorEastAsia" w:hAnsiTheme="minorEastAsia" w:eastAsiaTheme="minorEastAsia" w:cstheme="minorEastAsia"/>
          <w:sz w:val="24"/>
        </w:rPr>
      </w:pPr>
      <w:bookmarkStart w:id="201" w:name="3  法定代表人授权委托书"/>
      <w:bookmarkEnd w:id="201"/>
      <w:r>
        <w:rPr>
          <w:rFonts w:hint="eastAsia" w:asciiTheme="minorEastAsia" w:hAnsiTheme="minorEastAsia" w:eastAsiaTheme="minorEastAsia" w:cstheme="minorEastAsia"/>
          <w:sz w:val="24"/>
        </w:rPr>
        <w:t>说明：1.提供有效的营业执照等证明文件复印件，复印件上应加盖本单位章。</w:t>
      </w:r>
    </w:p>
    <w:p>
      <w:pPr>
        <w:pStyle w:val="11"/>
        <w:tabs>
          <w:tab w:val="left" w:pos="5580"/>
        </w:tabs>
        <w:spacing w:line="240" w:lineRule="atLeast"/>
        <w:ind w:left="1105" w:leftChars="257" w:hanging="5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color w:val="auto"/>
          <w:sz w:val="24"/>
        </w:rPr>
        <w:t xml:space="preserve"> 2. 投标人为自然人的，应提供身份证明的复印件。</w:t>
      </w:r>
    </w:p>
    <w:p>
      <w:pPr>
        <w:pStyle w:val="11"/>
        <w:tabs>
          <w:tab w:val="left" w:pos="5580"/>
        </w:tabs>
        <w:spacing w:line="240" w:lineRule="atLeast"/>
        <w:ind w:left="1105" w:leftChars="257" w:hanging="5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3.联合体投标应提供联合体各方满足以上要求的证明文件。</w:t>
      </w:r>
    </w:p>
    <w:p>
      <w:pPr>
        <w:tabs>
          <w:tab w:val="left" w:pos="4463"/>
        </w:tabs>
        <w:spacing w:before="55"/>
        <w:ind w:left="4103" w:right="0" w:firstLine="0"/>
        <w:jc w:val="left"/>
        <w:rPr>
          <w:b/>
          <w:color w:val="auto"/>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tabs>
          <w:tab w:val="left" w:pos="4463"/>
        </w:tabs>
        <w:spacing w:before="55"/>
        <w:ind w:left="4103" w:right="0" w:firstLine="0"/>
        <w:jc w:val="left"/>
        <w:rPr>
          <w:b/>
          <w:sz w:val="24"/>
        </w:rPr>
      </w:pPr>
    </w:p>
    <w:p>
      <w:pPr>
        <w:pStyle w:val="7"/>
      </w:pPr>
    </w:p>
    <w:p>
      <w:pPr>
        <w:tabs>
          <w:tab w:val="left" w:pos="4463"/>
        </w:tabs>
        <w:spacing w:before="55"/>
        <w:ind w:left="4103" w:right="0" w:firstLine="0"/>
        <w:jc w:val="left"/>
        <w:rPr>
          <w:b/>
          <w:sz w:val="24"/>
        </w:rPr>
      </w:pPr>
    </w:p>
    <w:p>
      <w:pPr>
        <w:pStyle w:val="25"/>
      </w:pPr>
    </w:p>
    <w:p>
      <w:pPr>
        <w:pStyle w:val="25"/>
      </w:pPr>
    </w:p>
    <w:p>
      <w:pPr>
        <w:pStyle w:val="7"/>
        <w:ind w:firstLine="0"/>
        <w:jc w:val="center"/>
        <w:outlineLvl w:val="1"/>
        <w:rPr>
          <w:rFonts w:hint="eastAsia" w:ascii="宋体" w:hAnsi="宋体" w:eastAsia="宋体" w:cs="宋体"/>
          <w:b/>
          <w:bCs/>
          <w:color w:val="558ED5" w:themeColor="text2" w:themeTint="99"/>
          <w:kern w:val="2"/>
          <w:szCs w:val="24"/>
          <w14:textFill>
            <w14:solidFill>
              <w14:schemeClr w14:val="tx2">
                <w14:lumMod w14:val="60000"/>
                <w14:lumOff w14:val="40000"/>
              </w14:schemeClr>
            </w14:solidFill>
          </w14:textFill>
        </w:rPr>
      </w:pPr>
      <w:bookmarkStart w:id="202" w:name="_Toc13644"/>
      <w:r>
        <w:rPr>
          <w:rFonts w:hint="eastAsia" w:ascii="仿宋_GB2312" w:hAnsi="宋体" w:eastAsia="仿宋_GB2312"/>
          <w:b/>
          <w:bCs/>
          <w:kern w:val="2"/>
          <w:szCs w:val="24"/>
        </w:rPr>
        <w:t>3</w:t>
      </w:r>
      <w:r>
        <w:rPr>
          <w:rFonts w:hint="eastAsia" w:ascii="仿宋_GB2312" w:hAnsi="宋体" w:eastAsia="仿宋_GB2312"/>
          <w:b/>
          <w:bCs/>
          <w:kern w:val="2"/>
          <w:szCs w:val="24"/>
          <w:lang w:val="en-US" w:eastAsia="zh-CN"/>
        </w:rPr>
        <w:t>.</w:t>
      </w:r>
      <w:r>
        <w:rPr>
          <w:rFonts w:hint="eastAsia" w:ascii="宋体" w:hAnsi="宋体" w:eastAsia="宋体" w:cs="宋体"/>
          <w:b/>
          <w:bCs/>
          <w:spacing w:val="-2"/>
          <w:sz w:val="24"/>
          <w:szCs w:val="22"/>
          <w:lang w:val="en-US" w:eastAsia="zh-CN" w:bidi="zh-CN"/>
        </w:rPr>
        <w:t>法定代表人授权书及被委托人身份证（法定代表人投标提供法定代表人身份证明及身份证）；</w:t>
      </w:r>
      <w:r>
        <w:rPr>
          <w:rFonts w:hint="eastAsia" w:ascii="宋体" w:hAnsi="宋体" w:eastAsia="宋体" w:cs="宋体"/>
          <w:b/>
          <w:bCs/>
          <w:color w:val="auto"/>
          <w:kern w:val="2"/>
          <w:szCs w:val="24"/>
        </w:rPr>
        <w:t>(投标文件格式二，自然人投标的无需提供)</w:t>
      </w:r>
      <w:bookmarkEnd w:id="202"/>
    </w:p>
    <w:p>
      <w:pPr>
        <w:pStyle w:val="11"/>
        <w:numPr>
          <w:ilvl w:val="0"/>
          <w:numId w:val="0"/>
        </w:numPr>
        <w:spacing w:line="240" w:lineRule="atLeast"/>
        <w:ind w:right="0" w:rightChars="0"/>
        <w:jc w:val="both"/>
        <w:rPr>
          <w:rFonts w:hint="eastAsia" w:ascii="宋体" w:hAnsi="宋体" w:eastAsia="宋体" w:cs="宋体"/>
          <w:b/>
          <w:szCs w:val="21"/>
          <w:highlight w:val="none"/>
        </w:rPr>
      </w:pPr>
    </w:p>
    <w:p>
      <w:pPr>
        <w:pStyle w:val="11"/>
        <w:numPr>
          <w:ilvl w:val="0"/>
          <w:numId w:val="0"/>
        </w:numPr>
        <w:spacing w:line="240" w:lineRule="atLeast"/>
        <w:ind w:right="0" w:rightChars="0"/>
        <w:jc w:val="both"/>
        <w:rPr>
          <w:rFonts w:hint="eastAsia" w:ascii="宋体" w:hAnsi="宋体" w:eastAsia="宋体" w:cs="宋体"/>
          <w:b/>
          <w:szCs w:val="21"/>
          <w:highlight w:val="none"/>
        </w:rPr>
      </w:pPr>
    </w:p>
    <w:p>
      <w:pPr>
        <w:pStyle w:val="11"/>
        <w:numPr>
          <w:ilvl w:val="0"/>
          <w:numId w:val="0"/>
        </w:numPr>
        <w:spacing w:line="240" w:lineRule="atLeast"/>
        <w:ind w:right="0" w:rightChars="0"/>
        <w:jc w:val="both"/>
        <w:rPr>
          <w:rFonts w:hint="eastAsia" w:ascii="宋体" w:hAnsi="宋体" w:eastAsia="宋体" w:cs="宋体"/>
          <w:b/>
          <w:szCs w:val="21"/>
          <w:highlight w:val="none"/>
        </w:rPr>
      </w:pPr>
    </w:p>
    <w:p>
      <w:pPr>
        <w:pStyle w:val="11"/>
        <w:numPr>
          <w:ilvl w:val="0"/>
          <w:numId w:val="0"/>
        </w:numPr>
        <w:spacing w:line="240" w:lineRule="atLeast"/>
        <w:ind w:right="0" w:rightChars="0"/>
        <w:jc w:val="center"/>
        <w:rPr>
          <w:rFonts w:hint="eastAsia" w:ascii="宋体" w:hAnsi="宋体" w:eastAsia="宋体" w:cs="宋体"/>
          <w:sz w:val="28"/>
          <w:szCs w:val="24"/>
          <w:highlight w:val="none"/>
        </w:rPr>
      </w:pPr>
      <w:r>
        <w:rPr>
          <w:rFonts w:hint="eastAsia" w:ascii="宋体" w:hAnsi="宋体" w:eastAsia="宋体" w:cs="宋体"/>
          <w:b/>
          <w:sz w:val="28"/>
          <w:szCs w:val="24"/>
          <w:highlight w:val="none"/>
          <w:lang w:val="en-US" w:eastAsia="zh-CN"/>
        </w:rPr>
        <w:t>3.1</w:t>
      </w:r>
      <w:r>
        <w:rPr>
          <w:rFonts w:hint="eastAsia" w:hAnsi="宋体" w:eastAsia="宋体" w:cs="宋体"/>
          <w:b/>
          <w:sz w:val="28"/>
          <w:szCs w:val="24"/>
          <w:highlight w:val="none"/>
          <w:lang w:val="en-US" w:eastAsia="zh-CN"/>
        </w:rPr>
        <w:t>.</w:t>
      </w:r>
      <w:r>
        <w:rPr>
          <w:rFonts w:hint="eastAsia" w:ascii="宋体" w:hAnsi="宋体" w:eastAsia="宋体" w:cs="宋体"/>
          <w:b/>
          <w:sz w:val="28"/>
          <w:szCs w:val="24"/>
          <w:highlight w:val="none"/>
        </w:rPr>
        <w:t>法人</w:t>
      </w:r>
      <w:r>
        <w:rPr>
          <w:rFonts w:hint="eastAsia" w:ascii="宋体" w:hAnsi="宋体" w:eastAsia="宋体" w:cs="宋体"/>
          <w:b/>
          <w:sz w:val="28"/>
          <w:szCs w:val="24"/>
          <w:highlight w:val="none"/>
          <w:lang w:val="en-US" w:eastAsia="zh-CN"/>
        </w:rPr>
        <w:t>代表资格证明书</w:t>
      </w:r>
    </w:p>
    <w:p>
      <w:pPr>
        <w:spacing w:line="360" w:lineRule="auto"/>
        <w:rPr>
          <w:rFonts w:hint="eastAsia" w:ascii="宋体" w:hAnsi="宋体" w:eastAsia="宋体" w:cs="宋体"/>
          <w:sz w:val="28"/>
          <w:szCs w:val="24"/>
          <w:highlight w:val="none"/>
        </w:rPr>
      </w:pPr>
    </w:p>
    <w:p>
      <w:pPr>
        <w:spacing w:line="360" w:lineRule="auto"/>
        <w:ind w:leftChars="600"/>
        <w:jc w:val="both"/>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同志，现任我单位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职务，为法定代表人，特此证明。</w:t>
      </w:r>
    </w:p>
    <w:p>
      <w:pPr>
        <w:spacing w:line="360" w:lineRule="auto"/>
        <w:ind w:leftChars="600" w:firstLine="220" w:firstLineChars="100"/>
        <w:jc w:val="both"/>
        <w:rPr>
          <w:rFonts w:hint="eastAsia" w:ascii="宋体" w:hAnsi="宋体" w:eastAsia="宋体" w:cs="宋体"/>
          <w:szCs w:val="21"/>
          <w:highlight w:val="none"/>
        </w:rPr>
      </w:pPr>
      <w:r>
        <w:rPr>
          <w:rFonts w:hint="eastAsia" w:ascii="宋体" w:hAnsi="宋体" w:eastAsia="宋体" w:cs="宋体"/>
          <w:szCs w:val="21"/>
          <w:highlight w:val="none"/>
        </w:rPr>
        <w:t xml:space="preserve">签发日期：                  单位：        </w:t>
      </w:r>
    </w:p>
    <w:p>
      <w:pPr>
        <w:spacing w:line="360" w:lineRule="auto"/>
        <w:ind w:leftChars="600" w:firstLine="220" w:firstLineChars="100"/>
        <w:jc w:val="both"/>
        <w:rPr>
          <w:rFonts w:hint="eastAsia" w:ascii="宋体" w:hAnsi="宋体" w:eastAsia="宋体" w:cs="宋体"/>
          <w:szCs w:val="21"/>
          <w:highlight w:val="none"/>
        </w:rPr>
      </w:pPr>
      <w:r>
        <w:rPr>
          <w:rFonts w:hint="eastAsia" w:ascii="宋体" w:hAnsi="宋体" w:eastAsia="宋体" w:cs="宋体"/>
          <w:szCs w:val="21"/>
          <w:highlight w:val="none"/>
        </w:rPr>
        <w:t>附：代表人性别：            年龄：           身份证号码：</w:t>
      </w:r>
    </w:p>
    <w:p>
      <w:pPr>
        <w:spacing w:line="360" w:lineRule="auto"/>
        <w:ind w:leftChars="600" w:firstLine="220" w:firstLineChars="100"/>
        <w:jc w:val="both"/>
        <w:rPr>
          <w:rFonts w:hint="eastAsia" w:ascii="宋体" w:hAnsi="宋体" w:eastAsia="宋体" w:cs="宋体"/>
          <w:szCs w:val="21"/>
          <w:highlight w:val="none"/>
        </w:rPr>
      </w:pPr>
      <w:r>
        <w:rPr>
          <w:rFonts w:hint="eastAsia" w:ascii="宋体" w:hAnsi="宋体" w:eastAsia="宋体" w:cs="宋体"/>
          <w:szCs w:val="21"/>
          <w:highlight w:val="none"/>
        </w:rPr>
        <w:t>联系电话：</w:t>
      </w:r>
    </w:p>
    <w:p>
      <w:pPr>
        <w:spacing w:line="360" w:lineRule="auto"/>
        <w:ind w:leftChars="600" w:firstLine="220" w:firstLineChars="100"/>
        <w:jc w:val="both"/>
        <w:rPr>
          <w:rFonts w:hint="eastAsia" w:ascii="宋体" w:hAnsi="宋体" w:eastAsia="宋体" w:cs="宋体"/>
          <w:szCs w:val="21"/>
          <w:highlight w:val="none"/>
        </w:rPr>
      </w:pPr>
      <w:r>
        <w:rPr>
          <w:rFonts w:hint="eastAsia" w:ascii="宋体" w:hAnsi="宋体" w:eastAsia="宋体" w:cs="宋体"/>
          <w:szCs w:val="21"/>
          <w:highlight w:val="none"/>
        </w:rPr>
        <w:t>营业执照号码：              经济性质：</w:t>
      </w:r>
    </w:p>
    <w:p>
      <w:pPr>
        <w:spacing w:line="360" w:lineRule="auto"/>
        <w:ind w:leftChars="600"/>
        <w:jc w:val="both"/>
        <w:rPr>
          <w:rFonts w:hint="eastAsia" w:ascii="宋体" w:hAnsi="宋体" w:eastAsia="宋体" w:cs="宋体"/>
          <w:szCs w:val="21"/>
          <w:highlight w:val="none"/>
        </w:rPr>
      </w:pPr>
      <w:r>
        <w:rPr>
          <w:rFonts w:hint="eastAsia" w:ascii="宋体" w:hAnsi="宋体" w:eastAsia="宋体" w:cs="宋体"/>
          <w:szCs w:val="21"/>
          <w:highlight w:val="none"/>
        </w:rPr>
        <w:t>说明：</w:t>
      </w:r>
    </w:p>
    <w:p>
      <w:pPr>
        <w:spacing w:line="360" w:lineRule="auto"/>
        <w:ind w:leftChars="600" w:firstLine="220" w:firstLineChars="100"/>
        <w:jc w:val="both"/>
        <w:rPr>
          <w:rFonts w:hint="eastAsia" w:ascii="宋体" w:hAnsi="宋体" w:eastAsia="宋体" w:cs="宋体"/>
          <w:szCs w:val="21"/>
          <w:highlight w:val="none"/>
        </w:rPr>
      </w:pPr>
      <w:r>
        <w:rPr>
          <w:rFonts w:hint="eastAsia" w:ascii="宋体" w:hAnsi="宋体" w:eastAsia="宋体" w:cs="宋体"/>
          <w:szCs w:val="21"/>
          <w:highlight w:val="none"/>
        </w:rPr>
        <w:t>1、法定代表人为企业事业单位、国家机关、社会团体的主要行政负责人。</w:t>
      </w:r>
    </w:p>
    <w:p>
      <w:pPr>
        <w:spacing w:line="360" w:lineRule="auto"/>
        <w:ind w:leftChars="600"/>
        <w:jc w:val="both"/>
        <w:rPr>
          <w:rFonts w:hint="eastAsia" w:ascii="宋体" w:hAnsi="宋体" w:eastAsia="宋体" w:cs="宋体"/>
          <w:szCs w:val="21"/>
          <w:highlight w:val="none"/>
        </w:rPr>
      </w:pPr>
      <w:r>
        <w:rPr>
          <w:rFonts w:hint="eastAsia" w:ascii="宋体" w:hAnsi="宋体" w:eastAsia="宋体" w:cs="宋体"/>
          <w:szCs w:val="21"/>
          <w:highlight w:val="none"/>
        </w:rPr>
        <w:t xml:space="preserve">  2、内容必须填写真实、清楚、涂改无效，不得转让。</w:t>
      </w:r>
    </w:p>
    <w:p>
      <w:pPr>
        <w:spacing w:line="360" w:lineRule="auto"/>
        <w:ind w:leftChars="600" w:firstLine="220" w:firstLineChars="100"/>
        <w:jc w:val="both"/>
        <w:rPr>
          <w:rFonts w:hint="eastAsia" w:ascii="宋体" w:hAnsi="宋体" w:eastAsia="宋体" w:cs="宋体"/>
          <w:szCs w:val="21"/>
          <w:highlight w:val="none"/>
        </w:rPr>
      </w:pPr>
      <w:r>
        <w:rPr>
          <w:rFonts w:hint="eastAsia" w:ascii="宋体" w:hAnsi="宋体" w:eastAsia="宋体" w:cs="宋体"/>
          <w:szCs w:val="21"/>
          <w:highlight w:val="none"/>
        </w:rPr>
        <w:t>3、将此证明书原件提交采购代理机构作为谈判投标文件附件。</w:t>
      </w:r>
    </w:p>
    <w:p>
      <w:pPr>
        <w:spacing w:line="360" w:lineRule="auto"/>
        <w:ind w:leftChars="600"/>
        <w:jc w:val="both"/>
        <w:rPr>
          <w:rFonts w:hint="eastAsia" w:ascii="宋体" w:hAnsi="宋体" w:eastAsia="宋体" w:cs="宋体"/>
          <w:szCs w:val="21"/>
          <w:highlight w:val="none"/>
        </w:rPr>
      </w:pPr>
      <w:r>
        <w:rPr>
          <w:rFonts w:hint="eastAsia" w:ascii="宋体" w:hAnsi="宋体" w:eastAsia="宋体" w:cs="宋体"/>
          <w:szCs w:val="21"/>
          <w:highlight w:val="none"/>
        </w:rPr>
        <w:t xml:space="preserve">  (为避免废标，请供应商务必提供本附件)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mc:AlternateContent>
          <mc:Choice Requires="wps">
            <w:drawing>
              <wp:anchor distT="0" distB="0" distL="114300" distR="114300" simplePos="0" relativeHeight="251674624" behindDoc="0" locked="0" layoutInCell="1" allowOverlap="1">
                <wp:simplePos x="0" y="0"/>
                <wp:positionH relativeFrom="column">
                  <wp:posOffset>762000</wp:posOffset>
                </wp:positionH>
                <wp:positionV relativeFrom="paragraph">
                  <wp:posOffset>26670</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60pt;margin-top:2.1pt;height:124.75pt;width:183.75pt;z-index:251674624;mso-width-relative:page;mso-height-relative:page;" fillcolor="#FFFFFF" filled="t" stroked="t" coordsize="21600,21600" o:gfxdata="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bJan9YAAAAJ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szCs w:val="21"/>
          <w:highlight w:val="none"/>
        </w:rPr>
        <mc:AlternateContent>
          <mc:Choice Requires="wps">
            <w:drawing>
              <wp:anchor distT="0" distB="0" distL="114300" distR="114300" simplePos="0" relativeHeight="251675648" behindDoc="0" locked="0" layoutInCell="1" allowOverlap="1">
                <wp:simplePos x="0" y="0"/>
                <wp:positionH relativeFrom="column">
                  <wp:posOffset>3283585</wp:posOffset>
                </wp:positionH>
                <wp:positionV relativeFrom="paragraph">
                  <wp:posOffset>28575</wp:posOffset>
                </wp:positionV>
                <wp:extent cx="2609850" cy="1557020"/>
                <wp:effectExtent l="7620" t="7620" r="11430" b="16510"/>
                <wp:wrapNone/>
                <wp:docPr id="1" name="圆角矩形 1"/>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7"/>
                            </w:pPr>
                          </w:p>
                          <w:p>
                            <w:pPr>
                              <w:pStyle w:val="7"/>
                            </w:pPr>
                          </w:p>
                          <w:p>
                            <w:pPr>
                              <w:pStyle w:val="7"/>
                            </w:pPr>
                          </w:p>
                          <w:p>
                            <w:pPr>
                              <w:pStyle w:val="7"/>
                            </w:pPr>
                          </w:p>
                        </w:txbxContent>
                      </wps:txbx>
                      <wps:bodyPr wrap="square" upright="1"/>
                    </wps:wsp>
                  </a:graphicData>
                </a:graphic>
              </wp:anchor>
            </w:drawing>
          </mc:Choice>
          <mc:Fallback>
            <w:pict>
              <v:roundrect id="_x0000_s1026" o:spid="_x0000_s1026" o:spt="2" style="position:absolute;left:0pt;margin-left:258.55pt;margin-top:2.25pt;height:122.6pt;width:205.5pt;z-index:251675648;mso-width-relative:page;mso-height-relative:page;" fillcolor="#FFFFFF" filled="t" stroked="t" coordsize="21600,21600" arcsize="0.166666666666667" o:gfxdata="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DTO2gAAAAkBAAAPAAAAAAAAAAEAIAAAACIAAABkcnMvZG93bnJl&#10;di54bWxQSwECFAAUAAAACACHTuJAPRr+dDQCAAB0BAAADgAAAAAAAAABACAAAAApAQAAZHJzL2Uy&#10;b0RvYy54bWxQSwUGAAAAAAYABgBZAQAAzw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7"/>
                      </w:pPr>
                    </w:p>
                    <w:p>
                      <w:pPr>
                        <w:pStyle w:val="7"/>
                      </w:pPr>
                    </w:p>
                    <w:p>
                      <w:pPr>
                        <w:pStyle w:val="7"/>
                      </w:pPr>
                    </w:p>
                    <w:p>
                      <w:pPr>
                        <w:pStyle w:val="7"/>
                      </w:pPr>
                    </w:p>
                  </w:txbxContent>
                </v:textbox>
              </v:roundrect>
            </w:pict>
          </mc:Fallback>
        </mc:AlternateContent>
      </w:r>
    </w:p>
    <w:p>
      <w:pPr>
        <w:spacing w:line="360" w:lineRule="auto"/>
        <w:ind w:leftChars="300"/>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Cs w:val="21"/>
          <w:highlight w:val="none"/>
        </w:rPr>
      </w:pPr>
    </w:p>
    <w:p>
      <w:pPr>
        <w:autoSpaceDE w:val="0"/>
        <w:autoSpaceDN w:val="0"/>
        <w:adjustRightInd w:val="0"/>
        <w:spacing w:line="360" w:lineRule="auto"/>
        <w:ind w:right="246"/>
        <w:rPr>
          <w:rFonts w:hint="eastAsia" w:ascii="宋体" w:hAnsi="宋体" w:eastAsia="宋体" w:cs="宋体"/>
          <w:kern w:val="0"/>
          <w:szCs w:val="21"/>
          <w:highlight w:val="none"/>
        </w:rPr>
      </w:pPr>
    </w:p>
    <w:p>
      <w:pPr>
        <w:autoSpaceDE w:val="0"/>
        <w:autoSpaceDN w:val="0"/>
        <w:adjustRightInd w:val="0"/>
        <w:spacing w:line="360" w:lineRule="auto"/>
        <w:ind w:right="246"/>
        <w:rPr>
          <w:rFonts w:hint="eastAsia" w:ascii="宋体" w:hAnsi="宋体" w:eastAsia="宋体" w:cs="宋体"/>
          <w:kern w:val="0"/>
          <w:szCs w:val="21"/>
          <w:highlight w:val="none"/>
        </w:rPr>
      </w:pPr>
    </w:p>
    <w:p>
      <w:pPr>
        <w:autoSpaceDE w:val="0"/>
        <w:autoSpaceDN w:val="0"/>
        <w:adjustRightInd w:val="0"/>
        <w:spacing w:line="360" w:lineRule="auto"/>
        <w:ind w:right="246" w:firstLine="719" w:firstLineChars="327"/>
        <w:rPr>
          <w:rFonts w:hint="eastAsia" w:ascii="宋体" w:hAnsi="宋体" w:eastAsia="宋体" w:cs="宋体"/>
          <w:kern w:val="0"/>
          <w:szCs w:val="21"/>
          <w:highlight w:val="none"/>
        </w:rPr>
      </w:pPr>
    </w:p>
    <w:p>
      <w:pPr>
        <w:pStyle w:val="19"/>
        <w:rPr>
          <w:rFonts w:hint="eastAsia" w:ascii="宋体" w:hAnsi="宋体" w:eastAsia="宋体" w:cs="宋体"/>
          <w:kern w:val="0"/>
          <w:szCs w:val="21"/>
          <w:highlight w:val="none"/>
        </w:rPr>
      </w:pPr>
    </w:p>
    <w:p>
      <w:pPr>
        <w:pStyle w:val="7"/>
        <w:rPr>
          <w:rFonts w:hint="eastAsia" w:ascii="宋体" w:hAnsi="宋体" w:eastAsia="宋体" w:cs="宋体"/>
          <w:kern w:val="0"/>
          <w:szCs w:val="21"/>
          <w:highlight w:val="none"/>
        </w:rPr>
      </w:pPr>
    </w:p>
    <w:p>
      <w:pPr>
        <w:pStyle w:val="8"/>
        <w:rPr>
          <w:rFonts w:hint="eastAsia"/>
        </w:rPr>
      </w:pPr>
    </w:p>
    <w:p>
      <w:pPr>
        <w:autoSpaceDE w:val="0"/>
        <w:autoSpaceDN w:val="0"/>
        <w:adjustRightInd w:val="0"/>
        <w:spacing w:line="360" w:lineRule="auto"/>
        <w:ind w:leftChars="1800" w:right="246" w:firstLine="719" w:firstLineChars="327"/>
        <w:rPr>
          <w:rFonts w:hint="eastAsia" w:ascii="宋体" w:hAnsi="宋体" w:eastAsia="宋体" w:cs="宋体"/>
          <w:szCs w:val="21"/>
          <w:highlight w:val="none"/>
        </w:rPr>
      </w:pPr>
      <w:r>
        <w:rPr>
          <w:rFonts w:hint="eastAsia" w:ascii="宋体" w:hAnsi="宋体" w:eastAsia="宋体" w:cs="宋体"/>
          <w:kern w:val="0"/>
          <w:szCs w:val="21"/>
          <w:highlight w:val="none"/>
        </w:rPr>
        <w:t>供应商（公章）：</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 </w:t>
      </w:r>
    </w:p>
    <w:p>
      <w:pPr>
        <w:adjustRightInd w:val="0"/>
        <w:snapToGrid w:val="0"/>
        <w:spacing w:line="360" w:lineRule="auto"/>
        <w:ind w:leftChars="1800" w:firstLine="719" w:firstLineChars="327"/>
        <w:rPr>
          <w:rFonts w:hint="eastAsia" w:ascii="宋体" w:hAnsi="宋体" w:eastAsia="宋体" w:cs="宋体"/>
          <w:szCs w:val="21"/>
          <w:highlight w:val="none"/>
        </w:rPr>
      </w:pPr>
      <w:r>
        <w:rPr>
          <w:rFonts w:hint="eastAsia" w:ascii="宋体" w:hAnsi="宋体" w:eastAsia="宋体" w:cs="宋体"/>
          <w:kern w:val="0"/>
          <w:szCs w:val="21"/>
          <w:highlight w:val="none"/>
        </w:rPr>
        <w:t>法定代表人（签/章）：</w:t>
      </w:r>
      <w:r>
        <w:rPr>
          <w:rFonts w:hint="eastAsia" w:ascii="宋体" w:hAnsi="宋体" w:eastAsia="宋体" w:cs="宋体"/>
          <w:szCs w:val="21"/>
          <w:highlight w:val="none"/>
          <w:u w:val="single"/>
        </w:rPr>
        <w:t xml:space="preserve">                    </w:t>
      </w:r>
    </w:p>
    <w:p>
      <w:pPr>
        <w:adjustRightInd w:val="0"/>
        <w:snapToGrid w:val="0"/>
        <w:spacing w:line="360" w:lineRule="auto"/>
        <w:ind w:leftChars="1800" w:firstLine="719" w:firstLineChars="327"/>
        <w:rPr>
          <w:rFonts w:hint="eastAsia" w:ascii="宋体" w:hAnsi="宋体" w:eastAsia="宋体" w:cs="宋体"/>
          <w:b/>
          <w:bCs/>
          <w:sz w:val="24"/>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p>
    <w:p>
      <w:pPr>
        <w:pStyle w:val="11"/>
        <w:tabs>
          <w:tab w:val="left" w:pos="5580"/>
        </w:tabs>
        <w:spacing w:line="240" w:lineRule="atLeast"/>
        <w:ind w:firstLine="480" w:firstLineChars="200"/>
        <w:outlineLvl w:val="9"/>
        <w:rPr>
          <w:rFonts w:hint="eastAsia" w:ascii="仿宋_GB2312" w:eastAsia="仿宋_GB2312"/>
          <w:sz w:val="24"/>
          <w:highlight w:val="none"/>
        </w:rPr>
      </w:pPr>
    </w:p>
    <w:p>
      <w:pPr>
        <w:rPr>
          <w:rFonts w:hint="eastAsia" w:ascii="仿宋_GB2312" w:eastAsia="仿宋_GB2312"/>
          <w:sz w:val="24"/>
          <w:highlight w:val="none"/>
        </w:rPr>
      </w:pPr>
    </w:p>
    <w:p>
      <w:pPr>
        <w:pStyle w:val="7"/>
        <w:rPr>
          <w:rFonts w:hint="eastAsia" w:ascii="仿宋_GB2312" w:eastAsia="仿宋_GB2312"/>
          <w:sz w:val="24"/>
          <w:highlight w:val="none"/>
        </w:rPr>
      </w:pPr>
    </w:p>
    <w:p>
      <w:pPr>
        <w:rPr>
          <w:rFonts w:hint="eastAsia" w:ascii="仿宋_GB2312" w:eastAsia="仿宋_GB2312"/>
          <w:sz w:val="24"/>
          <w:highlight w:val="none"/>
        </w:rPr>
      </w:pPr>
    </w:p>
    <w:p>
      <w:pPr>
        <w:pStyle w:val="7"/>
        <w:rPr>
          <w:rFonts w:hint="eastAsia" w:ascii="仿宋_GB2312" w:eastAsia="仿宋_GB2312"/>
          <w:sz w:val="24"/>
          <w:highlight w:val="none"/>
        </w:rPr>
      </w:pPr>
    </w:p>
    <w:p>
      <w:pPr>
        <w:rPr>
          <w:rFonts w:hint="eastAsia" w:ascii="仿宋_GB2312" w:eastAsia="仿宋_GB2312"/>
          <w:sz w:val="24"/>
          <w:highlight w:val="none"/>
        </w:rPr>
      </w:pPr>
    </w:p>
    <w:p>
      <w:pPr>
        <w:pStyle w:val="7"/>
        <w:rPr>
          <w:rFonts w:hint="eastAsia" w:ascii="仿宋_GB2312" w:eastAsia="仿宋_GB2312"/>
          <w:sz w:val="24"/>
          <w:highlight w:val="none"/>
        </w:rPr>
      </w:pPr>
    </w:p>
    <w:p>
      <w:pPr>
        <w:rPr>
          <w:rFonts w:hint="eastAsia" w:ascii="仿宋_GB2312" w:eastAsia="仿宋_GB2312"/>
          <w:sz w:val="24"/>
          <w:highlight w:val="none"/>
        </w:rPr>
      </w:pPr>
    </w:p>
    <w:p>
      <w:pPr>
        <w:pStyle w:val="7"/>
        <w:rPr>
          <w:rFonts w:hint="eastAsia"/>
        </w:rPr>
      </w:pPr>
    </w:p>
    <w:p>
      <w:pPr>
        <w:spacing w:before="0" w:line="240" w:lineRule="atLeast"/>
        <w:ind w:left="1105" w:leftChars="257" w:hanging="540"/>
        <w:outlineLvl w:val="9"/>
        <w:rPr>
          <w:rFonts w:ascii="仿宋_GB2312" w:hAnsi="宋体" w:eastAsia="仿宋_GB2312"/>
          <w:sz w:val="24"/>
          <w:highlight w:val="none"/>
        </w:rPr>
      </w:pPr>
    </w:p>
    <w:p>
      <w:pPr>
        <w:pStyle w:val="11"/>
        <w:spacing w:line="240" w:lineRule="atLeast"/>
        <w:ind w:left="1105" w:leftChars="257" w:hanging="540"/>
        <w:jc w:val="cente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lang w:val="en-US" w:eastAsia="zh-CN"/>
        </w:rPr>
        <w:t>3.2</w:t>
      </w:r>
      <w:r>
        <w:rPr>
          <w:rFonts w:hint="eastAsia" w:hAnsi="宋体" w:eastAsia="宋体" w:cs="宋体"/>
          <w:b/>
          <w:color w:val="auto"/>
          <w:sz w:val="28"/>
          <w:szCs w:val="24"/>
          <w:highlight w:val="none"/>
          <w:lang w:val="en-US" w:eastAsia="zh-CN"/>
        </w:rPr>
        <w:t>.</w:t>
      </w:r>
      <w:r>
        <w:rPr>
          <w:rFonts w:hint="eastAsia" w:ascii="宋体" w:hAnsi="宋体" w:eastAsia="宋体" w:cs="宋体"/>
          <w:b/>
          <w:color w:val="auto"/>
          <w:sz w:val="28"/>
          <w:szCs w:val="24"/>
          <w:highlight w:val="none"/>
        </w:rPr>
        <w:t>法定代表人授权委托书</w:t>
      </w:r>
    </w:p>
    <w:p>
      <w:pPr>
        <w:pStyle w:val="11"/>
        <w:spacing w:line="240" w:lineRule="atLeast"/>
        <w:ind w:left="1105" w:leftChars="257" w:hanging="540"/>
        <w:jc w:val="center"/>
        <w:rPr>
          <w:rFonts w:hint="eastAsia" w:ascii="宋体" w:hAnsi="宋体" w:eastAsia="宋体" w:cs="宋体"/>
          <w:sz w:val="36"/>
          <w:szCs w:val="24"/>
        </w:rPr>
      </w:pPr>
      <w:r>
        <w:rPr>
          <w:rFonts w:hint="eastAsia" w:ascii="宋体" w:hAnsi="宋体" w:eastAsia="宋体" w:cs="宋体"/>
          <w:b/>
          <w:color w:val="auto"/>
          <w:sz w:val="28"/>
          <w:szCs w:val="24"/>
          <w:highlight w:val="none"/>
        </w:rPr>
        <w:t>(投标文件格式二，自然人投标的无需提供)</w:t>
      </w:r>
      <w:r>
        <w:rPr>
          <w:rFonts w:hint="eastAsia" w:ascii="宋体" w:hAnsi="宋体" w:eastAsia="宋体" w:cs="宋体"/>
          <w:b/>
          <w:color w:val="auto"/>
          <w:sz w:val="32"/>
          <w:szCs w:val="28"/>
          <w:highlight w:val="none"/>
        </w:rPr>
        <w:cr/>
      </w:r>
    </w:p>
    <w:p>
      <w:pPr>
        <w:pStyle w:val="11"/>
        <w:tabs>
          <w:tab w:val="left" w:pos="5580"/>
        </w:tabs>
        <w:spacing w:line="240" w:lineRule="atLeast"/>
        <w:rPr>
          <w:rFonts w:hint="eastAsia" w:ascii="宋体" w:hAnsi="宋体" w:eastAsia="宋体" w:cs="宋体"/>
          <w:i w:val="0"/>
          <w:iCs w:val="0"/>
          <w:sz w:val="28"/>
          <w:szCs w:val="21"/>
        </w:rPr>
      </w:pPr>
      <w:r>
        <w:rPr>
          <w:rFonts w:hint="eastAsia" w:ascii="宋体" w:hAnsi="宋体" w:eastAsia="宋体" w:cs="宋体"/>
          <w:sz w:val="24"/>
        </w:rPr>
        <w:cr/>
      </w:r>
      <w:r>
        <w:rPr>
          <w:rFonts w:hint="eastAsia" w:ascii="宋体" w:hAnsi="宋体" w:eastAsia="宋体" w:cs="宋体"/>
          <w:sz w:val="24"/>
        </w:rPr>
        <w:t xml:space="preserve">    </w:t>
      </w:r>
      <w:r>
        <w:rPr>
          <w:rFonts w:hint="eastAsia" w:ascii="宋体" w:hAnsi="宋体" w:eastAsia="宋体" w:cs="宋体"/>
          <w:sz w:val="22"/>
          <w:szCs w:val="21"/>
          <w:highlight w:val="none"/>
          <w:lang w:val="zh-CN" w:eastAsia="zh-CN" w:bidi="zh-CN"/>
        </w:rPr>
        <w:t>本授权书声明：注册于</w:t>
      </w:r>
      <w:r>
        <w:rPr>
          <w:rFonts w:hint="eastAsia" w:ascii="宋体" w:hAnsi="宋体" w:eastAsia="宋体" w:cs="宋体"/>
          <w:sz w:val="22"/>
          <w:szCs w:val="21"/>
          <w:highlight w:val="none"/>
          <w:u w:val="single"/>
          <w:lang w:val="zh-CN" w:eastAsia="zh-CN" w:bidi="zh-CN"/>
        </w:rPr>
        <w:t>（国家或地区的名称）</w:t>
      </w:r>
      <w:r>
        <w:rPr>
          <w:rFonts w:hint="eastAsia" w:ascii="宋体" w:hAnsi="宋体" w:eastAsia="宋体" w:cs="宋体"/>
          <w:sz w:val="22"/>
          <w:szCs w:val="21"/>
          <w:highlight w:val="none"/>
          <w:lang w:val="zh-CN" w:eastAsia="zh-CN" w:bidi="zh-CN"/>
        </w:rPr>
        <w:t>的</w:t>
      </w:r>
      <w:r>
        <w:rPr>
          <w:rFonts w:hint="eastAsia" w:ascii="宋体" w:hAnsi="宋体" w:eastAsia="宋体" w:cs="宋体"/>
          <w:sz w:val="22"/>
          <w:szCs w:val="21"/>
          <w:highlight w:val="none"/>
          <w:u w:val="single"/>
          <w:lang w:val="zh-CN" w:eastAsia="zh-CN" w:bidi="zh-CN"/>
        </w:rPr>
        <w:t>（投标人）</w:t>
      </w:r>
      <w:r>
        <w:rPr>
          <w:rFonts w:hint="eastAsia" w:ascii="宋体" w:hAnsi="宋体" w:eastAsia="宋体" w:cs="宋体"/>
          <w:sz w:val="22"/>
          <w:szCs w:val="21"/>
          <w:highlight w:val="none"/>
          <w:lang w:val="zh-CN" w:eastAsia="zh-CN" w:bidi="zh-CN"/>
        </w:rPr>
        <w:t>的在下面签字的</w:t>
      </w:r>
      <w:r>
        <w:rPr>
          <w:rFonts w:hint="eastAsia" w:ascii="宋体" w:hAnsi="宋体" w:eastAsia="宋体" w:cs="宋体"/>
          <w:sz w:val="22"/>
          <w:szCs w:val="21"/>
          <w:highlight w:val="none"/>
          <w:u w:val="single"/>
          <w:lang w:val="zh-CN" w:eastAsia="zh-CN" w:bidi="zh-CN"/>
        </w:rPr>
        <w:t>（法人代表姓名、职务）</w:t>
      </w:r>
      <w:r>
        <w:rPr>
          <w:rFonts w:hint="eastAsia" w:ascii="宋体" w:hAnsi="宋体" w:eastAsia="宋体" w:cs="宋体"/>
          <w:sz w:val="22"/>
          <w:szCs w:val="21"/>
          <w:highlight w:val="none"/>
          <w:lang w:val="zh-CN" w:eastAsia="zh-CN" w:bidi="zh-CN"/>
        </w:rPr>
        <w:t>代表我单位授权</w:t>
      </w:r>
      <w:r>
        <w:rPr>
          <w:rFonts w:hint="eastAsia" w:ascii="宋体" w:hAnsi="宋体" w:eastAsia="宋体" w:cs="宋体"/>
          <w:sz w:val="22"/>
          <w:szCs w:val="21"/>
          <w:highlight w:val="none"/>
          <w:u w:val="single"/>
          <w:lang w:val="zh-CN" w:eastAsia="zh-CN" w:bidi="zh-CN"/>
        </w:rPr>
        <w:t>（单位名称）</w:t>
      </w:r>
      <w:r>
        <w:rPr>
          <w:rFonts w:hint="eastAsia" w:ascii="宋体" w:hAnsi="宋体" w:eastAsia="宋体" w:cs="宋体"/>
          <w:sz w:val="22"/>
          <w:szCs w:val="21"/>
          <w:highlight w:val="none"/>
          <w:lang w:val="zh-CN" w:eastAsia="zh-CN" w:bidi="zh-CN"/>
        </w:rPr>
        <w:t>的在下面签字的</w:t>
      </w:r>
      <w:r>
        <w:rPr>
          <w:rFonts w:hint="eastAsia" w:ascii="宋体" w:hAnsi="宋体" w:eastAsia="宋体" w:cs="宋体"/>
          <w:sz w:val="22"/>
          <w:szCs w:val="21"/>
          <w:highlight w:val="none"/>
          <w:u w:val="single"/>
          <w:lang w:val="zh-CN" w:eastAsia="zh-CN" w:bidi="zh-CN"/>
        </w:rPr>
        <w:t>（被授权人的姓名、职务）</w:t>
      </w:r>
      <w:r>
        <w:rPr>
          <w:rFonts w:hint="eastAsia" w:ascii="宋体" w:hAnsi="宋体" w:eastAsia="宋体" w:cs="宋体"/>
          <w:i w:val="0"/>
          <w:iCs w:val="0"/>
          <w:sz w:val="28"/>
          <w:szCs w:val="21"/>
        </w:rPr>
        <w:t>为</w:t>
      </w:r>
      <w:r>
        <w:rPr>
          <w:rFonts w:hint="eastAsia" w:ascii="宋体" w:hAnsi="宋体" w:eastAsia="宋体" w:cs="宋体"/>
          <w:sz w:val="22"/>
          <w:szCs w:val="21"/>
          <w:highlight w:val="none"/>
          <w:lang w:val="zh-CN" w:eastAsia="zh-CN" w:bidi="zh-CN"/>
        </w:rPr>
        <w:t>我单位的合法代理人，就</w:t>
      </w:r>
      <w:r>
        <w:rPr>
          <w:rFonts w:hint="eastAsia" w:ascii="宋体" w:hAnsi="宋体" w:eastAsia="宋体" w:cs="宋体"/>
          <w:sz w:val="22"/>
          <w:szCs w:val="21"/>
          <w:highlight w:val="none"/>
          <w:u w:val="single"/>
          <w:lang w:val="zh-CN" w:eastAsia="zh-CN" w:bidi="zh-CN"/>
        </w:rPr>
        <w:t>（项目名称）</w:t>
      </w:r>
      <w:r>
        <w:rPr>
          <w:rFonts w:hint="eastAsia" w:ascii="宋体" w:hAnsi="宋体" w:eastAsia="宋体" w:cs="宋体"/>
          <w:sz w:val="22"/>
          <w:szCs w:val="21"/>
          <w:highlight w:val="none"/>
          <w:lang w:val="zh-CN" w:eastAsia="zh-CN" w:bidi="zh-CN"/>
        </w:rPr>
        <w:t>的</w:t>
      </w:r>
      <w:r>
        <w:rPr>
          <w:rFonts w:hint="eastAsia" w:ascii="宋体" w:hAnsi="宋体" w:eastAsia="宋体" w:cs="宋体"/>
          <w:sz w:val="22"/>
          <w:szCs w:val="21"/>
          <w:highlight w:val="none"/>
          <w:u w:val="single"/>
          <w:lang w:val="zh-CN" w:eastAsia="zh-CN" w:bidi="zh-CN"/>
        </w:rPr>
        <w:t>（合同名称）</w:t>
      </w:r>
      <w:r>
        <w:rPr>
          <w:rFonts w:hint="eastAsia" w:ascii="宋体" w:hAnsi="宋体" w:eastAsia="宋体" w:cs="宋体"/>
          <w:sz w:val="22"/>
          <w:szCs w:val="21"/>
          <w:highlight w:val="none"/>
          <w:lang w:val="zh-CN" w:eastAsia="zh-CN" w:bidi="zh-CN"/>
        </w:rPr>
        <w:t>投标，以我单位名义处理一切与之有关的事务。</w:t>
      </w:r>
      <w:r>
        <w:rPr>
          <w:rFonts w:hint="eastAsia" w:ascii="宋体" w:hAnsi="宋体" w:eastAsia="宋体" w:cs="宋体"/>
          <w:i w:val="0"/>
          <w:iCs w:val="0"/>
          <w:sz w:val="28"/>
          <w:szCs w:val="21"/>
        </w:rPr>
        <w:cr/>
      </w:r>
      <w:r>
        <w:rPr>
          <w:rFonts w:hint="eastAsia" w:ascii="宋体" w:hAnsi="宋体" w:eastAsia="宋体" w:cs="宋体"/>
          <w:i w:val="0"/>
          <w:iCs w:val="0"/>
          <w:sz w:val="28"/>
          <w:szCs w:val="21"/>
        </w:rPr>
        <w:t>　　</w:t>
      </w:r>
    </w:p>
    <w:p>
      <w:pPr>
        <w:pStyle w:val="11"/>
        <w:tabs>
          <w:tab w:val="left" w:pos="5580"/>
        </w:tabs>
        <w:spacing w:line="240" w:lineRule="atLeast"/>
        <w:ind w:left="-565" w:leftChars="-257" w:firstLine="825" w:firstLineChars="375"/>
        <w:rPr>
          <w:rFonts w:hint="eastAsia" w:ascii="宋体" w:hAnsi="宋体" w:eastAsia="宋体" w:cs="宋体"/>
          <w:i w:val="0"/>
          <w:iCs w:val="0"/>
          <w:sz w:val="28"/>
          <w:szCs w:val="21"/>
        </w:rPr>
      </w:pPr>
      <w:r>
        <w:rPr>
          <w:rFonts w:hint="eastAsia" w:ascii="宋体" w:hAnsi="宋体" w:eastAsia="宋体" w:cs="宋体"/>
          <w:sz w:val="22"/>
          <w:szCs w:val="21"/>
          <w:highlight w:val="none"/>
          <w:lang w:val="zh-CN" w:eastAsia="zh-CN" w:bidi="zh-CN"/>
        </w:rPr>
        <w:t>本授权书于</w:t>
      </w:r>
      <w:r>
        <w:rPr>
          <w:rFonts w:hint="eastAsia" w:ascii="宋体" w:hAnsi="宋体" w:eastAsia="宋体" w:cs="宋体"/>
          <w:i w:val="0"/>
          <w:iCs w:val="0"/>
          <w:sz w:val="28"/>
          <w:szCs w:val="21"/>
          <w:u w:val="single"/>
        </w:rPr>
        <w:t xml:space="preserve">           </w:t>
      </w:r>
      <w:r>
        <w:rPr>
          <w:rFonts w:hint="eastAsia" w:ascii="宋体" w:hAnsi="宋体" w:eastAsia="宋体" w:cs="宋体"/>
          <w:sz w:val="22"/>
          <w:szCs w:val="21"/>
          <w:highlight w:val="none"/>
          <w:lang w:val="zh-CN" w:eastAsia="zh-CN" w:bidi="zh-CN"/>
        </w:rPr>
        <w:t>年</w:t>
      </w:r>
      <w:r>
        <w:rPr>
          <w:rFonts w:hint="eastAsia" w:ascii="宋体" w:hAnsi="宋体" w:eastAsia="宋体" w:cs="宋体"/>
          <w:i w:val="0"/>
          <w:iCs w:val="0"/>
          <w:sz w:val="28"/>
          <w:szCs w:val="21"/>
          <w:u w:val="single"/>
        </w:rPr>
        <w:t xml:space="preserve">     </w:t>
      </w:r>
      <w:r>
        <w:rPr>
          <w:rFonts w:hint="eastAsia" w:ascii="宋体" w:hAnsi="宋体" w:eastAsia="宋体" w:cs="宋体"/>
          <w:sz w:val="22"/>
          <w:szCs w:val="21"/>
          <w:highlight w:val="none"/>
          <w:lang w:val="zh-CN" w:eastAsia="zh-CN" w:bidi="zh-CN"/>
        </w:rPr>
        <w:t>月</w:t>
      </w:r>
      <w:r>
        <w:rPr>
          <w:rFonts w:hint="eastAsia" w:ascii="宋体" w:hAnsi="宋体" w:eastAsia="宋体" w:cs="宋体"/>
          <w:i w:val="0"/>
          <w:iCs w:val="0"/>
          <w:sz w:val="28"/>
          <w:szCs w:val="21"/>
          <w:u w:val="single"/>
        </w:rPr>
        <w:t xml:space="preserve">     </w:t>
      </w:r>
      <w:r>
        <w:rPr>
          <w:rFonts w:hint="eastAsia" w:ascii="宋体" w:hAnsi="宋体" w:eastAsia="宋体" w:cs="宋体"/>
          <w:sz w:val="22"/>
          <w:szCs w:val="21"/>
          <w:highlight w:val="none"/>
          <w:lang w:val="zh-CN" w:eastAsia="zh-CN" w:bidi="zh-CN"/>
        </w:rPr>
        <w:t>日签字生效,特此声明。</w:t>
      </w:r>
      <w:r>
        <w:rPr>
          <w:rFonts w:hint="eastAsia" w:ascii="宋体" w:hAnsi="宋体" w:eastAsia="宋体" w:cs="宋体"/>
          <w:i w:val="0"/>
          <w:iCs w:val="0"/>
          <w:sz w:val="28"/>
          <w:szCs w:val="21"/>
        </w:rPr>
        <w:cr/>
      </w:r>
      <w:r>
        <w:rPr>
          <w:rFonts w:hint="eastAsia" w:ascii="宋体" w:hAnsi="宋体" w:eastAsia="宋体" w:cs="宋体"/>
          <w:i w:val="0"/>
          <w:iCs w:val="0"/>
          <w:sz w:val="28"/>
          <w:szCs w:val="21"/>
        </w:rPr>
        <w:cr/>
      </w: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spacing w:line="240" w:lineRule="atLeast"/>
        <w:ind w:left="-565" w:leftChars="-257" w:firstLine="566"/>
        <w:rPr>
          <w:rFonts w:hint="eastAsia" w:ascii="宋体" w:hAnsi="宋体" w:eastAsia="宋体" w:cs="宋体"/>
          <w:sz w:val="24"/>
        </w:rPr>
      </w:pPr>
      <w:r>
        <w:rPr>
          <w:rFonts w:hint="eastAsia" w:ascii="宋体" w:hAnsi="宋体" w:eastAsia="宋体" w:cs="宋体"/>
          <w:sz w:val="24"/>
        </w:rPr>
        <w:t xml:space="preserve">（授权委托人身份证复印件）           （授权委托人身份证复印件）  </w:t>
      </w: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rPr>
          <w:rFonts w:hint="eastAsia" w:ascii="宋体" w:hAnsi="宋体" w:eastAsia="宋体" w:cs="宋体"/>
          <w:sz w:val="24"/>
        </w:rPr>
      </w:pPr>
      <w:r>
        <w:rPr>
          <w:rFonts w:hint="eastAsia" w:ascii="宋体" w:hAnsi="宋体" w:eastAsia="宋体" w:cs="宋体"/>
          <w:sz w:val="24"/>
        </w:rPr>
        <w:t xml:space="preserve">（法人身份证复印件）                   （法人身份证复印件）   </w:t>
      </w: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rPr>
          <w:rFonts w:hint="eastAsia" w:ascii="宋体" w:hAnsi="宋体" w:eastAsia="宋体" w:cs="宋体"/>
          <w:sz w:val="24"/>
        </w:rPr>
      </w:pPr>
    </w:p>
    <w:p>
      <w:pPr>
        <w:pStyle w:val="11"/>
        <w:tabs>
          <w:tab w:val="left" w:pos="5580"/>
        </w:tabs>
        <w:spacing w:line="240" w:lineRule="atLeast"/>
        <w:rPr>
          <w:rFonts w:hint="eastAsia" w:ascii="宋体" w:hAnsi="宋体" w:eastAsia="宋体" w:cs="宋体"/>
          <w:sz w:val="24"/>
        </w:rPr>
      </w:pPr>
    </w:p>
    <w:p>
      <w:pPr>
        <w:pStyle w:val="11"/>
        <w:tabs>
          <w:tab w:val="left" w:pos="5580"/>
        </w:tabs>
        <w:spacing w:line="240" w:lineRule="atLeast"/>
        <w:ind w:left="-565" w:leftChars="-257" w:firstLine="900" w:firstLineChars="375"/>
        <w:rPr>
          <w:rFonts w:hint="eastAsia" w:ascii="宋体" w:hAnsi="宋体" w:eastAsia="宋体" w:cs="宋体"/>
          <w:sz w:val="24"/>
        </w:rPr>
      </w:pPr>
    </w:p>
    <w:p>
      <w:pPr>
        <w:pStyle w:val="11"/>
        <w:tabs>
          <w:tab w:val="left" w:pos="5580"/>
        </w:tabs>
        <w:spacing w:line="240" w:lineRule="atLeast"/>
        <w:rPr>
          <w:rFonts w:hint="eastAsia" w:ascii="宋体" w:hAnsi="宋体" w:eastAsia="宋体" w:cs="宋体"/>
          <w:sz w:val="24"/>
        </w:rPr>
      </w:pP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none"/>
        </w:rPr>
        <w:t>投标人（盖单位章）;</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u w:val="none"/>
        </w:rPr>
        <w:t>法定代表人（签字及法人章）：</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none"/>
        </w:rPr>
        <w:t>身份证号码：</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none"/>
        </w:rPr>
        <w:t>委托代理人：</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none"/>
        </w:rPr>
        <w:t>身份证号码：</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u w:val="none"/>
        </w:rPr>
        <w:t>详细通讯地址：</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u w:val="none"/>
        </w:rPr>
        <w:t>邮 政 编 码 ：</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u w:val="none"/>
        </w:rPr>
        <w:t>传　　　　真</w:t>
      </w:r>
      <w:r>
        <w:rPr>
          <w:rFonts w:hint="eastAsia" w:ascii="宋体" w:hAnsi="宋体" w:eastAsia="宋体" w:cs="宋体"/>
          <w:sz w:val="24"/>
        </w:rPr>
        <w:t>：</w:t>
      </w:r>
      <w:r>
        <w:rPr>
          <w:rFonts w:hint="eastAsia" w:ascii="宋体" w:hAnsi="宋体" w:eastAsia="宋体" w:cs="宋体"/>
          <w:sz w:val="24"/>
          <w:u w:val="single"/>
        </w:rPr>
        <w:t xml:space="preserve">                                 </w:t>
      </w:r>
    </w:p>
    <w:p>
      <w:pPr>
        <w:pStyle w:val="11"/>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u w:val="none"/>
        </w:rPr>
        <w:t>电　　　　话</w:t>
      </w:r>
      <w:r>
        <w:rPr>
          <w:rFonts w:hint="eastAsia" w:ascii="宋体" w:hAnsi="宋体" w:eastAsia="宋体" w:cs="宋体"/>
          <w:sz w:val="24"/>
        </w:rPr>
        <w:t>：</w:t>
      </w:r>
      <w:r>
        <w:rPr>
          <w:rFonts w:hint="eastAsia" w:ascii="宋体" w:hAnsi="宋体" w:eastAsia="宋体" w:cs="宋体"/>
          <w:sz w:val="24"/>
          <w:u w:val="single"/>
        </w:rPr>
        <w:t xml:space="preserve">                                 </w:t>
      </w:r>
    </w:p>
    <w:p>
      <w:pPr>
        <w:tabs>
          <w:tab w:val="left" w:pos="4463"/>
        </w:tabs>
        <w:spacing w:before="55"/>
        <w:ind w:left="4103" w:right="0" w:firstLine="0"/>
        <w:jc w:val="left"/>
        <w:rPr>
          <w:b/>
          <w:sz w:val="24"/>
        </w:rPr>
      </w:pPr>
    </w:p>
    <w:p>
      <w:pPr>
        <w:spacing w:after="0" w:line="242" w:lineRule="auto"/>
        <w:jc w:val="both"/>
        <w:rPr>
          <w:rFonts w:ascii="Times New Roman" w:eastAsia="Times New Roman"/>
        </w:rPr>
        <w:sectPr>
          <w:footerReference r:id="rId7" w:type="default"/>
          <w:pgSz w:w="11910" w:h="16840"/>
          <w:pgMar w:top="1480" w:right="800" w:bottom="1180" w:left="740" w:header="0" w:footer="1000" w:gutter="0"/>
          <w:pgNumType w:fmt="decimal"/>
          <w:cols w:space="720" w:num="1"/>
        </w:sectPr>
      </w:pPr>
    </w:p>
    <w:p>
      <w:pPr>
        <w:spacing w:line="400" w:lineRule="exact"/>
        <w:jc w:val="center"/>
        <w:outlineLvl w:val="1"/>
        <w:rPr>
          <w:rFonts w:hint="eastAsia" w:ascii="宋体" w:hAnsi="宋体" w:eastAsia="宋体" w:cs="宋体"/>
          <w:b/>
          <w:bCs/>
          <w:color w:val="FF0000"/>
          <w:spacing w:val="-2"/>
          <w:sz w:val="24"/>
          <w:szCs w:val="22"/>
          <w:lang w:val="en-US" w:eastAsia="zh-CN" w:bidi="zh-CN"/>
        </w:rPr>
      </w:pPr>
      <w:bookmarkStart w:id="203" w:name="_Toc18538"/>
      <w:r>
        <w:rPr>
          <w:rFonts w:hint="eastAsia" w:ascii="宋体" w:hAnsi="宋体" w:eastAsia="宋体" w:cs="宋体"/>
          <w:b/>
          <w:bCs/>
          <w:kern w:val="2"/>
          <w:sz w:val="24"/>
          <w:szCs w:val="28"/>
        </w:rPr>
        <w:t>4</w:t>
      </w:r>
      <w:r>
        <w:rPr>
          <w:rFonts w:hint="eastAsia" w:ascii="宋体" w:hAnsi="宋体" w:eastAsia="宋体" w:cs="宋体"/>
          <w:b/>
          <w:bCs/>
          <w:kern w:val="2"/>
          <w:sz w:val="24"/>
          <w:szCs w:val="28"/>
          <w:lang w:val="en-US" w:eastAsia="zh-CN"/>
        </w:rPr>
        <w:t>.</w:t>
      </w:r>
      <w:r>
        <w:rPr>
          <w:rFonts w:hint="eastAsia" w:ascii="宋体" w:hAnsi="宋体" w:eastAsia="宋体" w:cs="宋体"/>
          <w:b/>
          <w:bCs/>
          <w:color w:val="000000" w:themeColor="text1"/>
          <w:spacing w:val="-2"/>
          <w:sz w:val="24"/>
          <w:szCs w:val="22"/>
          <w:lang w:val="en-US" w:eastAsia="zh-CN" w:bidi="zh-CN"/>
          <w14:textFill>
            <w14:solidFill>
              <w14:schemeClr w14:val="tx1"/>
            </w14:solidFill>
          </w14:textFill>
        </w:rPr>
        <w:t>具有税务局开具依法缴纳近六个月任意一个月的完税证明；</w:t>
      </w:r>
      <w:bookmarkEnd w:id="203"/>
    </w:p>
    <w:p>
      <w:pPr>
        <w:pStyle w:val="11"/>
        <w:tabs>
          <w:tab w:val="left" w:pos="5580"/>
        </w:tabs>
        <w:spacing w:line="240" w:lineRule="atLeast"/>
        <w:ind w:left="540"/>
        <w:rPr>
          <w:rFonts w:hint="eastAsia" w:ascii="宋体" w:hAnsi="宋体" w:eastAsia="宋体" w:cs="宋体"/>
          <w:b/>
          <w:bCs/>
          <w:color w:val="558ED5" w:themeColor="text2" w:themeTint="99"/>
          <w:kern w:val="2"/>
          <w:sz w:val="24"/>
          <w:szCs w:val="28"/>
          <w14:textFill>
            <w14:solidFill>
              <w14:schemeClr w14:val="tx2">
                <w14:lumMod w14:val="60000"/>
                <w14:lumOff w14:val="40000"/>
              </w14:schemeClr>
            </w14:solidFill>
          </w14:textFill>
        </w:rPr>
      </w:pPr>
    </w:p>
    <w:p>
      <w:pPr>
        <w:pStyle w:val="11"/>
        <w:tabs>
          <w:tab w:val="left" w:pos="5580"/>
        </w:tabs>
        <w:spacing w:line="240" w:lineRule="atLeast"/>
        <w:ind w:left="540"/>
        <w:rPr>
          <w:rFonts w:hint="eastAsia" w:ascii="宋体" w:hAnsi="宋体" w:eastAsia="宋体" w:cs="宋体"/>
          <w:sz w:val="24"/>
        </w:rPr>
      </w:pPr>
    </w:p>
    <w:p>
      <w:pPr>
        <w:pStyle w:val="11"/>
        <w:tabs>
          <w:tab w:val="left" w:pos="5580"/>
        </w:tabs>
        <w:spacing w:line="240" w:lineRule="atLeast"/>
        <w:ind w:left="540"/>
        <w:rPr>
          <w:rFonts w:hint="eastAsia" w:ascii="宋体" w:hAnsi="宋体" w:eastAsia="宋体" w:cs="宋体"/>
          <w:sz w:val="24"/>
        </w:rPr>
      </w:pPr>
    </w:p>
    <w:p>
      <w:pPr>
        <w:pStyle w:val="11"/>
        <w:tabs>
          <w:tab w:val="left" w:pos="5580"/>
        </w:tabs>
        <w:spacing w:line="240" w:lineRule="atLeast"/>
        <w:ind w:left="540"/>
        <w:jc w:val="center"/>
        <w:rPr>
          <w:rFonts w:hint="eastAsia" w:ascii="宋体" w:hAnsi="宋体" w:eastAsia="宋体" w:cs="宋体"/>
          <w:sz w:val="24"/>
        </w:rPr>
      </w:pPr>
      <w:r>
        <w:rPr>
          <w:rFonts w:hint="eastAsia" w:ascii="宋体" w:hAnsi="宋体" w:eastAsia="宋体" w:cs="宋体"/>
          <w:sz w:val="24"/>
        </w:rPr>
        <w:t>说明：1.按照</w:t>
      </w:r>
      <w:r>
        <w:rPr>
          <w:rFonts w:hint="eastAsia" w:ascii="宋体" w:hAnsi="宋体" w:eastAsia="宋体" w:cs="宋体"/>
          <w:sz w:val="24"/>
          <w:u w:val="single"/>
        </w:rPr>
        <w:t>投标人须知资料表</w:t>
      </w:r>
      <w:r>
        <w:rPr>
          <w:rFonts w:hint="eastAsia" w:ascii="宋体" w:hAnsi="宋体" w:eastAsia="宋体" w:cs="宋体"/>
          <w:sz w:val="24"/>
        </w:rPr>
        <w:t>中的规定提供复印件。</w:t>
      </w:r>
    </w:p>
    <w:p>
      <w:pPr>
        <w:pStyle w:val="11"/>
        <w:tabs>
          <w:tab w:val="left" w:pos="5580"/>
        </w:tabs>
        <w:spacing w:line="240" w:lineRule="atLeast"/>
        <w:ind w:left="1285" w:leftChars="584" w:firstLine="2042" w:firstLineChars="851"/>
        <w:jc w:val="both"/>
        <w:rPr>
          <w:rFonts w:hint="eastAsia" w:ascii="宋体" w:hAnsi="宋体" w:eastAsia="宋体" w:cs="宋体"/>
          <w:sz w:val="24"/>
        </w:rPr>
      </w:pPr>
      <w:r>
        <w:rPr>
          <w:rFonts w:hint="eastAsia" w:ascii="宋体" w:hAnsi="宋体" w:eastAsia="宋体" w:cs="宋体"/>
          <w:sz w:val="24"/>
        </w:rPr>
        <w:t>2.复印件上应加盖本单位章。</w:t>
      </w:r>
    </w:p>
    <w:p>
      <w:pPr>
        <w:tabs>
          <w:tab w:val="left" w:pos="5580"/>
        </w:tabs>
        <w:spacing w:line="240" w:lineRule="atLeast"/>
        <w:ind w:left="1105" w:leftChars="257" w:hanging="540"/>
        <w:jc w:val="center"/>
        <w:rPr>
          <w:rFonts w:hint="eastAsia" w:ascii="宋体" w:hAnsi="宋体" w:eastAsia="宋体" w:cs="宋体"/>
          <w:sz w:val="24"/>
        </w:rPr>
      </w:pPr>
      <w:r>
        <w:rPr>
          <w:rFonts w:hint="eastAsia" w:ascii="宋体" w:hAnsi="宋体" w:eastAsia="宋体" w:cs="宋体"/>
          <w:sz w:val="24"/>
          <w:lang w:val="en-US" w:eastAsia="zh-CN"/>
        </w:rPr>
        <w:t xml:space="preserve">            3</w:t>
      </w:r>
      <w:r>
        <w:rPr>
          <w:rFonts w:hint="eastAsia" w:ascii="宋体" w:hAnsi="宋体" w:eastAsia="宋体" w:cs="宋体"/>
          <w:sz w:val="24"/>
        </w:rPr>
        <w:t>.如果是联合体投标，联合体各方均需提供上述证明。</w:t>
      </w:r>
    </w:p>
    <w:p>
      <w:pPr>
        <w:pStyle w:val="3"/>
        <w:spacing w:before="9"/>
        <w:rPr>
          <w:sz w:val="15"/>
        </w:rPr>
      </w:pPr>
    </w:p>
    <w:p>
      <w:pPr>
        <w:rPr>
          <w:sz w:val="15"/>
        </w:rPr>
      </w:pPr>
    </w:p>
    <w:p>
      <w:pPr>
        <w:pStyle w:val="7"/>
        <w:rPr>
          <w:sz w:val="15"/>
        </w:rPr>
      </w:pPr>
    </w:p>
    <w:p>
      <w:pPr>
        <w:rPr>
          <w:sz w:val="15"/>
        </w:rPr>
      </w:pPr>
    </w:p>
    <w:p>
      <w:pPr>
        <w:pStyle w:val="7"/>
        <w:rPr>
          <w:sz w:val="15"/>
        </w:rPr>
      </w:pPr>
    </w:p>
    <w:p>
      <w:pPr>
        <w:rPr>
          <w:sz w:val="15"/>
        </w:rPr>
      </w:pPr>
    </w:p>
    <w:p>
      <w:pPr>
        <w:pStyle w:val="7"/>
        <w:rPr>
          <w:sz w:val="15"/>
        </w:rPr>
      </w:pPr>
    </w:p>
    <w:p>
      <w:pPr>
        <w:rPr>
          <w:sz w:val="15"/>
        </w:rPr>
      </w:pPr>
    </w:p>
    <w:p>
      <w:pPr>
        <w:pStyle w:val="7"/>
        <w:rPr>
          <w:sz w:val="15"/>
        </w:rPr>
      </w:pPr>
    </w:p>
    <w:p>
      <w:pPr>
        <w:rPr>
          <w:sz w:val="15"/>
        </w:rPr>
      </w:pPr>
    </w:p>
    <w:p>
      <w:pPr>
        <w:pStyle w:val="7"/>
        <w:rPr>
          <w:sz w:val="15"/>
        </w:rPr>
      </w:pPr>
    </w:p>
    <w:p>
      <w:pPr>
        <w:rPr>
          <w:sz w:val="15"/>
        </w:rPr>
      </w:pPr>
    </w:p>
    <w:p>
      <w:pPr>
        <w:pStyle w:val="7"/>
        <w:rPr>
          <w:sz w:val="15"/>
        </w:rPr>
      </w:pPr>
    </w:p>
    <w:p>
      <w:pPr>
        <w:rPr>
          <w:sz w:val="15"/>
        </w:rPr>
      </w:pPr>
    </w:p>
    <w:p>
      <w:pPr>
        <w:pStyle w:val="7"/>
        <w:rPr>
          <w:sz w:val="15"/>
        </w:rPr>
      </w:pPr>
    </w:p>
    <w:p>
      <w:pPr>
        <w:rPr>
          <w:sz w:val="15"/>
        </w:rPr>
      </w:pPr>
    </w:p>
    <w:p>
      <w:pPr>
        <w:pStyle w:val="7"/>
        <w:rPr>
          <w:sz w:val="15"/>
        </w:rPr>
      </w:pPr>
    </w:p>
    <w:p>
      <w:pPr>
        <w:rPr>
          <w:sz w:val="15"/>
        </w:rPr>
      </w:pPr>
    </w:p>
    <w:p>
      <w:pPr>
        <w:pStyle w:val="7"/>
        <w:rPr>
          <w:sz w:val="15"/>
        </w:rPr>
      </w:pPr>
    </w:p>
    <w:p>
      <w:pPr>
        <w:rPr>
          <w:sz w:val="15"/>
        </w:rPr>
      </w:pPr>
    </w:p>
    <w:p>
      <w:pPr>
        <w:pStyle w:val="7"/>
      </w:pPr>
    </w:p>
    <w:p>
      <w:pPr>
        <w:rPr>
          <w:rFonts w:hint="eastAsia" w:ascii="仿宋_GB2312" w:hAnsi="宋体" w:eastAsia="仿宋_GB2312" w:cs="仿宋"/>
          <w:b/>
          <w:bCs/>
          <w:kern w:val="2"/>
          <w:sz w:val="24"/>
          <w:szCs w:val="28"/>
          <w:lang w:val="en-US" w:eastAsia="zh-CN" w:bidi="zh-CN"/>
        </w:rPr>
      </w:pPr>
      <w:bookmarkStart w:id="204" w:name="_Toc27581"/>
      <w:r>
        <w:rPr>
          <w:rFonts w:hint="eastAsia" w:ascii="仿宋_GB2312" w:hAnsi="宋体" w:eastAsia="仿宋_GB2312" w:cs="仿宋"/>
          <w:b/>
          <w:bCs/>
          <w:kern w:val="2"/>
          <w:sz w:val="24"/>
          <w:szCs w:val="28"/>
          <w:lang w:val="en-US" w:eastAsia="zh-CN" w:bidi="zh-CN"/>
        </w:rPr>
        <w:br w:type="page"/>
      </w:r>
    </w:p>
    <w:p>
      <w:pPr>
        <w:spacing w:line="400" w:lineRule="exact"/>
        <w:ind w:left="1923" w:leftChars="436" w:hanging="964" w:hangingChars="400"/>
        <w:outlineLvl w:val="1"/>
        <w:rPr>
          <w:rFonts w:hint="eastAsia" w:ascii="仿宋_GB2312" w:hAnsi="宋体" w:eastAsia="仿宋_GB2312" w:cs="仿宋"/>
          <w:b/>
          <w:bCs/>
          <w:color w:val="auto"/>
          <w:kern w:val="2"/>
          <w:sz w:val="24"/>
          <w:szCs w:val="28"/>
          <w:lang w:val="en-US" w:eastAsia="zh-CN" w:bidi="zh-CN"/>
        </w:rPr>
      </w:pPr>
      <w:r>
        <w:rPr>
          <w:rFonts w:hint="eastAsia" w:ascii="仿宋_GB2312" w:hAnsi="宋体" w:eastAsia="仿宋_GB2312" w:cs="仿宋"/>
          <w:b/>
          <w:bCs/>
          <w:kern w:val="2"/>
          <w:sz w:val="24"/>
          <w:szCs w:val="28"/>
          <w:lang w:val="en-US" w:eastAsia="zh-CN" w:bidi="zh-CN"/>
        </w:rPr>
        <w:t>5.2021年度的财务审计报告（新成立未满一年的公司需提供有效的银行资信证明）</w:t>
      </w:r>
      <w:r>
        <w:rPr>
          <w:rFonts w:hint="eastAsia" w:ascii="仿宋_GB2312" w:hAnsi="宋体" w:eastAsia="仿宋_GB2312" w:cs="仿宋"/>
          <w:b/>
          <w:bCs/>
          <w:color w:val="auto"/>
          <w:kern w:val="2"/>
          <w:sz w:val="24"/>
          <w:szCs w:val="28"/>
          <w:lang w:val="en-US" w:eastAsia="zh-CN" w:bidi="zh-CN"/>
        </w:rPr>
        <w:t>；</w:t>
      </w:r>
      <w:bookmarkEnd w:id="204"/>
    </w:p>
    <w:p>
      <w:pPr>
        <w:pStyle w:val="3"/>
        <w:spacing w:before="4"/>
        <w:ind w:firstLine="944" w:firstLineChars="400"/>
        <w:rPr>
          <w:rFonts w:ascii="仿宋" w:hAnsi="仿宋" w:eastAsia="仿宋" w:cs="仿宋"/>
          <w:spacing w:val="-2"/>
          <w:sz w:val="24"/>
          <w:szCs w:val="22"/>
          <w:lang w:val="zh-CN" w:eastAsia="zh-CN" w:bidi="zh-CN"/>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spacing w:after="0" w:line="242" w:lineRule="auto"/>
        <w:jc w:val="left"/>
        <w:rPr>
          <w:sz w:val="24"/>
        </w:rPr>
        <w:sectPr>
          <w:pgSz w:w="11910" w:h="16840"/>
          <w:pgMar w:top="1580" w:right="800" w:bottom="1180" w:left="740" w:header="0" w:footer="1000" w:gutter="0"/>
          <w:pgNumType w:fmt="decimal"/>
          <w:cols w:space="720" w:num="1"/>
        </w:sectPr>
      </w:pPr>
    </w:p>
    <w:p>
      <w:pPr>
        <w:rPr>
          <w:sz w:val="24"/>
        </w:rPr>
      </w:pPr>
      <w:bookmarkStart w:id="205" w:name="7 投标人在“信用中国”（www.creditchina.gov.cn）和中国政"/>
      <w:bookmarkEnd w:id="205"/>
    </w:p>
    <w:p>
      <w:pPr>
        <w:pStyle w:val="7"/>
        <w:rPr>
          <w:sz w:val="24"/>
        </w:rPr>
      </w:pPr>
    </w:p>
    <w:p>
      <w:pPr>
        <w:rPr>
          <w:sz w:val="24"/>
        </w:rPr>
      </w:pPr>
    </w:p>
    <w:p>
      <w:pPr>
        <w:pStyle w:val="7"/>
        <w:rPr>
          <w:sz w:val="24"/>
        </w:rPr>
      </w:pPr>
    </w:p>
    <w:p>
      <w:pPr>
        <w:rPr>
          <w:sz w:val="24"/>
        </w:rPr>
      </w:pPr>
    </w:p>
    <w:p>
      <w:pPr>
        <w:pStyle w:val="7"/>
        <w:rPr>
          <w:sz w:val="24"/>
        </w:rPr>
      </w:pPr>
    </w:p>
    <w:p>
      <w:pPr>
        <w:rPr>
          <w:sz w:val="24"/>
        </w:rPr>
      </w:pPr>
    </w:p>
    <w:p>
      <w:pPr>
        <w:pStyle w:val="7"/>
        <w:rPr>
          <w:sz w:val="24"/>
        </w:rPr>
      </w:pPr>
    </w:p>
    <w:p>
      <w:pPr>
        <w:spacing w:line="400" w:lineRule="exact"/>
        <w:ind w:left="1682" w:leftChars="436" w:hanging="723" w:hangingChars="300"/>
        <w:outlineLvl w:val="1"/>
        <w:rPr>
          <w:rFonts w:hint="eastAsia" w:ascii="仿宋_GB2312" w:hAnsi="宋体" w:eastAsia="仿宋_GB2312" w:cs="仿宋"/>
          <w:b/>
          <w:bCs/>
          <w:color w:val="auto"/>
          <w:kern w:val="2"/>
          <w:sz w:val="24"/>
          <w:szCs w:val="28"/>
          <w:lang w:val="en-US" w:eastAsia="zh-CN" w:bidi="zh-CN"/>
        </w:rPr>
      </w:pPr>
      <w:bookmarkStart w:id="206" w:name="_Toc23151"/>
      <w:r>
        <w:rPr>
          <w:rFonts w:hint="eastAsia" w:ascii="宋体" w:hAnsi="宋体" w:eastAsia="宋体" w:cs="宋体"/>
          <w:b/>
          <w:kern w:val="0"/>
          <w:sz w:val="24"/>
          <w:szCs w:val="20"/>
          <w:lang w:val="en-US" w:eastAsia="zh-CN"/>
        </w:rPr>
        <w:t>6.</w:t>
      </w:r>
      <w:r>
        <w:rPr>
          <w:rFonts w:hint="eastAsia" w:ascii="宋体" w:hAnsi="宋体" w:eastAsia="宋体" w:cs="宋体"/>
          <w:b/>
          <w:bCs/>
          <w:color w:val="auto"/>
          <w:kern w:val="2"/>
          <w:sz w:val="24"/>
          <w:szCs w:val="28"/>
          <w:lang w:val="en-US" w:eastAsia="zh-CN" w:bidi="zh-CN"/>
        </w:rPr>
        <w:t>参加采购活动前三年内，在经营活动中无重大违法声明；</w:t>
      </w:r>
      <w:bookmarkEnd w:id="206"/>
    </w:p>
    <w:p>
      <w:pPr>
        <w:spacing w:before="4" w:line="242" w:lineRule="auto"/>
        <w:ind w:left="1057" w:right="956" w:firstLine="0"/>
        <w:jc w:val="both"/>
        <w:rPr>
          <w:sz w:val="24"/>
        </w:rPr>
      </w:pPr>
    </w:p>
    <w:p>
      <w:pPr>
        <w:rPr>
          <w:rFonts w:ascii="仿宋_GB2312" w:hAnsi="Arial" w:eastAsia="仿宋_GB2312"/>
          <w:b/>
          <w:color w:val="558ED5" w:themeColor="text2" w:themeTint="99"/>
          <w:kern w:val="0"/>
          <w:sz w:val="24"/>
          <w:szCs w:val="20"/>
          <w14:textFill>
            <w14:solidFill>
              <w14:schemeClr w14:val="tx2">
                <w14:lumMod w14:val="60000"/>
                <w14:lumOff w14:val="40000"/>
              </w14:schemeClr>
            </w14:solidFill>
          </w14:textFill>
        </w:rPr>
      </w:pPr>
    </w:p>
    <w:p>
      <w:pPr>
        <w:pStyle w:val="11"/>
        <w:tabs>
          <w:tab w:val="left" w:pos="5580"/>
        </w:tabs>
        <w:spacing w:line="240" w:lineRule="atLeast"/>
        <w:ind w:left="1105" w:leftChars="257" w:hanging="540"/>
        <w:rPr>
          <w:rFonts w:hint="eastAsia" w:ascii="仿宋_GB2312" w:hAnsi="宋体" w:eastAsia="仿宋_GB2312"/>
          <w:color w:val="558ED5" w:themeColor="text2" w:themeTint="99"/>
          <w:sz w:val="24"/>
          <w14:textFill>
            <w14:solidFill>
              <w14:schemeClr w14:val="tx2">
                <w14:lumMod w14:val="60000"/>
                <w14:lumOff w14:val="40000"/>
              </w14:schemeClr>
            </w14:solidFill>
          </w14:textFill>
        </w:rPr>
      </w:pPr>
    </w:p>
    <w:p>
      <w:pPr>
        <w:pStyle w:val="11"/>
        <w:tabs>
          <w:tab w:val="left" w:pos="5580"/>
        </w:tabs>
        <w:spacing w:line="240" w:lineRule="atLeast"/>
        <w:ind w:left="1105" w:leftChars="257" w:hanging="540"/>
        <w:rPr>
          <w:rFonts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11"/>
        <w:tabs>
          <w:tab w:val="left" w:pos="5580"/>
        </w:tabs>
        <w:spacing w:line="240" w:lineRule="atLeast"/>
        <w:ind w:left="675" w:leftChars="307" w:firstLine="600" w:firstLineChars="25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pStyle w:val="7"/>
      </w:pPr>
    </w:p>
    <w:p/>
    <w:p>
      <w:pPr>
        <w:pStyle w:val="7"/>
      </w:pPr>
    </w:p>
    <w:p/>
    <w:p>
      <w:pPr>
        <w:pStyle w:val="7"/>
      </w:pPr>
    </w:p>
    <w:p/>
    <w:p>
      <w:pPr>
        <w:pStyle w:val="7"/>
      </w:pPr>
    </w:p>
    <w:p/>
    <w:p>
      <w:pPr>
        <w:pStyle w:val="7"/>
      </w:pPr>
    </w:p>
    <w:p/>
    <w:p>
      <w:pPr>
        <w:rPr>
          <w:rFonts w:hint="eastAsia" w:ascii="宋体" w:hAnsi="宋体" w:eastAsia="宋体" w:cs="宋体"/>
          <w:b/>
          <w:kern w:val="0"/>
          <w:sz w:val="24"/>
          <w:szCs w:val="20"/>
          <w:lang w:val="en-US" w:eastAsia="zh-CN"/>
        </w:rPr>
      </w:pPr>
      <w:bookmarkStart w:id="207" w:name="_Toc30788"/>
      <w:r>
        <w:rPr>
          <w:rFonts w:hint="eastAsia" w:ascii="宋体" w:hAnsi="宋体" w:eastAsia="宋体" w:cs="宋体"/>
          <w:b/>
          <w:kern w:val="0"/>
          <w:sz w:val="24"/>
          <w:szCs w:val="20"/>
          <w:lang w:val="en-US" w:eastAsia="zh-CN"/>
        </w:rPr>
        <w:br w:type="page"/>
      </w:r>
    </w:p>
    <w:p>
      <w:pPr>
        <w:spacing w:line="400" w:lineRule="exact"/>
        <w:ind w:firstLine="964" w:firstLineChars="400"/>
        <w:outlineLvl w:val="1"/>
        <w:rPr>
          <w:rFonts w:hint="eastAsia" w:ascii="仿宋_GB2312" w:hAnsi="宋体" w:eastAsia="仿宋_GB2312" w:cs="仿宋"/>
          <w:b/>
          <w:bCs/>
          <w:color w:val="auto"/>
          <w:kern w:val="2"/>
          <w:sz w:val="24"/>
          <w:szCs w:val="28"/>
          <w:lang w:val="en-US" w:eastAsia="zh-CN" w:bidi="zh-CN"/>
        </w:rPr>
      </w:pPr>
      <w:r>
        <w:rPr>
          <w:rFonts w:hint="eastAsia" w:ascii="宋体" w:hAnsi="宋体" w:eastAsia="宋体" w:cs="宋体"/>
          <w:b/>
          <w:kern w:val="0"/>
          <w:sz w:val="24"/>
          <w:szCs w:val="20"/>
          <w:lang w:val="en-US" w:eastAsia="zh-CN"/>
        </w:rPr>
        <w:t>7.</w:t>
      </w:r>
      <w:r>
        <w:rPr>
          <w:rFonts w:hint="eastAsia" w:ascii="宋体" w:hAnsi="宋体" w:eastAsia="宋体" w:cs="宋体"/>
          <w:b/>
          <w:bCs/>
          <w:color w:val="auto"/>
          <w:kern w:val="2"/>
          <w:sz w:val="24"/>
          <w:szCs w:val="28"/>
          <w:lang w:val="en-US" w:eastAsia="zh-CN" w:bidi="zh-CN"/>
        </w:rPr>
        <w:t>投标单位（供应商）具备针对本次采购项目《反商业贿赂承诺书》；</w:t>
      </w:r>
      <w:bookmarkEnd w:id="207"/>
    </w:p>
    <w:p>
      <w:pPr>
        <w:rPr>
          <w:rFonts w:ascii="仿宋_GB2312" w:hAnsi="Arial" w:eastAsia="仿宋_GB2312"/>
          <w:b/>
          <w:color w:val="558ED5" w:themeColor="text2" w:themeTint="99"/>
          <w:kern w:val="0"/>
          <w:sz w:val="24"/>
          <w:szCs w:val="20"/>
          <w14:textFill>
            <w14:solidFill>
              <w14:schemeClr w14:val="tx2">
                <w14:lumMod w14:val="60000"/>
                <w14:lumOff w14:val="40000"/>
              </w14:schemeClr>
            </w14:solidFill>
          </w14:textFill>
        </w:rPr>
      </w:pPr>
    </w:p>
    <w:p>
      <w:pPr>
        <w:pStyle w:val="7"/>
        <w:rPr>
          <w:color w:val="558ED5" w:themeColor="text2" w:themeTint="99"/>
          <w14:textFill>
            <w14:solidFill>
              <w14:schemeClr w14:val="tx2">
                <w14:lumMod w14:val="60000"/>
                <w14:lumOff w14:val="40000"/>
              </w14:schemeClr>
            </w14:solidFill>
          </w14:textFill>
        </w:rPr>
        <w:sectPr>
          <w:pgSz w:w="11910" w:h="16840"/>
          <w:pgMar w:top="1180" w:right="800" w:bottom="1180" w:left="740" w:header="0" w:footer="1000" w:gutter="0"/>
          <w:pgNumType w:fmt="decimal"/>
          <w:cols w:space="720" w:num="1"/>
        </w:sectPr>
      </w:pPr>
    </w:p>
    <w:p>
      <w:pPr>
        <w:pStyle w:val="3"/>
        <w:rPr>
          <w:b/>
          <w:sz w:val="20"/>
        </w:rPr>
      </w:pPr>
    </w:p>
    <w:p>
      <w:pPr>
        <w:pStyle w:val="3"/>
        <w:spacing w:before="4"/>
        <w:ind w:firstLine="3092" w:firstLineChars="1100"/>
        <w:jc w:val="both"/>
        <w:outlineLvl w:val="1"/>
        <w:rPr>
          <w:rFonts w:hint="eastAsia" w:ascii="仿宋" w:hAnsi="仿宋" w:eastAsia="仿宋" w:cs="仿宋"/>
          <w:b/>
          <w:bCs/>
          <w:spacing w:val="-2"/>
          <w:sz w:val="28"/>
          <w:szCs w:val="24"/>
          <w:lang w:val="en-US" w:eastAsia="zh-CN" w:bidi="zh-CN"/>
        </w:rPr>
      </w:pPr>
      <w:bookmarkStart w:id="208" w:name="8 投标保证金缴纳凭证复印件或报价担保函"/>
      <w:bookmarkEnd w:id="208"/>
      <w:bookmarkStart w:id="209" w:name="_Toc17715"/>
      <w:r>
        <w:rPr>
          <w:rFonts w:hint="eastAsia"/>
          <w:b/>
          <w:sz w:val="28"/>
          <w:szCs w:val="28"/>
          <w:lang w:val="en-US" w:eastAsia="zh-CN"/>
        </w:rPr>
        <w:t>8.</w:t>
      </w:r>
      <w:r>
        <w:rPr>
          <w:rFonts w:hint="eastAsia" w:ascii="仿宋" w:hAnsi="仿宋" w:eastAsia="仿宋" w:cs="仿宋"/>
          <w:b/>
          <w:bCs/>
          <w:spacing w:val="-2"/>
          <w:sz w:val="28"/>
          <w:szCs w:val="24"/>
          <w:lang w:val="en-US" w:eastAsia="zh-CN" w:bidi="zh-CN"/>
        </w:rPr>
        <w:t>投标保证金收据或投标保函；</w:t>
      </w:r>
      <w:bookmarkEnd w:id="209"/>
    </w:p>
    <w:p>
      <w:pPr>
        <w:spacing w:before="22" w:line="278" w:lineRule="auto"/>
        <w:ind w:left="1057" w:right="1117" w:firstLine="420"/>
        <w:jc w:val="both"/>
        <w:rPr>
          <w:w w:val="95"/>
          <w:sz w:val="21"/>
        </w:rPr>
      </w:pPr>
    </w:p>
    <w:p>
      <w:pPr>
        <w:spacing w:before="22" w:line="278" w:lineRule="auto"/>
        <w:ind w:left="1057" w:right="1117" w:firstLine="420"/>
        <w:jc w:val="both"/>
        <w:rPr>
          <w:sz w:val="21"/>
        </w:rPr>
      </w:pPr>
      <w:r>
        <w:rPr>
          <w:w w:val="95"/>
          <w:sz w:val="21"/>
        </w:rPr>
        <w:t>投标人可将本项目投标保证金支付的汇款凭证、支票、汇票或保证金收据（如有）的复印件作为缴纳凭证及投标保证金收据一起装订在本部分，复印件上应加盖本单位章；使用银行保函等其他报价担保函的，应将担保函正本，装订在本部分正本中；如采用政府采</w:t>
      </w:r>
      <w:r>
        <w:rPr>
          <w:sz w:val="21"/>
        </w:rPr>
        <w:t>购信用担保形式的，应使用（投标文件格式三）,将原件装订在本部分正本中。</w:t>
      </w:r>
    </w:p>
    <w:p>
      <w:pPr>
        <w:pStyle w:val="3"/>
        <w:rPr>
          <w:sz w:val="20"/>
        </w:rPr>
      </w:pPr>
    </w:p>
    <w:p>
      <w:pPr>
        <w:spacing w:before="168"/>
        <w:ind w:left="3121" w:right="0" w:firstLine="0"/>
        <w:jc w:val="both"/>
        <w:rPr>
          <w:sz w:val="28"/>
        </w:rPr>
      </w:pPr>
      <w:r>
        <w:rPr>
          <w:sz w:val="32"/>
          <w:szCs w:val="36"/>
        </w:rPr>
        <w:t>政府采购报价担保函 （项目用）</w:t>
      </w:r>
    </w:p>
    <w:p>
      <w:pPr>
        <w:spacing w:before="153"/>
        <w:ind w:left="0" w:right="1957" w:firstLine="0"/>
        <w:jc w:val="right"/>
        <w:rPr>
          <w:sz w:val="21"/>
        </w:rPr>
      </w:pPr>
      <w:r>
        <w:rPr>
          <w:w w:val="95"/>
          <w:sz w:val="21"/>
        </w:rPr>
        <w:t>编号：</w:t>
      </w:r>
    </w:p>
    <w:p>
      <w:pPr>
        <w:pStyle w:val="3"/>
        <w:spacing w:before="9"/>
        <w:rPr>
          <w:sz w:val="21"/>
        </w:rPr>
      </w:pPr>
    </w:p>
    <w:p>
      <w:pPr>
        <w:tabs>
          <w:tab w:val="left" w:pos="2946"/>
        </w:tabs>
        <w:spacing w:before="77"/>
        <w:ind w:left="1056" w:right="0" w:firstLine="0"/>
        <w:jc w:val="left"/>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（采购人或采购代理机构）：</w:t>
      </w:r>
    </w:p>
    <w:p>
      <w:pPr>
        <w:pStyle w:val="3"/>
        <w:spacing w:before="9"/>
        <w:rPr>
          <w:sz w:val="27"/>
        </w:rPr>
      </w:pPr>
    </w:p>
    <w:p>
      <w:pPr>
        <w:tabs>
          <w:tab w:val="left" w:pos="3471"/>
          <w:tab w:val="left" w:pos="8300"/>
          <w:tab w:val="left" w:pos="9299"/>
        </w:tabs>
        <w:spacing w:before="0" w:line="278" w:lineRule="auto"/>
        <w:ind w:left="1057" w:right="1065" w:firstLine="420"/>
        <w:jc w:val="both"/>
        <w:rPr>
          <w:sz w:val="21"/>
        </w:rPr>
      </w:pPr>
      <w:r>
        <w:rPr>
          <w:sz w:val="21"/>
        </w:rPr>
        <w:t>鉴于</w:t>
      </w:r>
      <w:r>
        <w:rPr>
          <w:sz w:val="21"/>
          <w:u w:val="single"/>
        </w:rPr>
        <w:t xml:space="preserve"> </w:t>
      </w:r>
      <w:r>
        <w:rPr>
          <w:sz w:val="21"/>
          <w:u w:val="single"/>
        </w:rPr>
        <w:tab/>
      </w:r>
      <w:r>
        <w:rPr>
          <w:sz w:val="21"/>
        </w:rPr>
        <w:t>（以下简称“投标人”）拟参加编号为</w:t>
      </w:r>
      <w:r>
        <w:rPr>
          <w:sz w:val="21"/>
          <w:u w:val="single"/>
        </w:rPr>
        <w:t xml:space="preserve"> </w:t>
      </w:r>
      <w:r>
        <w:rPr>
          <w:sz w:val="21"/>
          <w:u w:val="single"/>
        </w:rPr>
        <w:tab/>
      </w:r>
      <w:r>
        <w:rPr>
          <w:sz w:val="21"/>
        </w:rPr>
        <w:t>的</w:t>
      </w:r>
      <w:r>
        <w:rPr>
          <w:sz w:val="21"/>
          <w:u w:val="single"/>
        </w:rPr>
        <w:tab/>
      </w:r>
      <w:r>
        <w:rPr>
          <w:sz w:val="21"/>
          <w:u w:val="single"/>
        </w:rPr>
        <w:t xml:space="preserve"> </w:t>
      </w:r>
      <w:r>
        <w:rPr>
          <w:sz w:val="21"/>
        </w:rPr>
        <w:t>项目（以下简称“本项目”）报价，根据本项目招标文件，投标人参加报价时应向你方交纳投标保证金，且可以报价担保函的形式交纳投标保证金。应投标人的申请，我方以保证的方式向你方提供如下投标保证金担保：</w:t>
      </w:r>
    </w:p>
    <w:p>
      <w:pPr>
        <w:spacing w:before="0" w:line="269" w:lineRule="exact"/>
        <w:ind w:left="1477" w:right="0" w:firstLine="0"/>
        <w:jc w:val="left"/>
        <w:rPr>
          <w:sz w:val="21"/>
        </w:rPr>
      </w:pPr>
      <w:r>
        <w:rPr>
          <w:sz w:val="21"/>
        </w:rPr>
        <w:t>一、保证责任的情形及保证金额</w:t>
      </w:r>
    </w:p>
    <w:p>
      <w:pPr>
        <w:spacing w:before="43"/>
        <w:ind w:left="1266" w:right="0" w:firstLine="0"/>
        <w:jc w:val="left"/>
        <w:rPr>
          <w:sz w:val="21"/>
        </w:rPr>
      </w:pPr>
      <w:r>
        <w:rPr>
          <w:sz w:val="21"/>
        </w:rPr>
        <w:t>（一）在投标人出现下列情形之一时，我方承担保证责任：</w:t>
      </w:r>
    </w:p>
    <w:p>
      <w:pPr>
        <w:pStyle w:val="28"/>
        <w:numPr>
          <w:ilvl w:val="0"/>
          <w:numId w:val="18"/>
        </w:numPr>
        <w:tabs>
          <w:tab w:val="left" w:pos="1791"/>
        </w:tabs>
        <w:spacing w:before="43" w:after="0" w:line="240" w:lineRule="auto"/>
        <w:ind w:left="1790" w:right="0" w:hanging="314"/>
        <w:jc w:val="left"/>
        <w:rPr>
          <w:sz w:val="21"/>
        </w:rPr>
      </w:pPr>
      <w:r>
        <w:rPr>
          <w:sz w:val="21"/>
        </w:rPr>
        <w:t>中标后投标人无正当理由不与采购人或者采购代理机构签订《政府采购合同》；</w:t>
      </w:r>
    </w:p>
    <w:p>
      <w:pPr>
        <w:pStyle w:val="28"/>
        <w:numPr>
          <w:ilvl w:val="0"/>
          <w:numId w:val="18"/>
        </w:numPr>
        <w:tabs>
          <w:tab w:val="left" w:pos="1792"/>
        </w:tabs>
        <w:spacing w:before="43" w:after="0" w:line="240" w:lineRule="auto"/>
        <w:ind w:left="1792" w:right="0" w:hanging="315"/>
        <w:jc w:val="left"/>
        <w:rPr>
          <w:sz w:val="21"/>
        </w:rPr>
      </w:pPr>
      <w:r>
        <w:rPr>
          <w:sz w:val="21"/>
        </w:rPr>
        <w:t>招标文件规定的投标人应当缴纳保证金的其他情形。</w:t>
      </w:r>
    </w:p>
    <w:p>
      <w:pPr>
        <w:tabs>
          <w:tab w:val="left" w:pos="6097"/>
          <w:tab w:val="left" w:pos="8197"/>
        </w:tabs>
        <w:spacing w:before="43" w:line="278" w:lineRule="auto"/>
        <w:ind w:left="1057" w:right="1117" w:firstLine="208"/>
        <w:jc w:val="left"/>
        <w:rPr>
          <w:sz w:val="21"/>
        </w:rPr>
      </w:pPr>
      <w:r>
        <w:rPr>
          <w:sz w:val="21"/>
        </w:rPr>
        <w:t>（二）我方承担保证责任的最高金额为人民币</w:t>
      </w:r>
      <w:r>
        <w:rPr>
          <w:sz w:val="21"/>
          <w:u w:val="single"/>
        </w:rPr>
        <w:t xml:space="preserve"> </w:t>
      </w:r>
      <w:r>
        <w:rPr>
          <w:sz w:val="21"/>
          <w:u w:val="single"/>
        </w:rPr>
        <w:tab/>
      </w:r>
      <w:r>
        <w:rPr>
          <w:sz w:val="21"/>
        </w:rPr>
        <w:t>元（大写</w:t>
      </w:r>
      <w:r>
        <w:rPr>
          <w:sz w:val="21"/>
          <w:u w:val="single"/>
        </w:rPr>
        <w:t xml:space="preserve"> </w:t>
      </w:r>
      <w:r>
        <w:rPr>
          <w:sz w:val="21"/>
          <w:u w:val="single"/>
        </w:rPr>
        <w:tab/>
      </w:r>
      <w:r>
        <w:rPr>
          <w:sz w:val="21"/>
        </w:rPr>
        <w:t>），即本</w:t>
      </w:r>
      <w:r>
        <w:rPr>
          <w:spacing w:val="-15"/>
          <w:sz w:val="21"/>
        </w:rPr>
        <w:t>项</w:t>
      </w:r>
      <w:r>
        <w:rPr>
          <w:sz w:val="21"/>
        </w:rPr>
        <w:t>目的投标保证金金额。</w:t>
      </w:r>
    </w:p>
    <w:p>
      <w:pPr>
        <w:spacing w:before="0" w:line="269" w:lineRule="exact"/>
        <w:ind w:left="1477" w:right="0" w:firstLine="0"/>
        <w:jc w:val="left"/>
        <w:rPr>
          <w:sz w:val="21"/>
        </w:rPr>
      </w:pPr>
      <w:r>
        <w:rPr>
          <w:sz w:val="21"/>
        </w:rPr>
        <w:t>二、保证的方式及保证期间</w:t>
      </w:r>
    </w:p>
    <w:p>
      <w:pPr>
        <w:spacing w:before="43"/>
        <w:ind w:left="1477" w:right="0" w:firstLine="0"/>
        <w:jc w:val="left"/>
        <w:rPr>
          <w:sz w:val="21"/>
        </w:rPr>
      </w:pPr>
      <w:r>
        <w:rPr>
          <w:sz w:val="21"/>
        </w:rPr>
        <w:t>我方保证的方式为：连带责任保证。</w:t>
      </w:r>
    </w:p>
    <w:p>
      <w:pPr>
        <w:tabs>
          <w:tab w:val="left" w:pos="5677"/>
        </w:tabs>
        <w:spacing w:before="43" w:line="278" w:lineRule="auto"/>
        <w:ind w:left="1477" w:right="3848" w:firstLine="0"/>
        <w:jc w:val="left"/>
        <w:rPr>
          <w:sz w:val="21"/>
        </w:rPr>
      </w:pPr>
      <w:r>
        <mc:AlternateContent>
          <mc:Choice Requires="wps">
            <w:drawing>
              <wp:anchor distT="0" distB="0" distL="114300" distR="114300" simplePos="0" relativeHeight="251661312" behindDoc="1" locked="0" layoutInCell="1" allowOverlap="1">
                <wp:simplePos x="0" y="0"/>
                <wp:positionH relativeFrom="page">
                  <wp:posOffset>3808095</wp:posOffset>
                </wp:positionH>
                <wp:positionV relativeFrom="paragraph">
                  <wp:posOffset>176530</wp:posOffset>
                </wp:positionV>
                <wp:extent cx="266700" cy="0"/>
                <wp:effectExtent l="0" t="0" r="0" b="0"/>
                <wp:wrapNone/>
                <wp:docPr id="7" name="直线 6"/>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99.85pt;margin-top:13.9pt;height:0pt;width:21pt;mso-position-horizontal-relative:page;z-index:-251655168;mso-width-relative:page;mso-height-relative:page;" filled="f" stroked="t" coordsize="21600,21600" o:gfxdata="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9tFgb1wAA&#10;AAkBAAAPAAAAAAAAAAEAIAAAACIAAABkcnMvZG93bnJldi54bWxQSwECFAAUAAAACACHTuJAXXHP&#10;fOYBAADaAwAADgAAAAAAAAABACAAAAAmAQAAZHJzL2Uyb0RvYy54bWxQSwUGAAAAAAYABgBZAQAA&#10;fgUAAAAA&#10;">
                <v:fill on="f" focussize="0,0"/>
                <v:stroke weight="0.48pt" color="#000000" joinstyle="round"/>
                <v:imagedata o:title=""/>
                <o:lock v:ext="edit" aspectratio="f"/>
              </v:line>
            </w:pict>
          </mc:Fallback>
        </mc:AlternateContent>
      </w:r>
      <w:r>
        <w:rPr>
          <w:sz w:val="21"/>
        </w:rPr>
        <w:t>我方的保证期间为：自本保函生效之日起</w:t>
      </w:r>
      <w:r>
        <w:rPr>
          <w:sz w:val="21"/>
        </w:rPr>
        <w:tab/>
      </w:r>
      <w:r>
        <w:rPr>
          <w:sz w:val="21"/>
        </w:rPr>
        <w:t>个月止</w:t>
      </w:r>
      <w:r>
        <w:rPr>
          <w:spacing w:val="-15"/>
          <w:sz w:val="21"/>
        </w:rPr>
        <w:t>。</w:t>
      </w:r>
      <w:r>
        <w:rPr>
          <w:sz w:val="21"/>
        </w:rPr>
        <w:t>三、承担保证责任的程序</w:t>
      </w:r>
    </w:p>
    <w:p>
      <w:pPr>
        <w:pStyle w:val="28"/>
        <w:numPr>
          <w:ilvl w:val="0"/>
          <w:numId w:val="19"/>
        </w:numPr>
        <w:tabs>
          <w:tab w:val="left" w:pos="1791"/>
        </w:tabs>
        <w:spacing w:before="0" w:after="0" w:line="278" w:lineRule="auto"/>
        <w:ind w:left="1057" w:right="1014" w:firstLine="420"/>
        <w:jc w:val="left"/>
        <w:rPr>
          <w:sz w:val="21"/>
        </w:rPr>
      </w:pPr>
      <w:r>
        <w:rPr>
          <w:w w:val="95"/>
          <w:sz w:val="21"/>
        </w:rPr>
        <w:t xml:space="preserve">你方要求我方承担保证责任的，应在本保函保证期间内向我方发出书面索赔通知。  </w:t>
      </w:r>
      <w:r>
        <w:rPr>
          <w:sz w:val="21"/>
        </w:rPr>
        <w:t>索赔通知应写明要求索赔的金额，支付款项应到达的账号，并附有证明投标人发生我方应承担保证责任情形的事实材料。</w:t>
      </w:r>
    </w:p>
    <w:p>
      <w:pPr>
        <w:pStyle w:val="28"/>
        <w:numPr>
          <w:ilvl w:val="0"/>
          <w:numId w:val="19"/>
        </w:numPr>
        <w:tabs>
          <w:tab w:val="left" w:pos="1791"/>
          <w:tab w:val="left" w:pos="6342"/>
        </w:tabs>
        <w:spacing w:before="0" w:after="0" w:line="278" w:lineRule="auto"/>
        <w:ind w:left="1057" w:right="1115" w:firstLine="420"/>
        <w:jc w:val="left"/>
        <w:rPr>
          <w:sz w:val="21"/>
        </w:rPr>
      </w:pPr>
      <w:r>
        <mc:AlternateContent>
          <mc:Choice Requires="wps">
            <w:drawing>
              <wp:anchor distT="0" distB="0" distL="114300" distR="114300" simplePos="0" relativeHeight="251662336" behindDoc="1" locked="0" layoutInCell="1" allowOverlap="1">
                <wp:simplePos x="0" y="0"/>
                <wp:positionH relativeFrom="page">
                  <wp:posOffset>4097020</wp:posOffset>
                </wp:positionH>
                <wp:positionV relativeFrom="paragraph">
                  <wp:posOffset>149225</wp:posOffset>
                </wp:positionV>
                <wp:extent cx="399415" cy="0"/>
                <wp:effectExtent l="0" t="0" r="0" b="0"/>
                <wp:wrapNone/>
                <wp:docPr id="8" name="直线 7"/>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322.6pt;margin-top:11.75pt;height:0pt;width:31.45pt;mso-position-horizontal-relative:page;z-index:-251654144;mso-width-relative:page;mso-height-relative:page;" filled="f" stroked="t" coordsize="21600,21600" o:gfxdata="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nAe&#10;39kAAAAJAQAADwAAAAAAAAABACAAAAAiAAAAZHJzL2Rvd25yZXYueG1sUEsBAhQAFAAAAAgAh07i&#10;QAQ20a7oAQAA2gMAAA4AAAAAAAAAAQAgAAAAKAEAAGRycy9lMm9Eb2MueG1sUEsFBgAAAAAGAAYA&#10;WQEAAIIFAAAAAA==&#10;">
                <v:fill on="f" focussize="0,0"/>
                <v:stroke weight="0.48pt" color="#000000" joinstyle="round"/>
                <v:imagedata o:title=""/>
                <o:lock v:ext="edit" aspectratio="f"/>
              </v:line>
            </w:pict>
          </mc:Fallback>
        </mc:AlternateContent>
      </w:r>
      <w:r>
        <w:rPr>
          <w:sz w:val="21"/>
        </w:rPr>
        <w:t>我方在收到索赔通知及相关证明材料后</w:t>
      </w:r>
      <w:r>
        <w:rPr>
          <w:spacing w:val="-34"/>
          <w:sz w:val="21"/>
        </w:rPr>
        <w:t>，</w:t>
      </w:r>
      <w:r>
        <w:rPr>
          <w:sz w:val="21"/>
        </w:rPr>
        <w:t>在</w:t>
      </w:r>
      <w:r>
        <w:rPr>
          <w:sz w:val="21"/>
        </w:rPr>
        <w:tab/>
      </w:r>
      <w:r>
        <w:rPr>
          <w:sz w:val="21"/>
        </w:rPr>
        <w:t>个工作日内进行审查</w:t>
      </w:r>
      <w:r>
        <w:rPr>
          <w:spacing w:val="-34"/>
          <w:sz w:val="21"/>
        </w:rPr>
        <w:t>，</w:t>
      </w:r>
      <w:r>
        <w:rPr>
          <w:sz w:val="21"/>
        </w:rPr>
        <w:t>符合应</w:t>
      </w:r>
      <w:r>
        <w:rPr>
          <w:spacing w:val="-12"/>
          <w:sz w:val="21"/>
        </w:rPr>
        <w:t>承</w:t>
      </w:r>
      <w:r>
        <w:rPr>
          <w:sz w:val="21"/>
        </w:rPr>
        <w:t>担保证责任情形的，我方应按照你方的要求代投标人向你方支付投标保证金。</w:t>
      </w:r>
    </w:p>
    <w:p>
      <w:pPr>
        <w:spacing w:before="0" w:line="269" w:lineRule="exact"/>
        <w:ind w:left="1477" w:right="0" w:firstLine="0"/>
        <w:jc w:val="left"/>
        <w:rPr>
          <w:sz w:val="21"/>
        </w:rPr>
      </w:pPr>
      <w:r>
        <w:rPr>
          <w:sz w:val="21"/>
        </w:rPr>
        <w:t>四、保证责任的终止</w:t>
      </w:r>
    </w:p>
    <w:p>
      <w:pPr>
        <w:pStyle w:val="28"/>
        <w:numPr>
          <w:ilvl w:val="0"/>
          <w:numId w:val="20"/>
        </w:numPr>
        <w:tabs>
          <w:tab w:val="left" w:pos="1791"/>
        </w:tabs>
        <w:spacing w:before="42" w:after="0" w:line="278" w:lineRule="auto"/>
        <w:ind w:left="1057" w:right="1117" w:firstLine="420"/>
        <w:jc w:val="left"/>
        <w:rPr>
          <w:sz w:val="21"/>
        </w:rPr>
      </w:pPr>
      <w:r>
        <w:rPr>
          <w:spacing w:val="-3"/>
          <w:sz w:val="21"/>
        </w:rPr>
        <w:t>保证期间届满你方未向我方书面主张保证责任的，自保证期间届满次日起，我方保证责任自动终止。</w:t>
      </w:r>
    </w:p>
    <w:p>
      <w:pPr>
        <w:pStyle w:val="28"/>
        <w:numPr>
          <w:ilvl w:val="0"/>
          <w:numId w:val="20"/>
        </w:numPr>
        <w:tabs>
          <w:tab w:val="left" w:pos="1791"/>
        </w:tabs>
        <w:spacing w:before="0" w:after="0" w:line="278" w:lineRule="auto"/>
        <w:ind w:left="1057" w:right="1115" w:firstLine="420"/>
        <w:jc w:val="left"/>
        <w:rPr>
          <w:sz w:val="21"/>
        </w:rPr>
      </w:pPr>
      <w:r>
        <w:rPr>
          <w:spacing w:val="-3"/>
          <w:sz w:val="21"/>
        </w:rPr>
        <w:t>我方按照本保函向你贵方履行了保证责任后，自我方向你贵方支付款项</w:t>
      </w:r>
      <w:r>
        <w:rPr>
          <w:sz w:val="21"/>
        </w:rPr>
        <w:t>（支付款项从我方账户划出）之日起，保证责任终止。</w:t>
      </w:r>
    </w:p>
    <w:p>
      <w:pPr>
        <w:pStyle w:val="28"/>
        <w:numPr>
          <w:ilvl w:val="0"/>
          <w:numId w:val="20"/>
        </w:numPr>
        <w:tabs>
          <w:tab w:val="left" w:pos="1791"/>
        </w:tabs>
        <w:spacing w:before="0" w:after="0" w:line="278" w:lineRule="auto"/>
        <w:ind w:left="1057" w:right="1117" w:firstLine="420"/>
        <w:jc w:val="left"/>
        <w:rPr>
          <w:sz w:val="21"/>
        </w:rPr>
      </w:pPr>
      <w:r>
        <w:rPr>
          <w:spacing w:val="-2"/>
          <w:sz w:val="21"/>
        </w:rPr>
        <w:t>按照法律法规的规定或出现我方保证责任终止的其它情形的，我方在本保函项下的保证责任亦终止。</w:t>
      </w:r>
    </w:p>
    <w:p>
      <w:pPr>
        <w:spacing w:before="0" w:line="269" w:lineRule="exact"/>
        <w:ind w:left="1477" w:right="0" w:firstLine="0"/>
        <w:jc w:val="left"/>
        <w:rPr>
          <w:sz w:val="21"/>
        </w:rPr>
      </w:pPr>
      <w:r>
        <w:rPr>
          <w:sz w:val="21"/>
        </w:rPr>
        <w:t>五、免责条款</w:t>
      </w:r>
    </w:p>
    <w:p>
      <w:pPr>
        <w:pStyle w:val="28"/>
        <w:numPr>
          <w:ilvl w:val="0"/>
          <w:numId w:val="21"/>
        </w:numPr>
        <w:tabs>
          <w:tab w:val="left" w:pos="1791"/>
        </w:tabs>
        <w:spacing w:before="42" w:after="0" w:line="278" w:lineRule="auto"/>
        <w:ind w:left="1057" w:right="1117" w:firstLine="420"/>
        <w:jc w:val="left"/>
        <w:rPr>
          <w:sz w:val="21"/>
        </w:rPr>
      </w:pPr>
      <w:r>
        <w:rPr>
          <w:spacing w:val="-3"/>
          <w:sz w:val="21"/>
        </w:rPr>
        <w:t>依照法律规定或你方与投标人的另行约定，全部或者部分免除投标人投标保证金义务时，我方亦免除相应的保证责任。</w:t>
      </w:r>
    </w:p>
    <w:p>
      <w:pPr>
        <w:pStyle w:val="28"/>
        <w:numPr>
          <w:ilvl w:val="0"/>
          <w:numId w:val="21"/>
        </w:numPr>
        <w:tabs>
          <w:tab w:val="left" w:pos="1791"/>
        </w:tabs>
        <w:spacing w:before="0" w:after="0" w:line="269" w:lineRule="exact"/>
        <w:ind w:left="1790" w:right="0" w:hanging="314"/>
        <w:jc w:val="left"/>
        <w:rPr>
          <w:sz w:val="21"/>
        </w:rPr>
      </w:pPr>
      <w:r>
        <w:rPr>
          <w:spacing w:val="-2"/>
          <w:sz w:val="21"/>
        </w:rPr>
        <w:t>因你方原因致使投标人发生本保函第一条第</w:t>
      </w:r>
      <w:r>
        <w:rPr>
          <w:sz w:val="21"/>
        </w:rPr>
        <w:t>（一</w:t>
      </w:r>
      <w:r>
        <w:rPr>
          <w:spacing w:val="-27"/>
          <w:sz w:val="21"/>
        </w:rPr>
        <w:t>）</w:t>
      </w:r>
      <w:r>
        <w:rPr>
          <w:spacing w:val="-4"/>
          <w:sz w:val="21"/>
        </w:rPr>
        <w:t>款约定情形的，我方不承担保证</w:t>
      </w:r>
    </w:p>
    <w:p>
      <w:pPr>
        <w:spacing w:after="0" w:line="269" w:lineRule="exact"/>
        <w:jc w:val="left"/>
        <w:rPr>
          <w:sz w:val="21"/>
        </w:rPr>
        <w:sectPr>
          <w:pgSz w:w="11910" w:h="16840"/>
          <w:pgMar w:top="1580" w:right="800" w:bottom="1180" w:left="740" w:header="0" w:footer="1000" w:gutter="0"/>
          <w:pgNumType w:fmt="decimal"/>
          <w:cols w:space="720" w:num="1"/>
        </w:sectPr>
      </w:pPr>
    </w:p>
    <w:p>
      <w:pPr>
        <w:spacing w:before="42"/>
        <w:ind w:left="1057" w:right="0" w:firstLine="0"/>
        <w:jc w:val="left"/>
        <w:rPr>
          <w:sz w:val="21"/>
        </w:rPr>
      </w:pPr>
      <w:r>
        <w:rPr>
          <w:sz w:val="21"/>
        </w:rPr>
        <w:t>责任。</w:t>
      </w:r>
    </w:p>
    <w:p>
      <w:pPr>
        <w:pStyle w:val="28"/>
        <w:numPr>
          <w:ilvl w:val="0"/>
          <w:numId w:val="21"/>
        </w:numPr>
        <w:tabs>
          <w:tab w:val="left" w:pos="1791"/>
        </w:tabs>
        <w:spacing w:before="42" w:after="0" w:line="240" w:lineRule="auto"/>
        <w:ind w:left="1790" w:right="0" w:hanging="314"/>
        <w:jc w:val="left"/>
        <w:rPr>
          <w:sz w:val="21"/>
        </w:rPr>
      </w:pPr>
      <w:r>
        <w:rPr>
          <w:sz w:val="21"/>
        </w:rPr>
        <w:t>因不可抗力造成投标人发生本保函第一条约定情形的，我方不承担保证责任。</w:t>
      </w:r>
    </w:p>
    <w:p>
      <w:pPr>
        <w:pStyle w:val="28"/>
        <w:numPr>
          <w:ilvl w:val="0"/>
          <w:numId w:val="21"/>
        </w:numPr>
        <w:tabs>
          <w:tab w:val="left" w:pos="1791"/>
        </w:tabs>
        <w:spacing w:before="43" w:after="0" w:line="278" w:lineRule="auto"/>
        <w:ind w:left="1057" w:right="1115" w:firstLine="420"/>
        <w:jc w:val="left"/>
        <w:rPr>
          <w:sz w:val="21"/>
        </w:rPr>
      </w:pPr>
      <w:r>
        <w:rPr>
          <w:spacing w:val="-3"/>
          <w:sz w:val="21"/>
        </w:rPr>
        <w:t>你方或其他有权机关对招标文件进行任何澄清或修改，加重我方保证责任的，我方对加重部分不承担保证责任，但该澄清或修改经我方事先书面同意的除外。</w:t>
      </w:r>
    </w:p>
    <w:p>
      <w:pPr>
        <w:spacing w:before="0" w:line="269" w:lineRule="exact"/>
        <w:ind w:left="1477" w:right="0" w:firstLine="0"/>
        <w:jc w:val="left"/>
        <w:rPr>
          <w:sz w:val="21"/>
        </w:rPr>
      </w:pPr>
      <w:r>
        <w:rPr>
          <w:sz w:val="21"/>
        </w:rPr>
        <w:t>六、争议的解决</w:t>
      </w:r>
    </w:p>
    <w:p>
      <w:pPr>
        <w:tabs>
          <w:tab w:val="left" w:pos="3366"/>
        </w:tabs>
        <w:spacing w:before="43" w:line="278" w:lineRule="auto"/>
        <w:ind w:left="1057" w:right="1117" w:firstLine="420"/>
        <w:jc w:val="left"/>
        <w:rPr>
          <w:sz w:val="21"/>
        </w:rPr>
      </w:pPr>
      <w:r>
        <w:rPr>
          <w:w w:val="95"/>
          <w:sz w:val="21"/>
        </w:rPr>
        <w:t xml:space="preserve">因本保函发生的纠纷，由你我双方协商解决，协商不成的，通过诉讼程序解决，诉讼  </w:t>
      </w:r>
      <w:r>
        <w:rPr>
          <w:sz w:val="21"/>
        </w:rPr>
        <w:t>管辖地法院为</w:t>
      </w:r>
      <w:r>
        <w:rPr>
          <w:sz w:val="21"/>
          <w:u w:val="single"/>
        </w:rPr>
        <w:t xml:space="preserve"> </w:t>
      </w:r>
      <w:r>
        <w:rPr>
          <w:sz w:val="21"/>
          <w:u w:val="single"/>
        </w:rPr>
        <w:tab/>
      </w:r>
      <w:r>
        <w:rPr>
          <w:sz w:val="21"/>
        </w:rPr>
        <w:t>法院。</w:t>
      </w:r>
    </w:p>
    <w:p>
      <w:pPr>
        <w:spacing w:before="0" w:line="269" w:lineRule="exact"/>
        <w:ind w:left="1477" w:right="0" w:firstLine="0"/>
        <w:jc w:val="left"/>
        <w:rPr>
          <w:sz w:val="21"/>
        </w:rPr>
      </w:pPr>
      <w:r>
        <w:rPr>
          <w:sz w:val="21"/>
        </w:rPr>
        <w:t>七、保函的生效</w:t>
      </w:r>
    </w:p>
    <w:p>
      <w:pPr>
        <w:spacing w:before="43"/>
        <w:ind w:left="1477" w:right="0" w:firstLine="0"/>
        <w:jc w:val="left"/>
        <w:rPr>
          <w:sz w:val="21"/>
        </w:rPr>
      </w:pPr>
      <w:r>
        <w:rPr>
          <w:sz w:val="21"/>
        </w:rPr>
        <w:t>本保函自我方加盖公章之日起生效。</w:t>
      </w:r>
    </w:p>
    <w:p>
      <w:pPr>
        <w:spacing w:before="43"/>
        <w:ind w:left="6620" w:right="0" w:firstLine="0"/>
        <w:jc w:val="left"/>
        <w:rPr>
          <w:sz w:val="21"/>
        </w:rPr>
      </w:pPr>
      <w:r>
        <w:rPr>
          <w:sz w:val="21"/>
        </w:rPr>
        <w:t>保证人：（公章）</w:t>
      </w:r>
    </w:p>
    <w:p>
      <w:pPr>
        <w:pStyle w:val="3"/>
        <w:spacing w:before="9"/>
        <w:rPr>
          <w:sz w:val="27"/>
        </w:rPr>
      </w:pPr>
    </w:p>
    <w:p>
      <w:pPr>
        <w:tabs>
          <w:tab w:val="left" w:pos="7566"/>
          <w:tab w:val="left" w:pos="8406"/>
        </w:tabs>
        <w:spacing w:before="0"/>
        <w:ind w:left="6832" w:right="0" w:firstLine="0"/>
        <w:jc w:val="left"/>
        <w:rPr>
          <w:sz w:val="21"/>
        </w:rPr>
        <w:sectPr>
          <w:pgSz w:w="11910" w:h="16840"/>
          <w:pgMar w:top="1440" w:right="1080" w:bottom="1440" w:left="1080" w:header="0" w:footer="1000" w:gutter="0"/>
          <w:pgNumType w:fmt="decimal"/>
          <w:cols w:space="720" w:num="1"/>
        </w:sectPr>
      </w:pPr>
      <w:r>
        <w:rPr>
          <w:sz w:val="21"/>
        </w:rPr>
        <w:t>年</w:t>
      </w:r>
      <w:r>
        <w:rPr>
          <w:sz w:val="21"/>
        </w:rPr>
        <w:tab/>
      </w:r>
      <w:r>
        <w:rPr>
          <w:sz w:val="21"/>
        </w:rPr>
        <w:t>月</w:t>
      </w:r>
      <w:r>
        <w:rPr>
          <w:sz w:val="21"/>
        </w:rPr>
        <w:tab/>
      </w:r>
      <w:r>
        <w:rPr>
          <w:sz w:val="21"/>
        </w:rPr>
        <w:t>日</w:t>
      </w:r>
    </w:p>
    <w:p>
      <w:pPr>
        <w:spacing w:before="66"/>
        <w:ind w:right="0"/>
        <w:jc w:val="center"/>
        <w:rPr>
          <w:rFonts w:hint="eastAsia"/>
          <w:lang w:val="en-US" w:eastAsia="zh-CN"/>
        </w:rPr>
      </w:pPr>
      <w:bookmarkStart w:id="210" w:name="第二部分  商务及技术文件"/>
      <w:bookmarkEnd w:id="210"/>
      <w:bookmarkStart w:id="211" w:name="第二部分  商务及技术文件"/>
      <w:bookmarkEnd w:id="211"/>
      <w:r>
        <w:rPr>
          <w:rFonts w:hint="eastAsia" w:ascii="宋体" w:hAnsi="宋体" w:eastAsia="宋体" w:cs="宋体"/>
          <w:b/>
          <w:bCs/>
          <w:color w:val="000000" w:themeColor="text1"/>
          <w:spacing w:val="-2"/>
          <w:sz w:val="24"/>
          <w:szCs w:val="22"/>
          <w:lang w:val="en-US" w:eastAsia="zh-CN" w:bidi="zh-CN"/>
          <w14:textFill>
            <w14:solidFill>
              <w14:schemeClr w14:val="tx1"/>
            </w14:solidFill>
          </w14:textFill>
        </w:rPr>
        <w:t>9.需提供中小企业声明函；</w:t>
      </w:r>
    </w:p>
    <w:p>
      <w:pPr>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sz w:val="24"/>
          <w:lang w:val="en-US" w:eastAsia="zh-CN"/>
        </w:rPr>
      </w:pPr>
    </w:p>
    <w:p>
      <w:pPr>
        <w:spacing w:before="66"/>
        <w:ind w:right="0" w:firstLine="2409" w:firstLineChars="1000"/>
        <w:jc w:val="both"/>
        <w:rPr>
          <w:rFonts w:hint="eastAsia" w:ascii="宋体" w:hAnsi="宋体" w:eastAsia="宋体" w:cs="宋体"/>
          <w:b/>
          <w:color w:val="558ED5" w:themeColor="text2" w:themeTint="99"/>
          <w:sz w:val="24"/>
          <w14:textFill>
            <w14:solidFill>
              <w14:schemeClr w14:val="tx2">
                <w14:lumMod w14:val="60000"/>
                <w14:lumOff w14:val="40000"/>
              </w14:schemeClr>
            </w14:solidFill>
          </w14:textFill>
        </w:rPr>
      </w:pPr>
      <w:r>
        <w:rPr>
          <w:rFonts w:hint="eastAsia" w:ascii="宋体" w:hAnsi="宋体" w:eastAsia="宋体" w:cs="宋体"/>
          <w:b/>
          <w:sz w:val="24"/>
          <w:lang w:val="en-US" w:eastAsia="zh-CN"/>
        </w:rPr>
        <w:t>10.</w:t>
      </w:r>
      <w:r>
        <w:rPr>
          <w:rFonts w:hint="eastAsia" w:ascii="宋体" w:hAnsi="宋体" w:eastAsia="宋体" w:cs="宋体"/>
          <w:b/>
          <w:bCs/>
          <w:spacing w:val="-2"/>
          <w:sz w:val="24"/>
          <w:szCs w:val="22"/>
          <w:lang w:val="zh-CN" w:eastAsia="zh-CN" w:bidi="zh-CN"/>
        </w:rPr>
        <w:t>投标人须知资料表要求的其他资格证明文件；</w:t>
      </w:r>
    </w:p>
    <w:p>
      <w:pPr>
        <w:pStyle w:val="28"/>
        <w:numPr>
          <w:ilvl w:val="0"/>
          <w:numId w:val="0"/>
        </w:numPr>
        <w:tabs>
          <w:tab w:val="left" w:pos="1420"/>
        </w:tabs>
        <w:spacing w:before="0" w:after="0" w:line="240" w:lineRule="auto"/>
        <w:ind w:left="1100" w:leftChars="0" w:right="0" w:rightChars="0"/>
        <w:jc w:val="both"/>
        <w:rPr>
          <w:rFonts w:hint="eastAsia" w:ascii="宋体" w:hAnsi="宋体" w:eastAsia="宋体" w:cs="宋体"/>
          <w:b/>
          <w:color w:val="558ED5" w:themeColor="text2" w:themeTint="99"/>
          <w:sz w:val="24"/>
          <w14:textFill>
            <w14:solidFill>
              <w14:schemeClr w14:val="tx2">
                <w14:lumMod w14:val="60000"/>
                <w14:lumOff w14:val="40000"/>
              </w14:schemeClr>
            </w14:solidFill>
          </w14:textFill>
        </w:rPr>
      </w:pPr>
    </w:p>
    <w:p>
      <w:pPr>
        <w:pStyle w:val="3"/>
        <w:rPr>
          <w:rFonts w:hint="eastAsia" w:ascii="宋体" w:hAnsi="宋体" w:eastAsia="宋体" w:cs="宋体"/>
          <w:b/>
          <w:color w:val="558ED5" w:themeColor="text2" w:themeTint="99"/>
          <w14:textFill>
            <w14:solidFill>
              <w14:schemeClr w14:val="tx2">
                <w14:lumMod w14:val="60000"/>
                <w14:lumOff w14:val="40000"/>
              </w14:schemeClr>
            </w14:solidFill>
          </w14:textFill>
        </w:rPr>
      </w:pPr>
    </w:p>
    <w:p>
      <w:pPr>
        <w:pStyle w:val="3"/>
        <w:rPr>
          <w:rFonts w:hint="eastAsia" w:ascii="宋体" w:hAnsi="宋体" w:eastAsia="宋体" w:cs="宋体"/>
          <w:b/>
        </w:rPr>
      </w:pPr>
    </w:p>
    <w:p>
      <w:pPr>
        <w:pStyle w:val="3"/>
        <w:spacing w:before="5"/>
        <w:rPr>
          <w:rFonts w:hint="eastAsia" w:ascii="宋体" w:hAnsi="宋体" w:eastAsia="宋体" w:cs="宋体"/>
          <w:b/>
          <w:sz w:val="25"/>
        </w:rPr>
      </w:pPr>
    </w:p>
    <w:p>
      <w:pPr>
        <w:pStyle w:val="3"/>
        <w:spacing w:before="1" w:line="242" w:lineRule="auto"/>
        <w:ind w:left="2317" w:right="2286" w:hanging="720"/>
        <w:rPr>
          <w:rFonts w:hint="eastAsia" w:ascii="宋体" w:hAnsi="宋体" w:eastAsia="宋体" w:cs="宋体"/>
        </w:rPr>
      </w:pPr>
      <w:r>
        <w:rPr>
          <w:rFonts w:hint="eastAsia" w:ascii="宋体" w:hAnsi="宋体" w:eastAsia="宋体" w:cs="宋体"/>
        </w:rPr>
        <w:t>说明：1.应提供</w:t>
      </w:r>
      <w:r>
        <w:rPr>
          <w:rFonts w:hint="eastAsia" w:ascii="宋体" w:hAnsi="宋体" w:eastAsia="宋体" w:cs="宋体"/>
          <w:u w:val="single"/>
        </w:rPr>
        <w:t>投标人须知资料表</w:t>
      </w:r>
      <w:r>
        <w:rPr>
          <w:rFonts w:hint="eastAsia" w:ascii="宋体" w:hAnsi="宋体" w:eastAsia="宋体" w:cs="宋体"/>
        </w:rPr>
        <w:t>要求的其他资格证明文件。2.复印件上应加盖本单位章。</w:t>
      </w:r>
    </w:p>
    <w:p>
      <w:pPr>
        <w:pStyle w:val="3"/>
        <w:spacing w:before="2" w:line="242" w:lineRule="auto"/>
        <w:ind w:left="2317" w:right="1117" w:firstLine="62"/>
      </w:pPr>
      <w:r>
        <w:rPr>
          <w:rFonts w:hint="eastAsia" w:ascii="宋体" w:hAnsi="宋体" w:eastAsia="宋体" w:cs="宋体"/>
        </w:rPr>
        <w:t>3.如果是联合体报价，联合体各方需提供的满足招标文件要求的其他资格证明文件</w:t>
      </w:r>
      <w:r>
        <w:t>。</w:t>
      </w:r>
    </w:p>
    <w:p>
      <w:pPr>
        <w:spacing w:after="0" w:line="242" w:lineRule="auto"/>
        <w:sectPr>
          <w:footerReference r:id="rId8" w:type="default"/>
          <w:pgSz w:w="11910" w:h="16840"/>
          <w:pgMar w:top="1580" w:right="800" w:bottom="1180" w:left="740" w:header="0" w:footer="1000" w:gutter="0"/>
          <w:pgNumType w:fmt="decimal"/>
          <w:cols w:space="720" w:num="1"/>
        </w:sectPr>
      </w:pPr>
    </w:p>
    <w:p>
      <w:pPr>
        <w:tabs>
          <w:tab w:val="left" w:pos="5247"/>
        </w:tabs>
        <w:spacing w:before="45"/>
        <w:ind w:left="4043" w:right="0" w:firstLine="0"/>
        <w:jc w:val="left"/>
        <w:outlineLvl w:val="1"/>
        <w:rPr>
          <w:rFonts w:hint="eastAsia" w:asciiTheme="minorEastAsia" w:hAnsiTheme="minorEastAsia" w:eastAsiaTheme="minorEastAsia" w:cstheme="minorEastAsia"/>
          <w:b/>
          <w:sz w:val="24"/>
        </w:rPr>
      </w:pPr>
      <w:bookmarkStart w:id="212" w:name="_Toc21829"/>
      <w:bookmarkStart w:id="213" w:name="_Toc5633"/>
      <w:bookmarkStart w:id="214" w:name="_Toc32397"/>
      <w:r>
        <w:rPr>
          <w:rFonts w:hint="eastAsia" w:asciiTheme="minorEastAsia" w:hAnsiTheme="minorEastAsia" w:eastAsiaTheme="minorEastAsia" w:cstheme="minorEastAsia"/>
          <w:b/>
          <w:sz w:val="24"/>
        </w:rPr>
        <w:t>第二部分</w:t>
      </w:r>
      <w:r>
        <w:rPr>
          <w:rFonts w:hint="eastAsia" w:asciiTheme="minorEastAsia" w:hAnsiTheme="minorEastAsia" w:eastAsiaTheme="minorEastAsia" w:cstheme="minorEastAsia"/>
          <w:b/>
          <w:sz w:val="24"/>
        </w:rPr>
        <w:tab/>
      </w:r>
      <w:r>
        <w:rPr>
          <w:rFonts w:hint="eastAsia" w:asciiTheme="minorEastAsia" w:hAnsiTheme="minorEastAsia" w:eastAsiaTheme="minorEastAsia" w:cstheme="minorEastAsia"/>
          <w:b/>
          <w:sz w:val="24"/>
        </w:rPr>
        <w:t>商务及技术文件</w:t>
      </w:r>
      <w:bookmarkEnd w:id="212"/>
      <w:bookmarkEnd w:id="213"/>
      <w:bookmarkEnd w:id="214"/>
    </w:p>
    <w:p>
      <w:pPr>
        <w:pStyle w:val="3"/>
        <w:spacing w:before="9"/>
        <w:jc w:val="both"/>
        <w:rPr>
          <w:rFonts w:hint="eastAsia" w:asciiTheme="minorEastAsia" w:hAnsiTheme="minorEastAsia" w:eastAsiaTheme="minorEastAsia" w:cstheme="minorEastAsia"/>
          <w:b/>
        </w:rPr>
      </w:pPr>
    </w:p>
    <w:p>
      <w:pPr>
        <w:pStyle w:val="3"/>
        <w:ind w:left="159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1、投标书（投标文件格式三）</w:t>
      </w:r>
    </w:p>
    <w:p>
      <w:pPr>
        <w:pStyle w:val="3"/>
        <w:ind w:left="159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2、投标保证金</w:t>
      </w:r>
      <w:r>
        <w:rPr>
          <w:rFonts w:hint="eastAsia" w:asciiTheme="minorEastAsia" w:hAnsiTheme="minorEastAsia" w:eastAsiaTheme="minorEastAsia" w:cstheme="minorEastAsia"/>
          <w:lang w:eastAsia="zh-CN"/>
        </w:rPr>
        <w:t>收据</w:t>
      </w:r>
      <w:r>
        <w:rPr>
          <w:rFonts w:hint="eastAsia" w:asciiTheme="minorEastAsia" w:hAnsiTheme="minorEastAsia" w:eastAsiaTheme="minorEastAsia" w:cstheme="minorEastAsia"/>
        </w:rPr>
        <w:t>或政府采购投标担保函（投标文件格式四）</w:t>
      </w:r>
    </w:p>
    <w:p>
      <w:pPr>
        <w:pStyle w:val="3"/>
        <w:ind w:left="159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3、投标分项报价表（投标文件格式五）</w:t>
      </w:r>
    </w:p>
    <w:p>
      <w:pPr>
        <w:pStyle w:val="3"/>
        <w:ind w:left="1597"/>
        <w:jc w:val="both"/>
        <w:rPr>
          <w:rFonts w:hint="eastAsia" w:asciiTheme="minorEastAsia" w:hAnsiTheme="minorEastAsia" w:eastAsiaTheme="minorEastAsia" w:cstheme="minorEastAsia"/>
          <w:lang w:val="zh-CN" w:eastAsia="zh-CN"/>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zh-CN" w:eastAsia="zh-CN"/>
        </w:rPr>
        <w:t>商务条款偏离表</w:t>
      </w:r>
    </w:p>
    <w:p>
      <w:pPr>
        <w:pStyle w:val="3"/>
        <w:ind w:left="159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zh-CN" w:eastAsia="zh-CN"/>
        </w:rPr>
        <w:t>技术条款偏离表</w:t>
      </w:r>
    </w:p>
    <w:p>
      <w:pPr>
        <w:pStyle w:val="3"/>
        <w:ind w:left="1597"/>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、项目配备人员情况一览表</w:t>
      </w:r>
      <w:r>
        <w:rPr>
          <w:rFonts w:hint="eastAsia" w:asciiTheme="minorEastAsia" w:hAnsiTheme="minorEastAsia" w:eastAsiaTheme="minorEastAsia" w:cstheme="minorEastAsia"/>
          <w:lang w:val="en-US" w:eastAsia="zh-CN"/>
        </w:rPr>
        <w:t xml:space="preserve"> </w:t>
      </w:r>
    </w:p>
    <w:p>
      <w:pPr>
        <w:pStyle w:val="3"/>
        <w:ind w:left="159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7、绿化养护、环卫设备（工具）情况一览表 </w:t>
      </w:r>
    </w:p>
    <w:p>
      <w:pPr>
        <w:pStyle w:val="3"/>
        <w:ind w:left="159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中小企业声明函</w:t>
      </w:r>
    </w:p>
    <w:p>
      <w:pPr>
        <w:pStyle w:val="3"/>
        <w:ind w:left="159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、投标文件还应包括投标人须知第 10 条的所有技术文件</w:t>
      </w:r>
    </w:p>
    <w:p>
      <w:pPr>
        <w:pStyle w:val="3"/>
        <w:ind w:left="1597"/>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10、投标单位（供应商）反商业贿赂承诺书</w:t>
      </w:r>
    </w:p>
    <w:p>
      <w:pPr>
        <w:pStyle w:val="3"/>
        <w:ind w:left="1597"/>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11、绿化环卫服务一体化技术方案</w:t>
      </w:r>
    </w:p>
    <w:p>
      <w:pPr>
        <w:pStyle w:val="3"/>
        <w:spacing w:before="5"/>
        <w:ind w:left="1597"/>
        <w:rPr>
          <w:rFonts w:hint="eastAsia" w:ascii="仿宋" w:hAnsi="仿宋" w:eastAsia="仿宋" w:cs="仿宋"/>
          <w:sz w:val="22"/>
          <w:szCs w:val="22"/>
          <w:lang w:val="en-US" w:eastAsia="zh-CN" w:bidi="zh-CN"/>
        </w:rPr>
      </w:pPr>
    </w:p>
    <w:p>
      <w:pPr>
        <w:spacing w:after="0"/>
        <w:sectPr>
          <w:pgSz w:w="11910" w:h="16840"/>
          <w:pgMar w:top="1380" w:right="800" w:bottom="1180" w:left="740" w:header="0" w:footer="1000" w:gutter="0"/>
          <w:pgNumType w:fmt="decimal"/>
          <w:cols w:space="720" w:num="1"/>
        </w:sectPr>
      </w:pPr>
    </w:p>
    <w:p>
      <w:pPr>
        <w:tabs>
          <w:tab w:val="left" w:pos="4285"/>
        </w:tabs>
        <w:spacing w:before="157"/>
        <w:ind w:left="3803" w:right="0" w:firstLine="0"/>
        <w:jc w:val="left"/>
        <w:outlineLvl w:val="1"/>
        <w:rPr>
          <w:rFonts w:hint="eastAsia" w:ascii="宋体" w:hAnsi="宋体" w:eastAsia="宋体" w:cs="宋体"/>
          <w:b/>
          <w:sz w:val="24"/>
        </w:rPr>
      </w:pPr>
      <w:bookmarkStart w:id="215" w:name="2   投标保证金缴纳凭证复印件或投标担保函"/>
      <w:bookmarkEnd w:id="215"/>
      <w:bookmarkStart w:id="216" w:name="1   投标书（投标文件格式三）"/>
      <w:bookmarkEnd w:id="216"/>
      <w:bookmarkStart w:id="217" w:name="_Toc30654"/>
      <w:r>
        <w:rPr>
          <w:rFonts w:hint="eastAsia" w:ascii="宋体" w:hAnsi="宋体" w:eastAsia="宋体" w:cs="宋体"/>
          <w:b/>
          <w:sz w:val="24"/>
        </w:rPr>
        <w:t>1</w:t>
      </w:r>
      <w:r>
        <w:rPr>
          <w:rFonts w:hint="eastAsia" w:ascii="宋体" w:hAnsi="宋体" w:eastAsia="宋体" w:cs="宋体"/>
          <w:b/>
          <w:sz w:val="24"/>
          <w:lang w:val="en-US" w:eastAsia="zh-CN"/>
        </w:rPr>
        <w:t>.</w:t>
      </w:r>
      <w:r>
        <w:rPr>
          <w:rFonts w:hint="eastAsia" w:ascii="宋体" w:hAnsi="宋体" w:eastAsia="宋体" w:cs="宋体"/>
          <w:b/>
          <w:sz w:val="24"/>
        </w:rPr>
        <w:t>投标书（投标文件格式三）</w:t>
      </w:r>
      <w:bookmarkEnd w:id="217"/>
    </w:p>
    <w:p>
      <w:pPr>
        <w:pStyle w:val="3"/>
        <w:spacing w:before="7"/>
        <w:rPr>
          <w:rFonts w:hint="eastAsia" w:ascii="宋体" w:hAnsi="宋体" w:eastAsia="宋体" w:cs="宋体"/>
          <w:b/>
          <w:sz w:val="19"/>
        </w:rPr>
      </w:pPr>
    </w:p>
    <w:p>
      <w:pPr>
        <w:pStyle w:val="3"/>
        <w:spacing w:before="66"/>
        <w:ind w:left="1057"/>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采购代理机构</w:t>
      </w:r>
    </w:p>
    <w:p>
      <w:pPr>
        <w:pStyle w:val="3"/>
        <w:spacing w:before="7"/>
        <w:rPr>
          <w:rFonts w:hint="eastAsia" w:ascii="宋体" w:hAnsi="宋体" w:eastAsia="宋体" w:cs="宋体"/>
          <w:sz w:val="19"/>
        </w:rPr>
      </w:pPr>
    </w:p>
    <w:p>
      <w:pPr>
        <w:pStyle w:val="3"/>
        <w:tabs>
          <w:tab w:val="left" w:pos="4914"/>
          <w:tab w:val="left" w:pos="8526"/>
        </w:tabs>
        <w:spacing w:before="56"/>
        <w:ind w:left="1060" w:right="1115" w:firstLine="480"/>
        <w:jc w:val="both"/>
        <w:rPr>
          <w:rFonts w:hint="eastAsia" w:ascii="宋体" w:hAnsi="宋体" w:eastAsia="宋体" w:cs="宋体"/>
        </w:rPr>
      </w:pPr>
      <w:r>
        <w:rPr>
          <w:rFonts w:hint="eastAsia" w:ascii="宋体" w:hAnsi="宋体" w:eastAsia="宋体" w:cs="宋体"/>
          <w:spacing w:val="4"/>
        </w:rPr>
        <w:t>根据贵</w:t>
      </w:r>
      <w:r>
        <w:rPr>
          <w:rFonts w:hint="eastAsia" w:ascii="宋体" w:hAnsi="宋体" w:eastAsia="宋体" w:cs="宋体"/>
        </w:rPr>
        <w:t>方</w:t>
      </w:r>
      <w:r>
        <w:rPr>
          <w:rFonts w:hint="eastAsia" w:ascii="宋体" w:hAnsi="宋体" w:eastAsia="宋体" w:cs="宋体"/>
          <w:spacing w:val="-6"/>
        </w:rPr>
        <w:t>(</w:t>
      </w:r>
      <w:r>
        <w:rPr>
          <w:rFonts w:hint="eastAsia" w:ascii="宋体" w:hAnsi="宋体" w:eastAsia="宋体" w:cs="宋体"/>
          <w:spacing w:val="4"/>
        </w:rPr>
        <w:t>项目名称)项目的投标邀请(招标编号),签字代表(姓名、职务)      经正式授权并代表投标人（名称、地址）提交下述文件正本   份、副本     份及电子文档</w:t>
      </w:r>
      <w:r>
        <w:rPr>
          <w:rFonts w:hint="eastAsia" w:ascii="宋体" w:hAnsi="宋体" w:eastAsia="宋体" w:cs="宋体"/>
          <w:spacing w:val="4"/>
          <w:u w:val="single"/>
        </w:rPr>
        <w:t xml:space="preserve">     </w:t>
      </w:r>
      <w:r>
        <w:rPr>
          <w:rFonts w:hint="eastAsia" w:ascii="宋体" w:hAnsi="宋体" w:eastAsia="宋体" w:cs="宋体"/>
          <w:spacing w:val="4"/>
        </w:rPr>
        <w:t>份，并以</w:t>
      </w:r>
      <w:r>
        <w:rPr>
          <w:rFonts w:hint="eastAsia" w:ascii="宋体" w:hAnsi="宋体" w:eastAsia="宋体" w:cs="宋体"/>
          <w:spacing w:val="4"/>
          <w:u w:val="single"/>
        </w:rPr>
        <w:t xml:space="preserve"> </w:t>
      </w:r>
      <w:r>
        <w:rPr>
          <w:rFonts w:hint="eastAsia" w:ascii="宋体" w:hAnsi="宋体" w:eastAsia="宋体" w:cs="宋体"/>
          <w:spacing w:val="4"/>
          <w:u w:val="single"/>
        </w:rPr>
        <w:tab/>
      </w:r>
      <w:r>
        <w:rPr>
          <w:rFonts w:hint="eastAsia" w:ascii="宋体" w:hAnsi="宋体" w:eastAsia="宋体" w:cs="宋体"/>
          <w:spacing w:val="4"/>
        </w:rPr>
        <w:t>形式</w:t>
      </w:r>
      <w:r>
        <w:rPr>
          <w:rFonts w:hint="eastAsia" w:ascii="宋体" w:hAnsi="宋体" w:eastAsia="宋体" w:cs="宋体"/>
        </w:rPr>
        <w:t>出具的金额为人民币</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元的</w:t>
      </w:r>
      <w:r>
        <w:rPr>
          <w:rFonts w:hint="eastAsia" w:ascii="宋体" w:hAnsi="宋体" w:eastAsia="宋体" w:cs="宋体"/>
          <w:spacing w:val="-17"/>
        </w:rPr>
        <w:t>投</w:t>
      </w:r>
      <w:r>
        <w:rPr>
          <w:rFonts w:hint="eastAsia" w:ascii="宋体" w:hAnsi="宋体" w:eastAsia="宋体" w:cs="宋体"/>
        </w:rPr>
        <w:t>标保证金。</w:t>
      </w:r>
    </w:p>
    <w:p>
      <w:pPr>
        <w:pStyle w:val="3"/>
        <w:spacing w:before="3"/>
        <w:ind w:left="1597"/>
        <w:rPr>
          <w:rFonts w:hint="eastAsia" w:ascii="宋体" w:hAnsi="宋体" w:eastAsia="宋体" w:cs="宋体"/>
        </w:rPr>
      </w:pPr>
      <w:r>
        <w:rPr>
          <w:rFonts w:hint="eastAsia" w:ascii="宋体" w:hAnsi="宋体" w:eastAsia="宋体" w:cs="宋体"/>
        </w:rPr>
        <w:t>据此，签字代表宣布同意如下：</w:t>
      </w:r>
    </w:p>
    <w:p>
      <w:pPr>
        <w:pStyle w:val="28"/>
        <w:numPr>
          <w:ilvl w:val="0"/>
          <w:numId w:val="22"/>
        </w:numPr>
        <w:tabs>
          <w:tab w:val="left" w:pos="2205"/>
          <w:tab w:val="left" w:pos="6625"/>
        </w:tabs>
        <w:spacing w:before="4" w:after="0" w:line="242" w:lineRule="auto"/>
        <w:ind w:left="1825" w:right="1098" w:hanging="228"/>
        <w:jc w:val="both"/>
        <w:rPr>
          <w:rFonts w:hint="eastAsia" w:ascii="宋体" w:hAnsi="宋体" w:eastAsia="宋体" w:cs="宋体"/>
          <w:sz w:val="24"/>
        </w:rPr>
      </w:pPr>
      <w:r>
        <w:rPr>
          <w:rFonts w:hint="eastAsia" w:ascii="宋体" w:hAnsi="宋体" w:eastAsia="宋体" w:cs="宋体"/>
          <w:sz w:val="24"/>
        </w:rPr>
        <w:t>附</w:t>
      </w:r>
      <w:r>
        <w:rPr>
          <w:rFonts w:hint="eastAsia" w:ascii="宋体" w:hAnsi="宋体" w:eastAsia="宋体" w:cs="宋体"/>
          <w:spacing w:val="4"/>
          <w:sz w:val="24"/>
        </w:rPr>
        <w:t>投</w:t>
      </w:r>
      <w:r>
        <w:rPr>
          <w:rFonts w:hint="eastAsia" w:ascii="宋体" w:hAnsi="宋体" w:eastAsia="宋体" w:cs="宋体"/>
          <w:sz w:val="24"/>
        </w:rPr>
        <w:t>标价格</w:t>
      </w:r>
      <w:r>
        <w:rPr>
          <w:rFonts w:hint="eastAsia" w:ascii="宋体" w:hAnsi="宋体" w:eastAsia="宋体" w:cs="宋体"/>
          <w:spacing w:val="4"/>
          <w:sz w:val="24"/>
        </w:rPr>
        <w:t>表</w:t>
      </w:r>
      <w:r>
        <w:rPr>
          <w:rFonts w:hint="eastAsia" w:ascii="宋体" w:hAnsi="宋体" w:eastAsia="宋体" w:cs="宋体"/>
          <w:sz w:val="24"/>
        </w:rPr>
        <w:t>中规定的</w:t>
      </w:r>
      <w:r>
        <w:rPr>
          <w:rFonts w:hint="eastAsia" w:ascii="宋体" w:hAnsi="宋体" w:eastAsia="宋体" w:cs="宋体"/>
          <w:spacing w:val="4"/>
          <w:sz w:val="24"/>
        </w:rPr>
        <w:t>应</w:t>
      </w:r>
      <w:r>
        <w:rPr>
          <w:rFonts w:hint="eastAsia" w:ascii="宋体" w:hAnsi="宋体" w:eastAsia="宋体" w:cs="宋体"/>
          <w:sz w:val="24"/>
        </w:rPr>
        <w:t>提供服务</w:t>
      </w:r>
      <w:r>
        <w:rPr>
          <w:rFonts w:hint="eastAsia" w:ascii="宋体" w:hAnsi="宋体" w:eastAsia="宋体" w:cs="宋体"/>
          <w:spacing w:val="4"/>
          <w:sz w:val="24"/>
        </w:rPr>
        <w:t>的</w:t>
      </w:r>
      <w:r>
        <w:rPr>
          <w:rFonts w:hint="eastAsia" w:ascii="宋体" w:hAnsi="宋体" w:eastAsia="宋体" w:cs="宋体"/>
          <w:sz w:val="24"/>
        </w:rPr>
        <w:t>投标</w:t>
      </w:r>
      <w:r>
        <w:rPr>
          <w:rFonts w:hint="eastAsia" w:ascii="宋体" w:hAnsi="宋体" w:eastAsia="宋体" w:cs="宋体"/>
          <w:spacing w:val="4"/>
          <w:sz w:val="24"/>
        </w:rPr>
        <w:t>总</w:t>
      </w:r>
      <w:r>
        <w:rPr>
          <w:rFonts w:hint="eastAsia" w:ascii="宋体" w:hAnsi="宋体" w:eastAsia="宋体" w:cs="宋体"/>
          <w:sz w:val="24"/>
        </w:rPr>
        <w:t>价详见</w:t>
      </w:r>
      <w:r>
        <w:rPr>
          <w:rFonts w:hint="eastAsia" w:ascii="宋体" w:hAnsi="宋体" w:eastAsia="宋体" w:cs="宋体"/>
          <w:spacing w:val="4"/>
          <w:sz w:val="24"/>
        </w:rPr>
        <w:t>开</w:t>
      </w:r>
      <w:r>
        <w:rPr>
          <w:rFonts w:hint="eastAsia" w:ascii="宋体" w:hAnsi="宋体" w:eastAsia="宋体" w:cs="宋体"/>
          <w:sz w:val="24"/>
        </w:rPr>
        <w:t>标一览</w:t>
      </w:r>
      <w:r>
        <w:rPr>
          <w:rFonts w:hint="eastAsia" w:ascii="宋体" w:hAnsi="宋体" w:eastAsia="宋体" w:cs="宋体"/>
          <w:spacing w:val="4"/>
          <w:sz w:val="24"/>
        </w:rPr>
        <w:t>表</w:t>
      </w:r>
      <w:r>
        <w:rPr>
          <w:rFonts w:hint="eastAsia" w:ascii="宋体" w:hAnsi="宋体" w:eastAsia="宋体" w:cs="宋体"/>
          <w:sz w:val="24"/>
        </w:rPr>
        <w:t>，</w:t>
      </w:r>
      <w:r>
        <w:rPr>
          <w:rFonts w:hint="eastAsia" w:ascii="宋体" w:hAnsi="宋体" w:eastAsia="宋体" w:cs="宋体"/>
          <w:sz w:val="24"/>
          <w:u w:val="single"/>
        </w:rPr>
        <w:t>其</w:t>
      </w:r>
      <w:r>
        <w:rPr>
          <w:rFonts w:hint="eastAsia" w:ascii="宋体" w:hAnsi="宋体" w:eastAsia="宋体" w:cs="宋体"/>
          <w:spacing w:val="-225"/>
          <w:sz w:val="24"/>
          <w:u w:val="single"/>
        </w:rPr>
        <w:t>中</w:t>
      </w:r>
      <w:r>
        <w:rPr>
          <w:rFonts w:hint="eastAsia" w:ascii="宋体" w:hAnsi="宋体" w:eastAsia="宋体" w:cs="宋体"/>
          <w:sz w:val="24"/>
          <w:u w:val="single"/>
        </w:rPr>
        <w:t>由小型和</w:t>
      </w:r>
      <w:r>
        <w:rPr>
          <w:rFonts w:hint="eastAsia" w:ascii="宋体" w:hAnsi="宋体" w:eastAsia="宋体" w:cs="宋体"/>
          <w:sz w:val="24"/>
        </w:rPr>
        <w:t>微型企业制造产品的价格为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（用文字和数字表示</w:t>
      </w:r>
      <w:r>
        <w:rPr>
          <w:rFonts w:hint="eastAsia" w:ascii="宋体" w:hAnsi="宋体" w:eastAsia="宋体" w:cs="宋体"/>
          <w:spacing w:val="-9"/>
          <w:sz w:val="24"/>
          <w:u w:val="single"/>
        </w:rPr>
        <w:t>），</w:t>
      </w:r>
      <w:r>
        <w:rPr>
          <w:rFonts w:hint="eastAsia" w:ascii="宋体" w:hAnsi="宋体" w:eastAsia="宋体" w:cs="宋体"/>
          <w:spacing w:val="-220"/>
          <w:sz w:val="24"/>
          <w:u w:val="single"/>
        </w:rPr>
        <w:t>占</w:t>
      </w:r>
      <w:r>
        <w:rPr>
          <w:rFonts w:hint="eastAsia" w:ascii="宋体" w:hAnsi="宋体" w:eastAsia="宋体" w:cs="宋体"/>
          <w:sz w:val="24"/>
          <w:u w:val="single"/>
        </w:rPr>
        <w:t>投标总价 %</w:t>
      </w:r>
      <w:r>
        <w:rPr>
          <w:rFonts w:hint="eastAsia" w:ascii="宋体" w:hAnsi="宋体" w:eastAsia="宋体" w:cs="宋体"/>
          <w:sz w:val="24"/>
        </w:rPr>
        <w:t>。</w:t>
      </w:r>
    </w:p>
    <w:p>
      <w:pPr>
        <w:pStyle w:val="28"/>
        <w:numPr>
          <w:ilvl w:val="0"/>
          <w:numId w:val="22"/>
        </w:numPr>
        <w:tabs>
          <w:tab w:val="left" w:pos="2199"/>
          <w:tab w:val="left" w:pos="6997"/>
        </w:tabs>
        <w:spacing w:before="4" w:after="0" w:line="240" w:lineRule="auto"/>
        <w:ind w:left="2198" w:right="0" w:hanging="602"/>
        <w:jc w:val="left"/>
        <w:rPr>
          <w:rFonts w:hint="eastAsia" w:ascii="宋体" w:hAnsi="宋体" w:eastAsia="宋体" w:cs="宋体"/>
          <w:sz w:val="24"/>
        </w:rPr>
      </w:pPr>
      <w:r>
        <w:rPr>
          <w:rFonts w:hint="eastAsia" w:ascii="宋体" w:hAnsi="宋体" w:eastAsia="宋体" w:cs="宋体"/>
          <w:sz w:val="24"/>
        </w:rPr>
        <w:t>本投标有效期为自投标截止之日起</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个日历日。</w:t>
      </w:r>
    </w:p>
    <w:p>
      <w:pPr>
        <w:pStyle w:val="28"/>
        <w:numPr>
          <w:ilvl w:val="0"/>
          <w:numId w:val="22"/>
        </w:numPr>
        <w:tabs>
          <w:tab w:val="left" w:pos="2205"/>
        </w:tabs>
        <w:spacing w:before="5" w:after="0" w:line="242" w:lineRule="auto"/>
        <w:ind w:left="2137" w:right="1115" w:hanging="540"/>
        <w:jc w:val="both"/>
        <w:rPr>
          <w:rFonts w:hint="eastAsia" w:ascii="宋体" w:hAnsi="宋体" w:eastAsia="宋体" w:cs="宋体"/>
          <w:sz w:val="24"/>
        </w:rPr>
      </w:pPr>
      <w:r>
        <w:rPr>
          <w:rFonts w:hint="eastAsia" w:ascii="宋体" w:hAnsi="宋体" w:eastAsia="宋体" w:cs="宋体"/>
          <w:sz w:val="24"/>
        </w:rPr>
        <w:t>联合体中的大中型企业和其他自然人、法人或者非法人组织，与联合体中的小型、微型企业之间</w:t>
      </w:r>
      <w:r>
        <w:rPr>
          <w:rFonts w:hint="eastAsia" w:ascii="宋体" w:hAnsi="宋体" w:eastAsia="宋体" w:cs="宋体"/>
          <w:spacing w:val="5"/>
          <w:sz w:val="24"/>
          <w:u w:val="single"/>
        </w:rPr>
        <w:t xml:space="preserve">    </w:t>
      </w:r>
      <w:r>
        <w:rPr>
          <w:rFonts w:hint="eastAsia" w:ascii="宋体" w:hAnsi="宋体" w:eastAsia="宋体" w:cs="宋体"/>
          <w:sz w:val="24"/>
          <w:u w:val="single"/>
        </w:rPr>
        <w:t>（</w:t>
      </w:r>
      <w:r>
        <w:rPr>
          <w:rFonts w:hint="eastAsia" w:ascii="宋体" w:hAnsi="宋体" w:eastAsia="宋体" w:cs="宋体"/>
          <w:sz w:val="24"/>
        </w:rPr>
        <w:t>存在、不存在）投资关系（如果联合体的话）。</w:t>
      </w:r>
    </w:p>
    <w:p>
      <w:pPr>
        <w:pStyle w:val="28"/>
        <w:numPr>
          <w:ilvl w:val="0"/>
          <w:numId w:val="22"/>
        </w:numPr>
        <w:tabs>
          <w:tab w:val="left" w:pos="2205"/>
        </w:tabs>
        <w:spacing w:before="4" w:after="0" w:line="242" w:lineRule="auto"/>
        <w:ind w:left="2137" w:right="1117" w:hanging="540"/>
        <w:jc w:val="left"/>
        <w:rPr>
          <w:rFonts w:hint="eastAsia" w:ascii="宋体" w:hAnsi="宋体" w:eastAsia="宋体" w:cs="宋体"/>
          <w:sz w:val="24"/>
        </w:rPr>
      </w:pPr>
      <w:r>
        <w:rPr>
          <w:rFonts w:hint="eastAsia" w:ascii="宋体" w:hAnsi="宋体" w:eastAsia="宋体" w:cs="宋体"/>
          <w:sz w:val="24"/>
        </w:rPr>
        <w:t>已详细审查全部招标文件，包括所有补充通知（如果有的话），完全理解并同意放弃对这方面有不明、误解和质疑的权力。</w:t>
      </w:r>
    </w:p>
    <w:p>
      <w:pPr>
        <w:pStyle w:val="28"/>
        <w:numPr>
          <w:ilvl w:val="0"/>
          <w:numId w:val="22"/>
        </w:numPr>
        <w:tabs>
          <w:tab w:val="left" w:pos="2199"/>
        </w:tabs>
        <w:spacing w:before="3" w:after="0" w:line="240" w:lineRule="auto"/>
        <w:ind w:left="2198" w:right="0" w:hanging="602"/>
        <w:jc w:val="left"/>
        <w:rPr>
          <w:rFonts w:hint="eastAsia" w:ascii="宋体" w:hAnsi="宋体" w:eastAsia="宋体" w:cs="宋体"/>
          <w:sz w:val="24"/>
        </w:rPr>
      </w:pPr>
      <w:r>
        <w:rPr>
          <w:rFonts w:hint="eastAsia" w:ascii="宋体" w:hAnsi="宋体" w:eastAsia="宋体" w:cs="宋体"/>
          <w:sz w:val="24"/>
        </w:rPr>
        <w:t>在规定的开标时间后，遵守招标文件中有关保证金的规定。</w:t>
      </w:r>
    </w:p>
    <w:p>
      <w:pPr>
        <w:pStyle w:val="28"/>
        <w:numPr>
          <w:ilvl w:val="0"/>
          <w:numId w:val="22"/>
        </w:numPr>
        <w:tabs>
          <w:tab w:val="left" w:pos="2205"/>
        </w:tabs>
        <w:spacing w:before="4" w:after="0" w:line="242" w:lineRule="auto"/>
        <w:ind w:left="2137" w:right="1115" w:hanging="540"/>
        <w:jc w:val="both"/>
        <w:rPr>
          <w:rFonts w:hint="eastAsia" w:ascii="宋体" w:hAnsi="宋体" w:eastAsia="宋体" w:cs="宋体"/>
          <w:sz w:val="24"/>
        </w:rPr>
      </w:pPr>
      <w:r>
        <w:rPr>
          <w:rFonts w:hint="eastAsia" w:ascii="宋体" w:hAnsi="宋体" w:eastAsia="宋体" w:cs="宋体"/>
          <w:spacing w:val="-5"/>
          <w:sz w:val="24"/>
        </w:rPr>
        <w:t xml:space="preserve">根据投标人须知第 </w:t>
      </w:r>
      <w:r>
        <w:rPr>
          <w:rFonts w:hint="eastAsia" w:ascii="宋体" w:hAnsi="宋体" w:eastAsia="宋体" w:cs="宋体"/>
          <w:sz w:val="24"/>
        </w:rPr>
        <w:t>1</w:t>
      </w:r>
      <w:r>
        <w:rPr>
          <w:rFonts w:hint="eastAsia" w:ascii="宋体" w:hAnsi="宋体" w:eastAsia="宋体" w:cs="宋体"/>
          <w:spacing w:val="-5"/>
          <w:sz w:val="24"/>
        </w:rPr>
        <w:t xml:space="preserve"> 条规定，我方不是为本项目提供整体设计、规</w:t>
      </w:r>
      <w:r>
        <w:rPr>
          <w:rFonts w:hint="eastAsia" w:ascii="宋体" w:hAnsi="宋体" w:eastAsia="宋体" w:cs="宋体"/>
          <w:spacing w:val="-12"/>
          <w:sz w:val="24"/>
        </w:rPr>
        <w:t>范编制或者项目管理、监理、检测等服务的供应商，我方不是采购代</w:t>
      </w:r>
      <w:r>
        <w:rPr>
          <w:rFonts w:hint="eastAsia" w:ascii="宋体" w:hAnsi="宋体" w:eastAsia="宋体" w:cs="宋体"/>
          <w:sz w:val="24"/>
        </w:rPr>
        <w:t>理机构的附属机构。</w:t>
      </w:r>
    </w:p>
    <w:p>
      <w:pPr>
        <w:pStyle w:val="28"/>
        <w:numPr>
          <w:ilvl w:val="0"/>
          <w:numId w:val="22"/>
        </w:numPr>
        <w:tabs>
          <w:tab w:val="left" w:pos="2205"/>
        </w:tabs>
        <w:spacing w:before="5" w:after="0" w:line="242" w:lineRule="auto"/>
        <w:ind w:left="2137" w:right="1115" w:hanging="540"/>
        <w:jc w:val="left"/>
        <w:rPr>
          <w:rFonts w:hint="eastAsia" w:ascii="宋体" w:hAnsi="宋体" w:eastAsia="宋体" w:cs="宋体"/>
          <w:sz w:val="24"/>
        </w:rPr>
      </w:pPr>
      <w:r>
        <w:rPr>
          <w:rFonts w:hint="eastAsia" w:ascii="宋体" w:hAnsi="宋体" w:eastAsia="宋体" w:cs="宋体"/>
          <w:sz w:val="24"/>
        </w:rPr>
        <w:t>在领取中标通知书的同时按招标文件规定的形式，向贵方一次性支付中标服务费。</w:t>
      </w:r>
    </w:p>
    <w:p>
      <w:pPr>
        <w:pStyle w:val="28"/>
        <w:numPr>
          <w:ilvl w:val="0"/>
          <w:numId w:val="22"/>
        </w:numPr>
        <w:tabs>
          <w:tab w:val="left" w:pos="2205"/>
        </w:tabs>
        <w:spacing w:before="3" w:after="0" w:line="242" w:lineRule="auto"/>
        <w:ind w:left="2137" w:right="1117" w:hanging="540"/>
        <w:jc w:val="left"/>
        <w:rPr>
          <w:rFonts w:hint="eastAsia" w:ascii="宋体" w:hAnsi="宋体" w:eastAsia="宋体" w:cs="宋体"/>
          <w:sz w:val="24"/>
        </w:rPr>
      </w:pPr>
      <w:r>
        <w:rPr>
          <w:rFonts w:hint="eastAsia" w:ascii="宋体" w:hAnsi="宋体" w:eastAsia="宋体" w:cs="宋体"/>
          <w:sz w:val="24"/>
        </w:rPr>
        <w:t>按照贵方可能要求，提供与其投标有关的一切数据或资料，完全理解贵方不一定接受最低价的投标或收到的任何投标。</w:t>
      </w:r>
    </w:p>
    <w:p>
      <w:pPr>
        <w:pStyle w:val="28"/>
        <w:numPr>
          <w:ilvl w:val="0"/>
          <w:numId w:val="22"/>
        </w:numPr>
        <w:tabs>
          <w:tab w:val="left" w:pos="2199"/>
        </w:tabs>
        <w:spacing w:before="2" w:after="0" w:line="240" w:lineRule="auto"/>
        <w:ind w:left="2198" w:right="0" w:hanging="602"/>
        <w:jc w:val="left"/>
        <w:rPr>
          <w:rFonts w:hint="eastAsia" w:ascii="宋体" w:hAnsi="宋体" w:eastAsia="宋体" w:cs="宋体"/>
          <w:sz w:val="24"/>
        </w:rPr>
      </w:pPr>
      <w:r>
        <w:rPr>
          <w:rFonts w:hint="eastAsia" w:ascii="宋体" w:hAnsi="宋体" w:eastAsia="宋体" w:cs="宋体"/>
          <w:sz w:val="24"/>
        </w:rPr>
        <w:t>按照招标文件的规定履行合同责任和义务。</w:t>
      </w:r>
    </w:p>
    <w:p>
      <w:pPr>
        <w:pStyle w:val="3"/>
        <w:spacing w:before="9"/>
        <w:rPr>
          <w:rFonts w:hint="eastAsia" w:ascii="宋体" w:hAnsi="宋体" w:eastAsia="宋体" w:cs="宋体"/>
        </w:rPr>
      </w:pPr>
    </w:p>
    <w:p>
      <w:pPr>
        <w:pStyle w:val="3"/>
        <w:ind w:left="1199"/>
        <w:rPr>
          <w:rFonts w:hint="eastAsia" w:ascii="宋体" w:hAnsi="宋体" w:eastAsia="宋体" w:cs="宋体"/>
        </w:rPr>
      </w:pPr>
      <w:r>
        <w:rPr>
          <w:rFonts w:hint="eastAsia" w:ascii="宋体" w:hAnsi="宋体" w:eastAsia="宋体" w:cs="宋体"/>
        </w:rPr>
        <w:t>与本投标有关的一切正式往来信函请寄：</w:t>
      </w:r>
    </w:p>
    <w:p>
      <w:pPr>
        <w:pStyle w:val="3"/>
        <w:tabs>
          <w:tab w:val="left" w:pos="5376"/>
          <w:tab w:val="left" w:pos="5917"/>
          <w:tab w:val="left" w:pos="9307"/>
        </w:tabs>
        <w:spacing w:before="5" w:line="242" w:lineRule="auto"/>
        <w:ind w:left="1597" w:right="1056"/>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ab/>
      </w:r>
      <w:r>
        <w:rPr>
          <w:rFonts w:hint="eastAsia" w:ascii="宋体" w:hAnsi="宋体" w:eastAsia="宋体" w:cs="宋体"/>
          <w:spacing w:val="-1"/>
        </w:rPr>
        <w:t>传</w:t>
      </w:r>
      <w:r>
        <w:rPr>
          <w:rFonts w:hint="eastAsia" w:ascii="宋体" w:hAnsi="宋体" w:eastAsia="宋体" w:cs="宋体"/>
        </w:rPr>
        <w:t>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电话：</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ab/>
      </w:r>
      <w:r>
        <w:rPr>
          <w:rFonts w:hint="eastAsia" w:ascii="宋体" w:hAnsi="宋体" w:eastAsia="宋体" w:cs="宋体"/>
          <w:spacing w:val="-1"/>
        </w:rPr>
        <w:t>电</w:t>
      </w:r>
      <w:r>
        <w:rPr>
          <w:rFonts w:hint="eastAsia" w:ascii="宋体" w:hAnsi="宋体" w:eastAsia="宋体" w:cs="宋体"/>
        </w:rPr>
        <w:t>子函件：</w:t>
      </w:r>
      <w:r>
        <w:rPr>
          <w:rFonts w:hint="eastAsia" w:ascii="宋体" w:hAnsi="宋体" w:eastAsia="宋体" w:cs="宋体"/>
          <w:u w:val="single"/>
        </w:rPr>
        <w:t xml:space="preserve"> </w:t>
      </w:r>
      <w:r>
        <w:rPr>
          <w:rFonts w:hint="eastAsia" w:ascii="宋体" w:hAnsi="宋体" w:eastAsia="宋体" w:cs="宋体"/>
          <w:u w:val="single"/>
        </w:rPr>
        <w:tab/>
      </w:r>
    </w:p>
    <w:p>
      <w:pPr>
        <w:pStyle w:val="3"/>
        <w:spacing w:before="7"/>
        <w:rPr>
          <w:rFonts w:hint="eastAsia" w:ascii="宋体" w:hAnsi="宋体" w:eastAsia="宋体" w:cs="宋体"/>
          <w:sz w:val="21"/>
        </w:rPr>
      </w:pPr>
    </w:p>
    <w:p>
      <w:pPr>
        <w:pStyle w:val="3"/>
        <w:spacing w:before="66"/>
        <w:ind w:left="1597"/>
        <w:rPr>
          <w:rFonts w:hint="eastAsia" w:ascii="宋体" w:hAnsi="宋体" w:eastAsia="宋体" w:cs="宋体"/>
        </w:rPr>
      </w:pPr>
      <w:r>
        <w:rPr>
          <w:rFonts w:hint="eastAsia" w:ascii="宋体" w:hAnsi="宋体" w:eastAsia="宋体" w:cs="宋体"/>
        </w:rPr>
        <w:t>法定代表人或其委托代理人签字：</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p>
    <w:p>
      <w:pPr>
        <w:pStyle w:val="3"/>
        <w:spacing w:before="5"/>
        <w:ind w:left="1597"/>
        <w:rPr>
          <w:rFonts w:hint="eastAsia" w:ascii="宋体" w:hAnsi="宋体" w:eastAsia="宋体" w:cs="宋体"/>
          <w:lang w:val="en-US" w:eastAsia="zh-CN"/>
        </w:rPr>
      </w:pPr>
      <w:r>
        <w:rPr>
          <w:rFonts w:hint="eastAsia" w:ascii="宋体" w:hAnsi="宋体" w:eastAsia="宋体" w:cs="宋体"/>
        </w:rPr>
        <w:t>投标人名称（全称）：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pPr>
        <w:pStyle w:val="3"/>
        <w:tabs>
          <w:tab w:val="left" w:pos="6096"/>
        </w:tabs>
        <w:spacing w:before="4" w:line="242" w:lineRule="auto"/>
        <w:ind w:left="1597" w:right="4086"/>
        <w:rPr>
          <w:rFonts w:hint="eastAsia" w:ascii="宋体" w:hAnsi="宋体" w:eastAsia="宋体" w:cs="宋体"/>
        </w:rPr>
      </w:pPr>
      <w:r>
        <w:rPr>
          <w:rFonts w:hint="eastAsia" w:ascii="宋体" w:hAnsi="宋体" w:eastAsia="宋体" w:cs="宋体"/>
          <w:spacing w:val="-1"/>
        </w:rPr>
        <w:t>投</w:t>
      </w:r>
      <w:r>
        <w:rPr>
          <w:rFonts w:hint="eastAsia" w:ascii="宋体" w:hAnsi="宋体" w:eastAsia="宋体" w:cs="宋体"/>
        </w:rPr>
        <w:t>标人开户银行（全称）：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u w:val="single"/>
        </w:rPr>
        <w:t xml:space="preserve">           </w:t>
      </w:r>
      <w:r>
        <w:rPr>
          <w:rFonts w:hint="eastAsia" w:ascii="宋体" w:hAnsi="宋体" w:eastAsia="宋体" w:cs="宋体"/>
          <w:spacing w:val="11"/>
          <w:u w:val="single"/>
        </w:rPr>
        <w:t xml:space="preserve"> </w:t>
      </w:r>
      <w:r>
        <w:rPr>
          <w:rFonts w:hint="eastAsia" w:ascii="宋体" w:hAnsi="宋体" w:eastAsia="宋体" w:cs="宋体"/>
          <w:spacing w:val="-1"/>
        </w:rPr>
        <w:t>投</w:t>
      </w:r>
      <w:r>
        <w:rPr>
          <w:rFonts w:hint="eastAsia" w:ascii="宋体" w:hAnsi="宋体" w:eastAsia="宋体" w:cs="宋体"/>
        </w:rPr>
        <w:t>标人银行帐号：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u w:val="single"/>
        </w:rPr>
        <w:t xml:space="preserve">                   </w:t>
      </w:r>
      <w:r>
        <w:rPr>
          <w:rFonts w:hint="eastAsia" w:ascii="宋体" w:hAnsi="宋体" w:eastAsia="宋体" w:cs="宋体"/>
          <w:spacing w:val="19"/>
          <w:u w:val="single"/>
        </w:rPr>
        <w:t xml:space="preserve"> </w:t>
      </w:r>
      <w:r>
        <w:rPr>
          <w:rFonts w:hint="eastAsia" w:ascii="宋体" w:hAnsi="宋体" w:eastAsia="宋体" w:cs="宋体"/>
          <w:spacing w:val="-1"/>
        </w:rPr>
        <w:t>投标</w:t>
      </w:r>
      <w:r>
        <w:rPr>
          <w:rFonts w:hint="eastAsia" w:ascii="宋体" w:hAnsi="宋体" w:eastAsia="宋体" w:cs="宋体"/>
        </w:rPr>
        <w:t>人单位章：</w:t>
      </w:r>
      <w:r>
        <w:rPr>
          <w:rFonts w:hint="eastAsia" w:ascii="宋体" w:hAnsi="宋体" w:eastAsia="宋体" w:cs="宋体"/>
          <w:u w:val="single"/>
        </w:rPr>
        <w:t xml:space="preserve"> </w:t>
      </w:r>
      <w:r>
        <w:rPr>
          <w:rFonts w:hint="eastAsia" w:ascii="宋体" w:hAnsi="宋体" w:eastAsia="宋体" w:cs="宋体"/>
          <w:u w:val="single"/>
        </w:rPr>
        <w:tab/>
      </w:r>
    </w:p>
    <w:p>
      <w:pPr>
        <w:pStyle w:val="3"/>
        <w:spacing w:before="5"/>
        <w:ind w:left="1597"/>
        <w:rPr>
          <w:rFonts w:hint="eastAsia" w:ascii="宋体" w:hAnsi="宋体" w:eastAsia="宋体" w:cs="宋体"/>
          <w:lang w:val="en-US" w:eastAsia="zh-CN"/>
        </w:rPr>
      </w:pP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期：</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pPr>
        <w:spacing w:after="0"/>
        <w:rPr>
          <w:rFonts w:hint="eastAsia" w:ascii="宋体" w:hAnsi="宋体" w:eastAsia="宋体" w:cs="宋体"/>
        </w:rPr>
        <w:sectPr>
          <w:pgSz w:w="11910" w:h="16840"/>
          <w:pgMar w:top="1580" w:right="800" w:bottom="1180" w:left="740" w:header="0" w:footer="1000" w:gutter="0"/>
          <w:pgNumType w:fmt="decimal"/>
          <w:cols w:space="720" w:num="1"/>
        </w:sectPr>
      </w:pPr>
    </w:p>
    <w:p>
      <w:pPr>
        <w:spacing w:before="45"/>
        <w:ind w:left="3083" w:right="0" w:firstLine="0"/>
        <w:jc w:val="both"/>
        <w:outlineLvl w:val="1"/>
        <w:rPr>
          <w:rFonts w:hint="eastAsia" w:ascii="宋体" w:hAnsi="宋体" w:eastAsia="宋体" w:cs="宋体"/>
          <w:b/>
          <w:color w:val="auto"/>
          <w:sz w:val="24"/>
        </w:rPr>
      </w:pPr>
      <w:bookmarkStart w:id="218" w:name="_Toc19294"/>
      <w:r>
        <w:rPr>
          <w:rFonts w:hint="eastAsia" w:ascii="宋体" w:hAnsi="宋体" w:eastAsia="宋体" w:cs="宋体"/>
          <w:b/>
          <w:sz w:val="24"/>
        </w:rPr>
        <w:t>2</w:t>
      </w:r>
      <w:r>
        <w:rPr>
          <w:rFonts w:hint="eastAsia" w:ascii="宋体" w:hAnsi="宋体" w:eastAsia="宋体" w:cs="宋体"/>
          <w:b/>
          <w:sz w:val="24"/>
          <w:lang w:val="en-US" w:eastAsia="zh-CN"/>
        </w:rPr>
        <w:t>.</w:t>
      </w:r>
      <w:r>
        <w:rPr>
          <w:rFonts w:hint="eastAsia" w:ascii="宋体" w:hAnsi="宋体" w:eastAsia="宋体" w:cs="宋体"/>
          <w:b/>
          <w:color w:val="auto"/>
          <w:sz w:val="24"/>
        </w:rPr>
        <w:t>投标保证金</w:t>
      </w:r>
      <w:r>
        <w:rPr>
          <w:rFonts w:hint="eastAsia" w:ascii="宋体" w:hAnsi="宋体" w:eastAsia="宋体" w:cs="宋体"/>
          <w:b/>
          <w:color w:val="auto"/>
          <w:sz w:val="24"/>
          <w:lang w:eastAsia="zh-CN"/>
        </w:rPr>
        <w:t>收据</w:t>
      </w:r>
      <w:r>
        <w:rPr>
          <w:rFonts w:hint="eastAsia" w:ascii="宋体" w:hAnsi="宋体" w:eastAsia="宋体" w:cs="宋体"/>
          <w:b/>
          <w:color w:val="auto"/>
          <w:sz w:val="24"/>
        </w:rPr>
        <w:t>或投标担保函</w:t>
      </w:r>
      <w:bookmarkEnd w:id="218"/>
    </w:p>
    <w:p>
      <w:pPr>
        <w:spacing w:before="23" w:line="278" w:lineRule="auto"/>
        <w:ind w:left="1057" w:right="1117" w:firstLine="420"/>
        <w:jc w:val="both"/>
        <w:rPr>
          <w:rFonts w:hint="eastAsia" w:ascii="宋体" w:hAnsi="宋体" w:eastAsia="宋体" w:cs="宋体"/>
          <w:w w:val="95"/>
          <w:sz w:val="21"/>
        </w:rPr>
      </w:pPr>
    </w:p>
    <w:p>
      <w:pPr>
        <w:spacing w:before="23" w:line="278" w:lineRule="auto"/>
        <w:ind w:left="1057" w:right="1117" w:firstLine="420"/>
        <w:jc w:val="both"/>
        <w:rPr>
          <w:rFonts w:hint="eastAsia" w:ascii="宋体" w:hAnsi="宋体" w:eastAsia="宋体" w:cs="宋体"/>
          <w:sz w:val="21"/>
        </w:rPr>
      </w:pPr>
      <w:r>
        <w:rPr>
          <w:rFonts w:hint="eastAsia" w:ascii="宋体" w:hAnsi="宋体" w:eastAsia="宋体" w:cs="宋体"/>
          <w:w w:val="95"/>
          <w:sz w:val="21"/>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w:t>
      </w:r>
      <w:r>
        <w:rPr>
          <w:rFonts w:hint="eastAsia" w:ascii="宋体" w:hAnsi="宋体" w:eastAsia="宋体" w:cs="宋体"/>
          <w:sz w:val="21"/>
        </w:rPr>
        <w:t>使用（投标文件格式三）,将原件装订在本部分正本中。</w:t>
      </w:r>
    </w:p>
    <w:p>
      <w:pPr>
        <w:spacing w:before="112"/>
        <w:ind w:left="554" w:right="613" w:firstLine="0"/>
        <w:jc w:val="center"/>
        <w:rPr>
          <w:rFonts w:hint="eastAsia" w:ascii="宋体" w:hAnsi="宋体" w:eastAsia="宋体" w:cs="宋体"/>
          <w:sz w:val="28"/>
        </w:rPr>
      </w:pPr>
      <w:r>
        <w:rPr>
          <w:rFonts w:hint="eastAsia" w:ascii="宋体" w:hAnsi="宋体" w:eastAsia="宋体" w:cs="宋体"/>
          <w:sz w:val="28"/>
        </w:rPr>
        <w:t>政府采购投标担保函 （项目用）（投标文件格式四）</w:t>
      </w:r>
    </w:p>
    <w:p>
      <w:pPr>
        <w:spacing w:after="0"/>
        <w:jc w:val="center"/>
        <w:rPr>
          <w:rFonts w:hint="eastAsia" w:ascii="宋体" w:hAnsi="宋体" w:eastAsia="宋体" w:cs="宋体"/>
          <w:sz w:val="28"/>
        </w:rPr>
        <w:sectPr>
          <w:footerReference r:id="rId9" w:type="default"/>
          <w:pgSz w:w="11910" w:h="16840"/>
          <w:pgMar w:top="1380" w:right="800" w:bottom="1180" w:left="740" w:header="0" w:footer="1000" w:gutter="0"/>
          <w:pgNumType w:fmt="decimal"/>
          <w:cols w:space="720" w:num="1"/>
        </w:sectPr>
      </w:pPr>
    </w:p>
    <w:p>
      <w:pPr>
        <w:pStyle w:val="3"/>
        <w:rPr>
          <w:rFonts w:hint="eastAsia" w:ascii="宋体" w:hAnsi="宋体" w:eastAsia="宋体" w:cs="宋体"/>
          <w:sz w:val="22"/>
        </w:rPr>
      </w:pPr>
    </w:p>
    <w:p>
      <w:pPr>
        <w:tabs>
          <w:tab w:val="left" w:pos="3051"/>
        </w:tabs>
        <w:spacing w:before="183"/>
        <w:ind w:left="1160" w:right="0" w:firstLine="0"/>
        <w:jc w:val="left"/>
        <w:rPr>
          <w:rFonts w:hint="eastAsia" w:ascii="宋体" w:hAnsi="宋体" w:eastAsia="宋体" w:cs="宋体"/>
          <w:sz w:val="21"/>
        </w:rPr>
      </w:pPr>
      <w:r>
        <w:rPr>
          <w:rFonts w:hint="eastAsia" w:ascii="宋体" w:hAnsi="宋体" w:eastAsia="宋体" w:cs="宋体"/>
          <w:w w:val="99"/>
          <w:sz w:val="21"/>
          <w:u w:val="single"/>
        </w:rPr>
        <w:t xml:space="preserve"> </w:t>
      </w:r>
      <w:r>
        <w:rPr>
          <w:rFonts w:hint="eastAsia" w:ascii="宋体" w:hAnsi="宋体" w:eastAsia="宋体" w:cs="宋体"/>
          <w:sz w:val="21"/>
          <w:u w:val="single"/>
        </w:rPr>
        <w:tab/>
      </w:r>
      <w:r>
        <w:rPr>
          <w:rFonts w:hint="eastAsia" w:ascii="宋体" w:hAnsi="宋体" w:eastAsia="宋体" w:cs="宋体"/>
          <w:sz w:val="21"/>
        </w:rPr>
        <w:t>（采购人或采购代理机构）：</w:t>
      </w:r>
    </w:p>
    <w:p>
      <w:pPr>
        <w:spacing w:before="152"/>
        <w:ind w:left="1160" w:right="0" w:firstLine="0"/>
        <w:jc w:val="left"/>
        <w:rPr>
          <w:rFonts w:hint="eastAsia" w:ascii="宋体" w:hAnsi="宋体" w:eastAsia="宋体" w:cs="宋体"/>
          <w:sz w:val="21"/>
        </w:rPr>
      </w:pPr>
      <w:r>
        <w:rPr>
          <w:rFonts w:hint="eastAsia" w:ascii="宋体" w:hAnsi="宋体" w:eastAsia="宋体" w:cs="宋体"/>
        </w:rPr>
        <w:br w:type="column"/>
      </w:r>
      <w:r>
        <w:rPr>
          <w:rFonts w:hint="eastAsia" w:ascii="宋体" w:hAnsi="宋体" w:eastAsia="宋体" w:cs="宋体"/>
          <w:sz w:val="21"/>
        </w:rPr>
        <w:t>编号：</w:t>
      </w:r>
    </w:p>
    <w:p>
      <w:pPr>
        <w:spacing w:after="0"/>
        <w:jc w:val="left"/>
        <w:rPr>
          <w:rFonts w:hint="eastAsia" w:ascii="宋体" w:hAnsi="宋体" w:eastAsia="宋体" w:cs="宋体"/>
          <w:sz w:val="21"/>
        </w:rPr>
        <w:sectPr>
          <w:type w:val="continuous"/>
          <w:pgSz w:w="11910" w:h="16840"/>
          <w:pgMar w:top="1580" w:right="800" w:bottom="280" w:left="740" w:header="720" w:footer="720" w:gutter="0"/>
          <w:pgNumType w:fmt="decimal"/>
          <w:cols w:equalWidth="0" w:num="2">
            <w:col w:w="5821" w:space="796"/>
            <w:col w:w="3753"/>
          </w:cols>
        </w:sectPr>
      </w:pPr>
    </w:p>
    <w:p>
      <w:pPr>
        <w:tabs>
          <w:tab w:val="left" w:pos="3471"/>
          <w:tab w:val="left" w:pos="8300"/>
          <w:tab w:val="left" w:pos="9299"/>
        </w:tabs>
        <w:spacing w:before="42" w:line="278" w:lineRule="auto"/>
        <w:ind w:left="1057" w:right="1065" w:firstLine="420"/>
        <w:jc w:val="both"/>
        <w:rPr>
          <w:rFonts w:hint="eastAsia" w:ascii="宋体" w:hAnsi="宋体" w:eastAsia="宋体" w:cs="宋体"/>
          <w:sz w:val="21"/>
        </w:rPr>
      </w:pPr>
      <w:r>
        <w:rPr>
          <w:rFonts w:hint="eastAsia" w:ascii="宋体" w:hAnsi="宋体" w:eastAsia="宋体" w:cs="宋体"/>
          <w:sz w:val="21"/>
        </w:rPr>
        <w:t>鉴于</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（以下简称“投标人”）拟参加编号为</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的</w:t>
      </w:r>
      <w:r>
        <w:rPr>
          <w:rFonts w:hint="eastAsia" w:ascii="宋体" w:hAnsi="宋体" w:eastAsia="宋体" w:cs="宋体"/>
          <w:sz w:val="21"/>
          <w:u w:val="single"/>
        </w:rPr>
        <w:tab/>
      </w:r>
      <w:r>
        <w:rPr>
          <w:rFonts w:hint="eastAsia" w:ascii="宋体" w:hAnsi="宋体" w:eastAsia="宋体" w:cs="宋体"/>
          <w:sz w:val="21"/>
          <w:u w:val="single"/>
        </w:rPr>
        <w:t xml:space="preserve"> </w:t>
      </w:r>
      <w:r>
        <w:rPr>
          <w:rFonts w:hint="eastAsia" w:ascii="宋体" w:hAnsi="宋体" w:eastAsia="宋体" w:cs="宋体"/>
          <w:sz w:val="21"/>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before="0" w:line="269" w:lineRule="exact"/>
        <w:ind w:left="1477" w:right="0" w:firstLine="0"/>
        <w:jc w:val="left"/>
        <w:rPr>
          <w:rFonts w:hint="eastAsia" w:ascii="宋体" w:hAnsi="宋体" w:eastAsia="宋体" w:cs="宋体"/>
          <w:sz w:val="21"/>
        </w:rPr>
      </w:pPr>
      <w:r>
        <w:rPr>
          <w:rFonts w:hint="eastAsia" w:ascii="宋体" w:hAnsi="宋体" w:eastAsia="宋体" w:cs="宋体"/>
          <w:sz w:val="21"/>
        </w:rPr>
        <w:t>一、保证责任的情形及保证金额</w:t>
      </w:r>
    </w:p>
    <w:p>
      <w:pPr>
        <w:spacing w:before="43"/>
        <w:ind w:left="1266" w:right="0" w:firstLine="0"/>
        <w:jc w:val="left"/>
        <w:rPr>
          <w:rFonts w:hint="eastAsia" w:ascii="宋体" w:hAnsi="宋体" w:eastAsia="宋体" w:cs="宋体"/>
          <w:sz w:val="21"/>
        </w:rPr>
      </w:pPr>
      <w:r>
        <w:rPr>
          <w:rFonts w:hint="eastAsia" w:ascii="宋体" w:hAnsi="宋体" w:eastAsia="宋体" w:cs="宋体"/>
          <w:sz w:val="21"/>
        </w:rPr>
        <w:t>（一）在投标人出现下列情形之一时，我方承担保证责任：</w:t>
      </w:r>
    </w:p>
    <w:p>
      <w:pPr>
        <w:pStyle w:val="28"/>
        <w:numPr>
          <w:ilvl w:val="0"/>
          <w:numId w:val="23"/>
        </w:numPr>
        <w:tabs>
          <w:tab w:val="left" w:pos="1791"/>
        </w:tabs>
        <w:spacing w:before="43" w:after="0" w:line="240" w:lineRule="auto"/>
        <w:ind w:left="1790" w:right="0" w:hanging="314"/>
        <w:jc w:val="left"/>
        <w:rPr>
          <w:rFonts w:hint="eastAsia" w:ascii="宋体" w:hAnsi="宋体" w:eastAsia="宋体" w:cs="宋体"/>
          <w:sz w:val="21"/>
        </w:rPr>
      </w:pPr>
      <w:r>
        <w:rPr>
          <w:rFonts w:hint="eastAsia" w:ascii="宋体" w:hAnsi="宋体" w:eastAsia="宋体" w:cs="宋体"/>
          <w:sz w:val="21"/>
        </w:rPr>
        <w:t>中标后投标人无正当理由不与采购人或者采购代理机构签订《政府采购合同》；</w:t>
      </w:r>
    </w:p>
    <w:p>
      <w:pPr>
        <w:pStyle w:val="28"/>
        <w:numPr>
          <w:ilvl w:val="0"/>
          <w:numId w:val="23"/>
        </w:numPr>
        <w:tabs>
          <w:tab w:val="left" w:pos="1791"/>
        </w:tabs>
        <w:spacing w:before="43" w:after="0" w:line="240" w:lineRule="auto"/>
        <w:ind w:left="1790" w:right="0" w:hanging="314"/>
        <w:jc w:val="left"/>
        <w:rPr>
          <w:rFonts w:hint="eastAsia" w:ascii="宋体" w:hAnsi="宋体" w:eastAsia="宋体" w:cs="宋体"/>
          <w:sz w:val="21"/>
        </w:rPr>
      </w:pPr>
      <w:r>
        <w:rPr>
          <w:rFonts w:hint="eastAsia" w:ascii="宋体" w:hAnsi="宋体" w:eastAsia="宋体" w:cs="宋体"/>
          <w:sz w:val="21"/>
        </w:rPr>
        <w:t>招标文件规定的投标人应当缴纳保证金的其他情形。</w:t>
      </w:r>
    </w:p>
    <w:p>
      <w:pPr>
        <w:tabs>
          <w:tab w:val="left" w:pos="6097"/>
          <w:tab w:val="left" w:pos="8197"/>
        </w:tabs>
        <w:spacing w:before="43" w:line="278" w:lineRule="auto"/>
        <w:ind w:left="1057" w:right="1117" w:firstLine="208"/>
        <w:jc w:val="left"/>
        <w:rPr>
          <w:rFonts w:hint="eastAsia" w:ascii="宋体" w:hAnsi="宋体" w:eastAsia="宋体" w:cs="宋体"/>
          <w:sz w:val="21"/>
        </w:rPr>
      </w:pPr>
      <w:r>
        <w:rPr>
          <w:rFonts w:hint="eastAsia" w:ascii="宋体" w:hAnsi="宋体" w:eastAsia="宋体" w:cs="宋体"/>
          <w:sz w:val="21"/>
        </w:rPr>
        <w:t>（二）我方承担保证责任的最高金额为人民币</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元（大写</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），即本</w:t>
      </w:r>
      <w:r>
        <w:rPr>
          <w:rFonts w:hint="eastAsia" w:ascii="宋体" w:hAnsi="宋体" w:eastAsia="宋体" w:cs="宋体"/>
          <w:spacing w:val="-15"/>
          <w:sz w:val="21"/>
        </w:rPr>
        <w:t>项</w:t>
      </w:r>
      <w:r>
        <w:rPr>
          <w:rFonts w:hint="eastAsia" w:ascii="宋体" w:hAnsi="宋体" w:eastAsia="宋体" w:cs="宋体"/>
          <w:sz w:val="21"/>
        </w:rPr>
        <w:t>目的投标保证金金额。</w:t>
      </w:r>
    </w:p>
    <w:p>
      <w:pPr>
        <w:spacing w:before="0" w:line="269" w:lineRule="exact"/>
        <w:ind w:left="1477" w:right="0" w:firstLine="0"/>
        <w:jc w:val="left"/>
        <w:rPr>
          <w:rFonts w:hint="eastAsia" w:ascii="宋体" w:hAnsi="宋体" w:eastAsia="宋体" w:cs="宋体"/>
          <w:sz w:val="21"/>
        </w:rPr>
      </w:pPr>
      <w:r>
        <w:rPr>
          <w:rFonts w:hint="eastAsia" w:ascii="宋体" w:hAnsi="宋体" w:eastAsia="宋体" w:cs="宋体"/>
          <w:sz w:val="21"/>
        </w:rPr>
        <w:t>二、保证的方式及保证期间</w:t>
      </w:r>
    </w:p>
    <w:p>
      <w:pPr>
        <w:spacing w:before="43"/>
        <w:ind w:left="1477" w:right="0" w:firstLine="0"/>
        <w:jc w:val="left"/>
        <w:rPr>
          <w:rFonts w:hint="eastAsia" w:ascii="宋体" w:hAnsi="宋体" w:eastAsia="宋体" w:cs="宋体"/>
          <w:sz w:val="21"/>
        </w:rPr>
      </w:pPr>
      <w:r>
        <w:rPr>
          <w:rFonts w:hint="eastAsia" w:ascii="宋体" w:hAnsi="宋体" w:eastAsia="宋体" w:cs="宋体"/>
          <w:sz w:val="21"/>
        </w:rPr>
        <w:t>我方保证的方式为：连带责任保证。</w:t>
      </w:r>
    </w:p>
    <w:p>
      <w:pPr>
        <w:tabs>
          <w:tab w:val="left" w:pos="5677"/>
        </w:tabs>
        <w:spacing w:before="43" w:line="278" w:lineRule="auto"/>
        <w:ind w:left="1477" w:right="3848" w:firstLine="0"/>
        <w:jc w:val="left"/>
        <w:rPr>
          <w:rFonts w:hint="eastAsia" w:ascii="宋体" w:hAnsi="宋体" w:eastAsia="宋体" w:cs="宋体"/>
          <w:sz w:val="21"/>
        </w:rPr>
      </w:pPr>
      <w:r>
        <w:rPr>
          <w:rFonts w:hint="eastAsia" w:ascii="宋体" w:hAnsi="宋体" w:eastAsia="宋体" w:cs="宋体"/>
        </w:rPr>
        <mc:AlternateContent>
          <mc:Choice Requires="wps">
            <w:drawing>
              <wp:anchor distT="0" distB="0" distL="114300" distR="114300" simplePos="0" relativeHeight="251663360" behindDoc="1" locked="0" layoutInCell="1" allowOverlap="1">
                <wp:simplePos x="0" y="0"/>
                <wp:positionH relativeFrom="page">
                  <wp:posOffset>3808095</wp:posOffset>
                </wp:positionH>
                <wp:positionV relativeFrom="paragraph">
                  <wp:posOffset>174625</wp:posOffset>
                </wp:positionV>
                <wp:extent cx="266700" cy="0"/>
                <wp:effectExtent l="0" t="0" r="0" b="0"/>
                <wp:wrapNone/>
                <wp:docPr id="9" name="直线 8"/>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299.85pt;margin-top:13.75pt;height:0pt;width:21pt;mso-position-horizontal-relative:page;z-index:-251653120;mso-width-relative:page;mso-height-relative:page;" filled="f" stroked="t" coordsize="21600,21600" o:gfxdata="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4Z8/HY&#10;AAAACQEAAA8AAAAAAAAAAQAgAAAAIgAAAGRycy9kb3ducmV2LnhtbFBLAQIUABQAAAAIAIdO4kCa&#10;34xv5wEAANoDAAAOAAAAAAAAAAEAIAAAACcBAABkcnMvZTJvRG9jLnhtbFBLBQYAAAAABgAGAFkB&#10;AACABQAAAAA=&#10;">
                <v:fill on="f" focussize="0,0"/>
                <v:stroke weight="0.48pt" color="#000000" joinstyle="round"/>
                <v:imagedata o:title=""/>
                <o:lock v:ext="edit" aspectratio="f"/>
              </v:line>
            </w:pict>
          </mc:Fallback>
        </mc:AlternateContent>
      </w:r>
      <w:r>
        <w:rPr>
          <w:rFonts w:hint="eastAsia" w:ascii="宋体" w:hAnsi="宋体" w:eastAsia="宋体" w:cs="宋体"/>
          <w:sz w:val="21"/>
        </w:rPr>
        <w:t>我方的保证期间为：自本保函生效之日起</w:t>
      </w:r>
      <w:r>
        <w:rPr>
          <w:rFonts w:hint="eastAsia" w:ascii="宋体" w:hAnsi="宋体" w:eastAsia="宋体" w:cs="宋体"/>
          <w:sz w:val="21"/>
        </w:rPr>
        <w:tab/>
      </w:r>
      <w:r>
        <w:rPr>
          <w:rFonts w:hint="eastAsia" w:ascii="宋体" w:hAnsi="宋体" w:eastAsia="宋体" w:cs="宋体"/>
          <w:sz w:val="21"/>
        </w:rPr>
        <w:t>个月止</w:t>
      </w:r>
      <w:r>
        <w:rPr>
          <w:rFonts w:hint="eastAsia" w:ascii="宋体" w:hAnsi="宋体" w:eastAsia="宋体" w:cs="宋体"/>
          <w:spacing w:val="-15"/>
          <w:sz w:val="21"/>
        </w:rPr>
        <w:t>。</w:t>
      </w:r>
      <w:r>
        <w:rPr>
          <w:rFonts w:hint="eastAsia" w:ascii="宋体" w:hAnsi="宋体" w:eastAsia="宋体" w:cs="宋体"/>
          <w:sz w:val="21"/>
        </w:rPr>
        <w:t>三、承担保证责任的程序</w:t>
      </w:r>
    </w:p>
    <w:p>
      <w:pPr>
        <w:pStyle w:val="28"/>
        <w:numPr>
          <w:ilvl w:val="0"/>
          <w:numId w:val="24"/>
        </w:numPr>
        <w:tabs>
          <w:tab w:val="left" w:pos="1791"/>
        </w:tabs>
        <w:spacing w:before="0" w:after="0" w:line="278" w:lineRule="auto"/>
        <w:ind w:left="1057" w:right="1014" w:firstLine="420"/>
        <w:jc w:val="left"/>
        <w:rPr>
          <w:rFonts w:hint="eastAsia" w:ascii="宋体" w:hAnsi="宋体" w:eastAsia="宋体" w:cs="宋体"/>
          <w:sz w:val="21"/>
        </w:rPr>
      </w:pPr>
      <w:r>
        <w:rPr>
          <w:rFonts w:hint="eastAsia" w:ascii="宋体" w:hAnsi="宋体" w:eastAsia="宋体" w:cs="宋体"/>
          <w:w w:val="95"/>
          <w:sz w:val="21"/>
        </w:rPr>
        <w:t xml:space="preserve">你方要求我方承担保证责任的，应在本保函保证期间内向我方发出书面索赔通知。  </w:t>
      </w:r>
      <w:r>
        <w:rPr>
          <w:rFonts w:hint="eastAsia" w:ascii="宋体" w:hAnsi="宋体" w:eastAsia="宋体" w:cs="宋体"/>
          <w:sz w:val="21"/>
        </w:rPr>
        <w:t>索赔通知应写明要求索赔的金额，支付款项应到达的账号，并附有证明投标人发生我方应承担保证责任情形的事实材料。</w:t>
      </w:r>
    </w:p>
    <w:p>
      <w:pPr>
        <w:pStyle w:val="28"/>
        <w:numPr>
          <w:ilvl w:val="0"/>
          <w:numId w:val="24"/>
        </w:numPr>
        <w:tabs>
          <w:tab w:val="left" w:pos="1791"/>
          <w:tab w:val="left" w:pos="6342"/>
        </w:tabs>
        <w:spacing w:before="0" w:after="0" w:line="278" w:lineRule="auto"/>
        <w:ind w:left="1057" w:right="1115" w:firstLine="420"/>
        <w:jc w:val="left"/>
        <w:rPr>
          <w:rFonts w:hint="eastAsia" w:ascii="宋体" w:hAnsi="宋体" w:eastAsia="宋体" w:cs="宋体"/>
          <w:sz w:val="21"/>
        </w:rPr>
      </w:pPr>
      <w:r>
        <w:rPr>
          <w:rFonts w:hint="eastAsia" w:ascii="宋体" w:hAnsi="宋体" w:eastAsia="宋体" w:cs="宋体"/>
        </w:rPr>
        <mc:AlternateContent>
          <mc:Choice Requires="wps">
            <w:drawing>
              <wp:anchor distT="0" distB="0" distL="114300" distR="114300" simplePos="0" relativeHeight="251664384" behindDoc="1" locked="0" layoutInCell="1" allowOverlap="1">
                <wp:simplePos x="0" y="0"/>
                <wp:positionH relativeFrom="page">
                  <wp:posOffset>4097020</wp:posOffset>
                </wp:positionH>
                <wp:positionV relativeFrom="paragraph">
                  <wp:posOffset>147320</wp:posOffset>
                </wp:positionV>
                <wp:extent cx="399415" cy="0"/>
                <wp:effectExtent l="0" t="0" r="0" b="0"/>
                <wp:wrapNone/>
                <wp:docPr id="10" name="直线 9"/>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322.6pt;margin-top:11.6pt;height:0pt;width:31.45pt;mso-position-horizontal-relative:page;z-index:-251652096;mso-width-relative:page;mso-height-relative:page;" filled="f" stroked="t" coordsize="21600,21600" o:gfxdata="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TYkMnY&#10;AAAACQEAAA8AAAAAAAAAAQAgAAAAIgAAAGRycy9kb3ducmV2LnhtbFBLAQIUABQAAAAIAIdO4kCQ&#10;TbQ35wEAANsDAAAOAAAAAAAAAAEAIAAAACcBAABkcnMvZTJvRG9jLnhtbFBLBQYAAAAABgAGAFkB&#10;AACABQAAAAA=&#10;">
                <v:fill on="f" focussize="0,0"/>
                <v:stroke weight="0.48pt" color="#000000" joinstyle="round"/>
                <v:imagedata o:title=""/>
                <o:lock v:ext="edit" aspectratio="f"/>
              </v:line>
            </w:pict>
          </mc:Fallback>
        </mc:AlternateContent>
      </w:r>
      <w:r>
        <w:rPr>
          <w:rFonts w:hint="eastAsia" w:ascii="宋体" w:hAnsi="宋体" w:eastAsia="宋体" w:cs="宋体"/>
          <w:sz w:val="21"/>
        </w:rPr>
        <w:t>我方在收到索赔通知及相关证明材料后</w:t>
      </w:r>
      <w:r>
        <w:rPr>
          <w:rFonts w:hint="eastAsia" w:ascii="宋体" w:hAnsi="宋体" w:eastAsia="宋体" w:cs="宋体"/>
          <w:spacing w:val="-34"/>
          <w:sz w:val="21"/>
        </w:rPr>
        <w:t>，</w:t>
      </w:r>
      <w:r>
        <w:rPr>
          <w:rFonts w:hint="eastAsia" w:ascii="宋体" w:hAnsi="宋体" w:eastAsia="宋体" w:cs="宋体"/>
          <w:sz w:val="21"/>
        </w:rPr>
        <w:t>在</w:t>
      </w:r>
      <w:r>
        <w:rPr>
          <w:rFonts w:hint="eastAsia" w:ascii="宋体" w:hAnsi="宋体" w:eastAsia="宋体" w:cs="宋体"/>
          <w:sz w:val="21"/>
        </w:rPr>
        <w:tab/>
      </w:r>
      <w:r>
        <w:rPr>
          <w:rFonts w:hint="eastAsia" w:ascii="宋体" w:hAnsi="宋体" w:eastAsia="宋体" w:cs="宋体"/>
          <w:sz w:val="21"/>
        </w:rPr>
        <w:t>个工作日内进行审查</w:t>
      </w:r>
      <w:r>
        <w:rPr>
          <w:rFonts w:hint="eastAsia" w:ascii="宋体" w:hAnsi="宋体" w:eastAsia="宋体" w:cs="宋体"/>
          <w:spacing w:val="-34"/>
          <w:sz w:val="21"/>
        </w:rPr>
        <w:t>，</w:t>
      </w:r>
      <w:r>
        <w:rPr>
          <w:rFonts w:hint="eastAsia" w:ascii="宋体" w:hAnsi="宋体" w:eastAsia="宋体" w:cs="宋体"/>
          <w:sz w:val="21"/>
        </w:rPr>
        <w:t>符合应</w:t>
      </w:r>
      <w:r>
        <w:rPr>
          <w:rFonts w:hint="eastAsia" w:ascii="宋体" w:hAnsi="宋体" w:eastAsia="宋体" w:cs="宋体"/>
          <w:spacing w:val="-12"/>
          <w:sz w:val="21"/>
        </w:rPr>
        <w:t>承</w:t>
      </w:r>
      <w:r>
        <w:rPr>
          <w:rFonts w:hint="eastAsia" w:ascii="宋体" w:hAnsi="宋体" w:eastAsia="宋体" w:cs="宋体"/>
          <w:sz w:val="21"/>
        </w:rPr>
        <w:t>担保证责任情形的，我方应按照你方的要求代投标人向你方支付投标保证金。</w:t>
      </w:r>
    </w:p>
    <w:p>
      <w:pPr>
        <w:spacing w:before="0" w:line="269" w:lineRule="exact"/>
        <w:ind w:left="1477" w:right="0" w:firstLine="0"/>
        <w:jc w:val="left"/>
        <w:rPr>
          <w:rFonts w:hint="eastAsia" w:ascii="宋体" w:hAnsi="宋体" w:eastAsia="宋体" w:cs="宋体"/>
          <w:sz w:val="21"/>
        </w:rPr>
      </w:pPr>
      <w:r>
        <w:rPr>
          <w:rFonts w:hint="eastAsia" w:ascii="宋体" w:hAnsi="宋体" w:eastAsia="宋体" w:cs="宋体"/>
          <w:sz w:val="21"/>
        </w:rPr>
        <w:t>四、保证责任的终止</w:t>
      </w:r>
    </w:p>
    <w:p>
      <w:pPr>
        <w:pStyle w:val="28"/>
        <w:numPr>
          <w:ilvl w:val="0"/>
          <w:numId w:val="25"/>
        </w:numPr>
        <w:tabs>
          <w:tab w:val="left" w:pos="1791"/>
        </w:tabs>
        <w:spacing w:before="42" w:after="0" w:line="278" w:lineRule="auto"/>
        <w:ind w:left="1057" w:right="1117" w:firstLine="420"/>
        <w:jc w:val="left"/>
        <w:rPr>
          <w:rFonts w:hint="eastAsia" w:ascii="宋体" w:hAnsi="宋体" w:eastAsia="宋体" w:cs="宋体"/>
          <w:sz w:val="21"/>
        </w:rPr>
      </w:pPr>
      <w:r>
        <w:rPr>
          <w:rFonts w:hint="eastAsia" w:ascii="宋体" w:hAnsi="宋体" w:eastAsia="宋体" w:cs="宋体"/>
          <w:spacing w:val="-3"/>
          <w:sz w:val="21"/>
        </w:rPr>
        <w:t>保证期间届满你方未向我方书面主张保证责任的，自保证期间届满次日起，我方保证责任自动终止。</w:t>
      </w:r>
    </w:p>
    <w:p>
      <w:pPr>
        <w:pStyle w:val="28"/>
        <w:numPr>
          <w:ilvl w:val="0"/>
          <w:numId w:val="25"/>
        </w:numPr>
        <w:tabs>
          <w:tab w:val="left" w:pos="1791"/>
        </w:tabs>
        <w:spacing w:before="0" w:after="0" w:line="278" w:lineRule="auto"/>
        <w:ind w:left="1057" w:right="1115" w:firstLine="420"/>
        <w:jc w:val="left"/>
        <w:rPr>
          <w:rFonts w:hint="eastAsia" w:ascii="宋体" w:hAnsi="宋体" w:eastAsia="宋体" w:cs="宋体"/>
          <w:sz w:val="21"/>
        </w:rPr>
      </w:pPr>
      <w:r>
        <w:rPr>
          <w:rFonts w:hint="eastAsia" w:ascii="宋体" w:hAnsi="宋体" w:eastAsia="宋体" w:cs="宋体"/>
          <w:spacing w:val="-3"/>
          <w:sz w:val="21"/>
        </w:rPr>
        <w:t>我方按照本保函向你贵方履行了保证责任后，自我方向你贵方支付款项</w:t>
      </w:r>
      <w:r>
        <w:rPr>
          <w:rFonts w:hint="eastAsia" w:ascii="宋体" w:hAnsi="宋体" w:eastAsia="宋体" w:cs="宋体"/>
          <w:sz w:val="21"/>
        </w:rPr>
        <w:t>（支付款项从我方账户划出）之日起，保证责任终止。</w:t>
      </w:r>
    </w:p>
    <w:p>
      <w:pPr>
        <w:pStyle w:val="28"/>
        <w:numPr>
          <w:ilvl w:val="0"/>
          <w:numId w:val="25"/>
        </w:numPr>
        <w:tabs>
          <w:tab w:val="left" w:pos="1791"/>
        </w:tabs>
        <w:spacing w:before="0" w:after="0" w:line="278" w:lineRule="auto"/>
        <w:ind w:left="1057" w:right="1117" w:firstLine="420"/>
        <w:jc w:val="left"/>
        <w:rPr>
          <w:rFonts w:hint="eastAsia" w:ascii="宋体" w:hAnsi="宋体" w:eastAsia="宋体" w:cs="宋体"/>
          <w:sz w:val="21"/>
        </w:rPr>
      </w:pPr>
      <w:r>
        <w:rPr>
          <w:rFonts w:hint="eastAsia" w:ascii="宋体" w:hAnsi="宋体" w:eastAsia="宋体" w:cs="宋体"/>
          <w:spacing w:val="-2"/>
          <w:sz w:val="21"/>
        </w:rPr>
        <w:t>按照法律法规的规定或出现我方保证责任终止的其它情形的，我方在本保函项下的保证责任亦终止。</w:t>
      </w:r>
    </w:p>
    <w:p>
      <w:pPr>
        <w:spacing w:before="0" w:line="269" w:lineRule="exact"/>
        <w:ind w:left="1477" w:right="0" w:firstLine="0"/>
        <w:jc w:val="left"/>
        <w:rPr>
          <w:rFonts w:hint="eastAsia" w:ascii="宋体" w:hAnsi="宋体" w:eastAsia="宋体" w:cs="宋体"/>
          <w:sz w:val="21"/>
        </w:rPr>
      </w:pPr>
      <w:r>
        <w:rPr>
          <w:rFonts w:hint="eastAsia" w:ascii="宋体" w:hAnsi="宋体" w:eastAsia="宋体" w:cs="宋体"/>
          <w:sz w:val="21"/>
        </w:rPr>
        <w:t>五、免责条款</w:t>
      </w:r>
    </w:p>
    <w:p>
      <w:pPr>
        <w:pStyle w:val="28"/>
        <w:numPr>
          <w:ilvl w:val="0"/>
          <w:numId w:val="26"/>
        </w:numPr>
        <w:tabs>
          <w:tab w:val="left" w:pos="1791"/>
        </w:tabs>
        <w:spacing w:before="43" w:after="0" w:line="278" w:lineRule="auto"/>
        <w:ind w:left="1057" w:right="1117" w:firstLine="420"/>
        <w:jc w:val="left"/>
        <w:rPr>
          <w:rFonts w:hint="eastAsia" w:ascii="宋体" w:hAnsi="宋体" w:eastAsia="宋体" w:cs="宋体"/>
          <w:sz w:val="21"/>
        </w:rPr>
      </w:pPr>
      <w:r>
        <w:rPr>
          <w:rFonts w:hint="eastAsia" w:ascii="宋体" w:hAnsi="宋体" w:eastAsia="宋体" w:cs="宋体"/>
          <w:spacing w:val="-3"/>
          <w:sz w:val="21"/>
        </w:rPr>
        <w:t>依照法律规定或你方与投标人的另行约定，全部或者部分免除投标人投标保证金义务时，我方亦免除相应的保证责任。</w:t>
      </w:r>
    </w:p>
    <w:p>
      <w:pPr>
        <w:pStyle w:val="28"/>
        <w:numPr>
          <w:ilvl w:val="0"/>
          <w:numId w:val="26"/>
        </w:numPr>
        <w:tabs>
          <w:tab w:val="left" w:pos="1791"/>
        </w:tabs>
        <w:spacing w:before="0" w:after="0" w:line="278" w:lineRule="auto"/>
        <w:ind w:left="1057" w:right="1117" w:firstLine="420"/>
        <w:jc w:val="left"/>
        <w:rPr>
          <w:rFonts w:hint="eastAsia" w:ascii="宋体" w:hAnsi="宋体" w:eastAsia="宋体" w:cs="宋体"/>
          <w:sz w:val="21"/>
        </w:rPr>
      </w:pPr>
      <w:r>
        <w:rPr>
          <w:rFonts w:hint="eastAsia" w:ascii="宋体" w:hAnsi="宋体" w:eastAsia="宋体" w:cs="宋体"/>
          <w:spacing w:val="-2"/>
          <w:sz w:val="21"/>
        </w:rPr>
        <w:t>因你方原因致使投标人发生本保函第一条第</w:t>
      </w:r>
      <w:r>
        <w:rPr>
          <w:rFonts w:hint="eastAsia" w:ascii="宋体" w:hAnsi="宋体" w:eastAsia="宋体" w:cs="宋体"/>
          <w:sz w:val="21"/>
        </w:rPr>
        <w:t>（一</w:t>
      </w:r>
      <w:r>
        <w:rPr>
          <w:rFonts w:hint="eastAsia" w:ascii="宋体" w:hAnsi="宋体" w:eastAsia="宋体" w:cs="宋体"/>
          <w:spacing w:val="-27"/>
          <w:sz w:val="21"/>
        </w:rPr>
        <w:t>）</w:t>
      </w:r>
      <w:r>
        <w:rPr>
          <w:rFonts w:hint="eastAsia" w:ascii="宋体" w:hAnsi="宋体" w:eastAsia="宋体" w:cs="宋体"/>
          <w:spacing w:val="-4"/>
          <w:sz w:val="21"/>
        </w:rPr>
        <w:t>款约定情形的，我方不承担保证责任。</w:t>
      </w:r>
    </w:p>
    <w:p>
      <w:pPr>
        <w:pStyle w:val="28"/>
        <w:numPr>
          <w:ilvl w:val="0"/>
          <w:numId w:val="26"/>
        </w:numPr>
        <w:tabs>
          <w:tab w:val="left" w:pos="1791"/>
        </w:tabs>
        <w:spacing w:before="0" w:after="0" w:line="269" w:lineRule="exact"/>
        <w:ind w:left="1790" w:right="0" w:hanging="314"/>
        <w:jc w:val="left"/>
        <w:rPr>
          <w:rFonts w:hint="eastAsia" w:ascii="宋体" w:hAnsi="宋体" w:eastAsia="宋体" w:cs="宋体"/>
          <w:sz w:val="21"/>
        </w:rPr>
      </w:pPr>
      <w:r>
        <w:rPr>
          <w:rFonts w:hint="eastAsia" w:ascii="宋体" w:hAnsi="宋体" w:eastAsia="宋体" w:cs="宋体"/>
          <w:sz w:val="21"/>
        </w:rPr>
        <w:t>因不可抗力造成投标人发生本保函第一条约定情形的，我方不承担保证责任。</w:t>
      </w:r>
    </w:p>
    <w:p>
      <w:pPr>
        <w:pStyle w:val="28"/>
        <w:numPr>
          <w:ilvl w:val="0"/>
          <w:numId w:val="26"/>
        </w:numPr>
        <w:tabs>
          <w:tab w:val="left" w:pos="1791"/>
        </w:tabs>
        <w:spacing w:before="43" w:after="0" w:line="278" w:lineRule="auto"/>
        <w:ind w:left="1057" w:right="1115" w:firstLine="420"/>
        <w:jc w:val="left"/>
        <w:rPr>
          <w:rFonts w:hint="eastAsia" w:ascii="宋体" w:hAnsi="宋体" w:eastAsia="宋体" w:cs="宋体"/>
          <w:sz w:val="21"/>
        </w:rPr>
      </w:pPr>
      <w:r>
        <w:rPr>
          <w:rFonts w:hint="eastAsia" w:ascii="宋体" w:hAnsi="宋体" w:eastAsia="宋体" w:cs="宋体"/>
          <w:spacing w:val="-3"/>
          <w:sz w:val="21"/>
        </w:rPr>
        <w:t>你方或其他有权机关对招标文件进行任何澄清或修改，加重我方保证责任的，我方对加重部分不承担保证责任，但该澄清或修改经我方事先书面同意的除外。</w:t>
      </w:r>
    </w:p>
    <w:p>
      <w:pPr>
        <w:spacing w:before="0" w:line="269" w:lineRule="exact"/>
        <w:ind w:left="1477" w:right="0" w:firstLine="0"/>
        <w:jc w:val="left"/>
        <w:rPr>
          <w:rFonts w:hint="eastAsia" w:ascii="宋体" w:hAnsi="宋体" w:eastAsia="宋体" w:cs="宋体"/>
          <w:sz w:val="21"/>
        </w:rPr>
      </w:pPr>
      <w:r>
        <w:rPr>
          <w:rFonts w:hint="eastAsia" w:ascii="宋体" w:hAnsi="宋体" w:eastAsia="宋体" w:cs="宋体"/>
          <w:sz w:val="21"/>
        </w:rPr>
        <w:t>六、争议的解决</w:t>
      </w:r>
    </w:p>
    <w:p>
      <w:pPr>
        <w:spacing w:after="0" w:line="269" w:lineRule="exact"/>
        <w:jc w:val="left"/>
        <w:rPr>
          <w:rFonts w:hint="eastAsia" w:ascii="宋体" w:hAnsi="宋体" w:eastAsia="宋体" w:cs="宋体"/>
          <w:sz w:val="21"/>
        </w:rPr>
        <w:sectPr>
          <w:type w:val="continuous"/>
          <w:pgSz w:w="11910" w:h="16840"/>
          <w:pgMar w:top="1580" w:right="800" w:bottom="280" w:left="740" w:header="720" w:footer="720" w:gutter="0"/>
          <w:pgNumType w:fmt="decimal"/>
          <w:cols w:space="720" w:num="1"/>
        </w:sectPr>
      </w:pPr>
    </w:p>
    <w:p>
      <w:pPr>
        <w:tabs>
          <w:tab w:val="left" w:pos="3366"/>
        </w:tabs>
        <w:spacing w:before="43" w:line="278" w:lineRule="auto"/>
        <w:ind w:left="1057" w:right="1117" w:firstLine="420"/>
        <w:jc w:val="left"/>
        <w:rPr>
          <w:rFonts w:hint="eastAsia" w:ascii="宋体" w:hAnsi="宋体" w:eastAsia="宋体" w:cs="宋体"/>
          <w:sz w:val="21"/>
        </w:rPr>
      </w:pPr>
      <w:r>
        <w:rPr>
          <w:rFonts w:hint="eastAsia" w:ascii="宋体" w:hAnsi="宋体" w:eastAsia="宋体" w:cs="宋体"/>
          <w:w w:val="95"/>
          <w:sz w:val="21"/>
        </w:rPr>
        <w:t xml:space="preserve">因本保函发生的纠纷，由你我双方协商解决，协商不成的，通过诉讼程序解决，诉讼  </w:t>
      </w:r>
      <w:r>
        <w:rPr>
          <w:rFonts w:hint="eastAsia" w:ascii="宋体" w:hAnsi="宋体" w:eastAsia="宋体" w:cs="宋体"/>
          <w:sz w:val="21"/>
        </w:rPr>
        <w:t>管辖地法院为</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法院。</w:t>
      </w:r>
    </w:p>
    <w:p>
      <w:pPr>
        <w:spacing w:before="0" w:line="269" w:lineRule="exact"/>
        <w:ind w:left="1477" w:right="0" w:firstLine="0"/>
        <w:jc w:val="left"/>
        <w:rPr>
          <w:rFonts w:hint="eastAsia" w:ascii="宋体" w:hAnsi="宋体" w:eastAsia="宋体" w:cs="宋体"/>
          <w:sz w:val="21"/>
        </w:rPr>
      </w:pPr>
      <w:r>
        <w:rPr>
          <w:rFonts w:hint="eastAsia" w:ascii="宋体" w:hAnsi="宋体" w:eastAsia="宋体" w:cs="宋体"/>
          <w:sz w:val="21"/>
        </w:rPr>
        <w:t>七、保函的生效</w:t>
      </w:r>
    </w:p>
    <w:p>
      <w:pPr>
        <w:spacing w:before="43"/>
        <w:ind w:left="1477" w:right="0" w:firstLine="0"/>
        <w:jc w:val="left"/>
        <w:rPr>
          <w:rFonts w:hint="eastAsia" w:ascii="宋体" w:hAnsi="宋体" w:eastAsia="宋体" w:cs="宋体"/>
          <w:sz w:val="21"/>
        </w:rPr>
      </w:pPr>
      <w:r>
        <w:rPr>
          <w:rFonts w:hint="eastAsia" w:ascii="宋体" w:hAnsi="宋体" w:eastAsia="宋体" w:cs="宋体"/>
          <w:sz w:val="21"/>
        </w:rPr>
        <w:t>本保函自我方加盖公章之日起生效。</w:t>
      </w:r>
    </w:p>
    <w:p>
      <w:pPr>
        <w:spacing w:before="43"/>
        <w:ind w:left="6620" w:right="0" w:firstLine="0"/>
        <w:jc w:val="left"/>
        <w:rPr>
          <w:rFonts w:hint="eastAsia" w:ascii="宋体" w:hAnsi="宋体" w:eastAsia="宋体" w:cs="宋体"/>
          <w:sz w:val="21"/>
        </w:rPr>
      </w:pPr>
      <w:r>
        <w:rPr>
          <w:rFonts w:hint="eastAsia" w:ascii="宋体" w:hAnsi="宋体" w:eastAsia="宋体" w:cs="宋体"/>
          <w:sz w:val="21"/>
        </w:rPr>
        <w:t>保证人：（公章）</w:t>
      </w:r>
    </w:p>
    <w:p>
      <w:pPr>
        <w:pStyle w:val="3"/>
        <w:spacing w:before="9"/>
        <w:rPr>
          <w:rFonts w:hint="eastAsia" w:ascii="宋体" w:hAnsi="宋体" w:eastAsia="宋体" w:cs="宋体"/>
          <w:sz w:val="27"/>
        </w:rPr>
      </w:pPr>
    </w:p>
    <w:p>
      <w:pPr>
        <w:tabs>
          <w:tab w:val="left" w:pos="7566"/>
          <w:tab w:val="left" w:pos="8406"/>
        </w:tabs>
        <w:spacing w:before="0"/>
        <w:ind w:left="6832" w:right="0" w:firstLine="0"/>
        <w:jc w:val="left"/>
        <w:rPr>
          <w:rFonts w:hint="eastAsia" w:ascii="宋体" w:hAnsi="宋体" w:eastAsia="宋体" w:cs="宋体"/>
          <w:sz w:val="21"/>
        </w:rPr>
      </w:pP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月</w:t>
      </w:r>
      <w:r>
        <w:rPr>
          <w:rFonts w:hint="eastAsia" w:ascii="宋体" w:hAnsi="宋体" w:eastAsia="宋体" w:cs="宋体"/>
          <w:sz w:val="21"/>
        </w:rPr>
        <w:tab/>
      </w:r>
      <w:r>
        <w:rPr>
          <w:rFonts w:hint="eastAsia" w:ascii="宋体" w:hAnsi="宋体" w:eastAsia="宋体" w:cs="宋体"/>
          <w:sz w:val="21"/>
        </w:rPr>
        <w:t>日</w:t>
      </w:r>
    </w:p>
    <w:p>
      <w:pPr>
        <w:spacing w:after="0"/>
        <w:jc w:val="left"/>
        <w:rPr>
          <w:sz w:val="21"/>
        </w:rPr>
        <w:sectPr>
          <w:pgSz w:w="11910" w:h="16840"/>
          <w:pgMar w:top="1400" w:right="800" w:bottom="1180" w:left="740" w:header="0" w:footer="1000" w:gutter="0"/>
          <w:pgNumType w:fmt="decimal"/>
          <w:cols w:space="720" w:num="1"/>
        </w:sectPr>
      </w:pPr>
    </w:p>
    <w:p>
      <w:pPr>
        <w:pStyle w:val="28"/>
        <w:numPr>
          <w:ilvl w:val="0"/>
          <w:numId w:val="0"/>
        </w:numPr>
        <w:tabs>
          <w:tab w:val="left" w:pos="3788"/>
          <w:tab w:val="left" w:pos="3789"/>
        </w:tabs>
        <w:spacing w:before="41" w:after="0" w:line="240" w:lineRule="auto"/>
        <w:ind w:left="3305" w:leftChars="0" w:right="0" w:rightChars="0"/>
        <w:jc w:val="left"/>
        <w:outlineLvl w:val="1"/>
        <w:rPr>
          <w:rFonts w:hint="eastAsia" w:ascii="宋体" w:hAnsi="宋体" w:eastAsia="宋体" w:cs="宋体"/>
          <w:b/>
          <w:sz w:val="24"/>
        </w:rPr>
      </w:pPr>
      <w:bookmarkStart w:id="219" w:name="3   投标分项报价表（投标文件格式五）"/>
      <w:bookmarkEnd w:id="219"/>
      <w:bookmarkStart w:id="220" w:name="3   投标分项报价表（投标文件格式五）"/>
      <w:bookmarkEnd w:id="220"/>
      <w:bookmarkStart w:id="221" w:name="_Toc17942"/>
      <w:r>
        <w:rPr>
          <w:rFonts w:hint="eastAsia" w:ascii="宋体" w:hAnsi="宋体" w:eastAsia="宋体" w:cs="宋体"/>
          <w:b/>
          <w:sz w:val="24"/>
          <w:lang w:val="en-US" w:eastAsia="zh-CN"/>
        </w:rPr>
        <w:t>3.</w:t>
      </w:r>
      <w:r>
        <w:rPr>
          <w:rFonts w:hint="eastAsia" w:ascii="宋体" w:hAnsi="宋体" w:eastAsia="宋体" w:cs="宋体"/>
          <w:b/>
          <w:sz w:val="24"/>
        </w:rPr>
        <w:t>投标分项报价表（投标文件格式五）</w:t>
      </w:r>
      <w:bookmarkEnd w:id="221"/>
    </w:p>
    <w:p>
      <w:pPr>
        <w:pStyle w:val="3"/>
        <w:spacing w:before="4"/>
        <w:rPr>
          <w:rFonts w:hint="eastAsia" w:ascii="宋体" w:hAnsi="宋体" w:eastAsia="宋体" w:cs="宋体"/>
          <w:b/>
          <w:sz w:val="19"/>
        </w:rPr>
      </w:pPr>
    </w:p>
    <w:p>
      <w:pPr>
        <w:pStyle w:val="3"/>
        <w:tabs>
          <w:tab w:val="left" w:pos="3836"/>
        </w:tabs>
        <w:spacing w:before="67"/>
        <w:ind w:firstLine="960" w:firstLineChars="400"/>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rPr>
        <w:tab/>
      </w:r>
      <w:r>
        <w:rPr>
          <w:rFonts w:hint="eastAsia" w:ascii="宋体" w:hAnsi="宋体" w:eastAsia="宋体" w:cs="宋体"/>
        </w:rPr>
        <w:t>招标编号:</w:t>
      </w:r>
    </w:p>
    <w:p>
      <w:pPr>
        <w:pStyle w:val="3"/>
        <w:spacing w:before="4" w:after="3"/>
        <w:ind w:firstLine="960" w:firstLineChars="400"/>
        <w:rPr>
          <w:rFonts w:hint="eastAsia" w:ascii="宋体" w:hAnsi="宋体" w:eastAsia="宋体" w:cs="宋体"/>
        </w:rPr>
      </w:pPr>
      <w:r>
        <w:rPr>
          <w:rFonts w:hint="eastAsia" w:ascii="宋体" w:hAnsi="宋体" w:eastAsia="宋体" w:cs="宋体"/>
        </w:rPr>
        <w:t>报价单位：</w:t>
      </w:r>
      <w:r>
        <w:rPr>
          <w:rFonts w:hint="eastAsia" w:ascii="宋体" w:hAnsi="宋体" w:eastAsia="宋体" w:cs="宋体"/>
          <w:lang w:val="en-US" w:eastAsia="zh-CN"/>
        </w:rPr>
        <w:t xml:space="preserve">                                                          </w:t>
      </w:r>
      <w:r>
        <w:rPr>
          <w:rFonts w:hint="eastAsia" w:ascii="宋体" w:hAnsi="宋体" w:eastAsia="宋体" w:cs="宋体"/>
        </w:rPr>
        <w:t>人民币</w:t>
      </w:r>
      <w:r>
        <w:rPr>
          <w:rFonts w:hint="eastAsia" w:ascii="宋体" w:hAnsi="宋体" w:eastAsia="宋体" w:cs="宋体"/>
          <w:lang w:val="en-US" w:eastAsia="zh-CN"/>
        </w:rPr>
        <w:t xml:space="preserve">  </w:t>
      </w:r>
      <w:r>
        <w:rPr>
          <w:rFonts w:hint="eastAsia" w:ascii="宋体" w:hAnsi="宋体" w:eastAsia="宋体" w:cs="宋体"/>
        </w:rPr>
        <w:t>元</w:t>
      </w:r>
    </w:p>
    <w:tbl>
      <w:tblPr>
        <w:tblStyle w:val="20"/>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2502"/>
        <w:gridCol w:w="1883"/>
        <w:gridCol w:w="1970"/>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731" w:type="dxa"/>
            <w:vAlign w:val="center"/>
          </w:tcPr>
          <w:p>
            <w:pPr>
              <w:pStyle w:val="29"/>
              <w:spacing w:before="40"/>
              <w:ind w:right="15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502" w:type="dxa"/>
            <w:vAlign w:val="center"/>
          </w:tcPr>
          <w:p>
            <w:pPr>
              <w:pStyle w:val="29"/>
              <w:spacing w:before="40"/>
              <w:ind w:right="1629"/>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类别</w:t>
            </w:r>
          </w:p>
        </w:tc>
        <w:tc>
          <w:tcPr>
            <w:tcW w:w="1883" w:type="dxa"/>
            <w:vAlign w:val="center"/>
          </w:tcPr>
          <w:p>
            <w:pPr>
              <w:pStyle w:val="29"/>
              <w:spacing w:before="40"/>
              <w:ind w:right="564"/>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面积（㎡）</w:t>
            </w:r>
          </w:p>
        </w:tc>
        <w:tc>
          <w:tcPr>
            <w:tcW w:w="1970" w:type="dxa"/>
            <w:vAlign w:val="center"/>
          </w:tcPr>
          <w:p>
            <w:pPr>
              <w:pStyle w:val="29"/>
              <w:spacing w:before="40"/>
              <w:ind w:left="572" w:right="564"/>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单价（元）</w:t>
            </w:r>
          </w:p>
        </w:tc>
        <w:tc>
          <w:tcPr>
            <w:tcW w:w="2552" w:type="dxa"/>
            <w:vAlign w:val="center"/>
          </w:tcPr>
          <w:p>
            <w:pPr>
              <w:pStyle w:val="29"/>
              <w:spacing w:before="40"/>
              <w:ind w:left="572" w:right="564"/>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31" w:type="dxa"/>
            <w:vAlign w:val="center"/>
          </w:tcPr>
          <w:p>
            <w:pPr>
              <w:pStyle w:val="29"/>
              <w:spacing w:before="2" w:line="289" w:lineRule="exact"/>
              <w:ind w:right="279"/>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2502" w:type="dxa"/>
            <w:vAlign w:val="center"/>
          </w:tcPr>
          <w:p>
            <w:pPr>
              <w:pStyle w:val="29"/>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83" w:type="dxa"/>
            <w:vAlign w:val="center"/>
          </w:tcPr>
          <w:p>
            <w:pPr>
              <w:pStyle w:val="29"/>
              <w:jc w:val="center"/>
              <w:rPr>
                <w:rFonts w:hint="eastAsia" w:ascii="宋体" w:hAnsi="宋体" w:eastAsia="宋体" w:cs="宋体"/>
                <w:color w:val="000000" w:themeColor="text1"/>
                <w:sz w:val="22"/>
                <w:lang w:val="en-US" w:eastAsia="zh-CN"/>
                <w14:textFill>
                  <w14:solidFill>
                    <w14:schemeClr w14:val="tx1"/>
                  </w14:solidFill>
                </w14:textFill>
              </w:rPr>
            </w:pPr>
          </w:p>
        </w:tc>
        <w:tc>
          <w:tcPr>
            <w:tcW w:w="1970"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c>
          <w:tcPr>
            <w:tcW w:w="2552"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731" w:type="dxa"/>
            <w:vAlign w:val="center"/>
          </w:tcPr>
          <w:p>
            <w:pPr>
              <w:pStyle w:val="29"/>
              <w:spacing w:before="2" w:line="290" w:lineRule="exact"/>
              <w:ind w:right="279"/>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502" w:type="dxa"/>
            <w:vAlign w:val="center"/>
          </w:tcPr>
          <w:p>
            <w:pPr>
              <w:pStyle w:val="29"/>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83" w:type="dxa"/>
            <w:vAlign w:val="center"/>
          </w:tcPr>
          <w:p>
            <w:pPr>
              <w:pStyle w:val="29"/>
              <w:ind w:left="0" w:leftChars="0" w:right="0"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70"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c>
          <w:tcPr>
            <w:tcW w:w="2552"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jc w:val="center"/>
        </w:trPr>
        <w:tc>
          <w:tcPr>
            <w:tcW w:w="731" w:type="dxa"/>
            <w:vAlign w:val="center"/>
          </w:tcPr>
          <w:p>
            <w:pPr>
              <w:pStyle w:val="29"/>
              <w:spacing w:before="2" w:line="289" w:lineRule="exact"/>
              <w:ind w:right="279"/>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502" w:type="dxa"/>
            <w:vAlign w:val="center"/>
          </w:tcPr>
          <w:p>
            <w:pPr>
              <w:pStyle w:val="29"/>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83" w:type="dxa"/>
            <w:vAlign w:val="center"/>
          </w:tcPr>
          <w:p>
            <w:pPr>
              <w:pStyle w:val="29"/>
              <w:ind w:left="0" w:leftChars="0" w:right="0"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70"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c>
          <w:tcPr>
            <w:tcW w:w="2552"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jc w:val="center"/>
        </w:trPr>
        <w:tc>
          <w:tcPr>
            <w:tcW w:w="731" w:type="dxa"/>
            <w:vAlign w:val="center"/>
          </w:tcPr>
          <w:p>
            <w:pPr>
              <w:pStyle w:val="29"/>
              <w:spacing w:line="291" w:lineRule="exact"/>
              <w:ind w:right="279"/>
              <w:jc w:val="center"/>
              <w:rPr>
                <w:rFonts w:hint="eastAsia" w:ascii="宋体" w:hAnsi="宋体" w:eastAsia="宋体" w:cs="宋体"/>
                <w:color w:val="000000" w:themeColor="text1"/>
                <w:sz w:val="21"/>
                <w:szCs w:val="21"/>
                <w:lang w:val="en-US"/>
                <w14:textFill>
                  <w14:solidFill>
                    <w14:schemeClr w14:val="tx1"/>
                  </w14:solidFill>
                </w14:textFill>
              </w:rPr>
            </w:pPr>
          </w:p>
        </w:tc>
        <w:tc>
          <w:tcPr>
            <w:tcW w:w="2502" w:type="dxa"/>
            <w:vAlign w:val="center"/>
          </w:tcPr>
          <w:p>
            <w:pPr>
              <w:pStyle w:val="29"/>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83" w:type="dxa"/>
            <w:vAlign w:val="center"/>
          </w:tcPr>
          <w:p>
            <w:pPr>
              <w:pStyle w:val="29"/>
              <w:ind w:left="0" w:leftChars="0" w:right="0"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70"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c>
          <w:tcPr>
            <w:tcW w:w="2552"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731" w:type="dxa"/>
            <w:vAlign w:val="center"/>
          </w:tcPr>
          <w:p>
            <w:pPr>
              <w:pStyle w:val="29"/>
              <w:spacing w:before="3" w:line="288" w:lineRule="exact"/>
              <w:ind w:right="279"/>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w:t>
            </w:r>
          </w:p>
        </w:tc>
        <w:tc>
          <w:tcPr>
            <w:tcW w:w="2502"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c>
          <w:tcPr>
            <w:tcW w:w="1883"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c>
          <w:tcPr>
            <w:tcW w:w="1970"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c>
          <w:tcPr>
            <w:tcW w:w="2552" w:type="dxa"/>
            <w:vAlign w:val="center"/>
          </w:tcPr>
          <w:p>
            <w:pPr>
              <w:pStyle w:val="29"/>
              <w:jc w:val="center"/>
              <w:rPr>
                <w:rFonts w:hint="eastAsia" w:ascii="宋体" w:hAnsi="宋体" w:eastAsia="宋体" w:cs="宋体"/>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7" w:hRule="atLeast"/>
          <w:jc w:val="center"/>
        </w:trPr>
        <w:tc>
          <w:tcPr>
            <w:tcW w:w="9638" w:type="dxa"/>
            <w:gridSpan w:val="5"/>
            <w:vAlign w:val="center"/>
          </w:tcPr>
          <w:p>
            <w:pPr>
              <w:pStyle w:val="29"/>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总价：    元  （大写：   元）   </w:t>
            </w:r>
          </w:p>
        </w:tc>
      </w:tr>
    </w:tbl>
    <w:p>
      <w:pPr>
        <w:pStyle w:val="3"/>
        <w:spacing w:before="9"/>
        <w:rPr>
          <w:rFonts w:hint="eastAsia" w:ascii="宋体" w:hAnsi="宋体" w:eastAsia="宋体" w:cs="宋体"/>
          <w:sz w:val="18"/>
        </w:rPr>
      </w:pPr>
    </w:p>
    <w:p>
      <w:pPr>
        <w:pStyle w:val="3"/>
        <w:tabs>
          <w:tab w:val="left" w:pos="5686"/>
          <w:tab w:val="left" w:pos="6555"/>
        </w:tabs>
        <w:spacing w:before="74" w:line="242" w:lineRule="auto"/>
        <w:ind w:left="796" w:right="3808"/>
        <w:rPr>
          <w:rFonts w:hint="eastAsia" w:ascii="宋体" w:hAnsi="宋体" w:eastAsia="宋体" w:cs="宋体"/>
        </w:rPr>
      </w:pPr>
      <w:r>
        <w:rPr>
          <w:rFonts w:hint="eastAsia" w:ascii="宋体" w:hAnsi="宋体" w:eastAsia="宋体" w:cs="宋体"/>
        </w:rPr>
        <w:t>法定代表人或其委托代理人签字: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投标人(盖单位章):</w:t>
      </w:r>
      <w:r>
        <w:rPr>
          <w:rFonts w:hint="eastAsia" w:ascii="宋体" w:hAnsi="宋体" w:eastAsia="宋体" w:cs="宋体"/>
          <w:u w:val="single"/>
        </w:rPr>
        <w:t xml:space="preserve"> </w:t>
      </w:r>
      <w:r>
        <w:rPr>
          <w:rFonts w:hint="eastAsia" w:ascii="宋体" w:hAnsi="宋体" w:eastAsia="宋体" w:cs="宋体"/>
          <w:u w:val="single"/>
        </w:rPr>
        <w:tab/>
      </w:r>
    </w:p>
    <w:p>
      <w:pPr>
        <w:pStyle w:val="3"/>
        <w:spacing w:before="4"/>
        <w:rPr>
          <w:rFonts w:hint="eastAsia" w:ascii="宋体" w:hAnsi="宋体" w:eastAsia="宋体" w:cs="宋体"/>
          <w:sz w:val="21"/>
        </w:rPr>
      </w:pPr>
    </w:p>
    <w:p>
      <w:pPr>
        <w:pStyle w:val="3"/>
        <w:spacing w:before="67"/>
        <w:ind w:left="796"/>
        <w:rPr>
          <w:rFonts w:hint="eastAsia" w:ascii="宋体" w:hAnsi="宋体" w:eastAsia="宋体" w:cs="宋体"/>
        </w:rPr>
      </w:pPr>
      <w:r>
        <w:rPr>
          <w:rFonts w:hint="eastAsia" w:ascii="宋体" w:hAnsi="宋体" w:eastAsia="宋体" w:cs="宋体"/>
        </w:rPr>
        <w:t>注:1. 如果按分项报价计算的结果与总价不一致,以分项报价为准修正总价。</w:t>
      </w:r>
    </w:p>
    <w:p>
      <w:pPr>
        <w:pStyle w:val="28"/>
        <w:numPr>
          <w:ilvl w:val="0"/>
          <w:numId w:val="27"/>
        </w:numPr>
        <w:tabs>
          <w:tab w:val="left" w:pos="1516"/>
        </w:tabs>
        <w:spacing w:before="4" w:after="0" w:line="240" w:lineRule="auto"/>
        <w:ind w:left="1516" w:right="0" w:hanging="360"/>
        <w:jc w:val="left"/>
        <w:rPr>
          <w:rFonts w:hint="eastAsia" w:ascii="宋体" w:hAnsi="宋体" w:eastAsia="宋体" w:cs="宋体"/>
          <w:sz w:val="24"/>
        </w:rPr>
      </w:pPr>
      <w:r>
        <w:rPr>
          <w:rFonts w:hint="eastAsia" w:ascii="宋体" w:hAnsi="宋体" w:eastAsia="宋体" w:cs="宋体"/>
          <w:sz w:val="24"/>
        </w:rPr>
        <w:t>上述各项的详细分项报价，可另页描述。</w:t>
      </w:r>
    </w:p>
    <w:p>
      <w:pPr>
        <w:pStyle w:val="28"/>
        <w:numPr>
          <w:ilvl w:val="0"/>
          <w:numId w:val="27"/>
        </w:numPr>
        <w:tabs>
          <w:tab w:val="left" w:pos="1516"/>
        </w:tabs>
        <w:spacing w:before="2" w:after="0" w:line="240" w:lineRule="auto"/>
        <w:ind w:left="1516" w:right="0" w:hanging="360"/>
        <w:jc w:val="left"/>
        <w:rPr>
          <w:rFonts w:hint="eastAsia" w:ascii="宋体" w:hAnsi="宋体" w:eastAsia="宋体" w:cs="宋体"/>
          <w:sz w:val="24"/>
        </w:rPr>
      </w:pPr>
      <w:r>
        <w:rPr>
          <w:rFonts w:hint="eastAsia" w:ascii="宋体" w:hAnsi="宋体" w:eastAsia="宋体" w:cs="宋体"/>
          <w:spacing w:val="-1"/>
          <w:sz w:val="24"/>
        </w:rPr>
        <w:t>如果开标一览表</w:t>
      </w:r>
      <w:r>
        <w:rPr>
          <w:rFonts w:hint="eastAsia" w:ascii="宋体" w:hAnsi="宋体" w:eastAsia="宋体" w:cs="宋体"/>
          <w:spacing w:val="-3"/>
          <w:sz w:val="24"/>
        </w:rPr>
        <w:t>（</w:t>
      </w:r>
      <w:r>
        <w:rPr>
          <w:rFonts w:hint="eastAsia" w:ascii="宋体" w:hAnsi="宋体" w:eastAsia="宋体" w:cs="宋体"/>
          <w:sz w:val="24"/>
        </w:rPr>
        <w:t>报价表</w:t>
      </w:r>
      <w:r>
        <w:rPr>
          <w:rFonts w:hint="eastAsia" w:ascii="宋体" w:hAnsi="宋体" w:eastAsia="宋体" w:cs="宋体"/>
          <w:spacing w:val="-5"/>
          <w:sz w:val="24"/>
        </w:rPr>
        <w:t>）</w:t>
      </w:r>
      <w:r>
        <w:rPr>
          <w:rFonts w:hint="eastAsia" w:ascii="宋体" w:hAnsi="宋体" w:eastAsia="宋体" w:cs="宋体"/>
          <w:spacing w:val="-1"/>
          <w:sz w:val="24"/>
        </w:rPr>
        <w:t>内容与投标文件中明细表内容不一致的，以开标一览表</w:t>
      </w:r>
    </w:p>
    <w:p>
      <w:pPr>
        <w:pStyle w:val="3"/>
        <w:spacing w:before="5"/>
        <w:ind w:left="1336"/>
        <w:rPr>
          <w:rFonts w:hint="eastAsia" w:ascii="宋体" w:hAnsi="宋体" w:eastAsia="宋体" w:cs="宋体"/>
        </w:rPr>
      </w:pPr>
      <w:r>
        <w:rPr>
          <w:rFonts w:hint="eastAsia" w:ascii="宋体" w:hAnsi="宋体" w:eastAsia="宋体" w:cs="宋体"/>
        </w:rPr>
        <w:t>（报价表）内容为准。</w:t>
      </w:r>
    </w:p>
    <w:p>
      <w:r>
        <w:br w:type="page"/>
      </w:r>
    </w:p>
    <w:p>
      <w:pPr>
        <w:pStyle w:val="7"/>
        <w:jc w:val="center"/>
        <w:outlineLvl w:val="1"/>
        <w:rPr>
          <w:rFonts w:hint="eastAsia" w:ascii="宋体" w:hAnsi="宋体" w:eastAsia="宋体" w:cs="宋体"/>
          <w:b/>
          <w:bCs/>
          <w:sz w:val="28"/>
          <w:szCs w:val="21"/>
        </w:rPr>
      </w:pPr>
      <w:bookmarkStart w:id="222" w:name="_Toc7064"/>
      <w:r>
        <w:rPr>
          <w:rFonts w:hint="eastAsia" w:ascii="宋体" w:hAnsi="宋体" w:eastAsia="宋体" w:cs="宋体"/>
          <w:b/>
          <w:bCs/>
          <w:sz w:val="28"/>
          <w:szCs w:val="21"/>
          <w:lang w:val="en-US" w:eastAsia="zh-CN"/>
        </w:rPr>
        <w:t>4</w:t>
      </w:r>
      <w:r>
        <w:rPr>
          <w:rFonts w:hint="eastAsia" w:hAnsi="宋体" w:eastAsia="宋体" w:cs="宋体"/>
          <w:b/>
          <w:bCs/>
          <w:sz w:val="28"/>
          <w:szCs w:val="21"/>
          <w:lang w:val="en-US" w:eastAsia="zh-CN"/>
        </w:rPr>
        <w:t>.</w:t>
      </w:r>
      <w:r>
        <w:rPr>
          <w:rFonts w:hint="eastAsia" w:ascii="宋体" w:hAnsi="宋体" w:eastAsia="宋体" w:cs="宋体"/>
          <w:b/>
          <w:bCs/>
          <w:sz w:val="28"/>
          <w:szCs w:val="21"/>
        </w:rPr>
        <w:t>商务条款偏离表</w:t>
      </w:r>
      <w:bookmarkEnd w:id="222"/>
    </w:p>
    <w:p>
      <w:pPr>
        <w:pStyle w:val="7"/>
        <w:rPr>
          <w:rFonts w:hint="eastAsia" w:ascii="宋体" w:hAnsi="宋体" w:eastAsia="宋体" w:cs="宋体"/>
        </w:rPr>
      </w:pPr>
    </w:p>
    <w:p>
      <w:pPr>
        <w:pStyle w:val="7"/>
        <w:ind w:firstLine="1176" w:firstLineChars="490"/>
        <w:rPr>
          <w:rFonts w:hint="eastAsia" w:ascii="宋体" w:hAnsi="宋体" w:eastAsia="宋体" w:cs="宋体"/>
        </w:rPr>
      </w:pPr>
      <w:r>
        <w:rPr>
          <w:rFonts w:hint="eastAsia" w:ascii="宋体" w:hAnsi="宋体" w:eastAsia="宋体" w:cs="宋体"/>
        </w:rPr>
        <w:t xml:space="preserve">项目名称:                      </w:t>
      </w:r>
      <w:r>
        <w:rPr>
          <w:rFonts w:hint="eastAsia" w:ascii="宋体" w:hAnsi="宋体" w:eastAsia="宋体" w:cs="宋体"/>
          <w:lang w:val="en-US" w:eastAsia="zh-CN"/>
        </w:rPr>
        <w:t>项目</w:t>
      </w:r>
      <w:r>
        <w:rPr>
          <w:rFonts w:hint="eastAsia" w:ascii="宋体" w:hAnsi="宋体" w:eastAsia="宋体" w:cs="宋体"/>
        </w:rPr>
        <w:t xml:space="preserve">编号:          </w:t>
      </w:r>
    </w:p>
    <w:p>
      <w:pPr>
        <w:pStyle w:val="7"/>
        <w:rPr>
          <w:rFonts w:hint="eastAsia" w:ascii="宋体" w:hAnsi="宋体" w:eastAsia="宋体" w:cs="宋体"/>
        </w:rPr>
      </w:pPr>
      <w:r>
        <w:rPr>
          <w:rFonts w:hint="eastAsia" w:ascii="宋体" w:hAnsi="宋体" w:eastAsia="宋体" w:cs="宋体"/>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627"/>
        <w:gridCol w:w="2684"/>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center"/>
          </w:tcPr>
          <w:p>
            <w:pPr>
              <w:pStyle w:val="7"/>
              <w:rPr>
                <w:rFonts w:hint="eastAsia" w:ascii="宋体" w:hAnsi="宋体" w:eastAsia="宋体" w:cs="宋体"/>
              </w:rPr>
            </w:pPr>
            <w:r>
              <w:rPr>
                <w:rFonts w:hint="eastAsia" w:ascii="宋体" w:hAnsi="宋体" w:eastAsia="宋体" w:cs="宋体"/>
              </w:rPr>
              <w:t>序号</w:t>
            </w:r>
          </w:p>
        </w:tc>
        <w:tc>
          <w:tcPr>
            <w:tcW w:w="2627" w:type="dxa"/>
            <w:noWrap w:val="0"/>
            <w:vAlign w:val="center"/>
          </w:tcPr>
          <w:p>
            <w:pPr>
              <w:pStyle w:val="7"/>
              <w:ind w:left="0" w:leftChars="0" w:firstLine="0" w:firstLineChars="0"/>
              <w:rPr>
                <w:rFonts w:hint="eastAsia" w:ascii="宋体" w:hAnsi="宋体" w:eastAsia="宋体" w:cs="宋体"/>
                <w:lang w:eastAsia="zh-CN"/>
              </w:rPr>
            </w:pPr>
            <w:r>
              <w:rPr>
                <w:rFonts w:hint="eastAsia" w:hAnsi="宋体" w:eastAsia="宋体" w:cs="宋体"/>
                <w:lang w:eastAsia="zh-CN"/>
              </w:rPr>
              <w:t>招标文件</w:t>
            </w:r>
            <w:r>
              <w:rPr>
                <w:rFonts w:hint="eastAsia" w:ascii="宋体" w:hAnsi="宋体" w:eastAsia="宋体" w:cs="宋体"/>
              </w:rPr>
              <w:t>的商务条款</w:t>
            </w:r>
            <w:r>
              <w:rPr>
                <w:rFonts w:hint="eastAsia" w:ascii="宋体" w:hAnsi="宋体" w:eastAsia="宋体" w:cs="宋体"/>
                <w:lang w:eastAsia="zh-CN"/>
              </w:rPr>
              <w:t>内容</w:t>
            </w:r>
          </w:p>
        </w:tc>
        <w:tc>
          <w:tcPr>
            <w:tcW w:w="2684" w:type="dxa"/>
            <w:noWrap w:val="0"/>
            <w:vAlign w:val="center"/>
          </w:tcPr>
          <w:p>
            <w:pPr>
              <w:pStyle w:val="7"/>
              <w:ind w:left="0" w:leftChars="0" w:firstLine="0" w:firstLineChars="0"/>
              <w:rPr>
                <w:rFonts w:hint="eastAsia" w:ascii="宋体" w:hAnsi="宋体" w:eastAsia="宋体" w:cs="宋体"/>
                <w:lang w:eastAsia="zh-CN"/>
              </w:rPr>
            </w:pPr>
            <w:r>
              <w:rPr>
                <w:rFonts w:hint="eastAsia" w:hAnsi="宋体" w:eastAsia="宋体" w:cs="宋体"/>
                <w:lang w:eastAsia="zh-CN"/>
              </w:rPr>
              <w:t>投标</w:t>
            </w:r>
            <w:r>
              <w:rPr>
                <w:rFonts w:hint="eastAsia" w:ascii="宋体" w:hAnsi="宋体" w:eastAsia="宋体" w:cs="宋体"/>
                <w:lang w:eastAsia="zh-CN"/>
              </w:rPr>
              <w:t>文件</w:t>
            </w:r>
            <w:r>
              <w:rPr>
                <w:rFonts w:hint="eastAsia" w:ascii="宋体" w:hAnsi="宋体" w:eastAsia="宋体" w:cs="宋体"/>
              </w:rPr>
              <w:t>的商务条款</w:t>
            </w:r>
            <w:r>
              <w:rPr>
                <w:rFonts w:hint="eastAsia" w:ascii="宋体" w:hAnsi="宋体" w:eastAsia="宋体" w:cs="宋体"/>
                <w:lang w:eastAsia="zh-CN"/>
              </w:rPr>
              <w:t>内容</w:t>
            </w:r>
          </w:p>
        </w:tc>
        <w:tc>
          <w:tcPr>
            <w:tcW w:w="1402" w:type="dxa"/>
            <w:noWrap w:val="0"/>
            <w:vAlign w:val="center"/>
          </w:tcPr>
          <w:p>
            <w:pPr>
              <w:pStyle w:val="7"/>
              <w:rPr>
                <w:rFonts w:hint="eastAsia" w:ascii="宋体" w:hAnsi="宋体" w:eastAsia="宋体" w:cs="宋体"/>
              </w:rPr>
            </w:pPr>
            <w:r>
              <w:rPr>
                <w:rFonts w:hint="eastAsia" w:ascii="宋体" w:hAnsi="宋体" w:eastAsia="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9" w:type="dxa"/>
            <w:noWrap w:val="0"/>
            <w:vAlign w:val="top"/>
          </w:tcPr>
          <w:p>
            <w:pPr>
              <w:pStyle w:val="7"/>
              <w:rPr>
                <w:rFonts w:hint="eastAsia" w:ascii="宋体" w:hAnsi="宋体" w:eastAsia="宋体" w:cs="宋体"/>
              </w:rPr>
            </w:pPr>
          </w:p>
        </w:tc>
        <w:tc>
          <w:tcPr>
            <w:tcW w:w="2627" w:type="dxa"/>
            <w:noWrap w:val="0"/>
            <w:vAlign w:val="top"/>
          </w:tcPr>
          <w:p>
            <w:pPr>
              <w:pStyle w:val="7"/>
              <w:rPr>
                <w:rFonts w:hint="eastAsia" w:ascii="宋体" w:hAnsi="宋体" w:eastAsia="宋体" w:cs="宋体"/>
              </w:rPr>
            </w:pPr>
          </w:p>
        </w:tc>
        <w:tc>
          <w:tcPr>
            <w:tcW w:w="2684" w:type="dxa"/>
            <w:noWrap w:val="0"/>
            <w:vAlign w:val="top"/>
          </w:tcPr>
          <w:p>
            <w:pPr>
              <w:pStyle w:val="7"/>
              <w:rPr>
                <w:rFonts w:hint="eastAsia" w:ascii="宋体" w:hAnsi="宋体" w:eastAsia="宋体" w:cs="宋体"/>
              </w:rPr>
            </w:pPr>
          </w:p>
        </w:tc>
        <w:tc>
          <w:tcPr>
            <w:tcW w:w="1402" w:type="dxa"/>
            <w:noWrap w:val="0"/>
            <w:vAlign w:val="top"/>
          </w:tcPr>
          <w:p>
            <w:pPr>
              <w:pStyle w:val="7"/>
              <w:rPr>
                <w:rFonts w:hint="eastAsia" w:ascii="宋体" w:hAnsi="宋体" w:eastAsia="宋体" w:cs="宋体"/>
              </w:rPr>
            </w:pPr>
          </w:p>
        </w:tc>
      </w:tr>
    </w:tbl>
    <w:p>
      <w:pPr>
        <w:pStyle w:val="7"/>
        <w:rPr>
          <w:rFonts w:hint="eastAsia" w:ascii="宋体" w:hAnsi="宋体" w:eastAsia="宋体" w:cs="宋体"/>
        </w:rPr>
      </w:pPr>
    </w:p>
    <w:p>
      <w:pPr>
        <w:pStyle w:val="7"/>
        <w:ind w:left="0" w:leftChars="0" w:firstLine="0" w:firstLineChars="0"/>
        <w:jc w:val="both"/>
        <w:rPr>
          <w:rFonts w:hint="eastAsia" w:ascii="宋体" w:hAnsi="宋体" w:eastAsia="宋体" w:cs="宋体"/>
        </w:rPr>
      </w:pPr>
    </w:p>
    <w:p>
      <w:pPr>
        <w:pStyle w:val="7"/>
        <w:jc w:val="right"/>
        <w:rPr>
          <w:rFonts w:hint="eastAsia" w:ascii="宋体" w:hAnsi="宋体" w:eastAsia="宋体" w:cs="宋体"/>
        </w:rPr>
      </w:pPr>
      <w:r>
        <w:rPr>
          <w:rFonts w:hint="eastAsia" w:ascii="宋体" w:hAnsi="宋体" w:eastAsia="宋体" w:cs="宋体"/>
        </w:rPr>
        <w:t>法定代表人或其委托代理人（签字或盖章）:</w:t>
      </w:r>
    </w:p>
    <w:p>
      <w:pPr>
        <w:pStyle w:val="7"/>
        <w:jc w:val="righ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 xml:space="preserve">                 </w:t>
      </w:r>
    </w:p>
    <w:p>
      <w:pPr>
        <w:pStyle w:val="7"/>
        <w:jc w:val="center"/>
        <w:rPr>
          <w:rFonts w:hint="eastAsia" w:ascii="宋体" w:hAnsi="宋体" w:eastAsia="宋体" w:cs="宋体"/>
        </w:rPr>
      </w:pPr>
      <w:r>
        <w:rPr>
          <w:rFonts w:hint="eastAsia" w:hAnsi="宋体" w:eastAsia="宋体" w:cs="宋体"/>
          <w:lang w:val="en-US" w:eastAsia="zh-CN"/>
        </w:rPr>
        <w:t xml:space="preserve">                         </w:t>
      </w:r>
      <w:r>
        <w:rPr>
          <w:rFonts w:hint="eastAsia" w:ascii="宋体" w:hAnsi="宋体" w:eastAsia="宋体" w:cs="宋体"/>
        </w:rPr>
        <w:t>投标人(盖单位章):</w:t>
      </w:r>
      <w:r>
        <w:rPr>
          <w:rFonts w:hint="eastAsia" w:ascii="宋体" w:hAnsi="宋体" w:eastAsia="宋体" w:cs="宋体"/>
        </w:rPr>
        <w:tab/>
      </w:r>
      <w:r>
        <w:rPr>
          <w:rFonts w:hint="eastAsia" w:ascii="宋体" w:hAnsi="宋体" w:eastAsia="宋体" w:cs="宋体"/>
          <w:lang w:val="en-US" w:eastAsia="zh-CN"/>
        </w:rPr>
        <w:t xml:space="preserve">                </w:t>
      </w:r>
    </w:p>
    <w:p>
      <w:pPr>
        <w:pStyle w:val="7"/>
        <w:rPr>
          <w:rFonts w:hint="eastAsia" w:ascii="宋体" w:hAnsi="宋体" w:eastAsia="宋体" w:cs="宋体"/>
        </w:rPr>
      </w:pPr>
    </w:p>
    <w:p>
      <w:pPr>
        <w:pStyle w:val="7"/>
        <w:rPr>
          <w:rFonts w:hint="default" w:ascii="宋体" w:hAnsi="宋体" w:eastAsia="宋体" w:cs="宋体"/>
          <w:lang w:val="en-US" w:eastAsia="zh-CN"/>
        </w:rPr>
      </w:pPr>
      <w:bookmarkStart w:id="223" w:name="_Hlt520350918"/>
      <w:bookmarkEnd w:id="223"/>
      <w:bookmarkStart w:id="224" w:name="_Hlt520271212"/>
      <w:bookmarkEnd w:id="224"/>
      <w:bookmarkStart w:id="225" w:name="_Hlt520343392"/>
      <w:bookmarkEnd w:id="225"/>
      <w:bookmarkStart w:id="226" w:name="_Hlt520274065"/>
      <w:bookmarkEnd w:id="226"/>
      <w:bookmarkStart w:id="227" w:name="_Hlt520274407"/>
      <w:bookmarkEnd w:id="227"/>
      <w:bookmarkStart w:id="228" w:name="_Hlt520343000"/>
      <w:bookmarkEnd w:id="228"/>
      <w:bookmarkStart w:id="229" w:name="_Hlt520273973"/>
      <w:bookmarkEnd w:id="229"/>
      <w:bookmarkStart w:id="230" w:name="_Hlt520274393"/>
      <w:bookmarkEnd w:id="230"/>
      <w:bookmarkStart w:id="231" w:name="_Hlt520273711"/>
      <w:bookmarkEnd w:id="231"/>
      <w:bookmarkStart w:id="232" w:name="_Hlt520350957"/>
      <w:bookmarkEnd w:id="232"/>
      <w:bookmarkStart w:id="233" w:name="_Hlt520274911"/>
      <w:bookmarkEnd w:id="233"/>
      <w:r>
        <w:rPr>
          <w:rFonts w:hint="eastAsia" w:hAnsi="宋体" w:eastAsia="宋体" w:cs="宋体"/>
          <w:lang w:val="en-US" w:eastAsia="zh-CN"/>
        </w:rPr>
        <w:t xml:space="preserve">      注:投标人应对本项目的商务条款响应情况进行说明，若有偏差须在投标 文件商务标书《商务条款偏离表》中予以说明；若没有，应注明“无偏离”字样。若没有填写《商务条款偏离表》，即视为投标人声明其完全响应招标文件的商务条款；</w:t>
      </w:r>
    </w:p>
    <w:p>
      <w:pPr>
        <w:pStyle w:val="7"/>
        <w:rPr>
          <w:rFonts w:hint="eastAsia" w:ascii="宋体" w:hAnsi="宋体" w:eastAsia="宋体" w:cs="宋体"/>
          <w:lang w:eastAsia="zh-CN"/>
        </w:rPr>
      </w:pPr>
    </w:p>
    <w:p>
      <w:pPr>
        <w:pStyle w:val="7"/>
        <w:ind w:left="0" w:leftChars="0" w:firstLine="0" w:firstLineChars="0"/>
        <w:rPr>
          <w:rFonts w:hint="eastAsia" w:ascii="宋体" w:hAnsi="宋体" w:eastAsia="宋体" w:cs="宋体"/>
          <w:lang w:eastAsia="zh-CN"/>
        </w:rPr>
      </w:pPr>
      <w:r>
        <w:rPr>
          <w:rFonts w:hint="eastAsia" w:ascii="宋体" w:hAnsi="宋体" w:eastAsia="宋体" w:cs="宋体"/>
        </w:rPr>
        <w:br w:type="page"/>
      </w:r>
    </w:p>
    <w:p>
      <w:pPr>
        <w:pStyle w:val="7"/>
        <w:numPr>
          <w:ilvl w:val="0"/>
          <w:numId w:val="0"/>
        </w:numPr>
        <w:ind w:left="420" w:leftChars="0" w:right="0" w:rightChars="0"/>
        <w:jc w:val="center"/>
        <w:outlineLvl w:val="1"/>
        <w:rPr>
          <w:rFonts w:hint="eastAsia" w:ascii="宋体" w:hAnsi="宋体" w:eastAsia="宋体" w:cs="宋体"/>
          <w:b/>
          <w:bCs/>
          <w:sz w:val="24"/>
          <w:szCs w:val="20"/>
        </w:rPr>
      </w:pPr>
      <w:bookmarkStart w:id="234" w:name="_Toc5826"/>
      <w:r>
        <w:rPr>
          <w:rFonts w:hint="eastAsia" w:hAnsi="宋体" w:eastAsia="宋体" w:cs="宋体"/>
          <w:b/>
          <w:bCs/>
          <w:sz w:val="24"/>
          <w:szCs w:val="20"/>
          <w:lang w:val="en-US" w:eastAsia="zh-CN"/>
        </w:rPr>
        <w:t>5.</w:t>
      </w:r>
      <w:r>
        <w:rPr>
          <w:rFonts w:hint="eastAsia" w:ascii="宋体" w:hAnsi="宋体" w:eastAsia="宋体" w:cs="宋体"/>
          <w:b/>
          <w:bCs/>
          <w:sz w:val="24"/>
          <w:szCs w:val="20"/>
          <w:lang w:eastAsia="zh-CN"/>
        </w:rPr>
        <w:t>技术</w:t>
      </w:r>
      <w:r>
        <w:rPr>
          <w:rFonts w:hint="eastAsia" w:ascii="宋体" w:hAnsi="宋体" w:eastAsia="宋体" w:cs="宋体"/>
          <w:b/>
          <w:bCs/>
          <w:sz w:val="24"/>
          <w:szCs w:val="20"/>
        </w:rPr>
        <w:t>条款偏离表</w:t>
      </w:r>
      <w:bookmarkEnd w:id="234"/>
    </w:p>
    <w:p>
      <w:pPr>
        <w:pStyle w:val="8"/>
        <w:numPr>
          <w:ilvl w:val="0"/>
          <w:numId w:val="0"/>
        </w:numPr>
        <w:ind w:leftChars="-200" w:right="0" w:rightChars="0"/>
        <w:rPr>
          <w:rFonts w:hint="eastAsia"/>
        </w:rPr>
      </w:pPr>
    </w:p>
    <w:tbl>
      <w:tblPr>
        <w:tblStyle w:val="21"/>
        <w:tblW w:w="8178" w:type="dxa"/>
        <w:tblInd w:w="1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329"/>
        <w:gridCol w:w="2146"/>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34" w:type="dxa"/>
            <w:noWrap w:val="0"/>
            <w:vAlign w:val="center"/>
          </w:tcPr>
          <w:p>
            <w:pPr>
              <w:pStyle w:val="7"/>
              <w:rPr>
                <w:rFonts w:hint="eastAsia" w:ascii="宋体" w:hAnsi="宋体" w:eastAsia="宋体" w:cs="宋体"/>
              </w:rPr>
            </w:pPr>
            <w:r>
              <w:rPr>
                <w:rFonts w:hint="eastAsia" w:ascii="宋体" w:hAnsi="宋体" w:eastAsia="宋体" w:cs="宋体"/>
              </w:rPr>
              <w:t>序号</w:t>
            </w:r>
          </w:p>
        </w:tc>
        <w:tc>
          <w:tcPr>
            <w:tcW w:w="2329" w:type="dxa"/>
            <w:noWrap w:val="0"/>
            <w:vAlign w:val="center"/>
          </w:tcPr>
          <w:p>
            <w:pPr>
              <w:pStyle w:val="7"/>
              <w:ind w:left="0" w:leftChars="0" w:firstLine="0" w:firstLineChars="0"/>
              <w:rPr>
                <w:rFonts w:hint="eastAsia" w:ascii="宋体" w:hAnsi="宋体" w:eastAsia="宋体" w:cs="宋体"/>
              </w:rPr>
            </w:pPr>
            <w:r>
              <w:rPr>
                <w:rFonts w:hint="eastAsia" w:hAnsi="宋体" w:eastAsia="宋体" w:cs="宋体"/>
                <w:lang w:eastAsia="zh-CN"/>
              </w:rPr>
              <w:t>招标</w:t>
            </w:r>
            <w:r>
              <w:rPr>
                <w:rFonts w:hint="eastAsia" w:ascii="宋体" w:hAnsi="宋体" w:eastAsia="宋体" w:cs="宋体"/>
              </w:rPr>
              <w:t>采购文件技术条款</w:t>
            </w:r>
          </w:p>
        </w:tc>
        <w:tc>
          <w:tcPr>
            <w:tcW w:w="2146" w:type="dxa"/>
            <w:noWrap w:val="0"/>
            <w:vAlign w:val="center"/>
          </w:tcPr>
          <w:p>
            <w:pPr>
              <w:pStyle w:val="7"/>
              <w:ind w:left="0" w:leftChars="0" w:firstLine="0" w:firstLineChars="0"/>
              <w:rPr>
                <w:rFonts w:hint="eastAsia" w:ascii="宋体" w:hAnsi="宋体" w:eastAsia="宋体" w:cs="宋体"/>
              </w:rPr>
            </w:pPr>
            <w:r>
              <w:rPr>
                <w:rFonts w:hint="eastAsia" w:hAnsi="宋体" w:eastAsia="宋体" w:cs="宋体"/>
                <w:lang w:eastAsia="zh-CN"/>
              </w:rPr>
              <w:t>投标</w:t>
            </w:r>
            <w:r>
              <w:rPr>
                <w:rFonts w:hint="eastAsia" w:ascii="宋体" w:hAnsi="宋体" w:eastAsia="宋体" w:cs="宋体"/>
              </w:rPr>
              <w:t>文件技术条款</w:t>
            </w:r>
          </w:p>
        </w:tc>
        <w:tc>
          <w:tcPr>
            <w:tcW w:w="1569" w:type="dxa"/>
            <w:noWrap w:val="0"/>
            <w:vAlign w:val="center"/>
          </w:tcPr>
          <w:p>
            <w:pPr>
              <w:pStyle w:val="7"/>
              <w:ind w:left="0" w:leftChars="0" w:firstLine="0" w:firstLineChars="0"/>
              <w:rPr>
                <w:rFonts w:hint="eastAsia" w:ascii="宋体" w:hAnsi="宋体" w:eastAsia="宋体" w:cs="宋体"/>
              </w:rPr>
            </w:pPr>
            <w:r>
              <w:rPr>
                <w:rFonts w:hint="eastAsia" w:ascii="宋体" w:hAnsi="宋体" w:eastAsia="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34" w:type="dxa"/>
            <w:noWrap w:val="0"/>
            <w:vAlign w:val="top"/>
          </w:tcPr>
          <w:p>
            <w:pPr>
              <w:pStyle w:val="7"/>
              <w:rPr>
                <w:rFonts w:hint="eastAsia" w:ascii="宋体" w:hAnsi="宋体" w:eastAsia="宋体" w:cs="宋体"/>
              </w:rPr>
            </w:pPr>
          </w:p>
        </w:tc>
        <w:tc>
          <w:tcPr>
            <w:tcW w:w="2329" w:type="dxa"/>
            <w:noWrap w:val="0"/>
            <w:vAlign w:val="top"/>
          </w:tcPr>
          <w:p>
            <w:pPr>
              <w:pStyle w:val="7"/>
              <w:rPr>
                <w:rFonts w:hint="eastAsia" w:ascii="宋体" w:hAnsi="宋体" w:eastAsia="宋体" w:cs="宋体"/>
              </w:rPr>
            </w:pPr>
          </w:p>
        </w:tc>
        <w:tc>
          <w:tcPr>
            <w:tcW w:w="2146" w:type="dxa"/>
            <w:noWrap w:val="0"/>
            <w:vAlign w:val="top"/>
          </w:tcPr>
          <w:p>
            <w:pPr>
              <w:pStyle w:val="7"/>
              <w:rPr>
                <w:rFonts w:hint="eastAsia" w:ascii="宋体" w:hAnsi="宋体" w:eastAsia="宋体" w:cs="宋体"/>
              </w:rPr>
            </w:pPr>
          </w:p>
        </w:tc>
        <w:tc>
          <w:tcPr>
            <w:tcW w:w="1569"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2134" w:type="dxa"/>
            <w:noWrap w:val="0"/>
            <w:vAlign w:val="top"/>
          </w:tcPr>
          <w:p>
            <w:pPr>
              <w:pStyle w:val="7"/>
              <w:rPr>
                <w:rFonts w:hint="eastAsia" w:ascii="宋体" w:hAnsi="宋体" w:eastAsia="宋体" w:cs="宋体"/>
              </w:rPr>
            </w:pPr>
          </w:p>
        </w:tc>
        <w:tc>
          <w:tcPr>
            <w:tcW w:w="2329" w:type="dxa"/>
            <w:noWrap w:val="0"/>
            <w:vAlign w:val="top"/>
          </w:tcPr>
          <w:p>
            <w:pPr>
              <w:pStyle w:val="7"/>
              <w:rPr>
                <w:rFonts w:hint="eastAsia" w:ascii="宋体" w:hAnsi="宋体" w:eastAsia="宋体" w:cs="宋体"/>
              </w:rPr>
            </w:pPr>
          </w:p>
        </w:tc>
        <w:tc>
          <w:tcPr>
            <w:tcW w:w="2146" w:type="dxa"/>
            <w:noWrap w:val="0"/>
            <w:vAlign w:val="top"/>
          </w:tcPr>
          <w:p>
            <w:pPr>
              <w:pStyle w:val="7"/>
              <w:rPr>
                <w:rFonts w:hint="eastAsia" w:ascii="宋体" w:hAnsi="宋体" w:eastAsia="宋体" w:cs="宋体"/>
              </w:rPr>
            </w:pPr>
          </w:p>
        </w:tc>
        <w:tc>
          <w:tcPr>
            <w:tcW w:w="1569"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2134" w:type="dxa"/>
            <w:noWrap w:val="0"/>
            <w:vAlign w:val="top"/>
          </w:tcPr>
          <w:p>
            <w:pPr>
              <w:pStyle w:val="7"/>
              <w:rPr>
                <w:rFonts w:hint="eastAsia" w:ascii="宋体" w:hAnsi="宋体" w:eastAsia="宋体" w:cs="宋体"/>
              </w:rPr>
            </w:pPr>
          </w:p>
        </w:tc>
        <w:tc>
          <w:tcPr>
            <w:tcW w:w="2329" w:type="dxa"/>
            <w:noWrap w:val="0"/>
            <w:vAlign w:val="top"/>
          </w:tcPr>
          <w:p>
            <w:pPr>
              <w:pStyle w:val="7"/>
              <w:rPr>
                <w:rFonts w:hint="eastAsia" w:ascii="宋体" w:hAnsi="宋体" w:eastAsia="宋体" w:cs="宋体"/>
              </w:rPr>
            </w:pPr>
          </w:p>
        </w:tc>
        <w:tc>
          <w:tcPr>
            <w:tcW w:w="2146" w:type="dxa"/>
            <w:noWrap w:val="0"/>
            <w:vAlign w:val="top"/>
          </w:tcPr>
          <w:p>
            <w:pPr>
              <w:pStyle w:val="7"/>
              <w:rPr>
                <w:rFonts w:hint="eastAsia" w:ascii="宋体" w:hAnsi="宋体" w:eastAsia="宋体" w:cs="宋体"/>
              </w:rPr>
            </w:pPr>
          </w:p>
        </w:tc>
        <w:tc>
          <w:tcPr>
            <w:tcW w:w="1569"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2134" w:type="dxa"/>
            <w:noWrap w:val="0"/>
            <w:vAlign w:val="top"/>
          </w:tcPr>
          <w:p>
            <w:pPr>
              <w:pStyle w:val="7"/>
              <w:rPr>
                <w:rFonts w:hint="eastAsia" w:ascii="宋体" w:hAnsi="宋体" w:eastAsia="宋体" w:cs="宋体"/>
              </w:rPr>
            </w:pPr>
          </w:p>
        </w:tc>
        <w:tc>
          <w:tcPr>
            <w:tcW w:w="2329" w:type="dxa"/>
            <w:noWrap w:val="0"/>
            <w:vAlign w:val="top"/>
          </w:tcPr>
          <w:p>
            <w:pPr>
              <w:pStyle w:val="7"/>
              <w:rPr>
                <w:rFonts w:hint="eastAsia" w:ascii="宋体" w:hAnsi="宋体" w:eastAsia="宋体" w:cs="宋体"/>
              </w:rPr>
            </w:pPr>
          </w:p>
        </w:tc>
        <w:tc>
          <w:tcPr>
            <w:tcW w:w="2146" w:type="dxa"/>
            <w:noWrap w:val="0"/>
            <w:vAlign w:val="top"/>
          </w:tcPr>
          <w:p>
            <w:pPr>
              <w:pStyle w:val="7"/>
              <w:rPr>
                <w:rFonts w:hint="eastAsia" w:ascii="宋体" w:hAnsi="宋体" w:eastAsia="宋体" w:cs="宋体"/>
              </w:rPr>
            </w:pPr>
          </w:p>
        </w:tc>
        <w:tc>
          <w:tcPr>
            <w:tcW w:w="1569"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2134" w:type="dxa"/>
            <w:noWrap w:val="0"/>
            <w:vAlign w:val="top"/>
          </w:tcPr>
          <w:p>
            <w:pPr>
              <w:pStyle w:val="7"/>
              <w:rPr>
                <w:rFonts w:hint="eastAsia" w:ascii="宋体" w:hAnsi="宋体" w:eastAsia="宋体" w:cs="宋体"/>
              </w:rPr>
            </w:pPr>
          </w:p>
        </w:tc>
        <w:tc>
          <w:tcPr>
            <w:tcW w:w="2329" w:type="dxa"/>
            <w:noWrap w:val="0"/>
            <w:vAlign w:val="top"/>
          </w:tcPr>
          <w:p>
            <w:pPr>
              <w:pStyle w:val="7"/>
              <w:rPr>
                <w:rFonts w:hint="eastAsia" w:ascii="宋体" w:hAnsi="宋体" w:eastAsia="宋体" w:cs="宋体"/>
              </w:rPr>
            </w:pPr>
          </w:p>
        </w:tc>
        <w:tc>
          <w:tcPr>
            <w:tcW w:w="2146" w:type="dxa"/>
            <w:noWrap w:val="0"/>
            <w:vAlign w:val="top"/>
          </w:tcPr>
          <w:p>
            <w:pPr>
              <w:pStyle w:val="7"/>
              <w:rPr>
                <w:rFonts w:hint="eastAsia" w:ascii="宋体" w:hAnsi="宋体" w:eastAsia="宋体" w:cs="宋体"/>
              </w:rPr>
            </w:pPr>
          </w:p>
        </w:tc>
        <w:tc>
          <w:tcPr>
            <w:tcW w:w="1569"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2134" w:type="dxa"/>
            <w:noWrap w:val="0"/>
            <w:vAlign w:val="top"/>
          </w:tcPr>
          <w:p>
            <w:pPr>
              <w:pStyle w:val="7"/>
              <w:rPr>
                <w:rFonts w:hint="eastAsia" w:ascii="宋体" w:hAnsi="宋体" w:eastAsia="宋体" w:cs="宋体"/>
              </w:rPr>
            </w:pPr>
          </w:p>
        </w:tc>
        <w:tc>
          <w:tcPr>
            <w:tcW w:w="2329" w:type="dxa"/>
            <w:noWrap w:val="0"/>
            <w:vAlign w:val="top"/>
          </w:tcPr>
          <w:p>
            <w:pPr>
              <w:pStyle w:val="7"/>
              <w:rPr>
                <w:rFonts w:hint="eastAsia" w:ascii="宋体" w:hAnsi="宋体" w:eastAsia="宋体" w:cs="宋体"/>
              </w:rPr>
            </w:pPr>
          </w:p>
        </w:tc>
        <w:tc>
          <w:tcPr>
            <w:tcW w:w="2146" w:type="dxa"/>
            <w:noWrap w:val="0"/>
            <w:vAlign w:val="top"/>
          </w:tcPr>
          <w:p>
            <w:pPr>
              <w:pStyle w:val="7"/>
              <w:rPr>
                <w:rFonts w:hint="eastAsia" w:ascii="宋体" w:hAnsi="宋体" w:eastAsia="宋体" w:cs="宋体"/>
              </w:rPr>
            </w:pPr>
          </w:p>
        </w:tc>
        <w:tc>
          <w:tcPr>
            <w:tcW w:w="1569" w:type="dxa"/>
            <w:noWrap w:val="0"/>
            <w:vAlign w:val="top"/>
          </w:tcPr>
          <w:p>
            <w:pPr>
              <w:pStyle w:val="7"/>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trPr>
        <w:tc>
          <w:tcPr>
            <w:tcW w:w="2134" w:type="dxa"/>
            <w:noWrap w:val="0"/>
            <w:vAlign w:val="top"/>
          </w:tcPr>
          <w:p>
            <w:pPr>
              <w:pStyle w:val="7"/>
              <w:rPr>
                <w:rFonts w:hint="eastAsia" w:ascii="宋体" w:hAnsi="宋体" w:eastAsia="宋体" w:cs="宋体"/>
              </w:rPr>
            </w:pPr>
          </w:p>
        </w:tc>
        <w:tc>
          <w:tcPr>
            <w:tcW w:w="2329" w:type="dxa"/>
            <w:noWrap w:val="0"/>
            <w:vAlign w:val="top"/>
          </w:tcPr>
          <w:p>
            <w:pPr>
              <w:pStyle w:val="7"/>
              <w:rPr>
                <w:rFonts w:hint="eastAsia" w:ascii="宋体" w:hAnsi="宋体" w:eastAsia="宋体" w:cs="宋体"/>
              </w:rPr>
            </w:pPr>
          </w:p>
        </w:tc>
        <w:tc>
          <w:tcPr>
            <w:tcW w:w="2146" w:type="dxa"/>
            <w:noWrap w:val="0"/>
            <w:vAlign w:val="top"/>
          </w:tcPr>
          <w:p>
            <w:pPr>
              <w:pStyle w:val="7"/>
              <w:rPr>
                <w:rFonts w:hint="eastAsia" w:ascii="宋体" w:hAnsi="宋体" w:eastAsia="宋体" w:cs="宋体"/>
              </w:rPr>
            </w:pPr>
          </w:p>
        </w:tc>
        <w:tc>
          <w:tcPr>
            <w:tcW w:w="1569" w:type="dxa"/>
            <w:noWrap w:val="0"/>
            <w:vAlign w:val="top"/>
          </w:tcPr>
          <w:p>
            <w:pPr>
              <w:pStyle w:val="7"/>
              <w:rPr>
                <w:rFonts w:hint="eastAsia" w:ascii="宋体" w:hAnsi="宋体" w:eastAsia="宋体" w:cs="宋体"/>
              </w:rPr>
            </w:pPr>
          </w:p>
        </w:tc>
      </w:tr>
    </w:tbl>
    <w:p>
      <w:pPr>
        <w:jc w:val="right"/>
        <w:rPr>
          <w:rFonts w:hint="eastAsia" w:ascii="宋体" w:hAnsi="宋体" w:eastAsia="宋体" w:cs="宋体"/>
        </w:rPr>
      </w:pPr>
    </w:p>
    <w:p>
      <w:pPr>
        <w:jc w:val="right"/>
        <w:rPr>
          <w:rFonts w:hint="eastAsia" w:ascii="宋体" w:hAnsi="宋体" w:eastAsia="宋体" w:cs="宋体"/>
        </w:rPr>
      </w:pPr>
    </w:p>
    <w:p>
      <w:pPr>
        <w:jc w:val="right"/>
        <w:rPr>
          <w:rFonts w:hint="eastAsia" w:ascii="宋体" w:hAnsi="宋体" w:eastAsia="宋体" w:cs="宋体"/>
        </w:rPr>
      </w:pPr>
    </w:p>
    <w:p>
      <w:pPr>
        <w:jc w:val="right"/>
        <w:rPr>
          <w:rFonts w:hint="eastAsia" w:ascii="宋体" w:hAnsi="宋体" w:eastAsia="宋体" w:cs="宋体"/>
        </w:rPr>
      </w:pPr>
    </w:p>
    <w:p>
      <w:pPr>
        <w:jc w:val="both"/>
        <w:rPr>
          <w:rFonts w:hint="eastAsia" w:ascii="宋体" w:hAnsi="宋体" w:eastAsia="宋体" w:cs="宋体"/>
        </w:rPr>
      </w:pPr>
    </w:p>
    <w:p>
      <w:pPr>
        <w:jc w:val="right"/>
        <w:rPr>
          <w:rFonts w:hint="eastAsia" w:ascii="宋体" w:hAnsi="宋体" w:eastAsia="宋体" w:cs="宋体"/>
          <w:lang w:eastAsia="zh-CN"/>
        </w:rPr>
      </w:pPr>
    </w:p>
    <w:p>
      <w:pPr>
        <w:jc w:val="right"/>
        <w:rPr>
          <w:rFonts w:hint="eastAsia" w:ascii="宋体" w:hAnsi="宋体" w:eastAsia="宋体" w:cs="宋体"/>
        </w:rPr>
      </w:pPr>
      <w:r>
        <w:rPr>
          <w:rFonts w:hint="eastAsia" w:ascii="宋体" w:hAnsi="宋体" w:eastAsia="宋体" w:cs="宋体"/>
        </w:rPr>
        <w:t xml:space="preserve">法定代表人或其委托代理人（签字或盖章）: </w:t>
      </w:r>
    </w:p>
    <w:p>
      <w:pPr>
        <w:jc w:val="right"/>
        <w:rPr>
          <w:rFonts w:hint="eastAsia" w:hAnsi="宋体" w:eastAsia="宋体" w:cs="宋体"/>
          <w:lang w:val="en-US" w:eastAsia="zh-CN"/>
        </w:rPr>
      </w:pPr>
      <w:r>
        <w:rPr>
          <w:rFonts w:hint="eastAsia" w:hAnsi="宋体" w:eastAsia="宋体" w:cs="宋体"/>
          <w:lang w:val="en-US" w:eastAsia="zh-CN"/>
        </w:rPr>
        <w:t xml:space="preserve">  </w:t>
      </w:r>
    </w:p>
    <w:p>
      <w:pPr>
        <w:jc w:val="right"/>
        <w:rPr>
          <w:rFonts w:hint="eastAsia" w:ascii="宋体" w:hAnsi="宋体" w:eastAsia="宋体" w:cs="宋体"/>
        </w:rPr>
      </w:pPr>
      <w:r>
        <w:rPr>
          <w:rFonts w:hint="eastAsia" w:ascii="宋体" w:hAnsi="宋体" w:eastAsia="宋体" w:cs="宋体"/>
        </w:rPr>
        <w:t>供应商 （盖章）：</w:t>
      </w:r>
    </w:p>
    <w:p>
      <w:pPr>
        <w:pStyle w:val="7"/>
        <w:ind w:firstLine="936" w:firstLineChars="390"/>
        <w:jc w:val="both"/>
        <w:rPr>
          <w:rFonts w:hint="eastAsia" w:ascii="宋体" w:hAnsi="宋体" w:eastAsia="宋体" w:cs="宋体"/>
        </w:rPr>
      </w:pPr>
    </w:p>
    <w:p>
      <w:pPr>
        <w:pStyle w:val="7"/>
        <w:ind w:firstLine="936" w:firstLineChars="390"/>
        <w:jc w:val="both"/>
        <w:rPr>
          <w:rFonts w:hint="eastAsia" w:ascii="宋体" w:hAnsi="宋体" w:eastAsia="宋体" w:cs="宋体"/>
        </w:rPr>
      </w:pPr>
    </w:p>
    <w:p>
      <w:pPr>
        <w:pStyle w:val="7"/>
        <w:ind w:firstLine="936" w:firstLineChars="390"/>
        <w:jc w:val="both"/>
        <w:rPr>
          <w:rFonts w:hint="eastAsia" w:ascii="宋体" w:hAnsi="宋体" w:eastAsia="宋体" w:cs="宋体"/>
        </w:rPr>
      </w:pPr>
    </w:p>
    <w:p>
      <w:pPr>
        <w:pStyle w:val="7"/>
        <w:ind w:firstLine="936" w:firstLineChars="390"/>
        <w:jc w:val="both"/>
        <w:rPr>
          <w:rFonts w:hint="eastAsia" w:ascii="宋体" w:hAnsi="宋体" w:eastAsia="宋体" w:cs="宋体"/>
        </w:rPr>
      </w:pPr>
    </w:p>
    <w:p>
      <w:pPr>
        <w:pStyle w:val="7"/>
        <w:ind w:firstLine="936" w:firstLineChars="390"/>
        <w:jc w:val="both"/>
        <w:rPr>
          <w:rFonts w:hint="eastAsia" w:ascii="宋体" w:hAnsi="宋体" w:eastAsia="宋体" w:cs="宋体"/>
        </w:rPr>
      </w:pPr>
      <w:r>
        <w:rPr>
          <w:rFonts w:hint="eastAsia" w:ascii="宋体" w:hAnsi="宋体" w:eastAsia="宋体" w:cs="宋体"/>
        </w:rPr>
        <w:t>注：投标人应对其所报方案的技术指标响应情况进行说明，若有偏差须在投标文件技术标书《</w:t>
      </w:r>
      <w:r>
        <w:rPr>
          <w:rFonts w:hint="eastAsia" w:hAnsi="宋体" w:eastAsia="宋体" w:cs="宋体"/>
          <w:lang w:val="en-US" w:eastAsia="zh-CN"/>
        </w:rPr>
        <w:t>技术</w:t>
      </w:r>
      <w:r>
        <w:rPr>
          <w:rFonts w:hint="eastAsia" w:ascii="宋体" w:hAnsi="宋体" w:eastAsia="宋体" w:cs="宋体"/>
        </w:rPr>
        <w:t>条款偏离表》中予以说明；若没有，应注明“无偏离”字样。若没有填写《</w:t>
      </w:r>
      <w:r>
        <w:rPr>
          <w:rFonts w:hint="eastAsia" w:hAnsi="宋体" w:eastAsia="宋体" w:cs="宋体"/>
          <w:lang w:val="en-US" w:eastAsia="zh-CN"/>
        </w:rPr>
        <w:t>技术</w:t>
      </w:r>
      <w:r>
        <w:rPr>
          <w:rFonts w:hint="eastAsia" w:ascii="宋体" w:hAnsi="宋体" w:eastAsia="宋体" w:cs="宋体"/>
        </w:rPr>
        <w:t>条款偏离表》，即视为投标人声明其所报方案的技术指 标完全符合招标文件技术规范的要求；</w:t>
      </w:r>
    </w:p>
    <w:p>
      <w:pPr>
        <w:pStyle w:val="7"/>
        <w:rPr>
          <w:rFonts w:hint="eastAsia" w:ascii="宋体" w:hAnsi="宋体" w:eastAsia="宋体" w:cs="宋体"/>
        </w:rPr>
      </w:pPr>
    </w:p>
    <w:p>
      <w:pPr>
        <w:spacing w:before="52"/>
        <w:ind w:right="1246"/>
        <w:jc w:val="center"/>
        <w:outlineLvl w:val="1"/>
        <w:rPr>
          <w:rFonts w:hint="eastAsia" w:ascii="宋体" w:hAnsi="宋体" w:eastAsia="宋体" w:cs="宋体"/>
          <w:b/>
          <w:sz w:val="24"/>
          <w:szCs w:val="28"/>
        </w:rPr>
      </w:pPr>
      <w:bookmarkStart w:id="235" w:name="4   技术条款偏离表（投标文件格式六）"/>
      <w:bookmarkEnd w:id="235"/>
      <w:bookmarkStart w:id="236" w:name="4   商务条款偏离表（投标文件格式六）"/>
      <w:bookmarkEnd w:id="236"/>
      <w:bookmarkStart w:id="237" w:name="4   商务条款偏离表（投标文件格式六）"/>
      <w:bookmarkEnd w:id="237"/>
      <w:bookmarkStart w:id="238" w:name="_Toc3114"/>
      <w:r>
        <w:rPr>
          <w:rFonts w:hint="eastAsia" w:ascii="宋体" w:hAnsi="宋体" w:eastAsia="宋体" w:cs="宋体"/>
          <w:b/>
          <w:sz w:val="24"/>
          <w:szCs w:val="28"/>
          <w:lang w:val="en-US" w:eastAsia="zh-CN"/>
        </w:rPr>
        <w:t>6.</w:t>
      </w:r>
      <w:r>
        <w:rPr>
          <w:rFonts w:hint="eastAsia" w:ascii="宋体" w:hAnsi="宋体" w:eastAsia="宋体" w:cs="宋体"/>
          <w:b/>
          <w:sz w:val="24"/>
          <w:szCs w:val="28"/>
        </w:rPr>
        <w:t>项目配备人员情况一览表</w:t>
      </w:r>
      <w:bookmarkEnd w:id="238"/>
    </w:p>
    <w:p>
      <w:pPr>
        <w:pStyle w:val="3"/>
        <w:rPr>
          <w:rFonts w:hint="eastAsia" w:ascii="宋体" w:hAnsi="宋体" w:eastAsia="宋体" w:cs="宋体"/>
          <w:b/>
          <w:sz w:val="20"/>
        </w:rPr>
      </w:pPr>
    </w:p>
    <w:p>
      <w:pPr>
        <w:pStyle w:val="3"/>
        <w:tabs>
          <w:tab w:val="left" w:pos="3975"/>
        </w:tabs>
        <w:spacing w:before="165" w:after="2"/>
        <w:ind w:left="255"/>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rPr>
        <w:tab/>
      </w:r>
      <w:r>
        <w:rPr>
          <w:rFonts w:hint="eastAsia" w:ascii="宋体" w:hAnsi="宋体" w:eastAsia="宋体" w:cs="宋体"/>
        </w:rPr>
        <w:t>项目编号:</w:t>
      </w:r>
    </w:p>
    <w:tbl>
      <w:tblPr>
        <w:tblStyle w:val="20"/>
        <w:tblW w:w="969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1"/>
        <w:gridCol w:w="3031"/>
        <w:gridCol w:w="2099"/>
        <w:gridCol w:w="1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vMerge w:val="restart"/>
          </w:tcPr>
          <w:p>
            <w:pPr>
              <w:pStyle w:val="29"/>
              <w:spacing w:before="6"/>
              <w:rPr>
                <w:rFonts w:hint="eastAsia" w:ascii="宋体" w:hAnsi="宋体" w:eastAsia="宋体" w:cs="宋体"/>
                <w:color w:val="auto"/>
                <w:sz w:val="28"/>
              </w:rPr>
            </w:pPr>
          </w:p>
          <w:p>
            <w:pPr>
              <w:pStyle w:val="29"/>
              <w:spacing w:before="1"/>
              <w:ind w:left="563" w:right="558"/>
              <w:jc w:val="center"/>
              <w:rPr>
                <w:rFonts w:hint="eastAsia" w:ascii="宋体" w:hAnsi="宋体" w:eastAsia="宋体" w:cs="宋体"/>
                <w:color w:val="auto"/>
                <w:sz w:val="21"/>
              </w:rPr>
            </w:pPr>
            <w:r>
              <w:rPr>
                <w:rFonts w:hint="eastAsia" w:ascii="宋体" w:hAnsi="宋体" w:eastAsia="宋体" w:cs="宋体"/>
                <w:color w:val="auto"/>
                <w:sz w:val="21"/>
              </w:rPr>
              <w:t>职务</w:t>
            </w:r>
          </w:p>
        </w:tc>
        <w:tc>
          <w:tcPr>
            <w:tcW w:w="3031" w:type="dxa"/>
            <w:vMerge w:val="restart"/>
          </w:tcPr>
          <w:p>
            <w:pPr>
              <w:pStyle w:val="29"/>
              <w:spacing w:before="6"/>
              <w:rPr>
                <w:rFonts w:hint="eastAsia" w:ascii="宋体" w:hAnsi="宋体" w:eastAsia="宋体" w:cs="宋体"/>
                <w:color w:val="auto"/>
                <w:sz w:val="28"/>
              </w:rPr>
            </w:pPr>
          </w:p>
          <w:p>
            <w:pPr>
              <w:pStyle w:val="29"/>
              <w:spacing w:before="1"/>
              <w:ind w:left="212"/>
              <w:rPr>
                <w:rFonts w:hint="eastAsia" w:ascii="宋体" w:hAnsi="宋体" w:eastAsia="宋体" w:cs="宋体"/>
                <w:color w:val="auto"/>
                <w:sz w:val="21"/>
              </w:rPr>
            </w:pPr>
            <w:r>
              <w:rPr>
                <w:rFonts w:hint="eastAsia" w:ascii="宋体" w:hAnsi="宋体" w:eastAsia="宋体" w:cs="宋体"/>
                <w:color w:val="auto"/>
                <w:sz w:val="21"/>
              </w:rPr>
              <w:t>姓名</w:t>
            </w:r>
          </w:p>
        </w:tc>
        <w:tc>
          <w:tcPr>
            <w:tcW w:w="2099" w:type="dxa"/>
            <w:vMerge w:val="restart"/>
          </w:tcPr>
          <w:p>
            <w:pPr>
              <w:pStyle w:val="29"/>
              <w:spacing w:before="6"/>
              <w:rPr>
                <w:rFonts w:hint="eastAsia" w:ascii="宋体" w:hAnsi="宋体" w:eastAsia="宋体" w:cs="宋体"/>
                <w:color w:val="auto"/>
                <w:sz w:val="28"/>
              </w:rPr>
            </w:pPr>
          </w:p>
          <w:p>
            <w:pPr>
              <w:pStyle w:val="29"/>
              <w:spacing w:before="1"/>
              <w:ind w:left="222"/>
              <w:rPr>
                <w:rFonts w:hint="eastAsia" w:ascii="宋体" w:hAnsi="宋体" w:eastAsia="宋体" w:cs="宋体"/>
                <w:color w:val="auto"/>
                <w:sz w:val="21"/>
              </w:rPr>
            </w:pPr>
            <w:r>
              <w:rPr>
                <w:rFonts w:hint="eastAsia" w:ascii="宋体" w:hAnsi="宋体" w:eastAsia="宋体" w:cs="宋体"/>
                <w:color w:val="auto"/>
                <w:sz w:val="21"/>
              </w:rPr>
              <w:t>职称</w:t>
            </w:r>
          </w:p>
        </w:tc>
        <w:tc>
          <w:tcPr>
            <w:tcW w:w="1677" w:type="dxa"/>
          </w:tcPr>
          <w:p>
            <w:pPr>
              <w:pStyle w:val="29"/>
              <w:spacing w:before="140"/>
              <w:ind w:left="134"/>
              <w:rPr>
                <w:rFonts w:hint="eastAsia" w:ascii="宋体" w:hAnsi="宋体" w:eastAsia="宋体" w:cs="宋体"/>
                <w:color w:val="auto"/>
                <w:sz w:val="21"/>
              </w:rPr>
            </w:pPr>
            <w:r>
              <w:rPr>
                <w:rFonts w:hint="eastAsia" w:ascii="宋体" w:hAnsi="宋体" w:eastAsia="宋体" w:cs="宋体"/>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891" w:type="dxa"/>
            <w:vMerge w:val="continue"/>
            <w:tcBorders>
              <w:top w:val="nil"/>
            </w:tcBorders>
          </w:tcPr>
          <w:p>
            <w:pPr>
              <w:rPr>
                <w:rFonts w:hint="eastAsia" w:ascii="宋体" w:hAnsi="宋体" w:eastAsia="宋体" w:cs="宋体"/>
                <w:color w:val="auto"/>
                <w:sz w:val="2"/>
                <w:szCs w:val="2"/>
              </w:rPr>
            </w:pPr>
          </w:p>
        </w:tc>
        <w:tc>
          <w:tcPr>
            <w:tcW w:w="3031" w:type="dxa"/>
            <w:vMerge w:val="continue"/>
            <w:tcBorders>
              <w:top w:val="nil"/>
            </w:tcBorders>
          </w:tcPr>
          <w:p>
            <w:pPr>
              <w:rPr>
                <w:rFonts w:hint="eastAsia" w:ascii="宋体" w:hAnsi="宋体" w:eastAsia="宋体" w:cs="宋体"/>
                <w:color w:val="auto"/>
                <w:sz w:val="2"/>
                <w:szCs w:val="2"/>
              </w:rPr>
            </w:pPr>
          </w:p>
        </w:tc>
        <w:tc>
          <w:tcPr>
            <w:tcW w:w="2099" w:type="dxa"/>
            <w:vMerge w:val="continue"/>
            <w:tcBorders>
              <w:top w:val="nil"/>
            </w:tcBorders>
          </w:tcPr>
          <w:p>
            <w:pPr>
              <w:rPr>
                <w:rFonts w:hint="eastAsia" w:ascii="宋体" w:hAnsi="宋体" w:eastAsia="宋体" w:cs="宋体"/>
                <w:color w:val="auto"/>
                <w:sz w:val="2"/>
                <w:szCs w:val="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2891" w:type="dxa"/>
          </w:tcPr>
          <w:p>
            <w:pPr>
              <w:pStyle w:val="29"/>
              <w:rPr>
                <w:rFonts w:hint="eastAsia" w:ascii="宋体" w:hAnsi="宋体" w:eastAsia="宋体" w:cs="宋体"/>
                <w:color w:val="auto"/>
                <w:sz w:val="22"/>
              </w:rPr>
            </w:pPr>
          </w:p>
          <w:p>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环卫人员</w:t>
            </w: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tcPr>
          <w:p>
            <w:pPr>
              <w:pStyle w:val="29"/>
              <w:jc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w:t>
            </w: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tcPr>
          <w:p>
            <w:pPr>
              <w:pStyle w:val="29"/>
              <w:rPr>
                <w:rFonts w:hint="eastAsia" w:ascii="宋体" w:hAnsi="宋体" w:eastAsia="宋体" w:cs="宋体"/>
                <w:color w:val="auto"/>
                <w:sz w:val="22"/>
              </w:rPr>
            </w:pP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tcPr>
          <w:p>
            <w:pPr>
              <w:pStyle w:val="29"/>
              <w:rPr>
                <w:rFonts w:hint="eastAsia" w:ascii="宋体" w:hAnsi="宋体" w:eastAsia="宋体" w:cs="宋体"/>
                <w:color w:val="auto"/>
                <w:sz w:val="22"/>
              </w:rPr>
            </w:pP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2891" w:type="dxa"/>
          </w:tcPr>
          <w:p>
            <w:pPr>
              <w:pStyle w:val="29"/>
              <w:rPr>
                <w:rFonts w:hint="eastAsia" w:ascii="宋体" w:hAnsi="宋体" w:eastAsia="宋体" w:cs="宋体"/>
                <w:color w:val="auto"/>
                <w:sz w:val="22"/>
              </w:rPr>
            </w:pPr>
          </w:p>
          <w:p>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绿化养护人员</w:t>
            </w: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tcPr>
          <w:p>
            <w:pPr>
              <w:pStyle w:val="29"/>
              <w:jc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w:t>
            </w: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tcPr>
          <w:p>
            <w:pPr>
              <w:pStyle w:val="29"/>
              <w:rPr>
                <w:rFonts w:hint="eastAsia" w:ascii="宋体" w:hAnsi="宋体" w:eastAsia="宋体" w:cs="宋体"/>
                <w:color w:val="auto"/>
                <w:sz w:val="22"/>
              </w:rPr>
            </w:pP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2891" w:type="dxa"/>
          </w:tcPr>
          <w:p>
            <w:pPr>
              <w:pStyle w:val="29"/>
              <w:jc w:val="center"/>
              <w:rPr>
                <w:rFonts w:hint="eastAsia" w:ascii="宋体" w:hAnsi="宋体" w:eastAsia="宋体" w:cs="宋体"/>
                <w:color w:val="auto"/>
                <w:sz w:val="22"/>
                <w:szCs w:val="22"/>
                <w:lang w:val="en-US" w:eastAsia="zh-CN" w:bidi="zh-CN"/>
              </w:rPr>
            </w:pPr>
          </w:p>
          <w:p>
            <w:pPr>
              <w:pStyle w:val="29"/>
              <w:jc w:val="center"/>
              <w:rPr>
                <w:rFonts w:hint="eastAsia" w:ascii="宋体" w:hAnsi="宋体" w:eastAsia="宋体" w:cs="宋体"/>
                <w:color w:val="auto"/>
                <w:sz w:val="22"/>
                <w:lang w:val="en-US" w:eastAsia="zh-CN"/>
              </w:rPr>
            </w:pPr>
            <w:r>
              <w:rPr>
                <w:rFonts w:hint="eastAsia" w:ascii="宋体" w:hAnsi="宋体" w:eastAsia="宋体" w:cs="宋体"/>
                <w:color w:val="auto"/>
                <w:sz w:val="22"/>
                <w:szCs w:val="22"/>
                <w:lang w:val="en-US" w:eastAsia="zh-CN" w:bidi="zh-CN"/>
              </w:rPr>
              <w:t>物业人员</w:t>
            </w: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tcPr>
          <w:p>
            <w:pPr>
              <w:pStyle w:val="29"/>
              <w:jc w:val="center"/>
              <w:rPr>
                <w:rFonts w:hint="eastAsia" w:ascii="宋体" w:hAnsi="宋体" w:eastAsia="宋体" w:cs="宋体"/>
                <w:color w:val="auto"/>
                <w:sz w:val="22"/>
              </w:rPr>
            </w:pPr>
            <w:r>
              <w:rPr>
                <w:rFonts w:hint="eastAsia" w:ascii="宋体" w:hAnsi="宋体" w:eastAsia="宋体" w:cs="宋体"/>
                <w:color w:val="auto"/>
                <w:sz w:val="22"/>
                <w:lang w:val="en-US" w:eastAsia="zh-CN"/>
              </w:rPr>
              <w:t>...</w:t>
            </w: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2891" w:type="dxa"/>
          </w:tcPr>
          <w:p>
            <w:pPr>
              <w:pStyle w:val="29"/>
              <w:rPr>
                <w:rFonts w:hint="eastAsia" w:ascii="宋体" w:hAnsi="宋体" w:eastAsia="宋体" w:cs="宋体"/>
                <w:color w:val="auto"/>
                <w:sz w:val="22"/>
              </w:rPr>
            </w:pP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1" w:hRule="atLeast"/>
        </w:trPr>
        <w:tc>
          <w:tcPr>
            <w:tcW w:w="2891" w:type="dxa"/>
          </w:tcPr>
          <w:p>
            <w:pPr>
              <w:pStyle w:val="29"/>
              <w:rPr>
                <w:rFonts w:hint="eastAsia" w:ascii="宋体" w:hAnsi="宋体" w:eastAsia="宋体" w:cs="宋体"/>
                <w:color w:val="auto"/>
                <w:sz w:val="22"/>
              </w:rPr>
            </w:pPr>
          </w:p>
        </w:tc>
        <w:tc>
          <w:tcPr>
            <w:tcW w:w="3031" w:type="dxa"/>
          </w:tcPr>
          <w:p>
            <w:pPr>
              <w:pStyle w:val="29"/>
              <w:rPr>
                <w:rFonts w:hint="eastAsia" w:ascii="宋体" w:hAnsi="宋体" w:eastAsia="宋体" w:cs="宋体"/>
                <w:color w:val="auto"/>
                <w:sz w:val="22"/>
              </w:rPr>
            </w:pPr>
          </w:p>
        </w:tc>
        <w:tc>
          <w:tcPr>
            <w:tcW w:w="2099" w:type="dxa"/>
          </w:tcPr>
          <w:p>
            <w:pPr>
              <w:pStyle w:val="29"/>
              <w:rPr>
                <w:rFonts w:hint="eastAsia" w:ascii="宋体" w:hAnsi="宋体" w:eastAsia="宋体" w:cs="宋体"/>
                <w:color w:val="auto"/>
                <w:sz w:val="22"/>
              </w:rPr>
            </w:pPr>
          </w:p>
        </w:tc>
        <w:tc>
          <w:tcPr>
            <w:tcW w:w="1677" w:type="dxa"/>
          </w:tcPr>
          <w:p>
            <w:pPr>
              <w:pStyle w:val="29"/>
              <w:rPr>
                <w:rFonts w:hint="eastAsia" w:ascii="宋体" w:hAnsi="宋体" w:eastAsia="宋体" w:cs="宋体"/>
                <w:color w:val="auto"/>
                <w:sz w:val="22"/>
              </w:rPr>
            </w:pPr>
          </w:p>
        </w:tc>
      </w:tr>
    </w:tbl>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ind w:firstLine="480" w:firstLineChars="200"/>
        <w:rPr>
          <w:rFonts w:hint="eastAsia" w:ascii="宋体" w:hAnsi="宋体" w:eastAsia="宋体" w:cs="宋体"/>
          <w:highlight w:val="yellow"/>
          <w:lang w:val="en-US" w:eastAsia="zh-CN"/>
        </w:rPr>
      </w:pPr>
    </w:p>
    <w:p>
      <w:pPr>
        <w:pStyle w:val="3"/>
        <w:rPr>
          <w:rFonts w:hint="eastAsia" w:ascii="宋体" w:hAnsi="宋体" w:eastAsia="宋体" w:cs="宋体"/>
          <w:lang w:val="en-US" w:eastAsia="zh-CN"/>
        </w:rPr>
      </w:pPr>
    </w:p>
    <w:p>
      <w:pPr>
        <w:pStyle w:val="3"/>
        <w:rPr>
          <w:rFonts w:hint="eastAsia" w:ascii="宋体" w:hAnsi="宋体" w:eastAsia="宋体" w:cs="宋体"/>
        </w:rPr>
      </w:pPr>
    </w:p>
    <w:p>
      <w:pPr>
        <w:pStyle w:val="3"/>
        <w:rPr>
          <w:rFonts w:hint="eastAsia" w:ascii="宋体" w:hAnsi="宋体" w:eastAsia="宋体" w:cs="宋体"/>
        </w:rPr>
      </w:pPr>
    </w:p>
    <w:p>
      <w:pPr>
        <w:pStyle w:val="3"/>
        <w:spacing w:before="2"/>
        <w:rPr>
          <w:rFonts w:hint="eastAsia" w:ascii="宋体" w:hAnsi="宋体" w:eastAsia="宋体" w:cs="宋体"/>
          <w:sz w:val="26"/>
        </w:rPr>
      </w:pPr>
    </w:p>
    <w:p>
      <w:pPr>
        <w:pStyle w:val="3"/>
        <w:tabs>
          <w:tab w:val="left" w:pos="5686"/>
          <w:tab w:val="left" w:pos="6555"/>
        </w:tabs>
        <w:spacing w:line="242" w:lineRule="auto"/>
        <w:ind w:left="796" w:right="3808"/>
        <w:jc w:val="left"/>
        <w:rPr>
          <w:rFonts w:hint="eastAsia" w:ascii="宋体" w:hAnsi="宋体" w:eastAsia="宋体" w:cs="宋体"/>
        </w:rPr>
      </w:pPr>
      <w:r>
        <w:rPr>
          <w:rFonts w:hint="eastAsia" w:ascii="宋体" w:hAnsi="宋体" w:eastAsia="宋体" w:cs="宋体"/>
        </w:rPr>
        <w:t>法定代表人或其委托代理人签字: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投标人(盖单位章):</w:t>
      </w:r>
      <w:r>
        <w:rPr>
          <w:rFonts w:hint="eastAsia" w:ascii="宋体" w:hAnsi="宋体" w:eastAsia="宋体" w:cs="宋体"/>
          <w:u w:val="single"/>
        </w:rPr>
        <w:t xml:space="preserve"> </w:t>
      </w:r>
      <w:r>
        <w:rPr>
          <w:rFonts w:hint="eastAsia" w:ascii="宋体" w:hAnsi="宋体" w:eastAsia="宋体" w:cs="宋体"/>
          <w:u w:val="single"/>
        </w:rPr>
        <w:tab/>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6"/>
        <w:rPr>
          <w:rFonts w:hint="eastAsia" w:ascii="宋体" w:hAnsi="宋体" w:eastAsia="宋体" w:cs="宋体"/>
          <w:sz w:val="22"/>
        </w:rPr>
      </w:pPr>
    </w:p>
    <w:p>
      <w:pPr>
        <w:tabs>
          <w:tab w:val="left" w:pos="3788"/>
        </w:tabs>
        <w:spacing w:before="53"/>
        <w:ind w:left="3306" w:right="0" w:firstLine="0"/>
        <w:jc w:val="left"/>
        <w:rPr>
          <w:b/>
          <w:sz w:val="24"/>
        </w:rPr>
      </w:pPr>
    </w:p>
    <w:p>
      <w:pPr>
        <w:tabs>
          <w:tab w:val="left" w:pos="3788"/>
        </w:tabs>
        <w:spacing w:before="53"/>
        <w:ind w:left="3306" w:right="0" w:firstLine="0"/>
        <w:jc w:val="left"/>
        <w:rPr>
          <w:b/>
          <w:sz w:val="24"/>
        </w:rPr>
      </w:pPr>
    </w:p>
    <w:p>
      <w:pPr>
        <w:tabs>
          <w:tab w:val="left" w:pos="3788"/>
        </w:tabs>
        <w:spacing w:before="53"/>
        <w:ind w:left="3306" w:right="0" w:firstLine="0"/>
        <w:jc w:val="left"/>
        <w:rPr>
          <w:b/>
          <w:sz w:val="24"/>
        </w:rPr>
      </w:pPr>
    </w:p>
    <w:p>
      <w:pPr>
        <w:tabs>
          <w:tab w:val="left" w:pos="3788"/>
        </w:tabs>
        <w:spacing w:before="53"/>
        <w:ind w:left="3306" w:right="0" w:firstLine="0"/>
        <w:jc w:val="left"/>
        <w:rPr>
          <w:b/>
          <w:sz w:val="24"/>
        </w:rPr>
      </w:pPr>
    </w:p>
    <w:p>
      <w:pPr>
        <w:tabs>
          <w:tab w:val="left" w:pos="3788"/>
        </w:tabs>
        <w:spacing w:before="53"/>
        <w:ind w:left="3306" w:right="0" w:firstLine="0"/>
        <w:jc w:val="left"/>
        <w:rPr>
          <w:b/>
          <w:sz w:val="24"/>
        </w:rPr>
      </w:pPr>
    </w:p>
    <w:p>
      <w:pPr>
        <w:spacing w:before="52"/>
        <w:ind w:right="1246"/>
        <w:jc w:val="center"/>
        <w:outlineLvl w:val="1"/>
        <w:rPr>
          <w:rFonts w:hint="eastAsia" w:ascii="宋体" w:hAnsi="宋体" w:eastAsia="宋体" w:cs="宋体"/>
          <w:b/>
          <w:sz w:val="24"/>
          <w:szCs w:val="28"/>
          <w:lang w:val="en-US" w:eastAsia="zh-CN"/>
        </w:rPr>
      </w:pPr>
      <w:bookmarkStart w:id="239" w:name="5-1  投标人企业（单位）类型声明函（投标文件格式七）"/>
      <w:bookmarkEnd w:id="239"/>
      <w:bookmarkStart w:id="240" w:name="_Toc10604"/>
      <w:r>
        <w:rPr>
          <w:rFonts w:hint="eastAsia" w:ascii="宋体" w:hAnsi="宋体" w:eastAsia="宋体" w:cs="宋体"/>
          <w:b/>
          <w:sz w:val="24"/>
          <w:szCs w:val="28"/>
          <w:lang w:val="en-US" w:eastAsia="zh-CN"/>
        </w:rPr>
        <w:t xml:space="preserve">     </w:t>
      </w:r>
    </w:p>
    <w:p>
      <w:pPr>
        <w:rPr>
          <w:rFonts w:hint="eastAsia" w:ascii="宋体" w:hAnsi="宋体" w:eastAsia="宋体" w:cs="宋体"/>
          <w:b/>
          <w:sz w:val="24"/>
          <w:szCs w:val="28"/>
          <w:lang w:val="en-US" w:eastAsia="zh-CN"/>
        </w:rPr>
      </w:pPr>
      <w:r>
        <w:rPr>
          <w:rFonts w:hint="eastAsia" w:ascii="宋体" w:hAnsi="宋体" w:eastAsia="宋体" w:cs="宋体"/>
          <w:b/>
          <w:sz w:val="24"/>
          <w:szCs w:val="28"/>
          <w:lang w:val="en-US" w:eastAsia="zh-CN"/>
        </w:rPr>
        <w:br w:type="page"/>
      </w:r>
    </w:p>
    <w:p>
      <w:pPr>
        <w:spacing w:before="52"/>
        <w:ind w:right="1246"/>
        <w:jc w:val="center"/>
        <w:outlineLvl w:val="1"/>
        <w:rPr>
          <w:rFonts w:hint="eastAsia" w:ascii="宋体" w:hAnsi="宋体" w:eastAsia="宋体" w:cs="宋体"/>
          <w:b/>
          <w:sz w:val="24"/>
          <w:szCs w:val="28"/>
        </w:rPr>
      </w:pPr>
      <w:r>
        <w:rPr>
          <w:rFonts w:hint="eastAsia" w:ascii="宋体" w:hAnsi="宋体" w:eastAsia="宋体" w:cs="宋体"/>
          <w:b/>
          <w:sz w:val="24"/>
          <w:szCs w:val="28"/>
          <w:lang w:val="en-US" w:eastAsia="zh-CN"/>
        </w:rPr>
        <w:t>7.绿化养护、环卫设备（工具）</w:t>
      </w:r>
      <w:r>
        <w:rPr>
          <w:rFonts w:hint="eastAsia" w:ascii="宋体" w:hAnsi="宋体" w:eastAsia="宋体" w:cs="宋体"/>
          <w:b/>
          <w:sz w:val="24"/>
          <w:szCs w:val="28"/>
        </w:rPr>
        <w:t>情况一览表</w:t>
      </w:r>
      <w:bookmarkEnd w:id="240"/>
    </w:p>
    <w:p>
      <w:pPr>
        <w:pStyle w:val="3"/>
        <w:rPr>
          <w:rFonts w:hint="eastAsia" w:ascii="宋体" w:hAnsi="宋体" w:eastAsia="宋体" w:cs="宋体"/>
          <w:b/>
          <w:sz w:val="20"/>
        </w:rPr>
      </w:pPr>
    </w:p>
    <w:p>
      <w:pPr>
        <w:pStyle w:val="3"/>
        <w:tabs>
          <w:tab w:val="left" w:pos="3975"/>
        </w:tabs>
        <w:spacing w:before="165" w:after="2"/>
        <w:ind w:firstLine="240" w:firstLineChars="100"/>
        <w:jc w:val="center"/>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rPr>
        <w:tab/>
      </w:r>
      <w:r>
        <w:rPr>
          <w:rFonts w:hint="eastAsia" w:ascii="宋体" w:hAnsi="宋体" w:eastAsia="宋体" w:cs="宋体"/>
        </w:rPr>
        <w:t>项目编号:</w:t>
      </w:r>
    </w:p>
    <w:tbl>
      <w:tblPr>
        <w:tblStyle w:val="20"/>
        <w:tblW w:w="82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2101"/>
        <w:gridCol w:w="179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p>
            <w:pPr>
              <w:bidi w:val="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名称</w:t>
            </w:r>
          </w:p>
        </w:tc>
        <w:tc>
          <w:tcPr>
            <w:tcW w:w="1794"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数量</w:t>
            </w:r>
          </w:p>
        </w:tc>
        <w:tc>
          <w:tcPr>
            <w:tcW w:w="2941" w:type="dxa"/>
            <w:tcBorders>
              <w:left w:val="single" w:color="auto" w:sz="4" w:space="0"/>
            </w:tcBorders>
          </w:tcPr>
          <w:p>
            <w:pPr>
              <w:pStyle w:val="29"/>
              <w:rPr>
                <w:rFonts w:hint="eastAsia" w:ascii="宋体" w:hAnsi="宋体" w:eastAsia="宋体" w:cs="宋体"/>
                <w:sz w:val="24"/>
                <w:szCs w:val="24"/>
              </w:rPr>
            </w:pPr>
          </w:p>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375" w:type="dxa"/>
            <w:tcBorders>
              <w:top w:val="single" w:color="auto" w:sz="4" w:space="0"/>
            </w:tcBorders>
            <w:vAlign w:val="center"/>
          </w:tcPr>
          <w:p>
            <w:pPr>
              <w:pStyle w:val="2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01" w:type="dxa"/>
            <w:tcBorders>
              <w:top w:val="single" w:color="auto" w:sz="4" w:space="0"/>
            </w:tcBorders>
            <w:vAlign w:val="center"/>
          </w:tcPr>
          <w:p>
            <w:pPr>
              <w:pStyle w:val="29"/>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94" w:type="dxa"/>
            <w:tcBorders>
              <w:top w:val="single" w:color="auto" w:sz="4" w:space="0"/>
            </w:tcBorders>
            <w:vAlign w:val="center"/>
          </w:tcPr>
          <w:p>
            <w:pPr>
              <w:pStyle w:val="29"/>
              <w:jc w:val="center"/>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vAlign w:val="center"/>
          </w:tcPr>
          <w:p>
            <w:pPr>
              <w:pStyle w:val="2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1" w:type="dxa"/>
            <w:vAlign w:val="center"/>
          </w:tcPr>
          <w:p>
            <w:pPr>
              <w:pStyle w:val="29"/>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794" w:type="dxa"/>
            <w:vAlign w:val="center"/>
          </w:tcPr>
          <w:p>
            <w:pPr>
              <w:pStyle w:val="29"/>
              <w:jc w:val="center"/>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jc w:val="center"/>
        </w:trPr>
        <w:tc>
          <w:tcPr>
            <w:tcW w:w="1375" w:type="dxa"/>
            <w:vAlign w:val="center"/>
          </w:tcPr>
          <w:p>
            <w:pPr>
              <w:pStyle w:val="2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1" w:type="dxa"/>
            <w:vAlign w:val="center"/>
          </w:tcPr>
          <w:p>
            <w:pPr>
              <w:pStyle w:val="29"/>
              <w:jc w:val="center"/>
              <w:rPr>
                <w:rFonts w:hint="eastAsia" w:ascii="宋体" w:hAnsi="宋体" w:eastAsia="宋体" w:cs="宋体"/>
                <w:sz w:val="24"/>
                <w:szCs w:val="24"/>
                <w:highlight w:val="yellow"/>
                <w:lang w:val="en-US" w:eastAsia="zh-CN"/>
              </w:rPr>
            </w:pPr>
          </w:p>
        </w:tc>
        <w:tc>
          <w:tcPr>
            <w:tcW w:w="1794" w:type="dxa"/>
            <w:vAlign w:val="center"/>
          </w:tcPr>
          <w:p>
            <w:pPr>
              <w:pStyle w:val="29"/>
              <w:jc w:val="center"/>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atLeast"/>
          <w:jc w:val="center"/>
        </w:trPr>
        <w:tc>
          <w:tcPr>
            <w:tcW w:w="1375" w:type="dxa"/>
          </w:tcPr>
          <w:p>
            <w:pPr>
              <w:pStyle w:val="29"/>
              <w:rPr>
                <w:rFonts w:hint="eastAsia" w:ascii="宋体" w:hAnsi="宋体" w:eastAsia="宋体" w:cs="宋体"/>
                <w:sz w:val="24"/>
                <w:szCs w:val="24"/>
              </w:rPr>
            </w:pPr>
          </w:p>
        </w:tc>
        <w:tc>
          <w:tcPr>
            <w:tcW w:w="2101" w:type="dxa"/>
          </w:tcPr>
          <w:p>
            <w:pPr>
              <w:pStyle w:val="29"/>
              <w:rPr>
                <w:rFonts w:hint="eastAsia" w:ascii="宋体" w:hAnsi="宋体" w:eastAsia="宋体" w:cs="宋体"/>
                <w:sz w:val="24"/>
                <w:szCs w:val="24"/>
              </w:rPr>
            </w:pPr>
          </w:p>
        </w:tc>
        <w:tc>
          <w:tcPr>
            <w:tcW w:w="1794" w:type="dxa"/>
          </w:tcPr>
          <w:p>
            <w:pPr>
              <w:pStyle w:val="29"/>
              <w:rPr>
                <w:rFonts w:hint="eastAsia" w:ascii="宋体" w:hAnsi="宋体" w:eastAsia="宋体" w:cs="宋体"/>
                <w:sz w:val="24"/>
                <w:szCs w:val="24"/>
              </w:rPr>
            </w:pPr>
          </w:p>
        </w:tc>
        <w:tc>
          <w:tcPr>
            <w:tcW w:w="2941" w:type="dxa"/>
          </w:tcPr>
          <w:p>
            <w:pPr>
              <w:pStyle w:val="29"/>
              <w:rPr>
                <w:rFonts w:hint="eastAsia" w:ascii="宋体" w:hAnsi="宋体" w:eastAsia="宋体" w:cs="宋体"/>
                <w:sz w:val="24"/>
                <w:szCs w:val="24"/>
              </w:rPr>
            </w:pPr>
          </w:p>
        </w:tc>
      </w:tr>
    </w:tbl>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spacing w:before="2"/>
        <w:rPr>
          <w:rFonts w:hint="eastAsia" w:ascii="宋体" w:hAnsi="宋体" w:eastAsia="宋体" w:cs="宋体"/>
          <w:sz w:val="26"/>
        </w:rPr>
      </w:pPr>
    </w:p>
    <w:p>
      <w:pPr>
        <w:pStyle w:val="3"/>
        <w:tabs>
          <w:tab w:val="left" w:pos="5686"/>
          <w:tab w:val="left" w:pos="6555"/>
        </w:tabs>
        <w:spacing w:line="242" w:lineRule="auto"/>
        <w:ind w:left="796" w:right="3808"/>
        <w:rPr>
          <w:rFonts w:hint="eastAsia" w:ascii="宋体" w:hAnsi="宋体" w:eastAsia="宋体" w:cs="宋体"/>
        </w:rPr>
      </w:pPr>
      <w:r>
        <w:rPr>
          <w:rFonts w:hint="eastAsia" w:ascii="宋体" w:hAnsi="宋体" w:eastAsia="宋体" w:cs="宋体"/>
        </w:rPr>
        <w:t>法定代表人或其委托代理人签字: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投标人(盖单位章):</w:t>
      </w:r>
      <w:r>
        <w:rPr>
          <w:rFonts w:hint="eastAsia" w:ascii="宋体" w:hAnsi="宋体" w:eastAsia="宋体" w:cs="宋体"/>
          <w:u w:val="single"/>
        </w:rPr>
        <w:t xml:space="preserve"> </w:t>
      </w:r>
      <w:r>
        <w:rPr>
          <w:rFonts w:hint="eastAsia" w:ascii="宋体" w:hAnsi="宋体" w:eastAsia="宋体" w:cs="宋体"/>
          <w:u w:val="single"/>
        </w:rPr>
        <w:tab/>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6"/>
        <w:rPr>
          <w:rFonts w:hint="eastAsia" w:ascii="宋体" w:hAnsi="宋体" w:eastAsia="宋体" w:cs="宋体"/>
          <w:sz w:val="22"/>
        </w:rPr>
      </w:pPr>
    </w:p>
    <w:p>
      <w:pPr>
        <w:tabs>
          <w:tab w:val="left" w:pos="653"/>
        </w:tabs>
        <w:spacing w:before="53"/>
        <w:ind w:left="50" w:right="0" w:firstLine="0"/>
        <w:jc w:val="center"/>
        <w:rPr>
          <w:rFonts w:hint="eastAsia" w:ascii="宋体" w:hAnsi="宋体" w:eastAsia="宋体" w:cs="宋体"/>
          <w:b/>
          <w:sz w:val="24"/>
        </w:rPr>
      </w:pPr>
    </w:p>
    <w:p>
      <w:pPr>
        <w:tabs>
          <w:tab w:val="left" w:pos="653"/>
        </w:tabs>
        <w:spacing w:before="53"/>
        <w:ind w:left="50" w:right="0" w:firstLine="0"/>
        <w:jc w:val="center"/>
        <w:rPr>
          <w:b/>
          <w:sz w:val="24"/>
        </w:rPr>
      </w:pPr>
    </w:p>
    <w:p>
      <w:pPr>
        <w:tabs>
          <w:tab w:val="left" w:pos="653"/>
        </w:tabs>
        <w:spacing w:before="53"/>
        <w:ind w:left="50" w:right="0" w:firstLine="0"/>
        <w:jc w:val="center"/>
        <w:rPr>
          <w:b/>
          <w:sz w:val="24"/>
        </w:rPr>
      </w:pPr>
    </w:p>
    <w:p>
      <w:pPr>
        <w:tabs>
          <w:tab w:val="left" w:pos="653"/>
        </w:tabs>
        <w:spacing w:before="53"/>
        <w:ind w:left="50" w:right="0" w:firstLine="0"/>
        <w:jc w:val="center"/>
        <w:rPr>
          <w:b/>
          <w:sz w:val="24"/>
        </w:rPr>
      </w:pPr>
    </w:p>
    <w:p>
      <w:pPr>
        <w:pStyle w:val="9"/>
      </w:pPr>
    </w:p>
    <w:p>
      <w:pPr>
        <w:tabs>
          <w:tab w:val="left" w:pos="653"/>
        </w:tabs>
        <w:spacing w:before="53"/>
        <w:ind w:left="50" w:right="0" w:firstLine="0"/>
        <w:jc w:val="center"/>
        <w:rPr>
          <w:b/>
          <w:sz w:val="24"/>
        </w:rPr>
      </w:pPr>
    </w:p>
    <w:p>
      <w:pPr>
        <w:tabs>
          <w:tab w:val="left" w:pos="653"/>
        </w:tabs>
        <w:spacing w:before="53"/>
        <w:ind w:left="50" w:right="0" w:firstLine="0"/>
        <w:jc w:val="center"/>
        <w:rPr>
          <w:b/>
          <w:sz w:val="24"/>
        </w:rPr>
      </w:pPr>
    </w:p>
    <w:p>
      <w:pPr>
        <w:tabs>
          <w:tab w:val="left" w:pos="653"/>
        </w:tabs>
        <w:spacing w:before="53"/>
        <w:ind w:left="50" w:right="0" w:firstLine="0"/>
        <w:jc w:val="center"/>
        <w:outlineLvl w:val="9"/>
        <w:rPr>
          <w:b/>
          <w:sz w:val="24"/>
        </w:rPr>
      </w:pPr>
    </w:p>
    <w:p>
      <w:pPr>
        <w:rPr>
          <w:rFonts w:hint="eastAsia" w:ascii="宋体" w:hAnsi="宋体" w:eastAsia="宋体" w:cs="宋体"/>
          <w:b/>
          <w:sz w:val="24"/>
          <w:lang w:val="en-US" w:eastAsia="zh-CN"/>
        </w:rPr>
      </w:pPr>
      <w:bookmarkStart w:id="241" w:name="_Toc676"/>
      <w:r>
        <w:rPr>
          <w:rFonts w:hint="eastAsia" w:ascii="宋体" w:hAnsi="宋体" w:eastAsia="宋体" w:cs="宋体"/>
          <w:b/>
          <w:sz w:val="24"/>
          <w:lang w:val="en-US" w:eastAsia="zh-CN"/>
        </w:rPr>
        <w:br w:type="page"/>
      </w:r>
    </w:p>
    <w:p>
      <w:pPr>
        <w:tabs>
          <w:tab w:val="left" w:pos="653"/>
        </w:tabs>
        <w:spacing w:before="53"/>
        <w:ind w:left="50" w:right="0" w:firstLine="0"/>
        <w:jc w:val="center"/>
        <w:outlineLvl w:val="1"/>
        <w:rPr>
          <w:rFonts w:hint="eastAsia" w:ascii="宋体" w:hAnsi="宋体" w:eastAsia="宋体" w:cs="宋体"/>
          <w:b/>
          <w:sz w:val="24"/>
        </w:rPr>
      </w:pPr>
      <w:r>
        <w:rPr>
          <w:rFonts w:hint="eastAsia" w:ascii="宋体" w:hAnsi="宋体" w:eastAsia="宋体" w:cs="宋体"/>
          <w:b/>
          <w:sz w:val="24"/>
          <w:lang w:val="en-US" w:eastAsia="zh-CN"/>
        </w:rPr>
        <w:t xml:space="preserve">       8-1.</w:t>
      </w:r>
      <w:r>
        <w:rPr>
          <w:rFonts w:hint="eastAsia" w:ascii="宋体" w:hAnsi="宋体" w:eastAsia="宋体" w:cs="宋体"/>
          <w:b/>
          <w:bCs/>
          <w:color w:val="000000" w:themeColor="text1"/>
          <w:spacing w:val="-2"/>
          <w:sz w:val="24"/>
          <w:szCs w:val="22"/>
          <w:lang w:val="en-US" w:eastAsia="zh-CN" w:bidi="zh-CN"/>
          <w14:textFill>
            <w14:solidFill>
              <w14:schemeClr w14:val="tx1"/>
            </w14:solidFill>
          </w14:textFill>
        </w:rPr>
        <w:t>中小企业声明函</w:t>
      </w:r>
      <w:r>
        <w:rPr>
          <w:rFonts w:hint="eastAsia" w:ascii="宋体" w:hAnsi="宋体" w:eastAsia="宋体" w:cs="宋体"/>
          <w:b/>
          <w:sz w:val="24"/>
        </w:rPr>
        <w:t>（投标文件格式七）</w:t>
      </w:r>
      <w:bookmarkEnd w:id="241"/>
    </w:p>
    <w:p>
      <w:pPr>
        <w:pStyle w:val="3"/>
        <w:rPr>
          <w:rFonts w:hint="eastAsia" w:ascii="宋体" w:hAnsi="宋体" w:eastAsia="宋体" w:cs="宋体"/>
          <w:b/>
        </w:rPr>
      </w:pPr>
    </w:p>
    <w:p>
      <w:pPr>
        <w:pStyle w:val="3"/>
        <w:spacing w:before="12"/>
        <w:rPr>
          <w:rFonts w:hint="eastAsia" w:ascii="宋体" w:hAnsi="宋体" w:eastAsia="宋体" w:cs="宋体"/>
          <w:b/>
          <w:sz w:val="23"/>
        </w:rPr>
      </w:pPr>
    </w:p>
    <w:p>
      <w:pPr>
        <w:pStyle w:val="28"/>
        <w:numPr>
          <w:ilvl w:val="0"/>
          <w:numId w:val="0"/>
        </w:numPr>
        <w:tabs>
          <w:tab w:val="left" w:pos="980"/>
          <w:tab w:val="left" w:pos="981"/>
        </w:tabs>
        <w:spacing w:before="71" w:after="0" w:line="240" w:lineRule="auto"/>
        <w:ind w:left="254" w:leftChars="0" w:right="0" w:rightChars="0" w:firstLine="1104" w:firstLineChars="500"/>
        <w:jc w:val="center"/>
        <w:outlineLvl w:val="1"/>
        <w:rPr>
          <w:rFonts w:hint="eastAsia" w:ascii="宋体" w:hAnsi="宋体" w:eastAsia="宋体" w:cs="宋体"/>
          <w:b/>
        </w:rPr>
      </w:pPr>
      <w:bookmarkStart w:id="242" w:name="5-2   制造商企业（单位）类型声明函（投标文件格式八）（本项目不适用）"/>
      <w:bookmarkEnd w:id="242"/>
      <w:bookmarkStart w:id="243" w:name="5-2   制造商企业（单位）类型声明函（投标文件格式八）（本项目不适用）"/>
      <w:bookmarkEnd w:id="243"/>
      <w:bookmarkStart w:id="244" w:name="_Toc10166"/>
      <w:r>
        <w:rPr>
          <w:rFonts w:hint="eastAsia" w:ascii="宋体" w:hAnsi="宋体" w:eastAsia="宋体" w:cs="宋体"/>
          <w:b/>
          <w:bCs w:val="0"/>
        </w:rPr>
        <w:t>中小企业声明函(货物)</w:t>
      </w:r>
      <w:bookmarkEnd w:id="244"/>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r>
        <w:rPr>
          <w:rFonts w:hint="eastAsia" w:ascii="宋体" w:hAnsi="宋体" w:eastAsia="宋体" w:cs="宋体"/>
          <w:b w:val="0"/>
          <w:bCs/>
        </w:rPr>
        <w:t>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1.（标的名称），属于（采购文件中明确的所属行业）；制造商为（企业名称），从业人员  人，营业收入为</w:t>
      </w:r>
      <w:r>
        <w:rPr>
          <w:rFonts w:hint="eastAsia" w:ascii="宋体" w:hAnsi="宋体" w:eastAsia="宋体" w:cs="宋体"/>
          <w:b w:val="0"/>
          <w:bCs/>
          <w:u w:val="single"/>
        </w:rPr>
        <w:t>  </w:t>
      </w:r>
      <w:r>
        <w:rPr>
          <w:rFonts w:hint="eastAsia" w:ascii="宋体" w:hAnsi="宋体" w:eastAsia="宋体" w:cs="宋体"/>
          <w:b w:val="0"/>
          <w:bCs/>
        </w:rPr>
        <w:t>万元，资产总额为</w:t>
      </w:r>
      <w:r>
        <w:rPr>
          <w:rFonts w:hint="eastAsia" w:ascii="宋体" w:hAnsi="宋体" w:eastAsia="宋体" w:cs="宋体"/>
          <w:b w:val="0"/>
          <w:bCs/>
          <w:u w:val="single"/>
        </w:rPr>
        <w:t>  </w:t>
      </w:r>
      <w:r>
        <w:rPr>
          <w:rFonts w:hint="eastAsia" w:ascii="宋体" w:hAnsi="宋体" w:eastAsia="宋体" w:cs="宋体"/>
          <w:b w:val="0"/>
          <w:bCs/>
        </w:rPr>
        <w:t>万元，属于（中型企业、小型企业、微型企业）；</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2. （标的名称），属于（采购文件中明确的所属行业）；制造商为（企业名称），从业人员  人，营业收入为</w:t>
      </w:r>
      <w:r>
        <w:rPr>
          <w:rFonts w:hint="eastAsia" w:ascii="宋体" w:hAnsi="宋体" w:eastAsia="宋体" w:cs="宋体"/>
          <w:b w:val="0"/>
          <w:bCs/>
          <w:u w:val="single"/>
        </w:rPr>
        <w:t>  </w:t>
      </w:r>
      <w:r>
        <w:rPr>
          <w:rFonts w:hint="eastAsia" w:ascii="宋体" w:hAnsi="宋体" w:eastAsia="宋体" w:cs="宋体"/>
          <w:b w:val="0"/>
          <w:bCs/>
        </w:rPr>
        <w:t>万元，资产总额为</w:t>
      </w:r>
      <w:r>
        <w:rPr>
          <w:rFonts w:hint="eastAsia" w:ascii="宋体" w:hAnsi="宋体" w:eastAsia="宋体" w:cs="宋体"/>
          <w:b w:val="0"/>
          <w:bCs/>
          <w:u w:val="single"/>
        </w:rPr>
        <w:t>  </w:t>
      </w:r>
      <w:r>
        <w:rPr>
          <w:rFonts w:hint="eastAsia" w:ascii="宋体" w:hAnsi="宋体" w:eastAsia="宋体" w:cs="宋体"/>
          <w:b w:val="0"/>
          <w:bCs/>
        </w:rPr>
        <w:t>万元，属于（中型企业、小型企业、微型企业）；</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以上企业，不属于大企业的分支机构，不存在控股股东为大企业的情形，也不存在与大企业的负责人为同一人的情形。</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本企业对上述声明内容的真实性负责。如有虚假，将依法承担相应责任。</w:t>
      </w: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r>
        <w:rPr>
          <w:rFonts w:hint="eastAsia" w:ascii="宋体" w:hAnsi="宋体" w:eastAsia="宋体" w:cs="宋体"/>
          <w:b w:val="0"/>
          <w:bCs/>
        </w:rPr>
        <w:t> </w:t>
      </w:r>
    </w:p>
    <w:p>
      <w:pPr>
        <w:rPr>
          <w:rFonts w:hint="eastAsia" w:ascii="宋体" w:hAnsi="宋体" w:eastAsia="宋体" w:cs="宋体"/>
          <w:b w:val="0"/>
          <w:bCs/>
        </w:rPr>
      </w:pPr>
    </w:p>
    <w:p>
      <w:pPr>
        <w:pStyle w:val="2"/>
        <w:rPr>
          <w:rFonts w:hint="eastAsia" w:ascii="宋体" w:hAnsi="宋体" w:eastAsia="宋体" w:cs="宋体"/>
          <w:b w:val="0"/>
          <w:bCs/>
        </w:rPr>
      </w:pPr>
    </w:p>
    <w:p>
      <w:pPr>
        <w:pStyle w:val="3"/>
        <w:rPr>
          <w:rFonts w:hint="eastAsia" w:ascii="宋体" w:hAnsi="宋体" w:eastAsia="宋体" w:cs="宋体"/>
          <w:b w:val="0"/>
          <w:bCs/>
        </w:rPr>
      </w:pPr>
    </w:p>
    <w:p>
      <w:pPr>
        <w:rPr>
          <w:rFonts w:hint="eastAsia" w:ascii="宋体" w:hAnsi="宋体" w:eastAsia="宋体" w:cs="宋体"/>
          <w:b w:val="0"/>
          <w:bCs/>
        </w:rPr>
      </w:pPr>
    </w:p>
    <w:p>
      <w:pPr>
        <w:pStyle w:val="2"/>
        <w:rPr>
          <w:rFonts w:hint="eastAsia" w:ascii="宋体" w:hAnsi="宋体" w:eastAsia="宋体" w:cs="宋体"/>
          <w:b w:val="0"/>
          <w:bCs/>
        </w:rPr>
      </w:pPr>
    </w:p>
    <w:p>
      <w:pPr>
        <w:pStyle w:val="3"/>
        <w:rPr>
          <w:rFonts w:hint="eastAsia" w:ascii="宋体" w:hAnsi="宋体" w:eastAsia="宋体" w:cs="宋体"/>
          <w:b w:val="0"/>
          <w:bCs/>
        </w:rPr>
      </w:pPr>
    </w:p>
    <w:p>
      <w:pPr>
        <w:rPr>
          <w:rFonts w:hint="eastAsia" w:ascii="宋体" w:hAnsi="宋体" w:eastAsia="宋体" w:cs="宋体"/>
          <w:b w:val="0"/>
          <w:bCs/>
        </w:rPr>
      </w:pPr>
    </w:p>
    <w:p>
      <w:pPr>
        <w:pStyle w:val="2"/>
        <w:rPr>
          <w:rFonts w:hint="eastAsia" w:ascii="宋体" w:hAnsi="宋体" w:eastAsia="宋体" w:cs="宋体"/>
          <w:b w:val="0"/>
          <w:bCs/>
        </w:rPr>
      </w:pPr>
    </w:p>
    <w:p>
      <w:pPr>
        <w:pStyle w:val="3"/>
        <w:rPr>
          <w:rFonts w:hint="eastAsia" w:ascii="宋体" w:hAnsi="宋体" w:eastAsia="宋体" w:cs="宋体"/>
          <w:b w:val="0"/>
          <w:bCs/>
        </w:rPr>
      </w:pPr>
    </w:p>
    <w:p>
      <w:pPr>
        <w:rPr>
          <w:rFonts w:hint="eastAsia" w:ascii="宋体" w:hAnsi="宋体" w:eastAsia="宋体" w:cs="宋体"/>
          <w:b w:val="0"/>
          <w:bCs/>
        </w:rPr>
      </w:pPr>
    </w:p>
    <w:p>
      <w:pPr>
        <w:pStyle w:val="2"/>
        <w:rPr>
          <w:rFonts w:hint="eastAsia"/>
        </w:rPr>
      </w:pPr>
    </w:p>
    <w:p>
      <w:pPr>
        <w:pStyle w:val="2"/>
        <w:rPr>
          <w:rFonts w:hint="eastAsia" w:ascii="宋体" w:hAnsi="宋体" w:eastAsia="宋体" w:cs="宋体"/>
          <w:b w:val="0"/>
          <w:bCs/>
        </w:rPr>
      </w:pPr>
    </w:p>
    <w:p>
      <w:pPr>
        <w:pStyle w:val="3"/>
        <w:rPr>
          <w:rFonts w:hint="eastAsia"/>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r>
        <w:rPr>
          <w:rFonts w:hint="eastAsia" w:ascii="宋体" w:hAnsi="宋体" w:eastAsia="宋体" w:cs="宋体"/>
          <w:b w:val="0"/>
          <w:bCs/>
        </w:rPr>
        <w:t>                      </w:t>
      </w:r>
      <w:r>
        <w:rPr>
          <w:rFonts w:hint="eastAsia" w:ascii="宋体" w:hAnsi="宋体" w:eastAsia="宋体" w:cs="宋体"/>
          <w:b w:val="0"/>
          <w:bCs/>
          <w:lang w:val="en-US" w:eastAsia="zh-CN"/>
        </w:rPr>
        <w:t xml:space="preserve">            </w:t>
      </w:r>
      <w:r>
        <w:rPr>
          <w:rFonts w:hint="eastAsia" w:ascii="宋体" w:hAnsi="宋体" w:eastAsia="宋体" w:cs="宋体"/>
          <w:b w:val="0"/>
          <w:bCs/>
        </w:rPr>
        <w:t>企业名称（盖章）：</w:t>
      </w:r>
    </w:p>
    <w:p>
      <w:pPr>
        <w:rPr>
          <w:rFonts w:hint="eastAsia"/>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r>
        <w:rPr>
          <w:rFonts w:hint="eastAsia" w:ascii="宋体" w:hAnsi="宋体" w:eastAsia="宋体" w:cs="宋体"/>
          <w:b w:val="0"/>
          <w:bCs/>
        </w:rPr>
        <w:t>                      </w:t>
      </w:r>
      <w:r>
        <w:rPr>
          <w:rFonts w:hint="eastAsia" w:ascii="宋体" w:hAnsi="宋体" w:eastAsia="宋体" w:cs="宋体"/>
          <w:b w:val="0"/>
          <w:bCs/>
          <w:lang w:val="en-US" w:eastAsia="zh-CN"/>
        </w:rPr>
        <w:t xml:space="preserve">            </w:t>
      </w:r>
      <w:r>
        <w:rPr>
          <w:rFonts w:hint="eastAsia" w:ascii="宋体" w:hAnsi="宋体" w:eastAsia="宋体" w:cs="宋体"/>
          <w:b w:val="0"/>
          <w:bCs/>
        </w:rPr>
        <w:t>日期：          </w:t>
      </w:r>
    </w:p>
    <w:p>
      <w:pPr>
        <w:keepNext w:val="0"/>
        <w:keepLines w:val="0"/>
        <w:pageBreakBefore w:val="0"/>
        <w:widowControl w:val="0"/>
        <w:kinsoku/>
        <w:wordWrap/>
        <w:overflowPunct/>
        <w:topLinePunct w:val="0"/>
        <w:autoSpaceDE w:val="0"/>
        <w:autoSpaceDN w:val="0"/>
        <w:bidi w:val="0"/>
        <w:adjustRightInd/>
        <w:snapToGrid/>
        <w:ind w:firstLine="440" w:firstLineChars="200"/>
        <w:textAlignment w:val="auto"/>
        <w:rPr>
          <w:rFonts w:hint="eastAsia" w:ascii="宋体" w:hAnsi="宋体" w:eastAsia="宋体" w:cs="宋体"/>
          <w:b w:val="0"/>
          <w:bCs/>
        </w:rPr>
      </w:pPr>
      <w:r>
        <w:rPr>
          <w:rFonts w:hint="eastAsia" w:ascii="宋体" w:hAnsi="宋体" w:eastAsia="宋体" w:cs="宋体"/>
          <w:b w:val="0"/>
          <w:bCs/>
        </w:rPr>
        <w:br w:type="page"/>
      </w:r>
    </w:p>
    <w:p>
      <w:pPr>
        <w:pStyle w:val="3"/>
        <w:keepNext w:val="0"/>
        <w:keepLines w:val="0"/>
        <w:pageBreakBefore w:val="0"/>
        <w:widowControl w:val="0"/>
        <w:kinsoku/>
        <w:wordWrap/>
        <w:overflowPunct/>
        <w:topLinePunct w:val="0"/>
        <w:autoSpaceDE w:val="0"/>
        <w:autoSpaceDN w:val="0"/>
        <w:bidi w:val="0"/>
        <w:adjustRightInd/>
        <w:snapToGrid/>
        <w:ind w:firstLine="482" w:firstLineChars="200"/>
        <w:jc w:val="center"/>
        <w:textAlignment w:val="auto"/>
        <w:rPr>
          <w:rFonts w:hint="eastAsia" w:ascii="宋体" w:hAnsi="宋体" w:eastAsia="宋体" w:cs="宋体"/>
          <w:b w:val="0"/>
          <w:bCs/>
        </w:rPr>
      </w:pPr>
      <w:bookmarkStart w:id="445" w:name="_GoBack"/>
      <w:r>
        <w:rPr>
          <w:rFonts w:hint="eastAsia" w:ascii="宋体" w:hAnsi="宋体" w:eastAsia="宋体" w:cs="宋体"/>
          <w:b/>
          <w:bCs w:val="0"/>
        </w:rPr>
        <w:t>中小企业声明函（工程、服务)</w:t>
      </w:r>
      <w:bookmarkEnd w:id="445"/>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r>
        <w:rPr>
          <w:rFonts w:hint="eastAsia" w:ascii="宋体" w:hAnsi="宋体" w:eastAsia="宋体" w:cs="宋体"/>
          <w:b w:val="0"/>
          <w:bCs/>
        </w:rPr>
        <w:t>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1.（标的名称），属于（采购文件中明确的所属行业）；承建（承接）企业为（企业名称），从业人员</w:t>
      </w:r>
      <w:r>
        <w:rPr>
          <w:rFonts w:hint="eastAsia" w:ascii="宋体" w:hAnsi="宋体" w:eastAsia="宋体" w:cs="宋体"/>
          <w:b w:val="0"/>
          <w:bCs/>
          <w:u w:val="single"/>
        </w:rPr>
        <w:t>  </w:t>
      </w:r>
      <w:r>
        <w:rPr>
          <w:rFonts w:hint="eastAsia" w:ascii="宋体" w:hAnsi="宋体" w:eastAsia="宋体" w:cs="宋体"/>
          <w:b w:val="0"/>
          <w:bCs/>
        </w:rPr>
        <w:t>人，营业收入为</w:t>
      </w:r>
      <w:r>
        <w:rPr>
          <w:rFonts w:hint="eastAsia" w:ascii="宋体" w:hAnsi="宋体" w:eastAsia="宋体" w:cs="宋体"/>
          <w:b w:val="0"/>
          <w:bCs/>
          <w:u w:val="single"/>
        </w:rPr>
        <w:t>  </w:t>
      </w:r>
      <w:r>
        <w:rPr>
          <w:rFonts w:hint="eastAsia" w:ascii="宋体" w:hAnsi="宋体" w:eastAsia="宋体" w:cs="宋体"/>
          <w:b w:val="0"/>
          <w:bCs/>
        </w:rPr>
        <w:t>万元，资产总额为</w:t>
      </w:r>
      <w:r>
        <w:rPr>
          <w:rFonts w:hint="eastAsia" w:ascii="宋体" w:hAnsi="宋体" w:eastAsia="宋体" w:cs="宋体"/>
          <w:b w:val="0"/>
          <w:bCs/>
          <w:u w:val="single"/>
        </w:rPr>
        <w:t>  </w:t>
      </w:r>
      <w:r>
        <w:rPr>
          <w:rFonts w:hint="eastAsia" w:ascii="宋体" w:hAnsi="宋体" w:eastAsia="宋体" w:cs="宋体"/>
          <w:b w:val="0"/>
          <w:bCs/>
        </w:rPr>
        <w:t>万元，属于（中型企业、小型企业、微型企业）；</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2. （标的名称），属于（采购文件中明确的所属行业）；承建（承接）企业为（企业名称），从业人员</w:t>
      </w:r>
      <w:r>
        <w:rPr>
          <w:rFonts w:hint="eastAsia" w:ascii="宋体" w:hAnsi="宋体" w:eastAsia="宋体" w:cs="宋体"/>
          <w:b w:val="0"/>
          <w:bCs/>
          <w:u w:val="single"/>
        </w:rPr>
        <w:t>  </w:t>
      </w:r>
      <w:r>
        <w:rPr>
          <w:rFonts w:hint="eastAsia" w:ascii="宋体" w:hAnsi="宋体" w:eastAsia="宋体" w:cs="宋体"/>
          <w:b w:val="0"/>
          <w:bCs/>
        </w:rPr>
        <w:t>人，营业收入为</w:t>
      </w:r>
      <w:r>
        <w:rPr>
          <w:rFonts w:hint="eastAsia" w:ascii="宋体" w:hAnsi="宋体" w:eastAsia="宋体" w:cs="宋体"/>
          <w:b w:val="0"/>
          <w:bCs/>
          <w:u w:val="single"/>
        </w:rPr>
        <w:t>  </w:t>
      </w:r>
      <w:r>
        <w:rPr>
          <w:rFonts w:hint="eastAsia" w:ascii="宋体" w:hAnsi="宋体" w:eastAsia="宋体" w:cs="宋体"/>
          <w:b w:val="0"/>
          <w:bCs/>
        </w:rPr>
        <w:t>万元，资产总额为</w:t>
      </w:r>
      <w:r>
        <w:rPr>
          <w:rFonts w:hint="eastAsia" w:ascii="宋体" w:hAnsi="宋体" w:eastAsia="宋体" w:cs="宋体"/>
          <w:b w:val="0"/>
          <w:bCs/>
          <w:u w:val="single"/>
        </w:rPr>
        <w:t>  </w:t>
      </w:r>
      <w:r>
        <w:rPr>
          <w:rFonts w:hint="eastAsia" w:ascii="宋体" w:hAnsi="宋体" w:eastAsia="宋体" w:cs="宋体"/>
          <w:b w:val="0"/>
          <w:bCs/>
        </w:rPr>
        <w:t>万元，属于（中型企业、小型企业、微型企业）；</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以上企业，不属于大企业的分支机构，不存在控股股东为大企业的情形，也不存在与大企业的负责人为同一人的情形。</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本企业对上述声明内容的真实性负责。如有虚假，将依法承担相应责任。</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rPr>
      </w:pPr>
      <w:r>
        <w:rPr>
          <w:rFonts w:hint="eastAsia" w:ascii="宋体" w:hAnsi="宋体" w:eastAsia="宋体" w:cs="宋体"/>
          <w:b w:val="0"/>
          <w:bCs/>
        </w:rPr>
        <w:t>                     </w:t>
      </w: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p>
    <w:p>
      <w:pPr>
        <w:rPr>
          <w:rFonts w:hint="eastAsia" w:ascii="宋体" w:hAnsi="宋体" w:eastAsia="宋体" w:cs="宋体"/>
          <w:b w:val="0"/>
          <w:bCs/>
        </w:rPr>
      </w:pPr>
    </w:p>
    <w:p>
      <w:pPr>
        <w:pStyle w:val="2"/>
        <w:rPr>
          <w:rFonts w:hint="eastAsia" w:ascii="宋体" w:hAnsi="宋体" w:eastAsia="宋体" w:cs="宋体"/>
          <w:b w:val="0"/>
          <w:bCs/>
        </w:rPr>
      </w:pPr>
    </w:p>
    <w:p>
      <w:pPr>
        <w:pStyle w:val="3"/>
        <w:rPr>
          <w:rFonts w:hint="eastAsia"/>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jc w:val="center"/>
        <w:textAlignment w:val="auto"/>
        <w:rPr>
          <w:rFonts w:hint="eastAsia" w:ascii="宋体" w:hAnsi="宋体" w:eastAsia="宋体" w:cs="宋体"/>
          <w:b w:val="0"/>
          <w:bCs/>
        </w:rPr>
      </w:pPr>
      <w:r>
        <w:rPr>
          <w:rFonts w:hint="eastAsia" w:ascii="宋体" w:hAnsi="宋体" w:eastAsia="宋体" w:cs="宋体"/>
          <w:b w:val="0"/>
          <w:bCs/>
          <w:lang w:val="en-US" w:eastAsia="zh-CN"/>
        </w:rPr>
        <w:t xml:space="preserve">                                                      </w:t>
      </w:r>
      <w:r>
        <w:rPr>
          <w:rFonts w:hint="eastAsia" w:ascii="宋体" w:hAnsi="宋体" w:eastAsia="宋体" w:cs="宋体"/>
          <w:b w:val="0"/>
          <w:bCs/>
        </w:rPr>
        <w:t>企业名称（盖章）：</w:t>
      </w:r>
    </w:p>
    <w:p>
      <w:pPr>
        <w:rPr>
          <w:rFonts w:hint="eastAsia"/>
        </w:rPr>
      </w:pPr>
    </w:p>
    <w:p>
      <w:pPr>
        <w:pStyle w:val="3"/>
        <w:keepNext w:val="0"/>
        <w:keepLines w:val="0"/>
        <w:pageBreakBefore w:val="0"/>
        <w:widowControl w:val="0"/>
        <w:kinsoku/>
        <w:wordWrap/>
        <w:overflowPunct/>
        <w:topLinePunct w:val="0"/>
        <w:autoSpaceDE w:val="0"/>
        <w:autoSpaceDN w:val="0"/>
        <w:bidi w:val="0"/>
        <w:adjustRightInd/>
        <w:snapToGrid/>
        <w:ind w:firstLine="480" w:firstLineChars="200"/>
        <w:jc w:val="right"/>
        <w:textAlignment w:val="auto"/>
        <w:rPr>
          <w:rFonts w:hint="eastAsia" w:ascii="宋体" w:hAnsi="宋体" w:eastAsia="宋体" w:cs="宋体"/>
          <w:b w:val="0"/>
          <w:bCs/>
        </w:rPr>
      </w:pPr>
      <w:r>
        <w:rPr>
          <w:rFonts w:hint="eastAsia" w:ascii="宋体" w:hAnsi="宋体" w:eastAsia="宋体" w:cs="宋体"/>
          <w:b w:val="0"/>
          <w:bCs/>
        </w:rPr>
        <w:t>                      </w:t>
      </w:r>
      <w:r>
        <w:rPr>
          <w:rFonts w:hint="eastAsia" w:ascii="宋体" w:hAnsi="宋体" w:eastAsia="宋体" w:cs="宋体"/>
          <w:b w:val="0"/>
          <w:bCs/>
          <w:lang w:val="en-US" w:eastAsia="zh-CN"/>
        </w:rPr>
        <w:t xml:space="preserve"> </w:t>
      </w:r>
      <w:r>
        <w:rPr>
          <w:rFonts w:hint="eastAsia" w:ascii="宋体" w:hAnsi="宋体" w:eastAsia="宋体" w:cs="宋体"/>
          <w:b w:val="0"/>
          <w:bCs/>
        </w:rPr>
        <w:t>日期：           </w:t>
      </w:r>
    </w:p>
    <w:p>
      <w:pPr>
        <w:pStyle w:val="3"/>
        <w:rPr>
          <w:rFonts w:hint="eastAsia" w:ascii="宋体" w:hAnsi="宋体" w:eastAsia="宋体" w:cs="宋体"/>
          <w:b w:val="0"/>
          <w:bCs/>
        </w:rPr>
      </w:pPr>
    </w:p>
    <w:p>
      <w:pPr>
        <w:pStyle w:val="3"/>
        <w:spacing w:before="11"/>
        <w:rPr>
          <w:rFonts w:hint="eastAsia" w:ascii="宋体" w:hAnsi="宋体" w:eastAsia="宋体" w:cs="宋体"/>
          <w:b w:val="0"/>
          <w:bCs/>
          <w:sz w:val="23"/>
        </w:rPr>
      </w:pPr>
    </w:p>
    <w:p>
      <w:pPr>
        <w:rPr>
          <w:rFonts w:hint="eastAsia" w:ascii="宋体" w:hAnsi="宋体" w:eastAsia="宋体" w:cs="宋体"/>
          <w:b w:val="0"/>
          <w:bCs/>
          <w:sz w:val="24"/>
          <w:lang w:val="en-US" w:eastAsia="zh-CN"/>
        </w:rPr>
      </w:pPr>
      <w:bookmarkStart w:id="245" w:name="7   投标文件还应包括投标人须知第10条的所有响应文件"/>
      <w:bookmarkEnd w:id="245"/>
      <w:bookmarkStart w:id="246" w:name="6   投标人关联单位的说明"/>
      <w:bookmarkEnd w:id="246"/>
      <w:bookmarkStart w:id="247" w:name="_Toc31089"/>
      <w:r>
        <w:rPr>
          <w:rFonts w:hint="eastAsia" w:ascii="宋体" w:hAnsi="宋体" w:eastAsia="宋体" w:cs="宋体"/>
          <w:b w:val="0"/>
          <w:bCs/>
          <w:sz w:val="24"/>
          <w:lang w:val="en-US" w:eastAsia="zh-CN"/>
        </w:rPr>
        <w:br w:type="page"/>
      </w:r>
    </w:p>
    <w:p>
      <w:pPr>
        <w:tabs>
          <w:tab w:val="left" w:pos="2948"/>
        </w:tabs>
        <w:spacing w:before="83"/>
        <w:ind w:right="0" w:firstLine="2160" w:firstLineChars="900"/>
        <w:jc w:val="left"/>
        <w:outlineLvl w:val="1"/>
        <w:rPr>
          <w:b w:val="0"/>
          <w:bCs/>
          <w:sz w:val="24"/>
        </w:rPr>
      </w:pPr>
      <w:r>
        <w:rPr>
          <w:rFonts w:hint="eastAsia" w:ascii="宋体" w:hAnsi="宋体" w:eastAsia="宋体" w:cs="宋体"/>
          <w:b w:val="0"/>
          <w:bCs/>
          <w:sz w:val="24"/>
          <w:lang w:val="en-US" w:eastAsia="zh-CN"/>
        </w:rPr>
        <w:t>9.</w:t>
      </w:r>
      <w:r>
        <w:rPr>
          <w:rFonts w:hint="eastAsia" w:ascii="宋体" w:hAnsi="宋体" w:eastAsia="宋体" w:cs="宋体"/>
          <w:b w:val="0"/>
          <w:bCs/>
          <w:sz w:val="24"/>
        </w:rPr>
        <w:t>投标文件还应包括投标人须知第10条的所有</w:t>
      </w:r>
      <w:r>
        <w:rPr>
          <w:rFonts w:hint="eastAsia" w:ascii="宋体" w:hAnsi="宋体" w:eastAsia="宋体" w:cs="宋体"/>
          <w:b w:val="0"/>
          <w:bCs/>
          <w:sz w:val="24"/>
          <w:lang w:val="en-US" w:eastAsia="zh-CN"/>
        </w:rPr>
        <w:t>投标</w:t>
      </w:r>
      <w:r>
        <w:rPr>
          <w:rFonts w:hint="eastAsia" w:ascii="宋体" w:hAnsi="宋体" w:eastAsia="宋体" w:cs="宋体"/>
          <w:b w:val="0"/>
          <w:bCs/>
          <w:sz w:val="24"/>
        </w:rPr>
        <w:t>文</w:t>
      </w:r>
      <w:r>
        <w:rPr>
          <w:b w:val="0"/>
          <w:bCs/>
          <w:sz w:val="24"/>
        </w:rPr>
        <w:t>件</w:t>
      </w:r>
      <w:bookmarkEnd w:id="247"/>
    </w:p>
    <w:p>
      <w:pPr>
        <w:spacing w:after="0"/>
        <w:jc w:val="left"/>
        <w:rPr>
          <w:b w:val="0"/>
          <w:bCs/>
          <w:sz w:val="24"/>
        </w:rPr>
        <w:sectPr>
          <w:footerReference r:id="rId10" w:type="default"/>
          <w:pgSz w:w="11910" w:h="16840"/>
          <w:pgMar w:top="1580" w:right="800" w:bottom="1420" w:left="740" w:header="0" w:footer="1233" w:gutter="0"/>
          <w:pgNumType w:fmt="decimal"/>
          <w:cols w:space="720" w:num="1"/>
        </w:sectPr>
      </w:pPr>
    </w:p>
    <w:p>
      <w:pPr>
        <w:tabs>
          <w:tab w:val="left" w:pos="2948"/>
        </w:tabs>
        <w:spacing w:before="83"/>
        <w:ind w:right="0"/>
        <w:jc w:val="center"/>
        <w:outlineLvl w:val="1"/>
        <w:rPr>
          <w:rFonts w:hint="eastAsia" w:ascii="宋体" w:hAnsi="宋体" w:eastAsia="宋体" w:cs="宋体"/>
          <w:b w:val="0"/>
          <w:bCs/>
          <w:sz w:val="24"/>
        </w:rPr>
      </w:pPr>
      <w:bookmarkStart w:id="248" w:name="_Toc20683"/>
      <w:r>
        <w:rPr>
          <w:rFonts w:hint="eastAsia" w:ascii="宋体" w:hAnsi="宋体" w:eastAsia="宋体" w:cs="宋体"/>
          <w:b w:val="0"/>
          <w:bCs/>
          <w:sz w:val="24"/>
          <w:lang w:val="en-US" w:eastAsia="zh-CN"/>
        </w:rPr>
        <w:t>10.</w:t>
      </w:r>
      <w:r>
        <w:rPr>
          <w:rFonts w:hint="eastAsia" w:ascii="宋体" w:hAnsi="宋体" w:eastAsia="宋体" w:cs="宋体"/>
          <w:b w:val="0"/>
          <w:bCs/>
          <w:sz w:val="24"/>
        </w:rPr>
        <w:t>投标单位（供应商）反商业贿赂承诺书</w:t>
      </w:r>
      <w:bookmarkEnd w:id="248"/>
    </w:p>
    <w:p>
      <w:pPr>
        <w:pStyle w:val="3"/>
        <w:rPr>
          <w:rFonts w:hint="eastAsia" w:ascii="宋体" w:hAnsi="宋体" w:eastAsia="宋体" w:cs="宋体"/>
          <w:b w:val="0"/>
          <w:bCs/>
        </w:rPr>
      </w:pPr>
    </w:p>
    <w:p>
      <w:pPr>
        <w:pStyle w:val="3"/>
        <w:rPr>
          <w:rFonts w:hint="eastAsia" w:ascii="宋体" w:hAnsi="宋体" w:eastAsia="宋体" w:cs="宋体"/>
          <w:b w:val="0"/>
          <w:bCs/>
        </w:rPr>
      </w:pPr>
    </w:p>
    <w:p>
      <w:pPr>
        <w:pStyle w:val="3"/>
        <w:rPr>
          <w:rFonts w:hint="eastAsia" w:ascii="宋体" w:hAnsi="宋体" w:eastAsia="宋体" w:cs="宋体"/>
          <w:b w:val="0"/>
          <w:bCs/>
        </w:rPr>
      </w:pPr>
    </w:p>
    <w:p>
      <w:pPr>
        <w:tabs>
          <w:tab w:val="left" w:pos="6767"/>
        </w:tabs>
        <w:spacing w:before="203" w:line="364" w:lineRule="auto"/>
        <w:ind w:left="255" w:right="239" w:firstLine="736"/>
        <w:jc w:val="both"/>
        <w:rPr>
          <w:rFonts w:hint="eastAsia" w:ascii="宋体" w:hAnsi="宋体" w:eastAsia="宋体" w:cs="宋体"/>
          <w:b w:val="0"/>
          <w:bCs/>
          <w:sz w:val="21"/>
        </w:rPr>
      </w:pPr>
      <w:r>
        <w:rPr>
          <w:rFonts w:hint="eastAsia" w:ascii="宋体" w:hAnsi="宋体" w:eastAsia="宋体" w:cs="宋体"/>
          <w:b w:val="0"/>
          <w:bCs/>
          <w:sz w:val="21"/>
        </w:rPr>
        <w:t>我公司承诺在</w:t>
      </w:r>
      <w:r>
        <w:rPr>
          <w:rFonts w:hint="eastAsia" w:ascii="宋体" w:hAnsi="宋体" w:eastAsia="宋体" w:cs="宋体"/>
          <w:b w:val="0"/>
          <w:bCs/>
          <w:sz w:val="21"/>
          <w:u w:val="single"/>
          <w:lang w:val="en-US" w:eastAsia="zh-CN"/>
        </w:rPr>
        <w:t xml:space="preserve">                               </w:t>
      </w:r>
      <w:r>
        <w:rPr>
          <w:rFonts w:hint="eastAsia" w:ascii="宋体" w:hAnsi="宋体" w:eastAsia="宋体" w:cs="宋体"/>
          <w:b w:val="0"/>
          <w:bCs/>
          <w:sz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rPr>
          <w:rFonts w:hint="eastAsia" w:ascii="宋体" w:hAnsi="宋体" w:eastAsia="宋体" w:cs="宋体"/>
          <w:b w:val="0"/>
          <w:bCs/>
          <w:sz w:val="20"/>
        </w:rPr>
      </w:pPr>
    </w:p>
    <w:p>
      <w:pPr>
        <w:pStyle w:val="3"/>
        <w:spacing w:before="9"/>
        <w:jc w:val="left"/>
        <w:rPr>
          <w:rFonts w:hint="eastAsia" w:ascii="宋体" w:hAnsi="宋体" w:eastAsia="宋体" w:cs="宋体"/>
          <w:b w:val="0"/>
          <w:bCs/>
          <w:sz w:val="16"/>
        </w:rPr>
      </w:pPr>
    </w:p>
    <w:p>
      <w:pPr>
        <w:spacing w:before="0"/>
        <w:ind w:left="1156" w:right="0" w:firstLine="0"/>
        <w:jc w:val="left"/>
        <w:rPr>
          <w:rFonts w:hint="eastAsia" w:ascii="宋体" w:hAnsi="宋体" w:eastAsia="宋体" w:cs="宋体"/>
          <w:b w:val="0"/>
          <w:bCs/>
          <w:sz w:val="21"/>
        </w:rPr>
      </w:pPr>
      <w:r>
        <w:rPr>
          <w:rFonts w:hint="eastAsia" w:ascii="宋体" w:hAnsi="宋体" w:eastAsia="宋体" w:cs="宋体"/>
          <w:b w:val="0"/>
          <w:bCs/>
          <w:sz w:val="21"/>
        </w:rPr>
        <w:t>公司法人代表：</w:t>
      </w:r>
    </w:p>
    <w:p>
      <w:pPr>
        <w:pStyle w:val="3"/>
        <w:jc w:val="left"/>
        <w:rPr>
          <w:rFonts w:hint="eastAsia" w:ascii="宋体" w:hAnsi="宋体" w:eastAsia="宋体" w:cs="宋体"/>
          <w:b w:val="0"/>
          <w:bCs/>
          <w:sz w:val="20"/>
        </w:rPr>
      </w:pPr>
    </w:p>
    <w:p>
      <w:pPr>
        <w:pStyle w:val="3"/>
        <w:jc w:val="left"/>
        <w:rPr>
          <w:rFonts w:hint="eastAsia" w:ascii="宋体" w:hAnsi="宋体" w:eastAsia="宋体" w:cs="宋体"/>
          <w:b w:val="0"/>
          <w:bCs/>
          <w:sz w:val="20"/>
        </w:rPr>
      </w:pPr>
    </w:p>
    <w:p>
      <w:pPr>
        <w:pStyle w:val="3"/>
        <w:jc w:val="left"/>
        <w:rPr>
          <w:rFonts w:hint="eastAsia" w:ascii="宋体" w:hAnsi="宋体" w:eastAsia="宋体" w:cs="宋体"/>
          <w:b w:val="0"/>
          <w:bCs/>
          <w:sz w:val="20"/>
        </w:rPr>
      </w:pPr>
    </w:p>
    <w:p>
      <w:pPr>
        <w:pStyle w:val="3"/>
        <w:jc w:val="left"/>
        <w:rPr>
          <w:rFonts w:hint="eastAsia" w:ascii="宋体" w:hAnsi="宋体" w:eastAsia="宋体" w:cs="宋体"/>
          <w:b w:val="0"/>
          <w:bCs/>
          <w:sz w:val="20"/>
        </w:rPr>
      </w:pPr>
    </w:p>
    <w:p>
      <w:pPr>
        <w:pStyle w:val="3"/>
        <w:jc w:val="left"/>
        <w:rPr>
          <w:rFonts w:hint="eastAsia" w:ascii="宋体" w:hAnsi="宋体" w:eastAsia="宋体" w:cs="宋体"/>
          <w:b w:val="0"/>
          <w:bCs/>
          <w:sz w:val="20"/>
        </w:rPr>
      </w:pPr>
    </w:p>
    <w:p>
      <w:pPr>
        <w:pStyle w:val="3"/>
        <w:jc w:val="left"/>
        <w:rPr>
          <w:rFonts w:hint="eastAsia" w:ascii="宋体" w:hAnsi="宋体" w:eastAsia="宋体" w:cs="宋体"/>
          <w:b w:val="0"/>
          <w:bCs/>
          <w:sz w:val="20"/>
        </w:rPr>
      </w:pPr>
    </w:p>
    <w:p>
      <w:pPr>
        <w:pStyle w:val="3"/>
        <w:spacing w:before="3"/>
        <w:jc w:val="left"/>
        <w:rPr>
          <w:rFonts w:hint="eastAsia" w:ascii="宋体" w:hAnsi="宋体" w:eastAsia="宋体" w:cs="宋体"/>
          <w:b w:val="0"/>
          <w:bCs/>
          <w:sz w:val="20"/>
        </w:rPr>
      </w:pPr>
    </w:p>
    <w:p>
      <w:pPr>
        <w:spacing w:before="0"/>
        <w:ind w:left="1096" w:right="0" w:firstLine="0"/>
        <w:jc w:val="left"/>
        <w:rPr>
          <w:rFonts w:hint="eastAsia" w:ascii="宋体" w:hAnsi="宋体" w:eastAsia="宋体" w:cs="宋体"/>
          <w:b w:val="0"/>
          <w:bCs/>
          <w:sz w:val="21"/>
        </w:rPr>
        <w:sectPr>
          <w:pgSz w:w="11910" w:h="16840"/>
          <w:pgMar w:top="1580" w:right="800" w:bottom="1420" w:left="740" w:header="0" w:footer="1233" w:gutter="0"/>
          <w:pgNumType w:fmt="decimal"/>
          <w:cols w:space="720" w:num="1"/>
        </w:sectPr>
      </w:pPr>
      <w:r>
        <w:rPr>
          <w:rFonts w:hint="eastAsia" w:ascii="宋体" w:hAnsi="宋体" w:eastAsia="宋体" w:cs="宋体"/>
          <w:b w:val="0"/>
          <w:bCs/>
          <w:sz w:val="21"/>
        </w:rPr>
        <w:t>法人授权代表：</w:t>
      </w:r>
    </w:p>
    <w:p>
      <w:pPr>
        <w:numPr>
          <w:ilvl w:val="0"/>
          <w:numId w:val="0"/>
        </w:numPr>
        <w:spacing w:before="52"/>
        <w:ind w:left="2227" w:leftChars="0" w:right="1246" w:rightChars="0" w:firstLine="1446" w:firstLineChars="600"/>
        <w:jc w:val="both"/>
        <w:outlineLvl w:val="1"/>
        <w:rPr>
          <w:rFonts w:hint="eastAsia" w:ascii="宋体" w:hAnsi="宋体" w:eastAsia="宋体" w:cs="宋体"/>
          <w:b/>
          <w:kern w:val="0"/>
          <w:sz w:val="24"/>
          <w:szCs w:val="20"/>
          <w:lang w:val="en-US" w:eastAsia="zh-CN" w:bidi="zh-CN"/>
        </w:rPr>
      </w:pPr>
      <w:bookmarkStart w:id="249" w:name="_Toc29498"/>
      <w:r>
        <w:rPr>
          <w:rFonts w:hint="eastAsia" w:ascii="宋体" w:hAnsi="宋体" w:eastAsia="宋体" w:cs="宋体"/>
          <w:b/>
          <w:kern w:val="0"/>
          <w:sz w:val="24"/>
          <w:szCs w:val="20"/>
          <w:lang w:val="en-US" w:eastAsia="zh-CN" w:bidi="zh-CN"/>
        </w:rPr>
        <w:t>11.绿化环卫服务一体化技术方案</w:t>
      </w:r>
      <w:bookmarkEnd w:id="249"/>
    </w:p>
    <w:p>
      <w:pPr>
        <w:pStyle w:val="9"/>
        <w:widowControl/>
        <w:numPr>
          <w:ilvl w:val="0"/>
          <w:numId w:val="0"/>
        </w:numPr>
        <w:autoSpaceDE/>
        <w:autoSpaceDN/>
        <w:spacing w:before="120" w:after="0" w:line="240" w:lineRule="auto"/>
        <w:ind w:right="0" w:rightChars="0"/>
        <w:jc w:val="left"/>
        <w:rPr>
          <w:rFonts w:hint="eastAsia" w:asciiTheme="minorEastAsia" w:hAnsiTheme="minorEastAsia" w:eastAsiaTheme="minorEastAsia" w:cstheme="minorEastAsia"/>
          <w:b/>
          <w:kern w:val="0"/>
          <w:sz w:val="24"/>
          <w:szCs w:val="20"/>
          <w:lang w:val="en-US" w:eastAsia="zh-CN" w:bidi="zh-CN"/>
        </w:rPr>
      </w:pPr>
    </w:p>
    <w:p>
      <w:pPr>
        <w:rPr>
          <w:rFonts w:hint="eastAsia"/>
          <w:lang w:val="en-US" w:eastAsia="zh-CN"/>
        </w:rPr>
      </w:pPr>
    </w:p>
    <w:p>
      <w:pPr>
        <w:jc w:val="left"/>
        <w:rPr>
          <w:rFonts w:hint="eastAsia" w:asciiTheme="minorEastAsia" w:hAnsiTheme="minorEastAsia" w:eastAsiaTheme="minorEastAsia" w:cstheme="minorEastAsia"/>
          <w:b/>
          <w:kern w:val="0"/>
          <w:sz w:val="24"/>
          <w:szCs w:val="20"/>
          <w:lang w:val="en-US" w:eastAsia="zh-CN" w:bidi="zh-CN"/>
        </w:rPr>
      </w:pPr>
    </w:p>
    <w:p>
      <w:pPr>
        <w:pStyle w:val="6"/>
        <w:jc w:val="center"/>
        <w:outlineLvl w:val="9"/>
        <w:rPr>
          <w:rFonts w:hint="eastAsia" w:ascii="宋体" w:hAnsi="宋体" w:eastAsia="宋体" w:cs="宋体"/>
          <w:b/>
          <w:kern w:val="0"/>
          <w:sz w:val="21"/>
          <w:szCs w:val="21"/>
          <w:u w:val="none"/>
          <w:lang w:val="en-US" w:eastAsia="zh-CN" w:bidi="zh-CN"/>
        </w:rPr>
      </w:pPr>
      <w:r>
        <w:rPr>
          <w:rFonts w:hint="eastAsia" w:ascii="宋体" w:hAnsi="宋体" w:eastAsia="宋体" w:cs="宋体"/>
          <w:b/>
          <w:kern w:val="0"/>
          <w:sz w:val="21"/>
          <w:szCs w:val="21"/>
          <w:u w:val="none"/>
          <w:lang w:val="en-US" w:eastAsia="zh-CN" w:bidi="zh-CN"/>
        </w:rPr>
        <w:t>格式自拟</w:t>
      </w:r>
    </w:p>
    <w:p>
      <w:pPr>
        <w:rPr>
          <w:rFonts w:hint="default"/>
          <w:lang w:val="en-US" w:eastAsia="zh-CN"/>
        </w:rPr>
        <w:sectPr>
          <w:footerReference r:id="rId11" w:type="default"/>
          <w:pgSz w:w="11910" w:h="16840"/>
          <w:pgMar w:top="1000" w:right="800" w:bottom="1340" w:left="740" w:header="0" w:footer="1153" w:gutter="0"/>
          <w:pgNumType w:fmt="decimal"/>
          <w:cols w:space="720" w:num="1"/>
        </w:sectPr>
      </w:pPr>
    </w:p>
    <w:p>
      <w:pPr>
        <w:pStyle w:val="3"/>
        <w:rPr>
          <w:sz w:val="20"/>
        </w:rPr>
      </w:pPr>
    </w:p>
    <w:p>
      <w:pPr>
        <w:pStyle w:val="3"/>
        <w:rPr>
          <w:sz w:val="20"/>
        </w:rPr>
      </w:pPr>
    </w:p>
    <w:p>
      <w:pPr>
        <w:pStyle w:val="3"/>
        <w:ind w:firstLine="1928" w:firstLineChars="600"/>
        <w:outlineLvl w:val="0"/>
        <w:rPr>
          <w:rFonts w:hint="eastAsia" w:ascii="宋体" w:hAnsi="宋体" w:eastAsia="宋体" w:cs="宋体"/>
          <w:b/>
          <w:sz w:val="32"/>
          <w:szCs w:val="18"/>
          <w:lang w:val="en-US" w:eastAsia="zh-CN"/>
        </w:rPr>
      </w:pPr>
      <w:r>
        <w:rPr>
          <w:rFonts w:hint="eastAsia" w:ascii="宋体" w:hAnsi="宋体" w:eastAsia="宋体" w:cs="宋体"/>
          <w:b/>
          <w:sz w:val="32"/>
          <w:szCs w:val="18"/>
          <w:lang w:val="en-US" w:eastAsia="zh-CN"/>
        </w:rPr>
        <w:t>综合保税区物业及绿化养护道路保洁服务项目</w:t>
      </w:r>
    </w:p>
    <w:p>
      <w:pPr>
        <w:pStyle w:val="3"/>
        <w:rPr>
          <w:rFonts w:hint="eastAsia" w:ascii="宋体" w:hAnsi="宋体" w:eastAsia="宋体" w:cs="宋体"/>
          <w:b/>
          <w:sz w:val="32"/>
          <w:szCs w:val="18"/>
        </w:rPr>
      </w:pPr>
    </w:p>
    <w:p>
      <w:pPr>
        <w:pStyle w:val="3"/>
        <w:ind w:firstLine="1104" w:firstLineChars="500"/>
        <w:jc w:val="both"/>
        <w:rPr>
          <w:rFonts w:hint="eastAsia" w:ascii="宋体" w:hAnsi="宋体" w:eastAsia="宋体" w:cs="宋体"/>
          <w:b/>
          <w:sz w:val="22"/>
          <w:szCs w:val="13"/>
        </w:rPr>
      </w:pPr>
    </w:p>
    <w:p>
      <w:pPr>
        <w:pStyle w:val="3"/>
        <w:ind w:firstLine="3313" w:firstLineChars="1500"/>
        <w:jc w:val="both"/>
        <w:rPr>
          <w:rFonts w:hint="eastAsia" w:ascii="宋体" w:hAnsi="宋体" w:eastAsia="宋体" w:cs="宋体"/>
          <w:b/>
          <w:color w:val="FF0000"/>
          <w:sz w:val="28"/>
          <w:szCs w:val="18"/>
          <w:lang w:val="en-US" w:eastAsia="zh-CN"/>
        </w:rPr>
      </w:pPr>
      <w:r>
        <w:rPr>
          <w:rFonts w:hint="eastAsia" w:ascii="宋体" w:hAnsi="宋体" w:eastAsia="宋体" w:cs="宋体"/>
          <w:b/>
          <w:sz w:val="22"/>
          <w:szCs w:val="13"/>
        </w:rPr>
        <w:t>项目编号：</w:t>
      </w:r>
      <w:r>
        <w:rPr>
          <w:rFonts w:hint="eastAsia" w:ascii="宋体" w:hAnsi="宋体" w:eastAsia="宋体" w:cs="宋体"/>
          <w:b/>
          <w:color w:val="auto"/>
          <w:sz w:val="22"/>
          <w:szCs w:val="13"/>
        </w:rPr>
        <w:t>KSJJKFQZFCG(GK)2022-</w:t>
      </w:r>
      <w:r>
        <w:rPr>
          <w:rFonts w:hint="eastAsia" w:ascii="宋体" w:hAnsi="宋体" w:eastAsia="宋体" w:cs="宋体"/>
          <w:b/>
          <w:color w:val="auto"/>
          <w:sz w:val="22"/>
          <w:szCs w:val="13"/>
          <w:lang w:val="en-US" w:eastAsia="zh-CN"/>
        </w:rPr>
        <w:t>013</w:t>
      </w:r>
    </w:p>
    <w:p>
      <w:pPr>
        <w:pStyle w:val="3"/>
        <w:spacing w:before="7"/>
        <w:rPr>
          <w:rFonts w:hint="eastAsia" w:ascii="宋体" w:hAnsi="宋体" w:eastAsia="宋体" w:cs="宋体"/>
          <w:b/>
          <w:sz w:val="32"/>
          <w:szCs w:val="18"/>
        </w:rPr>
      </w:pPr>
    </w:p>
    <w:p>
      <w:pPr>
        <w:spacing w:before="1"/>
        <w:ind w:left="503" w:right="57" w:firstLine="0"/>
        <w:jc w:val="center"/>
        <w:rPr>
          <w:rFonts w:hint="eastAsia" w:ascii="宋体" w:hAnsi="宋体" w:eastAsia="宋体" w:cs="宋体"/>
          <w:b/>
          <w:sz w:val="24"/>
          <w:szCs w:val="13"/>
        </w:rPr>
      </w:pPr>
    </w:p>
    <w:p>
      <w:pPr>
        <w:spacing w:before="1"/>
        <w:ind w:left="503" w:right="57" w:firstLine="0"/>
        <w:jc w:val="center"/>
        <w:rPr>
          <w:rFonts w:hint="eastAsia" w:ascii="宋体" w:hAnsi="宋体" w:eastAsia="宋体" w:cs="宋体"/>
          <w:b/>
          <w:sz w:val="28"/>
          <w:szCs w:val="15"/>
        </w:rPr>
      </w:pPr>
      <w:r>
        <w:rPr>
          <w:rFonts w:hint="eastAsia" w:ascii="宋体" w:hAnsi="宋体" w:eastAsia="宋体" w:cs="宋体"/>
          <w:b/>
          <w:sz w:val="28"/>
          <w:szCs w:val="15"/>
        </w:rPr>
        <w:t>招标文件</w:t>
      </w:r>
    </w:p>
    <w:p>
      <w:pPr>
        <w:pStyle w:val="3"/>
        <w:rPr>
          <w:rFonts w:hint="eastAsia" w:ascii="宋体" w:hAnsi="宋体" w:eastAsia="宋体" w:cs="宋体"/>
          <w:b/>
          <w:sz w:val="32"/>
          <w:szCs w:val="18"/>
        </w:rPr>
      </w:pPr>
    </w:p>
    <w:p>
      <w:pPr>
        <w:pStyle w:val="3"/>
        <w:spacing w:before="11"/>
        <w:rPr>
          <w:rFonts w:hint="eastAsia" w:ascii="宋体" w:hAnsi="宋体" w:eastAsia="宋体" w:cs="宋体"/>
          <w:b/>
          <w:sz w:val="49"/>
        </w:rPr>
      </w:pPr>
    </w:p>
    <w:p>
      <w:pPr>
        <w:spacing w:before="0"/>
        <w:ind w:left="623" w:right="57" w:firstLine="0"/>
        <w:jc w:val="center"/>
        <w:outlineLvl w:val="0"/>
        <w:rPr>
          <w:sz w:val="28"/>
          <w:szCs w:val="15"/>
        </w:rPr>
        <w:sectPr>
          <w:pgSz w:w="11910" w:h="16840"/>
          <w:pgMar w:top="1580" w:right="800" w:bottom="1420" w:left="740" w:header="0" w:footer="1153" w:gutter="0"/>
          <w:pgNumType w:fmt="decimal"/>
          <w:cols w:space="720" w:num="1"/>
        </w:sectPr>
      </w:pPr>
      <w:bookmarkStart w:id="250" w:name="_Toc28287"/>
      <w:r>
        <w:rPr>
          <w:rFonts w:hint="eastAsia" w:ascii="宋体" w:hAnsi="宋体" w:eastAsia="宋体" w:cs="宋体"/>
          <w:b/>
          <w:sz w:val="28"/>
          <w:szCs w:val="15"/>
        </w:rPr>
        <w:t>第二册</w:t>
      </w:r>
      <w:bookmarkEnd w:id="250"/>
    </w:p>
    <w:p>
      <w:pPr>
        <w:keepNext w:val="0"/>
        <w:keepLines w:val="0"/>
        <w:pageBreakBefore w:val="0"/>
        <w:widowControl w:val="0"/>
        <w:kinsoku/>
        <w:wordWrap/>
        <w:overflowPunct/>
        <w:topLinePunct w:val="0"/>
        <w:autoSpaceDE w:val="0"/>
        <w:autoSpaceDN w:val="0"/>
        <w:bidi w:val="0"/>
        <w:adjustRightInd/>
        <w:snapToGrid/>
        <w:spacing w:before="61"/>
        <w:ind w:right="57" w:firstLine="4216" w:firstLineChars="1500"/>
        <w:jc w:val="both"/>
        <w:textAlignment w:val="auto"/>
        <w:outlineLvl w:val="0"/>
        <w:rPr>
          <w:rFonts w:hint="eastAsia" w:ascii="宋体" w:hAnsi="宋体" w:eastAsia="宋体" w:cs="宋体"/>
          <w:b/>
          <w:sz w:val="28"/>
        </w:rPr>
      </w:pPr>
      <w:bookmarkStart w:id="251" w:name="_Toc13345"/>
      <w:bookmarkStart w:id="252" w:name="_Toc32627"/>
      <w:bookmarkStart w:id="253" w:name="_Toc1442"/>
      <w:r>
        <w:rPr>
          <w:rFonts w:hint="eastAsia" w:ascii="宋体" w:hAnsi="宋体" w:eastAsia="宋体" w:cs="宋体"/>
          <w:b/>
          <w:sz w:val="28"/>
        </w:rPr>
        <w:t xml:space="preserve">第3章 </w:t>
      </w:r>
      <w:r>
        <w:rPr>
          <w:rFonts w:hint="eastAsia" w:ascii="宋体" w:hAnsi="宋体" w:eastAsia="宋体" w:cs="宋体"/>
          <w:b/>
          <w:sz w:val="28"/>
          <w:lang w:val="en-US" w:eastAsia="zh-CN"/>
        </w:rPr>
        <w:t>招标公告</w:t>
      </w:r>
      <w:bookmarkEnd w:id="251"/>
      <w:bookmarkEnd w:id="252"/>
      <w:bookmarkEnd w:id="253"/>
    </w:p>
    <w:p>
      <w:pPr>
        <w:pStyle w:val="3"/>
        <w:spacing w:line="242" w:lineRule="auto"/>
        <w:ind w:left="255" w:right="227" w:firstLine="600"/>
        <w:jc w:val="center"/>
        <w:outlineLvl w:val="1"/>
        <w:rPr>
          <w:rFonts w:hint="eastAsia" w:ascii="宋体" w:hAnsi="宋体" w:eastAsia="宋体" w:cs="宋体"/>
          <w:b/>
          <w:bCs/>
          <w:spacing w:val="-6"/>
          <w:u w:val="none"/>
          <w:lang w:val="en-US" w:eastAsia="zh-CN"/>
        </w:rPr>
      </w:pPr>
      <w:bookmarkStart w:id="254" w:name="_bookmark3"/>
      <w:bookmarkEnd w:id="254"/>
      <w:bookmarkStart w:id="255" w:name="城东金融贸易区2020年绿化环卫公共服务一体化项目招标公告"/>
      <w:bookmarkEnd w:id="255"/>
      <w:r>
        <w:rPr>
          <w:rFonts w:hint="eastAsia" w:ascii="宋体" w:hAnsi="宋体" w:eastAsia="宋体" w:cs="宋体"/>
          <w:b/>
          <w:bCs/>
          <w:spacing w:val="-6"/>
          <w:u w:val="none"/>
          <w:lang w:val="en-US" w:eastAsia="zh-CN"/>
        </w:rPr>
        <w:t>综合保税区物业及绿化养护道路保洁服务项目</w:t>
      </w:r>
    </w:p>
    <w:p>
      <w:pPr>
        <w:pStyle w:val="3"/>
        <w:spacing w:line="242" w:lineRule="auto"/>
        <w:ind w:left="255" w:right="227" w:firstLine="600"/>
        <w:jc w:val="both"/>
        <w:rPr>
          <w:rFonts w:hint="eastAsia" w:ascii="宋体" w:hAnsi="宋体" w:eastAsia="宋体" w:cs="宋体"/>
          <w:spacing w:val="-6"/>
          <w:u w:val="single"/>
          <w:lang w:eastAsia="zh-CN"/>
        </w:rPr>
      </w:pPr>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036" w:type="dxa"/>
            <w:noWrap w:val="0"/>
            <w:vAlign w:val="top"/>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项目概况</w:t>
            </w:r>
          </w:p>
          <w:p>
            <w:pPr>
              <w:ind w:firstLine="660" w:firstLineChars="300"/>
              <w:rPr>
                <w:rFonts w:hint="eastAsia" w:ascii="宋体" w:hAnsi="宋体" w:eastAsia="宋体" w:cs="宋体"/>
                <w:color w:val="auto"/>
                <w:lang w:val="en-US" w:eastAsia="zh-CN"/>
              </w:rPr>
            </w:pPr>
            <w:r>
              <w:rPr>
                <w:rFonts w:hint="eastAsia" w:ascii="宋体" w:hAnsi="宋体" w:eastAsia="宋体" w:cs="宋体"/>
                <w:color w:val="auto"/>
                <w:u w:val="single"/>
                <w:lang w:val="en-US" w:eastAsia="zh-CN"/>
              </w:rPr>
              <w:t>综合保税区物业及绿化养护道路保洁服务项目</w:t>
            </w:r>
            <w:r>
              <w:rPr>
                <w:rFonts w:hint="eastAsia" w:ascii="宋体" w:hAnsi="宋体" w:eastAsia="宋体" w:cs="宋体"/>
                <w:color w:val="auto"/>
                <w:lang w:eastAsia="zh-CN"/>
              </w:rPr>
              <w:t>招标项目的潜在</w:t>
            </w:r>
            <w:r>
              <w:rPr>
                <w:rFonts w:hint="eastAsia" w:ascii="宋体" w:hAnsi="宋体" w:eastAsia="宋体" w:cs="宋体"/>
                <w:color w:val="auto"/>
                <w:lang w:val="en-US" w:eastAsia="zh-CN"/>
              </w:rPr>
              <w:t>供应商</w:t>
            </w:r>
            <w:r>
              <w:rPr>
                <w:rFonts w:hint="eastAsia" w:ascii="宋体" w:hAnsi="宋体" w:eastAsia="宋体" w:cs="宋体"/>
                <w:color w:val="auto"/>
                <w:lang w:eastAsia="zh-CN"/>
              </w:rPr>
              <w:t>应在政采云平台http://www.zcygov.cn，在线申请（登录政府采购云平台 → 项目采购 → 获取</w:t>
            </w:r>
            <w:r>
              <w:rPr>
                <w:rFonts w:hint="eastAsia" w:ascii="宋体" w:hAnsi="宋体" w:eastAsia="宋体" w:cs="宋体"/>
                <w:color w:val="auto"/>
                <w:lang w:val="en-US" w:eastAsia="zh-CN"/>
              </w:rPr>
              <w:t>采购</w:t>
            </w:r>
            <w:r>
              <w:rPr>
                <w:rFonts w:hint="eastAsia" w:ascii="宋体" w:hAnsi="宋体" w:eastAsia="宋体" w:cs="宋体"/>
                <w:color w:val="auto"/>
                <w:lang w:eastAsia="zh-CN"/>
              </w:rPr>
              <w:t>文件 → 申请）获取</w:t>
            </w:r>
            <w:r>
              <w:rPr>
                <w:rFonts w:hint="eastAsia" w:ascii="宋体" w:hAnsi="宋体" w:eastAsia="宋体" w:cs="宋体"/>
                <w:color w:val="auto"/>
                <w:lang w:val="en-US" w:eastAsia="zh-CN"/>
              </w:rPr>
              <w:t>采购</w:t>
            </w:r>
            <w:r>
              <w:rPr>
                <w:rFonts w:hint="eastAsia" w:ascii="宋体" w:hAnsi="宋体" w:eastAsia="宋体" w:cs="宋体"/>
                <w:color w:val="auto"/>
                <w:lang w:eastAsia="zh-CN"/>
              </w:rPr>
              <w:t>文件，并于</w:t>
            </w:r>
            <w:r>
              <w:rPr>
                <w:rFonts w:hint="eastAsia" w:ascii="宋体" w:hAnsi="宋体" w:eastAsia="宋体" w:cs="宋体"/>
                <w:color w:val="auto"/>
                <w:lang w:val="en-US" w:eastAsia="zh-CN"/>
              </w:rPr>
              <w:t>2022年10月09日11点00分</w:t>
            </w:r>
            <w:r>
              <w:rPr>
                <w:rFonts w:hint="eastAsia" w:ascii="宋体" w:hAnsi="宋体" w:eastAsia="宋体" w:cs="宋体"/>
                <w:color w:val="auto"/>
                <w:lang w:eastAsia="zh-CN"/>
              </w:rPr>
              <w:t>（北京时间）前递交</w:t>
            </w:r>
            <w:r>
              <w:rPr>
                <w:rFonts w:hint="eastAsia" w:ascii="宋体" w:hAnsi="宋体" w:eastAsia="宋体" w:cs="宋体"/>
                <w:color w:val="auto"/>
                <w:lang w:val="en-US" w:eastAsia="zh-CN"/>
              </w:rPr>
              <w:t>投标</w:t>
            </w:r>
            <w:r>
              <w:rPr>
                <w:rFonts w:hint="eastAsia" w:ascii="宋体" w:hAnsi="宋体" w:eastAsia="宋体" w:cs="宋体"/>
                <w:color w:val="auto"/>
                <w:lang w:eastAsia="zh-CN"/>
              </w:rPr>
              <w:t>文件。</w:t>
            </w:r>
          </w:p>
        </w:tc>
      </w:tr>
    </w:tbl>
    <w:p>
      <w:pPr>
        <w:rPr>
          <w:rFonts w:hint="eastAsia" w:ascii="宋体" w:hAnsi="宋体" w:eastAsia="宋体" w:cs="宋体"/>
          <w:color w:val="auto"/>
          <w:lang w:eastAsia="zh-CN"/>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right="227" w:firstLine="632" w:firstLineChars="300"/>
        <w:jc w:val="both"/>
        <w:textAlignment w:val="auto"/>
        <w:outlineLvl w:val="1"/>
        <w:rPr>
          <w:rFonts w:hint="eastAsia" w:ascii="宋体" w:hAnsi="宋体" w:eastAsia="宋体" w:cs="宋体"/>
          <w:b/>
          <w:bCs/>
          <w:color w:val="auto"/>
          <w:sz w:val="21"/>
          <w:szCs w:val="21"/>
        </w:rPr>
      </w:pPr>
      <w:bookmarkStart w:id="256" w:name="一、项目基本情况"/>
      <w:bookmarkEnd w:id="256"/>
      <w:bookmarkStart w:id="257" w:name="_bookmark4"/>
      <w:bookmarkEnd w:id="257"/>
      <w:bookmarkStart w:id="258" w:name="_Toc28242"/>
      <w:bookmarkStart w:id="259" w:name="_Toc11152"/>
      <w:bookmarkStart w:id="260" w:name="_Toc29225"/>
      <w:r>
        <w:rPr>
          <w:rFonts w:hint="eastAsia" w:ascii="宋体" w:hAnsi="宋体" w:eastAsia="宋体" w:cs="宋体"/>
          <w:b/>
          <w:bCs/>
          <w:color w:val="auto"/>
          <w:sz w:val="21"/>
          <w:szCs w:val="21"/>
        </w:rPr>
        <w:t>一、项目基本情况</w:t>
      </w:r>
      <w:bookmarkEnd w:id="258"/>
      <w:bookmarkEnd w:id="259"/>
      <w:bookmarkEnd w:id="260"/>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default" w:ascii="宋体" w:hAnsi="宋体" w:eastAsia="宋体" w:cs="宋体"/>
          <w:color w:val="auto"/>
          <w:lang w:val="en-US" w:eastAsia="zh-CN"/>
        </w:rPr>
      </w:pPr>
      <w:r>
        <w:rPr>
          <w:rFonts w:hint="eastAsia" w:ascii="宋体" w:hAnsi="宋体" w:eastAsia="宋体" w:cs="宋体"/>
          <w:color w:val="auto"/>
        </w:rPr>
        <w:t>项目编号：KSJJKFQZFCG(GK)2022-0</w:t>
      </w:r>
      <w:r>
        <w:rPr>
          <w:rFonts w:hint="eastAsia" w:ascii="宋体" w:hAnsi="宋体" w:eastAsia="宋体" w:cs="宋体"/>
          <w:color w:val="auto"/>
          <w:lang w:val="en-US" w:eastAsia="zh-CN"/>
        </w:rPr>
        <w:t>13</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eastAsia" w:ascii="宋体" w:hAnsi="宋体" w:eastAsia="宋体" w:cs="宋体"/>
          <w:color w:val="auto"/>
          <w:spacing w:val="-5"/>
          <w:lang w:val="en-US" w:eastAsia="zh-CN"/>
        </w:rPr>
      </w:pPr>
      <w:r>
        <w:rPr>
          <w:rFonts w:hint="eastAsia" w:ascii="宋体" w:hAnsi="宋体" w:eastAsia="宋体" w:cs="宋体"/>
          <w:color w:val="auto"/>
          <w:spacing w:val="-5"/>
        </w:rPr>
        <w:t>项目名称：</w:t>
      </w:r>
      <w:r>
        <w:rPr>
          <w:rFonts w:hint="eastAsia" w:ascii="宋体" w:hAnsi="宋体" w:eastAsia="宋体" w:cs="宋体"/>
          <w:color w:val="auto"/>
          <w:spacing w:val="-5"/>
          <w:lang w:val="en-US" w:eastAsia="zh-CN"/>
        </w:rPr>
        <w:t>综合保税区物业及绿化养护道路保洁服务项目</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eastAsia" w:ascii="宋体" w:hAnsi="宋体" w:eastAsia="宋体" w:cs="宋体"/>
          <w:color w:val="auto"/>
          <w:spacing w:val="-6"/>
          <w:u w:val="none"/>
          <w:lang w:eastAsia="zh-CN"/>
        </w:rPr>
      </w:pPr>
      <w:r>
        <w:rPr>
          <w:rFonts w:hint="eastAsia" w:ascii="宋体" w:hAnsi="宋体" w:eastAsia="宋体" w:cs="宋体"/>
          <w:color w:val="auto"/>
        </w:rPr>
        <w:t>预算金额：</w:t>
      </w:r>
      <w:r>
        <w:rPr>
          <w:rFonts w:hint="eastAsia" w:ascii="宋体" w:hAnsi="宋体" w:eastAsia="宋体" w:cs="宋体"/>
          <w:color w:val="auto"/>
          <w:lang w:val="en-US" w:eastAsia="zh-CN"/>
        </w:rPr>
        <w:t>4385034.00（肆佰叁拾捌万伍仟零叁拾肆元整）</w:t>
      </w:r>
      <w:r>
        <w:rPr>
          <w:rFonts w:hint="eastAsia" w:ascii="宋体" w:hAnsi="宋体" w:eastAsia="宋体" w:cs="宋体"/>
          <w:color w:val="auto"/>
          <w:spacing w:val="-6"/>
          <w:u w:val="none"/>
          <w:lang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eastAsia" w:ascii="宋体" w:hAnsi="宋体" w:eastAsia="宋体" w:cs="宋体"/>
          <w:color w:val="auto"/>
          <w:u w:val="none"/>
          <w:lang w:eastAsia="zh-CN"/>
        </w:rPr>
      </w:pPr>
      <w:r>
        <w:rPr>
          <w:rFonts w:hint="eastAsia" w:ascii="宋体" w:hAnsi="宋体" w:eastAsia="宋体" w:cs="宋体"/>
          <w:color w:val="auto"/>
          <w:spacing w:val="-6"/>
          <w:u w:val="none"/>
          <w:lang w:eastAsia="zh-CN"/>
        </w:rPr>
        <w:t>最高限价：</w:t>
      </w:r>
      <w:r>
        <w:rPr>
          <w:rFonts w:hint="eastAsia" w:ascii="宋体" w:hAnsi="宋体" w:eastAsia="宋体" w:cs="宋体"/>
          <w:color w:val="auto"/>
          <w:lang w:val="en-US" w:eastAsia="zh-CN"/>
        </w:rPr>
        <w:t>4385034.00（肆佰叁拾捌万伍仟零叁拾肆元整）</w:t>
      </w:r>
      <w:r>
        <w:rPr>
          <w:rFonts w:hint="eastAsia" w:ascii="宋体" w:hAnsi="宋体" w:eastAsia="宋体" w:cs="宋体"/>
          <w:color w:val="auto"/>
          <w:spacing w:val="-6"/>
          <w:u w:val="none"/>
          <w:lang w:eastAsia="zh-CN"/>
        </w:rPr>
        <w:t xml:space="preserve"> </w:t>
      </w:r>
      <w:r>
        <w:rPr>
          <w:rFonts w:hint="eastAsia" w:ascii="宋体" w:hAnsi="宋体" w:eastAsia="宋体" w:cs="宋体"/>
          <w:color w:val="auto"/>
          <w:u w:val="none"/>
          <w:lang w:eastAsia="zh-CN"/>
        </w:rPr>
        <w:t xml:space="preserve"> </w:t>
      </w:r>
    </w:p>
    <w:p>
      <w:pPr>
        <w:bidi w:val="0"/>
        <w:ind w:left="1859" w:leftChars="327" w:hanging="1140" w:hangingChars="500"/>
        <w:rPr>
          <w:rFonts w:hint="eastAsia" w:ascii="宋体" w:hAnsi="宋体" w:eastAsia="宋体" w:cs="宋体"/>
          <w:color w:val="auto"/>
          <w:spacing w:val="-6"/>
          <w:sz w:val="24"/>
          <w:szCs w:val="24"/>
          <w:u w:val="none"/>
          <w:lang w:val="en-US" w:eastAsia="zh-CN" w:bidi="zh-CN"/>
        </w:rPr>
      </w:pPr>
      <w:r>
        <w:rPr>
          <w:rFonts w:hint="eastAsia" w:ascii="宋体" w:hAnsi="宋体" w:eastAsia="宋体" w:cs="宋体"/>
          <w:color w:val="auto"/>
          <w:spacing w:val="-6"/>
          <w:sz w:val="24"/>
          <w:szCs w:val="24"/>
          <w:u w:val="none"/>
          <w:lang w:val="zh-CN" w:eastAsia="zh-CN" w:bidi="zh-CN"/>
        </w:rPr>
        <w:t>采购需求：</w:t>
      </w:r>
      <w:r>
        <w:rPr>
          <w:rFonts w:hint="eastAsia" w:ascii="宋体" w:hAnsi="宋体" w:eastAsia="宋体" w:cs="宋体"/>
          <w:color w:val="auto"/>
          <w:spacing w:val="-6"/>
          <w:sz w:val="24"/>
          <w:szCs w:val="24"/>
          <w:u w:val="none"/>
          <w:lang w:val="en-US" w:eastAsia="zh-CN" w:bidi="zh-CN"/>
        </w:rPr>
        <w:t>服务区域：园区绿化养护、零星任务等服务，综保区道路保洁面积492071㎡，综保区绿化养护面积398492.5㎡的服务。综保区园区、包含办公楼、库房、厂房、展销中心等全部建筑。公租房区域，包含小果园区域；物业服务包括保安、保洁、维修、会议。</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right="629" w:firstLine="720" w:firstLineChars="300"/>
        <w:jc w:val="both"/>
        <w:textAlignment w:val="auto"/>
        <w:rPr>
          <w:rFonts w:hint="eastAsia" w:ascii="宋体" w:hAnsi="宋体" w:eastAsia="宋体" w:cs="宋体"/>
          <w:color w:val="auto"/>
          <w:lang w:eastAsia="zh-CN"/>
        </w:rPr>
      </w:pPr>
      <w:r>
        <w:rPr>
          <w:rFonts w:hint="eastAsia" w:ascii="宋体" w:hAnsi="宋体" w:eastAsia="宋体" w:cs="宋体"/>
        </w:rPr>
        <w:t>合同履行期</w:t>
      </w:r>
      <w:r>
        <w:rPr>
          <w:rFonts w:hint="eastAsia" w:ascii="宋体" w:hAnsi="宋体" w:eastAsia="宋体" w:cs="宋体"/>
          <w:color w:val="auto"/>
        </w:rPr>
        <w:t>限：</w:t>
      </w:r>
      <w:r>
        <w:rPr>
          <w:rFonts w:hint="eastAsia" w:ascii="宋体" w:hAnsi="宋体" w:eastAsia="宋体" w:cs="宋体"/>
          <w:color w:val="auto"/>
          <w:lang w:val="en-US" w:eastAsia="zh-CN"/>
        </w:rPr>
        <w:t>12个月</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textAlignment w:val="auto"/>
        <w:outlineLvl w:val="1"/>
        <w:rPr>
          <w:rFonts w:hint="eastAsia" w:ascii="宋体" w:hAnsi="宋体" w:eastAsia="宋体" w:cs="宋体"/>
          <w:b/>
          <w:bCs/>
        </w:rPr>
      </w:pPr>
      <w:bookmarkStart w:id="261" w:name="二、申请人的资格要求："/>
      <w:bookmarkEnd w:id="261"/>
      <w:bookmarkStart w:id="262" w:name="_bookmark5"/>
      <w:bookmarkEnd w:id="262"/>
      <w:bookmarkStart w:id="263" w:name="_Toc7884"/>
      <w:bookmarkStart w:id="264" w:name="_Toc10988"/>
      <w:bookmarkStart w:id="265" w:name="_Toc32359"/>
      <w:r>
        <w:rPr>
          <w:rFonts w:hint="eastAsia" w:ascii="宋体" w:hAnsi="宋体" w:eastAsia="宋体" w:cs="宋体"/>
          <w:b/>
          <w:bCs/>
        </w:rPr>
        <w:t>二、申请人的资格要求：</w:t>
      </w:r>
      <w:bookmarkEnd w:id="263"/>
      <w:bookmarkEnd w:id="264"/>
      <w:bookmarkEnd w:id="265"/>
    </w:p>
    <w:p>
      <w:pPr>
        <w:pStyle w:val="3"/>
        <w:spacing w:before="5"/>
        <w:ind w:left="736"/>
        <w:rPr>
          <w:rFonts w:hint="eastAsia" w:ascii="宋体" w:hAnsi="宋体" w:eastAsia="宋体" w:cs="宋体"/>
          <w:b/>
          <w:bCs w:val="0"/>
          <w:color w:val="auto"/>
          <w:sz w:val="24"/>
          <w:szCs w:val="22"/>
          <w:u w:val="none"/>
          <w:lang w:val="en-US" w:eastAsia="zh-CN" w:bidi="zh-CN"/>
        </w:rPr>
      </w:pPr>
      <w:r>
        <w:rPr>
          <w:rFonts w:hint="eastAsia" w:ascii="宋体" w:hAnsi="宋体" w:eastAsia="宋体" w:cs="宋体"/>
          <w:b/>
          <w:bCs w:val="0"/>
          <w:color w:val="auto"/>
          <w:sz w:val="24"/>
          <w:szCs w:val="22"/>
          <w:u w:val="none"/>
          <w:lang w:val="en-US" w:eastAsia="zh-CN" w:bidi="zh-CN"/>
        </w:rPr>
        <w:t>1.满足《中华人民共和国政府采购法》第二十二条规定；</w:t>
      </w:r>
    </w:p>
    <w:p>
      <w:pPr>
        <w:spacing w:line="400" w:lineRule="exact"/>
        <w:ind w:firstLine="960" w:firstLineChars="400"/>
        <w:jc w:val="left"/>
        <w:rPr>
          <w:rFonts w:hint="eastAsia" w:ascii="宋体" w:hAnsi="宋体" w:eastAsia="宋体" w:cs="宋体"/>
          <w:b w:val="0"/>
          <w:bCs/>
          <w:color w:val="000000"/>
          <w:sz w:val="24"/>
          <w:szCs w:val="22"/>
          <w:u w:val="none"/>
          <w:lang w:val="en-US" w:eastAsia="zh-CN" w:bidi="zh-CN"/>
        </w:rPr>
      </w:pPr>
      <w:r>
        <w:rPr>
          <w:rFonts w:hint="eastAsia" w:ascii="宋体" w:hAnsi="宋体" w:eastAsia="宋体" w:cs="宋体"/>
          <w:b w:val="0"/>
          <w:bCs/>
          <w:color w:val="000000"/>
          <w:sz w:val="24"/>
          <w:szCs w:val="22"/>
          <w:u w:val="none"/>
          <w:lang w:val="en-US" w:eastAsia="zh-CN" w:bidi="zh-CN"/>
        </w:rPr>
        <w:t>（1）具有独立承担民事责任</w:t>
      </w:r>
      <w:r>
        <w:rPr>
          <w:rFonts w:hint="eastAsia" w:ascii="宋体" w:hAnsi="宋体" w:eastAsia="宋体" w:cs="宋体"/>
          <w:b w:val="0"/>
          <w:bCs/>
          <w:color w:val="auto"/>
          <w:sz w:val="24"/>
          <w:szCs w:val="22"/>
          <w:u w:val="none"/>
          <w:lang w:val="en-US" w:eastAsia="zh-CN" w:bidi="zh-CN"/>
        </w:rPr>
        <w:t>的能力（三</w:t>
      </w:r>
      <w:r>
        <w:rPr>
          <w:rFonts w:hint="eastAsia" w:ascii="宋体" w:hAnsi="宋体" w:eastAsia="宋体" w:cs="宋体"/>
          <w:b w:val="0"/>
          <w:bCs/>
          <w:color w:val="000000"/>
          <w:sz w:val="24"/>
          <w:szCs w:val="22"/>
          <w:u w:val="none"/>
          <w:lang w:val="en-US" w:eastAsia="zh-CN" w:bidi="zh-CN"/>
        </w:rPr>
        <w:t>证合一的营业执照）；</w:t>
      </w:r>
    </w:p>
    <w:p>
      <w:pPr>
        <w:spacing w:line="400" w:lineRule="exact"/>
        <w:ind w:left="1919" w:leftChars="436" w:hanging="960" w:hangingChars="400"/>
        <w:jc w:val="left"/>
        <w:rPr>
          <w:rFonts w:hint="eastAsia" w:ascii="宋体" w:hAnsi="宋体" w:eastAsia="宋体" w:cs="宋体"/>
          <w:b w:val="0"/>
          <w:bCs/>
          <w:color w:val="000000"/>
          <w:sz w:val="24"/>
          <w:szCs w:val="22"/>
          <w:u w:val="none"/>
          <w:lang w:val="en-US" w:eastAsia="zh-CN" w:bidi="zh-CN"/>
        </w:rPr>
      </w:pPr>
      <w:r>
        <w:rPr>
          <w:rFonts w:hint="eastAsia" w:ascii="宋体" w:hAnsi="宋体" w:eastAsia="宋体" w:cs="宋体"/>
          <w:b w:val="0"/>
          <w:bCs/>
          <w:color w:val="000000"/>
          <w:sz w:val="24"/>
          <w:szCs w:val="22"/>
          <w:u w:val="none"/>
          <w:lang w:val="en-US" w:eastAsia="zh-CN" w:bidi="zh-CN"/>
        </w:rPr>
        <w:t>（2）法定代表人授权书及被委托人身份证（法定代表人投标提供法定代表人身份证明及身份证）；</w:t>
      </w:r>
    </w:p>
    <w:p>
      <w:pPr>
        <w:spacing w:line="400" w:lineRule="exact"/>
        <w:ind w:left="1919" w:leftChars="436" w:hanging="960" w:hangingChars="400"/>
        <w:jc w:val="left"/>
        <w:rPr>
          <w:rFonts w:hint="eastAsia" w:ascii="宋体" w:hAnsi="宋体" w:eastAsia="宋体" w:cs="宋体"/>
          <w:b w:val="0"/>
          <w:bCs/>
          <w:color w:val="000000"/>
          <w:sz w:val="24"/>
          <w:szCs w:val="22"/>
          <w:u w:val="none"/>
          <w:lang w:val="en-US" w:eastAsia="zh-CN" w:bidi="zh-CN"/>
        </w:rPr>
      </w:pPr>
      <w:r>
        <w:rPr>
          <w:rFonts w:hint="eastAsia" w:ascii="宋体" w:hAnsi="宋体" w:eastAsia="宋体" w:cs="宋体"/>
          <w:b w:val="0"/>
          <w:bCs/>
          <w:color w:val="000000"/>
          <w:sz w:val="24"/>
          <w:szCs w:val="22"/>
          <w:u w:val="none"/>
          <w:lang w:val="en-US" w:eastAsia="zh-CN" w:bidi="zh-CN"/>
        </w:rPr>
        <w:t>（3）具有税务局开具依法缴纳近六个月任意一个月的完税证明；</w:t>
      </w:r>
    </w:p>
    <w:p>
      <w:pPr>
        <w:spacing w:line="400" w:lineRule="exact"/>
        <w:ind w:left="1919" w:leftChars="436" w:hanging="960" w:hangingChars="400"/>
        <w:jc w:val="left"/>
        <w:rPr>
          <w:rFonts w:hint="eastAsia" w:ascii="宋体" w:hAnsi="宋体" w:eastAsia="宋体" w:cs="宋体"/>
          <w:b w:val="0"/>
          <w:bCs/>
          <w:color w:val="000000"/>
          <w:sz w:val="24"/>
          <w:szCs w:val="22"/>
          <w:u w:val="none"/>
          <w:lang w:val="en-US" w:eastAsia="zh-CN" w:bidi="zh-CN"/>
        </w:rPr>
      </w:pPr>
      <w:r>
        <w:rPr>
          <w:rFonts w:hint="eastAsia" w:ascii="宋体" w:hAnsi="宋体" w:eastAsia="宋体" w:cs="宋体"/>
          <w:b w:val="0"/>
          <w:bCs/>
          <w:color w:val="000000"/>
          <w:sz w:val="24"/>
          <w:szCs w:val="22"/>
          <w:u w:val="none"/>
          <w:lang w:val="en-US" w:eastAsia="zh-CN" w:bidi="zh-CN"/>
        </w:rPr>
        <w:t>（4）2021年度的财务审计报告（新成立未满一年的公司需提供有效的银行资信证明）；</w:t>
      </w:r>
    </w:p>
    <w:p>
      <w:pPr>
        <w:spacing w:line="400" w:lineRule="exact"/>
        <w:ind w:left="1679" w:leftChars="436" w:hanging="720" w:hangingChars="300"/>
        <w:jc w:val="left"/>
        <w:rPr>
          <w:rFonts w:hint="eastAsia" w:ascii="宋体" w:hAnsi="宋体" w:eastAsia="宋体" w:cs="宋体"/>
          <w:b w:val="0"/>
          <w:bCs/>
          <w:color w:val="000000"/>
          <w:sz w:val="24"/>
          <w:szCs w:val="22"/>
          <w:u w:val="none"/>
          <w:lang w:val="en-US" w:eastAsia="zh-CN" w:bidi="zh-CN"/>
        </w:rPr>
      </w:pPr>
      <w:r>
        <w:rPr>
          <w:rFonts w:hint="eastAsia" w:ascii="宋体" w:hAnsi="宋体" w:eastAsia="宋体" w:cs="宋体"/>
          <w:b w:val="0"/>
          <w:bCs/>
          <w:color w:val="000000"/>
          <w:sz w:val="24"/>
          <w:szCs w:val="22"/>
          <w:u w:val="none"/>
          <w:lang w:val="en-US" w:eastAsia="zh-CN" w:bidi="zh-CN"/>
        </w:rPr>
        <w:t>（5）参加采购活动前三年内，在经营活动中无重大违法声明；</w:t>
      </w:r>
    </w:p>
    <w:p>
      <w:pPr>
        <w:spacing w:line="400" w:lineRule="exact"/>
        <w:ind w:firstLine="960" w:firstLineChars="400"/>
        <w:jc w:val="left"/>
        <w:rPr>
          <w:rFonts w:hint="eastAsia" w:ascii="宋体" w:hAnsi="宋体" w:eastAsia="宋体" w:cs="宋体"/>
          <w:b w:val="0"/>
          <w:bCs/>
          <w:color w:val="000000"/>
          <w:sz w:val="24"/>
          <w:szCs w:val="22"/>
          <w:u w:val="none"/>
          <w:lang w:val="en-US" w:eastAsia="zh-CN" w:bidi="zh-CN"/>
        </w:rPr>
      </w:pPr>
      <w:r>
        <w:rPr>
          <w:rFonts w:hint="eastAsia" w:ascii="宋体" w:hAnsi="宋体" w:eastAsia="宋体" w:cs="宋体"/>
          <w:b w:val="0"/>
          <w:bCs/>
          <w:color w:val="000000"/>
          <w:sz w:val="24"/>
          <w:szCs w:val="22"/>
          <w:u w:val="none"/>
          <w:lang w:val="en-US" w:eastAsia="zh-CN" w:bidi="zh-CN"/>
        </w:rPr>
        <w:t>（6）投标单位（供应商）具备针对本次采购项目《反商业贿赂承诺书》；</w:t>
      </w:r>
    </w:p>
    <w:p>
      <w:pPr>
        <w:spacing w:line="400" w:lineRule="exact"/>
        <w:ind w:firstLine="960" w:firstLineChars="400"/>
        <w:jc w:val="left"/>
        <w:rPr>
          <w:rFonts w:hint="default" w:ascii="宋体" w:hAnsi="宋体" w:eastAsia="宋体" w:cs="宋体"/>
          <w:b w:val="0"/>
          <w:bCs/>
          <w:color w:val="000000"/>
          <w:sz w:val="24"/>
          <w:szCs w:val="22"/>
          <w:u w:val="none"/>
          <w:lang w:val="en-US" w:eastAsia="zh-CN" w:bidi="zh-CN"/>
        </w:rPr>
      </w:pPr>
      <w:r>
        <w:rPr>
          <w:rFonts w:hint="eastAsia" w:ascii="宋体" w:hAnsi="宋体" w:eastAsia="宋体" w:cs="宋体"/>
          <w:b w:val="0"/>
          <w:bCs/>
          <w:color w:val="000000"/>
          <w:sz w:val="24"/>
          <w:szCs w:val="22"/>
          <w:u w:val="none"/>
          <w:lang w:val="en-US" w:eastAsia="zh-CN" w:bidi="zh-CN"/>
        </w:rPr>
        <w:t>（7）中小企业声明函；</w:t>
      </w:r>
    </w:p>
    <w:p>
      <w:pPr>
        <w:pStyle w:val="2"/>
        <w:ind w:firstLine="964" w:firstLineChars="400"/>
        <w:jc w:val="left"/>
        <w:rPr>
          <w:rFonts w:hint="eastAsia" w:ascii="宋体" w:hAnsi="宋体" w:eastAsia="宋体" w:cs="宋体"/>
          <w:b/>
          <w:bCs w:val="0"/>
          <w:color w:val="000000"/>
          <w:sz w:val="24"/>
          <w:szCs w:val="22"/>
          <w:u w:val="none"/>
          <w:lang w:val="en-US" w:eastAsia="zh-CN" w:bidi="zh-CN"/>
        </w:rPr>
      </w:pPr>
      <w:r>
        <w:rPr>
          <w:rFonts w:hint="eastAsia" w:ascii="宋体" w:hAnsi="宋体" w:eastAsia="宋体" w:cs="宋体"/>
          <w:b/>
          <w:bCs w:val="0"/>
          <w:color w:val="000000"/>
          <w:sz w:val="24"/>
          <w:szCs w:val="22"/>
          <w:u w:val="none"/>
          <w:lang w:val="en-US" w:eastAsia="zh-CN" w:bidi="zh-CN"/>
        </w:rPr>
        <w:t>本项目不接受联合体投标</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textAlignment w:val="auto"/>
        <w:outlineLvl w:val="1"/>
        <w:rPr>
          <w:rFonts w:hint="eastAsia" w:ascii="宋体" w:hAnsi="宋体" w:eastAsia="宋体" w:cs="宋体"/>
          <w:b/>
          <w:bCs/>
        </w:rPr>
      </w:pPr>
      <w:bookmarkStart w:id="266" w:name="三、获取招标文件"/>
      <w:bookmarkEnd w:id="266"/>
      <w:bookmarkStart w:id="267" w:name="_bookmark6"/>
      <w:bookmarkEnd w:id="267"/>
      <w:bookmarkStart w:id="268" w:name="_Toc16126"/>
      <w:bookmarkStart w:id="269" w:name="_Toc15405"/>
      <w:bookmarkStart w:id="270" w:name="_Toc2442"/>
      <w:r>
        <w:rPr>
          <w:rFonts w:hint="eastAsia" w:ascii="宋体" w:hAnsi="宋体" w:eastAsia="宋体" w:cs="宋体"/>
          <w:b/>
          <w:bCs/>
        </w:rPr>
        <w:t>三、获取招标文件</w:t>
      </w:r>
      <w:bookmarkEnd w:id="268"/>
      <w:bookmarkEnd w:id="269"/>
      <w:bookmarkEnd w:id="270"/>
    </w:p>
    <w:p>
      <w:pPr>
        <w:pStyle w:val="3"/>
        <w:spacing w:before="5" w:line="242" w:lineRule="auto"/>
        <w:ind w:left="973" w:leftChars="115" w:right="151" w:hanging="720" w:hangingChars="300"/>
        <w:rPr>
          <w:rFonts w:hint="eastAsia" w:ascii="宋体" w:hAnsi="宋体" w:eastAsia="宋体" w:cs="宋体"/>
          <w:color w:val="FF0000"/>
        </w:rPr>
      </w:pPr>
      <w:bookmarkStart w:id="271" w:name="_bookmark9"/>
      <w:bookmarkEnd w:id="271"/>
      <w:bookmarkStart w:id="272" w:name="六、对本次招标提出询问，请按以下方式联系。"/>
      <w:bookmarkEnd w:id="272"/>
      <w:r>
        <w:rPr>
          <w:rFonts w:hint="eastAsia" w:ascii="宋体" w:hAnsi="宋体" w:eastAsia="宋体" w:cs="宋体"/>
        </w:rPr>
        <w:t>时间：</w:t>
      </w: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09</w:t>
      </w:r>
      <w:r>
        <w:rPr>
          <w:rFonts w:hint="eastAsia" w:ascii="宋体" w:hAnsi="宋体" w:eastAsia="宋体" w:cs="宋体"/>
          <w:color w:val="auto"/>
        </w:rPr>
        <w:t>月</w:t>
      </w:r>
      <w:r>
        <w:rPr>
          <w:rFonts w:hint="eastAsia" w:ascii="宋体" w:hAnsi="宋体" w:eastAsia="宋体" w:cs="宋体"/>
          <w:color w:val="auto"/>
          <w:lang w:val="en-US" w:eastAsia="zh-CN"/>
        </w:rPr>
        <w:t>13</w:t>
      </w:r>
      <w:r>
        <w:rPr>
          <w:rFonts w:hint="eastAsia" w:ascii="宋体" w:hAnsi="宋体" w:eastAsia="宋体" w:cs="宋体"/>
          <w:color w:val="auto"/>
        </w:rPr>
        <w:t>日至</w:t>
      </w:r>
      <w:r>
        <w:rPr>
          <w:rFonts w:hint="eastAsia" w:ascii="宋体" w:hAnsi="宋体" w:eastAsia="宋体" w:cs="宋体"/>
          <w:color w:val="auto"/>
          <w:lang w:eastAsia="zh-CN"/>
        </w:rPr>
        <w:t>2022年09月</w:t>
      </w:r>
      <w:r>
        <w:rPr>
          <w:rFonts w:hint="eastAsia" w:ascii="宋体" w:hAnsi="宋体" w:eastAsia="宋体" w:cs="宋体"/>
          <w:color w:val="auto"/>
          <w:lang w:val="en-US" w:eastAsia="zh-CN"/>
        </w:rPr>
        <w:t>20</w:t>
      </w:r>
      <w:r>
        <w:rPr>
          <w:rFonts w:hint="eastAsia" w:ascii="宋体" w:hAnsi="宋体" w:eastAsia="宋体" w:cs="宋体"/>
          <w:color w:val="auto"/>
          <w:lang w:eastAsia="zh-CN"/>
        </w:rPr>
        <w:t>日</w:t>
      </w:r>
      <w:r>
        <w:rPr>
          <w:rFonts w:hint="eastAsia" w:ascii="宋体" w:hAnsi="宋体" w:eastAsia="宋体" w:cs="宋体"/>
          <w:color w:val="auto"/>
        </w:rPr>
        <w:t>，每天上午10:00至1</w:t>
      </w:r>
      <w:r>
        <w:rPr>
          <w:rFonts w:hint="eastAsia" w:ascii="宋体" w:hAnsi="宋体" w:eastAsia="宋体" w:cs="宋体"/>
          <w:color w:val="auto"/>
          <w:lang w:val="en-US" w:eastAsia="zh-CN"/>
        </w:rPr>
        <w:t>4</w:t>
      </w:r>
      <w:r>
        <w:rPr>
          <w:rFonts w:hint="eastAsia" w:ascii="宋体" w:hAnsi="宋体" w:eastAsia="宋体" w:cs="宋体"/>
          <w:color w:val="auto"/>
        </w:rPr>
        <w:t>:</w:t>
      </w:r>
      <w:r>
        <w:rPr>
          <w:rFonts w:hint="eastAsia" w:ascii="宋体" w:hAnsi="宋体" w:eastAsia="宋体" w:cs="宋体"/>
          <w:color w:val="auto"/>
          <w:lang w:val="en-US" w:eastAsia="zh-CN"/>
        </w:rPr>
        <w:t>00</w:t>
      </w:r>
      <w:r>
        <w:rPr>
          <w:rFonts w:hint="eastAsia" w:ascii="宋体" w:hAnsi="宋体" w:eastAsia="宋体" w:cs="宋体"/>
          <w:color w:val="auto"/>
        </w:rPr>
        <w:t>，下午1</w:t>
      </w: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0</w:t>
      </w:r>
      <w:r>
        <w:rPr>
          <w:rFonts w:hint="eastAsia" w:ascii="宋体" w:hAnsi="宋体" w:eastAsia="宋体" w:cs="宋体"/>
          <w:color w:val="auto"/>
        </w:rPr>
        <w:t>0至</w:t>
      </w:r>
      <w:r>
        <w:rPr>
          <w:rFonts w:hint="eastAsia" w:ascii="宋体" w:hAnsi="宋体" w:eastAsia="宋体" w:cs="宋体"/>
          <w:color w:val="auto"/>
          <w:lang w:val="en-US" w:eastAsia="zh-CN"/>
        </w:rPr>
        <w:t>20</w:t>
      </w:r>
      <w:r>
        <w:rPr>
          <w:rFonts w:hint="eastAsia" w:ascii="宋体" w:hAnsi="宋体" w:eastAsia="宋体" w:cs="宋体"/>
          <w:color w:val="auto"/>
        </w:rPr>
        <w:t>:</w:t>
      </w:r>
      <w:r>
        <w:rPr>
          <w:rFonts w:hint="eastAsia" w:ascii="宋体" w:hAnsi="宋体" w:eastAsia="宋体" w:cs="宋体"/>
          <w:color w:val="auto"/>
          <w:lang w:val="en-US" w:eastAsia="zh-CN"/>
        </w:rPr>
        <w:t>0</w:t>
      </w:r>
      <w:r>
        <w:rPr>
          <w:rFonts w:hint="eastAsia" w:ascii="宋体" w:hAnsi="宋体" w:eastAsia="宋体" w:cs="宋体"/>
          <w:color w:val="auto"/>
        </w:rPr>
        <w:t>0（北京时间，法定节假日除外）</w:t>
      </w:r>
    </w:p>
    <w:p>
      <w:pPr>
        <w:pStyle w:val="3"/>
        <w:spacing w:before="5" w:line="242" w:lineRule="auto"/>
        <w:ind w:left="973" w:leftChars="115" w:right="151" w:hanging="720" w:hangingChars="300"/>
        <w:rPr>
          <w:rFonts w:hint="eastAsia" w:ascii="宋体" w:hAnsi="宋体" w:eastAsia="宋体" w:cs="宋体"/>
          <w:color w:val="auto"/>
        </w:rPr>
      </w:pPr>
      <w:r>
        <w:rPr>
          <w:rFonts w:hint="eastAsia" w:ascii="宋体" w:hAnsi="宋体" w:eastAsia="宋体" w:cs="宋体"/>
          <w:color w:val="auto"/>
        </w:rPr>
        <w:t>地点：供应商登陆政采云平台http://www.zcygov.cn/，在线申请获取</w:t>
      </w:r>
      <w:r>
        <w:rPr>
          <w:rFonts w:hint="eastAsia" w:ascii="宋体" w:hAnsi="宋体" w:eastAsia="宋体" w:cs="宋体"/>
          <w:color w:val="auto"/>
          <w:lang w:val="en-US" w:eastAsia="zh-CN"/>
        </w:rPr>
        <w:t>采购</w:t>
      </w:r>
      <w:r>
        <w:rPr>
          <w:rFonts w:hint="eastAsia" w:ascii="宋体" w:hAnsi="宋体" w:eastAsia="宋体" w:cs="宋体"/>
          <w:color w:val="auto"/>
        </w:rPr>
        <w:t xml:space="preserve">文件（登录政府采购云平台 → 项目采购 → 获取 </w:t>
      </w:r>
      <w:r>
        <w:rPr>
          <w:rFonts w:hint="eastAsia" w:ascii="宋体" w:hAnsi="宋体" w:eastAsia="宋体" w:cs="宋体"/>
          <w:color w:val="auto"/>
          <w:lang w:val="en-US" w:eastAsia="zh-CN"/>
        </w:rPr>
        <w:t>采购</w:t>
      </w:r>
      <w:r>
        <w:rPr>
          <w:rFonts w:hint="eastAsia" w:ascii="宋体" w:hAnsi="宋体" w:eastAsia="宋体" w:cs="宋体"/>
          <w:color w:val="auto"/>
        </w:rPr>
        <w:t>文件→ 申请，审核通过后可下载</w:t>
      </w:r>
      <w:r>
        <w:rPr>
          <w:rFonts w:hint="eastAsia" w:ascii="宋体" w:hAnsi="宋体" w:eastAsia="宋体" w:cs="宋体"/>
          <w:color w:val="auto"/>
          <w:lang w:val="en-US" w:eastAsia="zh-CN"/>
        </w:rPr>
        <w:t>采购</w:t>
      </w:r>
      <w:r>
        <w:rPr>
          <w:rFonts w:hint="eastAsia" w:ascii="宋体" w:hAnsi="宋体" w:eastAsia="宋体" w:cs="宋体"/>
          <w:color w:val="auto"/>
        </w:rPr>
        <w:t>文件，如有操作性问题，可与政采云在线客服进行咨询，咨询电话：400-881-7190）。</w:t>
      </w:r>
    </w:p>
    <w:p>
      <w:pPr>
        <w:pStyle w:val="3"/>
        <w:spacing w:before="5" w:line="242" w:lineRule="auto"/>
        <w:ind w:left="1213" w:leftChars="115" w:right="151" w:hanging="960" w:hangingChars="400"/>
        <w:rPr>
          <w:rFonts w:hint="eastAsia" w:ascii="宋体" w:hAnsi="宋体" w:eastAsia="宋体" w:cs="宋体"/>
          <w:color w:val="auto"/>
        </w:rPr>
      </w:pPr>
      <w:r>
        <w:rPr>
          <w:rFonts w:hint="eastAsia" w:ascii="宋体" w:hAnsi="宋体" w:eastAsia="宋体" w:cs="宋体"/>
          <w:color w:val="auto"/>
        </w:rPr>
        <w:t>方式：（1）线上获取（登录政府采购云平台 → 项目采购 → 获取</w:t>
      </w:r>
      <w:r>
        <w:rPr>
          <w:rFonts w:hint="eastAsia" w:ascii="宋体" w:hAnsi="宋体" w:eastAsia="宋体" w:cs="宋体"/>
          <w:color w:val="auto"/>
          <w:lang w:val="en-US" w:eastAsia="zh-CN"/>
        </w:rPr>
        <w:t>采购</w:t>
      </w:r>
      <w:r>
        <w:rPr>
          <w:rFonts w:hint="eastAsia" w:ascii="宋体" w:hAnsi="宋体" w:eastAsia="宋体" w:cs="宋体"/>
          <w:color w:val="auto"/>
        </w:rPr>
        <w:t>文件 → 申请，审核通过后可下载</w:t>
      </w:r>
      <w:r>
        <w:rPr>
          <w:rFonts w:hint="eastAsia" w:ascii="宋体" w:hAnsi="宋体" w:eastAsia="宋体" w:cs="宋体"/>
          <w:color w:val="auto"/>
          <w:lang w:val="en-US" w:eastAsia="zh-CN"/>
        </w:rPr>
        <w:t>采购</w:t>
      </w:r>
      <w:r>
        <w:rPr>
          <w:rFonts w:hint="eastAsia" w:ascii="宋体" w:hAnsi="宋体" w:eastAsia="宋体" w:cs="宋体"/>
          <w:color w:val="auto"/>
        </w:rPr>
        <w:t>文件）。</w:t>
      </w:r>
    </w:p>
    <w:p>
      <w:pPr>
        <w:pStyle w:val="3"/>
        <w:spacing w:before="5" w:line="242" w:lineRule="auto"/>
        <w:ind w:left="255" w:right="151"/>
        <w:rPr>
          <w:rFonts w:hint="eastAsia" w:ascii="宋体" w:hAnsi="宋体" w:eastAsia="宋体" w:cs="宋体"/>
          <w:color w:val="auto"/>
        </w:rPr>
      </w:pPr>
      <w:r>
        <w:rPr>
          <w:rFonts w:hint="eastAsia" w:ascii="宋体" w:hAnsi="宋体" w:eastAsia="宋体" w:cs="宋体"/>
          <w:color w:val="auto"/>
        </w:rPr>
        <w:t> </w:t>
      </w:r>
      <w:r>
        <w:rPr>
          <w:rFonts w:hint="eastAsia" w:ascii="宋体" w:hAnsi="宋体" w:eastAsia="宋体" w:cs="宋体"/>
          <w:color w:val="auto"/>
          <w:lang w:val="en-US" w:eastAsia="zh-CN"/>
        </w:rPr>
        <w:t xml:space="preserve">     </w:t>
      </w:r>
      <w:r>
        <w:rPr>
          <w:rFonts w:hint="eastAsia" w:ascii="宋体" w:hAnsi="宋体" w:eastAsia="宋体" w:cs="宋体"/>
          <w:color w:val="auto"/>
        </w:rPr>
        <w:t>（2）供应商获取</w:t>
      </w:r>
      <w:r>
        <w:rPr>
          <w:rFonts w:hint="eastAsia" w:ascii="宋体" w:hAnsi="宋体" w:eastAsia="宋体" w:cs="宋体"/>
          <w:color w:val="auto"/>
          <w:lang w:val="en-US" w:eastAsia="zh-CN"/>
        </w:rPr>
        <w:t>采购</w:t>
      </w:r>
      <w:r>
        <w:rPr>
          <w:rFonts w:hint="eastAsia" w:ascii="宋体" w:hAnsi="宋体" w:eastAsia="宋体" w:cs="宋体"/>
          <w:color w:val="auto"/>
        </w:rPr>
        <w:t>文件前应注册成为政府采购云平台正式供应商。</w:t>
      </w:r>
    </w:p>
    <w:p>
      <w:pPr>
        <w:pStyle w:val="3"/>
        <w:spacing w:before="5" w:line="242" w:lineRule="auto"/>
        <w:ind w:right="151" w:firstLine="720" w:firstLineChars="300"/>
        <w:rPr>
          <w:rFonts w:hint="eastAsia" w:ascii="宋体" w:hAnsi="宋体" w:eastAsia="宋体" w:cs="宋体"/>
          <w:color w:val="auto"/>
        </w:rPr>
      </w:pPr>
      <w:r>
        <w:rPr>
          <w:rFonts w:hint="eastAsia" w:ascii="宋体" w:hAnsi="宋体" w:eastAsia="宋体" w:cs="宋体"/>
          <w:color w:val="auto"/>
        </w:rPr>
        <w:t>售价（元）：0</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color w:val="auto"/>
        </w:rPr>
      </w:pPr>
      <w:bookmarkStart w:id="273" w:name="_Toc35393632"/>
      <w:bookmarkStart w:id="274" w:name="_Toc28359092"/>
      <w:bookmarkStart w:id="275" w:name="_Toc35393801"/>
      <w:bookmarkStart w:id="276" w:name="_Toc22526"/>
      <w:bookmarkStart w:id="277" w:name="_Toc23464"/>
      <w:bookmarkStart w:id="278" w:name="_Toc28359015"/>
      <w:bookmarkStart w:id="279" w:name="_Toc17934"/>
      <w:r>
        <w:rPr>
          <w:rFonts w:hint="eastAsia" w:ascii="宋体" w:hAnsi="宋体" w:eastAsia="宋体" w:cs="宋体"/>
          <w:b/>
          <w:bCs/>
          <w:color w:val="auto"/>
        </w:rPr>
        <w:t>四、</w:t>
      </w:r>
      <w:r>
        <w:rPr>
          <w:rFonts w:hint="eastAsia" w:ascii="宋体" w:hAnsi="宋体" w:eastAsia="宋体" w:cs="宋体"/>
          <w:b/>
          <w:bCs/>
          <w:color w:val="auto"/>
          <w:lang w:val="en-US" w:eastAsia="zh-CN"/>
        </w:rPr>
        <w:t>投标</w:t>
      </w:r>
      <w:r>
        <w:rPr>
          <w:rFonts w:hint="eastAsia" w:ascii="宋体" w:hAnsi="宋体" w:eastAsia="宋体" w:cs="宋体"/>
          <w:b/>
          <w:bCs/>
          <w:color w:val="auto"/>
        </w:rPr>
        <w:t>文件提交</w:t>
      </w:r>
      <w:bookmarkEnd w:id="273"/>
      <w:bookmarkEnd w:id="274"/>
      <w:bookmarkEnd w:id="275"/>
      <w:bookmarkEnd w:id="276"/>
      <w:bookmarkEnd w:id="277"/>
      <w:bookmarkEnd w:id="278"/>
      <w:bookmarkEnd w:id="279"/>
    </w:p>
    <w:p>
      <w:pPr>
        <w:pStyle w:val="3"/>
        <w:spacing w:before="5" w:line="242" w:lineRule="auto"/>
        <w:ind w:left="255" w:right="151" w:firstLine="960" w:firstLineChars="400"/>
        <w:rPr>
          <w:rFonts w:hint="eastAsia" w:ascii="宋体" w:hAnsi="宋体" w:eastAsia="宋体" w:cs="宋体"/>
          <w:color w:val="auto"/>
        </w:rPr>
      </w:pPr>
      <w:r>
        <w:rPr>
          <w:rFonts w:hint="eastAsia" w:ascii="宋体" w:hAnsi="宋体" w:eastAsia="宋体" w:cs="宋体"/>
          <w:color w:val="auto"/>
        </w:rPr>
        <w:t>截止时间：</w:t>
      </w:r>
      <w:r>
        <w:rPr>
          <w:rFonts w:hint="eastAsia" w:ascii="宋体" w:hAnsi="宋体" w:eastAsia="宋体" w:cs="宋体"/>
          <w:color w:val="auto"/>
          <w:lang w:eastAsia="zh-CN"/>
        </w:rPr>
        <w:t>2022年10月09日11点00分</w:t>
      </w:r>
      <w:r>
        <w:rPr>
          <w:rFonts w:hint="eastAsia" w:ascii="宋体" w:hAnsi="宋体" w:eastAsia="宋体" w:cs="宋体"/>
          <w:color w:val="auto"/>
        </w:rPr>
        <w:t>（北京时间）</w:t>
      </w:r>
    </w:p>
    <w:p>
      <w:pPr>
        <w:pStyle w:val="3"/>
        <w:spacing w:before="5" w:line="242" w:lineRule="auto"/>
        <w:ind w:left="255" w:right="151" w:firstLine="960" w:firstLineChars="400"/>
        <w:rPr>
          <w:rFonts w:hint="eastAsia" w:ascii="宋体" w:hAnsi="宋体" w:eastAsia="宋体" w:cs="宋体"/>
          <w:color w:val="auto"/>
        </w:rPr>
      </w:pPr>
      <w:r>
        <w:rPr>
          <w:rFonts w:hint="eastAsia" w:ascii="宋体" w:hAnsi="宋体" w:eastAsia="宋体" w:cs="宋体"/>
          <w:color w:val="auto"/>
        </w:rPr>
        <w:t>地点：https://www.zcygov.cn在线投标</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color w:val="auto"/>
        </w:rPr>
      </w:pPr>
      <w:bookmarkStart w:id="280" w:name="_Toc16316"/>
      <w:bookmarkStart w:id="281" w:name="_Toc5085"/>
      <w:bookmarkStart w:id="282" w:name="_Toc35393633"/>
      <w:bookmarkStart w:id="283" w:name="_Toc28359093"/>
      <w:bookmarkStart w:id="284" w:name="_Toc28359016"/>
      <w:bookmarkStart w:id="285" w:name="_Toc35393802"/>
      <w:bookmarkStart w:id="286" w:name="_Toc11600"/>
      <w:r>
        <w:rPr>
          <w:rFonts w:hint="eastAsia" w:ascii="宋体" w:hAnsi="宋体" w:eastAsia="宋体" w:cs="宋体"/>
          <w:b/>
          <w:bCs/>
          <w:color w:val="auto"/>
        </w:rPr>
        <w:t>五、</w:t>
      </w:r>
      <w:r>
        <w:rPr>
          <w:rFonts w:hint="eastAsia" w:ascii="宋体" w:hAnsi="宋体" w:eastAsia="宋体" w:cs="宋体"/>
          <w:b/>
          <w:bCs/>
          <w:color w:val="auto"/>
          <w:lang w:val="en-US" w:eastAsia="zh-CN"/>
        </w:rPr>
        <w:t>投标</w:t>
      </w:r>
      <w:r>
        <w:rPr>
          <w:rFonts w:hint="eastAsia" w:ascii="宋体" w:hAnsi="宋体" w:eastAsia="宋体" w:cs="宋体"/>
          <w:b/>
          <w:bCs/>
          <w:color w:val="auto"/>
        </w:rPr>
        <w:t>文件开启</w:t>
      </w:r>
      <w:bookmarkEnd w:id="280"/>
      <w:bookmarkEnd w:id="281"/>
      <w:bookmarkEnd w:id="282"/>
      <w:bookmarkEnd w:id="283"/>
      <w:bookmarkEnd w:id="284"/>
      <w:bookmarkEnd w:id="285"/>
      <w:bookmarkEnd w:id="286"/>
    </w:p>
    <w:p>
      <w:pPr>
        <w:pStyle w:val="3"/>
        <w:spacing w:before="5" w:line="242" w:lineRule="auto"/>
        <w:ind w:left="255" w:right="151" w:firstLine="960" w:firstLineChars="400"/>
        <w:rPr>
          <w:rFonts w:hint="eastAsia" w:ascii="宋体" w:hAnsi="宋体" w:eastAsia="宋体" w:cs="宋体"/>
          <w:color w:val="auto"/>
        </w:rPr>
      </w:pPr>
      <w:r>
        <w:rPr>
          <w:rFonts w:hint="eastAsia" w:ascii="宋体" w:hAnsi="宋体" w:eastAsia="宋体" w:cs="宋体"/>
          <w:color w:val="auto"/>
        </w:rPr>
        <w:t>时间：</w:t>
      </w:r>
      <w:r>
        <w:rPr>
          <w:rFonts w:hint="eastAsia" w:ascii="宋体" w:hAnsi="宋体" w:eastAsia="宋体" w:cs="宋体"/>
          <w:color w:val="auto"/>
          <w:lang w:eastAsia="zh-CN"/>
        </w:rPr>
        <w:t>2022年10月09日11点00分</w:t>
      </w:r>
      <w:r>
        <w:rPr>
          <w:rFonts w:hint="eastAsia" w:ascii="宋体" w:hAnsi="宋体" w:eastAsia="宋体" w:cs="宋体"/>
          <w:color w:val="auto"/>
        </w:rPr>
        <w:t>（北京时间）</w:t>
      </w:r>
    </w:p>
    <w:p>
      <w:pPr>
        <w:pStyle w:val="3"/>
        <w:spacing w:before="5" w:line="242" w:lineRule="auto"/>
        <w:ind w:left="255" w:right="151" w:firstLine="960" w:firstLineChars="400"/>
        <w:rPr>
          <w:rFonts w:hint="eastAsia" w:ascii="宋体" w:hAnsi="宋体" w:eastAsia="宋体" w:cs="宋体"/>
          <w:color w:val="auto"/>
        </w:rPr>
      </w:pPr>
      <w:r>
        <w:rPr>
          <w:rFonts w:hint="eastAsia" w:ascii="宋体" w:hAnsi="宋体" w:eastAsia="宋体" w:cs="宋体"/>
          <w:color w:val="auto"/>
        </w:rPr>
        <w:t>地点：https://www.zcygov.cn在线投标</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rPr>
      </w:pPr>
      <w:bookmarkStart w:id="287" w:name="_Toc35393803"/>
      <w:bookmarkStart w:id="288" w:name="_Toc28359094"/>
      <w:bookmarkStart w:id="289" w:name="_Toc9507"/>
      <w:bookmarkStart w:id="290" w:name="_Toc3403"/>
      <w:bookmarkStart w:id="291" w:name="_Toc27196"/>
      <w:bookmarkStart w:id="292" w:name="_Toc28359017"/>
      <w:bookmarkStart w:id="293" w:name="_Toc35393634"/>
      <w:r>
        <w:rPr>
          <w:rFonts w:hint="eastAsia" w:ascii="宋体" w:hAnsi="宋体" w:eastAsia="宋体" w:cs="宋体"/>
          <w:b/>
          <w:bCs/>
          <w:lang w:val="en-US" w:eastAsia="zh-CN"/>
        </w:rPr>
        <w:t>六、</w:t>
      </w:r>
      <w:r>
        <w:rPr>
          <w:rFonts w:hint="eastAsia" w:ascii="宋体" w:hAnsi="宋体" w:eastAsia="宋体" w:cs="宋体"/>
          <w:b/>
          <w:bCs/>
        </w:rPr>
        <w:t>公告期限</w:t>
      </w:r>
      <w:bookmarkEnd w:id="287"/>
      <w:bookmarkEnd w:id="288"/>
      <w:bookmarkEnd w:id="289"/>
      <w:bookmarkEnd w:id="290"/>
      <w:bookmarkEnd w:id="291"/>
      <w:bookmarkEnd w:id="292"/>
      <w:bookmarkEnd w:id="293"/>
    </w:p>
    <w:p>
      <w:pPr>
        <w:pStyle w:val="3"/>
        <w:spacing w:before="5" w:line="242" w:lineRule="auto"/>
        <w:ind w:left="255" w:right="151" w:firstLine="720" w:firstLineChars="300"/>
        <w:rPr>
          <w:rFonts w:hint="eastAsia" w:ascii="宋体" w:hAnsi="宋体" w:eastAsia="宋体" w:cs="宋体"/>
        </w:rPr>
      </w:pPr>
      <w:r>
        <w:rPr>
          <w:rFonts w:hint="eastAsia" w:ascii="宋体" w:hAnsi="宋体" w:eastAsia="宋体" w:cs="宋体"/>
        </w:rPr>
        <w:t>自本公告发布之日起5个工作日。</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lang w:val="en-US" w:eastAsia="zh-CN"/>
        </w:rPr>
      </w:pPr>
      <w:bookmarkStart w:id="294" w:name="_Toc29816"/>
      <w:bookmarkStart w:id="295" w:name="_Toc17347"/>
      <w:bookmarkStart w:id="296" w:name="_Toc2589"/>
      <w:r>
        <w:rPr>
          <w:rFonts w:hint="eastAsia" w:ascii="宋体" w:hAnsi="宋体" w:eastAsia="宋体" w:cs="宋体"/>
          <w:b/>
          <w:bCs/>
          <w:lang w:val="en-US" w:eastAsia="zh-CN"/>
        </w:rPr>
        <w:t>七、其他补充事宜</w:t>
      </w:r>
      <w:bookmarkEnd w:id="294"/>
      <w:bookmarkEnd w:id="295"/>
      <w:bookmarkEnd w:id="296"/>
    </w:p>
    <w:p>
      <w:pPr>
        <w:pStyle w:val="3"/>
        <w:spacing w:before="5" w:line="242" w:lineRule="auto"/>
        <w:ind w:left="493" w:leftChars="224" w:right="151" w:firstLine="0" w:firstLineChars="0"/>
        <w:outlineLvl w:val="1"/>
        <w:rPr>
          <w:rFonts w:hint="eastAsia" w:ascii="宋体" w:hAnsi="宋体" w:eastAsia="宋体" w:cs="宋体"/>
          <w:b w:val="0"/>
          <w:bCs w:val="0"/>
          <w:lang w:val="en-US" w:eastAsia="zh-CN"/>
        </w:rPr>
      </w:pPr>
      <w:bookmarkStart w:id="297" w:name="_Toc16048"/>
      <w:bookmarkStart w:id="298" w:name="_Toc35393636"/>
      <w:bookmarkStart w:id="299" w:name="_Toc10894"/>
      <w:bookmarkStart w:id="300" w:name="_Toc35393805"/>
      <w:bookmarkStart w:id="301" w:name="_Toc5647"/>
      <w:bookmarkStart w:id="302" w:name="_Toc28359095"/>
      <w:bookmarkStart w:id="303" w:name="_Toc28359018"/>
      <w:r>
        <w:rPr>
          <w:rFonts w:hint="eastAsia" w:ascii="宋体" w:hAnsi="宋体" w:eastAsia="宋体" w:cs="宋体"/>
          <w:b w:val="0"/>
          <w:bCs w:val="0"/>
          <w:lang w:val="en-US"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bookmarkEnd w:id="297"/>
    </w:p>
    <w:p>
      <w:pPr>
        <w:pStyle w:val="3"/>
        <w:spacing w:before="5" w:line="242" w:lineRule="auto"/>
        <w:ind w:left="493" w:leftChars="115" w:right="151" w:hanging="240" w:hangingChars="100"/>
        <w:outlineLvl w:val="1"/>
        <w:rPr>
          <w:rFonts w:hint="eastAsia" w:ascii="宋体" w:hAnsi="宋体" w:eastAsia="宋体" w:cs="宋体"/>
          <w:b/>
          <w:bCs/>
          <w:lang w:val="en-US" w:eastAsia="zh-CN"/>
        </w:rPr>
      </w:pPr>
      <w:bookmarkStart w:id="304" w:name="_Toc11458"/>
      <w:r>
        <w:rPr>
          <w:rFonts w:hint="eastAsia" w:ascii="宋体" w:hAnsi="宋体" w:eastAsia="宋体" w:cs="宋体"/>
          <w:b w:val="0"/>
          <w:bCs w:val="0"/>
          <w:lang w:val="en-US" w:eastAsia="zh-CN"/>
        </w:rPr>
        <w:t> 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b w:val="0"/>
          <w:bCs w:val="0"/>
          <w:lang w:val="en-US" w:eastAsia="zh-CN"/>
        </w:rPr>
        <w:fldChar w:fldCharType="begin"/>
      </w:r>
      <w:r>
        <w:rPr>
          <w:rFonts w:hint="eastAsia" w:ascii="宋体" w:hAnsi="宋体" w:eastAsia="宋体" w:cs="宋体"/>
          <w:b w:val="0"/>
          <w:bCs w:val="0"/>
          <w:lang w:val="en-US" w:eastAsia="zh-CN"/>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宋体" w:hAnsi="宋体" w:eastAsia="宋体" w:cs="宋体"/>
          <w:b w:val="0"/>
          <w:bCs w:val="0"/>
          <w:lang w:val="en-US" w:eastAsia="zh-CN"/>
        </w:rPr>
        <w:fldChar w:fldCharType="separate"/>
      </w:r>
      <w:r>
        <w:rPr>
          <w:rFonts w:hint="eastAsia" w:ascii="宋体" w:hAnsi="宋体" w:eastAsia="宋体" w:cs="宋体"/>
          <w:b w:val="0"/>
          <w:bCs w:val="0"/>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b w:val="0"/>
          <w:bCs w:val="0"/>
          <w:lang w:val="en-US" w:eastAsia="zh-CN"/>
        </w:rPr>
        <w:fldChar w:fldCharType="end"/>
      </w:r>
      <w:bookmarkEnd w:id="304"/>
    </w:p>
    <w:p>
      <w:pPr>
        <w:pStyle w:val="3"/>
        <w:spacing w:before="5" w:line="242" w:lineRule="auto"/>
        <w:ind w:left="255" w:right="151"/>
        <w:outlineLvl w:val="1"/>
        <w:rPr>
          <w:rFonts w:hint="eastAsia" w:ascii="宋体" w:hAnsi="宋体" w:eastAsia="宋体" w:cs="宋体"/>
          <w:b/>
          <w:bCs/>
          <w:lang w:val="en-US" w:eastAsia="zh-CN"/>
        </w:rPr>
      </w:pPr>
      <w:bookmarkStart w:id="305" w:name="_Toc9694"/>
      <w:r>
        <w:rPr>
          <w:rFonts w:hint="eastAsia" w:ascii="宋体" w:hAnsi="宋体" w:eastAsia="宋体" w:cs="宋体"/>
          <w:b/>
          <w:bCs/>
          <w:lang w:val="en-US" w:eastAsia="zh-CN"/>
        </w:rPr>
        <w:t>特别提示：</w:t>
      </w:r>
      <w:bookmarkEnd w:id="305"/>
    </w:p>
    <w:p>
      <w:pPr>
        <w:pStyle w:val="3"/>
        <w:spacing w:before="5" w:line="242" w:lineRule="auto"/>
        <w:ind w:left="495" w:leftChars="225" w:right="151" w:firstLine="0" w:firstLineChars="0"/>
        <w:outlineLvl w:val="1"/>
        <w:rPr>
          <w:rFonts w:hint="eastAsia" w:ascii="宋体" w:hAnsi="宋体" w:eastAsia="宋体" w:cs="宋体"/>
          <w:b w:val="0"/>
          <w:bCs w:val="0"/>
          <w:lang w:val="en-US" w:eastAsia="zh-CN"/>
        </w:rPr>
      </w:pPr>
      <w:bookmarkStart w:id="306" w:name="_Toc31874"/>
      <w:r>
        <w:rPr>
          <w:rFonts w:hint="eastAsia" w:ascii="宋体" w:hAnsi="宋体" w:eastAsia="宋体" w:cs="宋体"/>
          <w:b w:val="0"/>
          <w:bCs w:val="0"/>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bookmarkEnd w:id="306"/>
    </w:p>
    <w:p>
      <w:pPr>
        <w:pStyle w:val="3"/>
        <w:spacing w:before="5" w:line="242" w:lineRule="auto"/>
        <w:ind w:left="495" w:leftChars="225" w:right="151" w:firstLine="0" w:firstLineChars="0"/>
        <w:outlineLvl w:val="1"/>
        <w:rPr>
          <w:rFonts w:hint="eastAsia" w:ascii="宋体" w:hAnsi="宋体" w:eastAsia="宋体" w:cs="宋体"/>
          <w:b w:val="0"/>
          <w:bCs w:val="0"/>
          <w:lang w:val="en-US" w:eastAsia="zh-CN"/>
        </w:rPr>
      </w:pPr>
      <w:bookmarkStart w:id="307" w:name="_Toc20188"/>
      <w:r>
        <w:rPr>
          <w:rFonts w:hint="eastAsia" w:ascii="宋体" w:hAnsi="宋体" w:eastAsia="宋体" w:cs="宋体"/>
          <w:b w:val="0"/>
          <w:bCs w:val="0"/>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bookmarkEnd w:id="307"/>
    </w:p>
    <w:p>
      <w:pPr>
        <w:pStyle w:val="3"/>
        <w:spacing w:before="5" w:line="242" w:lineRule="auto"/>
        <w:ind w:left="495" w:leftChars="225" w:right="151" w:firstLine="0" w:firstLineChars="0"/>
        <w:outlineLvl w:val="1"/>
        <w:rPr>
          <w:rFonts w:hint="eastAsia" w:ascii="宋体" w:hAnsi="宋体" w:eastAsia="宋体" w:cs="宋体"/>
          <w:b w:val="0"/>
          <w:bCs w:val="0"/>
          <w:lang w:val="en-US" w:eastAsia="zh-CN"/>
        </w:rPr>
      </w:pPr>
      <w:bookmarkStart w:id="308" w:name="_Toc16496"/>
      <w:r>
        <w:rPr>
          <w:rFonts w:hint="eastAsia" w:ascii="宋体" w:hAnsi="宋体" w:eastAsia="宋体" w:cs="宋体"/>
          <w:b w:val="0"/>
          <w:bCs w:val="0"/>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bookmarkEnd w:id="308"/>
    </w:p>
    <w:p>
      <w:pPr>
        <w:pStyle w:val="3"/>
        <w:spacing w:before="5" w:line="242" w:lineRule="auto"/>
        <w:ind w:right="151" w:firstLine="482" w:firstLineChars="200"/>
        <w:outlineLvl w:val="1"/>
        <w:rPr>
          <w:rFonts w:hint="eastAsia" w:ascii="宋体" w:hAnsi="宋体" w:eastAsia="宋体" w:cs="宋体"/>
        </w:rPr>
      </w:pPr>
      <w:bookmarkStart w:id="309" w:name="_Toc12154"/>
      <w:r>
        <w:rPr>
          <w:rFonts w:hint="eastAsia" w:ascii="宋体" w:hAnsi="宋体" w:eastAsia="宋体" w:cs="宋体"/>
          <w:b/>
          <w:bCs/>
        </w:rPr>
        <w:t>八、凡对本次采购提出询问，请按以下方式联系</w:t>
      </w:r>
      <w:r>
        <w:rPr>
          <w:rFonts w:hint="eastAsia" w:ascii="宋体" w:hAnsi="宋体" w:eastAsia="宋体" w:cs="宋体"/>
        </w:rPr>
        <w:t>。</w:t>
      </w:r>
      <w:bookmarkEnd w:id="298"/>
      <w:bookmarkEnd w:id="299"/>
      <w:bookmarkEnd w:id="300"/>
      <w:bookmarkEnd w:id="301"/>
      <w:bookmarkEnd w:id="302"/>
      <w:bookmarkEnd w:id="303"/>
      <w:bookmarkEnd w:id="309"/>
    </w:p>
    <w:p>
      <w:pPr>
        <w:pStyle w:val="28"/>
        <w:numPr>
          <w:ilvl w:val="1"/>
          <w:numId w:val="28"/>
        </w:numPr>
        <w:tabs>
          <w:tab w:val="left" w:pos="1217"/>
        </w:tabs>
        <w:spacing w:before="5" w:after="0" w:line="240" w:lineRule="auto"/>
        <w:ind w:left="1217" w:right="0" w:hanging="241"/>
        <w:jc w:val="left"/>
        <w:rPr>
          <w:rFonts w:hint="eastAsia" w:ascii="宋体" w:hAnsi="宋体" w:eastAsia="宋体" w:cs="宋体"/>
          <w:sz w:val="24"/>
        </w:rPr>
      </w:pPr>
      <w:r>
        <w:rPr>
          <w:rFonts w:hint="eastAsia" w:ascii="宋体" w:hAnsi="宋体" w:eastAsia="宋体" w:cs="宋体"/>
          <w:sz w:val="24"/>
        </w:rPr>
        <w:t>采购人信息</w:t>
      </w:r>
      <w:r>
        <w:rPr>
          <w:rFonts w:hint="eastAsia" w:ascii="宋体" w:hAnsi="宋体" w:eastAsia="宋体" w:cs="宋体"/>
          <w:sz w:val="24"/>
          <w:lang w:val="en-US" w:eastAsia="zh-CN"/>
        </w:rPr>
        <w:t xml:space="preserve"> </w:t>
      </w:r>
    </w:p>
    <w:p>
      <w:pPr>
        <w:pStyle w:val="3"/>
        <w:spacing w:before="4"/>
        <w:ind w:leftChars="600"/>
        <w:rPr>
          <w:rFonts w:hint="eastAsia" w:ascii="宋体" w:hAnsi="宋体" w:eastAsia="宋体" w:cs="宋体"/>
          <w:u w:val="none"/>
        </w:rPr>
      </w:pPr>
      <w:r>
        <w:rPr>
          <w:rFonts w:hint="eastAsia" w:ascii="宋体" w:hAnsi="宋体" w:eastAsia="宋体" w:cs="宋体"/>
        </w:rPr>
        <w:t>名称：</w:t>
      </w:r>
      <w:r>
        <w:rPr>
          <w:rFonts w:hint="eastAsia" w:ascii="宋体" w:hAnsi="宋体" w:eastAsia="宋体" w:cs="宋体"/>
          <w:lang w:val="en-US" w:eastAsia="zh-CN"/>
        </w:rPr>
        <w:t>喀什综合保税区管理委员会</w:t>
      </w:r>
    </w:p>
    <w:p>
      <w:pPr>
        <w:bidi w:val="0"/>
        <w:ind w:leftChars="600"/>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地址：喀什地区喀什经济开发区欧亚大道1号喀什综合保税区413室</w:t>
      </w:r>
    </w:p>
    <w:p>
      <w:pPr>
        <w:pStyle w:val="3"/>
        <w:spacing w:before="2" w:line="242" w:lineRule="auto"/>
        <w:ind w:leftChars="600" w:right="4889"/>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联系方式：0998-5818636</w:t>
      </w:r>
    </w:p>
    <w:p>
      <w:pPr>
        <w:pStyle w:val="28"/>
        <w:numPr>
          <w:ilvl w:val="1"/>
          <w:numId w:val="28"/>
        </w:numPr>
        <w:tabs>
          <w:tab w:val="left" w:pos="1277"/>
        </w:tabs>
        <w:spacing w:before="3" w:after="0" w:line="240" w:lineRule="auto"/>
        <w:ind w:left="1277" w:right="0" w:hanging="241"/>
        <w:jc w:val="left"/>
        <w:rPr>
          <w:rFonts w:hint="eastAsia" w:ascii="宋体" w:hAnsi="宋体" w:eastAsia="宋体" w:cs="宋体"/>
          <w:sz w:val="24"/>
          <w:u w:val="none"/>
        </w:rPr>
      </w:pPr>
      <w:r>
        <w:rPr>
          <w:rFonts w:hint="eastAsia" w:ascii="宋体" w:hAnsi="宋体" w:eastAsia="宋体" w:cs="宋体"/>
          <w:sz w:val="24"/>
          <w:u w:val="none"/>
        </w:rPr>
        <w:t>采购代理机构信息</w:t>
      </w:r>
    </w:p>
    <w:p>
      <w:pPr>
        <w:pStyle w:val="3"/>
        <w:spacing w:before="5"/>
        <w:ind w:left="1320" w:leftChars="600"/>
        <w:rPr>
          <w:rFonts w:hint="eastAsia" w:ascii="宋体" w:hAnsi="宋体" w:eastAsia="宋体" w:cs="宋体"/>
          <w:u w:val="none"/>
          <w:lang w:eastAsia="zh-CN"/>
        </w:rPr>
      </w:pPr>
      <w:r>
        <w:rPr>
          <w:rFonts w:hint="eastAsia" w:ascii="宋体" w:hAnsi="宋体" w:eastAsia="宋体" w:cs="宋体"/>
          <w:u w:val="none"/>
        </w:rPr>
        <w:t>名称：智博国际工程咨询有限公司</w:t>
      </w:r>
    </w:p>
    <w:p>
      <w:pPr>
        <w:pStyle w:val="3"/>
        <w:spacing w:before="5" w:line="242" w:lineRule="auto"/>
        <w:ind w:left="1320" w:leftChars="600" w:right="151"/>
        <w:rPr>
          <w:rFonts w:hint="eastAsia" w:ascii="宋体" w:hAnsi="宋体" w:eastAsia="宋体" w:cs="宋体"/>
          <w:u w:val="none"/>
        </w:rPr>
      </w:pPr>
      <w:r>
        <w:rPr>
          <w:rFonts w:hint="eastAsia" w:ascii="宋体" w:hAnsi="宋体" w:eastAsia="宋体" w:cs="宋体"/>
          <w:u w:val="none"/>
        </w:rPr>
        <w:t>地址：</w:t>
      </w:r>
      <w:r>
        <w:rPr>
          <w:rFonts w:hint="eastAsia" w:ascii="宋体" w:hAnsi="宋体" w:eastAsia="宋体" w:cs="宋体"/>
          <w:bCs/>
          <w:sz w:val="24"/>
          <w:szCs w:val="24"/>
          <w:u w:val="none"/>
        </w:rPr>
        <w:t>喀什市东湖街道多来提巴格社区青年南路192号</w:t>
      </w:r>
    </w:p>
    <w:p>
      <w:pPr>
        <w:pStyle w:val="28"/>
        <w:numPr>
          <w:ilvl w:val="1"/>
          <w:numId w:val="28"/>
        </w:numPr>
        <w:tabs>
          <w:tab w:val="left" w:pos="1217"/>
        </w:tabs>
        <w:spacing w:before="3" w:after="0" w:line="240" w:lineRule="auto"/>
        <w:ind w:left="1217" w:right="0" w:hanging="241"/>
        <w:jc w:val="left"/>
        <w:rPr>
          <w:rFonts w:hint="eastAsia" w:ascii="宋体" w:hAnsi="宋体" w:eastAsia="宋体" w:cs="宋体"/>
          <w:sz w:val="24"/>
          <w:u w:val="none"/>
        </w:rPr>
      </w:pPr>
      <w:r>
        <w:rPr>
          <w:rFonts w:hint="eastAsia" w:ascii="宋体" w:hAnsi="宋体" w:eastAsia="宋体" w:cs="宋体"/>
          <w:sz w:val="24"/>
          <w:u w:val="none"/>
        </w:rPr>
        <w:t>项目联系方式</w:t>
      </w:r>
    </w:p>
    <w:p>
      <w:pPr>
        <w:snapToGrid w:val="0"/>
        <w:spacing w:line="440" w:lineRule="exact"/>
        <w:ind w:firstLine="1200" w:firstLineChars="500"/>
        <w:rPr>
          <w:rFonts w:hint="eastAsia" w:ascii="宋体" w:hAnsi="宋体" w:eastAsia="宋体" w:cs="宋体"/>
          <w:sz w:val="24"/>
          <w:szCs w:val="24"/>
          <w:u w:val="none"/>
          <w:lang w:val="en-US" w:eastAsia="zh-CN" w:bidi="zh-CN"/>
        </w:rPr>
      </w:pPr>
      <w:r>
        <w:rPr>
          <w:rFonts w:hint="eastAsia" w:ascii="宋体" w:hAnsi="宋体" w:eastAsia="宋体" w:cs="宋体"/>
          <w:sz w:val="24"/>
          <w:szCs w:val="24"/>
          <w:u w:val="none"/>
          <w:lang w:val="zh-CN" w:eastAsia="zh-CN" w:bidi="zh-CN"/>
        </w:rPr>
        <w:t>项目联系人：</w:t>
      </w:r>
      <w:r>
        <w:rPr>
          <w:rFonts w:hint="eastAsia" w:ascii="宋体" w:hAnsi="宋体" w:eastAsia="宋体" w:cs="宋体"/>
          <w:sz w:val="24"/>
          <w:szCs w:val="24"/>
          <w:u w:val="none"/>
          <w:lang w:val="en-US" w:eastAsia="zh-CN" w:bidi="zh-CN"/>
        </w:rPr>
        <w:t>刘静</w:t>
      </w:r>
    </w:p>
    <w:p>
      <w:pPr>
        <w:snapToGrid w:val="0"/>
        <w:spacing w:line="440" w:lineRule="exact"/>
        <w:ind w:firstLine="1200" w:firstLineChars="500"/>
        <w:rPr>
          <w:rFonts w:hint="eastAsia" w:ascii="宋体" w:hAnsi="宋体" w:eastAsia="宋体" w:cs="宋体"/>
          <w:sz w:val="24"/>
          <w:szCs w:val="24"/>
          <w:u w:val="none"/>
          <w:lang w:val="zh-CN" w:eastAsia="zh-CN" w:bidi="zh-CN"/>
        </w:rPr>
      </w:pPr>
      <w:r>
        <w:rPr>
          <w:rFonts w:hint="eastAsia" w:ascii="宋体" w:hAnsi="宋体" w:eastAsia="宋体" w:cs="宋体"/>
          <w:sz w:val="24"/>
          <w:szCs w:val="24"/>
          <w:u w:val="none"/>
          <w:lang w:val="zh-CN" w:eastAsia="zh-CN" w:bidi="zh-CN"/>
        </w:rPr>
        <w:t>电</w:t>
      </w:r>
      <w:r>
        <w:rPr>
          <w:rFonts w:hint="eastAsia" w:ascii="宋体" w:hAnsi="宋体" w:eastAsia="宋体" w:cs="宋体"/>
          <w:sz w:val="24"/>
          <w:szCs w:val="24"/>
          <w:u w:val="none"/>
          <w:lang w:val="en-US" w:eastAsia="zh-CN" w:bidi="zh-CN"/>
        </w:rPr>
        <w:t xml:space="preserve"> </w:t>
      </w:r>
      <w:r>
        <w:rPr>
          <w:rFonts w:hint="eastAsia" w:ascii="宋体" w:hAnsi="宋体" w:eastAsia="宋体" w:cs="宋体"/>
          <w:sz w:val="24"/>
          <w:szCs w:val="24"/>
          <w:u w:val="none"/>
          <w:lang w:val="zh-CN" w:eastAsia="zh-CN" w:bidi="zh-CN"/>
        </w:rPr>
        <w:t>话：18197668299</w:t>
      </w:r>
    </w:p>
    <w:p>
      <w:pPr>
        <w:pStyle w:val="3"/>
        <w:tabs>
          <w:tab w:val="left" w:pos="1455"/>
        </w:tabs>
        <w:spacing w:before="2" w:line="242" w:lineRule="auto"/>
        <w:ind w:left="976" w:right="7109"/>
        <w:rPr>
          <w:rFonts w:hint="default" w:eastAsia="仿宋"/>
          <w:lang w:val="en-US" w:eastAsia="zh-CN"/>
        </w:rPr>
      </w:pPr>
    </w:p>
    <w:p>
      <w:pPr>
        <w:spacing w:after="0" w:line="242" w:lineRule="auto"/>
        <w:sectPr>
          <w:footerReference r:id="rId12" w:type="default"/>
          <w:pgSz w:w="11910" w:h="16840"/>
          <w:pgMar w:top="1000" w:right="800" w:bottom="1420" w:left="740" w:header="0" w:footer="1153" w:gutter="0"/>
          <w:pgNumType w:fmt="decimal"/>
          <w:cols w:space="720" w:num="1"/>
        </w:sectPr>
      </w:pPr>
    </w:p>
    <w:p>
      <w:pPr>
        <w:pStyle w:val="4"/>
        <w:spacing w:before="35"/>
        <w:ind w:left="1076" w:right="1637"/>
        <w:rPr>
          <w:rFonts w:hint="eastAsia" w:ascii="宋体" w:hAnsi="宋体" w:eastAsia="宋体" w:cs="宋体"/>
        </w:rPr>
      </w:pPr>
      <w:bookmarkStart w:id="310" w:name="_bookmark10"/>
      <w:bookmarkEnd w:id="310"/>
      <w:bookmarkStart w:id="311" w:name="第四章投标人须知资料表"/>
      <w:bookmarkEnd w:id="311"/>
      <w:bookmarkStart w:id="312" w:name="_Toc29693"/>
      <w:bookmarkStart w:id="313" w:name="_Toc4929"/>
      <w:bookmarkStart w:id="314" w:name="_Toc24062"/>
      <w:r>
        <w:rPr>
          <w:rFonts w:hint="eastAsia" w:ascii="宋体" w:hAnsi="宋体" w:eastAsia="宋体" w:cs="宋体"/>
          <w:lang w:val="en-US" w:eastAsia="zh-CN"/>
        </w:rPr>
        <w:t xml:space="preserve">   </w:t>
      </w:r>
      <w:r>
        <w:rPr>
          <w:rFonts w:hint="eastAsia" w:ascii="宋体" w:hAnsi="宋体" w:eastAsia="宋体" w:cs="宋体"/>
        </w:rPr>
        <w:t>第四章</w:t>
      </w:r>
      <w:r>
        <w:rPr>
          <w:rFonts w:hint="eastAsia" w:ascii="宋体" w:hAnsi="宋体" w:eastAsia="宋体" w:cs="宋体"/>
          <w:lang w:val="en-US" w:eastAsia="zh-CN"/>
        </w:rPr>
        <w:t xml:space="preserve">  </w:t>
      </w:r>
      <w:r>
        <w:rPr>
          <w:rFonts w:hint="eastAsia" w:ascii="宋体" w:hAnsi="宋体" w:eastAsia="宋体" w:cs="宋体"/>
        </w:rPr>
        <w:t>投标人须知资料表</w:t>
      </w:r>
      <w:bookmarkEnd w:id="312"/>
      <w:bookmarkEnd w:id="313"/>
      <w:bookmarkEnd w:id="314"/>
    </w:p>
    <w:p>
      <w:pPr>
        <w:pStyle w:val="3"/>
        <w:spacing w:before="5"/>
        <w:rPr>
          <w:rFonts w:hint="eastAsia" w:ascii="宋体" w:hAnsi="宋体" w:eastAsia="宋体" w:cs="宋体"/>
          <w:b/>
        </w:rPr>
      </w:pPr>
    </w:p>
    <w:p>
      <w:pPr>
        <w:pStyle w:val="3"/>
        <w:spacing w:line="242" w:lineRule="auto"/>
        <w:ind w:left="255" w:right="227" w:firstLine="480"/>
        <w:rPr>
          <w:rFonts w:hint="eastAsia" w:ascii="宋体" w:hAnsi="宋体" w:eastAsia="宋体" w:cs="宋体"/>
        </w:rPr>
      </w:pPr>
      <w:r>
        <w:rPr>
          <w:rFonts w:hint="eastAsia" w:ascii="宋体" w:hAnsi="宋体" w:eastAsia="宋体" w:cs="宋体"/>
        </w:rPr>
        <w:t>本表是本招标项目的具体资料，是对投标人须知的具体补充和修改，如有矛盾，应以本资料表为准。</w:t>
      </w:r>
    </w:p>
    <w:tbl>
      <w:tblPr>
        <w:tblStyle w:val="20"/>
        <w:tblpPr w:leftFromText="180" w:rightFromText="180" w:vertAnchor="text" w:horzAnchor="page" w:tblpXSpec="center" w:tblpY="258"/>
        <w:tblOverlap w:val="never"/>
        <w:tblW w:w="905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17"/>
        <w:gridCol w:w="77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29" w:hRule="atLeast"/>
          <w:jc w:val="center"/>
        </w:trPr>
        <w:tc>
          <w:tcPr>
            <w:tcW w:w="1317" w:type="dxa"/>
            <w:tcBorders>
              <w:bottom w:val="single" w:color="000000" w:sz="6" w:space="0"/>
              <w:right w:val="single" w:color="000000" w:sz="6" w:space="0"/>
            </w:tcBorders>
          </w:tcPr>
          <w:p>
            <w:pPr>
              <w:pStyle w:val="29"/>
              <w:spacing w:before="11" w:line="298" w:lineRule="exact"/>
              <w:ind w:firstLine="220" w:firstLineChars="100"/>
              <w:jc w:val="both"/>
              <w:rPr>
                <w:rFonts w:hint="eastAsia" w:ascii="宋体" w:hAnsi="宋体" w:eastAsia="宋体" w:cs="宋体"/>
                <w:sz w:val="22"/>
                <w:szCs w:val="21"/>
              </w:rPr>
            </w:pPr>
            <w:r>
              <w:rPr>
                <w:rFonts w:hint="eastAsia" w:ascii="宋体" w:hAnsi="宋体" w:eastAsia="宋体" w:cs="宋体"/>
                <w:sz w:val="22"/>
                <w:szCs w:val="21"/>
              </w:rPr>
              <w:t>条款号</w:t>
            </w:r>
          </w:p>
        </w:tc>
        <w:tc>
          <w:tcPr>
            <w:tcW w:w="7740" w:type="dxa"/>
            <w:tcBorders>
              <w:left w:val="single" w:color="000000" w:sz="6" w:space="0"/>
              <w:bottom w:val="single" w:color="000000" w:sz="6" w:space="0"/>
            </w:tcBorders>
          </w:tcPr>
          <w:p>
            <w:pPr>
              <w:pStyle w:val="29"/>
              <w:tabs>
                <w:tab w:val="left" w:pos="1537"/>
              </w:tabs>
              <w:spacing w:before="11" w:line="298" w:lineRule="exact"/>
              <w:ind w:left="575" w:firstLine="2871" w:firstLineChars="1300"/>
              <w:jc w:val="both"/>
              <w:rPr>
                <w:rFonts w:hint="eastAsia" w:ascii="宋体" w:hAnsi="宋体" w:eastAsia="宋体" w:cs="宋体"/>
                <w:b/>
                <w:sz w:val="22"/>
                <w:szCs w:val="21"/>
              </w:rPr>
            </w:pPr>
            <w:r>
              <w:rPr>
                <w:rFonts w:hint="eastAsia" w:ascii="宋体" w:hAnsi="宋体" w:eastAsia="宋体" w:cs="宋体"/>
                <w:b/>
                <w:sz w:val="22"/>
                <w:szCs w:val="21"/>
              </w:rPr>
              <w:t>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5" w:hRule="atLeast"/>
          <w:jc w:val="center"/>
        </w:trPr>
        <w:tc>
          <w:tcPr>
            <w:tcW w:w="1317" w:type="dxa"/>
            <w:tcBorders>
              <w:top w:val="single" w:color="000000" w:sz="6" w:space="0"/>
              <w:bottom w:val="single" w:color="000000" w:sz="6" w:space="0"/>
              <w:right w:val="single" w:color="000000" w:sz="6" w:space="0"/>
            </w:tcBorders>
          </w:tcPr>
          <w:p>
            <w:pPr>
              <w:pStyle w:val="29"/>
              <w:rPr>
                <w:rFonts w:hint="eastAsia" w:ascii="宋体" w:hAnsi="宋体" w:eastAsia="宋体" w:cs="宋体"/>
                <w:b/>
                <w:sz w:val="22"/>
                <w:szCs w:val="21"/>
              </w:rPr>
            </w:pPr>
          </w:p>
          <w:p>
            <w:pPr>
              <w:pStyle w:val="29"/>
              <w:spacing w:before="192"/>
              <w:ind w:left="566" w:firstLine="220" w:firstLineChars="100"/>
              <w:rPr>
                <w:rFonts w:hint="eastAsia" w:ascii="宋体" w:hAnsi="宋体" w:eastAsia="宋体" w:cs="宋体"/>
                <w:sz w:val="22"/>
                <w:szCs w:val="21"/>
              </w:rPr>
            </w:pPr>
            <w:r>
              <w:rPr>
                <w:rFonts w:hint="eastAsia" w:ascii="宋体" w:hAnsi="宋体" w:eastAsia="宋体" w:cs="宋体"/>
                <w:sz w:val="22"/>
                <w:szCs w:val="21"/>
              </w:rPr>
              <w:t>1</w:t>
            </w:r>
          </w:p>
        </w:tc>
        <w:tc>
          <w:tcPr>
            <w:tcW w:w="7740" w:type="dxa"/>
            <w:tcBorders>
              <w:top w:val="single" w:color="000000" w:sz="6" w:space="0"/>
              <w:left w:val="single" w:color="000000" w:sz="6" w:space="0"/>
              <w:bottom w:val="single" w:color="000000" w:sz="6" w:space="0"/>
            </w:tcBorders>
          </w:tcPr>
          <w:p>
            <w:pPr>
              <w:pStyle w:val="29"/>
              <w:tabs>
                <w:tab w:val="left" w:pos="755"/>
              </w:tabs>
              <w:spacing w:before="31" w:line="242" w:lineRule="auto"/>
              <w:ind w:left="35" w:right="3623"/>
              <w:rPr>
                <w:rFonts w:hint="eastAsia" w:ascii="宋体" w:hAnsi="宋体" w:eastAsia="宋体" w:cs="宋体"/>
                <w:sz w:val="22"/>
                <w:szCs w:val="21"/>
                <w:u w:val="single"/>
                <w:lang w:val="en-US" w:eastAsia="zh-CN"/>
              </w:rPr>
            </w:pPr>
            <w:r>
              <w:rPr>
                <w:rFonts w:hint="eastAsia" w:ascii="宋体" w:hAnsi="宋体" w:eastAsia="宋体" w:cs="宋体"/>
                <w:sz w:val="22"/>
                <w:szCs w:val="21"/>
              </w:rPr>
              <w:t>采 购 人：</w:t>
            </w:r>
            <w:r>
              <w:rPr>
                <w:rFonts w:hint="eastAsia" w:ascii="宋体" w:hAnsi="宋体" w:eastAsia="宋体" w:cs="宋体"/>
                <w:sz w:val="22"/>
                <w:szCs w:val="21"/>
                <w:u w:val="single"/>
                <w:lang w:val="en-US" w:eastAsia="zh-CN"/>
              </w:rPr>
              <w:t>喀什综合保税区管理委员会</w:t>
            </w:r>
          </w:p>
          <w:p>
            <w:pPr>
              <w:bidi w:val="0"/>
              <w:rPr>
                <w:rFonts w:hint="eastAsia" w:ascii="宋体" w:hAnsi="宋体" w:eastAsia="宋体" w:cs="宋体"/>
                <w:sz w:val="22"/>
                <w:szCs w:val="21"/>
                <w:u w:val="single"/>
                <w:lang w:val="en-US" w:eastAsia="zh-CN"/>
              </w:rPr>
            </w:pPr>
            <w:r>
              <w:rPr>
                <w:rFonts w:hint="eastAsia" w:ascii="宋体" w:hAnsi="宋体" w:eastAsia="宋体" w:cs="宋体"/>
                <w:sz w:val="22"/>
                <w:szCs w:val="21"/>
              </w:rPr>
              <w:t>地</w:t>
            </w:r>
            <w:r>
              <w:rPr>
                <w:rFonts w:hint="eastAsia" w:ascii="宋体" w:hAnsi="宋体" w:eastAsia="宋体" w:cs="宋体"/>
                <w:sz w:val="22"/>
                <w:szCs w:val="21"/>
              </w:rPr>
              <w:tab/>
            </w:r>
            <w:r>
              <w:rPr>
                <w:rFonts w:hint="eastAsia" w:ascii="宋体" w:hAnsi="宋体" w:eastAsia="宋体" w:cs="宋体"/>
                <w:sz w:val="22"/>
                <w:szCs w:val="21"/>
              </w:rPr>
              <w:t>址：</w:t>
            </w:r>
            <w:r>
              <w:rPr>
                <w:rFonts w:hint="eastAsia" w:ascii="宋体" w:hAnsi="宋体" w:eastAsia="宋体" w:cs="宋体"/>
                <w:sz w:val="22"/>
                <w:szCs w:val="21"/>
                <w:u w:val="single"/>
                <w:lang w:val="en-US" w:eastAsia="zh-CN"/>
              </w:rPr>
              <w:t>喀什地区喀什经济开发区欧亚大道1号喀什综合保税区413室</w:t>
            </w:r>
          </w:p>
          <w:p>
            <w:pPr>
              <w:pStyle w:val="29"/>
              <w:spacing w:before="1"/>
              <w:rPr>
                <w:rFonts w:hint="eastAsia" w:ascii="宋体" w:hAnsi="宋体" w:eastAsia="宋体" w:cs="宋体"/>
                <w:sz w:val="22"/>
                <w:szCs w:val="21"/>
                <w:u w:val="single"/>
                <w:lang w:val="en-US" w:eastAsia="zh-CN"/>
              </w:rPr>
            </w:pPr>
            <w:r>
              <w:rPr>
                <w:rFonts w:hint="eastAsia" w:ascii="宋体" w:hAnsi="宋体" w:eastAsia="宋体" w:cs="宋体"/>
                <w:sz w:val="22"/>
                <w:szCs w:val="21"/>
              </w:rPr>
              <w:t>联 系 人：</w:t>
            </w:r>
            <w:r>
              <w:rPr>
                <w:rFonts w:hint="eastAsia" w:cs="宋体"/>
                <w:sz w:val="22"/>
                <w:szCs w:val="21"/>
                <w:u w:val="single"/>
                <w:lang w:val="en-US" w:eastAsia="zh-CN"/>
              </w:rPr>
              <w:t>李国营</w:t>
            </w:r>
          </w:p>
          <w:p>
            <w:pPr>
              <w:pStyle w:val="29"/>
              <w:spacing w:before="4"/>
              <w:rPr>
                <w:rFonts w:hint="eastAsia" w:ascii="宋体" w:hAnsi="宋体" w:eastAsia="宋体" w:cs="宋体"/>
                <w:sz w:val="22"/>
                <w:szCs w:val="21"/>
                <w:lang w:val="en-US" w:eastAsia="zh-CN"/>
              </w:rPr>
            </w:pPr>
            <w:r>
              <w:rPr>
                <w:rFonts w:hint="eastAsia" w:ascii="宋体" w:hAnsi="宋体" w:eastAsia="宋体" w:cs="宋体"/>
                <w:sz w:val="22"/>
                <w:szCs w:val="21"/>
              </w:rPr>
              <w:t>联系方式：</w:t>
            </w:r>
            <w:r>
              <w:rPr>
                <w:rFonts w:hint="eastAsia" w:cs="宋体"/>
                <w:sz w:val="22"/>
                <w:szCs w:val="21"/>
                <w:u w:val="single"/>
                <w:lang w:val="en-US" w:eastAsia="zh-CN"/>
              </w:rPr>
              <w:t>0998-5818636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6" w:hRule="atLeast"/>
          <w:jc w:val="center"/>
        </w:trPr>
        <w:tc>
          <w:tcPr>
            <w:tcW w:w="1317" w:type="dxa"/>
            <w:tcBorders>
              <w:top w:val="single" w:color="000000" w:sz="6" w:space="0"/>
              <w:bottom w:val="single" w:color="000000" w:sz="6" w:space="0"/>
              <w:right w:val="single" w:color="000000" w:sz="6" w:space="0"/>
            </w:tcBorders>
          </w:tcPr>
          <w:p>
            <w:pPr>
              <w:pStyle w:val="29"/>
              <w:rPr>
                <w:rFonts w:hint="eastAsia" w:ascii="宋体" w:hAnsi="宋体" w:eastAsia="宋体" w:cs="宋体"/>
                <w:b/>
                <w:sz w:val="22"/>
                <w:szCs w:val="21"/>
              </w:rPr>
            </w:pPr>
          </w:p>
          <w:p>
            <w:pPr>
              <w:pStyle w:val="29"/>
              <w:spacing w:before="191"/>
              <w:ind w:left="566" w:firstLine="220" w:firstLineChars="100"/>
              <w:rPr>
                <w:rFonts w:hint="eastAsia" w:ascii="宋体" w:hAnsi="宋体" w:eastAsia="宋体" w:cs="宋体"/>
                <w:sz w:val="22"/>
                <w:szCs w:val="21"/>
              </w:rPr>
            </w:pPr>
            <w:r>
              <w:rPr>
                <w:rFonts w:hint="eastAsia" w:ascii="宋体" w:hAnsi="宋体" w:eastAsia="宋体" w:cs="宋体"/>
                <w:sz w:val="22"/>
                <w:szCs w:val="21"/>
              </w:rPr>
              <w:t>2</w:t>
            </w:r>
          </w:p>
        </w:tc>
        <w:tc>
          <w:tcPr>
            <w:tcW w:w="7740" w:type="dxa"/>
            <w:tcBorders>
              <w:top w:val="single" w:color="000000" w:sz="6" w:space="0"/>
              <w:left w:val="single" w:color="000000" w:sz="6" w:space="0"/>
              <w:bottom w:val="single" w:color="000000" w:sz="6" w:space="0"/>
            </w:tcBorders>
          </w:tcPr>
          <w:p>
            <w:pPr>
              <w:pStyle w:val="29"/>
              <w:tabs>
                <w:tab w:val="left" w:pos="755"/>
              </w:tabs>
              <w:spacing w:before="31" w:line="242" w:lineRule="auto"/>
              <w:ind w:right="1500" w:rightChars="0"/>
              <w:jc w:val="left"/>
              <w:rPr>
                <w:rFonts w:hint="eastAsia" w:ascii="宋体" w:hAnsi="宋体" w:eastAsia="宋体" w:cs="宋体"/>
                <w:sz w:val="22"/>
                <w:szCs w:val="21"/>
                <w:u w:val="single"/>
              </w:rPr>
            </w:pPr>
            <w:r>
              <w:rPr>
                <w:rFonts w:hint="eastAsia" w:ascii="宋体" w:hAnsi="宋体" w:eastAsia="宋体" w:cs="宋体"/>
                <w:sz w:val="22"/>
                <w:szCs w:val="21"/>
              </w:rPr>
              <w:t>采购代理机构</w:t>
            </w:r>
            <w:r>
              <w:rPr>
                <w:rFonts w:hint="eastAsia" w:ascii="宋体" w:hAnsi="宋体" w:eastAsia="宋体" w:cs="宋体"/>
                <w:sz w:val="22"/>
                <w:szCs w:val="21"/>
                <w:lang w:val="zh-CN" w:eastAsia="zh-CN"/>
              </w:rPr>
              <w:t>：</w:t>
            </w:r>
            <w:r>
              <w:rPr>
                <w:rFonts w:hint="eastAsia" w:ascii="宋体" w:hAnsi="宋体" w:eastAsia="宋体" w:cs="宋体"/>
                <w:sz w:val="22"/>
                <w:szCs w:val="21"/>
                <w:u w:val="single"/>
                <w:lang w:val="zh-CN" w:eastAsia="zh-CN"/>
              </w:rPr>
              <w:t>智博国际工程咨询有限公司</w:t>
            </w:r>
            <w:r>
              <w:rPr>
                <w:rFonts w:hint="eastAsia" w:ascii="宋体" w:hAnsi="宋体" w:eastAsia="宋体" w:cs="宋体"/>
                <w:sz w:val="22"/>
                <w:szCs w:val="21"/>
                <w:u w:val="single"/>
              </w:rPr>
              <w:t xml:space="preserve"> </w:t>
            </w:r>
          </w:p>
          <w:p>
            <w:pPr>
              <w:pStyle w:val="29"/>
              <w:tabs>
                <w:tab w:val="left" w:pos="755"/>
              </w:tabs>
              <w:spacing w:before="31" w:line="242" w:lineRule="auto"/>
              <w:ind w:right="1280" w:rightChars="0"/>
              <w:rPr>
                <w:rFonts w:hint="eastAsia" w:ascii="宋体" w:hAnsi="宋体" w:eastAsia="宋体" w:cs="宋体"/>
                <w:sz w:val="22"/>
                <w:szCs w:val="21"/>
                <w:u w:val="single"/>
                <w:lang w:val="zh-CN" w:eastAsia="zh-CN"/>
              </w:rPr>
            </w:pPr>
            <w:r>
              <w:rPr>
                <w:rFonts w:hint="eastAsia" w:ascii="宋体" w:hAnsi="宋体" w:eastAsia="宋体" w:cs="宋体"/>
                <w:sz w:val="22"/>
                <w:szCs w:val="21"/>
                <w:lang w:eastAsia="zh-CN"/>
              </w:rPr>
              <w:t>公司</w:t>
            </w:r>
            <w:r>
              <w:rPr>
                <w:rFonts w:hint="eastAsia" w:ascii="宋体" w:hAnsi="宋体" w:eastAsia="宋体" w:cs="宋体"/>
                <w:sz w:val="22"/>
                <w:szCs w:val="21"/>
              </w:rPr>
              <w:t>地址：</w:t>
            </w:r>
            <w:r>
              <w:rPr>
                <w:rFonts w:hint="eastAsia" w:ascii="宋体" w:hAnsi="宋体" w:eastAsia="宋体" w:cs="宋体"/>
                <w:sz w:val="22"/>
                <w:szCs w:val="21"/>
                <w:u w:val="single"/>
                <w:lang w:val="zh-CN" w:eastAsia="zh-CN"/>
              </w:rPr>
              <w:t>喀什市东湖街道多来提巴格社区青年南路192号</w:t>
            </w:r>
          </w:p>
          <w:p>
            <w:pPr>
              <w:pStyle w:val="29"/>
              <w:tabs>
                <w:tab w:val="left" w:pos="755"/>
              </w:tabs>
              <w:spacing w:before="31" w:line="242" w:lineRule="auto"/>
              <w:ind w:left="35" w:right="3623"/>
              <w:rPr>
                <w:rFonts w:hint="eastAsia" w:ascii="宋体" w:hAnsi="宋体" w:eastAsia="宋体" w:cs="宋体"/>
                <w:sz w:val="22"/>
                <w:szCs w:val="21"/>
                <w:u w:val="single"/>
                <w:lang w:val="en-US" w:eastAsia="zh-CN"/>
              </w:rPr>
            </w:pPr>
            <w:r>
              <w:rPr>
                <w:rFonts w:hint="eastAsia" w:ascii="宋体" w:hAnsi="宋体" w:eastAsia="宋体" w:cs="宋体"/>
                <w:sz w:val="22"/>
                <w:szCs w:val="21"/>
              </w:rPr>
              <w:t>联</w:t>
            </w:r>
            <w:r>
              <w:rPr>
                <w:rFonts w:hint="eastAsia" w:cs="宋体"/>
                <w:sz w:val="22"/>
                <w:szCs w:val="21"/>
                <w:lang w:val="en-US" w:eastAsia="zh-CN"/>
              </w:rPr>
              <w:t xml:space="preserve"> </w:t>
            </w:r>
            <w:r>
              <w:rPr>
                <w:rFonts w:hint="eastAsia" w:ascii="宋体" w:hAnsi="宋体" w:eastAsia="宋体" w:cs="宋体"/>
                <w:sz w:val="22"/>
                <w:szCs w:val="21"/>
              </w:rPr>
              <w:t>系</w:t>
            </w:r>
            <w:r>
              <w:rPr>
                <w:rFonts w:hint="eastAsia" w:cs="宋体"/>
                <w:sz w:val="22"/>
                <w:szCs w:val="21"/>
                <w:lang w:val="en-US" w:eastAsia="zh-CN"/>
              </w:rPr>
              <w:t xml:space="preserve"> </w:t>
            </w:r>
            <w:r>
              <w:rPr>
                <w:rFonts w:hint="eastAsia" w:ascii="宋体" w:hAnsi="宋体" w:eastAsia="宋体" w:cs="宋体"/>
                <w:sz w:val="22"/>
                <w:szCs w:val="21"/>
              </w:rPr>
              <w:t>人：</w:t>
            </w:r>
            <w:r>
              <w:rPr>
                <w:rFonts w:hint="eastAsia" w:ascii="宋体" w:hAnsi="宋体" w:eastAsia="宋体" w:cs="宋体"/>
                <w:sz w:val="22"/>
                <w:szCs w:val="21"/>
                <w:u w:val="single"/>
                <w:lang w:val="en-US" w:eastAsia="zh-CN"/>
              </w:rPr>
              <w:t>刘静</w:t>
            </w:r>
          </w:p>
          <w:p>
            <w:pPr>
              <w:pStyle w:val="29"/>
              <w:tabs>
                <w:tab w:val="left" w:pos="755"/>
              </w:tabs>
              <w:spacing w:before="31" w:line="242" w:lineRule="auto"/>
              <w:ind w:left="35" w:right="3623"/>
              <w:rPr>
                <w:rFonts w:hint="eastAsia" w:ascii="宋体" w:hAnsi="宋体" w:eastAsia="宋体" w:cs="宋体"/>
                <w:sz w:val="22"/>
                <w:szCs w:val="21"/>
                <w:lang w:val="en-US" w:eastAsia="zh-CN"/>
              </w:rPr>
            </w:pPr>
            <w:r>
              <w:rPr>
                <w:rFonts w:hint="eastAsia" w:ascii="宋体" w:hAnsi="宋体" w:eastAsia="宋体" w:cs="宋体"/>
                <w:sz w:val="22"/>
                <w:szCs w:val="21"/>
              </w:rPr>
              <w:t>电</w:t>
            </w:r>
            <w:r>
              <w:rPr>
                <w:rFonts w:hint="eastAsia" w:ascii="宋体" w:hAnsi="宋体" w:eastAsia="宋体" w:cs="宋体"/>
                <w:sz w:val="22"/>
                <w:szCs w:val="21"/>
                <w:lang w:val="en-US" w:eastAsia="zh-CN"/>
              </w:rPr>
              <w:t xml:space="preserve">   </w:t>
            </w:r>
            <w:r>
              <w:rPr>
                <w:rFonts w:hint="eastAsia" w:ascii="宋体" w:hAnsi="宋体" w:eastAsia="宋体" w:cs="宋体"/>
                <w:sz w:val="22"/>
                <w:szCs w:val="21"/>
              </w:rPr>
              <w:t>话：</w:t>
            </w:r>
            <w:r>
              <w:rPr>
                <w:rFonts w:hint="eastAsia" w:ascii="宋体" w:hAnsi="宋体" w:eastAsia="宋体" w:cs="宋体"/>
                <w:sz w:val="22"/>
                <w:szCs w:val="21"/>
                <w:u w:val="single"/>
              </w:rPr>
              <w:t>18197668299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3</w:t>
            </w:r>
          </w:p>
        </w:tc>
        <w:tc>
          <w:tcPr>
            <w:tcW w:w="7740" w:type="dxa"/>
            <w:tcBorders>
              <w:top w:val="single" w:color="000000" w:sz="6" w:space="0"/>
              <w:left w:val="single" w:color="000000" w:sz="6" w:space="0"/>
              <w:bottom w:val="single" w:color="000000" w:sz="6" w:space="0"/>
            </w:tcBorders>
          </w:tcPr>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合格投标人的其他资格要求：</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满足《中华人民共和国政府采购法》第二十二条要求：</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（1）具有独立承担民事责任的能力（三证合一的营业执照）；</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（2）法定代表人授权书及被委托人身份证（法定代表人投标提供法定代表人身份证明及身份证）；</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（3）具有税务局开具依法缴纳近六个月任意一个月的完税证明；</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（4）2021年度的财务审计报告（新成立未满一年的公司需提供有效的银行资信证明）；</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（5）参加采购活动前三年内，在经营活动中无重大违法声明；</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（6）投标单位（供应商）具备针对本次采购项目《反商业贿赂承诺书》；</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（7）中小企业声明函；</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（8）投标保证金收据或投标保函；</w:t>
            </w:r>
          </w:p>
          <w:p>
            <w:pPr>
              <w:pStyle w:val="29"/>
              <w:spacing w:before="2" w:line="251" w:lineRule="exact"/>
              <w:ind w:left="35"/>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本项目不接受联合体投标。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jc w:val="center"/>
        </w:trPr>
        <w:tc>
          <w:tcPr>
            <w:tcW w:w="1317" w:type="dxa"/>
            <w:tcBorders>
              <w:top w:val="single" w:color="000000" w:sz="6" w:space="0"/>
              <w:bottom w:val="single" w:color="000000" w:sz="6" w:space="0"/>
              <w:right w:val="single" w:color="000000" w:sz="6" w:space="0"/>
            </w:tcBorders>
          </w:tcPr>
          <w:p>
            <w:pPr>
              <w:pStyle w:val="29"/>
              <w:spacing w:before="80"/>
              <w:ind w:left="566" w:firstLine="220" w:firstLineChars="100"/>
              <w:rPr>
                <w:rFonts w:hint="eastAsia" w:ascii="宋体" w:hAnsi="宋体" w:eastAsia="宋体" w:cs="宋体"/>
                <w:sz w:val="22"/>
                <w:szCs w:val="21"/>
              </w:rPr>
            </w:pPr>
            <w:r>
              <w:rPr>
                <w:rFonts w:hint="eastAsia" w:ascii="宋体" w:hAnsi="宋体" w:eastAsia="宋体" w:cs="宋体"/>
                <w:sz w:val="22"/>
                <w:szCs w:val="21"/>
              </w:rPr>
              <w:t>4</w:t>
            </w:r>
          </w:p>
        </w:tc>
        <w:tc>
          <w:tcPr>
            <w:tcW w:w="7740" w:type="dxa"/>
            <w:tcBorders>
              <w:top w:val="single" w:color="000000" w:sz="6" w:space="0"/>
              <w:left w:val="single" w:color="000000" w:sz="6" w:space="0"/>
              <w:bottom w:val="single" w:color="000000" w:sz="6" w:space="0"/>
            </w:tcBorders>
          </w:tcPr>
          <w:p>
            <w:pPr>
              <w:pStyle w:val="29"/>
              <w:spacing w:before="81"/>
              <w:ind w:left="35"/>
              <w:rPr>
                <w:rFonts w:hint="eastAsia" w:ascii="宋体" w:hAnsi="宋体" w:eastAsia="宋体" w:cs="宋体"/>
                <w:sz w:val="22"/>
                <w:szCs w:val="21"/>
              </w:rPr>
            </w:pPr>
            <w:r>
              <w:rPr>
                <w:rFonts w:hint="eastAsia" w:ascii="宋体" w:hAnsi="宋体" w:eastAsia="宋体" w:cs="宋体"/>
                <w:sz w:val="22"/>
                <w:szCs w:val="21"/>
              </w:rPr>
              <w:t>是否为专门面向中小企业采购：</w:t>
            </w:r>
            <w:r>
              <w:rPr>
                <w:rFonts w:hint="eastAsia" w:ascii="宋体" w:hAnsi="宋体" w:eastAsia="宋体" w:cs="宋体"/>
                <w:sz w:val="22"/>
                <w:szCs w:val="21"/>
                <w:u w:val="single"/>
                <w:lang w:eastAsia="zh-CN"/>
              </w:rPr>
              <w:t>是</w:t>
            </w:r>
            <w:r>
              <w:rPr>
                <w:rFonts w:hint="eastAsia" w:ascii="宋体" w:hAnsi="宋体" w:eastAsia="宋体" w:cs="宋体"/>
                <w:sz w:val="22"/>
                <w:szCs w:val="21"/>
              </w:rPr>
              <w:t>（是、否）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317" w:type="dxa"/>
            <w:tcBorders>
              <w:top w:val="single" w:color="000000" w:sz="6" w:space="0"/>
              <w:bottom w:val="single" w:color="000000" w:sz="6" w:space="0"/>
              <w:right w:val="single" w:color="000000" w:sz="6" w:space="0"/>
            </w:tcBorders>
          </w:tcPr>
          <w:p>
            <w:pPr>
              <w:pStyle w:val="29"/>
              <w:spacing w:before="81"/>
              <w:ind w:left="566" w:firstLine="220" w:firstLineChars="100"/>
              <w:rPr>
                <w:rFonts w:hint="eastAsia" w:ascii="宋体" w:hAnsi="宋体" w:eastAsia="宋体" w:cs="宋体"/>
                <w:sz w:val="22"/>
                <w:szCs w:val="21"/>
              </w:rPr>
            </w:pPr>
            <w:r>
              <w:rPr>
                <w:rFonts w:hint="eastAsia" w:ascii="宋体" w:hAnsi="宋体" w:eastAsia="宋体" w:cs="宋体"/>
                <w:sz w:val="22"/>
                <w:szCs w:val="21"/>
              </w:rPr>
              <w:t>5</w:t>
            </w:r>
          </w:p>
        </w:tc>
        <w:tc>
          <w:tcPr>
            <w:tcW w:w="7740" w:type="dxa"/>
            <w:tcBorders>
              <w:top w:val="single" w:color="000000" w:sz="6" w:space="0"/>
              <w:left w:val="single" w:color="000000" w:sz="6" w:space="0"/>
              <w:bottom w:val="single" w:color="000000" w:sz="6" w:space="0"/>
            </w:tcBorders>
          </w:tcPr>
          <w:p>
            <w:pPr>
              <w:pStyle w:val="29"/>
              <w:spacing w:before="81"/>
              <w:ind w:left="35"/>
              <w:rPr>
                <w:rFonts w:hint="eastAsia" w:ascii="宋体" w:hAnsi="宋体" w:eastAsia="宋体" w:cs="宋体"/>
                <w:color w:val="auto"/>
                <w:sz w:val="22"/>
                <w:szCs w:val="21"/>
              </w:rPr>
            </w:pPr>
            <w:r>
              <w:rPr>
                <w:rFonts w:hint="eastAsia" w:ascii="宋体" w:hAnsi="宋体" w:eastAsia="宋体" w:cs="宋体"/>
                <w:color w:val="auto"/>
                <w:sz w:val="22"/>
                <w:szCs w:val="21"/>
              </w:rPr>
              <w:t>是否允许联合体报价：</w:t>
            </w:r>
            <w:r>
              <w:rPr>
                <w:rFonts w:hint="eastAsia" w:ascii="宋体" w:hAnsi="宋体" w:eastAsia="宋体" w:cs="宋体"/>
                <w:color w:val="auto"/>
                <w:sz w:val="22"/>
                <w:szCs w:val="21"/>
                <w:u w:val="single"/>
              </w:rPr>
              <w:t>否</w:t>
            </w:r>
            <w:r>
              <w:rPr>
                <w:rFonts w:hint="eastAsia" w:ascii="宋体" w:hAnsi="宋体" w:eastAsia="宋体" w:cs="宋体"/>
                <w:color w:val="auto"/>
                <w:sz w:val="22"/>
                <w:szCs w:val="21"/>
              </w:rPr>
              <w:t>（是、否）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eastAsia" w:ascii="宋体" w:hAnsi="宋体" w:eastAsia="宋体" w:cs="宋体"/>
                <w:sz w:val="22"/>
                <w:szCs w:val="21"/>
              </w:rPr>
            </w:pPr>
          </w:p>
          <w:p>
            <w:pPr>
              <w:pStyle w:val="29"/>
              <w:spacing w:before="14" w:line="303" w:lineRule="exact"/>
              <w:ind w:left="566" w:firstLine="220" w:firstLineChars="100"/>
              <w:rPr>
                <w:rFonts w:hint="eastAsia" w:ascii="宋体" w:hAnsi="宋体" w:eastAsia="宋体" w:cs="宋体"/>
                <w:sz w:val="22"/>
                <w:szCs w:val="21"/>
                <w:lang w:eastAsia="zh-CN"/>
              </w:rPr>
            </w:pPr>
            <w:r>
              <w:rPr>
                <w:rFonts w:hint="eastAsia" w:cs="宋体"/>
                <w:sz w:val="22"/>
                <w:szCs w:val="21"/>
                <w:lang w:val="en-US" w:eastAsia="zh-CN"/>
              </w:rPr>
              <w:t>6</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color w:val="auto"/>
                <w:sz w:val="22"/>
                <w:szCs w:val="18"/>
                <w:lang w:val="en-US" w:eastAsia="zh-CN"/>
              </w:rPr>
            </w:pPr>
            <w:r>
              <w:rPr>
                <w:rFonts w:hint="eastAsia" w:ascii="宋体" w:hAnsi="宋体" w:eastAsia="宋体" w:cs="宋体"/>
                <w:color w:val="auto"/>
                <w:sz w:val="22"/>
                <w:szCs w:val="18"/>
              </w:rPr>
              <w:t>项目预算金额：</w:t>
            </w:r>
            <w:r>
              <w:rPr>
                <w:rFonts w:hint="eastAsia" w:ascii="宋体" w:hAnsi="宋体" w:eastAsia="宋体" w:cs="宋体"/>
                <w:color w:val="auto"/>
                <w:sz w:val="22"/>
                <w:szCs w:val="18"/>
                <w:u w:val="single"/>
                <w:lang w:val="en-US" w:eastAsia="zh-CN"/>
              </w:rPr>
              <w:t>4385034.00（</w:t>
            </w:r>
            <w:r>
              <w:rPr>
                <w:rFonts w:hint="eastAsia" w:hAnsi="宋体" w:eastAsia="宋体" w:cs="宋体"/>
                <w:color w:val="auto"/>
                <w:sz w:val="22"/>
                <w:szCs w:val="18"/>
                <w:u w:val="single"/>
                <w:lang w:val="en-US" w:eastAsia="zh-CN"/>
              </w:rPr>
              <w:t>大写：</w:t>
            </w:r>
            <w:r>
              <w:rPr>
                <w:rFonts w:hint="eastAsia" w:ascii="宋体" w:hAnsi="宋体" w:eastAsia="宋体" w:cs="宋体"/>
                <w:color w:val="auto"/>
                <w:sz w:val="22"/>
                <w:szCs w:val="18"/>
                <w:u w:val="single"/>
                <w:lang w:val="en-US" w:eastAsia="zh-CN"/>
              </w:rPr>
              <w:t>肆佰叁拾捌万伍仟零叁拾肆元整）</w:t>
            </w:r>
          </w:p>
          <w:p>
            <w:pPr>
              <w:pStyle w:val="11"/>
              <w:spacing w:line="320" w:lineRule="exact"/>
              <w:rPr>
                <w:rFonts w:hint="eastAsia" w:ascii="宋体" w:hAnsi="宋体" w:eastAsia="宋体" w:cs="宋体"/>
                <w:color w:val="auto"/>
                <w:sz w:val="22"/>
                <w:szCs w:val="18"/>
              </w:rPr>
            </w:pPr>
            <w:r>
              <w:rPr>
                <w:rFonts w:hint="eastAsia" w:ascii="宋体" w:hAnsi="宋体" w:eastAsia="宋体" w:cs="宋体"/>
                <w:b/>
                <w:color w:val="auto"/>
                <w:sz w:val="21"/>
                <w:szCs w:val="18"/>
              </w:rPr>
              <w:t>各</w:t>
            </w:r>
            <w:r>
              <w:rPr>
                <w:rFonts w:hint="eastAsia" w:ascii="宋体" w:hAnsi="宋体" w:eastAsia="宋体" w:cs="宋体"/>
                <w:b/>
                <w:color w:val="auto"/>
                <w:sz w:val="21"/>
                <w:szCs w:val="18"/>
                <w:lang w:val="en-US" w:eastAsia="zh-CN"/>
              </w:rPr>
              <w:t>潜在</w:t>
            </w:r>
            <w:r>
              <w:rPr>
                <w:rFonts w:hint="eastAsia" w:ascii="宋体" w:hAnsi="宋体" w:eastAsia="宋体" w:cs="宋体"/>
                <w:b/>
                <w:color w:val="auto"/>
                <w:sz w:val="21"/>
                <w:szCs w:val="18"/>
              </w:rPr>
              <w:t>投标人的投标报价不得超过</w:t>
            </w:r>
            <w:r>
              <w:rPr>
                <w:rFonts w:hint="eastAsia" w:ascii="宋体" w:hAnsi="宋体" w:eastAsia="宋体" w:cs="宋体"/>
                <w:b/>
                <w:color w:val="auto"/>
                <w:sz w:val="21"/>
                <w:szCs w:val="18"/>
                <w:lang w:val="en-US" w:eastAsia="zh-CN"/>
              </w:rPr>
              <w:t>预算金额</w:t>
            </w:r>
            <w:r>
              <w:rPr>
                <w:rFonts w:hint="eastAsia" w:ascii="宋体" w:hAnsi="宋体" w:eastAsia="宋体" w:cs="宋体"/>
                <w:b/>
                <w:color w:val="auto"/>
                <w:sz w:val="21"/>
                <w:szCs w:val="18"/>
              </w:rPr>
              <w:t>，否则其投标文件将按否决投标处理。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firstLine="220" w:firstLineChars="100"/>
              <w:rPr>
                <w:rFonts w:hint="eastAsia" w:ascii="宋体" w:hAnsi="宋体" w:eastAsia="宋体" w:cs="宋体"/>
                <w:sz w:val="22"/>
                <w:szCs w:val="21"/>
                <w:lang w:val="en-US" w:eastAsia="zh-CN"/>
              </w:rPr>
            </w:pPr>
            <w:r>
              <w:rPr>
                <w:rFonts w:hint="eastAsia" w:cs="宋体"/>
                <w:sz w:val="22"/>
                <w:szCs w:val="21"/>
                <w:lang w:val="en-US" w:eastAsia="zh-CN"/>
              </w:rPr>
              <w:t>7</w:t>
            </w:r>
          </w:p>
        </w:tc>
        <w:tc>
          <w:tcPr>
            <w:tcW w:w="7740" w:type="dxa"/>
            <w:tcBorders>
              <w:top w:val="single" w:color="000000" w:sz="6" w:space="0"/>
              <w:left w:val="single" w:color="000000" w:sz="6" w:space="0"/>
              <w:bottom w:val="single" w:color="000000" w:sz="6" w:space="0"/>
            </w:tcBorders>
          </w:tcPr>
          <w:p>
            <w:pPr>
              <w:pStyle w:val="29"/>
              <w:tabs>
                <w:tab w:val="left" w:pos="2435"/>
                <w:tab w:val="left" w:pos="3395"/>
              </w:tabs>
              <w:spacing w:before="3"/>
              <w:ind w:left="35"/>
              <w:rPr>
                <w:rFonts w:hint="eastAsia" w:ascii="宋体" w:hAnsi="宋体" w:eastAsia="宋体" w:cs="宋体"/>
                <w:color w:val="auto"/>
                <w:sz w:val="22"/>
                <w:szCs w:val="21"/>
              </w:rPr>
            </w:pPr>
            <w:r>
              <w:rPr>
                <w:rFonts w:hint="eastAsia" w:ascii="宋体" w:hAnsi="宋体" w:eastAsia="宋体" w:cs="宋体"/>
                <w:color w:val="auto"/>
                <w:sz w:val="22"/>
                <w:szCs w:val="21"/>
              </w:rPr>
              <w:t>保证金形式：</w:t>
            </w:r>
            <w:r>
              <w:rPr>
                <w:rFonts w:hint="eastAsia" w:ascii="宋体" w:hAnsi="宋体" w:eastAsia="宋体" w:cs="宋体"/>
                <w:color w:val="auto"/>
                <w:sz w:val="22"/>
                <w:szCs w:val="21"/>
                <w:lang w:eastAsia="zh-CN"/>
              </w:rPr>
              <w:t>☑</w:t>
            </w:r>
            <w:r>
              <w:rPr>
                <w:rFonts w:hint="eastAsia" w:ascii="宋体" w:hAnsi="宋体" w:eastAsia="宋体" w:cs="宋体"/>
                <w:color w:val="auto"/>
                <w:sz w:val="22"/>
                <w:szCs w:val="21"/>
              </w:rPr>
              <w:t>保函</w:t>
            </w:r>
            <w:r>
              <w:rPr>
                <w:rFonts w:hint="eastAsia" w:ascii="宋体" w:hAnsi="宋体" w:eastAsia="宋体" w:cs="宋体"/>
                <w:color w:val="auto"/>
                <w:sz w:val="22"/>
                <w:szCs w:val="21"/>
              </w:rPr>
              <w:tab/>
            </w:r>
            <w:r>
              <w:rPr>
                <w:rFonts w:hint="eastAsia" w:ascii="宋体" w:hAnsi="宋体" w:eastAsia="宋体" w:cs="宋体"/>
                <w:color w:val="auto"/>
                <w:sz w:val="22"/>
                <w:szCs w:val="21"/>
              </w:rPr>
              <w:t>☑电汇</w:t>
            </w:r>
            <w:r>
              <w:rPr>
                <w:rFonts w:hint="eastAsia" w:ascii="宋体" w:hAnsi="宋体" w:eastAsia="宋体" w:cs="宋体"/>
                <w:color w:val="auto"/>
                <w:sz w:val="22"/>
                <w:szCs w:val="21"/>
              </w:rPr>
              <w:tab/>
            </w:r>
            <w:r>
              <w:rPr>
                <w:rFonts w:hint="eastAsia" w:ascii="宋体" w:hAnsi="宋体" w:eastAsia="宋体" w:cs="宋体"/>
                <w:color w:val="auto"/>
                <w:sz w:val="22"/>
                <w:szCs w:val="21"/>
                <w:lang w:eastAsia="zh-CN"/>
              </w:rPr>
              <w:t>□</w:t>
            </w:r>
            <w:r>
              <w:rPr>
                <w:rFonts w:hint="eastAsia" w:ascii="宋体" w:hAnsi="宋体" w:eastAsia="宋体" w:cs="宋体"/>
                <w:color w:val="auto"/>
                <w:sz w:val="22"/>
                <w:szCs w:val="21"/>
              </w:rPr>
              <w:t>支票</w:t>
            </w:r>
            <w:r>
              <w:rPr>
                <w:rFonts w:hint="eastAsia" w:ascii="宋体" w:hAnsi="宋体" w:eastAsia="宋体" w:cs="宋体"/>
                <w:color w:val="auto"/>
                <w:sz w:val="22"/>
                <w:szCs w:val="21"/>
                <w:lang w:eastAsia="zh-CN"/>
              </w:rPr>
              <w:t>☑</w:t>
            </w:r>
            <w:r>
              <w:rPr>
                <w:rFonts w:hint="eastAsia" w:ascii="宋体" w:hAnsi="宋体" w:eastAsia="宋体" w:cs="宋体"/>
                <w:color w:val="auto"/>
                <w:sz w:val="22"/>
                <w:szCs w:val="21"/>
                <w:u w:val="none"/>
              </w:rPr>
              <w:t xml:space="preserve">网银 </w:t>
            </w:r>
            <w:r>
              <w:rPr>
                <w:rFonts w:hint="eastAsia" w:ascii="宋体" w:hAnsi="宋体" w:eastAsia="宋体" w:cs="宋体"/>
                <w:color w:val="auto"/>
                <w:sz w:val="22"/>
                <w:szCs w:val="21"/>
              </w:rPr>
              <w:t>（本项目允许的其他形式） 保证金数额：</w:t>
            </w:r>
            <w:r>
              <w:rPr>
                <w:rFonts w:hint="eastAsia" w:ascii="宋体" w:hAnsi="宋体" w:eastAsia="宋体" w:cs="宋体"/>
                <w:color w:val="auto"/>
                <w:sz w:val="22"/>
                <w:szCs w:val="21"/>
                <w:lang w:val="en-US" w:eastAsia="zh-CN"/>
              </w:rPr>
              <w:t>80000.00</w:t>
            </w:r>
            <w:r>
              <w:rPr>
                <w:rFonts w:hint="eastAsia" w:ascii="宋体" w:hAnsi="宋体" w:eastAsia="宋体" w:cs="宋体"/>
                <w:color w:val="auto"/>
                <w:sz w:val="22"/>
                <w:szCs w:val="21"/>
              </w:rPr>
              <w:t>元（</w:t>
            </w:r>
            <w:r>
              <w:rPr>
                <w:rFonts w:hint="eastAsia" w:cs="宋体"/>
                <w:color w:val="auto"/>
                <w:sz w:val="22"/>
                <w:szCs w:val="21"/>
                <w:lang w:eastAsia="zh-CN"/>
              </w:rPr>
              <w:t>大写：</w:t>
            </w:r>
            <w:r>
              <w:rPr>
                <w:rFonts w:hint="eastAsia" w:ascii="宋体" w:hAnsi="宋体" w:eastAsia="宋体" w:cs="宋体"/>
                <w:color w:val="auto"/>
                <w:sz w:val="22"/>
                <w:szCs w:val="21"/>
                <w:lang w:val="en-US" w:eastAsia="zh-CN"/>
              </w:rPr>
              <w:t>捌万元整</w:t>
            </w:r>
            <w:r>
              <w:rPr>
                <w:rFonts w:hint="eastAsia" w:ascii="宋体" w:hAnsi="宋体" w:eastAsia="宋体" w:cs="宋体"/>
                <w:color w:val="auto"/>
                <w:sz w:val="22"/>
                <w:szCs w:val="21"/>
              </w:rPr>
              <w:t>）</w:t>
            </w:r>
          </w:p>
          <w:p>
            <w:pPr>
              <w:pStyle w:val="29"/>
              <w:spacing w:before="5" w:line="242" w:lineRule="auto"/>
              <w:ind w:left="35" w:right="3254"/>
              <w:rPr>
                <w:rFonts w:hint="eastAsia" w:ascii="宋体" w:hAnsi="宋体" w:eastAsia="宋体" w:cs="宋体"/>
                <w:b/>
                <w:color w:val="auto"/>
                <w:sz w:val="22"/>
                <w:szCs w:val="21"/>
              </w:rPr>
            </w:pPr>
            <w:r>
              <w:rPr>
                <w:rFonts w:hint="eastAsia" w:ascii="宋体" w:hAnsi="宋体" w:eastAsia="宋体" w:cs="宋体"/>
                <w:color w:val="auto"/>
                <w:sz w:val="22"/>
                <w:szCs w:val="21"/>
              </w:rPr>
              <w:t>（按照</w:t>
            </w:r>
            <w:r>
              <w:rPr>
                <w:rFonts w:hint="eastAsia" w:ascii="宋体" w:hAnsi="宋体" w:eastAsia="宋体" w:cs="宋体"/>
                <w:color w:val="auto"/>
                <w:sz w:val="22"/>
                <w:szCs w:val="21"/>
                <w:lang w:val="en-US" w:eastAsia="zh-CN"/>
              </w:rPr>
              <w:t>最高限价</w:t>
            </w:r>
            <w:r>
              <w:rPr>
                <w:rFonts w:hint="eastAsia" w:ascii="宋体" w:hAnsi="宋体" w:eastAsia="宋体" w:cs="宋体"/>
                <w:color w:val="auto"/>
                <w:sz w:val="22"/>
                <w:szCs w:val="21"/>
              </w:rPr>
              <w:t xml:space="preserve">控制金额 2%以内的整数计算） </w:t>
            </w:r>
            <w:r>
              <w:rPr>
                <w:rFonts w:hint="eastAsia" w:ascii="宋体" w:hAnsi="宋体" w:eastAsia="宋体" w:cs="宋体"/>
                <w:b/>
                <w:color w:val="auto"/>
                <w:sz w:val="22"/>
                <w:szCs w:val="21"/>
              </w:rPr>
              <w:t>投标保证金账户：</w:t>
            </w:r>
          </w:p>
          <w:p>
            <w:pPr>
              <w:pStyle w:val="29"/>
              <w:ind w:left="35"/>
              <w:rPr>
                <w:rFonts w:hint="eastAsia" w:ascii="宋体" w:hAnsi="宋体" w:eastAsia="宋体" w:cs="宋体"/>
                <w:color w:val="auto"/>
                <w:sz w:val="22"/>
                <w:szCs w:val="21"/>
              </w:rPr>
            </w:pPr>
            <w:r>
              <w:rPr>
                <w:rFonts w:hint="eastAsia" w:ascii="宋体" w:hAnsi="宋体" w:eastAsia="宋体" w:cs="宋体"/>
                <w:color w:val="auto"/>
                <w:sz w:val="22"/>
                <w:szCs w:val="21"/>
              </w:rPr>
              <w:t>保证金收款人：智博国际工程咨询有限公司喀什分公司</w:t>
            </w:r>
          </w:p>
          <w:p>
            <w:pPr>
              <w:pStyle w:val="29"/>
              <w:ind w:left="35"/>
              <w:rPr>
                <w:rFonts w:hint="eastAsia" w:ascii="宋体" w:hAnsi="宋体" w:eastAsia="宋体" w:cs="宋体"/>
                <w:color w:val="auto"/>
                <w:sz w:val="22"/>
                <w:szCs w:val="21"/>
              </w:rPr>
            </w:pPr>
            <w:r>
              <w:rPr>
                <w:rFonts w:hint="eastAsia" w:ascii="宋体" w:hAnsi="宋体" w:eastAsia="宋体" w:cs="宋体"/>
                <w:color w:val="auto"/>
                <w:sz w:val="22"/>
                <w:szCs w:val="21"/>
              </w:rPr>
              <w:t>开户银行：</w:t>
            </w:r>
            <w:r>
              <w:rPr>
                <w:rFonts w:hint="eastAsia" w:ascii="宋体" w:hAnsi="宋体" w:eastAsia="宋体" w:cs="宋体"/>
                <w:color w:val="auto"/>
                <w:sz w:val="22"/>
                <w:szCs w:val="21"/>
                <w:lang w:val="zh-CN"/>
              </w:rPr>
              <w:t>中国银行股份有限公司喀什市青年南路支行</w:t>
            </w:r>
            <w:r>
              <w:rPr>
                <w:rFonts w:hint="eastAsia" w:ascii="宋体" w:hAnsi="宋体" w:eastAsia="宋体" w:cs="宋体"/>
                <w:color w:val="auto"/>
                <w:sz w:val="22"/>
                <w:szCs w:val="21"/>
              </w:rPr>
              <w:t xml:space="preserve"> </w:t>
            </w:r>
          </w:p>
          <w:p>
            <w:pPr>
              <w:pStyle w:val="29"/>
              <w:ind w:left="35"/>
              <w:rPr>
                <w:rFonts w:hint="eastAsia" w:ascii="宋体" w:hAnsi="宋体" w:eastAsia="宋体" w:cs="宋体"/>
                <w:color w:val="auto"/>
                <w:sz w:val="22"/>
                <w:szCs w:val="21"/>
              </w:rPr>
            </w:pPr>
            <w:r>
              <w:rPr>
                <w:rFonts w:hint="eastAsia" w:ascii="宋体" w:hAnsi="宋体" w:eastAsia="宋体" w:cs="宋体"/>
                <w:color w:val="auto"/>
                <w:sz w:val="22"/>
                <w:szCs w:val="21"/>
              </w:rPr>
              <w:t>账  号：1070 8596 2335</w:t>
            </w:r>
          </w:p>
          <w:p>
            <w:pPr>
              <w:spacing w:line="360" w:lineRule="auto"/>
              <w:jc w:val="left"/>
              <w:rPr>
                <w:rFonts w:hint="eastAsia" w:ascii="宋体" w:hAnsi="宋体" w:eastAsia="宋体" w:cs="宋体"/>
                <w:color w:val="auto"/>
                <w:sz w:val="22"/>
                <w:szCs w:val="21"/>
              </w:rPr>
            </w:pPr>
            <w:r>
              <w:rPr>
                <w:rFonts w:hint="eastAsia" w:ascii="宋体" w:hAnsi="宋体" w:eastAsia="宋体" w:cs="宋体"/>
                <w:color w:val="auto"/>
                <w:sz w:val="22"/>
                <w:szCs w:val="22"/>
                <w:lang w:val="zh-CN"/>
              </w:rPr>
              <w:t>行  号：</w:t>
            </w:r>
            <w:r>
              <w:rPr>
                <w:rFonts w:hint="eastAsia" w:ascii="宋体" w:hAnsi="宋体" w:eastAsia="宋体" w:cs="宋体"/>
                <w:color w:val="auto"/>
                <w:sz w:val="22"/>
                <w:szCs w:val="22"/>
              </w:rPr>
              <w:t>1048</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9400</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1054</w:t>
            </w:r>
          </w:p>
          <w:p>
            <w:pPr>
              <w:pStyle w:val="29"/>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auto"/>
                <w:sz w:val="22"/>
                <w:szCs w:val="21"/>
              </w:rPr>
              <w:t>打款</w:t>
            </w:r>
            <w:r>
              <w:rPr>
                <w:rFonts w:hint="eastAsia" w:ascii="宋体" w:hAnsi="宋体" w:eastAsia="宋体" w:cs="宋体"/>
                <w:color w:val="000000" w:themeColor="text1"/>
                <w:sz w:val="22"/>
                <w:szCs w:val="21"/>
                <w14:textFill>
                  <w14:solidFill>
                    <w14:schemeClr w14:val="tx1"/>
                  </w14:solidFill>
                </w14:textFill>
              </w:rPr>
              <w:t>时注明投标保证金项目名称及项目编号。</w:t>
            </w:r>
          </w:p>
          <w:p>
            <w:pPr>
              <w:pStyle w:val="29"/>
              <w:spacing w:before="5" w:line="242" w:lineRule="auto"/>
              <w:ind w:left="35" w:right="2183"/>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投标截止时间：</w:t>
            </w:r>
            <w:r>
              <w:rPr>
                <w:rFonts w:hint="eastAsia" w:cs="宋体"/>
                <w:color w:val="000000" w:themeColor="text1"/>
                <w:sz w:val="21"/>
                <w:szCs w:val="21"/>
                <w:lang w:eastAsia="zh-CN"/>
                <w14:textFill>
                  <w14:solidFill>
                    <w14:schemeClr w14:val="tx1"/>
                  </w14:solidFill>
                </w14:textFill>
              </w:rPr>
              <w:t>2022年10月09日11点00分</w:t>
            </w:r>
            <w:r>
              <w:rPr>
                <w:rFonts w:hint="eastAsia" w:ascii="宋体" w:hAnsi="宋体" w:eastAsia="宋体" w:cs="宋体"/>
                <w:color w:val="000000" w:themeColor="text1"/>
                <w:sz w:val="21"/>
                <w:szCs w:val="21"/>
                <w14:textFill>
                  <w14:solidFill>
                    <w14:schemeClr w14:val="tx1"/>
                  </w14:solidFill>
                </w14:textFill>
              </w:rPr>
              <w:t>（北京时间）</w:t>
            </w:r>
          </w:p>
          <w:p>
            <w:pPr>
              <w:pStyle w:val="29"/>
              <w:spacing w:line="290" w:lineRule="exact"/>
              <w:rPr>
                <w:rFonts w:hint="eastAsia" w:ascii="宋体" w:hAnsi="宋体" w:eastAsia="宋体" w:cs="宋体"/>
                <w:color w:val="auto"/>
                <w:sz w:val="22"/>
                <w:szCs w:val="21"/>
              </w:rPr>
            </w:pPr>
            <w:r>
              <w:rPr>
                <w:rFonts w:hint="eastAsia" w:ascii="宋体" w:hAnsi="宋体" w:eastAsia="宋体" w:cs="宋体"/>
                <w:color w:val="auto"/>
                <w:sz w:val="22"/>
                <w:szCs w:val="21"/>
              </w:rPr>
              <w:t>注：汇款时注明投标保证金项目名称及项目编号（如有包段，需注明包段）。投标保证金转入智博国际工程咨询有限公司喀什分公司账户后，换取保证金收据并将收据复印件装至投标文件中。</w:t>
            </w:r>
          </w:p>
          <w:p>
            <w:pPr>
              <w:pStyle w:val="11"/>
              <w:spacing w:line="320" w:lineRule="exact"/>
              <w:rPr>
                <w:rFonts w:hint="eastAsia" w:ascii="宋体" w:hAnsi="宋体" w:eastAsia="宋体" w:cs="宋体"/>
                <w:color w:val="auto"/>
                <w:sz w:val="22"/>
                <w:szCs w:val="18"/>
              </w:rPr>
            </w:pPr>
            <w:r>
              <w:rPr>
                <w:rFonts w:hint="eastAsia" w:ascii="宋体" w:hAnsi="宋体" w:eastAsia="宋体" w:cs="宋体"/>
                <w:color w:val="auto"/>
                <w:sz w:val="22"/>
                <w:szCs w:val="18"/>
              </w:rPr>
              <w:t>投标保证金提交截止时间：202</w:t>
            </w:r>
            <w:r>
              <w:rPr>
                <w:rFonts w:hint="eastAsia" w:ascii="宋体" w:hAnsi="宋体" w:eastAsia="宋体" w:cs="宋体"/>
                <w:color w:val="auto"/>
                <w:sz w:val="22"/>
                <w:szCs w:val="18"/>
                <w:lang w:val="en-US" w:eastAsia="zh-CN"/>
              </w:rPr>
              <w:t>2</w:t>
            </w:r>
            <w:r>
              <w:rPr>
                <w:rFonts w:hint="eastAsia" w:ascii="宋体" w:hAnsi="宋体" w:eastAsia="宋体" w:cs="宋体"/>
                <w:color w:val="auto"/>
                <w:sz w:val="22"/>
                <w:szCs w:val="18"/>
              </w:rPr>
              <w:t>年</w:t>
            </w:r>
            <w:r>
              <w:rPr>
                <w:rFonts w:hint="eastAsia" w:hAnsi="宋体" w:eastAsia="宋体" w:cs="宋体"/>
                <w:color w:val="auto"/>
                <w:sz w:val="22"/>
                <w:szCs w:val="18"/>
                <w:lang w:val="en-US" w:eastAsia="zh-CN"/>
              </w:rPr>
              <w:t>10</w:t>
            </w:r>
            <w:r>
              <w:rPr>
                <w:rFonts w:hint="eastAsia" w:ascii="宋体" w:hAnsi="宋体" w:eastAsia="宋体" w:cs="宋体"/>
                <w:color w:val="auto"/>
                <w:sz w:val="22"/>
                <w:szCs w:val="18"/>
              </w:rPr>
              <w:t>月</w:t>
            </w:r>
            <w:r>
              <w:rPr>
                <w:rFonts w:hint="eastAsia" w:hAnsi="宋体" w:eastAsia="宋体" w:cs="宋体"/>
                <w:color w:val="auto"/>
                <w:sz w:val="22"/>
                <w:szCs w:val="18"/>
                <w:lang w:val="en-US" w:eastAsia="zh-CN"/>
              </w:rPr>
              <w:t>8</w:t>
            </w:r>
            <w:r>
              <w:rPr>
                <w:rFonts w:hint="eastAsia" w:ascii="宋体" w:hAnsi="宋体" w:eastAsia="宋体" w:cs="宋体"/>
                <w:color w:val="auto"/>
                <w:sz w:val="22"/>
                <w:szCs w:val="18"/>
              </w:rPr>
              <w:t>日下午</w:t>
            </w:r>
            <w:r>
              <w:rPr>
                <w:rFonts w:hint="eastAsia" w:hAnsi="宋体" w:eastAsia="宋体" w:cs="宋体"/>
                <w:color w:val="auto"/>
                <w:sz w:val="22"/>
                <w:szCs w:val="18"/>
                <w:lang w:val="en-US" w:eastAsia="zh-CN"/>
              </w:rPr>
              <w:t>20</w:t>
            </w:r>
            <w:r>
              <w:rPr>
                <w:rFonts w:hint="eastAsia" w:ascii="宋体" w:hAnsi="宋体" w:eastAsia="宋体" w:cs="宋体"/>
                <w:color w:val="auto"/>
                <w:sz w:val="22"/>
                <w:szCs w:val="18"/>
              </w:rPr>
              <w:t>:00点（北京时间）。</w:t>
            </w:r>
          </w:p>
          <w:p>
            <w:pPr>
              <w:pStyle w:val="11"/>
              <w:spacing w:line="320" w:lineRule="exact"/>
              <w:rPr>
                <w:rFonts w:hint="eastAsia" w:ascii="宋体" w:hAnsi="宋体" w:eastAsia="宋体" w:cs="宋体"/>
                <w:b/>
                <w:color w:val="auto"/>
                <w:sz w:val="21"/>
                <w:szCs w:val="18"/>
              </w:rPr>
            </w:pPr>
            <w:r>
              <w:rPr>
                <w:rFonts w:hint="eastAsia" w:ascii="宋体" w:hAnsi="宋体" w:eastAsia="宋体" w:cs="宋体"/>
                <w:color w:val="auto"/>
                <w:sz w:val="22"/>
                <w:szCs w:val="18"/>
              </w:rPr>
              <w:t>（过期不予办理）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3"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firstLine="660" w:firstLineChars="300"/>
              <w:jc w:val="both"/>
              <w:rPr>
                <w:rFonts w:hint="eastAsia" w:ascii="宋体" w:hAnsi="宋体" w:eastAsia="宋体" w:cs="宋体"/>
                <w:sz w:val="22"/>
                <w:szCs w:val="21"/>
                <w:lang w:val="en-US" w:eastAsia="zh-CN"/>
              </w:rPr>
            </w:pPr>
            <w:r>
              <w:rPr>
                <w:rFonts w:hint="eastAsia" w:cs="宋体"/>
                <w:sz w:val="22"/>
                <w:szCs w:val="21"/>
                <w:lang w:val="en-US" w:eastAsia="zh-CN"/>
              </w:rPr>
              <w:t>8</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auto"/>
                <w:sz w:val="21"/>
                <w:szCs w:val="18"/>
              </w:rPr>
            </w:pPr>
            <w:r>
              <w:rPr>
                <w:rFonts w:hint="eastAsia" w:ascii="宋体" w:hAnsi="宋体" w:eastAsia="宋体" w:cs="宋体"/>
                <w:sz w:val="22"/>
                <w:szCs w:val="18"/>
              </w:rPr>
              <w:t>投标有效期：60日历日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jc w:val="center"/>
              <w:rPr>
                <w:rFonts w:hint="eastAsia" w:ascii="宋体" w:hAnsi="宋体" w:eastAsia="宋体" w:cs="宋体"/>
                <w:sz w:val="22"/>
                <w:szCs w:val="21"/>
                <w:lang w:val="en-US" w:eastAsia="zh-CN"/>
              </w:rPr>
            </w:pPr>
            <w:r>
              <w:rPr>
                <w:rFonts w:hint="eastAsia" w:cs="宋体"/>
                <w:sz w:val="22"/>
                <w:szCs w:val="21"/>
                <w:lang w:val="en-US" w:eastAsia="zh-CN"/>
              </w:rPr>
              <w:t>9</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auto"/>
                <w:sz w:val="21"/>
                <w:szCs w:val="18"/>
              </w:rPr>
            </w:pPr>
            <w:r>
              <w:rPr>
                <w:rFonts w:hint="eastAsia" w:ascii="宋体" w:hAnsi="宋体" w:eastAsia="宋体" w:cs="宋体"/>
                <w:b/>
                <w:color w:val="auto"/>
                <w:sz w:val="20"/>
                <w:szCs w:val="21"/>
                <w:lang w:val="zh-CN" w:eastAsia="zh-CN" w:bidi="zh-CN"/>
              </w:rPr>
              <w:t>本项目实行全流程电子化“不见面”网上开标，请各潜在投标人自行下载学习（新疆政府采购网下载专区）注：投标截止时间前按要求在政采云上传电子版投标文件。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10</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auto"/>
                <w:sz w:val="21"/>
                <w:szCs w:val="18"/>
              </w:rPr>
            </w:pPr>
            <w:r>
              <w:rPr>
                <w:rFonts w:hint="eastAsia" w:ascii="宋体" w:hAnsi="宋体" w:eastAsia="宋体" w:cs="宋体"/>
                <w:color w:val="auto"/>
                <w:sz w:val="22"/>
                <w:szCs w:val="18"/>
                <w:highlight w:val="none"/>
              </w:rPr>
              <w:t>投标截止时间：</w:t>
            </w:r>
            <w:r>
              <w:rPr>
                <w:rFonts w:hint="eastAsia" w:hAnsi="宋体" w:eastAsia="宋体" w:cs="宋体"/>
                <w:color w:val="000000" w:themeColor="text1"/>
                <w:sz w:val="22"/>
                <w:szCs w:val="18"/>
                <w:highlight w:val="none"/>
                <w:lang w:eastAsia="zh-CN"/>
                <w14:textFill>
                  <w14:solidFill>
                    <w14:schemeClr w14:val="tx1"/>
                  </w14:solidFill>
                </w14:textFill>
              </w:rPr>
              <w:t>2022年10月09日11点00分（北京时间）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11</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auto"/>
                <w:sz w:val="21"/>
                <w:szCs w:val="18"/>
              </w:rPr>
            </w:pPr>
            <w:r>
              <w:rPr>
                <w:rFonts w:hint="eastAsia" w:ascii="宋体" w:hAnsi="宋体" w:eastAsia="宋体" w:cs="宋体"/>
                <w:color w:val="auto"/>
                <w:sz w:val="22"/>
                <w:szCs w:val="18"/>
              </w:rPr>
              <w:t>接收投标文件递交地点：政采云上传电子版投标文件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12</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auto"/>
                <w:sz w:val="21"/>
                <w:szCs w:val="18"/>
              </w:rPr>
            </w:pPr>
            <w:r>
              <w:rPr>
                <w:rFonts w:hint="eastAsia" w:ascii="宋体" w:hAnsi="宋体" w:eastAsia="宋体" w:cs="宋体"/>
                <w:color w:val="auto"/>
                <w:sz w:val="22"/>
                <w:szCs w:val="18"/>
              </w:rPr>
              <w:t>服务周期：</w:t>
            </w:r>
            <w:r>
              <w:rPr>
                <w:rFonts w:hint="eastAsia" w:ascii="宋体" w:hAnsi="宋体" w:eastAsia="宋体" w:cs="宋体"/>
                <w:color w:val="auto"/>
                <w:sz w:val="22"/>
                <w:szCs w:val="18"/>
                <w:lang w:val="en-US" w:eastAsia="zh-CN"/>
              </w:rPr>
              <w:t>12</w:t>
            </w:r>
            <w:r>
              <w:rPr>
                <w:rFonts w:hint="eastAsia" w:ascii="宋体" w:hAnsi="宋体" w:eastAsia="宋体" w:cs="宋体"/>
                <w:color w:val="auto"/>
                <w:sz w:val="22"/>
                <w:szCs w:val="18"/>
              </w:rPr>
              <w:t>个月。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13</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auto"/>
                <w:sz w:val="21"/>
                <w:szCs w:val="18"/>
              </w:rPr>
            </w:pPr>
            <w:r>
              <w:rPr>
                <w:rFonts w:hint="eastAsia" w:ascii="宋体" w:hAnsi="宋体" w:eastAsia="宋体" w:cs="宋体"/>
                <w:color w:val="auto"/>
                <w:sz w:val="22"/>
                <w:szCs w:val="18"/>
              </w:rPr>
              <w:t>评审方法：</w:t>
            </w:r>
            <w:r>
              <w:rPr>
                <w:rFonts w:hint="eastAsia" w:ascii="宋体" w:hAnsi="宋体" w:eastAsia="宋体" w:cs="宋体"/>
                <w:color w:val="auto"/>
                <w:sz w:val="22"/>
                <w:szCs w:val="18"/>
                <w:u w:val="single"/>
                <w:lang w:eastAsia="zh-CN"/>
              </w:rPr>
              <w:t>综合评分法。</w:t>
            </w:r>
            <w:r>
              <w:rPr>
                <w:rFonts w:hint="eastAsia" w:ascii="宋体" w:hAnsi="宋体" w:eastAsia="宋体" w:cs="宋体"/>
                <w:color w:val="auto"/>
                <w:sz w:val="22"/>
                <w:szCs w:val="18"/>
                <w:u w:val="single"/>
              </w:rPr>
              <w:t>根据质量和服务均能满足招标文件实质性响应要求</w:t>
            </w:r>
            <w:r>
              <w:rPr>
                <w:rFonts w:hint="eastAsia" w:ascii="宋体" w:hAnsi="宋体" w:eastAsia="宋体" w:cs="宋体"/>
                <w:color w:val="auto"/>
                <w:sz w:val="22"/>
                <w:szCs w:val="18"/>
                <w:highlight w:val="none"/>
                <w:u w:val="single"/>
              </w:rPr>
              <w:t>且</w:t>
            </w:r>
            <w:r>
              <w:rPr>
                <w:rFonts w:hint="eastAsia" w:ascii="宋体" w:hAnsi="宋体" w:eastAsia="宋体" w:cs="宋体"/>
                <w:color w:val="auto"/>
                <w:sz w:val="22"/>
                <w:szCs w:val="18"/>
                <w:highlight w:val="none"/>
                <w:u w:val="single"/>
                <w:lang w:val="en-US" w:eastAsia="zh-CN"/>
              </w:rPr>
              <w:t>综合得分最高</w:t>
            </w:r>
            <w:r>
              <w:rPr>
                <w:rFonts w:hint="eastAsia" w:ascii="宋体" w:hAnsi="宋体" w:eastAsia="宋体" w:cs="宋体"/>
                <w:color w:val="auto"/>
                <w:spacing w:val="-16"/>
                <w:sz w:val="22"/>
                <w:szCs w:val="18"/>
                <w:highlight w:val="none"/>
                <w:u w:val="single"/>
              </w:rPr>
              <w:t>的</w:t>
            </w:r>
            <w:r>
              <w:rPr>
                <w:rFonts w:hint="eastAsia" w:ascii="宋体" w:hAnsi="宋体" w:eastAsia="宋体" w:cs="宋体"/>
                <w:color w:val="auto"/>
                <w:spacing w:val="-16"/>
                <w:sz w:val="22"/>
                <w:szCs w:val="18"/>
                <w:highlight w:val="none"/>
                <w:u w:val="single"/>
                <w:lang w:val="en-US" w:eastAsia="zh-CN"/>
              </w:rPr>
              <w:t>原则</w:t>
            </w:r>
            <w:r>
              <w:rPr>
                <w:rFonts w:hint="eastAsia" w:ascii="宋体" w:hAnsi="宋体" w:eastAsia="宋体" w:cs="宋体"/>
                <w:color w:val="auto"/>
                <w:sz w:val="22"/>
                <w:szCs w:val="18"/>
                <w:highlight w:val="none"/>
                <w:u w:val="single"/>
              </w:rPr>
              <w:t>确定中标人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14</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auto"/>
                <w:sz w:val="21"/>
                <w:szCs w:val="18"/>
              </w:rPr>
            </w:pPr>
            <w:r>
              <w:rPr>
                <w:rFonts w:hint="eastAsia" w:ascii="宋体" w:hAnsi="宋体" w:eastAsia="宋体" w:cs="宋体"/>
                <w:sz w:val="22"/>
                <w:szCs w:val="18"/>
              </w:rPr>
              <w:t>推荐中标候选人的数量：</w:t>
            </w:r>
            <w:r>
              <w:rPr>
                <w:rFonts w:hint="eastAsia" w:ascii="宋体" w:hAnsi="宋体" w:eastAsia="宋体" w:cs="宋体"/>
                <w:color w:val="auto"/>
                <w:sz w:val="22"/>
                <w:szCs w:val="18"/>
                <w:u w:val="single"/>
              </w:rPr>
              <w:t>3 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color w:val="000000" w:themeColor="text1"/>
                <w:sz w:val="22"/>
                <w:szCs w:val="21"/>
                <w:lang w:val="en-US" w:eastAsia="zh-CN"/>
                <w14:textFill>
                  <w14:solidFill>
                    <w14:schemeClr w14:val="tx1"/>
                  </w14:solidFill>
                </w14:textFill>
              </w:rPr>
            </w:pPr>
            <w:r>
              <w:rPr>
                <w:rFonts w:hint="eastAsia" w:cs="宋体"/>
                <w:color w:val="000000" w:themeColor="text1"/>
                <w:sz w:val="22"/>
                <w:szCs w:val="21"/>
                <w:lang w:val="en-US" w:eastAsia="zh-CN"/>
                <w14:textFill>
                  <w14:solidFill>
                    <w14:schemeClr w14:val="tx1"/>
                  </w14:solidFill>
                </w14:textFill>
              </w:rPr>
              <w:t>15</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b/>
                <w:color w:val="000000" w:themeColor="text1"/>
                <w:sz w:val="21"/>
                <w:szCs w:val="18"/>
                <w14:textFill>
                  <w14:solidFill>
                    <w14:schemeClr w14:val="tx1"/>
                  </w14:solidFill>
                </w14:textFill>
              </w:rPr>
            </w:pPr>
            <w:r>
              <w:rPr>
                <w:rFonts w:hint="eastAsia" w:ascii="宋体" w:hAnsi="宋体" w:eastAsia="宋体" w:cs="宋体"/>
                <w:color w:val="000000" w:themeColor="text1"/>
                <w:sz w:val="22"/>
                <w:szCs w:val="18"/>
                <w14:textFill>
                  <w14:solidFill>
                    <w14:schemeClr w14:val="tx1"/>
                  </w14:solidFill>
                </w14:textFill>
              </w:rPr>
              <w:t>招标人是否委托评标委员会直接确定中标人：</w:t>
            </w:r>
            <w:r>
              <w:rPr>
                <w:rFonts w:hint="eastAsia" w:ascii="宋体" w:hAnsi="宋体" w:eastAsia="宋体" w:cs="宋体"/>
                <w:color w:val="000000" w:themeColor="text1"/>
                <w:sz w:val="22"/>
                <w:szCs w:val="18"/>
                <w:u w:val="single"/>
                <w14:textFill>
                  <w14:solidFill>
                    <w14:schemeClr w14:val="tx1"/>
                  </w14:solidFill>
                </w14:textFill>
              </w:rPr>
              <w:t>否</w:t>
            </w:r>
            <w:r>
              <w:rPr>
                <w:rFonts w:hint="eastAsia" w:ascii="宋体" w:hAnsi="宋体" w:eastAsia="宋体" w:cs="宋体"/>
                <w:color w:val="000000" w:themeColor="text1"/>
                <w:sz w:val="22"/>
                <w:szCs w:val="18"/>
                <w14:textFill>
                  <w14:solidFill>
                    <w14:schemeClr w14:val="tx1"/>
                  </w14:solidFill>
                </w14:textFill>
              </w:rPr>
              <w:t>（是</w:t>
            </w:r>
            <w:r>
              <w:rPr>
                <w:rFonts w:hint="eastAsia" w:ascii="宋体" w:hAnsi="宋体" w:eastAsia="宋体" w:cs="宋体"/>
                <w:color w:val="000000" w:themeColor="text1"/>
                <w:sz w:val="22"/>
                <w:szCs w:val="18"/>
                <w:lang w:eastAsia="zh-CN"/>
                <w14:textFill>
                  <w14:solidFill>
                    <w14:schemeClr w14:val="tx1"/>
                  </w14:solidFill>
                </w14:textFill>
              </w:rPr>
              <w:t>、</w:t>
            </w:r>
            <w:r>
              <w:rPr>
                <w:rFonts w:hint="eastAsia" w:ascii="宋体" w:hAnsi="宋体" w:eastAsia="宋体" w:cs="宋体"/>
                <w:color w:val="000000" w:themeColor="text1"/>
                <w:sz w:val="22"/>
                <w:szCs w:val="18"/>
                <w14:textFill>
                  <w14:solidFill>
                    <w14:schemeClr w14:val="tx1"/>
                  </w14:solidFill>
                </w14:textFill>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rPr>
                <w:rFonts w:hint="eastAsia" w:ascii="宋体" w:hAnsi="宋体" w:eastAsia="宋体" w:cs="宋体"/>
                <w:sz w:val="22"/>
                <w:szCs w:val="21"/>
                <w:lang w:val="en-US" w:eastAsia="zh-CN"/>
              </w:rPr>
            </w:pPr>
          </w:p>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16</w:t>
            </w:r>
          </w:p>
        </w:tc>
        <w:tc>
          <w:tcPr>
            <w:tcW w:w="7740" w:type="dxa"/>
            <w:tcBorders>
              <w:top w:val="single" w:color="000000" w:sz="6" w:space="0"/>
              <w:left w:val="single" w:color="000000" w:sz="6" w:space="0"/>
              <w:bottom w:val="single" w:color="000000" w:sz="6" w:space="0"/>
            </w:tcBorders>
          </w:tcPr>
          <w:p>
            <w:pPr>
              <w:pStyle w:val="29"/>
              <w:spacing w:before="15" w:line="302" w:lineRule="exact"/>
              <w:ind w:left="35"/>
              <w:rPr>
                <w:rFonts w:hint="eastAsia" w:ascii="宋体" w:hAnsi="宋体" w:eastAsia="宋体" w:cs="宋体"/>
                <w:color w:val="auto"/>
                <w:sz w:val="22"/>
                <w:szCs w:val="21"/>
              </w:rPr>
            </w:pPr>
            <w:r>
              <w:rPr>
                <w:rFonts w:hint="eastAsia" w:ascii="宋体" w:hAnsi="宋体" w:eastAsia="宋体" w:cs="宋体"/>
                <w:sz w:val="22"/>
                <w:szCs w:val="21"/>
              </w:rPr>
              <w:t>履约保证金金额：</w:t>
            </w:r>
            <w:r>
              <w:rPr>
                <w:rFonts w:hint="eastAsia" w:ascii="宋体" w:hAnsi="宋体" w:eastAsia="宋体" w:cs="宋体"/>
                <w:color w:val="auto"/>
                <w:sz w:val="22"/>
                <w:szCs w:val="21"/>
              </w:rPr>
              <w:t xml:space="preserve">合同总价的 5%（不得超过政府采购合同金额的10%） </w:t>
            </w:r>
          </w:p>
          <w:p>
            <w:pPr>
              <w:pStyle w:val="29"/>
              <w:spacing w:before="15" w:line="302" w:lineRule="exact"/>
              <w:ind w:left="35"/>
              <w:rPr>
                <w:rFonts w:hint="eastAsia" w:ascii="宋体" w:hAnsi="宋体" w:eastAsia="宋体" w:cs="宋体"/>
                <w:color w:val="auto"/>
                <w:sz w:val="22"/>
                <w:szCs w:val="21"/>
              </w:rPr>
            </w:pPr>
            <w:r>
              <w:rPr>
                <w:rFonts w:hint="eastAsia" w:ascii="宋体" w:hAnsi="宋体" w:eastAsia="宋体" w:cs="宋体"/>
                <w:color w:val="auto"/>
                <w:sz w:val="22"/>
                <w:szCs w:val="21"/>
              </w:rPr>
              <w:t>履约保证金形式：电汇、网银、支票、银行保函</w:t>
            </w:r>
          </w:p>
          <w:p>
            <w:pPr>
              <w:pStyle w:val="29"/>
              <w:spacing w:before="15" w:line="302" w:lineRule="exact"/>
              <w:ind w:left="35"/>
              <w:rPr>
                <w:rFonts w:hint="eastAsia" w:ascii="宋体" w:hAnsi="宋体" w:eastAsia="宋体" w:cs="宋体"/>
                <w:color w:val="auto"/>
                <w:sz w:val="22"/>
                <w:szCs w:val="21"/>
              </w:rPr>
            </w:pPr>
            <w:r>
              <w:rPr>
                <w:rFonts w:hint="eastAsia" w:ascii="宋体" w:hAnsi="宋体" w:eastAsia="宋体" w:cs="宋体"/>
                <w:color w:val="auto"/>
                <w:sz w:val="22"/>
                <w:szCs w:val="21"/>
              </w:rPr>
              <w:t>提交履约保证金的时间：领取成交通知书5日内（日历日）</w:t>
            </w:r>
          </w:p>
          <w:p>
            <w:pPr>
              <w:pStyle w:val="29"/>
              <w:spacing w:before="15" w:line="302" w:lineRule="exact"/>
              <w:ind w:left="35"/>
              <w:rPr>
                <w:rFonts w:hint="eastAsia" w:ascii="宋体" w:hAnsi="宋体" w:eastAsia="宋体" w:cs="宋体"/>
                <w:sz w:val="22"/>
                <w:szCs w:val="21"/>
              </w:rPr>
            </w:pPr>
            <w:r>
              <w:rPr>
                <w:rFonts w:hint="eastAsia" w:ascii="宋体" w:hAnsi="宋体" w:eastAsia="宋体" w:cs="宋体"/>
                <w:color w:val="auto"/>
                <w:sz w:val="22"/>
                <w:szCs w:val="21"/>
              </w:rPr>
              <w:t>提交履约保证金后2个工作日内双方签订合同履约保证金：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17</w:t>
            </w:r>
          </w:p>
        </w:tc>
        <w:tc>
          <w:tcPr>
            <w:tcW w:w="7740" w:type="dxa"/>
            <w:tcBorders>
              <w:top w:val="single" w:color="000000" w:sz="6" w:space="0"/>
              <w:left w:val="single" w:color="000000" w:sz="6" w:space="0"/>
              <w:bottom w:val="single" w:color="000000" w:sz="6" w:space="0"/>
            </w:tcBorders>
          </w:tcPr>
          <w:p>
            <w:pPr>
              <w:spacing w:line="240" w:lineRule="atLeast"/>
              <w:rPr>
                <w:rFonts w:hint="eastAsia" w:ascii="宋体" w:hAnsi="宋体" w:eastAsia="宋体" w:cs="宋体"/>
                <w:sz w:val="22"/>
                <w:szCs w:val="21"/>
                <w:highlight w:val="none"/>
              </w:rPr>
            </w:pPr>
            <w:r>
              <w:rPr>
                <w:rFonts w:hint="eastAsia" w:ascii="宋体" w:hAnsi="宋体" w:eastAsia="宋体" w:cs="宋体"/>
                <w:sz w:val="22"/>
                <w:szCs w:val="21"/>
                <w:highlight w:val="none"/>
              </w:rPr>
              <w:t>中标服务费</w:t>
            </w:r>
            <w:r>
              <w:rPr>
                <w:rFonts w:hint="eastAsia" w:ascii="宋体" w:hAnsi="宋体" w:eastAsia="宋体" w:cs="宋体"/>
                <w:sz w:val="22"/>
                <w:szCs w:val="21"/>
                <w:highlight w:val="none"/>
                <w:lang w:eastAsia="zh-CN"/>
              </w:rPr>
              <w:t>：</w:t>
            </w:r>
            <w:r>
              <w:rPr>
                <w:rFonts w:hint="eastAsia" w:ascii="宋体" w:hAnsi="宋体" w:eastAsia="宋体" w:cs="宋体"/>
                <w:sz w:val="22"/>
                <w:szCs w:val="21"/>
                <w:highlight w:val="none"/>
              </w:rPr>
              <w:t>收费标准按照（[2015]299号）计取。</w:t>
            </w:r>
          </w:p>
          <w:p>
            <w:pPr>
              <w:pStyle w:val="29"/>
              <w:tabs>
                <w:tab w:val="left" w:pos="1674"/>
              </w:tabs>
              <w:spacing w:before="4"/>
              <w:ind w:left="35"/>
              <w:rPr>
                <w:rFonts w:hint="eastAsia" w:ascii="宋体" w:hAnsi="宋体" w:eastAsia="宋体" w:cs="宋体"/>
                <w:sz w:val="22"/>
                <w:szCs w:val="21"/>
                <w:highlight w:val="none"/>
              </w:rPr>
            </w:pPr>
            <w:r>
              <w:rPr>
                <w:rFonts w:hint="eastAsia" w:ascii="宋体" w:hAnsi="宋体" w:eastAsia="宋体" w:cs="宋体"/>
                <w:sz w:val="22"/>
                <w:szCs w:val="21"/>
                <w:highlight w:val="none"/>
                <w:lang w:eastAsia="zh-CN"/>
              </w:rPr>
              <w:sym w:font="Wingdings 2" w:char="0052"/>
            </w:r>
            <w:r>
              <w:rPr>
                <w:rFonts w:hint="eastAsia" w:ascii="宋体" w:hAnsi="宋体" w:eastAsia="宋体" w:cs="宋体"/>
                <w:sz w:val="22"/>
                <w:szCs w:val="21"/>
                <w:highlight w:val="none"/>
              </w:rPr>
              <w:t>由中标人支付</w:t>
            </w:r>
          </w:p>
          <w:p>
            <w:pPr>
              <w:pStyle w:val="11"/>
              <w:spacing w:line="320" w:lineRule="exact"/>
              <w:rPr>
                <w:rFonts w:hint="eastAsia" w:hAnsi="宋体" w:eastAsia="宋体" w:cs="宋体"/>
                <w:sz w:val="22"/>
                <w:szCs w:val="18"/>
                <w:highlight w:val="none"/>
                <w:u w:val="single"/>
                <w:lang w:eastAsia="zh-CN"/>
              </w:rPr>
            </w:pPr>
            <w:r>
              <w:rPr>
                <w:rFonts w:hint="eastAsia" w:ascii="宋体" w:hAnsi="宋体" w:eastAsia="宋体" w:cs="宋体"/>
                <w:sz w:val="22"/>
                <w:szCs w:val="18"/>
                <w:highlight w:val="none"/>
              </w:rPr>
              <w:t>支付形式：</w:t>
            </w:r>
            <w:r>
              <w:rPr>
                <w:rFonts w:hint="eastAsia" w:ascii="宋体" w:hAnsi="宋体" w:eastAsia="宋体" w:cs="宋体"/>
                <w:sz w:val="22"/>
                <w:szCs w:val="18"/>
                <w:highlight w:val="none"/>
                <w:u w:val="single"/>
              </w:rPr>
              <w:t>电汇、网银</w:t>
            </w:r>
          </w:p>
          <w:p>
            <w:pPr>
              <w:pStyle w:val="11"/>
              <w:spacing w:line="320" w:lineRule="exact"/>
              <w:rPr>
                <w:rFonts w:hint="eastAsia" w:ascii="宋体" w:hAnsi="宋体" w:eastAsia="宋体" w:cs="宋体"/>
                <w:color w:val="auto"/>
                <w:sz w:val="22"/>
                <w:szCs w:val="18"/>
              </w:rPr>
            </w:pPr>
            <w:r>
              <w:rPr>
                <w:rFonts w:hint="eastAsia" w:ascii="宋体" w:hAnsi="宋体" w:eastAsia="宋体" w:cs="宋体"/>
                <w:sz w:val="22"/>
                <w:szCs w:val="18"/>
                <w:highlight w:val="none"/>
              </w:rPr>
              <w:t>支付时间：</w:t>
            </w:r>
            <w:r>
              <w:rPr>
                <w:rFonts w:hint="eastAsia" w:ascii="宋体" w:hAnsi="宋体" w:eastAsia="宋体" w:cs="宋体"/>
                <w:sz w:val="22"/>
                <w:szCs w:val="18"/>
                <w:highlight w:val="none"/>
                <w:u w:val="single"/>
              </w:rPr>
              <w:t>领取</w:t>
            </w:r>
            <w:r>
              <w:rPr>
                <w:rFonts w:hint="eastAsia" w:ascii="宋体" w:hAnsi="宋体" w:eastAsia="宋体" w:cs="宋体"/>
                <w:sz w:val="22"/>
                <w:szCs w:val="18"/>
                <w:highlight w:val="none"/>
                <w:u w:val="single"/>
                <w:lang w:eastAsia="zh-CN"/>
              </w:rPr>
              <w:t>中标</w:t>
            </w:r>
            <w:r>
              <w:rPr>
                <w:rFonts w:hint="eastAsia" w:ascii="宋体" w:hAnsi="宋体" w:eastAsia="宋体" w:cs="宋体"/>
                <w:sz w:val="22"/>
                <w:szCs w:val="18"/>
                <w:highlight w:val="none"/>
                <w:u w:val="single"/>
              </w:rPr>
              <w:t>通知书时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18</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sz w:val="22"/>
                <w:szCs w:val="18"/>
                <w:highlight w:val="none"/>
              </w:rPr>
            </w:pPr>
            <w:r>
              <w:rPr>
                <w:rFonts w:hint="eastAsia" w:ascii="宋体" w:hAnsi="宋体" w:eastAsia="宋体" w:cs="宋体"/>
                <w:sz w:val="22"/>
                <w:szCs w:val="18"/>
              </w:rPr>
              <w:t>本项目是否属于信用担保试点范围：</w:t>
            </w:r>
            <w:r>
              <w:rPr>
                <w:rFonts w:hint="eastAsia" w:ascii="宋体" w:hAnsi="宋体" w:eastAsia="宋体" w:cs="宋体"/>
                <w:sz w:val="22"/>
                <w:szCs w:val="18"/>
                <w:u w:val="single"/>
              </w:rPr>
              <w:t>否</w:t>
            </w:r>
            <w:r>
              <w:rPr>
                <w:rFonts w:hint="eastAsia" w:ascii="宋体" w:hAnsi="宋体" w:eastAsia="宋体" w:cs="宋体"/>
                <w:sz w:val="22"/>
                <w:szCs w:val="18"/>
              </w:rPr>
              <w:t>（是、否）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19</w:t>
            </w:r>
          </w:p>
        </w:tc>
        <w:tc>
          <w:tcPr>
            <w:tcW w:w="7740" w:type="dxa"/>
            <w:tcBorders>
              <w:top w:val="single" w:color="000000" w:sz="6" w:space="0"/>
              <w:left w:val="single" w:color="000000" w:sz="6" w:space="0"/>
              <w:bottom w:val="single" w:color="000000" w:sz="6" w:space="0"/>
            </w:tcBorders>
          </w:tcPr>
          <w:p>
            <w:pPr>
              <w:pStyle w:val="11"/>
              <w:spacing w:line="320" w:lineRule="exact"/>
              <w:rPr>
                <w:rFonts w:hint="eastAsia" w:ascii="宋体" w:hAnsi="宋体" w:eastAsia="宋体" w:cs="宋体"/>
                <w:sz w:val="22"/>
                <w:szCs w:val="18"/>
                <w:highlight w:val="none"/>
              </w:rPr>
            </w:pPr>
            <w:r>
              <w:rPr>
                <w:rFonts w:hint="eastAsia" w:ascii="宋体" w:hAnsi="宋体" w:eastAsia="宋体" w:cs="宋体"/>
                <w:sz w:val="22"/>
                <w:szCs w:val="18"/>
              </w:rPr>
              <w:t>反腐倡廉监督电话/邮箱：0998-257587</w:t>
            </w:r>
            <w:r>
              <w:rPr>
                <w:rFonts w:hint="eastAsia" w:ascii="宋体" w:hAnsi="宋体" w:eastAsia="宋体" w:cs="宋体"/>
                <w:sz w:val="22"/>
                <w:szCs w:val="18"/>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317" w:type="dxa"/>
            <w:tcBorders>
              <w:top w:val="single" w:color="000000" w:sz="6" w:space="0"/>
              <w:bottom w:val="single" w:color="000000" w:sz="6" w:space="0"/>
              <w:right w:val="single" w:color="000000" w:sz="6" w:space="0"/>
            </w:tcBorders>
          </w:tcPr>
          <w:p>
            <w:pPr>
              <w:pStyle w:val="29"/>
              <w:spacing w:before="14" w:line="303" w:lineRule="exact"/>
              <w:ind w:left="566"/>
              <w:rPr>
                <w:rFonts w:hint="eastAsia" w:ascii="宋体" w:hAnsi="宋体" w:eastAsia="宋体" w:cs="宋体"/>
                <w:sz w:val="22"/>
                <w:szCs w:val="21"/>
                <w:lang w:val="en-US" w:eastAsia="zh-CN"/>
              </w:rPr>
            </w:pPr>
          </w:p>
          <w:p>
            <w:pPr>
              <w:pStyle w:val="29"/>
              <w:spacing w:before="14" w:line="303" w:lineRule="exact"/>
              <w:ind w:left="566"/>
              <w:rPr>
                <w:rFonts w:hint="default" w:ascii="宋体" w:hAnsi="宋体" w:eastAsia="宋体" w:cs="宋体"/>
                <w:sz w:val="22"/>
                <w:szCs w:val="21"/>
                <w:lang w:val="en-US" w:eastAsia="zh-CN"/>
              </w:rPr>
            </w:pPr>
            <w:r>
              <w:rPr>
                <w:rFonts w:hint="eastAsia" w:cs="宋体"/>
                <w:sz w:val="22"/>
                <w:szCs w:val="21"/>
                <w:lang w:val="en-US" w:eastAsia="zh-CN"/>
              </w:rPr>
              <w:t>20</w:t>
            </w:r>
          </w:p>
        </w:tc>
        <w:tc>
          <w:tcPr>
            <w:tcW w:w="7740" w:type="dxa"/>
            <w:tcBorders>
              <w:top w:val="single" w:color="000000" w:sz="6" w:space="0"/>
              <w:left w:val="single" w:color="000000" w:sz="6" w:space="0"/>
              <w:bottom w:val="single" w:color="000000" w:sz="6" w:space="0"/>
            </w:tcBorders>
          </w:tcPr>
          <w:p>
            <w:pPr>
              <w:pStyle w:val="29"/>
              <w:tabs>
                <w:tab w:val="left" w:pos="1475"/>
                <w:tab w:val="left" w:pos="5554"/>
              </w:tabs>
              <w:spacing w:before="27" w:line="242" w:lineRule="auto"/>
              <w:ind w:left="35" w:right="2423"/>
              <w:rPr>
                <w:rFonts w:hint="eastAsia" w:ascii="宋体" w:hAnsi="宋体" w:eastAsia="宋体" w:cs="宋体"/>
                <w:color w:val="auto"/>
                <w:sz w:val="22"/>
                <w:szCs w:val="21"/>
                <w:u w:val="single"/>
              </w:rPr>
            </w:pPr>
            <w:r>
              <w:rPr>
                <w:rFonts w:hint="eastAsia" w:ascii="宋体" w:hAnsi="宋体" w:eastAsia="宋体" w:cs="宋体"/>
                <w:sz w:val="22"/>
                <w:szCs w:val="21"/>
                <w:u w:val="single"/>
              </w:rPr>
              <w:t>接收部门：</w:t>
            </w:r>
            <w:r>
              <w:rPr>
                <w:rFonts w:hint="eastAsia" w:ascii="宋体" w:hAnsi="宋体" w:eastAsia="宋体" w:cs="宋体"/>
                <w:color w:val="auto"/>
                <w:sz w:val="22"/>
                <w:szCs w:val="21"/>
                <w:u w:val="single"/>
              </w:rPr>
              <w:t>喀什经济开发区政府采购管理办公室</w:t>
            </w:r>
          </w:p>
          <w:p>
            <w:pPr>
              <w:pStyle w:val="29"/>
              <w:tabs>
                <w:tab w:val="left" w:pos="1475"/>
                <w:tab w:val="left" w:pos="5554"/>
              </w:tabs>
              <w:spacing w:before="27" w:line="242" w:lineRule="auto"/>
              <w:ind w:left="35" w:right="2423"/>
              <w:rPr>
                <w:rFonts w:hint="eastAsia" w:ascii="宋体" w:hAnsi="宋体" w:eastAsia="宋体" w:cs="宋体"/>
                <w:color w:val="auto"/>
                <w:sz w:val="22"/>
                <w:szCs w:val="21"/>
                <w:lang w:eastAsia="zh-CN"/>
              </w:rPr>
            </w:pPr>
            <w:r>
              <w:rPr>
                <w:rFonts w:hint="eastAsia" w:ascii="宋体" w:hAnsi="宋体" w:eastAsia="宋体" w:cs="宋体"/>
                <w:color w:val="auto"/>
                <w:spacing w:val="-240"/>
                <w:sz w:val="22"/>
                <w:szCs w:val="21"/>
                <w:u w:val="single"/>
              </w:rPr>
              <w:t>联</w:t>
            </w:r>
            <w:r>
              <w:rPr>
                <w:rFonts w:hint="eastAsia" w:ascii="宋体" w:hAnsi="宋体" w:eastAsia="宋体" w:cs="宋体"/>
                <w:color w:val="auto"/>
                <w:sz w:val="22"/>
                <w:szCs w:val="21"/>
                <w:u w:val="single"/>
                <w:lang w:val="en-US" w:eastAsia="zh-CN"/>
              </w:rPr>
              <w:t>联系</w:t>
            </w:r>
            <w:r>
              <w:rPr>
                <w:rFonts w:hint="eastAsia" w:ascii="宋体" w:hAnsi="宋体" w:eastAsia="宋体" w:cs="宋体"/>
                <w:color w:val="auto"/>
                <w:sz w:val="22"/>
                <w:szCs w:val="21"/>
                <w:u w:val="single"/>
              </w:rPr>
              <w:t>电话：0998—257587</w:t>
            </w:r>
            <w:r>
              <w:rPr>
                <w:rFonts w:hint="eastAsia" w:ascii="宋体" w:hAnsi="宋体" w:eastAsia="宋体" w:cs="宋体"/>
                <w:color w:val="auto"/>
                <w:sz w:val="22"/>
                <w:szCs w:val="21"/>
                <w:u w:val="single"/>
                <w:lang w:val="en-US" w:eastAsia="zh-CN"/>
              </w:rPr>
              <w:t>3</w:t>
            </w:r>
          </w:p>
          <w:p>
            <w:pPr>
              <w:pStyle w:val="11"/>
              <w:spacing w:line="320" w:lineRule="exact"/>
              <w:rPr>
                <w:rFonts w:hint="eastAsia" w:ascii="宋体" w:hAnsi="宋体" w:eastAsia="宋体" w:cs="宋体"/>
                <w:sz w:val="22"/>
                <w:szCs w:val="18"/>
              </w:rPr>
            </w:pPr>
            <w:r>
              <w:rPr>
                <w:rFonts w:hint="eastAsia" w:ascii="宋体" w:hAnsi="宋体" w:eastAsia="宋体" w:cs="宋体"/>
                <w:color w:val="auto"/>
                <w:sz w:val="22"/>
                <w:szCs w:val="18"/>
                <w:u w:val="single"/>
              </w:rPr>
              <w:t>通讯地址：喀什经济开发区深圳</w:t>
            </w:r>
            <w:r>
              <w:rPr>
                <w:rFonts w:hint="eastAsia" w:ascii="宋体" w:hAnsi="宋体" w:eastAsia="宋体" w:cs="宋体"/>
                <w:color w:val="auto"/>
                <w:sz w:val="22"/>
                <w:szCs w:val="18"/>
                <w:u w:val="single"/>
                <w:lang w:eastAsia="zh-CN"/>
              </w:rPr>
              <w:t>城</w:t>
            </w:r>
            <w:r>
              <w:rPr>
                <w:rFonts w:hint="eastAsia" w:ascii="宋体" w:hAnsi="宋体" w:eastAsia="宋体" w:cs="宋体"/>
                <w:color w:val="auto"/>
                <w:sz w:val="22"/>
                <w:szCs w:val="18"/>
                <w:u w:val="single"/>
                <w:lang w:val="en-US" w:eastAsia="zh-CN"/>
              </w:rPr>
              <w:t>2号楼</w:t>
            </w:r>
            <w:r>
              <w:rPr>
                <w:rFonts w:hint="eastAsia" w:ascii="宋体" w:hAnsi="宋体" w:eastAsia="宋体" w:cs="宋体"/>
                <w:color w:val="auto"/>
                <w:sz w:val="22"/>
                <w:szCs w:val="18"/>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9057" w:type="dxa"/>
            <w:gridSpan w:val="2"/>
            <w:tcBorders>
              <w:top w:val="single" w:color="000000" w:sz="6" w:space="0"/>
              <w:bottom w:val="single" w:color="000000" w:sz="6" w:space="0"/>
            </w:tcBorders>
          </w:tcPr>
          <w:p>
            <w:pPr>
              <w:pageBreakBefore w:val="0"/>
              <w:kinsoku/>
              <w:wordWrap/>
              <w:overflowPunct/>
              <w:topLinePunct w:val="0"/>
              <w:bidi w:val="0"/>
              <w:snapToGrid/>
              <w:spacing w:line="500" w:lineRule="exact"/>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其他：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pStyle w:val="11"/>
              <w:spacing w:line="320" w:lineRule="exact"/>
              <w:rPr>
                <w:rFonts w:hint="eastAsia" w:ascii="宋体" w:hAnsi="宋体" w:eastAsia="宋体" w:cs="宋体"/>
                <w:color w:val="auto"/>
                <w:sz w:val="22"/>
                <w:szCs w:val="18"/>
                <w:u w:val="single"/>
              </w:rPr>
            </w:pPr>
            <w:r>
              <w:rPr>
                <w:rFonts w:hint="eastAsia" w:ascii="宋体" w:hAnsi="宋体" w:eastAsia="宋体" w:cs="宋体"/>
                <w:b/>
                <w:bCs/>
                <w:kern w:val="0"/>
                <w:sz w:val="21"/>
                <w:szCs w:val="21"/>
                <w:lang w:val="en-US" w:eastAsia="zh-CN" w:bidi="ar-SA"/>
              </w:rPr>
              <w:t>在法定质疑期内供应商针对同一采购程序环节的质疑应当一次性提出。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9057" w:type="dxa"/>
            <w:gridSpan w:val="2"/>
            <w:tcBorders>
              <w:top w:val="single" w:color="000000" w:sz="6" w:space="0"/>
              <w:bottom w:val="single" w:color="000000" w:sz="6" w:space="0"/>
            </w:tcBorders>
          </w:tcPr>
          <w:p>
            <w:pPr>
              <w:pStyle w:val="11"/>
              <w:spacing w:line="320"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适用于本投标人须知的额外增加的变动：</w:t>
            </w:r>
          </w:p>
        </w:tc>
      </w:tr>
    </w:tbl>
    <w:p>
      <w:pPr>
        <w:pStyle w:val="3"/>
        <w:rPr>
          <w:rFonts w:hint="eastAsia" w:ascii="仿宋" w:eastAsia="仿宋"/>
          <w:sz w:val="24"/>
        </w:rPr>
        <w:sectPr>
          <w:pgSz w:w="11910" w:h="16840"/>
          <w:pgMar w:top="1040" w:right="800" w:bottom="1340" w:left="740" w:header="0" w:footer="1153" w:gutter="0"/>
          <w:pgNumType w:fmt="decimal"/>
          <w:cols w:space="720" w:num="1"/>
        </w:sectPr>
      </w:pPr>
      <w:r>
        <mc:AlternateContent>
          <mc:Choice Requires="wps">
            <w:drawing>
              <wp:anchor distT="0" distB="0" distL="114300" distR="114300" simplePos="0" relativeHeight="251672576" behindDoc="1" locked="0" layoutInCell="1" allowOverlap="1">
                <wp:simplePos x="0" y="0"/>
                <wp:positionH relativeFrom="page">
                  <wp:posOffset>669925</wp:posOffset>
                </wp:positionH>
                <wp:positionV relativeFrom="paragraph">
                  <wp:posOffset>-4166870</wp:posOffset>
                </wp:positionV>
                <wp:extent cx="5583555" cy="688975"/>
                <wp:effectExtent l="0" t="0" r="0" b="0"/>
                <wp:wrapTight wrapText="bothSides">
                  <wp:wrapPolygon>
                    <wp:start x="0" y="-40"/>
                    <wp:lineTo x="21600" y="-40"/>
                    <wp:lineTo x="21600" y="21560"/>
                    <wp:lineTo x="0" y="21560"/>
                    <wp:lineTo x="0" y="-40"/>
                  </wp:wrapPolygon>
                </wp:wrapTight>
                <wp:docPr id="13" name="文本框 11"/>
                <wp:cNvGraphicFramePr/>
                <a:graphic xmlns:a="http://schemas.openxmlformats.org/drawingml/2006/main">
                  <a:graphicData uri="http://schemas.microsoft.com/office/word/2010/wordprocessingShape">
                    <wps:wsp>
                      <wps:cNvSpPr txBox="1"/>
                      <wps:spPr>
                        <a:xfrm flipV="1">
                          <a:off x="0" y="0"/>
                          <a:ext cx="5583555" cy="688975"/>
                        </a:xfrm>
                        <a:prstGeom prst="rect">
                          <a:avLst/>
                        </a:prstGeom>
                        <a:noFill/>
                        <a:ln>
                          <a:noFill/>
                        </a:ln>
                      </wps:spPr>
                      <wps:txbx>
                        <w:txbxContent>
                          <w:p>
                            <w:pPr>
                              <w:pStyle w:val="3"/>
                              <w:spacing w:line="240" w:lineRule="auto"/>
                              <w:jc w:val="both"/>
                            </w:pPr>
                          </w:p>
                        </w:txbxContent>
                      </wps:txbx>
                      <wps:bodyPr lIns="0" tIns="0" rIns="0" bIns="0" upright="1"/>
                    </wps:wsp>
                  </a:graphicData>
                </a:graphic>
              </wp:anchor>
            </w:drawing>
          </mc:Choice>
          <mc:Fallback>
            <w:pict>
              <v:shape id="文本框 11" o:spid="_x0000_s1026" o:spt="202" type="#_x0000_t202" style="position:absolute;left:0pt;flip:y;margin-left:52.75pt;margin-top:-328.1pt;height:54.25pt;width:439.65pt;mso-position-horizontal-relative:page;mso-wrap-distance-left:9pt;mso-wrap-distance-right:9pt;z-index:-251643904;mso-width-relative:page;mso-height-relative:page;" filled="f" stroked="f" coordsize="21600,21600" wrapcoords="0 -40 21600 -40 21600 21560 0 21560 0 -40" o:gfxdata="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O8kf9sAAAANAQAADwAAAAAAAAABACAAAAAiAAAAZHJzL2Rvd25y&#10;ZXYueG1sUEsBAhQAFAAAAAgAh07iQKhE+fjCAQAAfgMAAA4AAAAAAAAAAQAgAAAAKgEAAGRycy9l&#10;Mm9Eb2MueG1sUEsFBgAAAAAGAAYAWQEAAF4FAAAAAA==&#10;">
                <v:fill on="f" focussize="0,0"/>
                <v:stroke on="f"/>
                <v:imagedata o:title=""/>
                <o:lock v:ext="edit" aspectratio="f"/>
                <v:textbox inset="0mm,0mm,0mm,0mm">
                  <w:txbxContent>
                    <w:p>
                      <w:pPr>
                        <w:pStyle w:val="3"/>
                        <w:spacing w:line="240" w:lineRule="auto"/>
                        <w:jc w:val="both"/>
                      </w:pPr>
                    </w:p>
                  </w:txbxContent>
                </v:textbox>
                <w10:wrap type="tight"/>
              </v:shape>
            </w:pict>
          </mc:Fallback>
        </mc:AlternateContent>
      </w:r>
    </w:p>
    <w:p>
      <w:pPr>
        <w:pStyle w:val="19"/>
        <w:ind w:firstLine="5341" w:firstLineChars="19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资格审查表</w:t>
      </w:r>
    </w:p>
    <w:p>
      <w:pPr>
        <w:pStyle w:val="7"/>
        <w:rPr>
          <w:rFonts w:hint="eastAsia" w:ascii="宋体" w:hAnsi="宋体" w:eastAsia="宋体" w:cs="宋体"/>
          <w:lang w:val="en-US" w:eastAsia="zh-CN"/>
        </w:rPr>
      </w:pPr>
    </w:p>
    <w:tbl>
      <w:tblPr>
        <w:tblStyle w:val="20"/>
        <w:tblpPr w:leftFromText="180" w:rightFromText="180" w:vertAnchor="text" w:horzAnchor="page" w:tblpXSpec="center" w:tblpY="22"/>
        <w:tblOverlap w:val="never"/>
        <w:tblW w:w="13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9"/>
        <w:gridCol w:w="1150"/>
        <w:gridCol w:w="1469"/>
        <w:gridCol w:w="1191"/>
        <w:gridCol w:w="1549"/>
        <w:gridCol w:w="1664"/>
        <w:gridCol w:w="1813"/>
        <w:gridCol w:w="925"/>
        <w:gridCol w:w="1091"/>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219" w:type="dxa"/>
            <w:vAlign w:val="top"/>
          </w:tcPr>
          <w:p>
            <w:pPr>
              <w:pStyle w:val="29"/>
              <w:spacing w:before="162" w:line="242" w:lineRule="auto"/>
              <w:ind w:left="189" w:leftChars="0" w:right="176" w:rightChars="0"/>
              <w:jc w:val="center"/>
              <w:rPr>
                <w:rFonts w:hint="eastAsia" w:ascii="宋体" w:hAnsi="宋体" w:eastAsia="宋体" w:cs="宋体"/>
                <w:color w:val="00B0F0"/>
                <w:sz w:val="21"/>
                <w:szCs w:val="21"/>
              </w:rPr>
            </w:pPr>
          </w:p>
        </w:tc>
        <w:tc>
          <w:tcPr>
            <w:tcW w:w="10852" w:type="dxa"/>
            <w:gridSpan w:val="8"/>
            <w:vAlign w:val="top"/>
          </w:tcPr>
          <w:p>
            <w:pPr>
              <w:bidi w:val="0"/>
              <w:jc w:val="center"/>
              <w:rPr>
                <w:rFonts w:hint="eastAsia" w:ascii="宋体" w:hAnsi="宋体" w:eastAsia="宋体" w:cs="宋体"/>
                <w:b/>
                <w:color w:val="auto"/>
                <w:sz w:val="20"/>
                <w:szCs w:val="21"/>
                <w:lang w:val="en-US" w:eastAsia="zh-CN" w:bidi="zh-CN"/>
              </w:rPr>
            </w:pPr>
            <w:r>
              <w:rPr>
                <w:rFonts w:hint="eastAsia" w:ascii="宋体" w:hAnsi="宋体" w:eastAsia="宋体" w:cs="宋体"/>
                <w:b/>
                <w:color w:val="auto"/>
                <w:sz w:val="20"/>
                <w:szCs w:val="21"/>
                <w:lang w:val="zh-CN" w:eastAsia="zh-CN" w:bidi="zh-CN"/>
              </w:rPr>
              <w:t>审</w:t>
            </w:r>
            <w:r>
              <w:rPr>
                <w:rFonts w:hint="eastAsia" w:ascii="宋体" w:hAnsi="宋体" w:eastAsia="宋体" w:cs="宋体"/>
                <w:b/>
                <w:color w:val="auto"/>
                <w:sz w:val="20"/>
                <w:szCs w:val="21"/>
                <w:lang w:val="en-US" w:eastAsia="zh-CN" w:bidi="zh-CN"/>
              </w:rPr>
              <w:t xml:space="preserve"> </w:t>
            </w:r>
            <w:r>
              <w:rPr>
                <w:rFonts w:hint="eastAsia" w:ascii="宋体" w:hAnsi="宋体" w:eastAsia="宋体" w:cs="宋体"/>
                <w:b/>
                <w:color w:val="auto"/>
                <w:sz w:val="20"/>
                <w:szCs w:val="21"/>
                <w:lang w:val="zh-CN" w:eastAsia="zh-CN" w:bidi="zh-CN"/>
              </w:rPr>
              <w:t>查</w:t>
            </w:r>
            <w:r>
              <w:rPr>
                <w:rFonts w:hint="eastAsia" w:ascii="宋体" w:hAnsi="宋体" w:eastAsia="宋体" w:cs="宋体"/>
                <w:b/>
                <w:color w:val="auto"/>
                <w:sz w:val="20"/>
                <w:szCs w:val="21"/>
                <w:lang w:val="en-US" w:eastAsia="zh-CN" w:bidi="zh-CN"/>
              </w:rPr>
              <w:t xml:space="preserve"> </w:t>
            </w:r>
            <w:r>
              <w:rPr>
                <w:rFonts w:hint="eastAsia" w:ascii="宋体" w:hAnsi="宋体" w:eastAsia="宋体" w:cs="宋体"/>
                <w:b/>
                <w:color w:val="auto"/>
                <w:sz w:val="20"/>
                <w:szCs w:val="21"/>
                <w:lang w:val="zh-CN" w:eastAsia="zh-CN" w:bidi="zh-CN"/>
              </w:rPr>
              <w:t>项</w:t>
            </w:r>
            <w:r>
              <w:rPr>
                <w:rFonts w:hint="eastAsia" w:ascii="宋体" w:hAnsi="宋体" w:eastAsia="宋体" w:cs="宋体"/>
                <w:b/>
                <w:color w:val="auto"/>
                <w:sz w:val="20"/>
                <w:szCs w:val="21"/>
                <w:lang w:val="en-US" w:eastAsia="zh-CN" w:bidi="zh-CN"/>
              </w:rPr>
              <w:t xml:space="preserve"> </w:t>
            </w:r>
            <w:r>
              <w:rPr>
                <w:rFonts w:hint="eastAsia" w:ascii="宋体" w:hAnsi="宋体" w:eastAsia="宋体" w:cs="宋体"/>
                <w:b/>
                <w:color w:val="auto"/>
                <w:sz w:val="20"/>
                <w:szCs w:val="21"/>
                <w:lang w:val="zh-CN" w:eastAsia="zh-CN" w:bidi="zh-CN"/>
              </w:rPr>
              <w:t>目</w:t>
            </w:r>
          </w:p>
        </w:tc>
        <w:tc>
          <w:tcPr>
            <w:tcW w:w="1282" w:type="dxa"/>
            <w:vAlign w:val="top"/>
          </w:tcPr>
          <w:p>
            <w:pPr>
              <w:bidi w:val="0"/>
              <w:jc w:val="center"/>
              <w:rPr>
                <w:rFonts w:hint="eastAsia" w:ascii="宋体" w:hAnsi="宋体" w:eastAsia="宋体" w:cs="宋体"/>
                <w:b/>
                <w:color w:val="auto"/>
                <w:sz w:val="20"/>
                <w:szCs w:val="21"/>
                <w:lang w:val="en-US" w:eastAsia="zh-CN" w:bidi="zh-CN"/>
              </w:rPr>
            </w:pPr>
            <w:r>
              <w:rPr>
                <w:rFonts w:hint="eastAsia" w:ascii="宋体" w:hAnsi="宋体" w:eastAsia="宋体" w:cs="宋体"/>
                <w:b/>
                <w:color w:val="auto"/>
                <w:sz w:val="20"/>
                <w:szCs w:val="21"/>
                <w:lang w:val="en-US" w:eastAsia="zh-CN" w:bidi="zh-CN"/>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9" w:hRule="atLeast"/>
          <w:jc w:val="center"/>
        </w:trPr>
        <w:tc>
          <w:tcPr>
            <w:tcW w:w="1219" w:type="dxa"/>
            <w:vAlign w:val="top"/>
          </w:tcPr>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p>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p>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p>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p>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r>
              <w:rPr>
                <w:rFonts w:hint="eastAsia" w:ascii="宋体" w:hAnsi="宋体" w:eastAsia="宋体" w:cs="宋体"/>
                <w:b w:val="0"/>
                <w:bCs/>
                <w:color w:val="auto"/>
                <w:sz w:val="20"/>
                <w:szCs w:val="21"/>
                <w:lang w:val="en-US" w:eastAsia="zh-CN"/>
              </w:rPr>
              <w:t>投</w:t>
            </w:r>
          </w:p>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r>
              <w:rPr>
                <w:rFonts w:hint="eastAsia" w:ascii="宋体" w:hAnsi="宋体" w:eastAsia="宋体" w:cs="宋体"/>
                <w:b w:val="0"/>
                <w:bCs/>
                <w:color w:val="auto"/>
                <w:sz w:val="20"/>
                <w:szCs w:val="21"/>
                <w:lang w:val="en-US" w:eastAsia="zh-CN"/>
              </w:rPr>
              <w:t>标</w:t>
            </w:r>
          </w:p>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r>
              <w:rPr>
                <w:rFonts w:hint="eastAsia" w:ascii="宋体" w:hAnsi="宋体" w:eastAsia="宋体" w:cs="宋体"/>
                <w:b w:val="0"/>
                <w:bCs/>
                <w:color w:val="auto"/>
                <w:sz w:val="20"/>
                <w:szCs w:val="21"/>
                <w:lang w:val="en-US" w:eastAsia="zh-CN"/>
              </w:rPr>
              <w:t>人</w:t>
            </w:r>
          </w:p>
          <w:p>
            <w:pPr>
              <w:pStyle w:val="29"/>
              <w:spacing w:before="162" w:line="242" w:lineRule="auto"/>
              <w:ind w:right="176" w:rightChars="0"/>
              <w:jc w:val="center"/>
              <w:rPr>
                <w:rFonts w:hint="eastAsia" w:ascii="宋体" w:hAnsi="宋体" w:eastAsia="宋体" w:cs="宋体"/>
                <w:b w:val="0"/>
                <w:bCs/>
                <w:color w:val="auto"/>
                <w:sz w:val="20"/>
                <w:szCs w:val="21"/>
                <w:lang w:val="en-US" w:eastAsia="zh-CN"/>
              </w:rPr>
            </w:pPr>
            <w:r>
              <w:rPr>
                <w:rFonts w:hint="eastAsia" w:ascii="宋体" w:hAnsi="宋体" w:eastAsia="宋体" w:cs="宋体"/>
                <w:b w:val="0"/>
                <w:bCs/>
                <w:color w:val="auto"/>
                <w:sz w:val="20"/>
                <w:szCs w:val="21"/>
                <w:lang w:val="en-US" w:eastAsia="zh-CN"/>
              </w:rPr>
              <w:t>名</w:t>
            </w:r>
          </w:p>
          <w:p>
            <w:pPr>
              <w:pStyle w:val="29"/>
              <w:spacing w:before="162" w:line="242" w:lineRule="auto"/>
              <w:ind w:right="176" w:rightChars="0"/>
              <w:jc w:val="center"/>
              <w:rPr>
                <w:rFonts w:hint="eastAsia" w:ascii="宋体" w:hAnsi="宋体" w:eastAsia="宋体" w:cs="宋体"/>
                <w:b w:val="0"/>
                <w:bCs/>
                <w:color w:val="00B0F0"/>
                <w:sz w:val="21"/>
                <w:szCs w:val="21"/>
              </w:rPr>
            </w:pPr>
            <w:r>
              <w:rPr>
                <w:rFonts w:hint="eastAsia" w:ascii="宋体" w:hAnsi="宋体" w:eastAsia="宋体" w:cs="宋体"/>
                <w:b w:val="0"/>
                <w:bCs/>
                <w:color w:val="auto"/>
                <w:sz w:val="20"/>
                <w:szCs w:val="21"/>
                <w:lang w:val="en-US" w:eastAsia="zh-CN"/>
              </w:rPr>
              <w:t>称</w:t>
            </w:r>
          </w:p>
        </w:tc>
        <w:tc>
          <w:tcPr>
            <w:tcW w:w="1150" w:type="dxa"/>
            <w:vAlign w:val="top"/>
          </w:tcPr>
          <w:p>
            <w:pPr>
              <w:pStyle w:val="29"/>
              <w:spacing w:before="160"/>
              <w:ind w:right="0" w:rightChars="0"/>
              <w:jc w:val="both"/>
              <w:rPr>
                <w:rFonts w:hint="eastAsia" w:ascii="宋体" w:hAnsi="宋体" w:eastAsia="宋体" w:cs="宋体"/>
                <w:b w:val="0"/>
                <w:bCs/>
                <w:color w:val="00B0F0"/>
                <w:sz w:val="21"/>
                <w:szCs w:val="21"/>
              </w:rPr>
            </w:pPr>
            <w:r>
              <w:rPr>
                <w:rFonts w:hint="eastAsia" w:ascii="宋体" w:hAnsi="宋体" w:eastAsia="宋体" w:cs="宋体"/>
                <w:b w:val="0"/>
                <w:bCs/>
                <w:color w:val="auto"/>
                <w:sz w:val="20"/>
                <w:szCs w:val="21"/>
                <w:lang w:val="en-US" w:eastAsia="zh-CN"/>
              </w:rPr>
              <w:t>具有独立承担民事责任的能力（三证合一的营业执照）</w:t>
            </w:r>
            <w:r>
              <w:rPr>
                <w:rFonts w:hint="eastAsia" w:cs="宋体"/>
                <w:b w:val="0"/>
                <w:bCs/>
                <w:color w:val="auto"/>
                <w:sz w:val="20"/>
                <w:szCs w:val="21"/>
                <w:lang w:val="en-US" w:eastAsia="zh-CN"/>
              </w:rPr>
              <w:t>；</w:t>
            </w:r>
          </w:p>
        </w:tc>
        <w:tc>
          <w:tcPr>
            <w:tcW w:w="1469" w:type="dxa"/>
          </w:tcPr>
          <w:p>
            <w:pPr>
              <w:pStyle w:val="29"/>
              <w:spacing w:before="1" w:line="242" w:lineRule="auto"/>
              <w:ind w:right="196"/>
              <w:jc w:val="center"/>
              <w:rPr>
                <w:rFonts w:hint="eastAsia" w:ascii="宋体" w:hAnsi="宋体" w:eastAsia="宋体" w:cs="宋体"/>
                <w:b w:val="0"/>
                <w:bCs/>
                <w:color w:val="00B0F0"/>
                <w:sz w:val="21"/>
                <w:szCs w:val="21"/>
              </w:rPr>
            </w:pPr>
            <w:r>
              <w:rPr>
                <w:rFonts w:hint="eastAsia" w:ascii="宋体" w:hAnsi="宋体" w:eastAsia="宋体" w:cs="宋体"/>
                <w:b w:val="0"/>
                <w:bCs/>
                <w:color w:val="auto"/>
                <w:sz w:val="20"/>
                <w:szCs w:val="21"/>
                <w:lang w:val="en-US" w:eastAsia="zh-CN"/>
              </w:rPr>
              <w:t>法定代表人授权书及被委托人身份证（法定代表人投标提供法定代表人身份证明及身份证）</w:t>
            </w:r>
            <w:r>
              <w:rPr>
                <w:rFonts w:hint="eastAsia" w:cs="宋体"/>
                <w:b w:val="0"/>
                <w:bCs/>
                <w:color w:val="auto"/>
                <w:sz w:val="20"/>
                <w:szCs w:val="21"/>
                <w:lang w:val="en-US" w:eastAsia="zh-CN"/>
              </w:rPr>
              <w:t>；</w:t>
            </w:r>
          </w:p>
        </w:tc>
        <w:tc>
          <w:tcPr>
            <w:tcW w:w="1191" w:type="dxa"/>
          </w:tcPr>
          <w:p>
            <w:pPr>
              <w:pStyle w:val="29"/>
              <w:spacing w:before="1" w:line="242" w:lineRule="auto"/>
              <w:ind w:right="118"/>
              <w:jc w:val="both"/>
              <w:rPr>
                <w:rFonts w:hint="eastAsia" w:ascii="宋体" w:hAnsi="宋体" w:eastAsia="宋体" w:cs="宋体"/>
                <w:b w:val="0"/>
                <w:bCs/>
                <w:color w:val="00B0F0"/>
                <w:sz w:val="21"/>
                <w:szCs w:val="21"/>
              </w:rPr>
            </w:pPr>
            <w:r>
              <w:rPr>
                <w:rFonts w:hint="eastAsia" w:cs="宋体"/>
                <w:b w:val="0"/>
                <w:bCs/>
                <w:color w:val="auto"/>
                <w:sz w:val="20"/>
                <w:szCs w:val="21"/>
                <w:lang w:val="en-US" w:eastAsia="zh-CN"/>
              </w:rPr>
              <w:t>具有税务局开具依法缴纳近六个月任意一个月的完税证明；</w:t>
            </w:r>
          </w:p>
        </w:tc>
        <w:tc>
          <w:tcPr>
            <w:tcW w:w="1549" w:type="dxa"/>
          </w:tcPr>
          <w:p>
            <w:pPr>
              <w:pStyle w:val="29"/>
              <w:spacing w:line="242" w:lineRule="auto"/>
              <w:ind w:right="147"/>
              <w:jc w:val="center"/>
              <w:rPr>
                <w:rFonts w:hint="eastAsia" w:ascii="宋体" w:hAnsi="宋体" w:eastAsia="宋体" w:cs="宋体"/>
                <w:b w:val="0"/>
                <w:bCs/>
                <w:color w:val="00B0F0"/>
                <w:sz w:val="21"/>
                <w:szCs w:val="21"/>
              </w:rPr>
            </w:pPr>
            <w:r>
              <w:rPr>
                <w:rFonts w:hint="eastAsia" w:cs="宋体"/>
                <w:b w:val="0"/>
                <w:bCs/>
                <w:color w:val="auto"/>
                <w:sz w:val="20"/>
                <w:szCs w:val="21"/>
                <w:lang w:val="en-US" w:eastAsia="zh-CN"/>
              </w:rPr>
              <w:t>2021年度的财务审计报告（新成立未满一年的公司需提供有效的银行资信证明）</w:t>
            </w:r>
            <w:r>
              <w:rPr>
                <w:rFonts w:hint="eastAsia" w:ascii="宋体" w:hAnsi="宋体" w:eastAsia="宋体" w:cs="宋体"/>
                <w:b w:val="0"/>
                <w:bCs/>
                <w:color w:val="auto"/>
                <w:sz w:val="20"/>
                <w:szCs w:val="21"/>
                <w:lang w:val="en-US" w:eastAsia="zh-CN"/>
              </w:rPr>
              <w:t>；</w:t>
            </w:r>
          </w:p>
        </w:tc>
        <w:tc>
          <w:tcPr>
            <w:tcW w:w="1664" w:type="dxa"/>
          </w:tcPr>
          <w:p>
            <w:pPr>
              <w:pStyle w:val="29"/>
              <w:spacing w:line="242" w:lineRule="auto"/>
              <w:ind w:right="132"/>
              <w:jc w:val="both"/>
              <w:rPr>
                <w:rFonts w:hint="eastAsia" w:ascii="宋体" w:hAnsi="宋体" w:eastAsia="宋体" w:cs="宋体"/>
                <w:b w:val="0"/>
                <w:bCs/>
                <w:color w:val="00B0F0"/>
                <w:sz w:val="21"/>
                <w:szCs w:val="21"/>
              </w:rPr>
            </w:pPr>
            <w:r>
              <w:rPr>
                <w:rFonts w:hint="eastAsia" w:ascii="宋体" w:hAnsi="宋体" w:eastAsia="宋体" w:cs="宋体"/>
                <w:b w:val="0"/>
                <w:bCs/>
                <w:color w:val="auto"/>
                <w:sz w:val="20"/>
                <w:szCs w:val="21"/>
                <w:lang w:val="en-US" w:eastAsia="zh-CN"/>
              </w:rPr>
              <w:t>参加采购活动前三年内，在经营活动中无重大违法声明</w:t>
            </w:r>
            <w:r>
              <w:rPr>
                <w:rFonts w:hint="eastAsia" w:cs="宋体"/>
                <w:b w:val="0"/>
                <w:bCs/>
                <w:color w:val="auto"/>
                <w:sz w:val="20"/>
                <w:szCs w:val="21"/>
                <w:lang w:val="en-US" w:eastAsia="zh-CN"/>
              </w:rPr>
              <w:t>；</w:t>
            </w:r>
          </w:p>
        </w:tc>
        <w:tc>
          <w:tcPr>
            <w:tcW w:w="1813" w:type="dxa"/>
          </w:tcPr>
          <w:p>
            <w:pPr>
              <w:pStyle w:val="29"/>
              <w:spacing w:line="242" w:lineRule="auto"/>
              <w:ind w:right="132"/>
              <w:jc w:val="both"/>
              <w:rPr>
                <w:rFonts w:hint="default" w:ascii="宋体" w:hAnsi="宋体" w:eastAsia="宋体" w:cs="宋体"/>
                <w:b w:val="0"/>
                <w:bCs/>
                <w:color w:val="00B0F0"/>
                <w:sz w:val="21"/>
                <w:szCs w:val="21"/>
                <w:lang w:val="en-US"/>
              </w:rPr>
            </w:pPr>
            <w:r>
              <w:rPr>
                <w:rFonts w:hint="eastAsia" w:ascii="宋体" w:hAnsi="宋体" w:eastAsia="宋体" w:cs="宋体"/>
                <w:b w:val="0"/>
                <w:bCs/>
                <w:color w:val="auto"/>
                <w:sz w:val="20"/>
                <w:szCs w:val="21"/>
                <w:lang w:val="en-US" w:eastAsia="zh-CN"/>
              </w:rPr>
              <w:t>投标单位（供应商）具备针对本次采购项目《反商业贿赂承诺书》</w:t>
            </w:r>
            <w:r>
              <w:rPr>
                <w:rFonts w:hint="eastAsia" w:cs="宋体"/>
                <w:b w:val="0"/>
                <w:bCs/>
                <w:color w:val="auto"/>
                <w:sz w:val="20"/>
                <w:szCs w:val="21"/>
                <w:lang w:val="en-US" w:eastAsia="zh-CN"/>
              </w:rPr>
              <w:t>；</w:t>
            </w:r>
          </w:p>
        </w:tc>
        <w:tc>
          <w:tcPr>
            <w:tcW w:w="925" w:type="dxa"/>
          </w:tcPr>
          <w:p>
            <w:pPr>
              <w:pStyle w:val="29"/>
              <w:spacing w:line="242" w:lineRule="auto"/>
              <w:ind w:right="132"/>
              <w:jc w:val="both"/>
              <w:rPr>
                <w:rFonts w:hint="default" w:ascii="宋体" w:hAnsi="宋体" w:eastAsia="宋体" w:cs="宋体"/>
                <w:b w:val="0"/>
                <w:bCs/>
                <w:color w:val="00B0F0"/>
                <w:sz w:val="21"/>
                <w:szCs w:val="21"/>
                <w:lang w:val="en-US"/>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中小企业声明函</w:t>
            </w:r>
            <w:r>
              <w:rPr>
                <w:rFonts w:hint="eastAsia" w:cs="宋体"/>
                <w:b w:val="0"/>
                <w:bCs/>
                <w:color w:val="auto"/>
                <w:sz w:val="20"/>
                <w:szCs w:val="21"/>
                <w:lang w:val="en-US" w:eastAsia="zh-CN"/>
              </w:rPr>
              <w:t>；</w:t>
            </w:r>
          </w:p>
        </w:tc>
        <w:tc>
          <w:tcPr>
            <w:tcW w:w="1091" w:type="dxa"/>
          </w:tcPr>
          <w:p>
            <w:pPr>
              <w:pStyle w:val="29"/>
              <w:spacing w:line="242" w:lineRule="auto"/>
              <w:ind w:left="252" w:right="132" w:hanging="111"/>
              <w:jc w:val="center"/>
              <w:rPr>
                <w:rFonts w:hint="eastAsia" w:ascii="宋体" w:hAnsi="宋体" w:eastAsia="宋体" w:cs="宋体"/>
                <w:b w:val="0"/>
                <w:bCs/>
                <w:color w:val="00B0F0"/>
                <w:sz w:val="21"/>
                <w:szCs w:val="21"/>
              </w:rPr>
            </w:pPr>
            <w:r>
              <w:rPr>
                <w:rFonts w:hint="eastAsia" w:ascii="宋体" w:hAnsi="宋体" w:eastAsia="宋体" w:cs="宋体"/>
                <w:b w:val="0"/>
                <w:bCs/>
                <w:color w:val="auto"/>
                <w:sz w:val="20"/>
                <w:szCs w:val="21"/>
                <w:lang w:val="en-US" w:eastAsia="zh-CN"/>
              </w:rPr>
              <w:t>投标保证金收据或投标保函</w:t>
            </w:r>
            <w:r>
              <w:rPr>
                <w:rFonts w:hint="eastAsia" w:cs="宋体"/>
                <w:b w:val="0"/>
                <w:bCs/>
                <w:color w:val="auto"/>
                <w:sz w:val="20"/>
                <w:szCs w:val="21"/>
                <w:lang w:val="en-US" w:eastAsia="zh-CN"/>
              </w:rPr>
              <w:t>；</w:t>
            </w:r>
          </w:p>
        </w:tc>
        <w:tc>
          <w:tcPr>
            <w:tcW w:w="1282" w:type="dxa"/>
          </w:tcPr>
          <w:p>
            <w:pPr>
              <w:pStyle w:val="29"/>
              <w:spacing w:line="242" w:lineRule="auto"/>
              <w:ind w:left="252" w:right="132" w:hanging="111"/>
              <w:jc w:val="center"/>
              <w:rPr>
                <w:rFonts w:hint="eastAsia" w:ascii="宋体" w:hAnsi="宋体" w:eastAsia="宋体" w:cs="宋体"/>
                <w:b w:val="0"/>
                <w:bCs/>
                <w:color w:val="00B0F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jc w:val="center"/>
        </w:trPr>
        <w:tc>
          <w:tcPr>
            <w:tcW w:w="1219" w:type="dxa"/>
          </w:tcPr>
          <w:p>
            <w:pPr>
              <w:pStyle w:val="29"/>
              <w:jc w:val="center"/>
              <w:rPr>
                <w:rFonts w:ascii="Times New Roman"/>
                <w:color w:val="00B0F0"/>
                <w:sz w:val="21"/>
                <w:szCs w:val="21"/>
              </w:rPr>
            </w:pPr>
          </w:p>
        </w:tc>
        <w:tc>
          <w:tcPr>
            <w:tcW w:w="1150" w:type="dxa"/>
            <w:vAlign w:val="top"/>
          </w:tcPr>
          <w:p>
            <w:pPr>
              <w:pStyle w:val="29"/>
              <w:jc w:val="center"/>
              <w:rPr>
                <w:rFonts w:ascii="Times New Roman"/>
                <w:color w:val="00B0F0"/>
                <w:sz w:val="21"/>
                <w:szCs w:val="21"/>
              </w:rPr>
            </w:pPr>
          </w:p>
        </w:tc>
        <w:tc>
          <w:tcPr>
            <w:tcW w:w="1469" w:type="dxa"/>
          </w:tcPr>
          <w:p>
            <w:pPr>
              <w:pStyle w:val="29"/>
              <w:jc w:val="center"/>
              <w:rPr>
                <w:rFonts w:ascii="Times New Roman"/>
                <w:color w:val="00B0F0"/>
                <w:sz w:val="21"/>
                <w:szCs w:val="21"/>
              </w:rPr>
            </w:pPr>
          </w:p>
        </w:tc>
        <w:tc>
          <w:tcPr>
            <w:tcW w:w="1191" w:type="dxa"/>
          </w:tcPr>
          <w:p>
            <w:pPr>
              <w:pStyle w:val="29"/>
              <w:jc w:val="center"/>
              <w:rPr>
                <w:rFonts w:ascii="Times New Roman"/>
                <w:color w:val="00B0F0"/>
                <w:sz w:val="21"/>
                <w:szCs w:val="21"/>
              </w:rPr>
            </w:pPr>
          </w:p>
        </w:tc>
        <w:tc>
          <w:tcPr>
            <w:tcW w:w="1549" w:type="dxa"/>
          </w:tcPr>
          <w:p>
            <w:pPr>
              <w:pStyle w:val="29"/>
              <w:jc w:val="center"/>
              <w:rPr>
                <w:rFonts w:ascii="Times New Roman"/>
                <w:color w:val="00B0F0"/>
                <w:sz w:val="21"/>
                <w:szCs w:val="21"/>
              </w:rPr>
            </w:pPr>
          </w:p>
        </w:tc>
        <w:tc>
          <w:tcPr>
            <w:tcW w:w="1664" w:type="dxa"/>
          </w:tcPr>
          <w:p>
            <w:pPr>
              <w:pStyle w:val="29"/>
              <w:jc w:val="center"/>
              <w:rPr>
                <w:rFonts w:ascii="Times New Roman"/>
                <w:color w:val="00B0F0"/>
                <w:sz w:val="21"/>
                <w:szCs w:val="21"/>
              </w:rPr>
            </w:pPr>
          </w:p>
        </w:tc>
        <w:tc>
          <w:tcPr>
            <w:tcW w:w="1813" w:type="dxa"/>
          </w:tcPr>
          <w:p>
            <w:pPr>
              <w:pStyle w:val="29"/>
              <w:jc w:val="center"/>
              <w:rPr>
                <w:rFonts w:ascii="Times New Roman"/>
                <w:color w:val="00B0F0"/>
                <w:sz w:val="21"/>
                <w:szCs w:val="21"/>
              </w:rPr>
            </w:pPr>
          </w:p>
        </w:tc>
        <w:tc>
          <w:tcPr>
            <w:tcW w:w="925" w:type="dxa"/>
          </w:tcPr>
          <w:p>
            <w:pPr>
              <w:pStyle w:val="29"/>
              <w:jc w:val="center"/>
              <w:rPr>
                <w:rFonts w:ascii="Times New Roman"/>
                <w:color w:val="00B0F0"/>
                <w:sz w:val="21"/>
                <w:szCs w:val="21"/>
              </w:rPr>
            </w:pPr>
          </w:p>
        </w:tc>
        <w:tc>
          <w:tcPr>
            <w:tcW w:w="1091" w:type="dxa"/>
          </w:tcPr>
          <w:p>
            <w:pPr>
              <w:pStyle w:val="29"/>
              <w:jc w:val="center"/>
              <w:rPr>
                <w:rFonts w:hint="default" w:ascii="Times New Roman"/>
                <w:color w:val="00B0F0"/>
                <w:sz w:val="21"/>
                <w:szCs w:val="21"/>
                <w:lang w:val="en-US"/>
              </w:rPr>
            </w:pPr>
          </w:p>
        </w:tc>
        <w:tc>
          <w:tcPr>
            <w:tcW w:w="1282" w:type="dxa"/>
          </w:tcPr>
          <w:p>
            <w:pPr>
              <w:pStyle w:val="29"/>
              <w:jc w:val="center"/>
              <w:rPr>
                <w:rFonts w:hint="default" w:ascii="Times New Roman"/>
                <w:color w:val="00B0F0"/>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jc w:val="center"/>
        </w:trPr>
        <w:tc>
          <w:tcPr>
            <w:tcW w:w="1219" w:type="dxa"/>
          </w:tcPr>
          <w:p>
            <w:pPr>
              <w:pStyle w:val="29"/>
              <w:jc w:val="center"/>
              <w:rPr>
                <w:rFonts w:ascii="Times New Roman"/>
                <w:color w:val="00B0F0"/>
                <w:sz w:val="21"/>
                <w:szCs w:val="21"/>
              </w:rPr>
            </w:pPr>
          </w:p>
        </w:tc>
        <w:tc>
          <w:tcPr>
            <w:tcW w:w="1150" w:type="dxa"/>
            <w:vAlign w:val="top"/>
          </w:tcPr>
          <w:p>
            <w:pPr>
              <w:pStyle w:val="29"/>
              <w:jc w:val="center"/>
              <w:rPr>
                <w:rFonts w:ascii="Times New Roman"/>
                <w:color w:val="00B0F0"/>
                <w:sz w:val="21"/>
                <w:szCs w:val="21"/>
              </w:rPr>
            </w:pPr>
          </w:p>
        </w:tc>
        <w:tc>
          <w:tcPr>
            <w:tcW w:w="1469" w:type="dxa"/>
          </w:tcPr>
          <w:p>
            <w:pPr>
              <w:pStyle w:val="29"/>
              <w:jc w:val="center"/>
              <w:rPr>
                <w:rFonts w:ascii="Times New Roman"/>
                <w:color w:val="00B0F0"/>
                <w:sz w:val="21"/>
                <w:szCs w:val="21"/>
              </w:rPr>
            </w:pPr>
          </w:p>
        </w:tc>
        <w:tc>
          <w:tcPr>
            <w:tcW w:w="1191" w:type="dxa"/>
          </w:tcPr>
          <w:p>
            <w:pPr>
              <w:pStyle w:val="29"/>
              <w:jc w:val="center"/>
              <w:rPr>
                <w:rFonts w:ascii="Times New Roman"/>
                <w:color w:val="00B0F0"/>
                <w:sz w:val="21"/>
                <w:szCs w:val="21"/>
              </w:rPr>
            </w:pPr>
          </w:p>
        </w:tc>
        <w:tc>
          <w:tcPr>
            <w:tcW w:w="1549" w:type="dxa"/>
          </w:tcPr>
          <w:p>
            <w:pPr>
              <w:pStyle w:val="29"/>
              <w:jc w:val="center"/>
              <w:rPr>
                <w:rFonts w:ascii="Times New Roman"/>
                <w:color w:val="00B0F0"/>
                <w:sz w:val="21"/>
                <w:szCs w:val="21"/>
              </w:rPr>
            </w:pPr>
          </w:p>
        </w:tc>
        <w:tc>
          <w:tcPr>
            <w:tcW w:w="1664" w:type="dxa"/>
          </w:tcPr>
          <w:p>
            <w:pPr>
              <w:pStyle w:val="29"/>
              <w:jc w:val="center"/>
              <w:rPr>
                <w:rFonts w:ascii="Times New Roman"/>
                <w:color w:val="00B0F0"/>
                <w:sz w:val="21"/>
                <w:szCs w:val="21"/>
              </w:rPr>
            </w:pPr>
          </w:p>
        </w:tc>
        <w:tc>
          <w:tcPr>
            <w:tcW w:w="1813" w:type="dxa"/>
          </w:tcPr>
          <w:p>
            <w:pPr>
              <w:pStyle w:val="29"/>
              <w:jc w:val="center"/>
              <w:rPr>
                <w:rFonts w:ascii="Times New Roman"/>
                <w:color w:val="00B0F0"/>
                <w:sz w:val="21"/>
                <w:szCs w:val="21"/>
              </w:rPr>
            </w:pPr>
          </w:p>
        </w:tc>
        <w:tc>
          <w:tcPr>
            <w:tcW w:w="925" w:type="dxa"/>
          </w:tcPr>
          <w:p>
            <w:pPr>
              <w:pStyle w:val="29"/>
              <w:jc w:val="center"/>
              <w:rPr>
                <w:rFonts w:ascii="Times New Roman"/>
                <w:color w:val="00B0F0"/>
                <w:sz w:val="21"/>
                <w:szCs w:val="21"/>
              </w:rPr>
            </w:pPr>
          </w:p>
        </w:tc>
        <w:tc>
          <w:tcPr>
            <w:tcW w:w="1091" w:type="dxa"/>
          </w:tcPr>
          <w:p>
            <w:pPr>
              <w:pStyle w:val="29"/>
              <w:jc w:val="center"/>
              <w:rPr>
                <w:rFonts w:ascii="Times New Roman"/>
                <w:color w:val="00B0F0"/>
                <w:sz w:val="21"/>
                <w:szCs w:val="21"/>
              </w:rPr>
            </w:pPr>
          </w:p>
        </w:tc>
        <w:tc>
          <w:tcPr>
            <w:tcW w:w="1282" w:type="dxa"/>
          </w:tcPr>
          <w:p>
            <w:pPr>
              <w:pStyle w:val="29"/>
              <w:jc w:val="center"/>
              <w:rPr>
                <w:rFonts w:ascii="Times New Roman"/>
                <w:color w:val="00B0F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jc w:val="center"/>
        </w:trPr>
        <w:tc>
          <w:tcPr>
            <w:tcW w:w="1219" w:type="dxa"/>
          </w:tcPr>
          <w:p>
            <w:pPr>
              <w:pStyle w:val="29"/>
              <w:jc w:val="center"/>
              <w:rPr>
                <w:rFonts w:ascii="Times New Roman"/>
                <w:color w:val="00B0F0"/>
                <w:sz w:val="21"/>
                <w:szCs w:val="21"/>
              </w:rPr>
            </w:pPr>
          </w:p>
        </w:tc>
        <w:tc>
          <w:tcPr>
            <w:tcW w:w="1150" w:type="dxa"/>
            <w:vAlign w:val="top"/>
          </w:tcPr>
          <w:p>
            <w:pPr>
              <w:pStyle w:val="29"/>
              <w:jc w:val="center"/>
              <w:rPr>
                <w:rFonts w:ascii="Times New Roman"/>
                <w:color w:val="00B0F0"/>
                <w:sz w:val="21"/>
                <w:szCs w:val="21"/>
              </w:rPr>
            </w:pPr>
          </w:p>
        </w:tc>
        <w:tc>
          <w:tcPr>
            <w:tcW w:w="1469" w:type="dxa"/>
          </w:tcPr>
          <w:p>
            <w:pPr>
              <w:pStyle w:val="29"/>
              <w:jc w:val="center"/>
              <w:rPr>
                <w:rFonts w:ascii="Times New Roman"/>
                <w:color w:val="00B0F0"/>
                <w:sz w:val="21"/>
                <w:szCs w:val="21"/>
              </w:rPr>
            </w:pPr>
          </w:p>
        </w:tc>
        <w:tc>
          <w:tcPr>
            <w:tcW w:w="1191" w:type="dxa"/>
          </w:tcPr>
          <w:p>
            <w:pPr>
              <w:pStyle w:val="29"/>
              <w:jc w:val="center"/>
              <w:rPr>
                <w:rFonts w:ascii="Times New Roman"/>
                <w:color w:val="00B0F0"/>
                <w:sz w:val="21"/>
                <w:szCs w:val="21"/>
              </w:rPr>
            </w:pPr>
          </w:p>
        </w:tc>
        <w:tc>
          <w:tcPr>
            <w:tcW w:w="1549" w:type="dxa"/>
          </w:tcPr>
          <w:p>
            <w:pPr>
              <w:pStyle w:val="29"/>
              <w:jc w:val="center"/>
              <w:rPr>
                <w:rFonts w:ascii="Times New Roman"/>
                <w:color w:val="00B0F0"/>
                <w:sz w:val="21"/>
                <w:szCs w:val="21"/>
              </w:rPr>
            </w:pPr>
          </w:p>
        </w:tc>
        <w:tc>
          <w:tcPr>
            <w:tcW w:w="1664" w:type="dxa"/>
          </w:tcPr>
          <w:p>
            <w:pPr>
              <w:pStyle w:val="29"/>
              <w:jc w:val="center"/>
              <w:rPr>
                <w:rFonts w:ascii="Times New Roman"/>
                <w:color w:val="00B0F0"/>
                <w:sz w:val="21"/>
                <w:szCs w:val="21"/>
              </w:rPr>
            </w:pPr>
          </w:p>
        </w:tc>
        <w:tc>
          <w:tcPr>
            <w:tcW w:w="1813" w:type="dxa"/>
          </w:tcPr>
          <w:p>
            <w:pPr>
              <w:pStyle w:val="29"/>
              <w:jc w:val="center"/>
              <w:rPr>
                <w:rFonts w:ascii="Times New Roman"/>
                <w:color w:val="00B0F0"/>
                <w:sz w:val="21"/>
                <w:szCs w:val="21"/>
              </w:rPr>
            </w:pPr>
          </w:p>
        </w:tc>
        <w:tc>
          <w:tcPr>
            <w:tcW w:w="925" w:type="dxa"/>
          </w:tcPr>
          <w:p>
            <w:pPr>
              <w:pStyle w:val="29"/>
              <w:jc w:val="center"/>
              <w:rPr>
                <w:rFonts w:ascii="Times New Roman"/>
                <w:color w:val="00B0F0"/>
                <w:sz w:val="21"/>
                <w:szCs w:val="21"/>
              </w:rPr>
            </w:pPr>
          </w:p>
        </w:tc>
        <w:tc>
          <w:tcPr>
            <w:tcW w:w="1091" w:type="dxa"/>
          </w:tcPr>
          <w:p>
            <w:pPr>
              <w:pStyle w:val="29"/>
              <w:jc w:val="center"/>
              <w:rPr>
                <w:rFonts w:hint="default" w:ascii="Times New Roman"/>
                <w:color w:val="00B0F0"/>
                <w:sz w:val="21"/>
                <w:szCs w:val="21"/>
                <w:lang w:val="en-US"/>
              </w:rPr>
            </w:pPr>
          </w:p>
        </w:tc>
        <w:tc>
          <w:tcPr>
            <w:tcW w:w="1282" w:type="dxa"/>
          </w:tcPr>
          <w:p>
            <w:pPr>
              <w:pStyle w:val="29"/>
              <w:jc w:val="center"/>
              <w:rPr>
                <w:rFonts w:hint="default" w:ascii="Times New Roman"/>
                <w:color w:val="00B0F0"/>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jc w:val="center"/>
        </w:trPr>
        <w:tc>
          <w:tcPr>
            <w:tcW w:w="1219" w:type="dxa"/>
          </w:tcPr>
          <w:p>
            <w:pPr>
              <w:pStyle w:val="29"/>
              <w:jc w:val="center"/>
              <w:rPr>
                <w:rFonts w:ascii="Times New Roman"/>
                <w:color w:val="00B0F0"/>
                <w:sz w:val="21"/>
                <w:szCs w:val="21"/>
              </w:rPr>
            </w:pPr>
          </w:p>
        </w:tc>
        <w:tc>
          <w:tcPr>
            <w:tcW w:w="1150" w:type="dxa"/>
            <w:vAlign w:val="top"/>
          </w:tcPr>
          <w:p>
            <w:pPr>
              <w:pStyle w:val="29"/>
              <w:jc w:val="center"/>
              <w:rPr>
                <w:rFonts w:ascii="Times New Roman"/>
                <w:color w:val="00B0F0"/>
                <w:sz w:val="21"/>
                <w:szCs w:val="21"/>
              </w:rPr>
            </w:pPr>
          </w:p>
        </w:tc>
        <w:tc>
          <w:tcPr>
            <w:tcW w:w="1469" w:type="dxa"/>
          </w:tcPr>
          <w:p>
            <w:pPr>
              <w:pStyle w:val="29"/>
              <w:jc w:val="center"/>
              <w:rPr>
                <w:rFonts w:ascii="Times New Roman"/>
                <w:color w:val="00B0F0"/>
                <w:sz w:val="21"/>
                <w:szCs w:val="21"/>
              </w:rPr>
            </w:pPr>
          </w:p>
        </w:tc>
        <w:tc>
          <w:tcPr>
            <w:tcW w:w="1191" w:type="dxa"/>
          </w:tcPr>
          <w:p>
            <w:pPr>
              <w:pStyle w:val="29"/>
              <w:jc w:val="center"/>
              <w:rPr>
                <w:rFonts w:ascii="Times New Roman"/>
                <w:color w:val="00B0F0"/>
                <w:sz w:val="21"/>
                <w:szCs w:val="21"/>
              </w:rPr>
            </w:pPr>
          </w:p>
        </w:tc>
        <w:tc>
          <w:tcPr>
            <w:tcW w:w="1549" w:type="dxa"/>
          </w:tcPr>
          <w:p>
            <w:pPr>
              <w:pStyle w:val="29"/>
              <w:jc w:val="center"/>
              <w:rPr>
                <w:rFonts w:ascii="Times New Roman"/>
                <w:color w:val="00B0F0"/>
                <w:sz w:val="21"/>
                <w:szCs w:val="21"/>
              </w:rPr>
            </w:pPr>
          </w:p>
        </w:tc>
        <w:tc>
          <w:tcPr>
            <w:tcW w:w="1664" w:type="dxa"/>
          </w:tcPr>
          <w:p>
            <w:pPr>
              <w:pStyle w:val="29"/>
              <w:jc w:val="center"/>
              <w:rPr>
                <w:rFonts w:ascii="Times New Roman"/>
                <w:color w:val="00B0F0"/>
                <w:sz w:val="21"/>
                <w:szCs w:val="21"/>
              </w:rPr>
            </w:pPr>
          </w:p>
        </w:tc>
        <w:tc>
          <w:tcPr>
            <w:tcW w:w="1813" w:type="dxa"/>
          </w:tcPr>
          <w:p>
            <w:pPr>
              <w:pStyle w:val="29"/>
              <w:jc w:val="center"/>
              <w:rPr>
                <w:rFonts w:ascii="Times New Roman"/>
                <w:color w:val="00B0F0"/>
                <w:sz w:val="21"/>
                <w:szCs w:val="21"/>
              </w:rPr>
            </w:pPr>
          </w:p>
        </w:tc>
        <w:tc>
          <w:tcPr>
            <w:tcW w:w="925" w:type="dxa"/>
          </w:tcPr>
          <w:p>
            <w:pPr>
              <w:pStyle w:val="29"/>
              <w:jc w:val="center"/>
              <w:rPr>
                <w:rFonts w:ascii="Times New Roman"/>
                <w:color w:val="00B0F0"/>
                <w:sz w:val="21"/>
                <w:szCs w:val="21"/>
              </w:rPr>
            </w:pPr>
          </w:p>
        </w:tc>
        <w:tc>
          <w:tcPr>
            <w:tcW w:w="1091" w:type="dxa"/>
          </w:tcPr>
          <w:p>
            <w:pPr>
              <w:pStyle w:val="29"/>
              <w:jc w:val="center"/>
              <w:rPr>
                <w:rFonts w:ascii="Times New Roman"/>
                <w:color w:val="00B0F0"/>
                <w:sz w:val="21"/>
                <w:szCs w:val="21"/>
              </w:rPr>
            </w:pPr>
          </w:p>
        </w:tc>
        <w:tc>
          <w:tcPr>
            <w:tcW w:w="1282" w:type="dxa"/>
          </w:tcPr>
          <w:p>
            <w:pPr>
              <w:pStyle w:val="29"/>
              <w:jc w:val="center"/>
              <w:rPr>
                <w:rFonts w:ascii="Times New Roman"/>
                <w:color w:val="00B0F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1" w:hRule="atLeast"/>
          <w:jc w:val="center"/>
        </w:trPr>
        <w:tc>
          <w:tcPr>
            <w:tcW w:w="1219" w:type="dxa"/>
          </w:tcPr>
          <w:p>
            <w:pPr>
              <w:pStyle w:val="29"/>
              <w:jc w:val="center"/>
              <w:rPr>
                <w:rFonts w:ascii="Times New Roman"/>
                <w:color w:val="00B0F0"/>
                <w:sz w:val="21"/>
                <w:szCs w:val="21"/>
              </w:rPr>
            </w:pPr>
          </w:p>
        </w:tc>
        <w:tc>
          <w:tcPr>
            <w:tcW w:w="1150" w:type="dxa"/>
            <w:vAlign w:val="top"/>
          </w:tcPr>
          <w:p>
            <w:pPr>
              <w:pStyle w:val="29"/>
              <w:jc w:val="center"/>
              <w:rPr>
                <w:rFonts w:ascii="Times New Roman"/>
                <w:color w:val="00B0F0"/>
                <w:sz w:val="21"/>
                <w:szCs w:val="21"/>
              </w:rPr>
            </w:pPr>
          </w:p>
        </w:tc>
        <w:tc>
          <w:tcPr>
            <w:tcW w:w="1469" w:type="dxa"/>
          </w:tcPr>
          <w:p>
            <w:pPr>
              <w:pStyle w:val="29"/>
              <w:jc w:val="center"/>
              <w:rPr>
                <w:rFonts w:ascii="Times New Roman"/>
                <w:color w:val="00B0F0"/>
                <w:sz w:val="21"/>
                <w:szCs w:val="21"/>
              </w:rPr>
            </w:pPr>
          </w:p>
        </w:tc>
        <w:tc>
          <w:tcPr>
            <w:tcW w:w="1191" w:type="dxa"/>
          </w:tcPr>
          <w:p>
            <w:pPr>
              <w:pStyle w:val="29"/>
              <w:jc w:val="center"/>
              <w:rPr>
                <w:rFonts w:ascii="Times New Roman"/>
                <w:color w:val="00B0F0"/>
                <w:sz w:val="21"/>
                <w:szCs w:val="21"/>
              </w:rPr>
            </w:pPr>
          </w:p>
        </w:tc>
        <w:tc>
          <w:tcPr>
            <w:tcW w:w="1549" w:type="dxa"/>
          </w:tcPr>
          <w:p>
            <w:pPr>
              <w:pStyle w:val="29"/>
              <w:jc w:val="center"/>
              <w:rPr>
                <w:rFonts w:ascii="Times New Roman"/>
                <w:color w:val="00B0F0"/>
                <w:sz w:val="21"/>
                <w:szCs w:val="21"/>
              </w:rPr>
            </w:pPr>
          </w:p>
        </w:tc>
        <w:tc>
          <w:tcPr>
            <w:tcW w:w="1664" w:type="dxa"/>
          </w:tcPr>
          <w:p>
            <w:pPr>
              <w:pStyle w:val="29"/>
              <w:jc w:val="center"/>
              <w:rPr>
                <w:rFonts w:ascii="Times New Roman"/>
                <w:color w:val="00B0F0"/>
                <w:sz w:val="21"/>
                <w:szCs w:val="21"/>
              </w:rPr>
            </w:pPr>
          </w:p>
        </w:tc>
        <w:tc>
          <w:tcPr>
            <w:tcW w:w="1813" w:type="dxa"/>
          </w:tcPr>
          <w:p>
            <w:pPr>
              <w:pStyle w:val="29"/>
              <w:jc w:val="center"/>
              <w:rPr>
                <w:rFonts w:ascii="Times New Roman"/>
                <w:color w:val="00B0F0"/>
                <w:sz w:val="21"/>
                <w:szCs w:val="21"/>
              </w:rPr>
            </w:pPr>
          </w:p>
        </w:tc>
        <w:tc>
          <w:tcPr>
            <w:tcW w:w="925" w:type="dxa"/>
          </w:tcPr>
          <w:p>
            <w:pPr>
              <w:pStyle w:val="29"/>
              <w:jc w:val="center"/>
              <w:rPr>
                <w:rFonts w:ascii="Times New Roman"/>
                <w:color w:val="00B0F0"/>
                <w:sz w:val="21"/>
                <w:szCs w:val="21"/>
              </w:rPr>
            </w:pPr>
          </w:p>
        </w:tc>
        <w:tc>
          <w:tcPr>
            <w:tcW w:w="1091" w:type="dxa"/>
          </w:tcPr>
          <w:p>
            <w:pPr>
              <w:pStyle w:val="29"/>
              <w:jc w:val="center"/>
              <w:rPr>
                <w:rFonts w:ascii="Times New Roman"/>
                <w:color w:val="00B0F0"/>
                <w:sz w:val="21"/>
                <w:szCs w:val="21"/>
              </w:rPr>
            </w:pPr>
          </w:p>
        </w:tc>
        <w:tc>
          <w:tcPr>
            <w:tcW w:w="1282" w:type="dxa"/>
          </w:tcPr>
          <w:p>
            <w:pPr>
              <w:pStyle w:val="29"/>
              <w:jc w:val="center"/>
              <w:rPr>
                <w:rFonts w:ascii="Times New Roman"/>
                <w:color w:val="00B0F0"/>
                <w:sz w:val="21"/>
                <w:szCs w:val="21"/>
              </w:rPr>
            </w:pPr>
          </w:p>
        </w:tc>
      </w:tr>
    </w:tbl>
    <w:p>
      <w:pPr>
        <w:jc w:val="center"/>
        <w:rPr>
          <w:rFonts w:hint="eastAsia"/>
          <w:b/>
          <w:bCs/>
          <w:color w:val="auto"/>
          <w:sz w:val="24"/>
          <w:szCs w:val="24"/>
          <w:highlight w:val="none"/>
          <w:lang w:val="en-US" w:eastAsia="zh-CN"/>
        </w:rPr>
        <w:sectPr>
          <w:footerReference r:id="rId13" w:type="default"/>
          <w:pgSz w:w="16840" w:h="11910" w:orient="landscape"/>
          <w:pgMar w:top="1100" w:right="860" w:bottom="1200" w:left="1340" w:header="0" w:footer="1012" w:gutter="0"/>
          <w:pgNumType w:fmt="decimal"/>
          <w:cols w:space="720" w:num="1"/>
        </w:sectPr>
      </w:pPr>
    </w:p>
    <w:p>
      <w:pPr>
        <w:jc w:val="center"/>
        <w:rPr>
          <w:rFonts w:hint="eastAsia"/>
          <w:b/>
          <w:bCs/>
          <w:color w:val="auto"/>
          <w:sz w:val="24"/>
          <w:szCs w:val="24"/>
          <w:highlight w:val="none"/>
          <w:lang w:val="en-US" w:eastAsia="zh-CN"/>
        </w:rPr>
      </w:pPr>
    </w:p>
    <w:p>
      <w:pPr>
        <w:jc w:val="center"/>
        <w:rPr>
          <w:rFonts w:hint="eastAsia"/>
          <w:b/>
          <w:bCs/>
          <w:color w:val="auto"/>
          <w:sz w:val="28"/>
          <w:szCs w:val="28"/>
          <w:highlight w:val="none"/>
          <w:lang w:val="en-US" w:eastAsia="zh-CN"/>
        </w:rPr>
      </w:pPr>
    </w:p>
    <w:p>
      <w:pPr>
        <w:jc w:val="center"/>
        <w:outlineLvl w:val="0"/>
        <w:rPr>
          <w:rFonts w:hint="eastAsia" w:ascii="仿宋_GB2312" w:hAnsi="仿宋_GB2312" w:eastAsia="仿宋_GB2312" w:cs="仿宋_GB2312"/>
          <w:b/>
          <w:bCs/>
          <w:color w:val="auto"/>
          <w:sz w:val="28"/>
          <w:szCs w:val="28"/>
          <w:highlight w:val="none"/>
          <w:lang w:val="en-US" w:eastAsia="zh-CN"/>
        </w:rPr>
      </w:pPr>
      <w:bookmarkStart w:id="315" w:name="_Toc19133"/>
      <w:r>
        <w:rPr>
          <w:rFonts w:hint="eastAsia" w:ascii="仿宋_GB2312" w:hAnsi="仿宋_GB2312" w:eastAsia="仿宋_GB2312" w:cs="仿宋_GB2312"/>
          <w:b/>
          <w:bCs/>
          <w:color w:val="auto"/>
          <w:sz w:val="28"/>
          <w:szCs w:val="28"/>
          <w:highlight w:val="none"/>
          <w:lang w:val="en-US" w:eastAsia="zh-CN"/>
        </w:rPr>
        <w:t>第五章服务需求</w:t>
      </w:r>
      <w:bookmarkEnd w:id="315"/>
    </w:p>
    <w:p>
      <w:pPr>
        <w:jc w:val="center"/>
        <w:rPr>
          <w:rFonts w:hint="eastAsia" w:ascii="仿宋_GB2312" w:hAnsi="仿宋_GB2312" w:eastAsia="仿宋_GB2312" w:cs="仿宋_GB2312"/>
          <w:b/>
          <w:bCs/>
          <w:color w:val="auto"/>
          <w:sz w:val="28"/>
          <w:szCs w:val="28"/>
          <w:highlight w:val="none"/>
          <w:lang w:val="en-US" w:eastAsia="zh-CN"/>
        </w:rPr>
      </w:pPr>
    </w:p>
    <w:p>
      <w:pPr>
        <w:jc w:val="center"/>
        <w:rPr>
          <w:rFonts w:hint="eastAsia" w:ascii="仿宋" w:hAnsi="仿宋" w:eastAsia="仿宋" w:cs="仿宋"/>
          <w:b/>
          <w:bCs/>
          <w:kern w:val="0"/>
          <w:sz w:val="24"/>
          <w:szCs w:val="24"/>
          <w:lang w:val="en-US" w:eastAsia="zh-CN" w:bidi="zh-CN"/>
        </w:rPr>
      </w:pPr>
      <w:r>
        <w:rPr>
          <w:rFonts w:hint="eastAsia" w:ascii="仿宋" w:hAnsi="仿宋" w:eastAsia="仿宋" w:cs="仿宋"/>
          <w:b/>
          <w:bCs/>
          <w:kern w:val="0"/>
          <w:sz w:val="24"/>
          <w:szCs w:val="24"/>
          <w:lang w:val="en-US" w:eastAsia="zh-CN" w:bidi="zh-CN"/>
        </w:rPr>
        <w:t>采购规格及要求</w:t>
      </w:r>
    </w:p>
    <w:p>
      <w:pPr>
        <w:pStyle w:val="19"/>
        <w:ind w:left="0" w:leftChars="0" w:firstLine="0" w:firstLineChars="0"/>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采购数量：1</w:t>
      </w:r>
    </w:p>
    <w:p>
      <w:pPr>
        <w:pStyle w:val="7"/>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本项目建设规模及内容：服务区域：园区绿化养护、零星任务等服务，综保区道路保洁面积492071㎡，综保区绿化养护面积398492.5㎡的服务。综保区园区、包含办公楼、库房、厂房、展销中心等全部建筑。公租房区域，包含小果园区域；物业服务包括保安、保洁、维修、会议。</w:t>
      </w:r>
    </w:p>
    <w:p>
      <w:pPr>
        <w:pStyle w:val="7"/>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本项目实施地点：喀什经济开发区综合保税区。</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工程标准：本项目实施目标为对喀什经济开发区综合保税区的绿化带、微地形进行绿化养护，对机动车道路、非机动车道路及人行道路、公共设施等卫生进行保洁、冲洗，如有花卉种植、人工草坪铺贴等应对突击检查、观摩的项目额外支出，据实计算。</w:t>
      </w:r>
    </w:p>
    <w:p>
      <w:pPr>
        <w:numPr>
          <w:ilvl w:val="0"/>
          <w:numId w:val="0"/>
        </w:numPr>
        <w:ind w:right="0" w:rightChars="0"/>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2、服务标准</w:t>
      </w:r>
    </w:p>
    <w:p>
      <w:pPr>
        <w:pStyle w:val="19"/>
        <w:ind w:left="0" w:leftChars="0" w:firstLine="0" w:firstLineChars="0"/>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1</w:t>
      </w:r>
      <w:r>
        <w:rPr>
          <w:rFonts w:hint="eastAsia" w:ascii="仿宋" w:hAnsi="仿宋" w:eastAsia="仿宋" w:cs="仿宋"/>
          <w:sz w:val="24"/>
          <w:szCs w:val="24"/>
          <w:lang w:val="zh-CN" w:eastAsia="zh-CN" w:bidi="zh-CN"/>
        </w:rPr>
        <w:t>、</w:t>
      </w:r>
      <w:r>
        <w:rPr>
          <w:rFonts w:hint="eastAsia" w:ascii="仿宋" w:hAnsi="仿宋" w:eastAsia="仿宋" w:cs="仿宋"/>
          <w:sz w:val="24"/>
          <w:szCs w:val="24"/>
          <w:lang w:val="en-US" w:eastAsia="zh-CN" w:bidi="zh-CN"/>
        </w:rPr>
        <w:t>物业部分：</w:t>
      </w:r>
      <w:r>
        <w:rPr>
          <w:rFonts w:hint="eastAsia" w:ascii="仿宋" w:hAnsi="仿宋" w:eastAsia="仿宋" w:cs="仿宋"/>
          <w:color w:val="auto"/>
          <w:sz w:val="24"/>
          <w:szCs w:val="24"/>
          <w:lang w:val="en-US" w:eastAsia="zh-CN" w:bidi="zh-CN"/>
        </w:rPr>
        <w:t>项目负责人1人，现场管理人员1人，资料员1人，会务服务员1人。</w:t>
      </w:r>
    </w:p>
    <w:p>
      <w:pPr>
        <w:pStyle w:val="19"/>
        <w:ind w:left="0" w:leftChars="0" w:firstLine="0" w:firstLineChars="0"/>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rPr>
        <w:t>2、保洁服务标准：</w:t>
      </w:r>
      <w:r>
        <w:rPr>
          <w:rFonts w:hint="eastAsia" w:ascii="仿宋" w:hAnsi="仿宋" w:eastAsia="仿宋" w:cs="仿宋"/>
          <w:sz w:val="24"/>
          <w:szCs w:val="24"/>
          <w:lang w:val="zh-CN" w:eastAsia="zh-CN" w:bidi="zh-CN"/>
        </w:rPr>
        <w:t>园区及</w:t>
      </w:r>
      <w:r>
        <w:rPr>
          <w:rFonts w:hint="eastAsia" w:ascii="仿宋" w:hAnsi="仿宋" w:eastAsia="仿宋" w:cs="仿宋"/>
          <w:sz w:val="24"/>
          <w:szCs w:val="24"/>
          <w:lang w:val="en-US" w:eastAsia="zh-CN" w:bidi="zh-CN"/>
        </w:rPr>
        <w:t>公租房，办公楼、库房、厂房、展销中心等全部建筑。服务人员人数不得少于26人。包含楼宇内保洁及周边外保洁。</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楼宇</w:t>
      </w:r>
      <w:r>
        <w:rPr>
          <w:rFonts w:hint="eastAsia" w:ascii="仿宋" w:hAnsi="仿宋" w:eastAsia="仿宋" w:cs="仿宋"/>
          <w:sz w:val="24"/>
          <w:szCs w:val="24"/>
          <w:lang w:val="zh-CN" w:eastAsia="zh-CN" w:bidi="zh-CN"/>
        </w:rPr>
        <w:t>地面</w:t>
      </w:r>
      <w:r>
        <w:rPr>
          <w:rFonts w:hint="eastAsia" w:ascii="仿宋" w:hAnsi="仿宋" w:eastAsia="仿宋" w:cs="仿宋"/>
          <w:sz w:val="24"/>
          <w:szCs w:val="24"/>
          <w:lang w:val="en-US" w:eastAsia="zh-CN" w:bidi="zh-CN"/>
        </w:rPr>
        <w:t>清洁随时保持</w:t>
      </w:r>
      <w:r>
        <w:rPr>
          <w:rFonts w:hint="eastAsia" w:ascii="仿宋" w:hAnsi="仿宋" w:eastAsia="仿宋" w:cs="仿宋"/>
          <w:sz w:val="24"/>
          <w:szCs w:val="24"/>
          <w:lang w:val="zh-CN" w:eastAsia="zh-CN" w:bidi="zh-CN"/>
        </w:rPr>
        <w:t>，</w:t>
      </w:r>
      <w:r>
        <w:rPr>
          <w:rFonts w:hint="eastAsia" w:ascii="仿宋" w:hAnsi="仿宋" w:eastAsia="仿宋" w:cs="仿宋"/>
          <w:sz w:val="24"/>
          <w:szCs w:val="24"/>
          <w:lang w:val="en-US" w:eastAsia="zh-CN" w:bidi="zh-CN"/>
        </w:rPr>
        <w:t>一楼大厅门窗每天清洁一次。</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硬化地面、道路、绿化带清洁每天一次。</w:t>
      </w:r>
    </w:p>
    <w:p>
      <w:pPr>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外楼</w:t>
      </w:r>
      <w:r>
        <w:rPr>
          <w:rFonts w:hint="eastAsia" w:ascii="仿宋" w:hAnsi="仿宋" w:eastAsia="仿宋" w:cs="仿宋"/>
          <w:sz w:val="24"/>
          <w:szCs w:val="24"/>
          <w:lang w:val="zh-CN" w:eastAsia="zh-CN" w:bidi="zh-CN"/>
        </w:rPr>
        <w:t>墙体每</w:t>
      </w:r>
      <w:r>
        <w:rPr>
          <w:rFonts w:hint="eastAsia" w:ascii="仿宋" w:hAnsi="仿宋" w:eastAsia="仿宋" w:cs="仿宋"/>
          <w:sz w:val="24"/>
          <w:szCs w:val="24"/>
          <w:lang w:val="en-US" w:eastAsia="zh-CN" w:bidi="zh-CN"/>
        </w:rPr>
        <w:t>季度</w:t>
      </w:r>
      <w:r>
        <w:rPr>
          <w:rFonts w:hint="eastAsia" w:ascii="仿宋" w:hAnsi="仿宋" w:eastAsia="仿宋" w:cs="仿宋"/>
          <w:sz w:val="24"/>
          <w:szCs w:val="24"/>
          <w:lang w:val="zh-CN" w:eastAsia="zh-CN" w:bidi="zh-CN"/>
        </w:rPr>
        <w:t>清</w:t>
      </w:r>
      <w:r>
        <w:rPr>
          <w:rFonts w:hint="eastAsia" w:ascii="仿宋" w:hAnsi="仿宋" w:eastAsia="仿宋" w:cs="仿宋"/>
          <w:sz w:val="24"/>
          <w:szCs w:val="24"/>
          <w:lang w:val="en-US" w:eastAsia="zh-CN" w:bidi="zh-CN"/>
        </w:rPr>
        <w:t>洁</w:t>
      </w:r>
      <w:r>
        <w:rPr>
          <w:rFonts w:hint="eastAsia" w:ascii="仿宋" w:hAnsi="仿宋" w:eastAsia="仿宋" w:cs="仿宋"/>
          <w:sz w:val="24"/>
          <w:szCs w:val="24"/>
          <w:lang w:val="zh-CN" w:eastAsia="zh-CN" w:bidi="zh-CN"/>
        </w:rPr>
        <w:t>一次，</w:t>
      </w:r>
      <w:r>
        <w:rPr>
          <w:rFonts w:hint="eastAsia" w:ascii="仿宋" w:hAnsi="仿宋" w:eastAsia="仿宋" w:cs="仿宋"/>
          <w:sz w:val="24"/>
          <w:szCs w:val="24"/>
          <w:lang w:val="en-US" w:eastAsia="zh-CN" w:bidi="zh-CN"/>
        </w:rPr>
        <w:t>窗户玻璃</w:t>
      </w:r>
      <w:r>
        <w:rPr>
          <w:rFonts w:hint="eastAsia" w:ascii="仿宋" w:hAnsi="仿宋" w:eastAsia="仿宋" w:cs="仿宋"/>
          <w:sz w:val="24"/>
          <w:szCs w:val="24"/>
          <w:lang w:val="zh-CN" w:eastAsia="zh-CN" w:bidi="zh-CN"/>
        </w:rPr>
        <w:t>每</w:t>
      </w:r>
      <w:r>
        <w:rPr>
          <w:rFonts w:hint="eastAsia" w:ascii="仿宋" w:hAnsi="仿宋" w:eastAsia="仿宋" w:cs="仿宋"/>
          <w:sz w:val="24"/>
          <w:szCs w:val="24"/>
          <w:lang w:val="en-US" w:eastAsia="zh-CN" w:bidi="zh-CN"/>
        </w:rPr>
        <w:t>月清洁</w:t>
      </w:r>
      <w:r>
        <w:rPr>
          <w:rFonts w:hint="eastAsia" w:ascii="仿宋" w:hAnsi="仿宋" w:eastAsia="仿宋" w:cs="仿宋"/>
          <w:sz w:val="24"/>
          <w:szCs w:val="24"/>
          <w:lang w:val="zh-CN" w:eastAsia="zh-CN" w:bidi="zh-CN"/>
        </w:rPr>
        <w:t>一次。</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办公楼、厂房、库房屋顶雨水口每月清理一次。</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公租房硬化地面、绿化带及楼内楼梯、走道每日清洁。</w:t>
      </w:r>
    </w:p>
    <w:p>
      <w:pPr>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负责园区垃圾清运，</w:t>
      </w:r>
      <w:r>
        <w:rPr>
          <w:rFonts w:hint="eastAsia" w:ascii="仿宋" w:hAnsi="仿宋" w:eastAsia="仿宋" w:cs="仿宋"/>
          <w:sz w:val="24"/>
          <w:szCs w:val="24"/>
          <w:lang w:val="en-US" w:eastAsia="zh-CN" w:bidi="zh-CN"/>
        </w:rPr>
        <w:t>及时清运，不得出现垃圾堆积，</w:t>
      </w:r>
      <w:r>
        <w:rPr>
          <w:rFonts w:hint="eastAsia" w:ascii="仿宋" w:hAnsi="仿宋" w:eastAsia="仿宋" w:cs="仿宋"/>
          <w:sz w:val="24"/>
          <w:szCs w:val="24"/>
          <w:lang w:val="zh-CN" w:eastAsia="zh-CN" w:bidi="zh-CN"/>
        </w:rPr>
        <w:t>配备相应的垃圾船等设备设施并自行解决清运渠道。</w:t>
      </w:r>
    </w:p>
    <w:p>
      <w:pPr>
        <w:numPr>
          <w:ilvl w:val="0"/>
          <w:numId w:val="0"/>
        </w:numPr>
        <w:ind w:leftChars="0" w:right="0" w:rightChars="0"/>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3、</w:t>
      </w:r>
      <w:r>
        <w:rPr>
          <w:rFonts w:hint="eastAsia" w:ascii="仿宋" w:hAnsi="仿宋" w:eastAsia="仿宋" w:cs="仿宋"/>
          <w:sz w:val="24"/>
          <w:szCs w:val="24"/>
          <w:lang w:val="zh-CN" w:eastAsia="zh-CN" w:bidi="zh-CN"/>
        </w:rPr>
        <w:t>保安服务标准：</w:t>
      </w:r>
    </w:p>
    <w:p>
      <w:pPr>
        <w:numPr>
          <w:ilvl w:val="0"/>
          <w:numId w:val="0"/>
        </w:numPr>
        <w:ind w:right="0" w:rightChars="0"/>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保安服务范围为园区及</w:t>
      </w:r>
      <w:r>
        <w:rPr>
          <w:rFonts w:hint="eastAsia" w:ascii="仿宋" w:hAnsi="仿宋" w:eastAsia="仿宋" w:cs="仿宋"/>
          <w:sz w:val="24"/>
          <w:szCs w:val="24"/>
          <w:lang w:val="en-US" w:eastAsia="zh-CN" w:bidi="zh-CN"/>
        </w:rPr>
        <w:t>公租房，</w:t>
      </w:r>
      <w:r>
        <w:rPr>
          <w:rFonts w:hint="eastAsia" w:ascii="仿宋" w:hAnsi="仿宋" w:eastAsia="仿宋" w:cs="仿宋"/>
          <w:sz w:val="24"/>
          <w:szCs w:val="24"/>
          <w:lang w:val="zh-CN" w:eastAsia="zh-CN" w:bidi="zh-CN"/>
        </w:rPr>
        <w:t>园区施行24小时值班制，每班不少于</w:t>
      </w:r>
      <w:r>
        <w:rPr>
          <w:rFonts w:hint="eastAsia" w:ascii="仿宋" w:hAnsi="仿宋" w:eastAsia="仿宋" w:cs="仿宋"/>
          <w:sz w:val="24"/>
          <w:szCs w:val="24"/>
          <w:lang w:val="en-US" w:eastAsia="zh-CN" w:bidi="zh-CN"/>
        </w:rPr>
        <w:t>16</w:t>
      </w:r>
      <w:r>
        <w:rPr>
          <w:rFonts w:hint="eastAsia" w:ascii="仿宋" w:hAnsi="仿宋" w:eastAsia="仿宋" w:cs="仿宋"/>
          <w:sz w:val="24"/>
          <w:szCs w:val="24"/>
          <w:lang w:val="zh-CN" w:eastAsia="zh-CN" w:bidi="zh-CN"/>
        </w:rPr>
        <w:t>人，</w:t>
      </w:r>
      <w:r>
        <w:rPr>
          <w:rFonts w:hint="eastAsia" w:ascii="仿宋" w:hAnsi="仿宋" w:eastAsia="仿宋" w:cs="仿宋"/>
          <w:sz w:val="24"/>
          <w:szCs w:val="24"/>
          <w:lang w:val="en-US" w:eastAsia="zh-CN" w:bidi="zh-CN"/>
        </w:rPr>
        <w:t>总人数不少于32人</w:t>
      </w:r>
      <w:r>
        <w:rPr>
          <w:rFonts w:hint="eastAsia" w:ascii="仿宋" w:hAnsi="仿宋" w:eastAsia="仿宋" w:cs="仿宋"/>
          <w:sz w:val="24"/>
          <w:szCs w:val="24"/>
          <w:lang w:val="zh-CN" w:eastAsia="zh-CN" w:bidi="zh-CN"/>
        </w:rPr>
        <w:t>。定时进行</w:t>
      </w:r>
      <w:r>
        <w:rPr>
          <w:rFonts w:hint="eastAsia" w:ascii="仿宋" w:hAnsi="仿宋" w:eastAsia="仿宋" w:cs="仿宋"/>
          <w:sz w:val="24"/>
          <w:szCs w:val="24"/>
          <w:lang w:val="en-US" w:eastAsia="zh-CN" w:bidi="zh-CN"/>
        </w:rPr>
        <w:t>安检</w:t>
      </w:r>
      <w:r>
        <w:rPr>
          <w:rFonts w:hint="eastAsia" w:ascii="仿宋" w:hAnsi="仿宋" w:eastAsia="仿宋" w:cs="仿宋"/>
          <w:sz w:val="24"/>
          <w:szCs w:val="24"/>
          <w:lang w:val="zh-CN" w:eastAsia="zh-CN" w:bidi="zh-CN"/>
        </w:rPr>
        <w:t>巡逻，</w:t>
      </w:r>
      <w:r>
        <w:rPr>
          <w:rFonts w:hint="eastAsia" w:ascii="仿宋" w:hAnsi="仿宋" w:eastAsia="仿宋" w:cs="仿宋"/>
          <w:sz w:val="24"/>
          <w:szCs w:val="24"/>
          <w:lang w:val="en-US" w:eastAsia="zh-CN" w:bidi="zh-CN"/>
        </w:rPr>
        <w:t>每班巡逻次数不得少于6次。</w:t>
      </w:r>
    </w:p>
    <w:p>
      <w:pPr>
        <w:numPr>
          <w:ilvl w:val="0"/>
          <w:numId w:val="0"/>
        </w:numPr>
        <w:ind w:leftChars="0"/>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做好危险品入区检查报备工作，严格做好检查登记工作。</w:t>
      </w:r>
    </w:p>
    <w:p>
      <w:pPr>
        <w:numPr>
          <w:ilvl w:val="0"/>
          <w:numId w:val="0"/>
        </w:numPr>
        <w:ind w:leftChars="0"/>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对进出园区办事人员按要求进行登记和检查，保证园区安全。保安人员在岗期间不得饮酒、擅自离岗，保证仪容仪表和礼貌待人。</w:t>
      </w:r>
    </w:p>
    <w:p>
      <w:pPr>
        <w:numPr>
          <w:ilvl w:val="0"/>
          <w:numId w:val="0"/>
        </w:numPr>
        <w:ind w:leftChars="0"/>
        <w:rPr>
          <w:rFonts w:hint="eastAsia" w:ascii="仿宋" w:hAnsi="仿宋" w:eastAsia="仿宋" w:cs="仿宋"/>
          <w:b w:val="0"/>
          <w:bCs w:val="0"/>
          <w:sz w:val="24"/>
          <w:szCs w:val="24"/>
          <w:lang w:val="en-US" w:eastAsia="zh-CN" w:bidi="zh-CN"/>
        </w:rPr>
      </w:pPr>
      <w:r>
        <w:rPr>
          <w:rFonts w:hint="eastAsia" w:ascii="仿宋" w:hAnsi="仿宋" w:eastAsia="仿宋" w:cs="仿宋"/>
          <w:sz w:val="24"/>
          <w:szCs w:val="24"/>
          <w:lang w:val="en-US" w:eastAsia="zh-CN" w:bidi="zh-CN"/>
        </w:rPr>
        <w:t>根据甲方安排做好大型活动、会议、核酸检测点的秩序维持工作。</w:t>
      </w:r>
      <w:r>
        <w:rPr>
          <w:rFonts w:hint="eastAsia" w:ascii="仿宋" w:hAnsi="仿宋" w:eastAsia="仿宋" w:cs="仿宋"/>
          <w:sz w:val="24"/>
          <w:szCs w:val="24"/>
          <w:lang w:val="zh-CN" w:eastAsia="zh-CN" w:bidi="zh-CN"/>
        </w:rPr>
        <w:t>按甲方要求完成</w:t>
      </w:r>
      <w:r>
        <w:rPr>
          <w:rFonts w:hint="eastAsia" w:ascii="仿宋" w:hAnsi="仿宋" w:eastAsia="仿宋" w:cs="仿宋"/>
          <w:sz w:val="24"/>
          <w:szCs w:val="24"/>
          <w:lang w:val="en-US" w:eastAsia="zh-CN" w:bidi="zh-CN"/>
        </w:rPr>
        <w:t>疫情防控及</w:t>
      </w:r>
      <w:r>
        <w:rPr>
          <w:rFonts w:hint="eastAsia" w:ascii="仿宋" w:hAnsi="仿宋" w:eastAsia="仿宋" w:cs="仿宋"/>
          <w:sz w:val="24"/>
          <w:szCs w:val="24"/>
          <w:lang w:val="zh-CN" w:eastAsia="zh-CN" w:bidi="zh-CN"/>
        </w:rPr>
        <w:t>其他相关工作，</w:t>
      </w:r>
      <w:r>
        <w:rPr>
          <w:rFonts w:hint="eastAsia" w:ascii="仿宋" w:hAnsi="仿宋" w:eastAsia="仿宋" w:cs="仿宋"/>
          <w:sz w:val="24"/>
          <w:szCs w:val="24"/>
          <w:lang w:val="en-US" w:eastAsia="zh-CN" w:bidi="zh-CN"/>
        </w:rPr>
        <w:t>配备环境消杀、环境监测人员不少于3人。做好外来人员登记摸排，资料</w:t>
      </w:r>
      <w:r>
        <w:rPr>
          <w:rFonts w:hint="eastAsia" w:ascii="仿宋" w:hAnsi="仿宋" w:eastAsia="仿宋" w:cs="仿宋"/>
          <w:b w:val="0"/>
          <w:bCs w:val="0"/>
          <w:sz w:val="24"/>
          <w:szCs w:val="24"/>
          <w:lang w:val="en-US" w:eastAsia="zh-CN" w:bidi="zh-CN"/>
        </w:rPr>
        <w:t>台账详实完善。</w:t>
      </w:r>
    </w:p>
    <w:p>
      <w:pPr>
        <w:numPr>
          <w:ilvl w:val="0"/>
          <w:numId w:val="0"/>
        </w:numPr>
        <w:ind w:leftChars="0"/>
        <w:rPr>
          <w:rFonts w:hint="eastAsia" w:ascii="仿宋" w:hAnsi="仿宋" w:eastAsia="仿宋" w:cs="仿宋"/>
          <w:b w:val="0"/>
          <w:bCs w:val="0"/>
          <w:color w:val="auto"/>
          <w:sz w:val="24"/>
          <w:szCs w:val="24"/>
          <w:lang w:val="zh-CN" w:eastAsia="zh-CN" w:bidi="zh-CN"/>
        </w:rPr>
      </w:pPr>
      <w:r>
        <w:rPr>
          <w:rFonts w:hint="eastAsia" w:ascii="仿宋" w:hAnsi="仿宋" w:eastAsia="仿宋" w:cs="仿宋"/>
          <w:b w:val="0"/>
          <w:bCs w:val="0"/>
          <w:color w:val="auto"/>
          <w:sz w:val="24"/>
          <w:szCs w:val="24"/>
          <w:lang w:val="en-US" w:eastAsia="zh-CN" w:bidi="zh-CN"/>
        </w:rPr>
        <w:t>4、</w:t>
      </w:r>
      <w:r>
        <w:rPr>
          <w:rFonts w:hint="eastAsia" w:ascii="仿宋" w:hAnsi="仿宋" w:eastAsia="仿宋" w:cs="仿宋"/>
          <w:b w:val="0"/>
          <w:bCs w:val="0"/>
          <w:color w:val="auto"/>
          <w:sz w:val="24"/>
          <w:szCs w:val="24"/>
          <w:lang w:val="zh-CN" w:eastAsia="zh-CN" w:bidi="zh-CN"/>
        </w:rPr>
        <w:t>日常维护范围和标准:</w:t>
      </w:r>
    </w:p>
    <w:p>
      <w:pPr>
        <w:numPr>
          <w:ilvl w:val="0"/>
          <w:numId w:val="0"/>
        </w:numPr>
        <w:rPr>
          <w:rFonts w:hint="eastAsia" w:ascii="仿宋" w:hAnsi="仿宋" w:eastAsia="仿宋" w:cs="仿宋"/>
          <w:b w:val="0"/>
          <w:bCs w:val="0"/>
          <w:color w:val="auto"/>
          <w:sz w:val="24"/>
          <w:szCs w:val="24"/>
          <w:lang w:val="zh-CN" w:eastAsia="zh-CN" w:bidi="zh-CN"/>
        </w:rPr>
      </w:pPr>
      <w:r>
        <w:rPr>
          <w:rFonts w:hint="eastAsia" w:ascii="仿宋" w:hAnsi="仿宋" w:eastAsia="仿宋" w:cs="仿宋"/>
          <w:b w:val="0"/>
          <w:bCs w:val="0"/>
          <w:color w:val="auto"/>
          <w:sz w:val="24"/>
          <w:szCs w:val="24"/>
          <w:lang w:val="zh-CN" w:eastAsia="zh-CN" w:bidi="zh-CN"/>
        </w:rPr>
        <w:t>配备</w:t>
      </w:r>
      <w:r>
        <w:rPr>
          <w:rFonts w:hint="eastAsia" w:ascii="仿宋" w:hAnsi="仿宋" w:eastAsia="仿宋" w:cs="仿宋"/>
          <w:b w:val="0"/>
          <w:bCs w:val="0"/>
          <w:color w:val="auto"/>
          <w:sz w:val="24"/>
          <w:szCs w:val="24"/>
          <w:lang w:val="en-US" w:eastAsia="zh-CN" w:bidi="zh-CN"/>
        </w:rPr>
        <w:t>3名</w:t>
      </w:r>
      <w:r>
        <w:rPr>
          <w:rFonts w:hint="eastAsia" w:ascii="仿宋" w:hAnsi="仿宋" w:eastAsia="仿宋" w:cs="仿宋"/>
          <w:b w:val="0"/>
          <w:bCs w:val="0"/>
          <w:color w:val="auto"/>
          <w:sz w:val="24"/>
          <w:szCs w:val="24"/>
          <w:lang w:val="zh-CN" w:eastAsia="zh-CN" w:bidi="zh-CN"/>
        </w:rPr>
        <w:t>维修人员（</w:t>
      </w:r>
      <w:r>
        <w:rPr>
          <w:rFonts w:hint="eastAsia" w:ascii="仿宋" w:hAnsi="仿宋" w:eastAsia="仿宋" w:cs="仿宋"/>
          <w:b w:val="0"/>
          <w:bCs w:val="0"/>
          <w:color w:val="auto"/>
          <w:sz w:val="24"/>
          <w:szCs w:val="24"/>
          <w:lang w:val="en-US" w:eastAsia="zh-CN" w:bidi="zh-CN"/>
        </w:rPr>
        <w:t>水电工3名</w:t>
      </w:r>
      <w:r>
        <w:rPr>
          <w:rFonts w:hint="eastAsia" w:ascii="仿宋" w:hAnsi="仿宋" w:eastAsia="仿宋" w:cs="仿宋"/>
          <w:b w:val="0"/>
          <w:bCs w:val="0"/>
          <w:color w:val="auto"/>
          <w:sz w:val="24"/>
          <w:szCs w:val="24"/>
          <w:lang w:val="zh-CN" w:eastAsia="zh-CN" w:bidi="zh-CN"/>
        </w:rPr>
        <w:t>）对其相关设施进行日常维护维修，对于日常维修</w:t>
      </w:r>
      <w:r>
        <w:rPr>
          <w:rFonts w:hint="eastAsia" w:ascii="仿宋" w:hAnsi="仿宋" w:eastAsia="仿宋" w:cs="仿宋"/>
          <w:b w:val="0"/>
          <w:bCs w:val="0"/>
          <w:color w:val="auto"/>
          <w:sz w:val="24"/>
          <w:szCs w:val="24"/>
          <w:lang w:val="en-US" w:eastAsia="zh-CN" w:bidi="zh-CN"/>
        </w:rPr>
        <w:t>配件价格</w:t>
      </w:r>
      <w:r>
        <w:rPr>
          <w:rFonts w:hint="eastAsia" w:ascii="仿宋" w:hAnsi="仿宋" w:eastAsia="仿宋" w:cs="仿宋"/>
          <w:b w:val="0"/>
          <w:bCs w:val="0"/>
          <w:color w:val="auto"/>
          <w:sz w:val="24"/>
          <w:szCs w:val="24"/>
          <w:lang w:val="zh-CN" w:eastAsia="zh-CN" w:bidi="zh-CN"/>
        </w:rPr>
        <w:t>小于300元的，由物业单位承担</w:t>
      </w:r>
      <w:r>
        <w:rPr>
          <w:rFonts w:hint="eastAsia" w:ascii="仿宋" w:hAnsi="仿宋" w:eastAsia="仿宋" w:cs="仿宋"/>
          <w:b w:val="0"/>
          <w:bCs w:val="0"/>
          <w:color w:val="auto"/>
          <w:sz w:val="24"/>
          <w:szCs w:val="24"/>
          <w:lang w:val="en-US" w:eastAsia="zh-CN" w:bidi="zh-CN"/>
        </w:rPr>
        <w:t>采购</w:t>
      </w:r>
      <w:r>
        <w:rPr>
          <w:rFonts w:hint="eastAsia" w:ascii="仿宋" w:hAnsi="仿宋" w:eastAsia="仿宋" w:cs="仿宋"/>
          <w:b w:val="0"/>
          <w:bCs w:val="0"/>
          <w:color w:val="auto"/>
          <w:sz w:val="24"/>
          <w:szCs w:val="24"/>
          <w:lang w:val="zh-CN" w:eastAsia="zh-CN" w:bidi="zh-CN"/>
        </w:rPr>
        <w:t>费用</w:t>
      </w:r>
      <w:r>
        <w:rPr>
          <w:rFonts w:hint="eastAsia" w:ascii="仿宋" w:hAnsi="仿宋" w:eastAsia="仿宋" w:cs="仿宋"/>
          <w:b w:val="0"/>
          <w:bCs w:val="0"/>
          <w:color w:val="auto"/>
          <w:sz w:val="24"/>
          <w:szCs w:val="24"/>
          <w:lang w:val="en-US" w:eastAsia="zh-CN" w:bidi="zh-CN"/>
        </w:rPr>
        <w:t>并进行维修。配件价格</w:t>
      </w:r>
      <w:r>
        <w:rPr>
          <w:rFonts w:hint="eastAsia" w:ascii="仿宋" w:hAnsi="仿宋" w:eastAsia="仿宋" w:cs="仿宋"/>
          <w:b w:val="0"/>
          <w:bCs w:val="0"/>
          <w:color w:val="auto"/>
          <w:sz w:val="24"/>
          <w:szCs w:val="24"/>
          <w:lang w:val="zh-CN" w:eastAsia="zh-CN" w:bidi="zh-CN"/>
        </w:rPr>
        <w:t>大于300元</w:t>
      </w:r>
      <w:r>
        <w:rPr>
          <w:rFonts w:hint="eastAsia" w:ascii="仿宋" w:hAnsi="仿宋" w:eastAsia="仿宋" w:cs="仿宋"/>
          <w:b w:val="0"/>
          <w:bCs w:val="0"/>
          <w:color w:val="auto"/>
          <w:sz w:val="24"/>
          <w:szCs w:val="24"/>
          <w:lang w:val="en-US" w:eastAsia="zh-CN" w:bidi="zh-CN"/>
        </w:rPr>
        <w:t>的，采购</w:t>
      </w:r>
      <w:r>
        <w:rPr>
          <w:rFonts w:hint="eastAsia" w:ascii="仿宋" w:hAnsi="仿宋" w:eastAsia="仿宋" w:cs="仿宋"/>
          <w:b w:val="0"/>
          <w:bCs w:val="0"/>
          <w:color w:val="auto"/>
          <w:sz w:val="24"/>
          <w:szCs w:val="24"/>
          <w:lang w:val="zh-CN" w:eastAsia="zh-CN" w:bidi="zh-CN"/>
        </w:rPr>
        <w:t>费用由业主单位负责，</w:t>
      </w:r>
      <w:r>
        <w:rPr>
          <w:rFonts w:hint="eastAsia" w:ascii="仿宋" w:hAnsi="仿宋" w:eastAsia="仿宋" w:cs="仿宋"/>
          <w:b w:val="0"/>
          <w:bCs w:val="0"/>
          <w:color w:val="auto"/>
          <w:sz w:val="24"/>
          <w:szCs w:val="24"/>
          <w:lang w:val="en-US" w:eastAsia="zh-CN" w:bidi="zh-CN"/>
        </w:rPr>
        <w:t>维修工作物业单位确实无法完成的，根据相关制度寻找</w:t>
      </w:r>
      <w:r>
        <w:rPr>
          <w:rFonts w:hint="eastAsia" w:ascii="仿宋" w:hAnsi="仿宋" w:eastAsia="仿宋" w:cs="仿宋"/>
          <w:b w:val="0"/>
          <w:bCs w:val="0"/>
          <w:color w:val="auto"/>
          <w:sz w:val="24"/>
          <w:szCs w:val="24"/>
          <w:lang w:val="zh-CN" w:eastAsia="zh-CN" w:bidi="zh-CN"/>
        </w:rPr>
        <w:t>第三方</w:t>
      </w:r>
      <w:r>
        <w:rPr>
          <w:rFonts w:hint="eastAsia" w:ascii="仿宋" w:hAnsi="仿宋" w:eastAsia="仿宋" w:cs="仿宋"/>
          <w:b w:val="0"/>
          <w:bCs w:val="0"/>
          <w:color w:val="auto"/>
          <w:sz w:val="24"/>
          <w:szCs w:val="24"/>
          <w:lang w:val="en-US" w:eastAsia="zh-CN" w:bidi="zh-CN"/>
        </w:rPr>
        <w:t>专业维修单位</w:t>
      </w:r>
      <w:r>
        <w:rPr>
          <w:rFonts w:hint="eastAsia" w:ascii="仿宋" w:hAnsi="仿宋" w:eastAsia="仿宋" w:cs="仿宋"/>
          <w:b w:val="0"/>
          <w:bCs w:val="0"/>
          <w:color w:val="auto"/>
          <w:sz w:val="24"/>
          <w:szCs w:val="24"/>
          <w:lang w:val="zh-CN" w:eastAsia="zh-CN" w:bidi="zh-CN"/>
        </w:rPr>
        <w:t>维修。</w:t>
      </w:r>
    </w:p>
    <w:p>
      <w:pPr>
        <w:numPr>
          <w:ilvl w:val="0"/>
          <w:numId w:val="0"/>
        </w:numPr>
        <w:ind w:leftChars="0"/>
        <w:rPr>
          <w:rFonts w:hint="eastAsia" w:ascii="仿宋" w:hAnsi="仿宋" w:eastAsia="仿宋" w:cs="仿宋"/>
          <w:b w:val="0"/>
          <w:bCs w:val="0"/>
          <w:color w:val="auto"/>
          <w:sz w:val="24"/>
          <w:szCs w:val="24"/>
          <w:lang w:val="zh-CN" w:eastAsia="zh-CN" w:bidi="zh-CN"/>
        </w:rPr>
      </w:pPr>
      <w:r>
        <w:rPr>
          <w:rFonts w:hint="eastAsia" w:ascii="仿宋" w:hAnsi="仿宋" w:eastAsia="仿宋" w:cs="仿宋"/>
          <w:b w:val="0"/>
          <w:bCs w:val="0"/>
          <w:color w:val="auto"/>
          <w:sz w:val="24"/>
          <w:szCs w:val="24"/>
          <w:lang w:val="zh-CN" w:eastAsia="zh-CN" w:bidi="zh-CN"/>
        </w:rPr>
        <w:t>对园区消防设施等其它设施进行检查，如园区设施发生异常情况无法处理时，及时上报，提出解决方案。为企业提供维修服务</w:t>
      </w:r>
      <w:r>
        <w:rPr>
          <w:rFonts w:hint="eastAsia" w:ascii="仿宋" w:hAnsi="仿宋" w:eastAsia="仿宋" w:cs="仿宋"/>
          <w:b w:val="0"/>
          <w:bCs w:val="0"/>
          <w:color w:val="auto"/>
          <w:sz w:val="24"/>
          <w:szCs w:val="24"/>
          <w:lang w:val="en-US" w:eastAsia="zh-CN" w:bidi="zh-CN"/>
        </w:rPr>
        <w:t>不得高于</w:t>
      </w:r>
      <w:r>
        <w:rPr>
          <w:rFonts w:hint="eastAsia" w:ascii="仿宋" w:hAnsi="仿宋" w:eastAsia="仿宋" w:cs="仿宋"/>
          <w:b w:val="0"/>
          <w:bCs w:val="0"/>
          <w:color w:val="auto"/>
          <w:sz w:val="24"/>
          <w:szCs w:val="24"/>
          <w:lang w:val="zh-CN" w:eastAsia="zh-CN" w:bidi="zh-CN"/>
        </w:rPr>
        <w:t>市场</w:t>
      </w:r>
      <w:r>
        <w:rPr>
          <w:rFonts w:hint="eastAsia" w:ascii="仿宋" w:hAnsi="仿宋" w:eastAsia="仿宋" w:cs="仿宋"/>
          <w:b w:val="0"/>
          <w:bCs w:val="0"/>
          <w:color w:val="auto"/>
          <w:sz w:val="24"/>
          <w:szCs w:val="24"/>
          <w:lang w:val="en-US" w:eastAsia="zh-CN" w:bidi="zh-CN"/>
        </w:rPr>
        <w:t>价格</w:t>
      </w:r>
      <w:r>
        <w:rPr>
          <w:rFonts w:hint="eastAsia" w:ascii="仿宋" w:hAnsi="仿宋" w:eastAsia="仿宋" w:cs="仿宋"/>
          <w:b w:val="0"/>
          <w:bCs w:val="0"/>
          <w:color w:val="auto"/>
          <w:sz w:val="24"/>
          <w:szCs w:val="24"/>
          <w:lang w:val="zh-CN" w:eastAsia="zh-CN" w:bidi="zh-CN"/>
        </w:rPr>
        <w:t>。</w:t>
      </w:r>
    </w:p>
    <w:p>
      <w:pPr>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5、</w:t>
      </w:r>
      <w:r>
        <w:rPr>
          <w:rFonts w:hint="eastAsia" w:ascii="仿宋" w:hAnsi="仿宋" w:eastAsia="仿宋" w:cs="仿宋"/>
          <w:sz w:val="24"/>
          <w:szCs w:val="24"/>
          <w:lang w:val="zh-CN" w:eastAsia="zh-CN" w:bidi="zh-CN"/>
        </w:rPr>
        <w:t>会议服务范围和标准</w:t>
      </w:r>
    </w:p>
    <w:p>
      <w:pPr>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会议前检查室内门、窗、地面(地毯、石材)保持干净无尘土、无污物。帘下无垃圾，窗帘或百叶窗干净无浮土。地脚线干净，桌面干净无水印、手印，金属饰条光亮。座椅面干净，外观干净无脏印，转椅腿无尘土，会议板干净、无笔印、无浮土，笔槽内干净。</w:t>
      </w:r>
    </w:p>
    <w:p>
      <w:pPr>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设备( 电话、电视、投影仪、可视会议设备)上无尘土。</w:t>
      </w:r>
    </w:p>
    <w:p>
      <w:pPr>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植物无枯黄，空气清新;植物外型好、盆内无垃圾、叶片干净。</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提供会议茶水服务，服务人员形象气质优良，</w:t>
      </w:r>
      <w:r>
        <w:rPr>
          <w:rFonts w:hint="eastAsia" w:ascii="仿宋" w:hAnsi="仿宋" w:eastAsia="仿宋" w:cs="仿宋"/>
          <w:sz w:val="24"/>
          <w:szCs w:val="24"/>
          <w:lang w:val="zh-CN" w:eastAsia="zh-CN" w:bidi="zh-CN"/>
        </w:rPr>
        <w:t>托盘无水渍，</w:t>
      </w:r>
      <w:r>
        <w:rPr>
          <w:rFonts w:hint="eastAsia" w:ascii="仿宋" w:hAnsi="仿宋" w:eastAsia="仿宋" w:cs="仿宋"/>
          <w:sz w:val="24"/>
          <w:szCs w:val="24"/>
          <w:lang w:val="en-US" w:eastAsia="zh-CN" w:bidi="zh-CN"/>
        </w:rPr>
        <w:t>随时待命。</w:t>
      </w:r>
    </w:p>
    <w:p>
      <w:pPr>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配合</w:t>
      </w:r>
      <w:r>
        <w:rPr>
          <w:rFonts w:hint="eastAsia" w:ascii="仿宋" w:hAnsi="仿宋" w:eastAsia="仿宋" w:cs="仿宋"/>
          <w:sz w:val="24"/>
          <w:szCs w:val="24"/>
          <w:lang w:val="en-US" w:eastAsia="zh-CN" w:bidi="zh-CN"/>
        </w:rPr>
        <w:t>会议服务部门</w:t>
      </w:r>
      <w:r>
        <w:rPr>
          <w:rFonts w:hint="eastAsia" w:ascii="仿宋" w:hAnsi="仿宋" w:eastAsia="仿宋" w:cs="仿宋"/>
          <w:sz w:val="24"/>
          <w:szCs w:val="24"/>
          <w:lang w:val="zh-CN" w:eastAsia="zh-CN" w:bidi="zh-CN"/>
        </w:rPr>
        <w:t>从库房领取办公用品，</w:t>
      </w:r>
      <w:r>
        <w:rPr>
          <w:rFonts w:hint="eastAsia" w:ascii="仿宋" w:hAnsi="仿宋" w:eastAsia="仿宋" w:cs="仿宋"/>
          <w:sz w:val="24"/>
          <w:szCs w:val="24"/>
          <w:lang w:val="en-US" w:eastAsia="zh-CN" w:bidi="zh-CN"/>
        </w:rPr>
        <w:t>台签摆放等会议准备工作，消耗类</w:t>
      </w:r>
      <w:r>
        <w:rPr>
          <w:rFonts w:hint="eastAsia" w:ascii="仿宋" w:hAnsi="仿宋" w:eastAsia="仿宋" w:cs="仿宋"/>
          <w:sz w:val="24"/>
          <w:szCs w:val="24"/>
          <w:lang w:val="zh-CN" w:eastAsia="zh-CN" w:bidi="zh-CN"/>
        </w:rPr>
        <w:t>物品补充及其它服务要求。</w:t>
      </w:r>
    </w:p>
    <w:p>
      <w:pPr>
        <w:pStyle w:val="19"/>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zh-CN"/>
        </w:rPr>
        <w:t>绿化及环卫部分：项目负责人1人，现场管理人员1人，资料员1人。</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6、环卫：环卫服务人员不少于20人，机动车道路、非机动车道路及人行道路地面每天进行普扫、冲洗，公用设施保持内外内外干净整洁，垃圾箱日产日清，始终保持环境卫生良好、设施表面洁净，保证各种重要活动及节假日环境卫生保障，人工保洁按照11000㎡配备1名保洁员，重点区域不少于4人巡回，达到二级标准养护，重点区域一级养护标准，具体工作标准参照经济开发区环卫考核管理办法实施。</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7、绿化：绿化服务人员不少于10人，按甲方要求进行去除枯死植株、植物补植、树木扶正、病虫害防治和监测、施肥、浇灌、排水、中耕除草、花坛花景草坪补植、地被覆盖、树木涂白、植物（树木、绿篱、草坪等）修剪、植物防护（防寒、旱、台、涝、高温等）绿地内垃圾收集、清运等工作，对破坏绿地行为及时进行制止、报告，并协助相关部门进行取证和查处，保证各种重大活动及节假日环境美化；绿化养护达到二级园林绿化养护标准，重点区域一级养护标准，具体工作标准按照经济开发区绿地养护考核管理办法实施。</w:t>
      </w:r>
    </w:p>
    <w:p>
      <w:pPr>
        <w:rPr>
          <w:rFonts w:hint="eastAsia" w:ascii="仿宋" w:hAnsi="仿宋" w:eastAsia="仿宋" w:cs="仿宋"/>
          <w:color w:val="auto"/>
          <w:sz w:val="24"/>
          <w:szCs w:val="24"/>
          <w:lang w:val="en-US" w:eastAsia="zh-CN" w:bidi="zh-CN"/>
        </w:rPr>
      </w:pPr>
      <w:r>
        <w:rPr>
          <w:rFonts w:hint="eastAsia" w:ascii="仿宋" w:hAnsi="仿宋" w:eastAsia="仿宋" w:cs="仿宋"/>
          <w:sz w:val="24"/>
          <w:szCs w:val="24"/>
          <w:lang w:val="en-US" w:eastAsia="zh-CN" w:bidi="zh-CN"/>
        </w:rPr>
        <w:t>8、</w:t>
      </w:r>
      <w:r>
        <w:rPr>
          <w:rFonts w:hint="eastAsia" w:ascii="仿宋" w:hAnsi="仿宋" w:eastAsia="仿宋" w:cs="仿宋"/>
          <w:sz w:val="24"/>
          <w:szCs w:val="24"/>
          <w:lang w:val="zh-CN" w:eastAsia="zh-CN" w:bidi="zh-CN"/>
        </w:rPr>
        <w:t>按甲方要求完成</w:t>
      </w:r>
      <w:r>
        <w:rPr>
          <w:rFonts w:hint="eastAsia" w:ascii="仿宋" w:hAnsi="仿宋" w:eastAsia="仿宋" w:cs="仿宋"/>
          <w:sz w:val="24"/>
          <w:szCs w:val="24"/>
          <w:lang w:val="en-US" w:eastAsia="zh-CN" w:bidi="zh-CN"/>
        </w:rPr>
        <w:t>疫情防控及</w:t>
      </w:r>
      <w:r>
        <w:rPr>
          <w:rFonts w:hint="eastAsia" w:ascii="仿宋" w:hAnsi="仿宋" w:eastAsia="仿宋" w:cs="仿宋"/>
          <w:sz w:val="24"/>
          <w:szCs w:val="24"/>
          <w:lang w:val="zh-CN" w:eastAsia="zh-CN" w:bidi="zh-CN"/>
        </w:rPr>
        <w:t>其他相关工作，</w:t>
      </w:r>
      <w:r>
        <w:rPr>
          <w:rFonts w:hint="eastAsia" w:ascii="仿宋" w:hAnsi="仿宋" w:eastAsia="仿宋" w:cs="仿宋"/>
          <w:sz w:val="24"/>
          <w:szCs w:val="24"/>
          <w:lang w:val="en-US" w:eastAsia="zh-CN" w:bidi="zh-CN"/>
        </w:rPr>
        <w:t>做好外来人员登记摸排，资料台账详实完善。</w:t>
      </w:r>
      <w:r>
        <w:rPr>
          <w:rFonts w:hint="eastAsia" w:ascii="仿宋" w:hAnsi="仿宋" w:eastAsia="仿宋" w:cs="仿宋"/>
          <w:color w:val="auto"/>
          <w:sz w:val="24"/>
          <w:szCs w:val="24"/>
          <w:lang w:val="en-US" w:eastAsia="zh-CN" w:bidi="zh-CN"/>
        </w:rPr>
        <w:t>水暖管维修工5名，做好园区管道维修工作。</w:t>
      </w:r>
    </w:p>
    <w:p>
      <w:pP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9、合同期内新增建筑内新增派保安、保洁人员，不得另行收取费用。</w:t>
      </w:r>
    </w:p>
    <w:p>
      <w:pPr>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10、供应商投入本项目的设备：</w:t>
      </w:r>
    </w:p>
    <w:p>
      <w:pP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提供自有洒水车、干扫车、洗扫车、抑尘车，每种车型最少两台；（提供租赁洒水车、干扫车、洗扫车、抑尘车，每种车型最少两台。）</w:t>
      </w:r>
    </w:p>
    <w:p>
      <w:pPr>
        <w:pStyle w:val="2"/>
        <w:rPr>
          <w:rFonts w:hint="eastAsia"/>
          <w:color w:val="auto"/>
          <w:lang w:val="en-US" w:eastAsia="zh-CN"/>
        </w:rPr>
      </w:pPr>
      <w:r>
        <w:rPr>
          <w:rFonts w:hint="eastAsia" w:ascii="仿宋" w:hAnsi="仿宋" w:eastAsia="仿宋" w:cs="仿宋"/>
          <w:color w:val="auto"/>
          <w:sz w:val="24"/>
          <w:szCs w:val="24"/>
          <w:lang w:val="en-US" w:eastAsia="zh-CN" w:bidi="zh-CN"/>
        </w:rPr>
        <w:t>备注：供应商自有车辆需提供车辆购置发票、车辆行驶证及车辆的清晰图片；租赁车辆需提供车辆租赁合同、车辆行驶证及车辆的清晰图片。（拟入投标文件中）</w:t>
      </w:r>
    </w:p>
    <w:p>
      <w:pP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11、资金支付标准：《喀什经济开发区绿地养护考核管理办法（试行）》和《喀什经济开发区环卫考核管理办法（试行）》对管护服务企业每月进行现场考核，按每月考核结果支付管护费用。</w:t>
      </w:r>
    </w:p>
    <w:p>
      <w:pPr>
        <w:rPr>
          <w:rFonts w:hint="eastAsia" w:ascii="仿宋" w:hAnsi="仿宋" w:eastAsia="仿宋" w:cs="仿宋"/>
          <w:b/>
          <w:bCs w:val="0"/>
          <w:color w:val="auto"/>
          <w:spacing w:val="3"/>
          <w:sz w:val="24"/>
          <w:szCs w:val="24"/>
          <w:lang w:val="en-US" w:eastAsia="zh-CN"/>
        </w:rPr>
      </w:pPr>
      <w:r>
        <w:rPr>
          <w:rFonts w:hint="eastAsia" w:ascii="仿宋" w:hAnsi="仿宋" w:eastAsia="仿宋" w:cs="仿宋"/>
          <w:sz w:val="24"/>
          <w:szCs w:val="24"/>
          <w:lang w:val="en-US" w:eastAsia="zh-CN" w:bidi="zh-CN"/>
        </w:rPr>
        <w:t>12、资金支付标准：服务完成并验收合格后进行付款。</w:t>
      </w: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spacing w:before="134" w:line="343" w:lineRule="auto"/>
        <w:ind w:left="134" w:right="201" w:firstLine="480"/>
        <w:jc w:val="center"/>
        <w:rPr>
          <w:rFonts w:hint="eastAsia" w:ascii="仿宋_GB2312" w:hAnsi="仿宋_GB2312" w:eastAsia="仿宋_GB2312" w:cs="仿宋_GB2312"/>
          <w:b/>
          <w:bCs w:val="0"/>
          <w:color w:val="auto"/>
          <w:spacing w:val="3"/>
          <w:sz w:val="28"/>
          <w:szCs w:val="24"/>
          <w:lang w:val="en-US" w:eastAsia="zh-CN"/>
        </w:rPr>
      </w:pPr>
    </w:p>
    <w:p>
      <w:pPr>
        <w:rPr>
          <w:rFonts w:hint="eastAsia" w:ascii="仿宋" w:hAnsi="仿宋" w:eastAsia="仿宋" w:cs="仿宋"/>
          <w:b/>
          <w:bCs w:val="0"/>
          <w:color w:val="auto"/>
          <w:spacing w:val="3"/>
          <w:sz w:val="24"/>
          <w:szCs w:val="24"/>
          <w:lang w:val="en-US" w:eastAsia="zh-CN"/>
        </w:rPr>
      </w:pPr>
      <w:r>
        <w:rPr>
          <w:rFonts w:hint="eastAsia" w:ascii="仿宋" w:hAnsi="仿宋" w:eastAsia="仿宋" w:cs="仿宋"/>
          <w:b/>
          <w:bCs w:val="0"/>
          <w:color w:val="auto"/>
          <w:spacing w:val="3"/>
          <w:sz w:val="24"/>
          <w:szCs w:val="24"/>
          <w:lang w:val="en-US" w:eastAsia="zh-CN"/>
        </w:rPr>
        <w:br w:type="page"/>
      </w:r>
    </w:p>
    <w:p>
      <w:pPr>
        <w:spacing w:before="134" w:line="343" w:lineRule="auto"/>
        <w:ind w:right="201"/>
        <w:jc w:val="center"/>
        <w:rPr>
          <w:rFonts w:hint="eastAsia" w:ascii="仿宋" w:hAnsi="仿宋" w:eastAsia="仿宋" w:cs="仿宋"/>
          <w:sz w:val="24"/>
          <w:szCs w:val="24"/>
          <w:lang w:val="en-US" w:eastAsia="zh-CN"/>
        </w:rPr>
      </w:pPr>
      <w:r>
        <w:rPr>
          <w:rFonts w:hint="eastAsia" w:ascii="仿宋" w:hAnsi="仿宋" w:eastAsia="仿宋" w:cs="仿宋"/>
          <w:b/>
          <w:bCs w:val="0"/>
          <w:color w:val="auto"/>
          <w:spacing w:val="3"/>
          <w:sz w:val="24"/>
          <w:szCs w:val="24"/>
          <w:lang w:val="en-US" w:eastAsia="zh-CN"/>
        </w:rPr>
        <w:t>服务标准</w:t>
      </w:r>
    </w:p>
    <w:p>
      <w:pPr>
        <w:keepNext w:val="0"/>
        <w:keepLines w:val="0"/>
        <w:pageBreakBefore w:val="0"/>
        <w:widowControl w:val="0"/>
        <w:kinsoku/>
        <w:wordWrap/>
        <w:overflowPunct/>
        <w:topLinePunct w:val="0"/>
        <w:autoSpaceDE w:val="0"/>
        <w:autoSpaceDN w:val="0"/>
        <w:bidi w:val="0"/>
        <w:adjustRightInd/>
        <w:snapToGrid/>
        <w:spacing w:before="0" w:line="360" w:lineRule="auto"/>
        <w:ind w:left="136" w:right="198" w:firstLine="482"/>
        <w:jc w:val="left"/>
        <w:textAlignment w:val="auto"/>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sz w:val="24"/>
          <w:szCs w:val="24"/>
          <w:lang w:val="en-US" w:eastAsia="zh-CN"/>
        </w:rPr>
        <w:t>道路保洁：</w:t>
      </w:r>
    </w:p>
    <w:p>
      <w:pPr>
        <w:keepNext w:val="0"/>
        <w:keepLines w:val="0"/>
        <w:pageBreakBefore w:val="0"/>
        <w:widowControl w:val="0"/>
        <w:kinsoku/>
        <w:wordWrap/>
        <w:overflowPunct/>
        <w:topLinePunct w:val="0"/>
        <w:autoSpaceDE w:val="0"/>
        <w:autoSpaceDN w:val="0"/>
        <w:bidi w:val="0"/>
        <w:adjustRightInd/>
        <w:snapToGrid/>
        <w:spacing w:before="0" w:line="360" w:lineRule="auto"/>
        <w:ind w:left="136" w:right="198" w:firstLine="482"/>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一级道路保洁标准：保洁员人均普扫面积不超过3000㎡；9时至20时全天11小时保洁；夏季早晨、中午2次洗扫；冬季早晨、中午2次吸尘；非机动车道每日2次普扫；温度超过30℃每日2次洒水降尘，高压冲洗1次；主干道和人行通道无垃圾，果皮箱每日清理擦洗干净。路面见本色，黄白标识线清晰，全路段人员巡回保洁，确保果皮、纸屑、烟蒂（塑料片等漂浮物）1000㎡不超过4处。</w:t>
      </w:r>
    </w:p>
    <w:p>
      <w:pPr>
        <w:keepNext w:val="0"/>
        <w:keepLines w:val="0"/>
        <w:pageBreakBefore w:val="0"/>
        <w:widowControl w:val="0"/>
        <w:kinsoku/>
        <w:wordWrap/>
        <w:overflowPunct/>
        <w:topLinePunct w:val="0"/>
        <w:autoSpaceDE w:val="0"/>
        <w:autoSpaceDN w:val="0"/>
        <w:bidi w:val="0"/>
        <w:adjustRightInd/>
        <w:snapToGrid/>
        <w:spacing w:before="0" w:line="360" w:lineRule="auto"/>
        <w:ind w:left="134" w:right="201" w:firstLine="48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二级道路保洁标准：每周冲洗不少于3次，温度超过30℃每日洒水不少于2次，路面基本见本色，黄白标识线清晰，每周集中环卫人员捡拾漂浮物、塑料袋等垃圾，果皮箱及时清理干净；确保果皮、纸屑（塑料片等漂浮物）1000㎡不超过6处，烟蒂不多于8处。</w:t>
      </w:r>
    </w:p>
    <w:p>
      <w:pPr>
        <w:keepNext w:val="0"/>
        <w:keepLines w:val="0"/>
        <w:pageBreakBefore w:val="0"/>
        <w:widowControl w:val="0"/>
        <w:kinsoku/>
        <w:wordWrap/>
        <w:overflowPunct/>
        <w:topLinePunct w:val="0"/>
        <w:autoSpaceDE w:val="0"/>
        <w:autoSpaceDN w:val="0"/>
        <w:bidi w:val="0"/>
        <w:adjustRightInd/>
        <w:snapToGrid/>
        <w:spacing w:before="0" w:line="360" w:lineRule="auto"/>
        <w:ind w:left="136" w:right="198" w:firstLine="482"/>
        <w:jc w:val="left"/>
        <w:textAlignment w:val="auto"/>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sz w:val="24"/>
          <w:szCs w:val="24"/>
          <w:lang w:val="en-US" w:eastAsia="zh-CN"/>
        </w:rPr>
        <w:t>园林养护：</w:t>
      </w:r>
    </w:p>
    <w:p>
      <w:pPr>
        <w:keepNext w:val="0"/>
        <w:keepLines w:val="0"/>
        <w:pageBreakBefore w:val="0"/>
        <w:widowControl w:val="0"/>
        <w:kinsoku/>
        <w:wordWrap/>
        <w:overflowPunct/>
        <w:topLinePunct w:val="0"/>
        <w:autoSpaceDE w:val="0"/>
        <w:autoSpaceDN w:val="0"/>
        <w:bidi w:val="0"/>
        <w:adjustRightInd/>
        <w:snapToGrid/>
        <w:spacing w:before="0" w:line="360" w:lineRule="auto"/>
        <w:ind w:left="136" w:right="198" w:firstLine="482"/>
        <w:jc w:val="left"/>
        <w:textAlignment w:val="auto"/>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sz w:val="24"/>
          <w:szCs w:val="24"/>
          <w:lang w:val="en-US" w:eastAsia="zh-CN"/>
        </w:rPr>
        <w:t>一级养护标准：</w:t>
      </w:r>
    </w:p>
    <w:p>
      <w:pPr>
        <w:keepNext w:val="0"/>
        <w:keepLines w:val="0"/>
        <w:pageBreakBefore w:val="0"/>
        <w:widowControl w:val="0"/>
        <w:kinsoku/>
        <w:wordWrap/>
        <w:overflowPunct/>
        <w:topLinePunct w:val="0"/>
        <w:autoSpaceDE w:val="0"/>
        <w:autoSpaceDN w:val="0"/>
        <w:bidi w:val="0"/>
        <w:adjustRightInd/>
        <w:snapToGrid/>
        <w:spacing w:before="0" w:line="360" w:lineRule="auto"/>
        <w:ind w:right="198" w:firstLine="494" w:firstLineChars="2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bCs w:val="0"/>
          <w:spacing w:val="3"/>
          <w:sz w:val="24"/>
          <w:szCs w:val="24"/>
          <w:lang w:val="en-US" w:eastAsia="zh-CN"/>
        </w:rPr>
        <w:t>1、</w:t>
      </w:r>
      <w:r>
        <w:rPr>
          <w:rFonts w:hint="eastAsia" w:ascii="仿宋" w:hAnsi="仿宋" w:eastAsia="仿宋" w:cs="仿宋"/>
          <w:b w:val="0"/>
          <w:bCs/>
          <w:spacing w:val="3"/>
          <w:sz w:val="24"/>
          <w:szCs w:val="24"/>
          <w:lang w:val="en-US" w:eastAsia="zh-CN"/>
        </w:rPr>
        <w:t>绿化充分，植物配置合理，达到黄土不露天。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firstLine="492" w:firstLineChars="2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2、园林植物达到：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（1）生长势：好。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（2）叶子健壮：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firstLine="246" w:firstLineChars="1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①叶色正常，叶大而肥厚、在正常的条件下不黄叶，不焦叶、不卷叶、不落叶，叶上无虫尿虫网灰尘；</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firstLine="246" w:firstLineChars="1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②被啃咬的叶片最严重的每株在5％以下(包括5％，以下同)。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（3）枝、干健壮：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firstLine="246" w:firstLineChars="1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①无明显枯枝、死权、枝条粗壮，过冬前新梢木质化；</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firstLine="246" w:firstLineChars="1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②无蛀干害虫的活卵活虫；</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firstLine="246" w:firstLineChars="1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③介壳虫最严重处主枝干上100平方厘米1头活虫以下(包括1头，以下同)，较细的枝条每尺长的一段上在5头活虫以下(包括5头，以下同)；株数都在2％以下(包括2％，以下同)；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firstLine="246" w:firstLineChars="10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④树冠完整：分支点合适，主侧枝分布均称和数量适宜、内膛不乱、通风透光。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（4）措施好：按一级技术措施要求认真进行养护。</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color w:val="auto"/>
          <w:spacing w:val="3"/>
          <w:sz w:val="24"/>
          <w:szCs w:val="24"/>
          <w:lang w:val="en-US" w:eastAsia="zh-CN"/>
        </w:rPr>
        <w:t>（5）行道</w:t>
      </w:r>
      <w:r>
        <w:rPr>
          <w:rFonts w:hint="eastAsia" w:ascii="仿宋" w:hAnsi="仿宋" w:eastAsia="仿宋" w:cs="仿宋"/>
          <w:b w:val="0"/>
          <w:bCs/>
          <w:spacing w:val="3"/>
          <w:sz w:val="24"/>
          <w:szCs w:val="24"/>
          <w:lang w:val="en-US" w:eastAsia="zh-CN"/>
        </w:rPr>
        <w:t>树基本无缺株。</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198" w:rightChars="0"/>
        <w:jc w:val="left"/>
        <w:textAlignment w:val="auto"/>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（6）草坪覆盖率应基本达到100％；草坪内杂草控制在10％以内；生长茂盛颜色正常，不枯黄；每年修剪暖地型6次以上，冷地型15次以上；无病虫害。</w:t>
      </w:r>
    </w:p>
    <w:p>
      <w:pPr>
        <w:numPr>
          <w:ilvl w:val="0"/>
          <w:numId w:val="0"/>
        </w:numPr>
        <w:spacing w:before="134" w:line="343" w:lineRule="auto"/>
        <w:ind w:right="201" w:rightChars="0"/>
        <w:jc w:val="left"/>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3、行道树和绿地内无死树，树木修剪合理，树形美观，能及时很好地解决树木与标识牌、电线、建筑物、交通等之间的矛盾。</w:t>
      </w:r>
    </w:p>
    <w:p>
      <w:pPr>
        <w:numPr>
          <w:ilvl w:val="0"/>
          <w:numId w:val="0"/>
        </w:numPr>
        <w:spacing w:before="134" w:line="343" w:lineRule="auto"/>
        <w:ind w:right="201" w:rightChars="0"/>
        <w:jc w:val="left"/>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4、绿化生产垃圾(如：树枝、树叶、草沫等)重点地区路段能做到随产随清，其它地区和路段做到日产日清；绿地整洁，无砖石瓦块、筐和塑料袋等废弃物，并做到经常保洁。 </w:t>
      </w:r>
    </w:p>
    <w:p>
      <w:pPr>
        <w:numPr>
          <w:ilvl w:val="0"/>
          <w:numId w:val="0"/>
        </w:numPr>
        <w:spacing w:before="134" w:line="343" w:lineRule="auto"/>
        <w:ind w:right="201" w:rightChars="0"/>
        <w:jc w:val="left"/>
        <w:rPr>
          <w:rFonts w:hint="eastAsia" w:ascii="仿宋" w:hAnsi="仿宋" w:eastAsia="仿宋" w:cs="仿宋"/>
          <w:b/>
          <w:bCs w:val="0"/>
          <w:spacing w:val="3"/>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 xml:space="preserve"> </w:t>
      </w:r>
      <w:r>
        <w:rPr>
          <w:rFonts w:hint="eastAsia" w:ascii="仿宋" w:hAnsi="仿宋" w:eastAsia="仿宋" w:cs="仿宋"/>
          <w:b/>
          <w:bCs w:val="0"/>
          <w:spacing w:val="3"/>
          <w:sz w:val="24"/>
          <w:szCs w:val="24"/>
          <w:lang w:val="en-US" w:eastAsia="zh-CN"/>
        </w:rPr>
        <w:t>二级养护标准：</w:t>
      </w:r>
    </w:p>
    <w:p>
      <w:pPr>
        <w:numPr>
          <w:ilvl w:val="0"/>
          <w:numId w:val="29"/>
        </w:numPr>
        <w:ind w:firstLine="492" w:firstLineChars="2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绿化比较充分，植物配置基本合理，基本达到黄土不露天。</w:t>
      </w:r>
    </w:p>
    <w:p>
      <w:pPr>
        <w:numPr>
          <w:ilvl w:val="0"/>
          <w:numId w:val="29"/>
        </w:numPr>
        <w:ind w:left="0" w:leftChars="0" w:right="0" w:rightChars="0" w:firstLine="492" w:firstLineChars="2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园林植物达到：</w:t>
      </w:r>
    </w:p>
    <w:p>
      <w:pPr>
        <w:numPr>
          <w:ilvl w:val="0"/>
          <w:numId w:val="0"/>
        </w:numPr>
        <w:ind w:left="143" w:leftChars="0" w:right="0" w:rightChars="0" w:firstLine="246" w:firstLineChars="1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（1）生长势：正常。生长达到该树种该规格的平均生长量。</w:t>
      </w:r>
    </w:p>
    <w:p>
      <w:pPr>
        <w:numPr>
          <w:ilvl w:val="0"/>
          <w:numId w:val="0"/>
        </w:numPr>
        <w:ind w:left="143" w:leftChars="0" w:right="0" w:rightChars="0" w:firstLine="246" w:firstLineChars="1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（2）叶子正常：</w:t>
      </w:r>
    </w:p>
    <w:p>
      <w:pPr>
        <w:numPr>
          <w:ilvl w:val="0"/>
          <w:numId w:val="0"/>
        </w:numPr>
        <w:ind w:left="563" w:leftChars="0" w:right="0" w:rightChars="0" w:firstLine="492" w:firstLineChars="2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①叶色、大小、薄厚正常；</w:t>
      </w:r>
    </w:p>
    <w:p>
      <w:pPr>
        <w:numPr>
          <w:ilvl w:val="0"/>
          <w:numId w:val="0"/>
        </w:numPr>
        <w:ind w:left="563" w:leftChars="0" w:right="0" w:rightChars="0" w:firstLine="492" w:firstLineChars="2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②较严重黄叶、焦叶、卷叶、带虫尿虫网灰尘的株数在2％以下；</w:t>
      </w:r>
    </w:p>
    <w:p>
      <w:pPr>
        <w:numPr>
          <w:ilvl w:val="0"/>
          <w:numId w:val="0"/>
        </w:numPr>
        <w:ind w:left="563" w:leftChars="0" w:right="0" w:rightChars="0" w:firstLine="492" w:firstLineChars="2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③被啃咬的叶片最严重的每株在10％以下。</w:t>
      </w:r>
    </w:p>
    <w:p>
      <w:pPr>
        <w:numPr>
          <w:ilvl w:val="0"/>
          <w:numId w:val="0"/>
        </w:numPr>
        <w:ind w:left="143" w:leftChars="0" w:right="0" w:rightChars="0" w:firstLine="246" w:firstLineChars="1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（3）枝、干正常： </w:t>
      </w:r>
    </w:p>
    <w:p>
      <w:pPr>
        <w:numPr>
          <w:ilvl w:val="0"/>
          <w:numId w:val="0"/>
        </w:numPr>
        <w:ind w:right="0" w:rightChars="0" w:firstLine="984" w:firstLineChars="4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 ①无明显枯枝、死权；</w:t>
      </w:r>
    </w:p>
    <w:p>
      <w:pPr>
        <w:numPr>
          <w:ilvl w:val="0"/>
          <w:numId w:val="0"/>
        </w:numPr>
        <w:ind w:left="563" w:leftChars="0" w:right="0" w:rightChars="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    ②有蛀干害虫的株数在2％以下(包括2％，以下同)；</w:t>
      </w:r>
    </w:p>
    <w:p>
      <w:pPr>
        <w:numPr>
          <w:ilvl w:val="0"/>
          <w:numId w:val="0"/>
        </w:numPr>
        <w:ind w:left="1451" w:leftChars="436" w:right="0" w:rightChars="0" w:hanging="492" w:hangingChars="2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 ③介壳虫最严重处主枝主干100平方厘米2头活虫以下，较细枝条每尺长一段上在10头活虫以下，株数都在4％以下；</w:t>
      </w:r>
    </w:p>
    <w:p>
      <w:pPr>
        <w:numPr>
          <w:ilvl w:val="0"/>
          <w:numId w:val="0"/>
        </w:numPr>
        <w:ind w:left="563" w:leftChars="0" w:right="0" w:rightChars="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    ④树冠基本完整：主侧枝分布均称，树冠通风透光。</w:t>
      </w:r>
    </w:p>
    <w:p>
      <w:pPr>
        <w:numPr>
          <w:ilvl w:val="0"/>
          <w:numId w:val="0"/>
        </w:numPr>
        <w:ind w:left="143" w:leftChars="0" w:right="0" w:rightChars="0" w:firstLine="246" w:firstLineChars="1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（4）措施：按二级技术措施要求认真进行养护。</w:t>
      </w:r>
    </w:p>
    <w:p>
      <w:pPr>
        <w:numPr>
          <w:ilvl w:val="0"/>
          <w:numId w:val="0"/>
        </w:numPr>
        <w:ind w:left="143" w:leftChars="0" w:right="0" w:rightChars="0" w:firstLine="246" w:firstLineChars="1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（5）行道树缺株在l％以下。</w:t>
      </w:r>
    </w:p>
    <w:p>
      <w:pPr>
        <w:numPr>
          <w:ilvl w:val="0"/>
          <w:numId w:val="0"/>
        </w:numPr>
        <w:ind w:left="143" w:leftChars="0" w:right="0" w:rightChars="0" w:firstLine="246" w:firstLineChars="1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（6）草坪覆盖率达95％以上；草坪内杂草控制在20％以内；生长和颜色正常，不枯黄；每年修剪暖地型二次以上，冷地型10次以上；基本无病虫害。 </w:t>
      </w:r>
    </w:p>
    <w:p>
      <w:pPr>
        <w:numPr>
          <w:ilvl w:val="0"/>
          <w:numId w:val="0"/>
        </w:numPr>
        <w:ind w:right="0" w:rightChars="0" w:firstLine="738" w:firstLineChars="30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3、行道树和绿地内无死树，树木修剪基本合理，树形美观，能较好地解决树木与电线、建筑物、交通等之间的矛盾。</w:t>
      </w:r>
    </w:p>
    <w:p>
      <w:pPr>
        <w:numPr>
          <w:ilvl w:val="0"/>
          <w:numId w:val="0"/>
        </w:numPr>
        <w:ind w:left="563" w:leftChars="0" w:right="0" w:rightChars="0"/>
        <w:rPr>
          <w:rFonts w:hint="eastAsia" w:ascii="仿宋" w:hAnsi="仿宋" w:eastAsia="仿宋" w:cs="仿宋"/>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 4、绿化生产垃圾要做到日产日清，绿地内无明显的废弃物，能坚持在重大节日前进行突击清理。</w:t>
      </w:r>
    </w:p>
    <w:p>
      <w:pPr>
        <w:numPr>
          <w:ilvl w:val="0"/>
          <w:numId w:val="0"/>
        </w:numPr>
        <w:ind w:left="563" w:leftChars="0" w:right="0" w:rightChars="0"/>
        <w:rPr>
          <w:rFonts w:hint="eastAsia" w:ascii="宋体" w:hAnsi="宋体" w:eastAsia="宋体" w:cs="宋体"/>
          <w:b w:val="0"/>
          <w:bCs/>
          <w:spacing w:val="3"/>
          <w:sz w:val="24"/>
          <w:szCs w:val="24"/>
          <w:lang w:val="en-US" w:eastAsia="zh-CN"/>
        </w:rPr>
      </w:pPr>
      <w:r>
        <w:rPr>
          <w:rFonts w:hint="eastAsia" w:ascii="仿宋" w:hAnsi="仿宋" w:eastAsia="仿宋" w:cs="仿宋"/>
          <w:b w:val="0"/>
          <w:bCs/>
          <w:spacing w:val="3"/>
          <w:sz w:val="24"/>
          <w:szCs w:val="24"/>
          <w:lang w:val="en-US" w:eastAsia="zh-CN"/>
        </w:rPr>
        <w:t xml:space="preserve">                </w:t>
      </w:r>
      <w:r>
        <w:rPr>
          <w:rFonts w:hint="eastAsia" w:ascii="宋体" w:hAnsi="宋体" w:eastAsia="宋体" w:cs="宋体"/>
          <w:b w:val="0"/>
          <w:bCs/>
          <w:spacing w:val="3"/>
          <w:sz w:val="24"/>
          <w:szCs w:val="24"/>
          <w:lang w:val="en-US" w:eastAsia="zh-CN"/>
        </w:rPr>
        <w:t xml:space="preserve">                                         </w:t>
      </w:r>
    </w:p>
    <w:p>
      <w:pPr>
        <w:pStyle w:val="25"/>
        <w:ind w:left="0" w:leftChars="0" w:firstLine="0" w:firstLineChars="0"/>
        <w:rPr>
          <w:rFonts w:hint="eastAsia" w:ascii="宋体" w:hAnsi="宋体" w:eastAsia="宋体" w:cs="宋体"/>
          <w:sz w:val="24"/>
          <w:szCs w:val="24"/>
          <w:lang w:val="en-US" w:eastAsia="zh-CN" w:bidi="zh-CN"/>
        </w:rPr>
      </w:pPr>
    </w:p>
    <w:p>
      <w:pPr>
        <w:pStyle w:val="25"/>
        <w:ind w:left="0" w:leftChars="0" w:firstLine="0" w:firstLineChars="0"/>
        <w:rPr>
          <w:rFonts w:hint="eastAsia" w:ascii="宋体" w:hAnsi="宋体" w:eastAsia="宋体" w:cs="宋体"/>
          <w:sz w:val="24"/>
          <w:szCs w:val="24"/>
          <w:lang w:val="en-US" w:eastAsia="zh-CN" w:bidi="zh-CN"/>
        </w:rPr>
      </w:pPr>
    </w:p>
    <w:p>
      <w:pPr>
        <w:pStyle w:val="25"/>
        <w:ind w:left="0" w:leftChars="0" w:firstLine="0" w:firstLineChars="0"/>
        <w:rPr>
          <w:rFonts w:hint="eastAsia" w:ascii="宋体" w:hAnsi="宋体" w:eastAsia="宋体" w:cs="宋体"/>
          <w:sz w:val="24"/>
          <w:szCs w:val="24"/>
          <w:lang w:val="en-US" w:eastAsia="zh-CN" w:bidi="zh-CN"/>
        </w:rPr>
      </w:pPr>
    </w:p>
    <w:p>
      <w:pPr>
        <w:pStyle w:val="25"/>
        <w:ind w:left="0" w:leftChars="0" w:firstLine="0" w:firstLineChars="0"/>
        <w:rPr>
          <w:rFonts w:hint="eastAsia" w:ascii="宋体" w:hAnsi="宋体" w:eastAsia="宋体" w:cs="宋体"/>
          <w:sz w:val="24"/>
          <w:szCs w:val="24"/>
          <w:lang w:val="en-US" w:eastAsia="zh-CN" w:bidi="zh-CN"/>
        </w:rPr>
      </w:pPr>
    </w:p>
    <w:p>
      <w:pPr>
        <w:pStyle w:val="25"/>
        <w:ind w:left="0" w:leftChars="0" w:firstLine="0" w:firstLineChars="0"/>
        <w:rPr>
          <w:rFonts w:hint="eastAsia" w:ascii="宋体" w:hAnsi="宋体" w:eastAsia="宋体" w:cs="宋体"/>
          <w:sz w:val="24"/>
          <w:szCs w:val="24"/>
          <w:lang w:val="en-US" w:eastAsia="zh-CN" w:bidi="zh-CN"/>
        </w:rPr>
      </w:pPr>
    </w:p>
    <w:p>
      <w:pP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_GB2312" w:hAnsi="仿宋_GB2312" w:eastAsia="仿宋_GB2312" w:cs="仿宋_GB2312"/>
          <w:sz w:val="32"/>
          <w:szCs w:val="32"/>
          <w:lang w:val="en-US" w:eastAsia="zh-CN" w:bidi="zh-CN"/>
        </w:rPr>
      </w:pPr>
      <w:bookmarkStart w:id="316" w:name="_Toc6665"/>
      <w:r>
        <w:rPr>
          <w:rFonts w:hint="eastAsia" w:ascii="仿宋_GB2312" w:hAnsi="仿宋_GB2312" w:eastAsia="仿宋_GB2312" w:cs="仿宋_GB2312"/>
          <w:b/>
          <w:bCs/>
          <w:sz w:val="32"/>
          <w:szCs w:val="32"/>
          <w:lang w:val="en-US" w:eastAsia="zh-CN" w:bidi="zh-CN"/>
        </w:rPr>
        <w:t>环境卫生考核管理办法</w:t>
      </w:r>
      <w:bookmarkEnd w:id="316"/>
    </w:p>
    <w:p>
      <w:pPr>
        <w:pStyle w:val="1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bidi="zh-CN"/>
        </w:rPr>
        <w:t>为进一步提高开发区环境卫生建设和管理水平，促进开发区环境卫生常态化管理，营造一个整洁、有序、美观的新区形象，现结合综保区实际，特制定本考核办法。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_GB2312" w:hAnsi="仿宋_GB2312" w:eastAsia="仿宋_GB2312" w:cs="仿宋_GB2312"/>
          <w:sz w:val="24"/>
          <w:szCs w:val="24"/>
          <w:lang w:val="en-US" w:eastAsia="zh-CN"/>
        </w:rPr>
      </w:pPr>
      <w:bookmarkStart w:id="317" w:name="_Toc12345"/>
      <w:r>
        <w:rPr>
          <w:rFonts w:hint="eastAsia" w:ascii="仿宋_GB2312" w:hAnsi="仿宋_GB2312" w:eastAsia="仿宋_GB2312" w:cs="仿宋_GB2312"/>
          <w:sz w:val="24"/>
          <w:szCs w:val="24"/>
          <w:lang w:val="en-US" w:eastAsia="zh-CN"/>
        </w:rPr>
        <w:t>一、考核对象</w:t>
      </w:r>
      <w:bookmarkEnd w:id="3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环卫管理单位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_GB2312" w:hAnsi="仿宋_GB2312" w:eastAsia="仿宋_GB2312" w:cs="仿宋_GB2312"/>
          <w:sz w:val="24"/>
          <w:szCs w:val="24"/>
          <w:lang w:val="en-US" w:eastAsia="zh-CN"/>
        </w:rPr>
      </w:pPr>
      <w:bookmarkStart w:id="318" w:name="_Toc21343"/>
      <w:r>
        <w:rPr>
          <w:rFonts w:hint="eastAsia" w:ascii="仿宋_GB2312" w:hAnsi="仿宋_GB2312" w:eastAsia="仿宋_GB2312" w:cs="仿宋_GB2312"/>
          <w:sz w:val="24"/>
          <w:szCs w:val="24"/>
          <w:lang w:val="en-US" w:eastAsia="zh-CN"/>
        </w:rPr>
        <w:t>二、考核内容</w:t>
      </w:r>
      <w:bookmarkEnd w:id="3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bidi="zh-CN"/>
        </w:rPr>
        <w:t>对环境卫生清扫保洁、垃圾收运作业、组织制度、队伍管理等进行考核。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_GB2312" w:hAnsi="仿宋_GB2312" w:eastAsia="仿宋_GB2312" w:cs="仿宋_GB2312"/>
          <w:sz w:val="24"/>
          <w:szCs w:val="24"/>
          <w:lang w:val="en-US" w:eastAsia="zh-CN"/>
        </w:rPr>
      </w:pPr>
      <w:bookmarkStart w:id="319" w:name="_Toc8957"/>
      <w:r>
        <w:rPr>
          <w:rFonts w:hint="eastAsia" w:ascii="仿宋_GB2312" w:hAnsi="仿宋_GB2312" w:eastAsia="仿宋_GB2312" w:cs="仿宋_GB2312"/>
          <w:sz w:val="24"/>
          <w:szCs w:val="24"/>
          <w:lang w:val="en-US" w:eastAsia="zh-CN"/>
        </w:rPr>
        <w:t>三、考核标准</w:t>
      </w:r>
      <w:bookmarkEnd w:id="3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见《喀什经济开发区喀什综合保税区环境卫生考核评分表》。</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_GB2312" w:hAnsi="仿宋_GB2312" w:eastAsia="仿宋_GB2312" w:cs="仿宋_GB2312"/>
          <w:sz w:val="24"/>
          <w:szCs w:val="24"/>
          <w:lang w:val="en-US" w:eastAsia="zh-CN"/>
        </w:rPr>
      </w:pPr>
      <w:bookmarkStart w:id="320" w:name="_Toc2654"/>
      <w:r>
        <w:rPr>
          <w:rFonts w:hint="eastAsia" w:ascii="仿宋_GB2312" w:hAnsi="仿宋_GB2312" w:eastAsia="仿宋_GB2312" w:cs="仿宋_GB2312"/>
          <w:sz w:val="24"/>
          <w:szCs w:val="24"/>
          <w:lang w:val="en-US" w:eastAsia="zh-CN"/>
        </w:rPr>
        <w:t>考核方法</w:t>
      </w:r>
      <w:bookmarkEnd w:id="32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1、日常检查：每周不定期进行，日常检查组将根据发现的问题或综保区干部反映的问题及时通知管护企业，并按要求进行复查。整改期限已到仍未达到要求的，按照考核评分标准扣分。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2、督查：每个月不少于4次，由喀什综合保税区领导会同管理企业负责人对各管理单位责任片区环境卫生综合整治情况进行督查，查找问题，限期整改，督查时发现的问题不纳入考核。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3、抽查：每月不定期抽查至少2次，检查前不作通知，检查结果纳入考核，具体检查考核评分标准按照《喀什经济开发区喀什综合保税区环境卫生考核评分表》执行。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_GB2312" w:hAnsi="仿宋_GB2312" w:eastAsia="仿宋_GB2312" w:cs="仿宋_GB2312"/>
          <w:sz w:val="24"/>
          <w:szCs w:val="24"/>
          <w:lang w:val="en-US" w:eastAsia="zh-CN"/>
        </w:rPr>
      </w:pPr>
      <w:bookmarkStart w:id="321" w:name="_Toc3386"/>
      <w:r>
        <w:rPr>
          <w:rFonts w:hint="eastAsia" w:ascii="仿宋_GB2312" w:hAnsi="仿宋_GB2312" w:eastAsia="仿宋_GB2312" w:cs="仿宋_GB2312"/>
          <w:sz w:val="24"/>
          <w:szCs w:val="24"/>
          <w:lang w:val="en-US" w:eastAsia="zh-CN"/>
        </w:rPr>
        <w:t>五、考核结果运用</w:t>
      </w:r>
      <w:bookmarkEnd w:id="3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依据考核情况对各管理作业单位进行经费核定，考核得分在90分以上的，环卫管护经费按100%拨付；考核得分在80分—89分，环卫管护经费按97%拨付；考核得分在70—79，环卫管护经费按95%拨付；考核得分在60分—69分，环卫管护经费按90%拨付；考核得分在59分以下的,环卫管护经费按80%拨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bidi="zh-CN"/>
        </w:rPr>
        <w:t>2、当考核结果连续三月不达标时（低于60分），片区负责人约谈环卫管理单位法定代表人，拒不整改或整改不达标的，按协议约定，扣除相应比例的养护管理经费或终止协议。并报行政主管部门，取消其绿化管护合格单位的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21"/>
          <w:szCs w:val="21"/>
          <w:lang w:val="en-US" w:eastAsia="zh-CN" w:bidi="zh-CN"/>
        </w:rPr>
      </w:pPr>
    </w:p>
    <w:p>
      <w:pPr>
        <w:rPr>
          <w:rFonts w:hint="eastAsia" w:ascii="仿宋_GB2312" w:hAnsi="仿宋_GB2312" w:eastAsia="仿宋_GB2312" w:cs="仿宋_GB2312"/>
          <w:b/>
          <w:bCs/>
          <w:sz w:val="24"/>
          <w:szCs w:val="24"/>
          <w:lang w:val="en-US" w:eastAsia="zh-CN" w:bidi="zh-CN"/>
        </w:rPr>
      </w:pPr>
      <w:r>
        <w:rPr>
          <w:rFonts w:hint="eastAsia" w:ascii="仿宋_GB2312" w:hAnsi="仿宋_GB2312" w:eastAsia="仿宋_GB2312" w:cs="仿宋_GB2312"/>
          <w:b/>
          <w:bCs/>
          <w:sz w:val="24"/>
          <w:szCs w:val="24"/>
          <w:lang w:val="en-US" w:eastAsia="zh-CN" w:bidi="zh-CN"/>
        </w:rPr>
        <w:br w:type="page"/>
      </w:r>
    </w:p>
    <w:p>
      <w:pPr>
        <w:pStyle w:val="8"/>
        <w:jc w:val="center"/>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4"/>
          <w:lang w:val="en-US" w:eastAsia="zh-CN" w:bidi="zh-CN"/>
        </w:rPr>
        <w:t>喀什经济开发区综合保税区环境卫生考核评分表</w:t>
      </w:r>
    </w:p>
    <w:tbl>
      <w:tblPr>
        <w:tblStyle w:val="21"/>
        <w:tblpPr w:leftFromText="180" w:rightFromText="180" w:vertAnchor="text" w:horzAnchor="page" w:tblpXSpec="center" w:tblpY="292"/>
        <w:tblOverlap w:val="never"/>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2"/>
        <w:gridCol w:w="4646"/>
        <w:gridCol w:w="1095"/>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5" w:type="dxa"/>
            <w:gridSpan w:val="5"/>
            <w:tcBorders>
              <w:top w:val="nil"/>
              <w:left w:val="nil"/>
              <w:bottom w:val="single" w:color="auto" w:sz="4" w:space="0"/>
              <w:right w:val="nil"/>
            </w:tcBorders>
          </w:tcPr>
          <w:p>
            <w:pPr>
              <w:tabs>
                <w:tab w:val="left" w:pos="2593"/>
              </w:tabs>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审核人：         </w:t>
            </w:r>
            <w: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t>管护人：             年   月   日</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                 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45" w:type="dxa"/>
            <w:tcBorders>
              <w:top w:val="single" w:color="auto" w:sz="4" w:space="0"/>
            </w:tcBorders>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项目</w:t>
            </w:r>
          </w:p>
        </w:tc>
        <w:tc>
          <w:tcPr>
            <w:tcW w:w="562" w:type="dxa"/>
            <w:tcBorders>
              <w:top w:val="single" w:color="auto" w:sz="4" w:space="0"/>
            </w:tcBorders>
          </w:tcPr>
          <w:p>
            <w:pPr>
              <w:jc w:val="cente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t>编号</w:t>
            </w:r>
          </w:p>
        </w:tc>
        <w:tc>
          <w:tcPr>
            <w:tcW w:w="4646" w:type="dxa"/>
            <w:tcBorders>
              <w:top w:val="single" w:color="auto" w:sz="4" w:space="0"/>
            </w:tcBorders>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检查内容</w:t>
            </w:r>
          </w:p>
        </w:tc>
        <w:tc>
          <w:tcPr>
            <w:tcW w:w="1095" w:type="dxa"/>
            <w:tcBorders>
              <w:top w:val="single" w:color="auto" w:sz="4" w:space="0"/>
            </w:tcBorders>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标准分（100分）</w:t>
            </w:r>
          </w:p>
        </w:tc>
        <w:tc>
          <w:tcPr>
            <w:tcW w:w="1577" w:type="dxa"/>
            <w:tcBorders>
              <w:top w:val="single" w:color="auto" w:sz="4" w:space="0"/>
            </w:tcBorders>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路段及扣分说明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restart"/>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卫生清扫保洁</w:t>
            </w: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w:t>
            </w:r>
          </w:p>
        </w:tc>
        <w:tc>
          <w:tcPr>
            <w:tcW w:w="4646" w:type="dxa"/>
          </w:tcPr>
          <w:p>
            <w:pPr>
              <w:jc w:val="left"/>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t>清扫保洁到位，无花扫现象。每发现一处不符合要求的，扣0.5分。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w:t>
            </w:r>
          </w:p>
        </w:tc>
        <w:tc>
          <w:tcPr>
            <w:tcW w:w="4646" w:type="dxa"/>
          </w:tcPr>
          <w:p>
            <w:pPr>
              <w:jc w:val="left"/>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t>片区内无暴露垃圾、无卫生死角，每发现一处不符合要求的，扣0.5分。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3</w:t>
            </w:r>
          </w:p>
        </w:tc>
        <w:tc>
          <w:tcPr>
            <w:tcW w:w="4646" w:type="dxa"/>
          </w:tcPr>
          <w:p>
            <w:pPr>
              <w:jc w:val="left"/>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t>每日片区内路段洒水次数：早9点一次，晚19点一次，有一次未洒水扣1分。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4</w:t>
            </w:r>
          </w:p>
        </w:tc>
        <w:tc>
          <w:tcPr>
            <w:tcW w:w="4646" w:type="dxa"/>
          </w:tcPr>
          <w:p>
            <w:pPr>
              <w:jc w:val="left"/>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t>道路（包括人行道）每日普扫一遍，早12:00前完成第一遍普扫，下午17：00完成第二遍清扫，全天巡回保洁。未按规定时间完成普扫任务的，每路段每次扣1分。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4646" w:type="dxa"/>
          </w:tcPr>
          <w:p>
            <w:pPr>
              <w:jc w:val="left"/>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t>清扫保洁工作必须做到“六净”标准(路面净、绿化带净、公共场地净、路沿石根净、墙根净、电线杆净)，有一项不达标每次扣0.5分。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restart"/>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p>
          <w:p>
            <w:pPr>
              <w:bidi w:val="0"/>
              <w:jc w:val="center"/>
              <w:rPr>
                <w:rFonts w:hint="eastAsia" w:ascii="仿宋_GB2312" w:hAnsi="仿宋_GB2312" w:eastAsia="仿宋_GB2312" w:cs="仿宋_GB2312"/>
                <w:color w:val="000000" w:themeColor="text1"/>
                <w:sz w:val="21"/>
                <w:szCs w:val="21"/>
                <w:lang w:val="zh-CN" w:eastAsia="zh-CN" w:bidi="zh-CN"/>
                <w14:textFill>
                  <w14:solidFill>
                    <w14:schemeClr w14:val="tx1"/>
                  </w14:solidFill>
                </w14:textFill>
              </w:rPr>
            </w:pPr>
          </w:p>
          <w:p>
            <w:pPr>
              <w:bidi w:val="0"/>
              <w:jc w:val="center"/>
              <w:rPr>
                <w:rFonts w:hint="eastAsia" w:ascii="仿宋_GB2312" w:hAnsi="仿宋_GB2312" w:eastAsia="仿宋_GB2312" w:cs="仿宋_GB2312"/>
                <w:color w:val="000000" w:themeColor="text1"/>
                <w:sz w:val="21"/>
                <w:szCs w:val="21"/>
                <w:lang w:val="zh-CN"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zh-CN" w:eastAsia="zh-CN" w:bidi="zh-CN"/>
                <w14:textFill>
                  <w14:solidFill>
                    <w14:schemeClr w14:val="tx1"/>
                  </w14:solidFill>
                </w14:textFill>
              </w:rPr>
              <w:t>垃圾收运作业</w:t>
            </w: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6</w:t>
            </w:r>
          </w:p>
        </w:tc>
        <w:tc>
          <w:tcPr>
            <w:tcW w:w="4646" w:type="dxa"/>
          </w:tcPr>
          <w:p>
            <w:pPr>
              <w:jc w:val="left"/>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bidi="zh-CN"/>
                <w14:textFill>
                  <w14:solidFill>
                    <w14:schemeClr w14:val="tx1"/>
                  </w14:solidFill>
                </w14:textFill>
              </w:rPr>
              <w:t>生活垃圾清运达到日产日清。有一项不达标每次扣1分。（根据实际路段情况而定）</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7</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垃圾必须在指定场地倾倒，发现不按要求倾倒垃圾的，扣5分。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8</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辖区内无卫生死角，无积存建筑垃圾。发现卫生死角，每处扣2分，积存建筑垃圾每处扣5分。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9</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运输垃圾过程中产生渗漏、掉落、溢出未及时清理抓出一次扣0.5分。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环卫设施设备管理</w:t>
            </w: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每位保洁人员应配备一辆垃圾专用车、配备扫把、铁夹子等专业工具。每缺一项，扣0.5分。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restart"/>
          </w:tcPr>
          <w:p>
            <w:pPr>
              <w:bidi w:val="0"/>
              <w:jc w:val="both"/>
              <w:rPr>
                <w:rFonts w:hint="eastAsia" w:ascii="仿宋_GB2312" w:hAnsi="仿宋_GB2312" w:eastAsia="仿宋_GB2312" w:cs="仿宋_GB2312"/>
                <w:color w:val="000000" w:themeColor="text1"/>
                <w:sz w:val="21"/>
                <w:szCs w:val="21"/>
                <w:lang w:val="zh-CN" w:eastAsia="zh-CN"/>
                <w14:textFill>
                  <w14:solidFill>
                    <w14:schemeClr w14:val="tx1"/>
                  </w14:solidFill>
                </w14:textFill>
              </w:rPr>
            </w:pPr>
          </w:p>
          <w:p>
            <w:pPr>
              <w:bidi w:val="0"/>
              <w:jc w:val="both"/>
              <w:rPr>
                <w:rFonts w:hint="eastAsia" w:ascii="仿宋_GB2312" w:hAnsi="仿宋_GB2312" w:eastAsia="仿宋_GB2312" w:cs="仿宋_GB2312"/>
                <w:color w:val="000000" w:themeColor="text1"/>
                <w:sz w:val="21"/>
                <w:szCs w:val="21"/>
                <w:lang w:val="zh-CN" w:eastAsia="zh-CN" w:bidi="zh-CN"/>
                <w14:textFill>
                  <w14:solidFill>
                    <w14:schemeClr w14:val="tx1"/>
                  </w14:solidFill>
                </w14:textFill>
              </w:rPr>
            </w:pPr>
            <w:r>
              <w:rPr>
                <w:rFonts w:hint="eastAsia" w:ascii="仿宋_GB2312" w:hAnsi="仿宋_GB2312" w:eastAsia="仿宋_GB2312" w:cs="仿宋_GB2312"/>
                <w:color w:val="000000" w:themeColor="text1"/>
                <w:sz w:val="21"/>
                <w:szCs w:val="21"/>
                <w:lang w:val="zh-CN" w:eastAsia="zh-CN"/>
                <w14:textFill>
                  <w14:solidFill>
                    <w14:schemeClr w14:val="tx1"/>
                  </w14:solidFill>
                </w14:textFill>
              </w:rPr>
              <w:t>组织制</w:t>
            </w:r>
            <w:r>
              <w:rPr>
                <w:rFonts w:hint="eastAsia" w:ascii="仿宋_GB2312" w:hAnsi="仿宋_GB2312" w:eastAsia="仿宋_GB2312" w:cs="仿宋_GB2312"/>
                <w:color w:val="000000" w:themeColor="text1"/>
                <w:sz w:val="21"/>
                <w:szCs w:val="21"/>
                <w:lang w:val="zh-CN" w:eastAsia="zh-CN" w:bidi="zh-CN"/>
                <w14:textFill>
                  <w14:solidFill>
                    <w14:schemeClr w14:val="tx1"/>
                  </w14:solidFill>
                </w14:textFill>
              </w:rPr>
              <w:t>度与队伍管理</w:t>
            </w: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11</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保洁人员须统一着反光式安全工作服上岗，反光服上必须印用企业名称，未着装上岗的，每人/次扣0.5分。</w:t>
            </w:r>
          </w:p>
        </w:tc>
        <w:tc>
          <w:tcPr>
            <w:tcW w:w="1095" w:type="dxa"/>
          </w:tcPr>
          <w:p>
            <w:p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12</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有一支符合规定的保洁队伍，按标准配齐保洁人员。每缺1人扣1分。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562"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13</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口头整改通知，群里整改消息及下达的整改的书面通知在限定期限内完成，如无完成一次扣除2分，并处于相当的罚款。</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gridSpan w:val="2"/>
          </w:tcPr>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其他情况</w:t>
            </w:r>
          </w:p>
        </w:tc>
        <w:tc>
          <w:tcPr>
            <w:tcW w:w="4646"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交叉作业去发生争议时，发生打架斗殴，肆意破坏其他企业劳动成果一次扣100分。</w:t>
            </w:r>
          </w:p>
        </w:tc>
        <w:tc>
          <w:tcPr>
            <w:tcW w:w="1095" w:type="dxa"/>
          </w:tcPr>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100</w:t>
            </w:r>
          </w:p>
        </w:tc>
        <w:tc>
          <w:tcPr>
            <w:tcW w:w="1577" w:type="dxa"/>
          </w:tcPr>
          <w:p>
            <w:pPr>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r>
    </w:tbl>
    <w:p>
      <w:pPr>
        <w:rPr>
          <w:rFonts w:hint="eastAsia" w:ascii="仿宋_GB2312" w:hAnsi="仿宋_GB2312" w:eastAsia="仿宋_GB2312" w:cs="仿宋_GB2312"/>
          <w:sz w:val="21"/>
          <w:szCs w:val="21"/>
          <w:lang w:val="en-US" w:eastAsia="zh-CN"/>
        </w:rPr>
      </w:pPr>
    </w:p>
    <w:p>
      <w:pPr>
        <w:pStyle w:val="3"/>
        <w:spacing w:before="5"/>
        <w:rPr>
          <w:rFonts w:hint="eastAsia" w:ascii="仿宋_GB2312" w:hAnsi="仿宋_GB2312" w:eastAsia="仿宋_GB2312" w:cs="仿宋_GB2312"/>
          <w:sz w:val="22"/>
        </w:rPr>
      </w:pPr>
      <w:bookmarkStart w:id="322" w:name="_bookmark12"/>
      <w:bookmarkEnd w:id="322"/>
      <w:bookmarkStart w:id="323" w:name="为促进养护管理工作规范化、制度化、精细化，提升绿地养护管理水平，现以考核评分来量"/>
      <w:bookmarkEnd w:id="323"/>
      <w:bookmarkStart w:id="324" w:name="喀什经济开发区绿地养护考核管理办法"/>
      <w:bookmarkEnd w:id="324"/>
    </w:p>
    <w:p>
      <w:pPr>
        <w:pStyle w:val="15"/>
        <w:rPr>
          <w:rFonts w:hint="eastAsia" w:ascii="仿宋_GB2312" w:hAnsi="仿宋_GB2312" w:eastAsia="仿宋_GB2312" w:cs="仿宋_GB2312"/>
          <w:sz w:val="22"/>
        </w:rPr>
      </w:pPr>
    </w:p>
    <w:p>
      <w:pPr>
        <w:rPr>
          <w:rFonts w:hint="eastAsia" w:ascii="仿宋_GB2312" w:hAnsi="仿宋_GB2312" w:eastAsia="仿宋_GB2312" w:cs="仿宋_GB2312"/>
          <w:sz w:val="22"/>
        </w:rPr>
      </w:pPr>
    </w:p>
    <w:p>
      <w:pPr>
        <w:pStyle w:val="26"/>
        <w:rPr>
          <w:rFonts w:hint="eastAsia" w:ascii="仿宋_GB2312" w:hAnsi="仿宋_GB2312" w:eastAsia="仿宋_GB2312" w:cs="仿宋_GB2312"/>
          <w:sz w:val="22"/>
        </w:rPr>
      </w:pPr>
    </w:p>
    <w:p>
      <w:pPr>
        <w:rPr>
          <w:rFonts w:hint="eastAsia" w:ascii="仿宋_GB2312" w:hAnsi="仿宋_GB2312" w:eastAsia="仿宋_GB2312" w:cs="仿宋_GB2312"/>
          <w:sz w:val="22"/>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sz w:val="24"/>
          <w:szCs w:val="24"/>
        </w:rPr>
      </w:pPr>
      <w:bookmarkStart w:id="325" w:name="喀什经济开发区园林绿化养护考核评分表"/>
      <w:bookmarkEnd w:id="325"/>
    </w:p>
    <w:p>
      <w:pPr>
        <w:pStyle w:val="25"/>
        <w:ind w:left="0" w:leftChars="0" w:firstLine="0" w:firstLineChars="0"/>
        <w:rPr>
          <w:rFonts w:hint="eastAsia" w:ascii="仿宋_GB2312" w:hAnsi="仿宋_GB2312" w:eastAsia="仿宋_GB2312" w:cs="仿宋_GB2312"/>
          <w:sz w:val="24"/>
          <w:szCs w:val="24"/>
        </w:rPr>
      </w:pPr>
    </w:p>
    <w:p>
      <w:pPr>
        <w:pStyle w:val="25"/>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绿地养护考核管理办法</w:t>
      </w:r>
    </w:p>
    <w:p>
      <w:pPr>
        <w:pStyle w:val="1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 xml:space="preserve">    为促进养护管理工作规范化、制度化、精细化，提升绿地养护管理水平，现以考核评分来量化园区服务企业管护水平，使养护经费支付与管护工作相挂钩，以起到奖优罚劣和鞭策管护工作的作用。根据有关法律法规和标准规范的规定，结合我区实际，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1.考核依据</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1.1.《城市园林绿化评价标准》（GB/T 50563-2010）</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1.2.《城市绿地养护管理标准》（XJJ046-2012）</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bidi="zh-CN"/>
        </w:rPr>
        <w:t>1.3.《园林绿化工程施工及验收规范》（CJJ82-2012）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2.考核内容</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24"/>
          <w:szCs w:val="24"/>
          <w:lang w:val="en-US" w:eastAsia="zh-CN" w:bidi="zh-CN"/>
        </w:rPr>
        <w:t>2.1.对喀什综合保税区广场、道路绿地、库区绿地、厂区绿地等以及相关养护单位组织管理工作进行考核。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3.考核办法</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3.1.考核工作由片区负责人组织实施，成立定期考核组和日常检查组，日常检查组及定期考核组由喀什综合保税区人员组成。</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3.2.定期考核以月考核为主（具体时间提前通知）。每次考核由考核组具体负责组织实施，检查内容见（喀什经济开发区喀什综合保税区园林绿化养护考核评分表)；实地考核时，被考核单位必须由现场管理人员人参加（确因故不能按时参加的需提前书面请假，请假函需签章，另行安排他人参加)。三次无故不参加的，将约谈该企业法定代表人，并要求该进行书面承诺后期项目进行中，履行我中心管理办法的处罚条例，如承诺后任不改正我中心有权利5-10倍处罚。</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3.3.考核中发现问题当场下达整改通知或口头通知整改，养护单位或个人进行整改，并由日常检查组进行跟踪督察，整改期限已到仍未达到要求的，两次将下达处罚通知，考核加倍扣分。</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3.4.日常检查每天不定期进行，检查内容包括考核整改、日常巡查及重大节日、庆典、“迎检”等指令性检查。检查组就各企业负责管护路段（地块）进行日常巡查和不定期检查，对存在的问题及时通知管护企业或个人，目常检查组将根据已发出的整改通知安排进行复查。</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3.5.每个养护单位每月的考核分由日常检查分和定期每周考核分综合构成，分别占总分的周50%、月50%计入，按月进行汇总。</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24"/>
          <w:szCs w:val="24"/>
          <w:lang w:val="en-US" w:eastAsia="zh-CN" w:bidi="zh-CN"/>
        </w:rPr>
        <w:t>3.6.日常检查、定期考核均实行百分制考核，检查考核工作人员按照</w:t>
      </w:r>
      <w:r>
        <w:rPr>
          <w:rFonts w:hint="eastAsia" w:ascii="仿宋_GB2312" w:hAnsi="仿宋_GB2312" w:eastAsia="仿宋_GB2312" w:cs="仿宋_GB2312"/>
          <w:color w:val="000000" w:themeColor="text1"/>
          <w:sz w:val="24"/>
          <w:szCs w:val="24"/>
          <w:lang w:val="en-US" w:eastAsia="zh-CN" w:bidi="zh-CN"/>
          <w14:textFill>
            <w14:solidFill>
              <w14:schemeClr w14:val="tx1"/>
            </w14:solidFill>
          </w14:textFill>
        </w:rPr>
        <w:t>《喀什经济开发区综合保税区园林绿化养护考核评分表》进行考核评分。</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color w:val="000000" w:themeColor="text1"/>
          <w:sz w:val="24"/>
          <w:szCs w:val="24"/>
          <w:lang w:val="en-US" w:eastAsia="zh-CN" w:bidi="zh-CN"/>
          <w14:textFill>
            <w14:solidFill>
              <w14:schemeClr w14:val="tx1"/>
            </w14:solidFill>
          </w14:textFill>
        </w:rPr>
        <w:t>3.7.日常考核现场下整改通知，与下月初定期考核成绩汇总后按月通报。日常考核与定期考核每次考核情况及汇总情况在喀什经济开发区综合保税区公示栏定</w:t>
      </w:r>
      <w:r>
        <w:rPr>
          <w:rFonts w:hint="eastAsia" w:ascii="仿宋_GB2312" w:hAnsi="仿宋_GB2312" w:eastAsia="仿宋_GB2312" w:cs="仿宋_GB2312"/>
          <w:sz w:val="24"/>
          <w:szCs w:val="24"/>
          <w:lang w:val="en-US" w:eastAsia="zh-CN" w:bidi="zh-CN"/>
        </w:rPr>
        <w:t>期公示。</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3.8.将按照周、月、季综合管理评分办法，计合企业综合评分，评分三个季度不合格施行淘汰。</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3.9.被淘汰的企业将上报管委会，三年纳入黑名单，不再给于承接综保区一切项目，三年后将如有再次承接综保区项目，任无所改进将上报管委会终身不在与该企业合作。</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3.10.如交叉作业区发生争执时，即使联系我管理负责人前去协调，不准越级上报。</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3.11. 处罚款将从每月支付养护费进度款中扣除。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4.经费核定办法</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4.1为激励先进，鞭策后进，调动各养护单位及积极性，依据考核情况对各管护作业单位进行经费核定。</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4.2.月考核（按四周计入）综合得分≥90、&lt;95分的，全额拨付养护经费：</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4.2.1.月考核（按四周计入）综合得分&lt;90分的，进行经济处罚，扣除相应分值的管护费。具体标准如下：</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4.2.1.a月考核综合得分≥80、&lt;90的，每低1分扣拨本月管护经费的1%，</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4.2.2.b月考核综合得分在≥70、&lt;80的，每低1分扣拨本月管护经费的2%，</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4.2.3.c月考核综合得分≥60、&lt;70的，每低1分扣拨本月管护经费的3%，</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4.2.4.d月考核综合得分&lt;60的，每低1分扣拨本月管护经费的4%，不够部分从下月养护经费中扣除，以上扣款经公示后上报相关部门备案，扣款金额在申请拨付本年度养护经费时进行核扣。</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4.3管护期间因养护单位责任发生重大安全责任事故，经核查属实，扣除本月管养分5分（对造成损失的由责任单位负责并追究其相关责任)。</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4.4养护单位对考核结果进行现场确认签章，每月考核结于当天签章确认，如无签章本月考核按照不合格计入。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5.考核结果运用</w:t>
      </w:r>
    </w:p>
    <w:p>
      <w:pPr>
        <w:keepNext w:val="0"/>
        <w:keepLines w:val="0"/>
        <w:pageBreakBefore w:val="0"/>
        <w:widowControl w:val="0"/>
        <w:kinsoku/>
        <w:wordWrap/>
        <w:overflowPunct/>
        <w:topLinePunct w:val="0"/>
        <w:autoSpaceDE/>
        <w:autoSpaceDN/>
        <w:bidi w:val="0"/>
        <w:adjustRightInd/>
        <w:snapToGrid/>
        <w:spacing w:line="360" w:lineRule="auto"/>
        <w:ind w:leftChars="0" w:firstLine="240" w:firstLineChars="100"/>
        <w:textAlignment w:val="auto"/>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5.1养护管理绿地的绩效考核结果与养护管理经费挂钩；当考核结果连续三月不达标时（低于55分），片区负责人约谈养护管理单位法定代表人作出承诺，拒不整改或整改不达标的，按协议约定，扣除相应比例的养护管理经费或终止协议。并报行政主管部门，取消其绿化管护合格单位的资格。</w:t>
      </w:r>
    </w:p>
    <w:p>
      <w:pP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br w:type="page"/>
      </w:r>
    </w:p>
    <w:p>
      <w:pPr>
        <w:jc w:val="center"/>
        <w:outlineLvl w:val="1"/>
        <w:rPr>
          <w:rFonts w:hint="eastAsia" w:ascii="仿宋_GB2312" w:hAnsi="仿宋_GB2312" w:eastAsia="仿宋_GB2312" w:cs="仿宋_GB2312"/>
          <w:sz w:val="36"/>
          <w:szCs w:val="32"/>
        </w:rPr>
      </w:pPr>
      <w:bookmarkStart w:id="326" w:name="_Toc26267"/>
      <w:r>
        <w:rPr>
          <w:rFonts w:hint="eastAsia" w:ascii="仿宋_GB2312" w:hAnsi="仿宋_GB2312" w:eastAsia="仿宋_GB2312" w:cs="仿宋_GB2312"/>
          <w:sz w:val="32"/>
          <w:szCs w:val="36"/>
        </w:rPr>
        <w:t>物业服务管理考核评分表</w:t>
      </w:r>
      <w:bookmarkEnd w:id="326"/>
    </w:p>
    <w:p>
      <w:pPr>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考核部门：</w:t>
      </w:r>
      <w:r>
        <w:rPr>
          <w:rFonts w:hint="eastAsia" w:ascii="仿宋_GB2312" w:hAnsi="仿宋_GB2312" w:eastAsia="仿宋_GB2312" w:cs="仿宋_GB2312"/>
          <w:b w:val="0"/>
          <w:bCs w:val="0"/>
          <w:sz w:val="22"/>
          <w:szCs w:val="22"/>
        </w:rPr>
        <w:t xml:space="preserve">         </w:t>
      </w:r>
      <w:r>
        <w:rPr>
          <w:rFonts w:hint="eastAsia" w:ascii="仿宋_GB2312" w:hAnsi="仿宋_GB2312" w:eastAsia="仿宋_GB2312" w:cs="仿宋_GB2312"/>
          <w:b w:val="0"/>
          <w:bCs w:val="0"/>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考核</w:t>
      </w:r>
      <w:r>
        <w:rPr>
          <w:rFonts w:hint="eastAsia" w:ascii="仿宋_GB2312" w:hAnsi="仿宋_GB2312" w:eastAsia="仿宋_GB2312" w:cs="仿宋_GB2312"/>
          <w:sz w:val="22"/>
          <w:szCs w:val="22"/>
          <w:lang w:eastAsia="zh-CN"/>
        </w:rPr>
        <w:t>日期</w:t>
      </w:r>
      <w:r>
        <w:rPr>
          <w:rFonts w:hint="eastAsia" w:ascii="仿宋_GB2312" w:hAnsi="仿宋_GB2312" w:eastAsia="仿宋_GB2312" w:cs="仿宋_GB2312"/>
          <w:sz w:val="22"/>
          <w:szCs w:val="22"/>
        </w:rPr>
        <w:t>：    年  月  日</w:t>
      </w:r>
    </w:p>
    <w:tbl>
      <w:tblPr>
        <w:tblStyle w:val="20"/>
        <w:tblW w:w="9277" w:type="dxa"/>
        <w:tblInd w:w="93" w:type="dxa"/>
        <w:tblLayout w:type="autofit"/>
        <w:tblCellMar>
          <w:top w:w="0" w:type="dxa"/>
          <w:left w:w="108" w:type="dxa"/>
          <w:bottom w:w="0" w:type="dxa"/>
          <w:right w:w="108" w:type="dxa"/>
        </w:tblCellMar>
      </w:tblPr>
      <w:tblGrid>
        <w:gridCol w:w="697"/>
        <w:gridCol w:w="1405"/>
        <w:gridCol w:w="5752"/>
        <w:gridCol w:w="725"/>
        <w:gridCol w:w="698"/>
      </w:tblGrid>
      <w:tr>
        <w:tblPrEx>
          <w:tblCellMar>
            <w:top w:w="0" w:type="dxa"/>
            <w:left w:w="108" w:type="dxa"/>
            <w:bottom w:w="0" w:type="dxa"/>
            <w:right w:w="108" w:type="dxa"/>
          </w:tblCellMar>
        </w:tblPrEx>
        <w:trPr>
          <w:trHeight w:val="668" w:hRule="atLeast"/>
        </w:trPr>
        <w:tc>
          <w:tcPr>
            <w:tcW w:w="69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0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575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考核内容</w:t>
            </w:r>
          </w:p>
        </w:tc>
        <w:tc>
          <w:tcPr>
            <w:tcW w:w="7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赋分</w:t>
            </w:r>
          </w:p>
        </w:tc>
        <w:tc>
          <w:tcPr>
            <w:tcW w:w="6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得分</w:t>
            </w:r>
          </w:p>
        </w:tc>
      </w:tr>
      <w:tr>
        <w:tblPrEx>
          <w:tblCellMar>
            <w:top w:w="0" w:type="dxa"/>
            <w:left w:w="108" w:type="dxa"/>
            <w:bottom w:w="0" w:type="dxa"/>
            <w:right w:w="108" w:type="dxa"/>
          </w:tblCellMar>
        </w:tblPrEx>
        <w:trPr>
          <w:trHeight w:val="630" w:hRule="atLeast"/>
        </w:trPr>
        <w:tc>
          <w:tcPr>
            <w:tcW w:w="69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40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室内清洁项目</w:t>
            </w:r>
            <w:r>
              <w:rPr>
                <w:rStyle w:val="36"/>
                <w:rFonts w:hint="eastAsia" w:ascii="仿宋" w:hAnsi="仿宋" w:eastAsia="仿宋" w:cs="仿宋"/>
                <w:color w:val="000000" w:themeColor="text1"/>
                <w:sz w:val="24"/>
                <w:szCs w:val="24"/>
                <w:lang w:val="en-US" w:eastAsia="zh-CN" w:bidi="ar"/>
                <w14:textFill>
                  <w14:solidFill>
                    <w14:schemeClr w14:val="tx1"/>
                  </w14:solidFill>
                </w14:textFill>
              </w:rPr>
              <w:t>（50分）</w:t>
            </w: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大厅地面整洁光亮，展墙无灰尘</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办公楼周围无乱涂乱画</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墙角无污迹、无水印</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会议室桌椅摆放整齐</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会议服务配合工作及时到位</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茶具光亮无黄迹，并定期消毒</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严格遵守甲方有关保密规章制度，不得对办公室及会议信息外泄</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589"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认真履行办公楼进出制度，做好登记工作</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569"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大门口安保防范、办公楼及库区日常安全巡查</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服务人员服装是否整洁</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37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工具是否配备齐全</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车辆、人员登记、值班记录是否清楚</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37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清洁、消毒次数</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45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过道楼梯门厅扶手清洁效果</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37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门窗墙面清洁效果</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37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卫生间清洁效果</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8"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37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卫生间是否消毒</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37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垃圾清理情况</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4</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42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桌椅几面桌面清洁效果</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37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设施设备清洁效果</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44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auto" w:sz="4"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电梯按钮轿厢清洁效果</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69" w:hRule="atLeast"/>
        </w:trPr>
        <w:tc>
          <w:tcPr>
            <w:tcW w:w="697" w:type="dxa"/>
            <w:vMerge w:val="restart"/>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4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公租房（30</w:t>
            </w:r>
            <w:r>
              <w:rPr>
                <w:rStyle w:val="37"/>
                <w:rFonts w:hint="eastAsia" w:ascii="仿宋" w:hAnsi="仿宋" w:eastAsia="仿宋" w:cs="仿宋"/>
                <w:color w:val="000000" w:themeColor="text1"/>
                <w:sz w:val="24"/>
                <w:szCs w:val="24"/>
                <w:lang w:val="en-US" w:eastAsia="zh-CN" w:bidi="ar"/>
                <w14:textFill>
                  <w14:solidFill>
                    <w14:schemeClr w14:val="tx1"/>
                  </w14:solidFill>
                </w14:textFill>
              </w:rPr>
              <w:t>分）</w:t>
            </w:r>
          </w:p>
        </w:tc>
        <w:tc>
          <w:tcPr>
            <w:tcW w:w="5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大门口做好车辆、人员登记，扫码测温</w:t>
            </w:r>
          </w:p>
        </w:tc>
        <w:tc>
          <w:tcPr>
            <w:tcW w:w="725"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449"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坚守岗位，忠于职守，严格执行岗位责任制</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各住宅楼消毒并做好登记</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60"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住宅区内无乱设摊点、乱设广告牌，</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982"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维修人员是否及时到位，故障是否按规定时间排除（若因其他已安排工作影响完成时间，及时向物业管理部门反馈）</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26"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敢于制止违法犯罪行为并及时报警，减少小区盗窃等案发率</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70"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服务人员服务热情，严守岗位</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30"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道路、楼道等清洁卫生无乱贴乱画</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60"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住宅区内道路定期用水车清洗</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40"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门卫室及周边保持干净整洁</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374"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垃圾桶清洁消毒</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374"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垃圾船清洁消毒</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374" w:hRule="atLeast"/>
        </w:trPr>
        <w:tc>
          <w:tcPr>
            <w:tcW w:w="69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restart"/>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室外清洁垃圾清运、环境监测及消杀（10分）</w:t>
            </w: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清洁服务区域室外卫生清洁及垃圾清运</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5</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环境监测及消杀（包含资料台账）</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5</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504"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69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w:t>
            </w:r>
          </w:p>
        </w:tc>
        <w:tc>
          <w:tcPr>
            <w:tcW w:w="1405" w:type="dxa"/>
            <w:vMerge w:val="restart"/>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其他情况（10</w:t>
            </w:r>
            <w:r>
              <w:rPr>
                <w:rStyle w:val="36"/>
                <w:rFonts w:hint="eastAsia" w:ascii="仿宋" w:hAnsi="仿宋" w:eastAsia="仿宋" w:cs="仿宋"/>
                <w:color w:val="000000" w:themeColor="text1"/>
                <w:sz w:val="24"/>
                <w:szCs w:val="24"/>
                <w:lang w:val="en-US" w:eastAsia="zh-CN" w:bidi="ar"/>
                <w14:textFill>
                  <w14:solidFill>
                    <w14:schemeClr w14:val="tx1"/>
                  </w14:solidFill>
                </w14:textFill>
              </w:rPr>
              <w:t>分）</w:t>
            </w: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甲方安排的临时性工作完成</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5</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736" w:hRule="atLeast"/>
        </w:trPr>
        <w:tc>
          <w:tcPr>
            <w:tcW w:w="69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口头整改、群内整改消息及下达的整改书面通知在限定期限内完成</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5</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668" w:hRule="atLeast"/>
        </w:trPr>
        <w:tc>
          <w:tcPr>
            <w:tcW w:w="69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4</w:t>
            </w:r>
          </w:p>
        </w:tc>
        <w:tc>
          <w:tcPr>
            <w:tcW w:w="1405" w:type="dxa"/>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满分</w:t>
            </w:r>
            <w:r>
              <w:rPr>
                <w:rStyle w:val="38"/>
                <w:rFonts w:hint="eastAsia" w:ascii="仿宋" w:hAnsi="仿宋" w:eastAsia="仿宋" w:cs="仿宋"/>
                <w:color w:val="000000" w:themeColor="text1"/>
                <w:sz w:val="24"/>
                <w:szCs w:val="24"/>
                <w:lang w:val="en-US" w:eastAsia="zh-CN" w:bidi="ar"/>
                <w14:textFill>
                  <w14:solidFill>
                    <w14:schemeClr w14:val="tx1"/>
                  </w14:solidFill>
                </w14:textFill>
              </w:rPr>
              <w:t>100</w:t>
            </w:r>
            <w:r>
              <w:rPr>
                <w:rStyle w:val="36"/>
                <w:rFonts w:hint="eastAsia" w:ascii="仿宋" w:hAnsi="仿宋" w:eastAsia="仿宋" w:cs="仿宋"/>
                <w:color w:val="000000" w:themeColor="text1"/>
                <w:sz w:val="24"/>
                <w:szCs w:val="24"/>
                <w:lang w:val="en-US" w:eastAsia="zh-CN" w:bidi="ar"/>
                <w14:textFill>
                  <w14:solidFill>
                    <w14:schemeClr w14:val="tx1"/>
                  </w14:solidFill>
                </w14:textFill>
              </w:rPr>
              <w:t>分</w:t>
            </w:r>
          </w:p>
        </w:tc>
        <w:tc>
          <w:tcPr>
            <w:tcW w:w="7175"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标准：优秀（</w:t>
            </w:r>
            <w:r>
              <w:rPr>
                <w:rStyle w:val="38"/>
                <w:rFonts w:hint="eastAsia" w:ascii="仿宋" w:hAnsi="仿宋" w:eastAsia="仿宋" w:cs="仿宋"/>
                <w:color w:val="000000" w:themeColor="text1"/>
                <w:sz w:val="24"/>
                <w:szCs w:val="24"/>
                <w:lang w:val="en-US" w:eastAsia="zh-CN" w:bidi="ar"/>
                <w14:textFill>
                  <w14:solidFill>
                    <w14:schemeClr w14:val="tx1"/>
                  </w14:solidFill>
                </w14:textFill>
              </w:rPr>
              <w:t>100-95</w:t>
            </w:r>
            <w:r>
              <w:rPr>
                <w:rStyle w:val="36"/>
                <w:rFonts w:hint="eastAsia" w:ascii="仿宋" w:hAnsi="仿宋" w:eastAsia="仿宋" w:cs="仿宋"/>
                <w:color w:val="000000" w:themeColor="text1"/>
                <w:sz w:val="24"/>
                <w:szCs w:val="24"/>
                <w:lang w:val="en-US" w:eastAsia="zh-CN" w:bidi="ar"/>
                <w14:textFill>
                  <w14:solidFill>
                    <w14:schemeClr w14:val="tx1"/>
                  </w14:solidFill>
                </w14:textFill>
              </w:rPr>
              <w:t>分），良好（</w:t>
            </w:r>
            <w:r>
              <w:rPr>
                <w:rStyle w:val="38"/>
                <w:rFonts w:hint="eastAsia" w:ascii="仿宋" w:hAnsi="仿宋" w:eastAsia="仿宋" w:cs="仿宋"/>
                <w:color w:val="000000" w:themeColor="text1"/>
                <w:sz w:val="24"/>
                <w:szCs w:val="24"/>
                <w:lang w:val="en-US" w:eastAsia="zh-CN" w:bidi="ar"/>
                <w14:textFill>
                  <w14:solidFill>
                    <w14:schemeClr w14:val="tx1"/>
                  </w14:solidFill>
                </w14:textFill>
              </w:rPr>
              <w:t>94-85</w:t>
            </w:r>
            <w:r>
              <w:rPr>
                <w:rStyle w:val="36"/>
                <w:rFonts w:hint="eastAsia" w:ascii="仿宋" w:hAnsi="仿宋" w:eastAsia="仿宋" w:cs="仿宋"/>
                <w:color w:val="000000" w:themeColor="text1"/>
                <w:sz w:val="24"/>
                <w:szCs w:val="24"/>
                <w:lang w:val="en-US" w:eastAsia="zh-CN" w:bidi="ar"/>
                <w14:textFill>
                  <w14:solidFill>
                    <w14:schemeClr w14:val="tx1"/>
                  </w14:solidFill>
                </w14:textFill>
              </w:rPr>
              <w:t>分），中等（</w:t>
            </w:r>
            <w:r>
              <w:rPr>
                <w:rStyle w:val="38"/>
                <w:rFonts w:hint="eastAsia" w:ascii="仿宋" w:hAnsi="仿宋" w:eastAsia="仿宋" w:cs="仿宋"/>
                <w:color w:val="000000" w:themeColor="text1"/>
                <w:sz w:val="24"/>
                <w:szCs w:val="24"/>
                <w:lang w:val="en-US" w:eastAsia="zh-CN" w:bidi="ar"/>
                <w14:textFill>
                  <w14:solidFill>
                    <w14:schemeClr w14:val="tx1"/>
                  </w14:solidFill>
                </w14:textFill>
              </w:rPr>
              <w:t>84-75</w:t>
            </w:r>
            <w:r>
              <w:rPr>
                <w:rStyle w:val="36"/>
                <w:rFonts w:hint="eastAsia" w:ascii="仿宋" w:hAnsi="仿宋" w:eastAsia="仿宋" w:cs="仿宋"/>
                <w:color w:val="000000" w:themeColor="text1"/>
                <w:sz w:val="24"/>
                <w:szCs w:val="24"/>
                <w:lang w:val="en-US" w:eastAsia="zh-CN" w:bidi="ar"/>
                <w14:textFill>
                  <w14:solidFill>
                    <w14:schemeClr w14:val="tx1"/>
                  </w14:solidFill>
                </w14:textFill>
              </w:rPr>
              <w:t>分）一般（74-65分）不及格（64分及以下）</w:t>
            </w:r>
          </w:p>
        </w:tc>
      </w:tr>
      <w:tr>
        <w:tblPrEx>
          <w:tblCellMar>
            <w:top w:w="0" w:type="dxa"/>
            <w:left w:w="108" w:type="dxa"/>
            <w:bottom w:w="0" w:type="dxa"/>
            <w:right w:w="108" w:type="dxa"/>
          </w:tblCellMar>
        </w:tblPrEx>
        <w:trPr>
          <w:trHeight w:val="1129" w:hRule="atLeast"/>
        </w:trPr>
        <w:tc>
          <w:tcPr>
            <w:tcW w:w="697" w:type="dxa"/>
            <w:vMerge w:val="restart"/>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5</w:t>
            </w:r>
          </w:p>
        </w:tc>
        <w:tc>
          <w:tcPr>
            <w:tcW w:w="14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其他考核标准（60</w:t>
            </w:r>
            <w:r>
              <w:rPr>
                <w:rStyle w:val="36"/>
                <w:rFonts w:hint="eastAsia" w:ascii="仿宋" w:hAnsi="仿宋" w:eastAsia="仿宋" w:cs="仿宋"/>
                <w:color w:val="000000" w:themeColor="text1"/>
                <w:sz w:val="24"/>
                <w:szCs w:val="24"/>
                <w:lang w:val="en-US" w:eastAsia="zh-CN" w:bidi="ar"/>
                <w14:textFill>
                  <w14:solidFill>
                    <w14:schemeClr w14:val="tx1"/>
                  </w14:solidFill>
                </w14:textFill>
              </w:rPr>
              <w:t>分）</w:t>
            </w:r>
          </w:p>
        </w:tc>
        <w:tc>
          <w:tcPr>
            <w:tcW w:w="5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新闻媒体曝光，市、区领导批示的群众信件中提出批评，人大代表、政协委员等反应的物业管理问题，情况属实。</w:t>
            </w:r>
          </w:p>
        </w:tc>
        <w:tc>
          <w:tcPr>
            <w:tcW w:w="72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698" w:type="dxa"/>
            <w:tcBorders>
              <w:top w:val="single" w:color="000000" w:sz="8" w:space="0"/>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826"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园区企业向上级部门的来信来访、热线电话反映物业服务负面内容，并经有关部门、综保区查实的。</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549" w:hRule="atLeast"/>
        </w:trPr>
        <w:tc>
          <w:tcPr>
            <w:tcW w:w="697" w:type="dxa"/>
            <w:vMerge w:val="continue"/>
            <w:tcBorders>
              <w:top w:val="nil"/>
              <w:left w:val="single" w:color="000000" w:sz="8" w:space="0"/>
              <w:bottom w:val="single" w:color="000000" w:sz="8" w:space="0"/>
              <w:right w:val="single" w:color="auto" w:sz="4"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新闻媒体向综保区及上级部门提出批评的。</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-10    </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rPr>
          <w:trHeight w:val="759" w:hRule="atLeast"/>
        </w:trPr>
        <w:tc>
          <w:tcPr>
            <w:tcW w:w="697" w:type="dxa"/>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tcBorders>
              <w:top w:val="single" w:color="auto" w:sz="4"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园区重要接待迎检活动中，物业服务水平受到综保区及以上政府部门表扬。</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779" w:hRule="atLeast"/>
        </w:trPr>
        <w:tc>
          <w:tcPr>
            <w:tcW w:w="697" w:type="dxa"/>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园区企业向综保区管委会或公司主要领导提出对物业公司的书面表扬或感谢。</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739" w:hRule="atLeast"/>
        </w:trPr>
        <w:tc>
          <w:tcPr>
            <w:tcW w:w="697" w:type="dxa"/>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405" w:type="dxa"/>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5752"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物业公司解决贫困人口就业，受到乡镇及以上政府部门书面表扬。</w:t>
            </w:r>
          </w:p>
        </w:tc>
        <w:tc>
          <w:tcPr>
            <w:tcW w:w="7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698" w:type="dxa"/>
            <w:tcBorders>
              <w:top w:val="nil"/>
              <w:left w:val="nil"/>
              <w:bottom w:val="single" w:color="000000" w:sz="8" w:space="0"/>
              <w:right w:val="single" w:color="000000" w:sz="8" w:space="0"/>
            </w:tcBorders>
            <w:noWrap w:val="0"/>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CellMar>
            <w:top w:w="0" w:type="dxa"/>
            <w:left w:w="108" w:type="dxa"/>
            <w:bottom w:w="0" w:type="dxa"/>
            <w:right w:w="108" w:type="dxa"/>
          </w:tblCellMar>
        </w:tblPrEx>
        <w:trPr>
          <w:trHeight w:val="413" w:hRule="atLeast"/>
        </w:trPr>
        <w:tc>
          <w:tcPr>
            <w:tcW w:w="69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8580" w:type="dxa"/>
            <w:gridSpan w:val="4"/>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每发现一处不合格扣一分，扣完为止。</w:t>
            </w:r>
          </w:p>
        </w:tc>
      </w:tr>
    </w:tbl>
    <w:p>
      <w:pPr>
        <w:spacing w:before="117"/>
        <w:ind w:left="1554" w:right="1543" w:firstLine="0"/>
        <w:jc w:val="center"/>
        <w:rPr>
          <w:rFonts w:hint="eastAsia" w:ascii="仿宋_GB2312" w:hAnsi="仿宋_GB2312" w:eastAsia="仿宋_GB2312" w:cs="仿宋_GB2312"/>
          <w:b/>
          <w:color w:val="000000" w:themeColor="text1"/>
          <w:sz w:val="24"/>
          <w14:textFill>
            <w14:solidFill>
              <w14:schemeClr w14:val="tx1"/>
            </w14:solidFill>
          </w14:textFill>
        </w:rPr>
      </w:pPr>
    </w:p>
    <w:p>
      <w:pPr>
        <w:spacing w:before="117"/>
        <w:ind w:right="1543" w:firstLine="1205" w:firstLineChars="500"/>
        <w:jc w:val="both"/>
        <w:rPr>
          <w:rFonts w:hint="eastAsia" w:ascii="仿宋_GB2312" w:hAnsi="仿宋_GB2312" w:eastAsia="仿宋_GB2312" w:cs="仿宋_GB2312"/>
          <w:b/>
          <w:color w:val="000000" w:themeColor="text1"/>
          <w:sz w:val="24"/>
          <w:lang w:val="en-US" w:eastAsia="zh-CN"/>
          <w14:textFill>
            <w14:solidFill>
              <w14:schemeClr w14:val="tx1"/>
            </w14:solidFill>
          </w14:textFill>
        </w:rPr>
      </w:pPr>
      <w:r>
        <w:rPr>
          <w:rFonts w:hint="eastAsia" w:ascii="仿宋_GB2312" w:hAnsi="仿宋_GB2312" w:eastAsia="仿宋_GB2312" w:cs="仿宋_GB2312"/>
          <w:b/>
          <w:color w:val="000000" w:themeColor="text1"/>
          <w:sz w:val="24"/>
          <w:lang w:val="en-US" w:eastAsia="zh-CN"/>
          <w14:textFill>
            <w14:solidFill>
              <w14:schemeClr w14:val="tx1"/>
            </w14:solidFill>
          </w14:textFill>
        </w:rPr>
        <w:t xml:space="preserve"> </w:t>
      </w:r>
    </w:p>
    <w:p>
      <w:pPr>
        <w:rPr>
          <w:rFonts w:hint="eastAsia" w:ascii="仿宋_GB2312" w:hAnsi="仿宋_GB2312" w:eastAsia="仿宋_GB2312" w:cs="仿宋_GB2312"/>
          <w:b/>
          <w:color w:val="000000" w:themeColor="text1"/>
          <w:sz w:val="24"/>
          <w:lang w:val="en-US" w:eastAsia="zh-CN"/>
          <w14:textFill>
            <w14:solidFill>
              <w14:schemeClr w14:val="tx1"/>
            </w14:solidFill>
          </w14:textFill>
        </w:rPr>
      </w:pPr>
      <w:r>
        <w:rPr>
          <w:rFonts w:hint="eastAsia" w:ascii="仿宋_GB2312" w:hAnsi="仿宋_GB2312" w:eastAsia="仿宋_GB2312" w:cs="仿宋_GB2312"/>
          <w:b/>
          <w:color w:val="000000" w:themeColor="text1"/>
          <w:sz w:val="24"/>
          <w:lang w:val="en-US" w:eastAsia="zh-CN"/>
          <w14:textFill>
            <w14:solidFill>
              <w14:schemeClr w14:val="tx1"/>
            </w14:solidFill>
          </w14:textFill>
        </w:rPr>
        <w:br w:type="page"/>
      </w:r>
    </w:p>
    <w:p>
      <w:pPr>
        <w:spacing w:before="117"/>
        <w:ind w:right="1543" w:firstLine="1205" w:firstLineChars="500"/>
        <w:jc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喀什</w:t>
      </w:r>
      <w:r>
        <w:rPr>
          <w:rFonts w:hint="eastAsia" w:ascii="仿宋_GB2312" w:hAnsi="仿宋_GB2312" w:eastAsia="仿宋_GB2312" w:cs="仿宋_GB2312"/>
          <w:b/>
          <w:color w:val="000000" w:themeColor="text1"/>
          <w:sz w:val="24"/>
          <w:lang w:val="en-US" w:eastAsia="zh-CN"/>
          <w14:textFill>
            <w14:solidFill>
              <w14:schemeClr w14:val="tx1"/>
            </w14:solidFill>
          </w14:textFill>
        </w:rPr>
        <w:t>综合保税区物业服务及</w:t>
      </w:r>
      <w:r>
        <w:rPr>
          <w:rFonts w:hint="eastAsia" w:ascii="仿宋_GB2312" w:hAnsi="仿宋_GB2312" w:eastAsia="仿宋_GB2312" w:cs="仿宋_GB2312"/>
          <w:b/>
          <w:color w:val="000000" w:themeColor="text1"/>
          <w:sz w:val="24"/>
          <w14:textFill>
            <w14:solidFill>
              <w14:schemeClr w14:val="tx1"/>
            </w14:solidFill>
          </w14:textFill>
        </w:rPr>
        <w:t>环境卫生考核管理办法</w:t>
      </w:r>
    </w:p>
    <w:p>
      <w:pPr>
        <w:pStyle w:val="2"/>
        <w:rPr>
          <w:rFonts w:hint="eastAsia"/>
        </w:rPr>
      </w:pPr>
    </w:p>
    <w:p>
      <w:pPr>
        <w:pStyle w:val="3"/>
        <w:tabs>
          <w:tab w:val="left" w:pos="567"/>
        </w:tabs>
        <w:spacing w:before="4" w:line="242" w:lineRule="auto"/>
        <w:ind w:left="134" w:right="250" w:firstLine="480" w:firstLineChars="200"/>
        <w:jc w:val="both"/>
        <w:rPr>
          <w:rFonts w:hint="eastAsia" w:ascii="仿宋_GB2312" w:hAnsi="仿宋_GB2312" w:eastAsia="仿宋_GB2312" w:cs="仿宋_GB2312"/>
          <w:color w:val="000000" w:themeColor="text1"/>
          <w14:textFill>
            <w14:solidFill>
              <w14:schemeClr w14:val="tx1"/>
            </w14:solidFill>
          </w14:textFill>
        </w:rPr>
      </w:pPr>
      <w:bookmarkStart w:id="327" w:name="为进一步提高开发区环境卫生建设和管理水平，促进开发区环境卫生常态化管理，营造一个"/>
      <w:bookmarkEnd w:id="327"/>
      <w:r>
        <w:rPr>
          <w:rFonts w:hint="eastAsia" w:ascii="仿宋_GB2312" w:hAnsi="仿宋_GB2312" w:eastAsia="仿宋_GB2312" w:cs="仿宋_GB2312"/>
          <w:color w:val="000000" w:themeColor="text1"/>
          <w14:textFill>
            <w14:solidFill>
              <w14:schemeClr w14:val="tx1"/>
            </w14:solidFill>
          </w14:textFill>
        </w:rPr>
        <w:t>为进一步提高</w:t>
      </w:r>
      <w:r>
        <w:rPr>
          <w:rFonts w:hint="eastAsia" w:ascii="仿宋_GB2312" w:hAnsi="仿宋_GB2312" w:eastAsia="仿宋_GB2312" w:cs="仿宋_GB2312"/>
          <w:color w:val="000000" w:themeColor="text1"/>
          <w:lang w:val="en-US" w:eastAsia="zh-CN"/>
          <w14:textFill>
            <w14:solidFill>
              <w14:schemeClr w14:val="tx1"/>
            </w14:solidFill>
          </w14:textFill>
        </w:rPr>
        <w:t>综保区</w:t>
      </w:r>
      <w:r>
        <w:rPr>
          <w:rFonts w:hint="eastAsia" w:ascii="仿宋_GB2312" w:hAnsi="仿宋_GB2312" w:eastAsia="仿宋_GB2312" w:cs="仿宋_GB2312"/>
          <w:color w:val="000000" w:themeColor="text1"/>
          <w14:textFill>
            <w14:solidFill>
              <w14:schemeClr w14:val="tx1"/>
            </w14:solidFill>
          </w14:textFill>
        </w:rPr>
        <w:t>环境卫生建设和</w:t>
      </w:r>
      <w:r>
        <w:rPr>
          <w:rFonts w:hint="eastAsia" w:ascii="仿宋_GB2312" w:hAnsi="仿宋_GB2312" w:eastAsia="仿宋_GB2312" w:cs="仿宋_GB2312"/>
          <w:color w:val="000000" w:themeColor="text1"/>
          <w:lang w:val="en-US" w:eastAsia="zh-CN"/>
          <w14:textFill>
            <w14:solidFill>
              <w14:schemeClr w14:val="tx1"/>
            </w14:solidFill>
          </w14:textFill>
        </w:rPr>
        <w:t>物业</w:t>
      </w:r>
      <w:r>
        <w:rPr>
          <w:rFonts w:hint="eastAsia" w:ascii="仿宋_GB2312" w:hAnsi="仿宋_GB2312" w:eastAsia="仿宋_GB2312" w:cs="仿宋_GB2312"/>
          <w:color w:val="000000" w:themeColor="text1"/>
          <w14:textFill>
            <w14:solidFill>
              <w14:schemeClr w14:val="tx1"/>
            </w14:solidFill>
          </w14:textFill>
        </w:rPr>
        <w:t>管理水平，促进</w:t>
      </w:r>
      <w:r>
        <w:rPr>
          <w:rFonts w:hint="eastAsia" w:ascii="仿宋_GB2312" w:hAnsi="仿宋_GB2312" w:eastAsia="仿宋_GB2312" w:cs="仿宋_GB2312"/>
          <w:color w:val="000000" w:themeColor="text1"/>
          <w:lang w:val="en-US" w:eastAsia="zh-CN"/>
          <w14:textFill>
            <w14:solidFill>
              <w14:schemeClr w14:val="tx1"/>
            </w14:solidFill>
          </w14:textFill>
        </w:rPr>
        <w:t>综保区</w:t>
      </w:r>
      <w:r>
        <w:rPr>
          <w:rFonts w:hint="eastAsia" w:ascii="仿宋_GB2312" w:hAnsi="仿宋_GB2312" w:eastAsia="仿宋_GB2312" w:cs="仿宋_GB2312"/>
          <w:color w:val="000000" w:themeColor="text1"/>
          <w14:textFill>
            <w14:solidFill>
              <w14:schemeClr w14:val="tx1"/>
            </w14:solidFill>
          </w14:textFill>
        </w:rPr>
        <w:t>环境卫生</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常态化管理，营造一个整洁、有序、美观的形象，现结合</w:t>
      </w:r>
      <w:r>
        <w:rPr>
          <w:rFonts w:hint="eastAsia" w:ascii="仿宋_GB2312" w:hAnsi="仿宋_GB2312" w:eastAsia="仿宋_GB2312" w:cs="仿宋_GB2312"/>
          <w:color w:val="000000" w:themeColor="text1"/>
          <w:lang w:val="en-US" w:eastAsia="zh-CN"/>
          <w14:textFill>
            <w14:solidFill>
              <w14:schemeClr w14:val="tx1"/>
            </w14:solidFill>
          </w14:textFill>
        </w:rPr>
        <w:t>综保区</w:t>
      </w:r>
      <w:r>
        <w:rPr>
          <w:rFonts w:hint="eastAsia" w:ascii="仿宋_GB2312" w:hAnsi="仿宋_GB2312" w:eastAsia="仿宋_GB2312" w:cs="仿宋_GB2312"/>
          <w:color w:val="000000" w:themeColor="text1"/>
          <w14:textFill>
            <w14:solidFill>
              <w14:schemeClr w14:val="tx1"/>
            </w14:solidFill>
          </w14:textFill>
        </w:rPr>
        <w:t>实际，特制定本考核办法。</w:t>
      </w:r>
    </w:p>
    <w:p>
      <w:pPr>
        <w:pStyle w:val="3"/>
        <w:tabs>
          <w:tab w:val="left" w:pos="567"/>
        </w:tabs>
        <w:spacing w:before="2"/>
        <w:ind w:left="134"/>
        <w:outlineLvl w:val="1"/>
        <w:rPr>
          <w:rFonts w:hint="eastAsia" w:ascii="仿宋_GB2312" w:hAnsi="仿宋_GB2312" w:eastAsia="仿宋_GB2312" w:cs="仿宋_GB2312"/>
          <w:color w:val="000000" w:themeColor="text1"/>
          <w14:textFill>
            <w14:solidFill>
              <w14:schemeClr w14:val="tx1"/>
            </w14:solidFill>
          </w14:textFill>
        </w:rPr>
      </w:pPr>
      <w:bookmarkStart w:id="328" w:name="一、考核对象"/>
      <w:bookmarkEnd w:id="328"/>
      <w:bookmarkStart w:id="329" w:name="_Toc19915"/>
      <w:r>
        <w:rPr>
          <w:rFonts w:hint="eastAsia" w:ascii="仿宋_GB2312" w:hAnsi="仿宋_GB2312" w:eastAsia="仿宋_GB2312" w:cs="仿宋_GB2312"/>
          <w:color w:val="000000" w:themeColor="text1"/>
          <w14:textFill>
            <w14:solidFill>
              <w14:schemeClr w14:val="tx1"/>
            </w14:solidFill>
          </w14:textFill>
        </w:rPr>
        <w:t>一、考核对象</w:t>
      </w:r>
      <w:bookmarkEnd w:id="329"/>
    </w:p>
    <w:p>
      <w:pPr>
        <w:pStyle w:val="3"/>
        <w:tabs>
          <w:tab w:val="left" w:pos="567"/>
        </w:tabs>
        <w:spacing w:before="2" w:line="242" w:lineRule="auto"/>
        <w:ind w:right="2376" w:rightChars="0"/>
        <w:rPr>
          <w:rFonts w:hint="eastAsia" w:ascii="仿宋_GB2312" w:hAnsi="仿宋_GB2312" w:eastAsia="仿宋_GB2312" w:cs="仿宋_GB2312"/>
          <w:color w:val="000000" w:themeColor="text1"/>
          <w:spacing w:val="-2"/>
          <w14:textFill>
            <w14:solidFill>
              <w14:schemeClr w14:val="tx1"/>
            </w14:solidFill>
          </w14:textFill>
        </w:rPr>
      </w:pPr>
      <w:bookmarkStart w:id="330" w:name="开发区环卫管理单位"/>
      <w:bookmarkEnd w:id="330"/>
      <w:r>
        <w:rPr>
          <w:rFonts w:hint="eastAsia" w:ascii="仿宋_GB2312" w:hAnsi="仿宋_GB2312" w:eastAsia="仿宋_GB2312" w:cs="仿宋_GB2312"/>
          <w:color w:val="000000" w:themeColor="text1"/>
          <w:spacing w:val="-2"/>
          <w:lang w:val="en-US" w:eastAsia="zh-CN"/>
          <w14:textFill>
            <w14:solidFill>
              <w14:schemeClr w14:val="tx1"/>
            </w14:solidFill>
          </w14:textFill>
        </w:rPr>
        <w:t>综保区物业服务</w:t>
      </w:r>
      <w:r>
        <w:rPr>
          <w:rFonts w:hint="eastAsia" w:ascii="仿宋_GB2312" w:hAnsi="仿宋_GB2312" w:eastAsia="仿宋_GB2312" w:cs="仿宋_GB2312"/>
          <w:color w:val="000000" w:themeColor="text1"/>
          <w:spacing w:val="-2"/>
          <w14:textFill>
            <w14:solidFill>
              <w14:schemeClr w14:val="tx1"/>
            </w14:solidFill>
          </w14:textFill>
        </w:rPr>
        <w:t>单位</w:t>
      </w:r>
      <w:bookmarkStart w:id="331" w:name="二、考核内容"/>
      <w:bookmarkEnd w:id="331"/>
    </w:p>
    <w:p>
      <w:pPr>
        <w:pStyle w:val="3"/>
        <w:tabs>
          <w:tab w:val="left" w:pos="567"/>
        </w:tabs>
        <w:spacing w:before="2" w:line="242" w:lineRule="auto"/>
        <w:ind w:right="2376" w:rightChars="0"/>
        <w:outlineLvl w:val="1"/>
        <w:rPr>
          <w:rFonts w:hint="eastAsia" w:ascii="仿宋_GB2312" w:hAnsi="仿宋_GB2312" w:eastAsia="仿宋_GB2312" w:cs="仿宋_GB2312"/>
          <w:color w:val="000000" w:themeColor="text1"/>
          <w14:textFill>
            <w14:solidFill>
              <w14:schemeClr w14:val="tx1"/>
            </w14:solidFill>
          </w14:textFill>
        </w:rPr>
      </w:pPr>
      <w:bookmarkStart w:id="332" w:name="_Toc12979"/>
      <w:r>
        <w:rPr>
          <w:rFonts w:hint="eastAsia" w:ascii="仿宋_GB2312" w:hAnsi="仿宋_GB2312" w:eastAsia="仿宋_GB2312" w:cs="仿宋_GB2312"/>
          <w:color w:val="000000" w:themeColor="text1"/>
          <w14:textFill>
            <w14:solidFill>
              <w14:schemeClr w14:val="tx1"/>
            </w14:solidFill>
          </w14:textFill>
        </w:rPr>
        <w:t>二、考核内容</w:t>
      </w:r>
      <w:bookmarkEnd w:id="332"/>
    </w:p>
    <w:p>
      <w:pPr>
        <w:pStyle w:val="3"/>
        <w:tabs>
          <w:tab w:val="left" w:pos="567"/>
        </w:tabs>
        <w:spacing w:before="3" w:line="242" w:lineRule="auto"/>
        <w:ind w:right="730"/>
        <w:rPr>
          <w:rFonts w:hint="eastAsia" w:ascii="仿宋_GB2312" w:hAnsi="仿宋_GB2312" w:eastAsia="仿宋_GB2312" w:cs="仿宋_GB2312"/>
          <w:color w:val="000000" w:themeColor="text1"/>
          <w:spacing w:val="-1"/>
          <w14:textFill>
            <w14:solidFill>
              <w14:schemeClr w14:val="tx1"/>
            </w14:solidFill>
          </w14:textFill>
        </w:rPr>
      </w:pPr>
      <w:bookmarkStart w:id="333" w:name="对环境卫生清扫保洁、垃圾收运作业、组织制度、队伍管理等进行考核。"/>
      <w:bookmarkEnd w:id="333"/>
      <w:r>
        <w:rPr>
          <w:rFonts w:hint="eastAsia" w:ascii="仿宋_GB2312" w:hAnsi="仿宋_GB2312" w:eastAsia="仿宋_GB2312" w:cs="仿宋_GB2312"/>
          <w:color w:val="000000" w:themeColor="text1"/>
          <w:spacing w:val="-1"/>
          <w14:textFill>
            <w14:solidFill>
              <w14:schemeClr w14:val="tx1"/>
            </w14:solidFill>
          </w14:textFill>
        </w:rPr>
        <w:t>对</w:t>
      </w:r>
      <w:r>
        <w:rPr>
          <w:rFonts w:hint="eastAsia" w:ascii="仿宋_GB2312" w:hAnsi="仿宋_GB2312" w:eastAsia="仿宋_GB2312" w:cs="仿宋_GB2312"/>
          <w:color w:val="000000" w:themeColor="text1"/>
          <w:spacing w:val="-1"/>
          <w:lang w:val="en-US" w:eastAsia="zh-CN"/>
          <w14:textFill>
            <w14:solidFill>
              <w14:schemeClr w14:val="tx1"/>
            </w14:solidFill>
          </w14:textFill>
        </w:rPr>
        <w:t>室内外</w:t>
      </w:r>
      <w:r>
        <w:rPr>
          <w:rFonts w:hint="eastAsia" w:ascii="仿宋_GB2312" w:hAnsi="仿宋_GB2312" w:eastAsia="仿宋_GB2312" w:cs="仿宋_GB2312"/>
          <w:color w:val="000000" w:themeColor="text1"/>
          <w:spacing w:val="-1"/>
          <w14:textFill>
            <w14:solidFill>
              <w14:schemeClr w14:val="tx1"/>
            </w14:solidFill>
          </w14:textFill>
        </w:rPr>
        <w:t>环境卫生清扫保洁、垃圾收运作业、组织制度、队伍管理等进行考核。</w:t>
      </w:r>
      <w:bookmarkStart w:id="334" w:name="三、考核标准"/>
      <w:bookmarkEnd w:id="334"/>
    </w:p>
    <w:p>
      <w:pPr>
        <w:pStyle w:val="3"/>
        <w:tabs>
          <w:tab w:val="left" w:pos="567"/>
        </w:tabs>
        <w:spacing w:before="3" w:line="242" w:lineRule="auto"/>
        <w:ind w:right="730"/>
        <w:outlineLvl w:val="1"/>
        <w:rPr>
          <w:rFonts w:hint="eastAsia" w:ascii="仿宋_GB2312" w:hAnsi="仿宋_GB2312" w:eastAsia="仿宋_GB2312" w:cs="仿宋_GB2312"/>
          <w:color w:val="000000" w:themeColor="text1"/>
          <w14:textFill>
            <w14:solidFill>
              <w14:schemeClr w14:val="tx1"/>
            </w14:solidFill>
          </w14:textFill>
        </w:rPr>
      </w:pPr>
      <w:bookmarkStart w:id="335" w:name="_Toc5954"/>
      <w:r>
        <w:rPr>
          <w:rFonts w:hint="eastAsia" w:ascii="仿宋_GB2312" w:hAnsi="仿宋_GB2312" w:eastAsia="仿宋_GB2312" w:cs="仿宋_GB2312"/>
          <w:color w:val="000000" w:themeColor="text1"/>
          <w14:textFill>
            <w14:solidFill>
              <w14:schemeClr w14:val="tx1"/>
            </w14:solidFill>
          </w14:textFill>
        </w:rPr>
        <w:t>三、考核标准</w:t>
      </w:r>
      <w:bookmarkEnd w:id="335"/>
    </w:p>
    <w:p>
      <w:pPr>
        <w:pStyle w:val="3"/>
        <w:tabs>
          <w:tab w:val="left" w:pos="567"/>
        </w:tabs>
        <w:spacing w:line="242" w:lineRule="auto"/>
        <w:ind w:right="2290"/>
        <w:rPr>
          <w:rFonts w:hint="eastAsia" w:ascii="仿宋_GB2312" w:hAnsi="仿宋_GB2312" w:eastAsia="仿宋_GB2312" w:cs="仿宋_GB2312"/>
          <w:color w:val="000000" w:themeColor="text1"/>
          <w14:textFill>
            <w14:solidFill>
              <w14:schemeClr w14:val="tx1"/>
            </w14:solidFill>
          </w14:textFill>
        </w:rPr>
      </w:pPr>
      <w:bookmarkStart w:id="336" w:name="考核方法"/>
      <w:bookmarkEnd w:id="336"/>
      <w:bookmarkStart w:id="337" w:name="见《喀什经济开发区环境卫生考核评分标准》（附件1）。"/>
      <w:bookmarkEnd w:id="337"/>
      <w:r>
        <w:rPr>
          <w:rFonts w:hint="eastAsia" w:ascii="仿宋_GB2312" w:hAnsi="仿宋_GB2312" w:eastAsia="仿宋_GB2312" w:cs="仿宋_GB2312"/>
          <w:color w:val="000000" w:themeColor="text1"/>
          <w14:textFill>
            <w14:solidFill>
              <w14:schemeClr w14:val="tx1"/>
            </w14:solidFill>
          </w14:textFill>
        </w:rPr>
        <w:t>考核方法</w:t>
      </w:r>
    </w:p>
    <w:p>
      <w:pPr>
        <w:pStyle w:val="3"/>
        <w:tabs>
          <w:tab w:val="left" w:pos="567"/>
        </w:tabs>
        <w:spacing w:before="3" w:line="242" w:lineRule="auto"/>
        <w:ind w:right="134"/>
        <w:rPr>
          <w:rFonts w:hint="eastAsia" w:ascii="仿宋_GB2312" w:hAnsi="仿宋_GB2312" w:eastAsia="仿宋_GB2312" w:cs="仿宋_GB2312"/>
          <w:color w:val="000000" w:themeColor="text1"/>
          <w14:textFill>
            <w14:solidFill>
              <w14:schemeClr w14:val="tx1"/>
            </w14:solidFill>
          </w14:textFill>
        </w:rPr>
      </w:pPr>
      <w:bookmarkStart w:id="338" w:name="1、日常检查：每周不定期进行，日常检查组将根据发现的的问题或开发区干部反映的问题"/>
      <w:bookmarkEnd w:id="338"/>
      <w:r>
        <w:rPr>
          <w:rFonts w:hint="eastAsia" w:ascii="仿宋_GB2312" w:hAnsi="仿宋_GB2312" w:eastAsia="仿宋_GB2312" w:cs="仿宋_GB2312"/>
          <w:color w:val="000000" w:themeColor="text1"/>
          <w14:textFill>
            <w14:solidFill>
              <w14:schemeClr w14:val="tx1"/>
            </w14:solidFill>
          </w14:textFill>
        </w:rPr>
        <w:t>1、日常检查：每周不定期进行，日常检查组将根据发现的的问题或</w:t>
      </w:r>
      <w:r>
        <w:rPr>
          <w:rFonts w:hint="eastAsia" w:ascii="仿宋_GB2312" w:hAnsi="仿宋_GB2312" w:eastAsia="仿宋_GB2312" w:cs="仿宋_GB2312"/>
          <w:color w:val="000000" w:themeColor="text1"/>
          <w:lang w:val="en-US" w:eastAsia="zh-CN"/>
          <w14:textFill>
            <w14:solidFill>
              <w14:schemeClr w14:val="tx1"/>
            </w14:solidFill>
          </w14:textFill>
        </w:rPr>
        <w:t>综保区</w:t>
      </w:r>
      <w:r>
        <w:rPr>
          <w:rFonts w:hint="eastAsia" w:ascii="仿宋_GB2312" w:hAnsi="仿宋_GB2312" w:eastAsia="仿宋_GB2312" w:cs="仿宋_GB2312"/>
          <w:color w:val="000000" w:themeColor="text1"/>
          <w14:textFill>
            <w14:solidFill>
              <w14:schemeClr w14:val="tx1"/>
            </w14:solidFill>
          </w14:textFill>
        </w:rPr>
        <w:t>干部</w:t>
      </w:r>
      <w:r>
        <w:rPr>
          <w:rFonts w:hint="eastAsia" w:ascii="仿宋_GB2312" w:hAnsi="仿宋_GB2312" w:eastAsia="仿宋_GB2312" w:cs="仿宋_GB2312"/>
          <w:color w:val="000000" w:themeColor="text1"/>
          <w:lang w:val="en-US" w:eastAsia="zh-CN"/>
          <w14:textFill>
            <w14:solidFill>
              <w14:schemeClr w14:val="tx1"/>
            </w14:solidFill>
          </w14:textFill>
        </w:rPr>
        <w:t>职工</w:t>
      </w:r>
      <w:r>
        <w:rPr>
          <w:rFonts w:hint="eastAsia" w:ascii="仿宋_GB2312" w:hAnsi="仿宋_GB2312" w:eastAsia="仿宋_GB2312" w:cs="仿宋_GB2312"/>
          <w:color w:val="000000" w:themeColor="text1"/>
          <w14:textFill>
            <w14:solidFill>
              <w14:schemeClr w14:val="tx1"/>
            </w14:solidFill>
          </w14:textFill>
        </w:rPr>
        <w:t>反映的问题及时通知</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企业，并按要求进行复查。整改期限已到仍未达到要求的，按照考核评分标准</w:t>
      </w:r>
      <w:r>
        <w:rPr>
          <w:rFonts w:hint="eastAsia" w:ascii="仿宋_GB2312" w:hAnsi="仿宋_GB2312" w:eastAsia="仿宋_GB2312" w:cs="仿宋_GB2312"/>
          <w:color w:val="000000" w:themeColor="text1"/>
          <w:lang w:val="en-US" w:eastAsia="zh-CN"/>
          <w14:textFill>
            <w14:solidFill>
              <w14:schemeClr w14:val="tx1"/>
            </w14:solidFill>
          </w14:textFill>
        </w:rPr>
        <w:t>进行考核</w:t>
      </w:r>
      <w:r>
        <w:rPr>
          <w:rFonts w:hint="eastAsia" w:ascii="仿宋_GB2312" w:hAnsi="仿宋_GB2312" w:eastAsia="仿宋_GB2312" w:cs="仿宋_GB2312"/>
          <w:color w:val="000000" w:themeColor="text1"/>
          <w14:textFill>
            <w14:solidFill>
              <w14:schemeClr w14:val="tx1"/>
            </w14:solidFill>
          </w14:textFill>
        </w:rPr>
        <w:t>。</w:t>
      </w:r>
    </w:p>
    <w:p>
      <w:pPr>
        <w:pStyle w:val="3"/>
        <w:tabs>
          <w:tab w:val="left" w:pos="567"/>
        </w:tabs>
        <w:spacing w:line="242" w:lineRule="auto"/>
        <w:ind w:right="250"/>
        <w:jc w:val="both"/>
        <w:rPr>
          <w:rFonts w:hint="eastAsia" w:ascii="仿宋_GB2312" w:hAnsi="仿宋_GB2312" w:eastAsia="仿宋_GB2312" w:cs="仿宋_GB2312"/>
          <w:color w:val="000000" w:themeColor="text1"/>
          <w14:textFill>
            <w14:solidFill>
              <w14:schemeClr w14:val="tx1"/>
            </w14:solidFill>
          </w14:textFill>
        </w:rPr>
      </w:pPr>
      <w:bookmarkStart w:id="339" w:name="2、督查：每个月1次，由城东金融贸易区管理服务中心领导会同管理企业负责人对各管理"/>
      <w:bookmarkEnd w:id="339"/>
      <w:r>
        <w:rPr>
          <w:rFonts w:hint="eastAsia" w:ascii="仿宋_GB2312" w:hAnsi="仿宋_GB2312" w:eastAsia="仿宋_GB2312" w:cs="仿宋_GB2312"/>
          <w:color w:val="000000" w:themeColor="text1"/>
          <w14:textFill>
            <w14:solidFill>
              <w14:schemeClr w14:val="tx1"/>
            </w14:solidFill>
          </w14:textFill>
        </w:rPr>
        <w:t>2、督查：每个月1次，由</w:t>
      </w:r>
      <w:r>
        <w:rPr>
          <w:rFonts w:hint="eastAsia" w:ascii="仿宋_GB2312" w:hAnsi="仿宋_GB2312" w:eastAsia="仿宋_GB2312" w:cs="仿宋_GB2312"/>
          <w:color w:val="000000" w:themeColor="text1"/>
          <w:lang w:val="en-US" w:eastAsia="zh-CN"/>
          <w14:textFill>
            <w14:solidFill>
              <w14:schemeClr w14:val="tx1"/>
            </w14:solidFill>
          </w14:textFill>
        </w:rPr>
        <w:t>综保区分管领导及各部门临时抽调人员就园区物业服务</w:t>
      </w:r>
      <w:r>
        <w:rPr>
          <w:rFonts w:hint="eastAsia" w:ascii="仿宋_GB2312" w:hAnsi="仿宋_GB2312" w:eastAsia="仿宋_GB2312" w:cs="仿宋_GB2312"/>
          <w:color w:val="000000" w:themeColor="text1"/>
          <w14:textFill>
            <w14:solidFill>
              <w14:schemeClr w14:val="tx1"/>
            </w14:solidFill>
          </w14:textFill>
        </w:rPr>
        <w:t>情况进行督查，查找问题，限期整改，督查时发现的问题</w:t>
      </w:r>
      <w:r>
        <w:rPr>
          <w:rFonts w:hint="eastAsia" w:ascii="仿宋_GB2312" w:hAnsi="仿宋_GB2312" w:eastAsia="仿宋_GB2312" w:cs="仿宋_GB2312"/>
          <w:color w:val="000000" w:themeColor="text1"/>
          <w:lang w:val="en-US" w:eastAsia="zh-CN"/>
          <w14:textFill>
            <w14:solidFill>
              <w14:schemeClr w14:val="tx1"/>
            </w14:solidFill>
          </w14:textFill>
        </w:rPr>
        <w:t>通知物业服务单位进行限期整改，到期未完成整改按照考核评分标准进行考核</w:t>
      </w:r>
      <w:r>
        <w:rPr>
          <w:rFonts w:hint="eastAsia" w:ascii="仿宋_GB2312" w:hAnsi="仿宋_GB2312" w:eastAsia="仿宋_GB2312" w:cs="仿宋_GB2312"/>
          <w:color w:val="000000" w:themeColor="text1"/>
          <w14:textFill>
            <w14:solidFill>
              <w14:schemeClr w14:val="tx1"/>
            </w14:solidFill>
          </w14:textFill>
        </w:rPr>
        <w:t>。</w:t>
      </w:r>
    </w:p>
    <w:p>
      <w:pPr>
        <w:pStyle w:val="3"/>
        <w:tabs>
          <w:tab w:val="left" w:pos="567"/>
        </w:tabs>
        <w:spacing w:before="4" w:line="242" w:lineRule="auto"/>
        <w:ind w:right="250"/>
        <w:rPr>
          <w:rFonts w:hint="eastAsia" w:ascii="仿宋_GB2312" w:hAnsi="仿宋_GB2312" w:eastAsia="仿宋_GB2312" w:cs="仿宋_GB2312"/>
          <w:color w:val="000000" w:themeColor="text1"/>
          <w14:textFill>
            <w14:solidFill>
              <w14:schemeClr w14:val="tx1"/>
            </w14:solidFill>
          </w14:textFill>
        </w:rPr>
      </w:pPr>
      <w:bookmarkStart w:id="340" w:name="3、抽查：每月不定期抽查1次，检查前不作通知，检查结果纳入考核，具体检查考核评分"/>
      <w:bookmarkEnd w:id="340"/>
      <w:r>
        <w:rPr>
          <w:rFonts w:hint="eastAsia" w:ascii="仿宋_GB2312" w:hAnsi="仿宋_GB2312" w:eastAsia="仿宋_GB2312" w:cs="仿宋_GB2312"/>
          <w:color w:val="000000" w:themeColor="text1"/>
          <w14:textFill>
            <w14:solidFill>
              <w14:schemeClr w14:val="tx1"/>
            </w14:solidFill>
          </w14:textFill>
        </w:rPr>
        <w:t>3、抽查：每月不定期抽查1次，检查前不作通知，检查结果纳入考核，具体检查考核评分标准按照《喀什</w:t>
      </w:r>
      <w:r>
        <w:rPr>
          <w:rFonts w:hint="eastAsia" w:ascii="仿宋_GB2312" w:hAnsi="仿宋_GB2312" w:eastAsia="仿宋_GB2312" w:cs="仿宋_GB2312"/>
          <w:color w:val="000000" w:themeColor="text1"/>
          <w:lang w:val="en-US" w:eastAsia="zh-CN"/>
          <w14:textFill>
            <w14:solidFill>
              <w14:schemeClr w14:val="tx1"/>
            </w14:solidFill>
          </w14:textFill>
        </w:rPr>
        <w:t>综合保税区物业服务</w:t>
      </w:r>
      <w:r>
        <w:rPr>
          <w:rFonts w:hint="eastAsia" w:ascii="仿宋_GB2312" w:hAnsi="仿宋_GB2312" w:eastAsia="仿宋_GB2312" w:cs="仿宋_GB2312"/>
          <w:color w:val="000000" w:themeColor="text1"/>
          <w14:textFill>
            <w14:solidFill>
              <w14:schemeClr w14:val="tx1"/>
            </w14:solidFill>
          </w14:textFill>
        </w:rPr>
        <w:t>考核评分标准》执行。</w:t>
      </w:r>
    </w:p>
    <w:p>
      <w:pPr>
        <w:pStyle w:val="3"/>
        <w:tabs>
          <w:tab w:val="left" w:pos="567"/>
        </w:tabs>
        <w:spacing w:before="1"/>
        <w:ind w:left="134"/>
        <w:outlineLvl w:val="1"/>
        <w:rPr>
          <w:rFonts w:hint="eastAsia" w:ascii="仿宋_GB2312" w:hAnsi="仿宋_GB2312" w:eastAsia="仿宋_GB2312" w:cs="仿宋_GB2312"/>
          <w:color w:val="000000" w:themeColor="text1"/>
          <w14:textFill>
            <w14:solidFill>
              <w14:schemeClr w14:val="tx1"/>
            </w14:solidFill>
          </w14:textFill>
        </w:rPr>
      </w:pPr>
      <w:bookmarkStart w:id="341" w:name="五、考核结果运用"/>
      <w:bookmarkEnd w:id="341"/>
      <w:bookmarkStart w:id="342" w:name="_Toc18356"/>
      <w:r>
        <w:rPr>
          <w:rFonts w:hint="eastAsia" w:ascii="仿宋_GB2312" w:hAnsi="仿宋_GB2312" w:eastAsia="仿宋_GB2312" w:cs="仿宋_GB2312"/>
          <w:color w:val="000000" w:themeColor="text1"/>
          <w14:textFill>
            <w14:solidFill>
              <w14:schemeClr w14:val="tx1"/>
            </w14:solidFill>
          </w14:textFill>
        </w:rPr>
        <w:t>五、考核结果运用</w:t>
      </w:r>
      <w:bookmarkEnd w:id="342"/>
    </w:p>
    <w:p>
      <w:pPr>
        <w:pStyle w:val="3"/>
        <w:tabs>
          <w:tab w:val="left" w:pos="567"/>
        </w:tabs>
        <w:spacing w:before="4" w:line="242" w:lineRule="auto"/>
        <w:ind w:right="134"/>
        <w:jc w:val="both"/>
        <w:rPr>
          <w:rFonts w:hint="eastAsia" w:ascii="仿宋_GB2312" w:hAnsi="仿宋_GB2312" w:eastAsia="仿宋_GB2312" w:cs="仿宋_GB2312"/>
          <w:color w:val="000000" w:themeColor="text1"/>
          <w14:textFill>
            <w14:solidFill>
              <w14:schemeClr w14:val="tx1"/>
            </w14:solidFill>
          </w14:textFill>
        </w:rPr>
      </w:pPr>
      <w:bookmarkStart w:id="343" w:name="1、依据考核情况对各管理作业单位进行经费核定，考核得分在90分以上的，环卫管护经"/>
      <w:bookmarkEnd w:id="343"/>
      <w:r>
        <w:rPr>
          <w:rFonts w:hint="eastAsia" w:ascii="仿宋_GB2312" w:hAnsi="仿宋_GB2312" w:eastAsia="仿宋_GB2312" w:cs="仿宋_GB2312"/>
          <w:color w:val="000000" w:themeColor="text1"/>
          <w14:textFill>
            <w14:solidFill>
              <w14:schemeClr w14:val="tx1"/>
            </w14:solidFill>
          </w14:textFill>
        </w:rPr>
        <w:t>1、依据考核情况对</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单位进行经费核定，考核得分在</w:t>
      </w:r>
      <w:r>
        <w:rPr>
          <w:rFonts w:hint="eastAsia" w:ascii="仿宋_GB2312" w:hAnsi="仿宋_GB2312" w:eastAsia="仿宋_GB2312" w:cs="仿宋_GB2312"/>
          <w:color w:val="000000" w:themeColor="text1"/>
          <w:lang w:val="en-US" w:eastAsia="zh-CN"/>
          <w14:textFill>
            <w14:solidFill>
              <w14:schemeClr w14:val="tx1"/>
            </w14:solidFill>
          </w14:textFill>
        </w:rPr>
        <w:t>95</w:t>
      </w:r>
      <w:r>
        <w:rPr>
          <w:rFonts w:hint="eastAsia" w:ascii="仿宋_GB2312" w:hAnsi="仿宋_GB2312" w:eastAsia="仿宋_GB2312" w:cs="仿宋_GB2312"/>
          <w:color w:val="000000" w:themeColor="text1"/>
          <w14:textFill>
            <w14:solidFill>
              <w14:schemeClr w14:val="tx1"/>
            </w14:solidFill>
          </w14:textFill>
        </w:rPr>
        <w:t>分</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含95分</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以上的，</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经费按100%拨付；考核得分在</w:t>
      </w:r>
      <w:r>
        <w:rPr>
          <w:rFonts w:hint="eastAsia" w:ascii="仿宋_GB2312" w:hAnsi="仿宋_GB2312" w:eastAsia="仿宋_GB2312" w:cs="仿宋_GB2312"/>
          <w:color w:val="000000" w:themeColor="text1"/>
          <w:lang w:val="en-US" w:eastAsia="zh-CN"/>
          <w14:textFill>
            <w14:solidFill>
              <w14:schemeClr w14:val="tx1"/>
            </w14:solidFill>
          </w14:textFill>
        </w:rPr>
        <w:t>94</w:t>
      </w:r>
      <w:r>
        <w:rPr>
          <w:rFonts w:hint="eastAsia" w:ascii="仿宋_GB2312" w:hAnsi="仿宋_GB2312" w:eastAsia="仿宋_GB2312" w:cs="仿宋_GB2312"/>
          <w:color w:val="000000" w:themeColor="text1"/>
          <w14:textFill>
            <w14:solidFill>
              <w14:schemeClr w14:val="tx1"/>
            </w14:solidFill>
          </w14:textFill>
        </w:rPr>
        <w:t>分—</w:t>
      </w:r>
      <w:r>
        <w:rPr>
          <w:rFonts w:hint="eastAsia" w:ascii="仿宋_GB2312" w:hAnsi="仿宋_GB2312" w:eastAsia="仿宋_GB2312" w:cs="仿宋_GB2312"/>
          <w:color w:val="000000" w:themeColor="text1"/>
          <w:lang w:val="en-US" w:eastAsia="zh-CN"/>
          <w14:textFill>
            <w14:solidFill>
              <w14:schemeClr w14:val="tx1"/>
            </w14:solidFill>
          </w14:textFill>
        </w:rPr>
        <w:t>85分（含85分）</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经费按</w:t>
      </w:r>
      <w:r>
        <w:rPr>
          <w:rFonts w:hint="eastAsia" w:ascii="仿宋_GB2312" w:hAnsi="仿宋_GB2312" w:eastAsia="仿宋_GB2312" w:cs="仿宋_GB2312"/>
          <w:color w:val="000000" w:themeColor="text1"/>
          <w:lang w:val="en-US" w:eastAsia="zh-CN"/>
          <w14:textFill>
            <w14:solidFill>
              <w14:schemeClr w14:val="tx1"/>
            </w14:solidFill>
          </w14:textFill>
        </w:rPr>
        <w:t>90</w:t>
      </w:r>
      <w:r>
        <w:rPr>
          <w:rFonts w:hint="eastAsia" w:ascii="仿宋_GB2312" w:hAnsi="仿宋_GB2312" w:eastAsia="仿宋_GB2312" w:cs="仿宋_GB2312"/>
          <w:color w:val="000000" w:themeColor="text1"/>
          <w14:textFill>
            <w14:solidFill>
              <w14:schemeClr w14:val="tx1"/>
            </w14:solidFill>
          </w14:textFill>
        </w:rPr>
        <w:t>%拨付；考核得分在</w:t>
      </w:r>
      <w:r>
        <w:rPr>
          <w:rFonts w:hint="eastAsia" w:ascii="仿宋_GB2312" w:hAnsi="仿宋_GB2312" w:eastAsia="仿宋_GB2312" w:cs="仿宋_GB2312"/>
          <w:color w:val="000000" w:themeColor="text1"/>
          <w:lang w:val="en-US" w:eastAsia="zh-CN"/>
          <w14:textFill>
            <w14:solidFill>
              <w14:schemeClr w14:val="tx1"/>
            </w14:solidFill>
          </w14:textFill>
        </w:rPr>
        <w:t>84</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75分（含75分）</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经费按</w:t>
      </w:r>
      <w:r>
        <w:rPr>
          <w:rFonts w:hint="eastAsia" w:ascii="仿宋_GB2312" w:hAnsi="仿宋_GB2312" w:eastAsia="仿宋_GB2312" w:cs="仿宋_GB2312"/>
          <w:color w:val="000000" w:themeColor="text1"/>
          <w:lang w:val="en-US" w:eastAsia="zh-CN"/>
          <w14:textFill>
            <w14:solidFill>
              <w14:schemeClr w14:val="tx1"/>
            </w14:solidFill>
          </w14:textFill>
        </w:rPr>
        <w:t>80</w:t>
      </w:r>
      <w:r>
        <w:rPr>
          <w:rFonts w:hint="eastAsia" w:ascii="仿宋_GB2312" w:hAnsi="仿宋_GB2312" w:eastAsia="仿宋_GB2312" w:cs="仿宋_GB2312"/>
          <w:color w:val="000000" w:themeColor="text1"/>
          <w14:textFill>
            <w14:solidFill>
              <w14:schemeClr w14:val="tx1"/>
            </w14:solidFill>
          </w14:textFill>
        </w:rPr>
        <w:t>%拨付；考核得分在</w:t>
      </w:r>
      <w:r>
        <w:rPr>
          <w:rFonts w:hint="eastAsia" w:ascii="仿宋_GB2312" w:hAnsi="仿宋_GB2312" w:eastAsia="仿宋_GB2312" w:cs="仿宋_GB2312"/>
          <w:color w:val="000000" w:themeColor="text1"/>
          <w:lang w:val="en-US" w:eastAsia="zh-CN"/>
          <w14:textFill>
            <w14:solidFill>
              <w14:schemeClr w14:val="tx1"/>
            </w14:solidFill>
          </w14:textFill>
        </w:rPr>
        <w:t>74</w:t>
      </w:r>
      <w:r>
        <w:rPr>
          <w:rFonts w:hint="eastAsia" w:ascii="仿宋_GB2312" w:hAnsi="仿宋_GB2312" w:eastAsia="仿宋_GB2312" w:cs="仿宋_GB2312"/>
          <w:color w:val="000000" w:themeColor="text1"/>
          <w14:textFill>
            <w14:solidFill>
              <w14:schemeClr w14:val="tx1"/>
            </w14:solidFill>
          </w14:textFill>
        </w:rPr>
        <w:t>分—</w:t>
      </w:r>
      <w:r>
        <w:rPr>
          <w:rFonts w:hint="eastAsia" w:ascii="仿宋_GB2312" w:hAnsi="仿宋_GB2312" w:eastAsia="仿宋_GB2312" w:cs="仿宋_GB2312"/>
          <w:color w:val="000000" w:themeColor="text1"/>
          <w:lang w:val="en-US" w:eastAsia="zh-CN"/>
          <w14:textFill>
            <w14:solidFill>
              <w14:schemeClr w14:val="tx1"/>
            </w14:solidFill>
          </w14:textFill>
        </w:rPr>
        <w:t>65分（含65分）</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经费按</w:t>
      </w:r>
      <w:r>
        <w:rPr>
          <w:rFonts w:hint="eastAsia" w:ascii="仿宋_GB2312" w:hAnsi="仿宋_GB2312" w:eastAsia="仿宋_GB2312" w:cs="仿宋_GB2312"/>
          <w:color w:val="000000" w:themeColor="text1"/>
          <w:lang w:val="en-US" w:eastAsia="zh-CN"/>
          <w14:textFill>
            <w14:solidFill>
              <w14:schemeClr w14:val="tx1"/>
            </w14:solidFill>
          </w14:textFill>
        </w:rPr>
        <w:t>70</w:t>
      </w:r>
      <w:r>
        <w:rPr>
          <w:rFonts w:hint="eastAsia" w:ascii="仿宋_GB2312" w:hAnsi="仿宋_GB2312" w:eastAsia="仿宋_GB2312" w:cs="仿宋_GB2312"/>
          <w:color w:val="000000" w:themeColor="text1"/>
          <w14:textFill>
            <w14:solidFill>
              <w14:schemeClr w14:val="tx1"/>
            </w14:solidFill>
          </w14:textFill>
        </w:rPr>
        <w:t>%拨付；考核得分在</w:t>
      </w:r>
      <w:r>
        <w:rPr>
          <w:rFonts w:hint="eastAsia" w:ascii="仿宋_GB2312" w:hAnsi="仿宋_GB2312" w:eastAsia="仿宋_GB2312" w:cs="仿宋_GB2312"/>
          <w:color w:val="000000" w:themeColor="text1"/>
          <w:lang w:val="en-US" w:eastAsia="zh-CN"/>
          <w14:textFill>
            <w14:solidFill>
              <w14:schemeClr w14:val="tx1"/>
            </w14:solidFill>
          </w14:textFill>
        </w:rPr>
        <w:t>65</w:t>
      </w:r>
      <w:r>
        <w:rPr>
          <w:rFonts w:hint="eastAsia" w:ascii="仿宋_GB2312" w:hAnsi="仿宋_GB2312" w:eastAsia="仿宋_GB2312" w:cs="仿宋_GB2312"/>
          <w:color w:val="000000" w:themeColor="text1"/>
          <w14:textFill>
            <w14:solidFill>
              <w14:schemeClr w14:val="tx1"/>
            </w14:solidFill>
          </w14:textFill>
        </w:rPr>
        <w:t>分以下的,</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经费按</w:t>
      </w:r>
      <w:r>
        <w:rPr>
          <w:rFonts w:hint="eastAsia" w:ascii="仿宋_GB2312" w:hAnsi="仿宋_GB2312" w:eastAsia="仿宋_GB2312" w:cs="仿宋_GB2312"/>
          <w:color w:val="000000" w:themeColor="text1"/>
          <w:lang w:val="en-US" w:eastAsia="zh-CN"/>
          <w14:textFill>
            <w14:solidFill>
              <w14:schemeClr w14:val="tx1"/>
            </w14:solidFill>
          </w14:textFill>
        </w:rPr>
        <w:t>60</w:t>
      </w:r>
      <w:r>
        <w:rPr>
          <w:rFonts w:hint="eastAsia" w:ascii="仿宋_GB2312" w:hAnsi="仿宋_GB2312" w:eastAsia="仿宋_GB2312" w:cs="仿宋_GB2312"/>
          <w:color w:val="000000" w:themeColor="text1"/>
          <w14:textFill>
            <w14:solidFill>
              <w14:schemeClr w14:val="tx1"/>
            </w14:solidFill>
          </w14:textFill>
        </w:rPr>
        <w:t>%拨付。</w:t>
      </w:r>
    </w:p>
    <w:p>
      <w:pPr>
        <w:pStyle w:val="19"/>
        <w:ind w:left="0" w:leftChars="0" w:firstLine="0" w:firstLineChars="0"/>
        <w:rPr>
          <w:rFonts w:hint="eastAsia" w:ascii="仿宋_GB2312" w:hAnsi="仿宋_GB2312" w:eastAsia="仿宋_GB2312" w:cs="仿宋_GB2312"/>
          <w:lang w:val="en-US" w:eastAsia="zh-CN"/>
        </w:rPr>
      </w:pPr>
      <w:bookmarkStart w:id="344" w:name="2、当考核结果连续三月不达标时（低于60分），片区负责人约谈环卫管理单位法定代表"/>
      <w:bookmarkEnd w:id="344"/>
      <w:r>
        <w:rPr>
          <w:rFonts w:hint="eastAsia" w:ascii="仿宋_GB2312" w:hAnsi="仿宋_GB2312" w:eastAsia="仿宋_GB2312" w:cs="仿宋_GB2312"/>
          <w:color w:val="000000" w:themeColor="text1"/>
          <w14:textFill>
            <w14:solidFill>
              <w14:schemeClr w14:val="tx1"/>
            </w14:solidFill>
          </w14:textFill>
        </w:rPr>
        <w:t>2、</w:t>
      </w:r>
      <w:r>
        <w:rPr>
          <w:rFonts w:hint="eastAsia" w:ascii="仿宋_GB2312" w:hAnsi="仿宋_GB2312" w:eastAsia="仿宋_GB2312" w:cs="仿宋_GB2312"/>
          <w:color w:val="000000" w:themeColor="text1"/>
          <w:spacing w:val="-2"/>
          <w:sz w:val="24"/>
          <w:lang w:val="en-US" w:eastAsia="zh-CN"/>
          <w14:textFill>
            <w14:solidFill>
              <w14:schemeClr w14:val="tx1"/>
            </w14:solidFill>
          </w14:textFill>
        </w:rPr>
        <w:t>物业</w:t>
      </w:r>
      <w:r>
        <w:rPr>
          <w:rFonts w:hint="eastAsia" w:ascii="仿宋_GB2312" w:hAnsi="仿宋_GB2312" w:eastAsia="仿宋_GB2312" w:cs="仿宋_GB2312"/>
          <w:color w:val="000000" w:themeColor="text1"/>
          <w:spacing w:val="-2"/>
          <w:sz w:val="24"/>
          <w14:textFill>
            <w14:solidFill>
              <w14:schemeClr w14:val="tx1"/>
            </w14:solidFill>
          </w14:textFill>
        </w:rPr>
        <w:t>考核结果</w:t>
      </w:r>
      <w:r>
        <w:rPr>
          <w:rFonts w:hint="eastAsia" w:ascii="仿宋_GB2312" w:hAnsi="仿宋_GB2312" w:eastAsia="仿宋_GB2312" w:cs="仿宋_GB2312"/>
          <w:color w:val="000000" w:themeColor="text1"/>
          <w:spacing w:val="-2"/>
          <w:sz w:val="24"/>
          <w:lang w:val="en-US" w:eastAsia="zh-CN"/>
          <w14:textFill>
            <w14:solidFill>
              <w14:schemeClr w14:val="tx1"/>
            </w14:solidFill>
          </w14:textFill>
        </w:rPr>
        <w:t>及出勤人数</w:t>
      </w:r>
      <w:r>
        <w:rPr>
          <w:rFonts w:hint="eastAsia" w:ascii="仿宋_GB2312" w:hAnsi="仿宋_GB2312" w:eastAsia="仿宋_GB2312" w:cs="仿宋_GB2312"/>
          <w:color w:val="000000" w:themeColor="text1"/>
          <w:spacing w:val="-2"/>
          <w:sz w:val="24"/>
          <w14:textFill>
            <w14:solidFill>
              <w14:schemeClr w14:val="tx1"/>
            </w14:solidFill>
          </w14:textFill>
        </w:rPr>
        <w:t>与</w:t>
      </w:r>
      <w:r>
        <w:rPr>
          <w:rFonts w:hint="eastAsia" w:ascii="仿宋_GB2312" w:hAnsi="仿宋_GB2312" w:eastAsia="仿宋_GB2312" w:cs="仿宋_GB2312"/>
          <w:color w:val="000000" w:themeColor="text1"/>
          <w:spacing w:val="-2"/>
          <w:sz w:val="24"/>
          <w:lang w:val="en-US" w:eastAsia="zh-CN"/>
          <w14:textFill>
            <w14:solidFill>
              <w14:schemeClr w14:val="tx1"/>
            </w14:solidFill>
          </w14:textFill>
        </w:rPr>
        <w:t>物业</w:t>
      </w:r>
      <w:r>
        <w:rPr>
          <w:rFonts w:hint="eastAsia" w:ascii="仿宋_GB2312" w:hAnsi="仿宋_GB2312" w:eastAsia="仿宋_GB2312" w:cs="仿宋_GB2312"/>
          <w:color w:val="000000" w:themeColor="text1"/>
          <w:spacing w:val="-2"/>
          <w:sz w:val="24"/>
          <w14:textFill>
            <w14:solidFill>
              <w14:schemeClr w14:val="tx1"/>
            </w14:solidFill>
          </w14:textFill>
        </w:rPr>
        <w:t>经费挂钩</w:t>
      </w:r>
      <w:r>
        <w:rPr>
          <w:rFonts w:hint="eastAsia" w:ascii="仿宋_GB2312" w:hAnsi="仿宋_GB2312" w:eastAsia="仿宋_GB2312" w:cs="仿宋_GB2312"/>
          <w:color w:val="000000" w:themeColor="text1"/>
          <w:spacing w:val="-2"/>
          <w:sz w:val="24"/>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当考核结果连续三月低于</w:t>
      </w:r>
      <w:r>
        <w:rPr>
          <w:rFonts w:hint="eastAsia" w:ascii="仿宋_GB2312" w:hAnsi="仿宋_GB2312" w:eastAsia="仿宋_GB2312" w:cs="仿宋_GB2312"/>
          <w:color w:val="000000" w:themeColor="text1"/>
          <w:lang w:val="en-US" w:eastAsia="zh-CN"/>
          <w14:textFill>
            <w14:solidFill>
              <w14:schemeClr w14:val="tx1"/>
            </w14:solidFill>
          </w14:textFill>
        </w:rPr>
        <w:t>80</w:t>
      </w:r>
      <w:r>
        <w:rPr>
          <w:rFonts w:hint="eastAsia" w:ascii="仿宋_GB2312" w:hAnsi="仿宋_GB2312" w:eastAsia="仿宋_GB2312" w:cs="仿宋_GB2312"/>
          <w:color w:val="000000" w:themeColor="text1"/>
          <w14:textFill>
            <w14:solidFill>
              <w14:schemeClr w14:val="tx1"/>
            </w14:solidFill>
          </w14:textFill>
        </w:rPr>
        <w:t>分，</w:t>
      </w:r>
      <w:r>
        <w:rPr>
          <w:rFonts w:hint="eastAsia" w:ascii="仿宋_GB2312" w:hAnsi="仿宋_GB2312" w:eastAsia="仿宋_GB2312" w:cs="仿宋_GB2312"/>
          <w:color w:val="000000" w:themeColor="text1"/>
          <w:lang w:val="en-US" w:eastAsia="zh-CN"/>
          <w14:textFill>
            <w14:solidFill>
              <w14:schemeClr w14:val="tx1"/>
            </w14:solidFill>
          </w14:textFill>
        </w:rPr>
        <w:t>综保区后勤处有权</w:t>
      </w:r>
      <w:r>
        <w:rPr>
          <w:rFonts w:hint="eastAsia" w:ascii="仿宋_GB2312" w:hAnsi="仿宋_GB2312" w:eastAsia="仿宋_GB2312" w:cs="仿宋_GB2312"/>
          <w:color w:val="000000" w:themeColor="text1"/>
          <w14:textFill>
            <w14:solidFill>
              <w14:schemeClr w14:val="tx1"/>
            </w14:solidFill>
          </w14:textFill>
        </w:rPr>
        <w:t>终止</w:t>
      </w:r>
      <w:r>
        <w:rPr>
          <w:rFonts w:hint="eastAsia" w:ascii="仿宋_GB2312" w:hAnsi="仿宋_GB2312" w:eastAsia="仿宋_GB2312" w:cs="仿宋_GB2312"/>
          <w:color w:val="000000" w:themeColor="text1"/>
          <w:lang w:val="en-US" w:eastAsia="zh-CN"/>
          <w14:textFill>
            <w14:solidFill>
              <w14:schemeClr w14:val="tx1"/>
            </w14:solidFill>
          </w14:textFill>
        </w:rPr>
        <w:t>政府采购合同及相关协议</w:t>
      </w:r>
      <w:r>
        <w:rPr>
          <w:rFonts w:hint="eastAsia" w:ascii="仿宋_GB2312" w:hAnsi="仿宋_GB2312" w:eastAsia="仿宋_GB2312" w:cs="仿宋_GB2312"/>
          <w:color w:val="000000" w:themeColor="text1"/>
          <w14:textFill>
            <w14:solidFill>
              <w14:schemeClr w14:val="tx1"/>
            </w14:solidFill>
          </w14:textFill>
        </w:rPr>
        <w:t>。并</w:t>
      </w:r>
      <w:r>
        <w:rPr>
          <w:rFonts w:hint="eastAsia" w:ascii="仿宋_GB2312" w:hAnsi="仿宋_GB2312" w:eastAsia="仿宋_GB2312" w:cs="仿宋_GB2312"/>
          <w:color w:val="000000" w:themeColor="text1"/>
          <w:lang w:val="en-US" w:eastAsia="zh-CN"/>
          <w14:textFill>
            <w14:solidFill>
              <w14:schemeClr w14:val="tx1"/>
            </w14:solidFill>
          </w14:textFill>
        </w:rPr>
        <w:t>上</w:t>
      </w:r>
      <w:r>
        <w:rPr>
          <w:rFonts w:hint="eastAsia" w:ascii="仿宋_GB2312" w:hAnsi="仿宋_GB2312" w:eastAsia="仿宋_GB2312" w:cs="仿宋_GB2312"/>
          <w:color w:val="000000" w:themeColor="text1"/>
          <w14:textFill>
            <w14:solidFill>
              <w14:schemeClr w14:val="tx1"/>
            </w14:solidFill>
          </w14:textFill>
        </w:rPr>
        <w:t>报</w:t>
      </w:r>
      <w:r>
        <w:rPr>
          <w:rFonts w:hint="eastAsia" w:ascii="仿宋_GB2312" w:hAnsi="仿宋_GB2312" w:eastAsia="仿宋_GB2312" w:cs="仿宋_GB2312"/>
          <w:color w:val="000000" w:themeColor="text1"/>
          <w:lang w:val="en-US" w:eastAsia="zh-CN"/>
          <w14:textFill>
            <w14:solidFill>
              <w14:schemeClr w14:val="tx1"/>
            </w14:solidFill>
          </w14:textFill>
        </w:rPr>
        <w:t>物业服务</w:t>
      </w:r>
      <w:r>
        <w:rPr>
          <w:rFonts w:hint="eastAsia" w:ascii="仿宋_GB2312" w:hAnsi="仿宋_GB2312" w:eastAsia="仿宋_GB2312" w:cs="仿宋_GB2312"/>
          <w:color w:val="000000" w:themeColor="text1"/>
          <w14:textFill>
            <w14:solidFill>
              <w14:schemeClr w14:val="tx1"/>
            </w14:solidFill>
          </w14:textFill>
        </w:rPr>
        <w:t>行政主管部门，</w:t>
      </w:r>
      <w:r>
        <w:rPr>
          <w:rFonts w:hint="eastAsia" w:ascii="仿宋_GB2312" w:hAnsi="仿宋_GB2312" w:eastAsia="仿宋_GB2312" w:cs="仿宋_GB2312"/>
          <w:color w:val="000000" w:themeColor="text1"/>
          <w:lang w:val="en-US" w:eastAsia="zh-CN"/>
          <w14:textFill>
            <w14:solidFill>
              <w14:schemeClr w14:val="tx1"/>
            </w14:solidFill>
          </w14:textFill>
        </w:rPr>
        <w:t>做出相应惩处</w:t>
      </w:r>
      <w:r>
        <w:rPr>
          <w:rFonts w:hint="eastAsia" w:ascii="仿宋_GB2312" w:hAnsi="仿宋_GB2312" w:eastAsia="仿宋_GB2312" w:cs="仿宋_GB2312"/>
          <w:color w:val="000000" w:themeColor="text1"/>
          <w14:textFill>
            <w14:solidFill>
              <w14:schemeClr w14:val="tx1"/>
            </w14:solidFill>
          </w14:textFill>
        </w:rPr>
        <w:t>。</w:t>
      </w:r>
    </w:p>
    <w:p>
      <w:pPr>
        <w:spacing w:after="0" w:line="310" w:lineRule="atLeast"/>
        <w:rPr>
          <w:rFonts w:hint="eastAsia" w:ascii="仿宋" w:eastAsia="仿宋"/>
          <w:sz w:val="24"/>
        </w:rPr>
        <w:sectPr>
          <w:footerReference r:id="rId14" w:type="default"/>
          <w:pgSz w:w="11910" w:h="16840"/>
          <w:pgMar w:top="860" w:right="1200" w:bottom="1340" w:left="1100" w:header="0" w:footer="1012" w:gutter="0"/>
          <w:pgNumType w:fmt="decimal"/>
          <w:cols w:space="720" w:num="1"/>
        </w:sectPr>
      </w:pPr>
    </w:p>
    <w:tbl>
      <w:tblPr>
        <w:tblStyle w:val="20"/>
        <w:tblpPr w:leftFromText="180" w:rightFromText="180" w:vertAnchor="text" w:horzAnchor="page" w:tblpXSpec="center" w:tblpY="-551"/>
        <w:tblOverlap w:val="never"/>
        <w:tblW w:w="8280" w:type="dxa"/>
        <w:jc w:val="center"/>
        <w:shd w:val="clear" w:color="auto" w:fill="auto"/>
        <w:tblLayout w:type="fixed"/>
        <w:tblCellMar>
          <w:top w:w="0" w:type="dxa"/>
          <w:left w:w="0" w:type="dxa"/>
          <w:bottom w:w="0" w:type="dxa"/>
          <w:right w:w="0" w:type="dxa"/>
        </w:tblCellMar>
      </w:tblPr>
      <w:tblGrid>
        <w:gridCol w:w="503"/>
        <w:gridCol w:w="5720"/>
        <w:gridCol w:w="503"/>
        <w:gridCol w:w="503"/>
        <w:gridCol w:w="503"/>
        <w:gridCol w:w="548"/>
      </w:tblGrid>
      <w:tr>
        <w:tblPrEx>
          <w:shd w:val="clear" w:color="auto" w:fill="auto"/>
          <w:tblCellMar>
            <w:top w:w="0" w:type="dxa"/>
            <w:left w:w="0" w:type="dxa"/>
            <w:bottom w:w="0" w:type="dxa"/>
            <w:right w:w="0" w:type="dxa"/>
          </w:tblCellMar>
        </w:tblPrEx>
        <w:trPr>
          <w:trHeight w:val="709" w:hRule="atLeast"/>
          <w:jc w:val="center"/>
        </w:trPr>
        <w:tc>
          <w:tcPr>
            <w:tcW w:w="828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bookmarkStart w:id="345" w:name="喀什经济开发区环境卫生考核管理办法"/>
            <w:bookmarkEnd w:id="345"/>
            <w:bookmarkStart w:id="346" w:name="第六章  评审方法和标准"/>
            <w:bookmarkEnd w:id="346"/>
            <w:bookmarkStart w:id="347" w:name="_Toc515647832"/>
            <w:bookmarkStart w:id="348" w:name="_Toc7971"/>
            <w:bookmarkStart w:id="349" w:name="_Toc216582826"/>
            <w:bookmarkStart w:id="350" w:name="_Toc218935355"/>
            <w:bookmarkStart w:id="351" w:name="_Toc219175639"/>
            <w:bookmarkStart w:id="352" w:name="_Toc26922"/>
            <w:bookmarkStart w:id="353" w:name="_Toc32647"/>
            <w:bookmarkStart w:id="354" w:name="_Toc507399907"/>
            <w:bookmarkStart w:id="355" w:name="_Toc23331"/>
            <w:r>
              <w:rPr>
                <w:rFonts w:hint="eastAsia" w:ascii="宋体" w:hAnsi="宋体" w:eastAsia="宋体" w:cs="宋体"/>
                <w:b/>
                <w:i w:val="0"/>
                <w:color w:val="000000"/>
                <w:kern w:val="0"/>
                <w:sz w:val="21"/>
                <w:szCs w:val="21"/>
                <w:u w:val="none"/>
                <w:lang w:val="en-US" w:eastAsia="zh-CN" w:bidi="ar"/>
              </w:rPr>
              <w:t>符合性审查表</w:t>
            </w:r>
          </w:p>
        </w:tc>
      </w:tr>
      <w:tr>
        <w:tblPrEx>
          <w:shd w:val="clear" w:color="auto" w:fill="auto"/>
          <w:tblCellMar>
            <w:top w:w="0" w:type="dxa"/>
            <w:left w:w="0" w:type="dxa"/>
            <w:bottom w:w="0" w:type="dxa"/>
            <w:right w:w="0" w:type="dxa"/>
          </w:tblCellMar>
        </w:tblPrEx>
        <w:trPr>
          <w:trHeight w:val="900" w:hRule="atLeast"/>
          <w:jc w:val="center"/>
        </w:trPr>
        <w:tc>
          <w:tcPr>
            <w:tcW w:w="50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5720" w:type="dxa"/>
            <w:tcBorders>
              <w:top w:val="single" w:color="000000" w:sz="4" w:space="0"/>
              <w:left w:val="single" w:color="000000" w:sz="4" w:space="0"/>
              <w:bottom w:val="single" w:color="auto" w:sz="4" w:space="0"/>
              <w:right w:val="single" w:color="000000" w:sz="4" w:space="0"/>
              <w:tl2br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标  准                        投 标 人</w:t>
            </w:r>
          </w:p>
        </w:tc>
        <w:tc>
          <w:tcPr>
            <w:tcW w:w="50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0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0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54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shd w:val="clear" w:color="auto" w:fill="auto"/>
          <w:tblCellMar>
            <w:top w:w="0" w:type="dxa"/>
            <w:left w:w="0" w:type="dxa"/>
            <w:bottom w:w="0" w:type="dxa"/>
            <w:right w:w="0" w:type="dxa"/>
          </w:tblCellMar>
        </w:tblPrEx>
        <w:trPr>
          <w:trHeight w:val="679"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1</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投标函是否有单位盖章及法定代表人、法定代表人授权的代理人签字或盖章的；</w:t>
            </w: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shd w:val="clear" w:color="auto" w:fill="auto"/>
          <w:tblCellMar>
            <w:top w:w="0" w:type="dxa"/>
            <w:left w:w="0" w:type="dxa"/>
            <w:bottom w:w="0" w:type="dxa"/>
            <w:right w:w="0" w:type="dxa"/>
          </w:tblCellMar>
        </w:tblPrEx>
        <w:trPr>
          <w:trHeight w:val="691"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2</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是否提供法人授权委托书的；</w:t>
            </w: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shd w:val="clear" w:color="auto" w:fill="auto"/>
          <w:tblCellMar>
            <w:top w:w="0" w:type="dxa"/>
            <w:left w:w="0" w:type="dxa"/>
            <w:bottom w:w="0" w:type="dxa"/>
            <w:right w:w="0" w:type="dxa"/>
          </w:tblCellMar>
        </w:tblPrEx>
        <w:trPr>
          <w:trHeight w:val="608"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3</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是否按规定的格式填写，内容不全或关键字迹模糊、无法辨认的；</w:t>
            </w: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shd w:val="clear" w:color="auto" w:fill="auto"/>
          <w:tblCellMar>
            <w:top w:w="0" w:type="dxa"/>
            <w:left w:w="0" w:type="dxa"/>
            <w:bottom w:w="0" w:type="dxa"/>
            <w:right w:w="0" w:type="dxa"/>
          </w:tblCellMar>
        </w:tblPrEx>
        <w:trPr>
          <w:trHeight w:val="579"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4</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投标文件是否按照招标文件要求编写、装订；</w:t>
            </w: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shd w:val="clear" w:color="auto" w:fill="auto"/>
          <w:tblCellMar>
            <w:top w:w="0" w:type="dxa"/>
            <w:left w:w="0" w:type="dxa"/>
            <w:bottom w:w="0" w:type="dxa"/>
            <w:right w:w="0" w:type="dxa"/>
          </w:tblCellMar>
        </w:tblPrEx>
        <w:trPr>
          <w:trHeight w:val="532"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5</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投标有效期是否满足招标文件要求的；</w:t>
            </w: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shd w:val="clear" w:color="auto" w:fill="auto"/>
          <w:tblCellMar>
            <w:top w:w="0" w:type="dxa"/>
            <w:left w:w="0" w:type="dxa"/>
            <w:bottom w:w="0" w:type="dxa"/>
            <w:right w:w="0" w:type="dxa"/>
          </w:tblCellMar>
        </w:tblPrEx>
        <w:trPr>
          <w:trHeight w:val="626"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6</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投标人所报交货期限是否超过招标文件规定期限的；</w:t>
            </w: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tblCellMar>
            <w:top w:w="0" w:type="dxa"/>
            <w:left w:w="0" w:type="dxa"/>
            <w:bottom w:w="0" w:type="dxa"/>
            <w:right w:w="0" w:type="dxa"/>
          </w:tblCellMar>
        </w:tblPrEx>
        <w:trPr>
          <w:trHeight w:val="546"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7</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投标报价是否超过预算金额；</w:t>
            </w: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tblCellMar>
            <w:top w:w="0" w:type="dxa"/>
            <w:left w:w="0" w:type="dxa"/>
            <w:bottom w:w="0" w:type="dxa"/>
            <w:right w:w="0" w:type="dxa"/>
          </w:tblCellMar>
        </w:tblPrEx>
        <w:trPr>
          <w:trHeight w:val="579"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8</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是否只有一个有效报价，未提交选择性报价。</w:t>
            </w: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tblCellMar>
            <w:top w:w="0" w:type="dxa"/>
            <w:left w:w="0" w:type="dxa"/>
            <w:bottom w:w="0" w:type="dxa"/>
            <w:right w:w="0" w:type="dxa"/>
          </w:tblCellMar>
        </w:tblPrEx>
        <w:trPr>
          <w:trHeight w:val="679"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9</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投标文件载明的技术规格、技术标准、货物包装方式、检验标准和方法等是否符合招标文件要求；</w:t>
            </w: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tblCellMar>
            <w:top w:w="0" w:type="dxa"/>
            <w:left w:w="0" w:type="dxa"/>
            <w:bottom w:w="0" w:type="dxa"/>
            <w:right w:w="0" w:type="dxa"/>
          </w:tblCellMar>
        </w:tblPrEx>
        <w:trPr>
          <w:trHeight w:val="626"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10</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投标文件是否附有招标人不能接受的条件；</w:t>
            </w: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tblCellMar>
            <w:top w:w="0" w:type="dxa"/>
            <w:left w:w="0" w:type="dxa"/>
            <w:bottom w:w="0" w:type="dxa"/>
            <w:right w:w="0" w:type="dxa"/>
          </w:tblCellMar>
        </w:tblPrEx>
        <w:trPr>
          <w:trHeight w:val="579"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11</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是否有不符合招标文件中规定的其他实质性要求；</w:t>
            </w: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tblCellMar>
            <w:top w:w="0" w:type="dxa"/>
            <w:left w:w="0" w:type="dxa"/>
            <w:bottom w:w="0" w:type="dxa"/>
            <w:right w:w="0" w:type="dxa"/>
          </w:tblCellMar>
        </w:tblPrEx>
        <w:trPr>
          <w:trHeight w:val="546" w:hRule="atLeast"/>
          <w:jc w:val="center"/>
        </w:trPr>
        <w:tc>
          <w:tcPr>
            <w:tcW w:w="5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12</w:t>
            </w:r>
          </w:p>
        </w:tc>
        <w:tc>
          <w:tcPr>
            <w:tcW w:w="5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zh-CN" w:eastAsia="zh-CN" w:bidi="zh-CN"/>
              </w:rPr>
            </w:pPr>
            <w:r>
              <w:rPr>
                <w:rFonts w:hint="eastAsia" w:ascii="宋体" w:hAnsi="宋体" w:eastAsia="宋体" w:cs="宋体"/>
                <w:sz w:val="21"/>
                <w:szCs w:val="22"/>
                <w:lang w:val="en-US" w:eastAsia="zh-CN" w:bidi="zh-CN"/>
              </w:rPr>
              <w:t>投标人是否有违法招标投标纪律的。</w:t>
            </w: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c>
          <w:tcPr>
            <w:tcW w:w="5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p>
        </w:tc>
      </w:tr>
      <w:tr>
        <w:tblPrEx>
          <w:tblCellMar>
            <w:top w:w="0" w:type="dxa"/>
            <w:left w:w="0" w:type="dxa"/>
            <w:bottom w:w="0" w:type="dxa"/>
            <w:right w:w="0" w:type="dxa"/>
          </w:tblCellMar>
        </w:tblPrEx>
        <w:trPr>
          <w:trHeight w:val="992" w:hRule="atLeast"/>
          <w:jc w:val="center"/>
        </w:trPr>
        <w:tc>
          <w:tcPr>
            <w:tcW w:w="82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备注：如果有一项未通过上述审查标准，评标委员会将认定整个投标文件不响应招标文件而予以废标，并且不允许投标人通过修改或撤销其不符合要求的差异或保留，使之成为具有响应性的投标。</w:t>
            </w:r>
          </w:p>
        </w:tc>
      </w:tr>
    </w:tbl>
    <w:p>
      <w:pPr>
        <w:rPr>
          <w:rFonts w:hint="eastAsia" w:ascii="宋体" w:hAnsi="宋体" w:cs="宋体"/>
          <w:color w:val="000000"/>
          <w:sz w:val="36"/>
          <w:szCs w:val="36"/>
          <w:lang w:eastAsia="zh-CN"/>
        </w:rPr>
      </w:pPr>
      <w:r>
        <w:rPr>
          <w:rFonts w:hint="eastAsia" w:ascii="宋体" w:hAnsi="宋体" w:cs="宋体"/>
          <w:color w:val="000000"/>
          <w:sz w:val="36"/>
          <w:szCs w:val="36"/>
          <w:lang w:eastAsia="zh-CN"/>
        </w:rPr>
        <w:br w:type="page"/>
      </w:r>
    </w:p>
    <w:p>
      <w:pPr>
        <w:pStyle w:val="4"/>
        <w:numPr>
          <w:ilvl w:val="0"/>
          <w:numId w:val="0"/>
        </w:numPr>
        <w:tabs>
          <w:tab w:val="left" w:pos="0"/>
        </w:tabs>
        <w:spacing w:before="0" w:after="0" w:line="240" w:lineRule="atLeast"/>
        <w:ind w:left="-15" w:leftChars="0"/>
        <w:jc w:val="center"/>
        <w:rPr>
          <w:rFonts w:hint="eastAsia" w:ascii="宋体" w:hAnsi="宋体" w:cs="宋体"/>
          <w:color w:val="000000"/>
          <w:sz w:val="36"/>
          <w:szCs w:val="36"/>
        </w:rPr>
      </w:pPr>
      <w:r>
        <w:rPr>
          <w:rFonts w:hint="eastAsia" w:ascii="宋体" w:hAnsi="宋体" w:cs="宋体"/>
          <w:color w:val="000000"/>
          <w:sz w:val="36"/>
          <w:szCs w:val="36"/>
          <w:lang w:eastAsia="zh-CN"/>
        </w:rPr>
        <w:t>第</w:t>
      </w:r>
      <w:r>
        <w:rPr>
          <w:rFonts w:hint="eastAsia" w:ascii="宋体" w:hAnsi="宋体" w:cs="宋体"/>
          <w:color w:val="000000"/>
          <w:sz w:val="36"/>
          <w:szCs w:val="36"/>
          <w:lang w:val="en-US" w:eastAsia="zh-CN"/>
        </w:rPr>
        <w:t xml:space="preserve">6章  </w:t>
      </w:r>
      <w:r>
        <w:rPr>
          <w:rFonts w:hint="eastAsia" w:ascii="宋体" w:hAnsi="宋体" w:cs="宋体"/>
          <w:color w:val="000000"/>
          <w:sz w:val="36"/>
          <w:szCs w:val="36"/>
        </w:rPr>
        <w:t>评标方法和标准</w:t>
      </w:r>
      <w:bookmarkEnd w:id="347"/>
      <w:bookmarkEnd w:id="348"/>
      <w:bookmarkEnd w:id="349"/>
      <w:bookmarkEnd w:id="350"/>
      <w:bookmarkEnd w:id="351"/>
      <w:bookmarkEnd w:id="352"/>
      <w:bookmarkEnd w:id="353"/>
      <w:bookmarkEnd w:id="354"/>
      <w:bookmarkEnd w:id="355"/>
    </w:p>
    <w:p>
      <w:pPr>
        <w:spacing w:line="360" w:lineRule="auto"/>
        <w:rPr>
          <w:rFonts w:hint="eastAsia"/>
          <w:color w:val="000000"/>
        </w:rPr>
      </w:pPr>
    </w:p>
    <w:p>
      <w:pPr>
        <w:spacing w:line="360" w:lineRule="auto"/>
        <w:ind w:firstLine="440" w:firstLineChars="200"/>
        <w:rPr>
          <w:rFonts w:hint="eastAsia" w:ascii="宋体" w:hAnsi="宋体" w:cs="宋体"/>
          <w:color w:val="000000"/>
        </w:rPr>
      </w:pPr>
      <w:r>
        <w:rPr>
          <w:rFonts w:hint="eastAsia" w:ascii="宋体" w:hAnsi="宋体" w:cs="宋体"/>
          <w:color w:val="000000"/>
        </w:rPr>
        <w:t>本项目将按照招标文件第一章投标人须知中“五 开标及评标”、“六 确定中标”及本章的规定评标。</w:t>
      </w:r>
    </w:p>
    <w:p>
      <w:pPr>
        <w:spacing w:line="360" w:lineRule="auto"/>
        <w:ind w:firstLine="440" w:firstLineChars="200"/>
        <w:rPr>
          <w:rFonts w:hint="eastAsia" w:ascii="宋体" w:hAnsi="宋体" w:cs="宋体"/>
          <w:color w:val="000000"/>
        </w:rPr>
      </w:pPr>
      <w:r>
        <w:rPr>
          <w:rFonts w:hint="eastAsia" w:ascii="宋体" w:hAnsi="宋体" w:cs="宋体"/>
          <w:color w:val="000000"/>
        </w:rPr>
        <w:t>（内容要包括投标无效界定和详细评标标准）</w:t>
      </w:r>
    </w:p>
    <w:p>
      <w:pPr>
        <w:spacing w:line="360" w:lineRule="auto"/>
        <w:ind w:firstLine="440" w:firstLineChars="200"/>
        <w:rPr>
          <w:rFonts w:hint="eastAsia" w:ascii="宋体" w:hAnsi="宋体" w:cs="宋体"/>
          <w:color w:val="000000"/>
        </w:rPr>
      </w:pPr>
      <w:r>
        <w:rPr>
          <w:rFonts w:hint="eastAsia" w:ascii="宋体" w:hAnsi="宋体" w:cs="宋体"/>
          <w:color w:val="000000"/>
        </w:rPr>
        <w:t xml:space="preserve">1.投标人所投产品如被列入财政部与国家主管部门颁发的节能产品目录或环境标志产品目录或无线局域网产品目录，应提供相关证明，在评标时予以优先采购，具体优惠措施为：同等条件下优先选择《财政部 国家发展改革委关于调整公布第二十三期节能产品政府采购清单的通知》（财库〔2018〕17号）、《财政部 环境保护部关于调整公布第二十一期环境标志产品政府采购清单的通知》（财库〔2018〕19号）目录内的产品（须提供节能、环保认证证书复印件加盖公章）。         </w:t>
      </w:r>
    </w:p>
    <w:p>
      <w:pPr>
        <w:spacing w:line="360" w:lineRule="auto"/>
        <w:ind w:firstLine="440" w:firstLineChars="200"/>
        <w:rPr>
          <w:rFonts w:hint="eastAsia" w:ascii="宋体" w:hAnsi="宋体" w:cs="宋体"/>
          <w:color w:val="000000"/>
        </w:rPr>
      </w:pPr>
      <w:r>
        <w:rPr>
          <w:rFonts w:hint="eastAsia" w:ascii="宋体" w:hAnsi="宋体" w:cs="宋体"/>
          <w:color w:val="000000"/>
        </w:rPr>
        <w:t>2.如采购人所采购产品为政府强制采购的节能产品，投标人所投产品的品牌及型号必须为清单中有效期内产品并提供证明文件，否则其投标将被认定为投标无效。</w:t>
      </w:r>
    </w:p>
    <w:p>
      <w:pPr>
        <w:spacing w:line="360" w:lineRule="auto"/>
        <w:ind w:firstLine="440" w:firstLineChars="200"/>
        <w:rPr>
          <w:rFonts w:hint="eastAsia" w:ascii="宋体" w:hAnsi="宋体" w:cs="宋体"/>
          <w:color w:val="000000"/>
        </w:rPr>
      </w:pPr>
      <w:r>
        <w:rPr>
          <w:rFonts w:hint="eastAsia" w:ascii="宋体" w:hAnsi="宋体" w:cs="宋体"/>
          <w:color w:val="000000"/>
        </w:rPr>
        <w:t>3.对创新产品或创新性企业的优惠措施为：</w:t>
      </w:r>
      <w:r>
        <w:rPr>
          <w:rFonts w:hint="eastAsia" w:ascii="宋体" w:hAnsi="宋体" w:cs="宋体"/>
          <w:color w:val="000000"/>
          <w:u w:val="single"/>
        </w:rPr>
        <w:t xml:space="preserve">    /</w:t>
      </w:r>
      <w:r>
        <w:rPr>
          <w:rFonts w:hint="eastAsia" w:ascii="宋体" w:hAnsi="宋体" w:cs="宋体"/>
          <w:color w:val="000000"/>
          <w:u w:val="single"/>
        </w:rPr>
        <w:tab/>
      </w:r>
      <w:r>
        <w:rPr>
          <w:rFonts w:hint="eastAsia" w:ascii="宋体" w:hAnsi="宋体" w:cs="宋体"/>
          <w:color w:val="000000"/>
          <w:u w:val="single"/>
        </w:rPr>
        <w:tab/>
      </w:r>
      <w:r>
        <w:rPr>
          <w:rFonts w:hint="eastAsia" w:ascii="宋体" w:hAnsi="宋体" w:cs="宋体"/>
          <w:color w:val="000000"/>
          <w:u w:val="single"/>
        </w:rPr>
        <w:t xml:space="preserve">    </w:t>
      </w:r>
      <w:r>
        <w:rPr>
          <w:rFonts w:hint="eastAsia" w:ascii="宋体" w:hAnsi="宋体" w:cs="宋体"/>
          <w:color w:val="000000"/>
        </w:rPr>
        <w:t xml:space="preserve">   </w:t>
      </w:r>
    </w:p>
    <w:p>
      <w:pPr>
        <w:spacing w:line="360" w:lineRule="auto"/>
        <w:ind w:firstLine="440" w:firstLineChars="200"/>
        <w:rPr>
          <w:rFonts w:hint="eastAsia" w:ascii="宋体" w:hAnsi="宋体" w:cs="宋体"/>
          <w:color w:val="000000"/>
        </w:rPr>
      </w:pPr>
      <w:r>
        <w:rPr>
          <w:rFonts w:hint="eastAsia" w:ascii="宋体" w:hAnsi="宋体" w:cs="宋体"/>
          <w:color w:val="000000"/>
        </w:rPr>
        <w:t>4.同品牌处理办法：</w:t>
      </w:r>
    </w:p>
    <w:p>
      <w:pPr>
        <w:spacing w:line="360" w:lineRule="auto"/>
        <w:ind w:firstLine="440" w:firstLineChars="200"/>
        <w:rPr>
          <w:rFonts w:hint="eastAsia" w:ascii="宋体" w:hAnsi="宋体" w:cs="宋体"/>
          <w:color w:val="000000"/>
        </w:rPr>
      </w:pPr>
      <w:r>
        <w:rPr>
          <w:rFonts w:hint="eastAsia" w:ascii="宋体" w:hAnsi="宋体" w:cs="宋体"/>
          <w:color w:val="000000"/>
        </w:rPr>
        <w:t>如采用最低评标办法，则：</w:t>
      </w:r>
      <w:r>
        <w:rPr>
          <w:rFonts w:hint="eastAsia" w:ascii="宋体" w:hAnsi="宋体" w:cs="宋体"/>
          <w:color w:val="000000"/>
          <w:u w:val="single"/>
        </w:rPr>
        <w:t xml:space="preserve">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r>
        <w:rPr>
          <w:rFonts w:hint="eastAsia" w:ascii="宋体" w:hAnsi="宋体" w:cs="宋体"/>
          <w:color w:val="000000"/>
        </w:rPr>
        <w:t>；</w:t>
      </w:r>
    </w:p>
    <w:p>
      <w:pPr>
        <w:spacing w:line="360" w:lineRule="auto"/>
        <w:ind w:firstLine="440" w:firstLineChars="200"/>
        <w:rPr>
          <w:rFonts w:hint="eastAsia" w:ascii="宋体" w:hAnsi="宋体" w:cs="宋体"/>
          <w:color w:val="000000"/>
          <w:u w:val="single"/>
        </w:rPr>
      </w:pPr>
      <w:r>
        <w:rPr>
          <w:rFonts w:hint="eastAsia" w:ascii="宋体" w:hAnsi="宋体" w:cs="宋体"/>
          <w:color w:val="000000"/>
        </w:rPr>
        <w:t>如采用综合评标法，则：</w:t>
      </w:r>
      <w:r>
        <w:rPr>
          <w:rFonts w:hint="eastAsia" w:ascii="宋体" w:hAnsi="宋体" w:cs="宋体"/>
          <w:color w:val="000000"/>
          <w:u w:val="single"/>
        </w:rPr>
        <w:t xml:space="preserve">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spacing w:line="360" w:lineRule="auto"/>
        <w:ind w:firstLine="440" w:firstLineChars="200"/>
        <w:rPr>
          <w:rFonts w:hint="eastAsia" w:ascii="宋体" w:hAnsi="宋体" w:cs="宋体"/>
          <w:color w:val="000000"/>
        </w:rPr>
      </w:pPr>
      <w:r>
        <w:rPr>
          <w:rFonts w:hint="eastAsia" w:ascii="宋体" w:hAnsi="宋体" w:cs="宋体"/>
          <w:color w:val="000000"/>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pPr>
        <w:spacing w:line="360" w:lineRule="auto"/>
        <w:ind w:firstLine="440" w:firstLineChars="200"/>
        <w:rPr>
          <w:rFonts w:hint="eastAsia" w:ascii="宋体" w:hAnsi="宋体" w:cs="宋体"/>
          <w:color w:val="000000"/>
        </w:rPr>
      </w:pPr>
      <w:r>
        <w:rPr>
          <w:rFonts w:hint="eastAsia" w:ascii="宋体" w:hAnsi="宋体" w:cs="宋体"/>
          <w:color w:val="000000"/>
        </w:rPr>
        <w:t xml:space="preserve">5.中标候选人并列式时的处理方式：   </w:t>
      </w:r>
    </w:p>
    <w:p>
      <w:pPr>
        <w:spacing w:line="360" w:lineRule="auto"/>
        <w:ind w:firstLine="440" w:firstLineChars="200"/>
        <w:rPr>
          <w:rFonts w:hint="eastAsia" w:ascii="宋体" w:hAnsi="宋体" w:cs="宋体"/>
          <w:color w:val="000000"/>
          <w:u w:val="single"/>
        </w:rPr>
      </w:pPr>
      <w:r>
        <w:rPr>
          <w:rFonts w:hint="eastAsia" w:ascii="宋体" w:hAnsi="宋体" w:cs="宋体"/>
          <w:color w:val="000000"/>
        </w:rPr>
        <w:t>如采用最低评标办法，则：</w:t>
      </w:r>
      <w:r>
        <w:rPr>
          <w:rFonts w:hint="eastAsia" w:ascii="宋体" w:hAnsi="宋体" w:cs="宋体"/>
          <w:color w:val="000000"/>
          <w:u w:val="single"/>
        </w:rPr>
        <w:t>自收到评标报告之日起5个工作日内，在评标报告确定的中标候选人名单中按顺序确定中标人 ；</w:t>
      </w:r>
    </w:p>
    <w:p>
      <w:pPr>
        <w:spacing w:line="360" w:lineRule="auto"/>
        <w:ind w:firstLine="440" w:firstLineChars="200"/>
        <w:rPr>
          <w:rFonts w:hint="eastAsia" w:ascii="宋体" w:hAnsi="宋体" w:cs="宋体"/>
          <w:color w:val="000000"/>
        </w:rPr>
      </w:pPr>
      <w:r>
        <w:rPr>
          <w:rFonts w:hint="eastAsia" w:ascii="宋体" w:hAnsi="宋体" w:cs="宋体"/>
          <w:color w:val="000000"/>
        </w:rPr>
        <w:t>如采用综合评标法，则：</w:t>
      </w:r>
      <w:r>
        <w:rPr>
          <w:rFonts w:hint="eastAsia" w:ascii="宋体" w:hAnsi="宋体" w:cs="宋体"/>
          <w:color w:val="000000"/>
          <w:u w:val="single"/>
        </w:rPr>
        <w:t>自收到评标报告之日起5个工作日内，在评标报告确定的中标候选人名单中按顺序确定中标人   。</w:t>
      </w:r>
    </w:p>
    <w:p>
      <w:pPr>
        <w:pStyle w:val="3"/>
        <w:spacing w:before="37" w:line="362" w:lineRule="auto"/>
        <w:ind w:left="774" w:right="794"/>
        <w:rPr>
          <w:rFonts w:hint="eastAsia" w:ascii="宋体" w:hAnsi="宋体" w:eastAsia="宋体" w:cs="宋体"/>
          <w:b/>
          <w:bCs/>
          <w:sz w:val="40"/>
          <w:szCs w:val="40"/>
        </w:rPr>
      </w:pPr>
    </w:p>
    <w:p>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b/>
          <w:i w:val="0"/>
          <w:color w:val="000000"/>
          <w:kern w:val="0"/>
          <w:sz w:val="21"/>
          <w:szCs w:val="21"/>
          <w:u w:val="none"/>
          <w:lang w:val="en-US" w:eastAsia="zh-CN" w:bidi="ar"/>
        </w:rPr>
        <w:br w:type="page"/>
      </w:r>
      <w:r>
        <w:rPr>
          <w:rFonts w:hint="eastAsia" w:ascii="宋体" w:hAnsi="宋体" w:eastAsia="宋体" w:cs="宋体"/>
          <w:b/>
          <w:bCs/>
          <w:sz w:val="28"/>
          <w:szCs w:val="28"/>
        </w:rPr>
        <w:t>综合评分表</w:t>
      </w:r>
    </w:p>
    <w:tbl>
      <w:tblPr>
        <w:tblStyle w:val="20"/>
        <w:tblW w:w="101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789"/>
        <w:gridCol w:w="613"/>
        <w:gridCol w:w="6722"/>
        <w:gridCol w:w="1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96" w:type="dxa"/>
            <w:noWrap w:val="0"/>
            <w:vAlign w:val="center"/>
          </w:tcPr>
          <w:p>
            <w:pPr>
              <w:pStyle w:val="29"/>
              <w:spacing w:before="78"/>
              <w:ind w:left="114"/>
              <w:jc w:val="center"/>
              <w:rPr>
                <w:rFonts w:hint="eastAsia" w:ascii="宋体" w:hAnsi="宋体" w:eastAsia="宋体" w:cs="宋体"/>
                <w:b/>
                <w:bCs/>
                <w:sz w:val="22"/>
                <w:szCs w:val="22"/>
                <w:lang w:val="en-US"/>
              </w:rPr>
            </w:pPr>
            <w:bookmarkStart w:id="356" w:name="第七章  确定中标"/>
            <w:bookmarkEnd w:id="356"/>
            <w:bookmarkStart w:id="357" w:name="_bookmark13"/>
            <w:bookmarkEnd w:id="357"/>
            <w:r>
              <w:rPr>
                <w:rFonts w:hint="eastAsia" w:ascii="宋体" w:hAnsi="宋体" w:eastAsia="宋体" w:cs="宋体"/>
                <w:b/>
                <w:bCs/>
                <w:sz w:val="22"/>
                <w:szCs w:val="22"/>
                <w:lang w:val="en-US"/>
              </w:rPr>
              <w:t>序号</w:t>
            </w:r>
          </w:p>
        </w:tc>
        <w:tc>
          <w:tcPr>
            <w:tcW w:w="789" w:type="dxa"/>
            <w:noWrap w:val="0"/>
            <w:vAlign w:val="center"/>
          </w:tcPr>
          <w:p>
            <w:pPr>
              <w:pStyle w:val="29"/>
              <w:spacing w:before="78"/>
              <w:ind w:left="114"/>
              <w:jc w:val="center"/>
              <w:rPr>
                <w:rFonts w:hint="eastAsia" w:ascii="宋体" w:hAnsi="宋体" w:eastAsia="宋体" w:cs="宋体"/>
                <w:b/>
                <w:bCs/>
                <w:sz w:val="22"/>
                <w:szCs w:val="22"/>
                <w:lang w:val="en-US"/>
              </w:rPr>
            </w:pPr>
            <w:r>
              <w:rPr>
                <w:rFonts w:hint="eastAsia" w:ascii="宋体" w:hAnsi="宋体" w:eastAsia="宋体" w:cs="宋体"/>
                <w:b/>
                <w:bCs/>
                <w:sz w:val="22"/>
                <w:szCs w:val="22"/>
                <w:lang w:val="en-US"/>
              </w:rPr>
              <w:t>评分因素</w:t>
            </w:r>
          </w:p>
        </w:tc>
        <w:tc>
          <w:tcPr>
            <w:tcW w:w="613" w:type="dxa"/>
            <w:noWrap w:val="0"/>
            <w:vAlign w:val="center"/>
          </w:tcPr>
          <w:p>
            <w:pPr>
              <w:pStyle w:val="29"/>
              <w:spacing w:before="78"/>
              <w:ind w:left="114"/>
              <w:jc w:val="center"/>
              <w:rPr>
                <w:rFonts w:hint="eastAsia" w:ascii="宋体" w:hAnsi="宋体" w:eastAsia="宋体" w:cs="宋体"/>
                <w:b/>
                <w:bCs/>
                <w:sz w:val="22"/>
                <w:szCs w:val="22"/>
                <w:lang w:val="en-US"/>
              </w:rPr>
            </w:pPr>
            <w:r>
              <w:rPr>
                <w:rFonts w:hint="eastAsia" w:ascii="宋体" w:hAnsi="宋体" w:eastAsia="宋体" w:cs="宋体"/>
                <w:b/>
                <w:bCs/>
                <w:sz w:val="22"/>
                <w:szCs w:val="22"/>
                <w:lang w:val="en-US"/>
              </w:rPr>
              <w:t>分值</w:t>
            </w:r>
          </w:p>
        </w:tc>
        <w:tc>
          <w:tcPr>
            <w:tcW w:w="6722" w:type="dxa"/>
            <w:noWrap w:val="0"/>
            <w:vAlign w:val="center"/>
          </w:tcPr>
          <w:p>
            <w:pPr>
              <w:pStyle w:val="29"/>
              <w:spacing w:before="78"/>
              <w:ind w:left="114"/>
              <w:jc w:val="center"/>
              <w:rPr>
                <w:rFonts w:hint="eastAsia" w:ascii="宋体" w:hAnsi="宋体" w:eastAsia="宋体" w:cs="宋体"/>
                <w:b/>
                <w:bCs/>
                <w:sz w:val="22"/>
                <w:szCs w:val="22"/>
                <w:lang w:val="en-US"/>
              </w:rPr>
            </w:pPr>
            <w:r>
              <w:rPr>
                <w:rFonts w:hint="eastAsia" w:ascii="宋体" w:hAnsi="宋体" w:eastAsia="宋体" w:cs="宋体"/>
                <w:b/>
                <w:bCs/>
                <w:sz w:val="22"/>
                <w:szCs w:val="22"/>
                <w:lang w:val="en-US"/>
              </w:rPr>
              <w:t>评分标准</w:t>
            </w:r>
          </w:p>
          <w:p>
            <w:pPr>
              <w:pStyle w:val="29"/>
              <w:spacing w:before="78"/>
              <w:ind w:left="114"/>
              <w:jc w:val="center"/>
              <w:rPr>
                <w:rFonts w:hint="eastAsia" w:ascii="宋体" w:hAnsi="宋体" w:eastAsia="宋体" w:cs="宋体"/>
                <w:b/>
                <w:bCs/>
                <w:sz w:val="22"/>
                <w:szCs w:val="22"/>
                <w:lang w:val="en-US"/>
              </w:rPr>
            </w:pPr>
            <w:r>
              <w:rPr>
                <w:rFonts w:hint="eastAsia" w:ascii="宋体" w:hAnsi="宋体" w:eastAsia="宋体" w:cs="宋体"/>
                <w:b/>
                <w:bCs/>
                <w:sz w:val="22"/>
                <w:szCs w:val="22"/>
                <w:lang w:val="en-US"/>
              </w:rPr>
              <w:t>价格：</w:t>
            </w:r>
            <w:r>
              <w:rPr>
                <w:rFonts w:hint="eastAsia" w:ascii="宋体" w:hAnsi="宋体" w:eastAsia="宋体" w:cs="宋体"/>
                <w:b/>
                <w:bCs/>
                <w:sz w:val="22"/>
                <w:szCs w:val="22"/>
                <w:lang w:val="en-US" w:eastAsia="zh-CN"/>
              </w:rPr>
              <w:t>15</w:t>
            </w:r>
            <w:r>
              <w:rPr>
                <w:rFonts w:hint="eastAsia" w:ascii="宋体" w:hAnsi="宋体" w:eastAsia="宋体" w:cs="宋体"/>
                <w:b/>
                <w:bCs/>
                <w:sz w:val="22"/>
                <w:szCs w:val="22"/>
                <w:lang w:val="en-US"/>
              </w:rPr>
              <w:t>分</w:t>
            </w:r>
            <w:r>
              <w:rPr>
                <w:rFonts w:hint="eastAsia" w:ascii="宋体" w:hAnsi="宋体" w:eastAsia="宋体" w:cs="宋体"/>
                <w:b/>
                <w:bCs/>
                <w:sz w:val="22"/>
                <w:szCs w:val="22"/>
                <w:lang w:val="en-US"/>
              </w:rPr>
              <w:tab/>
            </w:r>
            <w:r>
              <w:rPr>
                <w:rFonts w:hint="eastAsia" w:ascii="宋体" w:hAnsi="宋体" w:eastAsia="宋体" w:cs="宋体"/>
                <w:b/>
                <w:bCs/>
                <w:sz w:val="22"/>
                <w:szCs w:val="22"/>
                <w:lang w:val="en-US"/>
              </w:rPr>
              <w:t>商务：</w:t>
            </w:r>
            <w:r>
              <w:rPr>
                <w:rFonts w:hint="eastAsia" w:cs="宋体"/>
                <w:b/>
                <w:bCs/>
                <w:sz w:val="22"/>
                <w:szCs w:val="22"/>
                <w:lang w:val="en-US" w:eastAsia="zh-CN"/>
              </w:rPr>
              <w:t>15</w:t>
            </w:r>
            <w:r>
              <w:rPr>
                <w:rFonts w:hint="eastAsia" w:ascii="宋体" w:hAnsi="宋体" w:eastAsia="宋体" w:cs="宋体"/>
                <w:b/>
                <w:bCs/>
                <w:sz w:val="22"/>
                <w:szCs w:val="22"/>
                <w:lang w:val="en-US"/>
              </w:rPr>
              <w:t>分</w:t>
            </w:r>
            <w:r>
              <w:rPr>
                <w:rFonts w:hint="eastAsia" w:ascii="宋体" w:hAnsi="宋体" w:eastAsia="宋体" w:cs="宋体"/>
                <w:b/>
                <w:bCs/>
                <w:sz w:val="22"/>
                <w:szCs w:val="22"/>
                <w:lang w:val="en-US"/>
              </w:rPr>
              <w:tab/>
            </w:r>
            <w:r>
              <w:rPr>
                <w:rFonts w:hint="eastAsia" w:ascii="宋体" w:hAnsi="宋体" w:eastAsia="宋体" w:cs="宋体"/>
                <w:b/>
                <w:bCs/>
                <w:sz w:val="22"/>
                <w:szCs w:val="22"/>
                <w:lang w:val="en-US"/>
              </w:rPr>
              <w:t>技术：</w:t>
            </w:r>
            <w:r>
              <w:rPr>
                <w:rFonts w:hint="eastAsia" w:cs="宋体"/>
                <w:b/>
                <w:bCs/>
                <w:sz w:val="22"/>
                <w:szCs w:val="22"/>
                <w:lang w:val="en-US" w:eastAsia="zh-CN"/>
              </w:rPr>
              <w:t>70</w:t>
            </w:r>
            <w:r>
              <w:rPr>
                <w:rFonts w:hint="eastAsia" w:ascii="宋体" w:hAnsi="宋体" w:eastAsia="宋体" w:cs="宋体"/>
                <w:b/>
                <w:bCs/>
                <w:sz w:val="22"/>
                <w:szCs w:val="22"/>
                <w:lang w:val="en-US"/>
              </w:rPr>
              <w:t>分</w:t>
            </w:r>
          </w:p>
        </w:tc>
        <w:tc>
          <w:tcPr>
            <w:tcW w:w="1237" w:type="dxa"/>
            <w:noWrap w:val="0"/>
            <w:vAlign w:val="center"/>
          </w:tcPr>
          <w:p>
            <w:pPr>
              <w:pStyle w:val="29"/>
              <w:spacing w:before="78"/>
              <w:ind w:left="114"/>
              <w:jc w:val="center"/>
              <w:rPr>
                <w:rFonts w:hint="eastAsia" w:ascii="宋体" w:hAnsi="宋体" w:eastAsia="宋体" w:cs="宋体"/>
                <w:b/>
                <w:bCs/>
                <w:sz w:val="22"/>
                <w:szCs w:val="22"/>
                <w:lang w:val="en-US"/>
              </w:rPr>
            </w:pPr>
            <w:r>
              <w:rPr>
                <w:rFonts w:hint="eastAsia" w:ascii="宋体" w:hAnsi="宋体" w:eastAsia="宋体" w:cs="宋体"/>
                <w:b/>
                <w:bCs/>
                <w:sz w:val="22"/>
                <w:szCs w:val="22"/>
                <w:lang w:val="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796" w:type="dxa"/>
            <w:noWrap w:val="0"/>
            <w:vAlign w:val="center"/>
          </w:tcPr>
          <w:p>
            <w:pPr>
              <w:pStyle w:val="29"/>
              <w:spacing w:before="78"/>
              <w:ind w:left="114"/>
              <w:jc w:val="center"/>
              <w:rPr>
                <w:rFonts w:hint="eastAsia" w:ascii="宋体" w:hAnsi="宋体" w:eastAsia="宋体" w:cs="宋体"/>
                <w:sz w:val="21"/>
                <w:szCs w:val="21"/>
                <w:lang w:val="en-US"/>
              </w:rPr>
            </w:pPr>
            <w:r>
              <w:rPr>
                <w:rFonts w:hint="eastAsia" w:ascii="宋体" w:hAnsi="宋体" w:eastAsia="宋体" w:cs="宋体"/>
                <w:sz w:val="21"/>
                <w:szCs w:val="21"/>
                <w:lang w:val="en-US"/>
              </w:rPr>
              <w:t>价格评分标准</w:t>
            </w:r>
          </w:p>
        </w:tc>
        <w:tc>
          <w:tcPr>
            <w:tcW w:w="789" w:type="dxa"/>
            <w:noWrap w:val="0"/>
            <w:vAlign w:val="center"/>
          </w:tcPr>
          <w:p>
            <w:pPr>
              <w:pStyle w:val="29"/>
              <w:spacing w:before="78"/>
              <w:ind w:left="114"/>
              <w:jc w:val="center"/>
              <w:rPr>
                <w:rFonts w:hint="eastAsia" w:ascii="宋体" w:hAnsi="宋体" w:eastAsia="宋体" w:cs="宋体"/>
                <w:sz w:val="21"/>
                <w:szCs w:val="21"/>
                <w:lang w:val="en-US"/>
              </w:rPr>
            </w:pPr>
            <w:r>
              <w:rPr>
                <w:rFonts w:hint="eastAsia" w:ascii="宋体" w:hAnsi="宋体" w:eastAsia="宋体" w:cs="宋体"/>
                <w:sz w:val="21"/>
                <w:szCs w:val="21"/>
                <w:lang w:val="en-US"/>
              </w:rPr>
              <w:t>投标报价</w:t>
            </w:r>
          </w:p>
        </w:tc>
        <w:tc>
          <w:tcPr>
            <w:tcW w:w="613" w:type="dxa"/>
            <w:noWrap w:val="0"/>
            <w:vAlign w:val="center"/>
          </w:tcPr>
          <w:p>
            <w:pPr>
              <w:pStyle w:val="29"/>
              <w:spacing w:before="78"/>
              <w:ind w:left="114"/>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cs="宋体"/>
                <w:sz w:val="21"/>
                <w:szCs w:val="21"/>
                <w:lang w:val="en-US" w:eastAsia="zh-CN"/>
              </w:rPr>
              <w:t>分</w:t>
            </w:r>
          </w:p>
        </w:tc>
        <w:tc>
          <w:tcPr>
            <w:tcW w:w="6722" w:type="dxa"/>
            <w:noWrap w:val="0"/>
            <w:vAlign w:val="center"/>
          </w:tcPr>
          <w:p>
            <w:pPr>
              <w:pStyle w:val="29"/>
              <w:spacing w:before="78"/>
              <w:ind w:left="114"/>
              <w:rPr>
                <w:rFonts w:hint="eastAsia" w:ascii="宋体" w:hAnsi="宋体" w:eastAsia="宋体" w:cs="宋体"/>
                <w:sz w:val="21"/>
                <w:szCs w:val="21"/>
                <w:lang w:val="en-US"/>
              </w:rPr>
            </w:pPr>
            <w:r>
              <w:rPr>
                <w:rFonts w:hint="eastAsia" w:ascii="宋体" w:hAnsi="宋体" w:eastAsia="宋体" w:cs="宋体"/>
                <w:sz w:val="21"/>
                <w:szCs w:val="21"/>
                <w:lang w:val="en-US"/>
              </w:rPr>
              <w:t>完全满足招标文件参数的投标报价中的最低价为评标基准价，按照下列公式计算每个投标人的投标价格得分。投标报价得分</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（基准价/投标报价）×价格权重×100。</w:t>
            </w:r>
          </w:p>
        </w:tc>
        <w:tc>
          <w:tcPr>
            <w:tcW w:w="1237" w:type="dxa"/>
            <w:noWrap w:val="0"/>
            <w:vAlign w:val="center"/>
          </w:tcPr>
          <w:p>
            <w:pPr>
              <w:pStyle w:val="29"/>
              <w:spacing w:before="78"/>
              <w:ind w:left="114"/>
              <w:rPr>
                <w:rFonts w:hint="eastAsia" w:ascii="宋体" w:hAnsi="宋体" w:eastAsia="宋体" w:cs="宋体"/>
                <w:sz w:val="21"/>
                <w:szCs w:val="21"/>
                <w:lang w:val="en-US"/>
              </w:rPr>
            </w:pPr>
            <w:r>
              <w:rPr>
                <w:rFonts w:hint="eastAsia" w:ascii="宋体" w:hAnsi="宋体" w:eastAsia="宋体" w:cs="宋体"/>
                <w:sz w:val="21"/>
                <w:szCs w:val="21"/>
                <w:lang w:val="en-US"/>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796" w:type="dxa"/>
            <w:vMerge w:val="restart"/>
            <w:noWrap w:val="0"/>
            <w:vAlign w:val="center"/>
          </w:tcPr>
          <w:p>
            <w:pPr>
              <w:pStyle w:val="29"/>
              <w:spacing w:before="78"/>
              <w:ind w:left="114"/>
              <w:rPr>
                <w:rFonts w:hint="eastAsia" w:ascii="宋体" w:hAnsi="宋体" w:eastAsia="宋体" w:cs="宋体"/>
                <w:sz w:val="21"/>
                <w:szCs w:val="21"/>
                <w:lang w:val="en-US"/>
              </w:rPr>
            </w:pPr>
            <w:r>
              <w:rPr>
                <w:rFonts w:hint="eastAsia" w:ascii="宋体" w:hAnsi="宋体" w:eastAsia="宋体" w:cs="宋体"/>
                <w:sz w:val="21"/>
                <w:szCs w:val="21"/>
                <w:lang w:val="en-US" w:eastAsia="zh-CN"/>
              </w:rPr>
              <w:t>技术</w:t>
            </w:r>
            <w:r>
              <w:rPr>
                <w:rFonts w:hint="eastAsia" w:ascii="宋体" w:hAnsi="宋体" w:eastAsia="宋体" w:cs="宋体"/>
                <w:sz w:val="21"/>
                <w:szCs w:val="21"/>
                <w:lang w:val="en-US"/>
              </w:rPr>
              <w:t>评</w:t>
            </w:r>
          </w:p>
          <w:p>
            <w:pPr>
              <w:pStyle w:val="29"/>
              <w:spacing w:before="78"/>
              <w:ind w:left="114"/>
              <w:jc w:val="center"/>
              <w:rPr>
                <w:rFonts w:hint="eastAsia" w:ascii="宋体" w:hAnsi="宋体" w:eastAsia="宋体" w:cs="宋体"/>
                <w:sz w:val="21"/>
                <w:szCs w:val="21"/>
                <w:lang w:val="en-US"/>
              </w:rPr>
            </w:pPr>
            <w:r>
              <w:rPr>
                <w:rFonts w:hint="eastAsia" w:ascii="宋体" w:hAnsi="宋体" w:eastAsia="宋体" w:cs="宋体"/>
                <w:sz w:val="21"/>
                <w:szCs w:val="21"/>
                <w:lang w:val="en-US"/>
              </w:rPr>
              <w:t>分标准</w:t>
            </w:r>
          </w:p>
          <w:p>
            <w:pPr>
              <w:pStyle w:val="29"/>
              <w:spacing w:before="78"/>
              <w:ind w:left="114"/>
              <w:rPr>
                <w:rFonts w:hint="eastAsia" w:ascii="宋体" w:hAnsi="宋体" w:eastAsia="宋体" w:cs="宋体"/>
                <w:sz w:val="21"/>
                <w:szCs w:val="21"/>
                <w:lang w:val="en-US"/>
              </w:rPr>
            </w:pPr>
            <w:r>
              <w:rPr>
                <w:rFonts w:hint="eastAsia" w:ascii="宋体" w:hAnsi="宋体" w:eastAsia="宋体" w:cs="宋体"/>
                <w:sz w:val="21"/>
                <w:szCs w:val="21"/>
                <w:lang w:val="en-US"/>
              </w:rPr>
              <w:t>（</w:t>
            </w:r>
            <w:r>
              <w:rPr>
                <w:rFonts w:hint="eastAsia" w:cs="宋体"/>
                <w:sz w:val="21"/>
                <w:szCs w:val="21"/>
                <w:lang w:val="en-US" w:eastAsia="zh-CN"/>
              </w:rPr>
              <w:t>70</w:t>
            </w:r>
            <w:r>
              <w:rPr>
                <w:rFonts w:hint="eastAsia" w:ascii="宋体" w:hAnsi="宋体" w:eastAsia="宋体" w:cs="宋体"/>
                <w:sz w:val="21"/>
                <w:szCs w:val="21"/>
                <w:lang w:val="en-US"/>
              </w:rPr>
              <w:t>）</w:t>
            </w:r>
          </w:p>
        </w:tc>
        <w:tc>
          <w:tcPr>
            <w:tcW w:w="789" w:type="dxa"/>
            <w:noWrap w:val="0"/>
            <w:vAlign w:val="center"/>
          </w:tcPr>
          <w:p>
            <w:pPr>
              <w:pStyle w:val="29"/>
              <w:spacing w:before="78"/>
              <w:ind w:left="114"/>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项目理解</w:t>
            </w:r>
          </w:p>
        </w:tc>
        <w:tc>
          <w:tcPr>
            <w:tcW w:w="613" w:type="dxa"/>
            <w:noWrap w:val="0"/>
            <w:vAlign w:val="center"/>
          </w:tcPr>
          <w:p>
            <w:pPr>
              <w:pStyle w:val="29"/>
              <w:spacing w:before="78"/>
              <w:ind w:left="11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5</w:t>
            </w:r>
            <w:r>
              <w:rPr>
                <w:rFonts w:hint="eastAsia" w:cs="宋体"/>
                <w:sz w:val="21"/>
                <w:szCs w:val="21"/>
                <w:lang w:val="en-US" w:eastAsia="zh-CN"/>
              </w:rPr>
              <w:t>分</w:t>
            </w:r>
          </w:p>
        </w:tc>
        <w:tc>
          <w:tcPr>
            <w:tcW w:w="6722" w:type="dxa"/>
            <w:noWrap w:val="0"/>
            <w:vAlign w:val="center"/>
          </w:tcPr>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根据投标人针对本项目区域环卫保洁、绿化养护范围的现状和目标思路是否有较深入的理解和渗透详细程度进行评审：</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①对项目区域的实际情况了解程度高，对采购需求要点清晰明确，现状分析到位，重点和难点分析精确并能提出对应解决对策，得</w:t>
            </w:r>
            <w:r>
              <w:rPr>
                <w:rFonts w:hint="eastAsia" w:cs="宋体"/>
                <w:color w:val="auto"/>
                <w:sz w:val="21"/>
                <w:szCs w:val="21"/>
                <w:lang w:val="en-US" w:eastAsia="zh-CN"/>
              </w:rPr>
              <w:t>15</w:t>
            </w:r>
            <w:r>
              <w:rPr>
                <w:rFonts w:hint="eastAsia" w:ascii="宋体" w:hAnsi="宋体" w:eastAsia="宋体" w:cs="宋体"/>
                <w:color w:val="auto"/>
                <w:sz w:val="21"/>
                <w:szCs w:val="21"/>
                <w:lang w:val="en-US" w:eastAsia="zh-CN"/>
              </w:rPr>
              <w:t>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②对项目区域的实际情况了解程度不高，现状分析普通，能提供一定解决对策，得</w:t>
            </w:r>
            <w:r>
              <w:rPr>
                <w:rFonts w:hint="eastAsia" w:cs="宋体"/>
                <w:color w:val="auto"/>
                <w:sz w:val="21"/>
                <w:szCs w:val="21"/>
                <w:lang w:val="en-US" w:eastAsia="zh-CN"/>
              </w:rPr>
              <w:t>7</w:t>
            </w:r>
            <w:r>
              <w:rPr>
                <w:rFonts w:hint="eastAsia" w:ascii="宋体" w:hAnsi="宋体" w:eastAsia="宋体" w:cs="宋体"/>
                <w:color w:val="auto"/>
                <w:sz w:val="21"/>
                <w:szCs w:val="21"/>
                <w:lang w:val="en-US" w:eastAsia="zh-CN"/>
              </w:rPr>
              <w:t>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③对项目区域的实际情况了解程度较低，现状分析重点不突出，得</w:t>
            </w:r>
            <w:r>
              <w:rPr>
                <w:rFonts w:hint="eastAsia" w:cs="宋体"/>
                <w:color w:val="auto"/>
                <w:sz w:val="21"/>
                <w:szCs w:val="21"/>
                <w:lang w:val="en-US" w:eastAsia="zh-CN"/>
              </w:rPr>
              <w:t>5</w:t>
            </w:r>
            <w:r>
              <w:rPr>
                <w:rFonts w:hint="eastAsia" w:ascii="宋体" w:hAnsi="宋体" w:eastAsia="宋体" w:cs="宋体"/>
                <w:color w:val="auto"/>
                <w:sz w:val="21"/>
                <w:szCs w:val="21"/>
                <w:lang w:val="en-US" w:eastAsia="zh-CN"/>
              </w:rPr>
              <w:t>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④对项目区域的实际情况不了解，没有对现状分析重点，得2分；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⑤无提供项目理解不得分。</w:t>
            </w:r>
          </w:p>
        </w:tc>
        <w:tc>
          <w:tcPr>
            <w:tcW w:w="1237" w:type="dxa"/>
            <w:noWrap w:val="0"/>
            <w:vAlign w:val="center"/>
          </w:tcPr>
          <w:p>
            <w:pPr>
              <w:pStyle w:val="29"/>
              <w:spacing w:before="78"/>
              <w:ind w:left="114"/>
              <w:rPr>
                <w:rFonts w:hint="eastAsia" w:ascii="宋体" w:hAnsi="宋体" w:eastAsia="宋体" w:cs="宋体"/>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9" w:hRule="atLeast"/>
        </w:trPr>
        <w:tc>
          <w:tcPr>
            <w:tcW w:w="796" w:type="dxa"/>
            <w:vMerge w:val="continue"/>
            <w:noWrap w:val="0"/>
            <w:vAlign w:val="center"/>
          </w:tcPr>
          <w:p>
            <w:pPr>
              <w:pStyle w:val="29"/>
              <w:spacing w:before="78"/>
              <w:ind w:left="114"/>
              <w:rPr>
                <w:rFonts w:hint="eastAsia" w:ascii="宋体" w:hAnsi="宋体" w:eastAsia="宋体" w:cs="宋体"/>
                <w:sz w:val="21"/>
                <w:szCs w:val="21"/>
              </w:rPr>
            </w:pPr>
          </w:p>
        </w:tc>
        <w:tc>
          <w:tcPr>
            <w:tcW w:w="789" w:type="dxa"/>
            <w:noWrap w:val="0"/>
            <w:vAlign w:val="center"/>
          </w:tcPr>
          <w:p>
            <w:pPr>
              <w:pStyle w:val="29"/>
              <w:spacing w:before="78"/>
              <w:ind w:left="114"/>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服务总体方案</w:t>
            </w:r>
          </w:p>
        </w:tc>
        <w:tc>
          <w:tcPr>
            <w:tcW w:w="613" w:type="dxa"/>
            <w:noWrap w:val="0"/>
            <w:vAlign w:val="center"/>
          </w:tcPr>
          <w:p>
            <w:pPr>
              <w:pStyle w:val="29"/>
              <w:spacing w:before="78"/>
              <w:ind w:left="114"/>
              <w:jc w:val="both"/>
              <w:rPr>
                <w:rFonts w:hint="eastAsia" w:ascii="宋体" w:hAnsi="宋体" w:eastAsia="宋体" w:cs="宋体"/>
                <w:color w:val="auto"/>
                <w:sz w:val="21"/>
                <w:szCs w:val="21"/>
                <w:lang w:val="en-US" w:eastAsia="zh-CN"/>
              </w:rPr>
            </w:pPr>
            <w:r>
              <w:rPr>
                <w:rFonts w:hint="eastAsia" w:cs="宋体"/>
                <w:color w:val="auto"/>
                <w:sz w:val="21"/>
                <w:szCs w:val="21"/>
                <w:lang w:val="en-US" w:eastAsia="zh-CN"/>
              </w:rPr>
              <w:t>20</w:t>
            </w:r>
            <w:r>
              <w:rPr>
                <w:rFonts w:hint="eastAsia" w:cs="宋体"/>
                <w:sz w:val="21"/>
                <w:szCs w:val="21"/>
                <w:lang w:val="en-US" w:eastAsia="zh-CN"/>
              </w:rPr>
              <w:t>分</w:t>
            </w:r>
          </w:p>
        </w:tc>
        <w:tc>
          <w:tcPr>
            <w:tcW w:w="6722" w:type="dxa"/>
            <w:noWrap w:val="0"/>
            <w:vAlign w:val="center"/>
          </w:tcPr>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根据投标人针对本项目提供的服务总体方案，对投标人提及的项目重点难点分析、作业方案和方案服务标准要求进行评审：</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①对项目的重点难点充分了解，分析清楚到位，提供的作业方案详细且具有可操作性，方案服务标准优于招标文件要求，得</w:t>
            </w:r>
            <w:r>
              <w:rPr>
                <w:rFonts w:hint="eastAsia" w:cs="宋体"/>
                <w:color w:val="auto"/>
                <w:sz w:val="21"/>
                <w:szCs w:val="21"/>
                <w:lang w:val="en-US" w:eastAsia="zh-CN"/>
              </w:rPr>
              <w:t>20</w:t>
            </w:r>
            <w:r>
              <w:rPr>
                <w:rFonts w:hint="eastAsia" w:ascii="宋体" w:hAnsi="宋体" w:eastAsia="宋体" w:cs="宋体"/>
                <w:color w:val="auto"/>
                <w:sz w:val="21"/>
                <w:szCs w:val="21"/>
                <w:lang w:val="en-US" w:eastAsia="zh-CN"/>
              </w:rPr>
              <w:t>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②对项目的重点难点基本了解，提供了较为完整的作业方案，方案服务标准基本满足招标文件要求但方案存在操作性上的不足，得</w:t>
            </w:r>
            <w:r>
              <w:rPr>
                <w:rFonts w:hint="eastAsia" w:cs="宋体"/>
                <w:color w:val="auto"/>
                <w:sz w:val="21"/>
                <w:szCs w:val="21"/>
                <w:lang w:val="en-US" w:eastAsia="zh-CN"/>
              </w:rPr>
              <w:t>15</w:t>
            </w:r>
            <w:r>
              <w:rPr>
                <w:rFonts w:hint="eastAsia" w:ascii="宋体" w:hAnsi="宋体" w:eastAsia="宋体" w:cs="宋体"/>
                <w:color w:val="auto"/>
                <w:sz w:val="21"/>
                <w:szCs w:val="21"/>
                <w:lang w:val="en-US" w:eastAsia="zh-CN"/>
              </w:rPr>
              <w:t>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③对项目的重点难点不大了解，提供的作业方案 简单、一般，方案服务标准基本满足招标文件要求，得</w:t>
            </w:r>
            <w:r>
              <w:rPr>
                <w:rFonts w:hint="eastAsia" w:cs="宋体"/>
                <w:color w:val="auto"/>
                <w:sz w:val="21"/>
                <w:szCs w:val="21"/>
                <w:lang w:val="en-US" w:eastAsia="zh-CN"/>
              </w:rPr>
              <w:t>10</w:t>
            </w:r>
            <w:r>
              <w:rPr>
                <w:rFonts w:hint="eastAsia" w:ascii="宋体" w:hAnsi="宋体" w:eastAsia="宋体" w:cs="宋体"/>
                <w:color w:val="auto"/>
                <w:sz w:val="21"/>
                <w:szCs w:val="21"/>
                <w:lang w:val="en-US" w:eastAsia="zh-CN"/>
              </w:rPr>
              <w:t>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④对项目的重点难点不了解，提供的作业方案过于简单，方案服务标准不太满足招标文件要求，得</w:t>
            </w: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分；</w:t>
            </w:r>
          </w:p>
          <w:p>
            <w:pPr>
              <w:pStyle w:val="29"/>
              <w:spacing w:before="78"/>
              <w:ind w:left="11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⑤无提供服务总体方案不得分。</w:t>
            </w:r>
          </w:p>
        </w:tc>
        <w:tc>
          <w:tcPr>
            <w:tcW w:w="1237" w:type="dxa"/>
            <w:noWrap w:val="0"/>
            <w:vAlign w:val="center"/>
          </w:tcPr>
          <w:p>
            <w:pPr>
              <w:pStyle w:val="29"/>
              <w:spacing w:before="78"/>
              <w:ind w:left="114"/>
              <w:rPr>
                <w:rFonts w:hint="eastAsia" w:ascii="宋体" w:hAnsi="宋体" w:eastAsia="宋体" w:cs="宋体"/>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0" w:hRule="atLeast"/>
        </w:trPr>
        <w:tc>
          <w:tcPr>
            <w:tcW w:w="796" w:type="dxa"/>
            <w:vMerge w:val="continue"/>
            <w:noWrap w:val="0"/>
            <w:vAlign w:val="center"/>
          </w:tcPr>
          <w:p>
            <w:pPr>
              <w:pStyle w:val="29"/>
              <w:spacing w:before="78"/>
              <w:ind w:left="114"/>
              <w:rPr>
                <w:rFonts w:hint="eastAsia" w:ascii="宋体" w:hAnsi="宋体" w:eastAsia="宋体" w:cs="宋体"/>
                <w:sz w:val="21"/>
                <w:szCs w:val="21"/>
                <w:lang w:val="en-US"/>
              </w:rPr>
            </w:pPr>
          </w:p>
        </w:tc>
        <w:tc>
          <w:tcPr>
            <w:tcW w:w="789" w:type="dxa"/>
            <w:noWrap w:val="0"/>
            <w:vAlign w:val="center"/>
          </w:tcPr>
          <w:p>
            <w:pPr>
              <w:pStyle w:val="29"/>
              <w:spacing w:before="78"/>
              <w:ind w:left="114"/>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w:t>
            </w:r>
            <w:r>
              <w:rPr>
                <w:rFonts w:hint="eastAsia" w:cs="宋体"/>
                <w:color w:val="auto"/>
                <w:sz w:val="21"/>
                <w:szCs w:val="21"/>
                <w:lang w:val="en-US" w:eastAsia="zh-CN"/>
              </w:rPr>
              <w:t>承诺</w:t>
            </w:r>
          </w:p>
        </w:tc>
        <w:tc>
          <w:tcPr>
            <w:tcW w:w="613" w:type="dxa"/>
            <w:noWrap w:val="0"/>
            <w:vAlign w:val="center"/>
          </w:tcPr>
          <w:p>
            <w:pPr>
              <w:pStyle w:val="29"/>
              <w:spacing w:before="78"/>
              <w:ind w:left="11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0</w:t>
            </w:r>
            <w:r>
              <w:rPr>
                <w:rFonts w:hint="eastAsia" w:cs="宋体"/>
                <w:sz w:val="21"/>
                <w:szCs w:val="21"/>
                <w:lang w:val="en-US" w:eastAsia="zh-CN"/>
              </w:rPr>
              <w:t>分</w:t>
            </w:r>
          </w:p>
          <w:p>
            <w:pPr>
              <w:pStyle w:val="29"/>
              <w:spacing w:before="78"/>
              <w:ind w:left="114"/>
              <w:jc w:val="center"/>
              <w:rPr>
                <w:rFonts w:hint="eastAsia" w:ascii="宋体" w:hAnsi="宋体" w:eastAsia="宋体" w:cs="宋体"/>
                <w:color w:val="auto"/>
                <w:sz w:val="21"/>
                <w:szCs w:val="21"/>
                <w:lang w:val="en-US" w:eastAsia="zh-CN"/>
              </w:rPr>
            </w:pPr>
          </w:p>
        </w:tc>
        <w:tc>
          <w:tcPr>
            <w:tcW w:w="6722" w:type="dxa"/>
            <w:noWrap w:val="0"/>
            <w:vAlign w:val="center"/>
          </w:tcPr>
          <w:p>
            <w:pPr>
              <w:pStyle w:val="29"/>
              <w:spacing w:before="78"/>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根据投标人针对本项目承诺的服务响应时间进行评审：</w:t>
            </w:r>
          </w:p>
          <w:p>
            <w:pPr>
              <w:pStyle w:val="29"/>
              <w:spacing w:before="78"/>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①承诺接到采购人通知后1小时以内配备人员和设备到达采购人指定地点的，得1</w:t>
            </w:r>
            <w:r>
              <w:rPr>
                <w:rFonts w:hint="eastAsia" w:cs="宋体"/>
                <w:color w:val="auto"/>
                <w:sz w:val="21"/>
                <w:szCs w:val="21"/>
                <w:lang w:val="en-US" w:eastAsia="zh-CN"/>
              </w:rPr>
              <w:t>0</w:t>
            </w:r>
            <w:r>
              <w:rPr>
                <w:rFonts w:hint="eastAsia" w:ascii="宋体" w:hAnsi="宋体" w:eastAsia="宋体" w:cs="宋体"/>
                <w:color w:val="auto"/>
                <w:sz w:val="21"/>
                <w:szCs w:val="21"/>
                <w:lang w:val="en-US" w:eastAsia="zh-CN"/>
              </w:rPr>
              <w:t>分；</w:t>
            </w:r>
          </w:p>
          <w:p>
            <w:pPr>
              <w:pStyle w:val="29"/>
              <w:spacing w:before="78"/>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②承诺接到采购人通知后2小时内配备人员和设备到达采购人指定地点的，得</w:t>
            </w:r>
            <w:r>
              <w:rPr>
                <w:rFonts w:hint="eastAsia" w:cs="宋体"/>
                <w:color w:val="auto"/>
                <w:sz w:val="21"/>
                <w:szCs w:val="21"/>
                <w:lang w:val="en-US" w:eastAsia="zh-CN"/>
              </w:rPr>
              <w:t>7</w:t>
            </w:r>
            <w:r>
              <w:rPr>
                <w:rFonts w:hint="eastAsia" w:ascii="宋体" w:hAnsi="宋体" w:eastAsia="宋体" w:cs="宋体"/>
                <w:color w:val="auto"/>
                <w:sz w:val="21"/>
                <w:szCs w:val="21"/>
                <w:lang w:val="en-US" w:eastAsia="zh-CN"/>
              </w:rPr>
              <w:t>分；</w:t>
            </w:r>
          </w:p>
          <w:p>
            <w:pPr>
              <w:pStyle w:val="29"/>
              <w:spacing w:before="78"/>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③承诺接到采购人通知后3小时内配备人员和设备到达采购人指定地点的，得</w:t>
            </w: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分；</w:t>
            </w:r>
          </w:p>
          <w:p>
            <w:pPr>
              <w:pStyle w:val="29"/>
              <w:spacing w:before="78"/>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④其他不得分。注：投标人须单独提供承诺函加盖投标人公章。</w:t>
            </w:r>
          </w:p>
        </w:tc>
        <w:tc>
          <w:tcPr>
            <w:tcW w:w="1237" w:type="dxa"/>
            <w:noWrap w:val="0"/>
            <w:vAlign w:val="center"/>
          </w:tcPr>
          <w:p>
            <w:pPr>
              <w:pStyle w:val="29"/>
              <w:spacing w:before="78"/>
              <w:ind w:left="114"/>
              <w:rPr>
                <w:rFonts w:hint="eastAsia" w:ascii="宋体" w:hAnsi="宋体" w:eastAsia="宋体" w:cs="宋体"/>
                <w:sz w:val="21"/>
                <w:szCs w:val="21"/>
                <w:lang w:val="en-US"/>
              </w:rPr>
            </w:pPr>
          </w:p>
          <w:p>
            <w:pPr>
              <w:pStyle w:val="29"/>
              <w:spacing w:before="78"/>
              <w:ind w:left="114"/>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796" w:type="dxa"/>
            <w:vMerge w:val="continue"/>
            <w:noWrap w:val="0"/>
            <w:vAlign w:val="center"/>
          </w:tcPr>
          <w:p>
            <w:pPr>
              <w:pStyle w:val="29"/>
              <w:spacing w:before="78"/>
              <w:ind w:left="114"/>
              <w:rPr>
                <w:rFonts w:hint="eastAsia" w:ascii="宋体" w:hAnsi="宋体" w:eastAsia="宋体" w:cs="宋体"/>
                <w:sz w:val="21"/>
                <w:szCs w:val="21"/>
                <w:lang w:val="en-US"/>
              </w:rPr>
            </w:pPr>
          </w:p>
        </w:tc>
        <w:tc>
          <w:tcPr>
            <w:tcW w:w="789" w:type="dxa"/>
            <w:noWrap w:val="0"/>
            <w:vAlign w:val="center"/>
          </w:tcPr>
          <w:p>
            <w:pPr>
              <w:pStyle w:val="29"/>
              <w:spacing w:before="78"/>
              <w:ind w:left="114"/>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安全生产</w:t>
            </w:r>
          </w:p>
        </w:tc>
        <w:tc>
          <w:tcPr>
            <w:tcW w:w="613" w:type="dxa"/>
            <w:noWrap w:val="0"/>
            <w:vAlign w:val="center"/>
          </w:tcPr>
          <w:p>
            <w:pPr>
              <w:pStyle w:val="29"/>
              <w:spacing w:before="78"/>
              <w:ind w:left="114"/>
              <w:jc w:val="both"/>
              <w:rPr>
                <w:rFonts w:hint="eastAsia" w:ascii="宋体" w:hAnsi="宋体" w:eastAsia="宋体" w:cs="宋体"/>
                <w:color w:val="auto"/>
                <w:sz w:val="21"/>
                <w:szCs w:val="21"/>
                <w:lang w:val="en-US" w:eastAsia="zh-CN"/>
              </w:rPr>
            </w:pPr>
            <w:r>
              <w:rPr>
                <w:rFonts w:hint="eastAsia" w:cs="宋体"/>
                <w:color w:val="auto"/>
                <w:sz w:val="21"/>
                <w:szCs w:val="21"/>
                <w:lang w:val="en-US" w:eastAsia="zh-CN"/>
              </w:rPr>
              <w:t>10</w:t>
            </w:r>
            <w:r>
              <w:rPr>
                <w:rFonts w:hint="eastAsia" w:cs="宋体"/>
                <w:sz w:val="21"/>
                <w:szCs w:val="21"/>
                <w:lang w:val="en-US" w:eastAsia="zh-CN"/>
              </w:rPr>
              <w:t>分</w:t>
            </w:r>
          </w:p>
        </w:tc>
        <w:tc>
          <w:tcPr>
            <w:tcW w:w="6722" w:type="dxa"/>
            <w:noWrap w:val="0"/>
            <w:vAlign w:val="center"/>
          </w:tcPr>
          <w:p>
            <w:pPr>
              <w:pStyle w:val="29"/>
              <w:spacing w:before="78"/>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根据投标人针对本项目提供具体的安全作业方案及安全配套措施，且符合采购人安全作业的要求进行综合评审：</w:t>
            </w:r>
          </w:p>
          <w:p>
            <w:pPr>
              <w:pStyle w:val="29"/>
              <w:spacing w:before="78"/>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①针对提供具体的安全作业方案及安全配套措施，且符合并优于采购人安全作业的要求，得</w:t>
            </w:r>
            <w:r>
              <w:rPr>
                <w:rFonts w:hint="eastAsia" w:cs="宋体"/>
                <w:color w:val="auto"/>
                <w:kern w:val="0"/>
                <w:sz w:val="21"/>
                <w:szCs w:val="21"/>
                <w:lang w:val="en-US" w:eastAsia="zh-CN"/>
              </w:rPr>
              <w:t>10</w:t>
            </w:r>
            <w:r>
              <w:rPr>
                <w:rFonts w:hint="eastAsia" w:ascii="宋体" w:hAnsi="宋体" w:eastAsia="宋体" w:cs="宋体"/>
                <w:color w:val="auto"/>
                <w:kern w:val="0"/>
                <w:sz w:val="21"/>
                <w:szCs w:val="21"/>
                <w:lang w:eastAsia="zh-CN"/>
              </w:rPr>
              <w:t>分；</w:t>
            </w:r>
          </w:p>
          <w:p>
            <w:pPr>
              <w:pStyle w:val="29"/>
              <w:spacing w:before="78"/>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②针对提供具体的安全作业方案及安全配套措施，基本符合采购人安全作业要求，得</w:t>
            </w:r>
            <w:r>
              <w:rPr>
                <w:rFonts w:hint="eastAsia" w:cs="宋体"/>
                <w:color w:val="auto"/>
                <w:kern w:val="0"/>
                <w:sz w:val="21"/>
                <w:szCs w:val="21"/>
                <w:lang w:val="en-US" w:eastAsia="zh-CN"/>
              </w:rPr>
              <w:t>7</w:t>
            </w:r>
            <w:r>
              <w:rPr>
                <w:rFonts w:hint="eastAsia" w:ascii="宋体" w:hAnsi="宋体" w:eastAsia="宋体" w:cs="宋体"/>
                <w:color w:val="auto"/>
                <w:kern w:val="0"/>
                <w:sz w:val="21"/>
                <w:szCs w:val="21"/>
                <w:lang w:eastAsia="zh-CN"/>
              </w:rPr>
              <w:t>分；</w:t>
            </w:r>
          </w:p>
          <w:p>
            <w:pPr>
              <w:pStyle w:val="29"/>
              <w:spacing w:before="78"/>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③针对提供的安全作业方案及安全配套措施简陋，能体现是否符合采购人安全作业的要求，得</w:t>
            </w:r>
            <w:r>
              <w:rPr>
                <w:rFonts w:hint="eastAsia" w:cs="宋体"/>
                <w:color w:val="auto"/>
                <w:kern w:val="0"/>
                <w:sz w:val="21"/>
                <w:szCs w:val="21"/>
                <w:lang w:val="en-US" w:eastAsia="zh-CN"/>
              </w:rPr>
              <w:t>3</w:t>
            </w:r>
            <w:r>
              <w:rPr>
                <w:rFonts w:hint="eastAsia" w:ascii="宋体" w:hAnsi="宋体" w:eastAsia="宋体" w:cs="宋体"/>
                <w:color w:val="auto"/>
                <w:kern w:val="0"/>
                <w:sz w:val="21"/>
                <w:szCs w:val="21"/>
                <w:lang w:eastAsia="zh-CN"/>
              </w:rPr>
              <w:t>分；</w:t>
            </w:r>
          </w:p>
          <w:p>
            <w:pPr>
              <w:pStyle w:val="29"/>
              <w:spacing w:before="78"/>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④无提供安全作业管理不得分。</w:t>
            </w:r>
          </w:p>
        </w:tc>
        <w:tc>
          <w:tcPr>
            <w:tcW w:w="1237" w:type="dxa"/>
            <w:noWrap w:val="0"/>
            <w:vAlign w:val="center"/>
          </w:tcPr>
          <w:p>
            <w:pPr>
              <w:pStyle w:val="29"/>
              <w:spacing w:before="78"/>
              <w:ind w:left="114"/>
              <w:rPr>
                <w:rFonts w:hint="eastAsia" w:ascii="宋体" w:hAnsi="宋体" w:eastAsia="宋体" w:cs="宋体"/>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5" w:hRule="atLeast"/>
        </w:trPr>
        <w:tc>
          <w:tcPr>
            <w:tcW w:w="796" w:type="dxa"/>
            <w:vMerge w:val="continue"/>
            <w:noWrap w:val="0"/>
            <w:vAlign w:val="center"/>
          </w:tcPr>
          <w:p>
            <w:pPr>
              <w:pStyle w:val="29"/>
              <w:spacing w:before="78"/>
              <w:ind w:left="114"/>
              <w:rPr>
                <w:rFonts w:hint="eastAsia" w:ascii="宋体" w:hAnsi="宋体" w:eastAsia="宋体" w:cs="宋体"/>
                <w:sz w:val="21"/>
                <w:szCs w:val="21"/>
                <w:lang w:val="en-US"/>
              </w:rPr>
            </w:pPr>
          </w:p>
        </w:tc>
        <w:tc>
          <w:tcPr>
            <w:tcW w:w="789" w:type="dxa"/>
            <w:noWrap w:val="0"/>
            <w:vAlign w:val="center"/>
          </w:tcPr>
          <w:p>
            <w:pPr>
              <w:pStyle w:val="29"/>
              <w:spacing w:before="78"/>
              <w:ind w:left="114"/>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应急处置方案</w:t>
            </w:r>
          </w:p>
        </w:tc>
        <w:tc>
          <w:tcPr>
            <w:tcW w:w="613" w:type="dxa"/>
            <w:noWrap w:val="0"/>
            <w:vAlign w:val="center"/>
          </w:tcPr>
          <w:p>
            <w:pPr>
              <w:pStyle w:val="29"/>
              <w:spacing w:before="78"/>
              <w:ind w:left="114"/>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15</w:t>
            </w:r>
            <w:r>
              <w:rPr>
                <w:rFonts w:hint="eastAsia" w:cs="宋体"/>
                <w:sz w:val="21"/>
                <w:szCs w:val="21"/>
                <w:lang w:val="en-US" w:eastAsia="zh-CN"/>
              </w:rPr>
              <w:t>分</w:t>
            </w:r>
          </w:p>
        </w:tc>
        <w:tc>
          <w:tcPr>
            <w:tcW w:w="6722" w:type="dxa"/>
            <w:noWrap w:val="0"/>
            <w:vAlign w:val="center"/>
          </w:tcPr>
          <w:p>
            <w:pPr>
              <w:pStyle w:val="29"/>
              <w:spacing w:before="78"/>
              <w:ind w:left="114"/>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针对恶劣天气</w:t>
            </w:r>
            <w:r>
              <w:rPr>
                <w:rFonts w:hint="eastAsia" w:ascii="宋体" w:hAnsi="宋体" w:eastAsia="宋体" w:cs="宋体"/>
                <w:color w:val="000000" w:themeColor="text1"/>
                <w:sz w:val="21"/>
                <w:szCs w:val="21"/>
                <w14:textFill>
                  <w14:solidFill>
                    <w14:schemeClr w14:val="tx1"/>
                  </w14:solidFill>
                </w14:textFill>
              </w:rPr>
              <w:t>影响，重大接待任务，重大节假日或活动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各种垃圾乱倾倒</w:t>
            </w:r>
            <w:r>
              <w:rPr>
                <w:rFonts w:hint="eastAsia" w:ascii="宋体" w:hAnsi="宋体" w:eastAsia="宋体" w:cs="宋体"/>
                <w:color w:val="000000" w:themeColor="text1"/>
                <w:sz w:val="21"/>
                <w:szCs w:val="21"/>
                <w14:textFill>
                  <w14:solidFill>
                    <w14:schemeClr w14:val="tx1"/>
                  </w14:solidFill>
                </w14:textFill>
              </w:rPr>
              <w:t>等特殊情况制定应急处置方案，包括传达机制、人员和设备调配、责任分工等内容进行评审：</w:t>
            </w:r>
          </w:p>
          <w:p>
            <w:pPr>
              <w:pStyle w:val="29"/>
              <w:spacing w:before="78"/>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针对恶劣天气</w:t>
            </w:r>
            <w:r>
              <w:rPr>
                <w:rFonts w:hint="eastAsia" w:ascii="宋体" w:hAnsi="宋体" w:eastAsia="宋体" w:cs="宋体"/>
                <w:color w:val="000000" w:themeColor="text1"/>
                <w:sz w:val="21"/>
                <w:szCs w:val="21"/>
                <w14:textFill>
                  <w14:solidFill>
                    <w14:schemeClr w14:val="tx1"/>
                  </w14:solidFill>
                </w14:textFill>
              </w:rPr>
              <w:t>影响，重大接待任务，重大节假日或活动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各种垃圾乱倾倒</w:t>
            </w:r>
            <w:r>
              <w:rPr>
                <w:rFonts w:hint="eastAsia" w:ascii="宋体" w:hAnsi="宋体" w:eastAsia="宋体" w:cs="宋体"/>
                <w:color w:val="000000" w:themeColor="text1"/>
                <w:sz w:val="21"/>
                <w:szCs w:val="21"/>
                <w14:textFill>
                  <w14:solidFill>
                    <w14:schemeClr w14:val="tx1"/>
                  </w14:solidFill>
                </w14:textFill>
              </w:rPr>
              <w:t>等特殊情况有完善且可行性强的应急处置方案，并提供包括传达机制、人员和设备调配、责任分工等内容，得</w:t>
            </w:r>
            <w:r>
              <w:rPr>
                <w:rFonts w:hint="eastAsia"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分；</w:t>
            </w:r>
          </w:p>
          <w:p>
            <w:pPr>
              <w:pStyle w:val="29"/>
              <w:spacing w:before="78"/>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t>针对恶劣天气</w:t>
            </w:r>
            <w:r>
              <w:rPr>
                <w:rFonts w:hint="eastAsia" w:ascii="宋体" w:hAnsi="宋体" w:eastAsia="宋体" w:cs="宋体"/>
                <w:color w:val="000000" w:themeColor="text1"/>
                <w:sz w:val="21"/>
                <w:szCs w:val="21"/>
                <w14:textFill>
                  <w14:solidFill>
                    <w14:schemeClr w14:val="tx1"/>
                  </w14:solidFill>
                </w14:textFill>
              </w:rPr>
              <w:t>影响，重大接待任务，重大节假日或活动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各种垃圾乱倾倒</w:t>
            </w:r>
            <w:r>
              <w:rPr>
                <w:rFonts w:hint="eastAsia" w:ascii="宋体" w:hAnsi="宋体" w:eastAsia="宋体" w:cs="宋体"/>
                <w:color w:val="000000" w:themeColor="text1"/>
                <w:sz w:val="21"/>
                <w:szCs w:val="21"/>
                <w14:textFill>
                  <w14:solidFill>
                    <w14:schemeClr w14:val="tx1"/>
                  </w14:solidFill>
                </w14:textFill>
              </w:rPr>
              <w:t>等特殊情况具有基本的应急处置方案，但方案存在操作性的不足且传达机制、人员和设备调配 、责任分工等内容无详细说明，得</w:t>
            </w:r>
            <w:r>
              <w:rPr>
                <w:rFonts w:hint="eastAsia"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分；</w:t>
            </w:r>
          </w:p>
          <w:p>
            <w:pPr>
              <w:pStyle w:val="29"/>
              <w:spacing w:before="78"/>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color w:val="000000" w:themeColor="text1"/>
                <w:sz w:val="21"/>
                <w:szCs w:val="21"/>
                <w:lang w:val="en-US" w:eastAsia="zh-CN"/>
                <w14:textFill>
                  <w14:solidFill>
                    <w14:schemeClr w14:val="tx1"/>
                  </w14:solidFill>
                </w14:textFill>
              </w:rPr>
              <w:t>针对恶劣天气</w:t>
            </w:r>
            <w:r>
              <w:rPr>
                <w:rFonts w:hint="eastAsia" w:ascii="宋体" w:hAnsi="宋体" w:eastAsia="宋体" w:cs="宋体"/>
                <w:color w:val="000000" w:themeColor="text1"/>
                <w:sz w:val="21"/>
                <w:szCs w:val="21"/>
                <w14:textFill>
                  <w14:solidFill>
                    <w14:schemeClr w14:val="tx1"/>
                  </w14:solidFill>
                </w14:textFill>
              </w:rPr>
              <w:t>影响，重大接待任务，重大节假日或活动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各种垃圾乱倾倒</w:t>
            </w:r>
            <w:r>
              <w:rPr>
                <w:rFonts w:hint="eastAsia" w:ascii="宋体" w:hAnsi="宋体" w:eastAsia="宋体" w:cs="宋体"/>
                <w:color w:val="000000" w:themeColor="text1"/>
                <w:sz w:val="21"/>
                <w:szCs w:val="21"/>
                <w14:textFill>
                  <w14:solidFill>
                    <w14:schemeClr w14:val="tx1"/>
                  </w14:solidFill>
                </w14:textFill>
              </w:rPr>
              <w:t>等特殊情况的应急处置方案简陋，无详细说明，操作性差，得</w:t>
            </w:r>
            <w:r>
              <w:rPr>
                <w:rFonts w:hint="eastAsia"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分；④无提供应急处置方案不得分。</w:t>
            </w:r>
          </w:p>
        </w:tc>
        <w:tc>
          <w:tcPr>
            <w:tcW w:w="1237" w:type="dxa"/>
            <w:noWrap w:val="0"/>
            <w:vAlign w:val="center"/>
          </w:tcPr>
          <w:p>
            <w:pPr>
              <w:pStyle w:val="29"/>
              <w:spacing w:before="78"/>
              <w:ind w:left="114"/>
              <w:rPr>
                <w:rFonts w:hint="eastAsia" w:ascii="宋体" w:hAnsi="宋体" w:eastAsia="宋体" w:cs="宋体"/>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2" w:hRule="atLeast"/>
        </w:trPr>
        <w:tc>
          <w:tcPr>
            <w:tcW w:w="796" w:type="dxa"/>
            <w:noWrap w:val="0"/>
            <w:vAlign w:val="center"/>
          </w:tcPr>
          <w:p>
            <w:pPr>
              <w:pStyle w:val="29"/>
              <w:spacing w:before="78"/>
              <w:ind w:left="114"/>
              <w:rPr>
                <w:rFonts w:hint="eastAsia" w:ascii="宋体" w:hAnsi="宋体" w:eastAsia="宋体" w:cs="宋体"/>
                <w:sz w:val="21"/>
                <w:szCs w:val="21"/>
                <w:lang w:val="en-US"/>
              </w:rPr>
            </w:pPr>
            <w:r>
              <w:rPr>
                <w:rFonts w:hint="eastAsia" w:ascii="宋体" w:hAnsi="宋体" w:eastAsia="宋体" w:cs="宋体"/>
                <w:sz w:val="21"/>
                <w:szCs w:val="21"/>
                <w:lang w:val="en-US" w:eastAsia="zh-CN"/>
              </w:rPr>
              <w:t>商务</w:t>
            </w:r>
            <w:r>
              <w:rPr>
                <w:rFonts w:hint="eastAsia" w:ascii="宋体" w:hAnsi="宋体" w:eastAsia="宋体" w:cs="宋体"/>
                <w:sz w:val="21"/>
                <w:szCs w:val="21"/>
                <w:lang w:val="en-US"/>
              </w:rPr>
              <w:t>评分标准</w:t>
            </w:r>
          </w:p>
          <w:p>
            <w:pPr>
              <w:pStyle w:val="29"/>
              <w:spacing w:before="78"/>
              <w:ind w:left="114"/>
              <w:rPr>
                <w:rFonts w:hint="eastAsia" w:ascii="宋体" w:hAnsi="宋体" w:eastAsia="宋体" w:cs="宋体"/>
                <w:sz w:val="21"/>
                <w:szCs w:val="21"/>
              </w:rPr>
            </w:pPr>
            <w:r>
              <w:rPr>
                <w:rFonts w:hint="eastAsia" w:ascii="宋体" w:hAnsi="宋体" w:eastAsia="宋体" w:cs="宋体"/>
                <w:sz w:val="21"/>
                <w:szCs w:val="21"/>
                <w:lang w:val="en-US"/>
              </w:rPr>
              <w:t>（</w:t>
            </w:r>
            <w:r>
              <w:rPr>
                <w:rFonts w:hint="eastAsia" w:cs="宋体"/>
                <w:sz w:val="21"/>
                <w:szCs w:val="21"/>
                <w:lang w:val="en-US" w:eastAsia="zh-CN"/>
              </w:rPr>
              <w:t>15</w:t>
            </w:r>
            <w:r>
              <w:rPr>
                <w:rFonts w:hint="eastAsia" w:ascii="宋体" w:hAnsi="宋体" w:eastAsia="宋体" w:cs="宋体"/>
                <w:sz w:val="21"/>
                <w:szCs w:val="21"/>
                <w:lang w:val="en-US"/>
              </w:rPr>
              <w:t>）</w:t>
            </w:r>
          </w:p>
        </w:tc>
        <w:tc>
          <w:tcPr>
            <w:tcW w:w="789" w:type="dxa"/>
            <w:noWrap w:val="0"/>
            <w:vAlign w:val="center"/>
          </w:tcPr>
          <w:p>
            <w:pPr>
              <w:pStyle w:val="29"/>
              <w:spacing w:before="78"/>
              <w:ind w:left="114" w:leftChars="0" w:right="0" w:rightChars="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kern w:val="0"/>
                <w:sz w:val="21"/>
                <w:szCs w:val="21"/>
              </w:rPr>
              <w:t>质</w:t>
            </w:r>
            <w:r>
              <w:rPr>
                <w:rFonts w:hint="eastAsia" w:ascii="宋体" w:hAnsi="宋体" w:eastAsia="宋体" w:cs="宋体"/>
                <w:color w:val="auto"/>
                <w:sz w:val="21"/>
                <w:szCs w:val="21"/>
              </w:rPr>
              <w:t>量管理</w:t>
            </w:r>
          </w:p>
        </w:tc>
        <w:tc>
          <w:tcPr>
            <w:tcW w:w="613" w:type="dxa"/>
            <w:noWrap w:val="0"/>
            <w:vAlign w:val="center"/>
          </w:tcPr>
          <w:p>
            <w:pPr>
              <w:pStyle w:val="29"/>
              <w:spacing w:before="78"/>
              <w:ind w:left="114" w:leftChars="0" w:right="0" w:rightChars="0"/>
              <w:jc w:val="both"/>
              <w:rPr>
                <w:rFonts w:hint="eastAsia" w:ascii="宋体" w:hAnsi="宋体" w:eastAsia="宋体" w:cs="宋体"/>
                <w:color w:val="auto"/>
                <w:sz w:val="21"/>
                <w:szCs w:val="21"/>
                <w:lang w:val="en-US" w:eastAsia="zh-CN" w:bidi="zh-CN"/>
              </w:rPr>
            </w:pPr>
            <w:r>
              <w:rPr>
                <w:rFonts w:hint="eastAsia" w:cs="宋体"/>
                <w:sz w:val="21"/>
                <w:szCs w:val="21"/>
                <w:lang w:val="en-US" w:eastAsia="zh-CN"/>
              </w:rPr>
              <w:t>15分</w:t>
            </w:r>
          </w:p>
        </w:tc>
        <w:tc>
          <w:tcPr>
            <w:tcW w:w="6722" w:type="dxa"/>
            <w:noWrap w:val="0"/>
            <w:vAlign w:val="center"/>
          </w:tcPr>
          <w:p>
            <w:pPr>
              <w:pStyle w:val="29"/>
              <w:spacing w:before="78"/>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根据投标人针对本项目提供的具有特色的个性化服务、巡查和管理制度等 ，安排人力、保证按时按质按量完成环卫保洁、绿化养护工作</w:t>
            </w:r>
            <w:r>
              <w:rPr>
                <w:rFonts w:hint="eastAsia" w:cs="宋体"/>
                <w:color w:val="auto"/>
                <w:sz w:val="21"/>
                <w:szCs w:val="21"/>
                <w:lang w:val="en-US" w:eastAsia="zh-CN"/>
              </w:rPr>
              <w:t>，</w:t>
            </w:r>
            <w:r>
              <w:rPr>
                <w:rFonts w:hint="eastAsia" w:ascii="宋体" w:hAnsi="宋体" w:eastAsia="宋体" w:cs="宋体"/>
                <w:color w:val="auto"/>
                <w:sz w:val="21"/>
                <w:szCs w:val="21"/>
                <w:lang w:val="en-US" w:eastAsia="zh-CN"/>
              </w:rPr>
              <w:t>并制定管理质量控制措施，对环卫保洁、绿化养护实施方案的落实负责等情况进行评审：</w:t>
            </w:r>
          </w:p>
          <w:p>
            <w:pPr>
              <w:pStyle w:val="29"/>
              <w:spacing w:before="78"/>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①具有特色的个性化服务、巡查和管理制度等，安排人力、保证按时按质按量完成环卫保洁、绿化养护工作，有完善的管理质量控制措施，能够保证环卫保洁、绿化养护实施方案的落实负责</w:t>
            </w:r>
            <w:r>
              <w:rPr>
                <w:rFonts w:hint="eastAsia" w:cs="宋体"/>
                <w:color w:val="auto"/>
                <w:sz w:val="21"/>
                <w:szCs w:val="21"/>
                <w:lang w:val="en-US" w:eastAsia="zh-CN"/>
              </w:rPr>
              <w:t>，得15分</w:t>
            </w:r>
            <w:r>
              <w:rPr>
                <w:rFonts w:hint="eastAsia" w:ascii="宋体" w:hAnsi="宋体" w:eastAsia="宋体" w:cs="宋体"/>
                <w:color w:val="auto"/>
                <w:sz w:val="21"/>
                <w:szCs w:val="21"/>
                <w:lang w:val="en-US" w:eastAsia="zh-CN"/>
              </w:rPr>
              <w:t xml:space="preserve">； </w:t>
            </w:r>
          </w:p>
          <w:p>
            <w:pPr>
              <w:pStyle w:val="29"/>
              <w:spacing w:before="78"/>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②具有基本的服务、巡查和管理制度，有充足的人力来满足文件基本要求的环卫保洁、绿化养护工作 ，但提供的管理质量控制措施存在不清晰情况</w:t>
            </w:r>
            <w:r>
              <w:rPr>
                <w:rFonts w:hint="eastAsia" w:cs="宋体"/>
                <w:color w:val="auto"/>
                <w:sz w:val="21"/>
                <w:szCs w:val="21"/>
                <w:lang w:val="en-US" w:eastAsia="zh-CN"/>
              </w:rPr>
              <w:t>，得10分</w:t>
            </w:r>
            <w:r>
              <w:rPr>
                <w:rFonts w:hint="eastAsia" w:ascii="宋体" w:hAnsi="宋体" w:eastAsia="宋体" w:cs="宋体"/>
                <w:color w:val="auto"/>
                <w:sz w:val="21"/>
                <w:szCs w:val="21"/>
                <w:lang w:val="en-US" w:eastAsia="zh-CN"/>
              </w:rPr>
              <w:t xml:space="preserve">； </w:t>
            </w:r>
          </w:p>
          <w:p>
            <w:pPr>
              <w:pStyle w:val="29"/>
              <w:spacing w:before="78"/>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③提供管理制度与管理质量控制措施不符合项目实际情况的</w:t>
            </w:r>
            <w:r>
              <w:rPr>
                <w:rFonts w:hint="eastAsia" w:cs="宋体"/>
                <w:color w:val="auto"/>
                <w:sz w:val="21"/>
                <w:szCs w:val="21"/>
                <w:lang w:val="en-US" w:eastAsia="zh-CN"/>
              </w:rPr>
              <w:t>，得5分</w:t>
            </w:r>
            <w:r>
              <w:rPr>
                <w:rFonts w:hint="eastAsia" w:ascii="宋体" w:hAnsi="宋体" w:eastAsia="宋体" w:cs="宋体"/>
                <w:color w:val="auto"/>
                <w:sz w:val="21"/>
                <w:szCs w:val="21"/>
                <w:lang w:val="en-US" w:eastAsia="zh-CN"/>
              </w:rPr>
              <w:t>；</w:t>
            </w:r>
          </w:p>
          <w:p>
            <w:pPr>
              <w:pStyle w:val="29"/>
              <w:spacing w:before="78"/>
              <w:ind w:left="0" w:leftChars="0" w:right="0" w:rightChars="0"/>
              <w:rPr>
                <w:rFonts w:hint="eastAsia" w:ascii="宋体" w:hAnsi="宋体" w:eastAsia="宋体" w:cs="宋体"/>
                <w:color w:val="auto"/>
                <w:sz w:val="21"/>
                <w:szCs w:val="21"/>
                <w:lang w:val="en-US" w:eastAsia="zh-CN" w:bidi="zh-CN"/>
              </w:rPr>
            </w:pPr>
            <w:r>
              <w:rPr>
                <w:rFonts w:hint="eastAsia" w:cs="宋体"/>
                <w:color w:val="auto"/>
                <w:sz w:val="21"/>
                <w:szCs w:val="21"/>
                <w:lang w:val="en-US" w:eastAsia="zh-CN"/>
              </w:rPr>
              <w:t>④</w:t>
            </w:r>
            <w:r>
              <w:rPr>
                <w:rFonts w:hint="eastAsia" w:ascii="宋体" w:hAnsi="宋体" w:eastAsia="宋体" w:cs="宋体"/>
                <w:color w:val="auto"/>
                <w:sz w:val="21"/>
                <w:szCs w:val="21"/>
                <w:lang w:val="en-US" w:eastAsia="zh-CN"/>
              </w:rPr>
              <w:t>无提供质量管理措施不得分。</w:t>
            </w:r>
          </w:p>
        </w:tc>
        <w:tc>
          <w:tcPr>
            <w:tcW w:w="1237" w:type="dxa"/>
            <w:noWrap w:val="0"/>
            <w:vAlign w:val="top"/>
          </w:tcPr>
          <w:p>
            <w:pPr>
              <w:pStyle w:val="29"/>
              <w:spacing w:before="78"/>
              <w:ind w:left="114"/>
              <w:rPr>
                <w:rFonts w:hint="eastAsia" w:ascii="宋体" w:hAnsi="宋体" w:eastAsia="宋体" w:cs="宋体"/>
                <w:sz w:val="21"/>
                <w:szCs w:val="21"/>
                <w:lang w:val="en-US"/>
              </w:rPr>
            </w:pPr>
          </w:p>
        </w:tc>
      </w:tr>
    </w:tbl>
    <w:p>
      <w:pPr>
        <w:pStyle w:val="29"/>
        <w:spacing w:before="78"/>
        <w:ind w:left="114"/>
        <w:rPr>
          <w:rFonts w:hint="eastAsia" w:ascii="宋体" w:hAnsi="宋体" w:eastAsia="宋体" w:cs="宋体"/>
          <w:sz w:val="21"/>
          <w:lang w:val="en-US" w:eastAsia="zh-CN"/>
        </w:rPr>
      </w:pPr>
    </w:p>
    <w:p>
      <w:pPr>
        <w:pStyle w:val="29"/>
        <w:spacing w:before="78"/>
        <w:ind w:left="114"/>
        <w:rPr>
          <w:rFonts w:hint="eastAsia" w:ascii="宋体" w:hAnsi="宋体" w:eastAsia="宋体" w:cs="宋体"/>
          <w:sz w:val="21"/>
          <w:lang w:val="en-US" w:eastAsia="zh-CN"/>
        </w:rPr>
      </w:pPr>
      <w:r>
        <w:rPr>
          <w:rFonts w:hint="eastAsia" w:ascii="宋体" w:hAnsi="宋体" w:eastAsia="宋体" w:cs="宋体"/>
          <w:sz w:val="21"/>
          <w:lang w:val="en-US" w:eastAsia="zh-CN"/>
        </w:rPr>
        <w:t>评审完毕，评标委员会根据汇总各投标企业的综合得分，按照得分高低进行排序，取前三名作为中标候选人推荐给招标委员会。如果两投标人的得分相同，投标价格低者排在前。</w:t>
      </w:r>
      <w:bookmarkStart w:id="358" w:name="_Toc6882"/>
      <w:bookmarkStart w:id="359" w:name="_Toc25263"/>
      <w:bookmarkStart w:id="360" w:name="_Toc15652"/>
    </w:p>
    <w:p>
      <w:pPr>
        <w:rPr>
          <w:b/>
          <w:bCs/>
          <w:sz w:val="28"/>
          <w:szCs w:val="28"/>
        </w:rPr>
      </w:pPr>
      <w:r>
        <w:rPr>
          <w:b/>
          <w:bCs/>
          <w:sz w:val="28"/>
          <w:szCs w:val="28"/>
        </w:rPr>
        <w:br w:type="page"/>
      </w:r>
    </w:p>
    <w:p>
      <w:pPr>
        <w:pStyle w:val="29"/>
        <w:spacing w:before="78"/>
        <w:ind w:left="114"/>
        <w:jc w:val="center"/>
        <w:rPr>
          <w:b/>
          <w:bCs/>
          <w:sz w:val="28"/>
          <w:szCs w:val="28"/>
        </w:rPr>
      </w:pPr>
      <w:r>
        <w:rPr>
          <w:b/>
          <w:bCs/>
          <w:sz w:val="28"/>
          <w:szCs w:val="28"/>
        </w:rPr>
        <w:t>第七章</w:t>
      </w:r>
      <w:r>
        <w:rPr>
          <w:b/>
          <w:bCs/>
          <w:sz w:val="28"/>
          <w:szCs w:val="28"/>
        </w:rPr>
        <w:tab/>
      </w:r>
      <w:r>
        <w:rPr>
          <w:b/>
          <w:bCs/>
          <w:sz w:val="28"/>
          <w:szCs w:val="28"/>
        </w:rPr>
        <w:t>确定中标</w:t>
      </w:r>
      <w:bookmarkEnd w:id="358"/>
      <w:bookmarkEnd w:id="359"/>
      <w:bookmarkEnd w:id="360"/>
    </w:p>
    <w:p>
      <w:pPr>
        <w:pStyle w:val="3"/>
        <w:rPr>
          <w:b/>
          <w:bCs/>
          <w:sz w:val="40"/>
          <w:szCs w:val="32"/>
        </w:rPr>
      </w:pPr>
    </w:p>
    <w:p>
      <w:pPr>
        <w:spacing w:after="0" w:line="364" w:lineRule="auto"/>
        <w:ind w:firstLine="440" w:firstLineChars="200"/>
        <w:rPr>
          <w:rFonts w:hint="eastAsia" w:ascii="宋体" w:eastAsia="宋体"/>
          <w:sz w:val="24"/>
          <w:szCs w:val="24"/>
        </w:rPr>
      </w:pPr>
      <w:r>
        <w:rPr>
          <w:rFonts w:hint="eastAsia" w:ascii="宋体" w:eastAsia="宋体"/>
          <w:lang w:val="en-US" w:eastAsia="zh-CN"/>
        </w:rPr>
        <w:t>1</w:t>
      </w:r>
      <w:r>
        <w:rPr>
          <w:rFonts w:hint="eastAsia" w:ascii="宋体" w:eastAsia="宋体"/>
          <w:sz w:val="24"/>
          <w:szCs w:val="24"/>
        </w:rPr>
        <w:t>.（</w:t>
      </w:r>
      <w:r>
        <w:rPr>
          <w:rFonts w:hint="eastAsia" w:ascii="宋体" w:eastAsia="宋体"/>
          <w:sz w:val="24"/>
          <w:szCs w:val="24"/>
          <w:lang w:eastAsia="zh-CN"/>
        </w:rPr>
        <w:t>本项目不接受联合体报价</w:t>
      </w:r>
      <w:r>
        <w:rPr>
          <w:rFonts w:hint="eastAsia" w:ascii="宋体" w:eastAsia="宋体"/>
          <w:sz w:val="24"/>
          <w:szCs w:val="24"/>
        </w:rPr>
        <w:t xml:space="preserve">）联合协议中约定，小型、微型企业和监狱企业的协议合同金额占到联合体协议合同总金额30%以上的，可给予联合体 </w:t>
      </w:r>
      <w:r>
        <w:rPr>
          <w:rFonts w:hint="eastAsia" w:ascii="宋体" w:eastAsia="宋体"/>
          <w:sz w:val="24"/>
          <w:szCs w:val="24"/>
          <w:u w:val="single"/>
        </w:rPr>
        <w:t xml:space="preserve"> 无 </w:t>
      </w:r>
      <w:r>
        <w:rPr>
          <w:rFonts w:hint="eastAsia" w:ascii="宋体" w:eastAsia="宋体"/>
          <w:sz w:val="24"/>
          <w:szCs w:val="24"/>
        </w:rPr>
        <w:t xml:space="preserve"> %的价格扣除。</w:t>
      </w:r>
    </w:p>
    <w:p>
      <w:pPr>
        <w:spacing w:after="0" w:line="364" w:lineRule="auto"/>
        <w:rPr>
          <w:rFonts w:hint="eastAsia" w:ascii="宋体" w:eastAsia="宋体"/>
          <w:sz w:val="24"/>
          <w:szCs w:val="24"/>
        </w:rPr>
      </w:pPr>
      <w:r>
        <w:rPr>
          <w:rFonts w:hint="eastAsia" w:ascii="宋体" w:eastAsia="宋体"/>
          <w:sz w:val="24"/>
          <w:szCs w:val="24"/>
        </w:rPr>
        <w:t>联合体各方均为小型、微型企业和监狱企业的，联合体视同为小型、微型企业和监狱企业。</w:t>
      </w:r>
    </w:p>
    <w:p>
      <w:pPr>
        <w:spacing w:after="0" w:line="364" w:lineRule="auto"/>
        <w:ind w:firstLine="480" w:firstLineChars="200"/>
        <w:rPr>
          <w:rFonts w:hint="eastAsia" w:ascii="宋体" w:eastAsia="宋体"/>
          <w:sz w:val="24"/>
          <w:szCs w:val="24"/>
        </w:rPr>
      </w:pPr>
      <w:r>
        <w:rPr>
          <w:rFonts w:hint="eastAsia" w:ascii="宋体" w:eastAsia="宋体"/>
          <w:sz w:val="24"/>
          <w:szCs w:val="24"/>
          <w:lang w:val="en-US" w:eastAsia="zh-CN"/>
        </w:rPr>
        <w:t>2</w:t>
      </w:r>
      <w:r>
        <w:rPr>
          <w:rFonts w:hint="eastAsia" w:ascii="宋体" w:eastAsia="宋体"/>
          <w:sz w:val="24"/>
          <w:szCs w:val="24"/>
        </w:rPr>
        <w:t>.</w:t>
      </w:r>
      <w:r>
        <w:rPr>
          <w:rFonts w:hint="eastAsia" w:ascii="宋体" w:eastAsia="宋体"/>
          <w:sz w:val="24"/>
          <w:szCs w:val="24"/>
          <w:lang w:eastAsia="zh-CN"/>
        </w:rPr>
        <w:t>投标人</w:t>
      </w:r>
      <w:r>
        <w:rPr>
          <w:rFonts w:hint="eastAsia" w:ascii="宋体" w:eastAsia="宋体"/>
          <w:sz w:val="24"/>
          <w:szCs w:val="24"/>
        </w:rPr>
        <w:t>所投产品如被列入财政部与国家主管部门颁发的节能产品目录或环境标志产品目录或无线局域网产品目录，应提供相关证明，在评标时予以优先采购，具体优惠措施为：</w:t>
      </w:r>
    </w:p>
    <w:p>
      <w:pPr>
        <w:spacing w:after="0" w:line="364" w:lineRule="auto"/>
        <w:ind w:firstLine="480" w:firstLineChars="200"/>
        <w:rPr>
          <w:rFonts w:hint="eastAsia" w:ascii="宋体" w:eastAsia="宋体"/>
          <w:sz w:val="24"/>
          <w:szCs w:val="24"/>
        </w:rPr>
      </w:pPr>
      <w:r>
        <w:rPr>
          <w:rFonts w:hint="eastAsia" w:ascii="宋体" w:eastAsia="宋体"/>
          <w:sz w:val="24"/>
          <w:szCs w:val="24"/>
          <w:lang w:val="en-US" w:eastAsia="zh-CN"/>
        </w:rPr>
        <w:t>3</w:t>
      </w:r>
      <w:r>
        <w:rPr>
          <w:rFonts w:hint="eastAsia" w:ascii="宋体" w:eastAsia="宋体"/>
          <w:sz w:val="24"/>
          <w:szCs w:val="24"/>
        </w:rPr>
        <w:t>.如采购人所采购产品为政府强制采购的节能产品，</w:t>
      </w:r>
      <w:r>
        <w:rPr>
          <w:rFonts w:hint="eastAsia" w:ascii="宋体" w:eastAsia="宋体"/>
          <w:sz w:val="24"/>
          <w:szCs w:val="24"/>
          <w:lang w:eastAsia="zh-CN"/>
        </w:rPr>
        <w:t>投标人</w:t>
      </w:r>
      <w:r>
        <w:rPr>
          <w:rFonts w:hint="eastAsia" w:ascii="宋体" w:eastAsia="宋体"/>
          <w:sz w:val="24"/>
          <w:szCs w:val="24"/>
        </w:rPr>
        <w:t>所投产品的品牌及型号必须为清单中有效期内产品并提供证明文件，否则其</w:t>
      </w:r>
      <w:r>
        <w:rPr>
          <w:rFonts w:hint="eastAsia" w:ascii="宋体" w:eastAsia="宋体"/>
          <w:sz w:val="24"/>
          <w:szCs w:val="24"/>
          <w:lang w:eastAsia="zh-CN"/>
        </w:rPr>
        <w:t>报价</w:t>
      </w:r>
      <w:r>
        <w:rPr>
          <w:rFonts w:hint="eastAsia" w:ascii="宋体" w:eastAsia="宋体"/>
          <w:sz w:val="24"/>
          <w:szCs w:val="24"/>
        </w:rPr>
        <w:t>将被认定为</w:t>
      </w:r>
      <w:r>
        <w:rPr>
          <w:rFonts w:hint="eastAsia" w:ascii="宋体" w:eastAsia="宋体"/>
          <w:sz w:val="24"/>
          <w:szCs w:val="24"/>
          <w:lang w:eastAsia="zh-CN"/>
        </w:rPr>
        <w:t>投标无效</w:t>
      </w:r>
      <w:r>
        <w:rPr>
          <w:rFonts w:hint="eastAsia" w:ascii="宋体" w:eastAsia="宋体"/>
          <w:sz w:val="24"/>
          <w:szCs w:val="24"/>
        </w:rPr>
        <w:t>。</w:t>
      </w:r>
    </w:p>
    <w:p>
      <w:pPr>
        <w:spacing w:after="0" w:line="364" w:lineRule="auto"/>
        <w:ind w:firstLine="480" w:firstLineChars="200"/>
        <w:rPr>
          <w:rFonts w:hint="eastAsia" w:ascii="宋体" w:eastAsia="宋体"/>
          <w:sz w:val="24"/>
          <w:szCs w:val="24"/>
        </w:rPr>
      </w:pPr>
      <w:r>
        <w:rPr>
          <w:rFonts w:hint="eastAsia" w:ascii="宋体" w:eastAsia="宋体"/>
          <w:sz w:val="24"/>
          <w:szCs w:val="24"/>
          <w:lang w:val="en-US" w:eastAsia="zh-CN"/>
        </w:rPr>
        <w:t>4</w:t>
      </w:r>
      <w:r>
        <w:rPr>
          <w:rFonts w:hint="eastAsia" w:ascii="宋体" w:eastAsia="宋体"/>
          <w:sz w:val="24"/>
          <w:szCs w:val="24"/>
        </w:rPr>
        <w:t xml:space="preserve">.对创新产品或创新性企业的优惠措施为：无       </w:t>
      </w:r>
    </w:p>
    <w:p>
      <w:pPr>
        <w:spacing w:after="0" w:line="364" w:lineRule="auto"/>
        <w:ind w:firstLine="480" w:firstLineChars="200"/>
        <w:rPr>
          <w:rFonts w:hint="eastAsia" w:ascii="宋体" w:eastAsia="宋体"/>
          <w:sz w:val="24"/>
          <w:szCs w:val="24"/>
        </w:rPr>
      </w:pPr>
      <w:r>
        <w:rPr>
          <w:rFonts w:hint="eastAsia" w:ascii="宋体" w:eastAsia="宋体"/>
          <w:sz w:val="24"/>
          <w:szCs w:val="24"/>
          <w:lang w:val="en-US" w:eastAsia="zh-CN"/>
        </w:rPr>
        <w:t>5</w:t>
      </w:r>
      <w:r>
        <w:rPr>
          <w:rFonts w:hint="eastAsia" w:ascii="宋体" w:eastAsia="宋体"/>
          <w:sz w:val="24"/>
          <w:szCs w:val="24"/>
        </w:rPr>
        <w:t>.同品牌处理办法：</w:t>
      </w:r>
    </w:p>
    <w:p>
      <w:pPr>
        <w:spacing w:after="0" w:line="364" w:lineRule="auto"/>
        <w:ind w:firstLine="720" w:firstLineChars="300"/>
        <w:rPr>
          <w:rFonts w:hint="eastAsia" w:ascii="宋体" w:eastAsia="宋体"/>
          <w:sz w:val="24"/>
          <w:szCs w:val="24"/>
        </w:rPr>
      </w:pPr>
      <w:r>
        <w:rPr>
          <w:rFonts w:hint="eastAsia" w:ascii="宋体" w:eastAsia="宋体"/>
          <w:sz w:val="24"/>
          <w:szCs w:val="24"/>
        </w:rPr>
        <w:t>如采用最低评标办法，则：依据财政部公布第87号令《政府采购货物和服务招标</w:t>
      </w:r>
      <w:r>
        <w:rPr>
          <w:rFonts w:hint="eastAsia" w:ascii="宋体" w:eastAsia="宋体"/>
          <w:sz w:val="24"/>
          <w:szCs w:val="24"/>
          <w:lang w:eastAsia="zh-CN"/>
        </w:rPr>
        <w:t>报价</w:t>
      </w:r>
      <w:r>
        <w:rPr>
          <w:rFonts w:hint="eastAsia" w:ascii="宋体" w:eastAsia="宋体"/>
          <w:sz w:val="24"/>
          <w:szCs w:val="24"/>
        </w:rPr>
        <w:t>管理办法》第三十一条：采用最低评标价法的采购项目，提供相同品牌产品的不同</w:t>
      </w:r>
      <w:r>
        <w:rPr>
          <w:rFonts w:hint="eastAsia" w:ascii="宋体" w:eastAsia="宋体"/>
          <w:sz w:val="24"/>
          <w:szCs w:val="24"/>
          <w:lang w:eastAsia="zh-CN"/>
        </w:rPr>
        <w:t>投标人</w:t>
      </w:r>
      <w:r>
        <w:rPr>
          <w:rFonts w:hint="eastAsia" w:ascii="宋体" w:eastAsia="宋体"/>
          <w:sz w:val="24"/>
          <w:szCs w:val="24"/>
        </w:rPr>
        <w:t>参加同一合同项下</w:t>
      </w:r>
      <w:r>
        <w:rPr>
          <w:rFonts w:hint="eastAsia" w:ascii="宋体" w:eastAsia="宋体"/>
          <w:sz w:val="24"/>
          <w:szCs w:val="24"/>
          <w:lang w:eastAsia="zh-CN"/>
        </w:rPr>
        <w:t>报价</w:t>
      </w:r>
      <w:r>
        <w:rPr>
          <w:rFonts w:hint="eastAsia" w:ascii="宋体" w:eastAsia="宋体"/>
          <w:sz w:val="24"/>
          <w:szCs w:val="24"/>
        </w:rPr>
        <w:t>的，以其中通过资格审查、符合性审查且报价最低的参加评标;报价相同的，由采购人或者采购人委托</w:t>
      </w:r>
      <w:r>
        <w:rPr>
          <w:rFonts w:hint="eastAsia" w:ascii="宋体" w:eastAsia="宋体"/>
          <w:sz w:val="24"/>
          <w:szCs w:val="24"/>
          <w:lang w:eastAsia="zh-CN"/>
        </w:rPr>
        <w:t>评标委员会</w:t>
      </w:r>
      <w:r>
        <w:rPr>
          <w:rFonts w:hint="eastAsia" w:ascii="宋体" w:eastAsia="宋体"/>
          <w:sz w:val="24"/>
          <w:szCs w:val="24"/>
        </w:rPr>
        <w:t>按照</w:t>
      </w:r>
      <w:r>
        <w:rPr>
          <w:rFonts w:hint="eastAsia" w:ascii="宋体" w:eastAsia="宋体"/>
          <w:sz w:val="24"/>
          <w:szCs w:val="24"/>
          <w:lang w:eastAsia="zh-CN"/>
        </w:rPr>
        <w:t>招标文件</w:t>
      </w:r>
      <w:r>
        <w:rPr>
          <w:rFonts w:hint="eastAsia" w:ascii="宋体" w:eastAsia="宋体"/>
          <w:sz w:val="24"/>
          <w:szCs w:val="24"/>
        </w:rPr>
        <w:t>规定的方式确定一个参加评标的</w:t>
      </w:r>
      <w:r>
        <w:rPr>
          <w:rFonts w:hint="eastAsia" w:ascii="宋体" w:eastAsia="宋体"/>
          <w:sz w:val="24"/>
          <w:szCs w:val="24"/>
          <w:lang w:eastAsia="zh-CN"/>
        </w:rPr>
        <w:t>投标人</w:t>
      </w:r>
      <w:r>
        <w:rPr>
          <w:rFonts w:hint="eastAsia" w:ascii="宋体" w:eastAsia="宋体"/>
          <w:sz w:val="24"/>
          <w:szCs w:val="24"/>
        </w:rPr>
        <w:t>，</w:t>
      </w:r>
      <w:r>
        <w:rPr>
          <w:rFonts w:hint="eastAsia" w:ascii="宋体" w:eastAsia="宋体"/>
          <w:sz w:val="24"/>
          <w:szCs w:val="24"/>
          <w:lang w:eastAsia="zh-CN"/>
        </w:rPr>
        <w:t>招标文件</w:t>
      </w:r>
      <w:r>
        <w:rPr>
          <w:rFonts w:hint="eastAsia" w:ascii="宋体" w:eastAsia="宋体"/>
          <w:sz w:val="24"/>
          <w:szCs w:val="24"/>
        </w:rPr>
        <w:t>未规定的采取随机抽取方式确定，其他</w:t>
      </w:r>
      <w:r>
        <w:rPr>
          <w:rFonts w:hint="eastAsia" w:ascii="宋体" w:eastAsia="宋体"/>
          <w:sz w:val="24"/>
          <w:szCs w:val="24"/>
          <w:lang w:eastAsia="zh-CN"/>
        </w:rPr>
        <w:t>投标无效</w:t>
      </w:r>
      <w:r>
        <w:rPr>
          <w:rFonts w:hint="eastAsia" w:ascii="宋体" w:eastAsia="宋体"/>
          <w:sz w:val="24"/>
          <w:szCs w:val="24"/>
        </w:rPr>
        <w:t>。；</w:t>
      </w:r>
    </w:p>
    <w:p>
      <w:pPr>
        <w:spacing w:after="0" w:line="364" w:lineRule="auto"/>
        <w:ind w:firstLine="480" w:firstLineChars="200"/>
        <w:rPr>
          <w:rFonts w:hint="eastAsia" w:ascii="宋体" w:eastAsia="宋体"/>
          <w:sz w:val="24"/>
          <w:szCs w:val="24"/>
        </w:rPr>
      </w:pPr>
      <w:r>
        <w:rPr>
          <w:rFonts w:hint="eastAsia" w:ascii="宋体" w:eastAsia="宋体"/>
          <w:sz w:val="24"/>
          <w:szCs w:val="24"/>
        </w:rPr>
        <w:t>如采用综合评标法，则：依据财政部公布第87号令 《政府采购货物和服务招标</w:t>
      </w:r>
      <w:r>
        <w:rPr>
          <w:rFonts w:hint="eastAsia" w:ascii="宋体" w:eastAsia="宋体"/>
          <w:sz w:val="24"/>
          <w:szCs w:val="24"/>
          <w:lang w:eastAsia="zh-CN"/>
        </w:rPr>
        <w:t>报价</w:t>
      </w:r>
      <w:r>
        <w:rPr>
          <w:rFonts w:hint="eastAsia" w:ascii="宋体" w:eastAsia="宋体"/>
          <w:sz w:val="24"/>
          <w:szCs w:val="24"/>
        </w:rPr>
        <w:t>管理办法》第三十一条： 使用综合评分法的采购项目，提供相同品牌产品且通过资格审查、符合性审查的不同</w:t>
      </w:r>
      <w:r>
        <w:rPr>
          <w:rFonts w:hint="eastAsia" w:ascii="宋体" w:eastAsia="宋体"/>
          <w:sz w:val="24"/>
          <w:szCs w:val="24"/>
          <w:lang w:eastAsia="zh-CN"/>
        </w:rPr>
        <w:t>投标人</w:t>
      </w:r>
      <w:r>
        <w:rPr>
          <w:rFonts w:hint="eastAsia" w:ascii="宋体" w:eastAsia="宋体"/>
          <w:sz w:val="24"/>
          <w:szCs w:val="24"/>
        </w:rPr>
        <w:t>参加同一合同项下</w:t>
      </w:r>
      <w:r>
        <w:rPr>
          <w:rFonts w:hint="eastAsia" w:ascii="宋体" w:eastAsia="宋体"/>
          <w:sz w:val="24"/>
          <w:szCs w:val="24"/>
          <w:lang w:eastAsia="zh-CN"/>
        </w:rPr>
        <w:t>报价</w:t>
      </w:r>
      <w:r>
        <w:rPr>
          <w:rFonts w:hint="eastAsia" w:ascii="宋体" w:eastAsia="宋体"/>
          <w:sz w:val="24"/>
          <w:szCs w:val="24"/>
        </w:rPr>
        <w:t>的，按一家</w:t>
      </w:r>
      <w:r>
        <w:rPr>
          <w:rFonts w:hint="eastAsia" w:ascii="宋体" w:eastAsia="宋体"/>
          <w:sz w:val="24"/>
          <w:szCs w:val="24"/>
          <w:lang w:eastAsia="zh-CN"/>
        </w:rPr>
        <w:t>投标人</w:t>
      </w:r>
      <w:r>
        <w:rPr>
          <w:rFonts w:hint="eastAsia" w:ascii="宋体" w:eastAsia="宋体"/>
          <w:sz w:val="24"/>
          <w:szCs w:val="24"/>
        </w:rPr>
        <w:t>计算，评审后得分最高的同品牌</w:t>
      </w:r>
      <w:r>
        <w:rPr>
          <w:rFonts w:hint="eastAsia" w:ascii="宋体" w:eastAsia="宋体"/>
          <w:sz w:val="24"/>
          <w:szCs w:val="24"/>
          <w:lang w:eastAsia="zh-CN"/>
        </w:rPr>
        <w:t>投标人</w:t>
      </w:r>
      <w:r>
        <w:rPr>
          <w:rFonts w:hint="eastAsia" w:ascii="宋体" w:eastAsia="宋体"/>
          <w:sz w:val="24"/>
          <w:szCs w:val="24"/>
        </w:rPr>
        <w:t>获得</w:t>
      </w:r>
      <w:r>
        <w:rPr>
          <w:rFonts w:hint="eastAsia" w:ascii="宋体" w:eastAsia="宋体"/>
          <w:sz w:val="24"/>
          <w:szCs w:val="24"/>
          <w:lang w:eastAsia="zh-CN"/>
        </w:rPr>
        <w:t>中标人</w:t>
      </w:r>
      <w:r>
        <w:rPr>
          <w:rFonts w:hint="eastAsia" w:ascii="宋体" w:eastAsia="宋体"/>
          <w:sz w:val="24"/>
          <w:szCs w:val="24"/>
        </w:rPr>
        <w:t>推荐资格;评审得分相同的，由采购人或者采购人委托</w:t>
      </w:r>
      <w:r>
        <w:rPr>
          <w:rFonts w:hint="eastAsia" w:ascii="宋体" w:eastAsia="宋体"/>
          <w:sz w:val="24"/>
          <w:szCs w:val="24"/>
          <w:lang w:eastAsia="zh-CN"/>
        </w:rPr>
        <w:t>评标委员会</w:t>
      </w:r>
      <w:r>
        <w:rPr>
          <w:rFonts w:hint="eastAsia" w:ascii="宋体" w:eastAsia="宋体"/>
          <w:sz w:val="24"/>
          <w:szCs w:val="24"/>
        </w:rPr>
        <w:t>按照</w:t>
      </w:r>
      <w:r>
        <w:rPr>
          <w:rFonts w:hint="eastAsia" w:ascii="宋体" w:eastAsia="宋体"/>
          <w:sz w:val="24"/>
          <w:szCs w:val="24"/>
          <w:lang w:eastAsia="zh-CN"/>
        </w:rPr>
        <w:t>招标文件</w:t>
      </w:r>
      <w:r>
        <w:rPr>
          <w:rFonts w:hint="eastAsia" w:ascii="宋体" w:eastAsia="宋体"/>
          <w:sz w:val="24"/>
          <w:szCs w:val="24"/>
        </w:rPr>
        <w:t>规定的方式确定一个</w:t>
      </w:r>
      <w:r>
        <w:rPr>
          <w:rFonts w:hint="eastAsia" w:ascii="宋体" w:eastAsia="宋体"/>
          <w:sz w:val="24"/>
          <w:szCs w:val="24"/>
          <w:lang w:eastAsia="zh-CN"/>
        </w:rPr>
        <w:t>投标人</w:t>
      </w:r>
      <w:r>
        <w:rPr>
          <w:rFonts w:hint="eastAsia" w:ascii="宋体" w:eastAsia="宋体"/>
          <w:sz w:val="24"/>
          <w:szCs w:val="24"/>
        </w:rPr>
        <w:t>获得</w:t>
      </w:r>
      <w:r>
        <w:rPr>
          <w:rFonts w:hint="eastAsia" w:ascii="宋体" w:eastAsia="宋体"/>
          <w:sz w:val="24"/>
          <w:szCs w:val="24"/>
          <w:lang w:eastAsia="zh-CN"/>
        </w:rPr>
        <w:t>中标人</w:t>
      </w:r>
      <w:r>
        <w:rPr>
          <w:rFonts w:hint="eastAsia" w:ascii="宋体" w:eastAsia="宋体"/>
          <w:sz w:val="24"/>
          <w:szCs w:val="24"/>
        </w:rPr>
        <w:t>推荐资格，</w:t>
      </w:r>
      <w:r>
        <w:rPr>
          <w:rFonts w:hint="eastAsia" w:ascii="宋体" w:eastAsia="宋体"/>
          <w:sz w:val="24"/>
          <w:szCs w:val="24"/>
          <w:lang w:eastAsia="zh-CN"/>
        </w:rPr>
        <w:t>招标文件</w:t>
      </w:r>
      <w:r>
        <w:rPr>
          <w:rFonts w:hint="eastAsia" w:ascii="宋体" w:eastAsia="宋体"/>
          <w:sz w:val="24"/>
          <w:szCs w:val="24"/>
        </w:rPr>
        <w:t>未规定的采取随机抽取方式确定，其他同品牌</w:t>
      </w:r>
      <w:r>
        <w:rPr>
          <w:rFonts w:hint="eastAsia" w:ascii="宋体" w:eastAsia="宋体"/>
          <w:sz w:val="24"/>
          <w:szCs w:val="24"/>
          <w:lang w:eastAsia="zh-CN"/>
        </w:rPr>
        <w:t>投标人</w:t>
      </w:r>
      <w:r>
        <w:rPr>
          <w:rFonts w:hint="eastAsia" w:ascii="宋体" w:eastAsia="宋体"/>
          <w:sz w:val="24"/>
          <w:szCs w:val="24"/>
        </w:rPr>
        <w:t>不作为</w:t>
      </w:r>
      <w:r>
        <w:rPr>
          <w:rFonts w:hint="eastAsia" w:ascii="宋体" w:eastAsia="宋体"/>
          <w:sz w:val="24"/>
          <w:szCs w:val="24"/>
          <w:lang w:eastAsia="zh-CN"/>
        </w:rPr>
        <w:t>中标候选人</w:t>
      </w:r>
      <w:r>
        <w:rPr>
          <w:rFonts w:hint="eastAsia" w:ascii="宋体" w:eastAsia="宋体"/>
          <w:sz w:val="24"/>
          <w:szCs w:val="24"/>
        </w:rPr>
        <w:t>。</w:t>
      </w:r>
    </w:p>
    <w:p>
      <w:pPr>
        <w:spacing w:after="0" w:line="364" w:lineRule="auto"/>
        <w:ind w:firstLine="480" w:firstLineChars="200"/>
        <w:rPr>
          <w:rFonts w:hint="eastAsia" w:ascii="宋体" w:eastAsia="宋体"/>
          <w:sz w:val="24"/>
          <w:szCs w:val="24"/>
        </w:rPr>
      </w:pPr>
      <w:r>
        <w:rPr>
          <w:rFonts w:hint="eastAsia" w:ascii="宋体" w:eastAsia="宋体"/>
          <w:sz w:val="24"/>
          <w:szCs w:val="24"/>
          <w:lang w:val="en-US" w:eastAsia="zh-CN"/>
        </w:rPr>
        <w:t>6</w:t>
      </w:r>
      <w:r>
        <w:rPr>
          <w:rFonts w:hint="eastAsia" w:ascii="宋体" w:eastAsia="宋体"/>
          <w:sz w:val="24"/>
          <w:szCs w:val="24"/>
        </w:rPr>
        <w:t>.</w:t>
      </w:r>
      <w:r>
        <w:rPr>
          <w:rFonts w:hint="eastAsia" w:ascii="宋体" w:eastAsia="宋体"/>
          <w:sz w:val="24"/>
          <w:szCs w:val="24"/>
          <w:lang w:eastAsia="zh-CN"/>
        </w:rPr>
        <w:t>中标候选人</w:t>
      </w:r>
      <w:r>
        <w:rPr>
          <w:rFonts w:hint="eastAsia" w:ascii="宋体" w:eastAsia="宋体"/>
          <w:sz w:val="24"/>
          <w:szCs w:val="24"/>
        </w:rPr>
        <w:t xml:space="preserve">并列式时的处理方式：   </w:t>
      </w:r>
    </w:p>
    <w:p>
      <w:pPr>
        <w:spacing w:after="0" w:line="364" w:lineRule="auto"/>
        <w:ind w:firstLine="480" w:firstLineChars="200"/>
        <w:rPr>
          <w:rFonts w:hint="eastAsia" w:ascii="宋体" w:eastAsia="宋体"/>
          <w:sz w:val="24"/>
          <w:szCs w:val="24"/>
        </w:rPr>
      </w:pPr>
      <w:r>
        <w:rPr>
          <w:rFonts w:hint="eastAsia" w:ascii="宋体" w:eastAsia="宋体"/>
          <w:sz w:val="24"/>
          <w:szCs w:val="24"/>
        </w:rPr>
        <w:t>如采用最低评标办法，则：随机抽取决定 ；</w:t>
      </w:r>
    </w:p>
    <w:p>
      <w:pPr>
        <w:spacing w:after="0" w:line="364" w:lineRule="auto"/>
        <w:ind w:firstLine="480" w:firstLineChars="200"/>
        <w:rPr>
          <w:rFonts w:hint="eastAsia" w:ascii="宋体" w:eastAsia="宋体"/>
          <w:sz w:val="24"/>
          <w:szCs w:val="24"/>
        </w:rPr>
      </w:pPr>
      <w:r>
        <w:rPr>
          <w:rFonts w:hint="eastAsia" w:ascii="宋体" w:eastAsia="宋体"/>
          <w:sz w:val="24"/>
          <w:szCs w:val="24"/>
        </w:rPr>
        <w:t>如采用综合评标法，则：评审得分相同的且</w:t>
      </w:r>
      <w:r>
        <w:rPr>
          <w:rFonts w:hint="eastAsia" w:ascii="宋体" w:eastAsia="宋体"/>
          <w:sz w:val="24"/>
          <w:szCs w:val="24"/>
          <w:lang w:eastAsia="zh-CN"/>
        </w:rPr>
        <w:t>响应报价</w:t>
      </w:r>
      <w:r>
        <w:rPr>
          <w:rFonts w:hint="eastAsia" w:ascii="宋体" w:eastAsia="宋体"/>
          <w:sz w:val="24"/>
          <w:szCs w:val="24"/>
        </w:rPr>
        <w:t>不同的，按</w:t>
      </w:r>
      <w:r>
        <w:rPr>
          <w:rFonts w:hint="eastAsia" w:ascii="宋体" w:eastAsia="宋体"/>
          <w:sz w:val="24"/>
          <w:szCs w:val="24"/>
          <w:lang w:eastAsia="zh-CN"/>
        </w:rPr>
        <w:t>响应报价</w:t>
      </w:r>
      <w:r>
        <w:rPr>
          <w:rFonts w:hint="eastAsia" w:ascii="宋体" w:eastAsia="宋体"/>
          <w:sz w:val="24"/>
          <w:szCs w:val="24"/>
        </w:rPr>
        <w:t>低的中标；评审得分相同且</w:t>
      </w:r>
      <w:r>
        <w:rPr>
          <w:rFonts w:hint="eastAsia" w:ascii="宋体" w:eastAsia="宋体"/>
          <w:sz w:val="24"/>
          <w:szCs w:val="24"/>
          <w:lang w:eastAsia="zh-CN"/>
        </w:rPr>
        <w:t>响应报价</w:t>
      </w:r>
      <w:r>
        <w:rPr>
          <w:rFonts w:hint="eastAsia" w:ascii="宋体" w:eastAsia="宋体"/>
          <w:sz w:val="24"/>
          <w:szCs w:val="24"/>
        </w:rPr>
        <w:t>相同的，随机抽取决定 。</w:t>
      </w:r>
    </w:p>
    <w:p>
      <w:pPr>
        <w:spacing w:after="0" w:line="364" w:lineRule="auto"/>
        <w:rPr>
          <w:rFonts w:hint="eastAsia" w:ascii="宋体" w:eastAsia="宋体"/>
          <w:sz w:val="24"/>
          <w:szCs w:val="24"/>
        </w:rPr>
        <w:sectPr>
          <w:footerReference r:id="rId15" w:type="default"/>
          <w:pgSz w:w="11910" w:h="16840"/>
          <w:pgMar w:top="1440" w:right="1020" w:bottom="1280" w:left="1040" w:header="0" w:footer="1091" w:gutter="0"/>
          <w:pgNumType w:fmt="decimal"/>
          <w:cols w:space="720" w:num="1"/>
        </w:sectPr>
      </w:pPr>
    </w:p>
    <w:p>
      <w:pPr>
        <w:pStyle w:val="3"/>
        <w:rPr>
          <w:rFonts w:ascii="宋体"/>
          <w:sz w:val="20"/>
        </w:rPr>
      </w:pPr>
    </w:p>
    <w:p>
      <w:pPr>
        <w:pStyle w:val="3"/>
        <w:rPr>
          <w:rFonts w:ascii="宋体"/>
          <w:sz w:val="20"/>
        </w:rPr>
      </w:pPr>
    </w:p>
    <w:p>
      <w:pPr>
        <w:pStyle w:val="3"/>
        <w:jc w:val="center"/>
        <w:rPr>
          <w:rFonts w:hint="eastAsia" w:ascii="宋体" w:hAnsi="宋体" w:eastAsia="宋体" w:cs="宋体"/>
          <w:b/>
          <w:sz w:val="40"/>
          <w:szCs w:val="22"/>
        </w:rPr>
      </w:pPr>
      <w:bookmarkStart w:id="361" w:name="城东金融贸易区2020年绿化环卫公共服务一体化项目"/>
      <w:bookmarkEnd w:id="361"/>
      <w:bookmarkStart w:id="362" w:name="_bookmark14"/>
      <w:bookmarkEnd w:id="362"/>
      <w:r>
        <w:rPr>
          <w:rFonts w:hint="eastAsia" w:ascii="宋体" w:hAnsi="宋体" w:eastAsia="宋体" w:cs="宋体"/>
          <w:b/>
          <w:sz w:val="40"/>
          <w:szCs w:val="22"/>
          <w:lang w:val="en-US" w:eastAsia="zh-CN"/>
        </w:rPr>
        <w:t>综合保税区物业及绿化养护道路保洁服务项目</w:t>
      </w:r>
    </w:p>
    <w:p>
      <w:pPr>
        <w:pStyle w:val="3"/>
        <w:spacing w:before="3"/>
        <w:rPr>
          <w:rFonts w:hint="eastAsia" w:ascii="宋体" w:hAnsi="宋体" w:eastAsia="宋体" w:cs="宋体"/>
          <w:b/>
          <w:sz w:val="45"/>
        </w:rPr>
      </w:pPr>
    </w:p>
    <w:p>
      <w:pPr>
        <w:pStyle w:val="3"/>
        <w:jc w:val="center"/>
        <w:rPr>
          <w:rFonts w:hint="eastAsia" w:ascii="宋体" w:hAnsi="宋体" w:eastAsia="宋体" w:cs="宋体"/>
          <w:b/>
          <w:color w:val="auto"/>
          <w:sz w:val="44"/>
          <w:lang w:val="en-US" w:eastAsia="zh-CN"/>
        </w:rPr>
      </w:pPr>
      <w:r>
        <w:rPr>
          <w:rFonts w:hint="eastAsia" w:ascii="宋体" w:hAnsi="宋体" w:eastAsia="宋体" w:cs="宋体"/>
          <w:b/>
          <w:color w:val="auto"/>
          <w:sz w:val="28"/>
          <w:szCs w:val="16"/>
        </w:rPr>
        <w:t>项目编号：KSJJKFQZFCG(GK)2022-0</w:t>
      </w:r>
      <w:r>
        <w:rPr>
          <w:rFonts w:hint="eastAsia" w:ascii="宋体" w:hAnsi="宋体" w:eastAsia="宋体" w:cs="宋体"/>
          <w:b/>
          <w:color w:val="auto"/>
          <w:sz w:val="28"/>
          <w:szCs w:val="16"/>
          <w:lang w:val="en-US" w:eastAsia="zh-CN"/>
        </w:rPr>
        <w:t>13</w:t>
      </w:r>
    </w:p>
    <w:p>
      <w:pPr>
        <w:spacing w:before="330" w:line="432" w:lineRule="auto"/>
        <w:ind w:right="3728"/>
        <w:jc w:val="center"/>
        <w:rPr>
          <w:rFonts w:hint="eastAsia" w:ascii="宋体" w:hAnsi="宋体" w:eastAsia="宋体" w:cs="宋体"/>
          <w:b/>
          <w:sz w:val="28"/>
          <w:szCs w:val="16"/>
        </w:rPr>
      </w:pPr>
      <w:bookmarkStart w:id="363" w:name="  招标文件"/>
      <w:bookmarkEnd w:id="363"/>
      <w:r>
        <w:rPr>
          <w:rFonts w:hint="eastAsia" w:ascii="宋体" w:hAnsi="宋体" w:eastAsia="宋体" w:cs="宋体"/>
          <w:b/>
          <w:sz w:val="28"/>
          <w:szCs w:val="16"/>
          <w:lang w:val="en-US" w:eastAsia="zh-CN"/>
        </w:rPr>
        <w:t xml:space="preserve">                             </w:t>
      </w:r>
      <w:r>
        <w:rPr>
          <w:rFonts w:hint="eastAsia" w:ascii="宋体" w:hAnsi="宋体" w:eastAsia="宋体" w:cs="宋体"/>
          <w:b/>
          <w:sz w:val="28"/>
          <w:szCs w:val="16"/>
        </w:rPr>
        <w:t>招标文件</w:t>
      </w:r>
      <w:bookmarkStart w:id="364" w:name="第三册"/>
      <w:bookmarkEnd w:id="364"/>
      <w:bookmarkStart w:id="365" w:name="_bookmark15"/>
      <w:bookmarkEnd w:id="365"/>
    </w:p>
    <w:p>
      <w:pPr>
        <w:spacing w:before="330" w:line="432" w:lineRule="auto"/>
        <w:ind w:right="3728" w:firstLine="4779" w:firstLineChars="1700"/>
        <w:jc w:val="both"/>
        <w:rPr>
          <w:rFonts w:hint="eastAsia" w:ascii="宋体" w:hAnsi="宋体" w:eastAsia="宋体" w:cs="宋体"/>
          <w:b/>
          <w:sz w:val="28"/>
          <w:szCs w:val="16"/>
        </w:rPr>
      </w:pPr>
      <w:r>
        <w:rPr>
          <w:rFonts w:hint="eastAsia" w:ascii="宋体" w:hAnsi="宋体" w:eastAsia="宋体" w:cs="宋体"/>
          <w:b/>
          <w:sz w:val="28"/>
          <w:szCs w:val="16"/>
        </w:rPr>
        <w:t>第三册</w:t>
      </w:r>
    </w:p>
    <w:p>
      <w:pPr>
        <w:spacing w:before="330" w:line="432" w:lineRule="auto"/>
        <w:ind w:left="4192" w:right="3728" w:firstLine="0"/>
        <w:jc w:val="both"/>
        <w:rPr>
          <w:rFonts w:hint="eastAsia" w:ascii="楷体" w:hAnsi="楷体" w:eastAsia="楷体" w:cs="楷体"/>
          <w:b/>
          <w:sz w:val="28"/>
          <w:szCs w:val="16"/>
        </w:rPr>
        <w:sectPr>
          <w:pgSz w:w="11910" w:h="16840"/>
          <w:pgMar w:top="1600" w:right="1020" w:bottom="1280" w:left="1040" w:header="0" w:footer="1091" w:gutter="0"/>
          <w:pgNumType w:fmt="decimal"/>
          <w:cols w:space="720" w:num="1"/>
        </w:sectPr>
      </w:pPr>
    </w:p>
    <w:p>
      <w:pPr>
        <w:pStyle w:val="4"/>
        <w:spacing w:before="217"/>
        <w:ind w:firstLine="3534" w:firstLineChars="1100"/>
        <w:jc w:val="left"/>
        <w:outlineLvl w:val="0"/>
        <w:rPr>
          <w:rFonts w:hint="eastAsia" w:ascii="楷体" w:hAnsi="楷体" w:eastAsia="楷体" w:cs="楷体"/>
        </w:rPr>
      </w:pPr>
      <w:bookmarkStart w:id="366" w:name="第8章 政府采购合同"/>
      <w:bookmarkEnd w:id="366"/>
      <w:bookmarkStart w:id="367" w:name="_bookmark16"/>
      <w:bookmarkEnd w:id="367"/>
      <w:bookmarkStart w:id="368" w:name="_Toc3882"/>
      <w:bookmarkStart w:id="369" w:name="_Toc12585"/>
      <w:bookmarkStart w:id="370" w:name="_Toc18841"/>
      <w:r>
        <w:rPr>
          <w:rFonts w:hint="eastAsia" w:ascii="楷体" w:hAnsi="楷体" w:eastAsia="楷体" w:cs="楷体"/>
        </w:rPr>
        <w:t>第8章 政府采购合同</w:t>
      </w:r>
      <w:bookmarkEnd w:id="368"/>
      <w:bookmarkEnd w:id="369"/>
      <w:bookmarkEnd w:id="370"/>
    </w:p>
    <w:p>
      <w:pPr>
        <w:pStyle w:val="3"/>
        <w:spacing w:before="9"/>
        <w:rPr>
          <w:rFonts w:hint="eastAsia" w:ascii="楷体" w:hAnsi="楷体" w:eastAsia="楷体" w:cs="楷体"/>
          <w:b/>
          <w:sz w:val="32"/>
        </w:rPr>
      </w:pPr>
    </w:p>
    <w:p>
      <w:pPr>
        <w:spacing w:before="1"/>
        <w:ind w:left="0" w:right="44" w:firstLine="0"/>
        <w:jc w:val="center"/>
        <w:rPr>
          <w:rFonts w:hint="eastAsia" w:ascii="楷体" w:hAnsi="楷体" w:eastAsia="楷体" w:cs="楷体"/>
          <w:sz w:val="28"/>
        </w:rPr>
      </w:pPr>
      <w:r>
        <w:rPr>
          <w:rFonts w:hint="eastAsia" w:ascii="楷体" w:hAnsi="楷体" w:eastAsia="楷体" w:cs="楷体"/>
          <w:sz w:val="28"/>
        </w:rPr>
        <w:t>请参照服务类政府采购合同参考范本订立采购合同。</w:t>
      </w:r>
    </w:p>
    <w:p>
      <w:pPr>
        <w:pStyle w:val="3"/>
        <w:tabs>
          <w:tab w:val="left" w:pos="3353"/>
        </w:tabs>
        <w:spacing w:before="2"/>
        <w:ind w:firstLine="3094" w:firstLineChars="1300"/>
        <w:rPr>
          <w:rFonts w:hint="eastAsia" w:ascii="楷体" w:hAnsi="楷体" w:eastAsia="楷体" w:cs="楷体"/>
          <w:spacing w:val="-1"/>
        </w:rPr>
      </w:pPr>
    </w:p>
    <w:p>
      <w:pPr>
        <w:pStyle w:val="3"/>
        <w:tabs>
          <w:tab w:val="left" w:pos="3353"/>
        </w:tabs>
        <w:spacing w:before="2"/>
        <w:ind w:firstLine="3094" w:firstLineChars="1300"/>
        <w:rPr>
          <w:rFonts w:hint="eastAsia" w:ascii="楷体" w:hAnsi="楷体" w:eastAsia="楷体" w:cs="楷体"/>
        </w:rPr>
      </w:pPr>
      <w:r>
        <w:rPr>
          <w:rFonts w:hint="eastAsia" w:ascii="楷体" w:hAnsi="楷体" w:eastAsia="楷体" w:cs="楷体"/>
          <w:spacing w:val="-1"/>
        </w:rPr>
        <w:t>合</w:t>
      </w:r>
      <w:r>
        <w:rPr>
          <w:rFonts w:hint="eastAsia" w:ascii="楷体" w:hAnsi="楷体" w:eastAsia="楷体" w:cs="楷体"/>
        </w:rPr>
        <w:t>同编号：</w:t>
      </w:r>
      <w:r>
        <w:rPr>
          <w:rFonts w:hint="eastAsia" w:ascii="楷体" w:hAnsi="楷体" w:eastAsia="楷体" w:cs="楷体"/>
          <w:u w:val="single"/>
        </w:rPr>
        <w:t xml:space="preserve"> </w:t>
      </w:r>
      <w:r>
        <w:rPr>
          <w:rFonts w:hint="eastAsia" w:ascii="楷体" w:hAnsi="楷体" w:eastAsia="楷体" w:cs="楷体"/>
          <w:u w:val="single"/>
        </w:rPr>
        <w:tab/>
      </w:r>
    </w:p>
    <w:p>
      <w:pPr>
        <w:pStyle w:val="3"/>
        <w:rPr>
          <w:rFonts w:hint="eastAsia" w:ascii="楷体" w:hAnsi="楷体" w:eastAsia="楷体" w:cs="楷体"/>
          <w:sz w:val="20"/>
        </w:rPr>
      </w:pPr>
    </w:p>
    <w:p>
      <w:pPr>
        <w:pStyle w:val="3"/>
        <w:rPr>
          <w:rFonts w:hint="eastAsia" w:ascii="楷体" w:hAnsi="楷体" w:eastAsia="楷体" w:cs="楷体"/>
          <w:sz w:val="20"/>
        </w:rPr>
      </w:pPr>
    </w:p>
    <w:p>
      <w:pPr>
        <w:pStyle w:val="3"/>
        <w:rPr>
          <w:rFonts w:hint="eastAsia" w:ascii="楷体" w:hAnsi="楷体" w:eastAsia="楷体" w:cs="楷体"/>
          <w:sz w:val="20"/>
        </w:rPr>
      </w:pPr>
    </w:p>
    <w:p>
      <w:pPr>
        <w:pStyle w:val="3"/>
        <w:rPr>
          <w:rFonts w:hint="eastAsia" w:ascii="楷体" w:hAnsi="楷体" w:eastAsia="楷体" w:cs="楷体"/>
          <w:sz w:val="20"/>
        </w:rPr>
      </w:pPr>
    </w:p>
    <w:p>
      <w:pPr>
        <w:pStyle w:val="3"/>
        <w:rPr>
          <w:rFonts w:hint="eastAsia" w:ascii="楷体" w:hAnsi="楷体" w:eastAsia="楷体" w:cs="楷体"/>
          <w:sz w:val="20"/>
        </w:rPr>
      </w:pPr>
    </w:p>
    <w:p>
      <w:pPr>
        <w:pStyle w:val="3"/>
        <w:rPr>
          <w:rFonts w:hint="eastAsia" w:ascii="楷体" w:hAnsi="楷体" w:eastAsia="楷体" w:cs="楷体"/>
          <w:sz w:val="20"/>
        </w:rPr>
      </w:pPr>
    </w:p>
    <w:p>
      <w:pPr>
        <w:pStyle w:val="3"/>
        <w:rPr>
          <w:rFonts w:hint="eastAsia" w:ascii="楷体" w:hAnsi="楷体" w:eastAsia="楷体" w:cs="楷体"/>
          <w:sz w:val="20"/>
        </w:rPr>
      </w:pPr>
    </w:p>
    <w:p>
      <w:pPr>
        <w:pStyle w:val="3"/>
        <w:rPr>
          <w:rFonts w:hint="eastAsia" w:ascii="楷体" w:hAnsi="楷体" w:eastAsia="楷体" w:cs="楷体"/>
          <w:sz w:val="20"/>
        </w:rPr>
      </w:pPr>
    </w:p>
    <w:p>
      <w:pPr>
        <w:pStyle w:val="3"/>
        <w:spacing w:before="7"/>
        <w:rPr>
          <w:rFonts w:hint="eastAsia" w:ascii="楷体" w:hAnsi="楷体" w:eastAsia="楷体" w:cs="楷体"/>
          <w:sz w:val="26"/>
        </w:rPr>
      </w:pPr>
    </w:p>
    <w:p>
      <w:pPr>
        <w:spacing w:before="38"/>
        <w:ind w:left="0" w:right="14" w:firstLine="0"/>
        <w:jc w:val="center"/>
        <w:outlineLvl w:val="1"/>
        <w:rPr>
          <w:rFonts w:hint="eastAsia" w:ascii="楷体" w:hAnsi="楷体" w:eastAsia="楷体" w:cs="楷体"/>
          <w:b/>
          <w:sz w:val="44"/>
        </w:rPr>
      </w:pPr>
      <w:bookmarkStart w:id="371" w:name="_Toc18062"/>
      <w:bookmarkStart w:id="372" w:name="_Toc30852"/>
      <w:bookmarkStart w:id="373" w:name="_Toc29698"/>
      <w:r>
        <w:rPr>
          <w:rFonts w:hint="eastAsia" w:ascii="楷体" w:hAnsi="楷体" w:eastAsia="楷体" w:cs="楷体"/>
          <w:b/>
          <w:sz w:val="44"/>
        </w:rPr>
        <w:t>政府采购合同参考范本</w:t>
      </w:r>
      <w:bookmarkEnd w:id="371"/>
      <w:bookmarkEnd w:id="372"/>
      <w:bookmarkEnd w:id="373"/>
    </w:p>
    <w:p>
      <w:pPr>
        <w:pStyle w:val="3"/>
        <w:rPr>
          <w:rFonts w:hint="eastAsia" w:ascii="楷体" w:hAnsi="楷体" w:eastAsia="楷体" w:cs="楷体"/>
          <w:b/>
          <w:sz w:val="45"/>
        </w:rPr>
      </w:pPr>
    </w:p>
    <w:p>
      <w:pPr>
        <w:spacing w:before="0"/>
        <w:ind w:left="0" w:right="16" w:firstLine="0"/>
        <w:jc w:val="center"/>
        <w:rPr>
          <w:rFonts w:hint="eastAsia" w:ascii="楷体" w:hAnsi="楷体" w:eastAsia="楷体" w:cs="楷体"/>
          <w:b/>
          <w:sz w:val="24"/>
        </w:rPr>
      </w:pPr>
      <w:r>
        <w:rPr>
          <w:rFonts w:hint="eastAsia" w:ascii="楷体" w:hAnsi="楷体" w:eastAsia="楷体" w:cs="楷体"/>
          <w:b/>
          <w:sz w:val="24"/>
        </w:rPr>
        <w:t>（服务类）</w:t>
      </w:r>
    </w:p>
    <w:p>
      <w:pPr>
        <w:pStyle w:val="3"/>
        <w:rPr>
          <w:rFonts w:hint="eastAsia" w:ascii="楷体" w:hAnsi="楷体" w:eastAsia="楷体" w:cs="楷体"/>
          <w:b/>
        </w:rPr>
      </w:pPr>
    </w:p>
    <w:p>
      <w:pPr>
        <w:pStyle w:val="3"/>
        <w:rPr>
          <w:rFonts w:hint="eastAsia" w:ascii="楷体" w:hAnsi="楷体" w:eastAsia="楷体" w:cs="楷体"/>
          <w:b/>
        </w:rPr>
      </w:pPr>
    </w:p>
    <w:p>
      <w:pPr>
        <w:pStyle w:val="3"/>
        <w:rPr>
          <w:rFonts w:hint="eastAsia" w:ascii="楷体" w:hAnsi="楷体" w:eastAsia="楷体" w:cs="楷体"/>
          <w:b/>
        </w:rPr>
      </w:pPr>
    </w:p>
    <w:p>
      <w:pPr>
        <w:pStyle w:val="3"/>
        <w:spacing w:before="5"/>
        <w:rPr>
          <w:rFonts w:hint="eastAsia" w:ascii="楷体" w:hAnsi="楷体" w:eastAsia="楷体" w:cs="楷体"/>
          <w:b/>
          <w:sz w:val="25"/>
        </w:rPr>
      </w:pPr>
    </w:p>
    <w:p>
      <w:pPr>
        <w:spacing w:before="0"/>
        <w:ind w:left="0" w:right="13" w:firstLine="0"/>
        <w:jc w:val="center"/>
        <w:outlineLvl w:val="1"/>
        <w:rPr>
          <w:rFonts w:hint="eastAsia" w:ascii="楷体" w:hAnsi="楷体" w:eastAsia="楷体" w:cs="楷体"/>
          <w:b/>
          <w:sz w:val="24"/>
        </w:rPr>
      </w:pPr>
      <w:bookmarkStart w:id="374" w:name="第一部分 合同书"/>
      <w:bookmarkEnd w:id="374"/>
      <w:bookmarkStart w:id="375" w:name="_bookmark17"/>
      <w:bookmarkEnd w:id="375"/>
      <w:bookmarkStart w:id="376" w:name="_Toc16562"/>
      <w:bookmarkStart w:id="377" w:name="_Toc2415"/>
      <w:bookmarkStart w:id="378" w:name="_Toc23470"/>
      <w:r>
        <w:rPr>
          <w:rFonts w:hint="eastAsia" w:ascii="楷体" w:hAnsi="楷体" w:eastAsia="楷体" w:cs="楷体"/>
          <w:b/>
          <w:sz w:val="24"/>
        </w:rPr>
        <w:t>第一部分 合同书</w:t>
      </w:r>
      <w:bookmarkEnd w:id="376"/>
      <w:bookmarkEnd w:id="377"/>
      <w:bookmarkEnd w:id="378"/>
    </w:p>
    <w:p>
      <w:pPr>
        <w:pStyle w:val="3"/>
        <w:rPr>
          <w:rFonts w:hint="eastAsia" w:ascii="楷体" w:hAnsi="楷体" w:eastAsia="楷体" w:cs="楷体"/>
          <w:b/>
        </w:rPr>
      </w:pPr>
    </w:p>
    <w:p>
      <w:pPr>
        <w:pStyle w:val="3"/>
        <w:rPr>
          <w:rFonts w:hint="eastAsia" w:ascii="楷体" w:hAnsi="楷体" w:eastAsia="楷体" w:cs="楷体"/>
          <w:b/>
        </w:rPr>
      </w:pPr>
    </w:p>
    <w:p>
      <w:pPr>
        <w:pStyle w:val="3"/>
        <w:rPr>
          <w:rFonts w:hint="eastAsia" w:ascii="楷体" w:hAnsi="楷体" w:eastAsia="楷体" w:cs="楷体"/>
          <w:b/>
        </w:rPr>
      </w:pPr>
    </w:p>
    <w:p>
      <w:pPr>
        <w:pStyle w:val="3"/>
        <w:spacing w:before="12"/>
        <w:rPr>
          <w:rFonts w:hint="eastAsia" w:ascii="楷体" w:hAnsi="楷体" w:eastAsia="楷体" w:cs="楷体"/>
          <w:b/>
          <w:sz w:val="19"/>
        </w:rPr>
      </w:pPr>
    </w:p>
    <w:p>
      <w:pPr>
        <w:pStyle w:val="3"/>
        <w:tabs>
          <w:tab w:val="left" w:pos="3174"/>
          <w:tab w:val="left" w:pos="7133"/>
        </w:tabs>
        <w:spacing w:before="74"/>
        <w:ind w:left="1734"/>
        <w:rPr>
          <w:rFonts w:hint="default" w:ascii="楷体" w:hAnsi="楷体" w:eastAsia="楷体" w:cs="楷体"/>
          <w:u w:val="single"/>
          <w:lang w:val="en-US" w:eastAsia="zh-CN"/>
        </w:rPr>
      </w:pPr>
      <w:r>
        <w:rPr>
          <w:rFonts w:hint="eastAsia" w:ascii="楷体" w:hAnsi="楷体" w:eastAsia="楷体" w:cs="楷体"/>
        </w:rPr>
        <w:t>项目名称</w:t>
      </w:r>
      <w:r>
        <w:rPr>
          <w:rFonts w:hint="eastAsia" w:ascii="楷体" w:hAnsi="楷体" w:eastAsia="楷体" w:cs="楷体"/>
          <w:lang w:eastAsia="zh-CN"/>
        </w:rPr>
        <w:t>：</w:t>
      </w:r>
      <w:r>
        <w:rPr>
          <w:rFonts w:hint="eastAsia" w:ascii="楷体" w:hAnsi="楷体" w:eastAsia="楷体" w:cs="楷体"/>
          <w:spacing w:val="-16"/>
          <w:u w:val="single"/>
          <w:lang w:val="en-US" w:eastAsia="zh-CN"/>
        </w:rPr>
        <w:t>综合保税区物业及绿化养护道路保洁服务项目</w:t>
      </w:r>
    </w:p>
    <w:p>
      <w:pPr>
        <w:pStyle w:val="3"/>
        <w:tabs>
          <w:tab w:val="left" w:pos="3174"/>
          <w:tab w:val="left" w:pos="7133"/>
        </w:tabs>
        <w:spacing w:before="74"/>
        <w:ind w:left="1734"/>
        <w:rPr>
          <w:rFonts w:hint="eastAsia" w:ascii="楷体" w:hAnsi="楷体" w:eastAsia="楷体" w:cs="楷体"/>
          <w:lang w:val="en-US" w:eastAsia="zh-CN"/>
        </w:rPr>
      </w:pPr>
      <w:r>
        <w:rPr>
          <w:rFonts w:hint="eastAsia" w:ascii="楷体" w:hAnsi="楷体" w:eastAsia="楷体" w:cs="楷体"/>
        </w:rPr>
        <w:t>甲</w:t>
      </w:r>
      <w:r>
        <w:rPr>
          <w:rFonts w:hint="eastAsia" w:ascii="楷体" w:hAnsi="楷体" w:eastAsia="楷体" w:cs="楷体"/>
          <w:lang w:val="en-US" w:eastAsia="zh-CN"/>
        </w:rPr>
        <w:t xml:space="preserve">    </w:t>
      </w:r>
      <w:r>
        <w:rPr>
          <w:rFonts w:hint="eastAsia" w:ascii="楷体" w:hAnsi="楷体" w:eastAsia="楷体" w:cs="楷体"/>
        </w:rPr>
        <w:t>方：</w:t>
      </w:r>
      <w:r>
        <w:rPr>
          <w:rFonts w:hint="eastAsia" w:ascii="楷体" w:hAnsi="楷体" w:eastAsia="楷体" w:cs="楷体"/>
          <w:u w:val="single"/>
          <w:lang w:val="en-US" w:eastAsia="zh-CN"/>
        </w:rPr>
        <w:t xml:space="preserve">喀什综合保税区管理委员会     </w:t>
      </w:r>
    </w:p>
    <w:p>
      <w:pPr>
        <w:pStyle w:val="3"/>
        <w:rPr>
          <w:rFonts w:hint="eastAsia" w:ascii="楷体" w:hAnsi="楷体" w:eastAsia="楷体" w:cs="楷体"/>
          <w:sz w:val="20"/>
        </w:rPr>
      </w:pPr>
    </w:p>
    <w:p>
      <w:pPr>
        <w:pStyle w:val="3"/>
        <w:spacing w:before="8"/>
        <w:rPr>
          <w:rFonts w:hint="eastAsia" w:ascii="楷体" w:hAnsi="楷体" w:eastAsia="楷体" w:cs="楷体"/>
          <w:sz w:val="17"/>
        </w:rPr>
      </w:pPr>
    </w:p>
    <w:p>
      <w:pPr>
        <w:pStyle w:val="3"/>
        <w:tabs>
          <w:tab w:val="left" w:pos="7193"/>
        </w:tabs>
        <w:spacing w:before="74"/>
        <w:ind w:left="1734"/>
        <w:rPr>
          <w:rFonts w:hint="eastAsia" w:ascii="楷体" w:hAnsi="楷体" w:eastAsia="楷体" w:cs="楷体"/>
        </w:rPr>
      </w:pPr>
      <w:r>
        <w:rPr>
          <w:rFonts w:hint="eastAsia" w:ascii="楷体" w:hAnsi="楷体" w:eastAsia="楷体" w:cs="楷体"/>
          <w:spacing w:val="-1"/>
        </w:rPr>
        <w:t>乙</w:t>
      </w:r>
      <w:r>
        <w:rPr>
          <w:rFonts w:hint="eastAsia" w:ascii="楷体" w:hAnsi="楷体" w:eastAsia="楷体" w:cs="楷体"/>
          <w:spacing w:val="-1"/>
          <w:lang w:val="en-US" w:eastAsia="zh-CN"/>
        </w:rPr>
        <w:t xml:space="preserve">    </w:t>
      </w:r>
      <w:r>
        <w:rPr>
          <w:rFonts w:hint="eastAsia" w:ascii="楷体" w:hAnsi="楷体" w:eastAsia="楷体" w:cs="楷体"/>
        </w:rPr>
        <w:t>方：</w:t>
      </w:r>
      <w:r>
        <w:rPr>
          <w:rFonts w:hint="eastAsia" w:ascii="楷体" w:hAnsi="楷体" w:eastAsia="楷体" w:cs="楷体"/>
          <w:u w:val="single"/>
        </w:rPr>
        <w:t xml:space="preserve"> </w:t>
      </w:r>
      <w:r>
        <w:rPr>
          <w:rFonts w:hint="eastAsia" w:ascii="楷体" w:hAnsi="楷体" w:eastAsia="楷体" w:cs="楷体"/>
          <w:u w:val="single"/>
        </w:rPr>
        <w:tab/>
      </w:r>
    </w:p>
    <w:p>
      <w:pPr>
        <w:pStyle w:val="3"/>
        <w:rPr>
          <w:rFonts w:hint="eastAsia" w:ascii="楷体" w:hAnsi="楷体" w:eastAsia="楷体" w:cs="楷体"/>
          <w:sz w:val="20"/>
        </w:rPr>
      </w:pPr>
    </w:p>
    <w:p>
      <w:pPr>
        <w:pStyle w:val="3"/>
        <w:spacing w:before="9"/>
        <w:rPr>
          <w:rFonts w:hint="eastAsia" w:ascii="楷体" w:hAnsi="楷体" w:eastAsia="楷体" w:cs="楷体"/>
          <w:sz w:val="21"/>
        </w:rPr>
      </w:pPr>
    </w:p>
    <w:p>
      <w:pPr>
        <w:pStyle w:val="3"/>
        <w:tabs>
          <w:tab w:val="left" w:pos="3414"/>
          <w:tab w:val="left" w:pos="7133"/>
        </w:tabs>
        <w:spacing w:before="74"/>
        <w:ind w:left="1734"/>
        <w:rPr>
          <w:rFonts w:hint="eastAsia" w:ascii="楷体" w:hAnsi="楷体" w:eastAsia="楷体" w:cs="楷体"/>
          <w:lang w:val="en-US"/>
        </w:rPr>
      </w:pPr>
      <w:r>
        <w:rPr>
          <w:rFonts w:hint="eastAsia" w:ascii="楷体" w:hAnsi="楷体" w:eastAsia="楷体" w:cs="楷体"/>
        </w:rPr>
        <w:t>签订地：</w:t>
      </w:r>
      <w:r>
        <w:rPr>
          <w:rFonts w:hint="eastAsia" w:ascii="楷体" w:hAnsi="楷体" w:eastAsia="楷体" w:cs="楷体"/>
          <w:color w:val="auto"/>
          <w:u w:val="single"/>
          <w:lang w:val="en-US" w:eastAsia="zh-CN"/>
        </w:rPr>
        <w:t>喀什经济开发区欧亚大道1号喀什综合保税区413室</w:t>
      </w:r>
    </w:p>
    <w:p>
      <w:pPr>
        <w:pStyle w:val="3"/>
        <w:spacing w:before="1"/>
        <w:rPr>
          <w:rFonts w:hint="eastAsia" w:ascii="楷体" w:hAnsi="楷体" w:eastAsia="楷体" w:cs="楷体"/>
          <w:sz w:val="18"/>
        </w:rPr>
      </w:pPr>
    </w:p>
    <w:p>
      <w:pPr>
        <w:pStyle w:val="3"/>
        <w:tabs>
          <w:tab w:val="left" w:pos="4734"/>
          <w:tab w:val="left" w:pos="5814"/>
          <w:tab w:val="left" w:pos="6894"/>
        </w:tabs>
        <w:spacing w:before="66"/>
        <w:ind w:left="1734"/>
        <w:rPr>
          <w:rFonts w:hint="eastAsia" w:ascii="楷体" w:hAnsi="楷体" w:eastAsia="楷体" w:cs="楷体"/>
        </w:rPr>
      </w:pPr>
      <w:r>
        <w:rPr>
          <w:rFonts w:hint="eastAsia" w:ascii="楷体" w:hAnsi="楷体" w:eastAsia="楷体" w:cs="楷体"/>
        </w:rPr>
        <w:t>签订日期：</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年</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月</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日</w:t>
      </w:r>
    </w:p>
    <w:p>
      <w:pPr>
        <w:spacing w:after="0"/>
        <w:rPr>
          <w:rFonts w:hint="eastAsia" w:ascii="楷体" w:hAnsi="楷体" w:eastAsia="楷体" w:cs="楷体"/>
        </w:rPr>
        <w:sectPr>
          <w:pgSz w:w="11910" w:h="16840"/>
          <w:pgMar w:top="1600" w:right="1020" w:bottom="1280" w:left="1040" w:header="0" w:footer="1091" w:gutter="0"/>
          <w:pgNumType w:fmt="decimal"/>
          <w:cols w:space="720" w:num="1"/>
        </w:sectPr>
      </w:pPr>
    </w:p>
    <w:p>
      <w:pPr>
        <w:pStyle w:val="3"/>
        <w:tabs>
          <w:tab w:val="left" w:pos="2574"/>
          <w:tab w:val="left" w:pos="3294"/>
          <w:tab w:val="left" w:pos="4112"/>
          <w:tab w:val="left" w:pos="7591"/>
          <w:tab w:val="left" w:pos="8432"/>
          <w:tab w:val="left" w:pos="9151"/>
        </w:tabs>
        <w:spacing w:before="83" w:line="436" w:lineRule="auto"/>
        <w:ind w:left="774" w:right="452" w:firstLine="479"/>
        <w:rPr>
          <w:rFonts w:hint="eastAsia" w:ascii="楷体" w:hAnsi="楷体" w:eastAsia="楷体" w:cs="楷体"/>
        </w:rPr>
      </w:pPr>
      <w:r>
        <w:rPr>
          <w:rFonts w:hint="eastAsia" w:ascii="楷体" w:hAnsi="楷体" w:eastAsia="楷体" w:cs="楷体"/>
          <w:u w:val="single"/>
        </w:rPr>
        <w:t xml:space="preserve">  </w:t>
      </w:r>
      <w:r>
        <w:rPr>
          <w:rFonts w:hint="eastAsia" w:ascii="楷体" w:hAnsi="楷体" w:eastAsia="楷体" w:cs="楷体"/>
          <w:u w:val="single"/>
          <w:lang w:eastAsia="zh-CN"/>
        </w:rPr>
        <w:t>202</w:t>
      </w:r>
      <w:r>
        <w:rPr>
          <w:rFonts w:hint="eastAsia" w:ascii="楷体" w:hAnsi="楷体" w:eastAsia="楷体" w:cs="楷体"/>
          <w:u w:val="single"/>
          <w:lang w:val="en-US" w:eastAsia="zh-CN"/>
        </w:rPr>
        <w:t>2</w:t>
      </w:r>
      <w:r>
        <w:rPr>
          <w:rFonts w:hint="eastAsia" w:ascii="楷体" w:hAnsi="楷体" w:eastAsia="楷体" w:cs="楷体"/>
        </w:rPr>
        <w:t>年</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月</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日</w:t>
      </w:r>
      <w:r>
        <w:rPr>
          <w:rFonts w:hint="eastAsia" w:ascii="楷体" w:hAnsi="楷体" w:eastAsia="楷体" w:cs="楷体"/>
          <w:spacing w:val="-23"/>
        </w:rPr>
        <w:t>，</w:t>
      </w:r>
      <w:r>
        <w:rPr>
          <w:rFonts w:hint="eastAsia" w:ascii="楷体" w:hAnsi="楷体" w:eastAsia="楷体" w:cs="楷体"/>
          <w:u w:val="single"/>
          <w:lang w:val="en-US" w:eastAsia="zh-CN"/>
        </w:rPr>
        <w:t xml:space="preserve">喀什综合保税区管理委员会 </w:t>
      </w:r>
      <w:r>
        <w:rPr>
          <w:rFonts w:hint="eastAsia" w:ascii="楷体" w:hAnsi="楷体" w:eastAsia="楷体" w:cs="楷体"/>
        </w:rPr>
        <w:t>以</w:t>
      </w:r>
      <w:r>
        <w:rPr>
          <w:rFonts w:hint="eastAsia" w:ascii="楷体" w:hAnsi="楷体" w:eastAsia="楷体" w:cs="楷体"/>
          <w:u w:val="single"/>
        </w:rPr>
        <w:t xml:space="preserve"> 公开招标</w:t>
      </w:r>
      <w:r>
        <w:rPr>
          <w:rFonts w:hint="eastAsia" w:ascii="楷体" w:hAnsi="楷体" w:eastAsia="楷体" w:cs="楷体"/>
          <w:u w:val="single"/>
          <w:lang w:val="en-US" w:eastAsia="zh-CN"/>
        </w:rPr>
        <w:t xml:space="preserve"> </w:t>
      </w:r>
      <w:r>
        <w:rPr>
          <w:rFonts w:hint="eastAsia" w:ascii="楷体" w:hAnsi="楷体" w:eastAsia="楷体" w:cs="楷体"/>
          <w:spacing w:val="-16"/>
        </w:rPr>
        <w:t>对</w:t>
      </w:r>
      <w:r>
        <w:rPr>
          <w:rFonts w:hint="eastAsia" w:ascii="楷体" w:hAnsi="楷体" w:eastAsia="楷体" w:cs="楷体"/>
          <w:spacing w:val="-16"/>
          <w:u w:val="single"/>
          <w:lang w:val="en-US" w:eastAsia="zh-CN"/>
        </w:rPr>
        <w:t>综合保税区物业及绿化养护道路保洁服务项目</w:t>
      </w:r>
      <w:r>
        <w:rPr>
          <w:rFonts w:hint="eastAsia" w:ascii="楷体" w:hAnsi="楷体" w:eastAsia="楷体" w:cs="楷体"/>
        </w:rPr>
        <w:t>进行了采购</w:t>
      </w:r>
      <w:r>
        <w:rPr>
          <w:rFonts w:hint="eastAsia" w:ascii="楷体" w:hAnsi="楷体" w:eastAsia="楷体" w:cs="楷体"/>
          <w:spacing w:val="-22"/>
        </w:rPr>
        <w:t>。</w:t>
      </w:r>
      <w:r>
        <w:rPr>
          <w:rFonts w:hint="eastAsia" w:ascii="楷体" w:hAnsi="楷体" w:eastAsia="楷体" w:cs="楷体"/>
        </w:rPr>
        <w:t>经</w:t>
      </w:r>
      <w:r>
        <w:rPr>
          <w:rFonts w:hint="eastAsia" w:ascii="楷体" w:hAnsi="楷体" w:eastAsia="楷体" w:cs="楷体"/>
          <w:u w:val="single"/>
        </w:rPr>
        <w:t>评标委</w:t>
      </w:r>
      <w:r>
        <w:rPr>
          <w:rFonts w:hint="eastAsia" w:ascii="楷体" w:hAnsi="楷体" w:eastAsia="楷体" w:cs="楷体"/>
          <w:spacing w:val="-17"/>
          <w:u w:val="single"/>
        </w:rPr>
        <w:t>员</w:t>
      </w:r>
      <w:r>
        <w:rPr>
          <w:rFonts w:hint="eastAsia" w:ascii="楷体" w:hAnsi="楷体" w:eastAsia="楷体" w:cs="楷体"/>
          <w:u w:val="single"/>
        </w:rPr>
        <w:t>会</w:t>
      </w:r>
      <w:r>
        <w:rPr>
          <w:rFonts w:hint="eastAsia" w:ascii="楷体" w:hAnsi="楷体" w:eastAsia="楷体" w:cs="楷体"/>
        </w:rPr>
        <w:t>评定，</w:t>
      </w:r>
      <w:r>
        <w:rPr>
          <w:rFonts w:hint="eastAsia" w:ascii="楷体" w:hAnsi="楷体" w:eastAsia="楷体" w:cs="楷体"/>
          <w:u w:val="single"/>
        </w:rPr>
        <w:t>（中标供应</w:t>
      </w:r>
      <w:r>
        <w:rPr>
          <w:rFonts w:hint="eastAsia" w:ascii="楷体" w:hAnsi="楷体" w:eastAsia="楷体" w:cs="楷体"/>
          <w:spacing w:val="4"/>
          <w:u w:val="single"/>
        </w:rPr>
        <w:t>商</w:t>
      </w:r>
      <w:r>
        <w:rPr>
          <w:rFonts w:hint="eastAsia" w:ascii="楷体" w:hAnsi="楷体" w:eastAsia="楷体" w:cs="楷体"/>
          <w:u w:val="single"/>
        </w:rPr>
        <w:t>名称）</w:t>
      </w:r>
      <w:r>
        <w:rPr>
          <w:rFonts w:hint="eastAsia" w:ascii="楷体" w:hAnsi="楷体" w:eastAsia="楷体" w:cs="楷体"/>
        </w:rPr>
        <w:t>为该项目中</w:t>
      </w:r>
      <w:r>
        <w:rPr>
          <w:rFonts w:hint="eastAsia" w:ascii="楷体" w:hAnsi="楷体" w:eastAsia="楷体" w:cs="楷体"/>
          <w:spacing w:val="4"/>
        </w:rPr>
        <w:t>标</w:t>
      </w:r>
      <w:r>
        <w:rPr>
          <w:rFonts w:hint="eastAsia" w:ascii="楷体" w:hAnsi="楷体" w:eastAsia="楷体" w:cs="楷体"/>
        </w:rPr>
        <w:t>供应商。现于中标通</w:t>
      </w:r>
      <w:r>
        <w:rPr>
          <w:rFonts w:hint="eastAsia" w:ascii="楷体" w:hAnsi="楷体" w:eastAsia="楷体" w:cs="楷体"/>
          <w:spacing w:val="4"/>
        </w:rPr>
        <w:t>知</w:t>
      </w:r>
      <w:r>
        <w:rPr>
          <w:rFonts w:hint="eastAsia" w:ascii="楷体" w:hAnsi="楷体" w:eastAsia="楷体" w:cs="楷体"/>
        </w:rPr>
        <w:t>书发出之日起三十日内，按照采购文件确定的事项签订本合同。</w:t>
      </w:r>
    </w:p>
    <w:p>
      <w:pPr>
        <w:pStyle w:val="3"/>
        <w:spacing w:line="436" w:lineRule="auto"/>
        <w:ind w:left="774" w:right="452"/>
        <w:jc w:val="both"/>
        <w:rPr>
          <w:rFonts w:hint="eastAsia" w:ascii="楷体" w:hAnsi="楷体" w:eastAsia="楷体" w:cs="楷体"/>
        </w:rPr>
      </w:pPr>
      <w:r>
        <w:rPr>
          <w:rFonts w:hint="eastAsia" w:ascii="楷体" w:hAnsi="楷体" w:eastAsia="楷体" w:cs="楷体"/>
        </w:rPr>
        <w:t>根</w:t>
      </w:r>
      <w:r>
        <w:rPr>
          <w:rFonts w:hint="eastAsia" w:ascii="楷体" w:hAnsi="楷体" w:eastAsia="楷体" w:cs="楷体"/>
          <w:spacing w:val="-5"/>
        </w:rPr>
        <w:t>据</w:t>
      </w:r>
      <w:r>
        <w:rPr>
          <w:rFonts w:hint="eastAsia" w:ascii="楷体" w:hAnsi="楷体" w:eastAsia="楷体" w:cs="楷体"/>
        </w:rPr>
        <w:t>《中华人民共和国合同法</w:t>
      </w:r>
      <w:r>
        <w:rPr>
          <w:rFonts w:hint="eastAsia" w:ascii="楷体" w:hAnsi="楷体" w:eastAsia="楷体" w:cs="楷体"/>
          <w:spacing w:val="-5"/>
        </w:rPr>
        <w:t>》</w:t>
      </w:r>
      <w:r>
        <w:rPr>
          <w:rFonts w:hint="eastAsia" w:ascii="楷体" w:hAnsi="楷体" w:eastAsia="楷体" w:cs="楷体"/>
          <w:spacing w:val="-8"/>
        </w:rPr>
        <w:t>、</w:t>
      </w:r>
      <w:r>
        <w:rPr>
          <w:rFonts w:hint="eastAsia" w:ascii="楷体" w:hAnsi="楷体" w:eastAsia="楷体" w:cs="楷体"/>
        </w:rPr>
        <w:t>《中华人民共和国政府采购法</w:t>
      </w:r>
      <w:r>
        <w:rPr>
          <w:rFonts w:hint="eastAsia" w:ascii="楷体" w:hAnsi="楷体" w:eastAsia="楷体" w:cs="楷体"/>
          <w:spacing w:val="-5"/>
        </w:rPr>
        <w:t>》</w:t>
      </w:r>
      <w:r>
        <w:rPr>
          <w:rFonts w:hint="eastAsia" w:ascii="楷体" w:hAnsi="楷体" w:eastAsia="楷体" w:cs="楷体"/>
        </w:rPr>
        <w:t>等相关法</w:t>
      </w:r>
      <w:r>
        <w:rPr>
          <w:rFonts w:hint="eastAsia" w:ascii="楷体" w:hAnsi="楷体" w:eastAsia="楷体" w:cs="楷体"/>
          <w:spacing w:val="-16"/>
        </w:rPr>
        <w:t>律</w:t>
      </w:r>
      <w:r>
        <w:rPr>
          <w:rFonts w:hint="eastAsia" w:ascii="楷体" w:hAnsi="楷体" w:eastAsia="楷体" w:cs="楷体"/>
        </w:rPr>
        <w:t>法规之</w:t>
      </w:r>
      <w:r>
        <w:rPr>
          <w:rFonts w:hint="eastAsia" w:ascii="楷体" w:hAnsi="楷体" w:eastAsia="楷体" w:cs="楷体"/>
          <w:spacing w:val="4"/>
        </w:rPr>
        <w:t>规</w:t>
      </w:r>
      <w:r>
        <w:rPr>
          <w:rFonts w:hint="eastAsia" w:ascii="楷体" w:hAnsi="楷体" w:eastAsia="楷体" w:cs="楷体"/>
        </w:rPr>
        <w:t>定，按照平</w:t>
      </w:r>
      <w:r>
        <w:rPr>
          <w:rFonts w:hint="eastAsia" w:ascii="楷体" w:hAnsi="楷体" w:eastAsia="楷体" w:cs="楷体"/>
          <w:spacing w:val="4"/>
        </w:rPr>
        <w:t>等</w:t>
      </w:r>
      <w:r>
        <w:rPr>
          <w:rFonts w:hint="eastAsia" w:ascii="楷体" w:hAnsi="楷体" w:eastAsia="楷体" w:cs="楷体"/>
        </w:rPr>
        <w:t>、自愿、公</w:t>
      </w:r>
      <w:r>
        <w:rPr>
          <w:rFonts w:hint="eastAsia" w:ascii="楷体" w:hAnsi="楷体" w:eastAsia="楷体" w:cs="楷体"/>
          <w:spacing w:val="4"/>
        </w:rPr>
        <w:t>平</w:t>
      </w:r>
      <w:r>
        <w:rPr>
          <w:rFonts w:hint="eastAsia" w:ascii="楷体" w:hAnsi="楷体" w:eastAsia="楷体" w:cs="楷体"/>
        </w:rPr>
        <w:t>和诚实信用的</w:t>
      </w:r>
      <w:r>
        <w:rPr>
          <w:rFonts w:hint="eastAsia" w:ascii="楷体" w:hAnsi="楷体" w:eastAsia="楷体" w:cs="楷体"/>
          <w:spacing w:val="4"/>
        </w:rPr>
        <w:t>原</w:t>
      </w:r>
      <w:r>
        <w:rPr>
          <w:rFonts w:hint="eastAsia" w:ascii="楷体" w:hAnsi="楷体" w:eastAsia="楷体" w:cs="楷体"/>
        </w:rPr>
        <w:t>则，经</w:t>
      </w:r>
      <w:r>
        <w:rPr>
          <w:rFonts w:hint="eastAsia" w:ascii="楷体" w:hAnsi="楷体" w:eastAsia="楷体" w:cs="楷体"/>
          <w:u w:val="single"/>
          <w:lang w:val="en-US" w:eastAsia="zh-CN"/>
        </w:rPr>
        <w:t>喀什综合保税区管理委员会</w:t>
      </w:r>
      <w:r>
        <w:rPr>
          <w:rFonts w:hint="eastAsia" w:ascii="楷体" w:hAnsi="楷体" w:eastAsia="楷体" w:cs="楷体"/>
          <w:spacing w:val="3"/>
          <w:u w:val="single"/>
        </w:rPr>
        <w:t xml:space="preserve"> </w:t>
      </w:r>
      <w:r>
        <w:rPr>
          <w:rFonts w:hint="eastAsia" w:ascii="楷体" w:hAnsi="楷体" w:eastAsia="楷体" w:cs="楷体"/>
        </w:rPr>
        <w:t>(以下简称：甲方)和</w:t>
      </w:r>
      <w:r>
        <w:rPr>
          <w:rFonts w:hint="eastAsia" w:ascii="楷体" w:hAnsi="楷体" w:eastAsia="楷体" w:cs="楷体"/>
          <w:spacing w:val="13"/>
          <w:u w:val="single"/>
        </w:rPr>
        <w:t xml:space="preserve">  </w:t>
      </w:r>
      <w:r>
        <w:rPr>
          <w:rFonts w:hint="eastAsia" w:ascii="楷体" w:hAnsi="楷体" w:eastAsia="楷体" w:cs="楷体"/>
          <w:u w:val="single"/>
        </w:rPr>
        <w:t>（中标供应商名称）</w:t>
      </w:r>
      <w:r>
        <w:rPr>
          <w:rFonts w:hint="eastAsia" w:ascii="楷体" w:hAnsi="楷体" w:eastAsia="楷体" w:cs="楷体"/>
          <w:spacing w:val="9"/>
          <w:u w:val="single"/>
        </w:rPr>
        <w:t xml:space="preserve">   </w:t>
      </w:r>
      <w:r>
        <w:rPr>
          <w:rFonts w:hint="eastAsia" w:ascii="楷体" w:hAnsi="楷体" w:eastAsia="楷体" w:cs="楷体"/>
        </w:rPr>
        <w:t>(以下简称：乙方) 协商一致，约定以下合同条款，以兹共同遵守、全面履行。</w:t>
      </w:r>
    </w:p>
    <w:p>
      <w:pPr>
        <w:pStyle w:val="28"/>
        <w:numPr>
          <w:ilvl w:val="1"/>
          <w:numId w:val="31"/>
        </w:numPr>
        <w:tabs>
          <w:tab w:val="left" w:pos="1737"/>
        </w:tabs>
        <w:spacing w:before="0" w:after="0" w:line="307" w:lineRule="exact"/>
        <w:ind w:left="1736" w:right="0" w:hanging="483"/>
        <w:jc w:val="both"/>
        <w:rPr>
          <w:rFonts w:hint="eastAsia" w:ascii="楷体" w:hAnsi="楷体" w:eastAsia="楷体" w:cs="楷体"/>
          <w:b/>
          <w:sz w:val="24"/>
        </w:rPr>
      </w:pPr>
      <w:r>
        <w:rPr>
          <w:rFonts w:hint="eastAsia" w:ascii="楷体" w:hAnsi="楷体" w:eastAsia="楷体" w:cs="楷体"/>
          <w:b/>
          <w:sz w:val="24"/>
        </w:rPr>
        <w:t>合同组成部分</w:t>
      </w:r>
    </w:p>
    <w:p>
      <w:pPr>
        <w:pStyle w:val="3"/>
        <w:spacing w:before="6"/>
        <w:rPr>
          <w:rFonts w:hint="eastAsia" w:ascii="楷体" w:hAnsi="楷体" w:eastAsia="楷体" w:cs="楷体"/>
          <w:b/>
          <w:sz w:val="19"/>
        </w:rPr>
      </w:pPr>
    </w:p>
    <w:p>
      <w:pPr>
        <w:pStyle w:val="3"/>
        <w:spacing w:before="1" w:line="436" w:lineRule="auto"/>
        <w:ind w:left="774" w:right="450" w:firstLine="480"/>
        <w:jc w:val="both"/>
        <w:rPr>
          <w:rFonts w:hint="eastAsia" w:ascii="楷体" w:hAnsi="楷体" w:eastAsia="楷体" w:cs="楷体"/>
        </w:rPr>
      </w:pPr>
      <w:r>
        <w:rPr>
          <w:rFonts w:hint="eastAsia" w:ascii="楷体" w:hAnsi="楷体" w:eastAsia="楷体" w:cs="楷体"/>
          <w:spacing w:val="-5"/>
        </w:rPr>
        <w:t>下列文件为本合同的组成部分，并构成一个整体，需综合解释、相互补充。如</w:t>
      </w:r>
      <w:r>
        <w:rPr>
          <w:rFonts w:hint="eastAsia" w:ascii="楷体" w:hAnsi="楷体" w:eastAsia="楷体" w:cs="楷体"/>
          <w:spacing w:val="3"/>
        </w:rPr>
        <w:t>果下列文件内容出现不一致的情形，那么在保证按照采购文件确定的事项的前提下，组成本合同的多个文件的优先适用顺序如下：</w:t>
      </w:r>
    </w:p>
    <w:p>
      <w:pPr>
        <w:pStyle w:val="28"/>
        <w:numPr>
          <w:ilvl w:val="2"/>
          <w:numId w:val="31"/>
        </w:numPr>
        <w:tabs>
          <w:tab w:val="left" w:pos="1975"/>
        </w:tabs>
        <w:spacing w:before="1" w:after="0" w:line="240" w:lineRule="auto"/>
        <w:ind w:left="1974" w:right="0" w:hanging="721"/>
        <w:jc w:val="both"/>
        <w:rPr>
          <w:rFonts w:hint="eastAsia" w:ascii="楷体" w:hAnsi="楷体" w:eastAsia="楷体" w:cs="楷体"/>
          <w:sz w:val="24"/>
        </w:rPr>
      </w:pPr>
      <w:r>
        <w:rPr>
          <w:rFonts w:hint="eastAsia" w:ascii="楷体" w:hAnsi="楷体" w:eastAsia="楷体" w:cs="楷体"/>
          <w:sz w:val="24"/>
        </w:rPr>
        <w:t>本合同及其补充合同、变更协议；</w:t>
      </w:r>
    </w:p>
    <w:p>
      <w:pPr>
        <w:pStyle w:val="3"/>
        <w:spacing w:before="8"/>
        <w:rPr>
          <w:rFonts w:hint="eastAsia" w:ascii="楷体" w:hAnsi="楷体" w:eastAsia="楷体" w:cs="楷体"/>
          <w:sz w:val="19"/>
        </w:rPr>
      </w:pPr>
    </w:p>
    <w:p>
      <w:pPr>
        <w:pStyle w:val="28"/>
        <w:numPr>
          <w:ilvl w:val="2"/>
          <w:numId w:val="31"/>
        </w:numPr>
        <w:tabs>
          <w:tab w:val="left" w:pos="1975"/>
        </w:tabs>
        <w:spacing w:before="0" w:after="0" w:line="240" w:lineRule="auto"/>
        <w:ind w:left="1974" w:right="0" w:hanging="721"/>
        <w:jc w:val="both"/>
        <w:rPr>
          <w:rFonts w:hint="eastAsia" w:ascii="楷体" w:hAnsi="楷体" w:eastAsia="楷体" w:cs="楷体"/>
          <w:sz w:val="24"/>
        </w:rPr>
      </w:pPr>
      <w:r>
        <w:rPr>
          <w:rFonts w:hint="eastAsia" w:ascii="楷体" w:hAnsi="楷体" w:eastAsia="楷体" w:cs="楷体"/>
          <w:sz w:val="24"/>
        </w:rPr>
        <w:t>中标通知书；</w:t>
      </w:r>
    </w:p>
    <w:p>
      <w:pPr>
        <w:pStyle w:val="3"/>
        <w:spacing w:before="8"/>
        <w:rPr>
          <w:rFonts w:hint="eastAsia" w:ascii="楷体" w:hAnsi="楷体" w:eastAsia="楷体" w:cs="楷体"/>
          <w:sz w:val="19"/>
        </w:rPr>
      </w:pPr>
    </w:p>
    <w:p>
      <w:pPr>
        <w:pStyle w:val="28"/>
        <w:numPr>
          <w:ilvl w:val="2"/>
          <w:numId w:val="31"/>
        </w:numPr>
        <w:tabs>
          <w:tab w:val="left" w:pos="1975"/>
        </w:tabs>
        <w:spacing w:before="0" w:after="0" w:line="240" w:lineRule="auto"/>
        <w:ind w:left="1974" w:right="0" w:hanging="721"/>
        <w:jc w:val="left"/>
        <w:rPr>
          <w:rFonts w:hint="eastAsia" w:ascii="楷体" w:hAnsi="楷体" w:eastAsia="楷体" w:cs="楷体"/>
          <w:sz w:val="24"/>
        </w:rPr>
      </w:pPr>
      <w:r>
        <w:rPr>
          <w:rFonts w:hint="eastAsia" w:ascii="楷体" w:hAnsi="楷体" w:eastAsia="楷体" w:cs="楷体"/>
          <w:sz w:val="24"/>
        </w:rPr>
        <w:t>投标文件（含澄清或者说明文件）；</w:t>
      </w:r>
    </w:p>
    <w:p>
      <w:pPr>
        <w:pStyle w:val="3"/>
        <w:spacing w:before="11"/>
        <w:rPr>
          <w:rFonts w:hint="eastAsia" w:ascii="楷体" w:hAnsi="楷体" w:eastAsia="楷体" w:cs="楷体"/>
          <w:sz w:val="19"/>
        </w:rPr>
      </w:pPr>
    </w:p>
    <w:p>
      <w:pPr>
        <w:pStyle w:val="28"/>
        <w:numPr>
          <w:ilvl w:val="2"/>
          <w:numId w:val="31"/>
        </w:numPr>
        <w:tabs>
          <w:tab w:val="left" w:pos="1975"/>
        </w:tabs>
        <w:spacing w:before="0" w:after="0" w:line="240" w:lineRule="auto"/>
        <w:ind w:left="1974" w:right="0" w:hanging="721"/>
        <w:jc w:val="left"/>
        <w:rPr>
          <w:rFonts w:hint="eastAsia" w:ascii="楷体" w:hAnsi="楷体" w:eastAsia="楷体" w:cs="楷体"/>
          <w:sz w:val="24"/>
        </w:rPr>
      </w:pPr>
      <w:r>
        <w:rPr>
          <w:rFonts w:hint="eastAsia" w:ascii="楷体" w:hAnsi="楷体" w:eastAsia="楷体" w:cs="楷体"/>
          <w:sz w:val="24"/>
        </w:rPr>
        <w:t>招标文件（含澄清或者修改文件）；</w:t>
      </w:r>
    </w:p>
    <w:p>
      <w:pPr>
        <w:pStyle w:val="3"/>
        <w:spacing w:before="8"/>
        <w:rPr>
          <w:rFonts w:hint="eastAsia" w:ascii="楷体" w:hAnsi="楷体" w:eastAsia="楷体" w:cs="楷体"/>
          <w:sz w:val="19"/>
        </w:rPr>
      </w:pPr>
    </w:p>
    <w:p>
      <w:pPr>
        <w:pStyle w:val="28"/>
        <w:numPr>
          <w:ilvl w:val="2"/>
          <w:numId w:val="31"/>
        </w:numPr>
        <w:tabs>
          <w:tab w:val="left" w:pos="1975"/>
        </w:tabs>
        <w:spacing w:before="0" w:after="0" w:line="240" w:lineRule="auto"/>
        <w:ind w:left="1974" w:right="0" w:hanging="721"/>
        <w:jc w:val="left"/>
        <w:rPr>
          <w:rFonts w:hint="eastAsia" w:ascii="楷体" w:hAnsi="楷体" w:eastAsia="楷体" w:cs="楷体"/>
          <w:sz w:val="24"/>
        </w:rPr>
      </w:pPr>
      <w:r>
        <w:rPr>
          <w:rFonts w:hint="eastAsia" w:ascii="楷体" w:hAnsi="楷体" w:eastAsia="楷体" w:cs="楷体"/>
          <w:sz w:val="24"/>
        </w:rPr>
        <w:t>其他相关采购文件。</w:t>
      </w:r>
    </w:p>
    <w:p>
      <w:pPr>
        <w:pStyle w:val="3"/>
        <w:spacing w:before="8"/>
        <w:rPr>
          <w:rFonts w:hint="eastAsia" w:ascii="楷体" w:hAnsi="楷体" w:eastAsia="楷体" w:cs="楷体"/>
          <w:sz w:val="19"/>
        </w:rPr>
      </w:pPr>
    </w:p>
    <w:p>
      <w:pPr>
        <w:pStyle w:val="28"/>
        <w:numPr>
          <w:ilvl w:val="1"/>
          <w:numId w:val="31"/>
        </w:numPr>
        <w:tabs>
          <w:tab w:val="left" w:pos="1737"/>
        </w:tabs>
        <w:spacing w:before="0" w:after="0" w:line="240" w:lineRule="auto"/>
        <w:ind w:left="1736" w:right="0" w:hanging="483"/>
        <w:jc w:val="left"/>
        <w:rPr>
          <w:rFonts w:hint="eastAsia" w:ascii="楷体" w:hAnsi="楷体" w:eastAsia="楷体" w:cs="楷体"/>
          <w:b/>
          <w:sz w:val="24"/>
        </w:rPr>
      </w:pPr>
      <w:r>
        <w:rPr>
          <w:rFonts w:hint="eastAsia" w:ascii="楷体" w:hAnsi="楷体" w:eastAsia="楷体" w:cs="楷体"/>
          <w:b/>
          <w:sz w:val="24"/>
        </w:rPr>
        <w:t>标的</w:t>
      </w:r>
    </w:p>
    <w:p>
      <w:pPr>
        <w:pStyle w:val="3"/>
        <w:keepNext w:val="0"/>
        <w:keepLines w:val="0"/>
        <w:pageBreakBefore w:val="0"/>
        <w:widowControl w:val="0"/>
        <w:kinsoku/>
        <w:wordWrap/>
        <w:overflowPunct/>
        <w:topLinePunct w:val="0"/>
        <w:autoSpaceDE w:val="0"/>
        <w:autoSpaceDN w:val="0"/>
        <w:bidi w:val="0"/>
        <w:adjustRightInd/>
        <w:snapToGrid/>
        <w:spacing w:before="11" w:line="480" w:lineRule="auto"/>
        <w:textAlignment w:val="auto"/>
        <w:rPr>
          <w:rFonts w:hint="eastAsia" w:ascii="楷体" w:hAnsi="楷体" w:eastAsia="楷体" w:cs="楷体"/>
          <w:b/>
          <w:sz w:val="19"/>
        </w:rPr>
      </w:pPr>
    </w:p>
    <w:p>
      <w:pPr>
        <w:pStyle w:val="28"/>
        <w:keepNext w:val="0"/>
        <w:keepLines w:val="0"/>
        <w:pageBreakBefore w:val="0"/>
        <w:widowControl w:val="0"/>
        <w:numPr>
          <w:ilvl w:val="2"/>
          <w:numId w:val="31"/>
        </w:numPr>
        <w:tabs>
          <w:tab w:val="left" w:pos="1975"/>
        </w:tabs>
        <w:kinsoku/>
        <w:wordWrap/>
        <w:overflowPunct/>
        <w:topLinePunct w:val="0"/>
        <w:autoSpaceDE w:val="0"/>
        <w:autoSpaceDN w:val="0"/>
        <w:bidi w:val="0"/>
        <w:adjustRightInd/>
        <w:snapToGrid/>
        <w:spacing w:before="0" w:after="0" w:line="480" w:lineRule="auto"/>
        <w:ind w:left="1974" w:right="0" w:hanging="721"/>
        <w:jc w:val="left"/>
        <w:textAlignment w:val="auto"/>
        <w:rPr>
          <w:rFonts w:hint="eastAsia" w:ascii="楷体" w:hAnsi="楷体" w:eastAsia="楷体" w:cs="楷体"/>
          <w:sz w:val="19"/>
        </w:rPr>
      </w:pPr>
      <w:r>
        <w:rPr>
          <w:rFonts w:hint="eastAsia" w:ascii="楷体" w:hAnsi="楷体" w:eastAsia="楷体" w:cs="楷体"/>
          <w:sz w:val="24"/>
        </w:rPr>
        <w:t>标的名称：</w:t>
      </w:r>
      <w:r>
        <w:rPr>
          <w:rFonts w:hint="eastAsia" w:ascii="楷体" w:hAnsi="楷体" w:eastAsia="楷体" w:cs="楷体"/>
          <w:sz w:val="24"/>
          <w:u w:val="single"/>
          <w:lang w:val="en-US" w:eastAsia="zh-CN"/>
        </w:rPr>
        <w:t>综合保税区物业及绿化养护道路保洁服务项目</w:t>
      </w:r>
      <w:r>
        <w:rPr>
          <w:rFonts w:hint="eastAsia" w:ascii="楷体" w:hAnsi="楷体" w:eastAsia="楷体" w:cs="楷体"/>
          <w:sz w:val="24"/>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8" w:line="480" w:lineRule="auto"/>
        <w:ind w:firstLine="1200" w:firstLineChars="500"/>
        <w:textAlignment w:val="auto"/>
        <w:rPr>
          <w:rFonts w:hint="eastAsia" w:ascii="楷体" w:hAnsi="楷体" w:eastAsia="楷体" w:cs="楷体"/>
          <w:sz w:val="24"/>
          <w:u w:val="single"/>
          <w:lang w:val="en-US" w:eastAsia="zh-CN"/>
        </w:rPr>
      </w:pPr>
      <w:r>
        <w:rPr>
          <w:rFonts w:hint="eastAsia" w:ascii="楷体" w:hAnsi="楷体" w:eastAsia="楷体" w:cs="楷体"/>
          <w:sz w:val="24"/>
          <w:lang w:val="en-US" w:eastAsia="zh-CN"/>
        </w:rPr>
        <w:t>1.2.2  标的内容：</w:t>
      </w:r>
      <w:r>
        <w:rPr>
          <w:rFonts w:hint="eastAsia" w:ascii="楷体" w:hAnsi="楷体" w:eastAsia="楷体" w:cs="楷体"/>
          <w:sz w:val="24"/>
          <w:u w:val="single"/>
          <w:lang w:val="en-US" w:eastAsia="zh-CN"/>
        </w:rPr>
        <w:t>服务区域：园区绿化养护、零星任务等服务，综保区道路保洁面积492071㎡，综保区绿化养护面积398492.5㎡的服务。综保区园区、包含办公楼、库房、厂房、展销中心等全部建筑。公租房区域，包含小果园区域；物业服务包括保安、保洁、维修、会议。</w:t>
      </w:r>
    </w:p>
    <w:p>
      <w:pPr>
        <w:pStyle w:val="3"/>
        <w:keepNext w:val="0"/>
        <w:keepLines w:val="0"/>
        <w:pageBreakBefore w:val="0"/>
        <w:widowControl w:val="0"/>
        <w:kinsoku/>
        <w:wordWrap/>
        <w:overflowPunct/>
        <w:topLinePunct w:val="0"/>
        <w:autoSpaceDE w:val="0"/>
        <w:autoSpaceDN w:val="0"/>
        <w:bidi w:val="0"/>
        <w:adjustRightInd/>
        <w:snapToGrid/>
        <w:spacing w:before="8" w:line="480" w:lineRule="auto"/>
        <w:ind w:firstLine="1200" w:firstLineChars="500"/>
        <w:textAlignment w:val="auto"/>
        <w:rPr>
          <w:rFonts w:hint="eastAsia" w:ascii="楷体" w:hAnsi="楷体" w:eastAsia="楷体" w:cs="楷体"/>
          <w:color w:val="auto"/>
          <w:sz w:val="24"/>
          <w:u w:val="single"/>
          <w:lang w:val="en-US" w:eastAsia="zh-CN"/>
        </w:rPr>
      </w:pPr>
    </w:p>
    <w:p>
      <w:pPr>
        <w:pStyle w:val="28"/>
        <w:numPr>
          <w:ilvl w:val="1"/>
          <w:numId w:val="31"/>
        </w:numPr>
        <w:tabs>
          <w:tab w:val="left" w:pos="1737"/>
        </w:tabs>
        <w:spacing w:before="67" w:after="0" w:line="240" w:lineRule="auto"/>
        <w:ind w:left="1736" w:right="0" w:hanging="483"/>
        <w:jc w:val="left"/>
        <w:rPr>
          <w:rFonts w:hint="eastAsia" w:ascii="楷体" w:hAnsi="楷体" w:eastAsia="楷体" w:cs="楷体"/>
          <w:b/>
          <w:sz w:val="24"/>
        </w:rPr>
      </w:pPr>
      <w:r>
        <w:rPr>
          <w:rFonts w:hint="eastAsia" w:ascii="楷体" w:hAnsi="楷体" w:eastAsia="楷体" w:cs="楷体"/>
          <w:b/>
          <w:sz w:val="24"/>
        </w:rPr>
        <w:t>价款</w:t>
      </w:r>
    </w:p>
    <w:p>
      <w:pPr>
        <w:pStyle w:val="3"/>
        <w:spacing w:before="8"/>
        <w:rPr>
          <w:rFonts w:hint="eastAsia" w:ascii="楷体" w:hAnsi="楷体" w:eastAsia="楷体" w:cs="楷体"/>
          <w:b/>
          <w:sz w:val="19"/>
        </w:rPr>
      </w:pPr>
    </w:p>
    <w:p>
      <w:pPr>
        <w:pStyle w:val="3"/>
        <w:tabs>
          <w:tab w:val="left" w:pos="4494"/>
          <w:tab w:val="left" w:pos="7734"/>
        </w:tabs>
        <w:spacing w:line="436" w:lineRule="auto"/>
        <w:ind w:left="1254" w:right="670"/>
        <w:rPr>
          <w:rFonts w:hint="eastAsia" w:ascii="楷体" w:hAnsi="楷体" w:eastAsia="楷体" w:cs="楷体"/>
        </w:rPr>
      </w:pPr>
      <w:r>
        <w:rPr>
          <w:rFonts w:hint="eastAsia" w:ascii="楷体" w:hAnsi="楷体" w:eastAsia="楷体" w:cs="楷体"/>
        </w:rPr>
        <mc:AlternateContent>
          <mc:Choice Requires="wps">
            <w:drawing>
              <wp:anchor distT="0" distB="0" distL="114300" distR="114300" simplePos="0" relativeHeight="251667456" behindDoc="1" locked="0" layoutInCell="1" allowOverlap="1">
                <wp:simplePos x="0" y="0"/>
                <wp:positionH relativeFrom="page">
                  <wp:posOffset>2675255</wp:posOffset>
                </wp:positionH>
                <wp:positionV relativeFrom="paragraph">
                  <wp:posOffset>170815</wp:posOffset>
                </wp:positionV>
                <wp:extent cx="838200" cy="0"/>
                <wp:effectExtent l="0" t="0" r="0" b="0"/>
                <wp:wrapNone/>
                <wp:docPr id="11" name="直线 13"/>
                <wp:cNvGraphicFramePr/>
                <a:graphic xmlns:a="http://schemas.openxmlformats.org/drawingml/2006/main">
                  <a:graphicData uri="http://schemas.microsoft.com/office/word/2010/wordprocessingShape">
                    <wps:wsp>
                      <wps:cNvCnPr/>
                      <wps:spPr>
                        <a:xfrm>
                          <a:off x="0" y="0"/>
                          <a:ext cx="8382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210.65pt;margin-top:13.45pt;height:0pt;width:66pt;mso-position-horizontal-relative:page;z-index:-251649024;mso-width-relative:page;mso-height-relative:page;" filled="f" stroked="t" coordsize="21600,21600" o:gfxdata="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MJ9g1gAA&#10;AAkBAAAPAAAAAAAAAAEAIAAAACIAAABkcnMvZG93bnJldi54bWxQSwECFAAUAAAACACHTuJA7HqX&#10;POcBAADcAwAADgAAAAAAAAABACAAAAAlAQAAZHJzL2Uyb0RvYy54bWxQSwUGAAAAAAYABgBZAQAA&#10;fgUAAAAA&#10;">
                <v:fill on="f" focussize="0,0"/>
                <v:stroke weight="0.6pt" color="#000000" joinstyle="round"/>
                <v:imagedata o:title=""/>
                <o:lock v:ext="edit" aspectratio="f"/>
              </v:line>
            </w:pict>
          </mc:Fallback>
        </mc:AlternateContent>
      </w:r>
      <w:r>
        <w:rPr>
          <w:rFonts w:hint="eastAsia" w:ascii="楷体" w:hAnsi="楷体" w:eastAsia="楷体" w:cs="楷体"/>
        </w:rPr>
        <mc:AlternateContent>
          <mc:Choice Requires="wps">
            <w:drawing>
              <wp:anchor distT="0" distB="0" distL="114300" distR="114300" simplePos="0" relativeHeight="251673600" behindDoc="0" locked="0" layoutInCell="1" allowOverlap="1">
                <wp:simplePos x="0" y="0"/>
                <wp:positionH relativeFrom="page">
                  <wp:posOffset>1613535</wp:posOffset>
                </wp:positionH>
                <wp:positionV relativeFrom="paragraph">
                  <wp:posOffset>578485</wp:posOffset>
                </wp:positionV>
                <wp:extent cx="4552950" cy="1638300"/>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4552950" cy="1638300"/>
                        </a:xfrm>
                        <a:prstGeom prst="rect">
                          <a:avLst/>
                        </a:prstGeom>
                        <a:noFill/>
                        <a:ln>
                          <a:noFill/>
                        </a:ln>
                      </wps:spPr>
                      <wps:txbx>
                        <w:txbxContent>
                          <w:tbl>
                            <w:tblPr>
                              <w:tblStyle w:val="20"/>
                              <w:tblW w:w="7155" w:type="dxa"/>
                              <w:tblInd w:w="5"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01" w:type="dxa"/>
                                </w:tcPr>
                                <w:p>
                                  <w:pPr>
                                    <w:pStyle w:val="29"/>
                                    <w:spacing w:before="209"/>
                                    <w:ind w:left="360"/>
                                    <w:rPr>
                                      <w:rFonts w:hint="eastAsia" w:ascii="仿宋" w:eastAsia="仿宋"/>
                                      <w:sz w:val="24"/>
                                    </w:rPr>
                                  </w:pPr>
                                  <w:r>
                                    <w:rPr>
                                      <w:rFonts w:hint="eastAsia" w:ascii="仿宋" w:eastAsia="仿宋"/>
                                      <w:sz w:val="24"/>
                                    </w:rPr>
                                    <w:t>序号</w:t>
                                  </w:r>
                                </w:p>
                              </w:tc>
                              <w:tc>
                                <w:tcPr>
                                  <w:tcW w:w="3402" w:type="dxa"/>
                                </w:tcPr>
                                <w:p>
                                  <w:pPr>
                                    <w:pStyle w:val="29"/>
                                    <w:spacing w:before="209"/>
                                    <w:ind w:left="1541" w:right="1330"/>
                                    <w:jc w:val="center"/>
                                    <w:rPr>
                                      <w:rFonts w:hint="eastAsia" w:ascii="仿宋" w:eastAsia="仿宋"/>
                                      <w:sz w:val="24"/>
                                    </w:rPr>
                                  </w:pPr>
                                  <w:r>
                                    <w:rPr>
                                      <w:rFonts w:hint="eastAsia" w:ascii="仿宋" w:eastAsia="仿宋"/>
                                      <w:sz w:val="24"/>
                                    </w:rPr>
                                    <w:t>名称</w:t>
                                  </w:r>
                                </w:p>
                              </w:tc>
                              <w:tc>
                                <w:tcPr>
                                  <w:tcW w:w="2552" w:type="dxa"/>
                                </w:tcPr>
                                <w:p>
                                  <w:pPr>
                                    <w:pStyle w:val="29"/>
                                    <w:spacing w:before="209"/>
                                    <w:ind w:left="1014" w:right="1007"/>
                                    <w:jc w:val="center"/>
                                    <w:rPr>
                                      <w:rFonts w:hint="eastAsia" w:ascii="仿宋" w:eastAsia="仿宋"/>
                                      <w:sz w:val="24"/>
                                    </w:rPr>
                                  </w:pPr>
                                  <w:r>
                                    <w:rPr>
                                      <w:rFonts w:hint="eastAsia" w:ascii="仿宋" w:eastAsia="仿宋"/>
                                      <w:sz w:val="24"/>
                                    </w:rPr>
                                    <w:t>价格</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201" w:type="dxa"/>
                                  <w:tcBorders>
                                    <w:bottom w:val="single" w:color="auto" w:sz="4" w:space="0"/>
                                  </w:tcBorders>
                                </w:tcPr>
                                <w:p>
                                  <w:pPr>
                                    <w:pStyle w:val="29"/>
                                    <w:spacing w:before="209"/>
                                    <w:ind w:left="360"/>
                                    <w:rPr>
                                      <w:rFonts w:hint="eastAsia" w:ascii="仿宋" w:eastAsia="仿宋"/>
                                      <w:sz w:val="24"/>
                                    </w:rPr>
                                  </w:pPr>
                                  <w:r>
                                    <w:rPr>
                                      <w:rFonts w:hint="eastAsia" w:ascii="仿宋" w:eastAsia="仿宋"/>
                                      <w:sz w:val="24"/>
                                    </w:rPr>
                                    <w:t>1</w:t>
                                  </w:r>
                                </w:p>
                              </w:tc>
                              <w:tc>
                                <w:tcPr>
                                  <w:tcW w:w="3402" w:type="dxa"/>
                                  <w:tcBorders>
                                    <w:bottom w:val="single" w:color="auto" w:sz="4" w:space="0"/>
                                  </w:tcBorders>
                                </w:tcPr>
                                <w:p>
                                  <w:pPr>
                                    <w:pStyle w:val="29"/>
                                    <w:spacing w:before="209"/>
                                    <w:ind w:left="360"/>
                                    <w:rPr>
                                      <w:rFonts w:hint="eastAsia" w:ascii="仿宋" w:eastAsia="仿宋"/>
                                      <w:sz w:val="24"/>
                                      <w:lang w:val="en-US" w:eastAsia="zh-CN"/>
                                    </w:rPr>
                                  </w:pPr>
                                  <w:r>
                                    <w:rPr>
                                      <w:rFonts w:hint="eastAsia" w:ascii="仿宋" w:eastAsia="仿宋"/>
                                      <w:sz w:val="24"/>
                                      <w:lang w:val="zh-CN" w:eastAsia="zh-CN"/>
                                    </w:rPr>
                                    <w:t>202</w:t>
                                  </w:r>
                                  <w:r>
                                    <w:rPr>
                                      <w:rFonts w:hint="eastAsia" w:ascii="仿宋" w:eastAsia="仿宋"/>
                                      <w:sz w:val="24"/>
                                      <w:lang w:val="en-US" w:eastAsia="zh-CN"/>
                                    </w:rPr>
                                    <w:t>2</w:t>
                                  </w:r>
                                  <w:r>
                                    <w:rPr>
                                      <w:rFonts w:hint="eastAsia" w:ascii="仿宋" w:eastAsia="仿宋"/>
                                      <w:sz w:val="24"/>
                                      <w:lang w:val="zh-CN" w:eastAsia="zh-CN"/>
                                    </w:rPr>
                                    <w:t>年绿化环卫一体化服务项目</w:t>
                                  </w:r>
                                </w:p>
                                <w:p>
                                  <w:pPr>
                                    <w:pStyle w:val="29"/>
                                    <w:spacing w:before="209"/>
                                    <w:ind w:left="360"/>
                                    <w:rPr>
                                      <w:rFonts w:hint="eastAsia" w:ascii="仿宋" w:eastAsia="仿宋"/>
                                      <w:sz w:val="24"/>
                                    </w:rPr>
                                  </w:pPr>
                                </w:p>
                              </w:tc>
                              <w:tc>
                                <w:tcPr>
                                  <w:tcW w:w="2552" w:type="dxa"/>
                                  <w:tcBorders>
                                    <w:bottom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01" w:type="dxa"/>
                                  <w:tcBorders>
                                    <w:top w:val="single" w:color="auto" w:sz="4" w:space="0"/>
                                    <w:bottom w:val="single" w:color="auto" w:sz="4" w:space="0"/>
                                  </w:tcBorders>
                                </w:tcPr>
                                <w:p>
                                  <w:pPr>
                                    <w:pStyle w:val="29"/>
                                    <w:spacing w:before="209"/>
                                    <w:ind w:left="360"/>
                                    <w:rPr>
                                      <w:rFonts w:hint="eastAsia" w:ascii="仿宋" w:eastAsia="仿宋"/>
                                      <w:sz w:val="24"/>
                                    </w:rPr>
                                  </w:pPr>
                                </w:p>
                              </w:tc>
                              <w:tc>
                                <w:tcPr>
                                  <w:tcW w:w="3402" w:type="dxa"/>
                                  <w:tcBorders>
                                    <w:top w:val="single" w:color="auto" w:sz="4" w:space="0"/>
                                    <w:bottom w:val="single" w:color="auto" w:sz="4" w:space="0"/>
                                  </w:tcBorders>
                                </w:tcPr>
                                <w:p>
                                  <w:pPr>
                                    <w:pStyle w:val="29"/>
                                    <w:spacing w:before="209"/>
                                    <w:ind w:left="360"/>
                                    <w:rPr>
                                      <w:rFonts w:hint="eastAsia" w:ascii="仿宋" w:eastAsia="仿宋"/>
                                      <w:sz w:val="24"/>
                                    </w:rPr>
                                  </w:pPr>
                                </w:p>
                              </w:tc>
                              <w:tc>
                                <w:tcPr>
                                  <w:tcW w:w="2552" w:type="dxa"/>
                                  <w:tcBorders>
                                    <w:top w:val="single" w:color="auto" w:sz="4" w:space="0"/>
                                    <w:bottom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201" w:type="dxa"/>
                                  <w:tcBorders>
                                    <w:top w:val="single" w:color="auto" w:sz="4" w:space="0"/>
                                    <w:bottom w:val="single" w:color="auto" w:sz="4" w:space="0"/>
                                  </w:tcBorders>
                                </w:tcPr>
                                <w:p>
                                  <w:pPr>
                                    <w:pStyle w:val="29"/>
                                    <w:spacing w:before="209"/>
                                    <w:ind w:left="360"/>
                                    <w:rPr>
                                      <w:rFonts w:hint="eastAsia" w:ascii="仿宋" w:eastAsia="仿宋"/>
                                      <w:sz w:val="24"/>
                                    </w:rPr>
                                  </w:pPr>
                                </w:p>
                              </w:tc>
                              <w:tc>
                                <w:tcPr>
                                  <w:tcW w:w="3402" w:type="dxa"/>
                                  <w:tcBorders>
                                    <w:top w:val="single" w:color="auto" w:sz="4" w:space="0"/>
                                    <w:bottom w:val="single" w:color="auto" w:sz="4" w:space="0"/>
                                  </w:tcBorders>
                                </w:tcPr>
                                <w:p>
                                  <w:pPr>
                                    <w:pStyle w:val="29"/>
                                    <w:spacing w:before="209"/>
                                    <w:ind w:left="360"/>
                                    <w:rPr>
                                      <w:rFonts w:hint="eastAsia" w:ascii="仿宋" w:eastAsia="仿宋"/>
                                      <w:sz w:val="24"/>
                                    </w:rPr>
                                  </w:pPr>
                                </w:p>
                              </w:tc>
                              <w:tc>
                                <w:tcPr>
                                  <w:tcW w:w="2552" w:type="dxa"/>
                                  <w:tcBorders>
                                    <w:top w:val="single" w:color="auto" w:sz="4" w:space="0"/>
                                    <w:bottom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201" w:type="dxa"/>
                                  <w:tcBorders>
                                    <w:top w:val="single" w:color="auto" w:sz="4" w:space="0"/>
                                  </w:tcBorders>
                                </w:tcPr>
                                <w:p>
                                  <w:pPr>
                                    <w:pStyle w:val="29"/>
                                    <w:spacing w:before="209"/>
                                    <w:ind w:left="360"/>
                                    <w:rPr>
                                      <w:rFonts w:hint="eastAsia" w:ascii="仿宋" w:eastAsia="仿宋"/>
                                      <w:sz w:val="24"/>
                                    </w:rPr>
                                  </w:pPr>
                                </w:p>
                              </w:tc>
                              <w:tc>
                                <w:tcPr>
                                  <w:tcW w:w="3402" w:type="dxa"/>
                                  <w:tcBorders>
                                    <w:top w:val="single" w:color="auto" w:sz="4" w:space="0"/>
                                  </w:tcBorders>
                                </w:tcPr>
                                <w:p>
                                  <w:pPr>
                                    <w:pStyle w:val="29"/>
                                    <w:spacing w:before="209"/>
                                    <w:ind w:left="360"/>
                                    <w:rPr>
                                      <w:rFonts w:hint="eastAsia" w:ascii="仿宋" w:eastAsia="仿宋"/>
                                      <w:sz w:val="24"/>
                                    </w:rPr>
                                  </w:pPr>
                                </w:p>
                              </w:tc>
                              <w:tc>
                                <w:tcPr>
                                  <w:tcW w:w="2552" w:type="dxa"/>
                                  <w:tcBorders>
                                    <w:top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201" w:type="dxa"/>
                                </w:tcPr>
                                <w:p>
                                  <w:pPr>
                                    <w:pStyle w:val="29"/>
                                    <w:spacing w:before="209"/>
                                    <w:ind w:left="360"/>
                                    <w:rPr>
                                      <w:rFonts w:hint="eastAsia" w:ascii="仿宋" w:eastAsia="仿宋"/>
                                      <w:sz w:val="24"/>
                                    </w:rPr>
                                  </w:pPr>
                                </w:p>
                              </w:tc>
                              <w:tc>
                                <w:tcPr>
                                  <w:tcW w:w="3402" w:type="dxa"/>
                                </w:tcPr>
                                <w:p>
                                  <w:pPr>
                                    <w:pStyle w:val="29"/>
                                    <w:spacing w:before="209"/>
                                    <w:ind w:left="360"/>
                                    <w:rPr>
                                      <w:rFonts w:hint="eastAsia" w:ascii="仿宋" w:eastAsia="仿宋"/>
                                      <w:sz w:val="24"/>
                                    </w:rPr>
                                  </w:pPr>
                                </w:p>
                              </w:tc>
                              <w:tc>
                                <w:tcPr>
                                  <w:tcW w:w="2552" w:type="dxa"/>
                                </w:tcPr>
                                <w:p>
                                  <w:pPr>
                                    <w:pStyle w:val="29"/>
                                    <w:spacing w:before="209"/>
                                    <w:ind w:left="360"/>
                                    <w:rPr>
                                      <w:rFonts w:hint="eastAsia" w:ascii="仿宋" w:eastAsia="仿宋"/>
                                      <w:sz w:val="24"/>
                                    </w:rPr>
                                  </w:pPr>
                                </w:p>
                              </w:tc>
                            </w:tr>
                          </w:tbl>
                          <w:p>
                            <w:pPr>
                              <w:pStyle w:val="3"/>
                            </w:pPr>
                          </w:p>
                        </w:txbxContent>
                      </wps:txbx>
                      <wps:bodyPr lIns="0" tIns="0" rIns="0" bIns="0" upright="1"/>
                    </wps:wsp>
                  </a:graphicData>
                </a:graphic>
              </wp:anchor>
            </w:drawing>
          </mc:Choice>
          <mc:Fallback>
            <w:pict>
              <v:shape id="文本框 14" o:spid="_x0000_s1026" o:spt="202" type="#_x0000_t202" style="position:absolute;left:0pt;margin-left:127.05pt;margin-top:45.55pt;height:129pt;width:358.5pt;mso-position-horizontal-relative:page;z-index:251673600;mso-width-relative:page;mso-height-relative:page;" filled="f" stroked="f" coordsize="21600,21600" o:gfxdata="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msrztkAAAAKAQAADwAAAAAAAAABACAAAAAiAAAAZHJzL2Rvd25yZXYueG1s&#10;UEsBAhQAFAAAAAgAh07iQE8FXfG+AQAAdQMAAA4AAAAAAAAAAQAgAAAAKAEAAGRycy9lMm9Eb2Mu&#10;eG1sUEsFBgAAAAAGAAYAWQEAAFgFAAAAAA==&#10;">
                <v:fill on="f" focussize="0,0"/>
                <v:stroke on="f"/>
                <v:imagedata o:title=""/>
                <o:lock v:ext="edit" aspectratio="f"/>
                <v:textbox inset="0mm,0mm,0mm,0mm">
                  <w:txbxContent>
                    <w:tbl>
                      <w:tblPr>
                        <w:tblStyle w:val="20"/>
                        <w:tblW w:w="7155" w:type="dxa"/>
                        <w:tblInd w:w="5"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01" w:type="dxa"/>
                          </w:tcPr>
                          <w:p>
                            <w:pPr>
                              <w:pStyle w:val="29"/>
                              <w:spacing w:before="209"/>
                              <w:ind w:left="360"/>
                              <w:rPr>
                                <w:rFonts w:hint="eastAsia" w:ascii="仿宋" w:eastAsia="仿宋"/>
                                <w:sz w:val="24"/>
                              </w:rPr>
                            </w:pPr>
                            <w:r>
                              <w:rPr>
                                <w:rFonts w:hint="eastAsia" w:ascii="仿宋" w:eastAsia="仿宋"/>
                                <w:sz w:val="24"/>
                              </w:rPr>
                              <w:t>序号</w:t>
                            </w:r>
                          </w:p>
                        </w:tc>
                        <w:tc>
                          <w:tcPr>
                            <w:tcW w:w="3402" w:type="dxa"/>
                          </w:tcPr>
                          <w:p>
                            <w:pPr>
                              <w:pStyle w:val="29"/>
                              <w:spacing w:before="209"/>
                              <w:ind w:left="1541" w:right="1330"/>
                              <w:jc w:val="center"/>
                              <w:rPr>
                                <w:rFonts w:hint="eastAsia" w:ascii="仿宋" w:eastAsia="仿宋"/>
                                <w:sz w:val="24"/>
                              </w:rPr>
                            </w:pPr>
                            <w:r>
                              <w:rPr>
                                <w:rFonts w:hint="eastAsia" w:ascii="仿宋" w:eastAsia="仿宋"/>
                                <w:sz w:val="24"/>
                              </w:rPr>
                              <w:t>名称</w:t>
                            </w:r>
                          </w:p>
                        </w:tc>
                        <w:tc>
                          <w:tcPr>
                            <w:tcW w:w="2552" w:type="dxa"/>
                          </w:tcPr>
                          <w:p>
                            <w:pPr>
                              <w:pStyle w:val="29"/>
                              <w:spacing w:before="209"/>
                              <w:ind w:left="1014" w:right="1007"/>
                              <w:jc w:val="center"/>
                              <w:rPr>
                                <w:rFonts w:hint="eastAsia" w:ascii="仿宋" w:eastAsia="仿宋"/>
                                <w:sz w:val="24"/>
                              </w:rPr>
                            </w:pPr>
                            <w:r>
                              <w:rPr>
                                <w:rFonts w:hint="eastAsia" w:ascii="仿宋" w:eastAsia="仿宋"/>
                                <w:sz w:val="24"/>
                              </w:rPr>
                              <w:t>价格</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201" w:type="dxa"/>
                            <w:tcBorders>
                              <w:bottom w:val="single" w:color="auto" w:sz="4" w:space="0"/>
                            </w:tcBorders>
                          </w:tcPr>
                          <w:p>
                            <w:pPr>
                              <w:pStyle w:val="29"/>
                              <w:spacing w:before="209"/>
                              <w:ind w:left="360"/>
                              <w:rPr>
                                <w:rFonts w:hint="eastAsia" w:ascii="仿宋" w:eastAsia="仿宋"/>
                                <w:sz w:val="24"/>
                              </w:rPr>
                            </w:pPr>
                            <w:r>
                              <w:rPr>
                                <w:rFonts w:hint="eastAsia" w:ascii="仿宋" w:eastAsia="仿宋"/>
                                <w:sz w:val="24"/>
                              </w:rPr>
                              <w:t>1</w:t>
                            </w:r>
                          </w:p>
                        </w:tc>
                        <w:tc>
                          <w:tcPr>
                            <w:tcW w:w="3402" w:type="dxa"/>
                            <w:tcBorders>
                              <w:bottom w:val="single" w:color="auto" w:sz="4" w:space="0"/>
                            </w:tcBorders>
                          </w:tcPr>
                          <w:p>
                            <w:pPr>
                              <w:pStyle w:val="29"/>
                              <w:spacing w:before="209"/>
                              <w:ind w:left="360"/>
                              <w:rPr>
                                <w:rFonts w:hint="eastAsia" w:ascii="仿宋" w:eastAsia="仿宋"/>
                                <w:sz w:val="24"/>
                                <w:lang w:val="en-US" w:eastAsia="zh-CN"/>
                              </w:rPr>
                            </w:pPr>
                            <w:r>
                              <w:rPr>
                                <w:rFonts w:hint="eastAsia" w:ascii="仿宋" w:eastAsia="仿宋"/>
                                <w:sz w:val="24"/>
                                <w:lang w:val="zh-CN" w:eastAsia="zh-CN"/>
                              </w:rPr>
                              <w:t>202</w:t>
                            </w:r>
                            <w:r>
                              <w:rPr>
                                <w:rFonts w:hint="eastAsia" w:ascii="仿宋" w:eastAsia="仿宋"/>
                                <w:sz w:val="24"/>
                                <w:lang w:val="en-US" w:eastAsia="zh-CN"/>
                              </w:rPr>
                              <w:t>2</w:t>
                            </w:r>
                            <w:r>
                              <w:rPr>
                                <w:rFonts w:hint="eastAsia" w:ascii="仿宋" w:eastAsia="仿宋"/>
                                <w:sz w:val="24"/>
                                <w:lang w:val="zh-CN" w:eastAsia="zh-CN"/>
                              </w:rPr>
                              <w:t>年绿化环卫一体化服务项目</w:t>
                            </w:r>
                          </w:p>
                          <w:p>
                            <w:pPr>
                              <w:pStyle w:val="29"/>
                              <w:spacing w:before="209"/>
                              <w:ind w:left="360"/>
                              <w:rPr>
                                <w:rFonts w:hint="eastAsia" w:ascii="仿宋" w:eastAsia="仿宋"/>
                                <w:sz w:val="24"/>
                              </w:rPr>
                            </w:pPr>
                          </w:p>
                        </w:tc>
                        <w:tc>
                          <w:tcPr>
                            <w:tcW w:w="2552" w:type="dxa"/>
                            <w:tcBorders>
                              <w:bottom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01" w:type="dxa"/>
                            <w:tcBorders>
                              <w:top w:val="single" w:color="auto" w:sz="4" w:space="0"/>
                              <w:bottom w:val="single" w:color="auto" w:sz="4" w:space="0"/>
                            </w:tcBorders>
                          </w:tcPr>
                          <w:p>
                            <w:pPr>
                              <w:pStyle w:val="29"/>
                              <w:spacing w:before="209"/>
                              <w:ind w:left="360"/>
                              <w:rPr>
                                <w:rFonts w:hint="eastAsia" w:ascii="仿宋" w:eastAsia="仿宋"/>
                                <w:sz w:val="24"/>
                              </w:rPr>
                            </w:pPr>
                          </w:p>
                        </w:tc>
                        <w:tc>
                          <w:tcPr>
                            <w:tcW w:w="3402" w:type="dxa"/>
                            <w:tcBorders>
                              <w:top w:val="single" w:color="auto" w:sz="4" w:space="0"/>
                              <w:bottom w:val="single" w:color="auto" w:sz="4" w:space="0"/>
                            </w:tcBorders>
                          </w:tcPr>
                          <w:p>
                            <w:pPr>
                              <w:pStyle w:val="29"/>
                              <w:spacing w:before="209"/>
                              <w:ind w:left="360"/>
                              <w:rPr>
                                <w:rFonts w:hint="eastAsia" w:ascii="仿宋" w:eastAsia="仿宋"/>
                                <w:sz w:val="24"/>
                              </w:rPr>
                            </w:pPr>
                          </w:p>
                        </w:tc>
                        <w:tc>
                          <w:tcPr>
                            <w:tcW w:w="2552" w:type="dxa"/>
                            <w:tcBorders>
                              <w:top w:val="single" w:color="auto" w:sz="4" w:space="0"/>
                              <w:bottom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201" w:type="dxa"/>
                            <w:tcBorders>
                              <w:top w:val="single" w:color="auto" w:sz="4" w:space="0"/>
                              <w:bottom w:val="single" w:color="auto" w:sz="4" w:space="0"/>
                            </w:tcBorders>
                          </w:tcPr>
                          <w:p>
                            <w:pPr>
                              <w:pStyle w:val="29"/>
                              <w:spacing w:before="209"/>
                              <w:ind w:left="360"/>
                              <w:rPr>
                                <w:rFonts w:hint="eastAsia" w:ascii="仿宋" w:eastAsia="仿宋"/>
                                <w:sz w:val="24"/>
                              </w:rPr>
                            </w:pPr>
                          </w:p>
                        </w:tc>
                        <w:tc>
                          <w:tcPr>
                            <w:tcW w:w="3402" w:type="dxa"/>
                            <w:tcBorders>
                              <w:top w:val="single" w:color="auto" w:sz="4" w:space="0"/>
                              <w:bottom w:val="single" w:color="auto" w:sz="4" w:space="0"/>
                            </w:tcBorders>
                          </w:tcPr>
                          <w:p>
                            <w:pPr>
                              <w:pStyle w:val="29"/>
                              <w:spacing w:before="209"/>
                              <w:ind w:left="360"/>
                              <w:rPr>
                                <w:rFonts w:hint="eastAsia" w:ascii="仿宋" w:eastAsia="仿宋"/>
                                <w:sz w:val="24"/>
                              </w:rPr>
                            </w:pPr>
                          </w:p>
                        </w:tc>
                        <w:tc>
                          <w:tcPr>
                            <w:tcW w:w="2552" w:type="dxa"/>
                            <w:tcBorders>
                              <w:top w:val="single" w:color="auto" w:sz="4" w:space="0"/>
                              <w:bottom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201" w:type="dxa"/>
                            <w:tcBorders>
                              <w:top w:val="single" w:color="auto" w:sz="4" w:space="0"/>
                            </w:tcBorders>
                          </w:tcPr>
                          <w:p>
                            <w:pPr>
                              <w:pStyle w:val="29"/>
                              <w:spacing w:before="209"/>
                              <w:ind w:left="360"/>
                              <w:rPr>
                                <w:rFonts w:hint="eastAsia" w:ascii="仿宋" w:eastAsia="仿宋"/>
                                <w:sz w:val="24"/>
                              </w:rPr>
                            </w:pPr>
                          </w:p>
                        </w:tc>
                        <w:tc>
                          <w:tcPr>
                            <w:tcW w:w="3402" w:type="dxa"/>
                            <w:tcBorders>
                              <w:top w:val="single" w:color="auto" w:sz="4" w:space="0"/>
                            </w:tcBorders>
                          </w:tcPr>
                          <w:p>
                            <w:pPr>
                              <w:pStyle w:val="29"/>
                              <w:spacing w:before="209"/>
                              <w:ind w:left="360"/>
                              <w:rPr>
                                <w:rFonts w:hint="eastAsia" w:ascii="仿宋" w:eastAsia="仿宋"/>
                                <w:sz w:val="24"/>
                              </w:rPr>
                            </w:pPr>
                          </w:p>
                        </w:tc>
                        <w:tc>
                          <w:tcPr>
                            <w:tcW w:w="2552" w:type="dxa"/>
                            <w:tcBorders>
                              <w:top w:val="single" w:color="auto" w:sz="4" w:space="0"/>
                            </w:tcBorders>
                          </w:tcPr>
                          <w:p>
                            <w:pPr>
                              <w:pStyle w:val="29"/>
                              <w:spacing w:before="209"/>
                              <w:ind w:left="360"/>
                              <w:rPr>
                                <w:rFonts w:hint="eastAsia" w:ascii="仿宋" w:eastAsia="仿宋"/>
                                <w:sz w:val="24"/>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201" w:type="dxa"/>
                          </w:tcPr>
                          <w:p>
                            <w:pPr>
                              <w:pStyle w:val="29"/>
                              <w:spacing w:before="209"/>
                              <w:ind w:left="360"/>
                              <w:rPr>
                                <w:rFonts w:hint="eastAsia" w:ascii="仿宋" w:eastAsia="仿宋"/>
                                <w:sz w:val="24"/>
                              </w:rPr>
                            </w:pPr>
                          </w:p>
                        </w:tc>
                        <w:tc>
                          <w:tcPr>
                            <w:tcW w:w="3402" w:type="dxa"/>
                          </w:tcPr>
                          <w:p>
                            <w:pPr>
                              <w:pStyle w:val="29"/>
                              <w:spacing w:before="209"/>
                              <w:ind w:left="360"/>
                              <w:rPr>
                                <w:rFonts w:hint="eastAsia" w:ascii="仿宋" w:eastAsia="仿宋"/>
                                <w:sz w:val="24"/>
                              </w:rPr>
                            </w:pPr>
                          </w:p>
                        </w:tc>
                        <w:tc>
                          <w:tcPr>
                            <w:tcW w:w="2552" w:type="dxa"/>
                          </w:tcPr>
                          <w:p>
                            <w:pPr>
                              <w:pStyle w:val="29"/>
                              <w:spacing w:before="209"/>
                              <w:ind w:left="360"/>
                              <w:rPr>
                                <w:rFonts w:hint="eastAsia" w:ascii="仿宋" w:eastAsia="仿宋"/>
                                <w:sz w:val="24"/>
                              </w:rPr>
                            </w:pPr>
                          </w:p>
                        </w:tc>
                      </w:tr>
                    </w:tbl>
                    <w:p>
                      <w:pPr>
                        <w:pStyle w:val="3"/>
                      </w:pPr>
                    </w:p>
                  </w:txbxContent>
                </v:textbox>
              </v:shape>
            </w:pict>
          </mc:Fallback>
        </mc:AlternateContent>
      </w:r>
      <w:r>
        <w:rPr>
          <w:rFonts w:hint="eastAsia" w:ascii="楷体" w:hAnsi="楷体" w:eastAsia="楷体" w:cs="楷体"/>
        </w:rPr>
        <w:t>本合同总价为：￥</w:t>
      </w:r>
      <w:r>
        <w:rPr>
          <w:rFonts w:hint="eastAsia" w:ascii="楷体" w:hAnsi="楷体" w:eastAsia="楷体" w:cs="楷体"/>
        </w:rPr>
        <w:tab/>
      </w:r>
      <w:r>
        <w:rPr>
          <w:rFonts w:hint="eastAsia" w:ascii="楷体" w:hAnsi="楷体" w:eastAsia="楷体" w:cs="楷体"/>
        </w:rPr>
        <w:t>元（大写：</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元人民币）</w:t>
      </w:r>
      <w:r>
        <w:rPr>
          <w:rFonts w:hint="eastAsia" w:ascii="楷体" w:hAnsi="楷体" w:eastAsia="楷体" w:cs="楷体"/>
          <w:spacing w:val="-17"/>
        </w:rPr>
        <w:t>。</w:t>
      </w:r>
      <w:r>
        <w:rPr>
          <w:rFonts w:hint="eastAsia" w:ascii="楷体" w:hAnsi="楷体" w:eastAsia="楷体" w:cs="楷体"/>
        </w:rPr>
        <w:t>分项价格：</w:t>
      </w:r>
    </w:p>
    <w:p>
      <w:pPr>
        <w:pStyle w:val="3"/>
        <w:rPr>
          <w:rFonts w:hint="eastAsia" w:ascii="楷体" w:hAnsi="楷体" w:eastAsia="楷体" w:cs="楷体"/>
        </w:rPr>
      </w:pPr>
    </w:p>
    <w:p>
      <w:pPr>
        <w:pStyle w:val="3"/>
        <w:rPr>
          <w:rFonts w:hint="eastAsia" w:ascii="楷体" w:hAnsi="楷体" w:eastAsia="楷体" w:cs="楷体"/>
        </w:rPr>
      </w:pPr>
    </w:p>
    <w:p>
      <w:pPr>
        <w:pStyle w:val="3"/>
        <w:rPr>
          <w:rFonts w:hint="eastAsia" w:ascii="楷体" w:hAnsi="楷体" w:eastAsia="楷体" w:cs="楷体"/>
        </w:rPr>
      </w:pPr>
    </w:p>
    <w:p>
      <w:pPr>
        <w:pStyle w:val="3"/>
        <w:rPr>
          <w:rFonts w:hint="eastAsia" w:ascii="楷体" w:hAnsi="楷体" w:eastAsia="楷体" w:cs="楷体"/>
        </w:rPr>
      </w:pPr>
    </w:p>
    <w:p>
      <w:pPr>
        <w:pStyle w:val="3"/>
        <w:rPr>
          <w:rFonts w:hint="eastAsia" w:ascii="楷体" w:hAnsi="楷体" w:eastAsia="楷体" w:cs="楷体"/>
        </w:rPr>
      </w:pPr>
    </w:p>
    <w:p>
      <w:pPr>
        <w:pStyle w:val="3"/>
        <w:rPr>
          <w:rFonts w:hint="eastAsia" w:ascii="楷体" w:hAnsi="楷体" w:eastAsia="楷体" w:cs="楷体"/>
        </w:rPr>
      </w:pPr>
    </w:p>
    <w:p>
      <w:pPr>
        <w:rPr>
          <w:rFonts w:hint="eastAsia" w:ascii="楷体" w:hAnsi="楷体" w:eastAsia="楷体" w:cs="楷体"/>
        </w:rPr>
      </w:pPr>
    </w:p>
    <w:p>
      <w:pPr>
        <w:pStyle w:val="7"/>
        <w:rPr>
          <w:rFonts w:hint="eastAsia" w:ascii="楷体" w:hAnsi="楷体" w:eastAsia="楷体" w:cs="楷体"/>
        </w:rPr>
      </w:pPr>
    </w:p>
    <w:p>
      <w:pPr>
        <w:pStyle w:val="28"/>
        <w:numPr>
          <w:ilvl w:val="1"/>
          <w:numId w:val="31"/>
        </w:numPr>
        <w:tabs>
          <w:tab w:val="left" w:pos="1737"/>
        </w:tabs>
        <w:spacing w:before="173" w:after="0" w:line="240" w:lineRule="auto"/>
        <w:ind w:left="1736" w:right="0" w:hanging="483"/>
        <w:jc w:val="left"/>
        <w:rPr>
          <w:rFonts w:hint="eastAsia" w:ascii="楷体" w:hAnsi="楷体" w:eastAsia="楷体" w:cs="楷体"/>
          <w:b/>
          <w:sz w:val="24"/>
        </w:rPr>
      </w:pPr>
      <w:r>
        <w:rPr>
          <w:rFonts w:hint="eastAsia" w:ascii="楷体" w:hAnsi="楷体" w:eastAsia="楷体" w:cs="楷体"/>
          <w:b/>
          <w:sz w:val="24"/>
        </w:rPr>
        <w:t>付款方式和发票开具方式</w:t>
      </w:r>
    </w:p>
    <w:p>
      <w:pPr>
        <w:pStyle w:val="3"/>
        <w:spacing w:before="10"/>
        <w:rPr>
          <w:rFonts w:hint="eastAsia" w:ascii="楷体" w:hAnsi="楷体" w:eastAsia="楷体" w:cs="楷体"/>
          <w:b/>
          <w:sz w:val="19"/>
        </w:rPr>
      </w:pPr>
    </w:p>
    <w:p>
      <w:pPr>
        <w:pStyle w:val="28"/>
        <w:numPr>
          <w:ilvl w:val="2"/>
          <w:numId w:val="31"/>
        </w:numPr>
        <w:tabs>
          <w:tab w:val="left" w:pos="1915"/>
        </w:tabs>
        <w:spacing w:before="1" w:after="0" w:line="240" w:lineRule="auto"/>
        <w:ind w:left="1914" w:right="0" w:hanging="661"/>
        <w:jc w:val="left"/>
        <w:rPr>
          <w:rFonts w:hint="eastAsia" w:ascii="楷体" w:hAnsi="楷体" w:eastAsia="楷体" w:cs="楷体"/>
          <w:sz w:val="24"/>
        </w:rPr>
      </w:pPr>
      <w:r>
        <w:rPr>
          <w:rFonts w:hint="eastAsia" w:ascii="楷体" w:hAnsi="楷体" w:eastAsia="楷体" w:cs="楷体"/>
          <w:sz w:val="24"/>
        </w:rPr>
        <w:t>付款方式：</w:t>
      </w:r>
      <w:r>
        <w:rPr>
          <w:rFonts w:hint="eastAsia" w:ascii="楷体" w:hAnsi="楷体" w:eastAsia="楷体" w:cs="楷体"/>
          <w:sz w:val="24"/>
          <w:u w:val="single"/>
        </w:rPr>
        <w:t>《喀什经济开发区绿地养护考核管理办法（试行）》和《喀</w:t>
      </w:r>
    </w:p>
    <w:p>
      <w:pPr>
        <w:pStyle w:val="3"/>
        <w:spacing w:before="5"/>
        <w:rPr>
          <w:rFonts w:hint="eastAsia" w:ascii="楷体" w:hAnsi="楷体" w:eastAsia="楷体" w:cs="楷体"/>
          <w:sz w:val="14"/>
        </w:rPr>
      </w:pPr>
    </w:p>
    <w:p>
      <w:pPr>
        <w:pStyle w:val="3"/>
        <w:spacing w:before="67"/>
        <w:ind w:left="774"/>
        <w:rPr>
          <w:rFonts w:hint="eastAsia" w:ascii="楷体" w:hAnsi="楷体" w:eastAsia="楷体" w:cs="楷体"/>
        </w:rPr>
      </w:pPr>
      <w:r>
        <w:rPr>
          <w:rFonts w:hint="eastAsia" w:ascii="楷体" w:hAnsi="楷体" w:eastAsia="楷体" w:cs="楷体"/>
          <w:u w:val="single"/>
        </w:rPr>
        <w:t>什经济开发区环卫考核管理办法（试行）》对</w:t>
      </w:r>
      <w:r>
        <w:rPr>
          <w:rFonts w:hint="eastAsia" w:ascii="楷体" w:hAnsi="楷体" w:eastAsia="楷体" w:cs="楷体"/>
          <w:u w:val="single"/>
          <w:lang w:eastAsia="zh-CN"/>
        </w:rPr>
        <w:t>管护服务企业</w:t>
      </w:r>
      <w:r>
        <w:rPr>
          <w:rFonts w:hint="eastAsia" w:ascii="楷体" w:hAnsi="楷体" w:eastAsia="楷体" w:cs="楷体"/>
          <w:u w:val="single"/>
        </w:rPr>
        <w:t>每月</w:t>
      </w:r>
      <w:r>
        <w:rPr>
          <w:rFonts w:hint="eastAsia" w:ascii="楷体" w:hAnsi="楷体" w:eastAsia="楷体" w:cs="楷体"/>
          <w:u w:val="single"/>
          <w:lang w:eastAsia="zh-CN"/>
        </w:rPr>
        <w:t>进行现场</w:t>
      </w:r>
      <w:r>
        <w:rPr>
          <w:rFonts w:hint="eastAsia" w:ascii="楷体" w:hAnsi="楷体" w:eastAsia="楷体" w:cs="楷体"/>
          <w:u w:val="single"/>
        </w:rPr>
        <w:t>考核，按</w:t>
      </w:r>
    </w:p>
    <w:p>
      <w:pPr>
        <w:pStyle w:val="3"/>
        <w:spacing w:before="6"/>
        <w:rPr>
          <w:rFonts w:hint="eastAsia" w:ascii="楷体" w:hAnsi="楷体" w:eastAsia="楷体" w:cs="楷体"/>
          <w:sz w:val="14"/>
        </w:rPr>
      </w:pPr>
    </w:p>
    <w:p>
      <w:pPr>
        <w:pStyle w:val="3"/>
        <w:spacing w:before="66"/>
        <w:ind w:left="774"/>
        <w:rPr>
          <w:rFonts w:hint="eastAsia" w:ascii="楷体" w:hAnsi="楷体" w:eastAsia="楷体" w:cs="楷体"/>
          <w:color w:val="auto"/>
        </w:rPr>
      </w:pPr>
      <w:r>
        <w:rPr>
          <w:rFonts w:hint="eastAsia" w:ascii="楷体" w:hAnsi="楷体" w:eastAsia="楷体" w:cs="楷体"/>
          <w:u w:val="single"/>
          <w:lang w:eastAsia="zh-CN"/>
        </w:rPr>
        <w:t>每月</w:t>
      </w:r>
      <w:r>
        <w:rPr>
          <w:rFonts w:hint="eastAsia" w:ascii="楷体" w:hAnsi="楷体" w:eastAsia="楷体" w:cs="楷体"/>
          <w:u w:val="single"/>
        </w:rPr>
        <w:t>考核结果支付管护费用</w:t>
      </w:r>
      <w:r>
        <w:rPr>
          <w:rFonts w:hint="eastAsia" w:ascii="楷体" w:hAnsi="楷体" w:eastAsia="楷体" w:cs="楷体"/>
          <w:color w:val="auto"/>
          <w:u w:val="single"/>
          <w:lang w:eastAsia="zh-CN"/>
        </w:rPr>
        <w:t>，</w:t>
      </w:r>
      <w:r>
        <w:rPr>
          <w:rFonts w:hint="eastAsia" w:ascii="楷体" w:hAnsi="楷体" w:eastAsia="楷体" w:cs="楷体"/>
          <w:color w:val="auto"/>
          <w:u w:val="single"/>
          <w:lang w:val="en-US" w:eastAsia="zh-CN"/>
        </w:rPr>
        <w:t>服务全部完成并验收合格后进行付款</w:t>
      </w:r>
      <w:r>
        <w:rPr>
          <w:rFonts w:hint="eastAsia" w:ascii="楷体" w:hAnsi="楷体" w:eastAsia="楷体" w:cs="楷体"/>
          <w:color w:val="auto"/>
          <w:u w:val="single"/>
        </w:rPr>
        <w:t>。</w:t>
      </w:r>
    </w:p>
    <w:p>
      <w:pPr>
        <w:pStyle w:val="3"/>
        <w:spacing w:before="9"/>
        <w:rPr>
          <w:rFonts w:hint="eastAsia" w:ascii="楷体" w:hAnsi="楷体" w:eastAsia="楷体" w:cs="楷体"/>
          <w:color w:val="auto"/>
          <w:sz w:val="14"/>
        </w:rPr>
      </w:pPr>
    </w:p>
    <w:p>
      <w:pPr>
        <w:pStyle w:val="28"/>
        <w:numPr>
          <w:ilvl w:val="2"/>
          <w:numId w:val="31"/>
        </w:numPr>
        <w:tabs>
          <w:tab w:val="left" w:pos="1975"/>
          <w:tab w:val="left" w:pos="7493"/>
        </w:tabs>
        <w:spacing w:before="66" w:after="0" w:line="240" w:lineRule="auto"/>
        <w:ind w:left="1974" w:right="0" w:hanging="721"/>
        <w:jc w:val="left"/>
        <w:rPr>
          <w:rFonts w:hint="eastAsia" w:ascii="楷体" w:hAnsi="楷体" w:eastAsia="楷体" w:cs="楷体"/>
          <w:color w:val="auto"/>
          <w:sz w:val="24"/>
        </w:rPr>
      </w:pPr>
      <w:r>
        <w:rPr>
          <w:rFonts w:hint="eastAsia" w:ascii="楷体" w:hAnsi="楷体" w:eastAsia="楷体" w:cs="楷体"/>
          <w:color w:val="auto"/>
          <w:sz w:val="24"/>
        </w:rPr>
        <w:t>发票开具方式：</w:t>
      </w:r>
      <w:r>
        <w:rPr>
          <w:rFonts w:hint="eastAsia" w:ascii="楷体" w:hAnsi="楷体" w:eastAsia="楷体" w:cs="楷体"/>
          <w:color w:val="auto"/>
          <w:sz w:val="24"/>
          <w:u w:val="single"/>
        </w:rPr>
        <w:t>增值税普通发票</w:t>
      </w:r>
      <w:r>
        <w:rPr>
          <w:rFonts w:hint="eastAsia" w:ascii="楷体" w:hAnsi="楷体" w:eastAsia="楷体" w:cs="楷体"/>
          <w:color w:val="auto"/>
          <w:sz w:val="24"/>
        </w:rPr>
        <w:t>。</w:t>
      </w:r>
    </w:p>
    <w:p>
      <w:pPr>
        <w:pStyle w:val="3"/>
        <w:spacing w:before="8"/>
        <w:rPr>
          <w:rFonts w:hint="eastAsia" w:ascii="楷体" w:hAnsi="楷体" w:eastAsia="楷体" w:cs="楷体"/>
          <w:color w:val="auto"/>
          <w:sz w:val="19"/>
        </w:rPr>
      </w:pPr>
    </w:p>
    <w:p>
      <w:pPr>
        <w:pStyle w:val="28"/>
        <w:numPr>
          <w:ilvl w:val="1"/>
          <w:numId w:val="31"/>
        </w:numPr>
        <w:tabs>
          <w:tab w:val="left" w:pos="1737"/>
        </w:tabs>
        <w:spacing w:before="0" w:after="0" w:line="240" w:lineRule="auto"/>
        <w:ind w:left="1736" w:right="0" w:hanging="483"/>
        <w:jc w:val="left"/>
        <w:rPr>
          <w:rFonts w:hint="eastAsia" w:ascii="楷体" w:hAnsi="楷体" w:eastAsia="楷体" w:cs="楷体"/>
          <w:b/>
          <w:color w:val="auto"/>
          <w:sz w:val="24"/>
        </w:rPr>
      </w:pPr>
      <w:r>
        <w:rPr>
          <w:rFonts w:hint="eastAsia" w:ascii="楷体" w:hAnsi="楷体" w:eastAsia="楷体" w:cs="楷体"/>
          <w:b/>
          <w:color w:val="auto"/>
          <w:sz w:val="24"/>
        </w:rPr>
        <w:t>履行期限、地点和方式</w:t>
      </w:r>
    </w:p>
    <w:p>
      <w:pPr>
        <w:pStyle w:val="3"/>
        <w:spacing w:before="8"/>
        <w:rPr>
          <w:rFonts w:hint="eastAsia" w:ascii="楷体" w:hAnsi="楷体" w:eastAsia="楷体" w:cs="楷体"/>
          <w:b/>
          <w:color w:val="auto"/>
          <w:sz w:val="19"/>
        </w:rPr>
      </w:pPr>
    </w:p>
    <w:p>
      <w:pPr>
        <w:pStyle w:val="28"/>
        <w:keepNext w:val="0"/>
        <w:keepLines w:val="0"/>
        <w:pageBreakBefore w:val="0"/>
        <w:widowControl w:val="0"/>
        <w:numPr>
          <w:ilvl w:val="2"/>
          <w:numId w:val="31"/>
        </w:numPr>
        <w:tabs>
          <w:tab w:val="left" w:pos="1975"/>
          <w:tab w:val="left" w:pos="4673"/>
        </w:tabs>
        <w:kinsoku/>
        <w:wordWrap/>
        <w:overflowPunct/>
        <w:topLinePunct w:val="0"/>
        <w:autoSpaceDE w:val="0"/>
        <w:autoSpaceDN w:val="0"/>
        <w:bidi w:val="0"/>
        <w:adjustRightInd/>
        <w:snapToGrid/>
        <w:spacing w:before="0" w:after="0" w:line="240" w:lineRule="auto"/>
        <w:ind w:left="1974" w:right="0" w:hanging="721"/>
        <w:jc w:val="left"/>
        <w:textAlignment w:val="auto"/>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auto"/>
          <w:sz w:val="24"/>
        </w:rPr>
        <w:t>履</w:t>
      </w:r>
      <w:r>
        <w:rPr>
          <w:rFonts w:hint="eastAsia" w:ascii="楷体" w:hAnsi="楷体" w:eastAsia="楷体" w:cs="楷体"/>
          <w:color w:val="000000" w:themeColor="text1"/>
          <w:sz w:val="24"/>
          <w14:textFill>
            <w14:solidFill>
              <w14:schemeClr w14:val="tx1"/>
            </w14:solidFill>
          </w14:textFill>
        </w:rPr>
        <w:t>行期限：</w:t>
      </w:r>
      <w:r>
        <w:rPr>
          <w:rFonts w:hint="eastAsia" w:ascii="楷体" w:hAnsi="楷体" w:eastAsia="楷体" w:cs="楷体"/>
          <w:color w:val="000000" w:themeColor="text1"/>
          <w:spacing w:val="-1"/>
          <w:sz w:val="24"/>
          <w:u w:val="single"/>
          <w14:textFill>
            <w14:solidFill>
              <w14:schemeClr w14:val="tx1"/>
            </w14:solidFill>
          </w14:textFill>
        </w:rPr>
        <w:t xml:space="preserve"> </w:t>
      </w:r>
      <w:r>
        <w:rPr>
          <w:rFonts w:hint="eastAsia" w:ascii="楷体" w:hAnsi="楷体" w:eastAsia="楷体" w:cs="楷体"/>
          <w:color w:val="000000" w:themeColor="text1"/>
          <w:spacing w:val="-1"/>
          <w:sz w:val="24"/>
          <w:u w:val="single"/>
          <w:lang w:val="en-US" w:eastAsia="zh-CN"/>
          <w14:textFill>
            <w14:solidFill>
              <w14:schemeClr w14:val="tx1"/>
            </w14:solidFill>
          </w14:textFill>
        </w:rPr>
        <w:t>12</w:t>
      </w:r>
      <w:r>
        <w:rPr>
          <w:rFonts w:hint="eastAsia" w:ascii="楷体" w:hAnsi="楷体" w:eastAsia="楷体" w:cs="楷体"/>
          <w:color w:val="000000" w:themeColor="text1"/>
          <w:sz w:val="24"/>
          <w:u w:val="single"/>
          <w14:textFill>
            <w14:solidFill>
              <w14:schemeClr w14:val="tx1"/>
            </w14:solidFill>
          </w14:textFill>
        </w:rPr>
        <w:t>个月</w:t>
      </w:r>
      <w:r>
        <w:rPr>
          <w:rFonts w:hint="eastAsia" w:ascii="楷体" w:hAnsi="楷体" w:eastAsia="楷体" w:cs="楷体"/>
          <w:color w:val="000000" w:themeColor="text1"/>
          <w:sz w:val="24"/>
          <w:u w:val="single"/>
          <w14:textFill>
            <w14:solidFill>
              <w14:schemeClr w14:val="tx1"/>
            </w14:solidFill>
          </w14:textFill>
        </w:rPr>
        <w:tab/>
      </w:r>
      <w:r>
        <w:rPr>
          <w:rFonts w:hint="eastAsia" w:ascii="楷体" w:hAnsi="楷体" w:eastAsia="楷体" w:cs="楷体"/>
          <w:color w:val="000000" w:themeColor="text1"/>
          <w:sz w:val="24"/>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napToGrid/>
        <w:spacing w:before="11"/>
        <w:textAlignment w:val="auto"/>
        <w:rPr>
          <w:rFonts w:hint="eastAsia" w:ascii="楷体" w:hAnsi="楷体" w:eastAsia="楷体" w:cs="楷体"/>
          <w:color w:val="auto"/>
          <w:sz w:val="19"/>
        </w:rPr>
      </w:pPr>
    </w:p>
    <w:p>
      <w:pPr>
        <w:pStyle w:val="3"/>
        <w:keepNext w:val="0"/>
        <w:keepLines w:val="0"/>
        <w:pageBreakBefore w:val="0"/>
        <w:widowControl w:val="0"/>
        <w:kinsoku/>
        <w:wordWrap/>
        <w:overflowPunct/>
        <w:topLinePunct w:val="0"/>
        <w:autoSpaceDE w:val="0"/>
        <w:autoSpaceDN w:val="0"/>
        <w:bidi w:val="0"/>
        <w:adjustRightInd/>
        <w:snapToGrid/>
        <w:spacing w:before="67"/>
        <w:ind w:firstLine="2016" w:firstLineChars="900"/>
        <w:textAlignment w:val="auto"/>
        <w:rPr>
          <w:rFonts w:hint="eastAsia" w:ascii="楷体" w:hAnsi="楷体" w:eastAsia="楷体" w:cs="楷体"/>
          <w:color w:val="auto"/>
          <w:sz w:val="14"/>
          <w:highlight w:val="none"/>
          <w:lang w:val="en-US" w:eastAsia="zh-CN"/>
        </w:rPr>
      </w:pPr>
      <w:r>
        <w:rPr>
          <w:rFonts w:hint="eastAsia" w:ascii="楷体" w:hAnsi="楷体" w:eastAsia="楷体" w:cs="楷体"/>
          <w:color w:val="auto"/>
          <w:spacing w:val="-8"/>
          <w:sz w:val="24"/>
        </w:rPr>
        <w:t>履行地点</w:t>
      </w:r>
      <w:r>
        <w:rPr>
          <w:rFonts w:hint="eastAsia" w:ascii="楷体" w:hAnsi="楷体" w:eastAsia="楷体" w:cs="楷体"/>
          <w:color w:val="auto"/>
          <w:spacing w:val="-8"/>
          <w:sz w:val="24"/>
          <w:lang w:eastAsia="zh-CN"/>
        </w:rPr>
        <w:t>：</w:t>
      </w:r>
      <w:r>
        <w:rPr>
          <w:rFonts w:hint="eastAsia" w:ascii="楷体" w:hAnsi="楷体" w:eastAsia="楷体" w:cs="楷体"/>
          <w:color w:val="auto"/>
          <w:highlight w:val="none"/>
          <w:u w:val="single"/>
          <w:lang w:val="en-US" w:eastAsia="zh-CN"/>
        </w:rPr>
        <w:t xml:space="preserve">喀什经济开发区综合保税区  </w:t>
      </w:r>
    </w:p>
    <w:p>
      <w:pPr>
        <w:pStyle w:val="28"/>
        <w:keepNext w:val="0"/>
        <w:keepLines w:val="0"/>
        <w:pageBreakBefore w:val="0"/>
        <w:widowControl w:val="0"/>
        <w:numPr>
          <w:ilvl w:val="2"/>
          <w:numId w:val="31"/>
        </w:numPr>
        <w:tabs>
          <w:tab w:val="left" w:pos="1975"/>
        </w:tabs>
        <w:kinsoku/>
        <w:wordWrap/>
        <w:overflowPunct/>
        <w:topLinePunct w:val="0"/>
        <w:autoSpaceDE w:val="0"/>
        <w:autoSpaceDN w:val="0"/>
        <w:bidi w:val="0"/>
        <w:adjustRightInd/>
        <w:snapToGrid/>
        <w:spacing w:before="66" w:after="0" w:line="240" w:lineRule="auto"/>
        <w:ind w:left="1974" w:right="0" w:hanging="721"/>
        <w:jc w:val="left"/>
        <w:textAlignment w:val="auto"/>
        <w:rPr>
          <w:rFonts w:hint="eastAsia" w:ascii="楷体" w:hAnsi="楷体" w:eastAsia="楷体" w:cs="楷体"/>
          <w:color w:val="auto"/>
          <w:sz w:val="24"/>
        </w:rPr>
      </w:pPr>
      <w:r>
        <w:rPr>
          <w:rFonts w:hint="eastAsia" w:ascii="楷体" w:hAnsi="楷体" w:eastAsia="楷体" w:cs="楷体"/>
          <w:color w:val="auto"/>
          <w:sz w:val="24"/>
        </w:rPr>
        <w:t>履行方式：</w:t>
      </w:r>
      <w:r>
        <w:rPr>
          <w:rFonts w:hint="eastAsia" w:ascii="楷体" w:hAnsi="楷体" w:eastAsia="楷体" w:cs="楷体"/>
          <w:color w:val="auto"/>
          <w:sz w:val="24"/>
          <w:u w:val="single"/>
        </w:rPr>
        <w:t>按约</w:t>
      </w:r>
      <w:r>
        <w:rPr>
          <w:rFonts w:hint="eastAsia" w:ascii="楷体" w:hAnsi="楷体" w:eastAsia="楷体" w:cs="楷体"/>
          <w:color w:val="auto"/>
          <w:sz w:val="24"/>
          <w:u w:val="single"/>
          <w:lang w:eastAsia="zh-CN"/>
        </w:rPr>
        <w:t>“</w:t>
      </w:r>
      <w:r>
        <w:rPr>
          <w:rFonts w:hint="eastAsia" w:ascii="楷体" w:hAnsi="楷体" w:eastAsia="楷体" w:cs="楷体"/>
          <w:color w:val="auto"/>
          <w:sz w:val="24"/>
          <w:u w:val="single"/>
          <w:lang w:val="en-US" w:eastAsia="zh-CN"/>
        </w:rPr>
        <w:t>合同专用条款</w:t>
      </w:r>
      <w:r>
        <w:rPr>
          <w:rFonts w:hint="eastAsia" w:ascii="楷体" w:hAnsi="楷体" w:eastAsia="楷体" w:cs="楷体"/>
          <w:color w:val="auto"/>
          <w:sz w:val="24"/>
          <w:u w:val="single"/>
          <w:lang w:eastAsia="zh-CN"/>
        </w:rPr>
        <w:t>”</w:t>
      </w:r>
      <w:r>
        <w:rPr>
          <w:rFonts w:hint="eastAsia" w:ascii="楷体" w:hAnsi="楷体" w:eastAsia="楷体" w:cs="楷体"/>
          <w:color w:val="auto"/>
          <w:sz w:val="24"/>
          <w:u w:val="single"/>
        </w:rPr>
        <w:t>履行</w:t>
      </w:r>
      <w:r>
        <w:rPr>
          <w:rFonts w:hint="eastAsia" w:ascii="楷体" w:hAnsi="楷体" w:eastAsia="楷体" w:cs="楷体"/>
          <w:color w:val="auto"/>
          <w:sz w:val="24"/>
        </w:rPr>
        <w:t>。</w:t>
      </w:r>
    </w:p>
    <w:p>
      <w:pPr>
        <w:pStyle w:val="3"/>
        <w:spacing w:before="9"/>
        <w:rPr>
          <w:rFonts w:hint="eastAsia" w:ascii="楷体" w:hAnsi="楷体" w:eastAsia="楷体" w:cs="楷体"/>
          <w:sz w:val="19"/>
        </w:rPr>
      </w:pPr>
    </w:p>
    <w:p>
      <w:pPr>
        <w:pStyle w:val="28"/>
        <w:numPr>
          <w:ilvl w:val="1"/>
          <w:numId w:val="31"/>
        </w:numPr>
        <w:tabs>
          <w:tab w:val="left" w:pos="1737"/>
        </w:tabs>
        <w:spacing w:before="0" w:after="0" w:line="240" w:lineRule="auto"/>
        <w:ind w:left="1736" w:right="0" w:hanging="483"/>
        <w:jc w:val="left"/>
        <w:rPr>
          <w:rFonts w:hint="eastAsia" w:ascii="楷体" w:hAnsi="楷体" w:eastAsia="楷体" w:cs="楷体"/>
          <w:b/>
          <w:sz w:val="24"/>
        </w:rPr>
      </w:pPr>
      <w:r>
        <w:rPr>
          <w:rFonts w:hint="eastAsia" w:ascii="楷体" w:hAnsi="楷体" w:eastAsia="楷体" w:cs="楷体"/>
          <w:b/>
          <w:sz w:val="24"/>
        </w:rPr>
        <w:t>违约责任</w:t>
      </w:r>
    </w:p>
    <w:p>
      <w:pPr>
        <w:pStyle w:val="3"/>
        <w:spacing w:before="8"/>
        <w:rPr>
          <w:rFonts w:hint="eastAsia" w:ascii="楷体" w:hAnsi="楷体" w:eastAsia="楷体" w:cs="楷体"/>
          <w:b/>
          <w:sz w:val="19"/>
        </w:rPr>
      </w:pPr>
    </w:p>
    <w:p>
      <w:pPr>
        <w:pStyle w:val="28"/>
        <w:numPr>
          <w:ilvl w:val="2"/>
          <w:numId w:val="31"/>
        </w:numPr>
        <w:tabs>
          <w:tab w:val="left" w:pos="1975"/>
          <w:tab w:val="left" w:pos="2093"/>
          <w:tab w:val="left" w:pos="5924"/>
          <w:tab w:val="left" w:pos="6403"/>
        </w:tabs>
        <w:spacing w:before="0" w:after="0" w:line="436" w:lineRule="auto"/>
        <w:ind w:left="774" w:right="332" w:firstLine="480"/>
        <w:jc w:val="left"/>
        <w:rPr>
          <w:rFonts w:hint="eastAsia" w:ascii="楷体" w:hAnsi="楷体" w:eastAsia="楷体" w:cs="楷体"/>
          <w:sz w:val="24"/>
        </w:rPr>
      </w:pPr>
      <w:r>
        <w:rPr>
          <w:rFonts w:hint="eastAsia" w:ascii="楷体" w:hAnsi="楷体" w:eastAsia="楷体" w:cs="楷体"/>
          <w:sz w:val="24"/>
        </w:rPr>
        <w:t>除不可抗力外</w:t>
      </w:r>
      <w:r>
        <w:rPr>
          <w:rFonts w:hint="eastAsia" w:ascii="楷体" w:hAnsi="楷体" w:eastAsia="楷体" w:cs="楷体"/>
          <w:spacing w:val="-70"/>
          <w:sz w:val="24"/>
        </w:rPr>
        <w:t>，</w:t>
      </w:r>
      <w:r>
        <w:rPr>
          <w:rFonts w:hint="eastAsia" w:ascii="楷体" w:hAnsi="楷体" w:eastAsia="楷体" w:cs="楷体"/>
          <w:sz w:val="24"/>
        </w:rPr>
        <w:t>如果乙方没有按照本合同约定的期限</w:t>
      </w:r>
      <w:r>
        <w:rPr>
          <w:rFonts w:hint="eastAsia" w:ascii="楷体" w:hAnsi="楷体" w:eastAsia="楷体" w:cs="楷体"/>
          <w:spacing w:val="-72"/>
          <w:sz w:val="24"/>
        </w:rPr>
        <w:t>、</w:t>
      </w:r>
      <w:r>
        <w:rPr>
          <w:rFonts w:hint="eastAsia" w:ascii="楷体" w:hAnsi="楷体" w:eastAsia="楷体" w:cs="楷体"/>
          <w:sz w:val="24"/>
        </w:rPr>
        <w:t>地点和方式履行</w:t>
      </w:r>
      <w:r>
        <w:rPr>
          <w:rFonts w:hint="eastAsia" w:ascii="楷体" w:hAnsi="楷体" w:eastAsia="楷体" w:cs="楷体"/>
          <w:spacing w:val="-17"/>
          <w:sz w:val="24"/>
        </w:rPr>
        <w:t xml:space="preserve">， </w:t>
      </w:r>
      <w:r>
        <w:rPr>
          <w:rFonts w:hint="eastAsia" w:ascii="楷体" w:hAnsi="楷体" w:eastAsia="楷体" w:cs="楷体"/>
          <w:sz w:val="24"/>
        </w:rPr>
        <w:t>那么甲方可要求乙方支付违约金</w:t>
      </w:r>
      <w:r>
        <w:rPr>
          <w:rFonts w:hint="eastAsia" w:ascii="楷体" w:hAnsi="楷体" w:eastAsia="楷体" w:cs="楷体"/>
          <w:spacing w:val="-22"/>
          <w:sz w:val="24"/>
        </w:rPr>
        <w:t>，</w:t>
      </w:r>
      <w:r>
        <w:rPr>
          <w:rFonts w:hint="eastAsia" w:ascii="楷体" w:hAnsi="楷体" w:eastAsia="楷体" w:cs="楷体"/>
          <w:sz w:val="24"/>
        </w:rPr>
        <w:t>违约金按每迟延履行一日的应提供而未提供服务价格的</w:t>
      </w:r>
      <w:r>
        <w:rPr>
          <w:rFonts w:hint="eastAsia" w:ascii="楷体" w:hAnsi="楷体" w:eastAsia="楷体" w:cs="楷体"/>
          <w:spacing w:val="119"/>
          <w:sz w:val="24"/>
          <w:u w:val="single"/>
        </w:rPr>
        <w:t xml:space="preserve"> </w:t>
      </w:r>
      <w:r>
        <w:rPr>
          <w:rFonts w:hint="eastAsia" w:ascii="楷体" w:hAnsi="楷体" w:eastAsia="楷体" w:cs="楷体"/>
          <w:sz w:val="24"/>
          <w:u w:val="single"/>
        </w:rPr>
        <w:t>1</w:t>
      </w:r>
      <w:r>
        <w:rPr>
          <w:rFonts w:hint="eastAsia" w:ascii="楷体" w:hAnsi="楷体" w:eastAsia="楷体" w:cs="楷体"/>
          <w:sz w:val="24"/>
          <w:u w:val="single"/>
        </w:rPr>
        <w:tab/>
      </w:r>
      <w:r>
        <w:rPr>
          <w:rFonts w:hint="eastAsia" w:ascii="楷体" w:hAnsi="楷体" w:eastAsia="楷体" w:cs="楷体"/>
          <w:sz w:val="24"/>
        </w:rPr>
        <w:t>%计算</w:t>
      </w:r>
      <w:r>
        <w:rPr>
          <w:rFonts w:hint="eastAsia" w:ascii="楷体" w:hAnsi="楷体" w:eastAsia="楷体" w:cs="楷体"/>
          <w:spacing w:val="-10"/>
          <w:sz w:val="24"/>
        </w:rPr>
        <w:t>，</w:t>
      </w:r>
      <w:r>
        <w:rPr>
          <w:rFonts w:hint="eastAsia" w:ascii="楷体" w:hAnsi="楷体" w:eastAsia="楷体" w:cs="楷体"/>
          <w:sz w:val="24"/>
        </w:rPr>
        <w:t>最高限额为本合同总价的</w:t>
      </w:r>
      <w:r>
        <w:rPr>
          <w:rFonts w:hint="eastAsia" w:ascii="楷体" w:hAnsi="楷体" w:eastAsia="楷体" w:cs="楷体"/>
          <w:sz w:val="24"/>
          <w:u w:val="single"/>
        </w:rPr>
        <w:t xml:space="preserve"> </w:t>
      </w:r>
      <w:r>
        <w:rPr>
          <w:rFonts w:hint="eastAsia" w:ascii="楷体" w:hAnsi="楷体" w:eastAsia="楷体" w:cs="楷体"/>
          <w:sz w:val="24"/>
          <w:u w:val="single"/>
        </w:rPr>
        <w:tab/>
      </w:r>
      <w:r>
        <w:rPr>
          <w:rFonts w:hint="eastAsia" w:ascii="楷体" w:hAnsi="楷体" w:eastAsia="楷体" w:cs="楷体"/>
          <w:sz w:val="24"/>
          <w:u w:val="single"/>
        </w:rPr>
        <w:t>15</w:t>
      </w:r>
      <w:r>
        <w:rPr>
          <w:rFonts w:hint="eastAsia" w:ascii="楷体" w:hAnsi="楷体" w:eastAsia="楷体" w:cs="楷体"/>
          <w:sz w:val="24"/>
          <w:u w:val="single"/>
        </w:rPr>
        <w:tab/>
      </w:r>
      <w:r>
        <w:rPr>
          <w:rFonts w:hint="eastAsia" w:ascii="楷体" w:hAnsi="楷体" w:eastAsia="楷体" w:cs="楷体"/>
          <w:spacing w:val="-6"/>
          <w:sz w:val="24"/>
        </w:rPr>
        <w:t>%；</w:t>
      </w:r>
      <w:r>
        <w:rPr>
          <w:rFonts w:hint="eastAsia" w:ascii="楷体" w:hAnsi="楷体" w:eastAsia="楷体" w:cs="楷体"/>
          <w:sz w:val="24"/>
        </w:rPr>
        <w:t>迟延履行的违约金计算数额达到前述最高限额之日起</w:t>
      </w:r>
      <w:r>
        <w:rPr>
          <w:rFonts w:hint="eastAsia" w:ascii="楷体" w:hAnsi="楷体" w:eastAsia="楷体" w:cs="楷体"/>
          <w:spacing w:val="-10"/>
          <w:sz w:val="24"/>
        </w:rPr>
        <w:t>，</w:t>
      </w:r>
      <w:r>
        <w:rPr>
          <w:rFonts w:hint="eastAsia" w:ascii="楷体" w:hAnsi="楷体" w:eastAsia="楷体" w:cs="楷体"/>
          <w:sz w:val="24"/>
        </w:rPr>
        <w:t>甲方有权在要求乙方支付违约金的同时</w:t>
      </w:r>
      <w:r>
        <w:rPr>
          <w:rFonts w:hint="eastAsia" w:ascii="楷体" w:hAnsi="楷体" w:eastAsia="楷体" w:cs="楷体"/>
          <w:spacing w:val="-12"/>
          <w:sz w:val="24"/>
        </w:rPr>
        <w:t>，</w:t>
      </w:r>
      <w:r>
        <w:rPr>
          <w:rFonts w:hint="eastAsia" w:ascii="楷体" w:hAnsi="楷体" w:eastAsia="楷体" w:cs="楷体"/>
          <w:sz w:val="24"/>
        </w:rPr>
        <w:t>书面通知乙方解除本合同；</w:t>
      </w:r>
    </w:p>
    <w:p>
      <w:pPr>
        <w:pStyle w:val="28"/>
        <w:numPr>
          <w:ilvl w:val="2"/>
          <w:numId w:val="31"/>
        </w:numPr>
        <w:tabs>
          <w:tab w:val="left" w:pos="1975"/>
          <w:tab w:val="left" w:pos="4013"/>
        </w:tabs>
        <w:spacing w:before="3" w:after="0" w:line="436" w:lineRule="auto"/>
        <w:ind w:left="774" w:right="332" w:firstLine="480"/>
        <w:jc w:val="left"/>
        <w:rPr>
          <w:rFonts w:hint="eastAsia" w:ascii="楷体" w:hAnsi="楷体" w:eastAsia="楷体" w:cs="楷体"/>
          <w:sz w:val="24"/>
        </w:rPr>
      </w:pPr>
      <w:r>
        <w:rPr>
          <w:rFonts w:hint="eastAsia" w:ascii="楷体" w:hAnsi="楷体" w:eastAsia="楷体" w:cs="楷体"/>
          <w:sz w:val="24"/>
        </w:rPr>
        <w:t>除不可抗力外</w:t>
      </w:r>
      <w:r>
        <w:rPr>
          <w:rFonts w:hint="eastAsia" w:ascii="楷体" w:hAnsi="楷体" w:eastAsia="楷体" w:cs="楷体"/>
          <w:spacing w:val="-10"/>
          <w:sz w:val="24"/>
        </w:rPr>
        <w:t>，</w:t>
      </w:r>
      <w:r>
        <w:rPr>
          <w:rFonts w:hint="eastAsia" w:ascii="楷体" w:hAnsi="楷体" w:eastAsia="楷体" w:cs="楷体"/>
          <w:sz w:val="24"/>
        </w:rPr>
        <w:t>如果甲方没有按照本合同约定的付款方式付款</w:t>
      </w:r>
      <w:r>
        <w:rPr>
          <w:rFonts w:hint="eastAsia" w:ascii="楷体" w:hAnsi="楷体" w:eastAsia="楷体" w:cs="楷体"/>
          <w:spacing w:val="-12"/>
          <w:sz w:val="24"/>
        </w:rPr>
        <w:t>，</w:t>
      </w:r>
      <w:r>
        <w:rPr>
          <w:rFonts w:hint="eastAsia" w:ascii="楷体" w:hAnsi="楷体" w:eastAsia="楷体" w:cs="楷体"/>
          <w:sz w:val="24"/>
        </w:rPr>
        <w:t>那么乙方可要求甲方支付违约金，违约金按每迟延付款</w:t>
      </w:r>
      <w:r>
        <w:rPr>
          <w:rFonts w:hint="eastAsia" w:ascii="楷体" w:hAnsi="楷体" w:eastAsia="楷体" w:cs="楷体"/>
          <w:sz w:val="24"/>
          <w:lang w:eastAsia="zh-CN"/>
        </w:rPr>
        <w:t>一</w:t>
      </w:r>
      <w:r>
        <w:rPr>
          <w:rFonts w:hint="eastAsia" w:ascii="楷体" w:hAnsi="楷体" w:eastAsia="楷体" w:cs="楷体"/>
          <w:sz w:val="24"/>
        </w:rPr>
        <w:t>日的应付而未付款的</w:t>
      </w:r>
      <w:r>
        <w:rPr>
          <w:rFonts w:hint="eastAsia" w:ascii="楷体" w:hAnsi="楷体" w:eastAsia="楷体" w:cs="楷体"/>
          <w:sz w:val="24"/>
          <w:u w:val="single"/>
          <w:lang w:val="en-US" w:eastAsia="zh-CN"/>
        </w:rPr>
        <w:t xml:space="preserve"> </w:t>
      </w:r>
      <w:r>
        <w:rPr>
          <w:rFonts w:hint="eastAsia" w:ascii="楷体" w:hAnsi="楷体" w:eastAsia="楷体" w:cs="楷体"/>
          <w:sz w:val="24"/>
          <w:u w:val="single"/>
        </w:rPr>
        <w:t>1</w:t>
      </w:r>
      <w:r>
        <w:rPr>
          <w:rFonts w:hint="eastAsia" w:ascii="楷体" w:hAnsi="楷体" w:eastAsia="楷体" w:cs="楷体"/>
          <w:spacing w:val="-22"/>
          <w:sz w:val="24"/>
          <w:u w:val="single"/>
        </w:rPr>
        <w:t xml:space="preserve"> </w:t>
      </w:r>
      <w:r>
        <w:rPr>
          <w:rFonts w:hint="eastAsia" w:ascii="楷体" w:hAnsi="楷体" w:eastAsia="楷体" w:cs="楷体"/>
          <w:sz w:val="24"/>
        </w:rPr>
        <w:t>%计算</w:t>
      </w:r>
      <w:r>
        <w:rPr>
          <w:rFonts w:hint="eastAsia" w:ascii="楷体" w:hAnsi="楷体" w:eastAsia="楷体" w:cs="楷体"/>
          <w:spacing w:val="-16"/>
          <w:sz w:val="24"/>
        </w:rPr>
        <w:t xml:space="preserve">， </w:t>
      </w:r>
      <w:r>
        <w:rPr>
          <w:rFonts w:hint="eastAsia" w:ascii="楷体" w:hAnsi="楷体" w:eastAsia="楷体" w:cs="楷体"/>
          <w:sz w:val="24"/>
        </w:rPr>
        <w:t>最高限额为本合同总价的</w:t>
      </w:r>
      <w:r>
        <w:rPr>
          <w:rFonts w:hint="eastAsia" w:ascii="楷体" w:hAnsi="楷体" w:eastAsia="楷体" w:cs="楷体"/>
          <w:spacing w:val="-1"/>
          <w:sz w:val="24"/>
          <w:u w:val="single"/>
        </w:rPr>
        <w:t xml:space="preserve"> </w:t>
      </w:r>
      <w:r>
        <w:rPr>
          <w:rFonts w:hint="eastAsia" w:ascii="楷体" w:hAnsi="楷体" w:eastAsia="楷体" w:cs="楷体"/>
          <w:sz w:val="24"/>
          <w:u w:val="single"/>
        </w:rPr>
        <w:t>15</w:t>
      </w:r>
      <w:r>
        <w:rPr>
          <w:rFonts w:hint="eastAsia" w:ascii="楷体" w:hAnsi="楷体" w:eastAsia="楷体" w:cs="楷体"/>
          <w:sz w:val="24"/>
          <w:u w:val="single"/>
        </w:rPr>
        <w:tab/>
      </w:r>
      <w:r>
        <w:rPr>
          <w:rFonts w:hint="eastAsia" w:ascii="楷体" w:hAnsi="楷体" w:eastAsia="楷体" w:cs="楷体"/>
          <w:spacing w:val="-11"/>
          <w:sz w:val="24"/>
        </w:rPr>
        <w:t>%；</w:t>
      </w:r>
      <w:r>
        <w:rPr>
          <w:rFonts w:hint="eastAsia" w:ascii="楷体" w:hAnsi="楷体" w:eastAsia="楷体" w:cs="楷体"/>
          <w:sz w:val="24"/>
        </w:rPr>
        <w:t>迟延付款的违约金计算数额达到前述最高限额之日起，乙方有权在要求甲方支付违约金的同时，书面通知甲方解除本合同；</w:t>
      </w:r>
    </w:p>
    <w:p>
      <w:pPr>
        <w:pStyle w:val="28"/>
        <w:numPr>
          <w:ilvl w:val="2"/>
          <w:numId w:val="31"/>
        </w:numPr>
        <w:tabs>
          <w:tab w:val="left" w:pos="1975"/>
        </w:tabs>
        <w:spacing w:before="0" w:after="0" w:line="436" w:lineRule="auto"/>
        <w:ind w:left="774" w:right="452" w:firstLine="480"/>
        <w:jc w:val="both"/>
        <w:rPr>
          <w:rFonts w:hint="eastAsia" w:ascii="楷体" w:hAnsi="楷体" w:eastAsia="楷体" w:cs="楷体"/>
          <w:spacing w:val="-1"/>
          <w:sz w:val="24"/>
        </w:rPr>
      </w:pPr>
      <w:r>
        <w:rPr>
          <w:rFonts w:hint="eastAsia" w:ascii="楷体" w:hAnsi="楷体" w:eastAsia="楷体" w:cs="楷体"/>
          <w:spacing w:val="-4"/>
          <w:sz w:val="24"/>
        </w:rPr>
        <w:t>除不可抗力外，任何一方未能履行本合同约定的其他主要义务，经催告</w:t>
      </w:r>
      <w:r>
        <w:rPr>
          <w:rFonts w:hint="eastAsia" w:ascii="楷体" w:hAnsi="楷体" w:eastAsia="楷体" w:cs="楷体"/>
          <w:spacing w:val="-3"/>
          <w:sz w:val="24"/>
        </w:rPr>
        <w:t>后在合理期限内仍未履行的，或者任何一方有其他违约行为致使不能实现合同目的</w:t>
      </w:r>
      <w:r>
        <w:rPr>
          <w:rFonts w:hint="eastAsia" w:ascii="楷体" w:hAnsi="楷体" w:eastAsia="楷体" w:cs="楷体"/>
          <w:spacing w:val="-4"/>
          <w:sz w:val="24"/>
        </w:rPr>
        <w:t>的，或者任何一方有腐败行为</w:t>
      </w:r>
      <w:r>
        <w:rPr>
          <w:rFonts w:hint="eastAsia" w:ascii="楷体" w:hAnsi="楷体" w:eastAsia="楷体" w:cs="楷体"/>
          <w:sz w:val="24"/>
        </w:rPr>
        <w:t>（</w:t>
      </w:r>
      <w:r>
        <w:rPr>
          <w:rFonts w:hint="eastAsia" w:ascii="楷体" w:hAnsi="楷体" w:eastAsia="楷体" w:cs="楷体"/>
          <w:spacing w:val="-4"/>
          <w:sz w:val="24"/>
        </w:rPr>
        <w:t>即：提供或给予或接受或索取任何财物或其他好处</w:t>
      </w:r>
      <w:r>
        <w:rPr>
          <w:rFonts w:hint="eastAsia" w:ascii="楷体" w:hAnsi="楷体" w:eastAsia="楷体" w:cs="楷体"/>
          <w:spacing w:val="-1"/>
          <w:sz w:val="24"/>
        </w:rPr>
        <w:t>或者采取其他不正当手段来影响对方当事人在合同签订、履行过程中的行为</w:t>
      </w:r>
      <w:r>
        <w:rPr>
          <w:rFonts w:hint="eastAsia" w:ascii="楷体" w:hAnsi="楷体" w:eastAsia="楷体" w:cs="楷体"/>
          <w:spacing w:val="-12"/>
          <w:sz w:val="24"/>
        </w:rPr>
        <w:t>）</w:t>
      </w:r>
      <w:r>
        <w:rPr>
          <w:rFonts w:hint="eastAsia" w:ascii="楷体" w:hAnsi="楷体" w:eastAsia="楷体" w:cs="楷体"/>
          <w:spacing w:val="-9"/>
          <w:sz w:val="24"/>
        </w:rPr>
        <w:t>或者</w:t>
      </w:r>
      <w:r>
        <w:rPr>
          <w:rFonts w:hint="eastAsia" w:ascii="楷体" w:hAnsi="楷体" w:eastAsia="楷体" w:cs="楷体"/>
          <w:spacing w:val="-2"/>
          <w:sz w:val="24"/>
        </w:rPr>
        <w:t>欺诈行为</w:t>
      </w:r>
      <w:r>
        <w:rPr>
          <w:rFonts w:hint="eastAsia" w:ascii="楷体" w:hAnsi="楷体" w:eastAsia="楷体" w:cs="楷体"/>
          <w:sz w:val="24"/>
        </w:rPr>
        <w:t>（</w:t>
      </w:r>
      <w:r>
        <w:rPr>
          <w:rFonts w:hint="eastAsia" w:ascii="楷体" w:hAnsi="楷体" w:eastAsia="楷体" w:cs="楷体"/>
          <w:spacing w:val="-5"/>
          <w:sz w:val="24"/>
        </w:rPr>
        <w:t>即：以谎报事实或隐瞒真相的方法来影响对方当事人在合同签订、履行</w:t>
      </w:r>
      <w:r>
        <w:rPr>
          <w:rFonts w:hint="eastAsia" w:ascii="楷体" w:hAnsi="楷体" w:eastAsia="楷体" w:cs="楷体"/>
          <w:spacing w:val="-1"/>
          <w:sz w:val="24"/>
        </w:rPr>
        <w:t>过程中的行为）的，对方当事人可以书面通知违约方解除本合同；</w:t>
      </w:r>
    </w:p>
    <w:p>
      <w:pPr>
        <w:pStyle w:val="28"/>
        <w:numPr>
          <w:ilvl w:val="2"/>
          <w:numId w:val="31"/>
        </w:numPr>
        <w:tabs>
          <w:tab w:val="left" w:pos="1975"/>
        </w:tabs>
        <w:spacing w:before="0" w:after="0" w:line="436" w:lineRule="auto"/>
        <w:ind w:left="774" w:right="452" w:firstLine="480"/>
        <w:jc w:val="both"/>
        <w:rPr>
          <w:rFonts w:hint="eastAsia" w:ascii="楷体" w:hAnsi="楷体" w:eastAsia="楷体" w:cs="楷体"/>
          <w:spacing w:val="-1"/>
          <w:sz w:val="24"/>
        </w:rPr>
      </w:pPr>
      <w:r>
        <w:rPr>
          <w:rFonts w:hint="eastAsia" w:ascii="楷体" w:hAnsi="楷体" w:eastAsia="楷体" w:cs="楷体"/>
          <w:spacing w:val="-1"/>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8"/>
        <w:numPr>
          <w:ilvl w:val="2"/>
          <w:numId w:val="31"/>
        </w:numPr>
        <w:tabs>
          <w:tab w:val="left" w:pos="1975"/>
        </w:tabs>
        <w:spacing w:before="0" w:after="0" w:line="436" w:lineRule="auto"/>
        <w:ind w:left="774" w:right="452" w:firstLine="480"/>
        <w:jc w:val="both"/>
        <w:rPr>
          <w:rFonts w:hint="eastAsia" w:ascii="楷体" w:hAnsi="楷体" w:eastAsia="楷体" w:cs="楷体"/>
          <w:spacing w:val="-1"/>
          <w:sz w:val="24"/>
        </w:rPr>
      </w:pPr>
      <w:r>
        <w:rPr>
          <w:rFonts w:hint="eastAsia" w:ascii="楷体" w:hAnsi="楷体" w:eastAsia="楷体" w:cs="楷体"/>
          <w:spacing w:val="-1"/>
          <w:sz w:val="24"/>
        </w:rPr>
        <w:t>除前述约定外，除不可抗力外，任何一方未能履行本合同约定的义务， 对方当事人均有权要求继续履行、采取补救措施或者赔偿损失等，且对方当事人行使的任何权利救济方式均不视为其放弃了其他法定或者约定的权利救济方式；</w:t>
      </w:r>
    </w:p>
    <w:p>
      <w:pPr>
        <w:pStyle w:val="28"/>
        <w:numPr>
          <w:ilvl w:val="2"/>
          <w:numId w:val="31"/>
        </w:numPr>
        <w:tabs>
          <w:tab w:val="left" w:pos="1975"/>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1"/>
          <w:sz w:val="24"/>
        </w:rPr>
        <w:t>如果出现政府采购监督管理部门在处理投诉事项期间，书面通知甲方暂停采购活动的情形，或者询问或质疑</w:t>
      </w:r>
      <w:r>
        <w:rPr>
          <w:rFonts w:hint="eastAsia" w:ascii="楷体" w:hAnsi="楷体" w:eastAsia="楷体" w:cs="楷体"/>
          <w:spacing w:val="-4"/>
          <w:sz w:val="24"/>
        </w:rPr>
        <w:t>事项可能影响中标结果的，导致甲方中止履行</w:t>
      </w:r>
      <w:r>
        <w:rPr>
          <w:rFonts w:hint="eastAsia" w:ascii="楷体" w:hAnsi="楷体" w:eastAsia="楷体" w:cs="楷体"/>
          <w:sz w:val="24"/>
        </w:rPr>
        <w:t>合同的情形，均不视为甲方违约。</w:t>
      </w:r>
    </w:p>
    <w:p>
      <w:pPr>
        <w:pStyle w:val="28"/>
        <w:numPr>
          <w:ilvl w:val="1"/>
          <w:numId w:val="31"/>
        </w:numPr>
        <w:tabs>
          <w:tab w:val="left" w:pos="1737"/>
        </w:tabs>
        <w:spacing w:before="1" w:after="0" w:line="240" w:lineRule="auto"/>
        <w:ind w:left="1736" w:right="0" w:hanging="483"/>
        <w:jc w:val="both"/>
        <w:rPr>
          <w:rFonts w:hint="eastAsia" w:ascii="楷体" w:hAnsi="楷体" w:eastAsia="楷体" w:cs="楷体"/>
          <w:b/>
          <w:sz w:val="24"/>
        </w:rPr>
      </w:pPr>
      <w:r>
        <w:rPr>
          <w:rFonts w:hint="eastAsia" w:ascii="楷体" w:hAnsi="楷体" w:eastAsia="楷体" w:cs="楷体"/>
          <w:b/>
          <w:sz w:val="24"/>
        </w:rPr>
        <w:t>合同争议的解决</w:t>
      </w:r>
    </w:p>
    <w:p>
      <w:pPr>
        <w:pStyle w:val="3"/>
        <w:spacing w:before="9"/>
        <w:rPr>
          <w:rFonts w:hint="eastAsia" w:ascii="楷体" w:hAnsi="楷体" w:eastAsia="楷体" w:cs="楷体"/>
          <w:b/>
          <w:sz w:val="19"/>
        </w:rPr>
      </w:pPr>
    </w:p>
    <w:p>
      <w:pPr>
        <w:pStyle w:val="3"/>
        <w:spacing w:line="439" w:lineRule="auto"/>
        <w:ind w:left="774" w:right="430" w:firstLine="480"/>
        <w:jc w:val="both"/>
        <w:rPr>
          <w:rFonts w:hint="eastAsia" w:ascii="楷体" w:hAnsi="楷体" w:eastAsia="楷体" w:cs="楷体"/>
        </w:rPr>
      </w:pPr>
      <w:r>
        <w:rPr>
          <w:rFonts w:hint="eastAsia" w:ascii="楷体" w:hAnsi="楷体" w:eastAsia="楷体" w:cs="楷体"/>
        </w:rPr>
        <w:t>本合同履行过程中发生的任何争议，双方当事人均可通过和解或者调解解决； 不愿和解、调解或者和解、调解不成的，可以选择下列第</w:t>
      </w:r>
      <w:r>
        <w:rPr>
          <w:rFonts w:hint="eastAsia" w:ascii="楷体" w:hAnsi="楷体" w:eastAsia="楷体" w:cs="楷体"/>
          <w:u w:val="single"/>
        </w:rPr>
        <w:t xml:space="preserve"> 2 </w:t>
      </w:r>
      <w:r>
        <w:rPr>
          <w:rFonts w:hint="eastAsia" w:ascii="楷体" w:hAnsi="楷体" w:eastAsia="楷体" w:cs="楷体"/>
        </w:rPr>
        <w:t>种方式解决：</w:t>
      </w:r>
    </w:p>
    <w:p>
      <w:pPr>
        <w:pStyle w:val="28"/>
        <w:numPr>
          <w:ilvl w:val="2"/>
          <w:numId w:val="31"/>
        </w:numPr>
        <w:tabs>
          <w:tab w:val="left" w:pos="1982"/>
        </w:tabs>
        <w:spacing w:before="0" w:after="0" w:line="436" w:lineRule="auto"/>
        <w:ind w:left="774" w:right="449" w:firstLine="480"/>
        <w:jc w:val="both"/>
        <w:rPr>
          <w:rFonts w:hint="eastAsia" w:ascii="楷体" w:hAnsi="楷体" w:eastAsia="楷体" w:cs="楷体"/>
          <w:sz w:val="24"/>
        </w:rPr>
      </w:pPr>
      <w:r>
        <w:rPr>
          <w:rFonts w:hint="eastAsia" w:ascii="楷体" w:hAnsi="楷体" w:eastAsia="楷体" w:cs="楷体"/>
          <w:spacing w:val="7"/>
          <w:sz w:val="24"/>
        </w:rPr>
        <w:t>将争议提交</w:t>
      </w:r>
      <w:r>
        <w:rPr>
          <w:rFonts w:hint="eastAsia" w:ascii="楷体" w:hAnsi="楷体" w:eastAsia="楷体" w:cs="楷体"/>
          <w:spacing w:val="7"/>
          <w:sz w:val="24"/>
          <w:u w:val="single"/>
          <w:lang w:val="en-US" w:eastAsia="zh-CN"/>
        </w:rPr>
        <w:t xml:space="preserve">      </w:t>
      </w:r>
      <w:r>
        <w:rPr>
          <w:rFonts w:hint="eastAsia" w:ascii="楷体" w:hAnsi="楷体" w:eastAsia="楷体" w:cs="楷体"/>
          <w:spacing w:val="5"/>
          <w:sz w:val="24"/>
        </w:rPr>
        <w:t>依申请仲裁时其现行有效的</w:t>
      </w:r>
      <w:r>
        <w:rPr>
          <w:rFonts w:hint="eastAsia" w:ascii="楷体" w:hAnsi="楷体" w:eastAsia="楷体" w:cs="楷体"/>
          <w:sz w:val="24"/>
        </w:rPr>
        <w:t>仲裁规则裁决；</w:t>
      </w:r>
    </w:p>
    <w:p>
      <w:pPr>
        <w:pStyle w:val="28"/>
        <w:numPr>
          <w:ilvl w:val="2"/>
          <w:numId w:val="31"/>
        </w:numPr>
        <w:tabs>
          <w:tab w:val="left" w:pos="1975"/>
        </w:tabs>
        <w:spacing w:before="0" w:after="0" w:line="240" w:lineRule="auto"/>
        <w:ind w:left="1974" w:right="0" w:hanging="721"/>
        <w:jc w:val="both"/>
        <w:rPr>
          <w:rFonts w:hint="eastAsia" w:ascii="楷体" w:hAnsi="楷体" w:eastAsia="楷体" w:cs="楷体"/>
          <w:sz w:val="24"/>
        </w:rPr>
      </w:pPr>
      <w:r>
        <w:rPr>
          <w:rFonts w:hint="eastAsia" w:ascii="楷体" w:hAnsi="楷体" w:eastAsia="楷体" w:cs="楷体"/>
          <w:sz w:val="24"/>
        </w:rPr>
        <w:t>向</w:t>
      </w:r>
      <w:r>
        <w:rPr>
          <w:rFonts w:hint="eastAsia" w:ascii="楷体" w:hAnsi="楷体" w:eastAsia="楷体" w:cs="楷体"/>
          <w:spacing w:val="19"/>
          <w:sz w:val="24"/>
          <w:u w:val="single"/>
        </w:rPr>
        <w:t xml:space="preserve"> 甲方所在地</w:t>
      </w:r>
      <w:r>
        <w:rPr>
          <w:rFonts w:hint="eastAsia" w:ascii="楷体" w:hAnsi="楷体" w:eastAsia="楷体" w:cs="楷体"/>
          <w:spacing w:val="14"/>
          <w:sz w:val="24"/>
        </w:rPr>
        <w:t xml:space="preserve"> 人民法院起诉。</w:t>
      </w:r>
    </w:p>
    <w:p>
      <w:pPr>
        <w:pStyle w:val="3"/>
        <w:spacing w:before="5"/>
        <w:rPr>
          <w:rFonts w:hint="eastAsia" w:ascii="楷体" w:hAnsi="楷体" w:eastAsia="楷体" w:cs="楷体"/>
          <w:sz w:val="19"/>
        </w:rPr>
      </w:pPr>
    </w:p>
    <w:p>
      <w:pPr>
        <w:pStyle w:val="28"/>
        <w:numPr>
          <w:ilvl w:val="1"/>
          <w:numId w:val="31"/>
        </w:numPr>
        <w:tabs>
          <w:tab w:val="left" w:pos="1737"/>
        </w:tabs>
        <w:spacing w:before="0" w:after="0" w:line="240" w:lineRule="auto"/>
        <w:ind w:left="1736" w:right="0" w:hanging="483"/>
        <w:jc w:val="both"/>
        <w:rPr>
          <w:rFonts w:hint="eastAsia" w:ascii="楷体" w:hAnsi="楷体" w:eastAsia="楷体" w:cs="楷体"/>
          <w:b/>
          <w:sz w:val="24"/>
        </w:rPr>
      </w:pPr>
      <w:r>
        <w:rPr>
          <w:rFonts w:hint="eastAsia" w:ascii="楷体" w:hAnsi="楷体" w:eastAsia="楷体" w:cs="楷体"/>
          <w:b/>
          <w:sz w:val="24"/>
        </w:rPr>
        <w:t>合同生效</w:t>
      </w:r>
    </w:p>
    <w:p>
      <w:pPr>
        <w:pStyle w:val="3"/>
        <w:spacing w:before="8"/>
        <w:rPr>
          <w:rFonts w:hint="eastAsia" w:ascii="楷体" w:hAnsi="楷体" w:eastAsia="楷体" w:cs="楷体"/>
          <w:b/>
          <w:sz w:val="19"/>
        </w:rPr>
      </w:pPr>
    </w:p>
    <w:p>
      <w:pPr>
        <w:pStyle w:val="3"/>
        <w:ind w:left="1254"/>
        <w:rPr>
          <w:rFonts w:hint="eastAsia" w:ascii="楷体" w:hAnsi="楷体" w:eastAsia="楷体" w:cs="楷体"/>
        </w:rPr>
      </w:pPr>
      <w:r>
        <w:rPr>
          <w:rFonts w:hint="eastAsia" w:ascii="楷体" w:hAnsi="楷体" w:eastAsia="楷体" w:cs="楷体"/>
        </w:rPr>
        <w:t>本合同自双方当事人盖章或者签字时生效。</w:t>
      </w:r>
    </w:p>
    <w:p>
      <w:pPr>
        <w:pStyle w:val="3"/>
        <w:rPr>
          <w:rFonts w:hint="eastAsia" w:ascii="楷体" w:hAnsi="楷体" w:eastAsia="楷体" w:cs="楷体"/>
        </w:rPr>
      </w:pPr>
    </w:p>
    <w:p>
      <w:pPr>
        <w:pStyle w:val="3"/>
        <w:rPr>
          <w:rFonts w:hint="eastAsia" w:ascii="楷体" w:hAnsi="楷体" w:eastAsia="楷体" w:cs="楷体"/>
        </w:rPr>
      </w:pPr>
    </w:p>
    <w:p>
      <w:pPr>
        <w:tabs>
          <w:tab w:val="left" w:pos="5696"/>
        </w:tabs>
        <w:spacing w:before="198"/>
        <w:ind w:left="774" w:right="0" w:firstLine="0"/>
        <w:jc w:val="left"/>
        <w:rPr>
          <w:rFonts w:hint="eastAsia" w:ascii="楷体" w:hAnsi="楷体" w:eastAsia="楷体" w:cs="楷体"/>
          <w:sz w:val="24"/>
        </w:rPr>
      </w:pPr>
      <w:r>
        <w:rPr>
          <w:rFonts w:hint="eastAsia" w:ascii="楷体" w:hAnsi="楷体" w:eastAsia="楷体" w:cs="楷体"/>
          <w:b/>
          <w:sz w:val="24"/>
        </w:rPr>
        <w:t>甲方</w:t>
      </w:r>
      <w:r>
        <w:rPr>
          <w:rFonts w:hint="eastAsia" w:ascii="楷体" w:hAnsi="楷体" w:eastAsia="楷体" w:cs="楷体"/>
          <w:sz w:val="24"/>
        </w:rPr>
        <w:t>：</w:t>
      </w:r>
      <w:r>
        <w:rPr>
          <w:rFonts w:hint="eastAsia" w:ascii="楷体" w:hAnsi="楷体" w:eastAsia="楷体" w:cs="楷体"/>
          <w:sz w:val="24"/>
        </w:rPr>
        <w:tab/>
      </w:r>
      <w:r>
        <w:rPr>
          <w:rFonts w:hint="eastAsia" w:ascii="楷体" w:hAnsi="楷体" w:eastAsia="楷体" w:cs="楷体"/>
          <w:b/>
          <w:sz w:val="24"/>
        </w:rPr>
        <w:t>乙方</w:t>
      </w:r>
      <w:r>
        <w:rPr>
          <w:rFonts w:hint="eastAsia" w:ascii="楷体" w:hAnsi="楷体" w:eastAsia="楷体" w:cs="楷体"/>
          <w:sz w:val="24"/>
        </w:rPr>
        <w:t>：</w:t>
      </w:r>
    </w:p>
    <w:p>
      <w:pPr>
        <w:pStyle w:val="3"/>
        <w:spacing w:before="8"/>
        <w:rPr>
          <w:rFonts w:hint="eastAsia" w:ascii="楷体" w:hAnsi="楷体" w:eastAsia="楷体" w:cs="楷体"/>
          <w:sz w:val="19"/>
        </w:rPr>
      </w:pPr>
    </w:p>
    <w:p>
      <w:pPr>
        <w:pStyle w:val="3"/>
        <w:tabs>
          <w:tab w:val="left" w:pos="5814"/>
        </w:tabs>
        <w:spacing w:before="1"/>
        <w:ind w:left="774"/>
        <w:rPr>
          <w:rFonts w:hint="eastAsia" w:ascii="楷体" w:hAnsi="楷体" w:eastAsia="楷体" w:cs="楷体"/>
        </w:rPr>
      </w:pPr>
      <w:r>
        <w:rPr>
          <w:rFonts w:hint="eastAsia" w:ascii="楷体" w:hAnsi="楷体" w:eastAsia="楷体" w:cs="楷体"/>
        </w:rPr>
        <w:t>统一社会信用代码：</w:t>
      </w:r>
      <w:r>
        <w:rPr>
          <w:rFonts w:hint="eastAsia" w:ascii="楷体" w:hAnsi="楷体" w:eastAsia="楷体" w:cs="楷体"/>
        </w:rPr>
        <w:tab/>
      </w:r>
      <w:r>
        <w:rPr>
          <w:rFonts w:hint="eastAsia" w:ascii="楷体" w:hAnsi="楷体" w:eastAsia="楷体" w:cs="楷体"/>
        </w:rPr>
        <w:t>统一社会信用代码或身份证号码：</w:t>
      </w:r>
    </w:p>
    <w:p>
      <w:pPr>
        <w:pStyle w:val="3"/>
        <w:rPr>
          <w:rFonts w:hint="eastAsia" w:ascii="楷体" w:hAnsi="楷体" w:eastAsia="楷体" w:cs="楷体"/>
        </w:rPr>
      </w:pPr>
    </w:p>
    <w:p>
      <w:pPr>
        <w:pStyle w:val="3"/>
        <w:rPr>
          <w:rFonts w:hint="eastAsia" w:ascii="楷体" w:hAnsi="楷体" w:eastAsia="楷体" w:cs="楷体"/>
        </w:rPr>
      </w:pPr>
    </w:p>
    <w:p>
      <w:pPr>
        <w:pStyle w:val="3"/>
        <w:tabs>
          <w:tab w:val="left" w:pos="5694"/>
        </w:tabs>
        <w:spacing w:before="198"/>
        <w:ind w:left="774"/>
        <w:rPr>
          <w:rFonts w:hint="eastAsia" w:ascii="楷体" w:hAnsi="楷体" w:eastAsia="楷体" w:cs="楷体"/>
        </w:rPr>
      </w:pPr>
      <w:r>
        <w:rPr>
          <w:rFonts w:hint="eastAsia" w:ascii="楷体" w:hAnsi="楷体" w:eastAsia="楷体" w:cs="楷体"/>
        </w:rPr>
        <w:t>住所：</w:t>
      </w:r>
      <w:r>
        <w:rPr>
          <w:rFonts w:hint="eastAsia" w:ascii="楷体" w:hAnsi="楷体" w:eastAsia="楷体" w:cs="楷体"/>
        </w:rPr>
        <w:tab/>
      </w:r>
      <w:r>
        <w:rPr>
          <w:rFonts w:hint="eastAsia" w:ascii="楷体" w:hAnsi="楷体" w:eastAsia="楷体" w:cs="楷体"/>
        </w:rPr>
        <w:t>住所：</w:t>
      </w:r>
    </w:p>
    <w:p>
      <w:pPr>
        <w:pStyle w:val="3"/>
        <w:spacing w:before="8"/>
        <w:rPr>
          <w:rFonts w:hint="eastAsia" w:ascii="楷体" w:hAnsi="楷体" w:eastAsia="楷体" w:cs="楷体"/>
          <w:sz w:val="19"/>
        </w:rPr>
      </w:pPr>
    </w:p>
    <w:p>
      <w:pPr>
        <w:pStyle w:val="3"/>
        <w:tabs>
          <w:tab w:val="left" w:pos="5694"/>
        </w:tabs>
        <w:ind w:left="774"/>
        <w:rPr>
          <w:rFonts w:hint="eastAsia" w:ascii="楷体" w:hAnsi="楷体" w:eastAsia="楷体" w:cs="楷体"/>
        </w:rPr>
      </w:pPr>
      <w:r>
        <w:rPr>
          <w:rFonts w:hint="eastAsia" w:ascii="楷体" w:hAnsi="楷体" w:eastAsia="楷体" w:cs="楷体"/>
        </w:rPr>
        <w:t>法定代表人或</w:t>
      </w:r>
      <w:r>
        <w:rPr>
          <w:rFonts w:hint="eastAsia" w:ascii="楷体" w:hAnsi="楷体" w:eastAsia="楷体" w:cs="楷体"/>
        </w:rPr>
        <w:tab/>
      </w:r>
      <w:r>
        <w:rPr>
          <w:rFonts w:hint="eastAsia" w:ascii="楷体" w:hAnsi="楷体" w:eastAsia="楷体" w:cs="楷体"/>
        </w:rPr>
        <w:t>法定代表人</w:t>
      </w:r>
    </w:p>
    <w:p>
      <w:pPr>
        <w:pStyle w:val="3"/>
        <w:spacing w:before="11"/>
        <w:rPr>
          <w:rFonts w:hint="eastAsia" w:ascii="楷体" w:hAnsi="楷体" w:eastAsia="楷体" w:cs="楷体"/>
          <w:sz w:val="19"/>
        </w:rPr>
      </w:pPr>
    </w:p>
    <w:p>
      <w:pPr>
        <w:pStyle w:val="3"/>
        <w:tabs>
          <w:tab w:val="left" w:pos="5814"/>
        </w:tabs>
        <w:ind w:left="774"/>
        <w:rPr>
          <w:rFonts w:hint="eastAsia" w:ascii="楷体" w:hAnsi="楷体" w:eastAsia="楷体" w:cs="楷体"/>
        </w:rPr>
      </w:pPr>
      <w:r>
        <w:rPr>
          <w:rFonts w:hint="eastAsia" w:ascii="楷体" w:hAnsi="楷体" w:eastAsia="楷体" w:cs="楷体"/>
        </w:rPr>
        <w:t>授权代表（签字）：</w:t>
      </w:r>
      <w:r>
        <w:rPr>
          <w:rFonts w:hint="eastAsia" w:ascii="楷体" w:hAnsi="楷体" w:eastAsia="楷体" w:cs="楷体"/>
        </w:rPr>
        <w:tab/>
      </w:r>
      <w:r>
        <w:rPr>
          <w:rFonts w:hint="eastAsia" w:ascii="楷体" w:hAnsi="楷体" w:eastAsia="楷体" w:cs="楷体"/>
        </w:rPr>
        <w:t>或授权代表（签字）:</w:t>
      </w:r>
    </w:p>
    <w:p>
      <w:pPr>
        <w:pStyle w:val="3"/>
        <w:spacing w:before="8"/>
        <w:rPr>
          <w:rFonts w:hint="eastAsia" w:ascii="楷体" w:hAnsi="楷体" w:eastAsia="楷体" w:cs="楷体"/>
          <w:sz w:val="19"/>
        </w:rPr>
      </w:pPr>
    </w:p>
    <w:p>
      <w:pPr>
        <w:pStyle w:val="3"/>
        <w:tabs>
          <w:tab w:val="left" w:pos="5694"/>
        </w:tabs>
        <w:ind w:left="774"/>
        <w:rPr>
          <w:rFonts w:hint="eastAsia" w:ascii="楷体" w:hAnsi="楷体" w:eastAsia="楷体" w:cs="楷体"/>
        </w:rPr>
      </w:pPr>
      <w:r>
        <w:rPr>
          <w:rFonts w:hint="eastAsia" w:ascii="楷体" w:hAnsi="楷体" w:eastAsia="楷体" w:cs="楷体"/>
        </w:rPr>
        <w:t>联系人：</w:t>
      </w:r>
      <w:r>
        <w:rPr>
          <w:rFonts w:hint="eastAsia" w:ascii="楷体" w:hAnsi="楷体" w:eastAsia="楷体" w:cs="楷体"/>
        </w:rPr>
        <w:tab/>
      </w:r>
      <w:r>
        <w:rPr>
          <w:rFonts w:hint="eastAsia" w:ascii="楷体" w:hAnsi="楷体" w:eastAsia="楷体" w:cs="楷体"/>
        </w:rPr>
        <w:t>联系人：</w:t>
      </w:r>
    </w:p>
    <w:p>
      <w:pPr>
        <w:pStyle w:val="3"/>
        <w:spacing w:before="8"/>
        <w:rPr>
          <w:rFonts w:hint="eastAsia" w:ascii="楷体" w:hAnsi="楷体" w:eastAsia="楷体" w:cs="楷体"/>
          <w:sz w:val="19"/>
        </w:rPr>
      </w:pPr>
    </w:p>
    <w:p>
      <w:pPr>
        <w:pStyle w:val="3"/>
        <w:tabs>
          <w:tab w:val="left" w:pos="5694"/>
        </w:tabs>
        <w:ind w:left="774"/>
        <w:rPr>
          <w:rFonts w:hint="eastAsia" w:ascii="楷体" w:hAnsi="楷体" w:eastAsia="楷体" w:cs="楷体"/>
        </w:rPr>
      </w:pPr>
      <w:r>
        <w:rPr>
          <w:rFonts w:hint="eastAsia" w:ascii="楷体" w:hAnsi="楷体" w:eastAsia="楷体" w:cs="楷体"/>
        </w:rPr>
        <w:t>约定送达地址：</w:t>
      </w:r>
      <w:r>
        <w:rPr>
          <w:rFonts w:hint="eastAsia" w:ascii="楷体" w:hAnsi="楷体" w:eastAsia="楷体" w:cs="楷体"/>
        </w:rPr>
        <w:tab/>
      </w:r>
      <w:r>
        <w:rPr>
          <w:rFonts w:hint="eastAsia" w:ascii="楷体" w:hAnsi="楷体" w:eastAsia="楷体" w:cs="楷体"/>
        </w:rPr>
        <w:t>约定送达地址：</w:t>
      </w:r>
    </w:p>
    <w:p>
      <w:pPr>
        <w:pStyle w:val="3"/>
        <w:tabs>
          <w:tab w:val="left" w:pos="5694"/>
        </w:tabs>
        <w:ind w:left="774"/>
        <w:rPr>
          <w:rFonts w:hint="eastAsia" w:ascii="楷体" w:hAnsi="楷体" w:eastAsia="楷体" w:cs="楷体"/>
        </w:rPr>
      </w:pPr>
    </w:p>
    <w:p>
      <w:pPr>
        <w:pStyle w:val="3"/>
        <w:tabs>
          <w:tab w:val="left" w:pos="5694"/>
        </w:tabs>
        <w:spacing w:before="83"/>
        <w:ind w:firstLine="720" w:firstLineChars="300"/>
        <w:rPr>
          <w:rFonts w:hint="eastAsia" w:ascii="楷体" w:hAnsi="楷体" w:eastAsia="楷体" w:cs="楷体"/>
        </w:rPr>
      </w:pPr>
      <w:r>
        <w:rPr>
          <w:rFonts w:hint="eastAsia" w:ascii="楷体" w:hAnsi="楷体" w:eastAsia="楷体" w:cs="楷体"/>
        </w:rPr>
        <w:t>邮政编码：</w:t>
      </w:r>
      <w:r>
        <w:rPr>
          <w:rFonts w:hint="eastAsia" w:ascii="楷体" w:hAnsi="楷体" w:eastAsia="楷体" w:cs="楷体"/>
        </w:rPr>
        <w:tab/>
      </w:r>
      <w:r>
        <w:rPr>
          <w:rFonts w:hint="eastAsia" w:ascii="楷体" w:hAnsi="楷体" w:eastAsia="楷体" w:cs="楷体"/>
        </w:rPr>
        <w:t>邮政编码：</w:t>
      </w:r>
    </w:p>
    <w:p>
      <w:pPr>
        <w:pStyle w:val="3"/>
        <w:spacing w:before="8"/>
        <w:rPr>
          <w:rFonts w:hint="eastAsia" w:ascii="楷体" w:hAnsi="楷体" w:eastAsia="楷体" w:cs="楷体"/>
          <w:sz w:val="19"/>
        </w:rPr>
      </w:pPr>
    </w:p>
    <w:p>
      <w:pPr>
        <w:pStyle w:val="3"/>
        <w:tabs>
          <w:tab w:val="left" w:pos="5694"/>
        </w:tabs>
        <w:ind w:left="774"/>
        <w:rPr>
          <w:rFonts w:hint="eastAsia" w:ascii="楷体" w:hAnsi="楷体" w:eastAsia="楷体" w:cs="楷体"/>
        </w:rPr>
      </w:pPr>
      <w:r>
        <w:rPr>
          <w:rFonts w:hint="eastAsia" w:ascii="楷体" w:hAnsi="楷体" w:eastAsia="楷体" w:cs="楷体"/>
        </w:rPr>
        <w:t>电话:</w:t>
      </w:r>
      <w:r>
        <w:rPr>
          <w:rFonts w:hint="eastAsia" w:ascii="楷体" w:hAnsi="楷体" w:eastAsia="楷体" w:cs="楷体"/>
        </w:rPr>
        <w:tab/>
      </w:r>
      <w:r>
        <w:rPr>
          <w:rFonts w:hint="eastAsia" w:ascii="楷体" w:hAnsi="楷体" w:eastAsia="楷体" w:cs="楷体"/>
        </w:rPr>
        <w:t>电话:</w:t>
      </w:r>
    </w:p>
    <w:p>
      <w:pPr>
        <w:pStyle w:val="3"/>
        <w:spacing w:before="8"/>
        <w:rPr>
          <w:rFonts w:hint="eastAsia" w:ascii="楷体" w:hAnsi="楷体" w:eastAsia="楷体" w:cs="楷体"/>
          <w:sz w:val="19"/>
        </w:rPr>
      </w:pPr>
    </w:p>
    <w:p>
      <w:pPr>
        <w:pStyle w:val="3"/>
        <w:tabs>
          <w:tab w:val="left" w:pos="5694"/>
        </w:tabs>
        <w:spacing w:before="1"/>
        <w:ind w:left="774"/>
        <w:rPr>
          <w:rFonts w:hint="eastAsia" w:ascii="楷体" w:hAnsi="楷体" w:eastAsia="楷体" w:cs="楷体"/>
        </w:rPr>
      </w:pPr>
      <w:r>
        <w:rPr>
          <w:rFonts w:hint="eastAsia" w:ascii="楷体" w:hAnsi="楷体" w:eastAsia="楷体" w:cs="楷体"/>
        </w:rPr>
        <w:t>传真:</w:t>
      </w:r>
      <w:r>
        <w:rPr>
          <w:rFonts w:hint="eastAsia" w:ascii="楷体" w:hAnsi="楷体" w:eastAsia="楷体" w:cs="楷体"/>
        </w:rPr>
        <w:tab/>
      </w:r>
      <w:r>
        <w:rPr>
          <w:rFonts w:hint="eastAsia" w:ascii="楷体" w:hAnsi="楷体" w:eastAsia="楷体" w:cs="楷体"/>
        </w:rPr>
        <w:t>传真:</w:t>
      </w:r>
    </w:p>
    <w:p>
      <w:pPr>
        <w:pStyle w:val="3"/>
        <w:spacing w:before="10"/>
        <w:rPr>
          <w:rFonts w:hint="eastAsia" w:ascii="楷体" w:hAnsi="楷体" w:eastAsia="楷体" w:cs="楷体"/>
          <w:sz w:val="19"/>
        </w:rPr>
      </w:pPr>
    </w:p>
    <w:p>
      <w:pPr>
        <w:pStyle w:val="3"/>
        <w:tabs>
          <w:tab w:val="left" w:pos="5694"/>
        </w:tabs>
        <w:ind w:left="774"/>
        <w:rPr>
          <w:rFonts w:hint="eastAsia" w:ascii="楷体" w:hAnsi="楷体" w:eastAsia="楷体" w:cs="楷体"/>
        </w:rPr>
      </w:pPr>
      <w:r>
        <w:rPr>
          <w:rFonts w:hint="eastAsia" w:ascii="楷体" w:hAnsi="楷体" w:eastAsia="楷体" w:cs="楷体"/>
        </w:rPr>
        <w:t>电子邮箱：</w:t>
      </w:r>
      <w:r>
        <w:rPr>
          <w:rFonts w:hint="eastAsia" w:ascii="楷体" w:hAnsi="楷体" w:eastAsia="楷体" w:cs="楷体"/>
        </w:rPr>
        <w:tab/>
      </w:r>
      <w:r>
        <w:rPr>
          <w:rFonts w:hint="eastAsia" w:ascii="楷体" w:hAnsi="楷体" w:eastAsia="楷体" w:cs="楷体"/>
        </w:rPr>
        <w:t>电子邮箱：</w:t>
      </w:r>
    </w:p>
    <w:p>
      <w:pPr>
        <w:pStyle w:val="3"/>
        <w:spacing w:before="8"/>
        <w:rPr>
          <w:rFonts w:hint="eastAsia" w:ascii="楷体" w:hAnsi="楷体" w:eastAsia="楷体" w:cs="楷体"/>
          <w:sz w:val="19"/>
        </w:rPr>
      </w:pPr>
    </w:p>
    <w:p>
      <w:pPr>
        <w:pStyle w:val="3"/>
        <w:tabs>
          <w:tab w:val="left" w:pos="5694"/>
        </w:tabs>
        <w:spacing w:before="1"/>
        <w:ind w:left="774"/>
        <w:rPr>
          <w:rFonts w:hint="eastAsia" w:ascii="楷体" w:hAnsi="楷体" w:eastAsia="楷体" w:cs="楷体"/>
        </w:rPr>
      </w:pPr>
      <w:r>
        <w:rPr>
          <w:rFonts w:hint="eastAsia" w:ascii="楷体" w:hAnsi="楷体" w:eastAsia="楷体" w:cs="楷体"/>
        </w:rPr>
        <w:t>开户银行：</w:t>
      </w:r>
      <w:r>
        <w:rPr>
          <w:rFonts w:hint="eastAsia" w:ascii="楷体" w:hAnsi="楷体" w:eastAsia="楷体" w:cs="楷体"/>
        </w:rPr>
        <w:tab/>
      </w:r>
      <w:r>
        <w:rPr>
          <w:rFonts w:hint="eastAsia" w:ascii="楷体" w:hAnsi="楷体" w:eastAsia="楷体" w:cs="楷体"/>
        </w:rPr>
        <w:t>开户银行：</w:t>
      </w:r>
    </w:p>
    <w:p>
      <w:pPr>
        <w:pStyle w:val="3"/>
        <w:spacing w:before="8"/>
        <w:rPr>
          <w:rFonts w:hint="eastAsia" w:ascii="楷体" w:hAnsi="楷体" w:eastAsia="楷体" w:cs="楷体"/>
          <w:sz w:val="19"/>
        </w:rPr>
      </w:pPr>
    </w:p>
    <w:p>
      <w:pPr>
        <w:pStyle w:val="3"/>
        <w:tabs>
          <w:tab w:val="left" w:pos="5694"/>
        </w:tabs>
        <w:ind w:left="774"/>
        <w:rPr>
          <w:rFonts w:hint="eastAsia" w:ascii="楷体" w:hAnsi="楷体" w:eastAsia="楷体" w:cs="楷体"/>
        </w:rPr>
      </w:pPr>
      <w:r>
        <w:rPr>
          <w:rFonts w:hint="eastAsia" w:ascii="楷体" w:hAnsi="楷体" w:eastAsia="楷体" w:cs="楷体"/>
        </w:rPr>
        <w:t>开户名称：</w:t>
      </w:r>
      <w:r>
        <w:rPr>
          <w:rFonts w:hint="eastAsia" w:ascii="楷体" w:hAnsi="楷体" w:eastAsia="楷体" w:cs="楷体"/>
        </w:rPr>
        <w:tab/>
      </w:r>
      <w:r>
        <w:rPr>
          <w:rFonts w:hint="eastAsia" w:ascii="楷体" w:hAnsi="楷体" w:eastAsia="楷体" w:cs="楷体"/>
        </w:rPr>
        <w:t>开户名称：</w:t>
      </w:r>
    </w:p>
    <w:p>
      <w:pPr>
        <w:pStyle w:val="3"/>
        <w:spacing w:before="10"/>
        <w:rPr>
          <w:rFonts w:hint="eastAsia" w:ascii="楷体" w:hAnsi="楷体" w:eastAsia="楷体" w:cs="楷体"/>
          <w:sz w:val="19"/>
        </w:rPr>
      </w:pPr>
    </w:p>
    <w:p>
      <w:pPr>
        <w:pStyle w:val="3"/>
        <w:tabs>
          <w:tab w:val="left" w:pos="5694"/>
        </w:tabs>
        <w:ind w:left="774"/>
        <w:rPr>
          <w:rFonts w:hint="eastAsia" w:ascii="楷体" w:hAnsi="楷体" w:eastAsia="楷体" w:cs="楷体"/>
          <w:lang w:val="en-US" w:eastAsia="zh-CN"/>
        </w:rPr>
        <w:sectPr>
          <w:footerReference r:id="rId16" w:type="default"/>
          <w:pgSz w:w="11910" w:h="16840"/>
          <w:pgMar w:top="1600" w:right="1020" w:bottom="1280" w:left="1040" w:header="0" w:footer="1093" w:gutter="0"/>
          <w:pgNumType w:fmt="decimal"/>
          <w:cols w:space="720" w:num="1"/>
        </w:sectPr>
      </w:pPr>
      <w:r>
        <w:rPr>
          <w:rFonts w:hint="eastAsia" w:ascii="楷体" w:hAnsi="楷体" w:eastAsia="楷体" w:cs="楷体"/>
        </w:rPr>
        <w:t>开户账号：</w:t>
      </w:r>
      <w:r>
        <w:rPr>
          <w:rFonts w:hint="eastAsia" w:ascii="楷体" w:hAnsi="楷体" w:eastAsia="楷体" w:cs="楷体"/>
        </w:rPr>
        <w:tab/>
      </w:r>
      <w:r>
        <w:rPr>
          <w:rFonts w:hint="eastAsia" w:ascii="楷体" w:hAnsi="楷体" w:eastAsia="楷体" w:cs="楷体"/>
        </w:rPr>
        <w:t>开户账</w:t>
      </w:r>
      <w:r>
        <w:rPr>
          <w:rFonts w:hint="eastAsia" w:ascii="楷体" w:hAnsi="楷体" w:eastAsia="楷体" w:cs="楷体"/>
          <w:lang w:val="en-US" w:eastAsia="zh-CN"/>
        </w:rPr>
        <w:t>号：</w:t>
      </w:r>
    </w:p>
    <w:p>
      <w:pPr>
        <w:spacing w:before="196"/>
        <w:ind w:right="16"/>
        <w:jc w:val="center"/>
        <w:outlineLvl w:val="1"/>
        <w:rPr>
          <w:rFonts w:hint="eastAsia" w:ascii="楷体" w:hAnsi="楷体" w:eastAsia="楷体" w:cs="楷体"/>
          <w:b/>
          <w:sz w:val="24"/>
        </w:rPr>
      </w:pPr>
      <w:bookmarkStart w:id="379" w:name="第二部分 合同一般条款"/>
      <w:bookmarkEnd w:id="379"/>
      <w:bookmarkStart w:id="380" w:name="_bookmark18"/>
      <w:bookmarkEnd w:id="380"/>
      <w:bookmarkStart w:id="381" w:name="_Toc28132"/>
      <w:bookmarkStart w:id="382" w:name="_Toc20646"/>
      <w:bookmarkStart w:id="383" w:name="_Toc12558"/>
      <w:r>
        <w:rPr>
          <w:rFonts w:hint="eastAsia" w:ascii="楷体" w:hAnsi="楷体" w:eastAsia="楷体" w:cs="楷体"/>
          <w:b/>
          <w:sz w:val="24"/>
        </w:rPr>
        <w:t>第二部分 合同一般条款</w:t>
      </w:r>
      <w:bookmarkEnd w:id="381"/>
      <w:bookmarkEnd w:id="382"/>
      <w:bookmarkEnd w:id="383"/>
    </w:p>
    <w:p>
      <w:pPr>
        <w:pStyle w:val="3"/>
        <w:spacing w:before="11"/>
        <w:rPr>
          <w:rFonts w:hint="eastAsia" w:ascii="楷体" w:hAnsi="楷体" w:eastAsia="楷体" w:cs="楷体"/>
          <w:b/>
          <w:sz w:val="19"/>
        </w:rPr>
      </w:pPr>
    </w:p>
    <w:p>
      <w:pPr>
        <w:pStyle w:val="28"/>
        <w:numPr>
          <w:ilvl w:val="1"/>
          <w:numId w:val="32"/>
        </w:numPr>
        <w:tabs>
          <w:tab w:val="left" w:pos="1737"/>
        </w:tabs>
        <w:spacing w:before="0" w:after="0" w:line="240" w:lineRule="auto"/>
        <w:ind w:left="1736" w:right="0" w:hanging="483"/>
        <w:jc w:val="left"/>
        <w:rPr>
          <w:rFonts w:hint="eastAsia" w:ascii="楷体" w:hAnsi="楷体" w:eastAsia="楷体" w:cs="楷体"/>
          <w:b/>
          <w:sz w:val="24"/>
        </w:rPr>
      </w:pPr>
      <w:bookmarkStart w:id="384" w:name="2.1 定义"/>
      <w:bookmarkEnd w:id="384"/>
      <w:bookmarkStart w:id="385" w:name="_bookmark19"/>
      <w:bookmarkEnd w:id="385"/>
      <w:bookmarkStart w:id="386" w:name="_bookmark19"/>
      <w:bookmarkEnd w:id="386"/>
      <w:r>
        <w:rPr>
          <w:rFonts w:hint="eastAsia" w:ascii="楷体" w:hAnsi="楷体" w:eastAsia="楷体" w:cs="楷体"/>
          <w:b/>
          <w:sz w:val="24"/>
        </w:rPr>
        <w:t>定义</w:t>
      </w:r>
    </w:p>
    <w:p>
      <w:pPr>
        <w:pStyle w:val="3"/>
        <w:spacing w:before="8"/>
        <w:rPr>
          <w:rFonts w:hint="eastAsia" w:ascii="楷体" w:hAnsi="楷体" w:eastAsia="楷体" w:cs="楷体"/>
          <w:b/>
          <w:sz w:val="19"/>
        </w:rPr>
      </w:pPr>
    </w:p>
    <w:p>
      <w:pPr>
        <w:pStyle w:val="3"/>
        <w:ind w:left="1254"/>
        <w:rPr>
          <w:rFonts w:hint="eastAsia" w:ascii="楷体" w:hAnsi="楷体" w:eastAsia="楷体" w:cs="楷体"/>
        </w:rPr>
      </w:pPr>
      <w:r>
        <w:rPr>
          <w:rFonts w:hint="eastAsia" w:ascii="楷体" w:hAnsi="楷体" w:eastAsia="楷体" w:cs="楷体"/>
        </w:rPr>
        <w:t>本合同中的下列词语应按以下内容进行解释：</w:t>
      </w:r>
    </w:p>
    <w:p>
      <w:pPr>
        <w:pStyle w:val="3"/>
        <w:spacing w:before="8"/>
        <w:rPr>
          <w:rFonts w:hint="eastAsia" w:ascii="楷体" w:hAnsi="楷体" w:eastAsia="楷体" w:cs="楷体"/>
          <w:sz w:val="19"/>
        </w:rPr>
      </w:pPr>
    </w:p>
    <w:p>
      <w:pPr>
        <w:pStyle w:val="28"/>
        <w:numPr>
          <w:ilvl w:val="2"/>
          <w:numId w:val="32"/>
        </w:numPr>
        <w:tabs>
          <w:tab w:val="left" w:pos="1905"/>
        </w:tabs>
        <w:spacing w:before="1" w:after="0" w:line="439" w:lineRule="auto"/>
        <w:ind w:left="774" w:right="332" w:firstLine="480"/>
        <w:jc w:val="both"/>
        <w:rPr>
          <w:rFonts w:hint="eastAsia" w:ascii="楷体" w:hAnsi="楷体" w:eastAsia="楷体" w:cs="楷体"/>
          <w:sz w:val="24"/>
        </w:rPr>
      </w:pPr>
      <w:r>
        <w:rPr>
          <w:rFonts w:hint="eastAsia" w:ascii="楷体" w:hAnsi="楷体" w:eastAsia="楷体" w:cs="楷体"/>
          <w:spacing w:val="-10"/>
          <w:sz w:val="24"/>
        </w:rPr>
        <w:t xml:space="preserve">“合同”系指采购人和中标供应商签订的载明双方当事人所达成的协议， </w:t>
      </w:r>
      <w:r>
        <w:rPr>
          <w:rFonts w:hint="eastAsia" w:ascii="楷体" w:hAnsi="楷体" w:eastAsia="楷体" w:cs="楷体"/>
          <w:sz w:val="24"/>
        </w:rPr>
        <w:t>并包括所有的附件、附录和构成合同的其他文件。</w:t>
      </w:r>
    </w:p>
    <w:p>
      <w:pPr>
        <w:pStyle w:val="28"/>
        <w:numPr>
          <w:ilvl w:val="2"/>
          <w:numId w:val="32"/>
        </w:numPr>
        <w:tabs>
          <w:tab w:val="left" w:pos="1970"/>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4"/>
          <w:sz w:val="24"/>
        </w:rPr>
        <w:t>“合同价”系指根据合同约定，中标供应商在完全履行合同义务后，采</w:t>
      </w:r>
      <w:r>
        <w:rPr>
          <w:rFonts w:hint="eastAsia" w:ascii="楷体" w:hAnsi="楷体" w:eastAsia="楷体" w:cs="楷体"/>
          <w:sz w:val="24"/>
        </w:rPr>
        <w:t>购人应支付给中标供应商的价格。</w:t>
      </w:r>
    </w:p>
    <w:p>
      <w:pPr>
        <w:pStyle w:val="28"/>
        <w:numPr>
          <w:ilvl w:val="2"/>
          <w:numId w:val="32"/>
        </w:numPr>
        <w:tabs>
          <w:tab w:val="left" w:pos="1965"/>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4"/>
          <w:sz w:val="24"/>
        </w:rPr>
        <w:t>“服务”系指中标供应商根据合同约定应向采购人履行的除货物和服务</w:t>
      </w:r>
      <w:r>
        <w:rPr>
          <w:rFonts w:hint="eastAsia" w:ascii="楷体" w:hAnsi="楷体" w:eastAsia="楷体" w:cs="楷体"/>
          <w:spacing w:val="-3"/>
          <w:sz w:val="24"/>
        </w:rPr>
        <w:t>以外的其他政府采购对象，包括采购人自身需要的服务和向社会公众提供的公共服</w:t>
      </w:r>
      <w:r>
        <w:rPr>
          <w:rFonts w:hint="eastAsia" w:ascii="楷体" w:hAnsi="楷体" w:eastAsia="楷体" w:cs="楷体"/>
          <w:sz w:val="24"/>
        </w:rPr>
        <w:t>务。</w:t>
      </w:r>
    </w:p>
    <w:p>
      <w:pPr>
        <w:pStyle w:val="28"/>
        <w:numPr>
          <w:ilvl w:val="2"/>
          <w:numId w:val="32"/>
        </w:numPr>
        <w:tabs>
          <w:tab w:val="left" w:pos="1968"/>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4"/>
          <w:sz w:val="24"/>
        </w:rPr>
        <w:t>“甲方”系指与中标供应商签署合同的采购人；采购人委托采购代理机</w:t>
      </w:r>
      <w:r>
        <w:rPr>
          <w:rFonts w:hint="eastAsia" w:ascii="楷体" w:hAnsi="楷体" w:eastAsia="楷体" w:cs="楷体"/>
          <w:sz w:val="24"/>
        </w:rPr>
        <w:t>构代表其与乙方签订合同的，采购人的授权委托书作为合同附件。</w:t>
      </w:r>
    </w:p>
    <w:p>
      <w:pPr>
        <w:pStyle w:val="28"/>
        <w:numPr>
          <w:ilvl w:val="2"/>
          <w:numId w:val="32"/>
        </w:numPr>
        <w:tabs>
          <w:tab w:val="left" w:pos="1968"/>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2"/>
          <w:sz w:val="24"/>
        </w:rPr>
        <w:t>“乙方”系指根据合同约定提供货物</w:t>
      </w:r>
      <w:r>
        <w:rPr>
          <w:rFonts w:hint="eastAsia" w:ascii="楷体" w:hAnsi="楷体" w:eastAsia="楷体" w:cs="楷体"/>
          <w:sz w:val="24"/>
        </w:rPr>
        <w:t>/服务/</w:t>
      </w:r>
      <w:r>
        <w:rPr>
          <w:rFonts w:hint="eastAsia" w:ascii="楷体" w:hAnsi="楷体" w:eastAsia="楷体" w:cs="楷体"/>
          <w:spacing w:val="-3"/>
          <w:sz w:val="24"/>
        </w:rPr>
        <w:t>工程的中标供应商；两个以</w:t>
      </w:r>
      <w:r>
        <w:rPr>
          <w:rFonts w:hint="eastAsia" w:ascii="楷体" w:hAnsi="楷体" w:eastAsia="楷体" w:cs="楷体"/>
          <w:spacing w:val="-4"/>
          <w:sz w:val="24"/>
        </w:rPr>
        <w:t>上的自然人、法人或者其他组织组成一个联合体，以一个供应商的身份共同参加政府采购的，联合体各方均应为乙方或者与乙方相同地位的合同当事人，并就合同约</w:t>
      </w:r>
      <w:r>
        <w:rPr>
          <w:rFonts w:hint="eastAsia" w:ascii="楷体" w:hAnsi="楷体" w:eastAsia="楷体" w:cs="楷体"/>
          <w:sz w:val="24"/>
        </w:rPr>
        <w:t>定的事项对甲方承担连带责任。</w:t>
      </w:r>
    </w:p>
    <w:p>
      <w:pPr>
        <w:pStyle w:val="28"/>
        <w:numPr>
          <w:ilvl w:val="2"/>
          <w:numId w:val="32"/>
        </w:numPr>
        <w:tabs>
          <w:tab w:val="left" w:pos="1975"/>
        </w:tabs>
        <w:spacing w:before="83" w:after="0" w:line="240" w:lineRule="auto"/>
        <w:ind w:left="1974" w:right="0" w:hanging="721"/>
        <w:jc w:val="both"/>
        <w:rPr>
          <w:rFonts w:hint="eastAsia" w:ascii="楷体" w:hAnsi="楷体" w:eastAsia="楷体" w:cs="楷体"/>
          <w:sz w:val="24"/>
        </w:rPr>
      </w:pPr>
      <w:r>
        <w:rPr>
          <w:rFonts w:hint="eastAsia" w:ascii="楷体" w:hAnsi="楷体" w:eastAsia="楷体" w:cs="楷体"/>
          <w:sz w:val="24"/>
        </w:rPr>
        <w:t>“现场”系指合同约定提供货物/服务/工程的地点。</w:t>
      </w:r>
    </w:p>
    <w:p>
      <w:pPr>
        <w:pStyle w:val="3"/>
        <w:spacing w:before="8"/>
        <w:rPr>
          <w:rFonts w:hint="eastAsia" w:ascii="楷体" w:hAnsi="楷体" w:eastAsia="楷体" w:cs="楷体"/>
          <w:sz w:val="19"/>
        </w:rPr>
      </w:pPr>
    </w:p>
    <w:p>
      <w:pPr>
        <w:pStyle w:val="28"/>
        <w:numPr>
          <w:ilvl w:val="1"/>
          <w:numId w:val="32"/>
        </w:numPr>
        <w:tabs>
          <w:tab w:val="left" w:pos="1737"/>
        </w:tabs>
        <w:spacing w:before="0" w:after="0" w:line="240" w:lineRule="auto"/>
        <w:ind w:left="1736" w:right="0" w:hanging="483"/>
        <w:jc w:val="both"/>
        <w:rPr>
          <w:rFonts w:hint="eastAsia" w:ascii="楷体" w:hAnsi="楷体" w:eastAsia="楷体" w:cs="楷体"/>
          <w:b/>
          <w:sz w:val="24"/>
        </w:rPr>
      </w:pPr>
      <w:bookmarkStart w:id="387" w:name="2.2 技术规范"/>
      <w:bookmarkEnd w:id="387"/>
      <w:bookmarkStart w:id="388" w:name="_bookmark20"/>
      <w:bookmarkEnd w:id="388"/>
      <w:bookmarkStart w:id="389" w:name="_bookmark20"/>
      <w:bookmarkEnd w:id="389"/>
      <w:r>
        <w:rPr>
          <w:rFonts w:hint="eastAsia" w:ascii="楷体" w:hAnsi="楷体" w:eastAsia="楷体" w:cs="楷体"/>
          <w:b/>
          <w:sz w:val="24"/>
        </w:rPr>
        <w:t>技术规范</w:t>
      </w:r>
    </w:p>
    <w:p>
      <w:pPr>
        <w:pStyle w:val="3"/>
        <w:spacing w:before="8"/>
        <w:rPr>
          <w:rFonts w:hint="eastAsia" w:ascii="楷体" w:hAnsi="楷体" w:eastAsia="楷体" w:cs="楷体"/>
          <w:b/>
          <w:sz w:val="19"/>
        </w:rPr>
      </w:pPr>
    </w:p>
    <w:p>
      <w:pPr>
        <w:pStyle w:val="3"/>
        <w:spacing w:before="1" w:line="436" w:lineRule="auto"/>
        <w:ind w:left="774" w:right="452" w:firstLine="480"/>
        <w:jc w:val="both"/>
        <w:rPr>
          <w:rFonts w:hint="eastAsia" w:ascii="楷体" w:hAnsi="楷体" w:eastAsia="楷体" w:cs="楷体"/>
        </w:rPr>
      </w:pPr>
      <w:r>
        <w:rPr>
          <w:rFonts w:hint="eastAsia" w:ascii="楷体" w:hAnsi="楷体" w:eastAsia="楷体" w:cs="楷体"/>
          <w:spacing w:val="5"/>
        </w:rPr>
        <w:t>货物</w:t>
      </w:r>
      <w:r>
        <w:rPr>
          <w:rFonts w:hint="eastAsia" w:ascii="楷体" w:hAnsi="楷体" w:eastAsia="楷体" w:cs="楷体"/>
          <w:spacing w:val="7"/>
        </w:rPr>
        <w:t>/服务</w:t>
      </w:r>
      <w:r>
        <w:rPr>
          <w:rFonts w:hint="eastAsia" w:ascii="楷体" w:hAnsi="楷体" w:eastAsia="楷体" w:cs="楷体"/>
          <w:spacing w:val="4"/>
        </w:rPr>
        <w:t>/</w:t>
      </w:r>
      <w:r>
        <w:rPr>
          <w:rFonts w:hint="eastAsia" w:ascii="楷体" w:hAnsi="楷体" w:eastAsia="楷体" w:cs="楷体"/>
          <w:spacing w:val="3"/>
        </w:rPr>
        <w:t>工程所应遵守的技术规范应与采购文件规定的技术规范和技术规</w:t>
      </w:r>
      <w:r>
        <w:rPr>
          <w:rFonts w:hint="eastAsia" w:ascii="楷体" w:hAnsi="楷体" w:eastAsia="楷体" w:cs="楷体"/>
          <w:spacing w:val="-1"/>
        </w:rPr>
        <w:t>范附件(如果有的话)及其技术规范偏差表(如果被甲方接受的话)相一致；如果采购</w:t>
      </w:r>
      <w:r>
        <w:rPr>
          <w:rFonts w:hint="eastAsia" w:ascii="楷体" w:hAnsi="楷体" w:eastAsia="楷体" w:cs="楷体"/>
          <w:spacing w:val="-3"/>
        </w:rPr>
        <w:t>文件中没有技术规范的相应说明，那么应以国家有关部门最新颁布的相应标准和规</w:t>
      </w:r>
      <w:r>
        <w:rPr>
          <w:rFonts w:hint="eastAsia" w:ascii="楷体" w:hAnsi="楷体" w:eastAsia="楷体" w:cs="楷体"/>
        </w:rPr>
        <w:t>范为准。</w:t>
      </w:r>
    </w:p>
    <w:p>
      <w:pPr>
        <w:pStyle w:val="28"/>
        <w:numPr>
          <w:ilvl w:val="1"/>
          <w:numId w:val="32"/>
        </w:numPr>
        <w:tabs>
          <w:tab w:val="left" w:pos="1737"/>
        </w:tabs>
        <w:spacing w:before="3" w:after="0" w:line="240" w:lineRule="auto"/>
        <w:ind w:left="1736" w:right="0" w:hanging="483"/>
        <w:jc w:val="both"/>
        <w:rPr>
          <w:rFonts w:hint="eastAsia" w:ascii="楷体" w:hAnsi="楷体" w:eastAsia="楷体" w:cs="楷体"/>
          <w:b/>
          <w:sz w:val="24"/>
        </w:rPr>
      </w:pPr>
      <w:bookmarkStart w:id="390" w:name="_bookmark21"/>
      <w:bookmarkEnd w:id="390"/>
      <w:bookmarkStart w:id="391" w:name="_bookmark21"/>
      <w:bookmarkEnd w:id="391"/>
      <w:bookmarkStart w:id="392" w:name="2.3 知识产权"/>
      <w:bookmarkEnd w:id="392"/>
      <w:r>
        <w:rPr>
          <w:rFonts w:hint="eastAsia" w:ascii="楷体" w:hAnsi="楷体" w:eastAsia="楷体" w:cs="楷体"/>
          <w:b/>
          <w:sz w:val="24"/>
        </w:rPr>
        <w:t>知识产权</w:t>
      </w:r>
    </w:p>
    <w:p>
      <w:pPr>
        <w:pStyle w:val="3"/>
        <w:spacing w:before="8"/>
        <w:rPr>
          <w:rFonts w:hint="eastAsia" w:ascii="楷体" w:hAnsi="楷体" w:eastAsia="楷体" w:cs="楷体"/>
          <w:b/>
          <w:sz w:val="19"/>
        </w:rPr>
      </w:pPr>
    </w:p>
    <w:p>
      <w:pPr>
        <w:pStyle w:val="28"/>
        <w:numPr>
          <w:ilvl w:val="2"/>
          <w:numId w:val="32"/>
        </w:numPr>
        <w:tabs>
          <w:tab w:val="left" w:pos="1982"/>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6"/>
          <w:sz w:val="24"/>
        </w:rPr>
        <w:t>乙方应保证其提供的货物</w:t>
      </w:r>
      <w:r>
        <w:rPr>
          <w:rFonts w:hint="eastAsia" w:ascii="楷体" w:hAnsi="楷体" w:eastAsia="楷体" w:cs="楷体"/>
          <w:spacing w:val="7"/>
          <w:sz w:val="24"/>
        </w:rPr>
        <w:t>/服务/</w:t>
      </w:r>
      <w:r>
        <w:rPr>
          <w:rFonts w:hint="eastAsia" w:ascii="楷体" w:hAnsi="楷体" w:eastAsia="楷体" w:cs="楷体"/>
          <w:spacing w:val="5"/>
          <w:sz w:val="24"/>
        </w:rPr>
        <w:t>工程不受任何第三方提出的侵犯其著</w:t>
      </w:r>
      <w:r>
        <w:rPr>
          <w:rFonts w:hint="eastAsia" w:ascii="楷体" w:hAnsi="楷体" w:eastAsia="楷体" w:cs="楷体"/>
          <w:spacing w:val="-6"/>
          <w:sz w:val="24"/>
        </w:rPr>
        <w:t>作权、商标权、专利权等知识产权方面的起诉；如果任何第三方提出侵权指控，那</w:t>
      </w:r>
      <w:r>
        <w:rPr>
          <w:rFonts w:hint="eastAsia" w:ascii="楷体" w:hAnsi="楷体" w:eastAsia="楷体" w:cs="楷体"/>
          <w:sz w:val="24"/>
        </w:rPr>
        <w:t>么乙方须与该第三方交涉并承担由此发生的一切责任、费用和赔偿；</w:t>
      </w:r>
    </w:p>
    <w:p>
      <w:pPr>
        <w:pStyle w:val="28"/>
        <w:numPr>
          <w:ilvl w:val="2"/>
          <w:numId w:val="32"/>
        </w:numPr>
        <w:tabs>
          <w:tab w:val="left" w:pos="1975"/>
        </w:tabs>
        <w:spacing w:before="1" w:after="0" w:line="436" w:lineRule="auto"/>
        <w:ind w:left="774" w:right="452" w:firstLine="480"/>
        <w:jc w:val="both"/>
        <w:rPr>
          <w:rFonts w:hint="eastAsia" w:ascii="楷体" w:hAnsi="楷体" w:eastAsia="楷体" w:cs="楷体"/>
          <w:sz w:val="24"/>
        </w:rPr>
      </w:pPr>
      <w:r>
        <w:rPr>
          <w:rFonts w:hint="eastAsia" w:ascii="楷体" w:hAnsi="楷体" w:eastAsia="楷体" w:cs="楷体"/>
          <w:spacing w:val="-3"/>
          <w:sz w:val="24"/>
        </w:rPr>
        <w:t>合同涉及技术成果的归属和收益的分成办法的，技术成果归属为甲方乙</w:t>
      </w:r>
      <w:r>
        <w:rPr>
          <w:rFonts w:hint="eastAsia" w:ascii="楷体" w:hAnsi="楷体" w:eastAsia="楷体" w:cs="楷体"/>
          <w:sz w:val="24"/>
        </w:rPr>
        <w:t>方所共有，由此产生的收益的分成办法按甲乙双方出资比例计算。</w:t>
      </w:r>
    </w:p>
    <w:p>
      <w:pPr>
        <w:pStyle w:val="28"/>
        <w:numPr>
          <w:ilvl w:val="1"/>
          <w:numId w:val="32"/>
        </w:numPr>
        <w:tabs>
          <w:tab w:val="left" w:pos="1737"/>
        </w:tabs>
        <w:spacing w:before="1" w:after="0" w:line="240" w:lineRule="auto"/>
        <w:ind w:left="1736" w:right="0" w:hanging="483"/>
        <w:jc w:val="both"/>
        <w:rPr>
          <w:rFonts w:hint="eastAsia" w:ascii="楷体" w:hAnsi="楷体" w:eastAsia="楷体" w:cs="楷体"/>
          <w:b/>
          <w:sz w:val="24"/>
        </w:rPr>
      </w:pPr>
      <w:r>
        <w:rPr>
          <w:rFonts w:hint="eastAsia" w:ascii="楷体" w:hAnsi="楷体" w:eastAsia="楷体" w:cs="楷体"/>
          <w:b/>
          <w:sz w:val="24"/>
        </w:rPr>
        <w:t>履约检查和问题反馈</w:t>
      </w:r>
    </w:p>
    <w:p>
      <w:pPr>
        <w:pStyle w:val="3"/>
        <w:spacing w:before="9"/>
        <w:rPr>
          <w:rFonts w:hint="eastAsia" w:ascii="楷体" w:hAnsi="楷体" w:eastAsia="楷体" w:cs="楷体"/>
          <w:b/>
          <w:sz w:val="19"/>
        </w:rPr>
      </w:pPr>
    </w:p>
    <w:p>
      <w:pPr>
        <w:pStyle w:val="28"/>
        <w:numPr>
          <w:ilvl w:val="2"/>
          <w:numId w:val="32"/>
        </w:numPr>
        <w:tabs>
          <w:tab w:val="left" w:pos="1915"/>
        </w:tabs>
        <w:spacing w:before="0" w:after="0" w:line="240" w:lineRule="auto"/>
        <w:ind w:left="1914" w:right="0" w:hanging="661"/>
        <w:jc w:val="left"/>
        <w:rPr>
          <w:rFonts w:hint="eastAsia" w:ascii="楷体" w:hAnsi="楷体" w:eastAsia="楷体" w:cs="楷体"/>
          <w:sz w:val="24"/>
        </w:rPr>
      </w:pPr>
      <w:r>
        <w:rPr>
          <w:rFonts w:hint="eastAsia" w:ascii="楷体" w:hAnsi="楷体" w:eastAsia="楷体" w:cs="楷体"/>
          <w:spacing w:val="-7"/>
          <w:sz w:val="24"/>
        </w:rPr>
        <w:t>甲方有权在其认为必要时，对乙方是否能够按照合同约定提供货物</w:t>
      </w:r>
      <w:r>
        <w:rPr>
          <w:rFonts w:hint="eastAsia" w:ascii="楷体" w:hAnsi="楷体" w:eastAsia="楷体" w:cs="楷体"/>
          <w:sz w:val="24"/>
        </w:rPr>
        <w:t>/服务</w:t>
      </w:r>
    </w:p>
    <w:p>
      <w:pPr>
        <w:pStyle w:val="3"/>
        <w:spacing w:before="8"/>
        <w:rPr>
          <w:rFonts w:hint="eastAsia" w:ascii="楷体" w:hAnsi="楷体" w:eastAsia="楷体" w:cs="楷体"/>
          <w:sz w:val="19"/>
        </w:rPr>
      </w:pPr>
    </w:p>
    <w:p>
      <w:pPr>
        <w:pStyle w:val="3"/>
        <w:spacing w:line="439" w:lineRule="auto"/>
        <w:ind w:left="774" w:right="452"/>
        <w:rPr>
          <w:rFonts w:hint="eastAsia" w:ascii="楷体" w:hAnsi="楷体" w:eastAsia="楷体" w:cs="楷体"/>
        </w:rPr>
      </w:pPr>
      <w:r>
        <w:rPr>
          <w:rFonts w:hint="eastAsia" w:ascii="楷体" w:hAnsi="楷体" w:eastAsia="楷体" w:cs="楷体"/>
        </w:rPr>
        <w:t>/工程进行履约检查，以确保乙方所提供的服务能够依约满足甲方之项目需求，但不得因履约检查妨碍乙方的正常工作，乙方应予积极配合；</w:t>
      </w:r>
    </w:p>
    <w:p>
      <w:pPr>
        <w:pStyle w:val="28"/>
        <w:numPr>
          <w:ilvl w:val="2"/>
          <w:numId w:val="32"/>
        </w:numPr>
        <w:tabs>
          <w:tab w:val="left" w:pos="1975"/>
        </w:tabs>
        <w:spacing w:before="0" w:after="0" w:line="436" w:lineRule="auto"/>
        <w:ind w:left="774" w:right="452" w:firstLine="480"/>
        <w:jc w:val="left"/>
        <w:rPr>
          <w:rFonts w:hint="eastAsia" w:ascii="楷体" w:hAnsi="楷体" w:eastAsia="楷体" w:cs="楷体"/>
          <w:sz w:val="24"/>
        </w:rPr>
      </w:pPr>
      <w:r>
        <w:rPr>
          <w:rFonts w:hint="eastAsia" w:ascii="楷体" w:hAnsi="楷体" w:eastAsia="楷体" w:cs="楷体"/>
          <w:spacing w:val="-4"/>
          <w:sz w:val="24"/>
        </w:rPr>
        <w:t>合同履行期间，甲方有权将履行过程中出现的问题反馈给乙方，双方当</w:t>
      </w:r>
      <w:r>
        <w:rPr>
          <w:rFonts w:hint="eastAsia" w:ascii="楷体" w:hAnsi="楷体" w:eastAsia="楷体" w:cs="楷体"/>
          <w:sz w:val="24"/>
        </w:rPr>
        <w:t>事人应以书面形式约定需要完善和改进的内容。</w:t>
      </w:r>
    </w:p>
    <w:p>
      <w:pPr>
        <w:pStyle w:val="28"/>
        <w:numPr>
          <w:ilvl w:val="1"/>
          <w:numId w:val="32"/>
        </w:numPr>
        <w:tabs>
          <w:tab w:val="left" w:pos="1737"/>
        </w:tabs>
        <w:spacing w:before="0" w:after="0" w:line="240" w:lineRule="auto"/>
        <w:ind w:left="1736" w:right="0" w:hanging="483"/>
        <w:jc w:val="left"/>
        <w:rPr>
          <w:rFonts w:hint="eastAsia" w:ascii="楷体" w:hAnsi="楷体" w:eastAsia="楷体" w:cs="楷体"/>
          <w:b/>
          <w:sz w:val="24"/>
        </w:rPr>
      </w:pPr>
      <w:bookmarkStart w:id="393" w:name="2.5 结算方式和付款条件"/>
      <w:bookmarkEnd w:id="393"/>
      <w:bookmarkStart w:id="394" w:name="_bookmark22"/>
      <w:bookmarkEnd w:id="394"/>
      <w:bookmarkStart w:id="395" w:name="_bookmark22"/>
      <w:bookmarkEnd w:id="395"/>
      <w:r>
        <w:rPr>
          <w:rFonts w:hint="eastAsia" w:ascii="楷体" w:hAnsi="楷体" w:eastAsia="楷体" w:cs="楷体"/>
          <w:b/>
          <w:sz w:val="24"/>
        </w:rPr>
        <w:t>结算方式和付款条件</w:t>
      </w:r>
    </w:p>
    <w:p>
      <w:pPr>
        <w:pStyle w:val="3"/>
        <w:spacing w:before="5"/>
        <w:rPr>
          <w:rFonts w:hint="eastAsia" w:ascii="楷体" w:hAnsi="楷体" w:eastAsia="楷体" w:cs="楷体"/>
          <w:b/>
          <w:sz w:val="19"/>
        </w:rPr>
      </w:pPr>
    </w:p>
    <w:p>
      <w:pPr>
        <w:pStyle w:val="28"/>
        <w:numPr>
          <w:ilvl w:val="2"/>
          <w:numId w:val="32"/>
        </w:numPr>
        <w:tabs>
          <w:tab w:val="left" w:pos="1915"/>
        </w:tabs>
        <w:spacing w:before="0" w:after="0" w:line="240" w:lineRule="auto"/>
        <w:ind w:left="1914" w:right="0" w:hanging="661"/>
        <w:jc w:val="both"/>
        <w:rPr>
          <w:rFonts w:hint="eastAsia" w:ascii="楷体" w:hAnsi="楷体" w:eastAsia="楷体" w:cs="楷体"/>
          <w:sz w:val="24"/>
        </w:rPr>
      </w:pPr>
      <w:bookmarkStart w:id="396" w:name="_bookmark23"/>
      <w:bookmarkEnd w:id="396"/>
      <w:bookmarkStart w:id="397" w:name="_bookmark23"/>
      <w:bookmarkEnd w:id="397"/>
      <w:bookmarkStart w:id="398" w:name="2.5.1甲方通过转账结算等方式向乙方结清货款。"/>
      <w:bookmarkEnd w:id="398"/>
      <w:r>
        <w:rPr>
          <w:rFonts w:hint="eastAsia" w:ascii="楷体" w:hAnsi="楷体" w:eastAsia="楷体" w:cs="楷体"/>
          <w:sz w:val="24"/>
        </w:rPr>
        <w:t>甲方通过转账结算等方式向乙方结清货款。</w:t>
      </w:r>
    </w:p>
    <w:p>
      <w:pPr>
        <w:pStyle w:val="3"/>
        <w:spacing w:before="8"/>
        <w:rPr>
          <w:rFonts w:hint="eastAsia" w:ascii="楷体" w:hAnsi="楷体" w:eastAsia="楷体" w:cs="楷体"/>
          <w:sz w:val="19"/>
        </w:rPr>
      </w:pPr>
    </w:p>
    <w:p>
      <w:pPr>
        <w:pStyle w:val="28"/>
        <w:numPr>
          <w:ilvl w:val="2"/>
          <w:numId w:val="32"/>
        </w:numPr>
        <w:tabs>
          <w:tab w:val="left" w:pos="1857"/>
        </w:tabs>
        <w:spacing w:before="0" w:after="0" w:line="436" w:lineRule="auto"/>
        <w:ind w:left="774" w:right="452" w:firstLine="480"/>
        <w:jc w:val="both"/>
        <w:rPr>
          <w:rFonts w:hint="eastAsia" w:ascii="楷体" w:hAnsi="楷体" w:eastAsia="楷体" w:cs="楷体"/>
          <w:sz w:val="24"/>
        </w:rPr>
      </w:pPr>
      <w:bookmarkStart w:id="399" w:name="_bookmark24"/>
      <w:bookmarkEnd w:id="399"/>
      <w:bookmarkStart w:id="400" w:name="2.5.2《喀什经济开发区绿地养护考核管理办法（试行）》和《喀什经济开发区环卫考"/>
      <w:bookmarkEnd w:id="400"/>
      <w:bookmarkStart w:id="401" w:name="_bookmark25"/>
      <w:bookmarkEnd w:id="401"/>
      <w:r>
        <w:rPr>
          <w:rFonts w:hint="eastAsia" w:ascii="楷体" w:hAnsi="楷体" w:eastAsia="楷体" w:cs="楷体"/>
          <w:sz w:val="24"/>
        </w:rPr>
        <w:t>《喀什经济开发区绿地养护考核管理办法</w:t>
      </w:r>
      <w:r>
        <w:rPr>
          <w:rFonts w:hint="eastAsia" w:ascii="楷体" w:hAnsi="楷体" w:eastAsia="楷体" w:cs="楷体"/>
          <w:spacing w:val="4"/>
          <w:sz w:val="24"/>
        </w:rPr>
        <w:t>（</w:t>
      </w:r>
      <w:r>
        <w:rPr>
          <w:rFonts w:hint="eastAsia" w:ascii="楷体" w:hAnsi="楷体" w:eastAsia="楷体" w:cs="楷体"/>
          <w:sz w:val="24"/>
        </w:rPr>
        <w:t>试行</w:t>
      </w:r>
      <w:r>
        <w:rPr>
          <w:rFonts w:hint="eastAsia" w:ascii="楷体" w:hAnsi="楷体" w:eastAsia="楷体" w:cs="楷体"/>
          <w:spacing w:val="4"/>
          <w:sz w:val="24"/>
        </w:rPr>
        <w:t>）</w:t>
      </w:r>
      <w:r>
        <w:rPr>
          <w:rFonts w:hint="eastAsia" w:ascii="楷体" w:hAnsi="楷体" w:eastAsia="楷体" w:cs="楷体"/>
          <w:sz w:val="24"/>
        </w:rPr>
        <w:t>》和《喀什经济开发</w:t>
      </w:r>
      <w:r>
        <w:rPr>
          <w:rFonts w:hint="eastAsia" w:ascii="楷体" w:hAnsi="楷体" w:eastAsia="楷体" w:cs="楷体"/>
          <w:spacing w:val="-1"/>
          <w:sz w:val="24"/>
        </w:rPr>
        <w:t>区环卫考核管理办法</w:t>
      </w:r>
      <w:r>
        <w:rPr>
          <w:rFonts w:hint="eastAsia" w:ascii="楷体" w:hAnsi="楷体" w:eastAsia="楷体" w:cs="楷体"/>
          <w:sz w:val="24"/>
        </w:rPr>
        <w:t>（试行</w:t>
      </w:r>
      <w:r>
        <w:rPr>
          <w:rFonts w:hint="eastAsia" w:ascii="楷体" w:hAnsi="楷体" w:eastAsia="楷体" w:cs="楷体"/>
          <w:spacing w:val="-5"/>
          <w:sz w:val="24"/>
        </w:rPr>
        <w:t>）</w:t>
      </w:r>
      <w:r>
        <w:rPr>
          <w:rFonts w:hint="eastAsia" w:ascii="楷体" w:hAnsi="楷体" w:eastAsia="楷体" w:cs="楷体"/>
          <w:spacing w:val="-4"/>
          <w:sz w:val="24"/>
        </w:rPr>
        <w:t>》对管护公司每月一次现场考核，按考核结果支付每</w:t>
      </w:r>
      <w:r>
        <w:rPr>
          <w:rFonts w:hint="eastAsia" w:ascii="楷体" w:hAnsi="楷体" w:eastAsia="楷体" w:cs="楷体"/>
          <w:sz w:val="24"/>
        </w:rPr>
        <w:t>月管护费用。</w:t>
      </w:r>
    </w:p>
    <w:p>
      <w:pPr>
        <w:pStyle w:val="28"/>
        <w:numPr>
          <w:ilvl w:val="1"/>
          <w:numId w:val="32"/>
        </w:numPr>
        <w:tabs>
          <w:tab w:val="left" w:pos="1737"/>
        </w:tabs>
        <w:spacing w:before="1" w:after="0" w:line="240" w:lineRule="auto"/>
        <w:ind w:left="1736" w:right="0" w:hanging="483"/>
        <w:jc w:val="both"/>
        <w:rPr>
          <w:rFonts w:hint="eastAsia" w:ascii="楷体" w:hAnsi="楷体" w:eastAsia="楷体" w:cs="楷体"/>
          <w:b/>
          <w:sz w:val="24"/>
        </w:rPr>
      </w:pPr>
      <w:bookmarkStart w:id="402" w:name="2.6 技术资料和保密义务"/>
      <w:bookmarkEnd w:id="402"/>
      <w:bookmarkStart w:id="403" w:name="2.6 技术资料和保密义务"/>
      <w:bookmarkEnd w:id="403"/>
      <w:r>
        <w:rPr>
          <w:rFonts w:hint="eastAsia" w:ascii="楷体" w:hAnsi="楷体" w:eastAsia="楷体" w:cs="楷体"/>
          <w:b/>
          <w:sz w:val="24"/>
        </w:rPr>
        <w:t>技术资料和保密义务</w:t>
      </w:r>
    </w:p>
    <w:p>
      <w:pPr>
        <w:pStyle w:val="28"/>
        <w:numPr>
          <w:ilvl w:val="2"/>
          <w:numId w:val="32"/>
        </w:numPr>
        <w:tabs>
          <w:tab w:val="left" w:pos="1975"/>
        </w:tabs>
        <w:spacing w:before="83" w:after="0" w:line="436" w:lineRule="auto"/>
        <w:ind w:left="774" w:right="452" w:firstLine="480"/>
        <w:jc w:val="both"/>
        <w:rPr>
          <w:rFonts w:hint="eastAsia" w:ascii="楷体" w:hAnsi="楷体" w:eastAsia="楷体" w:cs="楷体"/>
          <w:sz w:val="24"/>
        </w:rPr>
      </w:pPr>
      <w:r>
        <w:rPr>
          <w:rFonts w:hint="eastAsia" w:ascii="楷体" w:hAnsi="楷体" w:eastAsia="楷体" w:cs="楷体"/>
          <w:spacing w:val="-3"/>
          <w:sz w:val="24"/>
        </w:rPr>
        <w:t>乙方有权依据合同约定和项目需要，向甲方了解有关情况，调阅有关资</w:t>
      </w:r>
      <w:r>
        <w:rPr>
          <w:rFonts w:hint="eastAsia" w:ascii="楷体" w:hAnsi="楷体" w:eastAsia="楷体" w:cs="楷体"/>
          <w:sz w:val="24"/>
        </w:rPr>
        <w:t>料等，甲方应予积极配合；</w:t>
      </w:r>
    </w:p>
    <w:p>
      <w:pPr>
        <w:pStyle w:val="28"/>
        <w:numPr>
          <w:ilvl w:val="2"/>
          <w:numId w:val="32"/>
        </w:numPr>
        <w:tabs>
          <w:tab w:val="left" w:pos="1975"/>
        </w:tabs>
        <w:spacing w:before="0" w:after="0" w:line="307" w:lineRule="exact"/>
        <w:ind w:left="1974" w:right="0" w:hanging="721"/>
        <w:jc w:val="both"/>
        <w:rPr>
          <w:rFonts w:hint="eastAsia" w:ascii="楷体" w:hAnsi="楷体" w:eastAsia="楷体" w:cs="楷体"/>
          <w:sz w:val="24"/>
        </w:rPr>
      </w:pPr>
      <w:r>
        <w:rPr>
          <w:rFonts w:hint="eastAsia" w:ascii="楷体" w:hAnsi="楷体" w:eastAsia="楷体" w:cs="楷体"/>
          <w:sz w:val="24"/>
        </w:rPr>
        <w:t>乙方有义务妥善保管和保护由甲方提供的前款信息和资料等；</w:t>
      </w:r>
    </w:p>
    <w:p>
      <w:pPr>
        <w:pStyle w:val="3"/>
        <w:spacing w:before="11"/>
        <w:rPr>
          <w:rFonts w:hint="eastAsia" w:ascii="楷体" w:hAnsi="楷体" w:eastAsia="楷体" w:cs="楷体"/>
          <w:sz w:val="19"/>
        </w:rPr>
      </w:pPr>
    </w:p>
    <w:p>
      <w:pPr>
        <w:pStyle w:val="28"/>
        <w:numPr>
          <w:ilvl w:val="2"/>
          <w:numId w:val="32"/>
        </w:numPr>
        <w:tabs>
          <w:tab w:val="left" w:pos="1975"/>
        </w:tabs>
        <w:spacing w:before="0" w:after="0" w:line="436" w:lineRule="auto"/>
        <w:ind w:left="774" w:right="430" w:firstLine="480"/>
        <w:jc w:val="both"/>
        <w:rPr>
          <w:rFonts w:hint="eastAsia" w:ascii="楷体" w:hAnsi="楷体" w:eastAsia="楷体" w:cs="楷体"/>
          <w:sz w:val="24"/>
        </w:rPr>
      </w:pPr>
      <w:r>
        <w:rPr>
          <w:rFonts w:hint="eastAsia" w:ascii="楷体" w:hAnsi="楷体" w:eastAsia="楷体" w:cs="楷体"/>
          <w:spacing w:val="-2"/>
          <w:sz w:val="24"/>
        </w:rPr>
        <w:t>除非依照法律规定或者对方当事人的书面同意，任何一方均应保证不向</w:t>
      </w:r>
      <w:r>
        <w:rPr>
          <w:rFonts w:hint="eastAsia" w:ascii="楷体" w:hAnsi="楷体" w:eastAsia="楷体" w:cs="楷体"/>
          <w:spacing w:val="3"/>
          <w:sz w:val="24"/>
        </w:rPr>
        <w:t>任何第三方提供或披露有关合同的或者履行合同过程中知悉的对方当事人任何未</w:t>
      </w:r>
      <w:r>
        <w:rPr>
          <w:rFonts w:hint="eastAsia" w:ascii="楷体" w:hAnsi="楷体" w:eastAsia="楷体" w:cs="楷体"/>
          <w:spacing w:val="2"/>
          <w:sz w:val="24"/>
        </w:rPr>
        <w:t xml:space="preserve">公开的信息和资料，包括但不限于技术情报、技术资料、商业秘密和商业信息等， </w:t>
      </w:r>
      <w:r>
        <w:rPr>
          <w:rFonts w:hint="eastAsia" w:ascii="楷体" w:hAnsi="楷体" w:eastAsia="楷体" w:cs="楷体"/>
          <w:spacing w:val="3"/>
          <w:sz w:val="24"/>
        </w:rPr>
        <w:t>并采取一切合理和必要措施和方式防止任何第三方接触到对方当事人的上述保密信息和资料。</w:t>
      </w:r>
    </w:p>
    <w:p>
      <w:pPr>
        <w:pStyle w:val="28"/>
        <w:numPr>
          <w:ilvl w:val="1"/>
          <w:numId w:val="32"/>
        </w:numPr>
        <w:tabs>
          <w:tab w:val="left" w:pos="1737"/>
        </w:tabs>
        <w:spacing w:before="0" w:after="0" w:line="240" w:lineRule="auto"/>
        <w:ind w:left="1736" w:right="0" w:hanging="483"/>
        <w:jc w:val="both"/>
        <w:rPr>
          <w:rFonts w:hint="eastAsia" w:ascii="楷体" w:hAnsi="楷体" w:eastAsia="楷体" w:cs="楷体"/>
          <w:b/>
          <w:sz w:val="24"/>
        </w:rPr>
      </w:pPr>
      <w:bookmarkStart w:id="404" w:name="_bookmark26"/>
      <w:bookmarkEnd w:id="404"/>
      <w:bookmarkStart w:id="405" w:name="2.7 质量保证"/>
      <w:bookmarkEnd w:id="405"/>
      <w:bookmarkStart w:id="406" w:name="_bookmark26"/>
      <w:bookmarkEnd w:id="406"/>
      <w:r>
        <w:rPr>
          <w:rFonts w:hint="eastAsia" w:ascii="楷体" w:hAnsi="楷体" w:eastAsia="楷体" w:cs="楷体"/>
          <w:b/>
          <w:sz w:val="24"/>
        </w:rPr>
        <w:t>质量保证</w:t>
      </w:r>
    </w:p>
    <w:p>
      <w:pPr>
        <w:pStyle w:val="3"/>
        <w:spacing w:before="10"/>
        <w:rPr>
          <w:rFonts w:hint="eastAsia" w:ascii="楷体" w:hAnsi="楷体" w:eastAsia="楷体" w:cs="楷体"/>
          <w:b/>
          <w:sz w:val="19"/>
        </w:rPr>
      </w:pPr>
    </w:p>
    <w:p>
      <w:pPr>
        <w:pStyle w:val="28"/>
        <w:numPr>
          <w:ilvl w:val="2"/>
          <w:numId w:val="32"/>
        </w:numPr>
        <w:tabs>
          <w:tab w:val="left" w:pos="1975"/>
        </w:tabs>
        <w:spacing w:before="1" w:after="0" w:line="436" w:lineRule="auto"/>
        <w:ind w:left="774" w:right="452" w:firstLine="480"/>
        <w:jc w:val="both"/>
        <w:rPr>
          <w:rFonts w:hint="eastAsia" w:ascii="楷体" w:hAnsi="楷体" w:eastAsia="楷体" w:cs="楷体"/>
          <w:sz w:val="24"/>
        </w:rPr>
      </w:pPr>
      <w:r>
        <w:rPr>
          <w:rFonts w:hint="eastAsia" w:ascii="楷体" w:hAnsi="楷体" w:eastAsia="楷体" w:cs="楷体"/>
          <w:spacing w:val="-2"/>
          <w:sz w:val="24"/>
        </w:rPr>
        <w:t>乙方应建立和完善履行合同的内部质量保证体系，并提供相关内部规章</w:t>
      </w:r>
      <w:r>
        <w:rPr>
          <w:rFonts w:hint="eastAsia" w:ascii="楷体" w:hAnsi="楷体" w:eastAsia="楷体" w:cs="楷体"/>
          <w:sz w:val="24"/>
        </w:rPr>
        <w:t>制度给甲方，以便甲方进行监督检查；</w:t>
      </w:r>
    </w:p>
    <w:p>
      <w:pPr>
        <w:pStyle w:val="28"/>
        <w:numPr>
          <w:ilvl w:val="2"/>
          <w:numId w:val="32"/>
        </w:numPr>
        <w:tabs>
          <w:tab w:val="left" w:pos="1975"/>
        </w:tabs>
        <w:spacing w:before="0" w:after="0" w:line="439" w:lineRule="auto"/>
        <w:ind w:left="774" w:right="452" w:firstLine="480"/>
        <w:jc w:val="both"/>
        <w:rPr>
          <w:rFonts w:hint="eastAsia" w:ascii="楷体" w:hAnsi="楷体" w:eastAsia="楷体" w:cs="楷体"/>
          <w:sz w:val="24"/>
        </w:rPr>
      </w:pPr>
      <w:r>
        <w:rPr>
          <w:rFonts w:hint="eastAsia" w:ascii="楷体" w:hAnsi="楷体" w:eastAsia="楷体" w:cs="楷体"/>
          <w:spacing w:val="-3"/>
          <w:sz w:val="24"/>
        </w:rPr>
        <w:t>乙方应保证履行合同的人员数量和素质、管护达到绿化养护环卫保洁二</w:t>
      </w:r>
      <w:r>
        <w:rPr>
          <w:rFonts w:hint="eastAsia" w:ascii="楷体" w:hAnsi="楷体" w:eastAsia="楷体" w:cs="楷体"/>
          <w:sz w:val="24"/>
        </w:rPr>
        <w:t>级标准，并应接受甲方的监督检查。</w:t>
      </w:r>
    </w:p>
    <w:p>
      <w:pPr>
        <w:pStyle w:val="28"/>
        <w:numPr>
          <w:ilvl w:val="1"/>
          <w:numId w:val="32"/>
        </w:numPr>
        <w:tabs>
          <w:tab w:val="left" w:pos="1737"/>
        </w:tabs>
        <w:spacing w:before="0" w:after="0" w:line="303" w:lineRule="exact"/>
        <w:ind w:left="1736" w:right="0" w:hanging="483"/>
        <w:jc w:val="both"/>
        <w:rPr>
          <w:rFonts w:hint="eastAsia" w:ascii="楷体" w:hAnsi="楷体" w:eastAsia="楷体" w:cs="楷体"/>
          <w:b/>
          <w:sz w:val="24"/>
        </w:rPr>
      </w:pPr>
      <w:bookmarkStart w:id="407" w:name="_bookmark27"/>
      <w:bookmarkEnd w:id="407"/>
      <w:bookmarkStart w:id="408" w:name="2.8 延迟履行"/>
      <w:bookmarkEnd w:id="408"/>
      <w:bookmarkStart w:id="409" w:name="_bookmark27"/>
      <w:bookmarkEnd w:id="409"/>
      <w:r>
        <w:rPr>
          <w:rFonts w:hint="eastAsia" w:ascii="楷体" w:hAnsi="楷体" w:eastAsia="楷体" w:cs="楷体"/>
          <w:b/>
          <w:sz w:val="24"/>
        </w:rPr>
        <w:t>延迟履行</w:t>
      </w:r>
    </w:p>
    <w:p>
      <w:pPr>
        <w:pStyle w:val="3"/>
        <w:spacing w:before="7"/>
        <w:rPr>
          <w:rFonts w:hint="eastAsia" w:ascii="楷体" w:hAnsi="楷体" w:eastAsia="楷体" w:cs="楷体"/>
          <w:b/>
          <w:sz w:val="19"/>
        </w:rPr>
      </w:pPr>
    </w:p>
    <w:p>
      <w:pPr>
        <w:pStyle w:val="3"/>
        <w:spacing w:line="436" w:lineRule="auto"/>
        <w:ind w:left="774" w:right="452" w:firstLine="480"/>
        <w:jc w:val="both"/>
        <w:rPr>
          <w:rFonts w:hint="eastAsia" w:ascii="楷体" w:hAnsi="楷体" w:eastAsia="楷体" w:cs="楷体"/>
        </w:rPr>
      </w:pPr>
      <w:r>
        <w:rPr>
          <w:rFonts w:hint="eastAsia" w:ascii="楷体" w:hAnsi="楷体" w:eastAsia="楷体" w:cs="楷体"/>
          <w:spacing w:val="-2"/>
        </w:rPr>
        <w:t>在合同履行过程中，如果乙方遇到不能按时提供货物</w:t>
      </w:r>
      <w:r>
        <w:rPr>
          <w:rFonts w:hint="eastAsia" w:ascii="楷体" w:hAnsi="楷体" w:eastAsia="楷体" w:cs="楷体"/>
        </w:rPr>
        <w:t>/服务/</w:t>
      </w:r>
      <w:r>
        <w:rPr>
          <w:rFonts w:hint="eastAsia" w:ascii="楷体" w:hAnsi="楷体" w:eastAsia="楷体" w:cs="楷体"/>
          <w:spacing w:val="-4"/>
        </w:rPr>
        <w:t>工程的情况，应及</w:t>
      </w:r>
      <w:r>
        <w:rPr>
          <w:rFonts w:hint="eastAsia" w:ascii="楷体" w:hAnsi="楷体" w:eastAsia="楷体" w:cs="楷体"/>
        </w:rPr>
        <w:t>时以书面形式将不能按时提供货物/服务/</w:t>
      </w:r>
      <w:r>
        <w:rPr>
          <w:rFonts w:hint="eastAsia" w:ascii="楷体" w:hAnsi="楷体" w:eastAsia="楷体" w:cs="楷体"/>
          <w:spacing w:val="-4"/>
        </w:rPr>
        <w:t>工程的理由、预期延误时间通知甲方；甲方收到乙方通知后，认为其理由正当的，可以书面形式酌情同意乙方可以延长履行</w:t>
      </w:r>
      <w:r>
        <w:rPr>
          <w:rFonts w:hint="eastAsia" w:ascii="楷体" w:hAnsi="楷体" w:eastAsia="楷体" w:cs="楷体"/>
        </w:rPr>
        <w:t>的具体时间。</w:t>
      </w:r>
    </w:p>
    <w:p>
      <w:pPr>
        <w:pStyle w:val="28"/>
        <w:numPr>
          <w:ilvl w:val="1"/>
          <w:numId w:val="32"/>
        </w:numPr>
        <w:tabs>
          <w:tab w:val="left" w:pos="1737"/>
        </w:tabs>
        <w:spacing w:before="3" w:after="0" w:line="240" w:lineRule="auto"/>
        <w:ind w:left="1736" w:right="0" w:hanging="483"/>
        <w:jc w:val="both"/>
        <w:rPr>
          <w:rFonts w:hint="eastAsia" w:ascii="楷体" w:hAnsi="楷体" w:eastAsia="楷体" w:cs="楷体"/>
          <w:b/>
          <w:sz w:val="24"/>
        </w:rPr>
      </w:pPr>
      <w:bookmarkStart w:id="410" w:name="_bookmark28"/>
      <w:bookmarkEnd w:id="410"/>
      <w:bookmarkStart w:id="411" w:name="_bookmark28"/>
      <w:bookmarkEnd w:id="411"/>
      <w:bookmarkStart w:id="412" w:name="2.9 合同变更"/>
      <w:bookmarkEnd w:id="412"/>
      <w:r>
        <w:rPr>
          <w:rFonts w:hint="eastAsia" w:ascii="楷体" w:hAnsi="楷体" w:eastAsia="楷体" w:cs="楷体"/>
          <w:b/>
          <w:sz w:val="24"/>
        </w:rPr>
        <w:t>合同变更</w:t>
      </w:r>
    </w:p>
    <w:p>
      <w:pPr>
        <w:pStyle w:val="3"/>
        <w:spacing w:before="8"/>
        <w:rPr>
          <w:rFonts w:hint="eastAsia" w:ascii="楷体" w:hAnsi="楷体" w:eastAsia="楷体" w:cs="楷体"/>
          <w:b/>
          <w:sz w:val="19"/>
        </w:rPr>
      </w:pPr>
    </w:p>
    <w:p>
      <w:pPr>
        <w:pStyle w:val="28"/>
        <w:numPr>
          <w:ilvl w:val="2"/>
          <w:numId w:val="32"/>
        </w:numPr>
        <w:tabs>
          <w:tab w:val="left" w:pos="1975"/>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3"/>
          <w:sz w:val="24"/>
        </w:rPr>
        <w:t>双方当事人协商一致，可以签订书面补充合同的形式变更合同，但不得</w:t>
      </w:r>
      <w:r>
        <w:rPr>
          <w:rFonts w:hint="eastAsia" w:ascii="楷体" w:hAnsi="楷体" w:eastAsia="楷体" w:cs="楷体"/>
          <w:spacing w:val="-1"/>
          <w:sz w:val="24"/>
        </w:rPr>
        <w:t>违背采购文件确定的事项，且如果系追加与合同标的相同的货物</w:t>
      </w:r>
      <w:r>
        <w:rPr>
          <w:rFonts w:hint="eastAsia" w:ascii="楷体" w:hAnsi="楷体" w:eastAsia="楷体" w:cs="楷体"/>
          <w:sz w:val="24"/>
        </w:rPr>
        <w:t>/服务/</w:t>
      </w:r>
      <w:r>
        <w:rPr>
          <w:rFonts w:hint="eastAsia" w:ascii="楷体" w:hAnsi="楷体" w:eastAsia="楷体" w:cs="楷体"/>
          <w:spacing w:val="-6"/>
          <w:sz w:val="24"/>
        </w:rPr>
        <w:t>工程的，那</w:t>
      </w:r>
      <w:r>
        <w:rPr>
          <w:rFonts w:hint="eastAsia" w:ascii="楷体" w:hAnsi="楷体" w:eastAsia="楷体" w:cs="楷体"/>
          <w:spacing w:val="-3"/>
          <w:sz w:val="24"/>
        </w:rPr>
        <w:t xml:space="preserve">么所有补充合同的采购金额不得超过原合同价的 </w:t>
      </w:r>
      <w:r>
        <w:rPr>
          <w:rFonts w:hint="eastAsia" w:ascii="楷体" w:hAnsi="楷体" w:eastAsia="楷体" w:cs="楷体"/>
          <w:sz w:val="24"/>
        </w:rPr>
        <w:t>10%；</w:t>
      </w:r>
    </w:p>
    <w:p>
      <w:pPr>
        <w:pStyle w:val="28"/>
        <w:numPr>
          <w:ilvl w:val="2"/>
          <w:numId w:val="32"/>
        </w:numPr>
        <w:tabs>
          <w:tab w:val="left" w:pos="1975"/>
        </w:tabs>
        <w:spacing w:before="1" w:after="0" w:line="436" w:lineRule="auto"/>
        <w:ind w:left="774" w:right="452" w:firstLine="480"/>
        <w:jc w:val="both"/>
        <w:rPr>
          <w:rFonts w:hint="eastAsia" w:ascii="楷体" w:hAnsi="楷体" w:eastAsia="楷体" w:cs="楷体"/>
          <w:sz w:val="24"/>
        </w:rPr>
      </w:pPr>
      <w:r>
        <w:rPr>
          <w:rFonts w:hint="eastAsia" w:ascii="楷体" w:hAnsi="楷体" w:eastAsia="楷体" w:cs="楷体"/>
          <w:spacing w:val="-2"/>
          <w:sz w:val="24"/>
        </w:rPr>
        <w:t>合同继续履行将损害国家利益和社会公共利益的，双方当事人应当以书</w:t>
      </w:r>
      <w:r>
        <w:rPr>
          <w:rFonts w:hint="eastAsia" w:ascii="楷体" w:hAnsi="楷体" w:eastAsia="楷体" w:cs="楷体"/>
          <w:spacing w:val="-4"/>
          <w:sz w:val="24"/>
        </w:rPr>
        <w:t>面形式变更合同。有过错的一方应当承担赔偿责任，双方当事人都有过错的，各自</w:t>
      </w:r>
    </w:p>
    <w:p>
      <w:pPr>
        <w:pStyle w:val="3"/>
        <w:spacing w:before="83"/>
        <w:ind w:left="774"/>
        <w:rPr>
          <w:rFonts w:hint="eastAsia" w:ascii="楷体" w:hAnsi="楷体" w:eastAsia="楷体" w:cs="楷体"/>
        </w:rPr>
      </w:pPr>
      <w:r>
        <w:rPr>
          <w:rFonts w:hint="eastAsia" w:ascii="楷体" w:hAnsi="楷体" w:eastAsia="楷体" w:cs="楷体"/>
        </w:rPr>
        <w:t>承担相应的责任。</w:t>
      </w:r>
    </w:p>
    <w:p>
      <w:pPr>
        <w:pStyle w:val="3"/>
        <w:spacing w:before="8"/>
        <w:rPr>
          <w:rFonts w:hint="eastAsia" w:ascii="楷体" w:hAnsi="楷体" w:eastAsia="楷体" w:cs="楷体"/>
          <w:sz w:val="19"/>
        </w:rPr>
      </w:pPr>
    </w:p>
    <w:p>
      <w:pPr>
        <w:pStyle w:val="28"/>
        <w:numPr>
          <w:ilvl w:val="1"/>
          <w:numId w:val="32"/>
        </w:numPr>
        <w:tabs>
          <w:tab w:val="left" w:pos="1857"/>
        </w:tabs>
        <w:spacing w:before="0" w:after="0" w:line="240" w:lineRule="auto"/>
        <w:ind w:left="1856" w:right="0" w:hanging="603"/>
        <w:jc w:val="both"/>
        <w:rPr>
          <w:rFonts w:hint="eastAsia" w:ascii="楷体" w:hAnsi="楷体" w:eastAsia="楷体" w:cs="楷体"/>
          <w:b/>
          <w:sz w:val="24"/>
        </w:rPr>
      </w:pPr>
      <w:bookmarkStart w:id="413" w:name="2.10 合同转让和分包"/>
      <w:bookmarkEnd w:id="413"/>
      <w:bookmarkStart w:id="414" w:name="_bookmark29"/>
      <w:bookmarkEnd w:id="414"/>
      <w:bookmarkStart w:id="415" w:name="_bookmark29"/>
      <w:bookmarkEnd w:id="415"/>
      <w:r>
        <w:rPr>
          <w:rFonts w:hint="eastAsia" w:ascii="楷体" w:hAnsi="楷体" w:eastAsia="楷体" w:cs="楷体"/>
          <w:b/>
          <w:sz w:val="24"/>
        </w:rPr>
        <w:t>合同转让和分包</w:t>
      </w:r>
    </w:p>
    <w:p>
      <w:pPr>
        <w:pStyle w:val="3"/>
        <w:spacing w:before="8"/>
        <w:rPr>
          <w:rFonts w:hint="eastAsia" w:ascii="楷体" w:hAnsi="楷体" w:eastAsia="楷体" w:cs="楷体"/>
          <w:b/>
          <w:sz w:val="19"/>
        </w:rPr>
      </w:pPr>
    </w:p>
    <w:p>
      <w:pPr>
        <w:pStyle w:val="3"/>
        <w:spacing w:before="1" w:line="436" w:lineRule="auto"/>
        <w:ind w:left="774" w:right="430" w:firstLine="480"/>
        <w:jc w:val="both"/>
        <w:rPr>
          <w:rFonts w:hint="eastAsia" w:ascii="楷体" w:hAnsi="楷体" w:eastAsia="楷体" w:cs="楷体"/>
        </w:rPr>
      </w:pPr>
      <w:r>
        <w:rPr>
          <w:rFonts w:hint="eastAsia" w:ascii="楷体" w:hAnsi="楷体" w:eastAsia="楷体" w:cs="楷体"/>
        </w:rPr>
        <w:t>合同的权利义务依法不得转让，但经甲方同意，乙方可以依法采取分包方式履行合同，即：依法可以将合同项下的部分非主体、非关键性工作分包给他人完成， 接受分包的人应当具备相应的资格条件，并不得再次分包，且乙方应就分包项目向甲方负责，并与分包供应商就分包项目向甲方承担连带责任。</w:t>
      </w:r>
    </w:p>
    <w:p>
      <w:pPr>
        <w:pStyle w:val="28"/>
        <w:numPr>
          <w:ilvl w:val="1"/>
          <w:numId w:val="32"/>
        </w:numPr>
        <w:tabs>
          <w:tab w:val="left" w:pos="1857"/>
        </w:tabs>
        <w:spacing w:before="3" w:after="0" w:line="240" w:lineRule="auto"/>
        <w:ind w:left="1856" w:right="0" w:hanging="603"/>
        <w:jc w:val="both"/>
        <w:rPr>
          <w:rFonts w:hint="eastAsia" w:ascii="楷体" w:hAnsi="楷体" w:eastAsia="楷体" w:cs="楷体"/>
          <w:b/>
          <w:sz w:val="24"/>
        </w:rPr>
      </w:pPr>
      <w:bookmarkStart w:id="416" w:name="_bookmark30"/>
      <w:bookmarkEnd w:id="416"/>
      <w:bookmarkStart w:id="417" w:name="2.11 不可抗力"/>
      <w:bookmarkEnd w:id="417"/>
      <w:bookmarkStart w:id="418" w:name="_bookmark30"/>
      <w:bookmarkEnd w:id="418"/>
      <w:r>
        <w:rPr>
          <w:rFonts w:hint="eastAsia" w:ascii="楷体" w:hAnsi="楷体" w:eastAsia="楷体" w:cs="楷体"/>
          <w:b/>
          <w:sz w:val="24"/>
        </w:rPr>
        <w:t>不可抗力</w:t>
      </w:r>
    </w:p>
    <w:p>
      <w:pPr>
        <w:pStyle w:val="3"/>
        <w:spacing w:before="8"/>
        <w:rPr>
          <w:rFonts w:hint="eastAsia" w:ascii="楷体" w:hAnsi="楷体" w:eastAsia="楷体" w:cs="楷体"/>
          <w:b/>
          <w:sz w:val="19"/>
        </w:rPr>
      </w:pPr>
    </w:p>
    <w:p>
      <w:pPr>
        <w:pStyle w:val="28"/>
        <w:numPr>
          <w:ilvl w:val="2"/>
          <w:numId w:val="32"/>
        </w:numPr>
        <w:tabs>
          <w:tab w:val="left" w:pos="2035"/>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pacing w:val="-6"/>
          <w:sz w:val="24"/>
        </w:rPr>
        <w:t>如果任何一方遭遇法律规定的不可抗力，致使合同履行受阻时，履行合</w:t>
      </w:r>
      <w:r>
        <w:rPr>
          <w:rFonts w:hint="eastAsia" w:ascii="楷体" w:hAnsi="楷体" w:eastAsia="楷体" w:cs="楷体"/>
          <w:sz w:val="24"/>
        </w:rPr>
        <w:t>同的期限应予延长，延长的期限应相当于不可抗力所影响的时间；</w:t>
      </w:r>
    </w:p>
    <w:p>
      <w:pPr>
        <w:pStyle w:val="28"/>
        <w:numPr>
          <w:ilvl w:val="2"/>
          <w:numId w:val="32"/>
        </w:numPr>
        <w:tabs>
          <w:tab w:val="left" w:pos="2095"/>
        </w:tabs>
        <w:spacing w:before="1" w:after="0" w:line="240" w:lineRule="auto"/>
        <w:ind w:left="2094" w:right="0" w:hanging="841"/>
        <w:jc w:val="both"/>
        <w:rPr>
          <w:rFonts w:hint="eastAsia" w:ascii="楷体" w:hAnsi="楷体" w:eastAsia="楷体" w:cs="楷体"/>
          <w:sz w:val="24"/>
        </w:rPr>
      </w:pPr>
      <w:r>
        <w:rPr>
          <w:rFonts w:hint="eastAsia" w:ascii="楷体" w:hAnsi="楷体" w:eastAsia="楷体" w:cs="楷体"/>
          <w:sz w:val="24"/>
        </w:rPr>
        <w:t>因不可抗力致使不能实现合同目的，当事人可以解除合同；</w:t>
      </w:r>
    </w:p>
    <w:p>
      <w:pPr>
        <w:pStyle w:val="3"/>
        <w:spacing w:before="8"/>
        <w:rPr>
          <w:rFonts w:hint="eastAsia" w:ascii="楷体" w:hAnsi="楷体" w:eastAsia="楷体" w:cs="楷体"/>
          <w:sz w:val="19"/>
        </w:rPr>
      </w:pPr>
    </w:p>
    <w:p>
      <w:pPr>
        <w:pStyle w:val="28"/>
        <w:numPr>
          <w:ilvl w:val="2"/>
          <w:numId w:val="32"/>
        </w:numPr>
        <w:tabs>
          <w:tab w:val="left" w:pos="2095"/>
        </w:tabs>
        <w:spacing w:before="1" w:after="0" w:line="436" w:lineRule="auto"/>
        <w:ind w:left="774" w:right="452" w:firstLine="480"/>
        <w:jc w:val="both"/>
        <w:rPr>
          <w:rFonts w:hint="eastAsia" w:ascii="楷体" w:hAnsi="楷体" w:eastAsia="楷体" w:cs="楷体"/>
          <w:sz w:val="24"/>
        </w:rPr>
      </w:pPr>
      <w:r>
        <w:rPr>
          <w:rFonts w:hint="eastAsia" w:ascii="楷体" w:hAnsi="楷体" w:eastAsia="楷体" w:cs="楷体"/>
          <w:spacing w:val="-5"/>
          <w:sz w:val="24"/>
        </w:rPr>
        <w:t xml:space="preserve">因不可抗力致使合同有变更必要的，双方当事人应在 </w:t>
      </w:r>
      <w:r>
        <w:rPr>
          <w:rFonts w:hint="eastAsia" w:ascii="楷体" w:hAnsi="楷体" w:eastAsia="楷体" w:cs="楷体"/>
          <w:sz w:val="24"/>
        </w:rPr>
        <w:t>10</w:t>
      </w:r>
      <w:r>
        <w:rPr>
          <w:rFonts w:hint="eastAsia" w:ascii="楷体" w:hAnsi="楷体" w:eastAsia="楷体" w:cs="楷体"/>
          <w:spacing w:val="-11"/>
          <w:sz w:val="24"/>
        </w:rPr>
        <w:t xml:space="preserve"> 个工作日内以</w:t>
      </w:r>
      <w:r>
        <w:rPr>
          <w:rFonts w:hint="eastAsia" w:ascii="楷体" w:hAnsi="楷体" w:eastAsia="楷体" w:cs="楷体"/>
          <w:sz w:val="24"/>
        </w:rPr>
        <w:t>书面形式变更合同；</w:t>
      </w:r>
    </w:p>
    <w:p>
      <w:pPr>
        <w:pStyle w:val="28"/>
        <w:numPr>
          <w:ilvl w:val="2"/>
          <w:numId w:val="32"/>
        </w:numPr>
        <w:tabs>
          <w:tab w:val="left" w:pos="2035"/>
        </w:tabs>
        <w:spacing w:before="1" w:after="0" w:line="436" w:lineRule="auto"/>
        <w:ind w:left="774" w:right="452" w:firstLine="480"/>
        <w:jc w:val="both"/>
        <w:rPr>
          <w:rFonts w:hint="eastAsia" w:ascii="楷体" w:hAnsi="楷体" w:eastAsia="楷体" w:cs="楷体"/>
          <w:sz w:val="24"/>
        </w:rPr>
      </w:pPr>
      <w:r>
        <w:rPr>
          <w:rFonts w:hint="eastAsia" w:ascii="楷体" w:hAnsi="楷体" w:eastAsia="楷体" w:cs="楷体"/>
          <w:spacing w:val="-8"/>
          <w:sz w:val="24"/>
        </w:rPr>
        <w:t xml:space="preserve">受不可抗力影响的一方在不可抗力发生后，应在 </w:t>
      </w:r>
      <w:r>
        <w:rPr>
          <w:rFonts w:hint="eastAsia" w:ascii="楷体" w:hAnsi="楷体" w:eastAsia="楷体" w:cs="楷体"/>
          <w:sz w:val="24"/>
        </w:rPr>
        <w:t>5</w:t>
      </w:r>
      <w:r>
        <w:rPr>
          <w:rFonts w:hint="eastAsia" w:ascii="楷体" w:hAnsi="楷体" w:eastAsia="楷体" w:cs="楷体"/>
          <w:spacing w:val="-9"/>
          <w:sz w:val="24"/>
        </w:rPr>
        <w:t xml:space="preserve"> 个工作日内约定时间</w:t>
      </w:r>
      <w:r>
        <w:rPr>
          <w:rFonts w:hint="eastAsia" w:ascii="楷体" w:hAnsi="楷体" w:eastAsia="楷体" w:cs="楷体"/>
          <w:spacing w:val="-3"/>
          <w:sz w:val="24"/>
        </w:rPr>
        <w:t xml:space="preserve">内以书面形式通知对方当事人，并在 </w:t>
      </w:r>
      <w:r>
        <w:rPr>
          <w:rFonts w:hint="eastAsia" w:ascii="楷体" w:hAnsi="楷体" w:eastAsia="楷体" w:cs="楷体"/>
          <w:sz w:val="24"/>
        </w:rPr>
        <w:t>10</w:t>
      </w:r>
      <w:r>
        <w:rPr>
          <w:rFonts w:hint="eastAsia" w:ascii="楷体" w:hAnsi="楷体" w:eastAsia="楷体" w:cs="楷体"/>
          <w:spacing w:val="-5"/>
          <w:sz w:val="24"/>
        </w:rPr>
        <w:t xml:space="preserve"> 个工作日内，将有关部门出具的证明文件送达对方当事人。</w:t>
      </w:r>
    </w:p>
    <w:p>
      <w:pPr>
        <w:pStyle w:val="28"/>
        <w:numPr>
          <w:ilvl w:val="1"/>
          <w:numId w:val="32"/>
        </w:numPr>
        <w:tabs>
          <w:tab w:val="left" w:pos="1857"/>
        </w:tabs>
        <w:spacing w:before="1" w:after="0" w:line="240" w:lineRule="auto"/>
        <w:ind w:left="1856" w:right="0" w:hanging="603"/>
        <w:jc w:val="both"/>
        <w:rPr>
          <w:rFonts w:hint="eastAsia" w:ascii="楷体" w:hAnsi="楷体" w:eastAsia="楷体" w:cs="楷体"/>
          <w:b/>
          <w:sz w:val="24"/>
        </w:rPr>
      </w:pPr>
      <w:bookmarkStart w:id="419" w:name="2.12 税费"/>
      <w:bookmarkEnd w:id="419"/>
      <w:bookmarkStart w:id="420" w:name="_bookmark31"/>
      <w:bookmarkEnd w:id="420"/>
      <w:bookmarkStart w:id="421" w:name="_bookmark31"/>
      <w:bookmarkEnd w:id="421"/>
      <w:r>
        <w:rPr>
          <w:rFonts w:hint="eastAsia" w:ascii="楷体" w:hAnsi="楷体" w:eastAsia="楷体" w:cs="楷体"/>
          <w:b/>
          <w:sz w:val="24"/>
        </w:rPr>
        <w:t>税费</w:t>
      </w:r>
    </w:p>
    <w:p>
      <w:pPr>
        <w:pStyle w:val="3"/>
        <w:spacing w:before="8"/>
        <w:rPr>
          <w:rFonts w:hint="eastAsia" w:ascii="楷体" w:hAnsi="楷体" w:eastAsia="楷体" w:cs="楷体"/>
          <w:b/>
          <w:sz w:val="19"/>
        </w:rPr>
      </w:pPr>
    </w:p>
    <w:p>
      <w:pPr>
        <w:pStyle w:val="3"/>
        <w:ind w:left="117" w:right="16"/>
        <w:jc w:val="center"/>
        <w:rPr>
          <w:rFonts w:hint="eastAsia" w:ascii="楷体" w:hAnsi="楷体" w:eastAsia="楷体" w:cs="楷体"/>
        </w:rPr>
      </w:pPr>
      <w:r>
        <w:rPr>
          <w:rFonts w:hint="eastAsia" w:ascii="楷体" w:hAnsi="楷体" w:eastAsia="楷体" w:cs="楷体"/>
        </w:rPr>
        <w:t>与合同有关的一切税费，均按照中华人民共和国法律的相关规定缴纳。</w:t>
      </w:r>
    </w:p>
    <w:p>
      <w:pPr>
        <w:pStyle w:val="3"/>
        <w:spacing w:before="9"/>
        <w:rPr>
          <w:rFonts w:hint="eastAsia" w:ascii="楷体" w:hAnsi="楷体" w:eastAsia="楷体" w:cs="楷体"/>
          <w:sz w:val="19"/>
        </w:rPr>
      </w:pPr>
    </w:p>
    <w:p>
      <w:pPr>
        <w:pStyle w:val="28"/>
        <w:numPr>
          <w:ilvl w:val="1"/>
          <w:numId w:val="32"/>
        </w:numPr>
        <w:tabs>
          <w:tab w:val="left" w:pos="1857"/>
        </w:tabs>
        <w:spacing w:before="0" w:after="0" w:line="240" w:lineRule="auto"/>
        <w:ind w:left="1856" w:right="0" w:hanging="603"/>
        <w:jc w:val="both"/>
        <w:rPr>
          <w:rFonts w:hint="eastAsia" w:ascii="楷体" w:hAnsi="楷体" w:eastAsia="楷体" w:cs="楷体"/>
          <w:b/>
          <w:sz w:val="24"/>
        </w:rPr>
      </w:pPr>
      <w:bookmarkStart w:id="422" w:name="_bookmark32"/>
      <w:bookmarkEnd w:id="422"/>
      <w:bookmarkStart w:id="423" w:name="_bookmark32"/>
      <w:bookmarkEnd w:id="423"/>
      <w:bookmarkStart w:id="424" w:name="2.13 乙方破产"/>
      <w:bookmarkEnd w:id="424"/>
      <w:r>
        <w:rPr>
          <w:rFonts w:hint="eastAsia" w:ascii="楷体" w:hAnsi="楷体" w:eastAsia="楷体" w:cs="楷体"/>
          <w:b/>
          <w:sz w:val="24"/>
        </w:rPr>
        <w:t>乙方破产</w:t>
      </w:r>
    </w:p>
    <w:p>
      <w:pPr>
        <w:pStyle w:val="3"/>
        <w:spacing w:before="10"/>
        <w:rPr>
          <w:rFonts w:hint="eastAsia" w:ascii="楷体" w:hAnsi="楷体" w:eastAsia="楷体" w:cs="楷体"/>
          <w:b/>
          <w:sz w:val="19"/>
        </w:rPr>
      </w:pPr>
    </w:p>
    <w:p>
      <w:pPr>
        <w:pStyle w:val="3"/>
        <w:spacing w:line="436" w:lineRule="auto"/>
        <w:ind w:left="774" w:right="452" w:firstLine="480"/>
        <w:jc w:val="both"/>
        <w:rPr>
          <w:rFonts w:hint="eastAsia" w:ascii="楷体" w:hAnsi="楷体" w:eastAsia="楷体" w:cs="楷体"/>
        </w:rPr>
      </w:pPr>
      <w:r>
        <w:rPr>
          <w:rFonts w:hint="eastAsia" w:ascii="楷体" w:hAnsi="楷体" w:eastAsia="楷体" w:cs="楷体"/>
          <w:spacing w:val="-3"/>
        </w:rPr>
        <w:t>如果乙方破产导致合同无法履行时，甲方可以书面形式通知乙方终止合同且不给予乙方任何补偿和赔偿，但合同的终止不损害或不影响甲方已经采取或将要采取</w:t>
      </w:r>
      <w:r>
        <w:rPr>
          <w:rFonts w:hint="eastAsia" w:ascii="楷体" w:hAnsi="楷体" w:eastAsia="楷体" w:cs="楷体"/>
        </w:rPr>
        <w:t>的任何要求乙方支付违约金、赔偿损失等的行动或补救措施的权利。</w:t>
      </w:r>
    </w:p>
    <w:p>
      <w:pPr>
        <w:pStyle w:val="28"/>
        <w:numPr>
          <w:ilvl w:val="1"/>
          <w:numId w:val="32"/>
        </w:numPr>
        <w:tabs>
          <w:tab w:val="left" w:pos="1857"/>
        </w:tabs>
        <w:spacing w:before="1" w:after="0" w:line="240" w:lineRule="auto"/>
        <w:ind w:left="1856" w:right="0" w:hanging="603"/>
        <w:jc w:val="both"/>
        <w:rPr>
          <w:rFonts w:hint="eastAsia" w:ascii="楷体" w:hAnsi="楷体" w:eastAsia="楷体" w:cs="楷体"/>
          <w:b/>
          <w:sz w:val="24"/>
        </w:rPr>
      </w:pPr>
      <w:bookmarkStart w:id="425" w:name="_bookmark33"/>
      <w:bookmarkEnd w:id="425"/>
      <w:bookmarkStart w:id="426" w:name="_bookmark33"/>
      <w:bookmarkEnd w:id="426"/>
      <w:bookmarkStart w:id="427" w:name="2.14 合同中止、终止"/>
      <w:bookmarkEnd w:id="427"/>
      <w:r>
        <w:rPr>
          <w:rFonts w:hint="eastAsia" w:ascii="楷体" w:hAnsi="楷体" w:eastAsia="楷体" w:cs="楷体"/>
          <w:b/>
          <w:sz w:val="24"/>
        </w:rPr>
        <w:t>合同中止、终止</w:t>
      </w:r>
    </w:p>
    <w:p>
      <w:pPr>
        <w:pStyle w:val="3"/>
        <w:spacing w:before="9"/>
        <w:rPr>
          <w:rFonts w:hint="eastAsia" w:ascii="楷体" w:hAnsi="楷体" w:eastAsia="楷体" w:cs="楷体"/>
          <w:b/>
          <w:sz w:val="19"/>
        </w:rPr>
      </w:pPr>
    </w:p>
    <w:p>
      <w:pPr>
        <w:pStyle w:val="28"/>
        <w:numPr>
          <w:ilvl w:val="2"/>
          <w:numId w:val="32"/>
        </w:numPr>
        <w:tabs>
          <w:tab w:val="left" w:pos="2095"/>
        </w:tabs>
        <w:spacing w:before="0" w:after="0" w:line="240" w:lineRule="auto"/>
        <w:ind w:left="2094" w:right="0" w:hanging="841"/>
        <w:jc w:val="both"/>
        <w:rPr>
          <w:rFonts w:hint="eastAsia" w:ascii="楷体" w:hAnsi="楷体" w:eastAsia="楷体" w:cs="楷体"/>
          <w:sz w:val="24"/>
        </w:rPr>
      </w:pPr>
      <w:r>
        <w:rPr>
          <w:rFonts w:hint="eastAsia" w:ascii="楷体" w:hAnsi="楷体" w:eastAsia="楷体" w:cs="楷体"/>
          <w:sz w:val="24"/>
        </w:rPr>
        <w:t>双方当事人不得擅自中止或者终止合同；</w:t>
      </w:r>
    </w:p>
    <w:p>
      <w:pPr>
        <w:pStyle w:val="3"/>
        <w:spacing w:before="8"/>
        <w:rPr>
          <w:rFonts w:hint="eastAsia" w:ascii="楷体" w:hAnsi="楷体" w:eastAsia="楷体" w:cs="楷体"/>
          <w:sz w:val="19"/>
        </w:rPr>
      </w:pPr>
    </w:p>
    <w:p>
      <w:pPr>
        <w:pStyle w:val="28"/>
        <w:numPr>
          <w:ilvl w:val="2"/>
          <w:numId w:val="32"/>
        </w:numPr>
        <w:tabs>
          <w:tab w:val="left" w:pos="2035"/>
        </w:tabs>
        <w:spacing w:before="0" w:after="0" w:line="240" w:lineRule="auto"/>
        <w:ind w:left="2034" w:right="0" w:hanging="781"/>
        <w:jc w:val="left"/>
        <w:rPr>
          <w:rFonts w:hint="eastAsia" w:ascii="楷体" w:hAnsi="楷体" w:eastAsia="楷体" w:cs="楷体"/>
        </w:rPr>
      </w:pPr>
      <w:r>
        <w:rPr>
          <w:rFonts w:hint="eastAsia" w:ascii="楷体" w:hAnsi="楷体" w:eastAsia="楷体" w:cs="楷体"/>
          <w:spacing w:val="-4"/>
          <w:sz w:val="24"/>
        </w:rPr>
        <w:t>合同继续履行将损害国家利益和社会公共利益的，双方当事人应当中止</w:t>
      </w:r>
      <w:r>
        <w:rPr>
          <w:rFonts w:hint="eastAsia" w:ascii="楷体" w:hAnsi="楷体" w:eastAsia="楷体" w:cs="楷体"/>
        </w:rPr>
        <w:t>或者终止合同。有过错的一方应当承担赔偿责任，双方当事人都有过错的，各自承担相应的责任。</w:t>
      </w:r>
    </w:p>
    <w:p>
      <w:pPr>
        <w:pStyle w:val="28"/>
        <w:numPr>
          <w:ilvl w:val="1"/>
          <w:numId w:val="32"/>
        </w:numPr>
        <w:tabs>
          <w:tab w:val="left" w:pos="1857"/>
        </w:tabs>
        <w:spacing w:before="0" w:after="0" w:line="307" w:lineRule="exact"/>
        <w:ind w:left="1856" w:right="0" w:hanging="603"/>
        <w:jc w:val="both"/>
        <w:rPr>
          <w:rFonts w:hint="eastAsia" w:ascii="楷体" w:hAnsi="楷体" w:eastAsia="楷体" w:cs="楷体"/>
          <w:b/>
          <w:sz w:val="24"/>
        </w:rPr>
      </w:pPr>
      <w:bookmarkStart w:id="428" w:name="_bookmark34"/>
      <w:bookmarkEnd w:id="428"/>
      <w:bookmarkStart w:id="429" w:name="_bookmark34"/>
      <w:bookmarkEnd w:id="429"/>
      <w:bookmarkStart w:id="430" w:name="2.15 检验和验收"/>
      <w:bookmarkEnd w:id="430"/>
      <w:r>
        <w:rPr>
          <w:rFonts w:hint="eastAsia" w:ascii="楷体" w:hAnsi="楷体" w:eastAsia="楷体" w:cs="楷体"/>
          <w:b/>
          <w:sz w:val="24"/>
        </w:rPr>
        <w:t>检验和验收</w:t>
      </w:r>
    </w:p>
    <w:p>
      <w:pPr>
        <w:pStyle w:val="3"/>
        <w:spacing w:before="11"/>
        <w:rPr>
          <w:rFonts w:hint="eastAsia" w:ascii="楷体" w:hAnsi="楷体" w:eastAsia="楷体" w:cs="楷体"/>
          <w:b/>
          <w:sz w:val="19"/>
        </w:rPr>
      </w:pPr>
    </w:p>
    <w:p>
      <w:pPr>
        <w:pStyle w:val="28"/>
        <w:numPr>
          <w:ilvl w:val="2"/>
          <w:numId w:val="32"/>
        </w:numPr>
        <w:tabs>
          <w:tab w:val="left" w:pos="2097"/>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sz w:val="24"/>
        </w:rPr>
        <w:t>乙方应在签订合同后，甲方的每周不定期进行检查，日常检查组将根据发现的问题和开发区干部反映的问题及时通知管护企业，并按要求进行复查。</w:t>
      </w:r>
    </w:p>
    <w:p>
      <w:pPr>
        <w:pStyle w:val="28"/>
        <w:numPr>
          <w:ilvl w:val="2"/>
          <w:numId w:val="32"/>
        </w:numPr>
        <w:tabs>
          <w:tab w:val="left" w:pos="2097"/>
        </w:tabs>
        <w:spacing w:before="0" w:after="0" w:line="439" w:lineRule="auto"/>
        <w:ind w:left="774" w:right="452" w:firstLine="480"/>
        <w:jc w:val="both"/>
        <w:rPr>
          <w:rFonts w:hint="eastAsia" w:ascii="楷体" w:hAnsi="楷体" w:eastAsia="楷体" w:cs="楷体"/>
          <w:sz w:val="24"/>
        </w:rPr>
      </w:pPr>
      <w:r>
        <w:rPr>
          <w:rFonts w:hint="eastAsia" w:ascii="楷体" w:hAnsi="楷体" w:eastAsia="楷体" w:cs="楷体"/>
          <w:sz w:val="24"/>
        </w:rPr>
        <w:t>对</w:t>
      </w:r>
      <w:r>
        <w:rPr>
          <w:rFonts w:hint="eastAsia" w:ascii="楷体" w:hAnsi="楷体" w:eastAsia="楷体" w:cs="楷体"/>
          <w:sz w:val="24"/>
          <w:lang w:eastAsia="zh-CN"/>
        </w:rPr>
        <w:t>城东金融贸易区</w:t>
      </w:r>
      <w:r>
        <w:rPr>
          <w:rFonts w:hint="eastAsia" w:ascii="楷体" w:hAnsi="楷体" w:eastAsia="楷体" w:cs="楷体"/>
          <w:sz w:val="24"/>
        </w:rPr>
        <w:t>内公园、广场、道路绿地、街头游园绿地、厂区绿地以及相关养护单位管理工作进行定期检查。</w:t>
      </w:r>
    </w:p>
    <w:p>
      <w:pPr>
        <w:pStyle w:val="28"/>
        <w:numPr>
          <w:ilvl w:val="1"/>
          <w:numId w:val="32"/>
        </w:numPr>
        <w:tabs>
          <w:tab w:val="left" w:pos="1857"/>
        </w:tabs>
        <w:spacing w:before="0" w:after="0" w:line="303" w:lineRule="exact"/>
        <w:ind w:left="1856" w:right="0" w:hanging="603"/>
        <w:jc w:val="both"/>
        <w:rPr>
          <w:rFonts w:hint="eastAsia" w:ascii="楷体" w:hAnsi="楷体" w:eastAsia="楷体" w:cs="楷体"/>
          <w:b/>
          <w:sz w:val="24"/>
        </w:rPr>
      </w:pPr>
      <w:bookmarkStart w:id="431" w:name="_bookmark35"/>
      <w:bookmarkEnd w:id="431"/>
      <w:bookmarkStart w:id="432" w:name="2.16 通知和送达"/>
      <w:bookmarkEnd w:id="432"/>
      <w:bookmarkStart w:id="433" w:name="_bookmark35"/>
      <w:bookmarkEnd w:id="433"/>
      <w:r>
        <w:rPr>
          <w:rFonts w:hint="eastAsia" w:ascii="楷体" w:hAnsi="楷体" w:eastAsia="楷体" w:cs="楷体"/>
          <w:b/>
          <w:sz w:val="24"/>
        </w:rPr>
        <w:t>通知和送达</w:t>
      </w:r>
    </w:p>
    <w:p>
      <w:pPr>
        <w:pStyle w:val="3"/>
        <w:spacing w:before="7"/>
        <w:rPr>
          <w:rFonts w:hint="eastAsia" w:ascii="楷体" w:hAnsi="楷体" w:eastAsia="楷体" w:cs="楷体"/>
          <w:b/>
          <w:color w:val="auto"/>
          <w:sz w:val="19"/>
        </w:rPr>
      </w:pPr>
    </w:p>
    <w:p>
      <w:pPr>
        <w:pStyle w:val="28"/>
        <w:numPr>
          <w:ilvl w:val="2"/>
          <w:numId w:val="32"/>
        </w:numPr>
        <w:tabs>
          <w:tab w:val="left" w:pos="2097"/>
          <w:tab w:val="left" w:pos="8910"/>
        </w:tabs>
        <w:spacing w:before="0" w:after="0" w:line="436" w:lineRule="auto"/>
        <w:ind w:left="774" w:right="452" w:firstLine="480"/>
        <w:jc w:val="both"/>
        <w:rPr>
          <w:rFonts w:hint="eastAsia" w:ascii="楷体" w:hAnsi="楷体" w:eastAsia="楷体" w:cs="楷体"/>
          <w:sz w:val="24"/>
        </w:rPr>
      </w:pPr>
      <w:r>
        <w:rPr>
          <w:rFonts w:hint="eastAsia" w:ascii="楷体" w:hAnsi="楷体" w:eastAsia="楷体" w:cs="楷体"/>
          <w:color w:val="auto"/>
          <w:sz w:val="24"/>
        </w:rPr>
        <w:t>任何</w:t>
      </w:r>
      <w:r>
        <w:rPr>
          <w:rFonts w:hint="eastAsia" w:ascii="楷体" w:hAnsi="楷体" w:eastAsia="楷体" w:cs="楷体"/>
          <w:color w:val="auto"/>
          <w:spacing w:val="4"/>
          <w:sz w:val="24"/>
        </w:rPr>
        <w:t>一</w:t>
      </w:r>
      <w:r>
        <w:rPr>
          <w:rFonts w:hint="eastAsia" w:ascii="楷体" w:hAnsi="楷体" w:eastAsia="楷体" w:cs="楷体"/>
          <w:color w:val="auto"/>
          <w:sz w:val="24"/>
        </w:rPr>
        <w:t>方因履行</w:t>
      </w:r>
      <w:r>
        <w:rPr>
          <w:rFonts w:hint="eastAsia" w:ascii="楷体" w:hAnsi="楷体" w:eastAsia="楷体" w:cs="楷体"/>
          <w:color w:val="auto"/>
          <w:spacing w:val="4"/>
          <w:sz w:val="24"/>
        </w:rPr>
        <w:t>合</w:t>
      </w:r>
      <w:r>
        <w:rPr>
          <w:rFonts w:hint="eastAsia" w:ascii="楷体" w:hAnsi="楷体" w:eastAsia="楷体" w:cs="楷体"/>
          <w:color w:val="auto"/>
          <w:sz w:val="24"/>
        </w:rPr>
        <w:t>同而以合同</w:t>
      </w:r>
      <w:r>
        <w:rPr>
          <w:rFonts w:hint="eastAsia" w:ascii="楷体" w:hAnsi="楷体" w:eastAsia="楷体" w:cs="楷体"/>
          <w:color w:val="auto"/>
          <w:spacing w:val="4"/>
          <w:sz w:val="24"/>
        </w:rPr>
        <w:t>第</w:t>
      </w:r>
      <w:r>
        <w:rPr>
          <w:rFonts w:hint="eastAsia" w:ascii="楷体" w:hAnsi="楷体" w:eastAsia="楷体" w:cs="楷体"/>
          <w:color w:val="auto"/>
          <w:sz w:val="24"/>
        </w:rPr>
        <w:t>一部分尾</w:t>
      </w:r>
      <w:r>
        <w:rPr>
          <w:rFonts w:hint="eastAsia" w:ascii="楷体" w:hAnsi="楷体" w:eastAsia="楷体" w:cs="楷体"/>
          <w:color w:val="auto"/>
          <w:spacing w:val="4"/>
          <w:sz w:val="24"/>
        </w:rPr>
        <w:t>部</w:t>
      </w:r>
      <w:r>
        <w:rPr>
          <w:rFonts w:hint="eastAsia" w:ascii="楷体" w:hAnsi="楷体" w:eastAsia="楷体" w:cs="楷体"/>
          <w:color w:val="auto"/>
          <w:sz w:val="24"/>
        </w:rPr>
        <w:t>所列明的</w:t>
      </w:r>
      <w:r>
        <w:rPr>
          <w:rFonts w:hint="eastAsia" w:ascii="楷体" w:hAnsi="楷体" w:eastAsia="楷体" w:cs="楷体"/>
          <w:color w:val="auto"/>
          <w:sz w:val="24"/>
          <w:u w:val="single"/>
        </w:rPr>
        <w:t xml:space="preserve"> </w:t>
      </w:r>
      <w:r>
        <w:rPr>
          <w:rFonts w:hint="eastAsia" w:ascii="楷体" w:hAnsi="楷体" w:eastAsia="楷体" w:cs="楷体"/>
          <w:color w:val="auto"/>
          <w:sz w:val="24"/>
          <w:u w:val="single"/>
          <w:lang w:val="en-US" w:eastAsia="zh-CN"/>
        </w:rPr>
        <w:t>送达方式或者地址</w:t>
      </w:r>
      <w:r>
        <w:rPr>
          <w:rFonts w:hint="eastAsia" w:ascii="楷体" w:hAnsi="楷体" w:eastAsia="楷体" w:cs="楷体"/>
          <w:color w:val="auto"/>
          <w:sz w:val="24"/>
        </w:rPr>
        <w:t>发</w:t>
      </w:r>
      <w:r>
        <w:rPr>
          <w:rFonts w:hint="eastAsia" w:ascii="楷体" w:hAnsi="楷体" w:eastAsia="楷体" w:cs="楷体"/>
          <w:color w:val="auto"/>
          <w:spacing w:val="-17"/>
          <w:sz w:val="24"/>
        </w:rPr>
        <w:t>出</w:t>
      </w:r>
      <w:r>
        <w:rPr>
          <w:rFonts w:hint="eastAsia" w:ascii="楷体" w:hAnsi="楷体" w:eastAsia="楷体" w:cs="楷体"/>
          <w:color w:val="auto"/>
          <w:sz w:val="24"/>
        </w:rPr>
        <w:t>的所有通知</w:t>
      </w:r>
      <w:r>
        <w:rPr>
          <w:rFonts w:hint="eastAsia" w:ascii="楷体" w:hAnsi="楷体" w:eastAsia="楷体" w:cs="楷体"/>
          <w:color w:val="auto"/>
          <w:spacing w:val="-5"/>
          <w:sz w:val="24"/>
        </w:rPr>
        <w:t>、</w:t>
      </w:r>
      <w:r>
        <w:rPr>
          <w:rFonts w:hint="eastAsia" w:ascii="楷体" w:hAnsi="楷体" w:eastAsia="楷体" w:cs="楷体"/>
          <w:color w:val="auto"/>
          <w:sz w:val="24"/>
        </w:rPr>
        <w:t>文件</w:t>
      </w:r>
      <w:r>
        <w:rPr>
          <w:rFonts w:hint="eastAsia" w:ascii="楷体" w:hAnsi="楷体" w:eastAsia="楷体" w:cs="楷体"/>
          <w:color w:val="auto"/>
          <w:spacing w:val="-5"/>
          <w:sz w:val="24"/>
        </w:rPr>
        <w:t>、</w:t>
      </w:r>
      <w:r>
        <w:rPr>
          <w:rFonts w:hint="eastAsia" w:ascii="楷体" w:hAnsi="楷体" w:eastAsia="楷体" w:cs="楷体"/>
          <w:color w:val="auto"/>
          <w:sz w:val="24"/>
        </w:rPr>
        <w:t>材料</w:t>
      </w:r>
      <w:r>
        <w:rPr>
          <w:rFonts w:hint="eastAsia" w:ascii="楷体" w:hAnsi="楷体" w:eastAsia="楷体" w:cs="楷体"/>
          <w:color w:val="auto"/>
          <w:spacing w:val="-5"/>
          <w:sz w:val="24"/>
        </w:rPr>
        <w:t>，</w:t>
      </w:r>
      <w:r>
        <w:rPr>
          <w:rFonts w:hint="eastAsia" w:ascii="楷体" w:hAnsi="楷体" w:eastAsia="楷体" w:cs="楷体"/>
          <w:color w:val="auto"/>
          <w:sz w:val="24"/>
        </w:rPr>
        <w:t>均视为已向对方当事人送达</w:t>
      </w:r>
      <w:r>
        <w:rPr>
          <w:rFonts w:hint="eastAsia" w:ascii="楷体" w:hAnsi="楷体" w:eastAsia="楷体" w:cs="楷体"/>
          <w:spacing w:val="-8"/>
          <w:sz w:val="24"/>
        </w:rPr>
        <w:t>；</w:t>
      </w:r>
      <w:r>
        <w:rPr>
          <w:rFonts w:hint="eastAsia" w:ascii="楷体" w:hAnsi="楷体" w:eastAsia="楷体" w:cs="楷体"/>
          <w:sz w:val="24"/>
        </w:rPr>
        <w:t>任何一方变更上述送达</w:t>
      </w:r>
      <w:r>
        <w:rPr>
          <w:rFonts w:hint="eastAsia" w:ascii="楷体" w:hAnsi="楷体" w:eastAsia="楷体" w:cs="楷体"/>
          <w:spacing w:val="-16"/>
          <w:sz w:val="24"/>
        </w:rPr>
        <w:t>方</w:t>
      </w:r>
      <w:r>
        <w:rPr>
          <w:rFonts w:hint="eastAsia" w:ascii="楷体" w:hAnsi="楷体" w:eastAsia="楷体" w:cs="楷体"/>
          <w:sz w:val="24"/>
        </w:rPr>
        <w:t>式或者地址的</w:t>
      </w:r>
      <w:r>
        <w:rPr>
          <w:rFonts w:hint="eastAsia" w:ascii="楷体" w:hAnsi="楷体" w:eastAsia="楷体" w:cs="楷体"/>
          <w:spacing w:val="-10"/>
          <w:sz w:val="24"/>
        </w:rPr>
        <w:t>，</w:t>
      </w:r>
      <w:r>
        <w:rPr>
          <w:rFonts w:hint="eastAsia" w:ascii="楷体" w:hAnsi="楷体" w:eastAsia="楷体" w:cs="楷体"/>
          <w:sz w:val="24"/>
        </w:rPr>
        <w:t>应于</w:t>
      </w:r>
      <w:r>
        <w:rPr>
          <w:rFonts w:hint="eastAsia" w:ascii="楷体" w:hAnsi="楷体" w:eastAsia="楷体" w:cs="楷体"/>
          <w:spacing w:val="-60"/>
          <w:sz w:val="24"/>
        </w:rPr>
        <w:t xml:space="preserve"> </w:t>
      </w:r>
      <w:r>
        <w:rPr>
          <w:rFonts w:hint="eastAsia" w:ascii="楷体" w:hAnsi="楷体" w:eastAsia="楷体" w:cs="楷体"/>
          <w:sz w:val="24"/>
          <w:u w:val="single"/>
        </w:rPr>
        <w:t>3</w:t>
      </w:r>
      <w:r>
        <w:rPr>
          <w:rFonts w:hint="eastAsia" w:ascii="楷体" w:hAnsi="楷体" w:eastAsia="楷体" w:cs="楷体"/>
          <w:spacing w:val="-60"/>
          <w:sz w:val="24"/>
        </w:rPr>
        <w:t xml:space="preserve"> </w:t>
      </w:r>
      <w:r>
        <w:rPr>
          <w:rFonts w:hint="eastAsia" w:ascii="楷体" w:hAnsi="楷体" w:eastAsia="楷体" w:cs="楷体"/>
          <w:sz w:val="24"/>
        </w:rPr>
        <w:t>个工作日内书面通知对方当事人</w:t>
      </w:r>
      <w:r>
        <w:rPr>
          <w:rFonts w:hint="eastAsia" w:ascii="楷体" w:hAnsi="楷体" w:eastAsia="楷体" w:cs="楷体"/>
          <w:spacing w:val="-12"/>
          <w:sz w:val="24"/>
        </w:rPr>
        <w:t>，</w:t>
      </w:r>
      <w:r>
        <w:rPr>
          <w:rFonts w:hint="eastAsia" w:ascii="楷体" w:hAnsi="楷体" w:eastAsia="楷体" w:cs="楷体"/>
          <w:sz w:val="24"/>
        </w:rPr>
        <w:t>在对方当事人收到有关</w:t>
      </w:r>
      <w:r>
        <w:rPr>
          <w:rFonts w:hint="eastAsia" w:ascii="楷体" w:hAnsi="楷体" w:eastAsia="楷体" w:cs="楷体"/>
          <w:spacing w:val="-17"/>
          <w:sz w:val="24"/>
        </w:rPr>
        <w:t>变</w:t>
      </w:r>
      <w:r>
        <w:rPr>
          <w:rFonts w:hint="eastAsia" w:ascii="楷体" w:hAnsi="楷体" w:eastAsia="楷体" w:cs="楷体"/>
          <w:sz w:val="24"/>
        </w:rPr>
        <w:t>更通知之前，变更前的约定送达方式或者地址仍视为有效。</w:t>
      </w:r>
    </w:p>
    <w:p>
      <w:pPr>
        <w:pStyle w:val="28"/>
        <w:numPr>
          <w:ilvl w:val="2"/>
          <w:numId w:val="32"/>
        </w:numPr>
        <w:tabs>
          <w:tab w:val="left" w:pos="2035"/>
        </w:tabs>
        <w:spacing w:before="3" w:after="0" w:line="436" w:lineRule="auto"/>
        <w:ind w:left="774" w:right="370" w:firstLine="480"/>
        <w:jc w:val="left"/>
        <w:rPr>
          <w:rFonts w:hint="eastAsia" w:ascii="楷体" w:hAnsi="楷体" w:eastAsia="楷体" w:cs="楷体"/>
          <w:sz w:val="24"/>
        </w:rPr>
      </w:pPr>
      <w:r>
        <w:rPr>
          <w:rFonts w:hint="eastAsia" w:ascii="楷体" w:hAnsi="楷体" w:eastAsia="楷体" w:cs="楷体"/>
          <w:spacing w:val="-1"/>
          <w:sz w:val="24"/>
        </w:rPr>
        <w:t xml:space="preserve">以当面交付方式送达的，交付之时视为送达；以电子邮件方式送达的， </w:t>
      </w:r>
      <w:r>
        <w:rPr>
          <w:rFonts w:hint="eastAsia" w:ascii="楷体" w:hAnsi="楷体" w:eastAsia="楷体" w:cs="楷体"/>
          <w:spacing w:val="-3"/>
          <w:sz w:val="24"/>
        </w:rPr>
        <w:t>发出电子邮件之时视为送达；以传真方式送达的，发出传真之时视为送达；以邮寄方式送达的，邮件挂号寄出或者交邮之日之次日视为送达。</w:t>
      </w:r>
    </w:p>
    <w:p>
      <w:pPr>
        <w:pStyle w:val="28"/>
        <w:numPr>
          <w:ilvl w:val="1"/>
          <w:numId w:val="32"/>
        </w:numPr>
        <w:tabs>
          <w:tab w:val="left" w:pos="1857"/>
        </w:tabs>
        <w:spacing w:before="1" w:after="0" w:line="240" w:lineRule="auto"/>
        <w:ind w:left="1856" w:right="0" w:hanging="603"/>
        <w:jc w:val="left"/>
        <w:rPr>
          <w:rFonts w:hint="eastAsia" w:ascii="楷体" w:hAnsi="楷体" w:eastAsia="楷体" w:cs="楷体"/>
          <w:b/>
          <w:sz w:val="24"/>
        </w:rPr>
      </w:pPr>
      <w:bookmarkStart w:id="434" w:name="_bookmark36"/>
      <w:bookmarkEnd w:id="434"/>
      <w:bookmarkStart w:id="435" w:name="2.17 合同使用的文字和适用的法律"/>
      <w:bookmarkEnd w:id="435"/>
      <w:bookmarkStart w:id="436" w:name="_bookmark36"/>
      <w:bookmarkEnd w:id="436"/>
      <w:r>
        <w:rPr>
          <w:rFonts w:hint="eastAsia" w:ascii="楷体" w:hAnsi="楷体" w:eastAsia="楷体" w:cs="楷体"/>
          <w:b/>
          <w:sz w:val="24"/>
        </w:rPr>
        <w:t>合同使用的文字和适用的法律</w:t>
      </w:r>
    </w:p>
    <w:p>
      <w:pPr>
        <w:pStyle w:val="3"/>
        <w:spacing w:before="8"/>
        <w:rPr>
          <w:rFonts w:hint="eastAsia" w:ascii="楷体" w:hAnsi="楷体" w:eastAsia="楷体" w:cs="楷体"/>
          <w:b/>
          <w:sz w:val="19"/>
        </w:rPr>
      </w:pPr>
    </w:p>
    <w:p>
      <w:pPr>
        <w:pStyle w:val="28"/>
        <w:numPr>
          <w:ilvl w:val="2"/>
          <w:numId w:val="32"/>
        </w:numPr>
        <w:tabs>
          <w:tab w:val="left" w:pos="2095"/>
        </w:tabs>
        <w:spacing w:before="0" w:after="0" w:line="240" w:lineRule="auto"/>
        <w:ind w:left="2094" w:right="0" w:hanging="841"/>
        <w:jc w:val="left"/>
        <w:rPr>
          <w:rFonts w:hint="eastAsia" w:ascii="楷体" w:hAnsi="楷体" w:eastAsia="楷体" w:cs="楷体"/>
          <w:sz w:val="24"/>
        </w:rPr>
      </w:pPr>
      <w:r>
        <w:rPr>
          <w:rFonts w:hint="eastAsia" w:ascii="楷体" w:hAnsi="楷体" w:eastAsia="楷体" w:cs="楷体"/>
          <w:sz w:val="24"/>
        </w:rPr>
        <w:t>合同使用汉语书写、变更和解释；</w:t>
      </w:r>
    </w:p>
    <w:p>
      <w:pPr>
        <w:pStyle w:val="3"/>
        <w:spacing w:before="9"/>
        <w:rPr>
          <w:rFonts w:hint="eastAsia" w:ascii="楷体" w:hAnsi="楷体" w:eastAsia="楷体" w:cs="楷体"/>
          <w:sz w:val="19"/>
        </w:rPr>
      </w:pPr>
    </w:p>
    <w:p>
      <w:pPr>
        <w:pStyle w:val="28"/>
        <w:numPr>
          <w:ilvl w:val="2"/>
          <w:numId w:val="32"/>
        </w:numPr>
        <w:tabs>
          <w:tab w:val="left" w:pos="2095"/>
        </w:tabs>
        <w:spacing w:before="0" w:after="0" w:line="240" w:lineRule="auto"/>
        <w:ind w:left="2094" w:right="0" w:hanging="841"/>
        <w:jc w:val="left"/>
        <w:rPr>
          <w:rFonts w:hint="eastAsia" w:ascii="楷体" w:hAnsi="楷体" w:eastAsia="楷体" w:cs="楷体"/>
          <w:sz w:val="24"/>
        </w:rPr>
      </w:pPr>
      <w:r>
        <w:rPr>
          <w:rFonts w:hint="eastAsia" w:ascii="楷体" w:hAnsi="楷体" w:eastAsia="楷体" w:cs="楷体"/>
          <w:sz w:val="24"/>
        </w:rPr>
        <w:t>合同适用中华人民共和国法律。</w:t>
      </w:r>
    </w:p>
    <w:p>
      <w:pPr>
        <w:pStyle w:val="3"/>
        <w:spacing w:before="10"/>
        <w:rPr>
          <w:rFonts w:hint="eastAsia" w:ascii="楷体" w:hAnsi="楷体" w:eastAsia="楷体" w:cs="楷体"/>
          <w:sz w:val="19"/>
        </w:rPr>
      </w:pPr>
    </w:p>
    <w:p>
      <w:pPr>
        <w:pStyle w:val="28"/>
        <w:numPr>
          <w:ilvl w:val="1"/>
          <w:numId w:val="32"/>
        </w:numPr>
        <w:tabs>
          <w:tab w:val="left" w:pos="1857"/>
        </w:tabs>
        <w:spacing w:before="0" w:after="0" w:line="240" w:lineRule="auto"/>
        <w:ind w:left="1856" w:right="0" w:hanging="603"/>
        <w:jc w:val="both"/>
        <w:rPr>
          <w:rFonts w:hint="eastAsia" w:ascii="楷体" w:hAnsi="楷体" w:eastAsia="楷体" w:cs="楷体"/>
          <w:b/>
          <w:sz w:val="24"/>
        </w:rPr>
      </w:pPr>
      <w:bookmarkStart w:id="437" w:name="2.18 履约保证金"/>
      <w:bookmarkEnd w:id="437"/>
      <w:bookmarkStart w:id="438" w:name="_bookmark37"/>
      <w:bookmarkEnd w:id="438"/>
      <w:bookmarkStart w:id="439" w:name="_bookmark37"/>
      <w:bookmarkEnd w:id="439"/>
      <w:r>
        <w:rPr>
          <w:rFonts w:hint="eastAsia" w:ascii="楷体" w:hAnsi="楷体" w:eastAsia="楷体" w:cs="楷体"/>
          <w:b/>
          <w:sz w:val="24"/>
        </w:rPr>
        <w:t>履约保证金</w:t>
      </w:r>
    </w:p>
    <w:p>
      <w:pPr>
        <w:pStyle w:val="3"/>
        <w:spacing w:before="8"/>
        <w:rPr>
          <w:rFonts w:hint="eastAsia" w:ascii="楷体" w:hAnsi="楷体" w:eastAsia="楷体" w:cs="楷体"/>
          <w:b/>
          <w:sz w:val="19"/>
        </w:rPr>
      </w:pPr>
    </w:p>
    <w:p>
      <w:pPr>
        <w:pStyle w:val="28"/>
        <w:numPr>
          <w:ilvl w:val="2"/>
          <w:numId w:val="32"/>
        </w:numPr>
        <w:tabs>
          <w:tab w:val="left" w:pos="2097"/>
        </w:tabs>
        <w:spacing w:before="1" w:after="0" w:line="436" w:lineRule="auto"/>
        <w:ind w:left="774" w:right="452" w:firstLine="480"/>
        <w:jc w:val="both"/>
        <w:rPr>
          <w:rFonts w:hint="eastAsia" w:ascii="楷体" w:hAnsi="楷体" w:eastAsia="楷体" w:cs="楷体"/>
          <w:sz w:val="24"/>
        </w:rPr>
      </w:pPr>
      <w:r>
        <w:rPr>
          <w:rFonts w:hint="eastAsia" w:ascii="楷体" w:hAnsi="楷体" w:eastAsia="楷体" w:cs="楷体"/>
          <w:spacing w:val="1"/>
          <w:sz w:val="24"/>
        </w:rPr>
        <w:t xml:space="preserve">采购文件要求乙方提交履约保证金的，乙方应在中标通知书发出后 </w:t>
      </w:r>
      <w:r>
        <w:rPr>
          <w:rFonts w:hint="eastAsia" w:ascii="楷体" w:hAnsi="楷体" w:eastAsia="楷体" w:cs="楷体"/>
          <w:sz w:val="24"/>
        </w:rPr>
        <w:t xml:space="preserve">3 </w:t>
      </w:r>
      <w:r>
        <w:rPr>
          <w:rFonts w:hint="eastAsia" w:ascii="楷体" w:hAnsi="楷体" w:eastAsia="楷体" w:cs="楷体"/>
          <w:spacing w:val="-5"/>
          <w:sz w:val="24"/>
        </w:rPr>
        <w:t>日(日历日)内一次性足额缴纳履约保证金，以支票、汇票、本票、网银转账或者金</w:t>
      </w:r>
      <w:r>
        <w:rPr>
          <w:rFonts w:hint="eastAsia" w:ascii="楷体" w:hAnsi="楷体" w:eastAsia="楷体" w:cs="楷体"/>
          <w:spacing w:val="-3"/>
          <w:sz w:val="24"/>
        </w:rPr>
        <w:t>融机构、担保机构出具的保函等非现金形式，提交合同价5%的履约保证金</w:t>
      </w:r>
      <w:r>
        <w:rPr>
          <w:rFonts w:hint="eastAsia" w:ascii="楷体" w:hAnsi="楷体" w:eastAsia="楷体" w:cs="楷体"/>
          <w:sz w:val="24"/>
        </w:rPr>
        <w:t>；</w:t>
      </w:r>
    </w:p>
    <w:p>
      <w:pPr>
        <w:pStyle w:val="28"/>
        <w:numPr>
          <w:ilvl w:val="2"/>
          <w:numId w:val="32"/>
        </w:numPr>
        <w:tabs>
          <w:tab w:val="left" w:pos="2097"/>
        </w:tabs>
        <w:spacing w:before="1" w:after="0" w:line="436" w:lineRule="auto"/>
        <w:ind w:left="774" w:right="452" w:firstLine="480"/>
        <w:jc w:val="both"/>
        <w:rPr>
          <w:rFonts w:hint="eastAsia" w:ascii="楷体" w:hAnsi="楷体" w:eastAsia="楷体" w:cs="楷体"/>
          <w:sz w:val="24"/>
        </w:rPr>
      </w:pPr>
      <w:r>
        <w:rPr>
          <w:rFonts w:hint="eastAsia" w:ascii="楷体" w:hAnsi="楷体" w:eastAsia="楷体" w:cs="楷体"/>
          <w:sz w:val="24"/>
        </w:rPr>
        <w:t>履约保证金在合同履行期间内不予退还或者应完全有效，前述约定期</w:t>
      </w:r>
      <w:r>
        <w:rPr>
          <w:rFonts w:hint="eastAsia" w:ascii="楷体" w:hAnsi="楷体" w:eastAsia="楷体" w:cs="楷体"/>
          <w:spacing w:val="-9"/>
          <w:sz w:val="24"/>
        </w:rPr>
        <w:t xml:space="preserve">间届满之日起 </w:t>
      </w:r>
      <w:r>
        <w:rPr>
          <w:rFonts w:hint="eastAsia" w:ascii="楷体" w:hAnsi="楷体" w:eastAsia="楷体" w:cs="楷体"/>
          <w:sz w:val="24"/>
          <w:u w:val="single"/>
        </w:rPr>
        <w:t>7</w:t>
      </w:r>
      <w:r>
        <w:rPr>
          <w:rFonts w:hint="eastAsia" w:ascii="楷体" w:hAnsi="楷体" w:eastAsia="楷体" w:cs="楷体"/>
          <w:spacing w:val="-8"/>
          <w:sz w:val="24"/>
        </w:rPr>
        <w:t xml:space="preserve"> 个工作日内，甲方应将履约保证金退还乙方；</w:t>
      </w:r>
      <w:r>
        <w:rPr>
          <w:rFonts w:hint="eastAsia" w:ascii="楷体" w:hAnsi="楷体" w:eastAsia="楷体" w:cs="楷体"/>
          <w:sz w:val="24"/>
        </w:rPr>
        <w:t>如果乙方不履行合同，履约保证金不予退还；如果乙方未能按合同约</w:t>
      </w:r>
      <w:r>
        <w:rPr>
          <w:rFonts w:hint="eastAsia" w:ascii="楷体" w:hAnsi="楷体" w:eastAsia="楷体" w:cs="楷体"/>
          <w:spacing w:val="-4"/>
          <w:sz w:val="24"/>
        </w:rPr>
        <w:t>定全面履行义务，那么甲方有权从履约保证金中取得补偿或赔偿，同时不影响甲方</w:t>
      </w:r>
      <w:r>
        <w:rPr>
          <w:rFonts w:hint="eastAsia" w:ascii="楷体" w:hAnsi="楷体" w:eastAsia="楷体" w:cs="楷体"/>
          <w:sz w:val="24"/>
        </w:rPr>
        <w:t>要求乙方承担合同约定的超过履约保证金的违约责任的权利。</w:t>
      </w:r>
    </w:p>
    <w:p>
      <w:pPr>
        <w:pStyle w:val="28"/>
        <w:numPr>
          <w:ilvl w:val="1"/>
          <w:numId w:val="32"/>
        </w:numPr>
        <w:tabs>
          <w:tab w:val="left" w:pos="1857"/>
        </w:tabs>
        <w:spacing w:before="1" w:after="0" w:line="240" w:lineRule="auto"/>
        <w:ind w:left="1856" w:right="0" w:hanging="603"/>
        <w:jc w:val="both"/>
        <w:rPr>
          <w:rFonts w:hint="eastAsia" w:ascii="楷体" w:hAnsi="楷体" w:eastAsia="楷体" w:cs="楷体"/>
          <w:b/>
          <w:sz w:val="24"/>
        </w:rPr>
      </w:pPr>
      <w:r>
        <w:rPr>
          <w:rFonts w:hint="eastAsia" w:ascii="楷体" w:hAnsi="楷体" w:eastAsia="楷体" w:cs="楷体"/>
          <w:b/>
          <w:sz w:val="24"/>
        </w:rPr>
        <w:t>合同份数</w:t>
      </w:r>
    </w:p>
    <w:p>
      <w:pPr>
        <w:pStyle w:val="3"/>
        <w:spacing w:before="8"/>
        <w:rPr>
          <w:rFonts w:hint="eastAsia" w:ascii="楷体" w:hAnsi="楷体" w:eastAsia="楷体" w:cs="楷体"/>
          <w:b/>
          <w:sz w:val="19"/>
        </w:rPr>
      </w:pPr>
    </w:p>
    <w:p>
      <w:pPr>
        <w:pStyle w:val="3"/>
        <w:ind w:left="1254"/>
        <w:rPr>
          <w:rFonts w:hint="eastAsia" w:ascii="楷体" w:hAnsi="楷体" w:eastAsia="楷体" w:cs="楷体"/>
        </w:rPr>
      </w:pPr>
      <w:r>
        <w:rPr>
          <w:rFonts w:hint="eastAsia" w:ascii="楷体" w:hAnsi="楷体" w:eastAsia="楷体" w:cs="楷体"/>
        </w:rPr>
        <w:t>合同份数一式四份，每份均具有同等法律效力。</w:t>
      </w:r>
    </w:p>
    <w:p>
      <w:pPr>
        <w:pStyle w:val="3"/>
        <w:spacing w:before="8"/>
        <w:rPr>
          <w:rFonts w:hint="eastAsia" w:ascii="楷体" w:hAnsi="楷体" w:eastAsia="楷体" w:cs="楷体"/>
          <w:sz w:val="19"/>
        </w:rPr>
      </w:pPr>
    </w:p>
    <w:p>
      <w:pPr>
        <w:spacing w:before="1"/>
        <w:ind w:left="3894" w:right="0" w:firstLine="0"/>
        <w:jc w:val="both"/>
        <w:rPr>
          <w:rFonts w:hint="eastAsia" w:ascii="楷体" w:hAnsi="楷体" w:eastAsia="楷体" w:cs="楷体"/>
          <w:b/>
          <w:bCs w:val="0"/>
          <w:sz w:val="24"/>
        </w:rPr>
      </w:pPr>
      <w:bookmarkStart w:id="440" w:name="第三部分  合同专用条款"/>
      <w:bookmarkEnd w:id="440"/>
      <w:bookmarkStart w:id="441" w:name="_bookmark38"/>
      <w:bookmarkEnd w:id="441"/>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rPr>
          <w:rFonts w:hint="eastAsia" w:ascii="楷体" w:hAnsi="楷体" w:eastAsia="楷体" w:cs="楷体"/>
          <w:b/>
          <w:bCs w:val="0"/>
          <w:sz w:val="24"/>
        </w:rPr>
      </w:pPr>
    </w:p>
    <w:p>
      <w:pPr>
        <w:spacing w:before="1"/>
        <w:ind w:left="3894" w:right="0" w:firstLine="0"/>
        <w:jc w:val="both"/>
        <w:outlineLvl w:val="1"/>
        <w:rPr>
          <w:rFonts w:hint="eastAsia" w:ascii="楷体" w:hAnsi="楷体" w:eastAsia="楷体" w:cs="楷体"/>
          <w:b/>
          <w:bCs w:val="0"/>
          <w:sz w:val="24"/>
        </w:rPr>
      </w:pPr>
      <w:bookmarkStart w:id="442" w:name="_Toc8639"/>
      <w:bookmarkStart w:id="443" w:name="_Toc15647"/>
      <w:bookmarkStart w:id="444" w:name="_Toc18371"/>
      <w:r>
        <w:rPr>
          <w:rFonts w:hint="eastAsia" w:ascii="楷体" w:hAnsi="楷体" w:eastAsia="楷体" w:cs="楷体"/>
          <w:b/>
          <w:bCs w:val="0"/>
          <w:sz w:val="24"/>
        </w:rPr>
        <w:t>第三部分 合同专用条款</w:t>
      </w:r>
      <w:bookmarkEnd w:id="442"/>
      <w:bookmarkEnd w:id="443"/>
      <w:bookmarkEnd w:id="444"/>
    </w:p>
    <w:p>
      <w:pPr>
        <w:pStyle w:val="3"/>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楷体" w:hAnsi="楷体" w:eastAsia="楷体" w:cs="楷体"/>
          <w:b/>
          <w:sz w:val="19"/>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left="774" w:right="452" w:firstLine="480"/>
        <w:jc w:val="both"/>
        <w:textAlignment w:val="auto"/>
        <w:rPr>
          <w:rFonts w:hint="eastAsia" w:ascii="楷体" w:hAnsi="楷体" w:eastAsia="楷体" w:cs="楷体"/>
        </w:rPr>
      </w:pPr>
      <w:r>
        <w:rPr>
          <w:rFonts w:hint="eastAsia" w:ascii="楷体" w:hAnsi="楷体" w:eastAsia="楷体" w:cs="楷体"/>
          <w:spacing w:val="-3"/>
        </w:rPr>
        <w:t>本部分是对前两部分的补充和修改，如果前两部分和本部分的约定不一致，应以本部分的约定为准。本部分的条款号应与前两部分的条款号保持对应；与前两部</w:t>
      </w:r>
      <w:r>
        <w:rPr>
          <w:rFonts w:hint="eastAsia" w:ascii="楷体" w:hAnsi="楷体" w:eastAsia="楷体" w:cs="楷体"/>
        </w:rPr>
        <w:t>分无对应关系的内容可另行编制条款号。</w:t>
      </w:r>
    </w:p>
    <w:tbl>
      <w:tblPr>
        <w:tblStyle w:val="20"/>
        <w:tblW w:w="84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801" w:type="dxa"/>
            <w:tcBorders>
              <w:left w:val="single" w:color="000000" w:sz="4" w:space="0"/>
            </w:tcBorders>
          </w:tcPr>
          <w:p>
            <w:pPr>
              <w:pStyle w:val="29"/>
              <w:spacing w:before="209"/>
              <w:ind w:left="40"/>
              <w:rPr>
                <w:rFonts w:hint="eastAsia" w:ascii="楷体" w:hAnsi="楷体" w:eastAsia="楷体" w:cs="楷体"/>
                <w:b/>
                <w:color w:val="000000" w:themeColor="text1"/>
                <w:sz w:val="21"/>
                <w:szCs w:val="21"/>
                <w14:textFill>
                  <w14:solidFill>
                    <w14:schemeClr w14:val="tx1"/>
                  </w14:solidFill>
                </w14:textFill>
              </w:rPr>
            </w:pPr>
            <w:r>
              <w:rPr>
                <w:rFonts w:hint="eastAsia" w:ascii="楷体" w:hAnsi="楷体" w:eastAsia="楷体" w:cs="楷体"/>
                <w:b/>
                <w:color w:val="000000" w:themeColor="text1"/>
                <w:sz w:val="21"/>
                <w:szCs w:val="21"/>
                <w14:textFill>
                  <w14:solidFill>
                    <w14:schemeClr w14:val="tx1"/>
                  </w14:solidFill>
                </w14:textFill>
              </w:rPr>
              <w:t>条款号</w:t>
            </w:r>
          </w:p>
        </w:tc>
        <w:tc>
          <w:tcPr>
            <w:tcW w:w="7633" w:type="dxa"/>
          </w:tcPr>
          <w:p>
            <w:pPr>
              <w:pStyle w:val="29"/>
              <w:spacing w:before="209"/>
              <w:ind w:left="3312" w:right="3301"/>
              <w:jc w:val="center"/>
              <w:rPr>
                <w:rFonts w:hint="eastAsia" w:ascii="楷体" w:hAnsi="楷体" w:eastAsia="楷体" w:cs="楷体"/>
                <w:b/>
                <w:color w:val="000000" w:themeColor="text1"/>
                <w:sz w:val="21"/>
                <w:szCs w:val="21"/>
                <w14:textFill>
                  <w14:solidFill>
                    <w14:schemeClr w14:val="tx1"/>
                  </w14:solidFill>
                </w14:textFill>
              </w:rPr>
            </w:pPr>
            <w:r>
              <w:rPr>
                <w:rFonts w:hint="eastAsia" w:ascii="楷体" w:hAnsi="楷体" w:eastAsia="楷体" w:cs="楷体"/>
                <w:b/>
                <w:color w:val="000000" w:themeColor="text1"/>
                <w:sz w:val="21"/>
                <w:szCs w:val="21"/>
                <w14:textFill>
                  <w14:solidFill>
                    <w14:schemeClr w14:val="tx1"/>
                  </w14:solidFill>
                </w14:textFill>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801" w:type="dxa"/>
            <w:tcBorders>
              <w:left w:val="single" w:color="000000" w:sz="4" w:space="0"/>
            </w:tcBorders>
            <w:vAlign w:val="center"/>
          </w:tcPr>
          <w:p>
            <w:pPr>
              <w:pStyle w:val="29"/>
              <w:jc w:val="cente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2.20.1</w:t>
            </w:r>
          </w:p>
        </w:tc>
        <w:tc>
          <w:tcPr>
            <w:tcW w:w="7633" w:type="dxa"/>
          </w:tcPr>
          <w:p>
            <w:pPr>
              <w:pStyle w:val="29"/>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作业内容：环卫：</w:t>
            </w:r>
          </w:p>
          <w:p>
            <w:pPr>
              <w:pStyle w:val="29"/>
              <w:numPr>
                <w:ilvl w:val="0"/>
                <w:numId w:val="33"/>
              </w:numP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道路等铺装地面每天进行普扫；</w:t>
            </w:r>
          </w:p>
          <w:p>
            <w:pPr>
              <w:pStyle w:val="29"/>
              <w:numPr>
                <w:ilvl w:val="0"/>
                <w:numId w:val="33"/>
              </w:numPr>
              <w:ind w:left="0" w:leftChars="0" w:right="0" w:rightChars="0" w:firstLine="0" w:firstLine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水电设施、配电箱、座椅、管理房、雕塑、小品、亭廊、桥梁、喷泉、大屏幕、栏杆、路灯、井盖、标牌、公共卫生间、限高杆等城市公用设施保持内外干净整洁并进行管理；</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3、水面、围墙四周的杂草、垃圾清理；</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4、雨水管道、污水管道的清淤疏通；</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5、建（构）筑物立面、地面、果皮箱、高压线塔、配电室、配电柜、电话亭、消防栓、</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文明安全要求：</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养护作业现场应干净整洁，各类警示标识设置明显；</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各种设施、材料、设备器材、苗木等物料应定点存放、维修、养护垃圾及废料随产随清；</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乙方在承包期间，应当严格遵守安全生产作业的有关管理制度，采取必要的安全防护措施，出现人身伤亡事故，由乙方承担全部经济与法律责任。</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其他：</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1、对本合同承包项目实施绿地管护和保洁所用的一切作业人员、机械设备（三轮车、草坪修剪机、灌溉机或洒水车、打药机等）、工具材料及工作服装和防护用品由乙方自行组织配备或由甲方指定作业人员来源，由此产生的一切费用由乙方承担。</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2、机械、车辆必须为正规厂家生产的专用车辆，手续齐全，保持车体整洁、车况良好、公司标志明显。</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3、乙方必须按照《劳动法》要求签订劳动用工合同，缴纳社会保险、意外伤害保险、发放工资（不低于当地最低工资标准），不足约定金额的，甲方有权扣发差额。并按规定发放劳保用品、夏季防暑降温费用、过节福利等。</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4、不得出现上访事件，否则每发生一起上访事件，除及时解决外承包人还需缴纳违约补偿金1万元人民币。如出现越级上访和集体上访且影响恶劣的，甲方将有权向主管部门申请将其列入经开区不良信誉企业黑名单。</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5、乙方必须于每月月底前将上月雇佣人员工资、福利、服装发放签字记录、保险金缴纳等记录上报甲方。</w:t>
            </w:r>
          </w:p>
          <w:p>
            <w:pPr>
              <w:pStyle w:val="29"/>
              <w:numPr>
                <w:ilvl w:val="0"/>
                <w:numId w:val="0"/>
              </w:numPr>
              <w:ind w:leftChars="0" w:right="0" w:rightChars="0"/>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6、在养护期起止的时间节点，乙方应将承包范围内的苗本，养护工具及开发区设施进行数量交接。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801" w:type="dxa"/>
            <w:tcBorders>
              <w:left w:val="single" w:color="000000" w:sz="4" w:space="0"/>
            </w:tcBorders>
            <w:vAlign w:val="center"/>
          </w:tcPr>
          <w:p>
            <w:pPr>
              <w:pStyle w:val="29"/>
              <w:jc w:val="cente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2.20.2</w:t>
            </w:r>
          </w:p>
        </w:tc>
        <w:tc>
          <w:tcPr>
            <w:tcW w:w="7633" w:type="dxa"/>
          </w:tcPr>
          <w:p>
            <w:pPr>
              <w:pStyle w:val="29"/>
              <w:numPr>
                <w:ilvl w:val="0"/>
                <w:numId w:val="0"/>
              </w:numPr>
              <w:ind w:leftChars="0" w:right="0" w:rightChars="0"/>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甲方有权要求乙方随时更换在实际工作中不称职的成员，更换人员以须具有同等或以上资质的本单位人员。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801" w:type="dxa"/>
            <w:tcBorders>
              <w:left w:val="single" w:color="000000" w:sz="4" w:space="0"/>
            </w:tcBorders>
            <w:vAlign w:val="center"/>
          </w:tcPr>
          <w:p>
            <w:pPr>
              <w:pStyle w:val="29"/>
              <w:jc w:val="cente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2.20.3</w:t>
            </w:r>
          </w:p>
        </w:tc>
        <w:tc>
          <w:tcPr>
            <w:tcW w:w="7633" w:type="dxa"/>
          </w:tcPr>
          <w:p>
            <w:pPr>
              <w:pStyle w:val="29"/>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如乙方连续三个月考核结果不合格，且拒不整改或整改不达标的，甲方有权终止协议。（考核按照《喀什经济开发区绿地养护考核管理办法（试行）》和《喀什经济开发区环卫考核管理办法（试行）》实施）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801" w:type="dxa"/>
            <w:tcBorders>
              <w:left w:val="single" w:color="000000" w:sz="4" w:space="0"/>
            </w:tcBorders>
            <w:vAlign w:val="center"/>
          </w:tcPr>
          <w:p>
            <w:pPr>
              <w:pStyle w:val="29"/>
              <w:jc w:val="cente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2.20.4</w:t>
            </w:r>
          </w:p>
        </w:tc>
        <w:tc>
          <w:tcPr>
            <w:tcW w:w="7633" w:type="dxa"/>
          </w:tcPr>
          <w:p>
            <w:pPr>
              <w:pStyle w:val="29"/>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在预算保障的前提下，对于购买内容相对固定、连续性强、经费来源稳定、价格变化幅度小的政府购买服务项目，可以签订履行期限不超过3年的政府购买服务合同。如预算不到位，采购人可与（中标单位或成交供应商）按约定变更采购合同。每年期满后，采购人根据相关政策以及中标人服务质量与中标人续签下一年合同，但中标单价予以调整。（具体以甲乙双方签订合同为准）</w:t>
            </w:r>
          </w:p>
        </w:tc>
      </w:tr>
    </w:tbl>
    <w:p>
      <w:pPr>
        <w:pStyle w:val="3"/>
        <w:spacing w:line="436" w:lineRule="auto"/>
        <w:ind w:left="774" w:right="452" w:firstLine="480"/>
        <w:jc w:val="both"/>
        <w:rPr>
          <w:rFonts w:hint="eastAsia" w:ascii="楷体" w:hAnsi="楷体" w:eastAsia="楷体" w:cs="楷体"/>
        </w:rPr>
      </w:pPr>
    </w:p>
    <w:sectPr>
      <w:footerReference r:id="rId17" w:type="default"/>
      <w:pgSz w:w="11910" w:h="16840"/>
      <w:pgMar w:top="1600" w:right="1020" w:bottom="1280" w:left="1040" w:header="0" w:footer="10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70</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w:rPr>
        <w:sz w:val="1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v:textbox>
            </v:shape>
          </w:pict>
        </mc:Fallback>
      </mc:AlternateContent>
    </w:r>
  </w:p>
  <w:p>
    <w:pPr>
      <w:pStyle w:val="12"/>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057" w:hanging="314"/>
        <w:jc w:val="left"/>
      </w:pPr>
      <w:rPr>
        <w:rFonts w:hint="default" w:ascii="仿宋" w:hAnsi="仿宋" w:eastAsia="仿宋" w:cs="仿宋"/>
        <w:spacing w:val="-34"/>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825" w:hanging="608"/>
        <w:jc w:val="left"/>
      </w:pPr>
      <w:rPr>
        <w:rFonts w:hint="default" w:ascii="仿宋" w:hAnsi="仿宋" w:eastAsia="仿宋" w:cs="仿宋"/>
        <w:spacing w:val="2"/>
        <w:w w:val="100"/>
        <w:sz w:val="22"/>
        <w:szCs w:val="22"/>
        <w:lang w:val="zh-CN" w:eastAsia="zh-CN" w:bidi="zh-CN"/>
      </w:rPr>
    </w:lvl>
    <w:lvl w:ilvl="1" w:tentative="0">
      <w:start w:val="0"/>
      <w:numFmt w:val="bullet"/>
      <w:lvlText w:val="•"/>
      <w:lvlJc w:val="left"/>
      <w:pPr>
        <w:ind w:left="2674" w:hanging="608"/>
      </w:pPr>
      <w:rPr>
        <w:rFonts w:hint="default"/>
        <w:lang w:val="zh-CN" w:eastAsia="zh-CN" w:bidi="zh-CN"/>
      </w:rPr>
    </w:lvl>
    <w:lvl w:ilvl="2" w:tentative="0">
      <w:start w:val="0"/>
      <w:numFmt w:val="bullet"/>
      <w:lvlText w:val="•"/>
      <w:lvlJc w:val="left"/>
      <w:pPr>
        <w:ind w:left="3529" w:hanging="608"/>
      </w:pPr>
      <w:rPr>
        <w:rFonts w:hint="default"/>
        <w:lang w:val="zh-CN" w:eastAsia="zh-CN" w:bidi="zh-CN"/>
      </w:rPr>
    </w:lvl>
    <w:lvl w:ilvl="3" w:tentative="0">
      <w:start w:val="0"/>
      <w:numFmt w:val="bullet"/>
      <w:lvlText w:val="•"/>
      <w:lvlJc w:val="left"/>
      <w:pPr>
        <w:ind w:left="4383" w:hanging="608"/>
      </w:pPr>
      <w:rPr>
        <w:rFonts w:hint="default"/>
        <w:lang w:val="zh-CN" w:eastAsia="zh-CN" w:bidi="zh-CN"/>
      </w:rPr>
    </w:lvl>
    <w:lvl w:ilvl="4" w:tentative="0">
      <w:start w:val="0"/>
      <w:numFmt w:val="bullet"/>
      <w:lvlText w:val="•"/>
      <w:lvlJc w:val="left"/>
      <w:pPr>
        <w:ind w:left="5238" w:hanging="608"/>
      </w:pPr>
      <w:rPr>
        <w:rFonts w:hint="default"/>
        <w:lang w:val="zh-CN" w:eastAsia="zh-CN" w:bidi="zh-CN"/>
      </w:rPr>
    </w:lvl>
    <w:lvl w:ilvl="5" w:tentative="0">
      <w:start w:val="0"/>
      <w:numFmt w:val="bullet"/>
      <w:lvlText w:val="•"/>
      <w:lvlJc w:val="left"/>
      <w:pPr>
        <w:ind w:left="6093" w:hanging="608"/>
      </w:pPr>
      <w:rPr>
        <w:rFonts w:hint="default"/>
        <w:lang w:val="zh-CN" w:eastAsia="zh-CN" w:bidi="zh-CN"/>
      </w:rPr>
    </w:lvl>
    <w:lvl w:ilvl="6" w:tentative="0">
      <w:start w:val="0"/>
      <w:numFmt w:val="bullet"/>
      <w:lvlText w:val="•"/>
      <w:lvlJc w:val="left"/>
      <w:pPr>
        <w:ind w:left="6947" w:hanging="608"/>
      </w:pPr>
      <w:rPr>
        <w:rFonts w:hint="default"/>
        <w:lang w:val="zh-CN" w:eastAsia="zh-CN" w:bidi="zh-CN"/>
      </w:rPr>
    </w:lvl>
    <w:lvl w:ilvl="7" w:tentative="0">
      <w:start w:val="0"/>
      <w:numFmt w:val="bullet"/>
      <w:lvlText w:val="•"/>
      <w:lvlJc w:val="left"/>
      <w:pPr>
        <w:ind w:left="7802" w:hanging="608"/>
      </w:pPr>
      <w:rPr>
        <w:rFonts w:hint="default"/>
        <w:lang w:val="zh-CN" w:eastAsia="zh-CN" w:bidi="zh-CN"/>
      </w:rPr>
    </w:lvl>
    <w:lvl w:ilvl="8" w:tentative="0">
      <w:start w:val="0"/>
      <w:numFmt w:val="bullet"/>
      <w:lvlText w:val="•"/>
      <w:lvlJc w:val="left"/>
      <w:pPr>
        <w:ind w:left="8656" w:hanging="608"/>
      </w:pPr>
      <w:rPr>
        <w:rFonts w:hint="default"/>
        <w:lang w:val="zh-CN" w:eastAsia="zh-CN" w:bidi="zh-CN"/>
      </w:rPr>
    </w:lvl>
  </w:abstractNum>
  <w:abstractNum w:abstractNumId="2">
    <w:nsid w:val="99167E92"/>
    <w:multiLevelType w:val="singleLevel"/>
    <w:tmpl w:val="99167E92"/>
    <w:lvl w:ilvl="0" w:tentative="0">
      <w:start w:val="1"/>
      <w:numFmt w:val="chineseCounting"/>
      <w:suff w:val="space"/>
      <w:lvlText w:val="第%1部分"/>
      <w:lvlJc w:val="left"/>
      <w:rPr>
        <w:rFonts w:hint="eastAsia"/>
      </w:rPr>
    </w:lvl>
  </w:abstractNum>
  <w:abstractNum w:abstractNumId="3">
    <w:nsid w:val="9C8AC8EF"/>
    <w:multiLevelType w:val="multilevel"/>
    <w:tmpl w:val="9C8AC8EF"/>
    <w:lvl w:ilvl="0" w:tentative="0">
      <w:start w:val="35"/>
      <w:numFmt w:val="decimal"/>
      <w:lvlText w:val="%1."/>
      <w:lvlJc w:val="left"/>
      <w:pPr>
        <w:ind w:left="1420" w:hanging="363"/>
        <w:jc w:val="left"/>
      </w:pPr>
      <w:rPr>
        <w:rFonts w:hint="default" w:ascii="仿宋" w:hAnsi="仿宋" w:eastAsia="仿宋" w:cs="仿宋"/>
        <w:b/>
        <w:bCs/>
        <w:w w:val="99"/>
        <w:sz w:val="22"/>
        <w:szCs w:val="22"/>
        <w:lang w:val="zh-CN" w:eastAsia="zh-CN" w:bidi="zh-CN"/>
      </w:rPr>
    </w:lvl>
    <w:lvl w:ilvl="1" w:tentative="0">
      <w:start w:val="1"/>
      <w:numFmt w:val="decimal"/>
      <w:lvlText w:val="%1.%2"/>
      <w:lvlJc w:val="left"/>
      <w:pPr>
        <w:ind w:left="1907" w:hanging="720"/>
        <w:jc w:val="left"/>
      </w:pPr>
      <w:rPr>
        <w:rFonts w:hint="default" w:ascii="仿宋" w:hAnsi="仿宋" w:eastAsia="仿宋" w:cs="仿宋"/>
        <w:spacing w:val="-48"/>
        <w:w w:val="100"/>
        <w:sz w:val="24"/>
        <w:szCs w:val="24"/>
        <w:lang w:val="zh-CN" w:eastAsia="zh-CN" w:bidi="zh-CN"/>
      </w:rPr>
    </w:lvl>
    <w:lvl w:ilvl="2" w:tentative="0">
      <w:start w:val="1"/>
      <w:numFmt w:val="decimal"/>
      <w:lvlText w:val="%3."/>
      <w:lvlJc w:val="left"/>
      <w:pPr>
        <w:ind w:left="1597" w:hanging="248"/>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2958" w:hanging="248"/>
      </w:pPr>
      <w:rPr>
        <w:rFonts w:hint="default"/>
        <w:lang w:val="zh-CN" w:eastAsia="zh-CN" w:bidi="zh-CN"/>
      </w:rPr>
    </w:lvl>
    <w:lvl w:ilvl="4" w:tentative="0">
      <w:start w:val="0"/>
      <w:numFmt w:val="bullet"/>
      <w:lvlText w:val="•"/>
      <w:lvlJc w:val="left"/>
      <w:pPr>
        <w:ind w:left="4016" w:hanging="248"/>
      </w:pPr>
      <w:rPr>
        <w:rFonts w:hint="default"/>
        <w:lang w:val="zh-CN" w:eastAsia="zh-CN" w:bidi="zh-CN"/>
      </w:rPr>
    </w:lvl>
    <w:lvl w:ilvl="5" w:tentative="0">
      <w:start w:val="0"/>
      <w:numFmt w:val="bullet"/>
      <w:lvlText w:val="•"/>
      <w:lvlJc w:val="left"/>
      <w:pPr>
        <w:ind w:left="5074" w:hanging="248"/>
      </w:pPr>
      <w:rPr>
        <w:rFonts w:hint="default"/>
        <w:lang w:val="zh-CN" w:eastAsia="zh-CN" w:bidi="zh-CN"/>
      </w:rPr>
    </w:lvl>
    <w:lvl w:ilvl="6" w:tentative="0">
      <w:start w:val="0"/>
      <w:numFmt w:val="bullet"/>
      <w:lvlText w:val="•"/>
      <w:lvlJc w:val="left"/>
      <w:pPr>
        <w:ind w:left="6133" w:hanging="248"/>
      </w:pPr>
      <w:rPr>
        <w:rFonts w:hint="default"/>
        <w:lang w:val="zh-CN" w:eastAsia="zh-CN" w:bidi="zh-CN"/>
      </w:rPr>
    </w:lvl>
    <w:lvl w:ilvl="7" w:tentative="0">
      <w:start w:val="0"/>
      <w:numFmt w:val="bullet"/>
      <w:lvlText w:val="•"/>
      <w:lvlJc w:val="left"/>
      <w:pPr>
        <w:ind w:left="7191" w:hanging="248"/>
      </w:pPr>
      <w:rPr>
        <w:rFonts w:hint="default"/>
        <w:lang w:val="zh-CN" w:eastAsia="zh-CN" w:bidi="zh-CN"/>
      </w:rPr>
    </w:lvl>
    <w:lvl w:ilvl="8" w:tentative="0">
      <w:start w:val="0"/>
      <w:numFmt w:val="bullet"/>
      <w:lvlText w:val="•"/>
      <w:lvlJc w:val="left"/>
      <w:pPr>
        <w:ind w:left="8249" w:hanging="248"/>
      </w:pPr>
      <w:rPr>
        <w:rFonts w:hint="default"/>
        <w:lang w:val="zh-CN" w:eastAsia="zh-CN" w:bidi="zh-CN"/>
      </w:rPr>
    </w:lvl>
  </w:abstractNum>
  <w:abstractNum w:abstractNumId="4">
    <w:nsid w:val="B0F1ACD9"/>
    <w:multiLevelType w:val="multilevel"/>
    <w:tmpl w:val="B0F1ACD9"/>
    <w:lvl w:ilvl="0" w:tentative="0">
      <w:start w:val="1"/>
      <w:numFmt w:val="decimal"/>
      <w:lvlText w:val="%1."/>
      <w:lvlJc w:val="left"/>
      <w:pPr>
        <w:ind w:left="1057" w:hanging="361"/>
        <w:jc w:val="left"/>
      </w:pPr>
      <w:rPr>
        <w:rFonts w:hint="default" w:ascii="仿宋" w:hAnsi="仿宋" w:eastAsia="仿宋" w:cs="仿宋"/>
        <w:spacing w:val="-46"/>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5">
    <w:nsid w:val="B3264F94"/>
    <w:multiLevelType w:val="singleLevel"/>
    <w:tmpl w:val="B3264F94"/>
    <w:lvl w:ilvl="0" w:tentative="0">
      <w:start w:val="1"/>
      <w:numFmt w:val="decimal"/>
      <w:suff w:val="nothing"/>
      <w:lvlText w:val="%1、"/>
      <w:lvlJc w:val="left"/>
    </w:lvl>
  </w:abstractNum>
  <w:abstractNum w:abstractNumId="6">
    <w:nsid w:val="B5E306ED"/>
    <w:multiLevelType w:val="multilevel"/>
    <w:tmpl w:val="B5E306ED"/>
    <w:lvl w:ilvl="0" w:tentative="0">
      <w:start w:val="11"/>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left"/>
      </w:pPr>
      <w:rPr>
        <w:rFonts w:hint="default" w:ascii="仿宋" w:hAnsi="仿宋" w:eastAsia="仿宋" w:cs="仿宋"/>
        <w:w w:val="99"/>
        <w:sz w:val="24"/>
        <w:szCs w:val="24"/>
        <w:lang w:val="zh-CN" w:eastAsia="zh-CN" w:bidi="zh-CN"/>
      </w:rPr>
    </w:lvl>
    <w:lvl w:ilvl="2" w:tentative="0">
      <w:start w:val="1"/>
      <w:numFmt w:val="decimal"/>
      <w:lvlText w:val="%1.%2.%3"/>
      <w:lvlJc w:val="left"/>
      <w:pPr>
        <w:ind w:left="1957" w:hanging="963"/>
        <w:jc w:val="left"/>
      </w:pPr>
      <w:rPr>
        <w:rFonts w:hint="default" w:ascii="仿宋" w:hAnsi="仿宋" w:eastAsia="仿宋" w:cs="仿宋"/>
        <w:spacing w:val="-12"/>
        <w:w w:val="100"/>
        <w:sz w:val="24"/>
        <w:szCs w:val="24"/>
        <w:lang w:val="zh-CN" w:eastAsia="zh-CN" w:bidi="zh-CN"/>
      </w:rPr>
    </w:lvl>
    <w:lvl w:ilvl="3" w:tentative="0">
      <w:start w:val="0"/>
      <w:numFmt w:val="bullet"/>
      <w:lvlText w:val="•"/>
      <w:lvlJc w:val="left"/>
      <w:pPr>
        <w:ind w:left="4481" w:hanging="963"/>
      </w:pPr>
      <w:rPr>
        <w:rFonts w:hint="default"/>
        <w:lang w:val="zh-CN" w:eastAsia="zh-CN" w:bidi="zh-CN"/>
      </w:rPr>
    </w:lvl>
    <w:lvl w:ilvl="4" w:tentative="0">
      <w:start w:val="0"/>
      <w:numFmt w:val="bullet"/>
      <w:lvlText w:val="•"/>
      <w:lvlJc w:val="left"/>
      <w:pPr>
        <w:ind w:left="5322" w:hanging="963"/>
      </w:pPr>
      <w:rPr>
        <w:rFonts w:hint="default"/>
        <w:lang w:val="zh-CN" w:eastAsia="zh-CN" w:bidi="zh-CN"/>
      </w:rPr>
    </w:lvl>
    <w:lvl w:ilvl="5" w:tentative="0">
      <w:start w:val="0"/>
      <w:numFmt w:val="bullet"/>
      <w:lvlText w:val="•"/>
      <w:lvlJc w:val="left"/>
      <w:pPr>
        <w:ind w:left="6163" w:hanging="963"/>
      </w:pPr>
      <w:rPr>
        <w:rFonts w:hint="default"/>
        <w:lang w:val="zh-CN" w:eastAsia="zh-CN" w:bidi="zh-CN"/>
      </w:rPr>
    </w:lvl>
    <w:lvl w:ilvl="6" w:tentative="0">
      <w:start w:val="0"/>
      <w:numFmt w:val="bullet"/>
      <w:lvlText w:val="•"/>
      <w:lvlJc w:val="left"/>
      <w:pPr>
        <w:ind w:left="7003" w:hanging="963"/>
      </w:pPr>
      <w:rPr>
        <w:rFonts w:hint="default"/>
        <w:lang w:val="zh-CN" w:eastAsia="zh-CN" w:bidi="zh-CN"/>
      </w:rPr>
    </w:lvl>
    <w:lvl w:ilvl="7" w:tentative="0">
      <w:start w:val="0"/>
      <w:numFmt w:val="bullet"/>
      <w:lvlText w:val="•"/>
      <w:lvlJc w:val="left"/>
      <w:pPr>
        <w:ind w:left="7844" w:hanging="963"/>
      </w:pPr>
      <w:rPr>
        <w:rFonts w:hint="default"/>
        <w:lang w:val="zh-CN" w:eastAsia="zh-CN" w:bidi="zh-CN"/>
      </w:rPr>
    </w:lvl>
    <w:lvl w:ilvl="8" w:tentative="0">
      <w:start w:val="0"/>
      <w:numFmt w:val="bullet"/>
      <w:lvlText w:val="•"/>
      <w:lvlJc w:val="left"/>
      <w:pPr>
        <w:ind w:left="8684" w:hanging="963"/>
      </w:pPr>
      <w:rPr>
        <w:rFonts w:hint="default"/>
        <w:lang w:val="zh-CN" w:eastAsia="zh-CN" w:bidi="zh-CN"/>
      </w:rPr>
    </w:lvl>
  </w:abstractNum>
  <w:abstractNum w:abstractNumId="7">
    <w:nsid w:val="BE923771"/>
    <w:multiLevelType w:val="multilevel"/>
    <w:tmpl w:val="BE923771"/>
    <w:lvl w:ilvl="0" w:tentative="0">
      <w:start w:val="1"/>
      <w:numFmt w:val="decimal"/>
      <w:lvlText w:val="%1."/>
      <w:lvlJc w:val="left"/>
      <w:pPr>
        <w:ind w:left="1057" w:hanging="314"/>
        <w:jc w:val="left"/>
      </w:pPr>
      <w:rPr>
        <w:rFonts w:hint="default" w:ascii="仿宋" w:hAnsi="仿宋" w:eastAsia="仿宋" w:cs="仿宋"/>
        <w:spacing w:val="-34"/>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8">
    <w:nsid w:val="BF205925"/>
    <w:multiLevelType w:val="multilevel"/>
    <w:tmpl w:val="BF205925"/>
    <w:lvl w:ilvl="0" w:tentative="0">
      <w:start w:val="1"/>
      <w:numFmt w:val="decimal"/>
      <w:lvlText w:val="%1."/>
      <w:lvlJc w:val="left"/>
      <w:pPr>
        <w:ind w:left="1301" w:hanging="244"/>
        <w:jc w:val="left"/>
      </w:pPr>
      <w:rPr>
        <w:rFonts w:hint="default" w:ascii="仿宋" w:hAnsi="仿宋" w:eastAsia="仿宋" w:cs="仿宋"/>
        <w:b/>
        <w:bCs/>
        <w:spacing w:val="-3"/>
        <w:w w:val="99"/>
        <w:sz w:val="22"/>
        <w:szCs w:val="22"/>
        <w:lang w:val="zh-CN" w:eastAsia="zh-CN" w:bidi="zh-CN"/>
      </w:rPr>
    </w:lvl>
    <w:lvl w:ilvl="1" w:tentative="0">
      <w:start w:val="1"/>
      <w:numFmt w:val="decimal"/>
      <w:lvlText w:val="%1.%2"/>
      <w:lvlJc w:val="left"/>
      <w:pPr>
        <w:ind w:left="1957" w:hanging="900"/>
        <w:jc w:val="left"/>
      </w:pPr>
      <w:rPr>
        <w:rFonts w:hint="default"/>
        <w:w w:val="100"/>
        <w:lang w:val="zh-CN" w:eastAsia="zh-CN" w:bidi="zh-CN"/>
      </w:rPr>
    </w:lvl>
    <w:lvl w:ilvl="2" w:tentative="0">
      <w:start w:val="1"/>
      <w:numFmt w:val="decimal"/>
      <w:lvlText w:val="%1.%2.%3"/>
      <w:lvlJc w:val="left"/>
      <w:pPr>
        <w:ind w:left="1907" w:hanging="900"/>
        <w:jc w:val="left"/>
      </w:pPr>
      <w:rPr>
        <w:rFonts w:hint="default" w:ascii="仿宋" w:hAnsi="仿宋" w:eastAsia="仿宋" w:cs="仿宋"/>
        <w:spacing w:val="-51"/>
        <w:w w:val="100"/>
        <w:sz w:val="24"/>
        <w:szCs w:val="24"/>
        <w:lang w:val="zh-CN" w:eastAsia="zh-CN" w:bidi="zh-CN"/>
      </w:rPr>
    </w:lvl>
    <w:lvl w:ilvl="3" w:tentative="0">
      <w:start w:val="0"/>
      <w:numFmt w:val="bullet"/>
      <w:lvlText w:val="•"/>
      <w:lvlJc w:val="left"/>
      <w:pPr>
        <w:ind w:left="1960" w:hanging="900"/>
      </w:pPr>
      <w:rPr>
        <w:rFonts w:hint="default"/>
        <w:lang w:val="zh-CN" w:eastAsia="zh-CN" w:bidi="zh-CN"/>
      </w:rPr>
    </w:lvl>
    <w:lvl w:ilvl="4" w:tentative="0">
      <w:start w:val="0"/>
      <w:numFmt w:val="bullet"/>
      <w:lvlText w:val="•"/>
      <w:lvlJc w:val="left"/>
      <w:pPr>
        <w:ind w:left="2020" w:hanging="900"/>
      </w:pPr>
      <w:rPr>
        <w:rFonts w:hint="default"/>
        <w:lang w:val="zh-CN" w:eastAsia="zh-CN" w:bidi="zh-CN"/>
      </w:rPr>
    </w:lvl>
    <w:lvl w:ilvl="5" w:tentative="0">
      <w:start w:val="0"/>
      <w:numFmt w:val="bullet"/>
      <w:lvlText w:val="•"/>
      <w:lvlJc w:val="left"/>
      <w:pPr>
        <w:ind w:left="3411" w:hanging="900"/>
      </w:pPr>
      <w:rPr>
        <w:rFonts w:hint="default"/>
        <w:lang w:val="zh-CN" w:eastAsia="zh-CN" w:bidi="zh-CN"/>
      </w:rPr>
    </w:lvl>
    <w:lvl w:ilvl="6" w:tentative="0">
      <w:start w:val="0"/>
      <w:numFmt w:val="bullet"/>
      <w:lvlText w:val="•"/>
      <w:lvlJc w:val="left"/>
      <w:pPr>
        <w:ind w:left="4802" w:hanging="900"/>
      </w:pPr>
      <w:rPr>
        <w:rFonts w:hint="default"/>
        <w:lang w:val="zh-CN" w:eastAsia="zh-CN" w:bidi="zh-CN"/>
      </w:rPr>
    </w:lvl>
    <w:lvl w:ilvl="7" w:tentative="0">
      <w:start w:val="0"/>
      <w:numFmt w:val="bullet"/>
      <w:lvlText w:val="•"/>
      <w:lvlJc w:val="left"/>
      <w:pPr>
        <w:ind w:left="6193" w:hanging="900"/>
      </w:pPr>
      <w:rPr>
        <w:rFonts w:hint="default"/>
        <w:lang w:val="zh-CN" w:eastAsia="zh-CN" w:bidi="zh-CN"/>
      </w:rPr>
    </w:lvl>
    <w:lvl w:ilvl="8" w:tentative="0">
      <w:start w:val="0"/>
      <w:numFmt w:val="bullet"/>
      <w:lvlText w:val="•"/>
      <w:lvlJc w:val="left"/>
      <w:pPr>
        <w:ind w:left="7584" w:hanging="900"/>
      </w:pPr>
      <w:rPr>
        <w:rFonts w:hint="default"/>
        <w:lang w:val="zh-CN" w:eastAsia="zh-CN" w:bidi="zh-CN"/>
      </w:rPr>
    </w:lvl>
  </w:abstractNum>
  <w:abstractNum w:abstractNumId="9">
    <w:nsid w:val="C8879AEF"/>
    <w:multiLevelType w:val="multilevel"/>
    <w:tmpl w:val="C8879AEF"/>
    <w:lvl w:ilvl="0" w:tentative="0">
      <w:start w:val="22"/>
      <w:numFmt w:val="decimal"/>
      <w:lvlText w:val="%1"/>
      <w:lvlJc w:val="left"/>
      <w:pPr>
        <w:ind w:left="1909" w:hanging="840"/>
        <w:jc w:val="left"/>
      </w:pPr>
      <w:rPr>
        <w:rFonts w:hint="default"/>
        <w:lang w:val="zh-CN" w:eastAsia="zh-CN" w:bidi="zh-CN"/>
      </w:rPr>
    </w:lvl>
    <w:lvl w:ilvl="1" w:tentative="0">
      <w:start w:val="1"/>
      <w:numFmt w:val="decimal"/>
      <w:lvlText w:val="%1.%2"/>
      <w:lvlJc w:val="left"/>
      <w:pPr>
        <w:ind w:left="1909" w:hanging="840"/>
        <w:jc w:val="left"/>
      </w:pPr>
      <w:rPr>
        <w:rFonts w:hint="default" w:ascii="仿宋" w:hAnsi="仿宋" w:eastAsia="仿宋" w:cs="仿宋"/>
        <w:spacing w:val="-101"/>
        <w:w w:val="99"/>
        <w:sz w:val="24"/>
        <w:szCs w:val="24"/>
        <w:lang w:val="zh-CN" w:eastAsia="zh-CN" w:bidi="zh-CN"/>
      </w:rPr>
    </w:lvl>
    <w:lvl w:ilvl="2" w:tentative="0">
      <w:start w:val="1"/>
      <w:numFmt w:val="decimal"/>
      <w:lvlText w:val="（%3）"/>
      <w:lvlJc w:val="left"/>
      <w:pPr>
        <w:ind w:left="2627" w:hanging="670"/>
        <w:jc w:val="left"/>
      </w:pPr>
      <w:rPr>
        <w:rFonts w:hint="default"/>
        <w:w w:val="100"/>
        <w:lang w:val="zh-CN" w:eastAsia="zh-CN" w:bidi="zh-CN"/>
      </w:rPr>
    </w:lvl>
    <w:lvl w:ilvl="3" w:tentative="0">
      <w:start w:val="0"/>
      <w:numFmt w:val="bullet"/>
      <w:lvlText w:val="•"/>
      <w:lvlJc w:val="left"/>
      <w:pPr>
        <w:ind w:left="4341" w:hanging="670"/>
      </w:pPr>
      <w:rPr>
        <w:rFonts w:hint="default"/>
        <w:lang w:val="zh-CN" w:eastAsia="zh-CN" w:bidi="zh-CN"/>
      </w:rPr>
    </w:lvl>
    <w:lvl w:ilvl="4" w:tentative="0">
      <w:start w:val="0"/>
      <w:numFmt w:val="bullet"/>
      <w:lvlText w:val="•"/>
      <w:lvlJc w:val="left"/>
      <w:pPr>
        <w:ind w:left="5202" w:hanging="670"/>
      </w:pPr>
      <w:rPr>
        <w:rFonts w:hint="default"/>
        <w:lang w:val="zh-CN" w:eastAsia="zh-CN" w:bidi="zh-CN"/>
      </w:rPr>
    </w:lvl>
    <w:lvl w:ilvl="5" w:tentative="0">
      <w:start w:val="0"/>
      <w:numFmt w:val="bullet"/>
      <w:lvlText w:val="•"/>
      <w:lvlJc w:val="left"/>
      <w:pPr>
        <w:ind w:left="6062" w:hanging="670"/>
      </w:pPr>
      <w:rPr>
        <w:rFonts w:hint="default"/>
        <w:lang w:val="zh-CN" w:eastAsia="zh-CN" w:bidi="zh-CN"/>
      </w:rPr>
    </w:lvl>
    <w:lvl w:ilvl="6" w:tentative="0">
      <w:start w:val="0"/>
      <w:numFmt w:val="bullet"/>
      <w:lvlText w:val="•"/>
      <w:lvlJc w:val="left"/>
      <w:pPr>
        <w:ind w:left="6923" w:hanging="670"/>
      </w:pPr>
      <w:rPr>
        <w:rFonts w:hint="default"/>
        <w:lang w:val="zh-CN" w:eastAsia="zh-CN" w:bidi="zh-CN"/>
      </w:rPr>
    </w:lvl>
    <w:lvl w:ilvl="7" w:tentative="0">
      <w:start w:val="0"/>
      <w:numFmt w:val="bullet"/>
      <w:lvlText w:val="•"/>
      <w:lvlJc w:val="left"/>
      <w:pPr>
        <w:ind w:left="7784" w:hanging="670"/>
      </w:pPr>
      <w:rPr>
        <w:rFonts w:hint="default"/>
        <w:lang w:val="zh-CN" w:eastAsia="zh-CN" w:bidi="zh-CN"/>
      </w:rPr>
    </w:lvl>
    <w:lvl w:ilvl="8" w:tentative="0">
      <w:start w:val="0"/>
      <w:numFmt w:val="bullet"/>
      <w:lvlText w:val="•"/>
      <w:lvlJc w:val="left"/>
      <w:pPr>
        <w:ind w:left="8644" w:hanging="670"/>
      </w:pPr>
      <w:rPr>
        <w:rFonts w:hint="default"/>
        <w:lang w:val="zh-CN" w:eastAsia="zh-CN" w:bidi="zh-CN"/>
      </w:rPr>
    </w:lvl>
  </w:abstractNum>
  <w:abstractNum w:abstractNumId="10">
    <w:nsid w:val="DCBA6B53"/>
    <w:multiLevelType w:val="multilevel"/>
    <w:tmpl w:val="DCBA6B53"/>
    <w:lvl w:ilvl="0" w:tentative="0">
      <w:start w:val="26"/>
      <w:numFmt w:val="decimal"/>
      <w:lvlText w:val="%1."/>
      <w:lvlJc w:val="left"/>
      <w:pPr>
        <w:ind w:left="1420" w:hanging="363"/>
        <w:jc w:val="left"/>
      </w:pPr>
      <w:rPr>
        <w:rFonts w:hint="default" w:ascii="仿宋" w:hAnsi="仿宋" w:eastAsia="仿宋" w:cs="仿宋"/>
        <w:b/>
        <w:bCs/>
        <w:spacing w:val="-3"/>
        <w:w w:val="99"/>
        <w:sz w:val="22"/>
        <w:szCs w:val="22"/>
        <w:lang w:val="zh-CN" w:eastAsia="zh-CN" w:bidi="zh-CN"/>
      </w:rPr>
    </w:lvl>
    <w:lvl w:ilvl="1" w:tentative="0">
      <w:start w:val="1"/>
      <w:numFmt w:val="decimal"/>
      <w:lvlText w:val="%1.%2"/>
      <w:lvlJc w:val="left"/>
      <w:pPr>
        <w:ind w:left="1957" w:hanging="90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897" w:hanging="84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010" w:hanging="840"/>
      </w:pPr>
      <w:rPr>
        <w:rFonts w:hint="default"/>
        <w:lang w:val="zh-CN" w:eastAsia="zh-CN" w:bidi="zh-CN"/>
      </w:rPr>
    </w:lvl>
    <w:lvl w:ilvl="4" w:tentative="0">
      <w:start w:val="0"/>
      <w:numFmt w:val="bullet"/>
      <w:lvlText w:val="•"/>
      <w:lvlJc w:val="left"/>
      <w:pPr>
        <w:ind w:left="4061" w:hanging="840"/>
      </w:pPr>
      <w:rPr>
        <w:rFonts w:hint="default"/>
        <w:lang w:val="zh-CN" w:eastAsia="zh-CN" w:bidi="zh-CN"/>
      </w:rPr>
    </w:lvl>
    <w:lvl w:ilvl="5" w:tentative="0">
      <w:start w:val="0"/>
      <w:numFmt w:val="bullet"/>
      <w:lvlText w:val="•"/>
      <w:lvlJc w:val="left"/>
      <w:pPr>
        <w:ind w:left="5112" w:hanging="840"/>
      </w:pPr>
      <w:rPr>
        <w:rFonts w:hint="default"/>
        <w:lang w:val="zh-CN" w:eastAsia="zh-CN" w:bidi="zh-CN"/>
      </w:rPr>
    </w:lvl>
    <w:lvl w:ilvl="6" w:tentative="0">
      <w:start w:val="0"/>
      <w:numFmt w:val="bullet"/>
      <w:lvlText w:val="•"/>
      <w:lvlJc w:val="left"/>
      <w:pPr>
        <w:ind w:left="6163" w:hanging="840"/>
      </w:pPr>
      <w:rPr>
        <w:rFonts w:hint="default"/>
        <w:lang w:val="zh-CN" w:eastAsia="zh-CN" w:bidi="zh-CN"/>
      </w:rPr>
    </w:lvl>
    <w:lvl w:ilvl="7" w:tentative="0">
      <w:start w:val="0"/>
      <w:numFmt w:val="bullet"/>
      <w:lvlText w:val="•"/>
      <w:lvlJc w:val="left"/>
      <w:pPr>
        <w:ind w:left="7213" w:hanging="840"/>
      </w:pPr>
      <w:rPr>
        <w:rFonts w:hint="default"/>
        <w:lang w:val="zh-CN" w:eastAsia="zh-CN" w:bidi="zh-CN"/>
      </w:rPr>
    </w:lvl>
    <w:lvl w:ilvl="8" w:tentative="0">
      <w:start w:val="0"/>
      <w:numFmt w:val="bullet"/>
      <w:lvlText w:val="•"/>
      <w:lvlJc w:val="left"/>
      <w:pPr>
        <w:ind w:left="8264" w:hanging="840"/>
      </w:pPr>
      <w:rPr>
        <w:rFonts w:hint="default"/>
        <w:lang w:val="zh-CN" w:eastAsia="zh-CN" w:bidi="zh-CN"/>
      </w:rPr>
    </w:lvl>
  </w:abstractNum>
  <w:abstractNum w:abstractNumId="11">
    <w:nsid w:val="EA273910"/>
    <w:multiLevelType w:val="singleLevel"/>
    <w:tmpl w:val="EA273910"/>
    <w:lvl w:ilvl="0" w:tentative="0">
      <w:start w:val="4"/>
      <w:numFmt w:val="chineseCounting"/>
      <w:suff w:val="nothing"/>
      <w:lvlText w:val="%1、"/>
      <w:lvlJc w:val="left"/>
      <w:rPr>
        <w:rFonts w:hint="eastAsia"/>
      </w:rPr>
    </w:lvl>
  </w:abstractNum>
  <w:abstractNum w:abstractNumId="12">
    <w:nsid w:val="0248C179"/>
    <w:multiLevelType w:val="multilevel"/>
    <w:tmpl w:val="0248C179"/>
    <w:lvl w:ilvl="0" w:tentative="0">
      <w:start w:val="13"/>
      <w:numFmt w:val="decimal"/>
      <w:lvlText w:val="%1."/>
      <w:lvlJc w:val="left"/>
      <w:pPr>
        <w:ind w:left="1421" w:hanging="364"/>
        <w:jc w:val="left"/>
      </w:pPr>
      <w:rPr>
        <w:rFonts w:hint="default"/>
        <w:b/>
        <w:bCs/>
        <w:spacing w:val="0"/>
        <w:w w:val="99"/>
        <w:lang w:val="zh-CN" w:eastAsia="zh-CN" w:bidi="zh-CN"/>
      </w:rPr>
    </w:lvl>
    <w:lvl w:ilvl="1" w:tentative="0">
      <w:start w:val="1"/>
      <w:numFmt w:val="decimal"/>
      <w:lvlText w:val="%1.%2"/>
      <w:lvlJc w:val="left"/>
      <w:pPr>
        <w:ind w:left="2000" w:hanging="900"/>
        <w:jc w:val="left"/>
      </w:pPr>
      <w:rPr>
        <w:rFonts w:hint="default" w:ascii="仿宋" w:hAnsi="仿宋" w:eastAsia="仿宋" w:cs="仿宋"/>
        <w:w w:val="99"/>
        <w:sz w:val="24"/>
        <w:szCs w:val="24"/>
        <w:lang w:val="zh-CN" w:eastAsia="zh-CN" w:bidi="zh-CN"/>
      </w:rPr>
    </w:lvl>
    <w:lvl w:ilvl="2" w:tentative="0">
      <w:start w:val="1"/>
      <w:numFmt w:val="decimal"/>
      <w:lvlText w:val="（%3）"/>
      <w:lvlJc w:val="left"/>
      <w:pPr>
        <w:ind w:left="2498" w:hanging="604"/>
        <w:jc w:val="left"/>
      </w:pPr>
      <w:rPr>
        <w:rFonts w:hint="default"/>
        <w:w w:val="100"/>
        <w:lang w:val="zh-CN" w:eastAsia="zh-CN" w:bidi="zh-CN"/>
      </w:rPr>
    </w:lvl>
    <w:lvl w:ilvl="3" w:tentative="0">
      <w:start w:val="0"/>
      <w:numFmt w:val="bullet"/>
      <w:lvlText w:val="•"/>
      <w:lvlJc w:val="left"/>
      <w:pPr>
        <w:ind w:left="2500" w:hanging="604"/>
      </w:pPr>
      <w:rPr>
        <w:rFonts w:hint="default"/>
        <w:lang w:val="zh-CN" w:eastAsia="zh-CN" w:bidi="zh-CN"/>
      </w:rPr>
    </w:lvl>
    <w:lvl w:ilvl="4" w:tentative="0">
      <w:start w:val="0"/>
      <w:numFmt w:val="bullet"/>
      <w:lvlText w:val="•"/>
      <w:lvlJc w:val="left"/>
      <w:pPr>
        <w:ind w:left="3623" w:hanging="604"/>
      </w:pPr>
      <w:rPr>
        <w:rFonts w:hint="default"/>
        <w:lang w:val="zh-CN" w:eastAsia="zh-CN" w:bidi="zh-CN"/>
      </w:rPr>
    </w:lvl>
    <w:lvl w:ilvl="5" w:tentative="0">
      <w:start w:val="0"/>
      <w:numFmt w:val="bullet"/>
      <w:lvlText w:val="•"/>
      <w:lvlJc w:val="left"/>
      <w:pPr>
        <w:ind w:left="4747" w:hanging="604"/>
      </w:pPr>
      <w:rPr>
        <w:rFonts w:hint="default"/>
        <w:lang w:val="zh-CN" w:eastAsia="zh-CN" w:bidi="zh-CN"/>
      </w:rPr>
    </w:lvl>
    <w:lvl w:ilvl="6" w:tentative="0">
      <w:start w:val="0"/>
      <w:numFmt w:val="bullet"/>
      <w:lvlText w:val="•"/>
      <w:lvlJc w:val="left"/>
      <w:pPr>
        <w:ind w:left="5871" w:hanging="604"/>
      </w:pPr>
      <w:rPr>
        <w:rFonts w:hint="default"/>
        <w:lang w:val="zh-CN" w:eastAsia="zh-CN" w:bidi="zh-CN"/>
      </w:rPr>
    </w:lvl>
    <w:lvl w:ilvl="7" w:tentative="0">
      <w:start w:val="0"/>
      <w:numFmt w:val="bullet"/>
      <w:lvlText w:val="•"/>
      <w:lvlJc w:val="left"/>
      <w:pPr>
        <w:ind w:left="6994" w:hanging="604"/>
      </w:pPr>
      <w:rPr>
        <w:rFonts w:hint="default"/>
        <w:lang w:val="zh-CN" w:eastAsia="zh-CN" w:bidi="zh-CN"/>
      </w:rPr>
    </w:lvl>
    <w:lvl w:ilvl="8" w:tentative="0">
      <w:start w:val="0"/>
      <w:numFmt w:val="bullet"/>
      <w:lvlText w:val="•"/>
      <w:lvlJc w:val="left"/>
      <w:pPr>
        <w:ind w:left="8118" w:hanging="604"/>
      </w:pPr>
      <w:rPr>
        <w:rFonts w:hint="default"/>
        <w:lang w:val="zh-CN" w:eastAsia="zh-CN" w:bidi="zh-CN"/>
      </w:rPr>
    </w:lvl>
  </w:abstractNum>
  <w:abstractNum w:abstractNumId="13">
    <w:nsid w:val="03D62ECE"/>
    <w:multiLevelType w:val="multilevel"/>
    <w:tmpl w:val="03D62ECE"/>
    <w:lvl w:ilvl="0" w:tentative="0">
      <w:start w:val="12"/>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left"/>
      </w:pPr>
      <w:rPr>
        <w:rFonts w:hint="default" w:ascii="仿宋" w:hAnsi="仿宋" w:eastAsia="仿宋" w:cs="仿宋"/>
        <w:w w:val="100"/>
        <w:sz w:val="24"/>
        <w:szCs w:val="24"/>
        <w:lang w:val="zh-CN" w:eastAsia="zh-CN" w:bidi="zh-CN"/>
      </w:rPr>
    </w:lvl>
    <w:lvl w:ilvl="2" w:tentative="0">
      <w:start w:val="1"/>
      <w:numFmt w:val="decimal"/>
      <w:lvlText w:val="（%3）"/>
      <w:lvlJc w:val="left"/>
      <w:pPr>
        <w:ind w:left="2436" w:hanging="601"/>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4201" w:hanging="601"/>
      </w:pPr>
      <w:rPr>
        <w:rFonts w:hint="default"/>
        <w:lang w:val="zh-CN" w:eastAsia="zh-CN" w:bidi="zh-CN"/>
      </w:rPr>
    </w:lvl>
    <w:lvl w:ilvl="4" w:tentative="0">
      <w:start w:val="0"/>
      <w:numFmt w:val="bullet"/>
      <w:lvlText w:val="•"/>
      <w:lvlJc w:val="left"/>
      <w:pPr>
        <w:ind w:left="5082" w:hanging="601"/>
      </w:pPr>
      <w:rPr>
        <w:rFonts w:hint="default"/>
        <w:lang w:val="zh-CN" w:eastAsia="zh-CN" w:bidi="zh-CN"/>
      </w:rPr>
    </w:lvl>
    <w:lvl w:ilvl="5" w:tentative="0">
      <w:start w:val="0"/>
      <w:numFmt w:val="bullet"/>
      <w:lvlText w:val="•"/>
      <w:lvlJc w:val="left"/>
      <w:pPr>
        <w:ind w:left="5962" w:hanging="601"/>
      </w:pPr>
      <w:rPr>
        <w:rFonts w:hint="default"/>
        <w:lang w:val="zh-CN" w:eastAsia="zh-CN" w:bidi="zh-CN"/>
      </w:rPr>
    </w:lvl>
    <w:lvl w:ilvl="6" w:tentative="0">
      <w:start w:val="0"/>
      <w:numFmt w:val="bullet"/>
      <w:lvlText w:val="•"/>
      <w:lvlJc w:val="left"/>
      <w:pPr>
        <w:ind w:left="6843" w:hanging="601"/>
      </w:pPr>
      <w:rPr>
        <w:rFonts w:hint="default"/>
        <w:lang w:val="zh-CN" w:eastAsia="zh-CN" w:bidi="zh-CN"/>
      </w:rPr>
    </w:lvl>
    <w:lvl w:ilvl="7" w:tentative="0">
      <w:start w:val="0"/>
      <w:numFmt w:val="bullet"/>
      <w:lvlText w:val="•"/>
      <w:lvlJc w:val="left"/>
      <w:pPr>
        <w:ind w:left="7724" w:hanging="601"/>
      </w:pPr>
      <w:rPr>
        <w:rFonts w:hint="default"/>
        <w:lang w:val="zh-CN" w:eastAsia="zh-CN" w:bidi="zh-CN"/>
      </w:rPr>
    </w:lvl>
    <w:lvl w:ilvl="8" w:tentative="0">
      <w:start w:val="0"/>
      <w:numFmt w:val="bullet"/>
      <w:lvlText w:val="•"/>
      <w:lvlJc w:val="left"/>
      <w:pPr>
        <w:ind w:left="8604" w:hanging="601"/>
      </w:pPr>
      <w:rPr>
        <w:rFonts w:hint="default"/>
        <w:lang w:val="zh-CN" w:eastAsia="zh-CN" w:bidi="zh-CN"/>
      </w:rPr>
    </w:lvl>
  </w:abstractNum>
  <w:abstractNum w:abstractNumId="14">
    <w:nsid w:val="0709FD3E"/>
    <w:multiLevelType w:val="multilevel"/>
    <w:tmpl w:val="0709FD3E"/>
    <w:lvl w:ilvl="0" w:tentative="0">
      <w:start w:val="2"/>
      <w:numFmt w:val="decimal"/>
      <w:lvlText w:val="%1"/>
      <w:lvlJc w:val="left"/>
      <w:pPr>
        <w:ind w:left="1736" w:hanging="483"/>
        <w:jc w:val="left"/>
      </w:pPr>
      <w:rPr>
        <w:rFonts w:hint="default"/>
        <w:lang w:val="zh-CN" w:eastAsia="zh-CN" w:bidi="zh-CN"/>
      </w:rPr>
    </w:lvl>
    <w:lvl w:ilvl="1" w:tentative="0">
      <w:start w:val="1"/>
      <w:numFmt w:val="decimal"/>
      <w:lvlText w:val="%1.%2"/>
      <w:lvlJc w:val="left"/>
      <w:pPr>
        <w:ind w:left="17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774" w:hanging="651"/>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100" w:hanging="651"/>
      </w:pPr>
      <w:rPr>
        <w:rFonts w:hint="default"/>
        <w:lang w:val="zh-CN" w:eastAsia="zh-CN" w:bidi="zh-CN"/>
      </w:rPr>
    </w:lvl>
    <w:lvl w:ilvl="4" w:tentative="0">
      <w:start w:val="0"/>
      <w:numFmt w:val="bullet"/>
      <w:lvlText w:val="•"/>
      <w:lvlJc w:val="left"/>
      <w:pPr>
        <w:ind w:left="3206" w:hanging="651"/>
      </w:pPr>
      <w:rPr>
        <w:rFonts w:hint="default"/>
        <w:lang w:val="zh-CN" w:eastAsia="zh-CN" w:bidi="zh-CN"/>
      </w:rPr>
    </w:lvl>
    <w:lvl w:ilvl="5" w:tentative="0">
      <w:start w:val="0"/>
      <w:numFmt w:val="bullet"/>
      <w:lvlText w:val="•"/>
      <w:lvlJc w:val="left"/>
      <w:pPr>
        <w:ind w:left="4313" w:hanging="651"/>
      </w:pPr>
      <w:rPr>
        <w:rFonts w:hint="default"/>
        <w:lang w:val="zh-CN" w:eastAsia="zh-CN" w:bidi="zh-CN"/>
      </w:rPr>
    </w:lvl>
    <w:lvl w:ilvl="6" w:tentative="0">
      <w:start w:val="0"/>
      <w:numFmt w:val="bullet"/>
      <w:lvlText w:val="•"/>
      <w:lvlJc w:val="left"/>
      <w:pPr>
        <w:ind w:left="5420" w:hanging="651"/>
      </w:pPr>
      <w:rPr>
        <w:rFonts w:hint="default"/>
        <w:lang w:val="zh-CN" w:eastAsia="zh-CN" w:bidi="zh-CN"/>
      </w:rPr>
    </w:lvl>
    <w:lvl w:ilvl="7" w:tentative="0">
      <w:start w:val="0"/>
      <w:numFmt w:val="bullet"/>
      <w:lvlText w:val="•"/>
      <w:lvlJc w:val="left"/>
      <w:pPr>
        <w:ind w:left="6526" w:hanging="651"/>
      </w:pPr>
      <w:rPr>
        <w:rFonts w:hint="default"/>
        <w:lang w:val="zh-CN" w:eastAsia="zh-CN" w:bidi="zh-CN"/>
      </w:rPr>
    </w:lvl>
    <w:lvl w:ilvl="8" w:tentative="0">
      <w:start w:val="0"/>
      <w:numFmt w:val="bullet"/>
      <w:lvlText w:val="•"/>
      <w:lvlJc w:val="left"/>
      <w:pPr>
        <w:ind w:left="7633" w:hanging="651"/>
      </w:pPr>
      <w:rPr>
        <w:rFonts w:hint="default"/>
        <w:lang w:val="zh-CN" w:eastAsia="zh-CN" w:bidi="zh-CN"/>
      </w:rPr>
    </w:lvl>
  </w:abstractNum>
  <w:abstractNum w:abstractNumId="15">
    <w:nsid w:val="0E640482"/>
    <w:multiLevelType w:val="multilevel"/>
    <w:tmpl w:val="0E640482"/>
    <w:lvl w:ilvl="0" w:tentative="0">
      <w:start w:val="1"/>
      <w:numFmt w:val="decimal"/>
      <w:lvlText w:val="%1."/>
      <w:lvlJc w:val="left"/>
      <w:pPr>
        <w:ind w:left="1057" w:hanging="361"/>
        <w:jc w:val="left"/>
      </w:pPr>
      <w:rPr>
        <w:rFonts w:hint="default" w:ascii="仿宋" w:hAnsi="仿宋" w:eastAsia="仿宋" w:cs="仿宋"/>
        <w:spacing w:val="-46"/>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16">
    <w:nsid w:val="22425671"/>
    <w:multiLevelType w:val="singleLevel"/>
    <w:tmpl w:val="22425671"/>
    <w:lvl w:ilvl="0" w:tentative="0">
      <w:start w:val="1"/>
      <w:numFmt w:val="decimal"/>
      <w:suff w:val="space"/>
      <w:lvlText w:val="（%1）"/>
      <w:lvlJc w:val="left"/>
    </w:lvl>
  </w:abstractNum>
  <w:abstractNum w:abstractNumId="17">
    <w:nsid w:val="243FCF68"/>
    <w:multiLevelType w:val="multilevel"/>
    <w:tmpl w:val="243FCF68"/>
    <w:lvl w:ilvl="0" w:tentative="0">
      <w:start w:val="1"/>
      <w:numFmt w:val="decimal"/>
      <w:lvlText w:val="%1."/>
      <w:lvlJc w:val="left"/>
      <w:pPr>
        <w:ind w:left="1057" w:hanging="314"/>
        <w:jc w:val="left"/>
      </w:pPr>
      <w:rPr>
        <w:rFonts w:hint="default" w:ascii="仿宋" w:hAnsi="仿宋" w:eastAsia="仿宋" w:cs="仿宋"/>
        <w:spacing w:val="-51"/>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18">
    <w:nsid w:val="2470EC97"/>
    <w:multiLevelType w:val="multilevel"/>
    <w:tmpl w:val="2470EC97"/>
    <w:lvl w:ilvl="0" w:tentative="0">
      <w:start w:val="25"/>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3641" w:hanging="900"/>
      </w:pPr>
      <w:rPr>
        <w:rFonts w:hint="default"/>
        <w:lang w:val="zh-CN" w:eastAsia="zh-CN" w:bidi="zh-CN"/>
      </w:rPr>
    </w:lvl>
    <w:lvl w:ilvl="3" w:tentative="0">
      <w:start w:val="0"/>
      <w:numFmt w:val="bullet"/>
      <w:lvlText w:val="•"/>
      <w:lvlJc w:val="left"/>
      <w:pPr>
        <w:ind w:left="4481" w:hanging="900"/>
      </w:pPr>
      <w:rPr>
        <w:rFonts w:hint="default"/>
        <w:lang w:val="zh-CN" w:eastAsia="zh-CN" w:bidi="zh-CN"/>
      </w:rPr>
    </w:lvl>
    <w:lvl w:ilvl="4" w:tentative="0">
      <w:start w:val="0"/>
      <w:numFmt w:val="bullet"/>
      <w:lvlText w:val="•"/>
      <w:lvlJc w:val="left"/>
      <w:pPr>
        <w:ind w:left="5322" w:hanging="900"/>
      </w:pPr>
      <w:rPr>
        <w:rFonts w:hint="default"/>
        <w:lang w:val="zh-CN" w:eastAsia="zh-CN" w:bidi="zh-CN"/>
      </w:rPr>
    </w:lvl>
    <w:lvl w:ilvl="5" w:tentative="0">
      <w:start w:val="0"/>
      <w:numFmt w:val="bullet"/>
      <w:lvlText w:val="•"/>
      <w:lvlJc w:val="left"/>
      <w:pPr>
        <w:ind w:left="6163" w:hanging="900"/>
      </w:pPr>
      <w:rPr>
        <w:rFonts w:hint="default"/>
        <w:lang w:val="zh-CN" w:eastAsia="zh-CN" w:bidi="zh-CN"/>
      </w:rPr>
    </w:lvl>
    <w:lvl w:ilvl="6" w:tentative="0">
      <w:start w:val="0"/>
      <w:numFmt w:val="bullet"/>
      <w:lvlText w:val="•"/>
      <w:lvlJc w:val="left"/>
      <w:pPr>
        <w:ind w:left="7003" w:hanging="900"/>
      </w:pPr>
      <w:rPr>
        <w:rFonts w:hint="default"/>
        <w:lang w:val="zh-CN" w:eastAsia="zh-CN" w:bidi="zh-CN"/>
      </w:rPr>
    </w:lvl>
    <w:lvl w:ilvl="7" w:tentative="0">
      <w:start w:val="0"/>
      <w:numFmt w:val="bullet"/>
      <w:lvlText w:val="•"/>
      <w:lvlJc w:val="left"/>
      <w:pPr>
        <w:ind w:left="7844" w:hanging="900"/>
      </w:pPr>
      <w:rPr>
        <w:rFonts w:hint="default"/>
        <w:lang w:val="zh-CN" w:eastAsia="zh-CN" w:bidi="zh-CN"/>
      </w:rPr>
    </w:lvl>
    <w:lvl w:ilvl="8" w:tentative="0">
      <w:start w:val="0"/>
      <w:numFmt w:val="bullet"/>
      <w:lvlText w:val="•"/>
      <w:lvlJc w:val="left"/>
      <w:pPr>
        <w:ind w:left="8684" w:hanging="900"/>
      </w:pPr>
      <w:rPr>
        <w:rFonts w:hint="default"/>
        <w:lang w:val="zh-CN" w:eastAsia="zh-CN" w:bidi="zh-CN"/>
      </w:rPr>
    </w:lvl>
  </w:abstractNum>
  <w:abstractNum w:abstractNumId="19">
    <w:nsid w:val="25B654F3"/>
    <w:multiLevelType w:val="multilevel"/>
    <w:tmpl w:val="25B654F3"/>
    <w:lvl w:ilvl="0" w:tentative="0">
      <w:start w:val="12"/>
      <w:numFmt w:val="decimal"/>
      <w:lvlText w:val="%1"/>
      <w:lvlJc w:val="left"/>
      <w:pPr>
        <w:ind w:left="2017" w:hanging="960"/>
        <w:jc w:val="left"/>
      </w:pPr>
      <w:rPr>
        <w:rFonts w:hint="default"/>
        <w:lang w:val="zh-CN" w:eastAsia="zh-CN" w:bidi="zh-CN"/>
      </w:rPr>
    </w:lvl>
    <w:lvl w:ilvl="1" w:tentative="0">
      <w:start w:val="4"/>
      <w:numFmt w:val="decimal"/>
      <w:lvlText w:val="%1.%2"/>
      <w:lvlJc w:val="left"/>
      <w:pPr>
        <w:ind w:left="2017" w:hanging="960"/>
        <w:jc w:val="left"/>
      </w:pPr>
      <w:rPr>
        <w:rFonts w:hint="default"/>
        <w:lang w:val="zh-CN" w:eastAsia="zh-CN" w:bidi="zh-CN"/>
      </w:rPr>
    </w:lvl>
    <w:lvl w:ilvl="2" w:tentative="0">
      <w:start w:val="1"/>
      <w:numFmt w:val="decimal"/>
      <w:lvlText w:val="%1.%2.%3"/>
      <w:lvlJc w:val="left"/>
      <w:pPr>
        <w:ind w:left="2017" w:hanging="9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523" w:hanging="960"/>
      </w:pPr>
      <w:rPr>
        <w:rFonts w:hint="default"/>
        <w:lang w:val="zh-CN" w:eastAsia="zh-CN" w:bidi="zh-CN"/>
      </w:rPr>
    </w:lvl>
    <w:lvl w:ilvl="4" w:tentative="0">
      <w:start w:val="0"/>
      <w:numFmt w:val="bullet"/>
      <w:lvlText w:val="•"/>
      <w:lvlJc w:val="left"/>
      <w:pPr>
        <w:ind w:left="5358" w:hanging="960"/>
      </w:pPr>
      <w:rPr>
        <w:rFonts w:hint="default"/>
        <w:lang w:val="zh-CN" w:eastAsia="zh-CN" w:bidi="zh-CN"/>
      </w:rPr>
    </w:lvl>
    <w:lvl w:ilvl="5" w:tentative="0">
      <w:start w:val="0"/>
      <w:numFmt w:val="bullet"/>
      <w:lvlText w:val="•"/>
      <w:lvlJc w:val="left"/>
      <w:pPr>
        <w:ind w:left="6193" w:hanging="960"/>
      </w:pPr>
      <w:rPr>
        <w:rFonts w:hint="default"/>
        <w:lang w:val="zh-CN" w:eastAsia="zh-CN" w:bidi="zh-CN"/>
      </w:rPr>
    </w:lvl>
    <w:lvl w:ilvl="6" w:tentative="0">
      <w:start w:val="0"/>
      <w:numFmt w:val="bullet"/>
      <w:lvlText w:val="•"/>
      <w:lvlJc w:val="left"/>
      <w:pPr>
        <w:ind w:left="7027" w:hanging="960"/>
      </w:pPr>
      <w:rPr>
        <w:rFonts w:hint="default"/>
        <w:lang w:val="zh-CN" w:eastAsia="zh-CN" w:bidi="zh-CN"/>
      </w:rPr>
    </w:lvl>
    <w:lvl w:ilvl="7" w:tentative="0">
      <w:start w:val="0"/>
      <w:numFmt w:val="bullet"/>
      <w:lvlText w:val="•"/>
      <w:lvlJc w:val="left"/>
      <w:pPr>
        <w:ind w:left="7862" w:hanging="960"/>
      </w:pPr>
      <w:rPr>
        <w:rFonts w:hint="default"/>
        <w:lang w:val="zh-CN" w:eastAsia="zh-CN" w:bidi="zh-CN"/>
      </w:rPr>
    </w:lvl>
    <w:lvl w:ilvl="8" w:tentative="0">
      <w:start w:val="0"/>
      <w:numFmt w:val="bullet"/>
      <w:lvlText w:val="•"/>
      <w:lvlJc w:val="left"/>
      <w:pPr>
        <w:ind w:left="8696" w:hanging="960"/>
      </w:pPr>
      <w:rPr>
        <w:rFonts w:hint="default"/>
        <w:lang w:val="zh-CN" w:eastAsia="zh-CN" w:bidi="zh-CN"/>
      </w:rPr>
    </w:lvl>
  </w:abstractNum>
  <w:abstractNum w:abstractNumId="20">
    <w:nsid w:val="2A8F537B"/>
    <w:multiLevelType w:val="multilevel"/>
    <w:tmpl w:val="2A8F537B"/>
    <w:lvl w:ilvl="0" w:tentative="0">
      <w:start w:val="19"/>
      <w:numFmt w:val="decimal"/>
      <w:lvlText w:val="%1"/>
      <w:lvlJc w:val="left"/>
      <w:pPr>
        <w:ind w:left="1914" w:hanging="843"/>
        <w:jc w:val="left"/>
      </w:pPr>
      <w:rPr>
        <w:rFonts w:hint="default"/>
        <w:lang w:val="zh-CN" w:eastAsia="zh-CN" w:bidi="zh-CN"/>
      </w:rPr>
    </w:lvl>
    <w:lvl w:ilvl="1" w:tentative="0">
      <w:start w:val="2"/>
      <w:numFmt w:val="decimal"/>
      <w:lvlText w:val="%1.%2"/>
      <w:lvlJc w:val="left"/>
      <w:pPr>
        <w:ind w:left="1914" w:hanging="843"/>
        <w:jc w:val="left"/>
      </w:pPr>
      <w:rPr>
        <w:rFonts w:hint="default"/>
        <w:lang w:val="zh-CN" w:eastAsia="zh-CN" w:bidi="zh-CN"/>
      </w:rPr>
    </w:lvl>
    <w:lvl w:ilvl="2" w:tentative="0">
      <w:start w:val="1"/>
      <w:numFmt w:val="decimal"/>
      <w:lvlText w:val="%1.%2.%3"/>
      <w:lvlJc w:val="left"/>
      <w:pPr>
        <w:ind w:left="1914" w:hanging="84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453" w:hanging="843"/>
      </w:pPr>
      <w:rPr>
        <w:rFonts w:hint="default"/>
        <w:lang w:val="zh-CN" w:eastAsia="zh-CN" w:bidi="zh-CN"/>
      </w:rPr>
    </w:lvl>
    <w:lvl w:ilvl="4" w:tentative="0">
      <w:start w:val="0"/>
      <w:numFmt w:val="bullet"/>
      <w:lvlText w:val="•"/>
      <w:lvlJc w:val="left"/>
      <w:pPr>
        <w:ind w:left="5298" w:hanging="843"/>
      </w:pPr>
      <w:rPr>
        <w:rFonts w:hint="default"/>
        <w:lang w:val="zh-CN" w:eastAsia="zh-CN" w:bidi="zh-CN"/>
      </w:rPr>
    </w:lvl>
    <w:lvl w:ilvl="5" w:tentative="0">
      <w:start w:val="0"/>
      <w:numFmt w:val="bullet"/>
      <w:lvlText w:val="•"/>
      <w:lvlJc w:val="left"/>
      <w:pPr>
        <w:ind w:left="6143" w:hanging="843"/>
      </w:pPr>
      <w:rPr>
        <w:rFonts w:hint="default"/>
        <w:lang w:val="zh-CN" w:eastAsia="zh-CN" w:bidi="zh-CN"/>
      </w:rPr>
    </w:lvl>
    <w:lvl w:ilvl="6" w:tentative="0">
      <w:start w:val="0"/>
      <w:numFmt w:val="bullet"/>
      <w:lvlText w:val="•"/>
      <w:lvlJc w:val="left"/>
      <w:pPr>
        <w:ind w:left="6987" w:hanging="843"/>
      </w:pPr>
      <w:rPr>
        <w:rFonts w:hint="default"/>
        <w:lang w:val="zh-CN" w:eastAsia="zh-CN" w:bidi="zh-CN"/>
      </w:rPr>
    </w:lvl>
    <w:lvl w:ilvl="7" w:tentative="0">
      <w:start w:val="0"/>
      <w:numFmt w:val="bullet"/>
      <w:lvlText w:val="•"/>
      <w:lvlJc w:val="left"/>
      <w:pPr>
        <w:ind w:left="7832" w:hanging="843"/>
      </w:pPr>
      <w:rPr>
        <w:rFonts w:hint="default"/>
        <w:lang w:val="zh-CN" w:eastAsia="zh-CN" w:bidi="zh-CN"/>
      </w:rPr>
    </w:lvl>
    <w:lvl w:ilvl="8" w:tentative="0">
      <w:start w:val="0"/>
      <w:numFmt w:val="bullet"/>
      <w:lvlText w:val="•"/>
      <w:lvlJc w:val="left"/>
      <w:pPr>
        <w:ind w:left="8676" w:hanging="843"/>
      </w:pPr>
      <w:rPr>
        <w:rFonts w:hint="default"/>
        <w:lang w:val="zh-CN" w:eastAsia="zh-CN" w:bidi="zh-CN"/>
      </w:rPr>
    </w:lvl>
  </w:abstractNum>
  <w:abstractNum w:abstractNumId="21">
    <w:nsid w:val="2B7DC5DF"/>
    <w:multiLevelType w:val="singleLevel"/>
    <w:tmpl w:val="2B7DC5DF"/>
    <w:lvl w:ilvl="0" w:tentative="0">
      <w:start w:val="1"/>
      <w:numFmt w:val="decimal"/>
      <w:suff w:val="nothing"/>
      <w:lvlText w:val="%1、"/>
      <w:lvlJc w:val="left"/>
    </w:lvl>
  </w:abstractNum>
  <w:abstractNum w:abstractNumId="22">
    <w:nsid w:val="46A08BB8"/>
    <w:multiLevelType w:val="multilevel"/>
    <w:tmpl w:val="46A08BB8"/>
    <w:lvl w:ilvl="0" w:tentative="0">
      <w:start w:val="1"/>
      <w:numFmt w:val="decimal"/>
      <w:lvlText w:val="%1."/>
      <w:lvlJc w:val="left"/>
      <w:pPr>
        <w:ind w:left="1057" w:hanging="361"/>
        <w:jc w:val="left"/>
      </w:pPr>
      <w:rPr>
        <w:rFonts w:hint="default" w:ascii="仿宋" w:hAnsi="仿宋" w:eastAsia="仿宋" w:cs="仿宋"/>
        <w:spacing w:val="-46"/>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23">
    <w:nsid w:val="4C1BAE26"/>
    <w:multiLevelType w:val="multilevel"/>
    <w:tmpl w:val="4C1BAE26"/>
    <w:lvl w:ilvl="0" w:tentative="0">
      <w:start w:val="1"/>
      <w:numFmt w:val="decimal"/>
      <w:lvlText w:val="%1."/>
      <w:lvlJc w:val="left"/>
      <w:pPr>
        <w:ind w:left="1057" w:hanging="361"/>
        <w:jc w:val="left"/>
      </w:pPr>
      <w:rPr>
        <w:rFonts w:hint="default" w:ascii="仿宋" w:hAnsi="仿宋" w:eastAsia="仿宋" w:cs="仿宋"/>
        <w:spacing w:val="-32"/>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24">
    <w:nsid w:val="4D4DC07F"/>
    <w:multiLevelType w:val="multilevel"/>
    <w:tmpl w:val="4D4DC07F"/>
    <w:lvl w:ilvl="0" w:tentative="0">
      <w:start w:val="23"/>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right"/>
      </w:pPr>
      <w:rPr>
        <w:rFonts w:hint="default" w:ascii="仿宋" w:hAnsi="仿宋" w:eastAsia="仿宋" w:cs="仿宋"/>
        <w:w w:val="100"/>
        <w:sz w:val="24"/>
        <w:szCs w:val="24"/>
        <w:lang w:val="zh-CN" w:eastAsia="zh-CN" w:bidi="zh-CN"/>
      </w:rPr>
    </w:lvl>
    <w:lvl w:ilvl="2" w:tentative="0">
      <w:start w:val="0"/>
      <w:numFmt w:val="bullet"/>
      <w:lvlText w:val="•"/>
      <w:lvlJc w:val="left"/>
      <w:pPr>
        <w:ind w:left="3641" w:hanging="900"/>
      </w:pPr>
      <w:rPr>
        <w:rFonts w:hint="default"/>
        <w:lang w:val="zh-CN" w:eastAsia="zh-CN" w:bidi="zh-CN"/>
      </w:rPr>
    </w:lvl>
    <w:lvl w:ilvl="3" w:tentative="0">
      <w:start w:val="0"/>
      <w:numFmt w:val="bullet"/>
      <w:lvlText w:val="•"/>
      <w:lvlJc w:val="left"/>
      <w:pPr>
        <w:ind w:left="4481" w:hanging="900"/>
      </w:pPr>
      <w:rPr>
        <w:rFonts w:hint="default"/>
        <w:lang w:val="zh-CN" w:eastAsia="zh-CN" w:bidi="zh-CN"/>
      </w:rPr>
    </w:lvl>
    <w:lvl w:ilvl="4" w:tentative="0">
      <w:start w:val="0"/>
      <w:numFmt w:val="bullet"/>
      <w:lvlText w:val="•"/>
      <w:lvlJc w:val="left"/>
      <w:pPr>
        <w:ind w:left="5322" w:hanging="900"/>
      </w:pPr>
      <w:rPr>
        <w:rFonts w:hint="default"/>
        <w:lang w:val="zh-CN" w:eastAsia="zh-CN" w:bidi="zh-CN"/>
      </w:rPr>
    </w:lvl>
    <w:lvl w:ilvl="5" w:tentative="0">
      <w:start w:val="0"/>
      <w:numFmt w:val="bullet"/>
      <w:lvlText w:val="•"/>
      <w:lvlJc w:val="left"/>
      <w:pPr>
        <w:ind w:left="6163" w:hanging="900"/>
      </w:pPr>
      <w:rPr>
        <w:rFonts w:hint="default"/>
        <w:lang w:val="zh-CN" w:eastAsia="zh-CN" w:bidi="zh-CN"/>
      </w:rPr>
    </w:lvl>
    <w:lvl w:ilvl="6" w:tentative="0">
      <w:start w:val="0"/>
      <w:numFmt w:val="bullet"/>
      <w:lvlText w:val="•"/>
      <w:lvlJc w:val="left"/>
      <w:pPr>
        <w:ind w:left="7003" w:hanging="900"/>
      </w:pPr>
      <w:rPr>
        <w:rFonts w:hint="default"/>
        <w:lang w:val="zh-CN" w:eastAsia="zh-CN" w:bidi="zh-CN"/>
      </w:rPr>
    </w:lvl>
    <w:lvl w:ilvl="7" w:tentative="0">
      <w:start w:val="0"/>
      <w:numFmt w:val="bullet"/>
      <w:lvlText w:val="•"/>
      <w:lvlJc w:val="left"/>
      <w:pPr>
        <w:ind w:left="7844" w:hanging="900"/>
      </w:pPr>
      <w:rPr>
        <w:rFonts w:hint="default"/>
        <w:lang w:val="zh-CN" w:eastAsia="zh-CN" w:bidi="zh-CN"/>
      </w:rPr>
    </w:lvl>
    <w:lvl w:ilvl="8" w:tentative="0">
      <w:start w:val="0"/>
      <w:numFmt w:val="bullet"/>
      <w:lvlText w:val="•"/>
      <w:lvlJc w:val="left"/>
      <w:pPr>
        <w:ind w:left="8684" w:hanging="900"/>
      </w:pPr>
      <w:rPr>
        <w:rFonts w:hint="default"/>
        <w:lang w:val="zh-CN" w:eastAsia="zh-CN" w:bidi="zh-CN"/>
      </w:rPr>
    </w:lvl>
  </w:abstractNum>
  <w:abstractNum w:abstractNumId="25">
    <w:nsid w:val="4D94DA66"/>
    <w:multiLevelType w:val="multilevel"/>
    <w:tmpl w:val="4D94DA66"/>
    <w:lvl w:ilvl="0" w:tentative="0">
      <w:start w:val="2"/>
      <w:numFmt w:val="decimal"/>
      <w:lvlText w:val="%1."/>
      <w:lvlJc w:val="left"/>
      <w:pPr>
        <w:ind w:left="1516"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2404" w:hanging="360"/>
      </w:pPr>
      <w:rPr>
        <w:rFonts w:hint="default"/>
        <w:lang w:val="zh-CN" w:eastAsia="zh-CN" w:bidi="zh-CN"/>
      </w:rPr>
    </w:lvl>
    <w:lvl w:ilvl="2" w:tentative="0">
      <w:start w:val="0"/>
      <w:numFmt w:val="bullet"/>
      <w:lvlText w:val="•"/>
      <w:lvlJc w:val="left"/>
      <w:pPr>
        <w:ind w:left="3289" w:hanging="360"/>
      </w:pPr>
      <w:rPr>
        <w:rFonts w:hint="default"/>
        <w:lang w:val="zh-CN" w:eastAsia="zh-CN" w:bidi="zh-CN"/>
      </w:rPr>
    </w:lvl>
    <w:lvl w:ilvl="3" w:tentative="0">
      <w:start w:val="0"/>
      <w:numFmt w:val="bullet"/>
      <w:lvlText w:val="•"/>
      <w:lvlJc w:val="left"/>
      <w:pPr>
        <w:ind w:left="4173" w:hanging="360"/>
      </w:pPr>
      <w:rPr>
        <w:rFonts w:hint="default"/>
        <w:lang w:val="zh-CN" w:eastAsia="zh-CN" w:bidi="zh-CN"/>
      </w:rPr>
    </w:lvl>
    <w:lvl w:ilvl="4" w:tentative="0">
      <w:start w:val="0"/>
      <w:numFmt w:val="bullet"/>
      <w:lvlText w:val="•"/>
      <w:lvlJc w:val="left"/>
      <w:pPr>
        <w:ind w:left="5058" w:hanging="360"/>
      </w:pPr>
      <w:rPr>
        <w:rFonts w:hint="default"/>
        <w:lang w:val="zh-CN" w:eastAsia="zh-CN" w:bidi="zh-CN"/>
      </w:rPr>
    </w:lvl>
    <w:lvl w:ilvl="5" w:tentative="0">
      <w:start w:val="0"/>
      <w:numFmt w:val="bullet"/>
      <w:lvlText w:val="•"/>
      <w:lvlJc w:val="left"/>
      <w:pPr>
        <w:ind w:left="5943" w:hanging="360"/>
      </w:pPr>
      <w:rPr>
        <w:rFonts w:hint="default"/>
        <w:lang w:val="zh-CN" w:eastAsia="zh-CN" w:bidi="zh-CN"/>
      </w:rPr>
    </w:lvl>
    <w:lvl w:ilvl="6" w:tentative="0">
      <w:start w:val="0"/>
      <w:numFmt w:val="bullet"/>
      <w:lvlText w:val="•"/>
      <w:lvlJc w:val="left"/>
      <w:pPr>
        <w:ind w:left="6827" w:hanging="360"/>
      </w:pPr>
      <w:rPr>
        <w:rFonts w:hint="default"/>
        <w:lang w:val="zh-CN" w:eastAsia="zh-CN" w:bidi="zh-CN"/>
      </w:rPr>
    </w:lvl>
    <w:lvl w:ilvl="7" w:tentative="0">
      <w:start w:val="0"/>
      <w:numFmt w:val="bullet"/>
      <w:lvlText w:val="•"/>
      <w:lvlJc w:val="left"/>
      <w:pPr>
        <w:ind w:left="7712" w:hanging="360"/>
      </w:pPr>
      <w:rPr>
        <w:rFonts w:hint="default"/>
        <w:lang w:val="zh-CN" w:eastAsia="zh-CN" w:bidi="zh-CN"/>
      </w:rPr>
    </w:lvl>
    <w:lvl w:ilvl="8" w:tentative="0">
      <w:start w:val="0"/>
      <w:numFmt w:val="bullet"/>
      <w:lvlText w:val="•"/>
      <w:lvlJc w:val="left"/>
      <w:pPr>
        <w:ind w:left="8596" w:hanging="360"/>
      </w:pPr>
      <w:rPr>
        <w:rFonts w:hint="default"/>
        <w:lang w:val="zh-CN" w:eastAsia="zh-CN" w:bidi="zh-CN"/>
      </w:rPr>
    </w:lvl>
  </w:abstractNum>
  <w:abstractNum w:abstractNumId="26">
    <w:nsid w:val="58765686"/>
    <w:multiLevelType w:val="multilevel"/>
    <w:tmpl w:val="58765686"/>
    <w:lvl w:ilvl="0" w:tentative="0">
      <w:start w:val="1"/>
      <w:numFmt w:val="decimal"/>
      <w:lvlText w:val="%1."/>
      <w:lvlJc w:val="left"/>
      <w:pPr>
        <w:ind w:left="1790"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2656" w:hanging="314"/>
      </w:pPr>
      <w:rPr>
        <w:rFonts w:hint="default"/>
        <w:lang w:val="zh-CN" w:eastAsia="zh-CN" w:bidi="zh-CN"/>
      </w:rPr>
    </w:lvl>
    <w:lvl w:ilvl="2" w:tentative="0">
      <w:start w:val="0"/>
      <w:numFmt w:val="bullet"/>
      <w:lvlText w:val="•"/>
      <w:lvlJc w:val="left"/>
      <w:pPr>
        <w:ind w:left="3513" w:hanging="314"/>
      </w:pPr>
      <w:rPr>
        <w:rFonts w:hint="default"/>
        <w:lang w:val="zh-CN" w:eastAsia="zh-CN" w:bidi="zh-CN"/>
      </w:rPr>
    </w:lvl>
    <w:lvl w:ilvl="3" w:tentative="0">
      <w:start w:val="0"/>
      <w:numFmt w:val="bullet"/>
      <w:lvlText w:val="•"/>
      <w:lvlJc w:val="left"/>
      <w:pPr>
        <w:ind w:left="4369" w:hanging="314"/>
      </w:pPr>
      <w:rPr>
        <w:rFonts w:hint="default"/>
        <w:lang w:val="zh-CN" w:eastAsia="zh-CN" w:bidi="zh-CN"/>
      </w:rPr>
    </w:lvl>
    <w:lvl w:ilvl="4" w:tentative="0">
      <w:start w:val="0"/>
      <w:numFmt w:val="bullet"/>
      <w:lvlText w:val="•"/>
      <w:lvlJc w:val="left"/>
      <w:pPr>
        <w:ind w:left="5226" w:hanging="314"/>
      </w:pPr>
      <w:rPr>
        <w:rFonts w:hint="default"/>
        <w:lang w:val="zh-CN" w:eastAsia="zh-CN" w:bidi="zh-CN"/>
      </w:rPr>
    </w:lvl>
    <w:lvl w:ilvl="5" w:tentative="0">
      <w:start w:val="0"/>
      <w:numFmt w:val="bullet"/>
      <w:lvlText w:val="•"/>
      <w:lvlJc w:val="left"/>
      <w:pPr>
        <w:ind w:left="6083" w:hanging="314"/>
      </w:pPr>
      <w:rPr>
        <w:rFonts w:hint="default"/>
        <w:lang w:val="zh-CN" w:eastAsia="zh-CN" w:bidi="zh-CN"/>
      </w:rPr>
    </w:lvl>
    <w:lvl w:ilvl="6" w:tentative="0">
      <w:start w:val="0"/>
      <w:numFmt w:val="bullet"/>
      <w:lvlText w:val="•"/>
      <w:lvlJc w:val="left"/>
      <w:pPr>
        <w:ind w:left="6939" w:hanging="314"/>
      </w:pPr>
      <w:rPr>
        <w:rFonts w:hint="default"/>
        <w:lang w:val="zh-CN" w:eastAsia="zh-CN" w:bidi="zh-CN"/>
      </w:rPr>
    </w:lvl>
    <w:lvl w:ilvl="7" w:tentative="0">
      <w:start w:val="0"/>
      <w:numFmt w:val="bullet"/>
      <w:lvlText w:val="•"/>
      <w:lvlJc w:val="left"/>
      <w:pPr>
        <w:ind w:left="7796" w:hanging="314"/>
      </w:pPr>
      <w:rPr>
        <w:rFonts w:hint="default"/>
        <w:lang w:val="zh-CN" w:eastAsia="zh-CN" w:bidi="zh-CN"/>
      </w:rPr>
    </w:lvl>
    <w:lvl w:ilvl="8" w:tentative="0">
      <w:start w:val="0"/>
      <w:numFmt w:val="bullet"/>
      <w:lvlText w:val="•"/>
      <w:lvlJc w:val="left"/>
      <w:pPr>
        <w:ind w:left="8652" w:hanging="314"/>
      </w:pPr>
      <w:rPr>
        <w:rFonts w:hint="default"/>
        <w:lang w:val="zh-CN" w:eastAsia="zh-CN" w:bidi="zh-CN"/>
      </w:rPr>
    </w:lvl>
  </w:abstractNum>
  <w:abstractNum w:abstractNumId="27">
    <w:nsid w:val="629F7852"/>
    <w:multiLevelType w:val="multilevel"/>
    <w:tmpl w:val="629F7852"/>
    <w:lvl w:ilvl="0" w:tentative="0">
      <w:start w:val="1"/>
      <w:numFmt w:val="decimal"/>
      <w:lvlText w:val="%1."/>
      <w:lvlJc w:val="left"/>
      <w:pPr>
        <w:ind w:left="1057" w:hanging="314"/>
        <w:jc w:val="left"/>
      </w:pPr>
      <w:rPr>
        <w:rFonts w:hint="default" w:ascii="仿宋" w:hAnsi="仿宋" w:eastAsia="仿宋" w:cs="仿宋"/>
        <w:spacing w:val="-51"/>
        <w:w w:val="99"/>
        <w:sz w:val="19"/>
        <w:szCs w:val="19"/>
        <w:lang w:val="zh-CN" w:eastAsia="zh-CN" w:bidi="zh-CN"/>
      </w:rPr>
    </w:lvl>
    <w:lvl w:ilvl="1" w:tentative="0">
      <w:start w:val="0"/>
      <w:numFmt w:val="bullet"/>
      <w:lvlText w:val="•"/>
      <w:lvlJc w:val="left"/>
      <w:pPr>
        <w:ind w:left="2320" w:hanging="314"/>
      </w:pPr>
      <w:rPr>
        <w:rFonts w:hint="default"/>
        <w:lang w:val="zh-CN" w:eastAsia="zh-CN" w:bidi="zh-CN"/>
      </w:rPr>
    </w:lvl>
    <w:lvl w:ilvl="2" w:tentative="0">
      <w:start w:val="0"/>
      <w:numFmt w:val="bullet"/>
      <w:lvlText w:val="•"/>
      <w:lvlJc w:val="left"/>
      <w:pPr>
        <w:ind w:left="3214" w:hanging="314"/>
      </w:pPr>
      <w:rPr>
        <w:rFonts w:hint="default"/>
        <w:lang w:val="zh-CN" w:eastAsia="zh-CN" w:bidi="zh-CN"/>
      </w:rPr>
    </w:lvl>
    <w:lvl w:ilvl="3" w:tentative="0">
      <w:start w:val="0"/>
      <w:numFmt w:val="bullet"/>
      <w:lvlText w:val="•"/>
      <w:lvlJc w:val="left"/>
      <w:pPr>
        <w:ind w:left="4108" w:hanging="314"/>
      </w:pPr>
      <w:rPr>
        <w:rFonts w:hint="default"/>
        <w:lang w:val="zh-CN" w:eastAsia="zh-CN" w:bidi="zh-CN"/>
      </w:rPr>
    </w:lvl>
    <w:lvl w:ilvl="4" w:tentative="0">
      <w:start w:val="0"/>
      <w:numFmt w:val="bullet"/>
      <w:lvlText w:val="•"/>
      <w:lvlJc w:val="left"/>
      <w:pPr>
        <w:ind w:left="5002" w:hanging="314"/>
      </w:pPr>
      <w:rPr>
        <w:rFonts w:hint="default"/>
        <w:lang w:val="zh-CN" w:eastAsia="zh-CN" w:bidi="zh-CN"/>
      </w:rPr>
    </w:lvl>
    <w:lvl w:ilvl="5" w:tentative="0">
      <w:start w:val="0"/>
      <w:numFmt w:val="bullet"/>
      <w:lvlText w:val="•"/>
      <w:lvlJc w:val="left"/>
      <w:pPr>
        <w:ind w:left="5896" w:hanging="314"/>
      </w:pPr>
      <w:rPr>
        <w:rFonts w:hint="default"/>
        <w:lang w:val="zh-CN" w:eastAsia="zh-CN" w:bidi="zh-CN"/>
      </w:rPr>
    </w:lvl>
    <w:lvl w:ilvl="6" w:tentative="0">
      <w:start w:val="0"/>
      <w:numFmt w:val="bullet"/>
      <w:lvlText w:val="•"/>
      <w:lvlJc w:val="left"/>
      <w:pPr>
        <w:ind w:left="6790" w:hanging="314"/>
      </w:pPr>
      <w:rPr>
        <w:rFonts w:hint="default"/>
        <w:lang w:val="zh-CN" w:eastAsia="zh-CN" w:bidi="zh-CN"/>
      </w:rPr>
    </w:lvl>
    <w:lvl w:ilvl="7" w:tentative="0">
      <w:start w:val="0"/>
      <w:numFmt w:val="bullet"/>
      <w:lvlText w:val="•"/>
      <w:lvlJc w:val="left"/>
      <w:pPr>
        <w:ind w:left="7684" w:hanging="314"/>
      </w:pPr>
      <w:rPr>
        <w:rFonts w:hint="default"/>
        <w:lang w:val="zh-CN" w:eastAsia="zh-CN" w:bidi="zh-CN"/>
      </w:rPr>
    </w:lvl>
    <w:lvl w:ilvl="8" w:tentative="0">
      <w:start w:val="0"/>
      <w:numFmt w:val="bullet"/>
      <w:lvlText w:val="•"/>
      <w:lvlJc w:val="left"/>
      <w:pPr>
        <w:ind w:left="8578" w:hanging="314"/>
      </w:pPr>
      <w:rPr>
        <w:rFonts w:hint="default"/>
        <w:lang w:val="zh-CN" w:eastAsia="zh-CN" w:bidi="zh-CN"/>
      </w:rPr>
    </w:lvl>
  </w:abstractNum>
  <w:abstractNum w:abstractNumId="28">
    <w:nsid w:val="65CD0074"/>
    <w:multiLevelType w:val="multilevel"/>
    <w:tmpl w:val="65CD0074"/>
    <w:lvl w:ilvl="0" w:tentative="0">
      <w:start w:val="1"/>
      <w:numFmt w:val="decimal"/>
      <w:lvlText w:val="%1"/>
      <w:lvlJc w:val="left"/>
      <w:pPr>
        <w:ind w:left="1736" w:hanging="483"/>
        <w:jc w:val="left"/>
      </w:pPr>
      <w:rPr>
        <w:rFonts w:hint="default"/>
        <w:lang w:val="zh-CN" w:eastAsia="zh-CN" w:bidi="zh-CN"/>
      </w:rPr>
    </w:lvl>
    <w:lvl w:ilvl="1" w:tentative="0">
      <w:start w:val="1"/>
      <w:numFmt w:val="decimal"/>
      <w:lvlText w:val="%1.%2"/>
      <w:lvlJc w:val="left"/>
      <w:pPr>
        <w:ind w:left="17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974"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980" w:hanging="720"/>
      </w:pPr>
      <w:rPr>
        <w:rFonts w:hint="default"/>
        <w:lang w:val="zh-CN" w:eastAsia="zh-CN" w:bidi="zh-CN"/>
      </w:rPr>
    </w:lvl>
    <w:lvl w:ilvl="4" w:tentative="0">
      <w:start w:val="0"/>
      <w:numFmt w:val="bullet"/>
      <w:lvlText w:val="•"/>
      <w:lvlJc w:val="left"/>
      <w:pPr>
        <w:ind w:left="3103" w:hanging="720"/>
      </w:pPr>
      <w:rPr>
        <w:rFonts w:hint="default"/>
        <w:lang w:val="zh-CN" w:eastAsia="zh-CN" w:bidi="zh-CN"/>
      </w:rPr>
    </w:lvl>
    <w:lvl w:ilvl="5" w:tentative="0">
      <w:start w:val="0"/>
      <w:numFmt w:val="bullet"/>
      <w:lvlText w:val="•"/>
      <w:lvlJc w:val="left"/>
      <w:pPr>
        <w:ind w:left="4227" w:hanging="720"/>
      </w:pPr>
      <w:rPr>
        <w:rFonts w:hint="default"/>
        <w:lang w:val="zh-CN" w:eastAsia="zh-CN" w:bidi="zh-CN"/>
      </w:rPr>
    </w:lvl>
    <w:lvl w:ilvl="6" w:tentative="0">
      <w:start w:val="0"/>
      <w:numFmt w:val="bullet"/>
      <w:lvlText w:val="•"/>
      <w:lvlJc w:val="left"/>
      <w:pPr>
        <w:ind w:left="5351" w:hanging="720"/>
      </w:pPr>
      <w:rPr>
        <w:rFonts w:hint="default"/>
        <w:lang w:val="zh-CN" w:eastAsia="zh-CN" w:bidi="zh-CN"/>
      </w:rPr>
    </w:lvl>
    <w:lvl w:ilvl="7" w:tentative="0">
      <w:start w:val="0"/>
      <w:numFmt w:val="bullet"/>
      <w:lvlText w:val="•"/>
      <w:lvlJc w:val="left"/>
      <w:pPr>
        <w:ind w:left="6475" w:hanging="720"/>
      </w:pPr>
      <w:rPr>
        <w:rFonts w:hint="default"/>
        <w:lang w:val="zh-CN" w:eastAsia="zh-CN" w:bidi="zh-CN"/>
      </w:rPr>
    </w:lvl>
    <w:lvl w:ilvl="8" w:tentative="0">
      <w:start w:val="0"/>
      <w:numFmt w:val="bullet"/>
      <w:lvlText w:val="•"/>
      <w:lvlJc w:val="left"/>
      <w:pPr>
        <w:ind w:left="7599" w:hanging="720"/>
      </w:pPr>
      <w:rPr>
        <w:rFonts w:hint="default"/>
        <w:lang w:val="zh-CN" w:eastAsia="zh-CN" w:bidi="zh-CN"/>
      </w:rPr>
    </w:lvl>
  </w:abstractNum>
  <w:abstractNum w:abstractNumId="29">
    <w:nsid w:val="77ECEA79"/>
    <w:multiLevelType w:val="multilevel"/>
    <w:tmpl w:val="77ECEA79"/>
    <w:lvl w:ilvl="0" w:tentative="0">
      <w:start w:val="1"/>
      <w:numFmt w:val="decimal"/>
      <w:lvlText w:val="%1."/>
      <w:lvlJc w:val="left"/>
      <w:pPr>
        <w:ind w:left="1057"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30">
    <w:nsid w:val="79AA4FA4"/>
    <w:multiLevelType w:val="multilevel"/>
    <w:tmpl w:val="79AA4FA4"/>
    <w:lvl w:ilvl="0" w:tentative="0">
      <w:start w:val="7"/>
      <w:numFmt w:val="decimal"/>
      <w:lvlText w:val="（%1）"/>
      <w:lvlJc w:val="left"/>
      <w:pPr>
        <w:ind w:left="1337" w:hanging="601"/>
        <w:jc w:val="left"/>
      </w:pPr>
      <w:rPr>
        <w:rFonts w:hint="default" w:ascii="仿宋" w:hAnsi="仿宋" w:eastAsia="仿宋" w:cs="仿宋"/>
        <w:w w:val="100"/>
        <w:sz w:val="22"/>
        <w:szCs w:val="22"/>
        <w:lang w:val="zh-CN" w:eastAsia="zh-CN" w:bidi="zh-CN"/>
      </w:rPr>
    </w:lvl>
    <w:lvl w:ilvl="1" w:tentative="0">
      <w:start w:val="1"/>
      <w:numFmt w:val="decimal"/>
      <w:lvlText w:val="%2."/>
      <w:lvlJc w:val="left"/>
      <w:pPr>
        <w:ind w:left="1217" w:hanging="241"/>
        <w:jc w:val="left"/>
      </w:pPr>
      <w:rPr>
        <w:rFonts w:hint="default" w:ascii="仿宋" w:hAnsi="仿宋" w:eastAsia="仿宋" w:cs="仿宋"/>
        <w:w w:val="100"/>
        <w:sz w:val="22"/>
        <w:szCs w:val="22"/>
        <w:lang w:val="zh-CN" w:eastAsia="zh-CN" w:bidi="zh-CN"/>
      </w:rPr>
    </w:lvl>
    <w:lvl w:ilvl="2" w:tentative="0">
      <w:start w:val="0"/>
      <w:numFmt w:val="bullet"/>
      <w:lvlText w:val="•"/>
      <w:lvlJc w:val="left"/>
      <w:pPr>
        <w:ind w:left="2342" w:hanging="241"/>
      </w:pPr>
      <w:rPr>
        <w:rFonts w:hint="default"/>
        <w:lang w:val="zh-CN" w:eastAsia="zh-CN" w:bidi="zh-CN"/>
      </w:rPr>
    </w:lvl>
    <w:lvl w:ilvl="3" w:tentative="0">
      <w:start w:val="0"/>
      <w:numFmt w:val="bullet"/>
      <w:lvlText w:val="•"/>
      <w:lvlJc w:val="left"/>
      <w:pPr>
        <w:ind w:left="3345" w:hanging="241"/>
      </w:pPr>
      <w:rPr>
        <w:rFonts w:hint="default"/>
        <w:lang w:val="zh-CN" w:eastAsia="zh-CN" w:bidi="zh-CN"/>
      </w:rPr>
    </w:lvl>
    <w:lvl w:ilvl="4" w:tentative="0">
      <w:start w:val="0"/>
      <w:numFmt w:val="bullet"/>
      <w:lvlText w:val="•"/>
      <w:lvlJc w:val="left"/>
      <w:pPr>
        <w:ind w:left="4348" w:hanging="241"/>
      </w:pPr>
      <w:rPr>
        <w:rFonts w:hint="default"/>
        <w:lang w:val="zh-CN" w:eastAsia="zh-CN" w:bidi="zh-CN"/>
      </w:rPr>
    </w:lvl>
    <w:lvl w:ilvl="5" w:tentative="0">
      <w:start w:val="0"/>
      <w:numFmt w:val="bullet"/>
      <w:lvlText w:val="•"/>
      <w:lvlJc w:val="left"/>
      <w:pPr>
        <w:ind w:left="5351" w:hanging="241"/>
      </w:pPr>
      <w:rPr>
        <w:rFonts w:hint="default"/>
        <w:lang w:val="zh-CN" w:eastAsia="zh-CN" w:bidi="zh-CN"/>
      </w:rPr>
    </w:lvl>
    <w:lvl w:ilvl="6" w:tentative="0">
      <w:start w:val="0"/>
      <w:numFmt w:val="bullet"/>
      <w:lvlText w:val="•"/>
      <w:lvlJc w:val="left"/>
      <w:pPr>
        <w:ind w:left="6354" w:hanging="241"/>
      </w:pPr>
      <w:rPr>
        <w:rFonts w:hint="default"/>
        <w:lang w:val="zh-CN" w:eastAsia="zh-CN" w:bidi="zh-CN"/>
      </w:rPr>
    </w:lvl>
    <w:lvl w:ilvl="7" w:tentative="0">
      <w:start w:val="0"/>
      <w:numFmt w:val="bullet"/>
      <w:lvlText w:val="•"/>
      <w:lvlJc w:val="left"/>
      <w:pPr>
        <w:ind w:left="7357" w:hanging="241"/>
      </w:pPr>
      <w:rPr>
        <w:rFonts w:hint="default"/>
        <w:lang w:val="zh-CN" w:eastAsia="zh-CN" w:bidi="zh-CN"/>
      </w:rPr>
    </w:lvl>
    <w:lvl w:ilvl="8" w:tentative="0">
      <w:start w:val="0"/>
      <w:numFmt w:val="bullet"/>
      <w:lvlText w:val="•"/>
      <w:lvlJc w:val="left"/>
      <w:pPr>
        <w:ind w:left="8360" w:hanging="241"/>
      </w:pPr>
      <w:rPr>
        <w:rFonts w:hint="default"/>
        <w:lang w:val="zh-CN" w:eastAsia="zh-CN" w:bidi="zh-CN"/>
      </w:rPr>
    </w:lvl>
  </w:abstractNum>
  <w:abstractNum w:abstractNumId="31">
    <w:nsid w:val="7C246926"/>
    <w:multiLevelType w:val="multilevel"/>
    <w:tmpl w:val="7C246926"/>
    <w:lvl w:ilvl="0" w:tentative="0">
      <w:start w:val="1"/>
      <w:numFmt w:val="decimal"/>
      <w:lvlText w:val="%1."/>
      <w:lvlJc w:val="left"/>
      <w:pPr>
        <w:ind w:left="1790"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2656" w:hanging="314"/>
      </w:pPr>
      <w:rPr>
        <w:rFonts w:hint="default"/>
        <w:lang w:val="zh-CN" w:eastAsia="zh-CN" w:bidi="zh-CN"/>
      </w:rPr>
    </w:lvl>
    <w:lvl w:ilvl="2" w:tentative="0">
      <w:start w:val="0"/>
      <w:numFmt w:val="bullet"/>
      <w:lvlText w:val="•"/>
      <w:lvlJc w:val="left"/>
      <w:pPr>
        <w:ind w:left="3513" w:hanging="314"/>
      </w:pPr>
      <w:rPr>
        <w:rFonts w:hint="default"/>
        <w:lang w:val="zh-CN" w:eastAsia="zh-CN" w:bidi="zh-CN"/>
      </w:rPr>
    </w:lvl>
    <w:lvl w:ilvl="3" w:tentative="0">
      <w:start w:val="0"/>
      <w:numFmt w:val="bullet"/>
      <w:lvlText w:val="•"/>
      <w:lvlJc w:val="left"/>
      <w:pPr>
        <w:ind w:left="4369" w:hanging="314"/>
      </w:pPr>
      <w:rPr>
        <w:rFonts w:hint="default"/>
        <w:lang w:val="zh-CN" w:eastAsia="zh-CN" w:bidi="zh-CN"/>
      </w:rPr>
    </w:lvl>
    <w:lvl w:ilvl="4" w:tentative="0">
      <w:start w:val="0"/>
      <w:numFmt w:val="bullet"/>
      <w:lvlText w:val="•"/>
      <w:lvlJc w:val="left"/>
      <w:pPr>
        <w:ind w:left="5226" w:hanging="314"/>
      </w:pPr>
      <w:rPr>
        <w:rFonts w:hint="default"/>
        <w:lang w:val="zh-CN" w:eastAsia="zh-CN" w:bidi="zh-CN"/>
      </w:rPr>
    </w:lvl>
    <w:lvl w:ilvl="5" w:tentative="0">
      <w:start w:val="0"/>
      <w:numFmt w:val="bullet"/>
      <w:lvlText w:val="•"/>
      <w:lvlJc w:val="left"/>
      <w:pPr>
        <w:ind w:left="6083" w:hanging="314"/>
      </w:pPr>
      <w:rPr>
        <w:rFonts w:hint="default"/>
        <w:lang w:val="zh-CN" w:eastAsia="zh-CN" w:bidi="zh-CN"/>
      </w:rPr>
    </w:lvl>
    <w:lvl w:ilvl="6" w:tentative="0">
      <w:start w:val="0"/>
      <w:numFmt w:val="bullet"/>
      <w:lvlText w:val="•"/>
      <w:lvlJc w:val="left"/>
      <w:pPr>
        <w:ind w:left="6939" w:hanging="314"/>
      </w:pPr>
      <w:rPr>
        <w:rFonts w:hint="default"/>
        <w:lang w:val="zh-CN" w:eastAsia="zh-CN" w:bidi="zh-CN"/>
      </w:rPr>
    </w:lvl>
    <w:lvl w:ilvl="7" w:tentative="0">
      <w:start w:val="0"/>
      <w:numFmt w:val="bullet"/>
      <w:lvlText w:val="•"/>
      <w:lvlJc w:val="left"/>
      <w:pPr>
        <w:ind w:left="7796" w:hanging="314"/>
      </w:pPr>
      <w:rPr>
        <w:rFonts w:hint="default"/>
        <w:lang w:val="zh-CN" w:eastAsia="zh-CN" w:bidi="zh-CN"/>
      </w:rPr>
    </w:lvl>
    <w:lvl w:ilvl="8" w:tentative="0">
      <w:start w:val="0"/>
      <w:numFmt w:val="bullet"/>
      <w:lvlText w:val="•"/>
      <w:lvlJc w:val="left"/>
      <w:pPr>
        <w:ind w:left="8652" w:hanging="314"/>
      </w:pPr>
      <w:rPr>
        <w:rFonts w:hint="default"/>
        <w:lang w:val="zh-CN" w:eastAsia="zh-CN" w:bidi="zh-CN"/>
      </w:rPr>
    </w:lvl>
  </w:abstractNum>
  <w:abstractNum w:abstractNumId="32">
    <w:nsid w:val="7DEC2089"/>
    <w:multiLevelType w:val="multilevel"/>
    <w:tmpl w:val="7DEC2089"/>
    <w:lvl w:ilvl="0" w:tentative="0">
      <w:start w:val="1"/>
      <w:numFmt w:val="decimal"/>
      <w:lvlText w:val="%1."/>
      <w:lvlJc w:val="left"/>
      <w:pPr>
        <w:ind w:left="1057"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num w:numId="1">
    <w:abstractNumId w:val="8"/>
  </w:num>
  <w:num w:numId="2">
    <w:abstractNumId w:val="6"/>
  </w:num>
  <w:num w:numId="3">
    <w:abstractNumId w:val="13"/>
  </w:num>
  <w:num w:numId="4">
    <w:abstractNumId w:val="19"/>
  </w:num>
  <w:num w:numId="5">
    <w:abstractNumId w:val="12"/>
  </w:num>
  <w:num w:numId="6">
    <w:abstractNumId w:val="20"/>
  </w:num>
  <w:num w:numId="7">
    <w:abstractNumId w:val="9"/>
  </w:num>
  <w:num w:numId="8">
    <w:abstractNumId w:val="24"/>
  </w:num>
  <w:num w:numId="9">
    <w:abstractNumId w:val="16"/>
  </w:num>
  <w:num w:numId="10">
    <w:abstractNumId w:val="18"/>
  </w:num>
  <w:num w:numId="11">
    <w:abstractNumId w:val="10"/>
  </w:num>
  <w:num w:numId="12">
    <w:abstractNumId w:val="3"/>
  </w:num>
  <w:num w:numId="13">
    <w:abstractNumId w:val="23"/>
  </w:num>
  <w:num w:numId="14">
    <w:abstractNumId w:val="15"/>
  </w:num>
  <w:num w:numId="15">
    <w:abstractNumId w:val="22"/>
  </w:num>
  <w:num w:numId="16">
    <w:abstractNumId w:val="4"/>
  </w:num>
  <w:num w:numId="17">
    <w:abstractNumId w:val="2"/>
  </w:num>
  <w:num w:numId="18">
    <w:abstractNumId w:val="31"/>
  </w:num>
  <w:num w:numId="19">
    <w:abstractNumId w:val="29"/>
  </w:num>
  <w:num w:numId="20">
    <w:abstractNumId w:val="7"/>
  </w:num>
  <w:num w:numId="21">
    <w:abstractNumId w:val="27"/>
  </w:num>
  <w:num w:numId="22">
    <w:abstractNumId w:val="1"/>
  </w:num>
  <w:num w:numId="23">
    <w:abstractNumId w:val="26"/>
  </w:num>
  <w:num w:numId="24">
    <w:abstractNumId w:val="32"/>
  </w:num>
  <w:num w:numId="25">
    <w:abstractNumId w:val="0"/>
  </w:num>
  <w:num w:numId="26">
    <w:abstractNumId w:val="17"/>
  </w:num>
  <w:num w:numId="27">
    <w:abstractNumId w:val="25"/>
  </w:num>
  <w:num w:numId="28">
    <w:abstractNumId w:val="30"/>
  </w:num>
  <w:num w:numId="29">
    <w:abstractNumId w:val="5"/>
  </w:num>
  <w:num w:numId="30">
    <w:abstractNumId w:val="11"/>
  </w:num>
  <w:num w:numId="31">
    <w:abstractNumId w:val="28"/>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DkzZWMwMjlhNTNkNjExYzhjNDA4NzA5NGJlOWIifQ=="/>
  </w:docVars>
  <w:rsids>
    <w:rsidRoot w:val="00000000"/>
    <w:rsid w:val="00050816"/>
    <w:rsid w:val="00215AA4"/>
    <w:rsid w:val="00405F7B"/>
    <w:rsid w:val="005565D9"/>
    <w:rsid w:val="005A3ABA"/>
    <w:rsid w:val="00614CAB"/>
    <w:rsid w:val="00784098"/>
    <w:rsid w:val="0094234D"/>
    <w:rsid w:val="00981BC8"/>
    <w:rsid w:val="00A81265"/>
    <w:rsid w:val="00A91940"/>
    <w:rsid w:val="00CA22BC"/>
    <w:rsid w:val="00DD3A83"/>
    <w:rsid w:val="00E46AD2"/>
    <w:rsid w:val="00F578BF"/>
    <w:rsid w:val="00FA44E6"/>
    <w:rsid w:val="010C0502"/>
    <w:rsid w:val="01104981"/>
    <w:rsid w:val="011765DE"/>
    <w:rsid w:val="011D539F"/>
    <w:rsid w:val="01227029"/>
    <w:rsid w:val="01261457"/>
    <w:rsid w:val="013112C6"/>
    <w:rsid w:val="0149221C"/>
    <w:rsid w:val="016877B5"/>
    <w:rsid w:val="016C2D4F"/>
    <w:rsid w:val="01795325"/>
    <w:rsid w:val="01A31D52"/>
    <w:rsid w:val="01A33D8A"/>
    <w:rsid w:val="01A36E93"/>
    <w:rsid w:val="01B05617"/>
    <w:rsid w:val="01B2203D"/>
    <w:rsid w:val="01BB0E22"/>
    <w:rsid w:val="01C2082B"/>
    <w:rsid w:val="01C8452A"/>
    <w:rsid w:val="01DA508E"/>
    <w:rsid w:val="01DD1E9F"/>
    <w:rsid w:val="01E00D2D"/>
    <w:rsid w:val="01ED45EC"/>
    <w:rsid w:val="01F374F6"/>
    <w:rsid w:val="01F9429B"/>
    <w:rsid w:val="0212454D"/>
    <w:rsid w:val="02150FF3"/>
    <w:rsid w:val="022F17DD"/>
    <w:rsid w:val="02504E39"/>
    <w:rsid w:val="02554B80"/>
    <w:rsid w:val="026D58F4"/>
    <w:rsid w:val="02721558"/>
    <w:rsid w:val="028C2339"/>
    <w:rsid w:val="0293255D"/>
    <w:rsid w:val="02973305"/>
    <w:rsid w:val="02A66160"/>
    <w:rsid w:val="02AD231C"/>
    <w:rsid w:val="02B02490"/>
    <w:rsid w:val="02C170CB"/>
    <w:rsid w:val="02D7406D"/>
    <w:rsid w:val="02D7739B"/>
    <w:rsid w:val="02D946B9"/>
    <w:rsid w:val="02DA6C7E"/>
    <w:rsid w:val="02E1151B"/>
    <w:rsid w:val="02E859BD"/>
    <w:rsid w:val="02EE3C38"/>
    <w:rsid w:val="02F474A0"/>
    <w:rsid w:val="03123DCA"/>
    <w:rsid w:val="031D125E"/>
    <w:rsid w:val="0323389B"/>
    <w:rsid w:val="032A6371"/>
    <w:rsid w:val="034D7199"/>
    <w:rsid w:val="037F4936"/>
    <w:rsid w:val="03863A39"/>
    <w:rsid w:val="038E2436"/>
    <w:rsid w:val="03994F91"/>
    <w:rsid w:val="039B4330"/>
    <w:rsid w:val="03A040C6"/>
    <w:rsid w:val="03A93692"/>
    <w:rsid w:val="03B5144B"/>
    <w:rsid w:val="03E41A83"/>
    <w:rsid w:val="03FF434E"/>
    <w:rsid w:val="04090D29"/>
    <w:rsid w:val="042F5A8D"/>
    <w:rsid w:val="043C57DF"/>
    <w:rsid w:val="045E481F"/>
    <w:rsid w:val="046154B9"/>
    <w:rsid w:val="046449A2"/>
    <w:rsid w:val="047C321C"/>
    <w:rsid w:val="04836C58"/>
    <w:rsid w:val="04875F56"/>
    <w:rsid w:val="049802FF"/>
    <w:rsid w:val="04B343ED"/>
    <w:rsid w:val="04D65C3B"/>
    <w:rsid w:val="04DE7186"/>
    <w:rsid w:val="04E522D8"/>
    <w:rsid w:val="04EF6AFE"/>
    <w:rsid w:val="04F14972"/>
    <w:rsid w:val="0502000C"/>
    <w:rsid w:val="05134151"/>
    <w:rsid w:val="051418C3"/>
    <w:rsid w:val="053168AB"/>
    <w:rsid w:val="05481552"/>
    <w:rsid w:val="054A66F2"/>
    <w:rsid w:val="054D733B"/>
    <w:rsid w:val="055B4494"/>
    <w:rsid w:val="056D52E8"/>
    <w:rsid w:val="057123DC"/>
    <w:rsid w:val="057C702C"/>
    <w:rsid w:val="05A3050F"/>
    <w:rsid w:val="05A351AD"/>
    <w:rsid w:val="05A76A4C"/>
    <w:rsid w:val="05C56ED2"/>
    <w:rsid w:val="05D610DF"/>
    <w:rsid w:val="05D76501"/>
    <w:rsid w:val="05D76BD7"/>
    <w:rsid w:val="05E22C15"/>
    <w:rsid w:val="05EA3829"/>
    <w:rsid w:val="05F207D1"/>
    <w:rsid w:val="05F31C91"/>
    <w:rsid w:val="05F55E8F"/>
    <w:rsid w:val="061E65E2"/>
    <w:rsid w:val="062539E4"/>
    <w:rsid w:val="06340B26"/>
    <w:rsid w:val="063550F6"/>
    <w:rsid w:val="065F4377"/>
    <w:rsid w:val="06615543"/>
    <w:rsid w:val="06873105"/>
    <w:rsid w:val="06976FA4"/>
    <w:rsid w:val="069E18E6"/>
    <w:rsid w:val="06A06CE4"/>
    <w:rsid w:val="06D039AD"/>
    <w:rsid w:val="06D87A8A"/>
    <w:rsid w:val="06E11AE9"/>
    <w:rsid w:val="06FD269B"/>
    <w:rsid w:val="071023CF"/>
    <w:rsid w:val="071F6AB6"/>
    <w:rsid w:val="073022C9"/>
    <w:rsid w:val="075C7458"/>
    <w:rsid w:val="076D4482"/>
    <w:rsid w:val="076F7ED3"/>
    <w:rsid w:val="0781151E"/>
    <w:rsid w:val="082500FC"/>
    <w:rsid w:val="08282FFA"/>
    <w:rsid w:val="082D6479"/>
    <w:rsid w:val="0835385D"/>
    <w:rsid w:val="084B3647"/>
    <w:rsid w:val="08612EBC"/>
    <w:rsid w:val="086E1AA3"/>
    <w:rsid w:val="08775E81"/>
    <w:rsid w:val="08800AFC"/>
    <w:rsid w:val="08984CF9"/>
    <w:rsid w:val="08A47E7F"/>
    <w:rsid w:val="08BB7166"/>
    <w:rsid w:val="090128B9"/>
    <w:rsid w:val="09062576"/>
    <w:rsid w:val="090B5543"/>
    <w:rsid w:val="091E5277"/>
    <w:rsid w:val="09297778"/>
    <w:rsid w:val="095742E5"/>
    <w:rsid w:val="09BC692F"/>
    <w:rsid w:val="09C5012A"/>
    <w:rsid w:val="09E15D09"/>
    <w:rsid w:val="09E65669"/>
    <w:rsid w:val="09ED68D3"/>
    <w:rsid w:val="09FD2AE9"/>
    <w:rsid w:val="0A037FC9"/>
    <w:rsid w:val="0A254133"/>
    <w:rsid w:val="0A314B36"/>
    <w:rsid w:val="0A4030AF"/>
    <w:rsid w:val="0A5254C4"/>
    <w:rsid w:val="0A546A76"/>
    <w:rsid w:val="0A6250B9"/>
    <w:rsid w:val="0A9B6345"/>
    <w:rsid w:val="0AB319EF"/>
    <w:rsid w:val="0AB808EA"/>
    <w:rsid w:val="0AC67301"/>
    <w:rsid w:val="0ADB212D"/>
    <w:rsid w:val="0AF64D1C"/>
    <w:rsid w:val="0AF92030"/>
    <w:rsid w:val="0B156206"/>
    <w:rsid w:val="0B246449"/>
    <w:rsid w:val="0B261823"/>
    <w:rsid w:val="0B474E7C"/>
    <w:rsid w:val="0B5B0758"/>
    <w:rsid w:val="0B60185E"/>
    <w:rsid w:val="0B60223C"/>
    <w:rsid w:val="0B743162"/>
    <w:rsid w:val="0B893503"/>
    <w:rsid w:val="0B903ADE"/>
    <w:rsid w:val="0B997B36"/>
    <w:rsid w:val="0B9C318D"/>
    <w:rsid w:val="0BF056CB"/>
    <w:rsid w:val="0C0149DC"/>
    <w:rsid w:val="0C1065B2"/>
    <w:rsid w:val="0C1B3CF0"/>
    <w:rsid w:val="0C2B0A89"/>
    <w:rsid w:val="0C743400"/>
    <w:rsid w:val="0C7865EE"/>
    <w:rsid w:val="0CA23AC9"/>
    <w:rsid w:val="0CAA50E0"/>
    <w:rsid w:val="0CB77B72"/>
    <w:rsid w:val="0CC46FEE"/>
    <w:rsid w:val="0CEA6B71"/>
    <w:rsid w:val="0CF31D21"/>
    <w:rsid w:val="0CF87B8D"/>
    <w:rsid w:val="0CFC49E5"/>
    <w:rsid w:val="0D0C3F3D"/>
    <w:rsid w:val="0D0D1B52"/>
    <w:rsid w:val="0D117F96"/>
    <w:rsid w:val="0D4651D2"/>
    <w:rsid w:val="0DAD536B"/>
    <w:rsid w:val="0DB65DD1"/>
    <w:rsid w:val="0DDD1C4F"/>
    <w:rsid w:val="0E0B78C7"/>
    <w:rsid w:val="0E120498"/>
    <w:rsid w:val="0E324BBF"/>
    <w:rsid w:val="0E3F5808"/>
    <w:rsid w:val="0E5B4877"/>
    <w:rsid w:val="0E83396C"/>
    <w:rsid w:val="0E8813E4"/>
    <w:rsid w:val="0E9E7550"/>
    <w:rsid w:val="0EA0228A"/>
    <w:rsid w:val="0EAD6D44"/>
    <w:rsid w:val="0EBA00E0"/>
    <w:rsid w:val="0EC0292C"/>
    <w:rsid w:val="0ED65CAC"/>
    <w:rsid w:val="0EE5692C"/>
    <w:rsid w:val="0EFE6721"/>
    <w:rsid w:val="0F0428BB"/>
    <w:rsid w:val="0F3311B7"/>
    <w:rsid w:val="0F3C3290"/>
    <w:rsid w:val="0F890F70"/>
    <w:rsid w:val="0F89216D"/>
    <w:rsid w:val="0F8A6EE5"/>
    <w:rsid w:val="0FBF535A"/>
    <w:rsid w:val="0FC30926"/>
    <w:rsid w:val="0FC320D6"/>
    <w:rsid w:val="0FC41115"/>
    <w:rsid w:val="0FCE67FC"/>
    <w:rsid w:val="0FD273DE"/>
    <w:rsid w:val="0FE7795C"/>
    <w:rsid w:val="0FF7237E"/>
    <w:rsid w:val="100A2E2F"/>
    <w:rsid w:val="100B407B"/>
    <w:rsid w:val="1019229C"/>
    <w:rsid w:val="10271C84"/>
    <w:rsid w:val="10311701"/>
    <w:rsid w:val="103B0079"/>
    <w:rsid w:val="103E1D5B"/>
    <w:rsid w:val="10431C2C"/>
    <w:rsid w:val="104351C9"/>
    <w:rsid w:val="106864A9"/>
    <w:rsid w:val="1071736F"/>
    <w:rsid w:val="1080244F"/>
    <w:rsid w:val="109571DB"/>
    <w:rsid w:val="109A503A"/>
    <w:rsid w:val="10A61AA0"/>
    <w:rsid w:val="10BD35D4"/>
    <w:rsid w:val="10C047D8"/>
    <w:rsid w:val="10D40911"/>
    <w:rsid w:val="10DA393A"/>
    <w:rsid w:val="10DC476C"/>
    <w:rsid w:val="10E73AB7"/>
    <w:rsid w:val="10F424F8"/>
    <w:rsid w:val="11076ECE"/>
    <w:rsid w:val="110A60E1"/>
    <w:rsid w:val="11197E55"/>
    <w:rsid w:val="111B3927"/>
    <w:rsid w:val="112F3D99"/>
    <w:rsid w:val="11447845"/>
    <w:rsid w:val="11460A62"/>
    <w:rsid w:val="115D0906"/>
    <w:rsid w:val="11795309"/>
    <w:rsid w:val="11936D01"/>
    <w:rsid w:val="11B01BB4"/>
    <w:rsid w:val="11C95659"/>
    <w:rsid w:val="11CC6555"/>
    <w:rsid w:val="11D87F8D"/>
    <w:rsid w:val="11EE5A02"/>
    <w:rsid w:val="12046FD4"/>
    <w:rsid w:val="12260CF8"/>
    <w:rsid w:val="122F3277"/>
    <w:rsid w:val="123631FC"/>
    <w:rsid w:val="12696899"/>
    <w:rsid w:val="12713746"/>
    <w:rsid w:val="1279351E"/>
    <w:rsid w:val="128679E9"/>
    <w:rsid w:val="12940358"/>
    <w:rsid w:val="129975B0"/>
    <w:rsid w:val="129E5D2A"/>
    <w:rsid w:val="12B36E25"/>
    <w:rsid w:val="12C7072D"/>
    <w:rsid w:val="12D17479"/>
    <w:rsid w:val="12F4617F"/>
    <w:rsid w:val="12F62DC0"/>
    <w:rsid w:val="13465AC5"/>
    <w:rsid w:val="134A0405"/>
    <w:rsid w:val="13675A6C"/>
    <w:rsid w:val="136917E4"/>
    <w:rsid w:val="136A1A93"/>
    <w:rsid w:val="13767A5D"/>
    <w:rsid w:val="13871BD3"/>
    <w:rsid w:val="138E1871"/>
    <w:rsid w:val="139D68FB"/>
    <w:rsid w:val="13A9398F"/>
    <w:rsid w:val="13B8220B"/>
    <w:rsid w:val="13BC5DB8"/>
    <w:rsid w:val="13D529D6"/>
    <w:rsid w:val="13F11368"/>
    <w:rsid w:val="140512B7"/>
    <w:rsid w:val="140C45A6"/>
    <w:rsid w:val="141A1D9D"/>
    <w:rsid w:val="14226B92"/>
    <w:rsid w:val="142474B9"/>
    <w:rsid w:val="14392206"/>
    <w:rsid w:val="1447615A"/>
    <w:rsid w:val="14560FB1"/>
    <w:rsid w:val="145A0559"/>
    <w:rsid w:val="145C4EA5"/>
    <w:rsid w:val="145E2572"/>
    <w:rsid w:val="14860174"/>
    <w:rsid w:val="14D823C5"/>
    <w:rsid w:val="14DC3E50"/>
    <w:rsid w:val="15064605"/>
    <w:rsid w:val="15105215"/>
    <w:rsid w:val="151B7212"/>
    <w:rsid w:val="152A6622"/>
    <w:rsid w:val="152D6842"/>
    <w:rsid w:val="152F0B1B"/>
    <w:rsid w:val="15431D57"/>
    <w:rsid w:val="15484EA4"/>
    <w:rsid w:val="154D4CA7"/>
    <w:rsid w:val="1565422D"/>
    <w:rsid w:val="15725A8D"/>
    <w:rsid w:val="15731C8E"/>
    <w:rsid w:val="1575195A"/>
    <w:rsid w:val="159A663A"/>
    <w:rsid w:val="15B06CEE"/>
    <w:rsid w:val="15BA721A"/>
    <w:rsid w:val="15D37316"/>
    <w:rsid w:val="15DB44F0"/>
    <w:rsid w:val="15E433A4"/>
    <w:rsid w:val="15E7427E"/>
    <w:rsid w:val="15EC64DD"/>
    <w:rsid w:val="15F335E7"/>
    <w:rsid w:val="164756E1"/>
    <w:rsid w:val="16491459"/>
    <w:rsid w:val="165027E8"/>
    <w:rsid w:val="16617B46"/>
    <w:rsid w:val="168E6888"/>
    <w:rsid w:val="16D625EF"/>
    <w:rsid w:val="16DC76E7"/>
    <w:rsid w:val="16EB42BE"/>
    <w:rsid w:val="16FE43C5"/>
    <w:rsid w:val="17014995"/>
    <w:rsid w:val="170469A9"/>
    <w:rsid w:val="173A58E8"/>
    <w:rsid w:val="17424826"/>
    <w:rsid w:val="17477E88"/>
    <w:rsid w:val="174F097B"/>
    <w:rsid w:val="17572D82"/>
    <w:rsid w:val="177338E3"/>
    <w:rsid w:val="178E39A8"/>
    <w:rsid w:val="17916B99"/>
    <w:rsid w:val="17BD20FF"/>
    <w:rsid w:val="17BE7C25"/>
    <w:rsid w:val="17C832CB"/>
    <w:rsid w:val="17DB5CC1"/>
    <w:rsid w:val="17ED2DDB"/>
    <w:rsid w:val="181B64A6"/>
    <w:rsid w:val="18267CA4"/>
    <w:rsid w:val="18400970"/>
    <w:rsid w:val="18427F6F"/>
    <w:rsid w:val="184E2EA9"/>
    <w:rsid w:val="18526E01"/>
    <w:rsid w:val="1868153F"/>
    <w:rsid w:val="186E297D"/>
    <w:rsid w:val="18A137CE"/>
    <w:rsid w:val="18A312F5"/>
    <w:rsid w:val="18AE1A47"/>
    <w:rsid w:val="18CE087F"/>
    <w:rsid w:val="18D42016"/>
    <w:rsid w:val="18DC1408"/>
    <w:rsid w:val="18DE3F5F"/>
    <w:rsid w:val="18DE7C23"/>
    <w:rsid w:val="18EE3B3B"/>
    <w:rsid w:val="19144793"/>
    <w:rsid w:val="192535B3"/>
    <w:rsid w:val="193368F1"/>
    <w:rsid w:val="1936632A"/>
    <w:rsid w:val="193F08F1"/>
    <w:rsid w:val="195F3195"/>
    <w:rsid w:val="196A0064"/>
    <w:rsid w:val="196A4D7D"/>
    <w:rsid w:val="196C690E"/>
    <w:rsid w:val="197010D2"/>
    <w:rsid w:val="19875231"/>
    <w:rsid w:val="199D1980"/>
    <w:rsid w:val="19A55E66"/>
    <w:rsid w:val="19B4170B"/>
    <w:rsid w:val="19C06017"/>
    <w:rsid w:val="19C213AC"/>
    <w:rsid w:val="19D41013"/>
    <w:rsid w:val="19E41BC5"/>
    <w:rsid w:val="19E66118"/>
    <w:rsid w:val="19F91EA2"/>
    <w:rsid w:val="1A174234"/>
    <w:rsid w:val="1A1F443E"/>
    <w:rsid w:val="1A323592"/>
    <w:rsid w:val="1A3E17A7"/>
    <w:rsid w:val="1A4E6311"/>
    <w:rsid w:val="1A5253FC"/>
    <w:rsid w:val="1A54439E"/>
    <w:rsid w:val="1A642D06"/>
    <w:rsid w:val="1A710265"/>
    <w:rsid w:val="1A777909"/>
    <w:rsid w:val="1A8C0A65"/>
    <w:rsid w:val="1A920A3F"/>
    <w:rsid w:val="1AB15DA7"/>
    <w:rsid w:val="1AC65206"/>
    <w:rsid w:val="1AD4591A"/>
    <w:rsid w:val="1B102A59"/>
    <w:rsid w:val="1B172E28"/>
    <w:rsid w:val="1B1739F4"/>
    <w:rsid w:val="1B2141E3"/>
    <w:rsid w:val="1B28160E"/>
    <w:rsid w:val="1B307E0B"/>
    <w:rsid w:val="1B3C158C"/>
    <w:rsid w:val="1B414083"/>
    <w:rsid w:val="1B511169"/>
    <w:rsid w:val="1B8D003A"/>
    <w:rsid w:val="1B8E3C60"/>
    <w:rsid w:val="1B943177"/>
    <w:rsid w:val="1BB3283F"/>
    <w:rsid w:val="1BBD1AAB"/>
    <w:rsid w:val="1BE834C2"/>
    <w:rsid w:val="1C230057"/>
    <w:rsid w:val="1C2857E5"/>
    <w:rsid w:val="1C346708"/>
    <w:rsid w:val="1C463390"/>
    <w:rsid w:val="1C5E6C08"/>
    <w:rsid w:val="1C5F2B36"/>
    <w:rsid w:val="1C6C2B3F"/>
    <w:rsid w:val="1C6E5226"/>
    <w:rsid w:val="1C791E72"/>
    <w:rsid w:val="1CA04A9F"/>
    <w:rsid w:val="1CA70C8F"/>
    <w:rsid w:val="1CA74072"/>
    <w:rsid w:val="1CAF366F"/>
    <w:rsid w:val="1CC222FA"/>
    <w:rsid w:val="1CF27E3C"/>
    <w:rsid w:val="1D2F61F6"/>
    <w:rsid w:val="1D456CB0"/>
    <w:rsid w:val="1D7E7C3A"/>
    <w:rsid w:val="1D8E6A35"/>
    <w:rsid w:val="1D8F098F"/>
    <w:rsid w:val="1D906FD2"/>
    <w:rsid w:val="1DA437D1"/>
    <w:rsid w:val="1DAB29F9"/>
    <w:rsid w:val="1DB668F6"/>
    <w:rsid w:val="1DBE7F40"/>
    <w:rsid w:val="1DC835AB"/>
    <w:rsid w:val="1DE45A98"/>
    <w:rsid w:val="1DF04C93"/>
    <w:rsid w:val="1DFD0837"/>
    <w:rsid w:val="1E145AAE"/>
    <w:rsid w:val="1E2E3816"/>
    <w:rsid w:val="1E943B78"/>
    <w:rsid w:val="1E9D0594"/>
    <w:rsid w:val="1EBA76B9"/>
    <w:rsid w:val="1ECB1438"/>
    <w:rsid w:val="1ED97D2C"/>
    <w:rsid w:val="1EEB60FF"/>
    <w:rsid w:val="1EFE7642"/>
    <w:rsid w:val="1EFF124F"/>
    <w:rsid w:val="1F31142E"/>
    <w:rsid w:val="1F374545"/>
    <w:rsid w:val="1F417484"/>
    <w:rsid w:val="1F497BD5"/>
    <w:rsid w:val="1F59095F"/>
    <w:rsid w:val="1F6B23CF"/>
    <w:rsid w:val="1F761C37"/>
    <w:rsid w:val="1F7B6820"/>
    <w:rsid w:val="1F8059F6"/>
    <w:rsid w:val="1F8452B0"/>
    <w:rsid w:val="1FB042F7"/>
    <w:rsid w:val="1FB04EC1"/>
    <w:rsid w:val="1FC52D11"/>
    <w:rsid w:val="1FD553D6"/>
    <w:rsid w:val="1FDA480E"/>
    <w:rsid w:val="1FDC20BF"/>
    <w:rsid w:val="1FE13455"/>
    <w:rsid w:val="1FEA444D"/>
    <w:rsid w:val="1FF04B54"/>
    <w:rsid w:val="20076C27"/>
    <w:rsid w:val="200D6DE2"/>
    <w:rsid w:val="201D2493"/>
    <w:rsid w:val="20221AA7"/>
    <w:rsid w:val="20360256"/>
    <w:rsid w:val="20366AE2"/>
    <w:rsid w:val="20380E52"/>
    <w:rsid w:val="2038591D"/>
    <w:rsid w:val="204561FB"/>
    <w:rsid w:val="204C0C3F"/>
    <w:rsid w:val="204C5275"/>
    <w:rsid w:val="20526AA9"/>
    <w:rsid w:val="209E23A2"/>
    <w:rsid w:val="20BB2F53"/>
    <w:rsid w:val="20C22444"/>
    <w:rsid w:val="20DE4E45"/>
    <w:rsid w:val="20EA0D62"/>
    <w:rsid w:val="210F0BA0"/>
    <w:rsid w:val="211C60E8"/>
    <w:rsid w:val="213510C5"/>
    <w:rsid w:val="215D6EBE"/>
    <w:rsid w:val="218345AE"/>
    <w:rsid w:val="21960E62"/>
    <w:rsid w:val="21E62252"/>
    <w:rsid w:val="22342FBD"/>
    <w:rsid w:val="22367074"/>
    <w:rsid w:val="223D136E"/>
    <w:rsid w:val="224D1393"/>
    <w:rsid w:val="22732764"/>
    <w:rsid w:val="227635D6"/>
    <w:rsid w:val="227B6E3E"/>
    <w:rsid w:val="22A40101"/>
    <w:rsid w:val="22C175C7"/>
    <w:rsid w:val="22C94B32"/>
    <w:rsid w:val="22D62659"/>
    <w:rsid w:val="23270D74"/>
    <w:rsid w:val="232C0139"/>
    <w:rsid w:val="234E51A0"/>
    <w:rsid w:val="238F70F2"/>
    <w:rsid w:val="23A777BF"/>
    <w:rsid w:val="23E10F23"/>
    <w:rsid w:val="23F52194"/>
    <w:rsid w:val="241C1F5B"/>
    <w:rsid w:val="242D23BA"/>
    <w:rsid w:val="243C25FD"/>
    <w:rsid w:val="243D776E"/>
    <w:rsid w:val="2453685C"/>
    <w:rsid w:val="246F2B60"/>
    <w:rsid w:val="248961AB"/>
    <w:rsid w:val="24D02F2B"/>
    <w:rsid w:val="24D07A4D"/>
    <w:rsid w:val="24D740D4"/>
    <w:rsid w:val="24E86910"/>
    <w:rsid w:val="24EB1A92"/>
    <w:rsid w:val="24EE388C"/>
    <w:rsid w:val="24F71619"/>
    <w:rsid w:val="252B4B4C"/>
    <w:rsid w:val="254C0AFD"/>
    <w:rsid w:val="25755DC7"/>
    <w:rsid w:val="257C5EE3"/>
    <w:rsid w:val="258C1362"/>
    <w:rsid w:val="25922FC6"/>
    <w:rsid w:val="259B4F24"/>
    <w:rsid w:val="25A55BCE"/>
    <w:rsid w:val="25AD217C"/>
    <w:rsid w:val="25B25001"/>
    <w:rsid w:val="25EB2B0A"/>
    <w:rsid w:val="25EF330F"/>
    <w:rsid w:val="25EF3DCB"/>
    <w:rsid w:val="262E6DD4"/>
    <w:rsid w:val="263F660E"/>
    <w:rsid w:val="26640195"/>
    <w:rsid w:val="266A5364"/>
    <w:rsid w:val="26B03FF2"/>
    <w:rsid w:val="26B26E58"/>
    <w:rsid w:val="270E2837"/>
    <w:rsid w:val="27516C86"/>
    <w:rsid w:val="277A5227"/>
    <w:rsid w:val="27816878"/>
    <w:rsid w:val="27871DE1"/>
    <w:rsid w:val="278C0C4E"/>
    <w:rsid w:val="27AD39C7"/>
    <w:rsid w:val="27AD4D29"/>
    <w:rsid w:val="27BF5A1F"/>
    <w:rsid w:val="27CC367E"/>
    <w:rsid w:val="27D33279"/>
    <w:rsid w:val="27F24D04"/>
    <w:rsid w:val="27F74C7A"/>
    <w:rsid w:val="27F8655E"/>
    <w:rsid w:val="27FB517A"/>
    <w:rsid w:val="282B4E63"/>
    <w:rsid w:val="28301C65"/>
    <w:rsid w:val="2842289F"/>
    <w:rsid w:val="284D66ED"/>
    <w:rsid w:val="285763F0"/>
    <w:rsid w:val="286914E7"/>
    <w:rsid w:val="28724840"/>
    <w:rsid w:val="28767E37"/>
    <w:rsid w:val="28796BEF"/>
    <w:rsid w:val="288F719F"/>
    <w:rsid w:val="28990A03"/>
    <w:rsid w:val="28A075FF"/>
    <w:rsid w:val="28AC712D"/>
    <w:rsid w:val="28DC08BE"/>
    <w:rsid w:val="28E70382"/>
    <w:rsid w:val="28F54B9D"/>
    <w:rsid w:val="2903324C"/>
    <w:rsid w:val="29121B7F"/>
    <w:rsid w:val="29181BE3"/>
    <w:rsid w:val="291E77C9"/>
    <w:rsid w:val="296648C4"/>
    <w:rsid w:val="296A70F4"/>
    <w:rsid w:val="296C48D7"/>
    <w:rsid w:val="29793EBE"/>
    <w:rsid w:val="29840B17"/>
    <w:rsid w:val="29C275A9"/>
    <w:rsid w:val="29CC6CA4"/>
    <w:rsid w:val="29DF7CB3"/>
    <w:rsid w:val="29F55728"/>
    <w:rsid w:val="2A0E172D"/>
    <w:rsid w:val="2A141C66"/>
    <w:rsid w:val="2A1A5B10"/>
    <w:rsid w:val="2A1A772B"/>
    <w:rsid w:val="2A1B43AD"/>
    <w:rsid w:val="2A3A75DF"/>
    <w:rsid w:val="2A401725"/>
    <w:rsid w:val="2A4122E4"/>
    <w:rsid w:val="2A476DCE"/>
    <w:rsid w:val="2A5B2D80"/>
    <w:rsid w:val="2A677C17"/>
    <w:rsid w:val="2A695ECD"/>
    <w:rsid w:val="2A842C35"/>
    <w:rsid w:val="2AA1140C"/>
    <w:rsid w:val="2AA47782"/>
    <w:rsid w:val="2AEA2DB3"/>
    <w:rsid w:val="2AEE6038"/>
    <w:rsid w:val="2B2A1409"/>
    <w:rsid w:val="2B447E68"/>
    <w:rsid w:val="2B51557A"/>
    <w:rsid w:val="2B537FD0"/>
    <w:rsid w:val="2B5D5E98"/>
    <w:rsid w:val="2B861C0A"/>
    <w:rsid w:val="2B8925CC"/>
    <w:rsid w:val="2B9231C3"/>
    <w:rsid w:val="2B9B280D"/>
    <w:rsid w:val="2BA517B8"/>
    <w:rsid w:val="2BD21CCC"/>
    <w:rsid w:val="2BF612E4"/>
    <w:rsid w:val="2BFE6777"/>
    <w:rsid w:val="2C1D2F6A"/>
    <w:rsid w:val="2C31056E"/>
    <w:rsid w:val="2C3D526D"/>
    <w:rsid w:val="2C493613"/>
    <w:rsid w:val="2C5A5D16"/>
    <w:rsid w:val="2C8450EF"/>
    <w:rsid w:val="2C9D11C6"/>
    <w:rsid w:val="2CA67D76"/>
    <w:rsid w:val="2CC9541A"/>
    <w:rsid w:val="2CEC5BAD"/>
    <w:rsid w:val="2CF54C74"/>
    <w:rsid w:val="2D1063D5"/>
    <w:rsid w:val="2D2C23E9"/>
    <w:rsid w:val="2D46214B"/>
    <w:rsid w:val="2D7E145F"/>
    <w:rsid w:val="2D8A262B"/>
    <w:rsid w:val="2D8F21FF"/>
    <w:rsid w:val="2D962D7E"/>
    <w:rsid w:val="2DA723F9"/>
    <w:rsid w:val="2DE822F5"/>
    <w:rsid w:val="2DF45CF7"/>
    <w:rsid w:val="2E0C044D"/>
    <w:rsid w:val="2E1047F0"/>
    <w:rsid w:val="2E294F3A"/>
    <w:rsid w:val="2E3743F0"/>
    <w:rsid w:val="2E3B7DC5"/>
    <w:rsid w:val="2E3F6F72"/>
    <w:rsid w:val="2E476D04"/>
    <w:rsid w:val="2E493B6B"/>
    <w:rsid w:val="2E494294"/>
    <w:rsid w:val="2E5B1C3A"/>
    <w:rsid w:val="2E637258"/>
    <w:rsid w:val="2E652BB8"/>
    <w:rsid w:val="2E954DE4"/>
    <w:rsid w:val="2EB544B9"/>
    <w:rsid w:val="2EC424D6"/>
    <w:rsid w:val="2EC65E25"/>
    <w:rsid w:val="2EE65FBC"/>
    <w:rsid w:val="2EE84FA9"/>
    <w:rsid w:val="2EED0C62"/>
    <w:rsid w:val="2EF03695"/>
    <w:rsid w:val="2EF1463B"/>
    <w:rsid w:val="2F0B154A"/>
    <w:rsid w:val="2F162EF5"/>
    <w:rsid w:val="2F2338AB"/>
    <w:rsid w:val="2F5B6E36"/>
    <w:rsid w:val="2F710798"/>
    <w:rsid w:val="2F744C22"/>
    <w:rsid w:val="2F762E67"/>
    <w:rsid w:val="2F821683"/>
    <w:rsid w:val="2F9F4A06"/>
    <w:rsid w:val="2FBC4593"/>
    <w:rsid w:val="2FC5171D"/>
    <w:rsid w:val="2FCA788E"/>
    <w:rsid w:val="2FD20FDF"/>
    <w:rsid w:val="2FD23874"/>
    <w:rsid w:val="2FE62E57"/>
    <w:rsid w:val="2FEF22AF"/>
    <w:rsid w:val="30067EDE"/>
    <w:rsid w:val="300C1950"/>
    <w:rsid w:val="300E30A0"/>
    <w:rsid w:val="301854DA"/>
    <w:rsid w:val="302503E9"/>
    <w:rsid w:val="30646FE3"/>
    <w:rsid w:val="307D6477"/>
    <w:rsid w:val="308B2276"/>
    <w:rsid w:val="30915A7F"/>
    <w:rsid w:val="30994D32"/>
    <w:rsid w:val="30B371C1"/>
    <w:rsid w:val="30CC5C22"/>
    <w:rsid w:val="30DF1290"/>
    <w:rsid w:val="30E20F90"/>
    <w:rsid w:val="30FF4CA0"/>
    <w:rsid w:val="31030681"/>
    <w:rsid w:val="310B06CB"/>
    <w:rsid w:val="31153F26"/>
    <w:rsid w:val="311E37B6"/>
    <w:rsid w:val="311F7BC4"/>
    <w:rsid w:val="313A0F37"/>
    <w:rsid w:val="313A6116"/>
    <w:rsid w:val="315871CC"/>
    <w:rsid w:val="3193029C"/>
    <w:rsid w:val="31B927C7"/>
    <w:rsid w:val="31BE28A4"/>
    <w:rsid w:val="31C62DF3"/>
    <w:rsid w:val="31E60B34"/>
    <w:rsid w:val="31F0381A"/>
    <w:rsid w:val="3207138B"/>
    <w:rsid w:val="3215618D"/>
    <w:rsid w:val="325A5F76"/>
    <w:rsid w:val="32696CB3"/>
    <w:rsid w:val="326B5C6C"/>
    <w:rsid w:val="32765260"/>
    <w:rsid w:val="32805DAB"/>
    <w:rsid w:val="32894C60"/>
    <w:rsid w:val="32A81051"/>
    <w:rsid w:val="32AD4598"/>
    <w:rsid w:val="32CD4436"/>
    <w:rsid w:val="32DA1674"/>
    <w:rsid w:val="32DA195F"/>
    <w:rsid w:val="32ED55B4"/>
    <w:rsid w:val="32ED58AE"/>
    <w:rsid w:val="33006664"/>
    <w:rsid w:val="33137FC1"/>
    <w:rsid w:val="33154745"/>
    <w:rsid w:val="332875A0"/>
    <w:rsid w:val="3338771F"/>
    <w:rsid w:val="333E20D8"/>
    <w:rsid w:val="336C33D7"/>
    <w:rsid w:val="33756DD1"/>
    <w:rsid w:val="338432F5"/>
    <w:rsid w:val="33AF0601"/>
    <w:rsid w:val="33C46A54"/>
    <w:rsid w:val="33C73771"/>
    <w:rsid w:val="33EF4F96"/>
    <w:rsid w:val="34015CC7"/>
    <w:rsid w:val="340E160E"/>
    <w:rsid w:val="34257D1E"/>
    <w:rsid w:val="342E306E"/>
    <w:rsid w:val="34412D74"/>
    <w:rsid w:val="3449357E"/>
    <w:rsid w:val="346549F8"/>
    <w:rsid w:val="347003C1"/>
    <w:rsid w:val="3487445F"/>
    <w:rsid w:val="34921653"/>
    <w:rsid w:val="34A41B17"/>
    <w:rsid w:val="34B30C86"/>
    <w:rsid w:val="34C06879"/>
    <w:rsid w:val="34DA229E"/>
    <w:rsid w:val="34ED2E94"/>
    <w:rsid w:val="34EF7646"/>
    <w:rsid w:val="34FA7990"/>
    <w:rsid w:val="350C5A3B"/>
    <w:rsid w:val="35314B02"/>
    <w:rsid w:val="35667081"/>
    <w:rsid w:val="356B1760"/>
    <w:rsid w:val="35796825"/>
    <w:rsid w:val="357A4921"/>
    <w:rsid w:val="358D0F0B"/>
    <w:rsid w:val="358E2614"/>
    <w:rsid w:val="35CA047E"/>
    <w:rsid w:val="35DD521A"/>
    <w:rsid w:val="36563191"/>
    <w:rsid w:val="36572EB9"/>
    <w:rsid w:val="3682654A"/>
    <w:rsid w:val="369F71B9"/>
    <w:rsid w:val="36A6460E"/>
    <w:rsid w:val="36B36E89"/>
    <w:rsid w:val="36BD5820"/>
    <w:rsid w:val="36DB27E6"/>
    <w:rsid w:val="36DB6047"/>
    <w:rsid w:val="36F55F5E"/>
    <w:rsid w:val="37331D86"/>
    <w:rsid w:val="37381C94"/>
    <w:rsid w:val="375508D4"/>
    <w:rsid w:val="37691503"/>
    <w:rsid w:val="377D0B0B"/>
    <w:rsid w:val="378445BD"/>
    <w:rsid w:val="37920C2C"/>
    <w:rsid w:val="37BF1F63"/>
    <w:rsid w:val="37F45271"/>
    <w:rsid w:val="38341B11"/>
    <w:rsid w:val="383564D7"/>
    <w:rsid w:val="38372BAF"/>
    <w:rsid w:val="38440A3E"/>
    <w:rsid w:val="385C4BC4"/>
    <w:rsid w:val="38734BA7"/>
    <w:rsid w:val="387705FB"/>
    <w:rsid w:val="387C6E89"/>
    <w:rsid w:val="3891486E"/>
    <w:rsid w:val="38A46FA1"/>
    <w:rsid w:val="38A86667"/>
    <w:rsid w:val="38D35E02"/>
    <w:rsid w:val="38DC09BB"/>
    <w:rsid w:val="38E40C8E"/>
    <w:rsid w:val="38F202B5"/>
    <w:rsid w:val="38F94FFF"/>
    <w:rsid w:val="39063EBB"/>
    <w:rsid w:val="390F5489"/>
    <w:rsid w:val="3911775D"/>
    <w:rsid w:val="3921280F"/>
    <w:rsid w:val="39513FFD"/>
    <w:rsid w:val="39581830"/>
    <w:rsid w:val="396A103B"/>
    <w:rsid w:val="39700927"/>
    <w:rsid w:val="39763B1F"/>
    <w:rsid w:val="39A93E39"/>
    <w:rsid w:val="39B33FD2"/>
    <w:rsid w:val="39BD6ABF"/>
    <w:rsid w:val="39FF5BF9"/>
    <w:rsid w:val="3A1B3A32"/>
    <w:rsid w:val="3A5B3A4B"/>
    <w:rsid w:val="3A73268D"/>
    <w:rsid w:val="3A7E37AD"/>
    <w:rsid w:val="3A841B61"/>
    <w:rsid w:val="3A8479DF"/>
    <w:rsid w:val="3A891C39"/>
    <w:rsid w:val="3A8C0F62"/>
    <w:rsid w:val="3A9925BC"/>
    <w:rsid w:val="3A9935F7"/>
    <w:rsid w:val="3ADF622A"/>
    <w:rsid w:val="3AE35129"/>
    <w:rsid w:val="3AE95F79"/>
    <w:rsid w:val="3AF47C62"/>
    <w:rsid w:val="3B0F23C2"/>
    <w:rsid w:val="3B1F1D89"/>
    <w:rsid w:val="3B387E09"/>
    <w:rsid w:val="3B5140B2"/>
    <w:rsid w:val="3B561141"/>
    <w:rsid w:val="3B6931B8"/>
    <w:rsid w:val="3B7010B2"/>
    <w:rsid w:val="3B7F30A4"/>
    <w:rsid w:val="3B8A1F5A"/>
    <w:rsid w:val="3BB84807"/>
    <w:rsid w:val="3BC211E2"/>
    <w:rsid w:val="3BDA29D0"/>
    <w:rsid w:val="3BE1581D"/>
    <w:rsid w:val="3C096E11"/>
    <w:rsid w:val="3C0A5DFB"/>
    <w:rsid w:val="3C2F79F6"/>
    <w:rsid w:val="3C4B079E"/>
    <w:rsid w:val="3C4F7E1C"/>
    <w:rsid w:val="3C6C7DEA"/>
    <w:rsid w:val="3C8672C6"/>
    <w:rsid w:val="3C8A61A4"/>
    <w:rsid w:val="3C8D17A0"/>
    <w:rsid w:val="3CA35116"/>
    <w:rsid w:val="3CAB143F"/>
    <w:rsid w:val="3CB603F1"/>
    <w:rsid w:val="3CC82828"/>
    <w:rsid w:val="3CE04016"/>
    <w:rsid w:val="3CF60458"/>
    <w:rsid w:val="3D2F28A7"/>
    <w:rsid w:val="3D404811"/>
    <w:rsid w:val="3D4B1FD1"/>
    <w:rsid w:val="3D542B91"/>
    <w:rsid w:val="3D603647"/>
    <w:rsid w:val="3D6562C9"/>
    <w:rsid w:val="3D684A0B"/>
    <w:rsid w:val="3D6F1987"/>
    <w:rsid w:val="3D826E7B"/>
    <w:rsid w:val="3D8E719D"/>
    <w:rsid w:val="3D8F3BAD"/>
    <w:rsid w:val="3DA07175"/>
    <w:rsid w:val="3DB64D77"/>
    <w:rsid w:val="3DCB25D0"/>
    <w:rsid w:val="3DE96D38"/>
    <w:rsid w:val="3DEF6F9D"/>
    <w:rsid w:val="3DF5740B"/>
    <w:rsid w:val="3DFE376C"/>
    <w:rsid w:val="3E0319CF"/>
    <w:rsid w:val="3E0E7696"/>
    <w:rsid w:val="3E18158D"/>
    <w:rsid w:val="3E2324B9"/>
    <w:rsid w:val="3E2776E7"/>
    <w:rsid w:val="3E497CB1"/>
    <w:rsid w:val="3E5E1696"/>
    <w:rsid w:val="3E5F540E"/>
    <w:rsid w:val="3E610C70"/>
    <w:rsid w:val="3E825277"/>
    <w:rsid w:val="3E906172"/>
    <w:rsid w:val="3E9615AA"/>
    <w:rsid w:val="3E9641AD"/>
    <w:rsid w:val="3E9C3F6D"/>
    <w:rsid w:val="3E9F580B"/>
    <w:rsid w:val="3EA66B99"/>
    <w:rsid w:val="3ECA6482"/>
    <w:rsid w:val="3ECE6E6F"/>
    <w:rsid w:val="3ECE7563"/>
    <w:rsid w:val="3ED97554"/>
    <w:rsid w:val="3F0A3535"/>
    <w:rsid w:val="3F1C6921"/>
    <w:rsid w:val="3F2D72BA"/>
    <w:rsid w:val="3F362ADA"/>
    <w:rsid w:val="3F6E1EB2"/>
    <w:rsid w:val="3F704133"/>
    <w:rsid w:val="3F73677B"/>
    <w:rsid w:val="3F871D3B"/>
    <w:rsid w:val="3FA21D9D"/>
    <w:rsid w:val="40014FD8"/>
    <w:rsid w:val="402E47B4"/>
    <w:rsid w:val="4046433E"/>
    <w:rsid w:val="406A5A0D"/>
    <w:rsid w:val="406D6489"/>
    <w:rsid w:val="40754A75"/>
    <w:rsid w:val="40956627"/>
    <w:rsid w:val="409D3936"/>
    <w:rsid w:val="40DF6392"/>
    <w:rsid w:val="40E35E83"/>
    <w:rsid w:val="40EF5F3D"/>
    <w:rsid w:val="412F1132"/>
    <w:rsid w:val="41300719"/>
    <w:rsid w:val="41357C0D"/>
    <w:rsid w:val="41391F47"/>
    <w:rsid w:val="4141106E"/>
    <w:rsid w:val="414D079A"/>
    <w:rsid w:val="4152279E"/>
    <w:rsid w:val="416A0352"/>
    <w:rsid w:val="41801923"/>
    <w:rsid w:val="418D2C85"/>
    <w:rsid w:val="41CA2B9F"/>
    <w:rsid w:val="41CE1354"/>
    <w:rsid w:val="41D37749"/>
    <w:rsid w:val="41EA1493"/>
    <w:rsid w:val="41EC2861"/>
    <w:rsid w:val="4202058A"/>
    <w:rsid w:val="42125CE8"/>
    <w:rsid w:val="42174406"/>
    <w:rsid w:val="422C1EFE"/>
    <w:rsid w:val="424010B3"/>
    <w:rsid w:val="425008DD"/>
    <w:rsid w:val="42641D0B"/>
    <w:rsid w:val="427403EA"/>
    <w:rsid w:val="42772D26"/>
    <w:rsid w:val="427D2D96"/>
    <w:rsid w:val="42A45AE6"/>
    <w:rsid w:val="42B87898"/>
    <w:rsid w:val="42BC2E2F"/>
    <w:rsid w:val="42C01E13"/>
    <w:rsid w:val="42C6780A"/>
    <w:rsid w:val="42D15A76"/>
    <w:rsid w:val="42E73B43"/>
    <w:rsid w:val="42F46131"/>
    <w:rsid w:val="430D1059"/>
    <w:rsid w:val="43284F9F"/>
    <w:rsid w:val="432F1853"/>
    <w:rsid w:val="43341062"/>
    <w:rsid w:val="43410BCA"/>
    <w:rsid w:val="435117C9"/>
    <w:rsid w:val="435624D6"/>
    <w:rsid w:val="43924DDC"/>
    <w:rsid w:val="43947908"/>
    <w:rsid w:val="43AD747F"/>
    <w:rsid w:val="43AF7085"/>
    <w:rsid w:val="43CF4C37"/>
    <w:rsid w:val="43CF6B92"/>
    <w:rsid w:val="43EE7018"/>
    <w:rsid w:val="43FC44AD"/>
    <w:rsid w:val="442B2A56"/>
    <w:rsid w:val="442F62DC"/>
    <w:rsid w:val="44754113"/>
    <w:rsid w:val="44771C7D"/>
    <w:rsid w:val="44941188"/>
    <w:rsid w:val="44BD69EB"/>
    <w:rsid w:val="44C22253"/>
    <w:rsid w:val="44C642AB"/>
    <w:rsid w:val="44DC49DA"/>
    <w:rsid w:val="45442347"/>
    <w:rsid w:val="45476FB4"/>
    <w:rsid w:val="454D771E"/>
    <w:rsid w:val="4550280B"/>
    <w:rsid w:val="45510E53"/>
    <w:rsid w:val="457D1D22"/>
    <w:rsid w:val="4594599D"/>
    <w:rsid w:val="45B15BA8"/>
    <w:rsid w:val="45BF4D04"/>
    <w:rsid w:val="45BF50E2"/>
    <w:rsid w:val="45CA5863"/>
    <w:rsid w:val="45E57107"/>
    <w:rsid w:val="460851FA"/>
    <w:rsid w:val="46257A17"/>
    <w:rsid w:val="46427ED8"/>
    <w:rsid w:val="465924E9"/>
    <w:rsid w:val="465F5FAB"/>
    <w:rsid w:val="466F483C"/>
    <w:rsid w:val="46700E60"/>
    <w:rsid w:val="467029B0"/>
    <w:rsid w:val="46794B93"/>
    <w:rsid w:val="469043B7"/>
    <w:rsid w:val="469D2F78"/>
    <w:rsid w:val="46B03CA8"/>
    <w:rsid w:val="46BA26A3"/>
    <w:rsid w:val="46DA5770"/>
    <w:rsid w:val="46F078F1"/>
    <w:rsid w:val="471E28FD"/>
    <w:rsid w:val="474F4272"/>
    <w:rsid w:val="475353E4"/>
    <w:rsid w:val="47743CD8"/>
    <w:rsid w:val="478302A1"/>
    <w:rsid w:val="47C0185B"/>
    <w:rsid w:val="47CB7671"/>
    <w:rsid w:val="47E379FB"/>
    <w:rsid w:val="47E37F9F"/>
    <w:rsid w:val="482B1CBF"/>
    <w:rsid w:val="482F3CF5"/>
    <w:rsid w:val="484167D4"/>
    <w:rsid w:val="48536D47"/>
    <w:rsid w:val="48610E04"/>
    <w:rsid w:val="4863099A"/>
    <w:rsid w:val="48674FCE"/>
    <w:rsid w:val="486812E2"/>
    <w:rsid w:val="486D11B6"/>
    <w:rsid w:val="486D24D6"/>
    <w:rsid w:val="489432C8"/>
    <w:rsid w:val="48957241"/>
    <w:rsid w:val="489C4A2C"/>
    <w:rsid w:val="48A44149"/>
    <w:rsid w:val="48D22B3F"/>
    <w:rsid w:val="48FC21D7"/>
    <w:rsid w:val="48FC5346"/>
    <w:rsid w:val="4907292A"/>
    <w:rsid w:val="49086D6B"/>
    <w:rsid w:val="490A3452"/>
    <w:rsid w:val="493A5A7B"/>
    <w:rsid w:val="494F6A6B"/>
    <w:rsid w:val="49521DF7"/>
    <w:rsid w:val="497A04F0"/>
    <w:rsid w:val="497C50C6"/>
    <w:rsid w:val="49A37790"/>
    <w:rsid w:val="49B82FB2"/>
    <w:rsid w:val="49B94330"/>
    <w:rsid w:val="49BD03E9"/>
    <w:rsid w:val="49C56A6D"/>
    <w:rsid w:val="49EF67E8"/>
    <w:rsid w:val="49F0282B"/>
    <w:rsid w:val="4A185753"/>
    <w:rsid w:val="4A27235D"/>
    <w:rsid w:val="4A2D362A"/>
    <w:rsid w:val="4A392FB7"/>
    <w:rsid w:val="4A3E2670"/>
    <w:rsid w:val="4A4955B7"/>
    <w:rsid w:val="4A4C72A3"/>
    <w:rsid w:val="4A4D6EB7"/>
    <w:rsid w:val="4A565917"/>
    <w:rsid w:val="4A5E47CC"/>
    <w:rsid w:val="4A61155C"/>
    <w:rsid w:val="4A666ADC"/>
    <w:rsid w:val="4A76754E"/>
    <w:rsid w:val="4A915342"/>
    <w:rsid w:val="4A9B5A20"/>
    <w:rsid w:val="4AA27491"/>
    <w:rsid w:val="4AAB50DC"/>
    <w:rsid w:val="4AAC3789"/>
    <w:rsid w:val="4ABE526B"/>
    <w:rsid w:val="4ACA5A31"/>
    <w:rsid w:val="4ACD6512"/>
    <w:rsid w:val="4AF80064"/>
    <w:rsid w:val="4B0849B7"/>
    <w:rsid w:val="4B091147"/>
    <w:rsid w:val="4B182BCD"/>
    <w:rsid w:val="4B1B5657"/>
    <w:rsid w:val="4B200E3A"/>
    <w:rsid w:val="4B280CCA"/>
    <w:rsid w:val="4B2A37BC"/>
    <w:rsid w:val="4B3B5E36"/>
    <w:rsid w:val="4B922169"/>
    <w:rsid w:val="4BAF23FB"/>
    <w:rsid w:val="4BB328F5"/>
    <w:rsid w:val="4BD14906"/>
    <w:rsid w:val="4BE51A15"/>
    <w:rsid w:val="4BF73218"/>
    <w:rsid w:val="4C1678A4"/>
    <w:rsid w:val="4C327103"/>
    <w:rsid w:val="4C73165C"/>
    <w:rsid w:val="4C7669FB"/>
    <w:rsid w:val="4C89002C"/>
    <w:rsid w:val="4C9D782D"/>
    <w:rsid w:val="4CC657D8"/>
    <w:rsid w:val="4CC85E24"/>
    <w:rsid w:val="4CC9585A"/>
    <w:rsid w:val="4CD71478"/>
    <w:rsid w:val="4CD80D3A"/>
    <w:rsid w:val="4D056272"/>
    <w:rsid w:val="4D094EC3"/>
    <w:rsid w:val="4D1F61F8"/>
    <w:rsid w:val="4D276C61"/>
    <w:rsid w:val="4D381304"/>
    <w:rsid w:val="4D741B7B"/>
    <w:rsid w:val="4DA714C3"/>
    <w:rsid w:val="4DA93FB0"/>
    <w:rsid w:val="4DAD2580"/>
    <w:rsid w:val="4DD66729"/>
    <w:rsid w:val="4DDD2D33"/>
    <w:rsid w:val="4DEB146C"/>
    <w:rsid w:val="4DF33480"/>
    <w:rsid w:val="4DF97B5A"/>
    <w:rsid w:val="4DFA2A53"/>
    <w:rsid w:val="4E0E1ED7"/>
    <w:rsid w:val="4E0E61EC"/>
    <w:rsid w:val="4E144185"/>
    <w:rsid w:val="4E2D698F"/>
    <w:rsid w:val="4E514B20"/>
    <w:rsid w:val="4E5544E2"/>
    <w:rsid w:val="4E6A720C"/>
    <w:rsid w:val="4E735E5A"/>
    <w:rsid w:val="4E947B55"/>
    <w:rsid w:val="4EA82F40"/>
    <w:rsid w:val="4EAA7FE0"/>
    <w:rsid w:val="4EB01C0C"/>
    <w:rsid w:val="4EBF4624"/>
    <w:rsid w:val="4EEA4D9E"/>
    <w:rsid w:val="4F0D30FB"/>
    <w:rsid w:val="4F287777"/>
    <w:rsid w:val="4F376F1C"/>
    <w:rsid w:val="4F405A38"/>
    <w:rsid w:val="4F473A81"/>
    <w:rsid w:val="4F707237"/>
    <w:rsid w:val="4FE941B3"/>
    <w:rsid w:val="4FF35A41"/>
    <w:rsid w:val="4FF43330"/>
    <w:rsid w:val="500232D7"/>
    <w:rsid w:val="50205345"/>
    <w:rsid w:val="502344EE"/>
    <w:rsid w:val="50241A99"/>
    <w:rsid w:val="502838B2"/>
    <w:rsid w:val="50306C0B"/>
    <w:rsid w:val="50341765"/>
    <w:rsid w:val="50470232"/>
    <w:rsid w:val="50493828"/>
    <w:rsid w:val="505C7A00"/>
    <w:rsid w:val="506F5916"/>
    <w:rsid w:val="507D61BE"/>
    <w:rsid w:val="50B82D54"/>
    <w:rsid w:val="50C75164"/>
    <w:rsid w:val="50CF5FBC"/>
    <w:rsid w:val="50DD0529"/>
    <w:rsid w:val="50E43463"/>
    <w:rsid w:val="50FF1A2E"/>
    <w:rsid w:val="51032849"/>
    <w:rsid w:val="510B1C5B"/>
    <w:rsid w:val="513D513B"/>
    <w:rsid w:val="514A12D2"/>
    <w:rsid w:val="518A7CE1"/>
    <w:rsid w:val="51AE324B"/>
    <w:rsid w:val="51B31003"/>
    <w:rsid w:val="51D97E61"/>
    <w:rsid w:val="51DC0663"/>
    <w:rsid w:val="51DE52F9"/>
    <w:rsid w:val="51E0071F"/>
    <w:rsid w:val="51F11167"/>
    <w:rsid w:val="51F42E18"/>
    <w:rsid w:val="51F7178E"/>
    <w:rsid w:val="51F8670F"/>
    <w:rsid w:val="521952B9"/>
    <w:rsid w:val="522105B9"/>
    <w:rsid w:val="522F30D6"/>
    <w:rsid w:val="52465F23"/>
    <w:rsid w:val="524C6385"/>
    <w:rsid w:val="527A79D1"/>
    <w:rsid w:val="527A7E91"/>
    <w:rsid w:val="527B23BF"/>
    <w:rsid w:val="52A02093"/>
    <w:rsid w:val="52B14321"/>
    <w:rsid w:val="52DB67DA"/>
    <w:rsid w:val="52E37F64"/>
    <w:rsid w:val="52F67C97"/>
    <w:rsid w:val="530002C1"/>
    <w:rsid w:val="532405C3"/>
    <w:rsid w:val="533F7C34"/>
    <w:rsid w:val="53555EE3"/>
    <w:rsid w:val="535E56F6"/>
    <w:rsid w:val="536554BA"/>
    <w:rsid w:val="536F4BBC"/>
    <w:rsid w:val="537A3A86"/>
    <w:rsid w:val="538541B9"/>
    <w:rsid w:val="53B61510"/>
    <w:rsid w:val="53BD7682"/>
    <w:rsid w:val="53BE166C"/>
    <w:rsid w:val="53DF51DB"/>
    <w:rsid w:val="53E01E94"/>
    <w:rsid w:val="53E63B1C"/>
    <w:rsid w:val="53ED0E1F"/>
    <w:rsid w:val="53EE1EE9"/>
    <w:rsid w:val="53F63391"/>
    <w:rsid w:val="54295E93"/>
    <w:rsid w:val="542B7539"/>
    <w:rsid w:val="543A1E06"/>
    <w:rsid w:val="544669FD"/>
    <w:rsid w:val="544F6CFB"/>
    <w:rsid w:val="54613364"/>
    <w:rsid w:val="54726B22"/>
    <w:rsid w:val="548A12C1"/>
    <w:rsid w:val="548F2152"/>
    <w:rsid w:val="54994DC4"/>
    <w:rsid w:val="54A86D6F"/>
    <w:rsid w:val="54B273BA"/>
    <w:rsid w:val="54E944D5"/>
    <w:rsid w:val="54EB3100"/>
    <w:rsid w:val="550F583F"/>
    <w:rsid w:val="552F416E"/>
    <w:rsid w:val="5579070C"/>
    <w:rsid w:val="558E6521"/>
    <w:rsid w:val="55901C96"/>
    <w:rsid w:val="55BB2B7D"/>
    <w:rsid w:val="55CF0A12"/>
    <w:rsid w:val="55DE4E84"/>
    <w:rsid w:val="55E93AE3"/>
    <w:rsid w:val="55EE5599"/>
    <w:rsid w:val="55F67FAE"/>
    <w:rsid w:val="56084B8B"/>
    <w:rsid w:val="561A1424"/>
    <w:rsid w:val="5621327D"/>
    <w:rsid w:val="562E2E9B"/>
    <w:rsid w:val="56483696"/>
    <w:rsid w:val="564D4072"/>
    <w:rsid w:val="56674E62"/>
    <w:rsid w:val="567F775F"/>
    <w:rsid w:val="56850D9D"/>
    <w:rsid w:val="56875D3A"/>
    <w:rsid w:val="56A24148"/>
    <w:rsid w:val="56D64AC4"/>
    <w:rsid w:val="56DE4A07"/>
    <w:rsid w:val="56E16E17"/>
    <w:rsid w:val="56F40065"/>
    <w:rsid w:val="570B7A8A"/>
    <w:rsid w:val="570E228C"/>
    <w:rsid w:val="57206EB0"/>
    <w:rsid w:val="573D2CDD"/>
    <w:rsid w:val="574B13A0"/>
    <w:rsid w:val="576553EC"/>
    <w:rsid w:val="57671164"/>
    <w:rsid w:val="57794569"/>
    <w:rsid w:val="577B4C0F"/>
    <w:rsid w:val="578D4985"/>
    <w:rsid w:val="57C5420D"/>
    <w:rsid w:val="57D0021B"/>
    <w:rsid w:val="57D3162C"/>
    <w:rsid w:val="57E015F6"/>
    <w:rsid w:val="57E427B4"/>
    <w:rsid w:val="57E813AC"/>
    <w:rsid w:val="57EC3417"/>
    <w:rsid w:val="580A7D41"/>
    <w:rsid w:val="581046F5"/>
    <w:rsid w:val="582337FF"/>
    <w:rsid w:val="582B5ED3"/>
    <w:rsid w:val="58346361"/>
    <w:rsid w:val="583C671C"/>
    <w:rsid w:val="583F28C4"/>
    <w:rsid w:val="584414A5"/>
    <w:rsid w:val="58625E52"/>
    <w:rsid w:val="586B07E0"/>
    <w:rsid w:val="588C4AD1"/>
    <w:rsid w:val="58947FE3"/>
    <w:rsid w:val="58961F18"/>
    <w:rsid w:val="58A72C64"/>
    <w:rsid w:val="59380A9D"/>
    <w:rsid w:val="59561AE4"/>
    <w:rsid w:val="595719B1"/>
    <w:rsid w:val="59593DC0"/>
    <w:rsid w:val="5961309E"/>
    <w:rsid w:val="59701E26"/>
    <w:rsid w:val="59950FF5"/>
    <w:rsid w:val="599D7A79"/>
    <w:rsid w:val="59B42FB7"/>
    <w:rsid w:val="59B85C10"/>
    <w:rsid w:val="59BC1693"/>
    <w:rsid w:val="59EF2B6B"/>
    <w:rsid w:val="59EF71EF"/>
    <w:rsid w:val="5A193714"/>
    <w:rsid w:val="5A217BAD"/>
    <w:rsid w:val="5A2C3F9F"/>
    <w:rsid w:val="5A2D20DE"/>
    <w:rsid w:val="5A345068"/>
    <w:rsid w:val="5A4143F1"/>
    <w:rsid w:val="5A4B1CAD"/>
    <w:rsid w:val="5AA42B68"/>
    <w:rsid w:val="5ABB5F3A"/>
    <w:rsid w:val="5ACD5782"/>
    <w:rsid w:val="5ADF54B5"/>
    <w:rsid w:val="5AE3311B"/>
    <w:rsid w:val="5AFC6067"/>
    <w:rsid w:val="5B0B58E2"/>
    <w:rsid w:val="5B224DC2"/>
    <w:rsid w:val="5B284BA6"/>
    <w:rsid w:val="5B5069E2"/>
    <w:rsid w:val="5B744AAC"/>
    <w:rsid w:val="5B7639B9"/>
    <w:rsid w:val="5B7E077C"/>
    <w:rsid w:val="5B9E711E"/>
    <w:rsid w:val="5BB57237"/>
    <w:rsid w:val="5BBB3B13"/>
    <w:rsid w:val="5BC27EF9"/>
    <w:rsid w:val="5BCB5B07"/>
    <w:rsid w:val="5BDE4052"/>
    <w:rsid w:val="5BED6EC3"/>
    <w:rsid w:val="5BEF23FE"/>
    <w:rsid w:val="5C180C7F"/>
    <w:rsid w:val="5C194C21"/>
    <w:rsid w:val="5C254C55"/>
    <w:rsid w:val="5C2F06FA"/>
    <w:rsid w:val="5C450196"/>
    <w:rsid w:val="5C55213D"/>
    <w:rsid w:val="5C602FDB"/>
    <w:rsid w:val="5C693288"/>
    <w:rsid w:val="5C88090C"/>
    <w:rsid w:val="5C977E32"/>
    <w:rsid w:val="5C9E2A95"/>
    <w:rsid w:val="5CD22236"/>
    <w:rsid w:val="5CFD3C6F"/>
    <w:rsid w:val="5D13210B"/>
    <w:rsid w:val="5D190EF5"/>
    <w:rsid w:val="5D1A2669"/>
    <w:rsid w:val="5D316396"/>
    <w:rsid w:val="5D407AD5"/>
    <w:rsid w:val="5D9A3503"/>
    <w:rsid w:val="5DC40D68"/>
    <w:rsid w:val="5DCA438E"/>
    <w:rsid w:val="5DCD2078"/>
    <w:rsid w:val="5DEC7F4C"/>
    <w:rsid w:val="5DFF22CF"/>
    <w:rsid w:val="5E1C702F"/>
    <w:rsid w:val="5E287173"/>
    <w:rsid w:val="5E2D6537"/>
    <w:rsid w:val="5E4A7C9F"/>
    <w:rsid w:val="5E4F18DD"/>
    <w:rsid w:val="5E503537"/>
    <w:rsid w:val="5E6338DA"/>
    <w:rsid w:val="5E723847"/>
    <w:rsid w:val="5EA76C3E"/>
    <w:rsid w:val="5EBC2796"/>
    <w:rsid w:val="5ED97D49"/>
    <w:rsid w:val="5EE772C3"/>
    <w:rsid w:val="5EF53462"/>
    <w:rsid w:val="5F0E7387"/>
    <w:rsid w:val="5F3919FA"/>
    <w:rsid w:val="5F58396C"/>
    <w:rsid w:val="5F605944"/>
    <w:rsid w:val="5F655A47"/>
    <w:rsid w:val="5F861111"/>
    <w:rsid w:val="5F9212D7"/>
    <w:rsid w:val="5F9B0E40"/>
    <w:rsid w:val="5FBA27F4"/>
    <w:rsid w:val="5FC2535B"/>
    <w:rsid w:val="5FC316FF"/>
    <w:rsid w:val="5FDB15EA"/>
    <w:rsid w:val="5FDC7576"/>
    <w:rsid w:val="5FE5356E"/>
    <w:rsid w:val="5FE57ABA"/>
    <w:rsid w:val="5FE945BD"/>
    <w:rsid w:val="5FFB48E5"/>
    <w:rsid w:val="600E4D44"/>
    <w:rsid w:val="6026404F"/>
    <w:rsid w:val="6039329B"/>
    <w:rsid w:val="605F042B"/>
    <w:rsid w:val="607C1407"/>
    <w:rsid w:val="60872F20"/>
    <w:rsid w:val="60AA4868"/>
    <w:rsid w:val="60B151FE"/>
    <w:rsid w:val="60B44CEE"/>
    <w:rsid w:val="60D74DB6"/>
    <w:rsid w:val="60E03D35"/>
    <w:rsid w:val="614815C5"/>
    <w:rsid w:val="6155027F"/>
    <w:rsid w:val="61623CE5"/>
    <w:rsid w:val="617E31F3"/>
    <w:rsid w:val="61826B9A"/>
    <w:rsid w:val="61A91CC1"/>
    <w:rsid w:val="61B92CB9"/>
    <w:rsid w:val="61C20C2A"/>
    <w:rsid w:val="61C64CD9"/>
    <w:rsid w:val="61CD2260"/>
    <w:rsid w:val="61D13A5D"/>
    <w:rsid w:val="61D23D1C"/>
    <w:rsid w:val="61D513C0"/>
    <w:rsid w:val="61E41547"/>
    <w:rsid w:val="61EC4362"/>
    <w:rsid w:val="61F46119"/>
    <w:rsid w:val="61FE2ABD"/>
    <w:rsid w:val="61FF28E2"/>
    <w:rsid w:val="620B6074"/>
    <w:rsid w:val="621125A3"/>
    <w:rsid w:val="62185D2F"/>
    <w:rsid w:val="62320544"/>
    <w:rsid w:val="623B3981"/>
    <w:rsid w:val="62422353"/>
    <w:rsid w:val="62483940"/>
    <w:rsid w:val="62586279"/>
    <w:rsid w:val="6263010E"/>
    <w:rsid w:val="62881AA5"/>
    <w:rsid w:val="628B3122"/>
    <w:rsid w:val="62924B57"/>
    <w:rsid w:val="629254CB"/>
    <w:rsid w:val="62946B14"/>
    <w:rsid w:val="62B20E7C"/>
    <w:rsid w:val="62C3746A"/>
    <w:rsid w:val="62C4269F"/>
    <w:rsid w:val="62D46160"/>
    <w:rsid w:val="62E7507D"/>
    <w:rsid w:val="62F232E0"/>
    <w:rsid w:val="62FB7D36"/>
    <w:rsid w:val="630D447C"/>
    <w:rsid w:val="63152EEF"/>
    <w:rsid w:val="63185A08"/>
    <w:rsid w:val="632F7504"/>
    <w:rsid w:val="633E321C"/>
    <w:rsid w:val="63442359"/>
    <w:rsid w:val="636E1521"/>
    <w:rsid w:val="63792FC7"/>
    <w:rsid w:val="6397457C"/>
    <w:rsid w:val="63A701C6"/>
    <w:rsid w:val="63B079EF"/>
    <w:rsid w:val="63B427AF"/>
    <w:rsid w:val="63C66A79"/>
    <w:rsid w:val="63CE4319"/>
    <w:rsid w:val="63D176C4"/>
    <w:rsid w:val="63EE0517"/>
    <w:rsid w:val="63FF35E4"/>
    <w:rsid w:val="64132724"/>
    <w:rsid w:val="64177DB4"/>
    <w:rsid w:val="641F1DC7"/>
    <w:rsid w:val="64505133"/>
    <w:rsid w:val="64521A2F"/>
    <w:rsid w:val="645D6E39"/>
    <w:rsid w:val="645E38EF"/>
    <w:rsid w:val="647D7393"/>
    <w:rsid w:val="64A261D8"/>
    <w:rsid w:val="64A405E4"/>
    <w:rsid w:val="64AF29A7"/>
    <w:rsid w:val="64EA67FA"/>
    <w:rsid w:val="64FF3760"/>
    <w:rsid w:val="65104886"/>
    <w:rsid w:val="651B533C"/>
    <w:rsid w:val="65224C78"/>
    <w:rsid w:val="65274453"/>
    <w:rsid w:val="653C5357"/>
    <w:rsid w:val="654B2DDF"/>
    <w:rsid w:val="655B3525"/>
    <w:rsid w:val="65896CD1"/>
    <w:rsid w:val="65963202"/>
    <w:rsid w:val="65B46143"/>
    <w:rsid w:val="65BF216B"/>
    <w:rsid w:val="65CA5E7F"/>
    <w:rsid w:val="65D379C4"/>
    <w:rsid w:val="66044D32"/>
    <w:rsid w:val="66132646"/>
    <w:rsid w:val="66141600"/>
    <w:rsid w:val="662E09C3"/>
    <w:rsid w:val="66593CD6"/>
    <w:rsid w:val="66926769"/>
    <w:rsid w:val="66961C35"/>
    <w:rsid w:val="66B973CC"/>
    <w:rsid w:val="66C80F2C"/>
    <w:rsid w:val="66D938F9"/>
    <w:rsid w:val="670927AC"/>
    <w:rsid w:val="67313B0C"/>
    <w:rsid w:val="67332E10"/>
    <w:rsid w:val="673C73AE"/>
    <w:rsid w:val="6740552D"/>
    <w:rsid w:val="675114E9"/>
    <w:rsid w:val="67521E99"/>
    <w:rsid w:val="6753700F"/>
    <w:rsid w:val="67652268"/>
    <w:rsid w:val="676F36C2"/>
    <w:rsid w:val="678715CB"/>
    <w:rsid w:val="678F1183"/>
    <w:rsid w:val="67BD15D5"/>
    <w:rsid w:val="67F538FC"/>
    <w:rsid w:val="67FF69A3"/>
    <w:rsid w:val="6818702E"/>
    <w:rsid w:val="681C321F"/>
    <w:rsid w:val="681C38A5"/>
    <w:rsid w:val="682A7D2F"/>
    <w:rsid w:val="68384726"/>
    <w:rsid w:val="68507555"/>
    <w:rsid w:val="68510D21"/>
    <w:rsid w:val="68623B3D"/>
    <w:rsid w:val="687D7758"/>
    <w:rsid w:val="68921BB1"/>
    <w:rsid w:val="689A7785"/>
    <w:rsid w:val="68C301C4"/>
    <w:rsid w:val="68EF720B"/>
    <w:rsid w:val="68FD7D7A"/>
    <w:rsid w:val="692F065C"/>
    <w:rsid w:val="693441DE"/>
    <w:rsid w:val="693764BC"/>
    <w:rsid w:val="69423184"/>
    <w:rsid w:val="69924549"/>
    <w:rsid w:val="69970F3D"/>
    <w:rsid w:val="69A00868"/>
    <w:rsid w:val="69D43502"/>
    <w:rsid w:val="69D74F14"/>
    <w:rsid w:val="69D75EE2"/>
    <w:rsid w:val="69FB55E7"/>
    <w:rsid w:val="6A041A86"/>
    <w:rsid w:val="6A091FAC"/>
    <w:rsid w:val="6A7C23E5"/>
    <w:rsid w:val="6A936DC4"/>
    <w:rsid w:val="6AB43D11"/>
    <w:rsid w:val="6ABD1351"/>
    <w:rsid w:val="6AEC0BF9"/>
    <w:rsid w:val="6B110DD4"/>
    <w:rsid w:val="6B180720"/>
    <w:rsid w:val="6B3358AF"/>
    <w:rsid w:val="6B4426EA"/>
    <w:rsid w:val="6B6006F1"/>
    <w:rsid w:val="6B625A72"/>
    <w:rsid w:val="6B647C74"/>
    <w:rsid w:val="6B8219A5"/>
    <w:rsid w:val="6BAF0B19"/>
    <w:rsid w:val="6BB20DAE"/>
    <w:rsid w:val="6BBD7500"/>
    <w:rsid w:val="6BCB31D5"/>
    <w:rsid w:val="6BE1399F"/>
    <w:rsid w:val="6C083484"/>
    <w:rsid w:val="6C320AD8"/>
    <w:rsid w:val="6C327B3B"/>
    <w:rsid w:val="6C3679A8"/>
    <w:rsid w:val="6C3A7B00"/>
    <w:rsid w:val="6C517895"/>
    <w:rsid w:val="6C6438D3"/>
    <w:rsid w:val="6C6E4605"/>
    <w:rsid w:val="6C7809A2"/>
    <w:rsid w:val="6C917427"/>
    <w:rsid w:val="6C961498"/>
    <w:rsid w:val="6C9B511D"/>
    <w:rsid w:val="6CD3027E"/>
    <w:rsid w:val="6CEA1E95"/>
    <w:rsid w:val="6CEB1A97"/>
    <w:rsid w:val="6CFD4904"/>
    <w:rsid w:val="6D0A4613"/>
    <w:rsid w:val="6D206468"/>
    <w:rsid w:val="6D674299"/>
    <w:rsid w:val="6D6E101E"/>
    <w:rsid w:val="6D7823DF"/>
    <w:rsid w:val="6D7A3958"/>
    <w:rsid w:val="6D9E2E5D"/>
    <w:rsid w:val="6DA73C10"/>
    <w:rsid w:val="6DB253C5"/>
    <w:rsid w:val="6DB619CA"/>
    <w:rsid w:val="6DB85010"/>
    <w:rsid w:val="6DCA0B54"/>
    <w:rsid w:val="6DD50B69"/>
    <w:rsid w:val="6DEE7F15"/>
    <w:rsid w:val="6DF36E56"/>
    <w:rsid w:val="6DFF5CD6"/>
    <w:rsid w:val="6E563760"/>
    <w:rsid w:val="6E582CCA"/>
    <w:rsid w:val="6E834752"/>
    <w:rsid w:val="6E8D4D6A"/>
    <w:rsid w:val="6E930639"/>
    <w:rsid w:val="6E935726"/>
    <w:rsid w:val="6E99351E"/>
    <w:rsid w:val="6E9D3265"/>
    <w:rsid w:val="6E9F0F84"/>
    <w:rsid w:val="6EA22A4F"/>
    <w:rsid w:val="6EA81D9B"/>
    <w:rsid w:val="6EAA5C17"/>
    <w:rsid w:val="6EB07D3E"/>
    <w:rsid w:val="6EB659CE"/>
    <w:rsid w:val="6EC82A12"/>
    <w:rsid w:val="6ECE341F"/>
    <w:rsid w:val="6EDF6C38"/>
    <w:rsid w:val="6F280633"/>
    <w:rsid w:val="6F6D2C38"/>
    <w:rsid w:val="6F6E22AF"/>
    <w:rsid w:val="6FBD3BBF"/>
    <w:rsid w:val="6FC72638"/>
    <w:rsid w:val="6FCC0545"/>
    <w:rsid w:val="6FDB6C9F"/>
    <w:rsid w:val="6FDF0777"/>
    <w:rsid w:val="701100E2"/>
    <w:rsid w:val="701337DF"/>
    <w:rsid w:val="7015054A"/>
    <w:rsid w:val="705D2071"/>
    <w:rsid w:val="70651646"/>
    <w:rsid w:val="707B4A5B"/>
    <w:rsid w:val="707F51BB"/>
    <w:rsid w:val="708577C9"/>
    <w:rsid w:val="708826BD"/>
    <w:rsid w:val="709E08CD"/>
    <w:rsid w:val="70BB1FFD"/>
    <w:rsid w:val="70C34FBF"/>
    <w:rsid w:val="70FC4273"/>
    <w:rsid w:val="71030DED"/>
    <w:rsid w:val="712F49A0"/>
    <w:rsid w:val="713C6060"/>
    <w:rsid w:val="71463584"/>
    <w:rsid w:val="715045BF"/>
    <w:rsid w:val="71634E07"/>
    <w:rsid w:val="716B764B"/>
    <w:rsid w:val="716F5AA0"/>
    <w:rsid w:val="71744C98"/>
    <w:rsid w:val="71844648"/>
    <w:rsid w:val="71917632"/>
    <w:rsid w:val="719F3A61"/>
    <w:rsid w:val="71DC40A5"/>
    <w:rsid w:val="71E718B7"/>
    <w:rsid w:val="71F86A5F"/>
    <w:rsid w:val="722B5BB7"/>
    <w:rsid w:val="724A3704"/>
    <w:rsid w:val="725F5E7A"/>
    <w:rsid w:val="72673FB4"/>
    <w:rsid w:val="72883F99"/>
    <w:rsid w:val="728C0614"/>
    <w:rsid w:val="729B4BC1"/>
    <w:rsid w:val="72B312A9"/>
    <w:rsid w:val="72B919A9"/>
    <w:rsid w:val="72BB369B"/>
    <w:rsid w:val="72CE1C3F"/>
    <w:rsid w:val="72E36E6C"/>
    <w:rsid w:val="72EC290D"/>
    <w:rsid w:val="72EF237C"/>
    <w:rsid w:val="732F0A4D"/>
    <w:rsid w:val="73346BA3"/>
    <w:rsid w:val="73351CBE"/>
    <w:rsid w:val="733E7884"/>
    <w:rsid w:val="734172C4"/>
    <w:rsid w:val="73723F22"/>
    <w:rsid w:val="73AC2B2C"/>
    <w:rsid w:val="73B23EE7"/>
    <w:rsid w:val="73D6524F"/>
    <w:rsid w:val="73FE7077"/>
    <w:rsid w:val="7407234D"/>
    <w:rsid w:val="740C0550"/>
    <w:rsid w:val="74127124"/>
    <w:rsid w:val="74135653"/>
    <w:rsid w:val="74307A19"/>
    <w:rsid w:val="74575C64"/>
    <w:rsid w:val="745B7A81"/>
    <w:rsid w:val="7469169A"/>
    <w:rsid w:val="746E765E"/>
    <w:rsid w:val="7481774B"/>
    <w:rsid w:val="749874CC"/>
    <w:rsid w:val="749D7B1B"/>
    <w:rsid w:val="749E1361"/>
    <w:rsid w:val="74F25824"/>
    <w:rsid w:val="75131A8B"/>
    <w:rsid w:val="751813D3"/>
    <w:rsid w:val="753A17C4"/>
    <w:rsid w:val="75625AFF"/>
    <w:rsid w:val="756479DC"/>
    <w:rsid w:val="756E0A42"/>
    <w:rsid w:val="75893151"/>
    <w:rsid w:val="75931819"/>
    <w:rsid w:val="75A02395"/>
    <w:rsid w:val="75A90742"/>
    <w:rsid w:val="75B74537"/>
    <w:rsid w:val="75C630A2"/>
    <w:rsid w:val="75FB611F"/>
    <w:rsid w:val="76076FBE"/>
    <w:rsid w:val="761D53B8"/>
    <w:rsid w:val="761F6510"/>
    <w:rsid w:val="76322B1D"/>
    <w:rsid w:val="763E14D1"/>
    <w:rsid w:val="769675BF"/>
    <w:rsid w:val="76B13D52"/>
    <w:rsid w:val="76C906E0"/>
    <w:rsid w:val="76DB0DCF"/>
    <w:rsid w:val="76DD3832"/>
    <w:rsid w:val="76DD79B6"/>
    <w:rsid w:val="76E96A91"/>
    <w:rsid w:val="76F44DFB"/>
    <w:rsid w:val="76FC7987"/>
    <w:rsid w:val="770734FA"/>
    <w:rsid w:val="77075C67"/>
    <w:rsid w:val="77176AC2"/>
    <w:rsid w:val="77181DE9"/>
    <w:rsid w:val="771B11CB"/>
    <w:rsid w:val="772E79AB"/>
    <w:rsid w:val="772F458F"/>
    <w:rsid w:val="773B0D53"/>
    <w:rsid w:val="773D384A"/>
    <w:rsid w:val="77446974"/>
    <w:rsid w:val="775C2D87"/>
    <w:rsid w:val="778E1C4F"/>
    <w:rsid w:val="778E7BEF"/>
    <w:rsid w:val="779666AF"/>
    <w:rsid w:val="77A51E06"/>
    <w:rsid w:val="77C2197A"/>
    <w:rsid w:val="77D536C0"/>
    <w:rsid w:val="77EC380F"/>
    <w:rsid w:val="78013000"/>
    <w:rsid w:val="781621BC"/>
    <w:rsid w:val="78300CA6"/>
    <w:rsid w:val="78342D26"/>
    <w:rsid w:val="7844403A"/>
    <w:rsid w:val="784B54CD"/>
    <w:rsid w:val="787E7C64"/>
    <w:rsid w:val="78B72D5B"/>
    <w:rsid w:val="78BF2B74"/>
    <w:rsid w:val="78EE6B97"/>
    <w:rsid w:val="78F645DF"/>
    <w:rsid w:val="79155510"/>
    <w:rsid w:val="79323DED"/>
    <w:rsid w:val="79431362"/>
    <w:rsid w:val="79554E68"/>
    <w:rsid w:val="797572B9"/>
    <w:rsid w:val="79786DA9"/>
    <w:rsid w:val="797D340A"/>
    <w:rsid w:val="798332DA"/>
    <w:rsid w:val="799C10CE"/>
    <w:rsid w:val="79A07568"/>
    <w:rsid w:val="79C350BB"/>
    <w:rsid w:val="79F01748"/>
    <w:rsid w:val="79F37CE1"/>
    <w:rsid w:val="79F731A0"/>
    <w:rsid w:val="79FF5367"/>
    <w:rsid w:val="7A306B3E"/>
    <w:rsid w:val="7A411068"/>
    <w:rsid w:val="7A57076C"/>
    <w:rsid w:val="7A5C1E91"/>
    <w:rsid w:val="7A635363"/>
    <w:rsid w:val="7A721A4A"/>
    <w:rsid w:val="7A907C7D"/>
    <w:rsid w:val="7A965738"/>
    <w:rsid w:val="7A995ACE"/>
    <w:rsid w:val="7AAC0AB8"/>
    <w:rsid w:val="7AB14D88"/>
    <w:rsid w:val="7AB320DC"/>
    <w:rsid w:val="7ABE6A3D"/>
    <w:rsid w:val="7AC566D8"/>
    <w:rsid w:val="7AD84664"/>
    <w:rsid w:val="7AE654F8"/>
    <w:rsid w:val="7AF46F9B"/>
    <w:rsid w:val="7B3F62EE"/>
    <w:rsid w:val="7B542E03"/>
    <w:rsid w:val="7B5C454E"/>
    <w:rsid w:val="7B5D1972"/>
    <w:rsid w:val="7B707D38"/>
    <w:rsid w:val="7B7C5E03"/>
    <w:rsid w:val="7B7E4947"/>
    <w:rsid w:val="7BBE2DEF"/>
    <w:rsid w:val="7BC1532A"/>
    <w:rsid w:val="7BC4177D"/>
    <w:rsid w:val="7BCC59F6"/>
    <w:rsid w:val="7BF549E1"/>
    <w:rsid w:val="7BF5799C"/>
    <w:rsid w:val="7BF73FB5"/>
    <w:rsid w:val="7BFE5EDB"/>
    <w:rsid w:val="7C777066"/>
    <w:rsid w:val="7C7B5CFE"/>
    <w:rsid w:val="7C9F63FA"/>
    <w:rsid w:val="7CB90E64"/>
    <w:rsid w:val="7CC663F8"/>
    <w:rsid w:val="7CDB7BFA"/>
    <w:rsid w:val="7CE333B2"/>
    <w:rsid w:val="7D0761D5"/>
    <w:rsid w:val="7D115CC9"/>
    <w:rsid w:val="7D2708CA"/>
    <w:rsid w:val="7D3D1E9B"/>
    <w:rsid w:val="7D4119CC"/>
    <w:rsid w:val="7D5E2335"/>
    <w:rsid w:val="7D9F2885"/>
    <w:rsid w:val="7DA556DF"/>
    <w:rsid w:val="7DB02E62"/>
    <w:rsid w:val="7DC35B7D"/>
    <w:rsid w:val="7DD503E9"/>
    <w:rsid w:val="7DDE5C84"/>
    <w:rsid w:val="7DED3159"/>
    <w:rsid w:val="7DF764EE"/>
    <w:rsid w:val="7E130E4E"/>
    <w:rsid w:val="7E131C9F"/>
    <w:rsid w:val="7E1A154D"/>
    <w:rsid w:val="7E423B89"/>
    <w:rsid w:val="7E527377"/>
    <w:rsid w:val="7E5D13CC"/>
    <w:rsid w:val="7E7B5B8D"/>
    <w:rsid w:val="7E9975A5"/>
    <w:rsid w:val="7E9A50CB"/>
    <w:rsid w:val="7EBB39C0"/>
    <w:rsid w:val="7EBC3294"/>
    <w:rsid w:val="7EC510B7"/>
    <w:rsid w:val="7EC8692D"/>
    <w:rsid w:val="7ED14641"/>
    <w:rsid w:val="7ED44D02"/>
    <w:rsid w:val="7EDB7E54"/>
    <w:rsid w:val="7EDC609E"/>
    <w:rsid w:val="7EFE26A5"/>
    <w:rsid w:val="7F0A2251"/>
    <w:rsid w:val="7F196938"/>
    <w:rsid w:val="7F2D6D0D"/>
    <w:rsid w:val="7F3F77C2"/>
    <w:rsid w:val="7F643B8F"/>
    <w:rsid w:val="7F6C6A68"/>
    <w:rsid w:val="7F7674A2"/>
    <w:rsid w:val="7FB16D35"/>
    <w:rsid w:val="7FB534C8"/>
    <w:rsid w:val="7FB54360"/>
    <w:rsid w:val="7FCC6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jc w:val="center"/>
      <w:outlineLvl w:val="1"/>
    </w:pPr>
    <w:rPr>
      <w:rFonts w:ascii="仿宋" w:hAnsi="仿宋" w:eastAsia="仿宋" w:cs="仿宋"/>
      <w:b/>
      <w:bCs/>
      <w:sz w:val="32"/>
      <w:szCs w:val="32"/>
      <w:lang w:val="zh-CN" w:eastAsia="zh-CN" w:bidi="zh-CN"/>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2">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1"/>
    <w:qFormat/>
    <w:uiPriority w:val="1"/>
    <w:rPr>
      <w:rFonts w:ascii="仿宋" w:hAnsi="仿宋" w:eastAsia="仿宋" w:cs="仿宋"/>
      <w:sz w:val="24"/>
      <w:szCs w:val="24"/>
      <w:lang w:val="zh-CN" w:eastAsia="zh-CN" w:bidi="zh-CN"/>
    </w:r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List"/>
    <w:basedOn w:val="1"/>
    <w:qFormat/>
    <w:uiPriority w:val="0"/>
    <w:pPr>
      <w:ind w:left="200" w:hanging="200" w:hangingChars="200"/>
      <w:jc w:val="both"/>
    </w:pPr>
    <w:rPr>
      <w:rFonts w:ascii="Times New Roman" w:hAnsi="Times New Roman"/>
      <w:kern w:val="2"/>
      <w:sz w:val="21"/>
      <w:szCs w:val="20"/>
      <w:lang w:eastAsia="zh-CN"/>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Body Text Indent"/>
    <w:basedOn w:val="1"/>
    <w:next w:val="7"/>
    <w:qFormat/>
    <w:uiPriority w:val="0"/>
    <w:pPr>
      <w:spacing w:after="120" w:afterLines="0" w:afterAutospacing="0"/>
      <w:ind w:left="420" w:leftChars="200"/>
    </w:pPr>
  </w:style>
  <w:style w:type="paragraph" w:styleId="11">
    <w:name w:val="Plain Text"/>
    <w:basedOn w:val="1"/>
    <w:next w:val="1"/>
    <w:qFormat/>
    <w:uiPriority w:val="0"/>
    <w:rPr>
      <w:rFonts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1"/>
    <w:pPr>
      <w:spacing w:before="5"/>
      <w:ind w:left="1057"/>
    </w:pPr>
    <w:rPr>
      <w:rFonts w:ascii="仿宋" w:hAnsi="仿宋" w:eastAsia="仿宋" w:cs="仿宋"/>
      <w:sz w:val="24"/>
      <w:szCs w:val="24"/>
      <w:lang w:val="zh-CN" w:eastAsia="zh-CN" w:bidi="zh-CN"/>
    </w:rPr>
  </w:style>
  <w:style w:type="paragraph" w:styleId="15">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Normal (Web)"/>
    <w:basedOn w:val="1"/>
    <w:next w:val="18"/>
    <w:qFormat/>
    <w:uiPriority w:val="0"/>
    <w:pPr>
      <w:spacing w:before="75" w:after="75"/>
    </w:pPr>
    <w:rPr>
      <w:sz w:val="24"/>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2"/>
    <w:basedOn w:val="10"/>
    <w:next w:val="7"/>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6">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1957" w:hanging="900"/>
    </w:pPr>
    <w:rPr>
      <w:rFonts w:ascii="仿宋" w:hAnsi="仿宋" w:eastAsia="仿宋" w:cs="仿宋"/>
      <w:lang w:val="zh-CN" w:eastAsia="zh-CN" w:bidi="zh-CN"/>
    </w:rPr>
  </w:style>
  <w:style w:type="paragraph" w:customStyle="1" w:styleId="29">
    <w:name w:val="Table Paragraph"/>
    <w:basedOn w:val="1"/>
    <w:qFormat/>
    <w:uiPriority w:val="1"/>
    <w:rPr>
      <w:rFonts w:ascii="宋体" w:hAnsi="宋体" w:eastAsia="宋体" w:cs="宋体"/>
      <w:lang w:val="zh-CN" w:eastAsia="zh-CN" w:bidi="zh-CN"/>
    </w:rPr>
  </w:style>
  <w:style w:type="character" w:customStyle="1" w:styleId="30">
    <w:name w:val="bookmark-item"/>
    <w:basedOn w:val="22"/>
    <w:qFormat/>
    <w:uiPriority w:val="0"/>
  </w:style>
  <w:style w:type="paragraph" w:customStyle="1" w:styleId="31">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3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14"/>
    <w:qFormat/>
    <w:uiPriority w:val="0"/>
    <w:rPr>
      <w:rFonts w:ascii="黑体" w:hAnsi="黑体" w:eastAsia="黑体" w:cs="Times New Roman"/>
      <w:b/>
      <w:sz w:val="32"/>
      <w:szCs w:val="24"/>
      <w:lang w:val="en-US" w:eastAsia="zh-CN" w:bidi="ar-SA"/>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font11"/>
    <w:basedOn w:val="22"/>
    <w:qFormat/>
    <w:uiPriority w:val="0"/>
    <w:rPr>
      <w:rFonts w:hint="eastAsia" w:ascii="宋体" w:hAnsi="宋体" w:eastAsia="宋体" w:cs="宋体"/>
      <w:color w:val="000000"/>
      <w:sz w:val="24"/>
      <w:szCs w:val="24"/>
      <w:u w:val="none"/>
    </w:rPr>
  </w:style>
  <w:style w:type="character" w:customStyle="1" w:styleId="37">
    <w:name w:val="font41"/>
    <w:basedOn w:val="22"/>
    <w:qFormat/>
    <w:uiPriority w:val="0"/>
    <w:rPr>
      <w:rFonts w:hint="eastAsia" w:ascii="宋体" w:hAnsi="宋体" w:eastAsia="宋体" w:cs="宋体"/>
      <w:color w:val="000000"/>
      <w:sz w:val="28"/>
      <w:szCs w:val="28"/>
      <w:u w:val="none"/>
    </w:rPr>
  </w:style>
  <w:style w:type="character" w:customStyle="1" w:styleId="38">
    <w:name w:val="font21"/>
    <w:basedOn w:val="2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40005</Words>
  <Characters>41396</Characters>
  <TotalTime>8</TotalTime>
  <ScaleCrop>false</ScaleCrop>
  <LinksUpToDate>false</LinksUpToDate>
  <CharactersWithSpaces>43850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2021-02-26T04:38:00Z</dcterms:created>
  <dc:creator>USER-</dc:creator>
  <cp:lastModifiedBy>丶  童心未泯</cp:lastModifiedBy>
  <cp:lastPrinted>2022-09-09T08:36:00Z</cp:lastPrinted>
  <dcterms:modified xsi:type="dcterms:W3CDTF">2022-09-13T02:50:34Z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WPS 文字</vt:lpwstr>
  </property>
  <property fmtid="{D5CDD505-2E9C-101B-9397-08002B2CF9AE}" pid="4" name="LastSaved">
    <vt:filetime>2021-02-26T00:00:00Z</vt:filetime>
  </property>
  <property fmtid="{D5CDD505-2E9C-101B-9397-08002B2CF9AE}" pid="5" name="KSOProductBuildVer">
    <vt:lpwstr>2052-11.1.0.12313</vt:lpwstr>
  </property>
  <property fmtid="{D5CDD505-2E9C-101B-9397-08002B2CF9AE}" pid="6" name="ICV">
    <vt:lpwstr>C040D417962D498CA11C4F3D8E7225DE</vt:lpwstr>
  </property>
  <property fmtid="{D5CDD505-2E9C-101B-9397-08002B2CF9AE}" pid="7" name="KSOSaveFontToCloudKey">
    <vt:lpwstr>249850025_cloud</vt:lpwstr>
  </property>
</Properties>
</file>